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BB1" w:rsidRDefault="00BA687B" w:rsidP="00BA687B">
      <w:pPr>
        <w:pStyle w:val="Title"/>
        <w:spacing w:after="240"/>
      </w:pPr>
      <w:r>
        <w:t>Comité contre la torture des Nations unies – 64</w:t>
      </w:r>
      <w:r w:rsidRPr="00BA687B">
        <w:rPr>
          <w:vertAlign w:val="superscript"/>
        </w:rPr>
        <w:t>ème</w:t>
      </w:r>
      <w:r>
        <w:t xml:space="preserve"> session</w:t>
      </w:r>
    </w:p>
    <w:p w:rsidR="00BA687B" w:rsidRDefault="00BA687B" w:rsidP="00BA687B">
      <w:pPr>
        <w:pStyle w:val="Subtitle"/>
      </w:pPr>
      <w:r>
        <w:t>Rapport alternatif présenté au Comité contre la torture en vue de l’examen du deuxième rapport périodique de la Mauritanie</w:t>
      </w:r>
    </w:p>
    <w:p w:rsidR="00BA687B" w:rsidRDefault="00BA687B" w:rsidP="00BA687B"/>
    <w:p w:rsidR="00BA687B" w:rsidRDefault="00BA687B" w:rsidP="00BA687B"/>
    <w:p w:rsidR="00BA687B" w:rsidRDefault="00BA687B" w:rsidP="00BA687B"/>
    <w:p w:rsidR="00BA687B" w:rsidRPr="00AE1CB3" w:rsidRDefault="00BA687B" w:rsidP="00BA687B">
      <w:pPr>
        <w:rPr>
          <w:szCs w:val="20"/>
        </w:rPr>
      </w:pPr>
      <w:r w:rsidRPr="00DD7D51">
        <w:rPr>
          <w:b/>
          <w:szCs w:val="20"/>
        </w:rPr>
        <w:t xml:space="preserve">Ensemble contre la peine de mort (ECPM) </w:t>
      </w:r>
      <w:r w:rsidRPr="00AE1CB3">
        <w:rPr>
          <w:szCs w:val="20"/>
        </w:rPr>
        <w:t>milite pour l’abolition universelle de la peine capitale, grâce</w:t>
      </w:r>
      <w:r>
        <w:rPr>
          <w:szCs w:val="20"/>
        </w:rPr>
        <w:t xml:space="preserve"> </w:t>
      </w:r>
      <w:r w:rsidRPr="00AE1CB3">
        <w:rPr>
          <w:szCs w:val="20"/>
        </w:rPr>
        <w:t>notamment à des actions militantes de sensibilisation et de plaidoyer internat</w:t>
      </w:r>
      <w:r>
        <w:rPr>
          <w:szCs w:val="20"/>
        </w:rPr>
        <w:t xml:space="preserve">ional. Cette association fédère </w:t>
      </w:r>
      <w:r w:rsidRPr="00AE1CB3">
        <w:rPr>
          <w:szCs w:val="20"/>
        </w:rPr>
        <w:t>et rassemble les forces abolitionnistes internationales. Membre fondateur de la Coalition mondiale contre la</w:t>
      </w:r>
      <w:r>
        <w:rPr>
          <w:szCs w:val="20"/>
        </w:rPr>
        <w:t xml:space="preserve"> </w:t>
      </w:r>
      <w:r w:rsidRPr="00AE1CB3">
        <w:rPr>
          <w:szCs w:val="20"/>
        </w:rPr>
        <w:t>peine de mort, ECPM organise le Congrès mondial qui se tient tous les trois ans. ECPM soutient la création de</w:t>
      </w:r>
    </w:p>
    <w:p w:rsidR="00BA687B" w:rsidRDefault="00BA687B" w:rsidP="00BA687B">
      <w:pPr>
        <w:rPr>
          <w:szCs w:val="20"/>
        </w:rPr>
      </w:pPr>
      <w:r w:rsidRPr="00AE1CB3">
        <w:rPr>
          <w:szCs w:val="20"/>
        </w:rPr>
        <w:t>Coalitions nationales et régionales, éduque le public à l’aide de publications papier et en ligne, mène des</w:t>
      </w:r>
      <w:r>
        <w:rPr>
          <w:szCs w:val="20"/>
        </w:rPr>
        <w:t xml:space="preserve"> </w:t>
      </w:r>
      <w:r w:rsidRPr="00AE1CB3">
        <w:rPr>
          <w:szCs w:val="20"/>
        </w:rPr>
        <w:t>missions d’enquête juridiques, des conférences de presse ou encore, selon l’urgence des exécutions, des</w:t>
      </w:r>
      <w:r>
        <w:rPr>
          <w:szCs w:val="20"/>
        </w:rPr>
        <w:t xml:space="preserve"> </w:t>
      </w:r>
      <w:r w:rsidRPr="00AE1CB3">
        <w:rPr>
          <w:szCs w:val="20"/>
        </w:rPr>
        <w:t>campagnes internationales de mobilisation</w:t>
      </w:r>
      <w:r>
        <w:rPr>
          <w:szCs w:val="20"/>
        </w:rPr>
        <w:t>.</w:t>
      </w: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A43BA" w:rsidRDefault="00BA43BA" w:rsidP="00BA687B">
      <w:pPr>
        <w:rPr>
          <w:szCs w:val="20"/>
        </w:rPr>
      </w:pPr>
    </w:p>
    <w:p w:rsidR="00B21CE1" w:rsidRDefault="00B21CE1" w:rsidP="00BA687B">
      <w:pPr>
        <w:rPr>
          <w:b/>
          <w:szCs w:val="20"/>
        </w:rPr>
      </w:pPr>
    </w:p>
    <w:p w:rsidR="00B21CE1" w:rsidRDefault="00B21CE1" w:rsidP="00BA687B">
      <w:pPr>
        <w:rPr>
          <w:b/>
          <w:szCs w:val="20"/>
        </w:rPr>
      </w:pPr>
    </w:p>
    <w:p w:rsidR="00B21CE1" w:rsidRDefault="00B21CE1" w:rsidP="00BA687B">
      <w:pPr>
        <w:rPr>
          <w:b/>
          <w:szCs w:val="20"/>
        </w:rPr>
      </w:pPr>
    </w:p>
    <w:p w:rsidR="00B21CE1" w:rsidRDefault="00B21CE1" w:rsidP="00BA687B">
      <w:pPr>
        <w:rPr>
          <w:b/>
          <w:szCs w:val="20"/>
        </w:rPr>
      </w:pPr>
    </w:p>
    <w:p w:rsidR="00BA43BA" w:rsidRPr="00BA43BA" w:rsidRDefault="00BA43BA" w:rsidP="00BA687B">
      <w:pPr>
        <w:rPr>
          <w:b/>
          <w:szCs w:val="20"/>
        </w:rPr>
      </w:pPr>
      <w:r w:rsidRPr="00BA43BA">
        <w:rPr>
          <w:b/>
          <w:szCs w:val="20"/>
        </w:rPr>
        <w:t>Table des matières</w:t>
      </w:r>
    </w:p>
    <w:p w:rsidR="00BA43BA" w:rsidRDefault="00BA43BA">
      <w:pPr>
        <w:pStyle w:val="TOC1"/>
        <w:tabs>
          <w:tab w:val="right" w:leader="dot" w:pos="9016"/>
        </w:tabs>
        <w:rPr>
          <w:noProof/>
        </w:rPr>
      </w:pPr>
      <w:r>
        <w:rPr>
          <w:szCs w:val="20"/>
        </w:rPr>
        <w:fldChar w:fldCharType="begin"/>
      </w:r>
      <w:r>
        <w:rPr>
          <w:szCs w:val="20"/>
        </w:rPr>
        <w:instrText xml:space="preserve"> TOC \o "1-1" \h \z \u </w:instrText>
      </w:r>
      <w:r>
        <w:rPr>
          <w:szCs w:val="20"/>
        </w:rPr>
        <w:fldChar w:fldCharType="separate"/>
      </w:r>
      <w:hyperlink w:anchor="_Toc517711595" w:history="1">
        <w:r w:rsidRPr="00FB40AB">
          <w:rPr>
            <w:rStyle w:val="Hyperlink"/>
            <w:noProof/>
          </w:rPr>
          <w:t>Article 2</w:t>
        </w:r>
        <w:r>
          <w:rPr>
            <w:noProof/>
            <w:webHidden/>
          </w:rPr>
          <w:tab/>
        </w:r>
        <w:r>
          <w:rPr>
            <w:noProof/>
            <w:webHidden/>
          </w:rPr>
          <w:fldChar w:fldCharType="begin"/>
        </w:r>
        <w:r>
          <w:rPr>
            <w:noProof/>
            <w:webHidden/>
          </w:rPr>
          <w:instrText xml:space="preserve"> PAGEREF _Toc517711595 \h </w:instrText>
        </w:r>
        <w:r>
          <w:rPr>
            <w:noProof/>
            <w:webHidden/>
          </w:rPr>
        </w:r>
        <w:r>
          <w:rPr>
            <w:noProof/>
            <w:webHidden/>
          </w:rPr>
          <w:fldChar w:fldCharType="separate"/>
        </w:r>
        <w:r w:rsidR="0031628D">
          <w:rPr>
            <w:noProof/>
            <w:webHidden/>
          </w:rPr>
          <w:t>2</w:t>
        </w:r>
        <w:r>
          <w:rPr>
            <w:noProof/>
            <w:webHidden/>
          </w:rPr>
          <w:fldChar w:fldCharType="end"/>
        </w:r>
      </w:hyperlink>
    </w:p>
    <w:p w:rsidR="00BA43BA" w:rsidRDefault="008B3F49">
      <w:pPr>
        <w:pStyle w:val="TOC1"/>
        <w:tabs>
          <w:tab w:val="right" w:leader="dot" w:pos="9016"/>
        </w:tabs>
        <w:rPr>
          <w:noProof/>
        </w:rPr>
      </w:pPr>
      <w:hyperlink w:anchor="_Toc517711596" w:history="1">
        <w:r w:rsidR="00BA43BA" w:rsidRPr="00FB40AB">
          <w:rPr>
            <w:rStyle w:val="Hyperlink"/>
            <w:noProof/>
          </w:rPr>
          <w:t>Article 10</w:t>
        </w:r>
        <w:r w:rsidR="00BA43BA">
          <w:rPr>
            <w:noProof/>
            <w:webHidden/>
          </w:rPr>
          <w:tab/>
        </w:r>
        <w:r w:rsidR="00BA43BA">
          <w:rPr>
            <w:noProof/>
            <w:webHidden/>
          </w:rPr>
          <w:fldChar w:fldCharType="begin"/>
        </w:r>
        <w:r w:rsidR="00BA43BA">
          <w:rPr>
            <w:noProof/>
            <w:webHidden/>
          </w:rPr>
          <w:instrText xml:space="preserve"> PAGEREF _Toc517711596 \h </w:instrText>
        </w:r>
        <w:r w:rsidR="00BA43BA">
          <w:rPr>
            <w:noProof/>
            <w:webHidden/>
          </w:rPr>
        </w:r>
        <w:r w:rsidR="00BA43BA">
          <w:rPr>
            <w:noProof/>
            <w:webHidden/>
          </w:rPr>
          <w:fldChar w:fldCharType="separate"/>
        </w:r>
        <w:r w:rsidR="0031628D">
          <w:rPr>
            <w:noProof/>
            <w:webHidden/>
          </w:rPr>
          <w:t>2</w:t>
        </w:r>
        <w:r w:rsidR="00BA43BA">
          <w:rPr>
            <w:noProof/>
            <w:webHidden/>
          </w:rPr>
          <w:fldChar w:fldCharType="end"/>
        </w:r>
      </w:hyperlink>
    </w:p>
    <w:p w:rsidR="00BA43BA" w:rsidRDefault="008B3F49">
      <w:pPr>
        <w:pStyle w:val="TOC1"/>
        <w:tabs>
          <w:tab w:val="right" w:leader="dot" w:pos="9016"/>
        </w:tabs>
        <w:rPr>
          <w:noProof/>
        </w:rPr>
      </w:pPr>
      <w:hyperlink w:anchor="_Toc517711597" w:history="1">
        <w:r w:rsidR="00BA43BA" w:rsidRPr="00FB40AB">
          <w:rPr>
            <w:rStyle w:val="Hyperlink"/>
            <w:noProof/>
          </w:rPr>
          <w:t>Article 11</w:t>
        </w:r>
        <w:r w:rsidR="00BA43BA">
          <w:rPr>
            <w:noProof/>
            <w:webHidden/>
          </w:rPr>
          <w:tab/>
        </w:r>
        <w:r w:rsidR="00BA43BA">
          <w:rPr>
            <w:noProof/>
            <w:webHidden/>
          </w:rPr>
          <w:fldChar w:fldCharType="begin"/>
        </w:r>
        <w:r w:rsidR="00BA43BA">
          <w:rPr>
            <w:noProof/>
            <w:webHidden/>
          </w:rPr>
          <w:instrText xml:space="preserve"> PAGEREF _Toc517711597 \h </w:instrText>
        </w:r>
        <w:r w:rsidR="00BA43BA">
          <w:rPr>
            <w:noProof/>
            <w:webHidden/>
          </w:rPr>
        </w:r>
        <w:r w:rsidR="00BA43BA">
          <w:rPr>
            <w:noProof/>
            <w:webHidden/>
          </w:rPr>
          <w:fldChar w:fldCharType="separate"/>
        </w:r>
        <w:r w:rsidR="0031628D">
          <w:rPr>
            <w:noProof/>
            <w:webHidden/>
          </w:rPr>
          <w:t>3</w:t>
        </w:r>
        <w:r w:rsidR="00BA43BA">
          <w:rPr>
            <w:noProof/>
            <w:webHidden/>
          </w:rPr>
          <w:fldChar w:fldCharType="end"/>
        </w:r>
      </w:hyperlink>
    </w:p>
    <w:p w:rsidR="00BA43BA" w:rsidRDefault="008B3F49">
      <w:pPr>
        <w:pStyle w:val="TOC1"/>
        <w:tabs>
          <w:tab w:val="right" w:leader="dot" w:pos="9016"/>
        </w:tabs>
        <w:rPr>
          <w:noProof/>
        </w:rPr>
      </w:pPr>
      <w:hyperlink w:anchor="_Toc517711598" w:history="1">
        <w:r w:rsidR="00BA43BA" w:rsidRPr="00FB40AB">
          <w:rPr>
            <w:rStyle w:val="Hyperlink"/>
            <w:noProof/>
          </w:rPr>
          <w:t>Article 15</w:t>
        </w:r>
        <w:r w:rsidR="00BA43BA">
          <w:rPr>
            <w:noProof/>
            <w:webHidden/>
          </w:rPr>
          <w:tab/>
        </w:r>
        <w:r w:rsidR="00BA43BA">
          <w:rPr>
            <w:noProof/>
            <w:webHidden/>
          </w:rPr>
          <w:fldChar w:fldCharType="begin"/>
        </w:r>
        <w:r w:rsidR="00BA43BA">
          <w:rPr>
            <w:noProof/>
            <w:webHidden/>
          </w:rPr>
          <w:instrText xml:space="preserve"> PAGEREF _Toc517711598 \h </w:instrText>
        </w:r>
        <w:r w:rsidR="00BA43BA">
          <w:rPr>
            <w:noProof/>
            <w:webHidden/>
          </w:rPr>
        </w:r>
        <w:r w:rsidR="00BA43BA">
          <w:rPr>
            <w:noProof/>
            <w:webHidden/>
          </w:rPr>
          <w:fldChar w:fldCharType="separate"/>
        </w:r>
        <w:r w:rsidR="0031628D">
          <w:rPr>
            <w:noProof/>
            <w:webHidden/>
          </w:rPr>
          <w:t>4</w:t>
        </w:r>
        <w:r w:rsidR="00BA43BA">
          <w:rPr>
            <w:noProof/>
            <w:webHidden/>
          </w:rPr>
          <w:fldChar w:fldCharType="end"/>
        </w:r>
      </w:hyperlink>
    </w:p>
    <w:p w:rsidR="00BA43BA" w:rsidRDefault="008B3F49">
      <w:pPr>
        <w:pStyle w:val="TOC1"/>
        <w:tabs>
          <w:tab w:val="right" w:leader="dot" w:pos="9016"/>
        </w:tabs>
        <w:rPr>
          <w:noProof/>
        </w:rPr>
      </w:pPr>
      <w:hyperlink w:anchor="_Toc517711599" w:history="1">
        <w:r w:rsidR="00BA43BA" w:rsidRPr="00FB40AB">
          <w:rPr>
            <w:rStyle w:val="Hyperlink"/>
            <w:noProof/>
          </w:rPr>
          <w:t>Article 16</w:t>
        </w:r>
        <w:r w:rsidR="00BA43BA">
          <w:rPr>
            <w:noProof/>
            <w:webHidden/>
          </w:rPr>
          <w:tab/>
        </w:r>
        <w:r w:rsidR="00BA43BA">
          <w:rPr>
            <w:noProof/>
            <w:webHidden/>
          </w:rPr>
          <w:fldChar w:fldCharType="begin"/>
        </w:r>
        <w:r w:rsidR="00BA43BA">
          <w:rPr>
            <w:noProof/>
            <w:webHidden/>
          </w:rPr>
          <w:instrText xml:space="preserve"> PAGEREF _Toc517711599 \h </w:instrText>
        </w:r>
        <w:r w:rsidR="00BA43BA">
          <w:rPr>
            <w:noProof/>
            <w:webHidden/>
          </w:rPr>
        </w:r>
        <w:r w:rsidR="00BA43BA">
          <w:rPr>
            <w:noProof/>
            <w:webHidden/>
          </w:rPr>
          <w:fldChar w:fldCharType="separate"/>
        </w:r>
        <w:r w:rsidR="0031628D">
          <w:rPr>
            <w:noProof/>
            <w:webHidden/>
          </w:rPr>
          <w:t>4</w:t>
        </w:r>
        <w:r w:rsidR="00BA43BA">
          <w:rPr>
            <w:noProof/>
            <w:webHidden/>
          </w:rPr>
          <w:fldChar w:fldCharType="end"/>
        </w:r>
      </w:hyperlink>
    </w:p>
    <w:p w:rsidR="00BA43BA" w:rsidRDefault="00BA43BA" w:rsidP="00BA687B">
      <w:pPr>
        <w:rPr>
          <w:szCs w:val="20"/>
        </w:rPr>
      </w:pPr>
      <w:r>
        <w:rPr>
          <w:szCs w:val="20"/>
        </w:rPr>
        <w:fldChar w:fldCharType="end"/>
      </w:r>
    </w:p>
    <w:p w:rsidR="00BA43BA" w:rsidRDefault="00BA43BA" w:rsidP="00BA43BA">
      <w:pPr>
        <w:sectPr w:rsidR="00BA43BA" w:rsidSect="007B2FB9">
          <w:headerReference w:type="default" r:id="rId8"/>
          <w:footerReference w:type="default" r:id="rId9"/>
          <w:pgSz w:w="11906" w:h="16838"/>
          <w:pgMar w:top="1440" w:right="1440" w:bottom="1440" w:left="1440" w:header="709" w:footer="709" w:gutter="0"/>
          <w:cols w:space="708"/>
          <w:docGrid w:linePitch="360"/>
        </w:sectPr>
      </w:pPr>
    </w:p>
    <w:p w:rsidR="00BA687B" w:rsidRDefault="00BA687B" w:rsidP="00BA687B"/>
    <w:p w:rsidR="00BA687B" w:rsidRPr="00BA687B" w:rsidRDefault="00BA687B" w:rsidP="00BA687B">
      <w:pPr>
        <w:pStyle w:val="Heading1"/>
      </w:pPr>
      <w:bookmarkStart w:id="0" w:name="_Toc517711595"/>
      <w:r w:rsidRPr="00BA687B">
        <w:t>Article 2</w:t>
      </w:r>
      <w:bookmarkEnd w:id="0"/>
    </w:p>
    <w:p w:rsidR="00BA687B" w:rsidRDefault="00BA687B" w:rsidP="00BA687B">
      <w:pPr>
        <w:pStyle w:val="ListParagraph"/>
        <w:numPr>
          <w:ilvl w:val="0"/>
          <w:numId w:val="7"/>
        </w:numPr>
        <w:spacing w:before="60"/>
      </w:pPr>
      <w:r>
        <w:t>Les personnes accusées de crimes passibles de la peine capitale sont régulièrement victimes de leurs droits procéduraux tout au long des procédures légales, ce qui, selon le Comité des droits de l’Homme peut constituer un traitement cruel, inhumain et dégradant, dès lors que la procédure aboutit à une condamnation à mort</w:t>
      </w:r>
      <w:r>
        <w:rPr>
          <w:rStyle w:val="FootnoteReference"/>
        </w:rPr>
        <w:footnoteReference w:id="1"/>
      </w:r>
      <w:r>
        <w:t>.</w:t>
      </w:r>
    </w:p>
    <w:p w:rsidR="00BA687B" w:rsidRDefault="00BA687B" w:rsidP="00BA687B">
      <w:pPr>
        <w:pStyle w:val="ListParagraph"/>
        <w:numPr>
          <w:ilvl w:val="1"/>
          <w:numId w:val="7"/>
        </w:numPr>
        <w:spacing w:before="60"/>
      </w:pPr>
      <w:r>
        <w:t xml:space="preserve">Les étrangers passibles de la peine de mort ne bénéficient le plus souvent pas des garanties qui leurs sont dues, en vertu de de la législation mauritanienne et des conventions internationales auxquelles la Mauritanie est partie. L’assistance consulaire </w:t>
      </w:r>
      <w:r w:rsidR="002608CC">
        <w:t xml:space="preserve">à laquelle </w:t>
      </w:r>
      <w:r>
        <w:t>ils peuvent prétendre en vertu de la Convention de Vienne leur est difficile d’accès, puisque les autorités consulaires concernées ne sont pas forcément notifiées, ou du moins pas dans le délai le plus rapide. De plus, bien que la loi leur garantisse une assistance légale adaptée et requiert l’accès à un interprète à toutes les étapes de la procédure, ces dispositions ne sont souvent pas respectées. Les avocats sont commis d’office à la barre, et ne disposent pas d’un délai raisonnable pour prendre connaissance du dossier et établir une défense adéquate. Les interprètes sont eux aussi choisis à la barre, sans vérification des compétences au préalable. Certains étrangers risquant la peine de mort se retrouvent alors régulièrement en présence d’un interprète ne parlant pas ou peu leur langue d’origine.</w:t>
      </w:r>
    </w:p>
    <w:p w:rsidR="00BA687B" w:rsidRDefault="00BA687B" w:rsidP="00BA687B">
      <w:pPr>
        <w:pStyle w:val="ListParagraph"/>
        <w:numPr>
          <w:ilvl w:val="1"/>
          <w:numId w:val="7"/>
        </w:numPr>
        <w:spacing w:before="60"/>
      </w:pPr>
      <w:r>
        <w:t>Les condamnés à mort font régulièrement face à des violations de leurs droits fondamentaux une fois leur sentence prononcée. La grande majorité sont détenus à la prison de Bir Moghreïn, à l’extrême nord du pays. Cette prison, située dans une région quasi-désertique et particulièrement dangereuse est extrêmement difficile d’accès pour les avocats et les proches des condamnés à mort</w:t>
      </w:r>
      <w:r w:rsidR="00BA43BA">
        <w:t>, ainsi que pour les organes de contrôle des lieux de détention</w:t>
      </w:r>
      <w:r>
        <w:t xml:space="preserve">. </w:t>
      </w:r>
      <w:r w:rsidR="003A4F0A">
        <w:t>D</w:t>
      </w:r>
      <w:r>
        <w:t xml:space="preserve">e nombreux détenus des prisons de Nouakchott, dont des condamnés à mort, ont </w:t>
      </w:r>
      <w:r w:rsidR="003A4F0A">
        <w:t xml:space="preserve">récemment </w:t>
      </w:r>
      <w:r>
        <w:t>été transférés à Bir Moghreïn, sans information préalable de leurs avocats et de leurs familles.</w:t>
      </w:r>
    </w:p>
    <w:p w:rsidR="00BA687B" w:rsidRDefault="00BA687B" w:rsidP="00BA687B">
      <w:pPr>
        <w:pStyle w:val="ListParagraph"/>
        <w:numPr>
          <w:ilvl w:val="1"/>
          <w:numId w:val="7"/>
        </w:numPr>
        <w:spacing w:before="60"/>
      </w:pPr>
      <w:r>
        <w:t xml:space="preserve">Mohamed Mkhaïtir, blogueur condamné à mort pour apostasie en 2014, a vu sa sentence réduite en novembre 2017 à deux ans de prison et une amende. Libérable immédiatement, il demeure détenu par les autorités mauritaniennes, sans motif valide (aucune notification n’a été faites ni à ses avocats, ni aux autorités judiciaires compétentes) et dans des circonstances inconnues. Selon plusieurs sources, son état de santé se serait sérieusement dégradé ces dernières semaines, sans </w:t>
      </w:r>
      <w:r w:rsidR="00AE156E">
        <w:t>que nous ne puissions obtenir des informations fiables sur son</w:t>
      </w:r>
      <w:r>
        <w:t xml:space="preserve"> accès à des soins adaptés.</w:t>
      </w:r>
    </w:p>
    <w:p w:rsidR="00962ADD" w:rsidRDefault="00962ADD" w:rsidP="00962ADD">
      <w:pPr>
        <w:pStyle w:val="List2"/>
        <w:numPr>
          <w:ilvl w:val="0"/>
          <w:numId w:val="0"/>
        </w:numPr>
        <w:spacing w:before="60"/>
        <w:ind w:left="568" w:hanging="284"/>
      </w:pPr>
    </w:p>
    <w:p w:rsidR="00962ADD" w:rsidRPr="00CC7F10" w:rsidRDefault="00962ADD" w:rsidP="00962ADD">
      <w:pPr>
        <w:rPr>
          <w:b/>
          <w:i/>
          <w:color w:val="365F91" w:themeColor="accent1" w:themeShade="BF"/>
        </w:rPr>
      </w:pPr>
      <w:r w:rsidRPr="00CC7F10">
        <w:rPr>
          <w:b/>
          <w:i/>
          <w:color w:val="365F91" w:themeColor="accent1" w:themeShade="BF"/>
        </w:rPr>
        <w:t>Recommandations :</w:t>
      </w:r>
    </w:p>
    <w:p w:rsidR="00962ADD" w:rsidRDefault="00962ADD" w:rsidP="00962ADD">
      <w:pPr>
        <w:pStyle w:val="List"/>
        <w:tabs>
          <w:tab w:val="clear" w:pos="284"/>
        </w:tabs>
        <w:rPr>
          <w:b/>
          <w:i/>
          <w:color w:val="365F91" w:themeColor="accent1" w:themeShade="BF"/>
        </w:rPr>
      </w:pPr>
      <w:r w:rsidRPr="00CC7F10">
        <w:rPr>
          <w:b/>
          <w:i/>
          <w:color w:val="365F91" w:themeColor="accent1" w:themeShade="BF"/>
        </w:rPr>
        <w:t>Mettre en œuvre les Garanties pour la protection des droits des personnes passibles de la peine de mort approuvées par le Conseil économique et social dans sa résolution 1984/50 du 25 mai 1984 ;</w:t>
      </w:r>
    </w:p>
    <w:p w:rsidR="00962ADD" w:rsidRDefault="00962ADD" w:rsidP="00962ADD">
      <w:pPr>
        <w:pStyle w:val="List"/>
        <w:tabs>
          <w:tab w:val="clear" w:pos="284"/>
        </w:tabs>
        <w:rPr>
          <w:b/>
          <w:i/>
          <w:color w:val="365F91" w:themeColor="accent1" w:themeShade="BF"/>
        </w:rPr>
      </w:pPr>
      <w:r>
        <w:rPr>
          <w:b/>
          <w:i/>
          <w:color w:val="365F91" w:themeColor="accent1" w:themeShade="BF"/>
        </w:rPr>
        <w:t>Mettre en œuvre des mesures pour garantir le respect des droits procéduraux des ressortissants étrangers risquant la peine de mort ;</w:t>
      </w:r>
    </w:p>
    <w:p w:rsidR="00962ADD" w:rsidRPr="00962ADD" w:rsidRDefault="00962ADD" w:rsidP="00962ADD">
      <w:pPr>
        <w:pStyle w:val="List"/>
        <w:numPr>
          <w:ilvl w:val="0"/>
          <w:numId w:val="0"/>
        </w:numPr>
        <w:rPr>
          <w:b/>
          <w:i/>
          <w:color w:val="365F91" w:themeColor="accent1" w:themeShade="BF"/>
        </w:rPr>
      </w:pPr>
    </w:p>
    <w:p w:rsidR="00BA687B" w:rsidRDefault="00BA687B" w:rsidP="00BA687B"/>
    <w:p w:rsidR="00BA687B" w:rsidRDefault="00BA687B" w:rsidP="00BA687B">
      <w:pPr>
        <w:pStyle w:val="Heading1"/>
      </w:pPr>
      <w:bookmarkStart w:id="1" w:name="_Toc517711596"/>
      <w:r>
        <w:t>Article 10</w:t>
      </w:r>
      <w:bookmarkEnd w:id="1"/>
    </w:p>
    <w:p w:rsidR="00BA687B" w:rsidRDefault="00BA687B" w:rsidP="00BA687B">
      <w:pPr>
        <w:pStyle w:val="ListParagraph"/>
        <w:numPr>
          <w:ilvl w:val="0"/>
          <w:numId w:val="7"/>
        </w:numPr>
        <w:spacing w:before="60"/>
      </w:pPr>
      <w:r>
        <w:t xml:space="preserve">Malgré un moratoire de fait en vigueur depuis 1987, des condamnations à mort continuent d’être prononcées régulièrement. Les avocats, magistrats et les personnels pénitentiaires sont très peu sensibilisés sur les dispositions concernant la peine capitale dans le Code de procédure pénale, ainsi </w:t>
      </w:r>
      <w:r>
        <w:lastRenderedPageBreak/>
        <w:t>que sur les textes internationaux portant sur le traitement des détenus, particulièrement les condamnés à mort, notamment les Garanties pour la protection des personnes passibles de la peine de mort</w:t>
      </w:r>
      <w:r>
        <w:rPr>
          <w:rStyle w:val="FootnoteReference"/>
        </w:rPr>
        <w:footnoteReference w:id="2"/>
      </w:r>
      <w:r>
        <w:t xml:space="preserve"> et les Règles Nelson Mandela pour le traitement des détenus</w:t>
      </w:r>
      <w:r>
        <w:rPr>
          <w:rStyle w:val="FootnoteReference"/>
        </w:rPr>
        <w:footnoteReference w:id="3"/>
      </w:r>
      <w:r>
        <w:t>. Cette absence de sensibilisation concerne également les problématiques plus générales liées à la peine de mort, tels que les conditions de détention ou encore l’impact de la peine capitale sur l’état physique et psychologique des condamnés à mort.</w:t>
      </w:r>
    </w:p>
    <w:p w:rsidR="00962ADD" w:rsidRDefault="00962ADD" w:rsidP="00962ADD">
      <w:pPr>
        <w:spacing w:before="60"/>
      </w:pPr>
    </w:p>
    <w:p w:rsidR="00962ADD" w:rsidRPr="00962ADD" w:rsidRDefault="00962ADD" w:rsidP="00962ADD">
      <w:pPr>
        <w:rPr>
          <w:b/>
          <w:i/>
          <w:color w:val="365F91" w:themeColor="accent1" w:themeShade="BF"/>
        </w:rPr>
      </w:pPr>
      <w:r w:rsidRPr="00962ADD">
        <w:rPr>
          <w:b/>
          <w:i/>
          <w:color w:val="365F91" w:themeColor="accent1" w:themeShade="BF"/>
        </w:rPr>
        <w:t>Recommandations :</w:t>
      </w:r>
    </w:p>
    <w:p w:rsidR="00962ADD" w:rsidRDefault="00962ADD" w:rsidP="00962ADD">
      <w:pPr>
        <w:pStyle w:val="List"/>
        <w:rPr>
          <w:b/>
          <w:i/>
          <w:color w:val="365F91" w:themeColor="accent1" w:themeShade="BF"/>
        </w:rPr>
      </w:pPr>
      <w:r w:rsidRPr="00962ADD">
        <w:rPr>
          <w:b/>
          <w:i/>
          <w:color w:val="365F91" w:themeColor="accent1" w:themeShade="BF"/>
        </w:rPr>
        <w:t>Garantir le respect des instruments internationaux relatifs au traitement des détenus, notamment en sensibilisant les magistrats, particulièrement sur les problématiques propres aux condamnés à mort ;</w:t>
      </w:r>
    </w:p>
    <w:p w:rsidR="00962ADD" w:rsidRPr="00962ADD" w:rsidRDefault="00962ADD" w:rsidP="00962ADD">
      <w:pPr>
        <w:pStyle w:val="List"/>
        <w:tabs>
          <w:tab w:val="clear" w:pos="284"/>
        </w:tabs>
        <w:rPr>
          <w:b/>
          <w:i/>
          <w:color w:val="365F91" w:themeColor="accent1" w:themeShade="BF"/>
        </w:rPr>
      </w:pPr>
      <w:r w:rsidRPr="00962ADD">
        <w:rPr>
          <w:b/>
          <w:i/>
          <w:color w:val="365F91" w:themeColor="accent1" w:themeShade="BF"/>
        </w:rPr>
        <w:t>Diminuer le nombre de condamnations à mort, notamment en sensibilisant les magistrats sur le moratoire de fait ;</w:t>
      </w:r>
    </w:p>
    <w:p w:rsidR="00962ADD" w:rsidRDefault="00962ADD" w:rsidP="00962ADD">
      <w:pPr>
        <w:spacing w:before="60"/>
      </w:pPr>
    </w:p>
    <w:p w:rsidR="00BA687B" w:rsidRDefault="00BA687B" w:rsidP="00BA687B"/>
    <w:p w:rsidR="00BA687B" w:rsidRDefault="00BA687B" w:rsidP="00BA687B">
      <w:pPr>
        <w:pStyle w:val="Heading1"/>
      </w:pPr>
      <w:bookmarkStart w:id="2" w:name="_Toc517711597"/>
      <w:r>
        <w:t>Article 11</w:t>
      </w:r>
      <w:bookmarkEnd w:id="2"/>
    </w:p>
    <w:p w:rsidR="00BA687B" w:rsidRDefault="00BA687B" w:rsidP="00BA687B">
      <w:pPr>
        <w:pStyle w:val="ListParagraph"/>
        <w:numPr>
          <w:ilvl w:val="0"/>
          <w:numId w:val="7"/>
        </w:numPr>
        <w:spacing w:before="60"/>
      </w:pPr>
      <w:r>
        <w:t>Du fait d’un manque de transparence des autorités mauritaniennes sur le sujet, il est très difficile d’avoir accès à des données fiables sur l’application de la peine de mort dans le pays, et par conséquent sur les condamnés à mort, telles que leur nombre, leurs lieux et conditions de détention.</w:t>
      </w:r>
    </w:p>
    <w:p w:rsidR="00BA687B" w:rsidRDefault="00BA687B" w:rsidP="00BA687B">
      <w:pPr>
        <w:pStyle w:val="ListParagraph"/>
        <w:numPr>
          <w:ilvl w:val="0"/>
          <w:numId w:val="7"/>
        </w:numPr>
        <w:spacing w:before="60"/>
      </w:pPr>
      <w:r>
        <w:t>D’après la législation mauritanienne</w:t>
      </w:r>
      <w:r>
        <w:rPr>
          <w:rStyle w:val="FootnoteReference"/>
        </w:rPr>
        <w:footnoteReference w:id="4"/>
      </w:r>
      <w:r>
        <w:t>, les condamnés à mort sont soumis au régime commun des autres détenus, à l’exception du fait qu’ils sont gardés dans des cellules individuelles spéciales et sous constante surveillance du personnel pénitentiaire.</w:t>
      </w:r>
    </w:p>
    <w:p w:rsidR="00BA687B" w:rsidRDefault="00BA687B" w:rsidP="00BA687B">
      <w:pPr>
        <w:pStyle w:val="ListParagraph"/>
        <w:numPr>
          <w:ilvl w:val="0"/>
          <w:numId w:val="7"/>
        </w:numPr>
        <w:spacing w:before="60"/>
      </w:pPr>
      <w:r>
        <w:t>La législation mauritanienne prévoit la possibilité de visites de contrôle des établissements pénitentiaires par un certain nombre d’organes de contrôle</w:t>
      </w:r>
      <w:r>
        <w:rPr>
          <w:rStyle w:val="FootnoteReference"/>
        </w:rPr>
        <w:footnoteReference w:id="5"/>
      </w:r>
      <w:r>
        <w:t>, la CNDH et les organisations de la société civile. Néanmoins, dans la pratique, la CNDH ne conduit que très peu ces visites, du fait d’un manque de moyens prévus à cet effet. De plus, si quelques organisations de la société civile ont la possibilité de se rendre dans les prisons, l’accès aux condamnés à mort est beaucoup plus compliqué, les demandes d’autorisation portant sur la visite des condamnés à la peine capitale restant sans réponse. L’éloignement des condamnés à mort vers la prison de Bir Moghreïn (cf. paragraphe 1b) rend leur visite par les différents acteurs particulièrement difficile.</w:t>
      </w:r>
    </w:p>
    <w:p w:rsidR="00BA687B" w:rsidRDefault="00BA687B" w:rsidP="00BA687B"/>
    <w:p w:rsidR="00962ADD" w:rsidRPr="00962ADD" w:rsidRDefault="00962ADD" w:rsidP="00BA687B">
      <w:pPr>
        <w:rPr>
          <w:b/>
          <w:i/>
          <w:color w:val="365F91" w:themeColor="accent1" w:themeShade="BF"/>
        </w:rPr>
      </w:pPr>
      <w:bookmarkStart w:id="3" w:name="_GoBack"/>
      <w:bookmarkEnd w:id="3"/>
      <w:r w:rsidRPr="00962ADD">
        <w:rPr>
          <w:b/>
          <w:i/>
          <w:color w:val="365F91" w:themeColor="accent1" w:themeShade="BF"/>
        </w:rPr>
        <w:t>Recommandations :</w:t>
      </w:r>
    </w:p>
    <w:p w:rsidR="00962ADD" w:rsidRPr="00962ADD" w:rsidRDefault="00962ADD" w:rsidP="00962ADD">
      <w:pPr>
        <w:pStyle w:val="List"/>
        <w:tabs>
          <w:tab w:val="clear" w:pos="284"/>
        </w:tabs>
        <w:rPr>
          <w:b/>
          <w:i/>
          <w:color w:val="365F91" w:themeColor="accent1" w:themeShade="BF"/>
        </w:rPr>
      </w:pPr>
      <w:r w:rsidRPr="00962ADD">
        <w:rPr>
          <w:b/>
          <w:i/>
          <w:color w:val="365F91" w:themeColor="accent1" w:themeShade="BF"/>
        </w:rPr>
        <w:t>Communiquer des données ventilées sur le nombre de condamnés à mort par année, par juridiction</w:t>
      </w:r>
      <w:r>
        <w:rPr>
          <w:b/>
          <w:i/>
          <w:color w:val="365F91" w:themeColor="accent1" w:themeShade="BF"/>
        </w:rPr>
        <w:t>,</w:t>
      </w:r>
      <w:r w:rsidRPr="00962ADD">
        <w:rPr>
          <w:b/>
          <w:i/>
          <w:color w:val="365F91" w:themeColor="accent1" w:themeShade="BF"/>
        </w:rPr>
        <w:t xml:space="preserve"> ainsi que le nombre de détenus condamnés à mort, leur âge, leur sexe, les lieux de détention des condamnés à mort, etc.</w:t>
      </w:r>
    </w:p>
    <w:p w:rsidR="00962ADD" w:rsidRDefault="00962ADD" w:rsidP="00962ADD">
      <w:pPr>
        <w:pStyle w:val="List"/>
        <w:tabs>
          <w:tab w:val="clear" w:pos="284"/>
        </w:tabs>
        <w:rPr>
          <w:b/>
          <w:i/>
          <w:color w:val="365F91" w:themeColor="accent1" w:themeShade="BF"/>
        </w:rPr>
      </w:pPr>
      <w:r w:rsidRPr="00962ADD">
        <w:rPr>
          <w:b/>
          <w:i/>
          <w:color w:val="365F91" w:themeColor="accent1" w:themeShade="BF"/>
        </w:rPr>
        <w:t xml:space="preserve">Mettre toutes les mesures en œuvre afin que le CNDH effectue des visites de prison et des entretiens avec le personnel pénitentiaire, les détenus et les condamnés à mort conformément à son mandat et soumette des rapports </w:t>
      </w:r>
      <w:r w:rsidR="00BA43BA" w:rsidRPr="00962ADD">
        <w:rPr>
          <w:b/>
          <w:i/>
          <w:color w:val="365F91" w:themeColor="accent1" w:themeShade="BF"/>
        </w:rPr>
        <w:t>suite à ces visites</w:t>
      </w:r>
      <w:r w:rsidR="00BA43BA">
        <w:rPr>
          <w:b/>
          <w:i/>
          <w:color w:val="365F91" w:themeColor="accent1" w:themeShade="BF"/>
        </w:rPr>
        <w:t>,</w:t>
      </w:r>
      <w:r w:rsidR="00BA43BA" w:rsidRPr="00962ADD">
        <w:rPr>
          <w:b/>
          <w:i/>
          <w:color w:val="365F91" w:themeColor="accent1" w:themeShade="BF"/>
        </w:rPr>
        <w:t xml:space="preserve">  </w:t>
      </w:r>
      <w:r w:rsidRPr="00962ADD">
        <w:rPr>
          <w:b/>
          <w:i/>
          <w:color w:val="365F91" w:themeColor="accent1" w:themeShade="BF"/>
        </w:rPr>
        <w:t>notamment aux autorités;</w:t>
      </w:r>
    </w:p>
    <w:p w:rsidR="00962ADD" w:rsidRPr="00962ADD" w:rsidRDefault="00962ADD" w:rsidP="00962ADD">
      <w:pPr>
        <w:pStyle w:val="List"/>
        <w:tabs>
          <w:tab w:val="clear" w:pos="284"/>
        </w:tabs>
        <w:rPr>
          <w:b/>
          <w:i/>
          <w:color w:val="365F91" w:themeColor="accent1" w:themeShade="BF"/>
        </w:rPr>
      </w:pPr>
      <w:r>
        <w:rPr>
          <w:b/>
          <w:i/>
          <w:color w:val="365F91" w:themeColor="accent1" w:themeShade="BF"/>
        </w:rPr>
        <w:t xml:space="preserve">Mettre toutes les mesures en œuvre pour </w:t>
      </w:r>
      <w:r w:rsidR="00BA43BA">
        <w:rPr>
          <w:b/>
          <w:i/>
          <w:color w:val="365F91" w:themeColor="accent1" w:themeShade="BF"/>
        </w:rPr>
        <w:t>faciliter l’</w:t>
      </w:r>
      <w:r>
        <w:rPr>
          <w:b/>
          <w:i/>
          <w:color w:val="365F91" w:themeColor="accent1" w:themeShade="BF"/>
        </w:rPr>
        <w:t>accès</w:t>
      </w:r>
      <w:r w:rsidR="00BA43BA">
        <w:rPr>
          <w:b/>
          <w:i/>
          <w:color w:val="365F91" w:themeColor="accent1" w:themeShade="BF"/>
        </w:rPr>
        <w:t xml:space="preserve"> des organisations de la société civile</w:t>
      </w:r>
      <w:r>
        <w:rPr>
          <w:b/>
          <w:i/>
          <w:color w:val="365F91" w:themeColor="accent1" w:themeShade="BF"/>
        </w:rPr>
        <w:t xml:space="preserve"> aux lieux de détention, y compris aux condamnés à mort ;</w:t>
      </w:r>
    </w:p>
    <w:p w:rsidR="00962ADD" w:rsidRDefault="00962ADD" w:rsidP="00BA687B"/>
    <w:p w:rsidR="00962ADD" w:rsidRDefault="00962ADD" w:rsidP="00BA687B"/>
    <w:p w:rsidR="00BA687B" w:rsidRDefault="00BA687B" w:rsidP="00BA687B">
      <w:pPr>
        <w:pStyle w:val="Heading1"/>
      </w:pPr>
      <w:bookmarkStart w:id="4" w:name="_Toc517711598"/>
      <w:r>
        <w:t>Article 15</w:t>
      </w:r>
      <w:bookmarkEnd w:id="4"/>
    </w:p>
    <w:p w:rsidR="00BA687B" w:rsidRDefault="00BA687B" w:rsidP="00BA687B">
      <w:pPr>
        <w:pStyle w:val="ListParagraph"/>
        <w:numPr>
          <w:ilvl w:val="0"/>
          <w:numId w:val="7"/>
        </w:numPr>
        <w:spacing w:before="60"/>
      </w:pPr>
      <w:r>
        <w:t>De nombreuses condamnations à mort sont prononcées sur la base d’aveux obtenus sous la torture ou autres traitements cruels, inhumains ou dégradants, malgré l’interdiction de leur utilisation par la législation mauritanienne.</w:t>
      </w:r>
    </w:p>
    <w:p w:rsidR="00962ADD" w:rsidRDefault="00962ADD" w:rsidP="00962ADD">
      <w:pPr>
        <w:spacing w:before="60"/>
      </w:pPr>
    </w:p>
    <w:p w:rsidR="00962ADD" w:rsidRPr="00962ADD" w:rsidRDefault="00962ADD" w:rsidP="00962ADD">
      <w:pPr>
        <w:spacing w:before="60"/>
        <w:rPr>
          <w:b/>
          <w:i/>
          <w:color w:val="365F91" w:themeColor="accent1" w:themeShade="BF"/>
        </w:rPr>
      </w:pPr>
      <w:r w:rsidRPr="00962ADD">
        <w:rPr>
          <w:b/>
          <w:i/>
          <w:color w:val="365F91" w:themeColor="accent1" w:themeShade="BF"/>
        </w:rPr>
        <w:t>Recommandations :</w:t>
      </w:r>
    </w:p>
    <w:p w:rsidR="00962ADD" w:rsidRDefault="00962ADD" w:rsidP="00962ADD">
      <w:pPr>
        <w:pStyle w:val="List"/>
        <w:tabs>
          <w:tab w:val="clear" w:pos="284"/>
        </w:tabs>
        <w:rPr>
          <w:b/>
          <w:i/>
          <w:color w:val="365F91" w:themeColor="accent1" w:themeShade="BF"/>
        </w:rPr>
      </w:pPr>
      <w:r>
        <w:rPr>
          <w:b/>
          <w:i/>
          <w:color w:val="365F91" w:themeColor="accent1" w:themeShade="BF"/>
        </w:rPr>
        <w:t>Mettre en œuvre des mesures supplémentaires et s</w:t>
      </w:r>
      <w:r w:rsidRPr="00CC7F10">
        <w:rPr>
          <w:b/>
          <w:i/>
          <w:color w:val="365F91" w:themeColor="accent1" w:themeShade="BF"/>
        </w:rPr>
        <w:t xml:space="preserve">ensibiliser les magistrats afin </w:t>
      </w:r>
      <w:r>
        <w:rPr>
          <w:b/>
          <w:i/>
          <w:color w:val="365F91" w:themeColor="accent1" w:themeShade="BF"/>
        </w:rPr>
        <w:t xml:space="preserve">de garantir </w:t>
      </w:r>
      <w:r w:rsidRPr="00CC7F10">
        <w:rPr>
          <w:b/>
          <w:i/>
          <w:color w:val="365F91" w:themeColor="accent1" w:themeShade="BF"/>
        </w:rPr>
        <w:t xml:space="preserve">que les preuves obtenues </w:t>
      </w:r>
      <w:r>
        <w:rPr>
          <w:b/>
          <w:i/>
          <w:color w:val="365F91" w:themeColor="accent1" w:themeShade="BF"/>
        </w:rPr>
        <w:t xml:space="preserve">sous la torture soient exclues </w:t>
      </w:r>
      <w:r w:rsidRPr="00CC7F10">
        <w:rPr>
          <w:b/>
          <w:i/>
          <w:color w:val="365F91" w:themeColor="accent1" w:themeShade="BF"/>
        </w:rPr>
        <w:t>des procès</w:t>
      </w:r>
      <w:r>
        <w:rPr>
          <w:b/>
          <w:i/>
          <w:color w:val="365F91" w:themeColor="accent1" w:themeShade="BF"/>
        </w:rPr>
        <w:t>,</w:t>
      </w:r>
      <w:r w:rsidRPr="00CC7F10">
        <w:rPr>
          <w:b/>
          <w:i/>
          <w:color w:val="365F91" w:themeColor="accent1" w:themeShade="BF"/>
        </w:rPr>
        <w:t xml:space="preserve"> </w:t>
      </w:r>
      <w:r>
        <w:rPr>
          <w:b/>
          <w:i/>
          <w:color w:val="365F91" w:themeColor="accent1" w:themeShade="BF"/>
        </w:rPr>
        <w:t>notamment</w:t>
      </w:r>
      <w:r w:rsidRPr="00CC7F10">
        <w:rPr>
          <w:b/>
          <w:i/>
          <w:color w:val="365F91" w:themeColor="accent1" w:themeShade="BF"/>
        </w:rPr>
        <w:t xml:space="preserve"> lors des procès </w:t>
      </w:r>
      <w:r>
        <w:rPr>
          <w:b/>
          <w:i/>
          <w:color w:val="365F91" w:themeColor="accent1" w:themeShade="BF"/>
        </w:rPr>
        <w:t>pouvant aboutir</w:t>
      </w:r>
      <w:r w:rsidRPr="00CC7F10">
        <w:rPr>
          <w:b/>
          <w:i/>
          <w:color w:val="365F91" w:themeColor="accent1" w:themeShade="BF"/>
        </w:rPr>
        <w:t xml:space="preserve"> à des condamnations à mort ;</w:t>
      </w:r>
    </w:p>
    <w:p w:rsidR="00BA687B" w:rsidRDefault="00BA687B" w:rsidP="00BA687B"/>
    <w:p w:rsidR="00BA687B" w:rsidRDefault="00BA687B" w:rsidP="00BA687B">
      <w:pPr>
        <w:pStyle w:val="Heading1"/>
      </w:pPr>
      <w:bookmarkStart w:id="5" w:name="_Toc517711599"/>
      <w:r>
        <w:t>Article 16</w:t>
      </w:r>
      <w:bookmarkEnd w:id="5"/>
    </w:p>
    <w:p w:rsidR="00BA687B" w:rsidRDefault="00BA687B" w:rsidP="00BA687B">
      <w:pPr>
        <w:pStyle w:val="ListParagraph"/>
        <w:numPr>
          <w:ilvl w:val="0"/>
          <w:numId w:val="7"/>
        </w:numPr>
        <w:spacing w:before="60"/>
      </w:pPr>
      <w:r>
        <w:t xml:space="preserve">La Mauritanie est en moratoire de fait depuis 1987. Si les autorités mauritaniennes ont annoncé qu’il n’y avait eu aucune condamnation à mort en 2015 et en 2016, plusieurs sources locales nous ont fait part du fait que la peine capitale continue d’être régulièrement prononcée par les magistrats mauritaniens. Ainsi, il y aurait eu plusieurs condamnations à mort en 2017 et 2018, et au moins 79 condamnés à mort seraient actuellement détenus dans les prisons mauritaniennes en 2018. Parmi ces condamnés, on peut compter au moins une dizaine de ressortissants étrangers, dont les droits procéduraux sont peu respectés (cf. paragr. 1a), et au moins deux femmes. </w:t>
      </w:r>
    </w:p>
    <w:p w:rsidR="00BA687B" w:rsidRDefault="00BA687B" w:rsidP="00BA687B">
      <w:pPr>
        <w:pStyle w:val="ListParagraph"/>
        <w:numPr>
          <w:ilvl w:val="0"/>
          <w:numId w:val="7"/>
        </w:numPr>
        <w:spacing w:before="60"/>
      </w:pPr>
      <w:r>
        <w:t>Cette situation de moratoire de fait est non seulement très instable, mais peut également être assimilable à de la torture</w:t>
      </w:r>
      <w:r w:rsidRPr="00C60608">
        <w:rPr>
          <w:vertAlign w:val="superscript"/>
        </w:rPr>
        <w:footnoteReference w:id="6"/>
      </w:r>
      <w:r w:rsidRPr="00C60608">
        <w:t>, comme l’ont affirmé plusieurs institutions tels que le Comité des droits de l’Homme, le Comité contre la torture ou encore le Rapporteur spécial sur la torture et autres traitements cruels, inhumains et dégradants</w:t>
      </w:r>
      <w:r w:rsidRPr="00C60608">
        <w:rPr>
          <w:vertAlign w:val="superscript"/>
        </w:rPr>
        <w:footnoteReference w:id="7"/>
      </w:r>
      <w:r w:rsidRPr="00C60608">
        <w:t xml:space="preserve">. En </w:t>
      </w:r>
      <w:r>
        <w:t>Mauritanie</w:t>
      </w:r>
      <w:r w:rsidRPr="00C60608">
        <w:t xml:space="preserve">, parmi d’autres aspects, </w:t>
      </w:r>
      <w:r>
        <w:t>la condamnation à mort résultant d’un procès inéquitable</w:t>
      </w:r>
      <w:r>
        <w:rPr>
          <w:rStyle w:val="FootnoteReference"/>
        </w:rPr>
        <w:footnoteReference w:id="8"/>
      </w:r>
      <w:r>
        <w:t xml:space="preserve">, </w:t>
      </w:r>
      <w:r w:rsidRPr="00C60608">
        <w:t>la durée excessive dans le couloir de la mort</w:t>
      </w:r>
      <w:r w:rsidRPr="00C60608">
        <w:rPr>
          <w:vertAlign w:val="superscript"/>
        </w:rPr>
        <w:footnoteReference w:id="9"/>
      </w:r>
      <w:r>
        <w:t xml:space="preserve"> et </w:t>
      </w:r>
      <w:r w:rsidRPr="00C60608">
        <w:t>le risque de mauvais traitements dans les lieux de détention – particulièrement pour les condamnés à mort – peuvent constituer une violation de l’article 7 du PIDCP</w:t>
      </w:r>
      <w:r w:rsidRPr="00C60608">
        <w:rPr>
          <w:vertAlign w:val="superscript"/>
        </w:rPr>
        <w:footnoteReference w:id="10"/>
      </w:r>
      <w:r w:rsidRPr="00C60608">
        <w:t xml:space="preserve"> et s’ajoutent au caractère inhumain intrinsèque à la peine capitale. Enfin, l’attente indéfinie d’une mort annoncée, tel que c’est le cas dans les pays en moratoire de fait sur les exécutions, peut, selon la jurisprudence internationale, relever elle aussi d’une forme de torture</w:t>
      </w:r>
      <w:r w:rsidRPr="00C60608">
        <w:rPr>
          <w:vertAlign w:val="superscript"/>
        </w:rPr>
        <w:footnoteReference w:id="11"/>
      </w:r>
      <w:r w:rsidRPr="00C60608">
        <w:t>.</w:t>
      </w:r>
    </w:p>
    <w:p w:rsidR="00BA687B" w:rsidRPr="00C60608" w:rsidRDefault="00BA687B" w:rsidP="00BA687B">
      <w:pPr>
        <w:pStyle w:val="List2"/>
        <w:numPr>
          <w:ilvl w:val="0"/>
          <w:numId w:val="7"/>
        </w:numPr>
        <w:spacing w:before="60"/>
      </w:pPr>
      <w:r>
        <w:t xml:space="preserve">De nombreuses dispositions législatives mauritaniennes relatives à l’application de la peine de mort ne sont pas conformes aux engagements internationaux de la Mauritanie en matière de droits de l’Homme, notamment en la prévoyant pour un certain nombre de crimes ne rentrant pas dans la catégorie des crimes les plus graves, c’est-à-dire impliquant l’homicide volontaire. Par exemple, </w:t>
      </w:r>
      <w:r w:rsidR="00B21CE1">
        <w:t>le</w:t>
      </w:r>
      <w:r>
        <w:t xml:space="preserve"> Code pénal dispose que la tentative de la commission de certaines infractions seront punies comme l’exécution de ces infractions par la peine de mort</w:t>
      </w:r>
      <w:r>
        <w:rPr>
          <w:rStyle w:val="FootnoteReference"/>
        </w:rPr>
        <w:footnoteReference w:id="12"/>
      </w:r>
      <w:r>
        <w:t xml:space="preserve">. </w:t>
      </w:r>
    </w:p>
    <w:p w:rsidR="00BA687B" w:rsidRDefault="00BA687B" w:rsidP="00BA687B">
      <w:pPr>
        <w:pStyle w:val="ListParagraph"/>
        <w:numPr>
          <w:ilvl w:val="0"/>
          <w:numId w:val="7"/>
        </w:numPr>
        <w:spacing w:before="60"/>
      </w:pPr>
      <w:r>
        <w:t>En contravention avec ses engagements internationaux, et malgré les appels de plusieurs organisations internationales, la Mauritanie a adopté, le 27 avril 2018, une réforme du Code pénal rendant la peine de mort automatique pour apostasie et actes blasphématoire, qui ne relèvent par des « crimes les plus graves ».</w:t>
      </w:r>
    </w:p>
    <w:p w:rsidR="00BA687B" w:rsidRDefault="00BA687B" w:rsidP="00BA687B"/>
    <w:p w:rsidR="00BA687B" w:rsidRPr="00962ADD" w:rsidRDefault="00962ADD" w:rsidP="00BA687B">
      <w:pPr>
        <w:rPr>
          <w:b/>
          <w:i/>
          <w:color w:val="365F91" w:themeColor="accent1" w:themeShade="BF"/>
        </w:rPr>
      </w:pPr>
      <w:r w:rsidRPr="00962ADD">
        <w:rPr>
          <w:b/>
          <w:i/>
          <w:color w:val="365F91" w:themeColor="accent1" w:themeShade="BF"/>
        </w:rPr>
        <w:t>Recommandations :</w:t>
      </w:r>
    </w:p>
    <w:p w:rsidR="00962ADD" w:rsidRPr="00962ADD" w:rsidRDefault="00962ADD" w:rsidP="00962ADD">
      <w:pPr>
        <w:pStyle w:val="List"/>
        <w:tabs>
          <w:tab w:val="clear" w:pos="284"/>
        </w:tabs>
        <w:rPr>
          <w:b/>
          <w:i/>
          <w:color w:val="365F91" w:themeColor="accent1" w:themeShade="BF"/>
        </w:rPr>
      </w:pPr>
      <w:r w:rsidRPr="00962ADD">
        <w:rPr>
          <w:b/>
          <w:i/>
          <w:color w:val="365F91" w:themeColor="accent1" w:themeShade="BF"/>
        </w:rPr>
        <w:t>Mettre en œuvre toutes les mesures nécessaires afin que les conditions de détention des condamnés à mort ne s’apparentent pas à une forme de torture ;</w:t>
      </w:r>
    </w:p>
    <w:p w:rsidR="00962ADD" w:rsidRPr="00962ADD" w:rsidRDefault="00962ADD" w:rsidP="00962ADD">
      <w:pPr>
        <w:pStyle w:val="List"/>
        <w:tabs>
          <w:tab w:val="clear" w:pos="284"/>
        </w:tabs>
        <w:rPr>
          <w:b/>
          <w:i/>
          <w:color w:val="365F91" w:themeColor="accent1" w:themeShade="BF"/>
        </w:rPr>
      </w:pPr>
      <w:r w:rsidRPr="00962ADD">
        <w:rPr>
          <w:b/>
          <w:i/>
          <w:color w:val="365F91" w:themeColor="accent1" w:themeShade="BF"/>
        </w:rPr>
        <w:t>Ratifier le Second protocole facultatif au PIDCP ;</w:t>
      </w:r>
    </w:p>
    <w:p w:rsidR="00962ADD" w:rsidRPr="00962ADD" w:rsidRDefault="00962ADD" w:rsidP="00962ADD">
      <w:pPr>
        <w:pStyle w:val="List"/>
        <w:tabs>
          <w:tab w:val="clear" w:pos="284"/>
        </w:tabs>
        <w:rPr>
          <w:b/>
          <w:i/>
          <w:color w:val="365F91" w:themeColor="accent1" w:themeShade="BF"/>
        </w:rPr>
      </w:pPr>
      <w:r w:rsidRPr="00962ADD">
        <w:rPr>
          <w:b/>
          <w:i/>
          <w:color w:val="365F91" w:themeColor="accent1" w:themeShade="BF"/>
        </w:rPr>
        <w:t>Diminuer le nombre de crimes passibles de la peine de mort et notamment en la limitant aux « crimes les plus graves » ;</w:t>
      </w:r>
    </w:p>
    <w:p w:rsidR="00962ADD" w:rsidRPr="00962ADD" w:rsidRDefault="00962ADD" w:rsidP="00962ADD">
      <w:pPr>
        <w:pStyle w:val="List"/>
        <w:tabs>
          <w:tab w:val="clear" w:pos="284"/>
        </w:tabs>
        <w:rPr>
          <w:b/>
          <w:i/>
          <w:color w:val="365F91" w:themeColor="accent1" w:themeShade="BF"/>
        </w:rPr>
      </w:pPr>
      <w:r w:rsidRPr="00962ADD">
        <w:rPr>
          <w:b/>
          <w:i/>
          <w:color w:val="365F91" w:themeColor="accent1" w:themeShade="BF"/>
        </w:rPr>
        <w:t>Communiquer des données statistiques ventilées concernant les condamnant à mort ; les juridictions ayant prononcé les jugements, les crimes jugés, le profil des condamnés à mort, leur âge, leur sexe, etc. ;</w:t>
      </w:r>
    </w:p>
    <w:p w:rsidR="00962ADD" w:rsidRPr="00962ADD" w:rsidRDefault="00962ADD" w:rsidP="00962ADD">
      <w:pPr>
        <w:pStyle w:val="List"/>
        <w:tabs>
          <w:tab w:val="clear" w:pos="284"/>
        </w:tabs>
        <w:rPr>
          <w:b/>
          <w:i/>
          <w:color w:val="365F91" w:themeColor="accent1" w:themeShade="BF"/>
        </w:rPr>
      </w:pPr>
      <w:r w:rsidRPr="00962ADD">
        <w:rPr>
          <w:b/>
          <w:i/>
          <w:color w:val="365F91" w:themeColor="accent1" w:themeShade="BF"/>
        </w:rPr>
        <w:t>Diminuer le nombre de condamnations à mort, notamment en sensibilisant les magistrats sur le moratoire de fait ;</w:t>
      </w:r>
    </w:p>
    <w:p w:rsidR="00962ADD" w:rsidRPr="00962ADD" w:rsidRDefault="00962ADD" w:rsidP="00962ADD">
      <w:pPr>
        <w:pStyle w:val="List"/>
        <w:tabs>
          <w:tab w:val="clear" w:pos="284"/>
        </w:tabs>
        <w:rPr>
          <w:b/>
          <w:i/>
          <w:color w:val="365F91" w:themeColor="accent1" w:themeShade="BF"/>
        </w:rPr>
      </w:pPr>
      <w:r w:rsidRPr="00962ADD">
        <w:rPr>
          <w:b/>
          <w:i/>
          <w:color w:val="365F91" w:themeColor="accent1" w:themeShade="BF"/>
        </w:rPr>
        <w:t>Continuer de maintenir le moratoire de fait sur les exécutions ;</w:t>
      </w:r>
    </w:p>
    <w:p w:rsidR="00962ADD" w:rsidRPr="00962ADD" w:rsidRDefault="00962ADD" w:rsidP="00962ADD">
      <w:pPr>
        <w:pStyle w:val="List"/>
        <w:tabs>
          <w:tab w:val="clear" w:pos="284"/>
        </w:tabs>
        <w:rPr>
          <w:b/>
          <w:i/>
          <w:color w:val="365F91" w:themeColor="accent1" w:themeShade="BF"/>
        </w:rPr>
      </w:pPr>
      <w:r w:rsidRPr="00962ADD">
        <w:rPr>
          <w:b/>
          <w:i/>
          <w:color w:val="365F91" w:themeColor="accent1" w:themeShade="BF"/>
        </w:rPr>
        <w:t>Commuer toutes les condamnations à mort ;</w:t>
      </w:r>
    </w:p>
    <w:p w:rsidR="00962ADD" w:rsidRPr="00962ADD" w:rsidRDefault="00962ADD" w:rsidP="00962ADD">
      <w:pPr>
        <w:pStyle w:val="List"/>
        <w:rPr>
          <w:b/>
          <w:i/>
          <w:color w:val="365F91" w:themeColor="accent1" w:themeShade="BF"/>
        </w:rPr>
      </w:pPr>
      <w:r w:rsidRPr="00962ADD">
        <w:rPr>
          <w:b/>
          <w:i/>
          <w:color w:val="365F91" w:themeColor="accent1" w:themeShade="BF"/>
        </w:rPr>
        <w:t>Abroger le nouvel article 306 du Code pénal établissant la peine de mort automatique pour blasphème ;</w:t>
      </w:r>
    </w:p>
    <w:p w:rsidR="00962ADD" w:rsidRPr="00962ADD" w:rsidRDefault="00962ADD" w:rsidP="00962ADD">
      <w:pPr>
        <w:pStyle w:val="List"/>
        <w:tabs>
          <w:tab w:val="clear" w:pos="284"/>
        </w:tabs>
        <w:rPr>
          <w:b/>
          <w:i/>
          <w:color w:val="365F91" w:themeColor="accent1" w:themeShade="BF"/>
        </w:rPr>
      </w:pPr>
      <w:r w:rsidRPr="00962ADD">
        <w:rPr>
          <w:b/>
          <w:i/>
          <w:color w:val="365F91" w:themeColor="accent1" w:themeShade="BF"/>
        </w:rPr>
        <w:t>Abolir la peine de mort de manière définitive ;</w:t>
      </w:r>
    </w:p>
    <w:p w:rsidR="00962ADD" w:rsidRPr="00BA687B" w:rsidRDefault="00962ADD" w:rsidP="00BA687B"/>
    <w:sectPr w:rsidR="00962ADD" w:rsidRPr="00BA68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AD3" w:rsidRDefault="00923AD3" w:rsidP="00556267">
      <w:pPr>
        <w:spacing w:line="240" w:lineRule="auto"/>
      </w:pPr>
      <w:r>
        <w:separator/>
      </w:r>
    </w:p>
  </w:endnote>
  <w:endnote w:type="continuationSeparator" w:id="0">
    <w:p w:rsidR="00923AD3" w:rsidRDefault="00923AD3" w:rsidP="005562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altName w:val="Arial Narrow"/>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4308029"/>
      <w:docPartObj>
        <w:docPartGallery w:val="Page Numbers (Bottom of Page)"/>
        <w:docPartUnique/>
      </w:docPartObj>
    </w:sdtPr>
    <w:sdtEndPr/>
    <w:sdtContent>
      <w:p w:rsidR="000A617A" w:rsidRDefault="000A617A" w:rsidP="000A617A">
        <w:pPr>
          <w:pStyle w:val="Footer"/>
          <w:jc w:val="right"/>
        </w:pPr>
        <w:r>
          <w:fldChar w:fldCharType="begin"/>
        </w:r>
        <w:r>
          <w:instrText>PAGE   \* MERGEFORMAT</w:instrText>
        </w:r>
        <w:r>
          <w:fldChar w:fldCharType="separate"/>
        </w:r>
        <w:r w:rsidR="008B3F49">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AD3" w:rsidRDefault="00923AD3" w:rsidP="00556267">
      <w:pPr>
        <w:spacing w:line="240" w:lineRule="auto"/>
      </w:pPr>
      <w:r>
        <w:separator/>
      </w:r>
    </w:p>
  </w:footnote>
  <w:footnote w:type="continuationSeparator" w:id="0">
    <w:p w:rsidR="00923AD3" w:rsidRDefault="00923AD3" w:rsidP="00556267">
      <w:pPr>
        <w:spacing w:line="240" w:lineRule="auto"/>
      </w:pPr>
      <w:r>
        <w:continuationSeparator/>
      </w:r>
    </w:p>
  </w:footnote>
  <w:footnote w:id="1">
    <w:p w:rsidR="00BA687B" w:rsidRPr="008A3351" w:rsidRDefault="00BA687B" w:rsidP="00BA687B">
      <w:pPr>
        <w:pStyle w:val="FootnoteText"/>
      </w:pPr>
      <w:r w:rsidRPr="008A3351">
        <w:rPr>
          <w:rStyle w:val="FootnoteReference"/>
        </w:rPr>
        <w:footnoteRef/>
      </w:r>
      <w:r w:rsidRPr="008A3351">
        <w:rPr>
          <w:vertAlign w:val="superscript"/>
        </w:rPr>
        <w:t xml:space="preserve"> </w:t>
      </w:r>
      <w:r w:rsidRPr="00BA687B">
        <w:fldChar w:fldCharType="begin"/>
      </w:r>
      <w:r w:rsidRPr="00BA687B">
        <w:instrText xml:space="preserve"> ADDIN ZOTERO_ITEM CSL_CITATION {"citationID":"tMgfuDQc","properties":{"formattedCitation":"\\uc0\\u171{}\\uc0\\u160{}Larra\\uc0\\u241{}aga c. Philippines\\uc0\\u160{}\\uc0\\u187{}, {\\i{}Comit\\uc0\\u233{} des droits de l\\uc0\\u8217{}Homme}, n\\uc0\\u176{}1421/2005, 2006, paragr.\\uc0\\u160{}7.11.","plainCitation":"« Larrañaga c. Philippines », Comité des droits de l’Homme, n°1421/2005, 2006, paragr. 7.11.","noteIndex":1},"citationItems":[{"id":958,"uris":["http://zotero.org/users/2532968/items/83FZEDIA"],"uri":["http://zotero.org/users/2532968/items/83FZEDIA"],"itemData":{"id":958,"type":"legal_case","title":"Larrañaga c. Philippines","container-title":"Comité des droits de l'Homme","authority":"Comité des droits de l'Homme","volume":"n°1421/2005","number":"1421/2005","issued":{"date-parts":[["2006",7,24]]}},"locator":"7.11","label":"paragraph"}],"schema":"https://github.com/citation-style-language/schema/raw/master/csl-citation.json"} </w:instrText>
      </w:r>
      <w:r w:rsidRPr="00BA687B">
        <w:fldChar w:fldCharType="separate"/>
      </w:r>
      <w:r w:rsidR="00F14E9B" w:rsidRPr="00F14E9B">
        <w:rPr>
          <w:rFonts w:ascii="Calibri" w:hAnsi="Calibri" w:cs="Times New Roman"/>
          <w:szCs w:val="24"/>
        </w:rPr>
        <w:t xml:space="preserve">« Larrañaga c. Philippines », </w:t>
      </w:r>
      <w:r w:rsidR="00F14E9B" w:rsidRPr="00F14E9B">
        <w:rPr>
          <w:rFonts w:ascii="Calibri" w:hAnsi="Calibri" w:cs="Times New Roman"/>
          <w:i/>
          <w:iCs/>
          <w:szCs w:val="24"/>
        </w:rPr>
        <w:t>Comité des droits de l’Homme</w:t>
      </w:r>
      <w:r w:rsidR="00F14E9B" w:rsidRPr="00F14E9B">
        <w:rPr>
          <w:rFonts w:ascii="Calibri" w:hAnsi="Calibri" w:cs="Times New Roman"/>
          <w:szCs w:val="24"/>
        </w:rPr>
        <w:t>, n°1421/2005, 2006, paragr. 7.11.</w:t>
      </w:r>
      <w:r w:rsidRPr="00BA687B">
        <w:fldChar w:fldCharType="end"/>
      </w:r>
    </w:p>
  </w:footnote>
  <w:footnote w:id="2">
    <w:p w:rsidR="00BA687B" w:rsidRDefault="00BA687B" w:rsidP="00BA687B">
      <w:pPr>
        <w:pStyle w:val="FootnoteText"/>
      </w:pPr>
      <w:r>
        <w:rPr>
          <w:rStyle w:val="FootnoteReference"/>
        </w:rPr>
        <w:footnoteRef/>
      </w:r>
      <w:r>
        <w:t xml:space="preserve"> </w:t>
      </w:r>
      <w:r w:rsidRPr="00BA687B">
        <w:fldChar w:fldCharType="begin"/>
      </w:r>
      <w:r w:rsidR="00F14E9B">
        <w:instrText xml:space="preserve"> ADDIN ZOTERO_ITEM CSL_CITATION {"citationID":"tFZmSSPQ","properties":{"formattedCitation":"Conseil \\uc0\\u233{}conomique et social des Nations unies (ECOSOC), \\uc0\\u171{}\\uc0\\u160{}Garanties pour la protection des personnes passibles de la peine de mort\\uc0\\u160{}\\uc0\\u187{}, Nations unies, 1984.","plainCitation":"Conseil économique et social des Nations unies (ECOSOC), « Garanties pour la protection des personnes passibles de la peine de mort », Nations unies, 1984.","noteIndex":3},"citationItems":[{"id":962,"uris":["http://zotero.org/users/2532968/items/V2LFSV2H"],"uri":["http://zotero.org/users/2532968/items/V2LFSV2H"],"itemData":{"id":962,"type":"article","title":"Garanties pour la protection des personnes passibles de la peine de mort","publisher":"Nations unies","call-number":"Rés. 1984/50","author":[{"literal":"Conseil économique et social des Nations unies (ECOSOC)"}],"issued":{"date-parts":[["1984",5,25]]}}}],"schema":"https://github.com/citation-style-language/schema/raw/master/csl-citation.json"} </w:instrText>
      </w:r>
      <w:r w:rsidRPr="00BA687B">
        <w:fldChar w:fldCharType="separate"/>
      </w:r>
      <w:r w:rsidR="00F14E9B" w:rsidRPr="00F14E9B">
        <w:rPr>
          <w:rFonts w:ascii="Calibri" w:hAnsi="Calibri" w:cs="Times New Roman"/>
          <w:szCs w:val="24"/>
        </w:rPr>
        <w:t>Conseil économique et social des Nations unies (ECOSOC), « Garanties pour la protection des personnes passibles de la peine de mort », Nations unies, 1984.</w:t>
      </w:r>
      <w:r w:rsidRPr="00BA687B">
        <w:fldChar w:fldCharType="end"/>
      </w:r>
    </w:p>
  </w:footnote>
  <w:footnote w:id="3">
    <w:p w:rsidR="00BA687B" w:rsidRDefault="00BA687B" w:rsidP="00BA687B">
      <w:pPr>
        <w:pStyle w:val="FootnoteText"/>
      </w:pPr>
      <w:r>
        <w:rPr>
          <w:rStyle w:val="FootnoteReference"/>
        </w:rPr>
        <w:footnoteRef/>
      </w:r>
      <w:r>
        <w:t xml:space="preserve"> </w:t>
      </w:r>
      <w:r>
        <w:fldChar w:fldCharType="begin"/>
      </w:r>
      <w:r>
        <w:instrText xml:space="preserve"> ADDIN ZOTERO_ITEM CSL_CITATION {"citationID":"fO4lwEdA","properties":{"formattedCitation":"Assembl\\uc0\\u233{}e g\\uc0\\u233{}n\\uc0\\u233{}rale des Nations unies, \\uc0\\u171{}\\uc0\\u160{}Ensemble de r\\uc0\\u232{}gles minima des Nations uniespour le traitement des d\\uc0\\u233{}tenus (R\\uc0\\u232{}gles Nelson Mandela)\\uc0\\u160{}\\uc0\\u187{}, New York, Nations unies, 2015.","plainCitation":"Assemblée générale des Nations unies, « Ensemble de règles minima des Nations uniespour le traitement des détenus (Règles Nelson Mandela) », New York, Nations unies, 2015.","dontUpdate":true,"noteIndex":4},"citationItems":[{"id":963,"uris":["http://zotero.org/users/2532968/items/IIP9HRWM"],"uri":["http://zotero.org/users/2532968/items/IIP9HRWM"],"itemData":{"id":963,"type":"report","title":"Ensemble de règles minima des Nations uniespour le traitement des détenus (Règles Nelson Mandela)","publisher":"Nations unies","publisher-place":"New York","event-place":"New York","number":"A/RES/70/175","author":[{"literal":"Assemblée générale des Nations unies"}],"issued":{"date-parts":[["2015",12,17]]}}}],"schema":"https://github.com/citation-style-language/schema/raw/master/csl-citation.json"} </w:instrText>
      </w:r>
      <w:r>
        <w:fldChar w:fldCharType="separate"/>
      </w:r>
      <w:r w:rsidRPr="00BA687B">
        <w:t>Assemblée générale des Nations unies, « Ensemble de règles minima des Nations unies pour le traitement des détenus (Règles Nelson Mandela) », New York, Nations unies, 2015</w:t>
      </w:r>
      <w:r w:rsidRPr="00B94C49">
        <w:rPr>
          <w:rFonts w:ascii="Helvetica" w:hAnsi="Helvetica" w:cs="Helvetica"/>
          <w:szCs w:val="24"/>
        </w:rPr>
        <w:t>.</w:t>
      </w:r>
      <w:r>
        <w:fldChar w:fldCharType="end"/>
      </w:r>
    </w:p>
  </w:footnote>
  <w:footnote w:id="4">
    <w:p w:rsidR="00BA687B" w:rsidRPr="00BA687B" w:rsidRDefault="00BA687B" w:rsidP="00BA687B">
      <w:pPr>
        <w:pStyle w:val="FootnoteText"/>
      </w:pPr>
      <w:r>
        <w:rPr>
          <w:rStyle w:val="FootnoteReference"/>
        </w:rPr>
        <w:footnoteRef/>
      </w:r>
      <w:r>
        <w:t xml:space="preserve"> </w:t>
      </w:r>
      <w:r w:rsidRPr="00BA687B">
        <w:fldChar w:fldCharType="begin"/>
      </w:r>
      <w:r w:rsidRPr="00BA687B">
        <w:instrText xml:space="preserve"> ADDIN ZOTERO_ITEM CSL_CITATION {"citationID":"Gf5E0EBI","properties":{"formattedCitation":"R\\uc0\\u233{}publique islamique de Mauritanie, \\uc0\\u171{}\\uc0\\u160{}D\\uc0\\u233{}cret n\\uc0\\u176{}70-153 fixant le r\\uc0\\u233{}gime int\\uc0\\u233{}rieur des \\uc0\\u233{}tablissements p\\uc0\\u233{}nitentiaires\\uc0\\u160{}\\uc0\\u187{}, 1970, art. 119 \\uc0\\u224{} 124.","plainCitation":"République islamique de Mauritanie, « Décret n°70-153 fixant le régime intérieur des établissements pénitentiaires », 1970, art. 119 à 124.","noteIndex":5},"citationItems":[{"id":969,"uris":["http://zotero.org/users/2532968/items/W4JMRSSN"],"uri":["http://zotero.org/users/2532968/items/W4JMRSSN"],"itemData":{"id":969,"type":"bill","title":"Décret n°70-153 fixant le régime intérieur des établissements pénitentiaires","number":"70-153","author":[{"literal":"République islamique de Mauritanie"}],"issued":{"date-parts":[["1970",5,23]]}},"suffix":", art. 119 à 124"}],"schema":"https://github.com/citation-style-language/schema/raw/master/csl-citation.json"} </w:instrText>
      </w:r>
      <w:r w:rsidRPr="00BA687B">
        <w:fldChar w:fldCharType="separate"/>
      </w:r>
      <w:r w:rsidR="00F14E9B" w:rsidRPr="00F14E9B">
        <w:rPr>
          <w:rFonts w:ascii="Calibri" w:hAnsi="Calibri" w:cs="Times New Roman"/>
          <w:szCs w:val="24"/>
        </w:rPr>
        <w:t>République islamique de Mauritanie, « Décret n°70-153 fixant le régime intérieur des établissements pénitentiaires », 1970, art. 119 à 124.</w:t>
      </w:r>
      <w:r w:rsidRPr="00BA687B">
        <w:fldChar w:fldCharType="end"/>
      </w:r>
    </w:p>
  </w:footnote>
  <w:footnote w:id="5">
    <w:p w:rsidR="00BA687B" w:rsidRDefault="00BA687B" w:rsidP="00BA687B">
      <w:pPr>
        <w:pStyle w:val="FootnoteText"/>
      </w:pPr>
      <w:r>
        <w:rPr>
          <w:rStyle w:val="FootnoteReference"/>
        </w:rPr>
        <w:footnoteRef/>
      </w:r>
      <w:r>
        <w:t xml:space="preserve"> </w:t>
      </w:r>
      <w:r w:rsidRPr="00BA687B">
        <w:fldChar w:fldCharType="begin"/>
      </w:r>
      <w:r w:rsidR="00F14E9B">
        <w:instrText xml:space="preserve"> ADDIN ZOTERO_ITEM CSL_CITATION {"citationID":"L0II49U0","properties":{"formattedCitation":"R\\uc0\\u233{}publique islamique de Mauritanie, \\uc0\\u171{}\\uc0\\u160{}D\\uc0\\u233{}cret n\\uc0\\u176{}98-078 portant organisation et fonctionnement des \\uc0\\u233{}tablissements p\\uc0\\u233{}nitentiaires et de r\\uc0\\u233{}insertion\\uc0\\u160{}\\uc0\\u187{}, 1998, art. 13 \\uc0\\u224{} 22.","plainCitation":"République islamique de Mauritanie, « Décret n°98-078 portant organisation et fonctionnement des établissements pénitentiaires et de réinsertion », 1998, art. 13 à 22.","noteIndex":6},"citationItems":[{"id":967,"uris":["http://zotero.org/users/2532968/items/38MQHJDT"],"uri":["http://zotero.org/users/2532968/items/38MQHJDT"],"itemData":{"id":967,"type":"bill","title":"Décret n°98-078 portant organisation et fonctionnement des établissements pénitentiaires et de réinsertion","number":"98-078","author":[{"literal":"République islamique de Mauritanie"}],"issued":{"date-parts":[["1998",10,26]]}},"suffix":", art. 13 à 22"}],"schema":"https://github.com/citation-style-language/schema/raw/master/csl-citation.json"} </w:instrText>
      </w:r>
      <w:r w:rsidRPr="00BA687B">
        <w:fldChar w:fldCharType="separate"/>
      </w:r>
      <w:r w:rsidR="00F14E9B" w:rsidRPr="00F14E9B">
        <w:rPr>
          <w:rFonts w:ascii="Calibri" w:hAnsi="Calibri" w:cs="Times New Roman"/>
          <w:szCs w:val="24"/>
        </w:rPr>
        <w:t>République islamique de Mauritanie, « Décret n°98-078 portant organisation et fonctionnement des établissements pénitentiaires et de réinsertion », 1998, art. 13 à 22.</w:t>
      </w:r>
      <w:r w:rsidRPr="00BA687B">
        <w:fldChar w:fldCharType="end"/>
      </w:r>
    </w:p>
  </w:footnote>
  <w:footnote w:id="6">
    <w:p w:rsidR="00BA687B" w:rsidRPr="008A3351" w:rsidRDefault="00BA687B" w:rsidP="00BA687B">
      <w:pPr>
        <w:pStyle w:val="FootnoteText"/>
      </w:pPr>
      <w:r w:rsidRPr="008A3351">
        <w:rPr>
          <w:rStyle w:val="FootnoteReference"/>
        </w:rPr>
        <w:footnoteRef/>
      </w:r>
      <w:r w:rsidRPr="008A3351">
        <w:rPr>
          <w:vertAlign w:val="superscript"/>
        </w:rPr>
        <w:t xml:space="preserve"> </w:t>
      </w:r>
      <w:r w:rsidRPr="008A3351">
        <w:fldChar w:fldCharType="begin"/>
      </w:r>
      <w:r w:rsidR="00F14E9B">
        <w:instrText xml:space="preserve"> ADDIN ZOTERO_ITEM CSL_CITATION {"citationID":"2Bb3JOlR","properties":{"formattedCitation":"Coalition mondiale contre la peine de mort et Organisation mondiale contre la torture, \\uc0\\u171{}\\uc0\\u160{}Jurisprudence internationale: La peine de mort et l\\uc0\\u8217{}interdiction de la torture et des peines ou traitements cruels, inhumains ou d\\uc0\\u233{}gradants\\uc0\\u160{}\\uc0\\u187{}, WCADP et OMCT, 2017.","plainCitation":"Coalition mondiale contre la peine de mort et Organisation mondiale contre la torture, « Jurisprudence internationale: La peine de mort et l’interdiction de la torture et des peines ou traitements cruels, inhumains ou dégradants », WCADP et OMCT, 2017.","noteIndex":7},"citationItems":[{"id":665,"uris":["http://zotero.org/users/2532968/items/CJ6879KZ"],"uri":["http://zotero.org/users/2532968/items/CJ6879KZ"],"itemData":{"id":665,"type":"article","title":"Jurisprudence internationale: La peine de mort et l'interdiction de la torture et des peines ou traitements cruels, inhumains ou dégradants","publisher":"WCADP et OMCT","author":[{"literal":"Coalition mondiale contre la peine de mort"},{"literal":"Organisation mondiale contre la torture"}],"issued":{"date-parts":[["2017"]]}}}],"schema":"https://github.com/citation-style-language/schema/raw/master/csl-citation.json"} </w:instrText>
      </w:r>
      <w:r w:rsidRPr="008A3351">
        <w:fldChar w:fldCharType="separate"/>
      </w:r>
      <w:r w:rsidR="00F14E9B" w:rsidRPr="00F14E9B">
        <w:rPr>
          <w:rFonts w:ascii="Calibri" w:hAnsi="Calibri" w:cs="Times New Roman"/>
          <w:szCs w:val="24"/>
        </w:rPr>
        <w:t>Coalition mondiale contre la peine de mort et Organisation mondiale contre la torture, « Jurisprudence internationale: La peine de mort et l’interdiction de la torture et des peines ou traitements cruels, inhumains ou dégradants », WCADP et OMCT, 2017.</w:t>
      </w:r>
      <w:r w:rsidRPr="008A3351">
        <w:fldChar w:fldCharType="end"/>
      </w:r>
    </w:p>
  </w:footnote>
  <w:footnote w:id="7">
    <w:p w:rsidR="00BA687B" w:rsidRPr="008A3351" w:rsidRDefault="00BA687B" w:rsidP="00BA687B">
      <w:pPr>
        <w:pStyle w:val="FootnoteText"/>
      </w:pPr>
      <w:r w:rsidRPr="008A3351">
        <w:rPr>
          <w:rStyle w:val="FootnoteReference"/>
        </w:rPr>
        <w:footnoteRef/>
      </w:r>
      <w:r w:rsidRPr="008A3351">
        <w:rPr>
          <w:vertAlign w:val="superscript"/>
        </w:rPr>
        <w:t xml:space="preserve"> </w:t>
      </w:r>
      <w:r w:rsidRPr="008A3351">
        <w:fldChar w:fldCharType="begin"/>
      </w:r>
      <w:r w:rsidR="00F14E9B">
        <w:instrText xml:space="preserve"> ADDIN ZOTERO_ITEM CSL_CITATION {"citationID":"ZiDmOa80","properties":{"formattedCitation":"Assembl\\uc0\\u233{}e g\\uc0\\u233{}n\\uc0\\u233{}rale des Nations unies, \\uc0\\u171{}\\uc0\\u160{}Rapport d\\uc0\\u8217{}int\\uc0\\u233{}rim du Rapporteur sp\\uc0\\u233{}cial sur la torture et autres peines ou traitements cruels, inhumains ou d\\uc0\\u233{}gradants, M. Juan Mendez\\uc0\\u160{}\\uc0\\u187{}, New York, Nations unies, 2012, paragr.\\uc0\\u160{}72.","plainCitation":"Assemblée générale des Nations unies, « Rapport d’intérim du Rapporteur spécial sur la torture et autres peines ou traitements cruels, inhumains ou dégradants, M. Juan Mendez », New York, Nations unies, 2012, paragr. 72.","noteIndex":8},"citationItems":[{"id":925,"uris":["http://zotero.org/users/2532968/items/LJ6RSMFW"],"uri":["http://zotero.org/users/2532968/items/LJ6RSMFW"],"itemData":{"id":925,"type":"report","title":"Rapport d'intérim du Rapporteur spécial sur la torture et autres peines ou traitements cruels, inhumains ou dégradants, M. Juan Mendez","publisher":"Nations unies","publisher-place":"New York","event-place":"New York","number":"A/67/279","author":[{"literal":"Assemblée générale des Nations unies"}],"issued":{"date-parts":[["2012",8,9]]}},"locator":"72","label":"paragraph"}],"schema":"https://github.com/citation-style-language/schema/raw/master/csl-citation.json"} </w:instrText>
      </w:r>
      <w:r w:rsidRPr="008A3351">
        <w:fldChar w:fldCharType="separate"/>
      </w:r>
      <w:r w:rsidR="00F14E9B" w:rsidRPr="00F14E9B">
        <w:rPr>
          <w:rFonts w:ascii="Calibri" w:hAnsi="Calibri" w:cs="Times New Roman"/>
          <w:szCs w:val="24"/>
        </w:rPr>
        <w:t>Assemblée générale des Nations unies, « Rapport d’intérim du Rapporteur spécial sur la torture et autres peines ou traitements cruels, inhumains ou dégradants, M. Juan Mendez », New York, Nations unies, 2012, paragr. 72.</w:t>
      </w:r>
      <w:r w:rsidRPr="008A3351">
        <w:fldChar w:fldCharType="end"/>
      </w:r>
    </w:p>
  </w:footnote>
  <w:footnote w:id="8">
    <w:p w:rsidR="00BA687B" w:rsidRDefault="00BA687B" w:rsidP="00BA687B">
      <w:pPr>
        <w:pStyle w:val="FootnoteText"/>
      </w:pPr>
      <w:r>
        <w:rPr>
          <w:rStyle w:val="FootnoteReference"/>
        </w:rPr>
        <w:footnoteRef/>
      </w:r>
      <w:r>
        <w:t xml:space="preserve"> </w:t>
      </w:r>
      <w:r w:rsidRPr="00BA687B">
        <w:fldChar w:fldCharType="begin"/>
      </w:r>
      <w:r w:rsidR="00F14E9B">
        <w:instrText xml:space="preserve"> ADDIN ZOTERO_ITEM CSL_CITATION {"citationID":"rduEqmnu","properties":{"formattedCitation":"\\uc0\\u171{}\\uc0\\u160{}Larra\\uc0\\u241{}aga c. Philippines\\uc0\\u160{}\\uc0\\u187{}, {\\i{}op.\\uc0\\u160{}cit.}, paragr.\\uc0\\u160{}7.11.","plainCitation":"« Larrañaga c. Philippines », op. cit., paragr. 7.11.","noteIndex":9},"citationItems":[{"id":958,"uris":["http://zotero.org/users/2532968/items/83FZEDIA"],"uri":["http://zotero.org/users/2532968/items/83FZEDIA"],"itemData":{"id":958,"type":"legal_case","title":"Larrañaga c. Philippines","container-title":"Comité des droits de l'Homme","authority":"Comité des droits de l'Homme","volume":"n°1421/2005","number":"1421/2005","issued":{"date-parts":[["2006",7,24]]}},"locator":"7.11","label":"paragraph"}],"schema":"https://github.com/citation-style-language/schema/raw/master/csl-citation.json"} </w:instrText>
      </w:r>
      <w:r w:rsidRPr="00BA687B">
        <w:fldChar w:fldCharType="separate"/>
      </w:r>
      <w:r w:rsidR="00F14E9B" w:rsidRPr="00F14E9B">
        <w:rPr>
          <w:rFonts w:ascii="Calibri" w:hAnsi="Calibri" w:cs="Times New Roman"/>
          <w:szCs w:val="24"/>
        </w:rPr>
        <w:t xml:space="preserve">« Larrañaga c. Philippines », </w:t>
      </w:r>
      <w:r w:rsidR="00F14E9B" w:rsidRPr="00F14E9B">
        <w:rPr>
          <w:rFonts w:ascii="Calibri" w:hAnsi="Calibri" w:cs="Times New Roman"/>
          <w:i/>
          <w:iCs/>
          <w:szCs w:val="24"/>
        </w:rPr>
        <w:t>op. cit.</w:t>
      </w:r>
      <w:r w:rsidR="00F14E9B" w:rsidRPr="00F14E9B">
        <w:rPr>
          <w:rFonts w:ascii="Calibri" w:hAnsi="Calibri" w:cs="Times New Roman"/>
          <w:szCs w:val="24"/>
        </w:rPr>
        <w:t>, paragr. 7.11.</w:t>
      </w:r>
      <w:r w:rsidRPr="00BA687B">
        <w:fldChar w:fldCharType="end"/>
      </w:r>
    </w:p>
  </w:footnote>
  <w:footnote w:id="9">
    <w:p w:rsidR="00BA687B" w:rsidRPr="008A3351" w:rsidRDefault="00BA687B" w:rsidP="00BA687B">
      <w:pPr>
        <w:pStyle w:val="FootnoteText"/>
      </w:pPr>
      <w:r w:rsidRPr="008A3351">
        <w:rPr>
          <w:rStyle w:val="FootnoteReference"/>
        </w:rPr>
        <w:footnoteRef/>
      </w:r>
      <w:r w:rsidRPr="008A3351">
        <w:rPr>
          <w:vertAlign w:val="superscript"/>
        </w:rPr>
        <w:t xml:space="preserve"> </w:t>
      </w:r>
      <w:r w:rsidRPr="008A3351">
        <w:fldChar w:fldCharType="begin"/>
      </w:r>
      <w:r w:rsidR="00F14E9B">
        <w:instrText xml:space="preserve"> ADDIN ZOTERO_ITEM CSL_CITATION {"citationID":"6cACw9og","properties":{"formattedCitation":"Comit\\uc0\\u233{} contre la torture (CAT), \\uc0\\u171{}\\uc0\\u160{}Observations finales sur le rapport pr\\uc0\\u233{}sent\\uc0\\u233{} par l\\uc0\\u8217{}Etat partie: Zambie\\uc0\\u160{}\\uc0\\u187{}, Gen\\uc0\\u232{}ve, Nations unies, 2008, paragr.\\uc0\\u160{}19.","plainCitation":"Comité contre la torture (CAT), « Observations finales sur le rapport présenté par l’Etat partie: Zambie », Genève, Nations unies, 2008, paragr. 19.","noteIndex":10},"citationItems":[{"id":929,"uris":["http://zotero.org/users/2532968/items/XAX8K6Y3"],"uri":["http://zotero.org/users/2532968/items/XAX8K6Y3"],"itemData":{"id":929,"type":"report","title":"Observations finales sur le rapport présenté par l'Etat partie: Zambie","publisher":"Nations unies","publisher-place":"Genève","event-place":"Genève","number":"CAT/C/ZMB/CO/2","author":[{"literal":"Comité contre la torture (CAT)"}],"issued":{"date-parts":[["2008",5,26]]}},"locator":"19","label":"paragraph"}],"schema":"https://github.com/citation-style-language/schema/raw/master/csl-citation.json"} </w:instrText>
      </w:r>
      <w:r w:rsidRPr="008A3351">
        <w:fldChar w:fldCharType="separate"/>
      </w:r>
      <w:r w:rsidR="00F14E9B" w:rsidRPr="00F14E9B">
        <w:rPr>
          <w:rFonts w:ascii="Calibri" w:hAnsi="Calibri" w:cs="Times New Roman"/>
          <w:szCs w:val="24"/>
        </w:rPr>
        <w:t>Comité contre la torture (CAT), « Observations finales sur le rapport présenté par l’État partie: Zambie », Genève, Nations unies, 2008, paragr. 19.</w:t>
      </w:r>
      <w:r w:rsidRPr="008A3351">
        <w:fldChar w:fldCharType="end"/>
      </w:r>
    </w:p>
  </w:footnote>
  <w:footnote w:id="10">
    <w:p w:rsidR="00BA687B" w:rsidRPr="008A3351" w:rsidRDefault="00BA687B" w:rsidP="00BA687B">
      <w:pPr>
        <w:pStyle w:val="FootnoteText"/>
      </w:pPr>
      <w:r w:rsidRPr="008A3351">
        <w:rPr>
          <w:rStyle w:val="FootnoteReference"/>
        </w:rPr>
        <w:footnoteRef/>
      </w:r>
      <w:r w:rsidRPr="008A3351">
        <w:rPr>
          <w:vertAlign w:val="superscript"/>
        </w:rPr>
        <w:t xml:space="preserve"> </w:t>
      </w:r>
      <w:r w:rsidRPr="00BA687B">
        <w:fldChar w:fldCharType="begin"/>
      </w:r>
      <w:r w:rsidR="00F14E9B">
        <w:instrText xml:space="preserve"> ADDIN ZOTERO_ITEM CSL_CITATION {"citationID":"GsxjqwNY","properties":{"formattedCitation":"\\uc0\\u171{}\\uc0\\u160{}Earl Pratt et Ivan Morgan c. Jama\\uc0\\u239{}que\\uc0\\u160{}\\uc0\\u187{}, {\\i{}Comit\\uc0\\u233{} des droits de l\\uc0\\u8217{}Homme}, n\\uc0\\u176{}210/1986 et 225/1987, 1989, paragr.\\uc0\\u160{}9.2.","plainCitation":"« Earl Pratt et Ivan Morgan c. Jamaïque », Comité des droits de l’Homme, n°210/1986 et 225/1987, 1989, paragr. 9.2.","noteIndex":11},"citationItems":[{"id":927,"uris":["http://zotero.org/users/2532968/items/SDURTACL"],"uri":["http://zotero.org/users/2532968/items/SDURTACL"],"itemData":{"id":927,"type":"legal_case","title":"Earl Pratt et Ivan Morgan c. Jamaïque","container-title":"Comité des droits de l'Homme","authority":"Comité des droits de l'Homme","volume":"n°210/1986 et 225/1987","number":"210/1986 et 225/1987","issued":{"date-parts":[["1989",4,6]]}},"locator":"9.2","label":"paragraph"}],"schema":"https://github.com/citation-style-language/schema/raw/master/csl-citation.json"} </w:instrText>
      </w:r>
      <w:r w:rsidRPr="00BA687B">
        <w:fldChar w:fldCharType="separate"/>
      </w:r>
      <w:r w:rsidR="00F14E9B" w:rsidRPr="00F14E9B">
        <w:rPr>
          <w:rFonts w:ascii="Calibri" w:hAnsi="Calibri" w:cs="Times New Roman"/>
          <w:szCs w:val="24"/>
        </w:rPr>
        <w:t xml:space="preserve">« Earl Pratt et Ivan Morgan c. Jamaïque », </w:t>
      </w:r>
      <w:r w:rsidR="00F14E9B" w:rsidRPr="00F14E9B">
        <w:rPr>
          <w:rFonts w:ascii="Calibri" w:hAnsi="Calibri" w:cs="Times New Roman"/>
          <w:i/>
          <w:iCs/>
          <w:szCs w:val="24"/>
        </w:rPr>
        <w:t>Comité des droits de l’Homme</w:t>
      </w:r>
      <w:r w:rsidR="00F14E9B" w:rsidRPr="00F14E9B">
        <w:rPr>
          <w:rFonts w:ascii="Calibri" w:hAnsi="Calibri" w:cs="Times New Roman"/>
          <w:szCs w:val="24"/>
        </w:rPr>
        <w:t>, n°210/1986 et 225/1987, 1989, paragr. 9.2.</w:t>
      </w:r>
      <w:r w:rsidRPr="00BA687B">
        <w:fldChar w:fldCharType="end"/>
      </w:r>
    </w:p>
  </w:footnote>
  <w:footnote w:id="11">
    <w:p w:rsidR="00BA687B" w:rsidRPr="00BA687B" w:rsidRDefault="00BA687B" w:rsidP="00BA687B">
      <w:pPr>
        <w:pStyle w:val="FootnoteText"/>
      </w:pPr>
      <w:r w:rsidRPr="008A3351">
        <w:rPr>
          <w:rStyle w:val="FootnoteReference"/>
        </w:rPr>
        <w:footnoteRef/>
      </w:r>
      <w:r w:rsidRPr="00BA687B">
        <w:t xml:space="preserve"> </w:t>
      </w:r>
      <w:r w:rsidRPr="00BA687B">
        <w:fldChar w:fldCharType="begin"/>
      </w:r>
      <w:r w:rsidR="00F14E9B">
        <w:instrText xml:space="preserve"> ADDIN ZOTERO_ITEM CSL_CITATION {"citationID":"DZZ1SarH","properties":{"formattedCitation":"\\uc0\\u171{}\\uc0\\u160{}Al-Saadoon et Mudhi c. Royaume-Uni\\uc0\\u160{}\\uc0\\u187{}, {\\i{}Cour europ\\uc0\\u233{}enne des droits de l\\uc0\\u8217{}Homme}, Appel n\\uc0\\u176{}61498/08, 2010.","plainCitation":"« Al-Saadoon et Mudhi c. Royaume-Uni », Cour européenne des droits de l’Homme, Appel n°61498/08, 2010.","noteIndex":12},"citationItems":[{"id":923,"uris":["http://zotero.org/users/2532968/items/RILS93TZ"],"uri":["http://zotero.org/users/2532968/items/RILS93TZ"],"itemData":{"id":923,"type":"legal_case","title":"Al-Saadoon et Mudhi c. Royaume-Uni","container-title":"Cour européenne des droits de l'Homme","authority":"Cour européenne des droits de l'Homme","volume":"Appel n°61498/08","number":"Appel n°61498/08","issued":{"date-parts":[["2010",10,4]]}}}],"schema":"https://github.com/citation-style-language/schema/raw/master/csl-citation.json"} </w:instrText>
      </w:r>
      <w:r w:rsidRPr="00BA687B">
        <w:fldChar w:fldCharType="separate"/>
      </w:r>
      <w:r w:rsidR="00F14E9B" w:rsidRPr="00F14E9B">
        <w:rPr>
          <w:rFonts w:ascii="Calibri" w:hAnsi="Calibri" w:cs="Times New Roman"/>
          <w:szCs w:val="24"/>
        </w:rPr>
        <w:t xml:space="preserve">« Al-Saadoon et Mudhi c. Royaume-Uni », </w:t>
      </w:r>
      <w:r w:rsidR="00F14E9B" w:rsidRPr="00F14E9B">
        <w:rPr>
          <w:rFonts w:ascii="Calibri" w:hAnsi="Calibri" w:cs="Times New Roman"/>
          <w:i/>
          <w:iCs/>
          <w:szCs w:val="24"/>
        </w:rPr>
        <w:t>Cour européenne des droits de l’Homme</w:t>
      </w:r>
      <w:r w:rsidR="00F14E9B" w:rsidRPr="00F14E9B">
        <w:rPr>
          <w:rFonts w:ascii="Calibri" w:hAnsi="Calibri" w:cs="Times New Roman"/>
          <w:szCs w:val="24"/>
        </w:rPr>
        <w:t>, Appel n°61498/08, 2010.</w:t>
      </w:r>
      <w:r w:rsidRPr="00BA687B">
        <w:fldChar w:fldCharType="end"/>
      </w:r>
    </w:p>
  </w:footnote>
  <w:footnote w:id="12">
    <w:p w:rsidR="00BA687B" w:rsidRPr="008A3351" w:rsidRDefault="00BA687B" w:rsidP="00BA687B">
      <w:pPr>
        <w:pStyle w:val="FootnoteText"/>
      </w:pPr>
      <w:r w:rsidRPr="008A3351">
        <w:rPr>
          <w:rStyle w:val="FootnoteReference"/>
        </w:rPr>
        <w:footnoteRef/>
      </w:r>
      <w:r w:rsidRPr="008A3351">
        <w:rPr>
          <w:vertAlign w:val="superscript"/>
        </w:rPr>
        <w:t xml:space="preserve"> </w:t>
      </w:r>
      <w:r w:rsidRPr="008A3351">
        <w:fldChar w:fldCharType="begin"/>
      </w:r>
      <w:r w:rsidR="00F14E9B">
        <w:instrText xml:space="preserve"> ADDIN ZOTERO_ITEM CSL_CITATION {"citationID":"I72nxThA","properties":{"custom":"R\\uc0\\u233{}publique islamique de Mauritanie, \\uc0\\u171{}\\uc0\\u160{}Ordonnance no. 83-162 du 9 juillet 1983 portant institution d\\uc0\\u8217{}un code p\\uc0\\u233{}nal\\uc0\\u160{}\\uc0\\u187{}, 1983, art. 88.","formattedCitation":"R\\uc0\\u233{}publique islamique de Mauritanie, \\uc0\\u171{}\\uc0\\u160{}Ordonnance no. 83-162 du 9 juillet 1983 portant institution d\\uc0\\u8217{}un code p\\uc0\\u233{}nal\\uc0\\u160{}\\uc0\\u187{}, 1983, art. 88.","plainCitation":"République islamique de Mauritanie, « Ordonnance no. 83-162 du 9 juillet 1983 portant institution d’un code pénal », 1983, art. 88.","noteIndex":13},"citationItems":[{"id":602,"uris":["http://zotero.org/users/2532968/items/TJ2Q78TZ"],"uri":["http://zotero.org/users/2532968/items/TJ2Q78TZ"],"itemData":{"id":602,"type":"legislation","title":"Ordonnance no. 83-162 du 9 juillet 1983 portant institution d'un code pénal","number":"83-163","author":[{"literal":"République islamique de Mauritanie"}],"issued":{"date-parts":[["1983",7,9]]}},"suffix":"art. 88"}],"schema":"https://github.com/citation-style-language/schema/raw/master/csl-citation.json"} </w:instrText>
      </w:r>
      <w:r w:rsidRPr="008A3351">
        <w:fldChar w:fldCharType="separate"/>
      </w:r>
      <w:r w:rsidR="00F14E9B" w:rsidRPr="00F14E9B">
        <w:rPr>
          <w:rFonts w:ascii="Calibri" w:hAnsi="Calibri" w:cs="Times New Roman"/>
          <w:szCs w:val="24"/>
        </w:rPr>
        <w:t>République islamique de Mauritanie, « Ordonnance no. 83-162 du 9 juillet 1983 portant institution d’un code pénal », 1983, art. 88.</w:t>
      </w:r>
      <w:r w:rsidRPr="008A3351">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8CE" w:rsidRDefault="006548CE" w:rsidP="007B2FB9">
    <w:pPr>
      <w:pStyle w:val="Header"/>
      <w:pBdr>
        <w:bottom w:val="none" w:sz="0" w:space="0" w:color="auto"/>
      </w:pBdr>
      <w:tabs>
        <w:tab w:val="clear" w:pos="4513"/>
        <w:tab w:val="clear" w:pos="9026"/>
        <w:tab w:val="center" w:pos="5103"/>
        <w:tab w:val="right" w:pos="8222"/>
      </w:tabs>
      <w:ind w:right="848"/>
      <w:jc w:val="left"/>
      <w:rPr>
        <w:i/>
        <w:color w:val="auto"/>
        <w:sz w:val="18"/>
      </w:rPr>
    </w:pPr>
    <w:r>
      <w:rPr>
        <w:noProof/>
        <w:color w:val="auto"/>
        <w:sz w:val="18"/>
        <w:lang w:val="en-GB" w:eastAsia="en-GB"/>
      </w:rPr>
      <w:drawing>
        <wp:anchor distT="0" distB="0" distL="114300" distR="114300" simplePos="0" relativeHeight="251658240" behindDoc="0" locked="0" layoutInCell="1" allowOverlap="1" wp14:anchorId="633F7BCB" wp14:editId="157D128F">
          <wp:simplePos x="0" y="0"/>
          <wp:positionH relativeFrom="margin">
            <wp:align>right</wp:align>
          </wp:positionH>
          <wp:positionV relativeFrom="margin">
            <wp:posOffset>-963295</wp:posOffset>
          </wp:positionV>
          <wp:extent cx="461645" cy="809625"/>
          <wp:effectExtent l="0" t="0" r="0" b="952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ECPM-transpar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1645" cy="809625"/>
                  </a:xfrm>
                  <a:prstGeom prst="rect">
                    <a:avLst/>
                  </a:prstGeom>
                </pic:spPr>
              </pic:pic>
            </a:graphicData>
          </a:graphic>
          <wp14:sizeRelH relativeFrom="page">
            <wp14:pctWidth>0</wp14:pctWidth>
          </wp14:sizeRelH>
          <wp14:sizeRelV relativeFrom="page">
            <wp14:pctHeight>0</wp14:pctHeight>
          </wp14:sizeRelV>
        </wp:anchor>
      </w:drawing>
    </w:r>
    <w:r>
      <w:rPr>
        <w:color w:val="auto"/>
        <w:sz w:val="18"/>
      </w:rPr>
      <w:tab/>
    </w:r>
    <w:r>
      <w:rPr>
        <w:color w:val="auto"/>
        <w:sz w:val="18"/>
      </w:rPr>
      <w:tab/>
    </w:r>
    <w:sdt>
      <w:sdtPr>
        <w:rPr>
          <w:color w:val="auto"/>
          <w:sz w:val="18"/>
        </w:rPr>
        <w:alias w:val="Type de document"/>
        <w:tag w:val="Type de document"/>
        <w:id w:val="1228424162"/>
      </w:sdtPr>
      <w:sdtEndPr/>
      <w:sdtContent>
        <w:r w:rsidR="00BA687B">
          <w:rPr>
            <w:color w:val="auto"/>
            <w:sz w:val="18"/>
          </w:rPr>
          <w:t>Comité contre la torture – 64</w:t>
        </w:r>
        <w:r w:rsidR="00BA687B" w:rsidRPr="00BA687B">
          <w:rPr>
            <w:color w:val="auto"/>
            <w:sz w:val="18"/>
            <w:vertAlign w:val="superscript"/>
          </w:rPr>
          <w:t>e</w:t>
        </w:r>
        <w:r w:rsidR="00BA687B">
          <w:rPr>
            <w:color w:val="auto"/>
            <w:sz w:val="18"/>
            <w:vertAlign w:val="superscript"/>
          </w:rPr>
          <w:t>me</w:t>
        </w:r>
        <w:r w:rsidR="00BA687B">
          <w:rPr>
            <w:color w:val="auto"/>
            <w:sz w:val="18"/>
          </w:rPr>
          <w:t xml:space="preserve"> session</w:t>
        </w:r>
        <w:r w:rsidR="00BA687B">
          <w:rPr>
            <w:color w:val="auto"/>
            <w:sz w:val="18"/>
          </w:rPr>
          <w:tab/>
        </w:r>
      </w:sdtContent>
    </w:sdt>
    <w:r w:rsidRPr="00722EAF">
      <w:rPr>
        <w:i/>
        <w:color w:val="auto"/>
        <w:sz w:val="18"/>
      </w:rPr>
      <w:tab/>
    </w:r>
  </w:p>
  <w:p w:rsidR="006548CE" w:rsidRDefault="006548CE" w:rsidP="00BA687B">
    <w:pPr>
      <w:pStyle w:val="Header"/>
      <w:pBdr>
        <w:bottom w:val="none" w:sz="0" w:space="0" w:color="auto"/>
      </w:pBdr>
      <w:tabs>
        <w:tab w:val="clear" w:pos="4513"/>
        <w:tab w:val="clear" w:pos="9026"/>
        <w:tab w:val="center" w:pos="3402"/>
        <w:tab w:val="right" w:pos="8222"/>
      </w:tabs>
      <w:ind w:right="848"/>
      <w:jc w:val="left"/>
      <w:rPr>
        <w:b/>
        <w:color w:val="auto"/>
        <w:sz w:val="18"/>
      </w:rPr>
    </w:pPr>
    <w:r>
      <w:rPr>
        <w:b/>
        <w:color w:val="auto"/>
        <w:sz w:val="18"/>
      </w:rPr>
      <w:tab/>
    </w:r>
    <w:r>
      <w:rPr>
        <w:b/>
        <w:color w:val="auto"/>
        <w:sz w:val="18"/>
      </w:rPr>
      <w:tab/>
    </w:r>
    <w:sdt>
      <w:sdtPr>
        <w:rPr>
          <w:b/>
          <w:color w:val="auto"/>
          <w:sz w:val="18"/>
        </w:rPr>
        <w:alias w:val="Titre"/>
        <w:tag w:val="Titre"/>
        <w:id w:val="1176302751"/>
      </w:sdtPr>
      <w:sdtEndPr/>
      <w:sdtContent>
        <w:r w:rsidR="00BA687B">
          <w:rPr>
            <w:b/>
            <w:color w:val="auto"/>
            <w:sz w:val="18"/>
          </w:rPr>
          <w:t>Rapport alternatif en vue de l’examen de la Mauritanie</w:t>
        </w:r>
      </w:sdtContent>
    </w:sdt>
    <w:r w:rsidRPr="00722EAF">
      <w:rPr>
        <w:b/>
        <w:color w:val="auto"/>
        <w:sz w:val="18"/>
      </w:rPr>
      <w:tab/>
    </w:r>
  </w:p>
  <w:p w:rsidR="006548CE" w:rsidRPr="00722EAF" w:rsidRDefault="006548CE" w:rsidP="007B2FB9">
    <w:pPr>
      <w:pStyle w:val="Header"/>
      <w:pBdr>
        <w:bottom w:val="none" w:sz="0" w:space="0" w:color="auto"/>
      </w:pBdr>
      <w:tabs>
        <w:tab w:val="clear" w:pos="4513"/>
        <w:tab w:val="clear" w:pos="9026"/>
        <w:tab w:val="center" w:pos="5103"/>
        <w:tab w:val="right" w:pos="8222"/>
        <w:tab w:val="right" w:pos="9356"/>
      </w:tabs>
      <w:ind w:right="848"/>
      <w:jc w:val="left"/>
      <w:rPr>
        <w:i/>
        <w:color w:val="auto"/>
        <w:sz w:val="18"/>
      </w:rPr>
    </w:pPr>
    <w:r>
      <w:rPr>
        <w:color w:val="auto"/>
        <w:sz w:val="18"/>
      </w:rPr>
      <w:tab/>
    </w:r>
    <w:r>
      <w:rPr>
        <w:color w:val="auto"/>
        <w:sz w:val="18"/>
      </w:rPr>
      <w:tab/>
    </w:r>
    <w:r w:rsidRPr="00722EAF">
      <w:rPr>
        <w:color w:val="auto"/>
        <w:sz w:val="18"/>
      </w:rPr>
      <w:t>ECPM</w:t>
    </w:r>
  </w:p>
  <w:p w:rsidR="006548CE" w:rsidRPr="00BA6F82" w:rsidRDefault="006548CE" w:rsidP="007B2FB9">
    <w:pPr>
      <w:pStyle w:val="Header"/>
      <w:pBdr>
        <w:bottom w:val="none" w:sz="0" w:space="0" w:color="auto"/>
      </w:pBdr>
      <w:tabs>
        <w:tab w:val="clear" w:pos="9026"/>
        <w:tab w:val="right" w:pos="8222"/>
        <w:tab w:val="right" w:pos="9356"/>
      </w:tabs>
      <w:ind w:right="848"/>
      <w:jc w:val="left"/>
      <w:rPr>
        <w:color w:val="auto"/>
        <w:sz w:val="18"/>
      </w:rPr>
    </w:pPr>
    <w:r w:rsidRPr="00BA6F82">
      <w:rPr>
        <w:color w:val="auto"/>
        <w:sz w:val="18"/>
      </w:rPr>
      <w:tab/>
    </w:r>
    <w:r w:rsidRPr="00BA6F82">
      <w:rPr>
        <w:color w:val="auto"/>
        <w:sz w:val="18"/>
      </w:rPr>
      <w:tab/>
    </w:r>
    <w:r w:rsidR="00DE4E80">
      <w:rPr>
        <w:color w:val="auto"/>
        <w:sz w:val="18"/>
      </w:rPr>
      <w:fldChar w:fldCharType="begin"/>
    </w:r>
    <w:r w:rsidR="00DE4E80">
      <w:rPr>
        <w:color w:val="auto"/>
        <w:sz w:val="18"/>
      </w:rPr>
      <w:instrText xml:space="preserve"> DATE  \@ "MMMM yyyy"  \* MERGEFORMAT </w:instrText>
    </w:r>
    <w:r w:rsidR="00DE4E80">
      <w:rPr>
        <w:color w:val="auto"/>
        <w:sz w:val="18"/>
      </w:rPr>
      <w:fldChar w:fldCharType="separate"/>
    </w:r>
    <w:r w:rsidR="008B3F49">
      <w:rPr>
        <w:noProof/>
        <w:color w:val="auto"/>
        <w:sz w:val="18"/>
      </w:rPr>
      <w:t>juillet 2018</w:t>
    </w:r>
    <w:r w:rsidR="00DE4E80">
      <w:rPr>
        <w:color w:val="auto"/>
        <w:sz w:val="18"/>
      </w:rPr>
      <w:fldChar w:fldCharType="end"/>
    </w:r>
  </w:p>
  <w:p w:rsidR="00BA6F82" w:rsidRPr="006548CE" w:rsidRDefault="00BA6F82" w:rsidP="006548CE">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A36C74"/>
    <w:multiLevelType w:val="multilevel"/>
    <w:tmpl w:val="ACD4BF96"/>
    <w:lvl w:ilvl="0">
      <w:start w:val="1"/>
      <w:numFmt w:val="decimal"/>
      <w:pStyle w:val="Annexe"/>
      <w:lvlText w:val="Annexe %1 - "/>
      <w:lvlJc w:val="left"/>
      <w:pPr>
        <w:ind w:left="0" w:firstLine="0"/>
      </w:pPr>
      <w:rPr>
        <w:rFonts w:hint="default"/>
      </w:rPr>
    </w:lvl>
    <w:lvl w:ilvl="1">
      <w:start w:val="1"/>
      <w:numFmt w:val="decimal"/>
      <w:lvlText w:val="Annexe %1.%2. -"/>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nsid w:val="4CE7722D"/>
    <w:multiLevelType w:val="hybridMultilevel"/>
    <w:tmpl w:val="FEE8A1BA"/>
    <w:lvl w:ilvl="0" w:tplc="C3B80C2E">
      <w:start w:val="1"/>
      <w:numFmt w:val="bullet"/>
      <w:pStyle w:val="ConclusionListe"/>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3DA27A6"/>
    <w:multiLevelType w:val="multilevel"/>
    <w:tmpl w:val="99B67486"/>
    <w:lvl w:ilvl="0">
      <w:start w:val="1"/>
      <w:numFmt w:val="bullet"/>
      <w:pStyle w:val="List"/>
      <w:lvlText w:val="-"/>
      <w:lvlJc w:val="left"/>
      <w:pPr>
        <w:tabs>
          <w:tab w:val="num" w:pos="284"/>
        </w:tabs>
        <w:ind w:left="284" w:hanging="284"/>
      </w:pPr>
      <w:rPr>
        <w:rFonts w:ascii="Calibri" w:hAnsi="Calibri" w:hint="default"/>
      </w:rPr>
    </w:lvl>
    <w:lvl w:ilvl="1">
      <w:start w:val="1"/>
      <w:numFmt w:val="bullet"/>
      <w:pStyle w:val="List2"/>
      <w:lvlText w:val="o"/>
      <w:lvlJc w:val="left"/>
      <w:pPr>
        <w:tabs>
          <w:tab w:val="num" w:pos="567"/>
        </w:tabs>
        <w:ind w:left="568" w:hanging="284"/>
      </w:pPr>
      <w:rPr>
        <w:rFonts w:ascii="Courier New" w:hAnsi="Courier New" w:hint="default"/>
      </w:rPr>
    </w:lvl>
    <w:lvl w:ilvl="2">
      <w:start w:val="1"/>
      <w:numFmt w:val="bullet"/>
      <w:pStyle w:val="List3"/>
      <w:lvlText w:val=""/>
      <w:lvlJc w:val="left"/>
      <w:pPr>
        <w:tabs>
          <w:tab w:val="num" w:pos="851"/>
        </w:tabs>
        <w:ind w:left="852" w:hanging="284"/>
      </w:pPr>
      <w:rPr>
        <w:rFonts w:ascii="Wingdings" w:hAnsi="Wingdings" w:hint="default"/>
      </w:rPr>
    </w:lvl>
    <w:lvl w:ilvl="3">
      <w:start w:val="1"/>
      <w:numFmt w:val="bullet"/>
      <w:pStyle w:val="List4"/>
      <w:lvlText w:val=""/>
      <w:lvlJc w:val="left"/>
      <w:pPr>
        <w:tabs>
          <w:tab w:val="num" w:pos="1134"/>
        </w:tabs>
        <w:ind w:left="1136" w:hanging="284"/>
      </w:pPr>
      <w:rPr>
        <w:rFonts w:ascii="Symbol" w:hAnsi="Symbol" w:hint="default"/>
      </w:rPr>
    </w:lvl>
    <w:lvl w:ilvl="4">
      <w:start w:val="1"/>
      <w:numFmt w:val="bullet"/>
      <w:pStyle w:val="List5"/>
      <w:lvlText w:val="o"/>
      <w:lvlJc w:val="left"/>
      <w:pPr>
        <w:tabs>
          <w:tab w:val="num" w:pos="1418"/>
        </w:tabs>
        <w:ind w:left="1420" w:hanging="284"/>
      </w:pPr>
      <w:rPr>
        <w:rFonts w:ascii="Courier New" w:hAnsi="Courier New" w:hint="default"/>
      </w:rPr>
    </w:lvl>
    <w:lvl w:ilvl="5">
      <w:start w:val="1"/>
      <w:numFmt w:val="bullet"/>
      <w:lvlRestart w:val="4"/>
      <w:lvlText w:val=""/>
      <w:lvlJc w:val="left"/>
      <w:pPr>
        <w:ind w:left="1704" w:hanging="284"/>
      </w:pPr>
      <w:rPr>
        <w:rFonts w:ascii="Wingdings" w:hAnsi="Wingding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3">
    <w:nsid w:val="5DEE41FD"/>
    <w:multiLevelType w:val="hybridMultilevel"/>
    <w:tmpl w:val="57CE06D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07B1F0F"/>
    <w:multiLevelType w:val="multilevel"/>
    <w:tmpl w:val="7C287EBE"/>
    <w:lvl w:ilvl="0">
      <w:start w:val="1"/>
      <w:numFmt w:val="bullet"/>
      <w:pStyle w:val="Conclusion"/>
      <w:lvlText w:val=""/>
      <w:lvlJc w:val="left"/>
      <w:pPr>
        <w:tabs>
          <w:tab w:val="num" w:pos="284"/>
        </w:tabs>
        <w:ind w:left="567" w:hanging="567"/>
      </w:pPr>
      <w:rPr>
        <w:rFonts w:ascii="Wingdings" w:hAnsi="Wingdings" w:hint="default"/>
      </w:rPr>
    </w:lvl>
    <w:lvl w:ilvl="1">
      <w:start w:val="1"/>
      <w:numFmt w:val="bullet"/>
      <w:pStyle w:val="Conclusion2"/>
      <w:lvlText w:val=""/>
      <w:lvlJc w:val="left"/>
      <w:pPr>
        <w:tabs>
          <w:tab w:val="num" w:pos="567"/>
        </w:tabs>
        <w:ind w:left="851" w:hanging="567"/>
      </w:pPr>
      <w:rPr>
        <w:rFonts w:ascii="Wingdings" w:hAnsi="Wingdings" w:hint="default"/>
      </w:rPr>
    </w:lvl>
    <w:lvl w:ilvl="2">
      <w:start w:val="1"/>
      <w:numFmt w:val="bullet"/>
      <w:pStyle w:val="Conclusion3"/>
      <w:lvlText w:val=""/>
      <w:lvlJc w:val="left"/>
      <w:pPr>
        <w:tabs>
          <w:tab w:val="num" w:pos="851"/>
        </w:tabs>
        <w:ind w:left="1135" w:hanging="567"/>
      </w:pPr>
      <w:rPr>
        <w:rFonts w:ascii="Wingdings" w:hAnsi="Wingdings" w:hint="default"/>
      </w:rPr>
    </w:lvl>
    <w:lvl w:ilvl="3">
      <w:start w:val="1"/>
      <w:numFmt w:val="bullet"/>
      <w:pStyle w:val="Conclusion4"/>
      <w:lvlText w:val=""/>
      <w:lvlJc w:val="left"/>
      <w:pPr>
        <w:tabs>
          <w:tab w:val="num" w:pos="1134"/>
        </w:tabs>
        <w:ind w:left="1419" w:hanging="567"/>
      </w:pPr>
      <w:rPr>
        <w:rFonts w:ascii="Wingdings" w:hAnsi="Wingdings" w:hint="default"/>
      </w:rPr>
    </w:lvl>
    <w:lvl w:ilvl="4">
      <w:start w:val="1"/>
      <w:numFmt w:val="bullet"/>
      <w:pStyle w:val="Conclusion5"/>
      <w:lvlText w:val=""/>
      <w:lvlJc w:val="left"/>
      <w:pPr>
        <w:tabs>
          <w:tab w:val="num" w:pos="1418"/>
        </w:tabs>
        <w:ind w:left="1703" w:hanging="567"/>
      </w:pPr>
      <w:rPr>
        <w:rFonts w:ascii="Wingdings" w:hAnsi="Wingdings" w:hint="default"/>
      </w:rPr>
    </w:lvl>
    <w:lvl w:ilvl="5">
      <w:start w:val="1"/>
      <w:numFmt w:val="bullet"/>
      <w:lvlText w:val=""/>
      <w:lvlJc w:val="left"/>
      <w:pPr>
        <w:tabs>
          <w:tab w:val="num" w:pos="1988"/>
        </w:tabs>
        <w:ind w:left="1987" w:hanging="567"/>
      </w:pPr>
      <w:rPr>
        <w:rFonts w:ascii="Wingdings" w:hAnsi="Wingdings" w:hint="default"/>
      </w:rPr>
    </w:lvl>
    <w:lvl w:ilvl="6">
      <w:start w:val="1"/>
      <w:numFmt w:val="bullet"/>
      <w:lvlText w:val=""/>
      <w:lvlJc w:val="left"/>
      <w:pPr>
        <w:tabs>
          <w:tab w:val="num" w:pos="2272"/>
        </w:tabs>
        <w:ind w:left="2271" w:hanging="567"/>
      </w:pPr>
      <w:rPr>
        <w:rFonts w:ascii="Symbol" w:hAnsi="Symbol" w:hint="default"/>
      </w:rPr>
    </w:lvl>
    <w:lvl w:ilvl="7">
      <w:start w:val="1"/>
      <w:numFmt w:val="bullet"/>
      <w:lvlText w:val="o"/>
      <w:lvlJc w:val="left"/>
      <w:pPr>
        <w:tabs>
          <w:tab w:val="num" w:pos="2556"/>
        </w:tabs>
        <w:ind w:left="2555" w:hanging="567"/>
      </w:pPr>
      <w:rPr>
        <w:rFonts w:ascii="Courier New" w:hAnsi="Courier New" w:cs="Courier New" w:hint="default"/>
      </w:rPr>
    </w:lvl>
    <w:lvl w:ilvl="8">
      <w:start w:val="1"/>
      <w:numFmt w:val="bullet"/>
      <w:lvlText w:val=""/>
      <w:lvlJc w:val="left"/>
      <w:pPr>
        <w:tabs>
          <w:tab w:val="num" w:pos="2840"/>
        </w:tabs>
        <w:ind w:left="2839" w:hanging="567"/>
      </w:pPr>
      <w:rPr>
        <w:rFonts w:ascii="Wingdings" w:hAnsi="Wingdings" w:hint="default"/>
      </w:rPr>
    </w:lvl>
  </w:abstractNum>
  <w:abstractNum w:abstractNumId="5">
    <w:nsid w:val="7AAA137A"/>
    <w:multiLevelType w:val="multilevel"/>
    <w:tmpl w:val="BB180A04"/>
    <w:lvl w:ilvl="0">
      <w:start w:val="1"/>
      <w:numFmt w:val="decimal"/>
      <w:lvlText w:val="%1"/>
      <w:lvlJc w:val="left"/>
      <w:pPr>
        <w:ind w:left="432" w:hanging="432"/>
      </w:pPr>
    </w:lvl>
    <w:lvl w:ilvl="1">
      <w:start w:val="1"/>
      <w:numFmt w:val="decimal"/>
      <w:lvlText w:val="%1.%2"/>
      <w:lvlJc w:val="left"/>
      <w:pPr>
        <w:ind w:left="576" w:hanging="576"/>
      </w:pPr>
      <w:rPr>
        <w:sz w:val="2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5"/>
  </w:num>
  <w:num w:numId="3">
    <w:abstractNumId w:val="2"/>
  </w:num>
  <w:num w:numId="4">
    <w:abstractNumId w:val="0"/>
  </w:num>
  <w:num w:numId="5">
    <w:abstractNumId w:val="1"/>
  </w:num>
  <w:num w:numId="6">
    <w:abstractNumId w:val="4"/>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87B"/>
    <w:rsid w:val="00002AC8"/>
    <w:rsid w:val="000135CF"/>
    <w:rsid w:val="000159E9"/>
    <w:rsid w:val="00027B0A"/>
    <w:rsid w:val="00045D78"/>
    <w:rsid w:val="00067FAF"/>
    <w:rsid w:val="000A617A"/>
    <w:rsid w:val="000D12B9"/>
    <w:rsid w:val="000D7247"/>
    <w:rsid w:val="00101C0B"/>
    <w:rsid w:val="0018657D"/>
    <w:rsid w:val="001B06FB"/>
    <w:rsid w:val="001E10B9"/>
    <w:rsid w:val="002335DA"/>
    <w:rsid w:val="00244153"/>
    <w:rsid w:val="002608CC"/>
    <w:rsid w:val="0028504C"/>
    <w:rsid w:val="002C1916"/>
    <w:rsid w:val="002E688B"/>
    <w:rsid w:val="003147DB"/>
    <w:rsid w:val="0031628D"/>
    <w:rsid w:val="00333046"/>
    <w:rsid w:val="003644B1"/>
    <w:rsid w:val="00372612"/>
    <w:rsid w:val="00373EAB"/>
    <w:rsid w:val="0038465B"/>
    <w:rsid w:val="003A0354"/>
    <w:rsid w:val="003A44B1"/>
    <w:rsid w:val="003A4F0A"/>
    <w:rsid w:val="003A60B5"/>
    <w:rsid w:val="003C4BB1"/>
    <w:rsid w:val="003D28C4"/>
    <w:rsid w:val="003E1E60"/>
    <w:rsid w:val="003E740D"/>
    <w:rsid w:val="003F3CA5"/>
    <w:rsid w:val="004117EE"/>
    <w:rsid w:val="00470CF8"/>
    <w:rsid w:val="004953E9"/>
    <w:rsid w:val="004A5FDD"/>
    <w:rsid w:val="004B203D"/>
    <w:rsid w:val="004E6573"/>
    <w:rsid w:val="005073D8"/>
    <w:rsid w:val="00523AD0"/>
    <w:rsid w:val="00536B54"/>
    <w:rsid w:val="0054291D"/>
    <w:rsid w:val="005449A0"/>
    <w:rsid w:val="00556267"/>
    <w:rsid w:val="00575445"/>
    <w:rsid w:val="00591395"/>
    <w:rsid w:val="00612F3B"/>
    <w:rsid w:val="00615609"/>
    <w:rsid w:val="006228EF"/>
    <w:rsid w:val="00647A6F"/>
    <w:rsid w:val="006548CE"/>
    <w:rsid w:val="00685350"/>
    <w:rsid w:val="006B76CE"/>
    <w:rsid w:val="006C2DC2"/>
    <w:rsid w:val="00722EAF"/>
    <w:rsid w:val="007326AF"/>
    <w:rsid w:val="00747485"/>
    <w:rsid w:val="0077788B"/>
    <w:rsid w:val="007961AD"/>
    <w:rsid w:val="007B2FB9"/>
    <w:rsid w:val="007C40AC"/>
    <w:rsid w:val="007D18BA"/>
    <w:rsid w:val="007E297B"/>
    <w:rsid w:val="00802EC0"/>
    <w:rsid w:val="00805F1D"/>
    <w:rsid w:val="00823104"/>
    <w:rsid w:val="00856DD9"/>
    <w:rsid w:val="00856E5D"/>
    <w:rsid w:val="00887FB9"/>
    <w:rsid w:val="008B3F49"/>
    <w:rsid w:val="00923AD3"/>
    <w:rsid w:val="00927A02"/>
    <w:rsid w:val="00940E11"/>
    <w:rsid w:val="00962ADD"/>
    <w:rsid w:val="00990412"/>
    <w:rsid w:val="009F3A6A"/>
    <w:rsid w:val="009F6326"/>
    <w:rsid w:val="00A104C7"/>
    <w:rsid w:val="00A234E9"/>
    <w:rsid w:val="00A56EA4"/>
    <w:rsid w:val="00AE156E"/>
    <w:rsid w:val="00AE3022"/>
    <w:rsid w:val="00AF16F8"/>
    <w:rsid w:val="00B21CE1"/>
    <w:rsid w:val="00B259BF"/>
    <w:rsid w:val="00B3390B"/>
    <w:rsid w:val="00B464C0"/>
    <w:rsid w:val="00BA43BA"/>
    <w:rsid w:val="00BA687B"/>
    <w:rsid w:val="00BA6F82"/>
    <w:rsid w:val="00BB5777"/>
    <w:rsid w:val="00BD6E57"/>
    <w:rsid w:val="00C04CEF"/>
    <w:rsid w:val="00C20950"/>
    <w:rsid w:val="00C54B17"/>
    <w:rsid w:val="00C56985"/>
    <w:rsid w:val="00C57989"/>
    <w:rsid w:val="00CF5745"/>
    <w:rsid w:val="00D2322C"/>
    <w:rsid w:val="00D26BAA"/>
    <w:rsid w:val="00D93D8F"/>
    <w:rsid w:val="00DE4E80"/>
    <w:rsid w:val="00DF3447"/>
    <w:rsid w:val="00DF6411"/>
    <w:rsid w:val="00E0439F"/>
    <w:rsid w:val="00E3133C"/>
    <w:rsid w:val="00E37147"/>
    <w:rsid w:val="00E600B1"/>
    <w:rsid w:val="00E85D78"/>
    <w:rsid w:val="00EA2934"/>
    <w:rsid w:val="00EA5CC8"/>
    <w:rsid w:val="00EB7A5F"/>
    <w:rsid w:val="00EE22CE"/>
    <w:rsid w:val="00F14E9B"/>
    <w:rsid w:val="00F53340"/>
    <w:rsid w:val="00F71E34"/>
    <w:rsid w:val="00F84C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CAF2AD1-1143-46B6-B84C-2FDA2EF9D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3" w:qFormat="1"/>
    <w:lsdException w:name="heading 1" w:uiPriority="7" w:qFormat="1"/>
    <w:lsdException w:name="heading 2" w:semiHidden="1" w:uiPriority="8" w:unhideWhenUsed="1" w:qFormat="1"/>
    <w:lsdException w:name="heading 3" w:semiHidden="1" w:uiPriority="9" w:unhideWhenUsed="1" w:qFormat="1"/>
    <w:lsdException w:name="heading 4" w:semiHidden="1" w:uiPriority="10" w:unhideWhenUsed="1" w:qFormat="1"/>
    <w:lsdException w:name="heading 5" w:semiHidden="1" w:uiPriority="9" w:unhideWhenUsed="1" w:qFormat="1"/>
    <w:lsdException w:name="heading 6" w:semiHidden="1" w:uiPriority="8" w:unhideWhenUsed="1" w:qFormat="1"/>
    <w:lsdException w:name="heading 7" w:semiHidden="1" w:uiPriority="9" w:unhideWhenUsed="1" w:qFormat="1"/>
    <w:lsdException w:name="heading 8" w:semiHidden="1" w:uiPriority="10" w:unhideWhenUsed="1" w:qFormat="1"/>
    <w:lsdException w:name="heading 9" w:semiHidden="1" w:uiPriority="1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6" w:unhideWhenUsed="1" w:qFormat="1"/>
    <w:lsdException w:name="List Bullet" w:semiHidden="1" w:unhideWhenUsed="1"/>
    <w:lsdException w:name="List Number" w:semiHidden="1" w:unhideWhenUsed="1"/>
    <w:lsdException w:name="List 2" w:semiHidden="1" w:uiPriority="17" w:unhideWhenUsed="1" w:qFormat="1"/>
    <w:lsdException w:name="List 3" w:semiHidden="1" w:uiPriority="18" w:unhideWhenUsed="1" w:qFormat="1"/>
    <w:lsdException w:name="List 4" w:semiHidden="1" w:uiPriority="19" w:unhideWhenUsed="1" w:qFormat="1"/>
    <w:lsdException w:name="List 5" w:semiHidden="1" w:uiPriority="20" w:unhideWhenUsed="1"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3"/>
    <w:qFormat/>
    <w:rsid w:val="00BA687B"/>
    <w:pPr>
      <w:spacing w:after="0"/>
      <w:jc w:val="both"/>
    </w:pPr>
    <w:rPr>
      <w:sz w:val="20"/>
    </w:rPr>
  </w:style>
  <w:style w:type="paragraph" w:styleId="Heading1">
    <w:name w:val="heading 1"/>
    <w:basedOn w:val="Normal"/>
    <w:next w:val="Normal"/>
    <w:link w:val="Heading1Char"/>
    <w:uiPriority w:val="7"/>
    <w:qFormat/>
    <w:rsid w:val="00BA687B"/>
    <w:pPr>
      <w:pBdr>
        <w:bottom w:val="single" w:sz="4" w:space="1" w:color="auto"/>
      </w:pBdr>
      <w:outlineLvl w:val="0"/>
    </w:pPr>
    <w:rPr>
      <w:b/>
    </w:rPr>
  </w:style>
  <w:style w:type="paragraph" w:styleId="Heading2">
    <w:name w:val="heading 2"/>
    <w:basedOn w:val="Normal"/>
    <w:next w:val="Normal"/>
    <w:link w:val="Heading2Char"/>
    <w:uiPriority w:val="8"/>
    <w:qFormat/>
    <w:rsid w:val="007B2FB9"/>
    <w:pPr>
      <w:outlineLvl w:val="1"/>
    </w:pPr>
    <w:rPr>
      <w:b/>
      <w:u w:val="single"/>
    </w:rPr>
  </w:style>
  <w:style w:type="paragraph" w:styleId="Heading3">
    <w:name w:val="heading 3"/>
    <w:basedOn w:val="Normal"/>
    <w:next w:val="Normal"/>
    <w:link w:val="Heading3Char"/>
    <w:uiPriority w:val="9"/>
    <w:qFormat/>
    <w:rsid w:val="007B2FB9"/>
    <w:pPr>
      <w:numPr>
        <w:ilvl w:val="2"/>
        <w:numId w:val="2"/>
      </w:numPr>
      <w:spacing w:before="60"/>
      <w:outlineLvl w:val="2"/>
    </w:pPr>
  </w:style>
  <w:style w:type="paragraph" w:styleId="Heading4">
    <w:name w:val="heading 4"/>
    <w:basedOn w:val="Heading3"/>
    <w:next w:val="Normal"/>
    <w:link w:val="Heading4Char"/>
    <w:uiPriority w:val="10"/>
    <w:semiHidden/>
    <w:unhideWhenUsed/>
    <w:qFormat/>
    <w:rsid w:val="007B2FB9"/>
    <w:pPr>
      <w:keepNext/>
      <w:keepLines/>
      <w:numPr>
        <w:ilvl w:val="3"/>
      </w:numPr>
      <w:outlineLvl w:val="3"/>
    </w:pPr>
    <w:rPr>
      <w:rFonts w:eastAsiaTheme="majorEastAsia" w:cstheme="majorBidi"/>
      <w:bCs/>
      <w:i/>
      <w:iCs/>
    </w:rPr>
  </w:style>
  <w:style w:type="paragraph" w:styleId="Heading5">
    <w:name w:val="heading 5"/>
    <w:basedOn w:val="Normal"/>
    <w:next w:val="Normal"/>
    <w:link w:val="Heading5Char"/>
    <w:uiPriority w:val="9"/>
    <w:semiHidden/>
    <w:unhideWhenUsed/>
    <w:qFormat/>
    <w:rsid w:val="007B2FB9"/>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8"/>
    <w:semiHidden/>
    <w:unhideWhenUsed/>
    <w:qFormat/>
    <w:rsid w:val="007B2FB9"/>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B2FB9"/>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0"/>
    <w:semiHidden/>
    <w:unhideWhenUsed/>
    <w:qFormat/>
    <w:rsid w:val="007B2FB9"/>
    <w:pPr>
      <w:keepNext/>
      <w:keepLines/>
      <w:numPr>
        <w:ilvl w:val="7"/>
        <w:numId w:val="2"/>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11"/>
    <w:semiHidden/>
    <w:unhideWhenUsed/>
    <w:qFormat/>
    <w:rsid w:val="007B2FB9"/>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7B2FB9"/>
    <w:pPr>
      <w:contextualSpacing/>
      <w:jc w:val="left"/>
    </w:pPr>
    <w:rPr>
      <w:rFonts w:ascii="Arial" w:eastAsia="Arial Unicode MS" w:hAnsi="Arial" w:cs="Arial"/>
      <w:b/>
      <w:caps/>
      <w:spacing w:val="5"/>
      <w:kern w:val="28"/>
      <w:sz w:val="28"/>
      <w:szCs w:val="52"/>
    </w:rPr>
  </w:style>
  <w:style w:type="character" w:customStyle="1" w:styleId="TitleChar">
    <w:name w:val="Title Char"/>
    <w:basedOn w:val="DefaultParagraphFont"/>
    <w:link w:val="Title"/>
    <w:uiPriority w:val="1"/>
    <w:rsid w:val="007B2FB9"/>
    <w:rPr>
      <w:rFonts w:ascii="Arial" w:eastAsia="Arial Unicode MS" w:hAnsi="Arial" w:cs="Arial"/>
      <w:b/>
      <w:caps/>
      <w:spacing w:val="5"/>
      <w:kern w:val="28"/>
      <w:sz w:val="28"/>
      <w:szCs w:val="52"/>
    </w:rPr>
  </w:style>
  <w:style w:type="paragraph" w:customStyle="1" w:styleId="Literaturverzeichnis">
    <w:name w:val="Literaturverzeichnis"/>
    <w:basedOn w:val="Normal"/>
    <w:uiPriority w:val="26"/>
    <w:qFormat/>
    <w:rsid w:val="007B2FB9"/>
    <w:pPr>
      <w:ind w:left="709" w:hanging="709"/>
    </w:pPr>
  </w:style>
  <w:style w:type="paragraph" w:customStyle="1" w:styleId="Annexe">
    <w:name w:val="Annexe"/>
    <w:basedOn w:val="Normal"/>
    <w:uiPriority w:val="28"/>
    <w:qFormat/>
    <w:rsid w:val="007B2FB9"/>
    <w:pPr>
      <w:numPr>
        <w:numId w:val="4"/>
      </w:numPr>
      <w:contextualSpacing/>
    </w:pPr>
    <w:rPr>
      <w:b/>
      <w:noProof/>
      <w:u w:val="single"/>
      <w:lang w:eastAsia="de-DE"/>
    </w:rPr>
  </w:style>
  <w:style w:type="paragraph" w:customStyle="1" w:styleId="Conclusion">
    <w:name w:val="Conclusion"/>
    <w:basedOn w:val="List"/>
    <w:uiPriority w:val="21"/>
    <w:qFormat/>
    <w:rsid w:val="007B2FB9"/>
    <w:pPr>
      <w:numPr>
        <w:numId w:val="6"/>
      </w:numPr>
      <w:contextualSpacing w:val="0"/>
    </w:pPr>
  </w:style>
  <w:style w:type="paragraph" w:styleId="List">
    <w:name w:val="List"/>
    <w:basedOn w:val="Normal"/>
    <w:uiPriority w:val="16"/>
    <w:qFormat/>
    <w:rsid w:val="007B2FB9"/>
    <w:pPr>
      <w:numPr>
        <w:numId w:val="3"/>
      </w:numPr>
      <w:spacing w:before="60"/>
      <w:contextualSpacing/>
    </w:pPr>
  </w:style>
  <w:style w:type="paragraph" w:customStyle="1" w:styleId="ConclusionListe">
    <w:name w:val="Conclusion Liste"/>
    <w:basedOn w:val="List"/>
    <w:uiPriority w:val="99"/>
    <w:semiHidden/>
    <w:unhideWhenUsed/>
    <w:qFormat/>
    <w:rsid w:val="007B2FB9"/>
    <w:pPr>
      <w:numPr>
        <w:numId w:val="5"/>
      </w:numPr>
    </w:pPr>
  </w:style>
  <w:style w:type="paragraph" w:customStyle="1" w:styleId="Sous-titreFiche">
    <w:name w:val="Sous-titre Fiche"/>
    <w:basedOn w:val="Normal"/>
    <w:next w:val="Normal"/>
    <w:uiPriority w:val="6"/>
    <w:qFormat/>
    <w:rsid w:val="007B2FB9"/>
    <w:pPr>
      <w:pBdr>
        <w:bottom w:val="single" w:sz="4" w:space="1" w:color="auto"/>
      </w:pBdr>
    </w:pPr>
    <w:rPr>
      <w:b/>
      <w:smallCaps/>
      <w:sz w:val="24"/>
    </w:rPr>
  </w:style>
  <w:style w:type="paragraph" w:customStyle="1" w:styleId="TitreFiche">
    <w:name w:val="Titre Fiche"/>
    <w:basedOn w:val="Normal"/>
    <w:next w:val="Normal"/>
    <w:uiPriority w:val="5"/>
    <w:qFormat/>
    <w:rsid w:val="007B2FB9"/>
    <w:pPr>
      <w:spacing w:after="60"/>
    </w:pPr>
    <w:rPr>
      <w:b/>
      <w:caps/>
      <w:sz w:val="28"/>
      <w:u w:val="single"/>
    </w:rPr>
  </w:style>
  <w:style w:type="paragraph" w:customStyle="1" w:styleId="Conclusion2">
    <w:name w:val="Conclusion 2"/>
    <w:basedOn w:val="Conclusion"/>
    <w:uiPriority w:val="22"/>
    <w:qFormat/>
    <w:rsid w:val="007B2FB9"/>
    <w:pPr>
      <w:numPr>
        <w:ilvl w:val="1"/>
      </w:numPr>
    </w:pPr>
  </w:style>
  <w:style w:type="paragraph" w:customStyle="1" w:styleId="Conclusion3">
    <w:name w:val="Conclusion 3"/>
    <w:basedOn w:val="Conclusion"/>
    <w:uiPriority w:val="23"/>
    <w:qFormat/>
    <w:rsid w:val="007B2FB9"/>
    <w:pPr>
      <w:numPr>
        <w:ilvl w:val="2"/>
      </w:numPr>
      <w:spacing w:before="0"/>
    </w:pPr>
  </w:style>
  <w:style w:type="paragraph" w:customStyle="1" w:styleId="Conclusion4">
    <w:name w:val="Conclusion 4"/>
    <w:basedOn w:val="Conclusion"/>
    <w:uiPriority w:val="24"/>
    <w:qFormat/>
    <w:rsid w:val="007B2FB9"/>
    <w:pPr>
      <w:numPr>
        <w:ilvl w:val="3"/>
      </w:numPr>
    </w:pPr>
  </w:style>
  <w:style w:type="paragraph" w:customStyle="1" w:styleId="Conclusion5">
    <w:name w:val="Conclusion 5"/>
    <w:basedOn w:val="Conclusion"/>
    <w:uiPriority w:val="25"/>
    <w:qFormat/>
    <w:rsid w:val="007B2FB9"/>
    <w:pPr>
      <w:numPr>
        <w:ilvl w:val="4"/>
      </w:numPr>
    </w:pPr>
  </w:style>
  <w:style w:type="character" w:customStyle="1" w:styleId="Heading1Char">
    <w:name w:val="Heading 1 Char"/>
    <w:basedOn w:val="DefaultParagraphFont"/>
    <w:link w:val="Heading1"/>
    <w:uiPriority w:val="7"/>
    <w:rsid w:val="00BA687B"/>
    <w:rPr>
      <w:b/>
      <w:sz w:val="20"/>
    </w:rPr>
  </w:style>
  <w:style w:type="character" w:customStyle="1" w:styleId="Heading2Char">
    <w:name w:val="Heading 2 Char"/>
    <w:basedOn w:val="DefaultParagraphFont"/>
    <w:link w:val="Heading2"/>
    <w:uiPriority w:val="8"/>
    <w:rsid w:val="007B2FB9"/>
    <w:rPr>
      <w:rFonts w:ascii="Trebuchet MS" w:hAnsi="Trebuchet MS"/>
      <w:b/>
      <w:sz w:val="20"/>
      <w:u w:val="single"/>
    </w:rPr>
  </w:style>
  <w:style w:type="character" w:customStyle="1" w:styleId="Heading3Char">
    <w:name w:val="Heading 3 Char"/>
    <w:basedOn w:val="DefaultParagraphFont"/>
    <w:link w:val="Heading3"/>
    <w:uiPriority w:val="9"/>
    <w:rsid w:val="007B2FB9"/>
    <w:rPr>
      <w:rFonts w:ascii="Trebuchet MS" w:hAnsi="Trebuchet MS"/>
      <w:sz w:val="20"/>
    </w:rPr>
  </w:style>
  <w:style w:type="character" w:customStyle="1" w:styleId="Heading4Char">
    <w:name w:val="Heading 4 Char"/>
    <w:basedOn w:val="DefaultParagraphFont"/>
    <w:link w:val="Heading4"/>
    <w:uiPriority w:val="10"/>
    <w:semiHidden/>
    <w:rsid w:val="007B2FB9"/>
    <w:rPr>
      <w:rFonts w:ascii="Trebuchet MS" w:eastAsiaTheme="majorEastAsia" w:hAnsi="Trebuchet MS" w:cstheme="majorBidi"/>
      <w:bCs/>
      <w:i/>
      <w:iCs/>
      <w:sz w:val="20"/>
    </w:rPr>
  </w:style>
  <w:style w:type="character" w:customStyle="1" w:styleId="Heading5Char">
    <w:name w:val="Heading 5 Char"/>
    <w:basedOn w:val="DefaultParagraphFont"/>
    <w:link w:val="Heading5"/>
    <w:uiPriority w:val="9"/>
    <w:semiHidden/>
    <w:rsid w:val="007B2FB9"/>
    <w:rPr>
      <w:rFonts w:asciiTheme="majorHAnsi" w:eastAsiaTheme="majorEastAsia" w:hAnsiTheme="majorHAnsi" w:cstheme="majorBidi"/>
      <w:color w:val="243F60" w:themeColor="accent1" w:themeShade="7F"/>
      <w:sz w:val="20"/>
    </w:rPr>
  </w:style>
  <w:style w:type="character" w:customStyle="1" w:styleId="Heading6Char">
    <w:name w:val="Heading 6 Char"/>
    <w:basedOn w:val="DefaultParagraphFont"/>
    <w:link w:val="Heading6"/>
    <w:uiPriority w:val="8"/>
    <w:semiHidden/>
    <w:rsid w:val="007B2FB9"/>
    <w:rPr>
      <w:rFonts w:asciiTheme="majorHAnsi" w:eastAsiaTheme="majorEastAsia" w:hAnsiTheme="majorHAnsi" w:cstheme="majorBidi"/>
      <w:i/>
      <w:iCs/>
      <w:color w:val="243F60" w:themeColor="accent1" w:themeShade="7F"/>
      <w:sz w:val="20"/>
    </w:rPr>
  </w:style>
  <w:style w:type="character" w:customStyle="1" w:styleId="Heading7Char">
    <w:name w:val="Heading 7 Char"/>
    <w:basedOn w:val="DefaultParagraphFont"/>
    <w:link w:val="Heading7"/>
    <w:uiPriority w:val="9"/>
    <w:semiHidden/>
    <w:rsid w:val="007B2FB9"/>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uiPriority w:val="10"/>
    <w:semiHidden/>
    <w:rsid w:val="007B2FB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11"/>
    <w:semiHidden/>
    <w:rsid w:val="007B2FB9"/>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qFormat/>
    <w:rsid w:val="007B2FB9"/>
    <w:pPr>
      <w:spacing w:line="240" w:lineRule="auto"/>
    </w:pPr>
    <w:rPr>
      <w:sz w:val="16"/>
      <w:szCs w:val="20"/>
    </w:rPr>
  </w:style>
  <w:style w:type="character" w:customStyle="1" w:styleId="FootnoteTextChar">
    <w:name w:val="Footnote Text Char"/>
    <w:basedOn w:val="DefaultParagraphFont"/>
    <w:link w:val="FootnoteText"/>
    <w:uiPriority w:val="99"/>
    <w:rsid w:val="007B2FB9"/>
    <w:rPr>
      <w:rFonts w:ascii="Trebuchet MS" w:hAnsi="Trebuchet MS"/>
      <w:sz w:val="16"/>
      <w:szCs w:val="20"/>
    </w:rPr>
  </w:style>
  <w:style w:type="paragraph" w:styleId="List2">
    <w:name w:val="List 2"/>
    <w:basedOn w:val="Normal"/>
    <w:uiPriority w:val="17"/>
    <w:qFormat/>
    <w:rsid w:val="007B2FB9"/>
    <w:pPr>
      <w:numPr>
        <w:ilvl w:val="1"/>
        <w:numId w:val="3"/>
      </w:numPr>
      <w:contextualSpacing/>
    </w:pPr>
  </w:style>
  <w:style w:type="paragraph" w:styleId="List3">
    <w:name w:val="List 3"/>
    <w:basedOn w:val="Normal"/>
    <w:uiPriority w:val="18"/>
    <w:qFormat/>
    <w:rsid w:val="007B2FB9"/>
    <w:pPr>
      <w:numPr>
        <w:ilvl w:val="2"/>
        <w:numId w:val="3"/>
      </w:numPr>
      <w:contextualSpacing/>
    </w:pPr>
  </w:style>
  <w:style w:type="paragraph" w:styleId="List4">
    <w:name w:val="List 4"/>
    <w:basedOn w:val="Normal"/>
    <w:uiPriority w:val="19"/>
    <w:qFormat/>
    <w:rsid w:val="007B2FB9"/>
    <w:pPr>
      <w:numPr>
        <w:ilvl w:val="3"/>
        <w:numId w:val="3"/>
      </w:numPr>
      <w:contextualSpacing/>
    </w:pPr>
  </w:style>
  <w:style w:type="paragraph" w:styleId="List5">
    <w:name w:val="List 5"/>
    <w:basedOn w:val="Normal"/>
    <w:uiPriority w:val="20"/>
    <w:qFormat/>
    <w:rsid w:val="007B2FB9"/>
    <w:pPr>
      <w:numPr>
        <w:ilvl w:val="4"/>
        <w:numId w:val="3"/>
      </w:numPr>
      <w:contextualSpacing/>
    </w:pPr>
  </w:style>
  <w:style w:type="paragraph" w:styleId="ListParagraph">
    <w:name w:val="List Paragraph"/>
    <w:basedOn w:val="Normal"/>
    <w:uiPriority w:val="34"/>
    <w:qFormat/>
    <w:rsid w:val="007B2FB9"/>
    <w:pPr>
      <w:ind w:left="720"/>
      <w:contextualSpacing/>
    </w:pPr>
  </w:style>
  <w:style w:type="paragraph" w:styleId="Header">
    <w:name w:val="header"/>
    <w:basedOn w:val="Normal"/>
    <w:link w:val="HeaderChar"/>
    <w:uiPriority w:val="99"/>
    <w:unhideWhenUsed/>
    <w:rsid w:val="00856DD9"/>
    <w:pPr>
      <w:pBdr>
        <w:bottom w:val="single" w:sz="4" w:space="1" w:color="808080" w:themeColor="background1" w:themeShade="80"/>
      </w:pBdr>
      <w:tabs>
        <w:tab w:val="center" w:pos="4513"/>
        <w:tab w:val="right" w:pos="9026"/>
      </w:tabs>
    </w:pPr>
    <w:rPr>
      <w:color w:val="808080" w:themeColor="background1" w:themeShade="80"/>
    </w:rPr>
  </w:style>
  <w:style w:type="character" w:customStyle="1" w:styleId="HeaderChar">
    <w:name w:val="Header Char"/>
    <w:basedOn w:val="DefaultParagraphFont"/>
    <w:link w:val="Header"/>
    <w:uiPriority w:val="99"/>
    <w:rsid w:val="00856DD9"/>
    <w:rPr>
      <w:rFonts w:ascii="Trebuchet MS" w:hAnsi="Trebuchet MS"/>
      <w:color w:val="808080" w:themeColor="background1" w:themeShade="80"/>
      <w:sz w:val="20"/>
    </w:rPr>
  </w:style>
  <w:style w:type="paragraph" w:customStyle="1" w:styleId="NormalEncadr">
    <w:name w:val="Normal Encadré"/>
    <w:basedOn w:val="Normal"/>
    <w:uiPriority w:val="4"/>
    <w:qFormat/>
    <w:rsid w:val="007B2FB9"/>
    <w:pPr>
      <w:shd w:val="pct15" w:color="auto" w:fill="auto"/>
    </w:pPr>
  </w:style>
  <w:style w:type="paragraph" w:styleId="Footer">
    <w:name w:val="footer"/>
    <w:basedOn w:val="Normal"/>
    <w:link w:val="FooterChar"/>
    <w:uiPriority w:val="99"/>
    <w:unhideWhenUsed/>
    <w:rsid w:val="00856DD9"/>
    <w:pPr>
      <w:tabs>
        <w:tab w:val="center" w:pos="4513"/>
        <w:tab w:val="right" w:pos="9026"/>
      </w:tabs>
      <w:spacing w:line="240" w:lineRule="auto"/>
    </w:pPr>
  </w:style>
  <w:style w:type="character" w:customStyle="1" w:styleId="FooterChar">
    <w:name w:val="Footer Char"/>
    <w:basedOn w:val="DefaultParagraphFont"/>
    <w:link w:val="Footer"/>
    <w:uiPriority w:val="99"/>
    <w:rsid w:val="00856DD9"/>
    <w:rPr>
      <w:rFonts w:ascii="Trebuchet MS" w:hAnsi="Trebuchet MS"/>
      <w:sz w:val="20"/>
    </w:rPr>
  </w:style>
  <w:style w:type="paragraph" w:styleId="Subtitle">
    <w:name w:val="Subtitle"/>
    <w:basedOn w:val="Sous-titreFiche"/>
    <w:next w:val="Normal"/>
    <w:link w:val="SubtitleChar"/>
    <w:uiPriority w:val="2"/>
    <w:rsid w:val="007E297B"/>
    <w:rPr>
      <w:rFonts w:ascii="Arial" w:hAnsi="Arial" w:cs="Arial"/>
    </w:rPr>
  </w:style>
  <w:style w:type="character" w:customStyle="1" w:styleId="SubtitleChar">
    <w:name w:val="Subtitle Char"/>
    <w:basedOn w:val="DefaultParagraphFont"/>
    <w:link w:val="Subtitle"/>
    <w:uiPriority w:val="2"/>
    <w:rsid w:val="007E297B"/>
    <w:rPr>
      <w:rFonts w:ascii="Arial" w:hAnsi="Arial" w:cs="Arial"/>
      <w:b/>
      <w:smallCaps/>
      <w:sz w:val="24"/>
    </w:rPr>
  </w:style>
  <w:style w:type="character" w:styleId="FootnoteReference">
    <w:name w:val="footnote reference"/>
    <w:basedOn w:val="DefaultParagraphFont"/>
    <w:uiPriority w:val="99"/>
    <w:rsid w:val="007D18BA"/>
    <w:rPr>
      <w:sz w:val="20"/>
      <w:vertAlign w:val="superscript"/>
    </w:rPr>
  </w:style>
  <w:style w:type="paragraph" w:styleId="BalloonText">
    <w:name w:val="Balloon Text"/>
    <w:basedOn w:val="Normal"/>
    <w:link w:val="BalloonTextChar"/>
    <w:uiPriority w:val="99"/>
    <w:semiHidden/>
    <w:unhideWhenUsed/>
    <w:rsid w:val="00722E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2EAF"/>
    <w:rPr>
      <w:rFonts w:ascii="Tahoma" w:hAnsi="Tahoma" w:cs="Tahoma"/>
      <w:sz w:val="16"/>
      <w:szCs w:val="16"/>
    </w:rPr>
  </w:style>
  <w:style w:type="paragraph" w:styleId="CommentText">
    <w:name w:val="annotation text"/>
    <w:basedOn w:val="Normal"/>
    <w:link w:val="CommentTextChar"/>
    <w:uiPriority w:val="99"/>
    <w:semiHidden/>
    <w:unhideWhenUsed/>
    <w:rsid w:val="007D18BA"/>
    <w:pPr>
      <w:spacing w:line="240" w:lineRule="auto"/>
    </w:pPr>
    <w:rPr>
      <w:rFonts w:ascii="Times New Roman" w:hAnsi="Times New Roman"/>
      <w:szCs w:val="20"/>
      <w:lang w:eastAsia="fr-FR"/>
    </w:rPr>
  </w:style>
  <w:style w:type="character" w:customStyle="1" w:styleId="CommentTextChar">
    <w:name w:val="Comment Text Char"/>
    <w:basedOn w:val="DefaultParagraphFont"/>
    <w:link w:val="CommentText"/>
    <w:uiPriority w:val="99"/>
    <w:semiHidden/>
    <w:rsid w:val="007D18BA"/>
    <w:rPr>
      <w:rFonts w:ascii="Times New Roman" w:hAnsi="Times New Roman"/>
      <w:sz w:val="20"/>
      <w:szCs w:val="20"/>
      <w:lang w:eastAsia="fr-FR"/>
    </w:rPr>
  </w:style>
  <w:style w:type="character" w:styleId="CommentReference">
    <w:name w:val="annotation reference"/>
    <w:basedOn w:val="DefaultParagraphFont"/>
    <w:uiPriority w:val="99"/>
    <w:semiHidden/>
    <w:unhideWhenUsed/>
    <w:rsid w:val="007D18BA"/>
    <w:rPr>
      <w:sz w:val="16"/>
      <w:szCs w:val="16"/>
    </w:rPr>
  </w:style>
  <w:style w:type="table" w:styleId="TableGrid">
    <w:name w:val="Table Grid"/>
    <w:basedOn w:val="TableNormal"/>
    <w:uiPriority w:val="59"/>
    <w:rsid w:val="00EA5C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A5CC8"/>
    <w:rPr>
      <w:color w:val="0000FF"/>
      <w:u w:val="single"/>
    </w:rPr>
  </w:style>
  <w:style w:type="table" w:styleId="LightShading">
    <w:name w:val="Light Shading"/>
    <w:basedOn w:val="TableNormal"/>
    <w:uiPriority w:val="60"/>
    <w:rsid w:val="00EA5CC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FollowedHyperlink">
    <w:name w:val="FollowedHyperlink"/>
    <w:basedOn w:val="DefaultParagraphFont"/>
    <w:uiPriority w:val="99"/>
    <w:semiHidden/>
    <w:unhideWhenUsed/>
    <w:rsid w:val="004E6573"/>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4A5FDD"/>
    <w:rPr>
      <w:rFonts w:ascii="Trebuchet MS" w:hAnsi="Trebuchet MS"/>
      <w:b/>
      <w:bCs/>
      <w:lang w:eastAsia="en-US"/>
    </w:rPr>
  </w:style>
  <w:style w:type="character" w:customStyle="1" w:styleId="CommentSubjectChar">
    <w:name w:val="Comment Subject Char"/>
    <w:basedOn w:val="CommentTextChar"/>
    <w:link w:val="CommentSubject"/>
    <w:uiPriority w:val="99"/>
    <w:semiHidden/>
    <w:rsid w:val="004A5FDD"/>
    <w:rPr>
      <w:rFonts w:ascii="Trebuchet MS" w:hAnsi="Trebuchet MS"/>
      <w:b/>
      <w:bCs/>
      <w:sz w:val="20"/>
      <w:szCs w:val="20"/>
      <w:lang w:eastAsia="fr-FR"/>
    </w:rPr>
  </w:style>
  <w:style w:type="character" w:styleId="PlaceholderText">
    <w:name w:val="Placeholder Text"/>
    <w:basedOn w:val="DefaultParagraphFont"/>
    <w:uiPriority w:val="99"/>
    <w:semiHidden/>
    <w:rsid w:val="00DE4E80"/>
    <w:rPr>
      <w:color w:val="808080"/>
    </w:rPr>
  </w:style>
  <w:style w:type="paragraph" w:styleId="TOC1">
    <w:name w:val="toc 1"/>
    <w:basedOn w:val="Normal"/>
    <w:next w:val="Normal"/>
    <w:autoRedefine/>
    <w:uiPriority w:val="39"/>
    <w:unhideWhenUsed/>
    <w:rsid w:val="00BA43B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048711">
      <w:bodyDiv w:val="1"/>
      <w:marLeft w:val="0"/>
      <w:marRight w:val="0"/>
      <w:marTop w:val="0"/>
      <w:marBottom w:val="0"/>
      <w:divBdr>
        <w:top w:val="none" w:sz="0" w:space="0" w:color="auto"/>
        <w:left w:val="none" w:sz="0" w:space="0" w:color="auto"/>
        <w:bottom w:val="none" w:sz="0" w:space="0" w:color="auto"/>
        <w:right w:val="none" w:sz="0" w:space="0" w:color="auto"/>
      </w:divBdr>
    </w:div>
    <w:div w:id="120763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hirschberger\Documents\Administratif\Documents%20types\Note%20ECPM.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7A77BD-97CF-4669-8A62-1ECFA3B31320}"/>
</file>

<file path=customXml/itemProps2.xml><?xml version="1.0" encoding="utf-8"?>
<ds:datastoreItem xmlns:ds="http://schemas.openxmlformats.org/officeDocument/2006/customXml" ds:itemID="{1AAAD993-CF1D-42F3-8023-0FB690327383}"/>
</file>

<file path=customXml/itemProps3.xml><?xml version="1.0" encoding="utf-8"?>
<ds:datastoreItem xmlns:ds="http://schemas.openxmlformats.org/officeDocument/2006/customXml" ds:itemID="{5C0904D0-B12E-4C27-AEBE-C5BC4606C72C}"/>
</file>

<file path=customXml/itemProps4.xml><?xml version="1.0" encoding="utf-8"?>
<ds:datastoreItem xmlns:ds="http://schemas.openxmlformats.org/officeDocument/2006/customXml" ds:itemID="{B92B115A-FB96-4FCA-8C72-CC9393750BAF}"/>
</file>

<file path=docProps/app.xml><?xml version="1.0" encoding="utf-8"?>
<Properties xmlns="http://schemas.openxmlformats.org/officeDocument/2006/extended-properties" xmlns:vt="http://schemas.openxmlformats.org/officeDocument/2006/docPropsVTypes">
  <Template>Note ECPM.dotx</Template>
  <TotalTime>1</TotalTime>
  <Pages>6</Pages>
  <Words>1683</Words>
  <Characters>9598</Characters>
  <Application>Microsoft Office Word</Application>
  <DocSecurity>4</DocSecurity>
  <Lines>79</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Jeanne Hirschberger</dc:creator>
  <cp:lastModifiedBy>TRILLO DIAZ Liliana</cp:lastModifiedBy>
  <cp:revision>2</cp:revision>
  <cp:lastPrinted>2018-06-25T15:40:00Z</cp:lastPrinted>
  <dcterms:created xsi:type="dcterms:W3CDTF">2018-07-03T11:57:00Z</dcterms:created>
  <dcterms:modified xsi:type="dcterms:W3CDTF">2018-07-03T11:57:00Z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zotero-version="5.0.52"&gt;&lt;session id="ZJqiMUof"/&gt;&lt;style id="http://www.zotero.org/styles/lettres-et-sciences-humaines-fr" hasBibliography="1" bibliographyStyleHasBeenSet="0"/&gt;&lt;prefs&gt;&lt;pref name="fieldType" value="Field"/&gt;&lt;pref name="a</vt:lpwstr>
  </property>
  <property fmtid="{D5CDD505-2E9C-101B-9397-08002B2CF9AE}" pid="3" name="ZOTERO_PREF_2">
    <vt:lpwstr>utomaticJournalAbbreviations" value="true"/&gt;&lt;pref name="noteType" value="1"/&gt;&lt;/prefs&gt;&lt;/data&gt;</vt:lpwstr>
  </property>
  <property fmtid="{D5CDD505-2E9C-101B-9397-08002B2CF9AE}" pid="4" name="ContentTypeId">
    <vt:lpwstr>0x01010022B3C51BB8F9654FB8068485B2E4975B</vt:lpwstr>
  </property>
</Properties>
</file>