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4372" w:rsidRPr="00446153" w:rsidRDefault="00004372" w:rsidP="00004372">
      <w:pPr>
        <w:spacing w:after="120" w:line="240" w:lineRule="auto"/>
        <w:jc w:val="center"/>
        <w:rPr>
          <w:rFonts w:cs="Calibri"/>
          <w:b/>
          <w:color w:val="000000"/>
          <w:sz w:val="23"/>
          <w:szCs w:val="23"/>
        </w:rPr>
      </w:pPr>
      <w:r w:rsidRPr="00446153">
        <w:rPr>
          <w:rFonts w:cs="Calibri"/>
          <w:b/>
          <w:color w:val="000000"/>
          <w:sz w:val="23"/>
          <w:szCs w:val="23"/>
        </w:rPr>
        <w:t xml:space="preserve">INFORME </w:t>
      </w:r>
      <w:r>
        <w:rPr>
          <w:rFonts w:cs="Calibri"/>
          <w:b/>
          <w:color w:val="000000"/>
          <w:sz w:val="23"/>
          <w:szCs w:val="23"/>
        </w:rPr>
        <w:t xml:space="preserve">ELABORADO POR EL CENTRO DE LA MUJER PERUANA FLORA TRISTAN </w:t>
      </w:r>
      <w:r w:rsidRPr="00446153">
        <w:rPr>
          <w:rFonts w:cs="Calibri"/>
          <w:b/>
          <w:color w:val="000000"/>
          <w:sz w:val="23"/>
          <w:szCs w:val="23"/>
        </w:rPr>
        <w:t xml:space="preserve">AL COMITÉ CONTRA LA TORTURA DE NACIONES UNIDAS RELATIVO A LA APLICACIÓN DE LA CONVENCIÓN CONTRA LA TORTURA Y OTROS TRATOS O PENAS CRUELES, INHUMANOS O DEGRADANTES, EN EL MARCO DEL EXÁMEN PERIÓDICO DEL ESTADO DE </w:t>
      </w:r>
      <w:r>
        <w:rPr>
          <w:rFonts w:cs="Calibri"/>
          <w:b/>
          <w:color w:val="000000"/>
          <w:sz w:val="23"/>
          <w:szCs w:val="23"/>
        </w:rPr>
        <w:t>PERÚ</w:t>
      </w:r>
    </w:p>
    <w:p w:rsidR="00004372" w:rsidRDefault="00004372" w:rsidP="00004372">
      <w:pPr>
        <w:spacing w:after="120" w:line="240" w:lineRule="auto"/>
        <w:jc w:val="center"/>
        <w:rPr>
          <w:rFonts w:cs="Calibri"/>
          <w:b/>
          <w:color w:val="000000"/>
          <w:sz w:val="23"/>
          <w:szCs w:val="23"/>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6B09BD" w:rsidTr="006B09BD">
        <w:trPr>
          <w:trHeight w:val="1893"/>
        </w:trPr>
        <w:tc>
          <w:tcPr>
            <w:tcW w:w="4247" w:type="dxa"/>
          </w:tcPr>
          <w:p w:rsidR="006B09BD" w:rsidRDefault="006B09BD" w:rsidP="00004372">
            <w:pPr>
              <w:spacing w:after="120"/>
              <w:jc w:val="center"/>
              <w:rPr>
                <w:rFonts w:cs="Calibri"/>
                <w:b/>
                <w:color w:val="000000"/>
                <w:sz w:val="23"/>
                <w:szCs w:val="23"/>
              </w:rPr>
            </w:pPr>
            <w:r>
              <w:rPr>
                <w:noProof/>
                <w:lang w:eastAsia="es-PE"/>
              </w:rPr>
              <w:drawing>
                <wp:inline distT="0" distB="0" distL="0" distR="0" wp14:anchorId="13FA706A" wp14:editId="09B75533">
                  <wp:extent cx="2095500" cy="1104900"/>
                  <wp:effectExtent l="0" t="0" r="0" b="0"/>
                  <wp:docPr id="1" name="Imagen 1" descr="Imagen relacio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n relacionada"/>
                          <pic:cNvPicPr>
                            <a:picLocks noChangeAspect="1" noChangeArrowheads="1"/>
                          </pic:cNvPicPr>
                        </pic:nvPicPr>
                        <pic:blipFill rotWithShape="1">
                          <a:blip r:embed="rId8">
                            <a:extLst>
                              <a:ext uri="{28A0092B-C50C-407E-A947-70E740481C1C}">
                                <a14:useLocalDpi xmlns:a14="http://schemas.microsoft.com/office/drawing/2010/main" val="0"/>
                              </a:ext>
                            </a:extLst>
                          </a:blip>
                          <a:srcRect t="22849" r="2077" b="25518"/>
                          <a:stretch/>
                        </pic:blipFill>
                        <pic:spPr bwMode="auto">
                          <a:xfrm>
                            <a:off x="0" y="0"/>
                            <a:ext cx="2095500" cy="11049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47" w:type="dxa"/>
          </w:tcPr>
          <w:p w:rsidR="006B09BD" w:rsidRPr="006B09BD" w:rsidRDefault="00433AB2" w:rsidP="006B09BD">
            <w:pPr>
              <w:spacing w:after="120"/>
              <w:jc w:val="both"/>
              <w:rPr>
                <w:rFonts w:cs="Calibri"/>
                <w:color w:val="000000"/>
                <w:sz w:val="23"/>
                <w:szCs w:val="23"/>
              </w:rPr>
            </w:pPr>
            <w:hyperlink r:id="rId9" w:history="1">
              <w:r w:rsidR="006B09BD" w:rsidRPr="006B09BD">
                <w:rPr>
                  <w:rStyle w:val="Hipervnculo"/>
                  <w:rFonts w:cs="Calibri"/>
                  <w:sz w:val="23"/>
                  <w:szCs w:val="23"/>
                </w:rPr>
                <w:t>www.flora.org.pe</w:t>
              </w:r>
            </w:hyperlink>
          </w:p>
          <w:p w:rsidR="006B09BD" w:rsidRPr="006B09BD" w:rsidRDefault="00433AB2" w:rsidP="006B09BD">
            <w:pPr>
              <w:spacing w:after="120"/>
              <w:jc w:val="both"/>
              <w:rPr>
                <w:rFonts w:cs="Calibri"/>
                <w:color w:val="000000"/>
                <w:sz w:val="23"/>
                <w:szCs w:val="23"/>
              </w:rPr>
            </w:pPr>
            <w:hyperlink r:id="rId10" w:history="1">
              <w:r w:rsidR="006B09BD" w:rsidRPr="006B09BD">
                <w:rPr>
                  <w:rStyle w:val="Hipervnculo"/>
                  <w:rFonts w:cs="Calibri"/>
                  <w:sz w:val="23"/>
                  <w:szCs w:val="23"/>
                </w:rPr>
                <w:t>postmast@flora.org.pe</w:t>
              </w:r>
            </w:hyperlink>
          </w:p>
          <w:p w:rsidR="006B09BD" w:rsidRPr="006B09BD" w:rsidRDefault="006B09BD" w:rsidP="006B09BD">
            <w:pPr>
              <w:spacing w:after="120"/>
              <w:jc w:val="both"/>
              <w:rPr>
                <w:rFonts w:cs="Calibri"/>
                <w:color w:val="000000"/>
                <w:sz w:val="23"/>
                <w:szCs w:val="23"/>
              </w:rPr>
            </w:pPr>
            <w:r w:rsidRPr="006B09BD">
              <w:rPr>
                <w:rFonts w:cs="Calibri"/>
                <w:color w:val="000000"/>
                <w:sz w:val="23"/>
                <w:szCs w:val="23"/>
              </w:rPr>
              <w:t>(511) 4332000</w:t>
            </w:r>
          </w:p>
          <w:p w:rsidR="006B09BD" w:rsidRDefault="006B09BD" w:rsidP="006B09BD">
            <w:pPr>
              <w:spacing w:after="120"/>
              <w:jc w:val="both"/>
              <w:rPr>
                <w:rFonts w:cs="Calibri"/>
                <w:b/>
                <w:color w:val="000000"/>
                <w:sz w:val="23"/>
                <w:szCs w:val="23"/>
              </w:rPr>
            </w:pPr>
            <w:r w:rsidRPr="006B09BD">
              <w:rPr>
                <w:rFonts w:cs="Calibri"/>
                <w:color w:val="000000"/>
                <w:sz w:val="23"/>
                <w:szCs w:val="23"/>
              </w:rPr>
              <w:t>Dirección: Parque Hernán Velarde N° 42 Lima</w:t>
            </w:r>
          </w:p>
        </w:tc>
      </w:tr>
    </w:tbl>
    <w:p w:rsidR="006B09BD" w:rsidRDefault="006B09BD" w:rsidP="00004372">
      <w:pPr>
        <w:spacing w:after="120" w:line="240" w:lineRule="auto"/>
        <w:jc w:val="center"/>
        <w:rPr>
          <w:rFonts w:cs="Calibri"/>
          <w:b/>
          <w:color w:val="000000"/>
          <w:sz w:val="23"/>
          <w:szCs w:val="23"/>
        </w:rPr>
      </w:pPr>
    </w:p>
    <w:p w:rsidR="00004372" w:rsidRPr="00004372" w:rsidRDefault="00004372" w:rsidP="00004372">
      <w:pPr>
        <w:spacing w:after="120" w:line="240" w:lineRule="auto"/>
        <w:jc w:val="center"/>
        <w:rPr>
          <w:rFonts w:cs="Calibri"/>
          <w:b/>
          <w:color w:val="000000"/>
          <w:sz w:val="23"/>
          <w:szCs w:val="23"/>
        </w:rPr>
      </w:pPr>
    </w:p>
    <w:p w:rsidR="00004372" w:rsidRPr="00446153" w:rsidRDefault="00004372" w:rsidP="00004372">
      <w:pPr>
        <w:spacing w:after="120" w:line="240" w:lineRule="auto"/>
        <w:jc w:val="center"/>
        <w:rPr>
          <w:rFonts w:cs="Calibri"/>
          <w:b/>
          <w:i/>
          <w:color w:val="000000"/>
          <w:sz w:val="23"/>
          <w:szCs w:val="23"/>
        </w:rPr>
      </w:pPr>
      <w:r>
        <w:rPr>
          <w:rFonts w:cs="Calibri"/>
          <w:b/>
          <w:i/>
          <w:color w:val="000000"/>
          <w:sz w:val="23"/>
          <w:szCs w:val="23"/>
        </w:rPr>
        <w:t>Octubre</w:t>
      </w:r>
      <w:r w:rsidRPr="00446153">
        <w:rPr>
          <w:rFonts w:cs="Calibri"/>
          <w:b/>
          <w:i/>
          <w:color w:val="000000"/>
          <w:sz w:val="23"/>
          <w:szCs w:val="23"/>
        </w:rPr>
        <w:t>, 2018</w:t>
      </w:r>
    </w:p>
    <w:p w:rsidR="00004372" w:rsidRDefault="00004372">
      <w:pPr>
        <w:rPr>
          <w:b/>
        </w:rPr>
      </w:pPr>
    </w:p>
    <w:p w:rsidR="000D3FB1" w:rsidRDefault="006B09BD" w:rsidP="006B09BD">
      <w:pPr>
        <w:rPr>
          <w:b/>
        </w:rPr>
      </w:pPr>
      <w:r>
        <w:rPr>
          <w:b/>
        </w:rPr>
        <w:t xml:space="preserve">Antecedentes </w:t>
      </w:r>
    </w:p>
    <w:p w:rsidR="00354C34" w:rsidRDefault="006B09BD" w:rsidP="00337D9B">
      <w:pPr>
        <w:pStyle w:val="Prrafodelista"/>
        <w:numPr>
          <w:ilvl w:val="0"/>
          <w:numId w:val="4"/>
        </w:numPr>
        <w:jc w:val="both"/>
      </w:pPr>
      <w:r>
        <w:t xml:space="preserve">El Centro de la Mujer Peruana Flora Tristán es una ONG fundada en 1979 y cuenta con estatus consultivo especial ante el ECOSOC. Tiene como misión institucional </w:t>
      </w:r>
      <w:r w:rsidR="00354C34">
        <w:t xml:space="preserve">el </w:t>
      </w:r>
      <w:r w:rsidR="00354C34" w:rsidRPr="00354C34">
        <w:t>combatir las causas estructurales que restringen la ciudadanía de las mujeres y/o afectan su ejercicio. En consecuencia, se propone incidir en la ampliación de la ciudadanía de las mujeres y en las políticas y procesos de desarrollo para que respondan a criterios y resultados de equidad y justicia de género</w:t>
      </w:r>
      <w:r w:rsidR="00354C34">
        <w:t>.</w:t>
      </w:r>
    </w:p>
    <w:p w:rsidR="00337D9B" w:rsidRPr="00354C34" w:rsidRDefault="00337D9B" w:rsidP="00337D9B">
      <w:pPr>
        <w:pStyle w:val="Prrafodelista"/>
        <w:ind w:left="360"/>
        <w:jc w:val="both"/>
      </w:pPr>
    </w:p>
    <w:p w:rsidR="006B09BD" w:rsidRDefault="006B09BD" w:rsidP="00337D9B">
      <w:pPr>
        <w:pStyle w:val="Prrafodelista"/>
        <w:numPr>
          <w:ilvl w:val="0"/>
          <w:numId w:val="4"/>
        </w:numPr>
        <w:jc w:val="both"/>
      </w:pPr>
      <w:r>
        <w:t xml:space="preserve">El presente informe se elabora centrándose en dos situaciones que han sido materia de las recomendaciones del Comité a los informes del Estado Peruano en el periodo previo: la interrupción legal del embarazo y la violencia contra las mujeres. </w:t>
      </w:r>
    </w:p>
    <w:p w:rsidR="004C262D" w:rsidRDefault="004C262D" w:rsidP="004C262D">
      <w:pPr>
        <w:pStyle w:val="Prrafodelista"/>
      </w:pPr>
    </w:p>
    <w:tbl>
      <w:tblPr>
        <w:tblStyle w:val="Tablaconcuadrcula"/>
        <w:tblW w:w="0" w:type="auto"/>
        <w:tblLook w:val="04A0" w:firstRow="1" w:lastRow="0" w:firstColumn="1" w:lastColumn="0" w:noHBand="0" w:noVBand="1"/>
      </w:tblPr>
      <w:tblGrid>
        <w:gridCol w:w="8494"/>
      </w:tblGrid>
      <w:tr w:rsidR="004C262D" w:rsidTr="004C262D">
        <w:trPr>
          <w:trHeight w:val="226"/>
        </w:trPr>
        <w:tc>
          <w:tcPr>
            <w:tcW w:w="8494" w:type="dxa"/>
          </w:tcPr>
          <w:p w:rsidR="004C262D" w:rsidRPr="004C262D" w:rsidRDefault="004C262D" w:rsidP="004C262D">
            <w:pPr>
              <w:rPr>
                <w:b/>
              </w:rPr>
            </w:pPr>
            <w:r w:rsidRPr="001047C2">
              <w:rPr>
                <w:b/>
              </w:rPr>
              <w:t>Violencia contra la mujer</w:t>
            </w:r>
          </w:p>
        </w:tc>
      </w:tr>
    </w:tbl>
    <w:p w:rsidR="006B09BD" w:rsidRDefault="006B09BD" w:rsidP="006B09BD">
      <w:pPr>
        <w:rPr>
          <w:b/>
        </w:rPr>
      </w:pPr>
    </w:p>
    <w:p w:rsidR="001047C2" w:rsidRDefault="001047C2" w:rsidP="00337D9B">
      <w:pPr>
        <w:pStyle w:val="Prrafodelista"/>
        <w:numPr>
          <w:ilvl w:val="0"/>
          <w:numId w:val="4"/>
        </w:numPr>
        <w:jc w:val="both"/>
      </w:pPr>
      <w:r>
        <w:t>En relación con esta problemática sobre la cual el Comité emitió recomendaciones (</w:t>
      </w:r>
      <w:r w:rsidR="00AA367A">
        <w:t>párrafo</w:t>
      </w:r>
      <w:r>
        <w:t xml:space="preserve"> 14 del </w:t>
      </w:r>
      <w:r w:rsidRPr="001047C2">
        <w:t>CAT/C/PER/CO/5-6</w:t>
      </w:r>
      <w:r>
        <w:t>)</w:t>
      </w:r>
      <w:r w:rsidR="00E706D0">
        <w:t xml:space="preserve"> y ha sido incluida en </w:t>
      </w:r>
      <w:r w:rsidR="004C262D">
        <w:t>l</w:t>
      </w:r>
      <w:r w:rsidR="00E706D0">
        <w:t>a lista de cuestiones previas (</w:t>
      </w:r>
      <w:r w:rsidR="00AA367A">
        <w:t>párrafo</w:t>
      </w:r>
      <w:r w:rsidR="00E706D0">
        <w:t xml:space="preserve"> 6 del </w:t>
      </w:r>
      <w:r w:rsidR="00E706D0" w:rsidRPr="00E706D0">
        <w:t>CAT/C/PER/QPR/7</w:t>
      </w:r>
      <w:r w:rsidR="00E706D0">
        <w:t>)</w:t>
      </w:r>
      <w:r w:rsidR="000D3FB1">
        <w:t>. E</w:t>
      </w:r>
      <w:r w:rsidR="00AA367A">
        <w:t xml:space="preserve">l Estado Peruano ha informado la aprobación de diferentes normativas como la Ley N° 30364, su reglamento y el Decreto Legislativo 1323 así como la aprobación del Plan Nacional contra la violencia de género (párrafos 26 al 40 del </w:t>
      </w:r>
      <w:r w:rsidR="00AA367A" w:rsidRPr="00AA367A">
        <w:t>CAT/C/PER/QPR/7</w:t>
      </w:r>
      <w:r w:rsidR="00AA367A">
        <w:t xml:space="preserve">). </w:t>
      </w:r>
      <w:r w:rsidR="00C90BEA">
        <w:t>Ante ello deseamos informar los siguientes datos:</w:t>
      </w:r>
    </w:p>
    <w:p w:rsidR="004C1DCE" w:rsidRDefault="004C1DCE" w:rsidP="00354C34">
      <w:pPr>
        <w:pStyle w:val="Prrafodelista"/>
        <w:ind w:left="360"/>
        <w:jc w:val="both"/>
      </w:pPr>
    </w:p>
    <w:p w:rsidR="009208B6" w:rsidRDefault="00AA367A" w:rsidP="00337D9B">
      <w:pPr>
        <w:pStyle w:val="Prrafodelista"/>
        <w:numPr>
          <w:ilvl w:val="0"/>
          <w:numId w:val="4"/>
        </w:numPr>
        <w:jc w:val="both"/>
      </w:pPr>
      <w:r>
        <w:t>La situación de violencia que afecta a las mujeres y niñas del país sigue siendo alarmante</w:t>
      </w:r>
      <w:r w:rsidR="000D3FB1">
        <w:t xml:space="preserve">. </w:t>
      </w:r>
      <w:r w:rsidR="00707DF2">
        <w:t xml:space="preserve">Los casos de violencia contra las mujeres </w:t>
      </w:r>
      <w:r w:rsidR="009208B6">
        <w:t xml:space="preserve">se han ido visibilizando, </w:t>
      </w:r>
      <w:r w:rsidR="00707DF2">
        <w:t>en especial la violencia en el ámbito familia</w:t>
      </w:r>
      <w:r w:rsidR="009208B6">
        <w:t>, acoso sexual callejero, violencia sexual y feminicidio. El Observatorio de la Criminalidad del Ministerio Público</w:t>
      </w:r>
      <w:r w:rsidR="009208B6">
        <w:rPr>
          <w:rStyle w:val="Refdenotaalpie"/>
        </w:rPr>
        <w:footnoteReference w:id="1"/>
      </w:r>
      <w:r w:rsidR="009208B6">
        <w:t xml:space="preserve"> da cuenta </w:t>
      </w:r>
      <w:r w:rsidR="00171F74">
        <w:t xml:space="preserve">a través de dos infografías que a nivel nacional en esta institución existen </w:t>
      </w:r>
      <w:r w:rsidR="009208B6">
        <w:t>441</w:t>
      </w:r>
      <w:r w:rsidR="00171F74">
        <w:t>,</w:t>
      </w:r>
      <w:r w:rsidR="009208B6">
        <w:t xml:space="preserve">741 denuncias por violencia familiar en el periodo 2013-2015 y </w:t>
      </w:r>
      <w:r w:rsidR="009208B6" w:rsidRPr="009208B6">
        <w:t>518</w:t>
      </w:r>
      <w:r w:rsidR="00171F74">
        <w:t>,</w:t>
      </w:r>
      <w:r w:rsidR="009208B6" w:rsidRPr="009208B6">
        <w:t>285</w:t>
      </w:r>
      <w:r w:rsidR="009208B6">
        <w:t xml:space="preserve"> denuncias por lesiones y agresiones contra las mujeres y los </w:t>
      </w:r>
      <w:r w:rsidR="009208B6">
        <w:lastRenderedPageBreak/>
        <w:t>integrantes del grupo familiar en el periodo 2016 -2018</w:t>
      </w:r>
      <w:r w:rsidR="00171F74">
        <w:t xml:space="preserve"> (abril) </w:t>
      </w:r>
      <w:r w:rsidR="009208B6">
        <w:t>y 552 casos de feminicidios en el periodo 2013-2018</w:t>
      </w:r>
      <w:r w:rsidR="00171F74">
        <w:t xml:space="preserve"> (abril)</w:t>
      </w:r>
      <w:r w:rsidR="00004372">
        <w:t>; asimismo las cifras de casos de feminicidio reportados en los Centros de Emergencia Mujer (CEM), durante lo que va del 2018 dan cuenta de un incremento  del 13% en comparación con los casos registrados por este establecimiento en el año 2017</w:t>
      </w:r>
      <w:r w:rsidR="009208B6">
        <w:t>.</w:t>
      </w:r>
      <w:r w:rsidR="00171F74">
        <w:t xml:space="preserve"> </w:t>
      </w:r>
      <w:r w:rsidR="009208B6">
        <w:t xml:space="preserve"> </w:t>
      </w:r>
    </w:p>
    <w:p w:rsidR="004C1DCE" w:rsidRDefault="004C1DCE" w:rsidP="004C1DCE">
      <w:pPr>
        <w:pStyle w:val="Prrafodelista"/>
        <w:jc w:val="both"/>
      </w:pPr>
    </w:p>
    <w:p w:rsidR="00BC7438" w:rsidRDefault="00171F74" w:rsidP="00337D9B">
      <w:pPr>
        <w:pStyle w:val="Prrafodelista"/>
        <w:numPr>
          <w:ilvl w:val="0"/>
          <w:numId w:val="4"/>
        </w:numPr>
        <w:jc w:val="both"/>
      </w:pPr>
      <w:r>
        <w:t xml:space="preserve">Los casos que se han ido visibilizando dan cuenta de formas </w:t>
      </w:r>
      <w:r w:rsidR="004C262D">
        <w:t>más</w:t>
      </w:r>
      <w:r>
        <w:t xml:space="preserve"> agresivas de ataque a las mujeres, es así </w:t>
      </w:r>
      <w:r w:rsidR="004C1DCE">
        <w:t>como</w:t>
      </w:r>
      <w:r>
        <w:t xml:space="preserve"> durante el presente año la modalidad privilegiada en los feminicidios y tentativas ha sido la de quemaduras</w:t>
      </w:r>
      <w:r w:rsidR="00354C34">
        <w:rPr>
          <w:rStyle w:val="Refdenotaalpie"/>
        </w:rPr>
        <w:footnoteReference w:id="2"/>
      </w:r>
      <w:r>
        <w:t xml:space="preserve"> y en el de violencia sexual se han visibi</w:t>
      </w:r>
      <w:r w:rsidR="004C1DCE">
        <w:t>lizado casos de violaciones grupales</w:t>
      </w:r>
      <w:r w:rsidR="007476C3">
        <w:rPr>
          <w:rStyle w:val="Refdenotaalpie"/>
        </w:rPr>
        <w:footnoteReference w:id="3"/>
      </w:r>
      <w:r w:rsidR="004C1DCE">
        <w:t xml:space="preserve">. Estas situaciones impulsaron la movilización ciudadana y desde el Estado diversas modificaciones legales que han buscado agilizar la etapa de protección luego de </w:t>
      </w:r>
      <w:r w:rsidR="00BC7438">
        <w:t>realizada</w:t>
      </w:r>
      <w:r w:rsidR="004C1DCE">
        <w:t xml:space="preserve"> la denuncia</w:t>
      </w:r>
      <w:r w:rsidR="00161002">
        <w:t xml:space="preserve"> y una mejor comprensión de los delitos relacionados a la violencia sexual, privilegiando el consentimiento de la persona</w:t>
      </w:r>
      <w:r w:rsidR="00161002">
        <w:rPr>
          <w:rStyle w:val="Refdenotaalpie"/>
        </w:rPr>
        <w:footnoteReference w:id="4"/>
      </w:r>
      <w:r w:rsidR="00BC7438">
        <w:t>.</w:t>
      </w:r>
      <w:r w:rsidR="009208B6">
        <w:t xml:space="preserve"> </w:t>
      </w:r>
      <w:r w:rsidR="00BC7438">
        <w:t>S</w:t>
      </w:r>
      <w:r w:rsidR="00707DF2">
        <w:t xml:space="preserve">i bien existe un nuevo marco normativo, la aplicación </w:t>
      </w:r>
      <w:r w:rsidR="00BC7438">
        <w:t>de este</w:t>
      </w:r>
      <w:r w:rsidR="00707DF2">
        <w:t xml:space="preserve"> es limitado frente a la presencia de prejuicios y estereotipos de género en las y los operadores de justicia</w:t>
      </w:r>
      <w:r w:rsidR="00BC7438">
        <w:t xml:space="preserve"> y la alta tolerancia social a la violencia contra las mujeres</w:t>
      </w:r>
      <w:r w:rsidR="00BC7438">
        <w:rPr>
          <w:rStyle w:val="Refdenotaalpie"/>
        </w:rPr>
        <w:footnoteReference w:id="5"/>
      </w:r>
      <w:r w:rsidR="00BC7438">
        <w:t xml:space="preserve">. </w:t>
      </w:r>
    </w:p>
    <w:p w:rsidR="00004372" w:rsidRDefault="00004372" w:rsidP="00354C34">
      <w:pPr>
        <w:pStyle w:val="Prrafodelista"/>
        <w:ind w:left="360"/>
        <w:jc w:val="both"/>
      </w:pPr>
    </w:p>
    <w:p w:rsidR="00354C34" w:rsidRDefault="0026637D" w:rsidP="00337D9B">
      <w:pPr>
        <w:pStyle w:val="Prrafodelista"/>
        <w:numPr>
          <w:ilvl w:val="0"/>
          <w:numId w:val="4"/>
        </w:numPr>
        <w:jc w:val="both"/>
      </w:pPr>
      <w:r>
        <w:t xml:space="preserve">La situación de la violencia </w:t>
      </w:r>
      <w:r w:rsidR="003D5348">
        <w:t>sexual</w:t>
      </w:r>
      <w:r w:rsidR="00004372">
        <w:t xml:space="preserve"> es particularmente alarmante </w:t>
      </w:r>
      <w:r>
        <w:t>contra las niñas</w:t>
      </w:r>
      <w:r w:rsidR="003D5348">
        <w:t>,</w:t>
      </w:r>
      <w:r>
        <w:t xml:space="preserve"> se refleja en</w:t>
      </w:r>
      <w:r w:rsidR="00B6054F">
        <w:t xml:space="preserve"> altas</w:t>
      </w:r>
      <w:r>
        <w:t xml:space="preserve"> cifras de denuncias</w:t>
      </w:r>
      <w:r w:rsidR="00C90BEA">
        <w:rPr>
          <w:rStyle w:val="Refdenotaalpie"/>
        </w:rPr>
        <w:footnoteReference w:id="6"/>
      </w:r>
      <w:r w:rsidR="00372BBD">
        <w:t xml:space="preserve"> y la situación de impunidad de </w:t>
      </w:r>
      <w:r w:rsidR="003D5348">
        <w:t>estos casos</w:t>
      </w:r>
      <w:r w:rsidR="00372BBD">
        <w:t xml:space="preserve">, que fue evidenciada </w:t>
      </w:r>
      <w:r w:rsidR="00427FC9">
        <w:t xml:space="preserve">mediante </w:t>
      </w:r>
      <w:r w:rsidR="000D3FB1">
        <w:t xml:space="preserve">la difusión de audios </w:t>
      </w:r>
      <w:r w:rsidR="003D5348">
        <w:t xml:space="preserve">en los que </w:t>
      </w:r>
      <w:r w:rsidR="00372BBD">
        <w:t xml:space="preserve">jueces negociaban </w:t>
      </w:r>
      <w:r w:rsidR="003D5348">
        <w:t>la sanci</w:t>
      </w:r>
      <w:r w:rsidR="00372BBD">
        <w:t>ón</w:t>
      </w:r>
      <w:r w:rsidR="003D5348">
        <w:t xml:space="preserve"> de un caso de violación sexual de una niña de 10 años</w:t>
      </w:r>
      <w:r w:rsidR="00D277E0">
        <w:rPr>
          <w:rStyle w:val="Refdenotaalpie"/>
        </w:rPr>
        <w:footnoteReference w:id="7"/>
      </w:r>
      <w:r w:rsidR="000D3FB1">
        <w:t xml:space="preserve">. </w:t>
      </w:r>
    </w:p>
    <w:p w:rsidR="00354C34" w:rsidRDefault="00354C34" w:rsidP="00354C34">
      <w:pPr>
        <w:pStyle w:val="Prrafodelista"/>
        <w:ind w:left="360"/>
      </w:pPr>
    </w:p>
    <w:p w:rsidR="00B70495" w:rsidRDefault="00B70495" w:rsidP="00B70495">
      <w:pPr>
        <w:jc w:val="both"/>
        <w:rPr>
          <w:u w:val="single"/>
        </w:rPr>
      </w:pPr>
      <w:r w:rsidRPr="00B70495">
        <w:rPr>
          <w:u w:val="single"/>
        </w:rPr>
        <w:t xml:space="preserve">Recomendaciones </w:t>
      </w:r>
      <w:r w:rsidR="008A5322">
        <w:rPr>
          <w:u w:val="single"/>
        </w:rPr>
        <w:t>propuestas:</w:t>
      </w:r>
    </w:p>
    <w:p w:rsidR="00B70495" w:rsidRDefault="00354C34" w:rsidP="00B93F3A">
      <w:pPr>
        <w:pStyle w:val="Prrafodelista"/>
        <w:numPr>
          <w:ilvl w:val="0"/>
          <w:numId w:val="4"/>
        </w:numPr>
        <w:jc w:val="both"/>
      </w:pPr>
      <w:r>
        <w:lastRenderedPageBreak/>
        <w:t xml:space="preserve">Fortalecer el </w:t>
      </w:r>
      <w:r w:rsidR="00B70495">
        <w:t xml:space="preserve">Sistema Nacional para prevenir, sancionar y erradicar la violencia contra las mujeres y los integrantes del grupo familiar, creado mediante la Ley N° 30364, mediante la asistencia técnica y acompañamiento en los diversos niveles de gobierno a fin de que cumplan su rol de elaborar, implementar y monitorear las políticas públicas necesarias. </w:t>
      </w:r>
    </w:p>
    <w:p w:rsidR="00B93F3A" w:rsidRDefault="00B93F3A" w:rsidP="00B93F3A">
      <w:pPr>
        <w:pStyle w:val="Prrafodelista"/>
        <w:ind w:left="360"/>
        <w:jc w:val="both"/>
      </w:pPr>
    </w:p>
    <w:p w:rsidR="00B70495" w:rsidRDefault="001205E3" w:rsidP="00B93F3A">
      <w:pPr>
        <w:pStyle w:val="Prrafodelista"/>
        <w:numPr>
          <w:ilvl w:val="0"/>
          <w:numId w:val="4"/>
        </w:numPr>
        <w:jc w:val="both"/>
      </w:pPr>
      <w:r>
        <w:t xml:space="preserve">Se asignen </w:t>
      </w:r>
      <w:r w:rsidR="00B70495">
        <w:t xml:space="preserve">los recursos humanos y </w:t>
      </w:r>
      <w:r>
        <w:t xml:space="preserve">financieros suficientes </w:t>
      </w:r>
      <w:r w:rsidR="00354C34">
        <w:t xml:space="preserve">destinados a la lucha contra la violencia hacia las mujeres y los integrantes del grupo familiar, </w:t>
      </w:r>
      <w:r w:rsidR="00B93F3A">
        <w:t xml:space="preserve">mediante la elaboración de un programa presupuestal multisectorial para tal fin que permita que el </w:t>
      </w:r>
      <w:r>
        <w:t>gobierno central, los gobiernos subnacionales</w:t>
      </w:r>
      <w:r w:rsidR="00B93F3A">
        <w:t>, el Poder Judicial y os demás organismos constitucionales que integran el Sistema Nacional creado por la Ley N° 30364</w:t>
      </w:r>
      <w:r>
        <w:t xml:space="preserve">. </w:t>
      </w:r>
    </w:p>
    <w:p w:rsidR="000373D2" w:rsidRDefault="000373D2" w:rsidP="000373D2">
      <w:pPr>
        <w:pStyle w:val="Prrafodelista"/>
      </w:pPr>
    </w:p>
    <w:p w:rsidR="000373D2" w:rsidRDefault="000373D2" w:rsidP="00B93F3A">
      <w:pPr>
        <w:pStyle w:val="Prrafodelista"/>
        <w:numPr>
          <w:ilvl w:val="0"/>
          <w:numId w:val="4"/>
        </w:numPr>
        <w:jc w:val="both"/>
      </w:pPr>
      <w:r>
        <w:t xml:space="preserve">Institucionalizar la formación en el enfoque de género para los y las operadores/as de justicia especializada en violencia contra las mujeres y los integrantes del grupo familiar. </w:t>
      </w:r>
    </w:p>
    <w:p w:rsidR="00B93F3A" w:rsidRDefault="00B93F3A" w:rsidP="00B93F3A">
      <w:pPr>
        <w:pStyle w:val="Prrafodelista"/>
      </w:pPr>
    </w:p>
    <w:tbl>
      <w:tblPr>
        <w:tblStyle w:val="Tablaconcuadrcula"/>
        <w:tblW w:w="0" w:type="auto"/>
        <w:tblLook w:val="04A0" w:firstRow="1" w:lastRow="0" w:firstColumn="1" w:lastColumn="0" w:noHBand="0" w:noVBand="1"/>
      </w:tblPr>
      <w:tblGrid>
        <w:gridCol w:w="8494"/>
      </w:tblGrid>
      <w:tr w:rsidR="004C262D" w:rsidTr="004C262D">
        <w:tc>
          <w:tcPr>
            <w:tcW w:w="8494" w:type="dxa"/>
          </w:tcPr>
          <w:p w:rsidR="004C262D" w:rsidRPr="004C262D" w:rsidRDefault="000C34AD" w:rsidP="00C90BEA">
            <w:pPr>
              <w:jc w:val="both"/>
              <w:rPr>
                <w:b/>
              </w:rPr>
            </w:pPr>
            <w:r>
              <w:rPr>
                <w:b/>
              </w:rPr>
              <w:t>I</w:t>
            </w:r>
            <w:r w:rsidR="004C262D" w:rsidRPr="004C262D">
              <w:rPr>
                <w:b/>
              </w:rPr>
              <w:t>nterrupción legal del embarazo</w:t>
            </w:r>
            <w:r>
              <w:rPr>
                <w:b/>
              </w:rPr>
              <w:t xml:space="preserve"> y despenalización del aborto por causales</w:t>
            </w:r>
          </w:p>
        </w:tc>
      </w:tr>
    </w:tbl>
    <w:p w:rsidR="004C262D" w:rsidRPr="00224C1C" w:rsidRDefault="004C262D" w:rsidP="004C262D">
      <w:pPr>
        <w:rPr>
          <w:sz w:val="24"/>
          <w:szCs w:val="24"/>
          <w:lang w:val="es-ES"/>
        </w:rPr>
      </w:pPr>
    </w:p>
    <w:p w:rsidR="004C262D" w:rsidRPr="000C34AD" w:rsidRDefault="004C262D" w:rsidP="004C262D">
      <w:pPr>
        <w:pStyle w:val="Prrafodelista"/>
        <w:numPr>
          <w:ilvl w:val="0"/>
          <w:numId w:val="6"/>
        </w:numPr>
        <w:spacing w:after="0" w:line="240" w:lineRule="auto"/>
        <w:jc w:val="both"/>
        <w:rPr>
          <w:b/>
          <w:u w:val="single"/>
          <w:lang w:val="es-ES"/>
        </w:rPr>
      </w:pPr>
      <w:r w:rsidRPr="000C34AD">
        <w:rPr>
          <w:b/>
          <w:u w:val="single"/>
          <w:lang w:val="es-ES"/>
        </w:rPr>
        <w:t>RECOMENDACIONES DIRIGIDAS AL ESTADO PERUANO EN MATERIA DE DERECHOS REPRODUCTIVOS Y SALUD:</w:t>
      </w:r>
    </w:p>
    <w:p w:rsidR="004C262D" w:rsidRPr="004C262D" w:rsidRDefault="004C262D" w:rsidP="004C262D">
      <w:pPr>
        <w:pStyle w:val="Prrafodelista"/>
        <w:spacing w:after="0" w:line="240" w:lineRule="auto"/>
        <w:ind w:left="1065"/>
        <w:jc w:val="both"/>
        <w:rPr>
          <w:u w:val="single"/>
          <w:lang w:val="es-ES"/>
        </w:rPr>
      </w:pPr>
    </w:p>
    <w:p w:rsidR="004C262D" w:rsidRPr="004C262D" w:rsidRDefault="004C262D" w:rsidP="004C262D">
      <w:pPr>
        <w:pStyle w:val="Prrafodelista"/>
        <w:numPr>
          <w:ilvl w:val="0"/>
          <w:numId w:val="4"/>
        </w:numPr>
        <w:spacing w:after="0" w:line="240" w:lineRule="auto"/>
        <w:jc w:val="both"/>
        <w:rPr>
          <w:lang w:val="es-ES"/>
        </w:rPr>
      </w:pPr>
      <w:r w:rsidRPr="004C262D">
        <w:rPr>
          <w:lang w:val="es-ES"/>
        </w:rPr>
        <w:t xml:space="preserve">En el año 2012, el Comité aprobó las observaciones formuladas a los Informes Periódicos Quinto y Sexto combinados del Estado Peruano y en dicho marco realizó las siguientes recomendaciones entorno a los derechos reproductivos y el derecho a la salud (Párrafo 15): </w:t>
      </w:r>
    </w:p>
    <w:p w:rsidR="004C262D" w:rsidRPr="004C262D" w:rsidRDefault="004C262D" w:rsidP="004C262D">
      <w:pPr>
        <w:pStyle w:val="Prrafodelista"/>
        <w:jc w:val="both"/>
        <w:rPr>
          <w:lang w:val="es-ES"/>
        </w:rPr>
      </w:pPr>
    </w:p>
    <w:tbl>
      <w:tblPr>
        <w:tblStyle w:val="Tablaconcuadrcula"/>
        <w:tblW w:w="0" w:type="auto"/>
        <w:tblInd w:w="720" w:type="dxa"/>
        <w:tblLook w:val="04A0" w:firstRow="1" w:lastRow="0" w:firstColumn="1" w:lastColumn="0" w:noHBand="0" w:noVBand="1"/>
      </w:tblPr>
      <w:tblGrid>
        <w:gridCol w:w="7774"/>
      </w:tblGrid>
      <w:tr w:rsidR="004C262D" w:rsidRPr="004C262D" w:rsidTr="00084FCC">
        <w:tc>
          <w:tcPr>
            <w:tcW w:w="8961" w:type="dxa"/>
          </w:tcPr>
          <w:p w:rsidR="004C262D" w:rsidRPr="004C262D" w:rsidRDefault="004C262D" w:rsidP="00084FCC">
            <w:pPr>
              <w:pStyle w:val="Prrafodelista"/>
              <w:ind w:left="0"/>
              <w:jc w:val="both"/>
              <w:rPr>
                <w:lang w:val="es-ES"/>
              </w:rPr>
            </w:pPr>
            <w:r w:rsidRPr="004C262D">
              <w:rPr>
                <w:lang w:val="es-ES"/>
              </w:rPr>
              <w:t>A) Modificar la legislación que prohíbe el aborto a fin de que se autoricen el aborto terapéutico y en las circunstancias en que la gestación sea a consecuencia de una violación o incesto</w:t>
            </w:r>
          </w:p>
        </w:tc>
      </w:tr>
      <w:tr w:rsidR="004C262D" w:rsidRPr="004C262D" w:rsidTr="00084FCC">
        <w:tc>
          <w:tcPr>
            <w:tcW w:w="8961" w:type="dxa"/>
          </w:tcPr>
          <w:p w:rsidR="004C262D" w:rsidRPr="004C262D" w:rsidRDefault="004C262D" w:rsidP="00084FCC">
            <w:pPr>
              <w:pStyle w:val="Prrafodelista"/>
              <w:ind w:left="0"/>
              <w:jc w:val="both"/>
              <w:rPr>
                <w:lang w:val="es-ES"/>
              </w:rPr>
            </w:pPr>
            <w:r w:rsidRPr="004C262D">
              <w:rPr>
                <w:lang w:val="es-ES"/>
              </w:rPr>
              <w:t>B) Legalizar la distribución de anticonceptivos orales de emergencia para las víctimas de violencia sexual</w:t>
            </w:r>
          </w:p>
        </w:tc>
      </w:tr>
      <w:tr w:rsidR="004C262D" w:rsidRPr="004C262D" w:rsidTr="00084FCC">
        <w:tc>
          <w:tcPr>
            <w:tcW w:w="8961" w:type="dxa"/>
          </w:tcPr>
          <w:p w:rsidR="004C262D" w:rsidRPr="004C262D" w:rsidRDefault="004C262D" w:rsidP="00084FCC">
            <w:pPr>
              <w:pStyle w:val="Prrafodelista"/>
              <w:ind w:left="0"/>
              <w:jc w:val="both"/>
              <w:rPr>
                <w:lang w:val="es-ES"/>
              </w:rPr>
            </w:pPr>
            <w:r w:rsidRPr="004C262D">
              <w:rPr>
                <w:lang w:val="es-ES"/>
              </w:rPr>
              <w:t xml:space="preserve">C) Velar por que los profesionales de salud conozcan y apliquen los protocolos del Ministerio de Salud sobre abortos no punibles, garantizando un tratamiento inmediato y rápido a quienes soliciten </w:t>
            </w:r>
            <w:r w:rsidRPr="004C262D">
              <w:t>asistencia médica de emergencia</w:t>
            </w:r>
          </w:p>
        </w:tc>
      </w:tr>
      <w:tr w:rsidR="004C262D" w:rsidRPr="004C262D" w:rsidTr="00084FCC">
        <w:tc>
          <w:tcPr>
            <w:tcW w:w="8961" w:type="dxa"/>
          </w:tcPr>
          <w:p w:rsidR="004C262D" w:rsidRPr="004C262D" w:rsidRDefault="004C262D" w:rsidP="00084FCC">
            <w:pPr>
              <w:pStyle w:val="Prrafodelista"/>
              <w:ind w:left="0"/>
              <w:jc w:val="both"/>
              <w:rPr>
                <w:lang w:val="es-ES"/>
              </w:rPr>
            </w:pPr>
            <w:r w:rsidRPr="004C262D">
              <w:t>D) Eliminar la práctica de penalizar al personal médico por el ejercicio de sus funciones y la práctica de hacer confesar, a los efectos de enjuiciamiento, a las mujeres que soliciten asistencia médica como consecuencia de un aborto clandestino</w:t>
            </w:r>
          </w:p>
        </w:tc>
      </w:tr>
      <w:tr w:rsidR="004C262D" w:rsidRPr="004C262D" w:rsidTr="00084FCC">
        <w:tc>
          <w:tcPr>
            <w:tcW w:w="8961" w:type="dxa"/>
          </w:tcPr>
          <w:p w:rsidR="004C262D" w:rsidRPr="004C262D" w:rsidRDefault="004C262D" w:rsidP="00084FCC">
            <w:pPr>
              <w:jc w:val="both"/>
              <w:rPr>
                <w:lang w:val="es-ES"/>
              </w:rPr>
            </w:pPr>
            <w:r w:rsidRPr="004C262D">
              <w:t xml:space="preserve">E) Proporcionar más información en materia de planificación de la familia, reforzar los servicios en esa esfera y realizar una amplia campaña pública de sensibilización sobre los casos en que el aborto terapéutico es legal y sobre los trámites administrativos correspondientes. </w:t>
            </w:r>
          </w:p>
        </w:tc>
      </w:tr>
    </w:tbl>
    <w:p w:rsidR="004C262D" w:rsidRPr="004C262D" w:rsidRDefault="004C262D" w:rsidP="004C262D">
      <w:pPr>
        <w:pStyle w:val="Prrafodelista"/>
        <w:jc w:val="both"/>
        <w:rPr>
          <w:lang w:val="es-ES"/>
        </w:rPr>
      </w:pPr>
    </w:p>
    <w:p w:rsidR="004C262D" w:rsidRPr="004C262D" w:rsidRDefault="004C262D" w:rsidP="004C262D">
      <w:pPr>
        <w:pStyle w:val="Prrafodelista"/>
        <w:numPr>
          <w:ilvl w:val="0"/>
          <w:numId w:val="4"/>
        </w:numPr>
        <w:spacing w:after="0" w:line="240" w:lineRule="auto"/>
        <w:jc w:val="both"/>
        <w:rPr>
          <w:lang w:val="es-ES"/>
        </w:rPr>
      </w:pPr>
      <w:r w:rsidRPr="004C262D">
        <w:rPr>
          <w:lang w:val="es-ES"/>
        </w:rPr>
        <w:t>En el documento en mención, el Comité invitó al Estado parte a presentar su siguiente informe periódico (el séptimo) a más tardar el 23 de noviembre del 2016, para lo cual envió la lista de cuestiones previas a la presentación de dicho informe (GE.14-05316) en junio del 2014. En dicha lista, el Comité_ teniendo en cuenta la solicitud de información adicional enviado al Estado por parte de la Relatora para el seguimiento de las observaciones finales, en abril del 2014_ requirió precisar las medidas adoptadas para dar seguimiento a las recomendaciones del Comité (párrafo 15), incluida la despenalización del aborto en casos de embarazos producto de violación sexual o incesto. Así mismo, solicitó indicar</w:t>
      </w:r>
      <w:r w:rsidRPr="004C262D">
        <w:t xml:space="preserve"> las medidas legislativas y administrativas adoptadas por el Estado parte a fin de garantizar el acceso efectivo al aborto terapéutico. </w:t>
      </w:r>
    </w:p>
    <w:p w:rsidR="004C262D" w:rsidRPr="004C262D" w:rsidRDefault="004C262D" w:rsidP="004C262D">
      <w:pPr>
        <w:pStyle w:val="Prrafodelista"/>
        <w:ind w:left="1080"/>
        <w:jc w:val="both"/>
        <w:rPr>
          <w:lang w:val="es-ES"/>
        </w:rPr>
      </w:pPr>
    </w:p>
    <w:p w:rsidR="004C262D" w:rsidRPr="004C262D" w:rsidRDefault="004C262D" w:rsidP="004C262D">
      <w:pPr>
        <w:pStyle w:val="Prrafodelista"/>
        <w:numPr>
          <w:ilvl w:val="0"/>
          <w:numId w:val="4"/>
        </w:numPr>
        <w:spacing w:after="0" w:line="240" w:lineRule="auto"/>
        <w:jc w:val="both"/>
        <w:rPr>
          <w:lang w:val="es-ES"/>
        </w:rPr>
      </w:pPr>
      <w:r w:rsidRPr="004C262D">
        <w:rPr>
          <w:lang w:val="es-ES"/>
        </w:rPr>
        <w:t xml:space="preserve">El Estado finalmente presentó su séptimo informe en junio del 2017. Las respuestas emitidas por el Estado informante son analizadas en el siguiente apartado de este informe. </w:t>
      </w:r>
    </w:p>
    <w:p w:rsidR="004C262D" w:rsidRPr="004C262D" w:rsidRDefault="004C262D" w:rsidP="004C262D">
      <w:pPr>
        <w:rPr>
          <w:lang w:val="es-ES"/>
        </w:rPr>
      </w:pPr>
    </w:p>
    <w:p w:rsidR="004C262D" w:rsidRPr="000C34AD" w:rsidRDefault="004C262D" w:rsidP="000C34AD">
      <w:pPr>
        <w:pStyle w:val="Prrafodelista"/>
        <w:numPr>
          <w:ilvl w:val="0"/>
          <w:numId w:val="6"/>
        </w:numPr>
        <w:spacing w:after="0" w:line="240" w:lineRule="auto"/>
        <w:jc w:val="both"/>
        <w:rPr>
          <w:b/>
          <w:u w:val="single"/>
          <w:lang w:val="es-ES"/>
        </w:rPr>
      </w:pPr>
      <w:r w:rsidRPr="000C34AD">
        <w:rPr>
          <w:b/>
          <w:u w:val="single"/>
          <w:lang w:val="es-ES"/>
        </w:rPr>
        <w:t>SITUACIÓN DE LOS DERECHOS REPRODUCTIVOS Y LA SALUD EN PERÚ:</w:t>
      </w:r>
    </w:p>
    <w:p w:rsidR="004C262D" w:rsidRPr="004C262D" w:rsidRDefault="004C262D" w:rsidP="004C262D">
      <w:pPr>
        <w:pStyle w:val="Prrafodelista"/>
        <w:spacing w:after="0" w:line="240" w:lineRule="auto"/>
        <w:ind w:left="1080"/>
        <w:jc w:val="both"/>
        <w:rPr>
          <w:b/>
          <w:lang w:val="es-ES"/>
        </w:rPr>
      </w:pPr>
    </w:p>
    <w:p w:rsidR="004C262D" w:rsidRPr="000C34AD" w:rsidRDefault="004C262D" w:rsidP="004C262D">
      <w:pPr>
        <w:jc w:val="both"/>
        <w:rPr>
          <w:b/>
          <w:u w:val="single"/>
          <w:lang w:val="es-ES"/>
        </w:rPr>
      </w:pPr>
      <w:r w:rsidRPr="000C34AD">
        <w:rPr>
          <w:b/>
          <w:lang w:val="es-ES"/>
        </w:rPr>
        <w:t xml:space="preserve">A.1.: </w:t>
      </w:r>
      <w:r w:rsidRPr="000C34AD">
        <w:rPr>
          <w:b/>
          <w:u w:val="single"/>
          <w:lang w:val="es-ES"/>
        </w:rPr>
        <w:t xml:space="preserve">SOBRE LA GARANTÍA PARA EL ACCESO AL ABORTO TERAPEUTICO: </w:t>
      </w:r>
    </w:p>
    <w:p w:rsidR="004C262D" w:rsidRPr="004C262D" w:rsidRDefault="004C262D" w:rsidP="004C262D">
      <w:pPr>
        <w:pStyle w:val="Prrafodelista"/>
        <w:numPr>
          <w:ilvl w:val="0"/>
          <w:numId w:val="4"/>
        </w:numPr>
        <w:spacing w:after="0" w:line="240" w:lineRule="auto"/>
        <w:jc w:val="both"/>
        <w:rPr>
          <w:lang w:val="es-ES"/>
        </w:rPr>
      </w:pPr>
      <w:r w:rsidRPr="004C262D">
        <w:rPr>
          <w:lang w:val="es-ES"/>
        </w:rPr>
        <w:t xml:space="preserve">El Código Penal Peruano de 1924 estableció como única causal de aborto no punible al aborto terapéutico, postura que fue adoptada también por el vigente Código Penal de 1991, en el artículo 119º. Sin embargo, tal como fue reportado ante el Comité de Derechos Humanos y el Comité para la Eliminación de la Discriminación contra la Mujer, dicha causal de aborto no punible no era implementada correctamente, debido a una serie de barreras burocráticas y prácticas discriminatorias en el sistema de salud, así como a la falta de un protocolo estandarizado del procedimiento, lo que imposibilitada el acceso a este derecho a las mujeres que lo necesitaban. </w:t>
      </w:r>
    </w:p>
    <w:p w:rsidR="004C262D" w:rsidRPr="004C262D" w:rsidRDefault="004C262D" w:rsidP="004C262D">
      <w:pPr>
        <w:pStyle w:val="Prrafodelista"/>
        <w:ind w:left="1080"/>
        <w:jc w:val="both"/>
        <w:rPr>
          <w:lang w:val="es-ES"/>
        </w:rPr>
      </w:pPr>
    </w:p>
    <w:p w:rsidR="004C262D" w:rsidRPr="004C262D" w:rsidRDefault="004C262D" w:rsidP="004C262D">
      <w:pPr>
        <w:pStyle w:val="Prrafodelista"/>
        <w:numPr>
          <w:ilvl w:val="0"/>
          <w:numId w:val="4"/>
        </w:numPr>
        <w:spacing w:after="0" w:line="240" w:lineRule="auto"/>
        <w:jc w:val="both"/>
        <w:rPr>
          <w:lang w:val="es-ES"/>
        </w:rPr>
      </w:pPr>
      <w:r w:rsidRPr="004C262D">
        <w:rPr>
          <w:lang w:val="es-ES"/>
        </w:rPr>
        <w:t>En junio del 2014, dando cumplimiento a una de sus obligaciones pendientes en materia de salud y derechos reproductivos, el Estado aprobó la “Guía Técnica Nacional para la estandarización del procedimiento de la atención integral de la gestante en la interrupción voluntaria del embarazo menor de 22 semanas con consentimiento informado”, con el fin de estandarizar los procedimientos para la atención de los casos de aborto por razones terapéuticas, de aplicación a nivel nacional para todos los establecimientos de salud a partir del segundo nivel de atención del sistema de salud nacional.</w:t>
      </w:r>
    </w:p>
    <w:p w:rsidR="004C262D" w:rsidRPr="004C262D" w:rsidRDefault="004C262D" w:rsidP="004C262D">
      <w:pPr>
        <w:pStyle w:val="Prrafodelista"/>
        <w:rPr>
          <w:lang w:val="es-ES"/>
        </w:rPr>
      </w:pPr>
    </w:p>
    <w:p w:rsidR="004C262D" w:rsidRPr="004C262D" w:rsidRDefault="004C262D" w:rsidP="004C262D">
      <w:pPr>
        <w:pStyle w:val="Prrafodelista"/>
        <w:numPr>
          <w:ilvl w:val="0"/>
          <w:numId w:val="4"/>
        </w:numPr>
        <w:spacing w:after="0" w:line="240" w:lineRule="auto"/>
        <w:jc w:val="both"/>
        <w:rPr>
          <w:lang w:val="es-ES"/>
        </w:rPr>
      </w:pPr>
      <w:r w:rsidRPr="004C262D">
        <w:rPr>
          <w:lang w:val="es-ES"/>
        </w:rPr>
        <w:t xml:space="preserve">Si bien la aprobación y publicación oficial de dicha Guía Técnica representó un significativo avance para contribuir con el acceso a la interrupción legal del embarazo por razones médicas, se observa que </w:t>
      </w:r>
      <w:r w:rsidRPr="004C262D">
        <w:rPr>
          <w:b/>
          <w:lang w:val="es-ES"/>
        </w:rPr>
        <w:t xml:space="preserve">continúa siendo una necesidad urgente la eficiente y adecuada implementación de dicho instrumento para proteger la salud e integridad de las mujeres y para dar cumplimiento al deber de adoptar todas las medidas apropiadas para eliminar la discriminación por género en la esfera de la atención médica a fin de asegurar el acceso en condiciones de igualdad a servicios de atención médica </w:t>
      </w:r>
      <w:r w:rsidRPr="004C262D">
        <w:rPr>
          <w:lang w:val="es-ES"/>
        </w:rPr>
        <w:t xml:space="preserve">(Artículo 12 de la Convención sobre la eliminación de todas las formas de discriminación contra la Mujer).  </w:t>
      </w:r>
    </w:p>
    <w:p w:rsidR="004C262D" w:rsidRPr="004C262D" w:rsidRDefault="004C262D" w:rsidP="004C262D">
      <w:pPr>
        <w:pStyle w:val="Prrafodelista"/>
        <w:rPr>
          <w:lang w:val="es-ES"/>
        </w:rPr>
      </w:pPr>
    </w:p>
    <w:p w:rsidR="000643B9" w:rsidRDefault="004C262D" w:rsidP="005F5192">
      <w:pPr>
        <w:pStyle w:val="Prrafodelista"/>
        <w:numPr>
          <w:ilvl w:val="0"/>
          <w:numId w:val="4"/>
        </w:numPr>
        <w:spacing w:after="0" w:line="240" w:lineRule="auto"/>
        <w:jc w:val="both"/>
        <w:rPr>
          <w:lang w:val="es-ES"/>
        </w:rPr>
      </w:pPr>
      <w:r w:rsidRPr="004C262D">
        <w:rPr>
          <w:lang w:val="es-ES"/>
        </w:rPr>
        <w:t>Como evidencia de ello, en el año 2016, el Ministerio de Salud reportó 311 intervenciones de abortos por razones terapéuticas a nivel nacional</w:t>
      </w:r>
      <w:r w:rsidRPr="004C262D">
        <w:rPr>
          <w:rStyle w:val="Refdenotaalpie"/>
          <w:lang w:val="es-ES"/>
        </w:rPr>
        <w:footnoteReference w:id="8"/>
      </w:r>
      <w:r w:rsidRPr="004C262D">
        <w:rPr>
          <w:lang w:val="es-ES"/>
        </w:rPr>
        <w:t xml:space="preserve">. Sin embargo, la cantidad </w:t>
      </w:r>
      <w:r w:rsidR="00C82C6F">
        <w:rPr>
          <w:lang w:val="es-ES"/>
        </w:rPr>
        <w:t xml:space="preserve">total </w:t>
      </w:r>
      <w:r w:rsidRPr="004C262D">
        <w:rPr>
          <w:lang w:val="es-ES"/>
        </w:rPr>
        <w:t xml:space="preserve">de abortos </w:t>
      </w:r>
      <w:r>
        <w:rPr>
          <w:lang w:val="es-ES"/>
        </w:rPr>
        <w:t xml:space="preserve">registrados y que fueron </w:t>
      </w:r>
      <w:r w:rsidRPr="004C262D">
        <w:rPr>
          <w:lang w:val="es-ES"/>
        </w:rPr>
        <w:t xml:space="preserve">atendidos por el sistema de salud ese año, fue en total 37 mil 645, que comprendieron entre intentos fallidos de interrupciones de embarazo, complicaciones ocasionadas por abortos clandestinos, embarazos ectópicos, entre otros. </w:t>
      </w:r>
    </w:p>
    <w:p w:rsidR="005F5192" w:rsidRPr="005F5192" w:rsidRDefault="005F5192" w:rsidP="005F5192">
      <w:pPr>
        <w:spacing w:after="0" w:line="240" w:lineRule="auto"/>
        <w:jc w:val="both"/>
        <w:rPr>
          <w:lang w:val="es-ES"/>
        </w:rPr>
      </w:pPr>
    </w:p>
    <w:p w:rsidR="000643B9" w:rsidRPr="000643B9" w:rsidRDefault="004C262D" w:rsidP="000643B9">
      <w:pPr>
        <w:pStyle w:val="Prrafodelista"/>
        <w:numPr>
          <w:ilvl w:val="0"/>
          <w:numId w:val="4"/>
        </w:numPr>
        <w:spacing w:after="0" w:line="240" w:lineRule="auto"/>
        <w:jc w:val="both"/>
        <w:rPr>
          <w:lang w:val="es-ES"/>
        </w:rPr>
      </w:pPr>
      <w:r w:rsidRPr="004C262D">
        <w:rPr>
          <w:lang w:val="es-ES"/>
        </w:rPr>
        <w:t>R</w:t>
      </w:r>
      <w:r w:rsidR="005F5192">
        <w:rPr>
          <w:lang w:val="es-ES"/>
        </w:rPr>
        <w:t xml:space="preserve">esulta preocupante que, </w:t>
      </w:r>
      <w:r w:rsidRPr="004C262D">
        <w:rPr>
          <w:lang w:val="es-ES"/>
        </w:rPr>
        <w:t>de los 311</w:t>
      </w:r>
      <w:r w:rsidR="005F5192">
        <w:rPr>
          <w:lang w:val="es-ES"/>
        </w:rPr>
        <w:t xml:space="preserve"> abortos terapéuticos practicados en el 2016, solamente 24 hayan</w:t>
      </w:r>
      <w:r w:rsidRPr="009F5B3D">
        <w:rPr>
          <w:lang w:val="es-ES"/>
        </w:rPr>
        <w:t xml:space="preserve"> </w:t>
      </w:r>
      <w:r w:rsidR="005F5192">
        <w:rPr>
          <w:lang w:val="es-ES"/>
        </w:rPr>
        <w:t xml:space="preserve">tenido como beneficiarias </w:t>
      </w:r>
      <w:r w:rsidRPr="009F5B3D">
        <w:rPr>
          <w:lang w:val="es-ES"/>
        </w:rPr>
        <w:t>a</w:t>
      </w:r>
      <w:r w:rsidRPr="004C262D">
        <w:rPr>
          <w:lang w:val="es-ES"/>
        </w:rPr>
        <w:t xml:space="preserve"> mujeres menores de edad</w:t>
      </w:r>
      <w:r w:rsidR="000643B9">
        <w:rPr>
          <w:lang w:val="es-ES"/>
        </w:rPr>
        <w:t xml:space="preserve">, </w:t>
      </w:r>
      <w:r w:rsidR="005F5192">
        <w:rPr>
          <w:lang w:val="es-ES"/>
        </w:rPr>
        <w:t>a pesar de la alta incidencia de casos de niñas que salieron embarazadas a consecuencia de una violación sexual ese año</w:t>
      </w:r>
      <w:r w:rsidR="000643B9" w:rsidRPr="000643B9">
        <w:t>.</w:t>
      </w:r>
      <w:r w:rsidR="000643B9">
        <w:t xml:space="preserve"> </w:t>
      </w:r>
    </w:p>
    <w:p w:rsidR="000643B9" w:rsidRPr="000643B9" w:rsidRDefault="000643B9" w:rsidP="000643B9">
      <w:pPr>
        <w:pStyle w:val="Prrafodelista"/>
        <w:spacing w:after="0" w:line="240" w:lineRule="auto"/>
        <w:ind w:left="360"/>
        <w:jc w:val="both"/>
        <w:rPr>
          <w:lang w:val="es-ES"/>
        </w:rPr>
      </w:pPr>
    </w:p>
    <w:p w:rsidR="004C262D" w:rsidRPr="005F5192" w:rsidRDefault="000643B9" w:rsidP="005A2D74">
      <w:pPr>
        <w:pStyle w:val="Prrafodelista"/>
        <w:numPr>
          <w:ilvl w:val="0"/>
          <w:numId w:val="4"/>
        </w:numPr>
        <w:spacing w:after="0" w:line="240" w:lineRule="auto"/>
        <w:jc w:val="both"/>
        <w:rPr>
          <w:lang w:val="es-ES"/>
        </w:rPr>
      </w:pPr>
      <w:r w:rsidRPr="005F5192">
        <w:rPr>
          <w:lang w:val="es-ES"/>
        </w:rPr>
        <w:t>S</w:t>
      </w:r>
      <w:r>
        <w:t>egún</w:t>
      </w:r>
      <w:r w:rsidR="004C262D" w:rsidRPr="004C262D">
        <w:t xml:space="preserve"> estadísticas del Ministerio de Salud</w:t>
      </w:r>
      <w:r w:rsidR="004C262D" w:rsidRPr="004C262D">
        <w:rPr>
          <w:rStyle w:val="Refdenotaalpie"/>
        </w:rPr>
        <w:footnoteReference w:id="9"/>
      </w:r>
      <w:r w:rsidR="004C262D" w:rsidRPr="004C262D">
        <w:t>,</w:t>
      </w:r>
      <w:r w:rsidR="004C262D" w:rsidRPr="005F5192">
        <w:rPr>
          <w:b/>
        </w:rPr>
        <w:t xml:space="preserve"> </w:t>
      </w:r>
      <w:r w:rsidR="004C262D" w:rsidRPr="004C262D">
        <w:t>e</w:t>
      </w:r>
      <w:r w:rsidR="005F5192">
        <w:t>n el 2016</w:t>
      </w:r>
      <w:r w:rsidR="004C262D" w:rsidRPr="005F5192">
        <w:rPr>
          <w:b/>
        </w:rPr>
        <w:t xml:space="preserve"> se convirtieron en madres  (1 162) MIL CIENTO SESENTA Y DOS niñas menores de 15 años (14-10 años)</w:t>
      </w:r>
      <w:r w:rsidR="004C262D" w:rsidRPr="004C262D">
        <w:t xml:space="preserve">; es decir, </w:t>
      </w:r>
      <w:r w:rsidR="004C262D" w:rsidRPr="005F5192">
        <w:rPr>
          <w:b/>
        </w:rPr>
        <w:t>un promedio de (3) tres niñas fueron madres por día a nivel nacional</w:t>
      </w:r>
      <w:r w:rsidRPr="005F5192">
        <w:rPr>
          <w:b/>
        </w:rPr>
        <w:t>.</w:t>
      </w:r>
      <w:r w:rsidR="004C262D" w:rsidRPr="005F5192">
        <w:rPr>
          <w:b/>
        </w:rPr>
        <w:t xml:space="preserve"> </w:t>
      </w:r>
    </w:p>
    <w:p w:rsidR="005F5192" w:rsidRPr="005F5192" w:rsidRDefault="005F5192" w:rsidP="005F5192">
      <w:pPr>
        <w:pStyle w:val="Prrafodelista"/>
        <w:rPr>
          <w:lang w:val="es-ES"/>
        </w:rPr>
      </w:pPr>
    </w:p>
    <w:p w:rsidR="005F5192" w:rsidRPr="005F5192" w:rsidRDefault="005F5192" w:rsidP="005F5192">
      <w:pPr>
        <w:pStyle w:val="Prrafodelista"/>
        <w:spacing w:after="0" w:line="240" w:lineRule="auto"/>
        <w:ind w:left="360"/>
        <w:jc w:val="both"/>
        <w:rPr>
          <w:lang w:val="es-ES"/>
        </w:rPr>
      </w:pPr>
    </w:p>
    <w:p w:rsidR="004C262D" w:rsidRPr="004C262D" w:rsidRDefault="004C262D" w:rsidP="004C262D">
      <w:pPr>
        <w:jc w:val="center"/>
        <w:rPr>
          <w:lang w:val="es-ES"/>
        </w:rPr>
      </w:pPr>
      <w:r w:rsidRPr="004C262D">
        <w:rPr>
          <w:noProof/>
          <w:lang w:eastAsia="es-PE"/>
        </w:rPr>
        <w:drawing>
          <wp:inline distT="0" distB="0" distL="0" distR="0" wp14:anchorId="2A10A9BD" wp14:editId="5C4C849C">
            <wp:extent cx="4757351" cy="2804795"/>
            <wp:effectExtent l="0" t="0" r="5715" b="14605"/>
            <wp:docPr id="4"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4C262D" w:rsidRPr="004C262D" w:rsidRDefault="004C262D" w:rsidP="004C262D">
      <w:pPr>
        <w:rPr>
          <w:lang w:val="es-ES"/>
        </w:rPr>
      </w:pPr>
    </w:p>
    <w:p w:rsidR="004C262D" w:rsidRPr="000643B9" w:rsidRDefault="004C262D" w:rsidP="000643B9">
      <w:pPr>
        <w:jc w:val="both"/>
      </w:pPr>
      <w:r w:rsidRPr="004C262D">
        <w:t xml:space="preserve">   Fuente: Ministerio de Salud, 2016 / Elaboración: Centro Flora Tristán</w:t>
      </w:r>
    </w:p>
    <w:p w:rsidR="004C262D" w:rsidRPr="004C262D" w:rsidRDefault="004C262D" w:rsidP="004C262D">
      <w:pPr>
        <w:pStyle w:val="Prrafodelista"/>
        <w:numPr>
          <w:ilvl w:val="0"/>
          <w:numId w:val="4"/>
        </w:numPr>
        <w:spacing w:after="0" w:line="240" w:lineRule="auto"/>
        <w:jc w:val="both"/>
      </w:pPr>
      <w:r w:rsidRPr="004C262D">
        <w:t>En relación a las niñas menores de 15 años que quedaron embarazadas y fueron madres, se observa una grave violación a sus derechos humanos, dignidad y salud:</w:t>
      </w:r>
    </w:p>
    <w:p w:rsidR="004C262D" w:rsidRPr="004C262D" w:rsidRDefault="004C262D" w:rsidP="004C262D">
      <w:pPr>
        <w:pStyle w:val="Prrafodelista"/>
        <w:ind w:left="1080"/>
        <w:jc w:val="both"/>
      </w:pPr>
    </w:p>
    <w:p w:rsidR="004C262D" w:rsidRPr="004C262D" w:rsidRDefault="004C262D" w:rsidP="004C262D">
      <w:pPr>
        <w:pStyle w:val="Prrafodelista"/>
        <w:numPr>
          <w:ilvl w:val="0"/>
          <w:numId w:val="8"/>
        </w:numPr>
        <w:spacing w:after="0" w:line="240" w:lineRule="auto"/>
        <w:jc w:val="both"/>
      </w:pPr>
      <w:r w:rsidRPr="004C262D">
        <w:t>En primer lugar, porque el Estado no pudo evitar la vulneración de su derecho a una vida libre de violencia sexual, motivo por el cual quedaron embarazadas</w:t>
      </w:r>
      <w:r w:rsidRPr="004C262D">
        <w:rPr>
          <w:rStyle w:val="Refdenotaalpie"/>
        </w:rPr>
        <w:footnoteReference w:id="10"/>
      </w:r>
      <w:r w:rsidRPr="004C262D">
        <w:t>. La violencia sexual, según el Ministerio de la Mujer, tiene a las niñas y adolescentes como sus principales víctimas, representando el 74.1% de los casos reportados</w:t>
      </w:r>
      <w:r w:rsidRPr="004C262D">
        <w:rPr>
          <w:rStyle w:val="Refdenotaalpie"/>
        </w:rPr>
        <w:footnoteReference w:id="11"/>
      </w:r>
      <w:r w:rsidRPr="004C262D">
        <w:t>. Según la Policía Nacional del Perú, en el 2016 se presentaron 5 683 denuncias de violación sexual, representando las niñas y adolescentes el 56.86% del total de denuncias.</w:t>
      </w:r>
    </w:p>
    <w:p w:rsidR="004C262D" w:rsidRPr="004C262D" w:rsidRDefault="004C262D" w:rsidP="004C262D">
      <w:pPr>
        <w:pStyle w:val="Prrafodelista"/>
        <w:ind w:left="1440"/>
        <w:jc w:val="both"/>
      </w:pPr>
      <w:r w:rsidRPr="004C262D">
        <w:t xml:space="preserve"> </w:t>
      </w:r>
    </w:p>
    <w:p w:rsidR="004C262D" w:rsidRPr="004C262D" w:rsidRDefault="004C262D" w:rsidP="004C262D">
      <w:pPr>
        <w:pStyle w:val="Prrafodelista"/>
        <w:numPr>
          <w:ilvl w:val="0"/>
          <w:numId w:val="8"/>
        </w:numPr>
        <w:spacing w:after="0" w:line="240" w:lineRule="auto"/>
        <w:jc w:val="both"/>
      </w:pPr>
      <w:r w:rsidRPr="004C262D">
        <w:t>En segundo lugar, porque una vez producida la agresión sexual, no se adoptaron medidas correspondientes para salvaguardar su salud frente a un embarazo de alto peligro, considerando el altísimo riesgo que representa para una niña llevar a término un embarazo a tan corta edad.</w:t>
      </w:r>
    </w:p>
    <w:p w:rsidR="004C262D" w:rsidRPr="004C262D" w:rsidRDefault="004C262D" w:rsidP="004C262D">
      <w:pPr>
        <w:pStyle w:val="Prrafodelista"/>
        <w:ind w:left="1080"/>
        <w:jc w:val="both"/>
      </w:pPr>
    </w:p>
    <w:p w:rsidR="004C262D" w:rsidRPr="004C262D" w:rsidRDefault="004C262D" w:rsidP="004C262D">
      <w:pPr>
        <w:pStyle w:val="Prrafodelista"/>
        <w:numPr>
          <w:ilvl w:val="0"/>
          <w:numId w:val="4"/>
        </w:numPr>
        <w:spacing w:after="0" w:line="240" w:lineRule="auto"/>
        <w:jc w:val="both"/>
      </w:pPr>
      <w:r w:rsidRPr="004C262D">
        <w:t xml:space="preserve">En el año 2017 se hicieron visibles 03 casos de embarazos en niñas producto de la violencia sexual. En el mes de agosto, salió a la luz la historia de una niña de 13 años, en la región de La Libertad, que quedó embarazada como consecuencia de una violación perpetrada por su cuñado, con quien vivía en compañía de su madre y hermana. Ese mismo mes, se reportó el caso de una niña de 10 años en la región de Cajamarca que quedó embarazada por una agresión cometida por su tío. En octubre, impactó el caso de una niña de 8 años en la región de Puno, que quedó embarazada tras ser violentada sexualmente por su padrastro. </w:t>
      </w:r>
    </w:p>
    <w:p w:rsidR="004C262D" w:rsidRPr="004C262D" w:rsidRDefault="004C262D" w:rsidP="004C262D">
      <w:pPr>
        <w:pStyle w:val="Prrafodelista"/>
        <w:ind w:left="1080"/>
        <w:jc w:val="both"/>
      </w:pPr>
    </w:p>
    <w:p w:rsidR="004C262D" w:rsidRPr="004C262D" w:rsidRDefault="004C262D" w:rsidP="004C262D">
      <w:pPr>
        <w:pStyle w:val="Prrafodelista"/>
        <w:numPr>
          <w:ilvl w:val="0"/>
          <w:numId w:val="4"/>
        </w:numPr>
        <w:spacing w:after="0" w:line="240" w:lineRule="auto"/>
        <w:jc w:val="both"/>
      </w:pPr>
      <w:r w:rsidRPr="004C262D">
        <w:t xml:space="preserve">En ninguno de los casos referidos se practicó el procedimiento de aborto terapéutico; todos ellos siguen a la espera de sanción penal firme contra los agresores, lo que demuestra que las niñas víctimas de la </w:t>
      </w:r>
      <w:r w:rsidRPr="009F5B3D">
        <w:t>violencia sexual, además de las consecuencias de la</w:t>
      </w:r>
      <w:r w:rsidR="009F5B3D">
        <w:t xml:space="preserve"> agresión</w:t>
      </w:r>
      <w:r w:rsidRPr="009F5B3D">
        <w:t>,</w:t>
      </w:r>
      <w:r w:rsidRPr="004C262D">
        <w:t xml:space="preserve"> se enfrentan a una constante lucha por acceder a la justicia en un sistema judicial que todavía no garantiza plenamente la tutela rápida y diligente de sus derechos</w:t>
      </w:r>
      <w:r w:rsidR="000643B9">
        <w:t xml:space="preserve"> y en el que la impunidad todavía es una constante</w:t>
      </w:r>
      <w:r w:rsidRPr="004C262D">
        <w:t xml:space="preserve">.  </w:t>
      </w:r>
    </w:p>
    <w:p w:rsidR="004C262D" w:rsidRPr="004C262D" w:rsidRDefault="004C262D" w:rsidP="004C262D">
      <w:pPr>
        <w:pStyle w:val="Prrafodelista"/>
        <w:ind w:left="1080"/>
        <w:jc w:val="both"/>
      </w:pPr>
    </w:p>
    <w:p w:rsidR="004C262D" w:rsidRPr="004C262D" w:rsidRDefault="000643B9" w:rsidP="004C262D">
      <w:pPr>
        <w:pStyle w:val="Prrafodelista"/>
        <w:numPr>
          <w:ilvl w:val="0"/>
          <w:numId w:val="4"/>
        </w:numPr>
        <w:spacing w:after="0" w:line="240" w:lineRule="auto"/>
        <w:jc w:val="both"/>
      </w:pPr>
      <w:r>
        <w:t>Por ello</w:t>
      </w:r>
      <w:r w:rsidR="004C262D" w:rsidRPr="004C262D">
        <w:t xml:space="preserve">, nos encontramos frente a un contexto en el cual, por falta de prevención de la violencia sexual y por falta de acceso al aborto </w:t>
      </w:r>
      <w:r w:rsidRPr="004C262D">
        <w:t>legal, se</w:t>
      </w:r>
      <w:r w:rsidR="004C262D" w:rsidRPr="004C262D">
        <w:t xml:space="preserve"> imponen embarazos y maternidades a niñas víctimas de </w:t>
      </w:r>
      <w:r>
        <w:t>abuso sexual</w:t>
      </w:r>
      <w:r w:rsidR="004C262D" w:rsidRPr="004C262D">
        <w:t>. Lo anterior cobra especial gravedad, teniendo presente que de la interpretación de la Convención de Belén do Pará, de la Convención sobre la Eliminación de Todas las formas de Discriminación contra la Mujer-CEDAW y el Informe del Relator Especial sobre la Tortura u otros Tratos o Penas Crueles, una violación sexual cumple con los elementos para configurar una tortura : (1) Existe la intención de infringir sufrimiento y castigar; (2) Se hace uso de la fuerza, la amenaza y/o la coacción, con lo cual se genera dominación; (3) Se deja graves secuelas en la salud física y mental de las víctimas, equiparables a las secuelas encontradas en las víctimas de tortura.</w:t>
      </w:r>
    </w:p>
    <w:p w:rsidR="004C262D" w:rsidRPr="004C262D" w:rsidRDefault="004C262D" w:rsidP="004C262D">
      <w:pPr>
        <w:pStyle w:val="Prrafodelista"/>
        <w:ind w:left="1080"/>
        <w:jc w:val="both"/>
      </w:pPr>
    </w:p>
    <w:p w:rsidR="004C262D" w:rsidRPr="004C262D" w:rsidRDefault="004C262D" w:rsidP="004C262D">
      <w:pPr>
        <w:pStyle w:val="Prrafodelista"/>
        <w:numPr>
          <w:ilvl w:val="0"/>
          <w:numId w:val="4"/>
        </w:numPr>
        <w:spacing w:after="0" w:line="240" w:lineRule="auto"/>
        <w:jc w:val="both"/>
        <w:rPr>
          <w:lang w:val="es-ES"/>
        </w:rPr>
      </w:pPr>
      <w:r w:rsidRPr="004C262D">
        <w:rPr>
          <w:lang w:val="es-ES"/>
        </w:rPr>
        <w:t>Por otro lado, tal como manifestó el Comité a modo de preocupación, en el año 2012</w:t>
      </w:r>
      <w:r w:rsidRPr="004C262D">
        <w:rPr>
          <w:rStyle w:val="Refdenotaalpie"/>
          <w:lang w:val="es-ES"/>
        </w:rPr>
        <w:footnoteReference w:id="12"/>
      </w:r>
      <w:r w:rsidRPr="004C262D">
        <w:rPr>
          <w:lang w:val="es-ES"/>
        </w:rPr>
        <w:t>, uno de los principales problemas que originan barreras en el acceso al aborto terapéutico o por razones médicas, es la interpretación demasiado restrictiva respecto a lo que constituye esta causal de aborto no punible. La causal salud no es interpretada desde</w:t>
      </w:r>
      <w:r w:rsidRPr="004C262D">
        <w:rPr>
          <w:rFonts w:cs="Arial"/>
          <w:lang w:val="es-ES"/>
        </w:rPr>
        <w:t xml:space="preserve"> las tres dimensiones reconocidas por la Organización Mundial de la Salud: Física, mental y social</w:t>
      </w:r>
      <w:r w:rsidRPr="004C262D">
        <w:rPr>
          <w:rStyle w:val="Refdenotaalpie"/>
          <w:rFonts w:cs="Arial"/>
          <w:lang w:val="es-ES"/>
        </w:rPr>
        <w:footnoteReference w:id="13"/>
      </w:r>
      <w:r w:rsidRPr="004C262D">
        <w:rPr>
          <w:rFonts w:cs="Arial"/>
          <w:lang w:val="es-ES"/>
        </w:rPr>
        <w:t>.</w:t>
      </w:r>
      <w:r w:rsidR="00C82C6F">
        <w:rPr>
          <w:rFonts w:cs="Arial"/>
          <w:lang w:val="es-ES"/>
        </w:rPr>
        <w:t xml:space="preserve"> Dicha interpretación restringida de la causal salud persiste. </w:t>
      </w:r>
    </w:p>
    <w:p w:rsidR="004C262D" w:rsidRPr="004C262D" w:rsidRDefault="004C262D" w:rsidP="004C262D">
      <w:pPr>
        <w:pStyle w:val="Prrafodelista"/>
        <w:rPr>
          <w:lang w:val="es-ES"/>
        </w:rPr>
      </w:pPr>
    </w:p>
    <w:p w:rsidR="004C262D" w:rsidRDefault="00C82C6F" w:rsidP="00C67C9C">
      <w:pPr>
        <w:pStyle w:val="Prrafodelista"/>
        <w:numPr>
          <w:ilvl w:val="0"/>
          <w:numId w:val="4"/>
        </w:numPr>
        <w:spacing w:after="0" w:line="240" w:lineRule="auto"/>
        <w:jc w:val="both"/>
        <w:rPr>
          <w:lang w:val="es-ES"/>
        </w:rPr>
      </w:pPr>
      <w:r>
        <w:rPr>
          <w:lang w:val="es-ES"/>
        </w:rPr>
        <w:t>Así mismo otra de las barreras para el acceso al aborto terapéutico es la falta de información</w:t>
      </w:r>
      <w:r w:rsidR="00C67C9C">
        <w:rPr>
          <w:lang w:val="es-ES"/>
        </w:rPr>
        <w:t xml:space="preserve"> y la demora en la atención</w:t>
      </w:r>
      <w:r>
        <w:rPr>
          <w:lang w:val="es-ES"/>
        </w:rPr>
        <w:t xml:space="preserve"> hacia las mujeres que necesitan este procedimiento</w:t>
      </w:r>
      <w:r w:rsidR="00C67C9C">
        <w:rPr>
          <w:lang w:val="es-ES"/>
        </w:rPr>
        <w:t xml:space="preserve">, debido a la falta de una correcta capacitación para los operadores de salud respecto a la Guía estandarizada de aborto terapéutico. Esta falta de orientación y atención genera que el tiempo del embarazo se prolongue, haciendo inviable o riesgoso que se practique la interrupción de la gestación. </w:t>
      </w:r>
      <w:r w:rsidR="004C262D" w:rsidRPr="00C67C9C">
        <w:rPr>
          <w:lang w:val="es-ES"/>
        </w:rPr>
        <w:t>Dicha barrera continúa manifestándose en casos que han sido denunciados a través de medios de comunicación, o que han sido objeto de investigaciones por parte de la sociedad civil. Uno de dichos casos fue identificado en una consultoría que el Centro de la Mujer Peruana Flora Tristán ha realizado en alianza con Centro de Promoción y Defensa de los Derechos Sexuales y Reproductivos- Promsex</w:t>
      </w:r>
      <w:r w:rsidR="00C67C9C">
        <w:rPr>
          <w:rStyle w:val="Refdenotaalpie"/>
          <w:lang w:val="es-ES"/>
        </w:rPr>
        <w:footnoteReference w:id="14"/>
      </w:r>
      <w:r w:rsidR="004C262D" w:rsidRPr="00C67C9C">
        <w:rPr>
          <w:lang w:val="es-ES"/>
        </w:rPr>
        <w:t xml:space="preserve">. </w:t>
      </w:r>
    </w:p>
    <w:p w:rsidR="005F5192" w:rsidRPr="005F5192" w:rsidRDefault="005F5192" w:rsidP="005F5192">
      <w:pPr>
        <w:pStyle w:val="Prrafodelista"/>
        <w:rPr>
          <w:lang w:val="es-ES"/>
        </w:rPr>
      </w:pPr>
    </w:p>
    <w:p w:rsidR="004C262D" w:rsidRDefault="004C262D" w:rsidP="00C90BEA">
      <w:pPr>
        <w:jc w:val="both"/>
        <w:rPr>
          <w:lang w:val="es-ES"/>
        </w:rPr>
      </w:pPr>
    </w:p>
    <w:p w:rsidR="00C67C9C" w:rsidRPr="000C34AD" w:rsidRDefault="00C67C9C" w:rsidP="00C67C9C">
      <w:pPr>
        <w:jc w:val="both"/>
        <w:rPr>
          <w:b/>
          <w:sz w:val="24"/>
          <w:szCs w:val="24"/>
          <w:u w:val="single"/>
          <w:lang w:val="es-ES"/>
        </w:rPr>
      </w:pPr>
      <w:r w:rsidRPr="000C34AD">
        <w:rPr>
          <w:b/>
          <w:sz w:val="24"/>
          <w:szCs w:val="24"/>
          <w:lang w:val="es-ES"/>
        </w:rPr>
        <w:t xml:space="preserve">A.2.: </w:t>
      </w:r>
      <w:r w:rsidRPr="000C34AD">
        <w:rPr>
          <w:b/>
          <w:sz w:val="24"/>
          <w:szCs w:val="24"/>
          <w:u w:val="single"/>
          <w:lang w:val="es-ES"/>
        </w:rPr>
        <w:t xml:space="preserve">SOBRE LA MODIFICACIÓN DE LA LESGILACIÓN INTERNA PARA GARANTIZAR EL ACCESO AL ABORTO POR EMBARAZO PRODUCTO DE VIOLACIÓN SEXUAL O INCESTO: </w:t>
      </w:r>
    </w:p>
    <w:p w:rsidR="00C67C9C" w:rsidRDefault="00C67C9C" w:rsidP="00C67C9C">
      <w:pPr>
        <w:spacing w:after="0" w:line="240" w:lineRule="auto"/>
        <w:jc w:val="both"/>
        <w:rPr>
          <w:sz w:val="24"/>
          <w:szCs w:val="24"/>
          <w:lang w:val="es-ES"/>
        </w:rPr>
      </w:pPr>
    </w:p>
    <w:p w:rsidR="00C67C9C" w:rsidRPr="00C67C9C" w:rsidRDefault="00C67C9C" w:rsidP="00C67C9C">
      <w:pPr>
        <w:pStyle w:val="Prrafodelista"/>
        <w:numPr>
          <w:ilvl w:val="0"/>
          <w:numId w:val="4"/>
        </w:numPr>
        <w:spacing w:after="0" w:line="240" w:lineRule="auto"/>
        <w:jc w:val="both"/>
        <w:rPr>
          <w:lang w:val="es-ES"/>
        </w:rPr>
      </w:pPr>
      <w:r w:rsidRPr="00C67C9C">
        <w:t xml:space="preserve">En el año 2013 y 2014, la campaña “Déjala Decidir”, que congregó a diversas organizaciones feministas, de mujeres y colectivos jóvenes, recolectó más de 80 mil firmas a nivel nacional, presentando al Congreso de la República una iniciativa ciudadana denominada </w:t>
      </w:r>
      <w:r w:rsidRPr="00C67C9C">
        <w:rPr>
          <w:i/>
        </w:rPr>
        <w:t>“Proyecto de Ley que despenaliza el aborto en los casos de embarazos a consecuencia de una violación sexual, inseminación artificial o transferencia de óvulos no consentidas”.</w:t>
      </w:r>
    </w:p>
    <w:p w:rsidR="00C67C9C" w:rsidRPr="00C67C9C" w:rsidRDefault="00C67C9C" w:rsidP="00C67C9C">
      <w:pPr>
        <w:pStyle w:val="Prrafodelista"/>
        <w:spacing w:after="0" w:line="240" w:lineRule="auto"/>
        <w:ind w:left="360"/>
        <w:jc w:val="both"/>
        <w:rPr>
          <w:lang w:val="es-ES"/>
        </w:rPr>
      </w:pPr>
    </w:p>
    <w:p w:rsidR="00C67C9C" w:rsidRPr="00C67C9C" w:rsidRDefault="00C67C9C" w:rsidP="00C67C9C">
      <w:pPr>
        <w:pStyle w:val="Prrafodelista"/>
        <w:numPr>
          <w:ilvl w:val="0"/>
          <w:numId w:val="4"/>
        </w:numPr>
        <w:spacing w:after="0" w:line="240" w:lineRule="auto"/>
        <w:jc w:val="both"/>
        <w:rPr>
          <w:lang w:val="es-ES"/>
        </w:rPr>
      </w:pPr>
      <w:r w:rsidRPr="00C67C9C">
        <w:t xml:space="preserve"> En el año 2015, dicha iniciativa legislativa fue archivada por Dictámenes aprobados en mayoría en las Comisiones de Constitución y Reglamentación (08 de junio del 2016) y de Justicia y Derechos Humanos (06 de julio del 2016), luego de un debate en el que prevalecieron discursos conservadores</w:t>
      </w:r>
      <w:r w:rsidR="00F63461">
        <w:t>, biologicistas</w:t>
      </w:r>
      <w:r w:rsidRPr="00C67C9C">
        <w:t xml:space="preserve"> y c</w:t>
      </w:r>
      <w:r w:rsidR="00F63461">
        <w:t>ontrarios a los derechos</w:t>
      </w:r>
      <w:r w:rsidRPr="00C67C9C">
        <w:t xml:space="preserve"> de las mujeres, niñas y adolescentes.</w:t>
      </w:r>
      <w:r w:rsidRPr="00C67C9C">
        <w:rPr>
          <w:rFonts w:ascii="Times New Roman" w:hAnsi="Times New Roman"/>
        </w:rPr>
        <w:t xml:space="preserve"> </w:t>
      </w:r>
    </w:p>
    <w:p w:rsidR="00C67C9C" w:rsidRDefault="00C67C9C" w:rsidP="00C67C9C">
      <w:pPr>
        <w:pStyle w:val="Prrafodelista"/>
      </w:pPr>
    </w:p>
    <w:p w:rsidR="00C67C9C" w:rsidRPr="00C67C9C" w:rsidRDefault="00C67C9C" w:rsidP="00C67C9C">
      <w:pPr>
        <w:pStyle w:val="Prrafodelista"/>
        <w:numPr>
          <w:ilvl w:val="0"/>
          <w:numId w:val="4"/>
        </w:numPr>
        <w:spacing w:after="0" w:line="240" w:lineRule="auto"/>
        <w:jc w:val="both"/>
        <w:rPr>
          <w:lang w:val="es-ES"/>
        </w:rPr>
      </w:pPr>
      <w:r w:rsidRPr="00C67C9C">
        <w:t xml:space="preserve">El archivamiento de aquella iniciativa ciudadana, construida desde el compromiso de nuestras organizaciones y las bases de sociedad civil presentes en la lucha por los derechos reproductivos y el derecho a decidir de las mujeres, representó un incumplimiento indiscutible de las Recomendaciones Internacionales recaídas contra el Estado Peruano, en materia de salud y derechos reproductivos para las mujeres. Entre ellas resalta claramente la Recomendación emitida por el Comité de Derechos Humanos (CCPR/C/PER/CO/2-4) que en el año 2013 señaló: “El Comité recomienda al Estado Parte que: (a) Revise su legislación sobre el aborto y prevea excepciones adicionales en los casos en que el embarazo sea a consecuencia de una violación sexual o incesto.” (párrafo14) </w:t>
      </w:r>
    </w:p>
    <w:p w:rsidR="00C67C9C" w:rsidRPr="00C67C9C" w:rsidRDefault="00C67C9C" w:rsidP="00C67C9C">
      <w:pPr>
        <w:pStyle w:val="Prrafodelista"/>
      </w:pPr>
    </w:p>
    <w:p w:rsidR="00C67C9C" w:rsidRPr="00C67C9C" w:rsidRDefault="00C67C9C" w:rsidP="00C67C9C">
      <w:pPr>
        <w:pStyle w:val="Prrafodelista"/>
        <w:numPr>
          <w:ilvl w:val="0"/>
          <w:numId w:val="4"/>
        </w:numPr>
        <w:spacing w:after="0" w:line="240" w:lineRule="auto"/>
        <w:jc w:val="both"/>
        <w:rPr>
          <w:lang w:val="es-ES"/>
        </w:rPr>
      </w:pPr>
      <w:r>
        <w:t xml:space="preserve">Al respecto, </w:t>
      </w:r>
      <w:r w:rsidRPr="00C67C9C">
        <w:t xml:space="preserve">la problemática de la violencia sexual en el Perú sigue siendo una realidad patente: Según el Ministerio de la Mujer y Poblaciones Vulnerables, entre enero y abril de este año se registraron 2.415 denuncias por violencia sexual, un aumento de 26% respecto al mismo periodo del año pasado, resultando el 70% de víctimas menores de edad.  Estas estadísticas recientes se unen a datos oficiales que nos ilustran claramente la magnitud de la problemática que enfrentamos: </w:t>
      </w:r>
    </w:p>
    <w:p w:rsidR="00C67C9C" w:rsidRPr="00C67C9C" w:rsidRDefault="00C67C9C" w:rsidP="00C67C9C">
      <w:pPr>
        <w:pStyle w:val="Prrafodelista"/>
        <w:rPr>
          <w:lang w:val="es-ES"/>
        </w:rPr>
      </w:pPr>
    </w:p>
    <w:p w:rsidR="00C67C9C" w:rsidRPr="00C67C9C" w:rsidRDefault="00C67C9C" w:rsidP="00C67C9C">
      <w:pPr>
        <w:pStyle w:val="Prrafodelista"/>
        <w:numPr>
          <w:ilvl w:val="0"/>
          <w:numId w:val="9"/>
        </w:numPr>
        <w:spacing w:after="0" w:line="240" w:lineRule="auto"/>
        <w:jc w:val="both"/>
        <w:rPr>
          <w:lang w:val="es-ES"/>
        </w:rPr>
      </w:pPr>
      <w:r w:rsidRPr="00C67C9C">
        <w:t>El Perú es el segundo país con mayor tasa de denuncia policial por violencia sexual; 28.35 por cada 100,000 habitantes en país de América del Sur</w:t>
      </w:r>
      <w:r w:rsidRPr="00C67C9C">
        <w:rPr>
          <w:rStyle w:val="Refdenotaalpie"/>
        </w:rPr>
        <w:footnoteReference w:id="15"/>
      </w:r>
      <w:r w:rsidRPr="00C67C9C">
        <w:t xml:space="preserve">. </w:t>
      </w:r>
    </w:p>
    <w:p w:rsidR="00C67C9C" w:rsidRPr="00C67C9C" w:rsidRDefault="00C67C9C" w:rsidP="00C67C9C">
      <w:pPr>
        <w:pStyle w:val="Prrafodelista"/>
        <w:numPr>
          <w:ilvl w:val="0"/>
          <w:numId w:val="9"/>
        </w:numPr>
        <w:spacing w:after="0" w:line="240" w:lineRule="auto"/>
        <w:jc w:val="both"/>
        <w:rPr>
          <w:lang w:val="es-ES"/>
        </w:rPr>
      </w:pPr>
      <w:r w:rsidRPr="00C67C9C">
        <w:t>Según información de la Policía Nacional del Perú durante el 2014 se registraron 5,201 denuncias de violación, de las cuales 71% de las víctimas eran menores de edad; el 38% ocurrieron en el domicilio de las víctimas y el 35% de los agresores son personas conocidas por las víctimas</w:t>
      </w:r>
      <w:r w:rsidRPr="00C67C9C">
        <w:rPr>
          <w:rStyle w:val="Refdenotaalpie"/>
        </w:rPr>
        <w:footnoteReference w:id="16"/>
      </w:r>
      <w:r w:rsidRPr="00C67C9C">
        <w:t>.</w:t>
      </w:r>
    </w:p>
    <w:p w:rsidR="00C67C9C" w:rsidRPr="00C67C9C" w:rsidRDefault="00C67C9C" w:rsidP="00C67C9C">
      <w:pPr>
        <w:pStyle w:val="Prrafodelista"/>
        <w:numPr>
          <w:ilvl w:val="0"/>
          <w:numId w:val="9"/>
        </w:numPr>
        <w:spacing w:after="0" w:line="240" w:lineRule="auto"/>
        <w:jc w:val="both"/>
        <w:rPr>
          <w:lang w:val="es-ES"/>
        </w:rPr>
      </w:pPr>
      <w:r w:rsidRPr="00C67C9C">
        <w:t>Según información del Ministerio Público en el 2015 se presentaron 19,647 delitos de violación sexual</w:t>
      </w:r>
      <w:r w:rsidRPr="00C67C9C">
        <w:rPr>
          <w:rStyle w:val="Refdenotaalpie"/>
        </w:rPr>
        <w:footnoteReference w:id="17"/>
      </w:r>
      <w:r w:rsidRPr="00C67C9C">
        <w:t>.</w:t>
      </w:r>
    </w:p>
    <w:p w:rsidR="00C67C9C" w:rsidRPr="00C67C9C" w:rsidRDefault="00C67C9C" w:rsidP="00C67C9C">
      <w:pPr>
        <w:pStyle w:val="Prrafodelista"/>
        <w:numPr>
          <w:ilvl w:val="0"/>
          <w:numId w:val="9"/>
        </w:numPr>
        <w:spacing w:after="0" w:line="240" w:lineRule="auto"/>
        <w:jc w:val="both"/>
        <w:rPr>
          <w:lang w:val="es-ES"/>
        </w:rPr>
      </w:pPr>
      <w:r w:rsidRPr="00C67C9C">
        <w:t>Según datos del Centro de Emergencia Mujer, el 34% de las niñas violentadas que se atendieron en los CEM, quedaron embarazadas</w:t>
      </w:r>
      <w:r w:rsidRPr="00C67C9C">
        <w:rPr>
          <w:rStyle w:val="Refdenotaalpie"/>
        </w:rPr>
        <w:footnoteReference w:id="18"/>
      </w:r>
      <w:r w:rsidRPr="00C67C9C">
        <w:t xml:space="preserve">. </w:t>
      </w:r>
    </w:p>
    <w:p w:rsidR="00C67C9C" w:rsidRPr="00C67C9C" w:rsidRDefault="00C67C9C" w:rsidP="00C67C9C">
      <w:pPr>
        <w:pStyle w:val="Prrafodelista"/>
        <w:numPr>
          <w:ilvl w:val="0"/>
          <w:numId w:val="9"/>
        </w:numPr>
        <w:spacing w:after="0" w:line="240" w:lineRule="auto"/>
        <w:jc w:val="both"/>
        <w:rPr>
          <w:lang w:val="es-ES"/>
        </w:rPr>
      </w:pPr>
      <w:r w:rsidRPr="00C67C9C">
        <w:t>Cada año 35 mil mujeres quedan embarazadas producto de una violación sexual</w:t>
      </w:r>
      <w:r w:rsidRPr="00C67C9C">
        <w:rPr>
          <w:rStyle w:val="Refdenotaalpie"/>
        </w:rPr>
        <w:footnoteReference w:id="19"/>
      </w:r>
      <w:r w:rsidRPr="00C67C9C">
        <w:t>.</w:t>
      </w:r>
    </w:p>
    <w:p w:rsidR="00C67C9C" w:rsidRPr="00C67C9C" w:rsidRDefault="00C67C9C" w:rsidP="00C67C9C">
      <w:pPr>
        <w:pStyle w:val="Prrafodelista"/>
        <w:numPr>
          <w:ilvl w:val="0"/>
          <w:numId w:val="9"/>
        </w:numPr>
        <w:spacing w:after="0" w:line="240" w:lineRule="auto"/>
        <w:jc w:val="both"/>
        <w:rPr>
          <w:lang w:val="es-ES"/>
        </w:rPr>
      </w:pPr>
      <w:r w:rsidRPr="00C67C9C">
        <w:t>En el 2006 un estudio publicado por nuestra organización estimó que en el Perú se realizaban 371,420 abortos inseguros al año</w:t>
      </w:r>
      <w:r w:rsidRPr="00C67C9C">
        <w:rPr>
          <w:rStyle w:val="Refdenotaalpie"/>
        </w:rPr>
        <w:footnoteReference w:id="20"/>
      </w:r>
      <w:r w:rsidRPr="00C67C9C">
        <w:t xml:space="preserve">. </w:t>
      </w:r>
    </w:p>
    <w:p w:rsidR="00C67C9C" w:rsidRPr="00C67C9C" w:rsidRDefault="00C67C9C" w:rsidP="00C67C9C">
      <w:pPr>
        <w:pStyle w:val="Prrafodelista"/>
        <w:numPr>
          <w:ilvl w:val="0"/>
          <w:numId w:val="9"/>
        </w:numPr>
        <w:spacing w:after="0" w:line="240" w:lineRule="auto"/>
        <w:jc w:val="both"/>
        <w:rPr>
          <w:lang w:val="es-ES"/>
        </w:rPr>
      </w:pPr>
      <w:r w:rsidRPr="00C67C9C">
        <w:t>Según Información de la Encuesta Demográfica y de Salud Familiar- ENDES, en el 2016 entre las adolescentes de 15 a 19 años a nivel nacional el 12,7% ya estuvo alguna vez embarazada, de estas el 10,1% ya eran madres y el 2,6% estaban gestando por primera vez.</w:t>
      </w:r>
    </w:p>
    <w:p w:rsidR="00C67C9C" w:rsidRPr="00C67C9C" w:rsidRDefault="00C67C9C" w:rsidP="00C67C9C">
      <w:pPr>
        <w:pStyle w:val="Prrafodelista"/>
        <w:rPr>
          <w:lang w:val="es-ES"/>
        </w:rPr>
      </w:pPr>
    </w:p>
    <w:p w:rsidR="00C67C9C" w:rsidRPr="008A2730" w:rsidRDefault="00C67C9C" w:rsidP="00C67C9C">
      <w:pPr>
        <w:pStyle w:val="Prrafodelista"/>
        <w:numPr>
          <w:ilvl w:val="0"/>
          <w:numId w:val="4"/>
        </w:numPr>
        <w:spacing w:after="0" w:line="240" w:lineRule="auto"/>
        <w:jc w:val="both"/>
        <w:rPr>
          <w:lang w:val="es-ES"/>
        </w:rPr>
      </w:pPr>
      <w:r w:rsidRPr="00C67C9C">
        <w:t xml:space="preserve"> Estas evidencias </w:t>
      </w:r>
      <w:r w:rsidR="00F63461">
        <w:t>nos colocan</w:t>
      </w:r>
      <w:r w:rsidRPr="00C67C9C">
        <w:t xml:space="preserve"> frente a </w:t>
      </w:r>
      <w:r w:rsidRPr="00C67C9C">
        <w:rPr>
          <w:b/>
        </w:rPr>
        <w:t xml:space="preserve">una clara vulneración de los derechos sexuales y reproductivos de las mujeres, adolescentes y niñas en el Perú, quienes expuestas a violaciones sexuales que desencadenan embarazos no deseados son </w:t>
      </w:r>
      <w:r w:rsidRPr="008A2730">
        <w:rPr>
          <w:b/>
          <w:i/>
        </w:rPr>
        <w:t>forzadas</w:t>
      </w:r>
      <w:r w:rsidRPr="00C67C9C">
        <w:rPr>
          <w:b/>
        </w:rPr>
        <w:t xml:space="preserve"> a llevarlos a término debido a las sanciones contemplada en nuestro Código Penal, que las priva del derecho a decidir sobre sus proyectos de vida, integridad personal y autonomía reproductiva</w:t>
      </w:r>
      <w:r w:rsidR="00F63461">
        <w:t xml:space="preserve">, lo cual vulnera derechos humanos desde la interpretación de la Convención contra la Tortura y otros tratos o penas crueles inhumanos o degradantes. </w:t>
      </w:r>
    </w:p>
    <w:p w:rsidR="008A2730" w:rsidRPr="00F63461" w:rsidRDefault="008A2730" w:rsidP="008A2730">
      <w:pPr>
        <w:pStyle w:val="Prrafodelista"/>
        <w:spacing w:after="0" w:line="240" w:lineRule="auto"/>
        <w:ind w:left="360"/>
        <w:jc w:val="both"/>
        <w:rPr>
          <w:lang w:val="es-ES"/>
        </w:rPr>
      </w:pPr>
    </w:p>
    <w:p w:rsidR="00C872E6" w:rsidRPr="00C872E6" w:rsidRDefault="008A2730" w:rsidP="00C872E6">
      <w:pPr>
        <w:pStyle w:val="Prrafodelista"/>
        <w:numPr>
          <w:ilvl w:val="0"/>
          <w:numId w:val="4"/>
        </w:numPr>
        <w:spacing w:after="200" w:line="240" w:lineRule="auto"/>
        <w:jc w:val="both"/>
        <w:rPr>
          <w:rFonts w:eastAsia="Arial"/>
        </w:rPr>
      </w:pPr>
      <w:r w:rsidRPr="008A2730">
        <w:rPr>
          <w:rFonts w:eastAsia="Arial"/>
        </w:rPr>
        <w:t>Siendo lo anterior así, el Estado Peruano continúa omiso en la adopción de medidas que reviertan una situación que desde el derecho internacional se ha interpretado a la penalización del aborto en casos de violación sexual como una forma de tortura: El Comité de Derechos Humanos de la ONU en su Observación General N° 28 y el Relator Especial sobre la Tortura u Otros Tratos o Penas Crueles, Inhumanos o Degradantes, en su Informe del año 2013, reconocen que la penalización del aborto en embarazos producto de violaciones sexuales pueden ser considerados actos de tortura. Recomienda al Estado peruano que modifique su legislación y que no se penalice este tipo de aborto y que preste servicios médicos gratuitos a las víctimas de violación</w:t>
      </w:r>
      <w:r w:rsidRPr="008A2730">
        <w:rPr>
          <w:rFonts w:eastAsia="Arial"/>
          <w:vertAlign w:val="superscript"/>
        </w:rPr>
        <w:footnoteReference w:id="21"/>
      </w:r>
      <w:r w:rsidRPr="008A2730">
        <w:rPr>
          <w:rFonts w:eastAsia="Arial"/>
        </w:rPr>
        <w:t>.</w:t>
      </w:r>
      <w:r w:rsidRPr="008A2730">
        <w:rPr>
          <w:rFonts w:eastAsia="Arial"/>
          <w:b/>
          <w:u w:val="single"/>
        </w:rPr>
        <w:t xml:space="preserve"> </w:t>
      </w:r>
    </w:p>
    <w:p w:rsidR="00C872E6" w:rsidRPr="00C872E6" w:rsidRDefault="00C872E6" w:rsidP="00C872E6">
      <w:pPr>
        <w:pStyle w:val="Prrafodelista"/>
        <w:rPr>
          <w:rFonts w:asciiTheme="majorHAnsi" w:hAnsiTheme="majorHAnsi"/>
          <w:lang w:val="es-ES"/>
        </w:rPr>
      </w:pPr>
    </w:p>
    <w:p w:rsidR="00C509EB" w:rsidRPr="000C34AD" w:rsidRDefault="00C872E6" w:rsidP="00AC2879">
      <w:pPr>
        <w:pStyle w:val="Prrafodelista"/>
        <w:numPr>
          <w:ilvl w:val="0"/>
          <w:numId w:val="4"/>
        </w:numPr>
        <w:spacing w:after="200" w:line="240" w:lineRule="auto"/>
        <w:jc w:val="both"/>
        <w:rPr>
          <w:rFonts w:eastAsia="Arial"/>
        </w:rPr>
      </w:pPr>
      <w:r w:rsidRPr="00C872E6">
        <w:rPr>
          <w:rFonts w:ascii="Calibri cuerpo" w:hAnsi="Calibri cuerpo"/>
          <w:lang w:val="es-ES"/>
        </w:rPr>
        <w:t xml:space="preserve">Con fecha </w:t>
      </w:r>
      <w:r w:rsidRPr="00C872E6">
        <w:rPr>
          <w:rFonts w:ascii="Calibri cuerpo" w:hAnsi="Calibri cuerpo"/>
        </w:rPr>
        <w:t xml:space="preserve">12 de octubre del 2016 se presentó el Proyecto de Ley </w:t>
      </w:r>
      <w:r w:rsidRPr="00C872E6">
        <w:rPr>
          <w:rFonts w:ascii="Calibri cuerpo" w:hAnsi="Calibri cuerpo"/>
          <w:lang w:val="es-ES"/>
        </w:rPr>
        <w:t xml:space="preserve">“Ley que despenaliza el aborto en los casos de embarazos a consecuencia de una violación sexual, inseminación </w:t>
      </w:r>
      <w:r w:rsidRPr="000C34AD">
        <w:rPr>
          <w:lang w:val="es-ES"/>
        </w:rPr>
        <w:t xml:space="preserve">artificial o transferencia de óvulos no consentidas y malformaciones incompatibles con la vida”. </w:t>
      </w:r>
      <w:r w:rsidR="00AC2879" w:rsidRPr="000C34AD">
        <w:rPr>
          <w:lang w:val="es-ES"/>
        </w:rPr>
        <w:t xml:space="preserve">Esta propuesta legislativa </w:t>
      </w:r>
      <w:r w:rsidRPr="000C34AD">
        <w:rPr>
          <w:lang w:val="es-ES"/>
        </w:rPr>
        <w:t xml:space="preserve">retoma el anterior proyecto legislativo, añadiendo un nuevo supuesto en los casos de malformaciones incompatibles con la </w:t>
      </w:r>
      <w:r w:rsidR="00C509EB" w:rsidRPr="000C34AD">
        <w:rPr>
          <w:lang w:val="es-ES"/>
        </w:rPr>
        <w:t>vida, las</w:t>
      </w:r>
      <w:r w:rsidRPr="000C34AD">
        <w:rPr>
          <w:lang w:val="es-ES"/>
        </w:rPr>
        <w:t xml:space="preserve"> cuales generan fuertes impactos en la salud psicológica y física de las mujeres gestantes, y son una de las principales causas de muerte perinatal: </w:t>
      </w:r>
    </w:p>
    <w:p w:rsidR="00C509EB" w:rsidRPr="000C34AD" w:rsidRDefault="00C509EB" w:rsidP="00C509EB">
      <w:pPr>
        <w:pStyle w:val="Prrafodelista"/>
        <w:rPr>
          <w:lang w:val="es-ES"/>
        </w:rPr>
      </w:pPr>
    </w:p>
    <w:p w:rsidR="00C872E6" w:rsidRPr="000C34AD" w:rsidRDefault="00C872E6" w:rsidP="00C509EB">
      <w:pPr>
        <w:pStyle w:val="Prrafodelista"/>
        <w:numPr>
          <w:ilvl w:val="0"/>
          <w:numId w:val="10"/>
        </w:numPr>
        <w:spacing w:after="200" w:line="240" w:lineRule="auto"/>
        <w:jc w:val="both"/>
        <w:rPr>
          <w:rFonts w:eastAsia="Arial"/>
        </w:rPr>
      </w:pPr>
      <w:r w:rsidRPr="000C34AD">
        <w:rPr>
          <w:lang w:val="es-ES"/>
        </w:rPr>
        <w:t>Entre el 2014 y 2015, se diagnosticaron 66 embarazos de feto anencefálico, en los servicios de salud pública</w:t>
      </w:r>
      <w:r w:rsidRPr="000C34AD">
        <w:rPr>
          <w:rStyle w:val="Refdenotaalpie"/>
          <w:lang w:val="es-ES"/>
        </w:rPr>
        <w:footnoteReference w:id="22"/>
      </w:r>
      <w:r w:rsidRPr="000C34AD">
        <w:rPr>
          <w:lang w:val="es-ES"/>
        </w:rPr>
        <w:t>.</w:t>
      </w:r>
    </w:p>
    <w:p w:rsidR="00C872E6" w:rsidRPr="000C34AD" w:rsidRDefault="00C872E6" w:rsidP="00C872E6">
      <w:pPr>
        <w:pStyle w:val="Prrafodelista"/>
        <w:rPr>
          <w:lang w:val="es-ES"/>
        </w:rPr>
      </w:pPr>
    </w:p>
    <w:p w:rsidR="00C872E6" w:rsidRPr="000C34AD" w:rsidRDefault="00C872E6" w:rsidP="000C34AD">
      <w:pPr>
        <w:pStyle w:val="Prrafodelista"/>
        <w:numPr>
          <w:ilvl w:val="0"/>
          <w:numId w:val="4"/>
        </w:numPr>
        <w:jc w:val="both"/>
      </w:pPr>
      <w:r w:rsidRPr="000C34AD">
        <w:rPr>
          <w:lang w:val="es-ES"/>
        </w:rPr>
        <w:t>Según la tipificación propuesta, pretende la modificación de los artículos 119° y 120° del Código Penal, a fin de que se despenalice, junto con el aborto terapéutico, el aborto cuando sea consecuencia de una violación sexual, inseminación artificial o transferencia de óvulos no consentida, y el aborto en casos de malformaciones fetales incompatibles con la vida extrauterina.</w:t>
      </w:r>
      <w:r w:rsidR="000C34AD" w:rsidRPr="000C34AD">
        <w:rPr>
          <w:lang w:val="es-ES"/>
        </w:rPr>
        <w:t xml:space="preserve"> sociedad</w:t>
      </w:r>
    </w:p>
    <w:p w:rsidR="00AC2879" w:rsidRPr="000C34AD" w:rsidRDefault="00AC2879" w:rsidP="00AC2879">
      <w:pPr>
        <w:pStyle w:val="Prrafodelista"/>
      </w:pPr>
    </w:p>
    <w:p w:rsidR="00C509EB" w:rsidRPr="000C34AD" w:rsidRDefault="00781F8F" w:rsidP="00C872E6">
      <w:pPr>
        <w:pStyle w:val="Prrafodelista"/>
        <w:numPr>
          <w:ilvl w:val="0"/>
          <w:numId w:val="4"/>
        </w:numPr>
        <w:jc w:val="both"/>
      </w:pPr>
      <w:r w:rsidRPr="000C34AD">
        <w:t>El Estado Peruano debe garantizar para las mujeres, niñas y adolescentes el derecho a acceder de forma legal al aborto en las causales de violación sexual y malformaciones fetales incompatibles con la vida. No solo es una demanda que cuenta con el respaldo de jurisprudencia</w:t>
      </w:r>
      <w:r w:rsidR="00C509EB" w:rsidRPr="000C34AD">
        <w:t xml:space="preserve"> internacional y recomendaciones constantes de Comité de Seguimiento a Tratados de Derechos humanos, sino también cuenta con respaldo de la ciudadanía:</w:t>
      </w:r>
    </w:p>
    <w:p w:rsidR="00C509EB" w:rsidRPr="000C34AD" w:rsidRDefault="00C509EB" w:rsidP="00C509EB">
      <w:pPr>
        <w:pStyle w:val="Prrafodelista"/>
      </w:pPr>
    </w:p>
    <w:p w:rsidR="005F5192" w:rsidRDefault="00C509EB" w:rsidP="005F5192">
      <w:pPr>
        <w:pStyle w:val="Prrafodelista"/>
        <w:numPr>
          <w:ilvl w:val="0"/>
          <w:numId w:val="10"/>
        </w:numPr>
        <w:jc w:val="both"/>
      </w:pPr>
      <w:r w:rsidRPr="000C34AD">
        <w:t>Según un estudio sobre opinión sobre la despenalización del aborto en casos de violación sexual y malformaciones fetales incompatibles con la vida: El 64.1% de peruanos y peruanas está de acuerdo con la despenalización en casos de agresión sexual, mientras que el 71.1%, lo está en cuanto a la causal malformaciones fetales incompatibles con la vida</w:t>
      </w:r>
      <w:r w:rsidRPr="000C34AD">
        <w:rPr>
          <w:rStyle w:val="Refdenotaalpie"/>
        </w:rPr>
        <w:footnoteReference w:id="23"/>
      </w:r>
      <w:r w:rsidRPr="000C34AD">
        <w:t xml:space="preserve">. </w:t>
      </w:r>
    </w:p>
    <w:p w:rsidR="005F5192" w:rsidRDefault="005F5192" w:rsidP="005F5192">
      <w:pPr>
        <w:pStyle w:val="Prrafodelista"/>
        <w:ind w:left="1080"/>
        <w:jc w:val="both"/>
      </w:pPr>
    </w:p>
    <w:p w:rsidR="005F5192" w:rsidRPr="001F4D65" w:rsidRDefault="005F5192" w:rsidP="005F5192">
      <w:pPr>
        <w:pStyle w:val="Prrafodelista"/>
        <w:numPr>
          <w:ilvl w:val="0"/>
          <w:numId w:val="4"/>
        </w:numPr>
        <w:jc w:val="both"/>
      </w:pPr>
      <w:r w:rsidRPr="001F4D65">
        <w:rPr>
          <w:lang w:val="es-ES"/>
        </w:rPr>
        <w:t>Finalmente, respecto a esta sección, debemos informar al Comité que sigue vigente Artículo 30 de la Ley 26842- Ley General de Salud que prescribe para los médicos el deber de poner en conocimiento a la autoridad competente</w:t>
      </w:r>
      <w:r w:rsidRPr="001F4D65">
        <w:rPr>
          <w:lang w:val="es-ES"/>
        </w:rPr>
        <w:t>s</w:t>
      </w:r>
      <w:r w:rsidRPr="001F4D65">
        <w:rPr>
          <w:lang w:val="es-ES"/>
        </w:rPr>
        <w:t xml:space="preserve"> los casos de aborto punibles</w:t>
      </w:r>
      <w:r w:rsidRPr="001F4D65">
        <w:rPr>
          <w:lang w:val="es-ES"/>
        </w:rPr>
        <w:t xml:space="preserve">, vulnerando así en mayor medida los derechos reproductivos de las mujeres, </w:t>
      </w:r>
      <w:r w:rsidR="001F4D65" w:rsidRPr="001F4D65">
        <w:rPr>
          <w:lang w:val="es-ES"/>
        </w:rPr>
        <w:t>que,</w:t>
      </w:r>
      <w:r w:rsidRPr="001F4D65">
        <w:rPr>
          <w:lang w:val="es-ES"/>
        </w:rPr>
        <w:t xml:space="preserve"> a consecuencia de la criminalización del aborto, tienen que recurrir a prácticas de interrupción del embarazo cladestinas</w:t>
      </w:r>
      <w:r w:rsidRPr="001F4D65">
        <w:rPr>
          <w:lang w:val="es-ES"/>
        </w:rPr>
        <w:t>:</w:t>
      </w:r>
    </w:p>
    <w:p w:rsidR="005F5192" w:rsidRPr="005F5192" w:rsidRDefault="005F5192" w:rsidP="005F5192">
      <w:pPr>
        <w:pStyle w:val="Prrafodelista"/>
        <w:ind w:left="360"/>
        <w:jc w:val="both"/>
      </w:pPr>
      <w:bookmarkStart w:id="0" w:name="_GoBack"/>
      <w:bookmarkEnd w:id="0"/>
    </w:p>
    <w:p w:rsidR="005F5192" w:rsidRPr="005F5192" w:rsidRDefault="005F5192" w:rsidP="005F5192">
      <w:pPr>
        <w:pStyle w:val="Prrafodelista"/>
        <w:ind w:left="360"/>
        <w:jc w:val="both"/>
      </w:pPr>
      <w:r w:rsidRPr="005F5192">
        <w:rPr>
          <w:i/>
        </w:rPr>
        <w:t>Artículo 30.- El médico que brinda atención médica a una persona herida por arma blanca, herida de bala, accidente de tránsito o por causa de otro tipo de violencia que constituya delito perseguible de oficio o cuando existan indicios de aborto criminal, está obligado a poner el hecho en conocimiento de la autoridad competente.</w:t>
      </w:r>
    </w:p>
    <w:p w:rsidR="007B40DA" w:rsidRPr="000C34AD" w:rsidRDefault="007B40DA" w:rsidP="005F5192">
      <w:pPr>
        <w:jc w:val="both"/>
      </w:pPr>
    </w:p>
    <w:p w:rsidR="007B40DA" w:rsidRPr="000C34AD" w:rsidRDefault="000C34AD" w:rsidP="007B40DA">
      <w:pPr>
        <w:jc w:val="both"/>
        <w:rPr>
          <w:b/>
          <w:u w:val="single"/>
          <w:lang w:val="es-ES"/>
        </w:rPr>
      </w:pPr>
      <w:r>
        <w:rPr>
          <w:b/>
          <w:lang w:val="es-ES"/>
        </w:rPr>
        <w:t>A.3</w:t>
      </w:r>
      <w:r w:rsidR="007B40DA" w:rsidRPr="000C34AD">
        <w:rPr>
          <w:b/>
          <w:lang w:val="es-ES"/>
        </w:rPr>
        <w:t xml:space="preserve">.: </w:t>
      </w:r>
      <w:r w:rsidR="007B40DA" w:rsidRPr="000C34AD">
        <w:rPr>
          <w:b/>
          <w:u w:val="single"/>
          <w:lang w:val="es-ES"/>
        </w:rPr>
        <w:t xml:space="preserve">SOBRE EL DEBER DE </w:t>
      </w:r>
      <w:r w:rsidR="00A13E07" w:rsidRPr="000C34AD">
        <w:rPr>
          <w:b/>
          <w:u w:val="single"/>
          <w:lang w:val="es-ES"/>
        </w:rPr>
        <w:t>GARANTIZAR</w:t>
      </w:r>
      <w:r w:rsidR="007B40DA" w:rsidRPr="000C34AD">
        <w:rPr>
          <w:b/>
          <w:u w:val="single"/>
          <w:lang w:val="es-ES"/>
        </w:rPr>
        <w:t xml:space="preserve"> MÁS INFORMACIÓN EN MATERIA DE PLANIFICACIÓN FAMILIAR Y PARA PREVENIR EMBARAZOS NO DESEADOS</w:t>
      </w:r>
    </w:p>
    <w:p w:rsidR="00E358AE" w:rsidRPr="000C34AD" w:rsidRDefault="007B40DA" w:rsidP="007B40DA">
      <w:pPr>
        <w:pStyle w:val="Prrafodelista"/>
        <w:numPr>
          <w:ilvl w:val="0"/>
          <w:numId w:val="4"/>
        </w:numPr>
        <w:jc w:val="both"/>
        <w:rPr>
          <w:lang w:val="es-ES"/>
        </w:rPr>
      </w:pPr>
      <w:r w:rsidRPr="000C34AD">
        <w:rPr>
          <w:lang w:val="es-ES"/>
        </w:rPr>
        <w:t>E</w:t>
      </w:r>
      <w:r w:rsidR="00A13E07" w:rsidRPr="000C34AD">
        <w:rPr>
          <w:lang w:val="es-ES"/>
        </w:rPr>
        <w:t>n este rubro, ponemos de manifiesta al Comité, que</w:t>
      </w:r>
      <w:r w:rsidRPr="000C34AD">
        <w:rPr>
          <w:lang w:val="es-ES"/>
        </w:rPr>
        <w:t xml:space="preserve"> persiste</w:t>
      </w:r>
      <w:r w:rsidR="00561CD7" w:rsidRPr="000C34AD">
        <w:rPr>
          <w:bCs/>
        </w:rPr>
        <w:t xml:space="preserve"> </w:t>
      </w:r>
      <w:r w:rsidRPr="000C34AD">
        <w:rPr>
          <w:bCs/>
        </w:rPr>
        <w:t xml:space="preserve">la </w:t>
      </w:r>
      <w:r w:rsidR="00561CD7" w:rsidRPr="000C34AD">
        <w:rPr>
          <w:bCs/>
        </w:rPr>
        <w:t>prevalencia del embarazo adolescente</w:t>
      </w:r>
      <w:r w:rsidRPr="000C34AD">
        <w:rPr>
          <w:bCs/>
        </w:rPr>
        <w:t xml:space="preserve">. </w:t>
      </w:r>
      <w:r w:rsidR="00561CD7" w:rsidRPr="000C34AD">
        <w:rPr>
          <w:bCs/>
        </w:rPr>
        <w:t>Desde hace 25 años los indicadores no se han reducido, y por el contrario hubo un incremento de 2.1%, pasando de 12.5% en el 2011 a 14.6% en el 2014 (I</w:t>
      </w:r>
      <w:r w:rsidRPr="000C34AD">
        <w:rPr>
          <w:bCs/>
        </w:rPr>
        <w:t>nstituto Nacional de Estadística e Informática</w:t>
      </w:r>
      <w:r w:rsidR="00561CD7" w:rsidRPr="000C34AD">
        <w:rPr>
          <w:bCs/>
        </w:rPr>
        <w:t>). Se estima que actualmente existen 207,800 adolescentes de 15 a 19 años de edad que son madres o están embarazadas por primera vez</w:t>
      </w:r>
      <w:r w:rsidRPr="000C34AD">
        <w:rPr>
          <w:bCs/>
        </w:rPr>
        <w:t xml:space="preserve"> (Encuesta Demográfica y de Salud Familiar – ENDES)</w:t>
      </w:r>
    </w:p>
    <w:p w:rsidR="00A13E07" w:rsidRPr="000C34AD" w:rsidRDefault="00A13E07" w:rsidP="00A13E07">
      <w:pPr>
        <w:pStyle w:val="Prrafodelista"/>
        <w:ind w:left="360"/>
        <w:jc w:val="both"/>
        <w:rPr>
          <w:lang w:val="es-ES"/>
        </w:rPr>
      </w:pPr>
    </w:p>
    <w:p w:rsidR="00A13E07" w:rsidRPr="000C34AD" w:rsidRDefault="00A13E07" w:rsidP="00A13E07">
      <w:pPr>
        <w:pStyle w:val="Prrafodelista"/>
        <w:numPr>
          <w:ilvl w:val="0"/>
          <w:numId w:val="4"/>
        </w:numPr>
        <w:jc w:val="both"/>
      </w:pPr>
      <w:r w:rsidRPr="000C34AD">
        <w:t xml:space="preserve">En cuanto a las </w:t>
      </w:r>
      <w:r w:rsidRPr="000C34AD">
        <w:rPr>
          <w:b/>
        </w:rPr>
        <w:t xml:space="preserve">adolescentes de 14 a 19 años, las estadísticas del Ministerio de Salud señalan que (55 330) CINCUENTA Y CINCO MIL TRESCIENTAS TREINTA se convirtieron en madres a nivel nacional en el 2016; </w:t>
      </w:r>
      <w:r w:rsidRPr="000C34AD">
        <w:t>es decir,</w:t>
      </w:r>
      <w:r w:rsidRPr="000C34AD">
        <w:rPr>
          <w:b/>
        </w:rPr>
        <w:t xml:space="preserve"> un promedio de 150 adolescentes se convierten en madres por día. </w:t>
      </w:r>
      <w:r w:rsidRPr="000C34AD">
        <w:t>La mayor cantidad de nacimientos se reportaron en la región de Lima, con un total de 13 763. Le siguieron las regiones de La Libertad con 3 163 y de Piura con 2 894.</w:t>
      </w:r>
    </w:p>
    <w:p w:rsidR="00A13E07" w:rsidRPr="000C34AD" w:rsidRDefault="00A13E07" w:rsidP="00A13E07">
      <w:pPr>
        <w:pStyle w:val="Prrafodelista"/>
      </w:pPr>
    </w:p>
    <w:p w:rsidR="00A13E07" w:rsidRPr="000C34AD" w:rsidRDefault="00A13E07" w:rsidP="00A13E07">
      <w:pPr>
        <w:pStyle w:val="Prrafodelista"/>
        <w:numPr>
          <w:ilvl w:val="0"/>
          <w:numId w:val="4"/>
        </w:numPr>
        <w:jc w:val="both"/>
      </w:pPr>
      <w:r w:rsidRPr="000C34AD">
        <w:t xml:space="preserve">El lugar de procedencia, la condición socio-económica y la etnia también representan factores de riesgo sobre el alto índice de embarazo adolescente a nivel nacional. La Encuesta Demográfica y de Salud Familiar (ENDES) 2016, tuvo como resultado que, en el área rural, las madres adolescentes o embarazadas por primera vez alcanzan el 22,7%, cifra mayor en 12,9 puntos porcentuales comparado con el área urbana (9,8%).  Así mismo, la ENDES señaló que el 48.2% de adolescentes eran indígenas de la Amazonía y el 23.9% pertenecían al quintil inferior de pobreza. </w:t>
      </w:r>
    </w:p>
    <w:p w:rsidR="00A13E07" w:rsidRPr="000C34AD" w:rsidRDefault="00A13E07" w:rsidP="00A13E07">
      <w:pPr>
        <w:pStyle w:val="Prrafodelista"/>
      </w:pPr>
    </w:p>
    <w:p w:rsidR="00A13E07" w:rsidRPr="000C34AD" w:rsidRDefault="00A13E07" w:rsidP="00A13E07">
      <w:pPr>
        <w:pStyle w:val="Prrafodelista"/>
        <w:numPr>
          <w:ilvl w:val="0"/>
          <w:numId w:val="4"/>
        </w:numPr>
        <w:jc w:val="both"/>
      </w:pPr>
      <w:r w:rsidRPr="000C34AD">
        <w:t>Es urgente que se dé adecuada implementación y se agine mayor presupuesto al Plan Multisectorial para la prevención del embarazo adolescente (2013-2021) y a todos los instrumentos normativos y planes estatales para la planificación familiar y la prevención de embarazos no deseados, con enfoque de género e interculturalidad, considerando la realidad pluricultural de Perú.</w:t>
      </w:r>
    </w:p>
    <w:p w:rsidR="00A13E07" w:rsidRPr="000C34AD" w:rsidRDefault="00A13E07" w:rsidP="00A13E07">
      <w:pPr>
        <w:pStyle w:val="Prrafodelista"/>
      </w:pPr>
    </w:p>
    <w:p w:rsidR="000C34AD" w:rsidRPr="000C34AD" w:rsidRDefault="000C34AD" w:rsidP="000C34AD">
      <w:pPr>
        <w:pStyle w:val="Prrafodelista"/>
        <w:numPr>
          <w:ilvl w:val="0"/>
          <w:numId w:val="6"/>
        </w:numPr>
        <w:rPr>
          <w:b/>
          <w:u w:val="single"/>
          <w:lang w:val="es-ES"/>
        </w:rPr>
      </w:pPr>
      <w:r w:rsidRPr="000C34AD">
        <w:rPr>
          <w:b/>
          <w:u w:val="single"/>
          <w:lang w:val="es-ES"/>
        </w:rPr>
        <w:t xml:space="preserve">RECOMENDACIONES </w:t>
      </w:r>
      <w:r w:rsidR="00D67191">
        <w:rPr>
          <w:b/>
          <w:u w:val="single"/>
          <w:lang w:val="es-ES"/>
        </w:rPr>
        <w:t>PROPUESTAS:</w:t>
      </w:r>
    </w:p>
    <w:p w:rsidR="000C34AD" w:rsidRDefault="000C34AD" w:rsidP="000C34AD">
      <w:pPr>
        <w:pStyle w:val="Prrafodelista"/>
        <w:ind w:left="1065"/>
        <w:rPr>
          <w:b/>
          <w:u w:val="single"/>
          <w:lang w:val="es-ES"/>
        </w:rPr>
      </w:pPr>
    </w:p>
    <w:p w:rsidR="007E6EF6" w:rsidRDefault="007E6EF6" w:rsidP="00D67191">
      <w:pPr>
        <w:pStyle w:val="Prrafodelista"/>
        <w:numPr>
          <w:ilvl w:val="0"/>
          <w:numId w:val="4"/>
        </w:numPr>
        <w:jc w:val="both"/>
        <w:rPr>
          <w:lang w:val="es-ES"/>
        </w:rPr>
      </w:pPr>
      <w:r>
        <w:rPr>
          <w:lang w:val="es-ES"/>
        </w:rPr>
        <w:t xml:space="preserve">Implementar adecuadamente la </w:t>
      </w:r>
      <w:r w:rsidRPr="004C262D">
        <w:rPr>
          <w:lang w:val="es-ES"/>
        </w:rPr>
        <w:t>“Guía Técnica Nacional para la estandarización del procedimiento de la atención integral de la gestante en la interrupción voluntaria del embarazo menor de 22 semanas con consentimiento informado”</w:t>
      </w:r>
      <w:r>
        <w:rPr>
          <w:lang w:val="es-ES"/>
        </w:rPr>
        <w:t>. Para tal fin, fortalecer la difusión y capacitación sobre este instrumento en los centros de salud</w:t>
      </w:r>
      <w:r w:rsidR="00A2577D">
        <w:rPr>
          <w:lang w:val="es-ES"/>
        </w:rPr>
        <w:t xml:space="preserve">, removiendo </w:t>
      </w:r>
      <w:r w:rsidR="00F44013">
        <w:rPr>
          <w:lang w:val="es-ES"/>
        </w:rPr>
        <w:t xml:space="preserve">en el personal médico </w:t>
      </w:r>
      <w:r w:rsidR="00A2577D">
        <w:rPr>
          <w:lang w:val="es-ES"/>
        </w:rPr>
        <w:t xml:space="preserve">las prácticas de discriminación </w:t>
      </w:r>
      <w:r w:rsidR="00F44013">
        <w:rPr>
          <w:lang w:val="es-ES"/>
        </w:rPr>
        <w:t xml:space="preserve">por género </w:t>
      </w:r>
      <w:r w:rsidR="00A2577D">
        <w:rPr>
          <w:lang w:val="es-ES"/>
        </w:rPr>
        <w:t>y las barreras administrativas que imposibilitan el acceso a este derecho</w:t>
      </w:r>
      <w:r>
        <w:rPr>
          <w:lang w:val="es-ES"/>
        </w:rPr>
        <w:t xml:space="preserve">. </w:t>
      </w:r>
    </w:p>
    <w:p w:rsidR="007E6EF6" w:rsidRDefault="007E6EF6" w:rsidP="007E6EF6">
      <w:pPr>
        <w:pStyle w:val="Prrafodelista"/>
        <w:ind w:left="360"/>
        <w:jc w:val="both"/>
        <w:rPr>
          <w:lang w:val="es-ES"/>
        </w:rPr>
      </w:pPr>
    </w:p>
    <w:p w:rsidR="007E6EF6" w:rsidRDefault="007E6EF6" w:rsidP="00D67191">
      <w:pPr>
        <w:pStyle w:val="Prrafodelista"/>
        <w:numPr>
          <w:ilvl w:val="0"/>
          <w:numId w:val="4"/>
        </w:numPr>
        <w:jc w:val="both"/>
        <w:rPr>
          <w:lang w:val="es-ES"/>
        </w:rPr>
      </w:pPr>
      <w:r>
        <w:rPr>
          <w:lang w:val="es-ES"/>
        </w:rPr>
        <w:t>Garantizar el acceso a la interrupción</w:t>
      </w:r>
      <w:r w:rsidR="00A2577D">
        <w:rPr>
          <w:lang w:val="es-ES"/>
        </w:rPr>
        <w:t xml:space="preserve"> legal</w:t>
      </w:r>
      <w:r>
        <w:rPr>
          <w:lang w:val="es-ES"/>
        </w:rPr>
        <w:t xml:space="preserve"> del embarazo para </w:t>
      </w:r>
      <w:r w:rsidR="008139BA">
        <w:rPr>
          <w:lang w:val="es-ES"/>
        </w:rPr>
        <w:t>todas las mujeres que lo necesitan y soliciten</w:t>
      </w:r>
      <w:r w:rsidR="00A2577D">
        <w:rPr>
          <w:lang w:val="es-ES"/>
        </w:rPr>
        <w:t xml:space="preserve"> por razones terapéuticas</w:t>
      </w:r>
      <w:r w:rsidR="008139BA">
        <w:rPr>
          <w:lang w:val="es-ES"/>
        </w:rPr>
        <w:t xml:space="preserve">, especialmente </w:t>
      </w:r>
      <w:r>
        <w:rPr>
          <w:lang w:val="es-ES"/>
        </w:rPr>
        <w:t xml:space="preserve">las niñas y adolescentes gestantes a consecuencia de una violación sexual y/o por ausencia de una educación sexual integral. </w:t>
      </w:r>
      <w:r w:rsidR="00F44013">
        <w:rPr>
          <w:lang w:val="es-ES"/>
        </w:rPr>
        <w:t>Es importante que se garantice, además, el acceso a la justicia para las víctimas de violencia sexual que queden embarazadas a consecuencia de la agresión.</w:t>
      </w:r>
      <w:r>
        <w:rPr>
          <w:lang w:val="es-ES"/>
        </w:rPr>
        <w:t xml:space="preserve">  </w:t>
      </w:r>
    </w:p>
    <w:p w:rsidR="007E6EF6" w:rsidRPr="007E6EF6" w:rsidRDefault="007E6EF6" w:rsidP="007E6EF6">
      <w:pPr>
        <w:pStyle w:val="Prrafodelista"/>
        <w:rPr>
          <w:lang w:val="es-ES"/>
        </w:rPr>
      </w:pPr>
    </w:p>
    <w:p w:rsidR="00F44013" w:rsidRDefault="007E6EF6" w:rsidP="00D67191">
      <w:pPr>
        <w:pStyle w:val="Prrafodelista"/>
        <w:numPr>
          <w:ilvl w:val="0"/>
          <w:numId w:val="4"/>
        </w:numPr>
        <w:jc w:val="both"/>
        <w:rPr>
          <w:lang w:val="es-ES"/>
        </w:rPr>
      </w:pPr>
      <w:r>
        <w:rPr>
          <w:lang w:val="es-ES"/>
        </w:rPr>
        <w:t xml:space="preserve">Asegurar una atención rápida y </w:t>
      </w:r>
      <w:r w:rsidR="008139BA">
        <w:rPr>
          <w:lang w:val="es-ES"/>
        </w:rPr>
        <w:t>e</w:t>
      </w:r>
      <w:r>
        <w:rPr>
          <w:lang w:val="es-ES"/>
        </w:rPr>
        <w:t xml:space="preserve">fectiva </w:t>
      </w:r>
      <w:r w:rsidR="008139BA">
        <w:rPr>
          <w:lang w:val="es-ES"/>
        </w:rPr>
        <w:t>p</w:t>
      </w:r>
      <w:r>
        <w:rPr>
          <w:lang w:val="es-ES"/>
        </w:rPr>
        <w:t>a</w:t>
      </w:r>
      <w:r w:rsidR="008139BA">
        <w:rPr>
          <w:lang w:val="es-ES"/>
        </w:rPr>
        <w:t>ra</w:t>
      </w:r>
      <w:r>
        <w:rPr>
          <w:lang w:val="es-ES"/>
        </w:rPr>
        <w:t xml:space="preserve"> las mujeres que</w:t>
      </w:r>
      <w:r w:rsidR="008139BA">
        <w:rPr>
          <w:lang w:val="es-ES"/>
        </w:rPr>
        <w:t xml:space="preserve"> ingresan solicitudes para la interrupción legal del embarazo en los centros de salud, evitando su revictimización, la violencia obstétrica o la ausencia de una respuesta oportuna</w:t>
      </w:r>
      <w:r w:rsidR="00F44013">
        <w:rPr>
          <w:lang w:val="es-ES"/>
        </w:rPr>
        <w:t xml:space="preserve"> por parte de las autoridades del sistema de salud</w:t>
      </w:r>
      <w:r w:rsidR="008139BA">
        <w:rPr>
          <w:lang w:val="es-ES"/>
        </w:rPr>
        <w:t>.</w:t>
      </w:r>
      <w:r w:rsidR="00F44013">
        <w:rPr>
          <w:lang w:val="es-ES"/>
        </w:rPr>
        <w:t xml:space="preserve"> </w:t>
      </w:r>
    </w:p>
    <w:p w:rsidR="00F44013" w:rsidRPr="00F44013" w:rsidRDefault="00F44013" w:rsidP="00F44013">
      <w:pPr>
        <w:pStyle w:val="Prrafodelista"/>
        <w:rPr>
          <w:lang w:val="es-ES"/>
        </w:rPr>
      </w:pPr>
    </w:p>
    <w:p w:rsidR="007A1F52" w:rsidRPr="007A1F52" w:rsidRDefault="00F44013" w:rsidP="00D67191">
      <w:pPr>
        <w:pStyle w:val="Prrafodelista"/>
        <w:numPr>
          <w:ilvl w:val="0"/>
          <w:numId w:val="4"/>
        </w:numPr>
        <w:jc w:val="both"/>
        <w:rPr>
          <w:lang w:val="es-ES"/>
        </w:rPr>
      </w:pPr>
      <w:r>
        <w:rPr>
          <w:lang w:val="es-ES"/>
        </w:rPr>
        <w:t xml:space="preserve">Eliminar las barreras legales presentes en el ordenamiento jurídico nacional, que obstaculizan el acceso de las mujeres a los servicios de salud sexual y reproductiva, tales como el artículo N° 30 de la Ley General de Salud, que prescribe para los operados de salud el deber de reportar los casos de aborto inducido e incompleto que conozcan en el marco de la actividad profesional. </w:t>
      </w:r>
      <w:r w:rsidR="008139BA">
        <w:rPr>
          <w:lang w:val="es-ES"/>
        </w:rPr>
        <w:tab/>
        <w:t xml:space="preserve">             </w:t>
      </w:r>
      <w:r w:rsidR="007E6EF6">
        <w:rPr>
          <w:lang w:val="es-ES"/>
        </w:rPr>
        <w:t xml:space="preserve"> </w:t>
      </w:r>
      <w:r w:rsidR="008139BA">
        <w:rPr>
          <w:lang w:val="es-ES"/>
        </w:rPr>
        <w:t xml:space="preserve"> </w:t>
      </w:r>
      <w:r w:rsidR="007A1F52">
        <w:rPr>
          <w:lang w:val="es-ES"/>
        </w:rPr>
        <w:br/>
      </w:r>
    </w:p>
    <w:p w:rsidR="007E6EF6" w:rsidRPr="00A2577D" w:rsidRDefault="007E6EF6" w:rsidP="00D67191">
      <w:pPr>
        <w:pStyle w:val="Prrafodelista"/>
        <w:numPr>
          <w:ilvl w:val="0"/>
          <w:numId w:val="4"/>
        </w:numPr>
        <w:jc w:val="both"/>
        <w:rPr>
          <w:lang w:val="es-ES"/>
        </w:rPr>
      </w:pPr>
      <w:r>
        <w:rPr>
          <w:lang w:val="es-ES"/>
        </w:rPr>
        <w:t>Despenalizar el</w:t>
      </w:r>
      <w:r w:rsidR="000C34AD" w:rsidRPr="000C34AD">
        <w:t xml:space="preserve"> aborto</w:t>
      </w:r>
      <w:r w:rsidR="00D67191">
        <w:t>, en cumplimiento de</w:t>
      </w:r>
      <w:r w:rsidR="000C34AD" w:rsidRPr="000C34AD">
        <w:t xml:space="preserve"> los estándares</w:t>
      </w:r>
      <w:r w:rsidR="00D67191">
        <w:t xml:space="preserve"> internacionales sobre</w:t>
      </w:r>
      <w:r w:rsidR="000C34AD" w:rsidRPr="000C34AD">
        <w:t xml:space="preserve"> derechos humanos y las recomen</w:t>
      </w:r>
      <w:r w:rsidR="00D67191">
        <w:t>daciones dadas por los Comités de seguimiento a los Tratados Internacionales.</w:t>
      </w:r>
      <w:r w:rsidR="005B7A46">
        <w:t xml:space="preserve"> En ese sentido, que el Congreso de la República debata y apruebe las propuestas legislativas dirigidas a</w:t>
      </w:r>
      <w:r>
        <w:t>l reconocimiento del derecho a decidir de las mujeres</w:t>
      </w:r>
      <w:r w:rsidR="005B7A46">
        <w:t xml:space="preserve">. </w:t>
      </w:r>
    </w:p>
    <w:p w:rsidR="00A2577D" w:rsidRPr="00A2577D" w:rsidRDefault="00A2577D" w:rsidP="00A2577D">
      <w:pPr>
        <w:pStyle w:val="Prrafodelista"/>
        <w:ind w:left="360"/>
        <w:jc w:val="both"/>
        <w:rPr>
          <w:lang w:val="es-ES"/>
        </w:rPr>
      </w:pPr>
    </w:p>
    <w:p w:rsidR="00C67C9C" w:rsidRPr="00F44013" w:rsidRDefault="00F44013" w:rsidP="00C90BEA">
      <w:pPr>
        <w:pStyle w:val="Prrafodelista"/>
        <w:numPr>
          <w:ilvl w:val="0"/>
          <w:numId w:val="4"/>
        </w:numPr>
        <w:jc w:val="both"/>
        <w:rPr>
          <w:lang w:val="es-ES"/>
        </w:rPr>
      </w:pPr>
      <w:r>
        <w:rPr>
          <w:lang w:val="es-ES"/>
        </w:rPr>
        <w:t>Garantizar la distribución eficaz y accesible del anticonceptivo oral de emergencia para las víctimas de violencia sexual, a fin de que se prevengan los embarazos no deseados a consecuencia de una violación sexual, tanto en el ámbito rural como urbano. Así mismo, garantizar la distribución y acceso de los métodos anticonceptivos a nivel nacional, para prevenir los embarazos no deseados,</w:t>
      </w:r>
      <w:r w:rsidR="00BD48A6">
        <w:rPr>
          <w:lang w:val="es-ES"/>
        </w:rPr>
        <w:t xml:space="preserve"> especialmente, en la población adolescente,</w:t>
      </w:r>
      <w:r>
        <w:rPr>
          <w:lang w:val="es-ES"/>
        </w:rPr>
        <w:t xml:space="preserve"> promoviendo en los centros educativos la educación sexual integral. </w:t>
      </w:r>
    </w:p>
    <w:sectPr w:rsidR="00C67C9C" w:rsidRPr="00F44013" w:rsidSect="00F44013">
      <w:footerReference w:type="default" r:id="rId12"/>
      <w:pgSz w:w="11906" w:h="16838"/>
      <w:pgMar w:top="1417"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1CD7" w:rsidRDefault="00561CD7" w:rsidP="00D277E0">
      <w:pPr>
        <w:spacing w:after="0" w:line="240" w:lineRule="auto"/>
      </w:pPr>
      <w:r>
        <w:separator/>
      </w:r>
    </w:p>
  </w:endnote>
  <w:endnote w:type="continuationSeparator" w:id="0">
    <w:p w:rsidR="00561CD7" w:rsidRDefault="00561CD7" w:rsidP="00D27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cuerp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9717522"/>
      <w:docPartObj>
        <w:docPartGallery w:val="Page Numbers (Bottom of Page)"/>
        <w:docPartUnique/>
      </w:docPartObj>
    </w:sdtPr>
    <w:sdtEndPr/>
    <w:sdtContent>
      <w:p w:rsidR="004638F2" w:rsidRDefault="004638F2">
        <w:pPr>
          <w:pStyle w:val="Piedepgina"/>
          <w:jc w:val="right"/>
        </w:pPr>
        <w:r>
          <w:fldChar w:fldCharType="begin"/>
        </w:r>
        <w:r>
          <w:instrText>PAGE   \* MERGEFORMAT</w:instrText>
        </w:r>
        <w:r>
          <w:fldChar w:fldCharType="separate"/>
        </w:r>
        <w:r w:rsidR="00433AB2" w:rsidRPr="00433AB2">
          <w:rPr>
            <w:noProof/>
            <w:lang w:val="es-ES"/>
          </w:rPr>
          <w:t>1</w:t>
        </w:r>
        <w:r>
          <w:fldChar w:fldCharType="end"/>
        </w:r>
      </w:p>
    </w:sdtContent>
  </w:sdt>
  <w:p w:rsidR="004638F2" w:rsidRDefault="004638F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1CD7" w:rsidRDefault="00561CD7" w:rsidP="00D277E0">
      <w:pPr>
        <w:spacing w:after="0" w:line="240" w:lineRule="auto"/>
      </w:pPr>
      <w:r>
        <w:separator/>
      </w:r>
    </w:p>
  </w:footnote>
  <w:footnote w:type="continuationSeparator" w:id="0">
    <w:p w:rsidR="00561CD7" w:rsidRDefault="00561CD7" w:rsidP="00D277E0">
      <w:pPr>
        <w:spacing w:after="0" w:line="240" w:lineRule="auto"/>
      </w:pPr>
      <w:r>
        <w:continuationSeparator/>
      </w:r>
    </w:p>
  </w:footnote>
  <w:footnote w:id="1">
    <w:p w:rsidR="006B09BD" w:rsidRDefault="006B09BD" w:rsidP="00B93F3A">
      <w:pPr>
        <w:pStyle w:val="Textonotapie"/>
        <w:jc w:val="both"/>
      </w:pPr>
      <w:r>
        <w:rPr>
          <w:rStyle w:val="Refdenotaalpie"/>
        </w:rPr>
        <w:footnoteRef/>
      </w:r>
      <w:r>
        <w:t xml:space="preserve"> </w:t>
      </w:r>
      <w:hyperlink r:id="rId1" w:history="1">
        <w:r w:rsidRPr="005D4B3D">
          <w:rPr>
            <w:rStyle w:val="Hipervnculo"/>
          </w:rPr>
          <w:t>https://www.mpfn.gob.pe/observatorio/</w:t>
        </w:r>
      </w:hyperlink>
      <w:r>
        <w:t xml:space="preserve"> </w:t>
      </w:r>
    </w:p>
  </w:footnote>
  <w:footnote w:id="2">
    <w:p w:rsidR="00354C34" w:rsidRDefault="00354C34" w:rsidP="00B93F3A">
      <w:pPr>
        <w:pStyle w:val="Textonotapie"/>
        <w:jc w:val="both"/>
      </w:pPr>
      <w:r>
        <w:rPr>
          <w:rStyle w:val="Refdenotaalpie"/>
        </w:rPr>
        <w:footnoteRef/>
      </w:r>
      <w:r>
        <w:t xml:space="preserve"> </w:t>
      </w:r>
      <w:hyperlink r:id="rId2" w:history="1">
        <w:r w:rsidR="008A5322" w:rsidRPr="005D4B3D">
          <w:rPr>
            <w:rStyle w:val="Hipervnculo"/>
          </w:rPr>
          <w:t>https://elcomercio.pe/lima/sucesos/eyvi-agreda-cronologia-brutal-ataque-acabo-vida-noticia-524456</w:t>
        </w:r>
      </w:hyperlink>
      <w:r w:rsidR="008A5322">
        <w:t xml:space="preserve">;  </w:t>
      </w:r>
      <w:hyperlink r:id="rId3" w:history="1">
        <w:r w:rsidR="008A5322" w:rsidRPr="005D4B3D">
          <w:rPr>
            <w:rStyle w:val="Hipervnculo"/>
          </w:rPr>
          <w:t>https://elcomercio.pe/lima/sucesos/feminicidios-lima-registra-casos-mujeres-quemadas-ano-noticia-534106</w:t>
        </w:r>
      </w:hyperlink>
      <w:r w:rsidR="008A5322">
        <w:t xml:space="preserve"> </w:t>
      </w:r>
    </w:p>
  </w:footnote>
  <w:footnote w:id="3">
    <w:p w:rsidR="007476C3" w:rsidRDefault="007476C3" w:rsidP="00372BBD">
      <w:pPr>
        <w:pStyle w:val="Textonotapie"/>
        <w:jc w:val="both"/>
      </w:pPr>
      <w:r>
        <w:rPr>
          <w:rStyle w:val="Refdenotaalpie"/>
        </w:rPr>
        <w:footnoteRef/>
      </w:r>
      <w:r>
        <w:t xml:space="preserve"> </w:t>
      </w:r>
      <w:hyperlink r:id="rId4" w:history="1">
        <w:r w:rsidRPr="005D4B3D">
          <w:rPr>
            <w:rStyle w:val="Hipervnculo"/>
          </w:rPr>
          <w:t>https://canaln.pe/peru/ayacucho-dictan-prision-preventiva-adultos-implicados-violacion-n245789</w:t>
        </w:r>
      </w:hyperlink>
      <w:r>
        <w:t xml:space="preserve"> </w:t>
      </w:r>
    </w:p>
  </w:footnote>
  <w:footnote w:id="4">
    <w:p w:rsidR="00161002" w:rsidRDefault="00161002" w:rsidP="00372BBD">
      <w:pPr>
        <w:pStyle w:val="Textonotapie"/>
        <w:jc w:val="both"/>
      </w:pPr>
      <w:r>
        <w:rPr>
          <w:rStyle w:val="Refdenotaalpie"/>
        </w:rPr>
        <w:footnoteRef/>
      </w:r>
      <w:r>
        <w:t xml:space="preserve"> </w:t>
      </w:r>
    </w:p>
    <w:p w:rsidR="00372BBD" w:rsidRDefault="00372BBD" w:rsidP="00372BBD">
      <w:pPr>
        <w:pStyle w:val="Textonotapie"/>
        <w:jc w:val="both"/>
      </w:pPr>
      <w:r>
        <w:t xml:space="preserve">Ley N°30838 Ley que modifica el código penal y el código de ejecución penal para fortalecer la prevención y sanción de los delitos contra la libertad e indemnidad sexuales: </w:t>
      </w:r>
      <w:hyperlink r:id="rId5" w:history="1">
        <w:r w:rsidRPr="005D4B3D">
          <w:rPr>
            <w:rStyle w:val="Hipervnculo"/>
          </w:rPr>
          <w:t>https://busquedas.elperuano.pe/normaslegales/ley-que-modifica-el-codigo-penal-y-el-codigo-de-ejecucion-pe-ley-n-30838-1677448-1/</w:t>
        </w:r>
      </w:hyperlink>
      <w:r>
        <w:t xml:space="preserve"> </w:t>
      </w:r>
    </w:p>
    <w:p w:rsidR="00161002" w:rsidRDefault="00161002" w:rsidP="00372BBD">
      <w:pPr>
        <w:pStyle w:val="Textonotapie"/>
        <w:jc w:val="both"/>
      </w:pPr>
      <w:r>
        <w:t xml:space="preserve">Decreto Legislativo 1386 del 4 de septiembre de 2018: </w:t>
      </w:r>
      <w:hyperlink r:id="rId6" w:history="1">
        <w:r w:rsidRPr="005D4B3D">
          <w:rPr>
            <w:rStyle w:val="Hipervnculo"/>
          </w:rPr>
          <w:t>https://busquedas.elperuano.pe/normaslegales/decreto-legislativo-que-modifica-la-ley-n-30364-ley-para-p-decreto-legislativo-n-1386-1687393-4/</w:t>
        </w:r>
      </w:hyperlink>
      <w:r>
        <w:t xml:space="preserve"> </w:t>
      </w:r>
    </w:p>
    <w:p w:rsidR="00161002" w:rsidRDefault="00161002" w:rsidP="00372BBD">
      <w:pPr>
        <w:pStyle w:val="Textonotapie"/>
        <w:jc w:val="both"/>
      </w:pPr>
      <w:r>
        <w:t xml:space="preserve">Decreto Legislativo 11410 del 12 de septiembre de 2018 </w:t>
      </w:r>
      <w:r w:rsidR="004853D2" w:rsidRPr="004853D2">
        <w:t>que incorpora el delito de acoso, acoso sexual, chantaje sexual y difusión de imágenes, materiales audiovisuales o audios con contenido sexual al código penal, y modifica el procedimiento de sanción del hostigamiento sexua</w:t>
      </w:r>
      <w:r w:rsidR="004853D2">
        <w:t>l</w:t>
      </w:r>
      <w:r>
        <w:t>:</w:t>
      </w:r>
      <w:r w:rsidR="004853D2">
        <w:t xml:space="preserve"> </w:t>
      </w:r>
      <w:hyperlink r:id="rId7" w:history="1">
        <w:r w:rsidR="004853D2" w:rsidRPr="005D4B3D">
          <w:rPr>
            <w:rStyle w:val="Hipervnculo"/>
          </w:rPr>
          <w:t>https://busquedas.elperuano.pe/normaslegales/decreto-legislativo-que-incorpora-el-delito-de-acoso-acoso-decreto-legislativo-n-1410-1690482-3/</w:t>
        </w:r>
      </w:hyperlink>
      <w:r w:rsidR="004853D2">
        <w:t xml:space="preserve"> </w:t>
      </w:r>
    </w:p>
  </w:footnote>
  <w:footnote w:id="5">
    <w:p w:rsidR="006B09BD" w:rsidRDefault="006B09BD" w:rsidP="00372BBD">
      <w:pPr>
        <w:shd w:val="clear" w:color="auto" w:fill="FFFFFF"/>
        <w:jc w:val="both"/>
      </w:pPr>
      <w:r>
        <w:rPr>
          <w:rStyle w:val="Refdenotaalpie"/>
        </w:rPr>
        <w:footnoteRef/>
      </w:r>
      <w:r>
        <w:t xml:space="preserve"> La Encuesta nacional de relaciones sociales -ENARES, señaló en 2015 que el 54.8% de personas mayores de 18 años justificaron situaciones de violencia contra las mujeres. Ver más en: </w:t>
      </w:r>
      <w:hyperlink r:id="rId8" w:history="1">
        <w:r w:rsidRPr="005D4B3D">
          <w:rPr>
            <w:rStyle w:val="Hipervnculo"/>
          </w:rPr>
          <w:t>https://webinei.inei.gob.pe/anda_inei/index.php/catalog/581</w:t>
        </w:r>
      </w:hyperlink>
      <w:r>
        <w:t xml:space="preserve"> </w:t>
      </w:r>
    </w:p>
  </w:footnote>
  <w:footnote w:id="6">
    <w:p w:rsidR="00C90BEA" w:rsidRDefault="00C90BEA" w:rsidP="003001F1">
      <w:pPr>
        <w:pStyle w:val="Textonotapie"/>
        <w:jc w:val="both"/>
      </w:pPr>
      <w:r>
        <w:rPr>
          <w:rStyle w:val="Refdenotaalpie"/>
        </w:rPr>
        <w:footnoteRef/>
      </w:r>
      <w:r>
        <w:t xml:space="preserve"> </w:t>
      </w:r>
      <w:r w:rsidR="00B25BE4">
        <w:t xml:space="preserve"> Según la oficina de estadística de la </w:t>
      </w:r>
      <w:r w:rsidR="003001F1">
        <w:t>Policía</w:t>
      </w:r>
      <w:r w:rsidR="00B25BE4">
        <w:t xml:space="preserve"> Nacional del Perú en el año 2017 se han reportado </w:t>
      </w:r>
      <w:r w:rsidR="00B25BE4" w:rsidRPr="00B25BE4">
        <w:t>4</w:t>
      </w:r>
      <w:r w:rsidR="003001F1">
        <w:t>,</w:t>
      </w:r>
      <w:r w:rsidR="00B25BE4" w:rsidRPr="00B25BE4">
        <w:t>486</w:t>
      </w:r>
      <w:r w:rsidR="00B25BE4">
        <w:t xml:space="preserve"> denuncias de violación sexual contra mujeres menores de 18 años, lo que representa el 63% del número de denuncias por este delito. </w:t>
      </w:r>
      <w:r w:rsidR="003001F1">
        <w:t xml:space="preserve">Mayor información en las Pp. 37 en adelante del Anuario estadístico 2017, en </w:t>
      </w:r>
      <w:hyperlink r:id="rId9" w:history="1">
        <w:r w:rsidR="003001F1" w:rsidRPr="005D4B3D">
          <w:rPr>
            <w:rStyle w:val="Hipervnculo"/>
          </w:rPr>
          <w:t>https://www.policia.gob.pe/anuario_estadistico/documentos/anuario_estadistico2017.pdf</w:t>
        </w:r>
      </w:hyperlink>
      <w:r w:rsidR="003001F1">
        <w:t xml:space="preserve"> </w:t>
      </w:r>
    </w:p>
  </w:footnote>
  <w:footnote w:id="7">
    <w:p w:rsidR="006B09BD" w:rsidRDefault="006B09BD" w:rsidP="00B93F3A">
      <w:pPr>
        <w:pStyle w:val="Textonotapie"/>
        <w:jc w:val="both"/>
      </w:pPr>
      <w:r>
        <w:rPr>
          <w:rStyle w:val="Refdenotaalpie"/>
        </w:rPr>
        <w:footnoteRef/>
      </w:r>
      <w:r>
        <w:t xml:space="preserve"> Ver noticia al respecto: </w:t>
      </w:r>
      <w:hyperlink r:id="rId10" w:history="1">
        <w:r w:rsidRPr="005D4B3D">
          <w:rPr>
            <w:rStyle w:val="Hipervnculo"/>
          </w:rPr>
          <w:t>https://larepublica.pe/politica/1274842-juez-cesar-hinostroza-ofrecio-reduccion-pena-violador-menor-video</w:t>
        </w:r>
      </w:hyperlink>
      <w:r>
        <w:t xml:space="preserve">  y </w:t>
      </w:r>
      <w:hyperlink r:id="rId11" w:history="1">
        <w:r w:rsidR="00B25BE4" w:rsidRPr="005D4B3D">
          <w:rPr>
            <w:rStyle w:val="Hipervnculo"/>
          </w:rPr>
          <w:t>https://ojo-publico.com/758/juez-cesar-hinostroza-creo-precedente-para-reducir-pena-violadores-de-menores</w:t>
        </w:r>
      </w:hyperlink>
      <w:r>
        <w:t xml:space="preserve"> </w:t>
      </w:r>
    </w:p>
  </w:footnote>
  <w:footnote w:id="8">
    <w:p w:rsidR="004C262D" w:rsidRPr="009A0BA4" w:rsidRDefault="004C262D" w:rsidP="004C262D">
      <w:pPr>
        <w:pStyle w:val="Textonotapie"/>
        <w:jc w:val="both"/>
        <w:rPr>
          <w:lang w:val="es-ES"/>
        </w:rPr>
      </w:pPr>
      <w:r>
        <w:rPr>
          <w:rStyle w:val="Refdenotaalpie"/>
        </w:rPr>
        <w:footnoteRef/>
      </w:r>
      <w:r w:rsidRPr="00C41209">
        <w:t xml:space="preserve"> </w:t>
      </w:r>
      <w:r w:rsidRPr="004C262D">
        <w:t>Mediante solicitud de Acceso a Información Pública Nº 17-0005531, el Centro de la Mujer Peruana obtuvo del Ministerio de Salud data sobre la cantidad de abortos terapéuticos y de niñas y adolescentes que se convirtieron en madres en el 2016; así mismo, sobre la cantidad de abortos atendidos en el Sistema de Salud en el referido año.</w:t>
      </w:r>
      <w:r w:rsidRPr="00C41209">
        <w:rPr>
          <w:rFonts w:ascii="Univers" w:hAnsi="Univers"/>
          <w:sz w:val="22"/>
          <w:szCs w:val="22"/>
        </w:rPr>
        <w:t xml:space="preserve"> </w:t>
      </w:r>
    </w:p>
  </w:footnote>
  <w:footnote w:id="9">
    <w:p w:rsidR="004C262D" w:rsidRPr="00C41209" w:rsidRDefault="004C262D" w:rsidP="004C262D">
      <w:pPr>
        <w:pStyle w:val="Textonotapie"/>
        <w:jc w:val="both"/>
      </w:pPr>
      <w:r>
        <w:rPr>
          <w:rStyle w:val="Refdenotaalpie"/>
        </w:rPr>
        <w:footnoteRef/>
      </w:r>
      <w:r w:rsidRPr="00C41209">
        <w:t xml:space="preserve"> </w:t>
      </w:r>
      <w:r w:rsidRPr="004C262D">
        <w:t>Solicitud de Acceso a Información Pública Nº 17-0005531</w:t>
      </w:r>
    </w:p>
  </w:footnote>
  <w:footnote w:id="10">
    <w:p w:rsidR="004C262D" w:rsidRPr="004C262D" w:rsidRDefault="004C262D" w:rsidP="004C262D">
      <w:pPr>
        <w:pStyle w:val="Textonotapie"/>
        <w:jc w:val="both"/>
        <w:rPr>
          <w:rFonts w:ascii="Calibri" w:hAnsi="Calibri"/>
          <w:lang w:val="es-ES"/>
        </w:rPr>
      </w:pPr>
      <w:r>
        <w:rPr>
          <w:rStyle w:val="Refdenotaalpie"/>
        </w:rPr>
        <w:footnoteRef/>
      </w:r>
      <w:r w:rsidRPr="00C41209">
        <w:t xml:space="preserve"> </w:t>
      </w:r>
      <w:r w:rsidRPr="004C262D">
        <w:rPr>
          <w:rFonts w:ascii="Calibri" w:hAnsi="Calibri"/>
        </w:rPr>
        <w:t>De la interpretación del Código Penal vigente (artículo 173º), todos estos embarazos deben ser considerados como consecuencia de una violación, vulnerando por ello la indemnidad sexual de las víctimas.</w:t>
      </w:r>
    </w:p>
  </w:footnote>
  <w:footnote w:id="11">
    <w:p w:rsidR="004C262D" w:rsidRPr="004C262D" w:rsidRDefault="004C262D" w:rsidP="004C262D">
      <w:pPr>
        <w:pStyle w:val="Textonotapie"/>
        <w:rPr>
          <w:rFonts w:ascii="Calibri" w:hAnsi="Calibri"/>
          <w:lang w:val="es-ES"/>
        </w:rPr>
      </w:pPr>
      <w:r w:rsidRPr="004C262D">
        <w:rPr>
          <w:rStyle w:val="Refdenotaalpie"/>
          <w:rFonts w:ascii="Calibri" w:hAnsi="Calibri"/>
        </w:rPr>
        <w:footnoteRef/>
      </w:r>
      <w:r w:rsidRPr="004C262D">
        <w:rPr>
          <w:rFonts w:ascii="Calibri" w:hAnsi="Calibri"/>
        </w:rPr>
        <w:t xml:space="preserve"> </w:t>
      </w:r>
      <w:r w:rsidRPr="004C262D">
        <w:rPr>
          <w:rFonts w:ascii="Calibri" w:hAnsi="Calibri"/>
          <w:lang w:val="es-ES"/>
        </w:rPr>
        <w:t>MIMP, septiembre del 2017</w:t>
      </w:r>
    </w:p>
  </w:footnote>
  <w:footnote w:id="12">
    <w:p w:rsidR="004C262D" w:rsidRPr="004C262D" w:rsidRDefault="004C262D" w:rsidP="004C262D">
      <w:pPr>
        <w:pStyle w:val="Textonotapie"/>
        <w:rPr>
          <w:rFonts w:ascii="Calibri" w:hAnsi="Calibri"/>
          <w:lang w:val="es-ES"/>
        </w:rPr>
      </w:pPr>
      <w:r w:rsidRPr="004C262D">
        <w:rPr>
          <w:rStyle w:val="Refdenotaalpie"/>
          <w:rFonts w:ascii="Calibri" w:hAnsi="Calibri"/>
        </w:rPr>
        <w:footnoteRef/>
      </w:r>
      <w:r w:rsidRPr="004C262D">
        <w:rPr>
          <w:rFonts w:ascii="Calibri" w:hAnsi="Calibri"/>
        </w:rPr>
        <w:t xml:space="preserve"> CAT/C/PER/CO/6</w:t>
      </w:r>
    </w:p>
  </w:footnote>
  <w:footnote w:id="13">
    <w:p w:rsidR="004C262D" w:rsidRPr="00AD5532" w:rsidRDefault="004C262D" w:rsidP="004C262D">
      <w:pPr>
        <w:pStyle w:val="Textonotapie"/>
        <w:rPr>
          <w:rFonts w:ascii="Arial" w:hAnsi="Arial" w:cs="Arial"/>
          <w:sz w:val="16"/>
          <w:szCs w:val="16"/>
          <w:lang w:val="es-ES"/>
        </w:rPr>
      </w:pPr>
      <w:r w:rsidRPr="004C262D">
        <w:rPr>
          <w:rStyle w:val="Refdenotaalpie"/>
          <w:rFonts w:ascii="Calibri" w:hAnsi="Calibri" w:cs="Arial"/>
        </w:rPr>
        <w:footnoteRef/>
      </w:r>
      <w:r w:rsidRPr="004C262D">
        <w:rPr>
          <w:rFonts w:ascii="Calibri" w:hAnsi="Calibri" w:cs="Arial"/>
        </w:rPr>
        <w:t xml:space="preserve"> Este concepto se recoge en el Preámbulo de su Constitución</w:t>
      </w:r>
      <w:r w:rsidRPr="00C41209">
        <w:rPr>
          <w:rFonts w:ascii="Arial" w:hAnsi="Arial" w:cs="Arial"/>
          <w:sz w:val="16"/>
          <w:szCs w:val="16"/>
        </w:rPr>
        <w:t xml:space="preserve"> </w:t>
      </w:r>
    </w:p>
  </w:footnote>
  <w:footnote w:id="14">
    <w:p w:rsidR="00C67C9C" w:rsidRDefault="00C67C9C" w:rsidP="00C67C9C">
      <w:pPr>
        <w:pStyle w:val="Textonotapie"/>
        <w:jc w:val="both"/>
      </w:pPr>
      <w:r>
        <w:rPr>
          <w:rStyle w:val="Refdenotaalpie"/>
        </w:rPr>
        <w:footnoteRef/>
      </w:r>
      <w:r>
        <w:t xml:space="preserve"> Se trata de una mujer que presentaba un embarazo con feto con malformaciones fetales incompatibles con la vida, a la que no se le informo en el debido momento sobre su derecho a interrumpir el embarazo. Noticia disponible en: </w:t>
      </w:r>
      <w:hyperlink r:id="rId12" w:history="1">
        <w:r w:rsidRPr="00F022C1">
          <w:rPr>
            <w:rStyle w:val="Hipervnculo"/>
          </w:rPr>
          <w:t>https://wayka.pe/sistema-salud-pone-en-peligro-a-miles-de-mujeres-que-requieren-aborto-terapeutico/</w:t>
        </w:r>
      </w:hyperlink>
      <w:r>
        <w:t xml:space="preserve"> </w:t>
      </w:r>
    </w:p>
  </w:footnote>
  <w:footnote w:id="15">
    <w:p w:rsidR="00C67C9C" w:rsidRPr="00942E99" w:rsidRDefault="00C67C9C" w:rsidP="004A6DDF">
      <w:pPr>
        <w:pStyle w:val="Textonotapie"/>
        <w:jc w:val="both"/>
      </w:pPr>
      <w:r>
        <w:rPr>
          <w:rStyle w:val="Refdenotaalpie"/>
        </w:rPr>
        <w:footnoteRef/>
      </w:r>
      <w:r w:rsidRPr="00942E99">
        <w:t xml:space="preserve"> Extraído de la Exposición de Motivos del Proyecto de Ley 387-2016; página 26: “Información brindada por el Observatorio de Criminalidad del Ministerio Público, con fecha de corte 26 de mayo del 2016”.</w:t>
      </w:r>
    </w:p>
  </w:footnote>
  <w:footnote w:id="16">
    <w:p w:rsidR="00C67C9C" w:rsidRPr="00942E99" w:rsidRDefault="00C67C9C" w:rsidP="004A6DDF">
      <w:pPr>
        <w:pStyle w:val="Textonotapie"/>
        <w:jc w:val="both"/>
      </w:pPr>
      <w:r>
        <w:rPr>
          <w:rStyle w:val="Refdenotaalpie"/>
        </w:rPr>
        <w:footnoteRef/>
      </w:r>
      <w:r w:rsidRPr="00942E99">
        <w:t xml:space="preserve"> Policía Nacional del Perú; Anuario Estadístico 2014; Lima: Ministerio del Interior, 2015, p. 36</w:t>
      </w:r>
    </w:p>
  </w:footnote>
  <w:footnote w:id="17">
    <w:p w:rsidR="00C67C9C" w:rsidRPr="00942E99" w:rsidRDefault="00C67C9C" w:rsidP="004A6DDF">
      <w:pPr>
        <w:pStyle w:val="Textonotapie"/>
        <w:jc w:val="both"/>
      </w:pPr>
      <w:r>
        <w:rPr>
          <w:rStyle w:val="Refdenotaalpie"/>
        </w:rPr>
        <w:footnoteRef/>
      </w:r>
      <w:r w:rsidRPr="00942E99">
        <w:t xml:space="preserve"> Extraído de la Exposición de Motivos del Proyecto de Ley 387-2016; página 26: “Información brindada por el Observatorio de Criminalidad del Ministerio Público, con fecha de corte 26 de mayo del 2016”.</w:t>
      </w:r>
    </w:p>
  </w:footnote>
  <w:footnote w:id="18">
    <w:p w:rsidR="00C67C9C" w:rsidRPr="00942E99" w:rsidRDefault="00C67C9C" w:rsidP="004A6DDF">
      <w:pPr>
        <w:pStyle w:val="Textonotapie"/>
        <w:jc w:val="both"/>
      </w:pPr>
      <w:r>
        <w:rPr>
          <w:rStyle w:val="Refdenotaalpie"/>
        </w:rPr>
        <w:footnoteRef/>
      </w:r>
      <w:r w:rsidRPr="00942E99">
        <w:t xml:space="preserve"> </w:t>
      </w:r>
      <w:r>
        <w:rPr>
          <w:rStyle w:val="Refdenotaalpie"/>
        </w:rPr>
        <w:footnoteRef/>
      </w:r>
      <w:r w:rsidRPr="00942E99">
        <w:t xml:space="preserve"> RESOLUCIÓN MINISTERIAL N° 236-2014-MIMP, 11 de julio de 2014, “Servicios para la protección de niñas, niños y mujeres embarazadas en situación de riesgo social-VIDAS”.</w:t>
      </w:r>
    </w:p>
  </w:footnote>
  <w:footnote w:id="19">
    <w:p w:rsidR="00C67C9C" w:rsidRPr="00942E99" w:rsidRDefault="00C67C9C" w:rsidP="004A6DDF">
      <w:pPr>
        <w:pStyle w:val="Textonotapie"/>
        <w:jc w:val="both"/>
      </w:pPr>
      <w:r>
        <w:rPr>
          <w:rStyle w:val="Refdenotaalpie"/>
        </w:rPr>
        <w:footnoteRef/>
      </w:r>
      <w:r w:rsidRPr="00942E99">
        <w:t xml:space="preserve"> Chavez, Susana. Apuntes para la acción: El derecho de las mujeres a un aborto legal. Lima, 2007</w:t>
      </w:r>
    </w:p>
  </w:footnote>
  <w:footnote w:id="20">
    <w:p w:rsidR="00C67C9C" w:rsidRPr="00942E99" w:rsidRDefault="00C67C9C" w:rsidP="004A6DDF">
      <w:pPr>
        <w:pStyle w:val="Textonotapie"/>
        <w:jc w:val="both"/>
      </w:pPr>
      <w:r>
        <w:rPr>
          <w:rStyle w:val="Refdenotaalpie"/>
        </w:rPr>
        <w:footnoteRef/>
      </w:r>
      <w:r w:rsidRPr="00942E99">
        <w:t xml:space="preserve"> Ferrando, Delicia; El aborto clandestino en el Perú; CMP Flora Tristán, 2006, pág. 20</w:t>
      </w:r>
    </w:p>
  </w:footnote>
  <w:footnote w:id="21">
    <w:p w:rsidR="008A2730" w:rsidRDefault="008A2730" w:rsidP="004A6DDF">
      <w:pPr>
        <w:jc w:val="both"/>
        <w:rPr>
          <w:rFonts w:ascii="Times New Roman" w:hAnsi="Times New Roman"/>
          <w:sz w:val="20"/>
        </w:rPr>
      </w:pPr>
      <w:r>
        <w:rPr>
          <w:vertAlign w:val="superscript"/>
        </w:rPr>
        <w:footnoteRef/>
      </w:r>
      <w:r>
        <w:rPr>
          <w:rFonts w:ascii="Times New Roman" w:hAnsi="Times New Roman"/>
          <w:sz w:val="20"/>
        </w:rPr>
        <w:t xml:space="preserve"> COMITÉ CONTRA LA TORTURA, Observaciones finales sobre los informes quinto y sexto combinados de Perú, aprobados por su Comité en su 49 periodo de sesiones (29 de octubre a 23 noviembre de 2012). CAT/C/PER/CO/6, 23 de noviembre de 2012, párrafo 15 literal a).</w:t>
      </w:r>
    </w:p>
  </w:footnote>
  <w:footnote w:id="22">
    <w:p w:rsidR="00C872E6" w:rsidRPr="001230FC" w:rsidRDefault="00C872E6" w:rsidP="00C872E6">
      <w:pPr>
        <w:pStyle w:val="Textonotapie"/>
      </w:pPr>
      <w:r>
        <w:rPr>
          <w:rStyle w:val="Refdenotaalpie"/>
        </w:rPr>
        <w:footnoteRef/>
      </w:r>
      <w:r w:rsidRPr="001230FC">
        <w:t xml:space="preserve"> Datos</w:t>
      </w:r>
      <w:r w:rsidR="00AC2879">
        <w:t xml:space="preserve"> extraídos</w:t>
      </w:r>
      <w:r w:rsidRPr="00942E99">
        <w:t xml:space="preserve"> de la Exposición de Motivos del Proyecto de Ley 387-2016</w:t>
      </w:r>
    </w:p>
  </w:footnote>
  <w:footnote w:id="23">
    <w:p w:rsidR="00C509EB" w:rsidRDefault="00C509EB">
      <w:pPr>
        <w:pStyle w:val="Textonotapie"/>
      </w:pPr>
      <w:r>
        <w:rPr>
          <w:rStyle w:val="Refdenotaalpie"/>
        </w:rPr>
        <w:footnoteRef/>
      </w:r>
      <w:r>
        <w:t xml:space="preserve"> </w:t>
      </w:r>
      <w:r w:rsidR="007B40DA">
        <w:t xml:space="preserve">Disponible en: </w:t>
      </w:r>
      <w:hyperlink r:id="rId13" w:history="1">
        <w:r w:rsidR="007B40DA" w:rsidRPr="00F022C1">
          <w:rPr>
            <w:rStyle w:val="Hipervnculo"/>
          </w:rPr>
          <w:t>http://manoalzada.pe/especial/peruanos-a-favor-despenalizar-aborto</w:t>
        </w:r>
      </w:hyperlink>
      <w:r w:rsidR="007B40DA">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D3997"/>
    <w:multiLevelType w:val="hybridMultilevel"/>
    <w:tmpl w:val="9974897A"/>
    <w:lvl w:ilvl="0" w:tplc="280A000F">
      <w:start w:val="1"/>
      <w:numFmt w:val="decimal"/>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 w15:restartNumberingAfterBreak="0">
    <w:nsid w:val="035745B9"/>
    <w:multiLevelType w:val="hybridMultilevel"/>
    <w:tmpl w:val="3202C186"/>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2" w15:restartNumberingAfterBreak="0">
    <w:nsid w:val="184B3B4F"/>
    <w:multiLevelType w:val="hybridMultilevel"/>
    <w:tmpl w:val="DD76763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 w15:restartNumberingAfterBreak="0">
    <w:nsid w:val="2AA41B50"/>
    <w:multiLevelType w:val="hybridMultilevel"/>
    <w:tmpl w:val="2B3CE1D6"/>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4" w15:restartNumberingAfterBreak="0">
    <w:nsid w:val="33493898"/>
    <w:multiLevelType w:val="hybridMultilevel"/>
    <w:tmpl w:val="5582E972"/>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4B36216B"/>
    <w:multiLevelType w:val="hybridMultilevel"/>
    <w:tmpl w:val="FE7EC49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5D695E57"/>
    <w:multiLevelType w:val="hybridMultilevel"/>
    <w:tmpl w:val="18EECF00"/>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7" w15:restartNumberingAfterBreak="0">
    <w:nsid w:val="5DE43766"/>
    <w:multiLevelType w:val="hybridMultilevel"/>
    <w:tmpl w:val="0BFAE6A0"/>
    <w:lvl w:ilvl="0" w:tplc="0D26EA24">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2E36A6A"/>
    <w:multiLevelType w:val="hybridMultilevel"/>
    <w:tmpl w:val="B246A178"/>
    <w:lvl w:ilvl="0" w:tplc="B8D44B9A">
      <w:start w:val="1"/>
      <w:numFmt w:val="upperLetter"/>
      <w:lvlText w:val="%1."/>
      <w:lvlJc w:val="left"/>
      <w:pPr>
        <w:ind w:left="1065" w:hanging="705"/>
      </w:pPr>
      <w:rPr>
        <w:rFonts w:hint="default"/>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B8A581A"/>
    <w:multiLevelType w:val="hybridMultilevel"/>
    <w:tmpl w:val="AA8EAE50"/>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6D727F69"/>
    <w:multiLevelType w:val="multilevel"/>
    <w:tmpl w:val="8AD8E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7D0ED7"/>
    <w:multiLevelType w:val="hybridMultilevel"/>
    <w:tmpl w:val="1A9C330E"/>
    <w:lvl w:ilvl="0" w:tplc="13A4C54A">
      <w:start w:val="1"/>
      <w:numFmt w:val="bullet"/>
      <w:lvlText w:val=""/>
      <w:lvlJc w:val="left"/>
      <w:pPr>
        <w:tabs>
          <w:tab w:val="num" w:pos="720"/>
        </w:tabs>
        <w:ind w:left="720" w:hanging="360"/>
      </w:pPr>
      <w:rPr>
        <w:rFonts w:ascii="Wingdings" w:hAnsi="Wingdings" w:hint="default"/>
      </w:rPr>
    </w:lvl>
    <w:lvl w:ilvl="1" w:tplc="61EE84AA" w:tentative="1">
      <w:start w:val="1"/>
      <w:numFmt w:val="bullet"/>
      <w:lvlText w:val=""/>
      <w:lvlJc w:val="left"/>
      <w:pPr>
        <w:tabs>
          <w:tab w:val="num" w:pos="1440"/>
        </w:tabs>
        <w:ind w:left="1440" w:hanging="360"/>
      </w:pPr>
      <w:rPr>
        <w:rFonts w:ascii="Wingdings" w:hAnsi="Wingdings" w:hint="default"/>
      </w:rPr>
    </w:lvl>
    <w:lvl w:ilvl="2" w:tplc="ED64C7F8" w:tentative="1">
      <w:start w:val="1"/>
      <w:numFmt w:val="bullet"/>
      <w:lvlText w:val=""/>
      <w:lvlJc w:val="left"/>
      <w:pPr>
        <w:tabs>
          <w:tab w:val="num" w:pos="2160"/>
        </w:tabs>
        <w:ind w:left="2160" w:hanging="360"/>
      </w:pPr>
      <w:rPr>
        <w:rFonts w:ascii="Wingdings" w:hAnsi="Wingdings" w:hint="default"/>
      </w:rPr>
    </w:lvl>
    <w:lvl w:ilvl="3" w:tplc="1DC2EA12" w:tentative="1">
      <w:start w:val="1"/>
      <w:numFmt w:val="bullet"/>
      <w:lvlText w:val=""/>
      <w:lvlJc w:val="left"/>
      <w:pPr>
        <w:tabs>
          <w:tab w:val="num" w:pos="2880"/>
        </w:tabs>
        <w:ind w:left="2880" w:hanging="360"/>
      </w:pPr>
      <w:rPr>
        <w:rFonts w:ascii="Wingdings" w:hAnsi="Wingdings" w:hint="default"/>
      </w:rPr>
    </w:lvl>
    <w:lvl w:ilvl="4" w:tplc="62D04B62" w:tentative="1">
      <w:start w:val="1"/>
      <w:numFmt w:val="bullet"/>
      <w:lvlText w:val=""/>
      <w:lvlJc w:val="left"/>
      <w:pPr>
        <w:tabs>
          <w:tab w:val="num" w:pos="3600"/>
        </w:tabs>
        <w:ind w:left="3600" w:hanging="360"/>
      </w:pPr>
      <w:rPr>
        <w:rFonts w:ascii="Wingdings" w:hAnsi="Wingdings" w:hint="default"/>
      </w:rPr>
    </w:lvl>
    <w:lvl w:ilvl="5" w:tplc="62D4DADA" w:tentative="1">
      <w:start w:val="1"/>
      <w:numFmt w:val="bullet"/>
      <w:lvlText w:val=""/>
      <w:lvlJc w:val="left"/>
      <w:pPr>
        <w:tabs>
          <w:tab w:val="num" w:pos="4320"/>
        </w:tabs>
        <w:ind w:left="4320" w:hanging="360"/>
      </w:pPr>
      <w:rPr>
        <w:rFonts w:ascii="Wingdings" w:hAnsi="Wingdings" w:hint="default"/>
      </w:rPr>
    </w:lvl>
    <w:lvl w:ilvl="6" w:tplc="775C6AAC" w:tentative="1">
      <w:start w:val="1"/>
      <w:numFmt w:val="bullet"/>
      <w:lvlText w:val=""/>
      <w:lvlJc w:val="left"/>
      <w:pPr>
        <w:tabs>
          <w:tab w:val="num" w:pos="5040"/>
        </w:tabs>
        <w:ind w:left="5040" w:hanging="360"/>
      </w:pPr>
      <w:rPr>
        <w:rFonts w:ascii="Wingdings" w:hAnsi="Wingdings" w:hint="default"/>
      </w:rPr>
    </w:lvl>
    <w:lvl w:ilvl="7" w:tplc="D3865CA4" w:tentative="1">
      <w:start w:val="1"/>
      <w:numFmt w:val="bullet"/>
      <w:lvlText w:val=""/>
      <w:lvlJc w:val="left"/>
      <w:pPr>
        <w:tabs>
          <w:tab w:val="num" w:pos="5760"/>
        </w:tabs>
        <w:ind w:left="5760" w:hanging="360"/>
      </w:pPr>
      <w:rPr>
        <w:rFonts w:ascii="Wingdings" w:hAnsi="Wingdings" w:hint="default"/>
      </w:rPr>
    </w:lvl>
    <w:lvl w:ilvl="8" w:tplc="740A16CE"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E956040"/>
    <w:multiLevelType w:val="hybridMultilevel"/>
    <w:tmpl w:val="85F445AE"/>
    <w:lvl w:ilvl="0" w:tplc="7CF8C104">
      <w:start w:val="1"/>
      <w:numFmt w:val="bullet"/>
      <w:lvlText w:val="•"/>
      <w:lvlJc w:val="left"/>
      <w:pPr>
        <w:tabs>
          <w:tab w:val="num" w:pos="720"/>
        </w:tabs>
        <w:ind w:left="720" w:hanging="360"/>
      </w:pPr>
      <w:rPr>
        <w:rFonts w:ascii="Arial" w:hAnsi="Arial" w:hint="default"/>
      </w:rPr>
    </w:lvl>
    <w:lvl w:ilvl="1" w:tplc="5AFCEE94" w:tentative="1">
      <w:start w:val="1"/>
      <w:numFmt w:val="bullet"/>
      <w:lvlText w:val="•"/>
      <w:lvlJc w:val="left"/>
      <w:pPr>
        <w:tabs>
          <w:tab w:val="num" w:pos="1440"/>
        </w:tabs>
        <w:ind w:left="1440" w:hanging="360"/>
      </w:pPr>
      <w:rPr>
        <w:rFonts w:ascii="Arial" w:hAnsi="Arial" w:hint="default"/>
      </w:rPr>
    </w:lvl>
    <w:lvl w:ilvl="2" w:tplc="331E6C32" w:tentative="1">
      <w:start w:val="1"/>
      <w:numFmt w:val="bullet"/>
      <w:lvlText w:val="•"/>
      <w:lvlJc w:val="left"/>
      <w:pPr>
        <w:tabs>
          <w:tab w:val="num" w:pos="2160"/>
        </w:tabs>
        <w:ind w:left="2160" w:hanging="360"/>
      </w:pPr>
      <w:rPr>
        <w:rFonts w:ascii="Arial" w:hAnsi="Arial" w:hint="default"/>
      </w:rPr>
    </w:lvl>
    <w:lvl w:ilvl="3" w:tplc="17462718" w:tentative="1">
      <w:start w:val="1"/>
      <w:numFmt w:val="bullet"/>
      <w:lvlText w:val="•"/>
      <w:lvlJc w:val="left"/>
      <w:pPr>
        <w:tabs>
          <w:tab w:val="num" w:pos="2880"/>
        </w:tabs>
        <w:ind w:left="2880" w:hanging="360"/>
      </w:pPr>
      <w:rPr>
        <w:rFonts w:ascii="Arial" w:hAnsi="Arial" w:hint="default"/>
      </w:rPr>
    </w:lvl>
    <w:lvl w:ilvl="4" w:tplc="49A6FE30" w:tentative="1">
      <w:start w:val="1"/>
      <w:numFmt w:val="bullet"/>
      <w:lvlText w:val="•"/>
      <w:lvlJc w:val="left"/>
      <w:pPr>
        <w:tabs>
          <w:tab w:val="num" w:pos="3600"/>
        </w:tabs>
        <w:ind w:left="3600" w:hanging="360"/>
      </w:pPr>
      <w:rPr>
        <w:rFonts w:ascii="Arial" w:hAnsi="Arial" w:hint="default"/>
      </w:rPr>
    </w:lvl>
    <w:lvl w:ilvl="5" w:tplc="3748370E" w:tentative="1">
      <w:start w:val="1"/>
      <w:numFmt w:val="bullet"/>
      <w:lvlText w:val="•"/>
      <w:lvlJc w:val="left"/>
      <w:pPr>
        <w:tabs>
          <w:tab w:val="num" w:pos="4320"/>
        </w:tabs>
        <w:ind w:left="4320" w:hanging="360"/>
      </w:pPr>
      <w:rPr>
        <w:rFonts w:ascii="Arial" w:hAnsi="Arial" w:hint="default"/>
      </w:rPr>
    </w:lvl>
    <w:lvl w:ilvl="6" w:tplc="79B0ECEE" w:tentative="1">
      <w:start w:val="1"/>
      <w:numFmt w:val="bullet"/>
      <w:lvlText w:val="•"/>
      <w:lvlJc w:val="left"/>
      <w:pPr>
        <w:tabs>
          <w:tab w:val="num" w:pos="5040"/>
        </w:tabs>
        <w:ind w:left="5040" w:hanging="360"/>
      </w:pPr>
      <w:rPr>
        <w:rFonts w:ascii="Arial" w:hAnsi="Arial" w:hint="default"/>
      </w:rPr>
    </w:lvl>
    <w:lvl w:ilvl="7" w:tplc="0E6CA7D8" w:tentative="1">
      <w:start w:val="1"/>
      <w:numFmt w:val="bullet"/>
      <w:lvlText w:val="•"/>
      <w:lvlJc w:val="left"/>
      <w:pPr>
        <w:tabs>
          <w:tab w:val="num" w:pos="5760"/>
        </w:tabs>
        <w:ind w:left="5760" w:hanging="360"/>
      </w:pPr>
      <w:rPr>
        <w:rFonts w:ascii="Arial" w:hAnsi="Arial" w:hint="default"/>
      </w:rPr>
    </w:lvl>
    <w:lvl w:ilvl="8" w:tplc="7F4E6440"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10"/>
  </w:num>
  <w:num w:numId="3">
    <w:abstractNumId w:val="0"/>
  </w:num>
  <w:num w:numId="4">
    <w:abstractNumId w:val="9"/>
  </w:num>
  <w:num w:numId="5">
    <w:abstractNumId w:val="4"/>
  </w:num>
  <w:num w:numId="6">
    <w:abstractNumId w:val="8"/>
  </w:num>
  <w:num w:numId="7">
    <w:abstractNumId w:val="7"/>
  </w:num>
  <w:num w:numId="8">
    <w:abstractNumId w:val="2"/>
  </w:num>
  <w:num w:numId="9">
    <w:abstractNumId w:val="3"/>
  </w:num>
  <w:num w:numId="10">
    <w:abstractNumId w:val="6"/>
  </w:num>
  <w:num w:numId="11">
    <w:abstractNumId w:val="12"/>
  </w:num>
  <w:num w:numId="12">
    <w:abstractNumId w:val="1"/>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7C2"/>
    <w:rsid w:val="00004372"/>
    <w:rsid w:val="000373D2"/>
    <w:rsid w:val="000643B9"/>
    <w:rsid w:val="00072121"/>
    <w:rsid w:val="000C34AD"/>
    <w:rsid w:val="000D3FB1"/>
    <w:rsid w:val="001047C2"/>
    <w:rsid w:val="001205E3"/>
    <w:rsid w:val="00161002"/>
    <w:rsid w:val="00171F74"/>
    <w:rsid w:val="001D389F"/>
    <w:rsid w:val="001F4D65"/>
    <w:rsid w:val="00237D5C"/>
    <w:rsid w:val="0026637D"/>
    <w:rsid w:val="00271E6F"/>
    <w:rsid w:val="002B7C61"/>
    <w:rsid w:val="002D3E41"/>
    <w:rsid w:val="003001F1"/>
    <w:rsid w:val="00337D9B"/>
    <w:rsid w:val="00354C34"/>
    <w:rsid w:val="00372BBD"/>
    <w:rsid w:val="003D5348"/>
    <w:rsid w:val="00427FC9"/>
    <w:rsid w:val="00433AB2"/>
    <w:rsid w:val="00442DEF"/>
    <w:rsid w:val="004638F2"/>
    <w:rsid w:val="004853D2"/>
    <w:rsid w:val="004A0AA2"/>
    <w:rsid w:val="004A6DDF"/>
    <w:rsid w:val="004C1DCE"/>
    <w:rsid w:val="004C262D"/>
    <w:rsid w:val="004D05C5"/>
    <w:rsid w:val="00545F09"/>
    <w:rsid w:val="00561CD7"/>
    <w:rsid w:val="005B09F4"/>
    <w:rsid w:val="005B7A46"/>
    <w:rsid w:val="005E68A0"/>
    <w:rsid w:val="005F5192"/>
    <w:rsid w:val="0069054F"/>
    <w:rsid w:val="0069798A"/>
    <w:rsid w:val="006A3466"/>
    <w:rsid w:val="006B09BD"/>
    <w:rsid w:val="006C66C9"/>
    <w:rsid w:val="00707DF2"/>
    <w:rsid w:val="0073172B"/>
    <w:rsid w:val="007476C3"/>
    <w:rsid w:val="0075623B"/>
    <w:rsid w:val="00781F8F"/>
    <w:rsid w:val="007A1F52"/>
    <w:rsid w:val="007B40DA"/>
    <w:rsid w:val="007D65AE"/>
    <w:rsid w:val="007E6EF6"/>
    <w:rsid w:val="008139BA"/>
    <w:rsid w:val="008A2730"/>
    <w:rsid w:val="008A5322"/>
    <w:rsid w:val="009208B6"/>
    <w:rsid w:val="009E3ACD"/>
    <w:rsid w:val="009F5B3D"/>
    <w:rsid w:val="00A13E07"/>
    <w:rsid w:val="00A2577D"/>
    <w:rsid w:val="00A52836"/>
    <w:rsid w:val="00AA367A"/>
    <w:rsid w:val="00AB64A0"/>
    <w:rsid w:val="00AC2879"/>
    <w:rsid w:val="00AF156B"/>
    <w:rsid w:val="00B25BE4"/>
    <w:rsid w:val="00B6054F"/>
    <w:rsid w:val="00B70495"/>
    <w:rsid w:val="00B93F3A"/>
    <w:rsid w:val="00BC0102"/>
    <w:rsid w:val="00BC7438"/>
    <w:rsid w:val="00BD48A6"/>
    <w:rsid w:val="00BD6EF9"/>
    <w:rsid w:val="00C275BB"/>
    <w:rsid w:val="00C509EB"/>
    <w:rsid w:val="00C67C9C"/>
    <w:rsid w:val="00C82C6F"/>
    <w:rsid w:val="00C872E6"/>
    <w:rsid w:val="00C90BEA"/>
    <w:rsid w:val="00D23AE9"/>
    <w:rsid w:val="00D277E0"/>
    <w:rsid w:val="00D67191"/>
    <w:rsid w:val="00E358AE"/>
    <w:rsid w:val="00E706D0"/>
    <w:rsid w:val="00EC4D3C"/>
    <w:rsid w:val="00F44013"/>
    <w:rsid w:val="00F63461"/>
    <w:rsid w:val="00F81652"/>
    <w:rsid w:val="00FF470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D21FE"/>
  <w15:chartTrackingRefBased/>
  <w15:docId w15:val="{A90C88D9-A0D7-4C8A-9AD4-4DFF8875C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3">
    <w:name w:val="heading 3"/>
    <w:basedOn w:val="Normal"/>
    <w:link w:val="Ttulo3Car"/>
    <w:uiPriority w:val="9"/>
    <w:qFormat/>
    <w:rsid w:val="008A5322"/>
    <w:pPr>
      <w:spacing w:before="100" w:beforeAutospacing="1" w:after="100" w:afterAutospacing="1" w:line="240" w:lineRule="auto"/>
      <w:outlineLvl w:val="2"/>
    </w:pPr>
    <w:rPr>
      <w:rFonts w:ascii="Times New Roman" w:eastAsia="Times New Roman" w:hAnsi="Times New Roman" w:cs="Times New Roman"/>
      <w:b/>
      <w:bCs/>
      <w:sz w:val="27"/>
      <w:szCs w:val="27"/>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A367A"/>
    <w:pPr>
      <w:ind w:left="720"/>
      <w:contextualSpacing/>
    </w:pPr>
  </w:style>
  <w:style w:type="paragraph" w:styleId="Textonotapie">
    <w:name w:val="footnote text"/>
    <w:aliases w:val="FA Fu,Footnote Text Char Char Char Char Char,Footnote Text Char Char Char Char,Footnote reference,Footnote Text Char Char Char,Footnote Text Cha,FA Fußnotentext,FA Fuﬂnotentext,Footnote Text Char Char,FA Fu?notentext,Ca,Footnote Text Char"/>
    <w:basedOn w:val="Normal"/>
    <w:link w:val="TextonotapieCar"/>
    <w:uiPriority w:val="99"/>
    <w:unhideWhenUsed/>
    <w:qFormat/>
    <w:rsid w:val="00D277E0"/>
    <w:pPr>
      <w:spacing w:after="0" w:line="240" w:lineRule="auto"/>
    </w:pPr>
    <w:rPr>
      <w:sz w:val="20"/>
      <w:szCs w:val="20"/>
    </w:rPr>
  </w:style>
  <w:style w:type="character" w:customStyle="1" w:styleId="TextonotapieCar">
    <w:name w:val="Texto nota pie Car"/>
    <w:aliases w:val="FA Fu Car,Footnote Text Char Char Char Char Char Car,Footnote Text Char Char Char Char Car,Footnote reference Car,Footnote Text Char Char Char Car,Footnote Text Cha Car,FA Fußnotentext Car,FA Fuﬂnotentext Car,FA Fu?notentext Car"/>
    <w:basedOn w:val="Fuentedeprrafopredeter"/>
    <w:link w:val="Textonotapie"/>
    <w:uiPriority w:val="99"/>
    <w:rsid w:val="00D277E0"/>
    <w:rPr>
      <w:sz w:val="20"/>
      <w:szCs w:val="20"/>
    </w:rPr>
  </w:style>
  <w:style w:type="character" w:styleId="Refdenotaalpie">
    <w:name w:val="footnote reference"/>
    <w:aliases w:val="BVI fnr, BVI fnr,Texto de nota al pie,Appel note de bas de page,Footnotes refss,f,Footnote number,referencia nota al pie,4_G,16 Point,Superscript 6 Point,CVR Ref. de nota al pie,Footnote Reference Char3,Footnote Reference Char1 Char"/>
    <w:basedOn w:val="Fuentedeprrafopredeter"/>
    <w:uiPriority w:val="99"/>
    <w:unhideWhenUsed/>
    <w:qFormat/>
    <w:rsid w:val="00D277E0"/>
    <w:rPr>
      <w:vertAlign w:val="superscript"/>
    </w:rPr>
  </w:style>
  <w:style w:type="character" w:styleId="Hipervnculo">
    <w:name w:val="Hyperlink"/>
    <w:basedOn w:val="Fuentedeprrafopredeter"/>
    <w:uiPriority w:val="99"/>
    <w:unhideWhenUsed/>
    <w:rsid w:val="00D277E0"/>
    <w:rPr>
      <w:color w:val="0563C1" w:themeColor="hyperlink"/>
      <w:u w:val="single"/>
    </w:rPr>
  </w:style>
  <w:style w:type="character" w:customStyle="1" w:styleId="UnresolvedMention">
    <w:name w:val="Unresolved Mention"/>
    <w:basedOn w:val="Fuentedeprrafopredeter"/>
    <w:uiPriority w:val="99"/>
    <w:semiHidden/>
    <w:unhideWhenUsed/>
    <w:rsid w:val="00D277E0"/>
    <w:rPr>
      <w:color w:val="605E5C"/>
      <w:shd w:val="clear" w:color="auto" w:fill="E1DFDD"/>
    </w:rPr>
  </w:style>
  <w:style w:type="character" w:styleId="CitaHTML">
    <w:name w:val="HTML Cite"/>
    <w:basedOn w:val="Fuentedeprrafopredeter"/>
    <w:uiPriority w:val="99"/>
    <w:semiHidden/>
    <w:unhideWhenUsed/>
    <w:rsid w:val="00EC4D3C"/>
    <w:rPr>
      <w:i/>
      <w:iCs/>
    </w:rPr>
  </w:style>
  <w:style w:type="paragraph" w:customStyle="1" w:styleId="action-menu-item">
    <w:name w:val="action-menu-item"/>
    <w:basedOn w:val="Normal"/>
    <w:rsid w:val="00EC4D3C"/>
    <w:pPr>
      <w:spacing w:before="100" w:beforeAutospacing="1" w:after="100" w:afterAutospacing="1" w:line="240" w:lineRule="auto"/>
    </w:pPr>
    <w:rPr>
      <w:rFonts w:ascii="Times New Roman" w:eastAsia="Times New Roman" w:hAnsi="Times New Roman" w:cs="Times New Roman"/>
      <w:sz w:val="24"/>
      <w:szCs w:val="24"/>
      <w:lang w:eastAsia="es-PE"/>
    </w:rPr>
  </w:style>
  <w:style w:type="table" w:styleId="Tablaconcuadrcula">
    <w:name w:val="Table Grid"/>
    <w:basedOn w:val="Tablanormal"/>
    <w:uiPriority w:val="39"/>
    <w:rsid w:val="006B09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8A5322"/>
    <w:rPr>
      <w:rFonts w:ascii="Times New Roman" w:eastAsia="Times New Roman" w:hAnsi="Times New Roman" w:cs="Times New Roman"/>
      <w:b/>
      <w:bCs/>
      <w:sz w:val="27"/>
      <w:szCs w:val="27"/>
      <w:lang w:eastAsia="es-PE"/>
    </w:rPr>
  </w:style>
  <w:style w:type="paragraph" w:styleId="NormalWeb">
    <w:name w:val="Normal (Web)"/>
    <w:basedOn w:val="Normal"/>
    <w:uiPriority w:val="99"/>
    <w:semiHidden/>
    <w:unhideWhenUsed/>
    <w:rsid w:val="008A5322"/>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Encabezado">
    <w:name w:val="header"/>
    <w:aliases w:val="Header Char"/>
    <w:basedOn w:val="Normal"/>
    <w:link w:val="EncabezadoCar"/>
    <w:unhideWhenUsed/>
    <w:rsid w:val="004638F2"/>
    <w:pPr>
      <w:tabs>
        <w:tab w:val="center" w:pos="4252"/>
        <w:tab w:val="right" w:pos="8504"/>
      </w:tabs>
      <w:spacing w:after="0" w:line="240" w:lineRule="auto"/>
    </w:pPr>
  </w:style>
  <w:style w:type="character" w:customStyle="1" w:styleId="EncabezadoCar">
    <w:name w:val="Encabezado Car"/>
    <w:aliases w:val="Header Char Car"/>
    <w:basedOn w:val="Fuentedeprrafopredeter"/>
    <w:link w:val="Encabezado"/>
    <w:rsid w:val="004638F2"/>
  </w:style>
  <w:style w:type="paragraph" w:styleId="Piedepgina">
    <w:name w:val="footer"/>
    <w:basedOn w:val="Normal"/>
    <w:link w:val="PiedepginaCar"/>
    <w:uiPriority w:val="99"/>
    <w:unhideWhenUsed/>
    <w:rsid w:val="004638F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638F2"/>
  </w:style>
  <w:style w:type="paragraph" w:styleId="Textodeglobo">
    <w:name w:val="Balloon Text"/>
    <w:basedOn w:val="Normal"/>
    <w:link w:val="TextodegloboCar"/>
    <w:uiPriority w:val="99"/>
    <w:semiHidden/>
    <w:unhideWhenUsed/>
    <w:rsid w:val="00BD48A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D48A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190864">
      <w:bodyDiv w:val="1"/>
      <w:marLeft w:val="0"/>
      <w:marRight w:val="0"/>
      <w:marTop w:val="0"/>
      <w:marBottom w:val="0"/>
      <w:divBdr>
        <w:top w:val="none" w:sz="0" w:space="0" w:color="auto"/>
        <w:left w:val="none" w:sz="0" w:space="0" w:color="auto"/>
        <w:bottom w:val="none" w:sz="0" w:space="0" w:color="auto"/>
        <w:right w:val="none" w:sz="0" w:space="0" w:color="auto"/>
      </w:divBdr>
    </w:div>
    <w:div w:id="698821572">
      <w:bodyDiv w:val="1"/>
      <w:marLeft w:val="0"/>
      <w:marRight w:val="0"/>
      <w:marTop w:val="0"/>
      <w:marBottom w:val="0"/>
      <w:divBdr>
        <w:top w:val="none" w:sz="0" w:space="0" w:color="auto"/>
        <w:left w:val="none" w:sz="0" w:space="0" w:color="auto"/>
        <w:bottom w:val="none" w:sz="0" w:space="0" w:color="auto"/>
        <w:right w:val="none" w:sz="0" w:space="0" w:color="auto"/>
      </w:divBdr>
    </w:div>
    <w:div w:id="891501623">
      <w:bodyDiv w:val="1"/>
      <w:marLeft w:val="0"/>
      <w:marRight w:val="0"/>
      <w:marTop w:val="0"/>
      <w:marBottom w:val="0"/>
      <w:divBdr>
        <w:top w:val="none" w:sz="0" w:space="0" w:color="auto"/>
        <w:left w:val="none" w:sz="0" w:space="0" w:color="auto"/>
        <w:bottom w:val="none" w:sz="0" w:space="0" w:color="auto"/>
        <w:right w:val="none" w:sz="0" w:space="0" w:color="auto"/>
      </w:divBdr>
      <w:divsChild>
        <w:div w:id="119420561">
          <w:marLeft w:val="0"/>
          <w:marRight w:val="0"/>
          <w:marTop w:val="0"/>
          <w:marBottom w:val="0"/>
          <w:divBdr>
            <w:top w:val="none" w:sz="0" w:space="0" w:color="auto"/>
            <w:left w:val="none" w:sz="0" w:space="0" w:color="auto"/>
            <w:bottom w:val="none" w:sz="0" w:space="0" w:color="auto"/>
            <w:right w:val="none" w:sz="0" w:space="0" w:color="auto"/>
          </w:divBdr>
        </w:div>
        <w:div w:id="2074036457">
          <w:marLeft w:val="45"/>
          <w:marRight w:val="45"/>
          <w:marTop w:val="15"/>
          <w:marBottom w:val="0"/>
          <w:divBdr>
            <w:top w:val="none" w:sz="0" w:space="0" w:color="auto"/>
            <w:left w:val="none" w:sz="0" w:space="0" w:color="auto"/>
            <w:bottom w:val="none" w:sz="0" w:space="0" w:color="auto"/>
            <w:right w:val="none" w:sz="0" w:space="0" w:color="auto"/>
          </w:divBdr>
          <w:divsChild>
            <w:div w:id="103241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495622">
      <w:bodyDiv w:val="1"/>
      <w:marLeft w:val="0"/>
      <w:marRight w:val="0"/>
      <w:marTop w:val="0"/>
      <w:marBottom w:val="0"/>
      <w:divBdr>
        <w:top w:val="none" w:sz="0" w:space="0" w:color="auto"/>
        <w:left w:val="none" w:sz="0" w:space="0" w:color="auto"/>
        <w:bottom w:val="none" w:sz="0" w:space="0" w:color="auto"/>
        <w:right w:val="none" w:sz="0" w:space="0" w:color="auto"/>
      </w:divBdr>
      <w:divsChild>
        <w:div w:id="1087308118">
          <w:marLeft w:val="360"/>
          <w:marRight w:val="0"/>
          <w:marTop w:val="200"/>
          <w:marBottom w:val="0"/>
          <w:divBdr>
            <w:top w:val="none" w:sz="0" w:space="0" w:color="auto"/>
            <w:left w:val="none" w:sz="0" w:space="0" w:color="auto"/>
            <w:bottom w:val="none" w:sz="0" w:space="0" w:color="auto"/>
            <w:right w:val="none" w:sz="0" w:space="0" w:color="auto"/>
          </w:divBdr>
        </w:div>
      </w:divsChild>
    </w:div>
    <w:div w:id="1789081646">
      <w:bodyDiv w:val="1"/>
      <w:marLeft w:val="0"/>
      <w:marRight w:val="0"/>
      <w:marTop w:val="0"/>
      <w:marBottom w:val="0"/>
      <w:divBdr>
        <w:top w:val="none" w:sz="0" w:space="0" w:color="auto"/>
        <w:left w:val="none" w:sz="0" w:space="0" w:color="auto"/>
        <w:bottom w:val="none" w:sz="0" w:space="0" w:color="auto"/>
        <w:right w:val="none" w:sz="0" w:space="0" w:color="auto"/>
      </w:divBdr>
      <w:divsChild>
        <w:div w:id="1325206664">
          <w:marLeft w:val="432"/>
          <w:marRight w:val="0"/>
          <w:marTop w:val="134"/>
          <w:marBottom w:val="0"/>
          <w:divBdr>
            <w:top w:val="none" w:sz="0" w:space="0" w:color="auto"/>
            <w:left w:val="none" w:sz="0" w:space="0" w:color="auto"/>
            <w:bottom w:val="none" w:sz="0" w:space="0" w:color="auto"/>
            <w:right w:val="none" w:sz="0" w:space="0" w:color="auto"/>
          </w:divBdr>
        </w:div>
        <w:div w:id="846287239">
          <w:marLeft w:val="432"/>
          <w:marRight w:val="0"/>
          <w:marTop w:val="134"/>
          <w:marBottom w:val="0"/>
          <w:divBdr>
            <w:top w:val="none" w:sz="0" w:space="0" w:color="auto"/>
            <w:left w:val="none" w:sz="0" w:space="0" w:color="auto"/>
            <w:bottom w:val="none" w:sz="0" w:space="0" w:color="auto"/>
            <w:right w:val="none" w:sz="0" w:space="0" w:color="auto"/>
          </w:divBdr>
        </w:div>
        <w:div w:id="329145236">
          <w:marLeft w:val="432"/>
          <w:marRight w:val="0"/>
          <w:marTop w:val="134"/>
          <w:marBottom w:val="0"/>
          <w:divBdr>
            <w:top w:val="none" w:sz="0" w:space="0" w:color="auto"/>
            <w:left w:val="none" w:sz="0" w:space="0" w:color="auto"/>
            <w:bottom w:val="none" w:sz="0" w:space="0" w:color="auto"/>
            <w:right w:val="none" w:sz="0" w:space="0" w:color="auto"/>
          </w:divBdr>
        </w:div>
      </w:divsChild>
    </w:div>
    <w:div w:id="1997680033">
      <w:bodyDiv w:val="1"/>
      <w:marLeft w:val="0"/>
      <w:marRight w:val="0"/>
      <w:marTop w:val="0"/>
      <w:marBottom w:val="0"/>
      <w:divBdr>
        <w:top w:val="none" w:sz="0" w:space="0" w:color="auto"/>
        <w:left w:val="none" w:sz="0" w:space="0" w:color="auto"/>
        <w:bottom w:val="none" w:sz="0" w:space="0" w:color="auto"/>
        <w:right w:val="none" w:sz="0" w:space="0" w:color="auto"/>
      </w:divBdr>
      <w:divsChild>
        <w:div w:id="655035102">
          <w:marLeft w:val="360"/>
          <w:marRight w:val="0"/>
          <w:marTop w:val="200"/>
          <w:marBottom w:val="0"/>
          <w:divBdr>
            <w:top w:val="none" w:sz="0" w:space="0" w:color="auto"/>
            <w:left w:val="none" w:sz="0" w:space="0" w:color="auto"/>
            <w:bottom w:val="none" w:sz="0" w:space="0" w:color="auto"/>
            <w:right w:val="none" w:sz="0" w:space="0" w:color="auto"/>
          </w:divBdr>
        </w:div>
        <w:div w:id="1989093903">
          <w:marLeft w:val="360"/>
          <w:marRight w:val="0"/>
          <w:marTop w:val="200"/>
          <w:marBottom w:val="0"/>
          <w:divBdr>
            <w:top w:val="none" w:sz="0" w:space="0" w:color="auto"/>
            <w:left w:val="none" w:sz="0" w:space="0" w:color="auto"/>
            <w:bottom w:val="none" w:sz="0" w:space="0" w:color="auto"/>
            <w:right w:val="none" w:sz="0" w:space="0" w:color="auto"/>
          </w:divBdr>
        </w:div>
        <w:div w:id="42935462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mailto:postmast@flora.org.pe" TargetMode="External"/><Relationship Id="rId4" Type="http://schemas.openxmlformats.org/officeDocument/2006/relationships/settings" Target="settings.xml"/><Relationship Id="rId9" Type="http://schemas.openxmlformats.org/officeDocument/2006/relationships/hyperlink" Target="http://www.flora.org.pe"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ebinei.inei.gob.pe/anda_inei/index.php/catalog/581" TargetMode="External"/><Relationship Id="rId13" Type="http://schemas.openxmlformats.org/officeDocument/2006/relationships/hyperlink" Target="http://manoalzada.pe/especial/peruanos-a-favor-despenalizar-aborto" TargetMode="External"/><Relationship Id="rId3" Type="http://schemas.openxmlformats.org/officeDocument/2006/relationships/hyperlink" Target="https://elcomercio.pe/lima/sucesos/feminicidios-lima-registra-casos-mujeres-quemadas-ano-noticia-534106" TargetMode="External"/><Relationship Id="rId7" Type="http://schemas.openxmlformats.org/officeDocument/2006/relationships/hyperlink" Target="https://busquedas.elperuano.pe/normaslegales/decreto-legislativo-que-incorpora-el-delito-de-acoso-acoso-decreto-legislativo-n-1410-1690482-3/" TargetMode="External"/><Relationship Id="rId12" Type="http://schemas.openxmlformats.org/officeDocument/2006/relationships/hyperlink" Target="https://wayka.pe/sistema-salud-pone-en-peligro-a-miles-de-mujeres-que-requieren-aborto-terapeutico/" TargetMode="External"/><Relationship Id="rId2" Type="http://schemas.openxmlformats.org/officeDocument/2006/relationships/hyperlink" Target="https://elcomercio.pe/lima/sucesos/eyvi-agreda-cronologia-brutal-ataque-acabo-vida-noticia-524456" TargetMode="External"/><Relationship Id="rId1" Type="http://schemas.openxmlformats.org/officeDocument/2006/relationships/hyperlink" Target="https://www.mpfn.gob.pe/observatorio/" TargetMode="External"/><Relationship Id="rId6" Type="http://schemas.openxmlformats.org/officeDocument/2006/relationships/hyperlink" Target="https://busquedas.elperuano.pe/normaslegales/decreto-legislativo-que-modifica-la-ley-n-30364-ley-para-p-decreto-legislativo-n-1386-1687393-4/" TargetMode="External"/><Relationship Id="rId11" Type="http://schemas.openxmlformats.org/officeDocument/2006/relationships/hyperlink" Target="https://ojo-publico.com/758/juez-cesar-hinostroza-creo-precedente-para-reducir-pena-violadores-de-menores" TargetMode="External"/><Relationship Id="rId5" Type="http://schemas.openxmlformats.org/officeDocument/2006/relationships/hyperlink" Target="https://busquedas.elperuano.pe/normaslegales/ley-que-modifica-el-codigo-penal-y-el-codigo-de-ejecucion-pe-ley-n-30838-1677448-1/" TargetMode="External"/><Relationship Id="rId10" Type="http://schemas.openxmlformats.org/officeDocument/2006/relationships/hyperlink" Target="https://larepublica.pe/politica/1274842-juez-cesar-hinostroza-ofrecio-reduccion-pena-violador-menor-video" TargetMode="External"/><Relationship Id="rId4" Type="http://schemas.openxmlformats.org/officeDocument/2006/relationships/hyperlink" Target="https://canaln.pe/peru/ayacucho-dictan-prision-preventiva-adultos-implicados-violacion-n245789" TargetMode="External"/><Relationship Id="rId9" Type="http://schemas.openxmlformats.org/officeDocument/2006/relationships/hyperlink" Target="https://www.policia.gob.pe/anuario_estadistico/documentos/anuario_estadistico2017.pdf"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Documents%20and%20Settings\user\Mis%20documentos\Downloads\MINSA-%20NI&#209;AS%20Y%20ADOLESCENTES%20MADRES%20Y%20ABORTOS%20TERAPEUTICOS%202016%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s-ES" sz="1400" b="0" i="0" u="none" strike="noStrike" kern="1200" spc="0" baseline="0">
                <a:solidFill>
                  <a:schemeClr val="tx1">
                    <a:lumMod val="65000"/>
                    <a:lumOff val="35000"/>
                  </a:schemeClr>
                </a:solidFill>
                <a:latin typeface="+mn-lt"/>
                <a:ea typeface="+mn-ea"/>
                <a:cs typeface="+mn-cs"/>
              </a:defRPr>
            </a:pPr>
            <a:r>
              <a:rPr lang="en-US"/>
              <a:t>Número de abortos terapeuticos 2016</a:t>
            </a:r>
          </a:p>
        </c:rich>
      </c:tx>
      <c:layout/>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s-ES" sz="900" b="0" i="0" u="none" strike="noStrike" kern="1200" baseline="0">
                    <a:solidFill>
                      <a:schemeClr val="tx1">
                        <a:lumMod val="75000"/>
                        <a:lumOff val="25000"/>
                      </a:schemeClr>
                    </a:solidFill>
                    <a:latin typeface="+mn-lt"/>
                    <a:ea typeface="+mn-ea"/>
                    <a:cs typeface="+mn-cs"/>
                  </a:defRPr>
                </a:pPr>
                <a:endParaRPr lang="es-PE"/>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Hoja5!$B$5:$B$8</c:f>
              <c:strCache>
                <c:ptCount val="4"/>
                <c:pt idx="0">
                  <c:v>00-11 años</c:v>
                </c:pt>
                <c:pt idx="1">
                  <c:v>12-17 años</c:v>
                </c:pt>
                <c:pt idx="2">
                  <c:v>18-29 años</c:v>
                </c:pt>
                <c:pt idx="3">
                  <c:v>30-59 años</c:v>
                </c:pt>
              </c:strCache>
            </c:strRef>
          </c:cat>
          <c:val>
            <c:numRef>
              <c:f>Hoja5!$C$5:$C$8</c:f>
              <c:numCache>
                <c:formatCode>#,##0</c:formatCode>
                <c:ptCount val="4"/>
                <c:pt idx="0">
                  <c:v>0</c:v>
                </c:pt>
                <c:pt idx="1">
                  <c:v>24</c:v>
                </c:pt>
                <c:pt idx="2">
                  <c:v>164</c:v>
                </c:pt>
                <c:pt idx="3">
                  <c:v>123</c:v>
                </c:pt>
              </c:numCache>
            </c:numRef>
          </c:val>
          <c:extLst>
            <c:ext xmlns:c16="http://schemas.microsoft.com/office/drawing/2014/chart" uri="{C3380CC4-5D6E-409C-BE32-E72D297353CC}">
              <c16:uniqueId val="{00000000-E006-4B78-9629-0DE20185A507}"/>
            </c:ext>
          </c:extLst>
        </c:ser>
        <c:dLbls>
          <c:showLegendKey val="0"/>
          <c:showVal val="1"/>
          <c:showCatName val="0"/>
          <c:showSerName val="0"/>
          <c:showPercent val="0"/>
          <c:showBubbleSize val="0"/>
        </c:dLbls>
        <c:gapWidth val="219"/>
        <c:overlap val="-27"/>
        <c:axId val="474906192"/>
        <c:axId val="474921968"/>
      </c:barChart>
      <c:catAx>
        <c:axId val="4749061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s-ES" sz="900" b="0" i="0" u="none" strike="noStrike" kern="1200" baseline="0">
                <a:solidFill>
                  <a:schemeClr val="tx1">
                    <a:lumMod val="65000"/>
                    <a:lumOff val="35000"/>
                  </a:schemeClr>
                </a:solidFill>
                <a:latin typeface="+mn-lt"/>
                <a:ea typeface="+mn-ea"/>
                <a:cs typeface="+mn-cs"/>
              </a:defRPr>
            </a:pPr>
            <a:endParaRPr lang="es-PE"/>
          </a:p>
        </c:txPr>
        <c:crossAx val="474921968"/>
        <c:crosses val="autoZero"/>
        <c:auto val="1"/>
        <c:lblAlgn val="ctr"/>
        <c:lblOffset val="100"/>
        <c:noMultiLvlLbl val="0"/>
      </c:catAx>
      <c:valAx>
        <c:axId val="4749219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es-ES" sz="900" b="0" i="0" u="none" strike="noStrike" kern="1200" baseline="0">
                <a:solidFill>
                  <a:schemeClr val="tx1">
                    <a:lumMod val="65000"/>
                    <a:lumOff val="35000"/>
                  </a:schemeClr>
                </a:solidFill>
                <a:latin typeface="+mn-lt"/>
                <a:ea typeface="+mn-ea"/>
                <a:cs typeface="+mn-cs"/>
              </a:defRPr>
            </a:pPr>
            <a:endParaRPr lang="es-PE"/>
          </a:p>
        </c:txPr>
        <c:crossAx val="4749061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PE"/>
    </a:p>
  </c:txPr>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BEB54C-0A4E-4643-9F86-ED0E075E3045}"/>
</file>

<file path=customXml/itemProps2.xml><?xml version="1.0" encoding="utf-8"?>
<ds:datastoreItem xmlns:ds="http://schemas.openxmlformats.org/officeDocument/2006/customXml" ds:itemID="{3653C5F4-E607-4556-8FBE-7C96BDD264E8}"/>
</file>

<file path=customXml/itemProps3.xml><?xml version="1.0" encoding="utf-8"?>
<ds:datastoreItem xmlns:ds="http://schemas.openxmlformats.org/officeDocument/2006/customXml" ds:itemID="{997131A4-B3CB-4809-B7DD-2281A30E8112}"/>
</file>

<file path=customXml/itemProps4.xml><?xml version="1.0" encoding="utf-8"?>
<ds:datastoreItem xmlns:ds="http://schemas.openxmlformats.org/officeDocument/2006/customXml" ds:itemID="{2290D44B-7651-4196-99AA-D14FC754747B}"/>
</file>

<file path=docProps/app.xml><?xml version="1.0" encoding="utf-8"?>
<Properties xmlns="http://schemas.openxmlformats.org/officeDocument/2006/extended-properties" xmlns:vt="http://schemas.openxmlformats.org/officeDocument/2006/docPropsVTypes">
  <Template>Normal</Template>
  <TotalTime>0</TotalTime>
  <Pages>10</Pages>
  <Words>4083</Words>
  <Characters>22459</Characters>
  <Application>Microsoft Office Word</Application>
  <DocSecurity>0</DocSecurity>
  <Lines>187</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Clea Guerra Romero</dc:creator>
  <cp:keywords/>
  <dc:description/>
  <cp:lastModifiedBy>IVONNE</cp:lastModifiedBy>
  <cp:revision>2</cp:revision>
  <cp:lastPrinted>2018-10-15T21:40:00Z</cp:lastPrinted>
  <dcterms:created xsi:type="dcterms:W3CDTF">2018-10-15T22:21:00Z</dcterms:created>
  <dcterms:modified xsi:type="dcterms:W3CDTF">2018-10-15T22:21:00Z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