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CCF" w:rsidRPr="00C17363" w:rsidRDefault="00D57D09" w:rsidP="00C17363">
      <w:pPr>
        <w:pStyle w:val="SingleTxt"/>
        <w:shd w:val="clear" w:color="auto" w:fill="FFFFFF" w:themeFill="background1"/>
        <w:tabs>
          <w:tab w:val="left" w:pos="6480"/>
        </w:tabs>
        <w:jc w:val="center"/>
      </w:pPr>
      <w:r>
        <w:t>ANEXO III</w:t>
      </w:r>
    </w:p>
    <w:p w:rsidR="00951CCF" w:rsidRPr="00C17363" w:rsidRDefault="00951CCF" w:rsidP="00951CCF">
      <w:pPr>
        <w:pStyle w:val="Ttulo2"/>
        <w:pBdr>
          <w:bottom w:val="single" w:sz="4" w:space="1" w:color="auto"/>
        </w:pBdr>
        <w:rPr>
          <w:sz w:val="32"/>
          <w:szCs w:val="32"/>
        </w:rPr>
      </w:pPr>
      <w:r w:rsidRPr="00C17363">
        <w:rPr>
          <w:sz w:val="32"/>
          <w:szCs w:val="32"/>
        </w:rPr>
        <w:t xml:space="preserve">Normativa permisos </w:t>
      </w:r>
    </w:p>
    <w:p w:rsidR="00951CCF" w:rsidRPr="00C17363" w:rsidRDefault="00951CCF" w:rsidP="00951CCF">
      <w:pPr>
        <w:pStyle w:val="SingleTxt"/>
        <w:tabs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6480"/>
        </w:tabs>
        <w:ind w:left="0"/>
      </w:pPr>
    </w:p>
    <w:tbl>
      <w:tblPr>
        <w:tblStyle w:val="Tablaconcuadrcula"/>
        <w:tblW w:w="14170" w:type="dxa"/>
        <w:tblLayout w:type="fixed"/>
        <w:tblLook w:val="04A0" w:firstRow="1" w:lastRow="0" w:firstColumn="1" w:lastColumn="0" w:noHBand="0" w:noVBand="1"/>
      </w:tblPr>
      <w:tblGrid>
        <w:gridCol w:w="2799"/>
        <w:gridCol w:w="1560"/>
        <w:gridCol w:w="1561"/>
        <w:gridCol w:w="1559"/>
        <w:gridCol w:w="1560"/>
        <w:gridCol w:w="5131"/>
      </w:tblGrid>
      <w:tr w:rsidR="006A32A0" w:rsidRPr="00C17363" w:rsidTr="00FC1E3B">
        <w:tc>
          <w:tcPr>
            <w:tcW w:w="2799" w:type="dxa"/>
            <w:vMerge w:val="restart"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</w:p>
        </w:tc>
        <w:tc>
          <w:tcPr>
            <w:tcW w:w="6240" w:type="dxa"/>
            <w:gridSpan w:val="4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  <w:r w:rsidRPr="00C17363">
              <w:rPr>
                <w:b/>
                <w:szCs w:val="20"/>
              </w:rPr>
              <w:t>SEMANAS</w:t>
            </w:r>
          </w:p>
        </w:tc>
        <w:tc>
          <w:tcPr>
            <w:tcW w:w="5131" w:type="dxa"/>
            <w:vMerge w:val="restart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9C636C" w:rsidRDefault="006A32A0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Observaciones</w:t>
            </w:r>
          </w:p>
        </w:tc>
      </w:tr>
      <w:tr w:rsidR="006A32A0" w:rsidRPr="00C17363" w:rsidTr="00FD1C84">
        <w:tc>
          <w:tcPr>
            <w:tcW w:w="2799" w:type="dxa"/>
            <w:vMerge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</w:p>
        </w:tc>
        <w:tc>
          <w:tcPr>
            <w:tcW w:w="3121" w:type="dxa"/>
            <w:gridSpan w:val="2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  <w:r w:rsidRPr="00C17363">
              <w:rPr>
                <w:b/>
                <w:szCs w:val="20"/>
              </w:rPr>
              <w:t>MADRE</w:t>
            </w:r>
          </w:p>
        </w:tc>
        <w:tc>
          <w:tcPr>
            <w:tcW w:w="3119" w:type="dxa"/>
            <w:gridSpan w:val="2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  <w:r w:rsidRPr="00C17363">
              <w:rPr>
                <w:b/>
                <w:szCs w:val="20"/>
              </w:rPr>
              <w:t>PADRE</w:t>
            </w:r>
          </w:p>
        </w:tc>
        <w:tc>
          <w:tcPr>
            <w:tcW w:w="5131" w:type="dxa"/>
            <w:vMerge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</w:p>
        </w:tc>
      </w:tr>
      <w:tr w:rsidR="006A32A0" w:rsidRPr="00C17363" w:rsidTr="00FD1C84">
        <w:trPr>
          <w:trHeight w:val="340"/>
        </w:trPr>
        <w:tc>
          <w:tcPr>
            <w:tcW w:w="2799" w:type="dxa"/>
            <w:vMerge/>
          </w:tcPr>
          <w:p w:rsidR="006A32A0" w:rsidRPr="00C17363" w:rsidRDefault="006A32A0" w:rsidP="00FD1C84">
            <w:pPr>
              <w:spacing w:before="20" w:after="20"/>
              <w:jc w:val="center"/>
              <w:rPr>
                <w:b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9C636C" w:rsidRDefault="006A32A0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Obligatorio</w:t>
            </w:r>
          </w:p>
        </w:tc>
        <w:tc>
          <w:tcPr>
            <w:tcW w:w="1561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9C636C" w:rsidRDefault="006A32A0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Voluntario</w:t>
            </w:r>
          </w:p>
        </w:tc>
        <w:tc>
          <w:tcPr>
            <w:tcW w:w="1559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9C636C" w:rsidRDefault="006A32A0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Obligatorio</w:t>
            </w:r>
          </w:p>
        </w:tc>
        <w:tc>
          <w:tcPr>
            <w:tcW w:w="1560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9C636C" w:rsidRDefault="006A32A0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Voluntario</w:t>
            </w:r>
          </w:p>
        </w:tc>
        <w:tc>
          <w:tcPr>
            <w:tcW w:w="5131" w:type="dxa"/>
            <w:vMerge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6A32A0" w:rsidRPr="009C636C" w:rsidRDefault="006A32A0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</w:p>
        </w:tc>
      </w:tr>
      <w:tr w:rsidR="00951CCF" w:rsidRPr="00C17363" w:rsidTr="00FD1C84">
        <w:tc>
          <w:tcPr>
            <w:tcW w:w="2799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Normativa anterior (art.48 Estatuto de los Trabajadores)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6A32A0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6 intransferibles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10 transferibles</w:t>
            </w:r>
          </w:p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+2 de lactancia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6A32A0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 xml:space="preserve">5 </w:t>
            </w:r>
          </w:p>
        </w:tc>
        <w:tc>
          <w:tcPr>
            <w:tcW w:w="1560" w:type="dxa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</w:p>
        </w:tc>
        <w:tc>
          <w:tcPr>
            <w:tcW w:w="5131" w:type="dxa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Compensados al 100%</w:t>
            </w:r>
          </w:p>
        </w:tc>
      </w:tr>
      <w:tr w:rsidR="00951CCF" w:rsidRPr="00C17363" w:rsidTr="00FD1C84">
        <w:trPr>
          <w:trHeight w:val="360"/>
        </w:trPr>
        <w:tc>
          <w:tcPr>
            <w:tcW w:w="2799" w:type="dxa"/>
            <w:vMerge w:val="restart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951CCF" w:rsidRPr="009C636C" w:rsidRDefault="00951CCF" w:rsidP="009C636C">
            <w:pPr>
              <w:spacing w:before="20" w:after="20"/>
              <w:jc w:val="both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>RDL 6/2019, de 1 de marzo, de medidas urgentes para garantía de la igualdad de trato y de oportunidades entre mujeres y hombres en el empleo y la ocupación</w:t>
            </w:r>
          </w:p>
        </w:tc>
        <w:tc>
          <w:tcPr>
            <w:tcW w:w="6240" w:type="dxa"/>
            <w:gridSpan w:val="4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b/>
                <w:szCs w:val="20"/>
                <w:lang w:val="es-ES"/>
              </w:rPr>
            </w:pPr>
            <w:r w:rsidRPr="009C636C">
              <w:rPr>
                <w:b/>
                <w:szCs w:val="20"/>
                <w:lang w:val="es-ES"/>
              </w:rPr>
              <w:t xml:space="preserve">PROGENITORES </w:t>
            </w:r>
          </w:p>
        </w:tc>
        <w:tc>
          <w:tcPr>
            <w:tcW w:w="5131" w:type="dxa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rPr>
                <w:b/>
                <w:bCs/>
                <w:szCs w:val="20"/>
                <w:lang w:val="es-ES"/>
              </w:rPr>
            </w:pPr>
            <w:r w:rsidRPr="009C636C">
              <w:rPr>
                <w:b/>
                <w:bCs/>
                <w:szCs w:val="20"/>
                <w:lang w:val="es-ES"/>
              </w:rPr>
              <w:t>POR NACIMINETO Y CUIDADO DEL MENOR</w:t>
            </w:r>
          </w:p>
        </w:tc>
      </w:tr>
      <w:tr w:rsidR="00951CCF" w:rsidRPr="00C17363" w:rsidTr="00FD1C84">
        <w:trPr>
          <w:trHeight w:val="519"/>
        </w:trPr>
        <w:tc>
          <w:tcPr>
            <w:tcW w:w="2799" w:type="dxa"/>
            <w:vMerge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951CCF" w:rsidRPr="00954285" w:rsidRDefault="00951CCF" w:rsidP="00FD1C84">
            <w:pPr>
              <w:spacing w:before="20" w:after="20"/>
              <w:jc w:val="center"/>
              <w:rPr>
                <w:b/>
                <w:color w:val="C00000"/>
                <w:szCs w:val="20"/>
                <w:lang w:val="es-ES"/>
              </w:rPr>
            </w:pPr>
          </w:p>
        </w:tc>
        <w:tc>
          <w:tcPr>
            <w:tcW w:w="3121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OBLIGATORIO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VOLUNTARIO</w:t>
            </w:r>
          </w:p>
        </w:tc>
        <w:tc>
          <w:tcPr>
            <w:tcW w:w="5131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*Compensados al 100%</w:t>
            </w:r>
          </w:p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*Aplicación progresiva</w:t>
            </w:r>
          </w:p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</w:p>
          <w:p w:rsidR="00951CCF" w:rsidRPr="009C636C" w:rsidRDefault="00954285" w:rsidP="00F433C6">
            <w:pPr>
              <w:spacing w:before="20" w:after="20"/>
              <w:jc w:val="both"/>
              <w:rPr>
                <w:szCs w:val="20"/>
                <w:lang w:val="es-ES"/>
              </w:rPr>
            </w:pPr>
            <w:r>
              <w:rPr>
                <w:szCs w:val="20"/>
                <w:lang w:val="es-ES"/>
              </w:rPr>
              <w:t xml:space="preserve">- 2019: 2º </w:t>
            </w:r>
            <w:r w:rsidR="00951CCF" w:rsidRPr="009C636C">
              <w:rPr>
                <w:szCs w:val="20"/>
                <w:lang w:val="es-ES"/>
              </w:rPr>
              <w:t>progenitor 8 semanas: 6 obligatorias, intransferibles e ininterrumpidas y 2 semanas voluntarias interrumpidas (se añaden hasta 4 semanas a este peri</w:t>
            </w:r>
            <w:bookmarkStart w:id="0" w:name="_GoBack"/>
            <w:bookmarkEnd w:id="0"/>
            <w:r w:rsidR="00951CCF" w:rsidRPr="009C636C">
              <w:rPr>
                <w:szCs w:val="20"/>
                <w:lang w:val="es-ES"/>
              </w:rPr>
              <w:t>odo que puede cederle la madre biológica)</w:t>
            </w:r>
            <w:r w:rsidR="00F433C6">
              <w:rPr>
                <w:szCs w:val="20"/>
                <w:lang w:val="es-ES"/>
              </w:rPr>
              <w:t>.</w:t>
            </w:r>
          </w:p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</w:p>
          <w:p w:rsidR="00951CCF" w:rsidRPr="009C636C" w:rsidRDefault="00951CCF" w:rsidP="008F12DB">
            <w:pPr>
              <w:spacing w:before="20" w:after="20"/>
              <w:jc w:val="both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- 2020: 2º progenitor: 12 semanas, 6 obligatorias, intransferibles, ininterrumpidas y 6 voluntarias interrumpidas (se pueden añadir 2 de la madre biológica)</w:t>
            </w:r>
            <w:r w:rsidR="008F12DB">
              <w:rPr>
                <w:szCs w:val="20"/>
                <w:lang w:val="es-ES"/>
              </w:rPr>
              <w:t>.</w:t>
            </w:r>
          </w:p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</w:p>
          <w:p w:rsidR="00951CCF" w:rsidRPr="009C636C" w:rsidRDefault="00951CCF" w:rsidP="00A72C3B">
            <w:pPr>
              <w:spacing w:before="20" w:after="20"/>
              <w:jc w:val="both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- 2021: 2º progenitor: 16 semanas iguales e intransferibles. No hay cesión.</w:t>
            </w:r>
          </w:p>
          <w:p w:rsidR="00951CCF" w:rsidRPr="009C636C" w:rsidRDefault="00951CCF" w:rsidP="00FD1C84">
            <w:pPr>
              <w:spacing w:before="20" w:after="20"/>
              <w:rPr>
                <w:szCs w:val="20"/>
                <w:lang w:val="es-ES"/>
              </w:rPr>
            </w:pPr>
          </w:p>
          <w:p w:rsidR="00951CCF" w:rsidRPr="009C636C" w:rsidRDefault="00951CCF" w:rsidP="00A72C3B">
            <w:pPr>
              <w:spacing w:before="20" w:after="20"/>
              <w:jc w:val="both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* Se ampliará en dos semanas en supuesto de discapacidad del hijo o hija y, por cada hijo o hija a partir del segundo en los supuestos de parto múltiple, una para cada uno de los progenitores.</w:t>
            </w:r>
          </w:p>
        </w:tc>
      </w:tr>
      <w:tr w:rsidR="00951CCF" w:rsidRPr="00387376" w:rsidTr="00FD1C84">
        <w:trPr>
          <w:trHeight w:val="2768"/>
        </w:trPr>
        <w:tc>
          <w:tcPr>
            <w:tcW w:w="2799" w:type="dxa"/>
            <w:vMerge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951CCF" w:rsidRPr="00954285" w:rsidRDefault="00951CCF" w:rsidP="00FD1C84">
            <w:pPr>
              <w:spacing w:before="20" w:after="20"/>
              <w:jc w:val="center"/>
              <w:rPr>
                <w:b/>
                <w:color w:val="C00000"/>
                <w:szCs w:val="20"/>
                <w:lang w:val="es-ES"/>
              </w:rPr>
            </w:pPr>
          </w:p>
        </w:tc>
        <w:tc>
          <w:tcPr>
            <w:tcW w:w="3121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 xml:space="preserve">6 </w:t>
            </w:r>
          </w:p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(intransferibles)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 xml:space="preserve">10 </w:t>
            </w:r>
          </w:p>
          <w:p w:rsidR="00951CCF" w:rsidRPr="009C636C" w:rsidRDefault="00951CCF" w:rsidP="00FD1C84">
            <w:pPr>
              <w:spacing w:before="20" w:after="20"/>
              <w:jc w:val="center"/>
              <w:rPr>
                <w:szCs w:val="20"/>
                <w:lang w:val="es-ES"/>
              </w:rPr>
            </w:pPr>
            <w:r w:rsidRPr="009C636C">
              <w:rPr>
                <w:szCs w:val="20"/>
                <w:lang w:val="es-ES"/>
              </w:rPr>
              <w:t>(intransferibles)</w:t>
            </w:r>
          </w:p>
        </w:tc>
        <w:tc>
          <w:tcPr>
            <w:tcW w:w="5131" w:type="dxa"/>
            <w:vMerge/>
            <w:shd w:val="clear" w:color="auto" w:fill="auto"/>
            <w:tcMar>
              <w:left w:w="108" w:type="dxa"/>
            </w:tcMar>
            <w:vAlign w:val="center"/>
          </w:tcPr>
          <w:p w:rsidR="00951CCF" w:rsidRPr="00387376" w:rsidRDefault="00951CCF" w:rsidP="00FD1C84">
            <w:pPr>
              <w:spacing w:before="20" w:after="20"/>
              <w:rPr>
                <w:szCs w:val="20"/>
              </w:rPr>
            </w:pPr>
          </w:p>
        </w:tc>
      </w:tr>
    </w:tbl>
    <w:p w:rsidR="00626E99" w:rsidRDefault="00626E99"/>
    <w:sectPr w:rsidR="00626E99" w:rsidSect="00FD1C84">
      <w:endnotePr>
        <w:numFmt w:val="decimal"/>
      </w:endnotePr>
      <w:pgSz w:w="15840" w:h="12240" w:orient="landscape"/>
      <w:pgMar w:top="1202" w:right="1440" w:bottom="1202" w:left="1151" w:header="431" w:footer="50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03F" w:rsidRDefault="00DE503F" w:rsidP="00C17363">
      <w:r>
        <w:separator/>
      </w:r>
    </w:p>
  </w:endnote>
  <w:endnote w:type="continuationSeparator" w:id="0">
    <w:p w:rsidR="00DE503F" w:rsidRDefault="00DE503F" w:rsidP="00C17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03F" w:rsidRDefault="00DE503F" w:rsidP="00C17363">
      <w:r>
        <w:separator/>
      </w:r>
    </w:p>
  </w:footnote>
  <w:footnote w:type="continuationSeparator" w:id="0">
    <w:p w:rsidR="00DE503F" w:rsidRDefault="00DE503F" w:rsidP="00C173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CF"/>
    <w:rsid w:val="00251CE6"/>
    <w:rsid w:val="00626E99"/>
    <w:rsid w:val="006A32A0"/>
    <w:rsid w:val="00771BC6"/>
    <w:rsid w:val="008F12DB"/>
    <w:rsid w:val="00951CCF"/>
    <w:rsid w:val="00954285"/>
    <w:rsid w:val="009C636C"/>
    <w:rsid w:val="009D6334"/>
    <w:rsid w:val="00A72C3B"/>
    <w:rsid w:val="00C17363"/>
    <w:rsid w:val="00D57D09"/>
    <w:rsid w:val="00DE503F"/>
    <w:rsid w:val="00F4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CF7EB"/>
  <w15:chartTrackingRefBased/>
  <w15:docId w15:val="{7CB8351E-4FDC-4877-A127-46737EBA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CCF"/>
    <w:pPr>
      <w:spacing w:after="0" w:line="240" w:lineRule="auto"/>
    </w:pPr>
    <w:rPr>
      <w:rFonts w:ascii="Times New Roman" w:hAnsi="Times New Roman" w:cs="Times New Roman"/>
      <w:spacing w:val="4"/>
      <w:w w:val="103"/>
      <w:sz w:val="20"/>
    </w:rPr>
  </w:style>
  <w:style w:type="paragraph" w:styleId="Ttulo2">
    <w:name w:val="heading 2"/>
    <w:basedOn w:val="Normal"/>
    <w:next w:val="Normal"/>
    <w:link w:val="Ttulo2Car"/>
    <w:uiPriority w:val="9"/>
    <w:qFormat/>
    <w:rsid w:val="00951CCF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951CCF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paragraph" w:customStyle="1" w:styleId="SingleTxt">
    <w:name w:val="__Single Txt"/>
    <w:basedOn w:val="Normal"/>
    <w:qFormat/>
    <w:rsid w:val="00951CC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table" w:styleId="Tablaconcuadrcula">
    <w:name w:val="Table Grid"/>
    <w:basedOn w:val="Tablanormal"/>
    <w:uiPriority w:val="59"/>
    <w:rsid w:val="00951CCF"/>
    <w:pPr>
      <w:spacing w:after="0" w:line="240" w:lineRule="auto"/>
    </w:pPr>
    <w:rPr>
      <w:rFonts w:eastAsiaTheme="minorEastAsia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1736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363"/>
    <w:rPr>
      <w:rFonts w:ascii="Times New Roman" w:hAnsi="Times New Roman" w:cs="Times New Roman"/>
      <w:spacing w:val="4"/>
      <w:w w:val="103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1736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363"/>
    <w:rPr>
      <w:rFonts w:ascii="Times New Roman" w:hAnsi="Times New Roman" w:cs="Times New Roman"/>
      <w:spacing w:val="4"/>
      <w:w w:val="103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ADCBF5-17C8-4AFF-B0F8-04AEE3AC50BC}"/>
</file>

<file path=customXml/itemProps2.xml><?xml version="1.0" encoding="utf-8"?>
<ds:datastoreItem xmlns:ds="http://schemas.openxmlformats.org/officeDocument/2006/customXml" ds:itemID="{5EA404E1-E4F5-4106-9735-7D74736FFFF1}"/>
</file>

<file path=customXml/itemProps3.xml><?xml version="1.0" encoding="utf-8"?>
<ds:datastoreItem xmlns:ds="http://schemas.openxmlformats.org/officeDocument/2006/customXml" ds:itemID="{5102AB0C-48DC-43C2-BDD0-7DB3A5E741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1024</Characters>
  <Application>Microsoft Office Word</Application>
  <DocSecurity>0</DocSecurity>
  <Lines>64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MAEC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Palomo Nuñez, Irene</dc:creator>
  <cp:keywords/>
  <dc:description/>
  <cp:lastModifiedBy>Vico Gonzalez, Henar</cp:lastModifiedBy>
  <cp:revision>10</cp:revision>
  <dcterms:created xsi:type="dcterms:W3CDTF">2021-03-12T14:18:00Z</dcterms:created>
  <dcterms:modified xsi:type="dcterms:W3CDTF">2022-05-26T11:42:00Z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