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COMITÊ LATINO-AMERICANO E DO CARIBE PARA DEFESA DOS DIREITOS DAS MULHERES (CLADEM BRASIL)</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CENTRO PELA JUSTIÇA E O DIREITO INTERNACIONAL (CEJIL)</w:t>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INSTITUTO MARIA DA PENHA (IMP)</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VIOLÊNCIA DE GÊNERO, ACESSO À JUSTIÇA E LEI MARIA DA PENHA </w:t>
      </w:r>
    </w:p>
    <w:p w:rsidR="00000000" w:rsidDel="00000000" w:rsidP="00000000" w:rsidRDefault="00000000" w:rsidRPr="00000000" w14:paraId="0000000A">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REVISÃO DO BRASIL</w:t>
      </w:r>
      <w:r w:rsidDel="00000000" w:rsidR="00000000" w:rsidRPr="00000000">
        <w:rPr>
          <w:rtl w:val="0"/>
        </w:rPr>
      </w:r>
    </w:p>
    <w:p w:rsidR="00000000" w:rsidDel="00000000" w:rsidP="00000000" w:rsidRDefault="00000000" w:rsidRPr="00000000" w14:paraId="0000000F">
      <w:pPr>
        <w:spacing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Comitê sobre a Eliminação de Todas as Formas de Discriminação con</w:t>
      </w:r>
      <w:r w:rsidDel="00000000" w:rsidR="00000000" w:rsidRPr="00000000">
        <w:rPr>
          <w:rFonts w:ascii="Times New Roman" w:cs="Times New Roman" w:eastAsia="Times New Roman" w:hAnsi="Times New Roman"/>
          <w:b w:val="1"/>
          <w:color w:val="000000"/>
          <w:sz w:val="24"/>
          <w:szCs w:val="24"/>
          <w:rtl w:val="0"/>
        </w:rPr>
        <w:t xml:space="preserve">tra as </w:t>
      </w:r>
      <w:r w:rsidDel="00000000" w:rsidR="00000000" w:rsidRPr="00000000">
        <w:rPr>
          <w:rFonts w:ascii="Times New Roman" w:cs="Times New Roman" w:eastAsia="Times New Roman" w:hAnsi="Times New Roman"/>
          <w:b w:val="1"/>
          <w:color w:val="000000"/>
          <w:sz w:val="24"/>
          <w:szCs w:val="24"/>
          <w:rtl w:val="0"/>
        </w:rPr>
        <w:t xml:space="preserve">Mulheres</w:t>
      </w:r>
    </w:p>
    <w:p w:rsidR="00000000" w:rsidDel="00000000" w:rsidP="00000000" w:rsidRDefault="00000000" w:rsidRPr="00000000" w14:paraId="00000010">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0"/>
          <w:color w:val="000000"/>
          <w:sz w:val="24"/>
          <w:szCs w:val="24"/>
          <w:rtl w:val="0"/>
        </w:rPr>
        <w:t xml:space="preserve">88</w:t>
      </w:r>
      <w:r w:rsidDel="00000000" w:rsidR="00000000" w:rsidRPr="00000000">
        <w:rPr>
          <w:rFonts w:ascii="Times New Roman" w:cs="Times New Roman" w:eastAsia="Times New Roman" w:hAnsi="Times New Roman"/>
          <w:color w:val="4d5156"/>
          <w:sz w:val="24"/>
          <w:szCs w:val="24"/>
          <w:highlight w:val="white"/>
          <w:rtl w:val="0"/>
        </w:rPr>
        <w:t xml:space="preserve">ª sessão</w:t>
      </w:r>
      <w:r w:rsidDel="00000000" w:rsidR="00000000" w:rsidRPr="00000000">
        <w:rPr>
          <w:rFonts w:ascii="Times New Roman" w:cs="Times New Roman" w:eastAsia="Times New Roman" w:hAnsi="Times New Roman"/>
          <w:b w:val="0"/>
          <w:color w:val="000000"/>
          <w:sz w:val="24"/>
          <w:szCs w:val="24"/>
          <w:rtl w:val="0"/>
        </w:rPr>
        <w:t xml:space="preserve">, maio de 2024</w:t>
      </w:r>
      <w:r w:rsidDel="00000000" w:rsidR="00000000" w:rsidRPr="00000000">
        <w:rPr>
          <w:rtl w:val="0"/>
        </w:rPr>
      </w:r>
    </w:p>
    <w:p w:rsidR="00000000" w:rsidDel="00000000" w:rsidP="00000000" w:rsidRDefault="00000000" w:rsidRPr="00000000" w14:paraId="00000011">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tabs>
          <w:tab w:val="left" w:leader="none" w:pos="181"/>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s>
        <w:spacing w:before="120" w:line="264"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Brazil, Abr, 2024</w:t>
      </w:r>
    </w:p>
    <w:p w:rsidR="00000000" w:rsidDel="00000000" w:rsidP="00000000" w:rsidRDefault="00000000" w:rsidRPr="00000000" w14:paraId="0000001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b w:val="1"/>
          <w:sz w:val="24"/>
          <w:szCs w:val="24"/>
        </w:rPr>
      </w:pPr>
      <w:r w:rsidDel="00000000" w:rsidR="00000000" w:rsidRPr="00000000">
        <w:rPr>
          <w:rFonts w:ascii="Arial MT" w:cs="Arial MT" w:eastAsia="Arial MT" w:hAnsi="Arial MT"/>
          <w:color w:val="000000"/>
        </w:rPr>
        <w:drawing>
          <wp:inline distB="0" distT="0" distL="0" distR="0">
            <wp:extent cx="838835" cy="1073785"/>
            <wp:effectExtent b="0" l="0" r="0" t="0"/>
            <wp:docPr descr="Logotipo&#10;&#10;Descrição gerada automaticamente" id="1670643886" name="image2.png"/>
            <a:graphic>
              <a:graphicData uri="http://schemas.openxmlformats.org/drawingml/2006/picture">
                <pic:pic>
                  <pic:nvPicPr>
                    <pic:cNvPr descr="Logotipo&#10;&#10;Descrição gerada automaticamente" id="0" name="image2.png"/>
                    <pic:cNvPicPr preferRelativeResize="0"/>
                  </pic:nvPicPr>
                  <pic:blipFill>
                    <a:blip r:embed="rId8"/>
                    <a:srcRect b="0" l="0" r="0" t="0"/>
                    <a:stretch>
                      <a:fillRect/>
                    </a:stretch>
                  </pic:blipFill>
                  <pic:spPr>
                    <a:xfrm>
                      <a:off x="0" y="0"/>
                      <a:ext cx="838835" cy="107378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643515" cy="1268614"/>
            <wp:effectExtent b="0" l="0" r="0" t="0"/>
            <wp:docPr descr="CEJIL y Corporación Humanas instan a que el proyecto de reforma de la ..." id="1670643888" name="image3.jpg"/>
            <a:graphic>
              <a:graphicData uri="http://schemas.openxmlformats.org/drawingml/2006/picture">
                <pic:pic>
                  <pic:nvPicPr>
                    <pic:cNvPr descr="CEJIL y Corporación Humanas instan a que el proyecto de reforma de la ..." id="0" name="image3.jpg"/>
                    <pic:cNvPicPr preferRelativeResize="0"/>
                  </pic:nvPicPr>
                  <pic:blipFill>
                    <a:blip r:embed="rId9"/>
                    <a:srcRect b="0" l="0" r="0" t="0"/>
                    <a:stretch>
                      <a:fillRect/>
                    </a:stretch>
                  </pic:blipFill>
                  <pic:spPr>
                    <a:xfrm>
                      <a:off x="0" y="0"/>
                      <a:ext cx="1643515" cy="1268614"/>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Pr>
        <w:drawing>
          <wp:inline distB="0" distT="0" distL="0" distR="0">
            <wp:extent cx="1385826" cy="1127190"/>
            <wp:effectExtent b="0" l="0" r="0" t="0"/>
            <wp:docPr descr="Logotipo, nome da empresa&#10;&#10;Descrição gerada automaticamente" id="1670643887" name="image4.png"/>
            <a:graphic>
              <a:graphicData uri="http://schemas.openxmlformats.org/drawingml/2006/picture">
                <pic:pic>
                  <pic:nvPicPr>
                    <pic:cNvPr descr="Logotipo, nome da empresa&#10;&#10;Descrição gerada automaticamente" id="0" name="image4.png"/>
                    <pic:cNvPicPr preferRelativeResize="0"/>
                  </pic:nvPicPr>
                  <pic:blipFill>
                    <a:blip r:embed="rId10"/>
                    <a:srcRect b="0" l="0" r="0" t="0"/>
                    <a:stretch>
                      <a:fillRect/>
                    </a:stretch>
                  </pic:blipFill>
                  <pic:spPr>
                    <a:xfrm>
                      <a:off x="0" y="0"/>
                      <a:ext cx="1385826" cy="112719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after="0" w:line="259.20000000000005"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Apresentação </w:t>
      </w:r>
    </w:p>
    <w:p w:rsidR="00000000" w:rsidDel="00000000" w:rsidP="00000000" w:rsidRDefault="00000000" w:rsidRPr="00000000" w14:paraId="0000001D">
      <w:pPr>
        <w:spacing w:after="0" w:line="259.20000000000005"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CLADEM/Brasil, CEJIL e IMP apresentam informações para revisão do Brasil no Comitê CEDAW, com enfoque em artigos específicos da CEDAW</w:t>
      </w:r>
      <w:r w:rsidDel="00000000" w:rsidR="00000000" w:rsidRPr="00000000">
        <w:rPr>
          <w:rFonts w:ascii="Times New Roman" w:cs="Times New Roman" w:eastAsia="Times New Roman" w:hAnsi="Times New Roman"/>
          <w:sz w:val="24"/>
          <w:szCs w:val="24"/>
          <w:rtl w:val="0"/>
        </w:rPr>
        <w:t xml:space="preserve"> sobre violência de gênero (CEDAW/C/BRA/QPR/8-9, par.9)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com base no seguimento do Caso 12.051 - Maria da Penha Maia Fernandes, Relatório de Mérito nº 54/01 da Comissão Interamericana de Direitos Humanos (CIDH, 2021)</w:t>
      </w:r>
      <w:r w:rsidDel="00000000" w:rsidR="00000000" w:rsidRPr="00000000">
        <w:rPr>
          <w:rFonts w:ascii="Times New Roman" w:cs="Times New Roman" w:eastAsia="Times New Roman" w:hAnsi="Times New Roman"/>
          <w:sz w:val="24"/>
          <w:szCs w:val="24"/>
          <w:rtl w:val="0"/>
        </w:rPr>
        <w:t xml:space="preserve">, relacionados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 os Objetivos do Desenvolvimento Sustentável - ODS  (CEDAW/C/BRA/CO/7, par. 37; (CEDAW/</w:t>
      </w:r>
      <w:r w:rsidDel="00000000" w:rsidR="00000000" w:rsidRPr="00000000">
        <w:rPr>
          <w:rFonts w:ascii="Times New Roman" w:cs="Times New Roman" w:eastAsia="Times New Roman" w:hAnsi="Times New Roman"/>
          <w:sz w:val="24"/>
          <w:szCs w:val="24"/>
          <w:rtl w:val="0"/>
        </w:rPr>
        <w:t xml:space="preserve">C/BRA/QPR/8-9, par.24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identificados abaixo.</w:t>
      </w:r>
      <w:r w:rsidDel="00000000" w:rsidR="00000000" w:rsidRPr="00000000">
        <w:rPr>
          <w:rtl w:val="0"/>
        </w:rPr>
      </w:r>
    </w:p>
    <w:tbl>
      <w:tblPr>
        <w:tblStyle w:val="Table1"/>
        <w:tblpPr w:leftFromText="141" w:rightFromText="141" w:topFromText="0" w:bottomFromText="0" w:vertAnchor="page" w:horzAnchor="margin" w:tblpX="0" w:tblpY="4695"/>
        <w:tblW w:w="835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07"/>
        <w:gridCol w:w="2552"/>
        <w:tblGridChange w:id="0">
          <w:tblGrid>
            <w:gridCol w:w="5807"/>
            <w:gridCol w:w="2552"/>
          </w:tblGrid>
        </w:tblGridChange>
      </w:tblGrid>
      <w:tr>
        <w:trPr>
          <w:cantSplit w:val="0"/>
          <w:tblHeader w:val="0"/>
        </w:trPr>
        <w:tc>
          <w:tcPr>
            <w:gridSpan w:val="2"/>
            <w:shd w:fill="fac090" w:val="clear"/>
          </w:tcPr>
          <w:p w:rsidR="00000000" w:rsidDel="00000000" w:rsidP="00000000" w:rsidRDefault="00000000" w:rsidRPr="00000000" w14:paraId="0000001F">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Recomendações CIDH/2001</w:t>
            </w:r>
          </w:p>
        </w:tc>
      </w:tr>
      <w:tr>
        <w:trPr>
          <w:cantSplit w:val="0"/>
          <w:trHeight w:val="357" w:hRule="atLeast"/>
          <w:tblHeader w:val="0"/>
        </w:trPr>
        <w:tc>
          <w:tcPr>
            <w:shd w:fill="fbd5b5" w:val="clear"/>
          </w:tcPr>
          <w:p w:rsidR="00000000" w:rsidDel="00000000" w:rsidP="00000000" w:rsidRDefault="00000000" w:rsidRPr="00000000" w14:paraId="0000002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CEDAW</w:t>
            </w:r>
          </w:p>
        </w:tc>
        <w:tc>
          <w:tcPr>
            <w:shd w:fill="fbd5b5" w:val="clear"/>
          </w:tcPr>
          <w:p w:rsidR="00000000" w:rsidDel="00000000" w:rsidP="00000000" w:rsidRDefault="00000000" w:rsidRPr="00000000" w14:paraId="0000002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ODS</w:t>
            </w:r>
          </w:p>
        </w:tc>
      </w:tr>
      <w:tr>
        <w:trPr>
          <w:cantSplit w:val="0"/>
          <w:trHeight w:val="1051" w:hRule="atLeast"/>
          <w:tblHeader w:val="0"/>
        </w:trPr>
        <w:tc>
          <w:tcPr>
            <w:shd w:fill="fbd5b5" w:val="clear"/>
          </w:tcPr>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Artigo 2 e 3 – Acesso à justiça (</w:t>
            </w:r>
            <w:r w:rsidDel="00000000" w:rsidR="00000000" w:rsidRPr="00000000">
              <w:rPr>
                <w:rFonts w:ascii="Times New Roman" w:cs="Times New Roman" w:eastAsia="Times New Roman" w:hAnsi="Times New Roman"/>
                <w:sz w:val="24"/>
                <w:szCs w:val="24"/>
                <w:rtl w:val="0"/>
              </w:rPr>
              <w:t xml:space="preserve">CEDAW/C/BRA/QPR/8-9, par.11)</w:t>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Recomendação Geral n. 28 sobre obrigações dos Estados Recomendação Geral n. 33 sobre acesso das mulheres à justiça</w:t>
            </w:r>
          </w:p>
        </w:tc>
        <w:tc>
          <w:tcPr>
            <w:shd w:fill="fbd5b5" w:val="clear"/>
          </w:tcPr>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16.3, 16.6, 16.a e 16.b</w:t>
            </w:r>
          </w:p>
        </w:tc>
      </w:tr>
      <w:tr>
        <w:trPr>
          <w:cantSplit w:val="0"/>
          <w:trHeight w:val="633" w:hRule="atLeast"/>
          <w:tblHeader w:val="0"/>
        </w:trPr>
        <w:tc>
          <w:tcPr>
            <w:gridSpan w:val="2"/>
            <w:shd w:fill="fac090" w:val="clear"/>
          </w:tcPr>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w:t>
            </w:r>
            <w:r w:rsidDel="00000000" w:rsidR="00000000" w:rsidRPr="00000000">
              <w:rPr>
                <w:rFonts w:ascii="Times New Roman" w:cs="Times New Roman" w:eastAsia="Times New Roman" w:hAnsi="Times New Roman"/>
                <w:rtl w:val="0"/>
              </w:rPr>
              <w:t xml:space="preserve">. Concluir com rapidez e eficácia a ação penal contra o responsável pela agressão e tentativa de homicídio em desfavor da Sra. Maria da Penha Fernandes Maia.</w:t>
            </w:r>
          </w:p>
        </w:tc>
      </w:tr>
      <w:tr>
        <w:trPr>
          <w:cantSplit w:val="0"/>
          <w:trHeight w:val="986" w:hRule="atLeast"/>
          <w:tblHeader w:val="0"/>
        </w:trPr>
        <w:tc>
          <w:tcPr>
            <w:gridSpan w:val="2"/>
            <w:shd w:fill="fac090" w:val="clear"/>
          </w:tcPr>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2.</w:t>
            </w:r>
            <w:r w:rsidDel="00000000" w:rsidR="00000000" w:rsidRPr="00000000">
              <w:rPr>
                <w:rFonts w:ascii="Times New Roman" w:cs="Times New Roman" w:eastAsia="Times New Roman" w:hAnsi="Times New Roman"/>
                <w:rtl w:val="0"/>
              </w:rPr>
              <w:t xml:space="preserve"> Proceder a uma investigação séria, imparcial e exaustiva para determinar a responsabilidade pelas irregularidades e atrasos injustificados que impediram o processamento rápido e efetivo do responsável, e adotar as medidas administrativas, legislativas e judiciárias correspondentes.</w:t>
            </w:r>
          </w:p>
        </w:tc>
      </w:tr>
      <w:tr>
        <w:trPr>
          <w:cantSplit w:val="0"/>
          <w:tblHeader w:val="0"/>
        </w:trPr>
        <w:tc>
          <w:tcPr>
            <w:gridSpan w:val="2"/>
            <w:shd w:fill="fac090" w:val="clear"/>
          </w:tcPr>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3</w:t>
            </w:r>
            <w:r w:rsidDel="00000000" w:rsidR="00000000" w:rsidRPr="00000000">
              <w:rPr>
                <w:rFonts w:ascii="Times New Roman" w:cs="Times New Roman" w:eastAsia="Times New Roman" w:hAnsi="Times New Roman"/>
                <w:rtl w:val="0"/>
              </w:rPr>
              <w:t xml:space="preserve">. Adotar, sem prejuízo de eventuais ações contra o civil responsável pelo atentado, as medidas necessárias para que o Estado atribua à vítima a adequada reparação simbólica e material pelas violações aqui estabelecidas, em particular a omissão de um recurso imediato e eficaz; por manter o caso impune por mais de quinze anos; e por evitar com esta demora a possibilidade oportuna de ação de reparação e indenização civil.</w:t>
            </w:r>
          </w:p>
        </w:tc>
      </w:tr>
      <w:tr>
        <w:trPr>
          <w:cantSplit w:val="0"/>
          <w:trHeight w:val="209" w:hRule="atLeast"/>
          <w:tblHeader w:val="0"/>
        </w:trPr>
        <w:tc>
          <w:tcPr>
            <w:shd w:fill="fbd5b5" w:val="clear"/>
          </w:tcPr>
          <w:p w:rsidR="00000000" w:rsidDel="00000000" w:rsidP="00000000" w:rsidRDefault="00000000" w:rsidRPr="00000000" w14:paraId="0000002C">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CEDAW</w:t>
            </w:r>
          </w:p>
        </w:tc>
        <w:tc>
          <w:tcPr>
            <w:shd w:fill="fbd5b5" w:val="clear"/>
          </w:tcPr>
          <w:p w:rsidR="00000000" w:rsidDel="00000000" w:rsidP="00000000" w:rsidRDefault="00000000" w:rsidRPr="00000000" w14:paraId="0000002D">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ODS</w:t>
            </w:r>
          </w:p>
        </w:tc>
      </w:tr>
      <w:tr>
        <w:trPr>
          <w:cantSplit w:val="0"/>
          <w:trHeight w:val="476" w:hRule="atLeast"/>
          <w:tblHeader w:val="0"/>
        </w:trPr>
        <w:tc>
          <w:tcPr>
            <w:shd w:fill="fbd5b5" w:val="clear"/>
          </w:tcPr>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Artigo 5  – Violência com base em Gênero</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Recomendação Geral n. 35 sobre violência baseada em gênero contra as mulheres</w:t>
            </w:r>
          </w:p>
        </w:tc>
        <w:tc>
          <w:tcPr>
            <w:shd w:fill="fbd5b5" w:val="clear"/>
          </w:tcPr>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 e 5.2</w:t>
            </w:r>
          </w:p>
        </w:tc>
      </w:tr>
      <w:tr>
        <w:trPr>
          <w:cantSplit w:val="0"/>
          <w:trHeight w:val="696" w:hRule="atLeast"/>
          <w:tblHeader w:val="0"/>
        </w:trPr>
        <w:tc>
          <w:tcPr>
            <w:gridSpan w:val="2"/>
            <w:shd w:fill="fac090" w:val="clear"/>
          </w:tcPr>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w:t>
            </w:r>
            <w:r w:rsidDel="00000000" w:rsidR="00000000" w:rsidRPr="00000000">
              <w:rPr>
                <w:rFonts w:ascii="Times New Roman" w:cs="Times New Roman" w:eastAsia="Times New Roman" w:hAnsi="Times New Roman"/>
                <w:rtl w:val="0"/>
              </w:rPr>
              <w:t xml:space="preserve">. Prosseguir e intensificar o processo de reforma que evite a tolerância estatal e o tratamento discriminatório com respeito à violência doméstica contra mulheres no Brasil.</w:t>
            </w:r>
          </w:p>
        </w:tc>
      </w:tr>
      <w:tr>
        <w:trPr>
          <w:cantSplit w:val="0"/>
          <w:trHeight w:val="243" w:hRule="atLeast"/>
          <w:tblHeader w:val="0"/>
        </w:trPr>
        <w:tc>
          <w:tcPr>
            <w:shd w:fill="fbd5b5" w:val="clear"/>
          </w:tcPr>
          <w:p w:rsidR="00000000" w:rsidDel="00000000" w:rsidP="00000000" w:rsidRDefault="00000000" w:rsidRPr="00000000" w14:paraId="0000003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CEDAW</w:t>
            </w:r>
          </w:p>
        </w:tc>
        <w:tc>
          <w:tcPr>
            <w:shd w:fill="fbd5b5" w:val="clear"/>
          </w:tcPr>
          <w:p w:rsidR="00000000" w:rsidDel="00000000" w:rsidP="00000000" w:rsidRDefault="00000000" w:rsidRPr="00000000" w14:paraId="0000003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ODS</w:t>
            </w:r>
          </w:p>
        </w:tc>
      </w:tr>
      <w:tr>
        <w:trPr>
          <w:cantSplit w:val="0"/>
          <w:trHeight w:val="442" w:hRule="atLeast"/>
          <w:tblHeader w:val="0"/>
        </w:trPr>
        <w:tc>
          <w:tcPr>
            <w:shd w:fill="fbd5b5" w:val="clear"/>
          </w:tcPr>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Artigo 15  e 16 – Equipamentos públicos para mulheres vítimas de violência </w:t>
            </w:r>
          </w:p>
        </w:tc>
        <w:tc>
          <w:tcPr>
            <w:shd w:fill="fbd5b5" w:val="clear"/>
          </w:tcPr>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5.c</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tl w:val="0"/>
              </w:rPr>
            </w:r>
          </w:p>
        </w:tc>
      </w:tr>
      <w:tr>
        <w:trPr>
          <w:cantSplit w:val="0"/>
          <w:tblHeader w:val="0"/>
        </w:trPr>
        <w:tc>
          <w:tcPr>
            <w:gridSpan w:val="2"/>
            <w:shd w:fill="fac090" w:val="clear"/>
          </w:tcPr>
          <w:p w:rsidR="00000000" w:rsidDel="00000000" w:rsidP="00000000" w:rsidRDefault="00000000" w:rsidRPr="00000000" w14:paraId="00000038">
            <w:pPr>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4.a</w:t>
            </w:r>
            <w:r w:rsidDel="00000000" w:rsidR="00000000" w:rsidRPr="00000000">
              <w:rPr>
                <w:rFonts w:ascii="Times New Roman" w:cs="Times New Roman" w:eastAsia="Times New Roman" w:hAnsi="Times New Roman"/>
                <w:rtl w:val="0"/>
              </w:rPr>
              <w:t xml:space="preserve">. Capacitar e sensibilizar os funcionários judiciais e policiais especializados para que compreendam a importância de não tolerar a violência doméstica.</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2"/>
            <w:shd w:fill="fac090" w:val="clear"/>
          </w:tcPr>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4.b</w:t>
            </w:r>
            <w:r w:rsidDel="00000000" w:rsidR="00000000" w:rsidRPr="00000000">
              <w:rPr>
                <w:rFonts w:ascii="Times New Roman" w:cs="Times New Roman" w:eastAsia="Times New Roman" w:hAnsi="Times New Roman"/>
                <w:rtl w:val="0"/>
              </w:rPr>
              <w:t xml:space="preserve">. Simplificar os procedimentos judiciais penais a fim de que possa ser reduzido o tempo processual, sem afetar os direitos e garantias de devido processo.</w:t>
            </w:r>
          </w:p>
        </w:tc>
      </w:tr>
      <w:tr>
        <w:trPr>
          <w:cantSplit w:val="0"/>
          <w:tblHeader w:val="0"/>
        </w:trPr>
        <w:tc>
          <w:tcPr>
            <w:gridSpan w:val="2"/>
            <w:shd w:fill="fac090" w:val="clear"/>
          </w:tcPr>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4.c</w:t>
            </w:r>
            <w:r w:rsidDel="00000000" w:rsidR="00000000" w:rsidRPr="00000000">
              <w:rPr>
                <w:rFonts w:ascii="Times New Roman" w:cs="Times New Roman" w:eastAsia="Times New Roman" w:hAnsi="Times New Roman"/>
                <w:rtl w:val="0"/>
              </w:rPr>
              <w:t xml:space="preserve">. Estabelecer formas alternativas às judiciais, rápidas e efetivas de solução de conflitos intrafamiliares, bem como de sensibilização com respeito à sua gravidade e às consequências penais que gera. (</w:t>
            </w:r>
            <w:r w:rsidDel="00000000" w:rsidR="00000000" w:rsidRPr="00000000">
              <w:rPr>
                <w:rFonts w:ascii="Times New Roman" w:cs="Times New Roman" w:eastAsia="Times New Roman" w:hAnsi="Times New Roman"/>
                <w:sz w:val="24"/>
                <w:szCs w:val="24"/>
                <w:rtl w:val="0"/>
              </w:rPr>
              <w:t xml:space="preserve">CEDAW/C/BRA/QPR/8-9, par.22)</w:t>
            </w:r>
            <w:r w:rsidDel="00000000" w:rsidR="00000000" w:rsidRPr="00000000">
              <w:rPr>
                <w:rtl w:val="0"/>
              </w:rPr>
            </w:r>
          </w:p>
        </w:tc>
      </w:tr>
      <w:tr>
        <w:trPr>
          <w:cantSplit w:val="0"/>
          <w:tblHeader w:val="0"/>
        </w:trPr>
        <w:tc>
          <w:tcPr>
            <w:gridSpan w:val="2"/>
            <w:shd w:fill="fac090" w:val="clear"/>
          </w:tcPr>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4.d</w:t>
            </w:r>
            <w:r w:rsidDel="00000000" w:rsidR="00000000" w:rsidRPr="00000000">
              <w:rPr>
                <w:rFonts w:ascii="Times New Roman" w:cs="Times New Roman" w:eastAsia="Times New Roman" w:hAnsi="Times New Roman"/>
                <w:rtl w:val="0"/>
              </w:rPr>
              <w:t xml:space="preserve">. Multiplicar o número de DEAMs e equipá-las, bem como apoiar o Ministério Público na preparação de seus informes judiciais.</w:t>
            </w:r>
          </w:p>
        </w:tc>
      </w:tr>
      <w:tr>
        <w:trPr>
          <w:cantSplit w:val="0"/>
          <w:trHeight w:val="238" w:hRule="atLeast"/>
          <w:tblHeader w:val="0"/>
        </w:trPr>
        <w:tc>
          <w:tcPr>
            <w:shd w:fill="fbd5b5" w:val="clear"/>
          </w:tcPr>
          <w:p w:rsidR="00000000" w:rsidDel="00000000" w:rsidP="00000000" w:rsidRDefault="00000000" w:rsidRPr="00000000" w14:paraId="0000004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CEDAW</w:t>
            </w:r>
          </w:p>
        </w:tc>
        <w:tc>
          <w:tcPr>
            <w:shd w:fill="fbd5b5" w:val="clear"/>
          </w:tcPr>
          <w:p w:rsidR="00000000" w:rsidDel="00000000" w:rsidP="00000000" w:rsidRDefault="00000000" w:rsidRPr="00000000" w14:paraId="0000004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ODS</w:t>
            </w:r>
          </w:p>
        </w:tc>
      </w:tr>
      <w:tr>
        <w:trPr>
          <w:cantSplit w:val="0"/>
          <w:trHeight w:val="306" w:hRule="atLeast"/>
          <w:tblHeader w:val="0"/>
        </w:trPr>
        <w:tc>
          <w:tcPr>
            <w:shd w:fill="fbd5b5" w:val="clear"/>
          </w:tcPr>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Artigo 10 – Educação combinado com Artigo 5 – eliminação de estereótipos de gênero discriminatórios.</w:t>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Recomendação Geral n. 36 sobre o direito das meninas e mulheres à educação.</w:t>
            </w:r>
          </w:p>
        </w:tc>
        <w:tc>
          <w:tcPr>
            <w:shd w:fill="fbd5b5" w:val="clear"/>
          </w:tcPr>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w:t>
            </w:r>
          </w:p>
        </w:tc>
      </w:tr>
      <w:tr>
        <w:trPr>
          <w:cantSplit w:val="0"/>
          <w:tblHeader w:val="0"/>
        </w:trPr>
        <w:tc>
          <w:tcPr>
            <w:gridSpan w:val="2"/>
            <w:shd w:fill="fac090" w:val="clear"/>
          </w:tcPr>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4.e.</w:t>
            </w:r>
            <w:r w:rsidDel="00000000" w:rsidR="00000000" w:rsidRPr="00000000">
              <w:rPr>
                <w:rFonts w:ascii="Times New Roman" w:cs="Times New Roman" w:eastAsia="Times New Roman" w:hAnsi="Times New Roman"/>
                <w:rtl w:val="0"/>
              </w:rPr>
              <w:t xml:space="preserve"> Incluir nos planos pedagógicos conteúdos acerca do respeito à mulher e a seus direitos reconhecidos na </w:t>
            </w:r>
            <w:r w:rsidDel="00000000" w:rsidR="00000000" w:rsidRPr="00000000">
              <w:rPr>
                <w:rFonts w:ascii="Times New Roman" w:cs="Times New Roman" w:eastAsia="Times New Roman" w:hAnsi="Times New Roman"/>
                <w:sz w:val="24"/>
                <w:szCs w:val="24"/>
                <w:rtl w:val="0"/>
              </w:rPr>
              <w:t xml:space="preserve">Convenção Interamericana para Prevenir Punir e Erradicar a Violência contra a Mulher (</w:t>
            </w:r>
            <w:r w:rsidDel="00000000" w:rsidR="00000000" w:rsidRPr="00000000">
              <w:rPr>
                <w:rFonts w:ascii="Times New Roman" w:cs="Times New Roman" w:eastAsia="Times New Roman" w:hAnsi="Times New Roman"/>
                <w:rtl w:val="0"/>
              </w:rPr>
              <w:t xml:space="preserve">Convenção de Belém do Pará).</w:t>
            </w:r>
          </w:p>
        </w:tc>
      </w:tr>
    </w:tb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Maria da Penha, 79 anos, mulher sobrevivente de dupla tentativa de feminicídio, cometida por seu ex-marido, que a deixou com paraplegia (1983) e hoje é uma ativista de direitos das mulheres. A sua história de vida é referência sobre a realidade da violência de gênero </w:t>
      </w:r>
      <w:r w:rsidDel="00000000" w:rsidR="00000000" w:rsidRPr="00000000">
        <w:rPr>
          <w:rFonts w:ascii="Times New Roman" w:cs="Times New Roman" w:eastAsia="Times New Roman" w:hAnsi="Times New Roman"/>
          <w:sz w:val="24"/>
          <w:szCs w:val="24"/>
          <w:rtl w:val="0"/>
        </w:rPr>
        <w:t xml:space="preserve">e a demora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acesso à justiça no Brasil. O seu caso foi analisado pela </w:t>
      </w:r>
      <w:r w:rsidDel="00000000" w:rsidR="00000000" w:rsidRPr="00000000">
        <w:rPr>
          <w:rFonts w:ascii="Times New Roman" w:cs="Times New Roman" w:eastAsia="Times New Roman" w:hAnsi="Times New Roman"/>
          <w:sz w:val="24"/>
          <w:szCs w:val="24"/>
          <w:rtl w:val="0"/>
        </w:rPr>
        <w:t xml:space="preserve">CIDH,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w:t>
      </w:r>
      <w:r w:rsidDel="00000000" w:rsidR="00000000" w:rsidRPr="00000000">
        <w:rPr>
          <w:rFonts w:ascii="Times New Roman" w:cs="Times New Roman" w:eastAsia="Times New Roman" w:hAnsi="Times New Roman"/>
          <w:sz w:val="24"/>
          <w:szCs w:val="24"/>
          <w:rtl w:val="0"/>
        </w:rPr>
        <w:t xml:space="preserve">indicou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necessidad</w:t>
      </w:r>
      <w:r w:rsidDel="00000000" w:rsidR="00000000" w:rsidRPr="00000000">
        <w:rPr>
          <w:rFonts w:ascii="Times New Roman" w:cs="Times New Roman" w:eastAsia="Times New Roman" w:hAnsi="Times New Roman"/>
          <w:sz w:val="24"/>
          <w:szCs w:val="24"/>
          <w:rtl w:val="0"/>
        </w:rPr>
        <w:t xml:space="preserve">e 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uma legislação específica para prevenir</w:t>
      </w:r>
      <w:r w:rsidDel="00000000" w:rsidR="00000000" w:rsidRPr="00000000">
        <w:rPr>
          <w:rFonts w:ascii="Times New Roman" w:cs="Times New Roman" w:eastAsia="Times New Roman" w:hAnsi="Times New Roman"/>
          <w:sz w:val="24"/>
          <w:szCs w:val="24"/>
          <w:rtl w:val="0"/>
        </w:rPr>
        <w:t xml:space="preserve"> e punir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violência doméstica e </w:t>
      </w:r>
      <w:r w:rsidDel="00000000" w:rsidR="00000000" w:rsidRPr="00000000">
        <w:rPr>
          <w:rFonts w:ascii="Times New Roman" w:cs="Times New Roman" w:eastAsia="Times New Roman" w:hAnsi="Times New Roman"/>
          <w:sz w:val="24"/>
          <w:szCs w:val="24"/>
          <w:rtl w:val="0"/>
        </w:rPr>
        <w:t xml:space="preserve">familiar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contra mulheres. </w:t>
      </w:r>
      <w:r w:rsidDel="00000000" w:rsidR="00000000" w:rsidRPr="00000000">
        <w:rPr>
          <w:rFonts w:ascii="Times New Roman" w:cs="Times New Roman" w:eastAsia="Times New Roman" w:hAnsi="Times New Roman"/>
          <w:sz w:val="24"/>
          <w:szCs w:val="24"/>
          <w:rtl w:val="0"/>
        </w:rPr>
        <w:t xml:space="preserve">Posição reforçada pelo Comitê CEDAW em 2003 (A/58/38, p. 104).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Nesse contexto, editou-se a Lei 11.340/2006, </w:t>
      </w:r>
      <w:r w:rsidDel="00000000" w:rsidR="00000000" w:rsidRPr="00000000">
        <w:rPr>
          <w:rFonts w:ascii="Times New Roman" w:cs="Times New Roman" w:eastAsia="Times New Roman" w:hAnsi="Times New Roman"/>
          <w:sz w:val="24"/>
          <w:szCs w:val="24"/>
          <w:rtl w:val="0"/>
        </w:rPr>
        <w:t xml:space="preserve">Lei Maria da Penha (LMP), amplamente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conhecida no país e </w:t>
      </w:r>
      <w:r w:rsidDel="00000000" w:rsidR="00000000" w:rsidRPr="00000000">
        <w:rPr>
          <w:rFonts w:ascii="Times New Roman" w:cs="Times New Roman" w:eastAsia="Times New Roman" w:hAnsi="Times New Roman"/>
          <w:sz w:val="24"/>
          <w:szCs w:val="24"/>
          <w:rtl w:val="0"/>
        </w:rPr>
        <w:t xml:space="preserve">impulsionadora 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políticas públicas de atenção </w:t>
      </w:r>
      <w:r w:rsidDel="00000000" w:rsidR="00000000" w:rsidRPr="00000000">
        <w:rPr>
          <w:rFonts w:ascii="Times New Roman" w:cs="Times New Roman" w:eastAsia="Times New Roman" w:hAnsi="Times New Roman"/>
          <w:sz w:val="24"/>
          <w:szCs w:val="24"/>
          <w:rtl w:val="0"/>
        </w:rPr>
        <w:t xml:space="preserve">às mulheres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vítimas de violência nos últimos 17 anos. </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CIDH declarou a responsabilidade do Estado brasileiro sobre violações dos artigos 8º (garantias judiciais) e 25 (proteção judicial) da Convenção Americana sobre Direitos Humanos, </w:t>
      </w:r>
      <w:r w:rsidDel="00000000" w:rsidR="00000000" w:rsidRPr="00000000">
        <w:rPr>
          <w:rFonts w:ascii="Times New Roman" w:cs="Times New Roman" w:eastAsia="Times New Roman" w:hAnsi="Times New Roman"/>
          <w:sz w:val="24"/>
          <w:szCs w:val="24"/>
          <w:rtl w:val="0"/>
        </w:rPr>
        <w:t xml:space="preserve">referente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ao dever de proteção e garantia previsto pelo artigo 1.1 da </w:t>
      </w:r>
      <w:r w:rsidDel="00000000" w:rsidR="00000000" w:rsidRPr="00000000">
        <w:rPr>
          <w:rFonts w:ascii="Times New Roman" w:cs="Times New Roman" w:eastAsia="Times New Roman" w:hAnsi="Times New Roman"/>
          <w:sz w:val="24"/>
          <w:szCs w:val="24"/>
          <w:rtl w:val="0"/>
        </w:rPr>
        <w:t xml:space="preserve">Convenção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Considerou ainda 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violação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artigo 7º da Convenção</w:t>
      </w:r>
      <w:r w:rsidDel="00000000" w:rsidR="00000000" w:rsidRPr="00000000">
        <w:rPr>
          <w:rFonts w:ascii="Times New Roman" w:cs="Times New Roman" w:eastAsia="Times New Roman" w:hAnsi="Times New Roman"/>
          <w:sz w:val="24"/>
          <w:szCs w:val="24"/>
          <w:rtl w:val="0"/>
        </w:rPr>
        <w:t xml:space="preserve"> da Convenção de Belém do Pará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emiti</w:t>
      </w:r>
      <w:r w:rsidDel="00000000" w:rsidR="00000000" w:rsidRPr="00000000">
        <w:rPr>
          <w:rFonts w:ascii="Times New Roman" w:cs="Times New Roman" w:eastAsia="Times New Roman" w:hAnsi="Times New Roman"/>
          <w:sz w:val="24"/>
          <w:szCs w:val="24"/>
          <w:rtl w:val="0"/>
        </w:rPr>
        <w:t xml:space="preserve">ndo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w:t>
      </w:r>
      <w:r w:rsidDel="00000000" w:rsidR="00000000" w:rsidRPr="00000000">
        <w:rPr>
          <w:rFonts w:ascii="Times New Roman" w:cs="Times New Roman" w:eastAsia="Times New Roman" w:hAnsi="Times New Roman"/>
          <w:sz w:val="24"/>
          <w:szCs w:val="24"/>
          <w:rtl w:val="0"/>
        </w:rPr>
        <w:t xml:space="preserve">uatro recomendações ao Brasil. Tais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recomendações, com exceção da 1 e 3, não foram cumpridas integralmente, de </w:t>
      </w:r>
      <w:r w:rsidDel="00000000" w:rsidR="00000000" w:rsidRPr="00000000">
        <w:rPr>
          <w:rFonts w:ascii="Times New Roman" w:cs="Times New Roman" w:eastAsia="Times New Roman" w:hAnsi="Times New Roman"/>
          <w:sz w:val="24"/>
          <w:szCs w:val="24"/>
          <w:rtl w:val="0"/>
        </w:rPr>
        <w:t xml:space="preserve">forma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esse caso se encontra em etapa de seguimento há mais de 20 anos. As peticionárias acompanham as políticas públicas contra a violência e prestam informações periodicamente à CIDH. Esses relatórios de seguimento </w:t>
      </w:r>
      <w:r w:rsidDel="00000000" w:rsidR="00000000" w:rsidRPr="00000000">
        <w:rPr>
          <w:rFonts w:ascii="Times New Roman" w:cs="Times New Roman" w:eastAsia="Times New Roman" w:hAnsi="Times New Roman"/>
          <w:sz w:val="24"/>
          <w:szCs w:val="24"/>
          <w:rtl w:val="0"/>
        </w:rPr>
        <w:t xml:space="preserve">estão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subsidiando as informações ao Comitê CEDAW.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4"/>
          <w:szCs w:val="24"/>
          <w:rtl w:val="0"/>
        </w:rPr>
        <w:t xml:space="preserve">Contexto de violência feminicida</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Inobstante a aprovação da Lei 11.340/2006,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violência contra as mulheres não alcançou significativa diminuição, ao contrário, </w:t>
      </w: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apresentando preocupante aumento e recrudescimento nos atos de violência (são corpos queimados, esquartejados, com dezenas de facadas ou tiros com arma de fogo), evidenciando a necessidade de urgentes respostas do Estado e que considerem toda a complexidade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raça, etnia, classe, gênero, idade, deficiências, religi</w:t>
      </w:r>
      <w:r w:rsidDel="00000000" w:rsidR="00000000" w:rsidRPr="00000000">
        <w:rPr>
          <w:rFonts w:ascii="Times New Roman" w:cs="Times New Roman" w:eastAsia="Times New Roman" w:hAnsi="Times New Roman"/>
          <w:sz w:val="24"/>
          <w:szCs w:val="24"/>
          <w:rtl w:val="0"/>
        </w:rPr>
        <w:t xml:space="preserve">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territórios) </w:t>
      </w:r>
      <w:r w:rsidDel="00000000" w:rsidR="00000000" w:rsidRPr="00000000">
        <w:rPr>
          <w:rFonts w:ascii="Times New Roman" w:cs="Times New Roman" w:eastAsia="Times New Roman" w:hAnsi="Times New Roman"/>
          <w:sz w:val="24"/>
          <w:szCs w:val="24"/>
          <w:rtl w:val="0"/>
        </w:rPr>
        <w:t xml:space="preserve">desse fenômeno, já alçado a uma pandemia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Segundo o Relatório </w:t>
      </w:r>
      <w:r w:rsidDel="00000000" w:rsidR="00000000" w:rsidRPr="00000000">
        <w:rPr>
          <w:rFonts w:ascii="Times New Roman" w:cs="Times New Roman" w:eastAsia="Times New Roman" w:hAnsi="Times New Roman"/>
          <w:sz w:val="24"/>
          <w:szCs w:val="24"/>
          <w:rtl w:val="0"/>
        </w:rPr>
        <w:t xml:space="preserve">CIDH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sobre a Situação de Direitos Humanos no Brasil (2020), após visita ao país, “a violência contra as mulheres segue apresentando índices dramáticos, com cifras alarmantes de assassinatos de mulheres por razões de gênero no país”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informações estatísticas reafirmam que é necessária uma visão interseccional sobre o problema. Por isso, entre as recomendações ao Brasil, a CIDH ressaltou que “adote medidas que visem a promover o ideal de igualdade de gênero no país [...e que] garantam a interseccionalidade entre as políticas de igualdade de gênero e outras, como as de igualdade racial e promoção e proteção da juventude, a fim de contemplar a situação específica da discriminação racial estrutural das meninas, jovens e mulheres afrodescendentes”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Desde a aprovação da Lei do Feminicídio (Lei 13.104/2015), 2023 é considerado o ano com maior crescimento de assassinatos, com 1463 mulheres mortas, taxa de 1,4 mulheres para cada grupo de 100 mil, crescimento de 1,6% em um ano, perfazendo mais de quatro mulheres vitimadas a cada dia, de acordo com Fórum Brasileitro de Segurança Pública</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(FBSP, 2024). Entre os anos 2015 a 2023 são 10.655 vítimas. Essas cifras reforçam a importância de implementação do  </w:t>
      </w:r>
      <w:hyperlink r:id="rId11">
        <w:r w:rsidDel="00000000" w:rsidR="00000000" w:rsidRPr="00000000">
          <w:rPr>
            <w:rFonts w:ascii="Times New Roman" w:cs="Times New Roman" w:eastAsia="Times New Roman" w:hAnsi="Times New Roman"/>
            <w:color w:val="1155cc"/>
            <w:sz w:val="24"/>
            <w:szCs w:val="24"/>
            <w:u w:val="single"/>
            <w:rtl w:val="0"/>
          </w:rPr>
          <w:t xml:space="preserve">Pacto Nacional de Prevenção aos Feminicídios (2023)</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Pr>
        <w:drawing>
          <wp:inline distB="114300" distT="114300" distL="114300" distR="114300">
            <wp:extent cx="4343400" cy="2179357"/>
            <wp:effectExtent b="0" l="0" r="0" t="0"/>
            <wp:docPr id="167064388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343400" cy="2179357"/>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Fonte</w:t>
      </w:r>
      <w:r w:rsidDel="00000000" w:rsidR="00000000" w:rsidRPr="00000000">
        <w:rPr>
          <w:rFonts w:ascii="Times New Roman" w:cs="Times New Roman" w:eastAsia="Times New Roman" w:hAnsi="Times New Roman"/>
          <w:sz w:val="20"/>
          <w:szCs w:val="20"/>
          <w:rtl w:val="0"/>
        </w:rPr>
        <w:t xml:space="preserve">:</w:t>
      </w:r>
      <w:hyperlink r:id="rId13">
        <w:r w:rsidDel="00000000" w:rsidR="00000000" w:rsidRPr="00000000">
          <w:rPr>
            <w:rFonts w:ascii="Times New Roman" w:cs="Times New Roman" w:eastAsia="Times New Roman" w:hAnsi="Times New Roman"/>
            <w:color w:val="1155cc"/>
            <w:sz w:val="20"/>
            <w:szCs w:val="20"/>
            <w:u w:val="single"/>
            <w:rtl w:val="0"/>
          </w:rPr>
          <w:t xml:space="preserve"> FBSP, 2024, p 4.</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numPr>
          <w:ilvl w:val="0"/>
          <w:numId w:val="1"/>
        </w:numPr>
        <w:spacing w:after="0" w:line="259.20000000000005"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Atlas da Violência 2023</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mostra ainda que, nos últimos anos, entre 2019 e 2021, aumentou a disparidade no país, tanto geograficamente, quanto em relação às desigualdades quanto em relação à vitimização de grupos sociais vulneráveis. Os Estados do Sul, Sudeste e Centro-Oeste diminuíram ou mantiveram estabilidade nos índices de mortes violentas, ao passo que se observou crescimento da letalidade violenta nas regiões Norte e Nordeste. Ainda, na contramão da diminuição de homicídios no país, em se tratando dos grupos sociais politicamente minoritários, o período recente foi marcado pelo recrudescimento da violência letal contra negros, indígenas e mulheres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5">
      <w:pPr>
        <w:numPr>
          <w:ilvl w:val="0"/>
          <w:numId w:val="1"/>
        </w:numPr>
        <w:spacing w:after="0" w:line="259.20000000000005" w:lineRule="auto"/>
        <w:ind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Quanto ao período anterior, deve-se considerar a  subnotificação causada pelo isolamento social e pelas deficiências no funcionamento dos serviços públicos durante a </w:t>
      </w:r>
      <w:r w:rsidDel="00000000" w:rsidR="00000000" w:rsidRPr="00000000">
        <w:rPr>
          <w:rFonts w:ascii="Times New Roman" w:cs="Times New Roman" w:eastAsia="Times New Roman" w:hAnsi="Times New Roman"/>
          <w:sz w:val="24"/>
          <w:szCs w:val="24"/>
          <w:rtl w:val="0"/>
        </w:rPr>
        <w:t xml:space="preserve">pandemia</w:t>
      </w:r>
      <w:r w:rsidDel="00000000" w:rsidR="00000000" w:rsidRPr="00000000">
        <w:rPr>
          <w:rFonts w:ascii="Times New Roman" w:cs="Times New Roman" w:eastAsia="Times New Roman" w:hAnsi="Times New Roman"/>
          <w:sz w:val="24"/>
          <w:szCs w:val="24"/>
          <w:rtl w:val="0"/>
        </w:rPr>
        <w:t xml:space="preserve"> da Covid-19</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De acordo com o</w:t>
      </w:r>
      <w:r w:rsidDel="00000000" w:rsidR="00000000" w:rsidRPr="00000000">
        <w:rPr>
          <w:rFonts w:ascii="Times New Roman" w:cs="Times New Roman" w:eastAsia="Times New Roman" w:hAnsi="Times New Roman"/>
          <w:sz w:val="24"/>
          <w:szCs w:val="24"/>
          <w:rtl w:val="0"/>
        </w:rPr>
        <w:t xml:space="preserve"> Ministério da Saúde, 47.847 pessoas foram mortas no Brasil em 2021, indicando uma redução de 4,8% na taxa de homicídios em relação ao ano anterior. Na comparação com o ano de 2011 a taxa de homicídios caiu 18,3%. Entre os anos de 2011 e 2021, 616.095 pessoas foram assassinadas. </w:t>
      </w:r>
      <w:r w:rsidDel="00000000" w:rsidR="00000000" w:rsidRPr="00000000">
        <w:rPr>
          <w:rtl w:val="0"/>
        </w:rPr>
      </w:r>
    </w:p>
    <w:p w:rsidR="00000000" w:rsidDel="00000000" w:rsidP="00000000" w:rsidRDefault="00000000" w:rsidRPr="00000000" w14:paraId="00000056">
      <w:pPr>
        <w:numPr>
          <w:ilvl w:val="0"/>
          <w:numId w:val="1"/>
        </w:numPr>
        <w:spacing w:after="0" w:line="259.20000000000005"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IPEA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indica que o dado deve ser analisado com cuidado, considerando o crescimento expressivo (35,2%) dos registros de Mortes Violentas por Causa Indeterminada (MVCI) e que não foram contabilizados nes</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dados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Assim, se contabilizados os homicídios femininos e as outras mortes violentas no mesmo ano, mas sem indicação da causa, houve um aumento de 21,6% dos casos em relação a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estado do Ceará, onde ocorreu a tentativa de feminicídio contra Maria da Penha, apenas 8,2% de todos os assassinatos de mulheres foram classificados como feminicídios, o que é percentual muito inferior à média nacional de 34,5%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Segundo o relatório, esses dados indicam que “é provável que muitos casos de feminicídios tenham sido classificados erroneamente apenas como homicídios”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2018 no Ceará, 114 meninas de 10 a 19 anos foram assassinadas, atingindo-se a mais alta taxa de homicídios de meninas no Estado: 15,4/100 mil. Segundo Jurema Werneck, Secretária Executiva da Anistia Internacional Brasil,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isso revela uma epidemia violenta produzida pelo racismo e pelo sexismo, cujas vítimas têm, em média, 16 anos, moram com os pais, são majoritariamente negras e evangélicas. A metade delas parou de frequentar a escola, em muitos casos, para trabalhar e ajudar na renda </w:t>
      </w:r>
      <w:r w:rsidDel="00000000" w:rsidR="00000000" w:rsidRPr="00000000">
        <w:rPr>
          <w:rFonts w:ascii="Times New Roman" w:cs="Times New Roman" w:eastAsia="Times New Roman" w:hAnsi="Times New Roman"/>
          <w:sz w:val="24"/>
          <w:szCs w:val="24"/>
          <w:rtl w:val="0"/>
        </w:rPr>
        <w:t xml:space="preserve">familiar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sua maioria sustentada por mulheres. Jurema ainda acrescenta:</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267.7165354330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 mídia e na opinião pública, é comum que as meninas assassinadas sejam culpabilizadas por suas mortes, a partir de julgamentos morais e de acusações sociais que ora lhes imputam condutas supostamente ilegais, ora desaprovam comportamentos não subservientes às práticas machistas predominantes. Chama a atenção o fato de que mais da metade das adolescentes havia sido ameaçada antes de morrer, o que revela que as mortes poderiam ser evitadas, se houvesse políticas de prevenção adequadas, bem como acesso ao Sistema de Justiça e a programas de proteção eficazes. A pesquisa revela, ainda, que em 64% dos casos, a vítima conhecia o autor do crime, e, em 59% houve um mandante, mas raramente os casos foram investigados. Muitos dos crimes têm indícios de feminicídio, apesar de estarem inseridos em contextos relacionados à violência de grupos armados no Ceará</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tocante à violência doméstica e familiar contra mulheres, o Anuário Brasileiro de Segurança Pública destacou que, apesar, de uma pequena redução (7,4%) nos registros de violência doméstica </w:t>
      </w:r>
      <w:r w:rsidDel="00000000" w:rsidR="00000000" w:rsidRPr="00000000">
        <w:rPr>
          <w:rFonts w:ascii="Times New Roman" w:cs="Times New Roman" w:eastAsia="Times New Roman" w:hAnsi="Times New Roman"/>
          <w:sz w:val="24"/>
          <w:szCs w:val="24"/>
          <w:rtl w:val="0"/>
        </w:rPr>
        <w:t xml:space="preserve">de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(como de todas as demais notificações de crime), “os números ainda impressionam por sua magnitude: 230.160 mulheres denunciaram um caso de violência doméstica em 26 estados”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redução das taxas foi um fenômeno mundial, atribuído em grande parte às medidas de isolamento social impostas pela quarentena (da Covid 19) que impediam a denúncia e distanciaram as mulheres em situação de violência da rede de atenção e proteção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outro lado, como na tendência internacional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houve um crescimento (16,4%) dos chamados de violência doméstica às Polícias Militares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190 entre 2019 e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um aumento (4,4%) do número de Medidas Protetivas de Urgência (MPU) concedidas pelo Poder Judiciário, que passou de 281.941 em 2019 para 294.440 em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Além disso,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em cada 4 mulheres brasileiras (24,4%) acima de 16 anos afirm</w:t>
      </w:r>
      <w:r w:rsidDel="00000000" w:rsidR="00000000" w:rsidRPr="00000000">
        <w:rPr>
          <w:rFonts w:ascii="Times New Roman" w:cs="Times New Roman" w:eastAsia="Times New Roman" w:hAnsi="Times New Roman"/>
          <w:sz w:val="24"/>
          <w:szCs w:val="24"/>
          <w:rtl w:val="0"/>
        </w:rPr>
        <w:t xml:space="preserve">ou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ter sofrido algum tipo de violência ou agressão em 2020, </w:t>
      </w:r>
      <w:r w:rsidDel="00000000" w:rsidR="00000000" w:rsidRPr="00000000">
        <w:rPr>
          <w:rFonts w:ascii="Times New Roman" w:cs="Times New Roman" w:eastAsia="Times New Roman" w:hAnsi="Times New Roman"/>
          <w:sz w:val="24"/>
          <w:szCs w:val="24"/>
          <w:rtl w:val="0"/>
        </w:rPr>
        <w:t xml:space="preserve">no período pandêmico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sz w:val="24"/>
          <w:szCs w:val="24"/>
          <w:rtl w:val="0"/>
        </w:rPr>
        <w:t xml:space="preserve">Os espaços domésticos e familiares também são lugares de altos índices de violência sexual. Quanto ao estupro e estupro de vulnerável, segundo o FBSP (2020), cerca de 85,7% das vítimas são do sexo feminino, evidenciando que as “desigualdades latentes nas relações de gênero estão na raiz das relações violentas e hierárquicas”. Sobre o estupro de crianças e adolescentes entre 0 e 19 anos de idade, o maior número de registros é no espaço doméstico e com o envolvimento de pessoas próximas, sendo que 38,2% dos estupros ocorrem dos 0 aos 9 anos, 43,5% entre 10 e 14 anos e 18,4% entre 15 e 19 anos. Ou seja, 81,6% das crianças e adolescentes vítimas de estupros têm até 14 anos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sz w:val="24"/>
          <w:szCs w:val="24"/>
          <w:rtl w:val="0"/>
        </w:rPr>
        <w:t xml:space="preserve">Diante dessa realidade, é difícil aceitar que seja a família a única responsável por enfrentar e dar respostas eficazes às experiências dolorosas para meninas e mulheres, por isso a escola também faz parte da política de enfrentamento e prevenção da violência. Quanto à violência sexual, vale reforçar que a educação em sexualidade ainda é o meio preventivo mai</w:t>
      </w:r>
      <w:r w:rsidDel="00000000" w:rsidR="00000000" w:rsidRPr="00000000">
        <w:rPr>
          <w:rFonts w:ascii="Times New Roman" w:cs="Times New Roman" w:eastAsia="Times New Roman" w:hAnsi="Times New Roman"/>
          <w:sz w:val="24"/>
          <w:szCs w:val="24"/>
          <w:rtl w:val="0"/>
        </w:rPr>
        <w:t xml:space="preserve">s eficaz contra a violênci</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Recente pesquisa conduzida regionalmente pelo CLADEM, em parceria com UNPFA(2021), indica que a violência sexual a que são submetidas crianças e adolescentes tem impactos negativos por toda a vida das vítimas, e em muitos casos, resulta em suicídio e encontra outras formas de morte e danos que permitem chamar de violência feminicida sexual.</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after="0" w:line="259.20000000000005"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Acesso à Justiça </w:t>
      </w:r>
    </w:p>
    <w:p w:rsidR="00000000" w:rsidDel="00000000" w:rsidP="00000000" w:rsidRDefault="00000000" w:rsidRPr="00000000" w14:paraId="00000062">
      <w:pPr>
        <w:spacing w:after="0" w:line="259.20000000000005"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Inobstante o sucesso da L</w:t>
      </w:r>
      <w:r w:rsidDel="00000000" w:rsidR="00000000" w:rsidRPr="00000000">
        <w:rPr>
          <w:rFonts w:ascii="Times New Roman" w:cs="Times New Roman" w:eastAsia="Times New Roman" w:hAnsi="Times New Roman"/>
          <w:sz w:val="24"/>
          <w:szCs w:val="24"/>
          <w:rtl w:val="0"/>
        </w:rPr>
        <w:t xml:space="preserve">MP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pessoa de Maria da Penha segue sofrendo com as mais diversas violências, dentre as quais a disseminação de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fake news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desqualificam sua história e trajetória, como por exemplo: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2267.71653543307"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Lei Maria da Penha é uma lei baseada numa grande mentira, ela Maria da Penha, nunca apanhou do marido e que anda numa cadeira de rodas porque levou um tiro de um ladrão que entrou na casa dela e do marido, que a levou ao hospital, mas, a escrota da Maria da Penha ficou sabendo após que o marido havia tido uma amante, e aí o acusou de ser culpado pelo tiro, mas, ela foi desmascarada depois, mas o feminismo da grande mídia impediu a verdade de aparecer.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2"/>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2267.71653543307"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Estes ataques são difundidos sobretudo em redes sociais, mas reverberam de maneira muito concreta na vida de Maria da Penha, configurando-se como uma forma agravada de violência de gênero nos meios digitais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indicando 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continuum</w:t>
      </w:r>
      <w:r w:rsidDel="00000000" w:rsidR="00000000" w:rsidRPr="00000000">
        <w:rPr>
          <w:rFonts w:ascii="Times New Roman" w:cs="Times New Roman" w:eastAsia="Times New Roman" w:hAnsi="Times New Roman"/>
          <w:b w:val="0"/>
          <w:smallCaps w:val="0"/>
          <w:strike w:val="0"/>
          <w:color w:val="000000"/>
          <w:sz w:val="24"/>
          <w:szCs w:val="24"/>
          <w:u w:val="none"/>
          <w:shd w:fill="auto" w:val="clear"/>
          <w:vertAlign w:val="baseline"/>
          <w:rtl w:val="0"/>
        </w:rPr>
        <w:t xml:space="preserve"> de viol</w:t>
      </w:r>
      <w:r w:rsidDel="00000000" w:rsidR="00000000" w:rsidRPr="00000000">
        <w:rPr>
          <w:rFonts w:ascii="Times New Roman" w:cs="Times New Roman" w:eastAsia="Times New Roman" w:hAnsi="Times New Roman"/>
          <w:sz w:val="24"/>
          <w:szCs w:val="24"/>
          <w:rtl w:val="0"/>
        </w:rPr>
        <w:t xml:space="preserve">ências que permeiam a vida das mulheres e englobando diversas formas de violência, que se manifestam tanto online quanto offline, física e psicologicamente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Vale considerar que ainda existem </w:t>
      </w:r>
      <w:r w:rsidDel="00000000" w:rsidR="00000000" w:rsidRPr="00000000">
        <w:rPr>
          <w:rFonts w:ascii="Times New Roman" w:cs="Times New Roman" w:eastAsia="Times New Roman" w:hAnsi="Times New Roman"/>
          <w:sz w:val="24"/>
          <w:szCs w:val="24"/>
          <w:rtl w:val="0"/>
        </w:rPr>
        <w:t xml:space="preserve">pendências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 </w:t>
      </w:r>
      <w:r w:rsidDel="00000000" w:rsidR="00000000" w:rsidRPr="00000000">
        <w:rPr>
          <w:rFonts w:ascii="Times New Roman" w:cs="Times New Roman" w:eastAsia="Times New Roman" w:hAnsi="Times New Roman"/>
          <w:sz w:val="24"/>
          <w:szCs w:val="24"/>
          <w:rtl w:val="0"/>
        </w:rPr>
        <w:t xml:space="preserve">Brasil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 o caso Maria da Penha, o que permite dizer que a demora na integral reparação das vítimas de violência, hoje ativistas d</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direitos humanos das mulheres, coloca essas mulheres em situação de vulnerabilidade e revitimização.</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A CIDH</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concluiu pela ineficácia, negligência, e omissão do Estado brasileiro na apuração da investigação das condutas realizadas pelo Tribunal Estadual do Ceará (TJCE) no caso de Penha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Soma-se a isso cerca de duas décadas sem uma conclusão do processo judicial em sede do </w:t>
      </w:r>
      <w:r w:rsidDel="00000000" w:rsidR="00000000" w:rsidRPr="00000000">
        <w:rPr>
          <w:rFonts w:ascii="Times New Roman" w:cs="Times New Roman" w:eastAsia="Times New Roman" w:hAnsi="Times New Roman"/>
          <w:sz w:val="24"/>
          <w:szCs w:val="24"/>
          <w:rtl w:val="0"/>
        </w:rPr>
        <w:t xml:space="preserve">TJCE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consequentemente, de não resposta à demanda por justiça da vítima. O certo é que os atentados contra a vida d</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Maria da Penha já completaram 40 anos (em 2023) 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até o momento, o Estado sequer ofereceu informações suficientes sobre o porquê da demora na tramitação do processo, nem a identificação e responsabilização dos agentes ou reconhecimento de falha do Estado por essa demora (</w:t>
      </w:r>
      <w:r w:rsidDel="00000000" w:rsidR="00000000" w:rsidRPr="00000000">
        <w:rPr>
          <w:rFonts w:ascii="Times New Roman" w:cs="Times New Roman" w:eastAsia="Times New Roman" w:hAnsi="Times New Roman"/>
          <w:b w:val="1"/>
          <w:sz w:val="24"/>
          <w:szCs w:val="24"/>
          <w:rtl w:val="0"/>
        </w:rPr>
        <w:t xml:space="preserve">Recomendação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O Estado brasileira alega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cumprimento </w:t>
      </w:r>
      <w:r w:rsidDel="00000000" w:rsidR="00000000" w:rsidRPr="00000000">
        <w:rPr>
          <w:rFonts w:ascii="Times New Roman" w:cs="Times New Roman" w:eastAsia="Times New Roman" w:hAnsi="Times New Roman"/>
          <w:sz w:val="24"/>
          <w:szCs w:val="24"/>
          <w:rtl w:val="0"/>
        </w:rPr>
        <w:t xml:space="preserve">desta</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ecomendação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por ter feito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instauração </w:t>
      </w:r>
      <w:r w:rsidDel="00000000" w:rsidR="00000000" w:rsidRPr="00000000">
        <w:rPr>
          <w:rFonts w:ascii="Times New Roman" w:cs="Times New Roman" w:eastAsia="Times New Roman" w:hAnsi="Times New Roman"/>
          <w:sz w:val="24"/>
          <w:szCs w:val="24"/>
          <w:rtl w:val="0"/>
        </w:rPr>
        <w:t xml:space="preserve">em 2011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processo de sindicância contra as autoridades que tomaram parte do </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aso. Esse processo foi arquivado com base na suposta ausência de indícios de infrações funcionais e de negligência na condução do </w:t>
      </w:r>
      <w:r w:rsidDel="00000000" w:rsidR="00000000" w:rsidRPr="00000000">
        <w:rPr>
          <w:rFonts w:ascii="Times New Roman" w:cs="Times New Roman" w:eastAsia="Times New Roman" w:hAnsi="Times New Roman"/>
          <w:sz w:val="24"/>
          <w:szCs w:val="24"/>
          <w:rtl w:val="0"/>
        </w:rPr>
        <w:t xml:space="preserve">processo crime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 </w:t>
      </w:r>
      <w:r w:rsidDel="00000000" w:rsidR="00000000" w:rsidRPr="00000000">
        <w:rPr>
          <w:rFonts w:ascii="Times New Roman" w:cs="Times New Roman" w:eastAsia="Times New Roman" w:hAnsi="Times New Roman"/>
          <w:sz w:val="24"/>
          <w:szCs w:val="24"/>
          <w:rtl w:val="0"/>
        </w:rPr>
        <w:t xml:space="preserve">Estado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argumenta a impossibilidade de reabertura d</w:t>
      </w:r>
      <w:r w:rsidDel="00000000" w:rsidR="00000000" w:rsidRPr="00000000">
        <w:rPr>
          <w:rFonts w:ascii="Times New Roman" w:cs="Times New Roman" w:eastAsia="Times New Roman" w:hAnsi="Times New Roman"/>
          <w:sz w:val="24"/>
          <w:szCs w:val="24"/>
          <w:rtl w:val="0"/>
        </w:rPr>
        <w:t xml:space="preserve">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investigações ou </w:t>
      </w:r>
      <w:r w:rsidDel="00000000" w:rsidR="00000000" w:rsidRPr="00000000">
        <w:rPr>
          <w:rFonts w:ascii="Times New Roman" w:cs="Times New Roman" w:eastAsia="Times New Roman" w:hAnsi="Times New Roman"/>
          <w:sz w:val="24"/>
          <w:szCs w:val="24"/>
          <w:rtl w:val="0"/>
        </w:rPr>
        <w:t xml:space="preserve">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qualquer tipo de responsabilização direcionado às pessoas físicas e ao ente jurídico </w:t>
      </w:r>
      <w:r w:rsidDel="00000000" w:rsidR="00000000" w:rsidRPr="00000000">
        <w:rPr>
          <w:rFonts w:ascii="Times New Roman" w:cs="Times New Roman" w:eastAsia="Times New Roman" w:hAnsi="Times New Roman"/>
          <w:sz w:val="24"/>
          <w:szCs w:val="24"/>
          <w:rtl w:val="0"/>
        </w:rPr>
        <w:t xml:space="preserve">(TJCE) pelo fato das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pessoas físicas </w:t>
      </w:r>
      <w:r w:rsidDel="00000000" w:rsidR="00000000" w:rsidRPr="00000000">
        <w:rPr>
          <w:rFonts w:ascii="Times New Roman" w:cs="Times New Roman" w:eastAsia="Times New Roman" w:hAnsi="Times New Roman"/>
          <w:sz w:val="24"/>
          <w:szCs w:val="24"/>
          <w:rtl w:val="0"/>
        </w:rPr>
        <w:t xml:space="preserve">não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mais integrarem o corpo organizacional do Tribunal e </w:t>
      </w:r>
      <w:r w:rsidDel="00000000" w:rsidR="00000000" w:rsidRPr="00000000">
        <w:rPr>
          <w:rFonts w:ascii="Times New Roman" w:cs="Times New Roman" w:eastAsia="Times New Roman" w:hAnsi="Times New Roman"/>
          <w:sz w:val="24"/>
          <w:szCs w:val="24"/>
          <w:rtl w:val="0"/>
        </w:rPr>
        <w:t xml:space="preserve">pela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suposta prescrição do caso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Todos os três argumentos, no entanto, seguem os mesmos padrões utilizados durante todo o litígio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 de negação das violações de direitos humanos pelo Estado no curso do processo interno que investigou a dupla tentativa de homicídio de Maria da Penha -, </w:t>
      </w:r>
      <w:r w:rsidDel="00000000" w:rsidR="00000000" w:rsidRPr="00000000">
        <w:rPr>
          <w:rFonts w:ascii="Times New Roman" w:cs="Times New Roman" w:eastAsia="Times New Roman" w:hAnsi="Times New Roman"/>
          <w:sz w:val="24"/>
          <w:szCs w:val="24"/>
          <w:rtl w:val="0"/>
        </w:rPr>
        <w:t xml:space="preserve">sendo </w:t>
      </w:r>
      <w:r w:rsidDel="00000000" w:rsidR="00000000" w:rsidRPr="00000000">
        <w:rPr>
          <w:rFonts w:ascii="Times New Roman" w:cs="Times New Roman" w:eastAsia="Times New Roman" w:hAnsi="Times New Roman"/>
          <w:b w:val="1"/>
          <w:sz w:val="24"/>
          <w:szCs w:val="24"/>
          <w:rtl w:val="0"/>
        </w:rPr>
        <w:t xml:space="preserve">urgente que o Estado brasileiro responda à vítima sobre a pergunta de quem deu causa à demora injustificada na condução do processo criminal e/ou adote medidas simbólicas de reparação em eventual impossibilidade dessa resposta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Embora a CIDH tenha declarado a Recomendação 4.a como totalmente cumprida, a</w:t>
      </w:r>
      <w:r w:rsidDel="00000000" w:rsidR="00000000" w:rsidRPr="00000000">
        <w:rPr>
          <w:rFonts w:ascii="Times New Roman" w:cs="Times New Roman" w:eastAsia="Times New Roman" w:hAnsi="Times New Roman"/>
          <w:b w:val="1"/>
          <w:i w:val="0"/>
          <w:smallCaps w:val="0"/>
          <w:strike w:val="0"/>
          <w:color w:val="000000"/>
          <w:sz w:val="24"/>
          <w:szCs w:val="24"/>
          <w:shd w:fill="auto" w:val="clear"/>
          <w:vertAlign w:val="baseline"/>
          <w:rtl w:val="0"/>
        </w:rPr>
        <w:t xml:space="preserve">inda se faz necessári</w:t>
      </w: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b w:val="1"/>
          <w:i w:val="0"/>
          <w:smallCaps w:val="0"/>
          <w:strike w:val="0"/>
          <w:color w:val="000000"/>
          <w:sz w:val="24"/>
          <w:szCs w:val="24"/>
          <w:shd w:fill="auto" w:val="clear"/>
          <w:vertAlign w:val="baseline"/>
          <w:rtl w:val="0"/>
        </w:rPr>
        <w:t xml:space="preserve"> capacitação de funcionários judiciais e policiais especializados </w:t>
      </w:r>
      <w:r w:rsidDel="00000000" w:rsidR="00000000" w:rsidRPr="00000000">
        <w:rPr>
          <w:rFonts w:ascii="Times New Roman" w:cs="Times New Roman" w:eastAsia="Times New Roman" w:hAnsi="Times New Roman"/>
          <w:i w:val="0"/>
          <w:smallCaps w:val="0"/>
          <w:strike w:val="0"/>
          <w:color w:val="000000"/>
          <w:sz w:val="24"/>
          <w:szCs w:val="24"/>
          <w:shd w:fill="auto" w:val="clear"/>
          <w:vertAlign w:val="baseline"/>
          <w:rtl w:val="0"/>
        </w:rPr>
        <w:t xml:space="preserve">para compreend</w:t>
      </w:r>
      <w:r w:rsidDel="00000000" w:rsidR="00000000" w:rsidRPr="00000000">
        <w:rPr>
          <w:rFonts w:ascii="Times New Roman" w:cs="Times New Roman" w:eastAsia="Times New Roman" w:hAnsi="Times New Roman"/>
          <w:sz w:val="24"/>
          <w:szCs w:val="24"/>
          <w:rtl w:val="0"/>
        </w:rPr>
        <w:t xml:space="preserve">erem</w:t>
      </w:r>
      <w:r w:rsidDel="00000000" w:rsidR="00000000" w:rsidRPr="00000000">
        <w:rPr>
          <w:rFonts w:ascii="Times New Roman" w:cs="Times New Roman" w:eastAsia="Times New Roman" w:hAnsi="Times New Roman"/>
          <w:i w:val="0"/>
          <w:smallCaps w:val="0"/>
          <w:strike w:val="0"/>
          <w:color w:val="000000"/>
          <w:sz w:val="24"/>
          <w:szCs w:val="24"/>
          <w:shd w:fill="auto" w:val="clear"/>
          <w:vertAlign w:val="baseline"/>
          <w:rtl w:val="0"/>
        </w:rPr>
        <w:t xml:space="preserve"> a importância de não tolerar a violência de gênero em todas as suas dimensões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Isto não pode se restringir a atividades genéricas e pontuais sobre violência contra mulheres, menos ainda que se centre em perspectiva familista. Importante reconhecer a aprovação do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Protocolo para julgamento com perspectiva de gênero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(CNJ,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que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adota a premissa de que a incorporação da perspectiva de gênero nos trâmites processuais contribui para evitar a vitimização institucional, além de garantir acesso das mulheres à justiça e à verdade. O documento segue a mesma linha das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Diretrizes Nacionais para Investigar, Processar e Julgar com perspectiva de gênero as mortes violentas de mulheres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(femicídios/feminicídios) (SPM, ONU Mulheres, 2016), primeiro esforço do governo federal em oferecer aos(as) profissionais da segurança pública e órgãos do sistema de justiça um conjunto de orientações (diretrizes) para a incorporação da perspectiva de gênero desde a fase policial até o julgamento pelo tribunal de júri</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en</w:t>
      </w:r>
      <w:r w:rsidDel="00000000" w:rsidR="00000000" w:rsidRPr="00000000">
        <w:rPr>
          <w:rFonts w:ascii="Times New Roman" w:cs="Times New Roman" w:eastAsia="Times New Roman" w:hAnsi="Times New Roman"/>
          <w:sz w:val="24"/>
          <w:szCs w:val="24"/>
          <w:rtl w:val="0"/>
        </w:rPr>
        <w:t xml:space="preserve">tanto, questiona-se a efetividade desta normativa considerando que a formação e o treinamento de profissionais para aplicar os referidos protocolos têm-se mostrado esporádicos.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Reforma do marco legal </w:t>
      </w:r>
      <w:r w:rsidDel="00000000" w:rsidR="00000000" w:rsidRPr="00000000">
        <w:rPr>
          <w:rFonts w:ascii="Times New Roman" w:cs="Times New Roman" w:eastAsia="Times New Roman" w:hAnsi="Times New Roman"/>
          <w:b w:val="1"/>
          <w:rtl w:val="0"/>
        </w:rPr>
        <w:t xml:space="preserve">para evitar a tolerância estatal e o tratamento discriminatório das mulheres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sz w:val="24"/>
          <w:szCs w:val="24"/>
          <w:highlight w:val="white"/>
          <w:rtl w:val="0"/>
        </w:rPr>
        <w:t xml:space="preserve">Após a Constituição Federal de 1988, o Brasil registra avanços legislativos importantes no enfrentamento à violência contra mulheres e meninas, destacando-se, sobretudo, a LMP por reunir medidas de prevenção, assistência, coibição e reparação guiadas pela perspectiva de direitos humanos e gênero. No período de 35 anos, segundo MATOS (2024)</w:t>
      </w:r>
      <w:r w:rsidDel="00000000" w:rsidR="00000000" w:rsidRPr="00000000">
        <w:rPr>
          <w:rFonts w:ascii="Times New Roman" w:cs="Times New Roman" w:eastAsia="Times New Roman" w:hAnsi="Times New Roman"/>
          <w:sz w:val="24"/>
          <w:szCs w:val="24"/>
          <w:highlight w:val="white"/>
          <w:vertAlign w:val="superscript"/>
        </w:rPr>
        <w:footnoteReference w:customMarkFollows="0" w:id="27"/>
      </w:r>
      <w:r w:rsidDel="00000000" w:rsidR="00000000" w:rsidRPr="00000000">
        <w:rPr>
          <w:rFonts w:ascii="Times New Roman" w:cs="Times New Roman" w:eastAsia="Times New Roman" w:hAnsi="Times New Roman"/>
          <w:sz w:val="24"/>
          <w:szCs w:val="24"/>
          <w:highlight w:val="white"/>
          <w:rtl w:val="0"/>
        </w:rPr>
        <w:t xml:space="preserve">, foram aprovadas, até outubro de 2023, 102 leis sobre o tema, sendo 33 delas editadas entre 2019 e 2022, e 14 em 2023. Na contramão das reivindicações dos movimentos de mulheres por mais recursos, serviços e implementação da LMP, o foco do Estado brasileiro a partir de 2016 esteve, portanto, na aprovação desse de novas leis, predominando aquelas que criam novos tipos penais ou aumento de pena e que alteram direta (14 leis) ou indiretamente (15 leis) a Lei Maria da Penha sob o pretexto de aperfeiçoá-la. </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tocante</w:t>
      </w:r>
      <w:r w:rsidDel="00000000" w:rsidR="00000000" w:rsidRPr="00000000">
        <w:rPr>
          <w:rFonts w:ascii="Times New Roman" w:cs="Times New Roman" w:eastAsia="Times New Roman" w:hAnsi="Times New Roman"/>
          <w:sz w:val="24"/>
          <w:szCs w:val="24"/>
          <w:rtl w:val="0"/>
        </w:rPr>
        <w:t xml:space="preserve"> às medidas legais para combater a discriminação de gênero, destacamos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w:t>
      </w:r>
      <w:r w:rsidDel="00000000" w:rsidR="00000000" w:rsidRPr="00000000">
        <w:rPr>
          <w:rFonts w:ascii="Times New Roman" w:cs="Times New Roman" w:eastAsia="Times New Roman" w:hAnsi="Times New Roman"/>
          <w:sz w:val="24"/>
          <w:szCs w:val="24"/>
          <w:rtl w:val="0"/>
        </w:rPr>
        <w:t xml:space="preserve">provação 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Lei nº 14.321/2022 (Lei da Violência Institucional)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 Lei 14.245/2021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primeira norma alterou a lei de crimes de abuso de autoridade (Lei 13.869/2019) para incluir o Art.15-A e tipificar a violência institucional como “Submeter a vítima de infração penal ou a testemunha de crimes violentos a procedimentos desnecessários, repetitivos ou invasivos, que a leve a reviver, sem estrita necessidade: I - a situação de violência; ou II - outras situações potencialmente geradoras de sofrimento ou estigmatização.” </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Já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Lei 14.245, denominada Lei Mariana Ferrer em homenagem à jovem Mariana Ferrer - vítima de estupro e cujo tratamento discriminatório e pejorativo por parte dos advogados do réu durante o julgamento foi filmado e publicizado gerando indignação -, altera o Código Penal, o Código de Processo Penal e a Lei 9.099/1995 para coibir a prática de atos atentatórios à dignidade da vítima e de testemunhas e para estabelecer causa de aumento de pena no crime de coação no curso do processo. A lei determina que em audiência de conciliação, instrução e julgamento e em instrução em plenário no Tribunal do </w:t>
      </w:r>
      <w:r w:rsidDel="00000000" w:rsidR="00000000" w:rsidRPr="00000000">
        <w:rPr>
          <w:rFonts w:ascii="Times New Roman" w:cs="Times New Roman" w:eastAsia="Times New Roman" w:hAnsi="Times New Roman"/>
          <w:sz w:val="24"/>
          <w:szCs w:val="24"/>
          <w:rtl w:val="0"/>
        </w:rPr>
        <w:t xml:space="preserve">Júri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em especial, nas que apurem crimes contra a dignidade sexual, todas as partes e demais sujeitos processuais presentes no ato deverão zelar pela integridade física e psicológica da vítima, sob pena de responsabilização civil, penal e administrativa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1">
      <w:pPr>
        <w:numPr>
          <w:ilvl w:val="0"/>
          <w:numId w:val="1"/>
        </w:numPr>
        <w:spacing w:after="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Ainda no Poder Judiciário, a tese da “legítima defesa da honra” foi considerada pelo STF inconstitucional por violar a dignidade humana, a proteção da vida e a igualdade de gênero. A invocação da tese gera nulidade processual.</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Medidas para simplificar os procedimentos judiciais e promover acesso à justiça: Juizados de Violência Doméstica e Familiar </w:t>
      </w:r>
      <w:r w:rsidDel="00000000" w:rsidR="00000000" w:rsidRPr="00000000">
        <w:rPr>
          <w:rFonts w:ascii="Times New Roman" w:cs="Times New Roman" w:eastAsia="Times New Roman" w:hAnsi="Times New Roman"/>
          <w:b w:val="1"/>
          <w:sz w:val="24"/>
          <w:szCs w:val="24"/>
          <w:rtl w:val="0"/>
        </w:rPr>
        <w:t xml:space="preserve">contra as Mulheres (JVDFcM)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 </w:t>
      </w: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ompetência </w:t>
      </w:r>
      <w:r w:rsidDel="00000000" w:rsidR="00000000" w:rsidRPr="00000000">
        <w:rPr>
          <w:rFonts w:ascii="Times New Roman" w:cs="Times New Roman" w:eastAsia="Times New Roman" w:hAnsi="Times New Roman"/>
          <w:b w:val="1"/>
          <w:sz w:val="24"/>
          <w:szCs w:val="24"/>
          <w:rtl w:val="0"/>
        </w:rPr>
        <w:t xml:space="preserve">híbrida</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Maria da Penha sofreu um grave atentado contra sua vida, e precisou se submeter a um longo e doloroso processo de intervenções cirúrgicas e de reabilitação, ao mesmo tempo em que enfrentou dois processos judiciais na vara de família e na vara do júri. </w:t>
      </w:r>
      <w:r w:rsidDel="00000000" w:rsidR="00000000" w:rsidRPr="00000000">
        <w:rPr>
          <w:rFonts w:ascii="Times New Roman" w:cs="Times New Roman" w:eastAsia="Times New Roman" w:hAnsi="Times New Roman"/>
          <w:b w:val="1"/>
          <w:i w:val="0"/>
          <w:smallCaps w:val="0"/>
          <w:strike w:val="0"/>
          <w:color w:val="000000"/>
          <w:sz w:val="24"/>
          <w:szCs w:val="24"/>
          <w:shd w:fill="auto" w:val="clear"/>
          <w:vertAlign w:val="baseline"/>
          <w:rtl w:val="0"/>
        </w:rPr>
        <w:t xml:space="preserve">A criação e implementação dos </w:t>
      </w:r>
      <w:r w:rsidDel="00000000" w:rsidR="00000000" w:rsidRPr="00000000">
        <w:rPr>
          <w:rFonts w:ascii="Times New Roman" w:cs="Times New Roman" w:eastAsia="Times New Roman" w:hAnsi="Times New Roman"/>
          <w:b w:val="1"/>
          <w:sz w:val="24"/>
          <w:szCs w:val="24"/>
          <w:rtl w:val="0"/>
        </w:rPr>
        <w:t xml:space="preserve">JVDFcM</w:t>
      </w:r>
      <w:r w:rsidDel="00000000" w:rsidR="00000000" w:rsidRPr="00000000">
        <w:rPr>
          <w:rFonts w:ascii="Times New Roman" w:cs="Times New Roman" w:eastAsia="Times New Roman" w:hAnsi="Times New Roman"/>
          <w:b w:val="1"/>
          <w:i w:val="0"/>
          <w:smallCaps w:val="0"/>
          <w:strike w:val="0"/>
          <w:color w:val="000000"/>
          <w:sz w:val="24"/>
          <w:szCs w:val="24"/>
          <w:shd w:fill="auto" w:val="clear"/>
          <w:vertAlign w:val="baseline"/>
          <w:rtl w:val="0"/>
        </w:rPr>
        <w:t xml:space="preserve"> com competência híbrida representam, nesse sentido, uma importante medida para garantir o </w:t>
      </w:r>
      <w:r w:rsidDel="00000000" w:rsidR="00000000" w:rsidRPr="00000000">
        <w:rPr>
          <w:rFonts w:ascii="Times New Roman" w:cs="Times New Roman" w:eastAsia="Times New Roman" w:hAnsi="Times New Roman"/>
          <w:b w:val="1"/>
          <w:sz w:val="24"/>
          <w:szCs w:val="24"/>
          <w:rtl w:val="0"/>
        </w:rPr>
        <w:t xml:space="preserve">acesso à justiça às</w:t>
      </w:r>
      <w:r w:rsidDel="00000000" w:rsidR="00000000" w:rsidRPr="00000000">
        <w:rPr>
          <w:rFonts w:ascii="Times New Roman" w:cs="Times New Roman" w:eastAsia="Times New Roman" w:hAnsi="Times New Roman"/>
          <w:b w:val="1"/>
          <w:i w:val="0"/>
          <w:smallCaps w:val="0"/>
          <w:strike w:val="0"/>
          <w:color w:val="000000"/>
          <w:sz w:val="24"/>
          <w:szCs w:val="24"/>
          <w:shd w:fill="auto" w:val="clear"/>
          <w:vertAlign w:val="baseline"/>
          <w:rtl w:val="0"/>
        </w:rPr>
        <w:t xml:space="preserve"> mulheres que enfrentam situações de violência doméstica e familiar,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uma vez que podem contribuir para reduzir a chamada “rota crítica”</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(SAGOT, 2000)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mulheres no sistema de justiça, abreviando o tempo necessário às movimentações processuais e o desgaste emocional resultante do esforço em rememorar a violência sofrida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fazer-se escutar pelos diferentes atores do sistema e ter suas demandas acolhidas.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2"/>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L</w:t>
      </w:r>
      <w:r w:rsidDel="00000000" w:rsidR="00000000" w:rsidRPr="00000000">
        <w:rPr>
          <w:rFonts w:ascii="Times New Roman" w:cs="Times New Roman" w:eastAsia="Times New Roman" w:hAnsi="Times New Roman"/>
          <w:sz w:val="24"/>
          <w:szCs w:val="24"/>
          <w:rtl w:val="0"/>
        </w:rPr>
        <w:t xml:space="preserve">MP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estabeleceu em seu Art. 14 os </w:t>
      </w:r>
      <w:r w:rsidDel="00000000" w:rsidR="00000000" w:rsidRPr="00000000">
        <w:rPr>
          <w:rFonts w:ascii="Times New Roman" w:cs="Times New Roman" w:eastAsia="Times New Roman" w:hAnsi="Times New Roman"/>
          <w:sz w:val="24"/>
          <w:szCs w:val="24"/>
          <w:rtl w:val="0"/>
        </w:rPr>
        <w:t xml:space="preserve">JVDFcM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 competência híbrida para julgar casos civis e penais, permitindo que as vítimas tratem todas as questões jurídicas em um só juízo. A </w:t>
      </w:r>
      <w:r w:rsidDel="00000000" w:rsidR="00000000" w:rsidRPr="00000000">
        <w:rPr>
          <w:rFonts w:ascii="Times New Roman" w:cs="Times New Roman" w:eastAsia="Times New Roman" w:hAnsi="Times New Roman"/>
          <w:sz w:val="24"/>
          <w:szCs w:val="24"/>
          <w:rtl w:val="0"/>
        </w:rPr>
        <w:t xml:space="preserve">Lei 13.894/2019 modificou esta previsão e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questão tem suscitado disputas no sistema de justiça, resultando na  não implementação do quanto disposto na LMP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o efetivo acesso à justiça para as mulheres, violando diretrizes </w:t>
      </w:r>
      <w:r w:rsidDel="00000000" w:rsidR="00000000" w:rsidRPr="00000000">
        <w:rPr>
          <w:rFonts w:ascii="Times New Roman" w:cs="Times New Roman" w:eastAsia="Times New Roman" w:hAnsi="Times New Roman"/>
          <w:sz w:val="24"/>
          <w:szCs w:val="24"/>
          <w:rtl w:val="0"/>
        </w:rPr>
        <w:t xml:space="preserve">preceituadas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na Convenção de Belém do Pará e na Recomendação 33 d</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CEDAW.</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Segundo Nota Técnica do Consórcio </w:t>
      </w:r>
      <w:r w:rsidDel="00000000" w:rsidR="00000000" w:rsidRPr="00000000">
        <w:rPr>
          <w:rFonts w:ascii="Times New Roman" w:cs="Times New Roman" w:eastAsia="Times New Roman" w:hAnsi="Times New Roman"/>
          <w:sz w:val="24"/>
          <w:szCs w:val="24"/>
          <w:rtl w:val="0"/>
        </w:rPr>
        <w:t xml:space="preserve">LMP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apesar da Lei 13.894/2019</w:t>
      </w:r>
      <w:r w:rsidDel="00000000" w:rsidR="00000000" w:rsidRPr="00000000">
        <w:rPr>
          <w:rFonts w:ascii="Times New Roman" w:cs="Times New Roman" w:eastAsia="Times New Roman" w:hAnsi="Times New Roman"/>
          <w:sz w:val="24"/>
          <w:szCs w:val="24"/>
          <w:rtl w:val="0"/>
        </w:rPr>
        <w:t xml:space="preserve"> 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razer um rol temático sobre demandas cíveis a serem incorporadas na competência das varas que atuam com violência doméstica (ações de separação judicial, divórcio, anulação de casamento ou dissolução de união estável), ela não elenca outras situações que são frequentes também em casos de violência doméstica. Nesse contexto </w:t>
      </w:r>
      <w:r w:rsidDel="00000000" w:rsidR="00000000" w:rsidRPr="00000000">
        <w:rPr>
          <w:rFonts w:ascii="Times New Roman" w:cs="Times New Roman" w:eastAsia="Times New Roman" w:hAnsi="Times New Roman"/>
          <w:sz w:val="24"/>
          <w:szCs w:val="24"/>
          <w:rtl w:val="0"/>
        </w:rPr>
        <w:t xml:space="preserve">é imprescindível e urgente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retomar o núcleo central da LMP, qual seja, o reconhecimento de que a violência doméstica e familiar contra as mulheres é uma das formas de violência de gênero e violação de direitos humanos e o compromisso em proteger o direito das mulheres a uma vida sem violência</w:t>
      </w:r>
      <w:r w:rsidDel="00000000" w:rsidR="00000000" w:rsidRPr="00000000">
        <w:rPr>
          <w:rFonts w:ascii="Times New Roman" w:cs="Times New Roman" w:eastAsia="Times New Roman" w:hAnsi="Times New Roman"/>
          <w:sz w:val="24"/>
          <w:szCs w:val="24"/>
          <w:rtl w:val="0"/>
        </w:rPr>
        <w:t xml:space="preserve"> para que possamos avançar na proteção de meninas e mulheres.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Nesse sentido, tratando-se de uma legislação especial para o enfrentamento a violência de gênero contra as mulheres e meninas, o mesmo documento afirma que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previsão da competência cível e criminal prevista no Art. 14 da L</w:t>
      </w:r>
      <w:r w:rsidDel="00000000" w:rsidR="00000000" w:rsidRPr="00000000">
        <w:rPr>
          <w:rFonts w:ascii="Times New Roman" w:cs="Times New Roman" w:eastAsia="Times New Roman" w:hAnsi="Times New Roman"/>
          <w:b w:val="1"/>
          <w:sz w:val="24"/>
          <w:szCs w:val="24"/>
          <w:rtl w:val="0"/>
        </w:rPr>
        <w:t xml:space="preserve">MP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 ser compreendida enquanto condição relacionada com a qualidade da resposta judicial integral e as garantias de acesso à justiça para as mulheres estabelecidas na Recomendação 33 d</w:t>
      </w:r>
      <w:r w:rsidDel="00000000" w:rsidR="00000000" w:rsidRPr="00000000">
        <w:rPr>
          <w:rFonts w:ascii="Times New Roman" w:cs="Times New Roman" w:eastAsia="Times New Roman" w:hAnsi="Times New Roman"/>
          <w:b w:val="1"/>
          <w:sz w:val="24"/>
          <w:szCs w:val="24"/>
          <w:rtl w:val="0"/>
        </w:rPr>
        <w:t xml:space="preserve">o CEDAW.</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Ademais, 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esquisa realizada pelo Conselho Nacional de Justiça (CNJ) em parceria com o IPEA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apontou as vantagens d</w:t>
      </w:r>
      <w:r w:rsidDel="00000000" w:rsidR="00000000" w:rsidRPr="00000000">
        <w:rPr>
          <w:rFonts w:ascii="Times New Roman" w:cs="Times New Roman" w:eastAsia="Times New Roman" w:hAnsi="Times New Roman"/>
          <w:sz w:val="24"/>
          <w:szCs w:val="24"/>
          <w:rtl w:val="0"/>
        </w:rPr>
        <w:t xml:space="preserve">a adoção do hibridismo,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concluindo que “a aplicação de competência híbrida, ou mesmo a decretação provisória de medidas cíveis, poderia salvaguardar tensões entre a proteção das mulheres e os direitos dos filhos(...)”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b w:val="1"/>
        </w:rPr>
      </w:pPr>
      <w:r w:rsidDel="00000000" w:rsidR="00000000" w:rsidRPr="00000000">
        <w:rPr>
          <w:rtl w:val="0"/>
        </w:rPr>
      </w:r>
    </w:p>
    <w:p w:rsidR="00000000" w:rsidDel="00000000" w:rsidP="00000000" w:rsidRDefault="00000000" w:rsidRPr="00000000" w14:paraId="0000007A">
      <w:pPr>
        <w:spacing w:after="0" w:before="0" w:line="259.20000000000005"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Tolerância estatal e fragilidade na política para as mulheres (2016-2022)</w:t>
      </w:r>
    </w:p>
    <w:p w:rsidR="00000000" w:rsidDel="00000000" w:rsidP="00000000" w:rsidRDefault="00000000" w:rsidRPr="00000000" w14:paraId="0000007B">
      <w:pPr>
        <w:spacing w:after="0" w:before="0" w:line="259.20000000000005" w:lineRule="auto"/>
        <w:jc w:val="both"/>
        <w:rPr>
          <w:b w:val="1"/>
        </w:rPr>
      </w:pPr>
      <w:r w:rsidDel="00000000" w:rsidR="00000000" w:rsidRPr="00000000">
        <w:rPr>
          <w:rtl w:val="0"/>
        </w:rPr>
      </w:r>
    </w:p>
    <w:p w:rsidR="00000000" w:rsidDel="00000000" w:rsidP="00000000" w:rsidRDefault="00000000" w:rsidRPr="00000000" w14:paraId="0000007C">
      <w:pPr>
        <w:numPr>
          <w:ilvl w:val="0"/>
          <w:numId w:val="1"/>
        </w:numPr>
        <w:spacing w:after="0" w:before="0" w:line="259.20000000000005"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no período de 2016 a 2018 houve redução de quase 50% do número de serviços e corte no orçamento federal (Relatório ONU Mulheres, 2018), desestruturação da Secretaria de Políticas para Mulheres (SPM) e sua incorporação ao então Ministério da Mulher, da Família e dos Direitos Humanos (MMFDH), com reflexos negativos  nos estados e municípios, a situação se agravou ainda mais no período 2019 a 2022</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D">
      <w:pPr>
        <w:numPr>
          <w:ilvl w:val="0"/>
          <w:numId w:val="1"/>
        </w:numPr>
        <w:spacing w:after="0" w:before="0" w:line="259.20000000000005"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Segundo o Instituto Estudos Sociais Econômicos (INESC)</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 as políticas voltadas para as mulheres, nos anos 2020 e 2021, tiveram expressivas mudanças. O desenho construído desde 2004, com um ciclo de quatro conferências nacionais e a elaboração de dois planos nacionais, não se refletiu no Plano Plurianual (PPA) de 2020-2023, que adotou um viés mais conservador, com menor ênfase nas mulheres – na sua diversidade, nas especificidades das suas demandas – e com maior foco na família.</w:t>
      </w:r>
    </w:p>
    <w:p w:rsidR="00000000" w:rsidDel="00000000" w:rsidP="00000000" w:rsidRDefault="00000000" w:rsidRPr="00000000" w14:paraId="0000007E">
      <w:pPr>
        <w:numPr>
          <w:ilvl w:val="0"/>
          <w:numId w:val="1"/>
        </w:numPr>
        <w:spacing w:after="0" w:before="0" w:line="259.20000000000005"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2020, houve baixa alocação e baixa execução. Nem a suspensão das regras fiscais, nem a flexibilização das regras para contratos e licitações, medidas adotadas por causa da pandemia da Covid-19, foram capazes de melhorar o desempenho do MMFDH na área, que chegou ao final do ano deixando de gastar 70% do recurso autorizado para 2020. Foram autorizados R$120,4 milhões e efetivamente gastos R$35,4 milhões (29,8%). O orçamento para as mulheres negras foi reduzido em 80%, quando comparado com o que se tinha em 2014. </w:t>
      </w:r>
    </w:p>
    <w:p w:rsidR="00000000" w:rsidDel="00000000" w:rsidP="00000000" w:rsidRDefault="00000000" w:rsidRPr="00000000" w14:paraId="0000007F">
      <w:pPr>
        <w:numPr>
          <w:ilvl w:val="0"/>
          <w:numId w:val="1"/>
        </w:numPr>
        <w:spacing w:after="0" w:before="0" w:line="259.20000000000005"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Ainda segundo o </w:t>
      </w:r>
      <w:r w:rsidDel="00000000" w:rsidR="00000000" w:rsidRPr="00000000">
        <w:rPr>
          <w:rFonts w:ascii="Times New Roman" w:cs="Times New Roman" w:eastAsia="Times New Roman" w:hAnsi="Times New Roman"/>
          <w:sz w:val="24"/>
          <w:szCs w:val="24"/>
          <w:rtl w:val="0"/>
        </w:rPr>
        <w:t xml:space="preserve">INESC</w:t>
      </w:r>
      <w:r w:rsidDel="00000000" w:rsidR="00000000" w:rsidRPr="00000000">
        <w:rPr>
          <w:rFonts w:ascii="Times New Roman" w:cs="Times New Roman" w:eastAsia="Times New Roman" w:hAnsi="Times New Roman"/>
          <w:sz w:val="24"/>
          <w:szCs w:val="24"/>
          <w:rtl w:val="0"/>
        </w:rPr>
        <w:t xml:space="preserve">, este quadro se repetiu nos anos seguintes</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ocorrendo alocação e execução um pouco melhor apenas em 2023 com o fim do Governo Bolsonaro e o início do Governo do Lula,  ao criar o Ministério das Mulheres, revogar decretos discriminatórios, alocar mais recursos para as políticas para as mulheres em 2023 e resgatar a perspectiva de direitos humanos, de gênero e étnico-racial no desenho do novo PPA 2024-2027</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Ressalta-se a retomada do projeto Casa da Mulher Brasileira, mas atualmente presente apenas em oito unidades no país e concentradas nas capitais ou em grandes centros urbanos</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sz w:val="24"/>
          <w:szCs w:val="24"/>
          <w:rtl w:val="0"/>
        </w:rPr>
        <w:t xml:space="preserve">Outra recomendação da CIDH sem cumprimento diz respeito à criação e  funcionamento </w:t>
      </w:r>
      <w:r w:rsidDel="00000000" w:rsidR="00000000" w:rsidRPr="00000000">
        <w:rPr>
          <w:rFonts w:ascii="Times New Roman" w:cs="Times New Roman" w:eastAsia="Times New Roman" w:hAnsi="Times New Roman"/>
          <w:rtl w:val="0"/>
        </w:rPr>
        <w:t xml:space="preserve">de </w:t>
      </w:r>
      <w:r w:rsidDel="00000000" w:rsidR="00000000" w:rsidRPr="00000000">
        <w:rPr>
          <w:rFonts w:ascii="Times New Roman" w:cs="Times New Roman" w:eastAsia="Times New Roman" w:hAnsi="Times New Roman"/>
          <w:sz w:val="24"/>
          <w:szCs w:val="24"/>
          <w:rtl w:val="0"/>
        </w:rPr>
        <w:t xml:space="preserve">delegacias especializadas no atendimento à mulher (Deam)</w:t>
      </w:r>
      <w:r w:rsidDel="00000000" w:rsidR="00000000" w:rsidRPr="00000000">
        <w:rPr>
          <w:rFonts w:ascii="Times New Roman" w:cs="Times New Roman" w:eastAsia="Times New Roman" w:hAnsi="Times New Roman"/>
          <w:rtl w:val="0"/>
        </w:rPr>
        <w:t xml:space="preserve">, e  apoio às ações do Ministério Público (Recomendação 4d).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Segundo a Pesquisa de Informações Básicas Municipais e Estaduais (Munic), do IBGE (2019), h</w:t>
      </w:r>
      <w:r w:rsidDel="00000000" w:rsidR="00000000" w:rsidRPr="00000000">
        <w:rPr>
          <w:rFonts w:ascii="Times New Roman" w:cs="Times New Roman" w:eastAsia="Times New Roman" w:hAnsi="Times New Roman"/>
          <w:sz w:val="24"/>
          <w:szCs w:val="24"/>
          <w:rtl w:val="0"/>
        </w:rPr>
        <w:t xml:space="preserve">á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Deam em apenas 8,3% das cidades brasileiras</w:t>
      </w:r>
      <w:r w:rsidDel="00000000" w:rsidR="00000000" w:rsidRPr="00000000">
        <w:rPr>
          <w:rFonts w:ascii="Times New Roman" w:cs="Times New Roman" w:eastAsia="Times New Roman" w:hAnsi="Times New Roman"/>
          <w:b w:val="0"/>
          <w:i w:val="0"/>
          <w:smallCaps w:val="0"/>
          <w:strike w:val="0"/>
          <w:color w:val="000000"/>
          <w:sz w:val="24"/>
          <w:szCs w:val="24"/>
          <w:u w:val="none"/>
          <w:vertAlign w:val="superscript"/>
        </w:rPr>
        <w:footnoteReference w:customMarkFollows="0" w:id="40"/>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ausência de uma política de ampliação da rede de </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elegacias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specializadas </w:t>
      </w:r>
      <w:r w:rsidDel="00000000" w:rsidR="00000000" w:rsidRPr="00000000">
        <w:rPr>
          <w:rFonts w:ascii="Times New Roman" w:cs="Times New Roman" w:eastAsia="Times New Roman" w:hAnsi="Times New Roman"/>
          <w:sz w:val="24"/>
          <w:szCs w:val="24"/>
          <w:rtl w:val="0"/>
        </w:rPr>
        <w:t xml:space="preserve">impacta negativamente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prestação judicial, uma vez que a lentidão na investigação pode resultar na prescrição do crime e </w:t>
      </w:r>
      <w:r w:rsidDel="00000000" w:rsidR="00000000" w:rsidRPr="00000000">
        <w:rPr>
          <w:rFonts w:ascii="Times New Roman" w:cs="Times New Roman" w:eastAsia="Times New Roman" w:hAnsi="Times New Roman"/>
          <w:sz w:val="24"/>
          <w:szCs w:val="24"/>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denegação do acesso à justiça às mulheres em situação de violência. Essa é uma das conclusões do IPEA em estudo conjunto com o CNJ</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morosidade dos processos e a sua consequente prescrição foram as dificuldades mais citadas entre as mulheres entrevistadas no estudo do IPEA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Reitera-se, porém, que o mero estabelecimento de novas delegacias, sem outras políticas públicas complementares, tampouco é capaz de efetivar todo o processamento necessário para alcançar resposta jurídica adequada e atender às necessidades de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mulheres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situação de violência e risco de morte. </w:t>
      </w:r>
      <w:r w:rsidDel="00000000" w:rsidR="00000000" w:rsidRPr="00000000">
        <w:rPr>
          <w:rFonts w:ascii="Times New Roman" w:cs="Times New Roman" w:eastAsia="Times New Roman" w:hAnsi="Times New Roman"/>
          <w:sz w:val="24"/>
          <w:szCs w:val="24"/>
          <w:rtl w:val="0"/>
        </w:rPr>
        <w:t xml:space="preserve">É preciso não apenas criar delegacias, mas também assegurar o devido processamento das denúncias criminais pelo Ministério Público, equipamentos de apoio como abrigos e serviços de saúde mental e física para as vítimas, bem como treinamento constante e contínuo dos profissionais de saúde de de justiça em temas relacionados à gênero e direitos humanos, com foco no ciclo da violência de gênero contra meninas e mulheres e demais indivíduos LGBTQ2+. </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color w:val="9900ff"/>
          <w:sz w:val="24"/>
          <w:szCs w:val="24"/>
        </w:rPr>
      </w:pPr>
      <w:r w:rsidDel="00000000" w:rsidR="00000000" w:rsidRPr="00000000">
        <w:rPr>
          <w:rFonts w:ascii="Times New Roman" w:cs="Times New Roman" w:eastAsia="Times New Roman" w:hAnsi="Times New Roman"/>
          <w:sz w:val="24"/>
          <w:szCs w:val="24"/>
          <w:rtl w:val="0"/>
        </w:rPr>
        <w:t xml:space="preserve">Em 2023 foi editada a Lei 14.541 estabelecendo mudanças no funcionamento das delegacias especializadas para garantir o funcionamento por 24h e prestação de apoio psicológico e jurídico às mulheres em situação de violência. Contudo, a medida esbarra em sua implementação, tendo em vista que depende de iniciativa dos Estados e estes alegam sempre que não têm recursos e há déficit de pessoal</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720" w:right="0" w:firstLine="0"/>
        <w:jc w:val="both"/>
        <w:rPr>
          <w:rFonts w:ascii="Times New Roman" w:cs="Times New Roman" w:eastAsia="Times New Roman" w:hAnsi="Times New Roman"/>
          <w:color w:val="9900ff"/>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Currículo Escolar </w:t>
      </w:r>
      <w:r w:rsidDel="00000000" w:rsidR="00000000" w:rsidRPr="00000000">
        <w:rPr>
          <w:rFonts w:ascii="Times New Roman" w:cs="Times New Roman" w:eastAsia="Times New Roman" w:hAnsi="Times New Roman"/>
          <w:b w:val="1"/>
          <w:rtl w:val="0"/>
        </w:rPr>
        <w:t xml:space="preserve"> e gênero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 LMP menciona explicitamente em seu Art. 8º a importância do debate de gênero e raça para o enfrentamento da violência. Apesar disso, desde 2014, quando estava em debate um novo Plano Nacional de Educação, cresceu no país uma movimentação antigênero que está presente em diversas iniciativas no âmbito do Legislativo ou do Executivo, nas três esferas de poder, que buscam proibir a discussão sobre igualdade de gênero no âmbito escolar. Apesar de não impedir o acesso à escolarização de forma direta, elas interferem na permanência nos estudos e redundam na evasão escolar por práticas violentas na comunidade escolar ou no baixo acolhimento dentro da própria escola, bem como reforçam preconceitos e discriminações. </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Assim, há efetivamente no Brasil um movimento para suprimir a abordagem de gênero e sexualidade da educação, associado à proposta do que se convencionou chamar de “escola sem partido” e leis antigênero</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que contrariam os princípios constitucionais que consolidam os direitos à cidadania, à igualdade, à autonomia, à não discriminação e à vida livre de violência. Esse movimento logrou êxito em aprovar em âmbito municipal e estadual, diversas leis que, em 2020, foram submetidas ao controle de constitucionalidade. No total, são 16 ações judiciais</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 que versam sobre a proibição de gênero no currículo escolar por legislações locais. Nenhum dos julgamentos já proferidos pelo Supremo Tribunal Federal (STF), em 2020, afirma os direitos das mulheres à igualdade, liberdade, não discriminação e não violência ou faz expressa menção à Convenção de Belém do Pará, a CEDAW ou LMP. Ainda assim, tais decisões importaram em significativo avanço para o campo dos direitos humanos ao reconhecerem a inconstitucionalidade das leis por violação aos princípios da liberdade, da liberdade de ensinar e aprender, da gestão democrática do ensino, do mais alto padrão de qualidade social do ensino, da livre manifestação do pensamento e da livre expressão da atividade intelectual, artística, científica e de comunicação, independentemente de censura ou licença</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Com a repercussão negativa da tese antigênero no STF, os mesmos atores diversificaram sua atuação com proposições legislativas que visam: instituir a educação domiciliar e a militarização das escolas, além da segregação por sexo/gênero após o retorno às aulas presenciais na pandemia</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criminalizar “a conduta de quem, nas dependências das escolas da rede municipal, estadual e federal de ensino, adote, divulgue, realize ou organize política de ensino, currículo escolar, disciplina obrigatória, complementar ou facultativa ou ainda atividades culturais que tenham como conteúdo a ‘ideologia de gênero’”</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 e questionar as modificações no edital de 2021 do Programa Nacional do Livro Didático, que excluíram a referência a “estereótipos e preconceitos em relação às condições sociais e econômicas, origem regional, identidade racial e étnica, orientação sexual, de gênero, idade, idioma e capacidade”</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O tema segue em amplo debate e embate nas escolas e espaços deliberativos, com intensa perseguição a professores ou profissionais da educação que busquem incorporar debates sobre gênero em seus cursos de forma transversal, em todos os níveis de ensino.</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 Lei nº 14.164/2021 altera a Lei de Diretrizes e Bases da Educação Nacional (LDB) para incluir conteúdo sobre a prevenção da violência contra a mulher nos currículos da educação básica e cria a Semana Escolar de Combate à Violência contra a Mulher, a ser realizada em março em todas as escolas públicas e privadas de educação básica</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Fonts w:ascii="Times New Roman" w:cs="Times New Roman" w:eastAsia="Times New Roman" w:hAnsi="Times New Roman"/>
          <w:sz w:val="24"/>
          <w:szCs w:val="24"/>
          <w:rtl w:val="0"/>
        </w:rPr>
        <w:t xml:space="preserve">. Ressalta-se que para o parlamento aprovar a Lei nessa forma, as parlamentares progressistas e o movimento feminista tiveram que aceitar a retirada do termo gênero. A exemplo do que já ocorrera no debate legislativo sobre a Lei do Feminicídio (Lei 13.104/2015)</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Ainda que a iniciativa </w:t>
      </w:r>
      <w:r w:rsidDel="00000000" w:rsidR="00000000" w:rsidRPr="00000000">
        <w:rPr>
          <w:rFonts w:ascii="Times New Roman" w:cs="Times New Roman" w:eastAsia="Times New Roman" w:hAnsi="Times New Roman"/>
          <w:sz w:val="24"/>
          <w:szCs w:val="24"/>
          <w:rtl w:val="0"/>
        </w:rPr>
        <w:t xml:space="preserve">auxilie</w:t>
      </w:r>
      <w:r w:rsidDel="00000000" w:rsidR="00000000" w:rsidRPr="00000000">
        <w:rPr>
          <w:rFonts w:ascii="Times New Roman" w:cs="Times New Roman" w:eastAsia="Times New Roman" w:hAnsi="Times New Roman"/>
          <w:sz w:val="24"/>
          <w:szCs w:val="24"/>
          <w:rtl w:val="0"/>
        </w:rPr>
        <w:t xml:space="preserve"> na visibilidade da violência doméstica e familiar, uma semana de conscientização não cumpre com a recomendação da CIDH nem com o parâmetro definido pela Convenção de Belém do Pará no sentido de que essa educação deve servir para romper com os padrões estereotipados sociais e de gênero que tanto inferiorizam a participação da mulher na vida social, atendendo ao artigo 5º da CEDAW. Além disso, o Estado deve empenhar-se para promover capacitação e formação dos profissionais de educação a fim de que estes </w:t>
      </w:r>
      <w:r w:rsidDel="00000000" w:rsidR="00000000" w:rsidRPr="00000000">
        <w:rPr>
          <w:rFonts w:ascii="Times New Roman" w:cs="Times New Roman" w:eastAsia="Times New Roman" w:hAnsi="Times New Roman"/>
          <w:sz w:val="24"/>
          <w:szCs w:val="24"/>
          <w:rtl w:val="0"/>
        </w:rPr>
        <w:t xml:space="preserve">realizem</w:t>
      </w:r>
      <w:r w:rsidDel="00000000" w:rsidR="00000000" w:rsidRPr="00000000">
        <w:rPr>
          <w:rFonts w:ascii="Times New Roman" w:cs="Times New Roman" w:eastAsia="Times New Roman" w:hAnsi="Times New Roman"/>
          <w:sz w:val="24"/>
          <w:szCs w:val="24"/>
          <w:rtl w:val="0"/>
        </w:rPr>
        <w:t xml:space="preserve"> atividades contemplando o tema nas diversas disciplinas e coadunada com o artigo 8º da LMP.</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Diante da necessidade em se criar </w:t>
      </w:r>
      <w:r w:rsidDel="00000000" w:rsidR="00000000" w:rsidRPr="00000000">
        <w:rPr>
          <w:rFonts w:ascii="Times New Roman" w:cs="Times New Roman" w:eastAsia="Times New Roman" w:hAnsi="Times New Roman"/>
          <w:rtl w:val="0"/>
        </w:rPr>
        <w:t xml:space="preserve">programas capazes de ter impacto na redução da violência de gênero, </w:t>
      </w:r>
      <w:r w:rsidDel="00000000" w:rsidR="00000000" w:rsidRPr="00000000">
        <w:rPr>
          <w:rFonts w:ascii="Times New Roman" w:cs="Times New Roman" w:eastAsia="Times New Roman" w:hAnsi="Times New Roman"/>
          <w:sz w:val="24"/>
          <w:szCs w:val="24"/>
          <w:rtl w:val="0"/>
        </w:rPr>
        <w:t xml:space="preserve">a CIDH recomendou ao Brasil</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1"/>
          <w:rtl w:val="0"/>
        </w:rPr>
        <w:t xml:space="preserve">Projetar, desenvolver e implementar iniciativas, programas e políticas educacionais, desde sua fase formativa e inicial, para os cidadãos, incluindo crianças, sobre discriminação com base em gênero, com o objetivo de eliminar padrões estereotipados de subordinação de mulheres e meninas, promovendo seus direitos à não violência e à não discriminação</w:t>
      </w:r>
      <w:r w:rsidDel="00000000" w:rsidR="00000000" w:rsidRPr="00000000">
        <w:rPr>
          <w:rFonts w:ascii="Times New Roman" w:cs="Times New Roman" w:eastAsia="Times New Roman" w:hAnsi="Times New Roman"/>
          <w:vertAlign w:val="superscript"/>
        </w:rPr>
        <w:footnoteReference w:customMarkFollows="0" w:id="52"/>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2267.71653543307"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Conclusão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recomendações internacionais no Caso Maria da Penha ainda são atuais. Maria da Penha é um símbolo da política de afirmação da igualdade de gênero.  Qualquer ataque à sua imagem e pessoa, como tem ocorrido nos últimos anos com o crescimento de grupos misóginos, racistas e masculinistas, têm relação com toda a política de promoção da igualdade de gênero e não discriminação no Brasil. </w:t>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LMP ainda é um marco para o enfrentamento da violência de gênero. Apesar disso, a dinâmica complexa de antigas e novas formas violência sinalizam a necessidade de novas ferramentas normativas, a exemplo da adoção de uma legislação geral de proteção das mulheres, para além da dimensão doméstica e familiar. </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que se refere aos dados de violência de gênero contra as mulheres, observamos um aumento praticamente em todas suas formas e tipos, notadamente no que toca ao feminicídio, à violência sexual, às mortes maternas evitáveis e à violência política.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Recomendaç</w:t>
      </w:r>
      <w:r w:rsidDel="00000000" w:rsidR="00000000" w:rsidRPr="00000000">
        <w:rPr>
          <w:rFonts w:ascii="Times New Roman" w:cs="Times New Roman" w:eastAsia="Times New Roman" w:hAnsi="Times New Roman"/>
          <w:b w:val="1"/>
          <w:sz w:val="24"/>
          <w:szCs w:val="24"/>
          <w:rtl w:val="0"/>
        </w:rPr>
        <w:t xml:space="preserve">ões</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20000000000005"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numPr>
          <w:ilvl w:val="0"/>
          <w:numId w:val="1"/>
        </w:numPr>
        <w:spacing w:after="0" w:before="0" w:line="259.20000000000005"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Cumprir sem demora as recomendações da CIDH para que a vítima Maria da Penha obtenha a resposta sobre quem deu causa à demora injustificada na condução do seu processo criminal.</w:t>
      </w:r>
    </w:p>
    <w:p w:rsidR="00000000" w:rsidDel="00000000" w:rsidP="00000000" w:rsidRDefault="00000000" w:rsidRPr="00000000" w14:paraId="00000096">
      <w:pPr>
        <w:numPr>
          <w:ilvl w:val="0"/>
          <w:numId w:val="1"/>
        </w:numPr>
        <w:spacing w:after="0" w:before="0" w:line="259.20000000000005"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Criar um sistema único de dados sobre violência de gênero contra mulheres, bem como que o Brasil convoque e coordene um grupo de trabalho para identificar os empecilhos técnicos, tecnológicos e conceituais para a melhoria da captação das informações pelos profissionais que se encontram na ponta do atendimento e são responsáveis pelo preenchimento dos registros administrativos e dos sistemas de informações. </w:t>
      </w:r>
    </w:p>
    <w:p w:rsidR="00000000" w:rsidDel="00000000" w:rsidP="00000000" w:rsidRDefault="00000000" w:rsidRPr="00000000" w14:paraId="00000097">
      <w:pPr>
        <w:numPr>
          <w:ilvl w:val="0"/>
          <w:numId w:val="1"/>
        </w:numPr>
        <w:spacing w:after="0" w:before="0" w:line="259.20000000000005"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Incluir as</w:t>
      </w:r>
      <w:r w:rsidDel="00000000" w:rsidR="00000000" w:rsidRPr="00000000">
        <w:rPr>
          <w:rFonts w:ascii="Times New Roman" w:cs="Times New Roman" w:eastAsia="Times New Roman" w:hAnsi="Times New Roman"/>
          <w:sz w:val="24"/>
          <w:szCs w:val="24"/>
          <w:rtl w:val="0"/>
        </w:rPr>
        <w:t xml:space="preserve">/os servidores/as nos projetos de formação, uma vez que atendem ao público e cuida da gestão.</w:t>
      </w:r>
    </w:p>
    <w:p w:rsidR="00000000" w:rsidDel="00000000" w:rsidP="00000000" w:rsidRDefault="00000000" w:rsidRPr="00000000" w14:paraId="00000098">
      <w:pPr>
        <w:numPr>
          <w:ilvl w:val="0"/>
          <w:numId w:val="1"/>
        </w:numPr>
        <w:spacing w:after="0" w:before="0" w:line="259.20000000000005" w:lineRule="auto"/>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Elaborar um Plano Estratégico para implementação da Política Judiciária para concretizar o disposto no Art. 2º da Resolução n. 254/2018 do CNJ: “I - fomentar a criação e a estruturação de unidades judiciárias, nas capitais e no interior, especializadas no recebimento e no processamento de causas cíveis e criminais relativas à prática de violência doméstica e familiar contra a mulher baseada no gênero, com a implantação de equipes de atendimento multidisciplinar, nos termos do artigo 29 da Lei n. 11.340/2006”. </w:t>
      </w:r>
    </w:p>
    <w:p w:rsidR="00000000" w:rsidDel="00000000" w:rsidP="00000000" w:rsidRDefault="00000000" w:rsidRPr="00000000" w14:paraId="00000099">
      <w:pPr>
        <w:numPr>
          <w:ilvl w:val="0"/>
          <w:numId w:val="1"/>
        </w:numPr>
        <w:spacing w:after="0" w:before="0" w:line="259.20000000000005" w:lineRule="auto"/>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Criar juizados híbridos com competência ampla para aplicar medidas cíveis e criminais às situações de violência doméstica e familiar contra as mulheres e seus familiares. </w:t>
      </w:r>
    </w:p>
    <w:p w:rsidR="00000000" w:rsidDel="00000000" w:rsidP="00000000" w:rsidRDefault="00000000" w:rsidRPr="00000000" w14:paraId="0000009A">
      <w:pPr>
        <w:numPr>
          <w:ilvl w:val="0"/>
          <w:numId w:val="1"/>
        </w:numPr>
        <w:spacing w:after="0" w:before="0" w:line="259.20000000000005" w:lineRule="auto"/>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Promover audiência pública nos Poder Judiciário garantindo a participação da sociedade civil, especialmente grupos de mulheres negras, indígenas, rurais e quilombolas, para colher informações a respeito dos obstáculos de acesso à justiça que ainda são impostos às mulheres brasileiras vítimas de violência doméstica e familiar. </w:t>
      </w:r>
    </w:p>
    <w:p w:rsidR="00000000" w:rsidDel="00000000" w:rsidP="00000000" w:rsidRDefault="00000000" w:rsidRPr="00000000" w14:paraId="0000009B">
      <w:pPr>
        <w:numPr>
          <w:ilvl w:val="0"/>
          <w:numId w:val="1"/>
        </w:numPr>
        <w:spacing w:after="0" w:line="259.20000000000005"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Monitorar as proposições legislativas sobre reparação para considerar as características dos crimes e incluir os mecanismos de reparação às vítimas de tentativas de homicídios e lesão corporal que incapacitam a vítima. Recomenda-se que promotores/as e juízes/as requeiram e concedam indenizações em favor de familiares da vítima já na sentença condenatória.</w:t>
      </w:r>
    </w:p>
    <w:p w:rsidR="00000000" w:rsidDel="00000000" w:rsidP="00000000" w:rsidRDefault="00000000" w:rsidRPr="00000000" w14:paraId="0000009C">
      <w:pPr>
        <w:numPr>
          <w:ilvl w:val="0"/>
          <w:numId w:val="1"/>
        </w:numPr>
        <w:spacing w:after="0" w:before="0" w:line="259.20000000000005" w:lineRule="auto"/>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Considerar a necessidade de medidas para prevenir a violência de gênero contra mulheres em seus vários âmbitos e segmentos populacionais, a fim do Brasil adotar  uma lei geral de enfrentamento à violência de gênero contra as mulheres e meninas. </w:t>
      </w:r>
    </w:p>
    <w:p w:rsidR="00000000" w:rsidDel="00000000" w:rsidP="00000000" w:rsidRDefault="00000000" w:rsidRPr="00000000" w14:paraId="0000009D">
      <w:pPr>
        <w:numPr>
          <w:ilvl w:val="0"/>
          <w:numId w:val="1"/>
        </w:numPr>
        <w:spacing w:after="0" w:before="0" w:line="259.20000000000005" w:lineRule="auto"/>
        <w:ind w:left="0"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Considerar os altos índices de violência sexual intrafamiliar contra crianças e adolescentes, para garantir o atendimento de urgência médico e psicológico às vítimas, incluindo-se o acesso a aborto legal e seguro em todas as regiões do país.</w:t>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ptos"/>
  <w:font w:name="Play">
    <w:embedRegular w:fontKey="{00000000-0000-0000-0000-000000000000}" r:id="rId1" w:subsetted="0"/>
    <w:embedBold w:fontKey="{00000000-0000-0000-0000-000000000000}" r:id="rId2" w:subsetted="0"/>
  </w:font>
  <w:font w:name="Arial M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Edição: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Ingrid Leão</w:t>
      </w:r>
      <w:r w:rsidDel="00000000" w:rsidR="00000000" w:rsidRPr="00000000">
        <w:rPr>
          <w:rFonts w:ascii="Times New Roman" w:cs="Times New Roman" w:eastAsia="Times New Roman" w:hAnsi="Times New Roman"/>
          <w:sz w:val="20"/>
          <w:szCs w:val="20"/>
          <w:rtl w:val="0"/>
        </w:rPr>
        <w:t xml:space="preserve">, Myllena Calasans de Matos e Tamara Gonsalves.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Contato: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cladembrasil@gmail.com</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Tradução:</w:t>
      </w:r>
      <w:r w:rsidDel="00000000" w:rsidR="00000000" w:rsidRPr="00000000">
        <w:rPr>
          <w:rFonts w:ascii="Times New Roman" w:cs="Times New Roman" w:eastAsia="Times New Roman" w:hAnsi="Times New Roman"/>
          <w:sz w:val="20"/>
          <w:szCs w:val="20"/>
          <w:rtl w:val="0"/>
        </w:rPr>
        <w:t xml:space="preserve"> Helena Rocha.</w:t>
      </w:r>
      <w:r w:rsidDel="00000000" w:rsidR="00000000" w:rsidRPr="00000000">
        <w:rPr>
          <w:rtl w:val="0"/>
        </w:rPr>
      </w:r>
    </w:p>
  </w:footnote>
  <w:footnote w:id="1">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CIDH, Informe Anual 2020, Capítulo II, Ficha de seguimiento del informe nº 54/01, par. 17.</w:t>
      </w:r>
    </w:p>
  </w:footnote>
  <w:footnote w:id="2">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CIDH. Situação dos direitos humanos no Brasil. OEA/Ser.L/V/II. Doc. 9, 12 de fevereiro de 2021, par. 94.</w:t>
      </w:r>
    </w:p>
  </w:footnote>
  <w:footnote w:id="7">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Ibidem.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footnote>
  <w:footnote w:id="8">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CERQUEIRA, 2021, p.36.</w:t>
      </w:r>
      <w:r w:rsidDel="00000000" w:rsidR="00000000" w:rsidRPr="00000000">
        <w:rPr>
          <w:rtl w:val="0"/>
        </w:rPr>
      </w:r>
    </w:p>
  </w:footnote>
  <w:footnote w:id="9">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w:t>
      </w:r>
      <w:r w:rsidDel="00000000" w:rsidR="00000000" w:rsidRPr="00000000">
        <w:rPr>
          <w:rFonts w:ascii="Times New Roman" w:cs="Times New Roman" w:eastAsia="Times New Roman" w:hAnsi="Times New Roman"/>
          <w:sz w:val="20"/>
          <w:szCs w:val="20"/>
          <w:rtl w:val="0"/>
        </w:rPr>
        <w:t xml:space="preserve">BSP</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Anuário Brasileiro de Segurança Pública 2021, p. 95.</w:t>
      </w:r>
    </w:p>
  </w:footnote>
  <w:footnote w:id="10">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Ibidem.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1">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Assembleia Legislativa do Estado do Ceará. </w:t>
      </w:r>
      <w:hyperlink r:id="rId2">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Meninas no Ceará: a trajetória de vida e de vulnerabilidades de vítimas de homicídio</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Relatório de pesquisa do Comitê de Prevenção e Combate à Violência da Assembleia Legislativa do Estado do Ceará. Ceará, 2020</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 17. </w:t>
      </w:r>
    </w:p>
  </w:footnote>
  <w:footnote w:id="12">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FBS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Anuário Brasileiro de Segurança Pública, 2021, p. 93.</w:t>
      </w:r>
    </w:p>
  </w:footnote>
  <w:footnote w:id="13">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FBS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Visível e Invisível: A Vitimização de Mulheres no Brasil - 3ª edição – 2021, p. 7. Disponível em: https://forumseguranca.org.br/wp-content/uploads/2021/06/relatorio visivel-e-invisivel-3ed-2021-v3.pdf, acesso em: 15 de outubro de 2021.</w:t>
      </w:r>
    </w:p>
  </w:footnote>
  <w:footnote w:id="14">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Ibidem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 10.</w:t>
      </w:r>
    </w:p>
  </w:footnote>
  <w:footnote w:id="15">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w:t>
      </w:r>
      <w:r w:rsidDel="00000000" w:rsidR="00000000" w:rsidRPr="00000000">
        <w:rPr>
          <w:rFonts w:ascii="Times New Roman" w:cs="Times New Roman" w:eastAsia="Times New Roman" w:hAnsi="Times New Roman"/>
          <w:sz w:val="20"/>
          <w:szCs w:val="20"/>
          <w:rtl w:val="0"/>
        </w:rPr>
        <w:t xml:space="preserve">BS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Anuário Brasileiro de Segurança Pública 2021, p. 94.</w:t>
      </w:r>
    </w:p>
  </w:footnote>
  <w:footnote w:id="16">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Ibidem</w:t>
      </w:r>
      <w:r w:rsidDel="00000000" w:rsidR="00000000" w:rsidRPr="00000000">
        <w:rPr>
          <w:rtl w:val="0"/>
        </w:rPr>
      </w:r>
    </w:p>
  </w:footnote>
  <w:footnote w:id="17">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Fórum Brasileiro de Segurança Pública, Visível e Invisível: A Vitimização de Mulheres no Brasil, 3ª edição, 2021, p. 7.</w:t>
      </w:r>
    </w:p>
  </w:footnote>
  <w:footnote w:id="21">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Maria da Penha sofreu feminicídio: podcast mente ai dizer o contrário (uol.com.br)</w:t>
        </w:r>
      </w:hyperlink>
      <w:r w:rsidDel="00000000" w:rsidR="00000000" w:rsidRPr="00000000">
        <w:rPr>
          <w:rtl w:val="0"/>
        </w:rPr>
      </w:r>
    </w:p>
  </w:footnote>
  <w:footnote w:id="23">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CIDH, Relatório nº 54/01, Capítulo V, Seção A; Direito à justiça (artigo XVIII da Declaração); e às garantias judiciais (artigo 8 da Convenção) e à proteção judicial (artigo 25 da Convenção), em relação à obrigação de respeitar os direitos (artigo 1.1. da Convenção), par. 44.</w:t>
      </w:r>
    </w:p>
  </w:footnote>
  <w:footnote w:id="24">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CIDH, Informe Anual 2020, Capítulo II, Ficha de seguimiento del informe nº 54/01, par. 13. Ver também os relatórios do Estado de 14 e 22 de outubro de 2021.</w:t>
      </w:r>
    </w:p>
  </w:footnote>
  <w:footnote w:id="25">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w:t>
      </w:r>
      <w:hyperlink r:id="rId4">
        <w:r w:rsidDel="00000000" w:rsidR="00000000" w:rsidRPr="00000000">
          <w:rPr>
            <w:rFonts w:ascii="Times New Roman" w:cs="Times New Roman" w:eastAsia="Times New Roman" w:hAnsi="Times New Roman"/>
            <w:color w:val="1155cc"/>
            <w:sz w:val="20"/>
            <w:szCs w:val="20"/>
            <w:u w:val="single"/>
            <w:rtl w:val="0"/>
          </w:rPr>
          <w:t xml:space="preserve">CNJ, 2021</w:t>
        </w:r>
      </w:hyperlink>
      <w:r w:rsidDel="00000000" w:rsidR="00000000" w:rsidRPr="00000000">
        <w:rPr>
          <w:sz w:val="20"/>
          <w:szCs w:val="20"/>
          <w:rtl w:val="0"/>
        </w:rPr>
        <w:t xml:space="preserve">.</w:t>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 w:id="28">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5">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Lei 14. 321, de 31 de março de 2022</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 w:id="29">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6">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Lei nº 14.245, de 22 de novembro de 2021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 w:id="31">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SAGOT, Monserrat. Ruta critica de las mujeres afectadas por la violencia intrafamiliar en América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Latina: estudios de caso de diez paises. San José: Organización Panamericana de la Salud; 2000.</w:t>
      </w:r>
    </w:p>
  </w:footnote>
  <w:footnote w:id="32">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mesma linha é o entendimento da CIDH</w:t>
      </w:r>
      <w:r w:rsidDel="00000000" w:rsidR="00000000" w:rsidRPr="00000000">
        <w:rPr>
          <w:rFonts w:ascii="Times New Roman" w:cs="Times New Roman" w:eastAsia="Times New Roman" w:hAnsi="Times New Roman"/>
          <w:sz w:val="20"/>
          <w:szCs w:val="20"/>
          <w:rtl w:val="0"/>
        </w:rPr>
        <w:t xml:space="preserve">. No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Informe Anual de 2022, </w:t>
      </w:r>
      <w:r w:rsidDel="00000000" w:rsidR="00000000" w:rsidRPr="00000000">
        <w:rPr>
          <w:rFonts w:ascii="Times New Roman" w:cs="Times New Roman" w:eastAsia="Times New Roman" w:hAnsi="Times New Roman"/>
          <w:sz w:val="20"/>
          <w:szCs w:val="20"/>
          <w:rtl w:val="0"/>
        </w:rPr>
        <w:t xml:space="preserve">essa Comissão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reitera que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cumplimiento de esta recomendación (4.b) está dirigida a combatir la impunidad sistemática de la violencia doméstica. Por esta razón, la CIDH enfatiza que el cumplimiento de esta recomendación está dirigido a simplificar los procesos judiciales y, en la práctica, recortar los tiempos procesales. Además, la CIDH reitera que el cumplimiento parcial sustancial de esta recomendación dependerá de que el Estado demuestre que implementó las medidas necesarias para cumplir con la simplificación de los procesos judiciales por violencia doméstica en Brasil y, por su parte, el cumplimiento total dependerá de que, a partir de datos objetivos, se demuestre que estas medidas redujeron los tiempos procesales en los casos de violencia doméstica. Asimismo, la Comisión coincide con la parte peticionaria en que la medida consistente en la implementación de los juzgados híbridos puede constituir un mecanismo adecuado para simplificar estos procesos y reducir los tiempos procesales, por lo que invita a impulsar y reportar avances sobre su funcionamiento en todo el país. Saludando la disposición del Estado de Brasil para avanzar en la implementación de la recomendación 4.b, la CIDH considera que esta continúa parcialmente cumplida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CIDH. Informe Anual 2022. Ficha de Seguimiento del Informe nº º 54/01, p. 13.</w:t>
      </w:r>
    </w:p>
  </w:footnote>
  <w:footnote w:id="33">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7">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Nota Técnica  referente à competência híbrida dos Juizados de Violência Doméstica e Familiar </w:t>
        </w:r>
      </w:hyperlink>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hyperlink r:id="rId8">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prevista na Lei Maria da Penha e às modificações introduzidas pela Lei Lei 13.894/ 2019</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4">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9">
        <w:r w:rsidDel="00000000" w:rsidR="00000000" w:rsidRPr="00000000">
          <w:rPr>
            <w:rFonts w:ascii="Times New Roman" w:cs="Times New Roman" w:eastAsia="Times New Roman" w:hAnsi="Times New Roman"/>
            <w:color w:val="1155cc"/>
            <w:sz w:val="20"/>
            <w:szCs w:val="20"/>
            <w:u w:val="single"/>
            <w:rtl w:val="0"/>
          </w:rPr>
          <w:t xml:space="preserve"> CNJ; IPEA.O Poder Judiciário no enfrentamento à violência doméstica e familiar contra as mulheres, 2019, p. 98</w:t>
        </w:r>
      </w:hyperlink>
      <w:r w:rsidDel="00000000" w:rsidR="00000000" w:rsidRPr="00000000">
        <w:rPr>
          <w:rFonts w:ascii="Times New Roman" w:cs="Times New Roman" w:eastAsia="Times New Roman" w:hAnsi="Times New Roman"/>
          <w:sz w:val="20"/>
          <w:szCs w:val="20"/>
          <w:rtl w:val="0"/>
        </w:rPr>
        <w:t xml:space="preserve">. </w:t>
      </w:r>
    </w:p>
  </w:footnote>
  <w:footnote w:id="40">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Em 91,7% das cidades do país, não há delegacia de atendimento à mulher | Agência Brasil (ebc.com.br)</w:t>
        </w:r>
      </w:hyperlink>
      <w:r w:rsidDel="00000000" w:rsidR="00000000" w:rsidRPr="00000000">
        <w:rPr>
          <w:rtl w:val="0"/>
        </w:rPr>
      </w:r>
    </w:p>
  </w:footnote>
  <w:footnote w:id="41">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CNJ;</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IPEA, op.cit. 2019, p. 39 e 48. </w:t>
      </w:r>
    </w:p>
  </w:footnote>
  <w:footnote w:id="42">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Idem.</w:t>
      </w:r>
    </w:p>
  </w:footnote>
  <w:footnote w:id="44">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sz w:val="20"/>
          <w:szCs w:val="20"/>
          <w:rtl w:val="0"/>
        </w:rPr>
        <w:t xml:space="preserve"> </w:t>
      </w:r>
      <w:hyperlink r:id="rId11">
        <w:r w:rsidDel="00000000" w:rsidR="00000000" w:rsidRPr="00000000">
          <w:rPr>
            <w:rFonts w:ascii="Times New Roman" w:cs="Times New Roman" w:eastAsia="Times New Roman" w:hAnsi="Times New Roman"/>
            <w:color w:val="1155cc"/>
            <w:sz w:val="20"/>
            <w:szCs w:val="20"/>
            <w:u w:val="single"/>
            <w:rtl w:val="0"/>
          </w:rPr>
          <w:t xml:space="preserve">Professores contra escola sem partido</w:t>
        </w:r>
      </w:hyperlink>
      <w:r w:rsidDel="00000000" w:rsidR="00000000" w:rsidRPr="00000000">
        <w:rPr>
          <w:rtl w:val="0"/>
        </w:rPr>
      </w:r>
    </w:p>
  </w:footnote>
  <w:footnote w:id="45">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Ações Diretas de Inconstitucionalidade (ADIs) n.º 5.537, 5.580 e 6.038 (Lei Escola Livre do Estado de Alagoas); ADI n.º 5.668 (Plano Nacional de Educação - Lei n.º 13.005/2014); Arguições de Descumprimento de Preceito Fundamental (ADPFs) n.º 457 (Lei 1.516/2016 – Novo Gama/DF), n.º 460 (Lei 6.496/2015 – Plano de Educação de Cascavel/PR), n.º 461 (Lei 3.468/2015 – Plano de Educação de Paranaguá/PR), n.º 462 (Lei Complementar 994/2015 - Plano de Educação de Blumenau./SC), n.º 465 (Lei 2.243/2016 de Palmas/TO), n.º 466 (Lei 4.268/2015 - Plano de Educação de Tubarão), n.º 467 (Lei 3491/2015 - Plano de Educação de Ipatinga/MG), n.º 522 (Leis 2.985/2017 de Petrolina e 4.432/2017 de Garanhuns/PE), n.º 526 (Emenda à Lei Orgânica 47/2018 de Foz do Iguaçu/PR), n.º 578 (Lei Complementar 9/2014 de Santa Cruz de Monte Castelo/PR), n.º 600 (Emenda à Lei Orgânica Municipal n.º 55/2018 de Londrina/PR) e n.º 624 (Controvérsia constitucional relevante sobre normas e iniciativas que buscam limitar o conteúdo da manifestação docente no ambiente escolar).</w:t>
      </w:r>
    </w:p>
  </w:footnote>
  <w:footnote w:id="46">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2">
        <w:r w:rsidDel="00000000" w:rsidR="00000000" w:rsidRPr="00000000">
          <w:rPr>
            <w:rFonts w:ascii="Times New Roman" w:cs="Times New Roman" w:eastAsia="Times New Roman" w:hAnsi="Times New Roman"/>
            <w:color w:val="1155cc"/>
            <w:sz w:val="20"/>
            <w:szCs w:val="20"/>
            <w:u w:val="single"/>
            <w:rtl w:val="0"/>
          </w:rPr>
          <w:t xml:space="preserve">STF. Julgadas inconstitucionais leis sobre Escola Livre e proibição de ensino de sexualidade, 2020.</w:t>
        </w:r>
      </w:hyperlink>
      <w:r w:rsidDel="00000000" w:rsidR="00000000" w:rsidRPr="00000000">
        <w:rPr>
          <w:rtl w:val="0"/>
        </w:rPr>
      </w:r>
    </w:p>
  </w:footnote>
  <w:footnote w:id="47">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3">
        <w:r w:rsidDel="00000000" w:rsidR="00000000" w:rsidRPr="00000000">
          <w:rPr>
            <w:rFonts w:ascii="Times New Roman" w:cs="Times New Roman" w:eastAsia="Times New Roman" w:hAnsi="Times New Roman"/>
            <w:color w:val="1155cc"/>
            <w:sz w:val="20"/>
            <w:szCs w:val="20"/>
            <w:u w:val="single"/>
            <w:rtl w:val="0"/>
          </w:rPr>
          <w:t xml:space="preserve">Entidades e movimentos sociais assinam nota pública contra a segregação por gênero em escolas.</w:t>
        </w:r>
      </w:hyperlink>
      <w:r w:rsidDel="00000000" w:rsidR="00000000" w:rsidRPr="00000000">
        <w:rPr>
          <w:rtl w:val="0"/>
        </w:rPr>
      </w:r>
    </w:p>
  </w:footnote>
  <w:footnote w:id="48">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hyperlink r:id="rId14">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 Projeto criminaliza promoção de “ideologia de gênero” nas escolas</w:t>
        </w:r>
      </w:hyperlink>
      <w:r w:rsidDel="00000000" w:rsidR="00000000" w:rsidRPr="00000000">
        <w:rPr>
          <w:rtl w:val="0"/>
        </w:rPr>
      </w:r>
    </w:p>
  </w:footnote>
  <w:footnote w:id="49">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5">
        <w:r w:rsidDel="00000000" w:rsidR="00000000" w:rsidRPr="00000000">
          <w:rPr>
            <w:rFonts w:ascii="Times New Roman" w:cs="Times New Roman" w:eastAsia="Times New Roman" w:hAnsi="Times New Roman"/>
            <w:color w:val="1155cc"/>
            <w:sz w:val="20"/>
            <w:szCs w:val="20"/>
            <w:u w:val="single"/>
            <w:rtl w:val="0"/>
          </w:rPr>
          <w:t xml:space="preserve">Manifesto critica Edital de Convocação do Programa Nacional do Livro Didático</w:t>
        </w:r>
      </w:hyperlink>
      <w:r w:rsidDel="00000000" w:rsidR="00000000" w:rsidRPr="00000000">
        <w:rPr>
          <w:rtl w:val="0"/>
        </w:rPr>
      </w:r>
    </w:p>
  </w:footnote>
  <w:footnote w:id="50">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6">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Lei 14.164 de 10 de junho de 2021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1">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Ver </w:t>
      </w:r>
      <w:hyperlink r:id="rId17">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Nota do Consórcio da Lei Maria da Penha: “Porque o Substitutivo ao PL 598/2019, e apensos, não deve ser aprovado”</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footnote>
  <w:footnote w:id="52">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CIDH. Relatório sobre a Situação de Direitos Humanos no Brasil, 2021, op. cit., resolução 37.</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tl w:val="0"/>
        </w:rPr>
      </w:r>
    </w:p>
  </w:footnote>
  <w:footnote w:id="18">
    <w:p w:rsidR="00000000" w:rsidDel="00000000" w:rsidP="00000000" w:rsidRDefault="00000000" w:rsidRPr="00000000" w14:paraId="000000C5">
      <w:pPr>
        <w:spacing w:after="0" w:line="240" w:lineRule="auto"/>
        <w:rPr>
          <w:rFonts w:ascii="Times New Roman" w:cs="Times New Roman" w:eastAsia="Times New Roman" w:hAnsi="Times New Roman"/>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hyperlink r:id="rId18">
        <w:r w:rsidDel="00000000" w:rsidR="00000000" w:rsidRPr="00000000">
          <w:rPr>
            <w:rFonts w:ascii="Times New Roman" w:cs="Times New Roman" w:eastAsia="Times New Roman" w:hAnsi="Times New Roman"/>
            <w:color w:val="1155cc"/>
            <w:sz w:val="20"/>
            <w:szCs w:val="20"/>
            <w:u w:val="single"/>
            <w:rtl w:val="0"/>
          </w:rPr>
          <w:t xml:space="preserve">FBSP. </w:t>
        </w:r>
      </w:hyperlink>
      <w:hyperlink r:id="rId19">
        <w:r w:rsidDel="00000000" w:rsidR="00000000" w:rsidRPr="00000000">
          <w:rPr>
            <w:rFonts w:ascii="Times New Roman" w:cs="Times New Roman" w:eastAsia="Times New Roman" w:hAnsi="Times New Roman"/>
            <w:i w:val="1"/>
            <w:color w:val="1155cc"/>
            <w:sz w:val="20"/>
            <w:szCs w:val="20"/>
            <w:u w:val="single"/>
            <w:rtl w:val="0"/>
          </w:rPr>
          <w:t xml:space="preserve">Anuário Brasileiro de Segurança Pública 2020</w:t>
        </w:r>
      </w:hyperlink>
      <w:hyperlink r:id="rId20">
        <w:r w:rsidDel="00000000" w:rsidR="00000000" w:rsidRPr="00000000">
          <w:rPr>
            <w:rFonts w:ascii="Times New Roman" w:cs="Times New Roman" w:eastAsia="Times New Roman" w:hAnsi="Times New Roman"/>
            <w:color w:val="1155cc"/>
            <w:sz w:val="20"/>
            <w:szCs w:val="20"/>
            <w:u w:val="single"/>
            <w:rtl w:val="0"/>
          </w:rPr>
          <w:t xml:space="preserve">, 2020.</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9">
    <w:p w:rsidR="00000000" w:rsidDel="00000000" w:rsidP="00000000" w:rsidRDefault="00000000" w:rsidRPr="00000000" w14:paraId="000000C6">
      <w:pPr>
        <w:spacing w:after="0" w:line="240" w:lineRule="auto"/>
        <w:rPr>
          <w:rFonts w:ascii="Times New Roman" w:cs="Times New Roman" w:eastAsia="Times New Roman" w:hAnsi="Times New Roman"/>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Para ver as principais inseguranças sobre programas de educaç</w:t>
      </w:r>
      <w:r w:rsidDel="00000000" w:rsidR="00000000" w:rsidRPr="00000000">
        <w:rPr>
          <w:rFonts w:ascii="Times New Roman" w:cs="Times New Roman" w:eastAsia="Times New Roman" w:hAnsi="Times New Roman"/>
          <w:i w:val="1"/>
          <w:sz w:val="20"/>
          <w:szCs w:val="20"/>
          <w:rtl w:val="0"/>
        </w:rPr>
        <w:t xml:space="preserve">ão em sexualidade Cf. UNESCO. </w:t>
      </w:r>
      <w:r w:rsidDel="00000000" w:rsidR="00000000" w:rsidRPr="00000000">
        <w:rPr>
          <w:rFonts w:ascii="Times New Roman" w:cs="Times New Roman" w:eastAsia="Times New Roman" w:hAnsi="Times New Roman"/>
          <w:sz w:val="20"/>
          <w:szCs w:val="20"/>
          <w:rtl w:val="0"/>
        </w:rPr>
        <w:t xml:space="preserve">Orientação Técnica Internacional sobre Educação em Sexualidade: </w:t>
      </w:r>
      <w:hyperlink r:id="rId21">
        <w:r w:rsidDel="00000000" w:rsidR="00000000" w:rsidRPr="00000000">
          <w:rPr>
            <w:rFonts w:ascii="Times New Roman" w:cs="Times New Roman" w:eastAsia="Times New Roman" w:hAnsi="Times New Roman"/>
            <w:color w:val="1155cc"/>
            <w:sz w:val="20"/>
            <w:szCs w:val="20"/>
            <w:highlight w:val="white"/>
            <w:u w:val="single"/>
            <w:rtl w:val="0"/>
          </w:rPr>
          <w:t xml:space="preserve">Uma abordagem baseada em evidências para escolas, professores e educadores em saúde</w:t>
        </w:r>
      </w:hyperlink>
      <w:r w:rsidDel="00000000" w:rsidR="00000000" w:rsidRPr="00000000">
        <w:rPr>
          <w:rFonts w:ascii="Times New Roman" w:cs="Times New Roman" w:eastAsia="Times New Roman" w:hAnsi="Times New Roman"/>
          <w:sz w:val="20"/>
          <w:szCs w:val="20"/>
          <w:highlight w:val="white"/>
          <w:rtl w:val="0"/>
        </w:rPr>
        <w:t xml:space="preserve">. Brasília, junho, 2010.</w:t>
      </w:r>
      <w:r w:rsidDel="00000000" w:rsidR="00000000" w:rsidRPr="00000000">
        <w:rPr>
          <w:rtl w:val="0"/>
        </w:rPr>
      </w:r>
    </w:p>
  </w:footnote>
  <w:footnote w:id="20">
    <w:p w:rsidR="00000000" w:rsidDel="00000000" w:rsidP="00000000" w:rsidRDefault="00000000" w:rsidRPr="00000000" w14:paraId="000000C7">
      <w:pPr>
        <w:spacing w:after="0" w:line="240" w:lineRule="auto"/>
        <w:rPr>
          <w:rFonts w:ascii="Times New Roman" w:cs="Times New Roman" w:eastAsia="Times New Roman" w:hAnsi="Times New Roman"/>
          <w:sz w:val="20"/>
          <w:szCs w:val="20"/>
          <w:vertAlign w:val="superscript"/>
        </w:rPr>
      </w:pPr>
      <w:r w:rsidDel="00000000" w:rsidR="00000000" w:rsidRPr="00000000">
        <w:rPr>
          <w:rStyle w:val="FootnoteReference"/>
          <w:vertAlign w:val="superscript"/>
        </w:rPr>
        <w:footnoteRef/>
      </w:r>
      <w:hyperlink r:id="rId22">
        <w:r w:rsidDel="00000000" w:rsidR="00000000" w:rsidRPr="00000000">
          <w:rPr>
            <w:rFonts w:ascii="Times New Roman" w:cs="Times New Roman" w:eastAsia="Times New Roman" w:hAnsi="Times New Roman"/>
            <w:color w:val="1155cc"/>
            <w:sz w:val="20"/>
            <w:szCs w:val="20"/>
            <w:u w:val="single"/>
            <w:rtl w:val="0"/>
          </w:rPr>
          <w:t xml:space="preserve"> Investigación sobre la interrelación y los vínculos entre la violencia sexual y la muerte de niñas y adolescentes (NyA) en la región de América Latina y el Caribe (ALAC)</w:t>
        </w:r>
      </w:hyperlink>
      <w:r w:rsidDel="00000000" w:rsidR="00000000" w:rsidRPr="00000000">
        <w:rPr>
          <w:rFonts w:ascii="Times New Roman" w:cs="Times New Roman" w:eastAsia="Times New Roman" w:hAnsi="Times New Roman"/>
          <w:color w:val="4c4c4c"/>
          <w:sz w:val="20"/>
          <w:szCs w:val="20"/>
          <w:highlight w:val="white"/>
          <w:rtl w:val="0"/>
        </w:rPr>
        <w:t xml:space="preserve"> </w:t>
      </w:r>
      <w:r w:rsidDel="00000000" w:rsidR="00000000" w:rsidRPr="00000000">
        <w:rPr>
          <w:rtl w:val="0"/>
        </w:rPr>
      </w:r>
    </w:p>
  </w:footnote>
  <w:footnote w:id="22">
    <w:p w:rsidR="00000000" w:rsidDel="00000000" w:rsidP="00000000" w:rsidRDefault="00000000" w:rsidRPr="00000000" w14:paraId="000000C8">
      <w:pPr>
        <w:spacing w:after="0"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3">
        <w:r w:rsidDel="00000000" w:rsidR="00000000" w:rsidRPr="00000000">
          <w:rPr>
            <w:rFonts w:ascii="Times New Roman" w:cs="Times New Roman" w:eastAsia="Times New Roman" w:hAnsi="Times New Roman"/>
            <w:sz w:val="20"/>
            <w:szCs w:val="20"/>
            <w:rtl w:val="0"/>
          </w:rPr>
          <w:t xml:space="preserve">É #FAKE que Maria da Penha ficou paraplégica em assalto e não ao ser baleada pelo marido | Fato ou Fake | G1 (globo.com)</w:t>
        </w:r>
      </w:hyperlink>
      <w:r w:rsidDel="00000000" w:rsidR="00000000" w:rsidRPr="00000000">
        <w:rPr>
          <w:rtl w:val="0"/>
        </w:rPr>
      </w:r>
    </w:p>
  </w:footnote>
  <w:footnote w:id="43">
    <w:p w:rsidR="00000000" w:rsidDel="00000000" w:rsidP="00000000" w:rsidRDefault="00000000" w:rsidRPr="00000000" w14:paraId="000000C9">
      <w:pPr>
        <w:spacing w:after="0" w:line="240" w:lineRule="auto"/>
        <w:rPr>
          <w:rFonts w:ascii="Times New Roman" w:cs="Times New Roman" w:eastAsia="Times New Roman" w:hAnsi="Times New Roman"/>
          <w:color w:val="1155cc"/>
          <w:sz w:val="20"/>
          <w:szCs w:val="20"/>
          <w:u w:val="single"/>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hyperlink r:id="rId24">
        <w:r w:rsidDel="00000000" w:rsidR="00000000" w:rsidRPr="00000000">
          <w:rPr>
            <w:rFonts w:ascii="Times New Roman" w:cs="Times New Roman" w:eastAsia="Times New Roman" w:hAnsi="Times New Roman"/>
            <w:sz w:val="20"/>
            <w:szCs w:val="20"/>
            <w:rtl w:val="0"/>
          </w:rPr>
          <w:t xml:space="preserve">Lei 14541 de 2023 (planalto.gov.br)</w:t>
        </w:r>
      </w:hyperlink>
      <w:r w:rsidDel="00000000" w:rsidR="00000000" w:rsidRPr="00000000">
        <w:rPr>
          <w:rFonts w:ascii="Times New Roman" w:cs="Times New Roman" w:eastAsia="Times New Roman" w:hAnsi="Times New Roman"/>
          <w:sz w:val="20"/>
          <w:szCs w:val="20"/>
          <w:rtl w:val="0"/>
        </w:rPr>
        <w:t xml:space="preserve"> . Ver também </w:t>
      </w:r>
      <w:r w:rsidDel="00000000" w:rsidR="00000000" w:rsidRPr="00000000">
        <w:rPr>
          <w:rFonts w:ascii="Times New Roman" w:cs="Times New Roman" w:eastAsia="Times New Roman" w:hAnsi="Times New Roman"/>
          <w:color w:val="1155cc"/>
          <w:sz w:val="20"/>
          <w:szCs w:val="20"/>
          <w:u w:val="single"/>
          <w:rtl w:val="0"/>
        </w:rPr>
        <w:t xml:space="preserve">https://www.cnnbrasil.com.br/nacional/pms-do-brasil-perderam-30-mil-policiais-em-uma-decada/#:~:text=H%C3%A1%20uma%20d%C3%A9cada%2C%20havia%2030,vagas%20existentes%20para%20PMs%20preenchidas.</w:t>
      </w:r>
    </w:p>
  </w:footnote>
  <w:footnote w:id="35">
    <w:p w:rsidR="00000000" w:rsidDel="00000000" w:rsidP="00000000" w:rsidRDefault="00000000" w:rsidRPr="00000000" w14:paraId="000000CA">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5">
        <w:r w:rsidDel="00000000" w:rsidR="00000000" w:rsidRPr="00000000">
          <w:rPr>
            <w:rFonts w:ascii="Times New Roman" w:cs="Times New Roman" w:eastAsia="Times New Roman" w:hAnsi="Times New Roman"/>
            <w:color w:val="1155cc"/>
            <w:sz w:val="20"/>
            <w:szCs w:val="20"/>
            <w:u w:val="single"/>
            <w:rtl w:val="0"/>
          </w:rPr>
          <w:t xml:space="preserve">Nota Pública do Consórcio da Lei Maria da Penha e do Instituto Maria da Penha sobre os Projetos de Lei PL 11/2019 e PLC 94/2018, 14/03/2019</w:t>
        </w:r>
      </w:hyperlink>
      <w:r w:rsidDel="00000000" w:rsidR="00000000" w:rsidRPr="00000000">
        <w:rPr>
          <w:rFonts w:ascii="Times New Roman" w:cs="Times New Roman" w:eastAsia="Times New Roman" w:hAnsi="Times New Roman"/>
          <w:sz w:val="20"/>
          <w:szCs w:val="20"/>
          <w:rtl w:val="0"/>
        </w:rPr>
        <w:t xml:space="preserve">. Ver também </w:t>
      </w:r>
      <w:hyperlink r:id="rId26">
        <w:r w:rsidDel="00000000" w:rsidR="00000000" w:rsidRPr="00000000">
          <w:rPr>
            <w:rFonts w:ascii="Times New Roman" w:cs="Times New Roman" w:eastAsia="Times New Roman" w:hAnsi="Times New Roman"/>
            <w:color w:val="0b57d0"/>
            <w:sz w:val="20"/>
            <w:szCs w:val="20"/>
            <w:u w:val="single"/>
            <w:rtl w:val="0"/>
          </w:rPr>
          <w:t xml:space="preserve">https://agenciadenoticias.ibge.gov.br/agencia-noticias/2012-agencia-de-noticias/noticias/25518-mesmo-com-lei-maria-da-penha-somente-2-4-dos-municipios-oferecem-casas-abrigo</w:t>
        </w:r>
      </w:hyperlink>
      <w:r w:rsidDel="00000000" w:rsidR="00000000" w:rsidRPr="00000000">
        <w:rPr>
          <w:rtl w:val="0"/>
        </w:rPr>
      </w:r>
    </w:p>
  </w:footnote>
  <w:footnote w:id="36">
    <w:p w:rsidR="00000000" w:rsidDel="00000000" w:rsidP="00000000" w:rsidRDefault="00000000" w:rsidRPr="00000000" w14:paraId="000000C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Sobre orçamento para as mulheres no Governo Federal ver </w:t>
      </w:r>
      <w:hyperlink r:id="rId27">
        <w:r w:rsidDel="00000000" w:rsidR="00000000" w:rsidRPr="00000000">
          <w:rPr>
            <w:rFonts w:ascii="Times New Roman" w:cs="Times New Roman" w:eastAsia="Times New Roman" w:hAnsi="Times New Roman"/>
            <w:color w:val="1155cc"/>
            <w:sz w:val="20"/>
            <w:szCs w:val="20"/>
            <w:u w:val="single"/>
            <w:rtl w:val="0"/>
          </w:rPr>
          <w:t xml:space="preserve">ZIGONE, 2020</w:t>
        </w:r>
      </w:hyperlink>
      <w:r w:rsidDel="00000000" w:rsidR="00000000" w:rsidRPr="00000000">
        <w:rPr>
          <w:rFonts w:ascii="Times New Roman" w:cs="Times New Roman" w:eastAsia="Times New Roman" w:hAnsi="Times New Roman"/>
          <w:sz w:val="20"/>
          <w:szCs w:val="20"/>
          <w:rtl w:val="0"/>
        </w:rPr>
        <w:t xml:space="preserve">;</w:t>
      </w:r>
      <w:hyperlink r:id="rId28">
        <w:r w:rsidDel="00000000" w:rsidR="00000000" w:rsidRPr="00000000">
          <w:rPr>
            <w:rFonts w:ascii="Times New Roman" w:cs="Times New Roman" w:eastAsia="Times New Roman" w:hAnsi="Times New Roman"/>
            <w:color w:val="1155cc"/>
            <w:sz w:val="20"/>
            <w:szCs w:val="20"/>
            <w:u w:val="single"/>
            <w:rtl w:val="0"/>
          </w:rPr>
          <w:t xml:space="preserve"> ZIGONE, 2020b</w:t>
        </w:r>
      </w:hyperlink>
      <w:r w:rsidDel="00000000" w:rsidR="00000000" w:rsidRPr="00000000">
        <w:rPr>
          <w:rFonts w:ascii="Times New Roman" w:cs="Times New Roman" w:eastAsia="Times New Roman" w:hAnsi="Times New Roman"/>
          <w:sz w:val="20"/>
          <w:szCs w:val="20"/>
          <w:rtl w:val="0"/>
        </w:rPr>
        <w:t xml:space="preserve">. </w:t>
      </w:r>
    </w:p>
  </w:footnote>
  <w:footnote w:id="37">
    <w:p w:rsidR="00000000" w:rsidDel="00000000" w:rsidP="00000000" w:rsidRDefault="00000000" w:rsidRPr="00000000" w14:paraId="000000CC">
      <w:pPr>
        <w:spacing w:after="0"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Ver </w:t>
      </w:r>
      <w:hyperlink r:id="rId29">
        <w:r w:rsidDel="00000000" w:rsidR="00000000" w:rsidRPr="00000000">
          <w:rPr>
            <w:rFonts w:ascii="Times New Roman" w:cs="Times New Roman" w:eastAsia="Times New Roman" w:hAnsi="Times New Roman"/>
            <w:color w:val="1155cc"/>
            <w:sz w:val="20"/>
            <w:szCs w:val="20"/>
            <w:u w:val="single"/>
            <w:rtl w:val="0"/>
          </w:rPr>
          <w:t xml:space="preserve">INESC. Análise do Projeto de Lei Orçamentária Anual (PLOA 2022). Brasília, setembro de 2021. </w:t>
        </w:r>
      </w:hyperlink>
      <w:r w:rsidDel="00000000" w:rsidR="00000000" w:rsidRPr="00000000">
        <w:rPr>
          <w:rtl w:val="0"/>
        </w:rPr>
      </w:r>
    </w:p>
  </w:footnote>
  <w:footnote w:id="38">
    <w:p w:rsidR="00000000" w:rsidDel="00000000" w:rsidP="00000000" w:rsidRDefault="00000000" w:rsidRPr="00000000" w14:paraId="000000CD">
      <w:pPr>
        <w:spacing w:after="0" w:line="240" w:lineRule="auto"/>
        <w:rPr>
          <w:rFonts w:ascii="Times New Roman" w:cs="Times New Roman" w:eastAsia="Times New Roman" w:hAnsi="Times New Roman"/>
          <w:sz w:val="20"/>
          <w:szCs w:val="20"/>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 Ver </w:t>
      </w:r>
      <w:hyperlink r:id="rId30">
        <w:r w:rsidDel="00000000" w:rsidR="00000000" w:rsidRPr="00000000">
          <w:rPr>
            <w:rFonts w:ascii="Times New Roman" w:cs="Times New Roman" w:eastAsia="Times New Roman" w:hAnsi="Times New Roman"/>
            <w:color w:val="1155cc"/>
            <w:sz w:val="20"/>
            <w:szCs w:val="20"/>
            <w:u w:val="single"/>
            <w:rtl w:val="0"/>
          </w:rPr>
          <w:t xml:space="preserve">INESC. Nota Técnica.  PPA 2024-2027. Brasília, maio, 2023</w:t>
        </w:r>
      </w:hyperlink>
      <w:r w:rsidDel="00000000" w:rsidR="00000000" w:rsidRPr="00000000">
        <w:rPr>
          <w:rFonts w:ascii="Times New Roman" w:cs="Times New Roman" w:eastAsia="Times New Roman" w:hAnsi="Times New Roman"/>
          <w:sz w:val="20"/>
          <w:szCs w:val="20"/>
          <w:rtl w:val="0"/>
        </w:rPr>
        <w:t xml:space="preserve">; </w:t>
      </w:r>
      <w:hyperlink r:id="rId31">
        <w:r w:rsidDel="00000000" w:rsidR="00000000" w:rsidRPr="00000000">
          <w:rPr>
            <w:rFonts w:ascii="Times New Roman" w:cs="Times New Roman" w:eastAsia="Times New Roman" w:hAnsi="Times New Roman"/>
            <w:color w:val="1155cc"/>
            <w:sz w:val="20"/>
            <w:szCs w:val="20"/>
            <w:u w:val="single"/>
            <w:rtl w:val="0"/>
          </w:rPr>
          <w:t xml:space="preserve">AGÊNCIA GOV.</w:t>
        </w:r>
      </w:hyperlink>
      <w:r w:rsidDel="00000000" w:rsidR="00000000" w:rsidRPr="00000000">
        <w:rPr>
          <w:rtl w:val="0"/>
        </w:rPr>
      </w:r>
    </w:p>
  </w:footnote>
  <w:footnote w:id="3">
    <w:p w:rsidR="00000000" w:rsidDel="00000000" w:rsidP="00000000" w:rsidRDefault="00000000" w:rsidRPr="00000000" w14:paraId="000000CE">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2">
        <w:r w:rsidDel="00000000" w:rsidR="00000000" w:rsidRPr="00000000">
          <w:rPr>
            <w:rFonts w:ascii="Times New Roman" w:cs="Times New Roman" w:eastAsia="Times New Roman" w:hAnsi="Times New Roman"/>
            <w:color w:val="1155cc"/>
            <w:sz w:val="20"/>
            <w:szCs w:val="20"/>
            <w:u w:val="single"/>
            <w:rtl w:val="0"/>
          </w:rPr>
          <w:t xml:space="preserve">BUENO, Samira et al. Feminicídios em 2023. São Paulo: FBSP, 2024</w:t>
        </w:r>
      </w:hyperlink>
      <w:r w:rsidDel="00000000" w:rsidR="00000000" w:rsidRPr="00000000">
        <w:rPr>
          <w:rFonts w:ascii="Times New Roman" w:cs="Times New Roman" w:eastAsia="Times New Roman" w:hAnsi="Times New Roman"/>
          <w:sz w:val="20"/>
          <w:szCs w:val="20"/>
          <w:rtl w:val="0"/>
        </w:rPr>
        <w:t xml:space="preserve">. A publicação analisa os dados do Anuário Brasileiro de Segurança Pública, que é produzido pelo FBSP com base em informações fornecidas pelas secretarias de segurança pública estaduais, pelas polícias civis, militares e federal, entre outras fontes oficiais da Segurança Pública, podendo, por isso, apresentar ou não dados de todas as unidades federativas.</w:t>
      </w:r>
    </w:p>
  </w:footnote>
  <w:footnote w:id="4">
    <w:p w:rsidR="00000000" w:rsidDel="00000000" w:rsidP="00000000" w:rsidRDefault="00000000" w:rsidRPr="00000000" w14:paraId="000000C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 Atlas da Violência é elaborado pelo IPEA  e FBSP. Retrata a violência no Brasil  a partir dos dados do Sistema de Informações sobre Mortalidade (SIM) e do Sistema de Informação de Agravos de Notificação (Sinan) do Ministério da Saúde. São informações sobre homicídios analisadas à luz da perspectiva de gênero, raça, faixa etária, entre outras.</w:t>
      </w:r>
      <w:r w:rsidDel="00000000" w:rsidR="00000000" w:rsidRPr="00000000">
        <w:rPr>
          <w:rtl w:val="0"/>
        </w:rPr>
      </w:r>
    </w:p>
  </w:footnote>
  <w:footnote w:id="5">
    <w:p w:rsidR="00000000" w:rsidDel="00000000" w:rsidP="00000000" w:rsidRDefault="00000000" w:rsidRPr="00000000" w14:paraId="000000D0">
      <w:pPr>
        <w:spacing w:after="0" w:line="240" w:lineRule="auto"/>
        <w:rPr>
          <w:sz w:val="20"/>
          <w:szCs w:val="20"/>
          <w:vertAlign w:val="superscript"/>
        </w:rPr>
      </w:pPr>
      <w:r w:rsidDel="00000000" w:rsidR="00000000" w:rsidRPr="00000000">
        <w:rPr>
          <w:rStyle w:val="FootnoteReference"/>
          <w:vertAlign w:val="superscript"/>
        </w:rPr>
        <w:footnoteRef/>
      </w:r>
      <w:hyperlink r:id="rId33">
        <w:r w:rsidDel="00000000" w:rsidR="00000000" w:rsidRPr="00000000">
          <w:rPr>
            <w:rFonts w:ascii="Times New Roman" w:cs="Times New Roman" w:eastAsia="Times New Roman" w:hAnsi="Times New Roman"/>
            <w:color w:val="1155cc"/>
            <w:sz w:val="20"/>
            <w:szCs w:val="20"/>
            <w:u w:val="single"/>
            <w:rtl w:val="0"/>
          </w:rPr>
          <w:t xml:space="preserve"> Ipea - Atlas da Violência v.2.7 - Atlas da Violência 2023</w:t>
        </w:r>
      </w:hyperlink>
      <w:r w:rsidDel="00000000" w:rsidR="00000000" w:rsidRPr="00000000">
        <w:rPr>
          <w:rtl w:val="0"/>
        </w:rPr>
      </w:r>
    </w:p>
  </w:footnote>
  <w:footnote w:id="6">
    <w:p w:rsidR="00000000" w:rsidDel="00000000" w:rsidP="00000000" w:rsidRDefault="00000000" w:rsidRPr="00000000" w14:paraId="000000D1">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4">
        <w:r w:rsidDel="00000000" w:rsidR="00000000" w:rsidRPr="00000000">
          <w:rPr>
            <w:rFonts w:ascii="Times New Roman" w:cs="Times New Roman" w:eastAsia="Times New Roman" w:hAnsi="Times New Roman"/>
            <w:color w:val="1155cc"/>
            <w:sz w:val="20"/>
            <w:szCs w:val="20"/>
            <w:u w:val="single"/>
            <w:rtl w:val="0"/>
          </w:rPr>
          <w:t xml:space="preserve">CERQUEIRA, Daniel et al. Atlas da Violência 2021.São Paulo: FBSP, 2021, p 36</w:t>
        </w:r>
      </w:hyperlink>
      <w:r w:rsidDel="00000000" w:rsidR="00000000" w:rsidRPr="00000000">
        <w:rPr>
          <w:rFonts w:ascii="Times New Roman" w:cs="Times New Roman" w:eastAsia="Times New Roman" w:hAnsi="Times New Roman"/>
          <w:sz w:val="20"/>
          <w:szCs w:val="20"/>
          <w:rtl w:val="0"/>
        </w:rPr>
        <w:t xml:space="preserve">.</w:t>
      </w:r>
    </w:p>
  </w:footnote>
  <w:footnote w:id="26">
    <w:p w:rsidR="00000000" w:rsidDel="00000000" w:rsidP="00000000" w:rsidRDefault="00000000" w:rsidRPr="00000000" w14:paraId="000000D2">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Também foram publicados os documentos: i) Diretrizes Estaduais para Prevenir, Investigar, Processar e Julgar as Mortes Violentas de Mulheres com Perspectiva de Gênero. Secretaria da Mulher de Pernambuco. Recife: 2020; ii) Protocolo de Feminicídio da Paraíba Diretrizes Estaduais para prevenir, investigar, processar e julgar as mortes violentas de mulheres com perspectiva de gênero. Secretaria de Estado da Mulher e da Diversidade Humana da Paraíba. João Pessoa: 2021. iii) Protocolo do Feminicídio da Bahia. Secretaria de Políticas para as Mulheres da Bahia. 2021. iv) Manual de Investigação de Mortes Violentas de Mulheres sob a Perspectiva de Gênero. Academia de Polícia da Polícia Civil do Estado de São Paulo. São Paulo,2019. v) Protocolo de Investigação e Realização de Perícias nos Crimes de Feminicídio, da Polícia Civil do Distrito Federal – PCDF. Secretaria de Segurança Pública do Distrito Federal, 2017. vi) Manual de atuação das promotoras e dos promotores de Justiça em casos de feminicídio. Conselho Nacional do Ministério Público. Brasília, 2019.</w:t>
      </w:r>
    </w:p>
  </w:footnote>
  <w:footnote w:id="30">
    <w:p w:rsidR="00000000" w:rsidDel="00000000" w:rsidP="00000000" w:rsidRDefault="00000000" w:rsidRPr="00000000" w14:paraId="000000D3">
      <w:pPr>
        <w:spacing w:after="0"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hyperlink r:id="rId35">
        <w:r w:rsidDel="00000000" w:rsidR="00000000" w:rsidRPr="00000000">
          <w:rPr>
            <w:rFonts w:ascii="Times New Roman" w:cs="Times New Roman" w:eastAsia="Times New Roman" w:hAnsi="Times New Roman"/>
            <w:sz w:val="20"/>
            <w:szCs w:val="20"/>
            <w:rtl w:val="0"/>
          </w:rPr>
          <w:t xml:space="preserve">Supremo Tribunal Federal (stf.jus.br)</w:t>
        </w:r>
      </w:hyperlink>
      <w:r w:rsidDel="00000000" w:rsidR="00000000" w:rsidRPr="00000000">
        <w:rPr>
          <w:rtl w:val="0"/>
        </w:rPr>
      </w:r>
    </w:p>
  </w:footnote>
  <w:footnote w:id="39">
    <w:p w:rsidR="00000000" w:rsidDel="00000000" w:rsidP="00000000" w:rsidRDefault="00000000" w:rsidRPr="00000000" w14:paraId="000000D4">
      <w:pPr>
        <w:spacing w:after="0" w:line="240" w:lineRule="auto"/>
        <w:rPr>
          <w:rFonts w:ascii="Times New Roman" w:cs="Times New Roman" w:eastAsia="Times New Roman" w:hAnsi="Times New Roman"/>
          <w:color w:val="1155cc"/>
          <w:sz w:val="20"/>
          <w:szCs w:val="20"/>
          <w:u w:val="single"/>
        </w:rPr>
      </w:pPr>
      <w:r w:rsidDel="00000000" w:rsidR="00000000" w:rsidRPr="00000000">
        <w:rPr>
          <w:rStyle w:val="FootnoteReference"/>
          <w:vertAlign w:val="superscript"/>
        </w:rPr>
        <w:footnoteRef/>
      </w:r>
      <w:hyperlink r:id="rId36">
        <w:r w:rsidDel="00000000" w:rsidR="00000000" w:rsidRPr="00000000">
          <w:rPr>
            <w:rFonts w:ascii="Times New Roman" w:cs="Times New Roman" w:eastAsia="Times New Roman" w:hAnsi="Times New Roman"/>
            <w:color w:val="1155cc"/>
            <w:sz w:val="20"/>
            <w:szCs w:val="20"/>
            <w:u w:val="single"/>
            <w:rtl w:val="0"/>
          </w:rPr>
          <w:t xml:space="preserve"> Casa da Mulher Brasileira — Ministério das Mulheres (www.gov.br)</w:t>
        </w:r>
      </w:hyperlink>
      <w:r w:rsidDel="00000000" w:rsidR="00000000" w:rsidRPr="00000000">
        <w:rPr>
          <w:rtl w:val="0"/>
        </w:rPr>
      </w:r>
    </w:p>
  </w:footnote>
  <w:footnote w:id="27">
    <w:p w:rsidR="00000000" w:rsidDel="00000000" w:rsidP="00000000" w:rsidRDefault="00000000" w:rsidRPr="00000000" w14:paraId="000000D5">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MATOS, Myllena Calasans de. O estado da arte da legislação brasileira sobre violência de gênero contra as mulheres. Brasília-DF, 2024 (no Prelo).</w:t>
      </w:r>
    </w:p>
    <w:p w:rsidR="00000000" w:rsidDel="00000000" w:rsidP="00000000" w:rsidRDefault="00000000" w:rsidRPr="00000000" w14:paraId="000000D6">
      <w:pPr>
        <w:spacing w:after="0" w:line="240" w:lineRule="auto"/>
        <w:rPr>
          <w:b w:val="1"/>
          <w:sz w:val="46"/>
          <w:szCs w:val="46"/>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Play" w:cs="Play" w:eastAsia="Play" w:hAnsi="Play"/>
      <w:color w:val="366091"/>
      <w:sz w:val="32"/>
      <w:szCs w:val="32"/>
    </w:rPr>
  </w:style>
  <w:style w:type="paragraph" w:styleId="Heading2">
    <w:name w:val="heading 2"/>
    <w:basedOn w:val="Normal"/>
    <w:next w:val="Normal"/>
    <w:pPr>
      <w:keepNext w:val="1"/>
      <w:keepLines w:val="1"/>
      <w:spacing w:after="80" w:before="160" w:lineRule="auto"/>
    </w:pPr>
    <w:rPr>
      <w:rFonts w:ascii="Play" w:cs="Play" w:eastAsia="Play" w:hAnsi="Play"/>
      <w:color w:val="366091"/>
      <w:sz w:val="32"/>
      <w:szCs w:val="32"/>
    </w:rPr>
  </w:style>
  <w:style w:type="paragraph" w:styleId="Heading3">
    <w:name w:val="heading 3"/>
    <w:basedOn w:val="Normal"/>
    <w:next w:val="Normal"/>
    <w:pPr>
      <w:keepNext w:val="1"/>
      <w:keepLines w:val="1"/>
      <w:spacing w:after="80" w:before="160" w:lineRule="auto"/>
    </w:pPr>
    <w:rPr>
      <w:color w:val="366091"/>
      <w:sz w:val="28"/>
      <w:szCs w:val="28"/>
    </w:rPr>
  </w:style>
  <w:style w:type="paragraph" w:styleId="Heading4">
    <w:name w:val="heading 4"/>
    <w:basedOn w:val="Normal"/>
    <w:next w:val="Normal"/>
    <w:pPr>
      <w:keepNext w:val="1"/>
      <w:keepLines w:val="1"/>
      <w:spacing w:after="40" w:before="80" w:lineRule="auto"/>
    </w:pPr>
    <w:rPr>
      <w:i w:val="1"/>
      <w:color w:val="366091"/>
    </w:rPr>
  </w:style>
  <w:style w:type="paragraph" w:styleId="Heading5">
    <w:name w:val="heading 5"/>
    <w:basedOn w:val="Normal"/>
    <w:next w:val="Normal"/>
    <w:pPr>
      <w:keepNext w:val="1"/>
      <w:keepLines w:val="1"/>
      <w:spacing w:after="40" w:before="80" w:lineRule="auto"/>
    </w:pPr>
    <w:rPr>
      <w:color w:val="36609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Ttulo1">
    <w:name w:val="heading 1"/>
    <w:basedOn w:val="Normal"/>
    <w:next w:val="Normal"/>
    <w:link w:val="Ttulo1Char"/>
    <w:uiPriority w:val="9"/>
    <w:qFormat w:val="1"/>
    <w:rsid w:val="000F3044"/>
    <w:pPr>
      <w:keepNext w:val="1"/>
      <w:keepLines w:val="1"/>
      <w:spacing w:after="0" w:before="240"/>
      <w:outlineLvl w:val="0"/>
    </w:pPr>
    <w:rPr>
      <w:rFonts w:asciiTheme="majorHAnsi" w:cstheme="majorBidi" w:eastAsiaTheme="majorEastAsia" w:hAnsiTheme="majorHAnsi"/>
      <w:color w:val="365f91" w:themeColor="accent1" w:themeShade="0000BF"/>
      <w:sz w:val="32"/>
      <w:szCs w:val="32"/>
    </w:rPr>
  </w:style>
  <w:style w:type="paragraph" w:styleId="Ttulo2">
    <w:name w:val="heading 2"/>
    <w:basedOn w:val="Normal"/>
    <w:next w:val="Normal"/>
    <w:link w:val="Ttulo2Char"/>
    <w:uiPriority w:val="9"/>
    <w:semiHidden w:val="1"/>
    <w:unhideWhenUsed w:val="1"/>
    <w:qFormat w:val="1"/>
    <w:rsid w:val="00442EA0"/>
    <w:pPr>
      <w:keepNext w:val="1"/>
      <w:keepLines w:val="1"/>
      <w:spacing w:after="80" w:before="160"/>
      <w:outlineLvl w:val="1"/>
    </w:pPr>
    <w:rPr>
      <w:rFonts w:asciiTheme="majorHAnsi" w:cstheme="majorBidi" w:eastAsiaTheme="majorEastAsia" w:hAnsiTheme="majorHAnsi"/>
      <w:color w:val="365f91" w:themeColor="accent1" w:themeShade="0000BF"/>
      <w:sz w:val="32"/>
      <w:szCs w:val="32"/>
    </w:rPr>
  </w:style>
  <w:style w:type="paragraph" w:styleId="Ttulo3">
    <w:name w:val="heading 3"/>
    <w:basedOn w:val="Normal"/>
    <w:next w:val="Normal"/>
    <w:link w:val="Ttulo3Char"/>
    <w:uiPriority w:val="9"/>
    <w:semiHidden w:val="1"/>
    <w:unhideWhenUsed w:val="1"/>
    <w:qFormat w:val="1"/>
    <w:rsid w:val="00442EA0"/>
    <w:pPr>
      <w:keepNext w:val="1"/>
      <w:keepLines w:val="1"/>
      <w:spacing w:after="80" w:before="160"/>
      <w:outlineLvl w:val="2"/>
    </w:pPr>
    <w:rPr>
      <w:rFonts w:cstheme="majorBidi" w:eastAsiaTheme="majorEastAsia"/>
      <w:color w:val="365f91" w:themeColor="accent1" w:themeShade="0000BF"/>
      <w:sz w:val="28"/>
      <w:szCs w:val="28"/>
    </w:rPr>
  </w:style>
  <w:style w:type="paragraph" w:styleId="Ttulo4">
    <w:name w:val="heading 4"/>
    <w:basedOn w:val="Normal"/>
    <w:next w:val="Normal"/>
    <w:link w:val="Ttulo4Char"/>
    <w:uiPriority w:val="9"/>
    <w:semiHidden w:val="1"/>
    <w:unhideWhenUsed w:val="1"/>
    <w:qFormat w:val="1"/>
    <w:rsid w:val="00442EA0"/>
    <w:pPr>
      <w:keepNext w:val="1"/>
      <w:keepLines w:val="1"/>
      <w:spacing w:after="40" w:before="80"/>
      <w:outlineLvl w:val="3"/>
    </w:pPr>
    <w:rPr>
      <w:rFonts w:cstheme="majorBidi" w:eastAsiaTheme="majorEastAsia"/>
      <w:i w:val="1"/>
      <w:iCs w:val="1"/>
      <w:color w:val="365f91" w:themeColor="accent1" w:themeShade="0000BF"/>
    </w:rPr>
  </w:style>
  <w:style w:type="paragraph" w:styleId="Ttulo5">
    <w:name w:val="heading 5"/>
    <w:basedOn w:val="Normal"/>
    <w:next w:val="Normal"/>
    <w:link w:val="Ttulo5Char"/>
    <w:uiPriority w:val="9"/>
    <w:semiHidden w:val="1"/>
    <w:unhideWhenUsed w:val="1"/>
    <w:qFormat w:val="1"/>
    <w:rsid w:val="00442EA0"/>
    <w:pPr>
      <w:keepNext w:val="1"/>
      <w:keepLines w:val="1"/>
      <w:spacing w:after="40" w:before="80"/>
      <w:outlineLvl w:val="4"/>
    </w:pPr>
    <w:rPr>
      <w:rFonts w:cstheme="majorBidi" w:eastAsiaTheme="majorEastAsia"/>
      <w:color w:val="365f91" w:themeColor="accent1" w:themeShade="0000BF"/>
    </w:rPr>
  </w:style>
  <w:style w:type="paragraph" w:styleId="Ttulo6">
    <w:name w:val="heading 6"/>
    <w:basedOn w:val="Normal"/>
    <w:next w:val="Normal"/>
    <w:link w:val="Ttulo6Char"/>
    <w:uiPriority w:val="9"/>
    <w:semiHidden w:val="1"/>
    <w:unhideWhenUsed w:val="1"/>
    <w:qFormat w:val="1"/>
    <w:rsid w:val="00442EA0"/>
    <w:pPr>
      <w:keepNext w:val="1"/>
      <w:keepLines w:val="1"/>
      <w:spacing w:after="0" w:before="40"/>
      <w:outlineLvl w:val="5"/>
    </w:pPr>
    <w:rPr>
      <w:rFonts w:cstheme="majorBidi" w:eastAsiaTheme="majorEastAsia"/>
      <w:i w:val="1"/>
      <w:iCs w:val="1"/>
      <w:color w:val="595959" w:themeColor="text1" w:themeTint="0000A6"/>
    </w:rPr>
  </w:style>
  <w:style w:type="paragraph" w:styleId="Ttulo7">
    <w:name w:val="heading 7"/>
    <w:basedOn w:val="Normal"/>
    <w:next w:val="Normal"/>
    <w:link w:val="Ttulo7Char"/>
    <w:uiPriority w:val="9"/>
    <w:semiHidden w:val="1"/>
    <w:unhideWhenUsed w:val="1"/>
    <w:qFormat w:val="1"/>
    <w:rsid w:val="00442EA0"/>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har"/>
    <w:uiPriority w:val="9"/>
    <w:semiHidden w:val="1"/>
    <w:unhideWhenUsed w:val="1"/>
    <w:qFormat w:val="1"/>
    <w:rsid w:val="00442EA0"/>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har"/>
    <w:uiPriority w:val="9"/>
    <w:semiHidden w:val="1"/>
    <w:unhideWhenUsed w:val="1"/>
    <w:qFormat w:val="1"/>
    <w:rsid w:val="00442EA0"/>
    <w:pPr>
      <w:keepNext w:val="1"/>
      <w:keepLines w:val="1"/>
      <w:spacing w:after="0"/>
      <w:outlineLvl w:val="8"/>
    </w:pPr>
    <w:rPr>
      <w:rFonts w:cstheme="majorBidi" w:eastAsiaTheme="majorEastAsia"/>
      <w:color w:val="272727" w:themeColor="text1" w:themeTint="0000D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Estilo1" w:customStyle="1">
    <w:name w:val="Estilo1"/>
    <w:basedOn w:val="Ttulo1"/>
    <w:autoRedefine w:val="1"/>
    <w:qFormat w:val="1"/>
    <w:rsid w:val="000F3044"/>
    <w:rPr>
      <w:rFonts w:ascii="Times New Roman" w:cs="Times New Roman" w:hAnsi="Times New Roman"/>
      <w:sz w:val="24"/>
      <w:szCs w:val="24"/>
    </w:rPr>
  </w:style>
  <w:style w:type="character" w:styleId="Ttulo1Char" w:customStyle="1">
    <w:name w:val="Título 1 Char"/>
    <w:basedOn w:val="Fontepargpadro"/>
    <w:link w:val="Ttulo1"/>
    <w:uiPriority w:val="9"/>
    <w:rsid w:val="000F3044"/>
    <w:rPr>
      <w:rFonts w:asciiTheme="majorHAnsi" w:cstheme="majorBidi" w:eastAsiaTheme="majorEastAsia" w:hAnsiTheme="majorHAnsi"/>
      <w:color w:val="365f91" w:themeColor="accent1" w:themeShade="0000BF"/>
      <w:sz w:val="32"/>
      <w:szCs w:val="32"/>
    </w:rPr>
  </w:style>
  <w:style w:type="character" w:styleId="Ttulo2Char" w:customStyle="1">
    <w:name w:val="Título 2 Char"/>
    <w:basedOn w:val="Fontepargpadro"/>
    <w:link w:val="Ttulo2"/>
    <w:uiPriority w:val="9"/>
    <w:semiHidden w:val="1"/>
    <w:rsid w:val="00442EA0"/>
    <w:rPr>
      <w:rFonts w:asciiTheme="majorHAnsi" w:cstheme="majorBidi" w:eastAsiaTheme="majorEastAsia" w:hAnsiTheme="majorHAnsi"/>
      <w:color w:val="365f91" w:themeColor="accent1" w:themeShade="0000BF"/>
      <w:sz w:val="32"/>
      <w:szCs w:val="32"/>
    </w:rPr>
  </w:style>
  <w:style w:type="character" w:styleId="Ttulo3Char" w:customStyle="1">
    <w:name w:val="Título 3 Char"/>
    <w:basedOn w:val="Fontepargpadro"/>
    <w:link w:val="Ttulo3"/>
    <w:uiPriority w:val="9"/>
    <w:semiHidden w:val="1"/>
    <w:rsid w:val="00442EA0"/>
    <w:rPr>
      <w:rFonts w:cstheme="majorBidi" w:eastAsiaTheme="majorEastAsia"/>
      <w:color w:val="365f91" w:themeColor="accent1" w:themeShade="0000BF"/>
      <w:sz w:val="28"/>
      <w:szCs w:val="28"/>
    </w:rPr>
  </w:style>
  <w:style w:type="character" w:styleId="Ttulo4Char" w:customStyle="1">
    <w:name w:val="Título 4 Char"/>
    <w:basedOn w:val="Fontepargpadro"/>
    <w:link w:val="Ttulo4"/>
    <w:uiPriority w:val="9"/>
    <w:semiHidden w:val="1"/>
    <w:rsid w:val="00442EA0"/>
    <w:rPr>
      <w:rFonts w:cstheme="majorBidi" w:eastAsiaTheme="majorEastAsia"/>
      <w:i w:val="1"/>
      <w:iCs w:val="1"/>
      <w:color w:val="365f91" w:themeColor="accent1" w:themeShade="0000BF"/>
    </w:rPr>
  </w:style>
  <w:style w:type="character" w:styleId="Ttulo5Char" w:customStyle="1">
    <w:name w:val="Título 5 Char"/>
    <w:basedOn w:val="Fontepargpadro"/>
    <w:link w:val="Ttulo5"/>
    <w:uiPriority w:val="9"/>
    <w:semiHidden w:val="1"/>
    <w:rsid w:val="00442EA0"/>
    <w:rPr>
      <w:rFonts w:cstheme="majorBidi" w:eastAsiaTheme="majorEastAsia"/>
      <w:color w:val="365f91" w:themeColor="accent1" w:themeShade="0000BF"/>
    </w:rPr>
  </w:style>
  <w:style w:type="character" w:styleId="Ttulo6Char" w:customStyle="1">
    <w:name w:val="Título 6 Char"/>
    <w:basedOn w:val="Fontepargpadro"/>
    <w:link w:val="Ttulo6"/>
    <w:uiPriority w:val="9"/>
    <w:semiHidden w:val="1"/>
    <w:rsid w:val="00442EA0"/>
    <w:rPr>
      <w:rFonts w:cstheme="majorBidi" w:eastAsiaTheme="majorEastAsia"/>
      <w:i w:val="1"/>
      <w:iCs w:val="1"/>
      <w:color w:val="595959" w:themeColor="text1" w:themeTint="0000A6"/>
    </w:rPr>
  </w:style>
  <w:style w:type="character" w:styleId="Ttulo7Char" w:customStyle="1">
    <w:name w:val="Título 7 Char"/>
    <w:basedOn w:val="Fontepargpadro"/>
    <w:link w:val="Ttulo7"/>
    <w:uiPriority w:val="9"/>
    <w:semiHidden w:val="1"/>
    <w:rsid w:val="00442EA0"/>
    <w:rPr>
      <w:rFonts w:cstheme="majorBidi" w:eastAsiaTheme="majorEastAsia"/>
      <w:color w:val="595959" w:themeColor="text1" w:themeTint="0000A6"/>
    </w:rPr>
  </w:style>
  <w:style w:type="character" w:styleId="Ttulo8Char" w:customStyle="1">
    <w:name w:val="Título 8 Char"/>
    <w:basedOn w:val="Fontepargpadro"/>
    <w:link w:val="Ttulo8"/>
    <w:uiPriority w:val="9"/>
    <w:semiHidden w:val="1"/>
    <w:rsid w:val="00442EA0"/>
    <w:rPr>
      <w:rFonts w:cstheme="majorBidi" w:eastAsiaTheme="majorEastAsia"/>
      <w:i w:val="1"/>
      <w:iCs w:val="1"/>
      <w:color w:val="272727" w:themeColor="text1" w:themeTint="0000D8"/>
    </w:rPr>
  </w:style>
  <w:style w:type="character" w:styleId="Ttulo9Char" w:customStyle="1">
    <w:name w:val="Título 9 Char"/>
    <w:basedOn w:val="Fontepargpadro"/>
    <w:link w:val="Ttulo9"/>
    <w:uiPriority w:val="9"/>
    <w:semiHidden w:val="1"/>
    <w:rsid w:val="00442EA0"/>
    <w:rPr>
      <w:rFonts w:cstheme="majorBidi" w:eastAsiaTheme="majorEastAsia"/>
      <w:color w:val="272727" w:themeColor="text1" w:themeTint="0000D8"/>
    </w:rPr>
  </w:style>
  <w:style w:type="paragraph" w:styleId="Ttulo">
    <w:name w:val="Title"/>
    <w:basedOn w:val="Normal"/>
    <w:next w:val="Normal"/>
    <w:link w:val="TtuloChar"/>
    <w:uiPriority w:val="10"/>
    <w:qFormat w:val="1"/>
    <w:rsid w:val="00442EA0"/>
    <w:pPr>
      <w:spacing w:after="80" w:line="240" w:lineRule="auto"/>
      <w:contextualSpacing w:val="1"/>
    </w:pPr>
    <w:rPr>
      <w:rFonts w:asciiTheme="majorHAnsi" w:cstheme="majorBidi" w:eastAsiaTheme="majorEastAsia" w:hAnsiTheme="majorHAnsi"/>
      <w:spacing w:val="-10"/>
      <w:kern w:val="28"/>
      <w:sz w:val="56"/>
      <w:szCs w:val="56"/>
    </w:rPr>
  </w:style>
  <w:style w:type="character" w:styleId="TtuloChar" w:customStyle="1">
    <w:name w:val="Título Char"/>
    <w:basedOn w:val="Fontepargpadro"/>
    <w:link w:val="Ttulo"/>
    <w:uiPriority w:val="10"/>
    <w:rsid w:val="00442EA0"/>
    <w:rPr>
      <w:rFonts w:asciiTheme="majorHAnsi" w:cstheme="majorBidi" w:eastAsiaTheme="majorEastAsia" w:hAnsiTheme="majorHAnsi"/>
      <w:spacing w:val="-10"/>
      <w:kern w:val="28"/>
      <w:sz w:val="56"/>
      <w:szCs w:val="56"/>
    </w:rPr>
  </w:style>
  <w:style w:type="paragraph" w:styleId="Subttulo">
    <w:name w:val="Subtitle"/>
    <w:basedOn w:val="Normal"/>
    <w:next w:val="Normal"/>
    <w:link w:val="SubttuloChar"/>
    <w:uiPriority w:val="11"/>
    <w:qFormat w:val="1"/>
    <w:rsid w:val="00442EA0"/>
    <w:pPr>
      <w:numPr>
        <w:ilvl w:val="1"/>
      </w:numPr>
    </w:pPr>
    <w:rPr>
      <w:rFonts w:cstheme="majorBidi" w:eastAsiaTheme="majorEastAsia"/>
      <w:color w:val="595959" w:themeColor="text1" w:themeTint="0000A6"/>
      <w:spacing w:val="15"/>
      <w:sz w:val="28"/>
      <w:szCs w:val="28"/>
    </w:rPr>
  </w:style>
  <w:style w:type="character" w:styleId="SubttuloChar" w:customStyle="1">
    <w:name w:val="Subtítulo Char"/>
    <w:basedOn w:val="Fontepargpadro"/>
    <w:link w:val="Subttulo"/>
    <w:uiPriority w:val="11"/>
    <w:rsid w:val="00442EA0"/>
    <w:rPr>
      <w:rFonts w:cstheme="majorBidi" w:eastAsiaTheme="majorEastAsia"/>
      <w:color w:val="595959" w:themeColor="text1" w:themeTint="0000A6"/>
      <w:spacing w:val="15"/>
      <w:sz w:val="28"/>
      <w:szCs w:val="28"/>
    </w:rPr>
  </w:style>
  <w:style w:type="paragraph" w:styleId="Citao">
    <w:name w:val="Quote"/>
    <w:basedOn w:val="Normal"/>
    <w:next w:val="Normal"/>
    <w:link w:val="CitaoChar"/>
    <w:uiPriority w:val="29"/>
    <w:qFormat w:val="1"/>
    <w:rsid w:val="00442EA0"/>
    <w:pPr>
      <w:spacing w:before="160"/>
      <w:jc w:val="center"/>
    </w:pPr>
    <w:rPr>
      <w:i w:val="1"/>
      <w:iCs w:val="1"/>
      <w:color w:val="404040" w:themeColor="text1" w:themeTint="0000BF"/>
    </w:rPr>
  </w:style>
  <w:style w:type="character" w:styleId="CitaoChar" w:customStyle="1">
    <w:name w:val="Citação Char"/>
    <w:basedOn w:val="Fontepargpadro"/>
    <w:link w:val="Citao"/>
    <w:uiPriority w:val="29"/>
    <w:rsid w:val="00442EA0"/>
    <w:rPr>
      <w:i w:val="1"/>
      <w:iCs w:val="1"/>
      <w:color w:val="404040" w:themeColor="text1" w:themeTint="0000BF"/>
    </w:rPr>
  </w:style>
  <w:style w:type="paragraph" w:styleId="PargrafodaLista">
    <w:name w:val="List Paragraph"/>
    <w:basedOn w:val="Normal"/>
    <w:uiPriority w:val="34"/>
    <w:qFormat w:val="1"/>
    <w:rsid w:val="00442EA0"/>
    <w:pPr>
      <w:ind w:left="720"/>
      <w:contextualSpacing w:val="1"/>
    </w:pPr>
  </w:style>
  <w:style w:type="character" w:styleId="nfaseIntensa">
    <w:name w:val="Intense Emphasis"/>
    <w:basedOn w:val="Fontepargpadro"/>
    <w:uiPriority w:val="21"/>
    <w:qFormat w:val="1"/>
    <w:rsid w:val="00442EA0"/>
    <w:rPr>
      <w:i w:val="1"/>
      <w:iCs w:val="1"/>
      <w:color w:val="365f91" w:themeColor="accent1" w:themeShade="0000BF"/>
    </w:rPr>
  </w:style>
  <w:style w:type="paragraph" w:styleId="CitaoIntensa">
    <w:name w:val="Intense Quote"/>
    <w:basedOn w:val="Normal"/>
    <w:next w:val="Normal"/>
    <w:link w:val="CitaoIntensaChar"/>
    <w:uiPriority w:val="30"/>
    <w:qFormat w:val="1"/>
    <w:rsid w:val="00442EA0"/>
    <w:pPr>
      <w:pBdr>
        <w:top w:color="365f91" w:space="10" w:sz="4" w:themeColor="accent1" w:themeShade="0000BF" w:val="single"/>
        <w:bottom w:color="365f91" w:space="10" w:sz="4" w:themeColor="accent1" w:themeShade="0000BF" w:val="single"/>
      </w:pBdr>
      <w:spacing w:after="360" w:before="360"/>
      <w:ind w:left="864" w:right="864"/>
      <w:jc w:val="center"/>
    </w:pPr>
    <w:rPr>
      <w:i w:val="1"/>
      <w:iCs w:val="1"/>
      <w:color w:val="365f91" w:themeColor="accent1" w:themeShade="0000BF"/>
    </w:rPr>
  </w:style>
  <w:style w:type="character" w:styleId="CitaoIntensaChar" w:customStyle="1">
    <w:name w:val="Citação Intensa Char"/>
    <w:basedOn w:val="Fontepargpadro"/>
    <w:link w:val="CitaoIntensa"/>
    <w:uiPriority w:val="30"/>
    <w:rsid w:val="00442EA0"/>
    <w:rPr>
      <w:i w:val="1"/>
      <w:iCs w:val="1"/>
      <w:color w:val="365f91" w:themeColor="accent1" w:themeShade="0000BF"/>
    </w:rPr>
  </w:style>
  <w:style w:type="character" w:styleId="RefernciaIntensa">
    <w:name w:val="Intense Reference"/>
    <w:basedOn w:val="Fontepargpadro"/>
    <w:uiPriority w:val="32"/>
    <w:qFormat w:val="1"/>
    <w:rsid w:val="00442EA0"/>
    <w:rPr>
      <w:b w:val="1"/>
      <w:bCs w:val="1"/>
      <w:smallCaps w:val="1"/>
      <w:color w:val="365f91" w:themeColor="accent1" w:themeShade="0000BF"/>
      <w:spacing w:val="5"/>
    </w:rPr>
  </w:style>
  <w:style w:type="paragraph" w:styleId="Textodenotaderodap">
    <w:name w:val="footnote text"/>
    <w:basedOn w:val="Normal"/>
    <w:link w:val="TextodenotaderodapChar"/>
    <w:uiPriority w:val="99"/>
    <w:semiHidden w:val="1"/>
    <w:unhideWhenUsed w:val="1"/>
    <w:rsid w:val="006F3001"/>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6F3001"/>
    <w:rPr>
      <w:sz w:val="20"/>
      <w:szCs w:val="20"/>
    </w:rPr>
  </w:style>
  <w:style w:type="character" w:styleId="Refdenotaderodap">
    <w:name w:val="footnote reference"/>
    <w:basedOn w:val="Fontepargpadro"/>
    <w:uiPriority w:val="99"/>
    <w:semiHidden w:val="1"/>
    <w:unhideWhenUsed w:val="1"/>
    <w:rsid w:val="006F3001"/>
    <w:rPr>
      <w:vertAlign w:val="superscript"/>
    </w:rPr>
  </w:style>
  <w:style w:type="table" w:styleId="Tabelacomgrade">
    <w:name w:val="Table Grid"/>
    <w:basedOn w:val="Tabelanormal"/>
    <w:uiPriority w:val="39"/>
    <w:rsid w:val="0001140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bealho1" w:customStyle="1">
    <w:name w:val="Cabeçalho1"/>
    <w:rsid w:val="006D34E1"/>
    <w:pPr>
      <w:tabs>
        <w:tab w:val="center" w:pos="4252"/>
        <w:tab w:val="right" w:pos="8504"/>
      </w:tabs>
      <w:spacing w:after="0" w:line="240" w:lineRule="auto"/>
    </w:pPr>
    <w:rPr>
      <w:rFonts w:ascii="Times New Roman" w:cs="Times New Roman" w:eastAsia="Times New Roman" w:hAnsi="Times New Roman"/>
      <w:color w:val="000000"/>
      <w:kern w:val="0"/>
      <w:sz w:val="24"/>
      <w:szCs w:val="20"/>
      <w:lang w:eastAsia="pt-BR"/>
    </w:rPr>
  </w:style>
  <w:style w:type="character" w:styleId="Forte1" w:customStyle="1">
    <w:name w:val="Forte1"/>
    <w:rsid w:val="006D34E1"/>
    <w:rPr>
      <w:rFonts w:ascii="Times New Roman" w:cs="Times New Roman" w:hAnsi="Times New Roman" w:hint="default"/>
      <w:b w:val="1"/>
      <w:bCs w:val="0"/>
      <w:color w:val="000000"/>
    </w:rPr>
  </w:style>
  <w:style w:type="paragraph" w:styleId="NormalWeb">
    <w:name w:val="Normal (Web)"/>
    <w:basedOn w:val="Normal"/>
    <w:uiPriority w:val="99"/>
    <w:semiHidden w:val="1"/>
    <w:unhideWhenUsed w:val="1"/>
    <w:rsid w:val="00516605"/>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Hyperlink">
    <w:name w:val="Hyperlink"/>
    <w:basedOn w:val="Fontepargpadro"/>
    <w:uiPriority w:val="99"/>
    <w:unhideWhenUsed w:val="1"/>
    <w:rsid w:val="009347CC"/>
    <w:rPr>
      <w:color w:val="0000ff"/>
      <w:u w:val="single"/>
    </w:rPr>
  </w:style>
  <w:style w:type="character" w:styleId="MenoPendente">
    <w:name w:val="Unresolved Mention"/>
    <w:basedOn w:val="Fontepargpadro"/>
    <w:uiPriority w:val="99"/>
    <w:semiHidden w:val="1"/>
    <w:unhideWhenUsed w:val="1"/>
    <w:rsid w:val="00A8183E"/>
    <w:rPr>
      <w:color w:val="605e5c"/>
      <w:shd w:color="auto" w:fill="e1dfdd" w:val="clear"/>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pidspace.universilab.com.br/server/api/core/bitstreams/eca3a94f-2981-488c-af29-572a73c8a9bf/content" TargetMode="Externa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yperlink" Target="https://www.gov.br/mulheres/pt-br/central-de-conteudos/noticias/2024/marco/pacto-nacional-de-prevencao-aos-feminicidios-lanca-plano-de-acao-com-73-medidas-para-enfrentar-a-violencia-contra-mulheres#:~:text=Pacto%20Nacional%20%2D%20O%20Plano%20de,meio%20de%20a%C3%A7%C3%B5es%20governamentais%20intersetoriais%2C" TargetMode="Externa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20" Type="http://schemas.openxmlformats.org/officeDocument/2006/relationships/hyperlink" Target="https://forumseguranca.org.br/wp-content/uploads/2020/10/anuario-14-2020-v1-interativo.pdf" TargetMode="External"/><Relationship Id="rId22" Type="http://schemas.openxmlformats.org/officeDocument/2006/relationships/hyperlink" Target="https://cladem.org/investigacion/interrelacion-y-vinculos-entre-la-violencia-sexual-y-la-muerte-de-ninas-y-adolescentes-en-lac" TargetMode="External"/><Relationship Id="rId21" Type="http://schemas.openxmlformats.org/officeDocument/2006/relationships/hyperlink" Target="https://unesdoc.unesco.org/ark:/48223/pf0000183281_por" TargetMode="External"/><Relationship Id="rId24" Type="http://schemas.openxmlformats.org/officeDocument/2006/relationships/hyperlink" Target="https://www.planalto.gov.br/ccivil_03/_ato2023-2026/2023/lei/L14541.htm" TargetMode="External"/><Relationship Id="rId23" Type="http://schemas.openxmlformats.org/officeDocument/2006/relationships/hyperlink" Target="https://g1.globo.com/fato-ou-fake/noticia/2022/06/13/e-fake-que-maria-da-penha-ficou-paraplegica-em-assalto-e-nao-ao-ser-baleada-pelo-marido.ghtml" TargetMode="External"/><Relationship Id="rId1" Type="http://schemas.openxmlformats.org/officeDocument/2006/relationships/hyperlink" Target="mailto:cladembrasil@gmail.com" TargetMode="External"/><Relationship Id="rId2" Type="http://schemas.openxmlformats.org/officeDocument/2006/relationships/hyperlink" Target="http://ideiaeventos.com.br/CPCV/Relatorio_Meninas_no_Cear%C3%A1.pdf" TargetMode="External"/><Relationship Id="rId3" Type="http://schemas.openxmlformats.org/officeDocument/2006/relationships/hyperlink" Target="https://www.uol.com.br/universa/noticias/redacao/2022/06/06/e-mentira-que-maria-da-penha-nao-sofreu-tentativa-de-feminicidio-entenda.htm" TargetMode="External"/><Relationship Id="rId4" Type="http://schemas.openxmlformats.org/officeDocument/2006/relationships/hyperlink" Target="https://www.cnj.jus.br/wp-content/uploads/2021/10/protocolo-para-julgamento-com-perspectiva-de-genero-cnj-24-03-2022.pdf" TargetMode="External"/><Relationship Id="rId9" Type="http://schemas.openxmlformats.org/officeDocument/2006/relationships/hyperlink" Target="https://bibliotecadigital.cnj.jus.br/jspui/bitstream/123456789/131/1/Relat%C3%B3rio%20O%20Poder%20Judici%C3%A1rio%20no%20Enfrentamento%20%C3%A0%20Viol%C3%AAncia%20Dom%C3%A9stica%20e%20Familiar%20Contra%20as%20Mulhres.pdf" TargetMode="External"/><Relationship Id="rId26" Type="http://schemas.openxmlformats.org/officeDocument/2006/relationships/hyperlink" Target="https://agenciadenoticias.ibge.gov.br/agencia-noticias/2012-agencia-de-noticias/noticias/25518-mesmo-com-lei-maria-da-penha-somente-2-4-dos-municipios-oferecem-casas-abrigo" TargetMode="External"/><Relationship Id="rId25" Type="http://schemas.openxmlformats.org/officeDocument/2006/relationships/hyperlink" Target="http://www.consorcioleimariadapenha.org.br/wp-content/uploads/2020/09/13-03-2019-Nota-p%C3%BAblica-sobre-os-projetos-de-lei-11-2019-e-94-2018.pdf" TargetMode="External"/><Relationship Id="rId28" Type="http://schemas.openxmlformats.org/officeDocument/2006/relationships/hyperlink" Target="https://inesc.org.br/pasta-de-damares-tem-r-394-mi-como-a-ministra-vai-utilizar-esse-recurso/" TargetMode="External"/><Relationship Id="rId27" Type="http://schemas.openxmlformats.org/officeDocument/2006/relationships/hyperlink" Target="https://inesc.org.br/o-governo-que-odeia-as-mulheres-a-inercia-de-damares-alves-na-crise-da-codiv-19/" TargetMode="External"/><Relationship Id="rId5" Type="http://schemas.openxmlformats.org/officeDocument/2006/relationships/hyperlink" Target="https://www.planalto.gov.br/ccivil_03/_ato2019-2022/2022/lei/l14321.htm" TargetMode="External"/><Relationship Id="rId6" Type="http://schemas.openxmlformats.org/officeDocument/2006/relationships/hyperlink" Target="https://www.planalto.gov.br/ccivil_03/_ato2019-2022/2021/lei/l14245.htm" TargetMode="External"/><Relationship Id="rId29" Type="http://schemas.openxmlformats.org/officeDocument/2006/relationships/hyperlink" Target="https://inesc.org.br/wp-content/uploads/2021/09/PLOA-2022-Analise-do-Inesc_V09.pdf" TargetMode="External"/><Relationship Id="rId7" Type="http://schemas.openxmlformats.org/officeDocument/2006/relationships/hyperlink" Target="https://cepia.org.br/wp-content/uploads/2020/10/Nota-Cons%C3%B3rcio-Maria-da-Penha-Competencia-Hibrida.pdf" TargetMode="External"/><Relationship Id="rId8" Type="http://schemas.openxmlformats.org/officeDocument/2006/relationships/hyperlink" Target="https://cepia.org.br/wp-content/uploads/2020/10/Nota-Cons%C3%B3rcio-Maria-da-Penha-Competencia-Hibrida.pdf" TargetMode="External"/><Relationship Id="rId31" Type="http://schemas.openxmlformats.org/officeDocument/2006/relationships/hyperlink" Target="https://agenciagov.ebc.com.br/noticias/202403/ppa-2024-2027-tem-agenda-transversal-mulheres-com-85-objetivos-especificos-191-entregas-e-75-medidas" TargetMode="External"/><Relationship Id="rId30" Type="http://schemas.openxmlformats.org/officeDocument/2006/relationships/hyperlink" Target="https://inesc.org.br/wp-content/uploads/2023/05/nt-ppa_2024-2027-1.pdf?x59185%20;%20https://agenciagov.ebc.com.br/noticias/202403/ppa-2024-2027-tem-agenda-transversal-mulheres-com-85-objetivos-especificos-191-entregas-e-75-medidas" TargetMode="External"/><Relationship Id="rId11" Type="http://schemas.openxmlformats.org/officeDocument/2006/relationships/hyperlink" Target="https://profscontraoesp.org/vigiando-os-projetos-de-lei/" TargetMode="External"/><Relationship Id="rId33" Type="http://schemas.openxmlformats.org/officeDocument/2006/relationships/hyperlink" Target="https://www.ipea.gov.br/atlasviolencia/publicacoes" TargetMode="External"/><Relationship Id="rId10" Type="http://schemas.openxmlformats.org/officeDocument/2006/relationships/hyperlink" Target="https://agenciabrasil.ebc.com.br/direitos-humanos/noticia/2019-09/em-917-das-cidades-do-pais-nao-ha-delegacia-de-atendimento-mulher" TargetMode="External"/><Relationship Id="rId32" Type="http://schemas.openxmlformats.org/officeDocument/2006/relationships/hyperlink" Target="https://publicacoes.forumseguranca.org.br/handle/123456789/244" TargetMode="External"/><Relationship Id="rId13" Type="http://schemas.openxmlformats.org/officeDocument/2006/relationships/hyperlink" Target="https://generoeeducacao.org.br/entidades-e-movimentos-sociais-assinam-nota-publica-contra-a-segregacao-por-genero-em-escolas/" TargetMode="External"/><Relationship Id="rId35" Type="http://schemas.openxmlformats.org/officeDocument/2006/relationships/hyperlink" Target="https://portal.stf.jus.br/noticias/verNoticiaDetalhe.asp?idConteudo=511556&amp;ori=1" TargetMode="External"/><Relationship Id="rId12" Type="http://schemas.openxmlformats.org/officeDocument/2006/relationships/hyperlink" Target="http://portal.stf.jus.br/noticias/verNoticiaDetalhe.asp?idConteudo=450392&amp;ori=1" TargetMode="External"/><Relationship Id="rId34" Type="http://schemas.openxmlformats.org/officeDocument/2006/relationships/hyperlink" Target="https://forumseguranca.org.br/wp-content/uploads/2021/12/atlas-violencia-2021-v7.pdf" TargetMode="External"/><Relationship Id="rId15" Type="http://schemas.openxmlformats.org/officeDocument/2006/relationships/hyperlink" Target="https://sxpolitics.org/ptbr/manifesto-critica-edital-de-convocac%cc%a7a%cc%83o-do-programa" TargetMode="External"/><Relationship Id="rId14" Type="http://schemas.openxmlformats.org/officeDocument/2006/relationships/hyperlink" Target="https://www.camara.leg.br/noticias/699563-projeto-criminaliza-promocao-de-ideologia-de-genero-nas%20escolas/" TargetMode="External"/><Relationship Id="rId36" Type="http://schemas.openxmlformats.org/officeDocument/2006/relationships/hyperlink" Target="https://www.gov.br/mulheres/pt-br/acesso-a-informacao/acoes-e-programas-1/casa-da-mulher-brasileira" TargetMode="External"/><Relationship Id="rId17" Type="http://schemas.openxmlformats.org/officeDocument/2006/relationships/hyperlink" Target="https://www.cfemea.org.br/images/stories/Nota_Consorcio_PL_598_2019_Art_8_LMP.pdf" TargetMode="External"/><Relationship Id="rId16" Type="http://schemas.openxmlformats.org/officeDocument/2006/relationships/hyperlink" Target="https://www.planalto.gov.br/ccivil_03/_Ato2019-2022/2021/Lei/L14164.htm#:~:text=LEI%20N%C2%BA%2014.164%2C%20DE%2010%20DE%20JUNHO%20DE,Escolar%20de%20Combate%20%C3%A0%20Viol%C3%AAncia%20contra%20a%20Mulher." TargetMode="External"/><Relationship Id="rId19" Type="http://schemas.openxmlformats.org/officeDocument/2006/relationships/hyperlink" Target="https://forumseguranca.org.br/wp-content/uploads/2020/10/anuario-14-2020-v1-interativo.pdf" TargetMode="External"/><Relationship Id="rId18" Type="http://schemas.openxmlformats.org/officeDocument/2006/relationships/hyperlink" Target="https://forumseguranca.org.br/wp-content/uploads/2020/10/anuario-14-2020-v1-interativo.pdf" TargetMode="External"/></Relationships>
</file>

<file path=word/theme/theme1.xml><?xml version="1.0" encoding="utf-8"?>
<a:theme xmlns:a="http://schemas.openxmlformats.org/drawingml/2006/main" name="Tema do Offic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94S4YvvG9BgBHnk2p9aXBI9jQ==">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FAB26F2-644A-40B6-AB24-E370A27B702E}"/>
</file>

<file path=customXML/itemProps3.xml><?xml version="1.0" encoding="utf-8"?>
<ds:datastoreItem xmlns:ds="http://schemas.openxmlformats.org/officeDocument/2006/customXml" ds:itemID="{C1544E95-D862-405E-A4ED-74D64C14E137}"/>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2024-04-07T21:33:00Z</dcterms:created>
  <dc:creator>Ingrid Leao</dc:creator>
</cp:coreProperties>
</file>