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C40" w:rsidRDefault="00784C40" w:rsidP="00784C40">
      <w:pPr>
        <w:pStyle w:val="Standard"/>
        <w:jc w:val="center"/>
      </w:pPr>
      <w:bookmarkStart w:id="0" w:name="_GoBack"/>
      <w:bookmarkEnd w:id="0"/>
      <w:r>
        <w:rPr>
          <w:noProof/>
          <w:lang w:val="en-GB" w:eastAsia="en-GB" w:bidi="ar-SA"/>
        </w:rPr>
        <w:drawing>
          <wp:inline distT="0" distB="0" distL="0" distR="0">
            <wp:extent cx="2139950" cy="1390650"/>
            <wp:effectExtent l="0" t="0" r="0" b="0"/>
            <wp:docPr id="1" name="Picture 1" descr="Sans titre-True Col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s titre-True Color-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1390650"/>
                    </a:xfrm>
                    <a:prstGeom prst="rect">
                      <a:avLst/>
                    </a:prstGeom>
                    <a:noFill/>
                    <a:ln>
                      <a:noFill/>
                    </a:ln>
                  </pic:spPr>
                </pic:pic>
              </a:graphicData>
            </a:graphic>
          </wp:inline>
        </w:drawing>
      </w:r>
    </w:p>
    <w:p w:rsidR="00784C40" w:rsidRDefault="00784C40" w:rsidP="00784C40">
      <w:pPr>
        <w:pStyle w:val="Standard"/>
        <w:rPr>
          <w:b/>
        </w:rPr>
      </w:pPr>
    </w:p>
    <w:p w:rsidR="00784C40" w:rsidRDefault="00784C40" w:rsidP="00784C40">
      <w:pPr>
        <w:pStyle w:val="Standard"/>
        <w:rPr>
          <w:b/>
        </w:rPr>
      </w:pPr>
    </w:p>
    <w:p w:rsidR="00784C40" w:rsidRDefault="00784C40" w:rsidP="00784C40">
      <w:pPr>
        <w:pStyle w:val="Standard"/>
        <w:jc w:val="center"/>
        <w:rPr>
          <w:b/>
          <w:sz w:val="32"/>
          <w:szCs w:val="32"/>
        </w:rPr>
      </w:pPr>
      <w:r>
        <w:rPr>
          <w:b/>
          <w:sz w:val="32"/>
          <w:szCs w:val="32"/>
        </w:rPr>
        <w:t>Rapport parallèle au Comité des Nations Unies des droits des personnes handicapées</w:t>
      </w:r>
    </w:p>
    <w:p w:rsidR="00784C40" w:rsidRDefault="00784C40" w:rsidP="00784C40">
      <w:pPr>
        <w:pStyle w:val="Standard"/>
        <w:jc w:val="both"/>
        <w:rPr>
          <w:b/>
        </w:rPr>
      </w:pPr>
    </w:p>
    <w:p w:rsidR="00784C40" w:rsidRDefault="00784C40" w:rsidP="00784C40">
      <w:pPr>
        <w:pStyle w:val="Standard"/>
        <w:jc w:val="both"/>
      </w:pPr>
    </w:p>
    <w:p w:rsidR="00784C40" w:rsidRDefault="00784C40" w:rsidP="00784C40">
      <w:pPr>
        <w:pStyle w:val="ListParagraph"/>
        <w:numPr>
          <w:ilvl w:val="0"/>
          <w:numId w:val="2"/>
        </w:numPr>
        <w:jc w:val="both"/>
        <w:rPr>
          <w:b/>
        </w:rPr>
      </w:pPr>
      <w:r>
        <w:rPr>
          <w:b/>
        </w:rPr>
        <w:t>Introduction</w:t>
      </w:r>
    </w:p>
    <w:p w:rsidR="00784C40" w:rsidRDefault="00784C40" w:rsidP="00784C40">
      <w:pPr>
        <w:pStyle w:val="Standard"/>
        <w:jc w:val="both"/>
      </w:pPr>
    </w:p>
    <w:p w:rsidR="00784C40" w:rsidRDefault="00784C40" w:rsidP="00784C40">
      <w:pPr>
        <w:pStyle w:val="Standard"/>
        <w:jc w:val="both"/>
      </w:pPr>
      <w:r>
        <w:rPr>
          <w:b/>
        </w:rPr>
        <w:t>Les droits des personnes handicapées</w:t>
      </w:r>
      <w:r>
        <w:t> </w:t>
      </w:r>
    </w:p>
    <w:p w:rsidR="00784C40" w:rsidRDefault="00784C40" w:rsidP="00784C40">
      <w:pPr>
        <w:pStyle w:val="Standard"/>
        <w:jc w:val="both"/>
      </w:pPr>
    </w:p>
    <w:p w:rsidR="00784C40" w:rsidRDefault="00784C40" w:rsidP="00784C40">
      <w:pPr>
        <w:jc w:val="both"/>
      </w:pPr>
      <w:r>
        <w:t>Le Luxembourg a signé la Convention relative aux droits des personnes handicapées et son Protocole facultatif le 20 mars 2007 et ratifié ces textes le 29 septembre 2011. En mars 2012, le gouvernement luxembourgeois a publié son Plan d’action en faveur des personnes handicapées.</w:t>
      </w:r>
    </w:p>
    <w:p w:rsidR="00784C40" w:rsidRDefault="00784C40" w:rsidP="00784C40">
      <w:pPr>
        <w:jc w:val="both"/>
      </w:pPr>
      <w:r>
        <w:t>Les discussions et pourparlers autour de la mise en application de la Convention ont déclenché une vraie mobilisation au Luxembourg, non seulement auprès des personnes en situation de handicap mais également dans le grand public. On a assisté à l’émergence de groupes auto-représentatifs de personnes handicapées, qui participent aux dynamiques de sensibilisation et qui, grâce à la Convention, se voient mieux outillés pour faire valoir leurs droits.</w:t>
      </w:r>
    </w:p>
    <w:p w:rsidR="00784C40" w:rsidRDefault="00784C40" w:rsidP="00784C40">
      <w:pPr>
        <w:pStyle w:val="Standard"/>
        <w:jc w:val="both"/>
      </w:pPr>
    </w:p>
    <w:p w:rsidR="00784C40" w:rsidRDefault="00784C40" w:rsidP="00784C40">
      <w:pPr>
        <w:jc w:val="both"/>
      </w:pPr>
      <w:r>
        <w:t>Or, même si des progrès considérables ont été faits depuis la ratification de la Convention, de nombreuses lacunes et difficultés persistent au niveau de sa mise en œuvre sur le terrain.</w:t>
      </w:r>
    </w:p>
    <w:p w:rsidR="00784C40" w:rsidRDefault="00784C40" w:rsidP="00784C40">
      <w:pPr>
        <w:jc w:val="both"/>
      </w:pPr>
      <w:r>
        <w:t>La Commission consultative des Droits de l’Homme du Grand-Duché de Luxembourg, (ci-après « la CCDH »), espère pouvoir fournir au Comité sur les droits des personnes handicapées des informations utiles qui l'aideront à avoir une vue globale de la situation des personnes handicapées au Luxembourg.</w:t>
      </w:r>
    </w:p>
    <w:p w:rsidR="00784C40" w:rsidRDefault="00784C40" w:rsidP="00784C40">
      <w:pPr>
        <w:pStyle w:val="Standard"/>
        <w:jc w:val="both"/>
      </w:pPr>
    </w:p>
    <w:p w:rsidR="00784C40" w:rsidRDefault="00784C40" w:rsidP="00784C40">
      <w:pPr>
        <w:pStyle w:val="Standard"/>
        <w:jc w:val="both"/>
      </w:pPr>
      <w:r>
        <w:rPr>
          <w:b/>
        </w:rPr>
        <w:t>La CCDH</w:t>
      </w:r>
      <w:r>
        <w:t> </w:t>
      </w:r>
    </w:p>
    <w:p w:rsidR="00784C40" w:rsidRDefault="00784C40" w:rsidP="00784C40">
      <w:pPr>
        <w:pStyle w:val="Standard"/>
        <w:jc w:val="both"/>
      </w:pPr>
    </w:p>
    <w:p w:rsidR="00784C40" w:rsidRDefault="00784C40" w:rsidP="00784C40">
      <w:pPr>
        <w:jc w:val="both"/>
      </w:pPr>
      <w:r>
        <w:t>La Commission consultative des droits de l’Homme est un organe consultatif qui conseille le gouvernement sur toutes les questions de portée générale en relation avec les droits de l’Homme au Luxembourg. Elle émet des avis, des études, des prises de position et des recommandations soit à la demande du gouvernement soit de sa propre initiative. En tant qu’institution nationale de promotion et de protection des droits de l’Homme, elle est accréditée par le statut A selon les Principes de Paris auprès du Comité international de coordination des institutions nationales des droits de l’Homme.</w:t>
      </w:r>
    </w:p>
    <w:p w:rsidR="00784C40" w:rsidRDefault="00784C40" w:rsidP="00784C40">
      <w:pPr>
        <w:jc w:val="both"/>
      </w:pPr>
    </w:p>
    <w:p w:rsidR="00784C40" w:rsidRDefault="00784C40" w:rsidP="00784C40">
      <w:pPr>
        <w:jc w:val="both"/>
      </w:pPr>
      <w:r>
        <w:t xml:space="preserve">D’après l’article 3.2. de la loi du 21 novembre 2008 portant création d’une Commission consultative des droits de l’Homme, « La Commission suit les processus de ratification des </w:t>
      </w:r>
      <w:r>
        <w:lastRenderedPageBreak/>
        <w:t>instruments internationaux relatifs aux droits de l’Homme, d’harmonisation de la législation, des règlements et pratiques au niveau national avec ces instruments et de leur mise en œuvre ».</w:t>
      </w:r>
      <w:r>
        <w:rPr>
          <w:rStyle w:val="FootnoteReference"/>
        </w:rPr>
        <w:footnoteReference w:id="1"/>
      </w:r>
    </w:p>
    <w:p w:rsidR="00784C40" w:rsidRDefault="00784C40" w:rsidP="00784C40">
      <w:pPr>
        <w:pStyle w:val="Standard"/>
        <w:jc w:val="both"/>
      </w:pPr>
    </w:p>
    <w:p w:rsidR="00784C40" w:rsidRDefault="00784C40" w:rsidP="00784C40">
      <w:pPr>
        <w:jc w:val="both"/>
      </w:pPr>
      <w:r>
        <w:t>La question des droits des personnes handicapées constitue depuis longue date un sujet central pour la CCDH. Déjà en 2005, dans le contexte de l’éducation, la CCDH avait élaboré un avis à l’intention du gouvernement sur l’intégration des enfants à besoins éducatifs spéciaux.</w:t>
      </w:r>
      <w:r>
        <w:rPr>
          <w:rStyle w:val="FootnoteReference"/>
        </w:rPr>
        <w:footnoteReference w:id="2"/>
      </w:r>
      <w:r>
        <w:t xml:space="preserve"> Ensuite, avec la signature de la Convention internationale relative aux droits des personnes handicapées le 13 décembre 2006 et le processus de ratification qui s’en est suivi, la CCDH a pris un rôle de plus en plus actif au niveau national. Elle a été saisie par le gouvernement sur le projet de loi 6141 portant approbation de la Convention des Nations Unies et a publié deux avis y relatifs.</w:t>
      </w:r>
      <w:r>
        <w:rPr>
          <w:rStyle w:val="FootnoteReference"/>
        </w:rPr>
        <w:footnoteReference w:id="3"/>
      </w:r>
    </w:p>
    <w:p w:rsidR="00784C40" w:rsidRDefault="00784C40" w:rsidP="00784C40">
      <w:pPr>
        <w:pStyle w:val="Standard"/>
        <w:jc w:val="both"/>
      </w:pPr>
    </w:p>
    <w:p w:rsidR="00784C40" w:rsidRDefault="00784C40" w:rsidP="00784C40">
      <w:pPr>
        <w:pStyle w:val="Standard"/>
        <w:jc w:val="both"/>
      </w:pPr>
      <w:r>
        <w:t>La loi du 28 juillet 2011 portant approbation de la Convention relative aux droits des personnes handicapées</w:t>
      </w:r>
      <w:r>
        <w:rPr>
          <w:rStyle w:val="FootnoteReference"/>
        </w:rPr>
        <w:footnoteReference w:id="4"/>
      </w:r>
      <w:r>
        <w:t xml:space="preserve"> désigne dans son article 2 la CCDH et le Centre pour l’égalité de traitement (CET) comme mécanismes nationaux indépendants de promotion et de suivi d’application, tel que prévu à l’article 33.2 de la Convention.</w:t>
      </w:r>
    </w:p>
    <w:p w:rsidR="00784C40" w:rsidRDefault="00784C40" w:rsidP="00784C40">
      <w:pPr>
        <w:pStyle w:val="Standard"/>
        <w:jc w:val="both"/>
      </w:pPr>
    </w:p>
    <w:p w:rsidR="00784C40" w:rsidRDefault="00784C40" w:rsidP="00784C40">
      <w:pPr>
        <w:pStyle w:val="Standard"/>
        <w:jc w:val="both"/>
      </w:pPr>
      <w:r>
        <w:t>Par promotion et suivi on entend :</w:t>
      </w:r>
    </w:p>
    <w:p w:rsidR="00784C40" w:rsidRDefault="00784C40" w:rsidP="00784C40">
      <w:pPr>
        <w:pStyle w:val="ListParagraph"/>
        <w:numPr>
          <w:ilvl w:val="0"/>
          <w:numId w:val="4"/>
        </w:numPr>
        <w:jc w:val="both"/>
      </w:pPr>
      <w:r>
        <w:t>le travail de sensibilisation et d'information sur la Convention et les droits de l’Homme des personnes en situation de handicap ;</w:t>
      </w:r>
    </w:p>
    <w:p w:rsidR="00784C40" w:rsidRDefault="00784C40" w:rsidP="00784C40">
      <w:pPr>
        <w:pStyle w:val="ListParagraph"/>
        <w:numPr>
          <w:ilvl w:val="0"/>
          <w:numId w:val="5"/>
        </w:numPr>
        <w:jc w:val="both"/>
      </w:pPr>
      <w:r>
        <w:t>l'analyse de la conformité de la législation et des programmes politiques existants et futurs à la Convention ;</w:t>
      </w:r>
    </w:p>
    <w:p w:rsidR="00784C40" w:rsidRDefault="00784C40" w:rsidP="00784C40">
      <w:pPr>
        <w:pStyle w:val="ListParagraph"/>
        <w:numPr>
          <w:ilvl w:val="0"/>
          <w:numId w:val="5"/>
        </w:numPr>
        <w:jc w:val="both"/>
      </w:pPr>
      <w:r>
        <w:t>la participation à des rencontres et échanges avec les organisations des personnes handicapées et d’autres acteurs de la société civile.</w:t>
      </w:r>
    </w:p>
    <w:p w:rsidR="00784C40" w:rsidRDefault="00784C40" w:rsidP="00784C40">
      <w:pPr>
        <w:pStyle w:val="Standard"/>
        <w:jc w:val="both"/>
      </w:pPr>
    </w:p>
    <w:p w:rsidR="00784C40" w:rsidRDefault="00784C40" w:rsidP="00784C40">
      <w:pPr>
        <w:pStyle w:val="Standard"/>
        <w:jc w:val="both"/>
      </w:pPr>
      <w:r>
        <w:t xml:space="preserve">S’agissant de la promotion, la CCDH a coorganisé plusieurs manifestations de sensibilisation et de formation, dont les </w:t>
      </w:r>
      <w:r>
        <w:rPr>
          <w:i/>
          <w:iCs/>
        </w:rPr>
        <w:t>empowerment meetings</w:t>
      </w:r>
      <w:r>
        <w:t xml:space="preserve"> thématiques, qui consistent à informer les personnes en situation de handicap sur les droits de la Convention et à leur donner les outils nécessaires pour bénéficier de ces droits ou pour les revendiquer. Le résultat de cet empowerment est la rédaction d’un catalogue de recommandations qui est soumis au gouvernement.</w:t>
      </w:r>
    </w:p>
    <w:p w:rsidR="00784C40" w:rsidRDefault="00784C40" w:rsidP="00784C40">
      <w:pPr>
        <w:pStyle w:val="Standard"/>
        <w:jc w:val="both"/>
      </w:pPr>
    </w:p>
    <w:p w:rsidR="00784C40" w:rsidRDefault="00784C40" w:rsidP="00784C40">
      <w:pPr>
        <w:pStyle w:val="Standard"/>
        <w:jc w:val="both"/>
      </w:pPr>
      <w:r>
        <w:t xml:space="preserve">La CCDH a par ailleurs organisé en 2013 un </w:t>
      </w:r>
      <w:r>
        <w:rPr>
          <w:i/>
          <w:iCs/>
        </w:rPr>
        <w:t>briefing</w:t>
      </w:r>
      <w:r>
        <w:t xml:space="preserve"> pour les organisations de personnes handicapées sur l’élaboration d’un rapport alternatif. Lors de cette session, la CCDH a présenté les détails techniques de la rédaction d’un rapport alternatif rédigé par la société civile.</w:t>
      </w:r>
    </w:p>
    <w:p w:rsidR="00784C40" w:rsidRDefault="00784C40" w:rsidP="00784C40">
      <w:pPr>
        <w:pStyle w:val="Standard"/>
        <w:jc w:val="both"/>
      </w:pPr>
    </w:p>
    <w:p w:rsidR="00784C40" w:rsidRDefault="00784C40" w:rsidP="00784C40">
      <w:pPr>
        <w:pStyle w:val="Standard"/>
        <w:jc w:val="both"/>
      </w:pPr>
      <w:r>
        <w:t>Le personnel de la CCDH a également suivi une formation sur la rédaction de textes en langage simple.</w:t>
      </w:r>
    </w:p>
    <w:p w:rsidR="00784C40" w:rsidRDefault="00784C40" w:rsidP="00784C40">
      <w:pPr>
        <w:pStyle w:val="Standard"/>
        <w:jc w:val="both"/>
      </w:pPr>
      <w:r>
        <w:t xml:space="preserve">Il est à noter que la CCDH dispose de très peu de ressources humaines. Un groupe de travail permanent de la CCDH est en charge du dossier « Droits des personnes handicapées ». Les </w:t>
      </w:r>
      <w:r>
        <w:lastRenderedPageBreak/>
        <w:t>membres de la CCDH étant des bénévoles, le groupe est assisté par le secrétariat (composé de 2 postes et demi).</w:t>
      </w:r>
    </w:p>
    <w:p w:rsidR="00784C40" w:rsidRDefault="00784C40" w:rsidP="00784C40">
      <w:pPr>
        <w:pStyle w:val="Standard"/>
        <w:jc w:val="both"/>
        <w:rPr>
          <w:b/>
        </w:rPr>
      </w:pPr>
      <w:r>
        <w:rPr>
          <w:b/>
        </w:rPr>
        <w:t>Méthodologie</w:t>
      </w:r>
    </w:p>
    <w:p w:rsidR="00784C40" w:rsidRDefault="00784C40" w:rsidP="00784C40">
      <w:pPr>
        <w:pStyle w:val="Standard"/>
        <w:jc w:val="both"/>
      </w:pPr>
    </w:p>
    <w:p w:rsidR="00784C40" w:rsidRDefault="00784C40" w:rsidP="00784C40">
      <w:pPr>
        <w:jc w:val="both"/>
      </w:pPr>
      <w:r>
        <w:t>Le présent rapport se réfère au rapport initial du Luxembourg relatif à la mise en œuvre de la Convention relative aux droits des personnes handicapées et de son Protocole facultatif, adoptés à New York, le 13 décembre 2006.</w:t>
      </w:r>
    </w:p>
    <w:p w:rsidR="00784C40" w:rsidRDefault="00784C40" w:rsidP="00784C40">
      <w:pPr>
        <w:jc w:val="both"/>
      </w:pPr>
    </w:p>
    <w:p w:rsidR="00784C40" w:rsidRDefault="00784C40" w:rsidP="00784C40">
      <w:pPr>
        <w:jc w:val="both"/>
      </w:pPr>
      <w:r>
        <w:t>Une partie des informations contenues dans le présent rapport sont le résultat des recherches effectuées par la CCDH sur le terrain. D’autres informations ont été obtenues lors d’entretiens avec divers interlocuteurs, notamment des représentants du gouvernement, des experts, d’autres organes de défense des droits de l’Homme ainsi que des représentants de la société civile.</w:t>
      </w:r>
    </w:p>
    <w:p w:rsidR="00784C40" w:rsidRDefault="00784C40" w:rsidP="00784C40">
      <w:pPr>
        <w:pStyle w:val="Standard"/>
        <w:jc w:val="both"/>
      </w:pPr>
    </w:p>
    <w:p w:rsidR="00784C40" w:rsidRDefault="00784C40" w:rsidP="00784C40">
      <w:pPr>
        <w:pStyle w:val="Standard"/>
        <w:jc w:val="both"/>
      </w:pPr>
      <w:r>
        <w:t>La CCDH, tient à réitérer dans le cadre du présent rapport sa préoccupation quant au fait que la collecte des données statistiques pose de manière générale un problème récurrent dans beaucoup de domaines au Luxembourg. En effet, en absence de collecte de données statistiques dans le domaine spécifique qu’est celui des personnes handicapées, il semble difficile aux yeux de la CCDH que le gouvernement puisse développer une politique pertinente et conséquente dont la finalité est celle des droits des personnes handicapées tels qu’ils sont ancrés dans la Convention. Pour plus de détails, la CCDH renvoie à son rapport sur la traite des êtres humains au Luxembourg</w:t>
      </w:r>
      <w:r>
        <w:rPr>
          <w:bCs/>
        </w:rPr>
        <w:t xml:space="preserve"> où elle a eu l’occasion de développer largement son inquiétude à ce sujet.</w:t>
      </w:r>
    </w:p>
    <w:p w:rsidR="00784C40" w:rsidRDefault="00784C40" w:rsidP="00784C40">
      <w:pPr>
        <w:pStyle w:val="Standard"/>
        <w:jc w:val="both"/>
      </w:pPr>
    </w:p>
    <w:p w:rsidR="00784C40" w:rsidRDefault="00784C40" w:rsidP="00784C40">
      <w:pPr>
        <w:pStyle w:val="Standard"/>
        <w:jc w:val="both"/>
      </w:pPr>
      <w:r>
        <w:t>La CCDH salue l’élaboration d’un rapport alternatif par la société civile</w:t>
      </w:r>
      <w:r>
        <w:rPr>
          <w:rStyle w:val="FootnoteReference"/>
        </w:rPr>
        <w:footnoteReference w:id="5"/>
      </w:r>
      <w:r>
        <w:t>. Comme ce rapport se réfère à de nombreuses situations concrètes qui posent problème pour les personnes en situation de handicap, la CCDH se limitera quant à elle à des considérations générales sur les différents aspects de la problématique du handicap au Luxembourg. Le manque de ressources, indiqué plus haut, ne lui permet pas d’aller plus dans le détail.</w:t>
      </w: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ListParagraph"/>
        <w:numPr>
          <w:ilvl w:val="0"/>
          <w:numId w:val="6"/>
        </w:numPr>
        <w:jc w:val="both"/>
        <w:rPr>
          <w:b/>
        </w:rPr>
      </w:pPr>
      <w:r>
        <w:rPr>
          <w:b/>
        </w:rPr>
        <w:t>Rapport</w:t>
      </w:r>
    </w:p>
    <w:p w:rsidR="00784C40" w:rsidRDefault="00784C40" w:rsidP="00784C40">
      <w:pPr>
        <w:pStyle w:val="Standard"/>
        <w:ind w:left="360"/>
        <w:jc w:val="both"/>
        <w:rPr>
          <w:b/>
        </w:rPr>
      </w:pPr>
    </w:p>
    <w:p w:rsidR="00784C40" w:rsidRDefault="00784C40" w:rsidP="00784C40">
      <w:pPr>
        <w:pStyle w:val="Standard"/>
        <w:ind w:left="360"/>
        <w:jc w:val="both"/>
        <w:rPr>
          <w:b/>
        </w:rPr>
      </w:pPr>
      <w:r>
        <w:rPr>
          <w:b/>
        </w:rPr>
        <w:t>Articles 1-4 : Principes généraux et obligations générales</w:t>
      </w:r>
    </w:p>
    <w:p w:rsidR="00784C40" w:rsidRDefault="00784C40" w:rsidP="00784C40">
      <w:pPr>
        <w:pStyle w:val="Standard"/>
        <w:jc w:val="both"/>
      </w:pPr>
    </w:p>
    <w:p w:rsidR="00784C40" w:rsidRDefault="00784C40" w:rsidP="00784C40">
      <w:pPr>
        <w:pStyle w:val="Standard"/>
        <w:jc w:val="both"/>
      </w:pPr>
      <w:r>
        <w:rPr>
          <w:rFonts w:cs="Arial"/>
          <w:b/>
        </w:rPr>
        <w:t xml:space="preserve">Les mécanismes </w:t>
      </w:r>
      <w:r>
        <w:rPr>
          <w:rFonts w:cs="Arial"/>
          <w:b/>
          <w:bCs/>
        </w:rPr>
        <w:t>indépendants de promotion, de protection et de suivi de l’application de la Convention relative aux droits des personnes handicapées</w:t>
      </w:r>
    </w:p>
    <w:p w:rsidR="00784C40" w:rsidRDefault="00784C40" w:rsidP="00784C40">
      <w:pPr>
        <w:pStyle w:val="Standard"/>
        <w:jc w:val="both"/>
      </w:pPr>
    </w:p>
    <w:p w:rsidR="00784C40" w:rsidRDefault="00784C40" w:rsidP="00784C40">
      <w:pPr>
        <w:pStyle w:val="Standard"/>
        <w:jc w:val="both"/>
      </w:pPr>
      <w:r>
        <w:t>La Convention prévoit dans son article 33.2 un mécanisme indépendant de promotion, de protection et de suivi au niveau national de l’application de la Convention. Pour la création d’un tel mécanisme, les Etats parties sont encouragés à tenir compte des principes applicables au statut et au fonctionnement des institutions nationales de protection et de promotion des droits de l’Homme, les Principes de Paris.</w:t>
      </w:r>
    </w:p>
    <w:p w:rsidR="00784C40" w:rsidRDefault="00784C40" w:rsidP="00784C40">
      <w:pPr>
        <w:pStyle w:val="Standard"/>
        <w:jc w:val="both"/>
      </w:pPr>
    </w:p>
    <w:p w:rsidR="00784C40" w:rsidRDefault="00784C40" w:rsidP="00784C40">
      <w:pPr>
        <w:pStyle w:val="Standard"/>
        <w:jc w:val="both"/>
      </w:pPr>
      <w:r>
        <w:t>La loi du 28 juillet 2011 portant approbation de la Convention relative aux droits des personnes handicapées</w:t>
      </w:r>
      <w:r>
        <w:rPr>
          <w:rStyle w:val="FootnoteReference"/>
        </w:rPr>
        <w:footnoteReference w:id="6"/>
      </w:r>
      <w:r>
        <w:t xml:space="preserve"> désigne dans son article 2 la CCDH et le Centre pour l’égalité de traitement comme mécanismes nationaux indépendants de promotion et de suivi, ainsi que prévu à l’article 33.2 de la Convention. Le médiateur (ombudsman) est désigné comme mécanisme national indépendant de protection des droits des personnes handicapées au sens de l’article 33.2.</w:t>
      </w:r>
    </w:p>
    <w:p w:rsidR="00784C40" w:rsidRDefault="00784C40" w:rsidP="00784C40">
      <w:pPr>
        <w:pStyle w:val="Standard"/>
        <w:jc w:val="both"/>
      </w:pPr>
    </w:p>
    <w:p w:rsidR="00784C40" w:rsidRDefault="00784C40" w:rsidP="00784C40">
      <w:pPr>
        <w:pStyle w:val="Standard"/>
        <w:jc w:val="both"/>
      </w:pPr>
      <w:r>
        <w:t>Même si la CCDH approuve sa désignation comme mécanisme de promotion et de suivi, mission qui fait intégralement partie de ses compétences d’institution nationale des droits de l’Homme, elle regrette cependant que le rôle et les devoirs de la CCDH et du CET ne soient pas précisés dans le texte de la loi.</w:t>
      </w:r>
    </w:p>
    <w:p w:rsidR="00784C40" w:rsidRDefault="00784C40" w:rsidP="00784C40">
      <w:pPr>
        <w:pStyle w:val="NoSpacing"/>
        <w:jc w:val="both"/>
        <w:rPr>
          <w:rFonts w:ascii="Arial" w:hAnsi="Arial" w:cs="Arial"/>
          <w:lang w:val="fr-FR"/>
        </w:rPr>
      </w:pPr>
    </w:p>
    <w:p w:rsidR="00784C40" w:rsidRDefault="00784C40" w:rsidP="00784C40">
      <w:pPr>
        <w:jc w:val="both"/>
      </w:pPr>
      <w:r>
        <w:t>Par ailleurs, ce travail d’envergure demande des ressources supplémentaires, qui n’ont jusqu’à l’heure actuelle pas été accordées à ces institutions.</w:t>
      </w:r>
    </w:p>
    <w:p w:rsidR="00784C40" w:rsidRDefault="00784C40" w:rsidP="00784C40">
      <w:pPr>
        <w:pStyle w:val="NoSpacing"/>
        <w:jc w:val="both"/>
        <w:rPr>
          <w:rFonts w:ascii="Arial" w:hAnsi="Arial" w:cs="Arial"/>
          <w:lang w:val="fr-FR"/>
        </w:rPr>
      </w:pPr>
    </w:p>
    <w:p w:rsidR="00784C40" w:rsidRDefault="00784C40" w:rsidP="00784C40">
      <w:pPr>
        <w:pStyle w:val="Default"/>
        <w:jc w:val="both"/>
      </w:pPr>
      <w:r>
        <w:rPr>
          <w:color w:val="00000A"/>
        </w:rPr>
        <w:t xml:space="preserve">S’agissant du mécanisme national indépendant de protection des droits des personnes handicapées (art. 3 de la loi du 28 juillet 2011), la CCDH salue la décision du législateur de donner cette </w:t>
      </w:r>
      <w:r>
        <w:t>compétence au médiateur. Elle relève toutefois que le médiateur n’est compétent que pour les</w:t>
      </w:r>
      <w:r>
        <w:rPr>
          <w:color w:val="00000A"/>
        </w:rPr>
        <w:t xml:space="preserve"> discriminations qui concernent les administrations du secteur public.</w:t>
      </w:r>
      <w:r>
        <w:rPr>
          <w:rStyle w:val="FootnoteReference"/>
          <w:color w:val="00000A"/>
        </w:rPr>
        <w:footnoteReference w:id="7"/>
      </w:r>
      <w:r>
        <w:rPr>
          <w:color w:val="00000A"/>
        </w:rPr>
        <w:t xml:space="preserve"> L’article 6 de la loi du 28 juillet 2011 précise certes que le médiateur « peut transmettre une réclamation à une autre autorité indépendante investie d’une mission de protection des droits de l’Homme et des libertés fondamentales », encore faut-il qu’une telle autorité puisse exister et traiter les dossiers de personnes s’estimant lésées. S'il est compréhensible que le législateur n'ait pas voulu créer une inflation de structures au Luxembourg en confiant à des institutions existantes les missions découlant de l'adoption de la Convention relative aux droits des personnes handicapées, il n'en demeure pas moins que la situation actuelle n'est guère satisfaisante puisque le volet de la protection de ces droits ne s'applique pas de la même façon selon qu'il s'agit du secteur public ou privé. Par exemple, un litige relevant des droits d'une personne handicapée vivant dans une institution privée – et la plupart de ces institutions au Luxembourg ont un statut privé – ou louant un appartement dans une habitation privée ne peut être traité de la même manière qu'un litige se produisant dans un établissement doté d'un statut public. Il incombe dès lors au législateur de combler cette lacune en dotant les structures habilitées à intervenir des compétences nécessaires de façon à ce qu'il n'y ait pas de différence de traitement entre les secteurs public et privé.</w:t>
      </w:r>
      <w:r>
        <w:rPr>
          <w:rStyle w:val="FootnoteReference"/>
        </w:rPr>
        <w:footnoteReference w:id="8"/>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Le Plan d’action de mise en œuvre de la Convention et implication des personnes en situation de handicap</w:t>
      </w:r>
    </w:p>
    <w:p w:rsidR="00784C40" w:rsidRDefault="00784C40" w:rsidP="00784C40">
      <w:pPr>
        <w:pStyle w:val="Standard"/>
        <w:jc w:val="both"/>
      </w:pPr>
    </w:p>
    <w:p w:rsidR="00784C40" w:rsidRDefault="00784C40" w:rsidP="00784C40">
      <w:pPr>
        <w:pStyle w:val="Standard"/>
        <w:jc w:val="both"/>
      </w:pPr>
      <w:r>
        <w:t>Le gouvernement luxembourgeois a publié en mars 2012 son Plan d’action en faveur des personnes handicapées. Ce Plan d’action est le résultat de plusieurs réunions du ministère de la Famille avec la société civile. Ce document d’une soixantaine de pages comprend onze chapitres correspondant à autant de thèmes et découpés chaque fois en quatre parties : l’analyse de la situation, les défis, les objectifs et les mesures.</w:t>
      </w:r>
    </w:p>
    <w:p w:rsidR="00784C40" w:rsidRDefault="00784C40" w:rsidP="00784C40">
      <w:pPr>
        <w:jc w:val="both"/>
      </w:pPr>
    </w:p>
    <w:p w:rsidR="00784C40" w:rsidRDefault="00784C40" w:rsidP="00784C40">
      <w:pPr>
        <w:jc w:val="both"/>
      </w:pPr>
      <w:r>
        <w:t>Le fait que le ministère de la Famille a lancé un appel à une participation active de la société civile à l’élaboration du Plan d’action est à saluer. Toutefois, la publication du Plan d’action a suscité des critiques au sein de la société civile, plusieurs associations soulevant que des points évoqués lors de ces réunions ou par écrit ne se retrouvaient pas ou de manière incomplète dans le document final présenté par le ministère. La CCDH s’interroge sur la nature de ces choix et sur la pertinence des critères retenus pour l’élaboration finale du Plan. On ne trouve par exemple aucune mention dans celui-ci des femmes (art. 6 de la Convention), de l’accès à la justice (art. 13), du respect de la personne privée (art. 22), ni de la participation à la vie politique ou publique (art. 29).</w:t>
      </w:r>
    </w:p>
    <w:p w:rsidR="00784C40" w:rsidRDefault="00784C40" w:rsidP="00784C40">
      <w:pPr>
        <w:jc w:val="both"/>
      </w:pPr>
    </w:p>
    <w:p w:rsidR="00784C40" w:rsidRDefault="00784C40" w:rsidP="00784C40">
      <w:pPr>
        <w:jc w:val="both"/>
      </w:pPr>
      <w:r>
        <w:t>Dans l’ensemble, le plan d’action s’apparente à un catalogue de bonnes intentions, décrites de façon très vague et ne donnant guère de précisions sur les moyens ni sur la manière dont les objectifs seront réalisés.</w:t>
      </w:r>
    </w:p>
    <w:p w:rsidR="00784C40" w:rsidRDefault="00784C40" w:rsidP="00784C40">
      <w:pPr>
        <w:pStyle w:val="Standard"/>
        <w:jc w:val="both"/>
      </w:pPr>
      <w:r>
        <w:t>Le Plan d’action indique par ailleurs qu’il est prévu d’organiser « une rencontre interministérielle annuelle entre les points de contact en charge de la transposition de la Convention relative aux droits des personnes handicapées ». Or, lors de cette rencontre – une seule par an – qui a pour but principal de « faire le bilan des mesures prises », les associations de personnes handicapées ne sont pas représentées.</w:t>
      </w:r>
      <w:r>
        <w:rPr>
          <w:rStyle w:val="FootnoteReference"/>
        </w:rPr>
        <w:footnoteReference w:id="9"/>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Bilan du Plan d’action</w:t>
      </w:r>
    </w:p>
    <w:p w:rsidR="00784C40" w:rsidRDefault="00784C40" w:rsidP="00784C40">
      <w:pPr>
        <w:pStyle w:val="Standard"/>
        <w:jc w:val="both"/>
        <w:rPr>
          <w:b/>
        </w:rPr>
      </w:pPr>
    </w:p>
    <w:p w:rsidR="00784C40" w:rsidRDefault="00784C40" w:rsidP="00784C40">
      <w:pPr>
        <w:pStyle w:val="Standard"/>
        <w:jc w:val="both"/>
      </w:pPr>
      <w:r>
        <w:t>En 2016, quatre ans après l’adoption du Plan d’action, le gouvernement a fait le bilan des mesures proposées. Or, la CCDH note que très peu de mesures annoncées ont été mises en œuvre à ce jour.</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Article 5 : Egalité et non-discrimination</w:t>
      </w:r>
    </w:p>
    <w:p w:rsidR="00784C40" w:rsidRDefault="00784C40" w:rsidP="00784C40">
      <w:pPr>
        <w:pStyle w:val="Standard"/>
        <w:jc w:val="both"/>
        <w:rPr>
          <w:b/>
        </w:rPr>
      </w:pPr>
    </w:p>
    <w:p w:rsidR="00784C40" w:rsidRDefault="00784C40" w:rsidP="00784C40">
      <w:pPr>
        <w:pStyle w:val="Standard"/>
        <w:jc w:val="both"/>
      </w:pPr>
      <w:r>
        <w:t>Le Centre pour l’égalité de traitement (CET), créé par la loi du 28 novembre 2006, a ainsi pour objet de promouvoir, d’analyser et de surveiller l’égalité de traitement entre toutes personnes, sans discrimination fondée sur la race, l’origine ethnique, le sexe, l’orientation sexuelle, la religion ou les convictions, le handicap ou l’âge. Le CET exerce ses missions</w:t>
      </w:r>
      <w:r>
        <w:rPr>
          <w:rFonts w:eastAsia="Times New Roman" w:cs="Arial"/>
          <w:lang w:eastAsia="fr-FR"/>
        </w:rPr>
        <w:t xml:space="preserve"> en toute indépendance. Il peut :</w:t>
      </w:r>
    </w:p>
    <w:p w:rsidR="00784C40" w:rsidRDefault="00784C40" w:rsidP="00784C40">
      <w:pPr>
        <w:pStyle w:val="Standard"/>
        <w:numPr>
          <w:ilvl w:val="0"/>
          <w:numId w:val="8"/>
        </w:numPr>
        <w:jc w:val="both"/>
        <w:rPr>
          <w:rFonts w:eastAsia="Times New Roman" w:cs="Arial"/>
          <w:lang w:eastAsia="fr-FR"/>
        </w:rPr>
      </w:pPr>
      <w:r>
        <w:rPr>
          <w:rFonts w:eastAsia="Times New Roman" w:cs="Arial"/>
          <w:lang w:eastAsia="fr-FR"/>
        </w:rPr>
        <w:t>publier des rapports, émettre des avis ainsi que des recommandations et conduire des études sur toutes les questions liées aux discriminations;</w:t>
      </w:r>
    </w:p>
    <w:p w:rsidR="00784C40" w:rsidRDefault="00784C40" w:rsidP="00784C40">
      <w:pPr>
        <w:pStyle w:val="Standard"/>
        <w:numPr>
          <w:ilvl w:val="0"/>
          <w:numId w:val="8"/>
        </w:numPr>
        <w:jc w:val="both"/>
        <w:rPr>
          <w:rFonts w:eastAsia="Times New Roman" w:cs="Arial"/>
          <w:lang w:eastAsia="fr-FR"/>
        </w:rPr>
      </w:pPr>
      <w:r>
        <w:rPr>
          <w:rFonts w:eastAsia="Times New Roman" w:cs="Arial"/>
          <w:lang w:eastAsia="fr-FR"/>
        </w:rPr>
        <w:t>produire et fournir toute information et toute documentation dans le cadre de sa mission;</w:t>
      </w:r>
    </w:p>
    <w:p w:rsidR="00784C40" w:rsidRDefault="00784C40" w:rsidP="00784C40">
      <w:pPr>
        <w:pStyle w:val="Standard"/>
        <w:numPr>
          <w:ilvl w:val="0"/>
          <w:numId w:val="8"/>
        </w:numPr>
        <w:jc w:val="both"/>
        <w:rPr>
          <w:rFonts w:eastAsia="Times New Roman" w:cs="Arial"/>
          <w:lang w:eastAsia="fr-FR"/>
        </w:rPr>
      </w:pPr>
      <w:r>
        <w:rPr>
          <w:rFonts w:eastAsia="Times New Roman" w:cs="Arial"/>
          <w:lang w:eastAsia="fr-FR"/>
        </w:rPr>
        <w:t>apporter une aide aux personnes qui s’estiment victimes d’une discrimination en mettant à leur disposition un service de conseil et d’orientation visant à informer les victimes sur leurs droits individuels, la législation, la jurisprudence et les moyens de faire valoir leurs droits.</w:t>
      </w:r>
    </w:p>
    <w:p w:rsidR="00784C40" w:rsidRDefault="00784C40" w:rsidP="00784C40">
      <w:pPr>
        <w:pStyle w:val="Standard"/>
        <w:jc w:val="both"/>
      </w:pPr>
      <w:r>
        <w:rPr>
          <w:rFonts w:eastAsia="Times New Roman" w:cs="Arial"/>
          <w:lang w:eastAsia="fr-FR"/>
        </w:rPr>
        <w:t>La discrimination par le handicap figure parmi les discriminations les plus récurrentes pour lesquelles le CET est saisi.</w:t>
      </w:r>
      <w:r>
        <w:rPr>
          <w:rStyle w:val="FootnoteReference"/>
        </w:rPr>
        <w:footnoteReference w:id="10"/>
      </w:r>
    </w:p>
    <w:p w:rsidR="00784C40" w:rsidRDefault="00784C40" w:rsidP="00784C40">
      <w:pPr>
        <w:pStyle w:val="Standard"/>
        <w:jc w:val="both"/>
      </w:pPr>
      <w:r>
        <w:rPr>
          <w:rFonts w:cs="Arial"/>
        </w:rPr>
        <w:t>Le Centre pour l’égalité de traitement ne peut représenter les victimes de discrimination devant les tribunaux. De ce fait, il n’existe pas de procédure permettant aux victimes de discrimination de faire valoir leurs droits d’une manière facile. Par ailleurs, le manque de ressources actuel du CET ne lui permet pas de mener à bien ses différentes missions. Actuellement un projet de loi est en discussion au parlement</w:t>
      </w:r>
      <w:r>
        <w:rPr>
          <w:rStyle w:val="FootnoteReference"/>
        </w:rPr>
        <w:footnoteReference w:id="11"/>
      </w:r>
      <w:r>
        <w:rPr>
          <w:rFonts w:cs="Arial"/>
        </w:rPr>
        <w:t xml:space="preserve">. Ce projet de loi prévoit entre autres un rattachement du CET au </w:t>
      </w:r>
      <w:r>
        <w:t>Parlement, ce qui renforcera l’indépendance du CET. Ce projet, dans son état actuel, ne donne</w:t>
      </w:r>
      <w:r>
        <w:rPr>
          <w:rFonts w:cs="Arial"/>
        </w:rPr>
        <w:t xml:space="preserve"> toutefois pas de suite favorable à la demande du CET d’ester en justice.  </w:t>
      </w:r>
    </w:p>
    <w:p w:rsidR="00784C40" w:rsidRDefault="00784C40" w:rsidP="00784C40">
      <w:pPr>
        <w:pStyle w:val="Standard"/>
        <w:jc w:val="both"/>
        <w:rPr>
          <w:rFonts w:cs="Arial"/>
        </w:rPr>
      </w:pPr>
    </w:p>
    <w:p w:rsidR="00784C40" w:rsidRDefault="00784C40" w:rsidP="00784C40">
      <w:pPr>
        <w:pStyle w:val="Standard"/>
        <w:jc w:val="both"/>
      </w:pPr>
      <w:r>
        <w:t>La CCDH regrette qu’il n’y ait pas au Luxembourg d’organisme indépendant de défense des droits de l’Homme qui ait le droit d’agir en justice. Le gouvernement devrait profiter du projet de loi précité pour remédier à cette situation et s’inspirer des mécanismes indépendants institués dans</w:t>
      </w:r>
      <w:r>
        <w:rPr>
          <w:rFonts w:eastAsia="Times New Roman" w:cs="Arial"/>
          <w:lang w:eastAsia="fr-FR"/>
        </w:rPr>
        <w:t xml:space="preserve"> d’autres pays membres de l’Union européenne</w:t>
      </w:r>
      <w:r>
        <w:rPr>
          <w:rStyle w:val="FootnoteReference"/>
          <w:rFonts w:eastAsia="Times New Roman" w:cs="Arial"/>
          <w:lang w:eastAsia="fr-FR"/>
        </w:rPr>
        <w:footnoteReference w:id="12"/>
      </w:r>
      <w:r>
        <w:t>. En allant dans cette direction, il établirait un meilleur équilibre dans le dispositif de la défense des droits fondamentaux</w:t>
      </w:r>
      <w:r>
        <w:rPr>
          <w:rFonts w:eastAsia="Times New Roman" w:cs="Arial"/>
          <w:lang w:eastAsia="fr-FR"/>
        </w:rPr>
        <w:t xml:space="preserve"> au Luxembourg. Ce changement devrait toutefois être accompagné d’une augmentation des effectifs du CET.</w:t>
      </w:r>
    </w:p>
    <w:p w:rsidR="00784C40" w:rsidRDefault="00784C40" w:rsidP="00784C40">
      <w:pPr>
        <w:pStyle w:val="Standard"/>
        <w:jc w:val="both"/>
        <w:rPr>
          <w:rFonts w:cs="Arial"/>
        </w:rPr>
      </w:pPr>
    </w:p>
    <w:p w:rsidR="00784C40" w:rsidRDefault="00784C40" w:rsidP="00784C40">
      <w:pPr>
        <w:pStyle w:val="Standard"/>
        <w:jc w:val="both"/>
      </w:pPr>
    </w:p>
    <w:p w:rsidR="00784C40" w:rsidRDefault="00784C40" w:rsidP="00784C40">
      <w:pPr>
        <w:pStyle w:val="Standard"/>
        <w:jc w:val="both"/>
        <w:rPr>
          <w:b/>
        </w:rPr>
      </w:pPr>
      <w:r>
        <w:rPr>
          <w:b/>
        </w:rPr>
        <w:t>Article 6 : Femmes handicapées</w:t>
      </w:r>
    </w:p>
    <w:p w:rsidR="00784C40" w:rsidRDefault="00784C40" w:rsidP="00784C40">
      <w:pPr>
        <w:pStyle w:val="Standard"/>
        <w:jc w:val="both"/>
        <w:rPr>
          <w:b/>
        </w:rPr>
      </w:pPr>
    </w:p>
    <w:p w:rsidR="00784C40" w:rsidRDefault="00784C40" w:rsidP="00784C40">
      <w:pPr>
        <w:pStyle w:val="Standard"/>
        <w:jc w:val="both"/>
      </w:pPr>
      <w:r>
        <w:t>La CCDH encourage le gouvernement à inclure dans l’éducation sexuelle également les personnes en situation de handicap.</w:t>
      </w:r>
    </w:p>
    <w:p w:rsidR="00784C40" w:rsidRDefault="00784C40" w:rsidP="00784C40">
      <w:pPr>
        <w:jc w:val="both"/>
      </w:pPr>
    </w:p>
    <w:p w:rsidR="00784C40" w:rsidRDefault="00784C40" w:rsidP="00784C40">
      <w:pPr>
        <w:jc w:val="both"/>
      </w:pPr>
      <w:r>
        <w:t>Malheureusement, il existe très peu d’information sur les femmes handicapées au Luxembourg. Il est par conséquent difficile d’avoir une image générale sur cette question.</w:t>
      </w:r>
    </w:p>
    <w:p w:rsidR="00784C40" w:rsidRDefault="00784C40" w:rsidP="00784C40">
      <w:pPr>
        <w:jc w:val="both"/>
      </w:pPr>
    </w:p>
    <w:p w:rsidR="00784C40" w:rsidRDefault="00784C40" w:rsidP="00784C40">
      <w:pPr>
        <w:jc w:val="both"/>
      </w:pPr>
      <w:r>
        <w:t xml:space="preserve">La CCDH plaide pour que le nouveau Centre de référence national pour la promotion de la santé affective et sexuelle, lancé en janvier 2017 et géré par le Planning familial, prévoit dans ses formations d’éducation sexuelle également un volet consacré aux femmes en situation de handicap. </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Article 7 : Enfants handicapés</w:t>
      </w:r>
    </w:p>
    <w:p w:rsidR="00784C40" w:rsidRDefault="00784C40" w:rsidP="00784C40">
      <w:pPr>
        <w:pStyle w:val="Standard"/>
        <w:jc w:val="both"/>
      </w:pPr>
    </w:p>
    <w:p w:rsidR="00784C40" w:rsidRDefault="00784C40" w:rsidP="00784C40">
      <w:pPr>
        <w:jc w:val="both"/>
      </w:pPr>
      <w:r>
        <w:t>La CCDH déplore la situation des jeunes âgés de 16 ans présentant des besoins éducatifs spécifiques complexes (polyhandicap ou handicap grave) qui, compte tenu de leur âge, n'ont plus d’obligation scolaire et pour lesquels une offre scolaire n’est donc plus garantie. Ces jeunes se voient alors régulièrement orientés vers les Services d’activités de jour (SAJ), des prestataires œuvrant dans le domaine du handicap : ces services sont payants alors que ces jeunes gens ne bénéficient pas du revenu pour personnes gravement handicapées faute d'avoir atteint l'âge de 18 ans au moins au moment de l’introduction de la demande. La CCDH encourage le gouvernement à remédier à cette situation discriminatoire en assurant une offre scolaire gratuite aux concernés jusqu’à ce qu’ils ont 18 ans et à prendre en charge les frais associés au séjour dans les Services d’activités de jour (SAJ) si les jeunes et les personnes investies de l’autorité parentale en font la demande.</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Article 8 : Sensibilisation</w:t>
      </w:r>
    </w:p>
    <w:p w:rsidR="00784C40" w:rsidRDefault="00784C40" w:rsidP="00784C40">
      <w:pPr>
        <w:pStyle w:val="Standard"/>
        <w:jc w:val="both"/>
      </w:pPr>
    </w:p>
    <w:p w:rsidR="00784C40" w:rsidRDefault="00784C40" w:rsidP="00784C40">
      <w:pPr>
        <w:jc w:val="both"/>
      </w:pPr>
      <w:r>
        <w:t>La CCDH constate que le gouvernement fait des efforts pour organiser des activités de sensibilisation sur les droits des personnes handicapées. Elle est toutefois d’avis que ces activités ne suffisent pas pour provoquer un vrai changement de mentalité. Par ailleurs, très souvent ces initiatives de sensibilisation proviennent d’organisations de et pour personnes handicapées et le gouvernement s’y associe. Le gouvernement devrait s’engager de manière plus systématique et prendre plus souvent l’initiative de même qu'il devrait encourager et soutenir financièrement les associations souhaitant organiser davantage d’activités de sensibilisation.</w:t>
      </w:r>
    </w:p>
    <w:p w:rsidR="00784C40" w:rsidRDefault="00784C40" w:rsidP="00784C40">
      <w:pPr>
        <w:jc w:val="both"/>
      </w:pPr>
    </w:p>
    <w:p w:rsidR="00784C40" w:rsidRDefault="00784C40" w:rsidP="00784C40">
      <w:pPr>
        <w:jc w:val="both"/>
      </w:pPr>
      <w:r>
        <w:t>La CCDH est d’avis que le gouvernement devrait s’adresser de manière plus systématique au grand public par des campagnes régulières.</w:t>
      </w:r>
    </w:p>
    <w:p w:rsidR="00784C40" w:rsidRDefault="00784C40" w:rsidP="00784C40">
      <w:pPr>
        <w:jc w:val="both"/>
      </w:pPr>
    </w:p>
    <w:p w:rsidR="00784C40" w:rsidRDefault="00784C40" w:rsidP="00784C40">
      <w:pPr>
        <w:jc w:val="both"/>
      </w:pPr>
      <w:r>
        <w:t>Une sensibilisation devrait également avoir lieu au niveau des écoles, que ce soit par des séances d’information ou des cours pour élèves voire par l’introduction de cours sur le handicap dans le curriculum de la formation initiale des enseignants</w:t>
      </w:r>
    </w:p>
    <w:p w:rsidR="00784C40" w:rsidRDefault="00784C40" w:rsidP="00784C40">
      <w:pPr>
        <w:jc w:val="both"/>
      </w:pPr>
    </w:p>
    <w:p w:rsidR="00784C40" w:rsidRDefault="00784C40" w:rsidP="00784C40">
      <w:pPr>
        <w:jc w:val="both"/>
      </w:pPr>
      <w:r>
        <w:t>Le gouvernement devrait également chercher le contact avec les médias pour les sensibiliser sur ce sujet, tant en ce qui concerne la forme (accessibilité des informations) que le contenu (langage à utiliser).</w:t>
      </w:r>
    </w:p>
    <w:p w:rsidR="00784C40" w:rsidRDefault="00784C40" w:rsidP="00784C40">
      <w:pPr>
        <w:jc w:val="both"/>
      </w:pPr>
    </w:p>
    <w:p w:rsidR="00784C40" w:rsidRDefault="00784C40" w:rsidP="00784C40">
      <w:pPr>
        <w:jc w:val="both"/>
      </w:pPr>
    </w:p>
    <w:p w:rsidR="00784C40" w:rsidRDefault="00784C40" w:rsidP="00784C40">
      <w:pPr>
        <w:jc w:val="both"/>
        <w:rPr>
          <w:b/>
        </w:rPr>
      </w:pPr>
      <w:r>
        <w:rPr>
          <w:b/>
        </w:rPr>
        <w:t>Article 9 : Accessibilité</w:t>
      </w:r>
    </w:p>
    <w:p w:rsidR="00784C40" w:rsidRDefault="00784C40" w:rsidP="00784C40">
      <w:pPr>
        <w:pStyle w:val="Standard"/>
        <w:jc w:val="both"/>
        <w:rPr>
          <w:b/>
        </w:rPr>
      </w:pPr>
    </w:p>
    <w:p w:rsidR="00784C40" w:rsidRDefault="00784C40" w:rsidP="00784C40">
      <w:pPr>
        <w:pStyle w:val="NormalWeb"/>
        <w:spacing w:before="0" w:after="0"/>
        <w:jc w:val="both"/>
      </w:pPr>
      <w:r>
        <w:t>La CCDH se félicite de la création en 2012 d’ADAPTH, un bureau de conseil en "conception universelle" (design for all) offrant son expertise aux professionnels du bâtiment lors de la réalisation de projets de construction ou de rénovation de manière à ce qu'ils soient accessibles à tous et en particulier aux personnes à mobilité réduite.</w:t>
      </w:r>
      <w:r>
        <w:rPr>
          <w:rStyle w:val="FootnoteReference"/>
        </w:rPr>
        <w:footnoteReference w:id="13"/>
      </w:r>
      <w:r>
        <w:t xml:space="preserve"> Ce service est conventionné et subventionné par le ministère de la Famille.</w:t>
      </w:r>
    </w:p>
    <w:p w:rsidR="00784C40" w:rsidRDefault="00784C40" w:rsidP="00784C40">
      <w:pPr>
        <w:pStyle w:val="NormalWeb"/>
        <w:spacing w:before="0" w:after="0"/>
        <w:jc w:val="both"/>
      </w:pPr>
    </w:p>
    <w:p w:rsidR="00784C40" w:rsidRDefault="00784C40" w:rsidP="00784C40">
      <w:pPr>
        <w:pStyle w:val="NormalWeb"/>
        <w:spacing w:before="0" w:after="0"/>
        <w:jc w:val="both"/>
      </w:pPr>
      <w:r>
        <w:t>S’agissant de la législation, l’accessibilité est régie par la loi du 29 mars 2001. Elle vise les lieux et bâtiments publics (co)financés par l’Etat. Or, force est de constater que de nombreux bâtiments publics ne sont toujours pas accessibles.</w:t>
      </w:r>
    </w:p>
    <w:p w:rsidR="00784C40" w:rsidRDefault="00784C40" w:rsidP="00784C40">
      <w:pPr>
        <w:pStyle w:val="NormalWeb"/>
        <w:spacing w:before="0" w:after="0"/>
        <w:jc w:val="both"/>
      </w:pPr>
    </w:p>
    <w:p w:rsidR="00784C40" w:rsidRDefault="00784C40" w:rsidP="00784C40">
      <w:pPr>
        <w:pStyle w:val="NormalWeb"/>
        <w:spacing w:before="0" w:after="0"/>
        <w:jc w:val="both"/>
      </w:pPr>
      <w:r>
        <w:t>La législation actuelle est en train d’être réformée. Il est notamment prévu que le champ d’application de la loi de 2001 sera étendu à certains lieux privés ouverts au public, tels que les commerces, les restaurants, les cafés, les parcs de loisirs, les cinémas, les banques etc.</w:t>
      </w:r>
      <w:r>
        <w:rPr>
          <w:rStyle w:val="FootnoteReference"/>
        </w:rPr>
        <w:footnoteReference w:id="14"/>
      </w:r>
    </w:p>
    <w:p w:rsidR="00784C40" w:rsidRDefault="00784C40" w:rsidP="00784C40">
      <w:pPr>
        <w:pStyle w:val="NormalWeb"/>
        <w:spacing w:before="0" w:after="0"/>
        <w:jc w:val="both"/>
      </w:pPr>
    </w:p>
    <w:p w:rsidR="00784C40" w:rsidRDefault="00784C40" w:rsidP="00784C40">
      <w:pPr>
        <w:pStyle w:val="NormalWeb"/>
        <w:spacing w:before="0" w:after="0"/>
        <w:jc w:val="both"/>
      </w:pPr>
      <w:r>
        <w:t>En attendant la nouvelle loi, le gouvernement devrait faire respecter les dispositions de la législation en vigueur. La CCDH estime que la nouvelle loi devra être mise en œuvre de manière plus stricte et prévoir un contrôle ainsi que des sanctions en cas de non-respect.</w:t>
      </w:r>
      <w:r>
        <w:rPr>
          <w:rStyle w:val="FootnoteReference"/>
        </w:rPr>
        <w:footnoteReference w:id="15"/>
      </w:r>
    </w:p>
    <w:p w:rsidR="00784C40" w:rsidRDefault="00784C40" w:rsidP="00784C40">
      <w:pPr>
        <w:pStyle w:val="NormalWeb"/>
        <w:spacing w:before="0" w:after="0"/>
        <w:jc w:val="both"/>
      </w:pPr>
    </w:p>
    <w:p w:rsidR="00784C40" w:rsidRDefault="00784C40" w:rsidP="00784C40">
      <w:pPr>
        <w:pStyle w:val="NormalWeb"/>
        <w:spacing w:before="0" w:after="0"/>
        <w:jc w:val="both"/>
      </w:pPr>
      <w:r>
        <w:t>Elle estime également que l’élaboration de la nouvelle loi devra se faire avec la participation des personnes handicapées.</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Article 10 : Droit à la vie</w:t>
      </w:r>
    </w:p>
    <w:p w:rsidR="00784C40" w:rsidRDefault="00784C40" w:rsidP="00784C40">
      <w:pPr>
        <w:pStyle w:val="Standard"/>
        <w:jc w:val="both"/>
        <w:rPr>
          <w:b/>
        </w:rPr>
      </w:pPr>
    </w:p>
    <w:p w:rsidR="00784C40" w:rsidRDefault="00784C40" w:rsidP="00784C40">
      <w:pPr>
        <w:pStyle w:val="Standard"/>
        <w:jc w:val="both"/>
      </w:pPr>
      <w:r>
        <w:t>La CCDH se réfère ici à son avis complémentaire sur le projet de loi 6103 portant modification des articles 351, 353 et 353-1 du Code pénal, de 2012 et plus particulièrement sur la recommandation du Comité des Nations Unies sur l’élimination de toutes les formes de discrimination à l’égard des femmes</w:t>
      </w:r>
      <w:r>
        <w:rPr>
          <w:rStyle w:val="FootnoteReference"/>
        </w:rPr>
        <w:footnoteReference w:id="16"/>
      </w:r>
      <w:r>
        <w:t xml:space="preserve">, selon laquelle </w:t>
      </w:r>
      <w:r>
        <w:rPr>
          <w:rFonts w:eastAsia="Times New Roman" w:cs="Arial"/>
          <w:lang w:eastAsia="fr-FR"/>
        </w:rPr>
        <w:t>« Le libre accès à une éducation sexuelle et affective de qualité, aux moyens de contraception et, en cas de besoin, à l’interruption volontaire de grossesse est une question essentielle des droits des femmes. »</w:t>
      </w:r>
    </w:p>
    <w:p w:rsidR="00784C40" w:rsidRDefault="00784C40" w:rsidP="00784C40">
      <w:pPr>
        <w:pStyle w:val="Standard"/>
        <w:jc w:val="both"/>
        <w:rPr>
          <w:rFonts w:eastAsia="Times New Roman" w:cs="Arial"/>
          <w:lang w:eastAsia="fr-FR"/>
        </w:rPr>
      </w:pPr>
      <w:r>
        <w:rPr>
          <w:rFonts w:eastAsia="Times New Roman" w:cs="Arial"/>
          <w:lang w:eastAsia="fr-FR"/>
        </w:rPr>
        <w:t>La CCDH souligne l’importance d’une consultation objective et neutre pour la femme souhaitant recourir à une IVG.</w:t>
      </w:r>
    </w:p>
    <w:p w:rsidR="00784C40" w:rsidRDefault="00784C40" w:rsidP="00784C40">
      <w:pPr>
        <w:pStyle w:val="Standard"/>
        <w:rPr>
          <w:rFonts w:eastAsia="Times New Roman" w:cs="Arial"/>
          <w:sz w:val="30"/>
          <w:szCs w:val="30"/>
          <w:lang w:eastAsia="fr-FR"/>
        </w:rPr>
      </w:pPr>
    </w:p>
    <w:p w:rsidR="00784C40" w:rsidRDefault="00784C40" w:rsidP="00784C40">
      <w:pPr>
        <w:pStyle w:val="Standard"/>
        <w:jc w:val="both"/>
        <w:rPr>
          <w:b/>
        </w:rPr>
      </w:pPr>
    </w:p>
    <w:p w:rsidR="00784C40" w:rsidRDefault="00784C40" w:rsidP="00784C40">
      <w:pPr>
        <w:pStyle w:val="Standard"/>
        <w:jc w:val="both"/>
        <w:rPr>
          <w:b/>
        </w:rPr>
      </w:pPr>
      <w:r>
        <w:rPr>
          <w:b/>
        </w:rPr>
        <w:t>Article 11 : Situation de risque et situations d’urgence humanitaire</w:t>
      </w:r>
    </w:p>
    <w:p w:rsidR="00784C40" w:rsidRDefault="00784C40" w:rsidP="00784C40">
      <w:pPr>
        <w:pStyle w:val="Standard"/>
        <w:jc w:val="both"/>
        <w:rPr>
          <w:b/>
        </w:rPr>
      </w:pPr>
    </w:p>
    <w:p w:rsidR="00784C40" w:rsidRDefault="00784C40" w:rsidP="00784C40">
      <w:pPr>
        <w:pStyle w:val="Standard"/>
        <w:jc w:val="both"/>
      </w:pPr>
      <w:r>
        <w:t>Les plans d’urgence, d’évacuation et de catastrophe doivent être établis en concertation avec les personnes handicapées et les services compétents en la matière, afin qu’ils puissent prendre en compte les besoins de ces personnes.</w:t>
      </w:r>
    </w:p>
    <w:p w:rsidR="00784C40" w:rsidRDefault="00784C40" w:rsidP="00784C40">
      <w:pPr>
        <w:pStyle w:val="Standard"/>
        <w:jc w:val="both"/>
      </w:pPr>
    </w:p>
    <w:p w:rsidR="00784C40" w:rsidRDefault="00784C40" w:rsidP="00784C40">
      <w:pPr>
        <w:pStyle w:val="Standard"/>
        <w:jc w:val="both"/>
      </w:pPr>
      <w:r>
        <w:t>La CCDH rappelle par ailleurs l’importance de la formation des instances concernées (services de sauvetage, etc.) aux besoins spécifiques des personnes handicapées. Elle estime que cette formation devrait être obligatoire et recevoir une assise dans la réforme en cours des services de secours.</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Article 12 : Reconnaissance de la personnalité juridique dans des conditions d’égalité</w:t>
      </w:r>
    </w:p>
    <w:p w:rsidR="00784C40" w:rsidRDefault="00784C40" w:rsidP="00784C40">
      <w:pPr>
        <w:pStyle w:val="Standard"/>
        <w:jc w:val="both"/>
        <w:rPr>
          <w:b/>
        </w:rPr>
      </w:pPr>
    </w:p>
    <w:p w:rsidR="00784C40" w:rsidRDefault="00784C40" w:rsidP="00784C40">
      <w:pPr>
        <w:pStyle w:val="Standard"/>
        <w:jc w:val="both"/>
        <w:rPr>
          <w:b/>
        </w:rPr>
      </w:pPr>
      <w:r>
        <w:rPr>
          <w:b/>
        </w:rPr>
        <w:t>La situation actuelle </w:t>
      </w:r>
    </w:p>
    <w:p w:rsidR="00784C40" w:rsidRDefault="00784C40" w:rsidP="00784C40">
      <w:pPr>
        <w:pStyle w:val="Standard"/>
        <w:jc w:val="both"/>
      </w:pPr>
    </w:p>
    <w:p w:rsidR="00784C40" w:rsidRDefault="00784C40" w:rsidP="00784C40">
      <w:pPr>
        <w:jc w:val="both"/>
      </w:pPr>
      <w:r>
        <w:t>Lorsqu’une personne handicapée majeure est placée sous le statut de l’incapable majeur, un grand nombre de ses droits sont restreints. Ainsi, elle ne peut pas signer de contrat, gérer ses biens, se marier sans autorisation ni exercer son droit de vote ni son droit d’être élue. On infantilise sur les plans physique, physiologique et psychologique une personne qui ne reste pas moins un adulte, dans le cadre d’un régime de protection ignorant ses besoins et réduisant considérablement son épanouissement personnel.</w:t>
      </w:r>
    </w:p>
    <w:p w:rsidR="00784C40" w:rsidRDefault="00784C40" w:rsidP="00784C40">
      <w:pPr>
        <w:jc w:val="both"/>
      </w:pPr>
    </w:p>
    <w:p w:rsidR="00784C40" w:rsidRDefault="00784C40" w:rsidP="00784C40">
      <w:pPr>
        <w:jc w:val="both"/>
      </w:pPr>
      <w:r>
        <w:t>Pour prendre sa décision de placer ou non une personne sous un statut de protection, le juge se base essentiellement sur un avis médical. La CCDH estime que le juge devrait impliquer au maximum la personne elle-même ainsi que son réseau professionnel et social. Elle regrette que l’intéressé ne soit pas davantage consulté pour déterminer son représentant et les modalités de l'intervention de ce dernier (tutelle, curatelle, sauvegarde) et qu'il ne puisse demander des comptes à son représentant.</w:t>
      </w:r>
    </w:p>
    <w:p w:rsidR="00784C40" w:rsidRDefault="00784C40" w:rsidP="00784C40">
      <w:pPr>
        <w:pStyle w:val="Standard"/>
        <w:jc w:val="both"/>
      </w:pPr>
    </w:p>
    <w:p w:rsidR="00784C40" w:rsidRDefault="00784C40" w:rsidP="00784C40">
      <w:pPr>
        <w:pStyle w:val="Standard"/>
        <w:jc w:val="both"/>
      </w:pPr>
      <w:r>
        <w:t>Beaucoup de personnes concernées et leur famille ne connaissent pas les modalités et dispositions d’une tutelle/curatelle. En cas de problèmes ou de différends avec le tuteur, les procédures ne sont pas claires. Aussi, les personnes concernées ne sont pas en mesure de réagir et d’exiger le respect de leurs droits. Voilà pourquoi la CCDH estime que l’intéressé devrait être accompagné d’un avocat qui aurait l’obligation de lui expliquer de façon compréhensible toutes les modalités du placement sous statut de protection.</w:t>
      </w:r>
    </w:p>
    <w:p w:rsidR="00784C40" w:rsidRDefault="00784C40" w:rsidP="00784C40">
      <w:pPr>
        <w:pStyle w:val="Standard"/>
        <w:jc w:val="both"/>
      </w:pPr>
    </w:p>
    <w:p w:rsidR="00784C40" w:rsidRDefault="00784C40" w:rsidP="00784C40">
      <w:pPr>
        <w:pStyle w:val="Standard"/>
        <w:jc w:val="both"/>
      </w:pPr>
      <w:r>
        <w:t>La CCDH considère que l'instance des tutelles, qui est actuellement composée d'un juge unique, devrait être modifiée en une instance à trois juges afin de répartir le fardeau de la responsabilité dans la prise de décision et de se doter des moyens nécessaires pour adapter in concreto ses décisions dans l’intérêt de la personne handicapée.</w:t>
      </w:r>
    </w:p>
    <w:p w:rsidR="00784C40" w:rsidRDefault="00784C40" w:rsidP="00784C40">
      <w:pPr>
        <w:pStyle w:val="Standard"/>
        <w:jc w:val="both"/>
      </w:pPr>
    </w:p>
    <w:p w:rsidR="00784C40" w:rsidRDefault="00784C40" w:rsidP="00784C40">
      <w:pPr>
        <w:pStyle w:val="Standard"/>
        <w:jc w:val="both"/>
        <w:rPr>
          <w:rFonts w:cs="Arial"/>
          <w:b/>
        </w:rPr>
      </w:pPr>
      <w:r>
        <w:rPr>
          <w:rFonts w:cs="Arial"/>
          <w:b/>
        </w:rPr>
        <w:t>La réforme de législation actuelle </w:t>
      </w:r>
    </w:p>
    <w:p w:rsidR="00784C40" w:rsidRDefault="00784C40" w:rsidP="00784C40">
      <w:pPr>
        <w:pStyle w:val="Standard"/>
        <w:jc w:val="both"/>
        <w:rPr>
          <w:rFonts w:cs="Arial"/>
        </w:rPr>
      </w:pPr>
    </w:p>
    <w:p w:rsidR="00784C40" w:rsidRDefault="00784C40" w:rsidP="00784C40">
      <w:pPr>
        <w:jc w:val="both"/>
      </w:pPr>
      <w:r>
        <w:t>Une réforme de la loi sur la tutelle a été annoncée il y a quelques années. D’après le Plan d’action national, cette réforme aurait dû avoir lieu entre 2012 et 2015. Or, à ce jour, la CCDH ne dispose pas d’informations concernant l’état d’avancement de cette réforme, sauf qu’il est prévu de présenter un projet de loi vers la fin 2017, à l’expiration du plan d’action.</w:t>
      </w:r>
    </w:p>
    <w:p w:rsidR="00784C40" w:rsidRDefault="00784C40" w:rsidP="00784C40">
      <w:pPr>
        <w:jc w:val="both"/>
      </w:pPr>
    </w:p>
    <w:p w:rsidR="00784C40" w:rsidRDefault="00784C40" w:rsidP="00784C40">
      <w:pPr>
        <w:jc w:val="both"/>
      </w:pPr>
      <w:r>
        <w:t>La CCDH recommande au gouvernement de consulter les associations de et pour personnes concernées (Tutelle an Curatelle Service ASBL et Service d’accompagnement tutélaire) et de faire en sorte que la nouvelle loi créera un régime prenant en compte les principes de nécessité, de subsidiarité et de proportionnalité d’une mesure de protection, de prévoir des formations pour les personnes qui assureront la tutelle/curatelle ainsi qu’un contrôle de la qualité de leur travail et de donner la possibilité aux personnes concernées de choisir une personne de confiance.</w:t>
      </w:r>
      <w:r>
        <w:rPr>
          <w:rStyle w:val="FootnoteReference"/>
        </w:rPr>
        <w:footnoteReference w:id="17"/>
      </w:r>
    </w:p>
    <w:p w:rsidR="00784C40" w:rsidRDefault="00784C40" w:rsidP="00784C40">
      <w:pPr>
        <w:jc w:val="both"/>
      </w:pPr>
    </w:p>
    <w:p w:rsidR="00784C40" w:rsidRDefault="00784C40" w:rsidP="00784C40">
      <w:pPr>
        <w:jc w:val="both"/>
      </w:pPr>
    </w:p>
    <w:p w:rsidR="00784C40" w:rsidRDefault="00784C40" w:rsidP="00784C40">
      <w:pPr>
        <w:jc w:val="both"/>
        <w:rPr>
          <w:b/>
        </w:rPr>
      </w:pPr>
      <w:r>
        <w:rPr>
          <w:b/>
        </w:rPr>
        <w:t>Article 13 : Accès à la justice</w:t>
      </w:r>
    </w:p>
    <w:p w:rsidR="00784C40" w:rsidRDefault="00784C40" w:rsidP="00784C40">
      <w:pPr>
        <w:pStyle w:val="Standard"/>
        <w:jc w:val="both"/>
      </w:pPr>
    </w:p>
    <w:p w:rsidR="00784C40" w:rsidRDefault="00784C40" w:rsidP="00784C40">
      <w:pPr>
        <w:jc w:val="both"/>
      </w:pPr>
      <w:r>
        <w:t>D'après la loi, les personnes handicapées ont accès à la justice, dans tous ses aspects, sur base de l’égalité avec les autres personnes. Or, en pratique, un manque d’information est à déplorer.</w:t>
      </w:r>
    </w:p>
    <w:p w:rsidR="00784C40" w:rsidRDefault="00784C40" w:rsidP="00784C40">
      <w:pPr>
        <w:jc w:val="both"/>
      </w:pPr>
    </w:p>
    <w:p w:rsidR="00784C40" w:rsidRDefault="00784C40" w:rsidP="00784C40">
      <w:pPr>
        <w:jc w:val="both"/>
      </w:pPr>
      <w:r>
        <w:t>L’accessibilité physique des salles d’audience de la Cité judiciaire et des locaux de police ne semble pas poser de problème, mais aucun système d’accessibilité n’existe pour les personnes concernées par d’autres handicaps.</w:t>
      </w:r>
    </w:p>
    <w:p w:rsidR="00784C40" w:rsidRDefault="00784C40" w:rsidP="00784C40">
      <w:pPr>
        <w:jc w:val="both"/>
      </w:pPr>
    </w:p>
    <w:p w:rsidR="00784C40" w:rsidRDefault="00784C40" w:rsidP="00784C40">
      <w:pPr>
        <w:jc w:val="both"/>
      </w:pPr>
      <w:r>
        <w:t>Quant au Centre pénitentiaire, la date déjà ancienne de construction du bâtiment complique l'accessibilité pour les visiteurs et pour les personnes incarcérées. La CCDH préconise de procéder à une rénovation approfondie pour rendre ce lieu plus accessible.</w:t>
      </w:r>
    </w:p>
    <w:p w:rsidR="00784C40" w:rsidRDefault="00784C40" w:rsidP="00784C40">
      <w:pPr>
        <w:jc w:val="both"/>
      </w:pPr>
    </w:p>
    <w:p w:rsidR="00784C40" w:rsidRDefault="00784C40" w:rsidP="00784C40">
      <w:pPr>
        <w:jc w:val="both"/>
      </w:pPr>
      <w:r>
        <w:t>S'agissant des documents et d'autres pièces administratives, compte tenu des dossiers souvent volumineux, la traduction en braille, prévue sur le plan légal, se heurte à des difficultés étant donné le nombre réduit de traducteurs.</w:t>
      </w: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Standard"/>
        <w:jc w:val="both"/>
        <w:rPr>
          <w:b/>
        </w:rPr>
      </w:pPr>
      <w:r>
        <w:rPr>
          <w:b/>
        </w:rPr>
        <w:t>Article 14 : Liberté et sécurité de la personne</w:t>
      </w:r>
    </w:p>
    <w:p w:rsidR="00784C40" w:rsidRDefault="00784C40" w:rsidP="00784C40">
      <w:pPr>
        <w:pStyle w:val="Standard"/>
        <w:jc w:val="both"/>
        <w:rPr>
          <w:b/>
        </w:rPr>
      </w:pPr>
    </w:p>
    <w:p w:rsidR="00784C40" w:rsidRDefault="00784C40" w:rsidP="00784C40">
      <w:pPr>
        <w:pStyle w:val="Standard"/>
        <w:jc w:val="both"/>
      </w:pPr>
      <w:r>
        <w:t>Le projet de loi 7042 portant réforme de l’administration pénitentiaire prévoit en son article 60 la création d’une unité de psychiatrie socio-judiciaire, gérée par le centre hospitalier neuropsychiatrique et implantée sur le site du Centre pénitentiaire de Luxembourg.</w:t>
      </w:r>
    </w:p>
    <w:p w:rsidR="00784C40" w:rsidRDefault="00784C40" w:rsidP="00784C40">
      <w:pPr>
        <w:pStyle w:val="Standard"/>
        <w:jc w:val="both"/>
      </w:pPr>
    </w:p>
    <w:p w:rsidR="00784C40" w:rsidRDefault="00784C40" w:rsidP="00784C40">
      <w:pPr>
        <w:pStyle w:val="Standard"/>
        <w:jc w:val="both"/>
      </w:pPr>
      <w:r>
        <w:t>Il est prévu d’accueillir dans cette unité des détenus faisant l’objet d’une admission et d’un placement au sens de la loi du 10 décembre 2009 relative à l’hospitalisation sans leur consentement de personnes atteintes de troubles mentaux, les personnes qui sont « partiellement » irresponsables pénalement en raison d’un trouble mental au moment des faits (art. 71-1 du Code pénal) et les personnes déclarées pénalement irresponsables en application de l’article 71 du Code pénal. Cette dernière catégorie comprend notamment des personnes qui présentent un handicap mental associé à une pathologie psychiatrique.</w:t>
      </w:r>
    </w:p>
    <w:p w:rsidR="00784C40" w:rsidRDefault="00784C40" w:rsidP="00784C40">
      <w:pPr>
        <w:pStyle w:val="Standard"/>
        <w:tabs>
          <w:tab w:val="left" w:pos="3744"/>
        </w:tabs>
        <w:jc w:val="both"/>
      </w:pPr>
    </w:p>
    <w:p w:rsidR="00784C40" w:rsidRDefault="00784C40" w:rsidP="00784C40">
      <w:pPr>
        <w:pStyle w:val="Standard"/>
        <w:tabs>
          <w:tab w:val="left" w:pos="3744"/>
        </w:tabs>
        <w:jc w:val="both"/>
      </w:pPr>
      <w:r>
        <w:t>La CCDH estime que la cohabitation de personnes présentant un handicap avec des détenus au sein d’une même unité doit être absolument évitée, car elle s’avère difficile et dangereuse.</w:t>
      </w:r>
    </w:p>
    <w:p w:rsidR="00784C40" w:rsidRDefault="00784C40" w:rsidP="00784C40">
      <w:pPr>
        <w:pStyle w:val="Standard"/>
        <w:jc w:val="both"/>
      </w:pPr>
    </w:p>
    <w:p w:rsidR="00784C40" w:rsidRDefault="00784C40" w:rsidP="00784C40">
      <w:pPr>
        <w:pStyle w:val="Standard"/>
        <w:jc w:val="both"/>
      </w:pPr>
      <w:r>
        <w:t xml:space="preserve">La CCDH trouve par ailleurs problématique l’admission de personnes tombant sous l’article 71, donc non condamnables, dans l’enceinte d’une prison.   </w:t>
      </w: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Standard"/>
        <w:jc w:val="both"/>
        <w:rPr>
          <w:b/>
        </w:rPr>
      </w:pPr>
      <w:r>
        <w:rPr>
          <w:b/>
        </w:rPr>
        <w:t>Article 15 : Droit de ne pas être soumis à la torture</w:t>
      </w:r>
    </w:p>
    <w:p w:rsidR="00784C40" w:rsidRDefault="00784C40" w:rsidP="00784C40">
      <w:pPr>
        <w:pStyle w:val="Standard"/>
        <w:jc w:val="both"/>
        <w:rPr>
          <w:b/>
        </w:rPr>
      </w:pPr>
    </w:p>
    <w:p w:rsidR="00784C40" w:rsidRDefault="00784C40" w:rsidP="00784C40">
      <w:pPr>
        <w:pStyle w:val="Standard"/>
        <w:jc w:val="both"/>
      </w:pPr>
      <w:r>
        <w:rPr>
          <w:rFonts w:cs="Arial"/>
        </w:rPr>
        <w:t>D’après la loi portant approbation de la Convention relative aux droits des personnes handicapées, le</w:t>
      </w:r>
      <w:r>
        <w:rPr>
          <w:rFonts w:cs="Arial"/>
          <w:color w:val="1A171B"/>
        </w:rPr>
        <w:t xml:space="preserve"> médiateur est désigné comme mécanisme national indépendant de protection des droits de la personne handicapée au sens de l’article 33, paragraphe 2 de la Convention. Dans le cadre de cette </w:t>
      </w:r>
      <w:r>
        <w:t>mission, il est chargé de défendre et de protéger les droits et les libertés des personnes handicapées</w:t>
      </w:r>
      <w:r>
        <w:rPr>
          <w:rFonts w:cs="Arial"/>
          <w:color w:val="1A171B"/>
        </w:rPr>
        <w:t xml:space="preserve"> garantis en vertu de la Convention.</w:t>
      </w:r>
    </w:p>
    <w:p w:rsidR="00784C40" w:rsidRDefault="00784C40" w:rsidP="00784C40">
      <w:pPr>
        <w:jc w:val="both"/>
      </w:pPr>
    </w:p>
    <w:p w:rsidR="00784C40" w:rsidRDefault="00784C40" w:rsidP="00784C40">
      <w:pPr>
        <w:jc w:val="both"/>
      </w:pPr>
      <w:r>
        <w:t>Toutefois, le mandat du médiateur ne se limite qu’à la sphère publique. Par ailleurs, même si le médiateur remplit également la fonction de mécanisme national de prévention de la torture pour les lieux de détention (Service du contrôle externe des lieux privatifs de liberté), il ne peut se rendre dans des maisons de soins, selon la loi du 11 avril 2010 instituant ce contrôleur.</w:t>
      </w:r>
      <w:r>
        <w:rPr>
          <w:rStyle w:val="FootnoteReference"/>
        </w:rPr>
        <w:footnoteReference w:id="18"/>
      </w:r>
    </w:p>
    <w:p w:rsidR="00784C40" w:rsidRDefault="00784C40" w:rsidP="00784C40">
      <w:pPr>
        <w:jc w:val="both"/>
      </w:pPr>
      <w:r>
        <w:t>La CCDH recommande de conférer au médiateur les compétences nécessaires afin qu’il puisse également protéger les personnes en situation de handicap dans le secteur privé et exercer un contrôle dans les établissements et les institutions de statut privé.</w:t>
      </w:r>
    </w:p>
    <w:p w:rsidR="00784C40" w:rsidRDefault="00784C40" w:rsidP="00784C40">
      <w:pPr>
        <w:pStyle w:val="Standard"/>
        <w:ind w:firstLine="720"/>
        <w:jc w:val="both"/>
      </w:pPr>
    </w:p>
    <w:p w:rsidR="00784C40" w:rsidRDefault="00784C40" w:rsidP="00784C40">
      <w:pPr>
        <w:pStyle w:val="Standard"/>
        <w:ind w:firstLine="720"/>
        <w:jc w:val="both"/>
      </w:pPr>
    </w:p>
    <w:p w:rsidR="00784C40" w:rsidRDefault="00784C40" w:rsidP="00784C40">
      <w:pPr>
        <w:pStyle w:val="Standard"/>
        <w:jc w:val="both"/>
        <w:rPr>
          <w:b/>
        </w:rPr>
      </w:pPr>
      <w:r>
        <w:rPr>
          <w:b/>
        </w:rPr>
        <w:t>Article 16 : Droit de ne pas être soumis à l’exploitation, à la violence et à la maltraitance</w:t>
      </w:r>
    </w:p>
    <w:p w:rsidR="00784C40" w:rsidRDefault="00784C40" w:rsidP="00784C40">
      <w:pPr>
        <w:pStyle w:val="Standard"/>
        <w:jc w:val="both"/>
      </w:pPr>
    </w:p>
    <w:p w:rsidR="00784C40" w:rsidRDefault="00784C40" w:rsidP="00784C40">
      <w:pPr>
        <w:pStyle w:val="Standard"/>
        <w:jc w:val="both"/>
      </w:pPr>
      <w:r>
        <w:t>Voir aussi article 15</w:t>
      </w:r>
    </w:p>
    <w:p w:rsidR="00784C40" w:rsidRDefault="00784C40" w:rsidP="00784C40">
      <w:pPr>
        <w:pStyle w:val="Standard"/>
        <w:jc w:val="both"/>
      </w:pPr>
    </w:p>
    <w:p w:rsidR="00784C40" w:rsidRDefault="00784C40" w:rsidP="00784C40">
      <w:pPr>
        <w:pStyle w:val="Standard"/>
        <w:jc w:val="both"/>
      </w:pPr>
      <w:r>
        <w:t>En tant que rapporteur national sur la traite des êtres humains, la CCDH a publié son premier rapport à l'adresse du Parlement le 15 mars 2017. Le rapporteur national ne dispose pas d’informations sur d’éventuelles victimes de traite des êtres humains en situation de handicap. Elle recommande toutefois au gouvernement de veiller à ce que ces victimes, qui de par leur handicap, présentent des besoins particuliers, reçoivent l’assistance nécessaire.</w:t>
      </w:r>
    </w:p>
    <w:p w:rsidR="00784C40" w:rsidRDefault="00784C40" w:rsidP="00784C40">
      <w:pPr>
        <w:pStyle w:val="Standard"/>
        <w:jc w:val="both"/>
      </w:pPr>
    </w:p>
    <w:p w:rsidR="00784C40" w:rsidRDefault="00784C40" w:rsidP="00784C40">
      <w:pPr>
        <w:pStyle w:val="Standard"/>
        <w:jc w:val="both"/>
      </w:pPr>
      <w:r>
        <w:t>S’agissant de la prostitution, le gouvernement a déposé en juin 2016 un projet de loi renforçant la lutte contre l'exploitation de la prostitution, le proxénétisme et la traite des êtres humains à des fins sexuelles. Ce projet de loi, sur lequel la CCDH a rendu un avis en janvier 2017, prévoit dans son article 3 la pénalisation du client lorsqu’il sollicite, accepte ou obtient, « </w:t>
      </w:r>
      <w:r>
        <w:rPr>
          <w:rFonts w:eastAsia="Times New Roman" w:cs="Arial"/>
          <w:lang w:eastAsia="fr-FR"/>
        </w:rPr>
        <w:t>en échange d’une rémunération ou d’une promesse de rémunération, des relations sexuelles de la part d’une personne qui se livre à la prostitution, y compris de façon occasionnelle, lorsque cette personne présente une particulière vulnérabilité, apparente ou connue de son auteur, en raison de sa situation administrative illégale ou précaire, de sa situation sociale précaire, d’un état de grossesse, d’une maladie, d’une infirmité ou d’une déficience physique ou mentale. »</w:t>
      </w:r>
    </w:p>
    <w:p w:rsidR="00784C40" w:rsidRDefault="00784C40" w:rsidP="00784C40">
      <w:pPr>
        <w:pStyle w:val="Standard"/>
        <w:jc w:val="both"/>
      </w:pPr>
    </w:p>
    <w:p w:rsidR="00784C40" w:rsidRDefault="00784C40" w:rsidP="00784C40">
      <w:pPr>
        <w:pStyle w:val="Standard"/>
        <w:jc w:val="both"/>
      </w:pPr>
      <w:r>
        <w:t>Pour ce qui est de la violence et de la maltraitance, la CCDH fait référence à la C</w:t>
      </w:r>
      <w:r>
        <w:rPr>
          <w:rFonts w:eastAsia="Times New Roman" w:cs="Arial"/>
          <w:lang w:eastAsia="fr-FR"/>
        </w:rPr>
        <w:t xml:space="preserve">onvention du Conseil de l’Europe sur la prévention et la lutte contre la violence à l’égard des femmes et la violence domestique, dite Convention d’Istanbul. Le Luxembourg n’a toujours pas ratifié cette </w:t>
      </w:r>
      <w:r>
        <w:t>convention, qui est entrée en vigueur le 1er août 2014. La CCDH recommande au gouvernement de prendre en considération la situation des personnes handicapées, notamment des femmes et des filles, lorsqu’il transposera cette convention en droit national.</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Article 17 : Protection de l’intégrité de la personne</w:t>
      </w:r>
    </w:p>
    <w:p w:rsidR="00784C40" w:rsidRDefault="00784C40" w:rsidP="00784C40">
      <w:pPr>
        <w:pStyle w:val="Standard"/>
        <w:jc w:val="both"/>
      </w:pPr>
    </w:p>
    <w:p w:rsidR="00784C40" w:rsidRDefault="00784C40" w:rsidP="00784C40">
      <w:pPr>
        <w:pStyle w:val="Standard"/>
        <w:jc w:val="both"/>
      </w:pPr>
      <w:r>
        <w:t>Les personnes en situation de handicap et leurs proches déplorent une inégalité flagrante en matière de soins médicaux et infirmiers. Le manque de sensibilisation, d’information et de formation initiale ou continue de la part du personnel soignant risque de mettre en péril une prise en charge adaptée à la pathologie et aux besoins spécifiques de la personne en situation de handicap et respectant son intégrité et son intimité personnelles.</w:t>
      </w:r>
    </w:p>
    <w:p w:rsidR="00784C40" w:rsidRDefault="00784C40" w:rsidP="00784C40">
      <w:pPr>
        <w:pStyle w:val="Standard"/>
        <w:jc w:val="both"/>
      </w:pPr>
    </w:p>
    <w:p w:rsidR="00784C40" w:rsidRDefault="00784C40" w:rsidP="00784C40">
      <w:pPr>
        <w:pStyle w:val="Standard"/>
        <w:jc w:val="both"/>
      </w:pPr>
      <w:r>
        <w:t>La CCDH constate et regrette l’absence de formation du personnel soignant par le Lycée pour les professions de santé en matière de handicap, que ce soit dans la filière de l’aide-soignant ou dans celle de l‘infirmier. Voir aussi article 25</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Article 18 : Droit de circuler librement et nationalité</w:t>
      </w:r>
    </w:p>
    <w:p w:rsidR="00784C40" w:rsidRDefault="00784C40" w:rsidP="00784C40">
      <w:pPr>
        <w:pStyle w:val="Standard"/>
        <w:jc w:val="both"/>
        <w:rPr>
          <w:b/>
        </w:rPr>
      </w:pPr>
    </w:p>
    <w:p w:rsidR="00784C40" w:rsidRDefault="00784C40" w:rsidP="00784C40">
      <w:pPr>
        <w:pStyle w:val="Standard"/>
        <w:jc w:val="both"/>
      </w:pPr>
      <w:r>
        <w:t>En ce qui concerne les demandeurs de protection internationale (DPI) avec un handicap, la CCDH se réfère à ses avis sur les deux projets de loi 6779 et 6775</w:t>
      </w:r>
      <w:r>
        <w:rPr>
          <w:rStyle w:val="FootnoteReference"/>
        </w:rPr>
        <w:footnoteReference w:id="19"/>
      </w:r>
      <w:r>
        <w:t xml:space="preserve"> dans lesquels elle insiste sur les problèmes liés à la procédure et à l’accueil des DPI vulnérables, dont les personnes handicapées. </w:t>
      </w:r>
    </w:p>
    <w:p w:rsidR="00784C40" w:rsidRDefault="00784C40" w:rsidP="00784C40">
      <w:pPr>
        <w:pStyle w:val="Standard"/>
        <w:jc w:val="both"/>
      </w:pPr>
      <w:r>
        <w:t>La CCDH estime que les deux lois du 18 décembre 2015</w:t>
      </w:r>
      <w:r>
        <w:rPr>
          <w:rStyle w:val="FootnoteReference"/>
        </w:rPr>
        <w:footnoteReference w:id="20"/>
      </w:r>
      <w:r>
        <w:t xml:space="preserve"> ne sont pas rédigées avec la clarté et la précision nécessaires de manière à éviter des interprétations subjectives et abusives.</w:t>
      </w:r>
    </w:p>
    <w:p w:rsidR="00784C40" w:rsidRDefault="00784C40" w:rsidP="00784C40">
      <w:pPr>
        <w:pStyle w:val="Standard"/>
        <w:jc w:val="both"/>
      </w:pPr>
    </w:p>
    <w:p w:rsidR="00784C40" w:rsidRDefault="00784C40" w:rsidP="00784C40">
      <w:pPr>
        <w:pStyle w:val="Standard"/>
        <w:jc w:val="both"/>
      </w:pPr>
      <w:r>
        <w:t>La CCDH regrette que les différentes étapes de la procédure d’introduction d’une demande de protection internationale soient définies de telle manière que les DPI peuvent théoriquement être en situation irrégulière pendant une période de temps non définie au cours de laquelle ils seront privés de toute condition d’accueil. Ceci est le cas aussi pour les personnes les plus vulnérables dont les DPI avec un handicap. Cette procédure laisse les DPI dans une situation d’incertitude susceptibles de porter gravement atteinte à leurs droits fondamentaux et crée un risque d’arbitraire.</w:t>
      </w:r>
    </w:p>
    <w:p w:rsidR="00784C40" w:rsidRDefault="00784C40" w:rsidP="00784C40">
      <w:pPr>
        <w:jc w:val="both"/>
      </w:pPr>
    </w:p>
    <w:p w:rsidR="00784C40" w:rsidRDefault="00784C40" w:rsidP="00784C40">
      <w:pPr>
        <w:jc w:val="both"/>
      </w:pPr>
      <w:r>
        <w:t>La CCDH souligne en outre que la procédure d’évaluation des besoins particuliers, dont le handicap, doit être mise en œuvre dans un cadre plus strict et que le délai pour la réaliser doit être le plus court possible. Dans ce contexte, elle insiste sur l’importance des ressources nécessaires en personnel qualifié.</w:t>
      </w:r>
    </w:p>
    <w:p w:rsidR="00784C40" w:rsidRDefault="00784C40" w:rsidP="00784C40">
      <w:pPr>
        <w:jc w:val="both"/>
      </w:pPr>
    </w:p>
    <w:p w:rsidR="00784C40" w:rsidRDefault="00784C40" w:rsidP="00784C40">
      <w:pPr>
        <w:jc w:val="both"/>
      </w:pPr>
      <w:r>
        <w:t xml:space="preserve">Il y a encore lieu de souligner que les différentes pathologies présentes au sein des structures d’hébergement sont difficiles à prendre en charge et qu'elles peuvent mener à l’isolement des personnes concernées. Le placement des personnes handicapées dans une structure spécialisée peut s’avérer difficile en pratique, notamment à cause des problèmes de langue. </w:t>
      </w:r>
      <w:r>
        <w:rPr>
          <w:rStyle w:val="FootnoteReference"/>
        </w:rPr>
        <w:footnoteReference w:id="21"/>
      </w:r>
    </w:p>
    <w:p w:rsidR="00784C40" w:rsidRDefault="00784C40" w:rsidP="00784C40">
      <w:pPr>
        <w:pStyle w:val="Standard"/>
      </w:pPr>
    </w:p>
    <w:p w:rsidR="00784C40" w:rsidRDefault="00784C40" w:rsidP="00784C40">
      <w:pPr>
        <w:pStyle w:val="Standard"/>
        <w:jc w:val="both"/>
        <w:rPr>
          <w:b/>
        </w:rPr>
      </w:pPr>
    </w:p>
    <w:p w:rsidR="00784C40" w:rsidRDefault="00784C40" w:rsidP="00784C40">
      <w:pPr>
        <w:pStyle w:val="Standard"/>
        <w:jc w:val="both"/>
        <w:rPr>
          <w:b/>
        </w:rPr>
      </w:pPr>
      <w:r>
        <w:rPr>
          <w:b/>
        </w:rPr>
        <w:t>Article 19 : Autonomie de vie et inclusion dans la société</w:t>
      </w:r>
    </w:p>
    <w:p w:rsidR="00784C40" w:rsidRDefault="00784C40" w:rsidP="00784C40">
      <w:pPr>
        <w:pStyle w:val="Standard"/>
        <w:jc w:val="both"/>
      </w:pPr>
    </w:p>
    <w:p w:rsidR="00784C40" w:rsidRDefault="00784C40" w:rsidP="00784C40">
      <w:pPr>
        <w:pStyle w:val="Standard"/>
        <w:jc w:val="both"/>
      </w:pPr>
      <w:r>
        <w:t>A l’heure actuelle, le domaine de l’autonomie de vie est un domaine où l’on n’observe que très peu de changements depuis l’adoption de la Convention.</w:t>
      </w:r>
    </w:p>
    <w:p w:rsidR="00784C40" w:rsidRDefault="00784C40" w:rsidP="00784C40">
      <w:pPr>
        <w:pStyle w:val="Standard"/>
        <w:jc w:val="both"/>
      </w:pPr>
    </w:p>
    <w:p w:rsidR="00784C40" w:rsidRDefault="00784C40" w:rsidP="00784C40">
      <w:pPr>
        <w:jc w:val="both"/>
      </w:pPr>
      <w:r>
        <w:t>La CCDH regrette l'absence de législation sur l'assistance personnelle. Cette assistance individualisée n'existe pas au Luxembourg et n’est pas prévue non plus dans le plan d'action. La seule aide prévue est celle définie par le catalogue de l’assurance dépendance. Or, à en croire les organisations de personnes handicapées, celle-ci ne</w:t>
      </w:r>
      <w:r>
        <w:rPr>
          <w:rFonts w:ascii="Arial" w:hAnsi="Arial" w:cs="Arial"/>
        </w:rPr>
        <w:t xml:space="preserve"> </w:t>
      </w:r>
      <w:r>
        <w:t>s’adapte pas à la vie des personnes en situation de handicap et limite fortement le nombre d’heures pouvant être consacrées à une personne handicapée. Le manque de personnel et les possibilités limitées de transformer des services en prestations rémunérées réduisent les chances d’une vie autonome.</w:t>
      </w:r>
    </w:p>
    <w:p w:rsidR="00784C40" w:rsidRDefault="00784C40" w:rsidP="00784C40">
      <w:pPr>
        <w:jc w:val="both"/>
      </w:pPr>
      <w:r>
        <w:t>Actuellement, l’assurance dépendance prévoit un service de 56,5 heures par semaine. Ce nombre est insuffisant pour permettre à une personne nécessitant une aide permanente de participer à la vie active et dans la société.</w:t>
      </w:r>
    </w:p>
    <w:p w:rsidR="00784C40" w:rsidRDefault="00784C40" w:rsidP="00784C40">
      <w:pPr>
        <w:pStyle w:val="Standard"/>
        <w:jc w:val="both"/>
        <w:rPr>
          <w:rFonts w:ascii="Arial" w:hAnsi="Arial" w:cs="Arial"/>
        </w:rPr>
      </w:pPr>
    </w:p>
    <w:p w:rsidR="00784C40" w:rsidRDefault="00784C40" w:rsidP="00784C40">
      <w:pPr>
        <w:jc w:val="both"/>
      </w:pPr>
      <w:r>
        <w:t>Une réforme de l’assurance dépendance est en cours. Toutefois, d’après les personnes concernées, cette réforme ne tiendrait pas compte des exigences de l’article 19 et est plus axée sur les besoins des personnes âgées.</w:t>
      </w:r>
    </w:p>
    <w:p w:rsidR="00784C40" w:rsidRDefault="00784C40" w:rsidP="00784C40">
      <w:pPr>
        <w:pStyle w:val="Standard"/>
        <w:jc w:val="both"/>
      </w:pPr>
    </w:p>
    <w:p w:rsidR="00784C40" w:rsidRDefault="00784C40" w:rsidP="00784C40">
      <w:pPr>
        <w:jc w:val="both"/>
      </w:pPr>
      <w:r>
        <w:t>Les personnes en situation de handicap déplorent de manière générale le manque d’habitations adaptées disponibles à un prix raisonnable pour les personnes souhaitant mener une vie plus autonome. La CCDH est d'avis que le gouvernement devrait investir davantage dans des structures ouvertes ou des habitations permettant de mener une vie autonome.</w:t>
      </w:r>
    </w:p>
    <w:p w:rsidR="00784C40" w:rsidRDefault="00784C40" w:rsidP="00784C40">
      <w:pPr>
        <w:pStyle w:val="Standard"/>
        <w:jc w:val="both"/>
        <w:rPr>
          <w:rFonts w:ascii="Arial" w:hAnsi="Arial" w:cs="Arial"/>
          <w:lang w:val="fr-FR"/>
        </w:rPr>
      </w:pPr>
    </w:p>
    <w:p w:rsidR="00784C40" w:rsidRDefault="00784C40" w:rsidP="00784C40">
      <w:pPr>
        <w:pStyle w:val="Standard"/>
        <w:jc w:val="both"/>
      </w:pPr>
      <w:r>
        <w:rPr>
          <w:rFonts w:cs="Times New Roman"/>
        </w:rPr>
        <w:t xml:space="preserve">La CCDH recommande aux autorités de créer un cadre légal pour une assistance personnelle qui va au-delà du volet purement médical et des « actes essentiels de la vie », et de </w:t>
      </w:r>
      <w:r>
        <w:t>s’inspirer des projets en cours et des bonnes pratiques de particuliers ou d’associations de personnes concern</w:t>
      </w:r>
      <w:r>
        <w:rPr>
          <w:rFonts w:cs="Times New Roman"/>
        </w:rPr>
        <w:t>ées.</w:t>
      </w:r>
      <w:r>
        <w:rPr>
          <w:rStyle w:val="FootnoteReference"/>
          <w:rFonts w:cs="Times New Roman"/>
        </w:rPr>
        <w:footnoteReference w:id="22"/>
      </w:r>
    </w:p>
    <w:p w:rsidR="00784C40" w:rsidRDefault="00784C40" w:rsidP="00784C40">
      <w:pPr>
        <w:pStyle w:val="Standard"/>
        <w:jc w:val="both"/>
        <w:rPr>
          <w:rFonts w:cs="Times New Roman"/>
        </w:rPr>
      </w:pPr>
    </w:p>
    <w:p w:rsidR="00784C40" w:rsidRDefault="00784C40" w:rsidP="00784C40">
      <w:pPr>
        <w:pStyle w:val="Standard"/>
        <w:jc w:val="both"/>
      </w:pPr>
      <w:r>
        <w:rPr>
          <w:rFonts w:cs="Times New Roman"/>
        </w:rPr>
        <w:t xml:space="preserve">La CCDH constate avec satisfaction que le gouvernement a annoncé l’intention de créer un budget d’assistance personnalisé, qui ne concernerait pas seulement le volet santé mais également le volet </w:t>
      </w:r>
      <w:r>
        <w:t>social. Cette assistance n’aurait pas pour but de remplacer l’assistance dépendance, mais les deux</w:t>
      </w:r>
      <w:r>
        <w:rPr>
          <w:rFonts w:cs="Times New Roman"/>
        </w:rPr>
        <w:t xml:space="preserve"> systèmes devraient se compléter à long terme.</w:t>
      </w:r>
    </w:p>
    <w:p w:rsidR="00784C40" w:rsidRDefault="00784C40" w:rsidP="00784C40">
      <w:pPr>
        <w:pStyle w:val="Standard"/>
        <w:jc w:val="both"/>
        <w:rPr>
          <w:rFonts w:cs="Arial"/>
        </w:rPr>
      </w:pPr>
    </w:p>
    <w:p w:rsidR="00784C40" w:rsidRDefault="00784C40" w:rsidP="00784C40">
      <w:pPr>
        <w:pStyle w:val="Standard"/>
        <w:jc w:val="both"/>
      </w:pPr>
      <w:r>
        <w:t>Quant à l’assistance sexuelle, il n’y a actuellement pas de cadre légal et cette thématique n’a pas encore fait l’objet d’un débat public.</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Article 20 :  Mobilité personnelle</w:t>
      </w:r>
    </w:p>
    <w:p w:rsidR="00784C40" w:rsidRDefault="00784C40" w:rsidP="00784C40">
      <w:pPr>
        <w:pStyle w:val="Standard"/>
        <w:jc w:val="both"/>
      </w:pPr>
    </w:p>
    <w:p w:rsidR="00784C40" w:rsidRDefault="00784C40" w:rsidP="00784C40">
      <w:pPr>
        <w:pStyle w:val="Standard"/>
        <w:jc w:val="both"/>
      </w:pPr>
      <w:r>
        <w:t>Le gouvernement doit développer des moyens pour promouvoir la mobilité des personnes handicapées, notamment en ce qui concerne les pôles d’échange dans les gares, les panneaux d’information dans les transports publics, les bus à plancher surbaissé et le transport régional. Il est également important de transmettre les informations sur base du principe bi-sensoriel. De manière générale, l’accessibilité des transports publics, à part ceux de la Ville de Luxembourg, laisse beaucoup à désirer. La CCDH espère que le tram, qui devrait être opérationnel fin 2017, prendra en considération les besoins des personnes en situation de handicap.</w:t>
      </w:r>
    </w:p>
    <w:p w:rsidR="00784C40" w:rsidRDefault="00784C40" w:rsidP="00784C40">
      <w:pPr>
        <w:pStyle w:val="Standard"/>
        <w:jc w:val="both"/>
      </w:pPr>
    </w:p>
    <w:p w:rsidR="00784C40" w:rsidRDefault="00784C40" w:rsidP="00784C40">
      <w:pPr>
        <w:pStyle w:val="Standard"/>
        <w:jc w:val="both"/>
      </w:pPr>
      <w:r>
        <w:t>La CCDH recommande également de revoir et d’évaluer la disponibilité et la qualité des transports spécifiques (Adapto et Capabs). D’après les personnes en situation de handicap, ces transports présentent des problèmes à plusieurs niveaux, notamment le manque de coordination entre les différentes sociétés de bus concernées par ces transports, le nombre de trajets prévus ainsi que le prix, les listes d’attentes, l’horaire des trajets et la prise en charge pendant le trajet.</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Article 21 : Liberté d’expression et d’opinion et accès à l’information</w:t>
      </w:r>
    </w:p>
    <w:p w:rsidR="00784C40" w:rsidRDefault="00784C40" w:rsidP="00784C40">
      <w:pPr>
        <w:pStyle w:val="Standard"/>
        <w:jc w:val="both"/>
        <w:rPr>
          <w:b/>
        </w:rPr>
      </w:pPr>
    </w:p>
    <w:p w:rsidR="00784C40" w:rsidRDefault="00784C40" w:rsidP="00784C40">
      <w:pPr>
        <w:pStyle w:val="Standard"/>
        <w:jc w:val="both"/>
        <w:rPr>
          <w:b/>
        </w:rPr>
      </w:pPr>
      <w:r>
        <w:rPr>
          <w:b/>
        </w:rPr>
        <w:t>Plurilinguisme </w:t>
      </w:r>
    </w:p>
    <w:p w:rsidR="00784C40" w:rsidRDefault="00784C40" w:rsidP="00784C40">
      <w:pPr>
        <w:pStyle w:val="Standard"/>
        <w:jc w:val="both"/>
        <w:rPr>
          <w:b/>
        </w:rPr>
      </w:pPr>
    </w:p>
    <w:p w:rsidR="00784C40" w:rsidRDefault="00784C40" w:rsidP="00784C40">
      <w:pPr>
        <w:pStyle w:val="Standard"/>
        <w:jc w:val="both"/>
      </w:pPr>
      <w:r>
        <w:t>Le plurilinguisme au Luxembourg entraîne un certain nombre de défis pour l’accès à l’information et la communication. Les personnes en situation de handicap éprouvent très souvent des difficultés avec la langue française. Les informations venant des autorités devraient ainsi être publiées non seulement en français, mais aussi en allemand et en luxembourgeois. Un résumé en luxembourgeois ou en allemand ainsi qu’en langage simple pourrait également être utile. En cas de traduction en langage simple, il s’agit de veiller à ce que le format du texte soit également adapté au public visé. La CCDH recommande au gouvernement, notamment au ministère de la Famille, de faire en sorte que, dans les institutions et centres pour personnes en situation de handicap qu’il gère, les informations soient rendues accessibles.</w:t>
      </w:r>
    </w:p>
    <w:p w:rsidR="00784C40" w:rsidRDefault="00784C40" w:rsidP="00784C40">
      <w:pPr>
        <w:pStyle w:val="Standard"/>
        <w:jc w:val="both"/>
      </w:pPr>
    </w:p>
    <w:p w:rsidR="00784C40" w:rsidRDefault="00784C40" w:rsidP="00784C40">
      <w:pPr>
        <w:pStyle w:val="Standard"/>
        <w:jc w:val="both"/>
      </w:pPr>
      <w:r>
        <w:t>Les administrations devraient prévoir suffisamment de personnel pour préparer et rédiger les informations de façon à ce qu’elles soient accessibles.</w:t>
      </w:r>
    </w:p>
    <w:p w:rsidR="00784C40" w:rsidRDefault="00784C40" w:rsidP="00784C40">
      <w:pPr>
        <w:pStyle w:val="Standard"/>
        <w:jc w:val="both"/>
      </w:pPr>
    </w:p>
    <w:p w:rsidR="00784C40" w:rsidRDefault="00784C40" w:rsidP="00784C40">
      <w:pPr>
        <w:pStyle w:val="Standard"/>
        <w:jc w:val="both"/>
      </w:pPr>
      <w:r>
        <w:t>Le Conseil de gouvernement a adopté le 5 mai 2017 le projet de loi modifiant la loi du 24 février 1984 sur le régime des langues.</w:t>
      </w:r>
      <w:r>
        <w:rPr>
          <w:rStyle w:val="FootnoteReference"/>
        </w:rPr>
        <w:footnoteReference w:id="23"/>
      </w:r>
      <w:r>
        <w:t xml:space="preserve"> Ce projet a pour but de « </w:t>
      </w:r>
      <w:r>
        <w:rPr>
          <w:i/>
        </w:rPr>
        <w:t>conférer un statut officiel à la langue des signes allemande au Luxembourg et de promouvoir l’identité linguistique des personnes sourdes en reconnaissant la langue des signes comme langue à part entière. Le projet prévoit également de faciliter la communication entre l’Etat et ses citoyens malentendants ou sourds en instaurant le droit des personnes malentendantes ou sourdes de recourir à un interprète en langue des signes dans leurs relations avec les administrations relevant de l’Etat. Le projet consacrera également le droit des parents et de la fratrie de la personne malentendante ou sourde de recevoir un enseignement de base de la langue des signes. Finalement, le projet a pour objet de faire bénéficier les enfants malentendants ou sourds des mêmes chances de suivre la formation de leur choix que les enfants sans handicap et de pouvoir suivre l’enseignement fondamental et secondaire dans la langue des signes. »</w:t>
      </w:r>
      <w:r>
        <w:rPr>
          <w:rStyle w:val="FootnoteReference"/>
        </w:rPr>
        <w:footnoteReference w:id="24"/>
      </w:r>
      <w:r>
        <w:rPr>
          <w:i/>
        </w:rPr>
        <w:t xml:space="preserve"> </w:t>
      </w:r>
      <w:r>
        <w:t>La CCDH salue l’élaboration de ce projet de loi. Elle souligne toutefois l’importance de faire accompagner la reconnaissance de la langue des signes par une augmentation du nombre d’interprètes en langage des signes, voire par l’organisation d’une formation à l’interprétariat en langue des signes. Actuellement, le ministère de la Famille dispose d’un seul interprète et lorsque cet interprète n’est pas disponible, il faut recourir au service d’information de la « Hörgeschädigtenberatung »</w:t>
      </w:r>
      <w:r>
        <w:rPr>
          <w:rStyle w:val="FootnoteReference"/>
        </w:rPr>
        <w:footnoteReference w:id="25"/>
      </w:r>
      <w:r>
        <w:t xml:space="preserve"> ou a des interprètes de l’étranger, ce qui entraîne des coûts considérables pour les personnes qui en ont besoin. Par ailleurs, la CCDH regrette que les administrations communales ne soient pas visées par le projet de loi.</w:t>
      </w:r>
    </w:p>
    <w:p w:rsidR="00784C40" w:rsidRDefault="00784C40" w:rsidP="00784C40">
      <w:pPr>
        <w:jc w:val="both"/>
      </w:pPr>
    </w:p>
    <w:p w:rsidR="00784C40" w:rsidRDefault="00784C40" w:rsidP="00784C40">
      <w:pPr>
        <w:jc w:val="both"/>
      </w:pPr>
      <w:r>
        <w:t>Aussi faudrait-il réfléchir aux situations de personnes malentendantes ou sourdes venant d’un environnement francophone. En effet, la langue des signes utilisée actuellement au Luxembourg est la langue des signes allemande. Bien que ne disposant pas d’information, la CCDH s'interroge sur la situation des enfants malentendants ou sourds qui grandissent auprès de parents francophones.</w:t>
      </w:r>
    </w:p>
    <w:p w:rsidR="00784C40" w:rsidRDefault="00784C40" w:rsidP="00784C40">
      <w:pPr>
        <w:jc w:val="both"/>
      </w:pPr>
    </w:p>
    <w:p w:rsidR="00784C40" w:rsidRDefault="00784C40" w:rsidP="00784C40">
      <w:pPr>
        <w:jc w:val="both"/>
        <w:rPr>
          <w:b/>
        </w:rPr>
      </w:pPr>
      <w:r>
        <w:rPr>
          <w:b/>
        </w:rPr>
        <w:t>Médias </w:t>
      </w:r>
    </w:p>
    <w:p w:rsidR="00784C40" w:rsidRDefault="00784C40" w:rsidP="00784C40">
      <w:pPr>
        <w:jc w:val="both"/>
        <w:rPr>
          <w:b/>
        </w:rPr>
      </w:pPr>
    </w:p>
    <w:p w:rsidR="00784C40" w:rsidRDefault="00784C40" w:rsidP="00784C40">
      <w:pPr>
        <w:jc w:val="both"/>
      </w:pPr>
      <w:r>
        <w:t xml:space="preserve">On trouve actuellement toujours des textes avec des expressions stéréotypées voire discriminatoires dans la presse luxembourgeoise. Les personnes en situation de handicap sont malheureusement toujours réduites à leur handicap et interviewées au sujet du handicap uniquement. </w:t>
      </w:r>
    </w:p>
    <w:p w:rsidR="00784C40" w:rsidRDefault="00784C40" w:rsidP="00784C40">
      <w:pPr>
        <w:jc w:val="both"/>
      </w:pPr>
      <w:r>
        <w:t>Aussi en matière d’accessibilité des médias reste-t-il beaucoup à faire.</w:t>
      </w:r>
    </w:p>
    <w:p w:rsidR="00784C40" w:rsidRDefault="00784C40" w:rsidP="00784C40">
      <w:pPr>
        <w:jc w:val="both"/>
      </w:pPr>
      <w:r>
        <w:t>La CCDH pense qu'il serait utile que le Luxembourg se dote d’un guide pour les médias, comme il en existe déjà dans d’autres pays.</w:t>
      </w:r>
      <w:r>
        <w:rPr>
          <w:rStyle w:val="FootnoteReference"/>
        </w:rPr>
        <w:footnoteReference w:id="26"/>
      </w:r>
    </w:p>
    <w:p w:rsidR="00784C40" w:rsidRDefault="00784C40" w:rsidP="00784C40">
      <w:pPr>
        <w:pStyle w:val="Standard"/>
        <w:jc w:val="both"/>
      </w:pPr>
    </w:p>
    <w:p w:rsidR="00784C40" w:rsidRDefault="00784C40" w:rsidP="00784C40">
      <w:pPr>
        <w:pStyle w:val="Standard"/>
        <w:jc w:val="both"/>
        <w:rPr>
          <w:b/>
        </w:rPr>
      </w:pPr>
      <w:r>
        <w:rPr>
          <w:b/>
        </w:rPr>
        <w:t>Internet</w:t>
      </w:r>
    </w:p>
    <w:p w:rsidR="00784C40" w:rsidRDefault="00784C40" w:rsidP="00784C40">
      <w:pPr>
        <w:pStyle w:val="Standard"/>
        <w:jc w:val="both"/>
        <w:rPr>
          <w:b/>
        </w:rPr>
      </w:pPr>
    </w:p>
    <w:p w:rsidR="00784C40" w:rsidRDefault="00784C40" w:rsidP="00784C40">
      <w:pPr>
        <w:jc w:val="both"/>
      </w:pPr>
      <w:r>
        <w:t>Le gouvernement devrait faire en sorte que tous les sites Internet de l’Etat, pas seulement ceux gérés par le Centre des Technologies de l’Information de l’Etat (CTIE), soient accessibles aux personnes en situation de handicap et assurer un contrôle systématique de leur accessibilité.</w:t>
      </w:r>
    </w:p>
    <w:p w:rsidR="00784C40" w:rsidRDefault="00784C40" w:rsidP="00784C40">
      <w:pPr>
        <w:pStyle w:val="Standard"/>
        <w:jc w:val="both"/>
      </w:pPr>
    </w:p>
    <w:p w:rsidR="00784C40" w:rsidRDefault="00784C40" w:rsidP="00784C40">
      <w:pPr>
        <w:pStyle w:val="Standard"/>
        <w:jc w:val="both"/>
        <w:rPr>
          <w:b/>
        </w:rPr>
      </w:pPr>
    </w:p>
    <w:p w:rsidR="00784C40" w:rsidRDefault="00784C40" w:rsidP="00784C40">
      <w:pPr>
        <w:pStyle w:val="Standard"/>
        <w:jc w:val="both"/>
        <w:rPr>
          <w:b/>
        </w:rPr>
      </w:pPr>
      <w:r>
        <w:rPr>
          <w:b/>
        </w:rPr>
        <w:t>Article 22 : Respect de la vie privée</w:t>
      </w:r>
    </w:p>
    <w:p w:rsidR="00784C40" w:rsidRDefault="00784C40" w:rsidP="00784C40">
      <w:pPr>
        <w:pStyle w:val="Standard"/>
        <w:jc w:val="both"/>
        <w:rPr>
          <w:b/>
        </w:rPr>
      </w:pPr>
    </w:p>
    <w:p w:rsidR="00784C40" w:rsidRDefault="00784C40" w:rsidP="00784C40">
      <w:pPr>
        <w:pStyle w:val="Standard"/>
        <w:jc w:val="both"/>
      </w:pPr>
      <w:r>
        <w:t>D’après le rapport du gouvernement, chaque institution pour personnes handicapées a ses propres règles. Or, le respect de la vie privée devrait être garantie par une loi, applicable à toutes les structures et institutions.</w:t>
      </w: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Standard"/>
        <w:jc w:val="both"/>
        <w:rPr>
          <w:b/>
        </w:rPr>
      </w:pPr>
      <w:r>
        <w:rPr>
          <w:b/>
        </w:rPr>
        <w:t>Article 23 : Respect du domicile et de la famille</w:t>
      </w:r>
    </w:p>
    <w:p w:rsidR="00784C40" w:rsidRDefault="00784C40" w:rsidP="00784C40">
      <w:pPr>
        <w:pStyle w:val="Standard"/>
        <w:jc w:val="both"/>
        <w:rPr>
          <w:b/>
        </w:rPr>
      </w:pPr>
    </w:p>
    <w:p w:rsidR="00784C40" w:rsidRDefault="00784C40" w:rsidP="00784C40">
      <w:pPr>
        <w:pStyle w:val="Standard"/>
        <w:jc w:val="both"/>
      </w:pPr>
      <w:r>
        <w:t>En cas de placement non volontaire d’un enfant atteint de troubles mentaux en institution, la CCDH insiste à ce que ces placements se fassent dans le respect du domicile et de la famille. Il en est de même pour les enfants qui doivent être placés en foyer ou ailleurs en raison des problèmes de santé mentale de leurs parents</w:t>
      </w:r>
      <w:r>
        <w:rPr>
          <w:b/>
        </w:rPr>
        <w:t>.</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rPr>
          <w:b/>
        </w:rPr>
      </w:pPr>
      <w:r>
        <w:rPr>
          <w:b/>
        </w:rPr>
        <w:t>Article 24 : Education</w:t>
      </w:r>
    </w:p>
    <w:p w:rsidR="00784C40" w:rsidRDefault="00784C40" w:rsidP="00784C40">
      <w:pPr>
        <w:pStyle w:val="Standard"/>
        <w:jc w:val="both"/>
      </w:pPr>
    </w:p>
    <w:p w:rsidR="00784C40" w:rsidRDefault="00784C40" w:rsidP="00784C40">
      <w:pPr>
        <w:jc w:val="both"/>
      </w:pPr>
      <w:r>
        <w:t>La CCDH constate que malgré les efforts du gouvernement en matière d’inclusion des enfants à besoins éducatifs spécifiques dans le milieu scolaire, des difficultés structurelles persistent, contrecarrant les résultats espérés.</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pPr>
      <w:r>
        <w:t>En dehors des enfants qui, au vu de la lourdeur de leur handicap, ne peuvent pas être totalement intégrés dans le système d’éducation régulier, la CCDH constate que malgré la législation en vigueur, il existe en termes d’inclusion toujours des problèmes d’harmonisation et d’information sur le terrain et/ou entre les différents et nombreux intervenants. Dans ce contexte, il est regrettable que le gouvernement ne privilégie pas la cohérence dans les différentes réformes de l’éducation nationale. A titre d'exemple, le Parlement vient d’adopter le 31.05.2017 une loi portant e.a. modification de la loi modifiée du 6 février 2009 portant organisation de l'enseignement fondamental</w:t>
      </w:r>
      <w:r>
        <w:rPr>
          <w:rStyle w:val="FootnoteReference"/>
        </w:rPr>
        <w:footnoteReference w:id="27"/>
      </w:r>
      <w:r>
        <w:t>, laquelle prévoit notamment le déploiement d’un dispositif au niveau local et régional pour améliorer la prise en charge des élèves à besoins particuliers ou spécifiques. Par ailleurs, un avant-projet de loi est en préparation et porte quant à lui sur la création de centres de compétences en psychopédagogie spécialisée en faveur de l’inclusion scolaire. Comme ces deux textes interagissent forcément, il est regrettable que dans une matière tellement complexe et sensible qu’est l’inclusion des enfants à besoins spécifiques dans le système scolaire, l’accent ne soit pas mis sur la coordination et la coopération rapprochées entre les différents acteurs et auteurs.</w:t>
      </w:r>
    </w:p>
    <w:p w:rsidR="00784C40" w:rsidRDefault="00784C40" w:rsidP="00784C40">
      <w:pPr>
        <w:pStyle w:val="Standard"/>
        <w:jc w:val="both"/>
      </w:pPr>
    </w:p>
    <w:p w:rsidR="00784C40" w:rsidRDefault="00784C40" w:rsidP="00784C40">
      <w:pPr>
        <w:pStyle w:val="Standard"/>
        <w:jc w:val="both"/>
        <w:rPr>
          <w:b/>
        </w:rPr>
      </w:pPr>
      <w:r>
        <w:rPr>
          <w:b/>
        </w:rPr>
        <w:t>Formation et information</w:t>
      </w:r>
    </w:p>
    <w:p w:rsidR="00784C40" w:rsidRDefault="00784C40" w:rsidP="00784C40">
      <w:pPr>
        <w:pStyle w:val="Standard"/>
        <w:ind w:firstLine="708"/>
        <w:jc w:val="both"/>
      </w:pPr>
    </w:p>
    <w:p w:rsidR="00784C40" w:rsidRDefault="00784C40" w:rsidP="00784C40">
      <w:pPr>
        <w:pStyle w:val="Standard"/>
        <w:jc w:val="both"/>
      </w:pPr>
      <w:r>
        <w:t xml:space="preserve">La CCDH constate que non seulement les parents sont mal informés sur les dispositifs mis en place pour accompagner leur enfant à besoins éducatifs spécifiques, mais aussi que le personnel enseignant est confronté à une absence </w:t>
      </w:r>
      <w:r>
        <w:rPr>
          <w:i/>
        </w:rPr>
        <w:t>quasi</w:t>
      </w:r>
      <w:r>
        <w:t xml:space="preserve"> totale d’information et de formation. Même si d’une manière générale, le personnel enseignant suit une formation en éducation spécialisée, celle-ci reste insuffisante et il faudrait la rendre obligatoire et périodique par le biais de la formation continue.</w:t>
      </w:r>
    </w:p>
    <w:p w:rsidR="00784C40" w:rsidRDefault="00784C40" w:rsidP="00784C40">
      <w:pPr>
        <w:pStyle w:val="Standard"/>
        <w:ind w:firstLine="708"/>
        <w:jc w:val="both"/>
      </w:pPr>
    </w:p>
    <w:p w:rsidR="00784C40" w:rsidRDefault="00784C40" w:rsidP="00784C40">
      <w:pPr>
        <w:pStyle w:val="Standard"/>
        <w:jc w:val="both"/>
        <w:rPr>
          <w:b/>
        </w:rPr>
      </w:pPr>
      <w:r>
        <w:rPr>
          <w:b/>
        </w:rPr>
        <w:t>Absence et remplacement de l’intervenant spécialisé</w:t>
      </w:r>
    </w:p>
    <w:p w:rsidR="00784C40" w:rsidRDefault="00784C40" w:rsidP="00784C40">
      <w:pPr>
        <w:pStyle w:val="Standard"/>
        <w:ind w:firstLine="708"/>
        <w:jc w:val="both"/>
      </w:pPr>
    </w:p>
    <w:p w:rsidR="00784C40" w:rsidRDefault="00784C40" w:rsidP="00784C40">
      <w:pPr>
        <w:pStyle w:val="Standard"/>
        <w:jc w:val="both"/>
      </w:pPr>
      <w:r>
        <w:t>Actuellement, la pénurie de personnel remplaçant et la lourdeur administrative ont pour conséquences qu’en cas de maladie ou d’absence de courte durée ou de moyenne durée, l’intervenant spécialisé absent ne peut pas toujours être remplacé. L’élève à besoins éducatifs spécifiques est ainsi laissé à lui-même, avec pour seule personne de référence l’enseignant « général » de sa classe.</w:t>
      </w:r>
    </w:p>
    <w:p w:rsidR="00784C40" w:rsidRDefault="00784C40" w:rsidP="00784C40">
      <w:pPr>
        <w:pStyle w:val="Standard"/>
        <w:jc w:val="both"/>
        <w:rPr>
          <w:b/>
        </w:rPr>
      </w:pPr>
    </w:p>
    <w:p w:rsidR="00784C40" w:rsidRDefault="00784C40" w:rsidP="00784C40">
      <w:pPr>
        <w:pStyle w:val="Standard"/>
        <w:jc w:val="both"/>
        <w:rPr>
          <w:b/>
        </w:rPr>
      </w:pPr>
      <w:r>
        <w:rPr>
          <w:b/>
        </w:rPr>
        <w:t>Transfert de l'élève d’un établissement vers un autre</w:t>
      </w:r>
    </w:p>
    <w:p w:rsidR="00784C40" w:rsidRDefault="00784C40" w:rsidP="00784C40">
      <w:pPr>
        <w:pStyle w:val="Standard"/>
        <w:ind w:firstLine="708"/>
        <w:jc w:val="both"/>
      </w:pPr>
    </w:p>
    <w:p w:rsidR="00784C40" w:rsidRDefault="00784C40" w:rsidP="00784C40">
      <w:pPr>
        <w:jc w:val="both"/>
      </w:pPr>
      <w:r>
        <w:t>L’absence d’une structure « centralisée » assistant les parents et les écoles lors du passage de l’école fondamentale à l’école secondaire ne permet pas toujours à l’établissement d'accueil de mettre en place, en temps utile, les moyens nécessaires tant au niveau du matériel didactique que du personnel enseignant.</w:t>
      </w:r>
    </w:p>
    <w:p w:rsidR="00784C40" w:rsidRDefault="00784C40" w:rsidP="00784C40">
      <w:pPr>
        <w:jc w:val="both"/>
      </w:pPr>
    </w:p>
    <w:p w:rsidR="00784C40" w:rsidRDefault="00784C40" w:rsidP="00784C40">
      <w:pPr>
        <w:jc w:val="both"/>
      </w:pPr>
      <w:r>
        <w:t>De surcroît, l’absence de collaboration entre les institutions psychiatriques, tenues au secret professionnel, et la direction de l’établissement scolaire accueillant l’élève à besoins éducatifs spécifiques, joue forcément en défaveur d’une inclusion rapide et harmonieuse dudit élève.</w:t>
      </w:r>
    </w:p>
    <w:p w:rsidR="00784C40" w:rsidRDefault="00784C40" w:rsidP="00784C40">
      <w:pPr>
        <w:jc w:val="both"/>
      </w:pPr>
    </w:p>
    <w:p w:rsidR="00784C40" w:rsidRDefault="00784C40" w:rsidP="00784C40">
      <w:pPr>
        <w:jc w:val="both"/>
      </w:pPr>
      <w:r>
        <w:t>Ainsi, dans le cadre de l’avant-projet précité portant création de centres de compétences, la CCDH demande au gouvernement de ne pas perdre de vue qu’il s’agit avant tout de légiférer dans l’intérêt de l’enfant. Prévoir le secret professionnel partagé en la matière pourrait pallier à bon nombre d’obstacles.</w:t>
      </w:r>
    </w:p>
    <w:p w:rsidR="00784C40" w:rsidRDefault="00784C40" w:rsidP="00784C40">
      <w:pPr>
        <w:pStyle w:val="Standard"/>
        <w:ind w:firstLine="708"/>
        <w:jc w:val="both"/>
      </w:pPr>
    </w:p>
    <w:p w:rsidR="00784C40" w:rsidRDefault="00784C40" w:rsidP="00784C40">
      <w:pPr>
        <w:pStyle w:val="Standard"/>
        <w:ind w:left="709" w:hanging="709"/>
        <w:jc w:val="both"/>
        <w:rPr>
          <w:b/>
        </w:rPr>
      </w:pPr>
      <w:r>
        <w:rPr>
          <w:b/>
        </w:rPr>
        <w:t>Le statut des écoles privées</w:t>
      </w:r>
    </w:p>
    <w:p w:rsidR="00784C40" w:rsidRDefault="00784C40" w:rsidP="00784C40">
      <w:pPr>
        <w:pStyle w:val="Standard"/>
        <w:jc w:val="both"/>
      </w:pPr>
    </w:p>
    <w:p w:rsidR="00784C40" w:rsidRDefault="00784C40" w:rsidP="00784C40">
      <w:pPr>
        <w:pStyle w:val="Standard"/>
        <w:jc w:val="both"/>
      </w:pPr>
      <w:r>
        <w:t>Les textes normatifs actuellement en vigueur ne règlent pas le statut des écoles privées, lesquelles n’ont de ce fait pas l'obligation d’accueillir des élèves à besoins éducatifs spécifiques. D’ailleurs, la loi du 13 juin 2013 concernant les relations entre l’Etat et l’enseignement privé précise explicitement en son article 1</w:t>
      </w:r>
      <w:r>
        <w:rPr>
          <w:vertAlign w:val="superscript"/>
        </w:rPr>
        <w:t>er</w:t>
      </w:r>
      <w:r>
        <w:t>, point 4, que les dispositions de ladite loi ne concernent pas l’enseignement différencié. À ce niveau, la CCDH constate une inégalité de traitement entre les enfants scolarisés.</w:t>
      </w:r>
    </w:p>
    <w:p w:rsidR="00784C40" w:rsidRDefault="00784C40" w:rsidP="00784C40">
      <w:pPr>
        <w:pStyle w:val="Standard"/>
        <w:jc w:val="both"/>
      </w:pPr>
      <w:r>
        <w:t xml:space="preserve">La création d’écoles pour enfants handicapés par des acteurs privés doit être rendu possible, tout comme c’est le cas dans l’enseignement fondamental et post-primaire. </w:t>
      </w:r>
    </w:p>
    <w:p w:rsidR="00784C40" w:rsidRDefault="00784C40" w:rsidP="00784C40">
      <w:pPr>
        <w:pStyle w:val="Standard"/>
        <w:jc w:val="both"/>
      </w:pPr>
    </w:p>
    <w:p w:rsidR="00784C40" w:rsidRDefault="00784C40" w:rsidP="00784C40">
      <w:pPr>
        <w:pStyle w:val="Standard"/>
        <w:jc w:val="both"/>
        <w:rPr>
          <w:rFonts w:eastAsia="Times New Roman" w:cs="Times New Roman"/>
          <w:b/>
        </w:rPr>
      </w:pPr>
      <w:r>
        <w:rPr>
          <w:rFonts w:eastAsia="Times New Roman" w:cs="Times New Roman"/>
          <w:b/>
        </w:rPr>
        <w:t>Les enfants sourds ou non-voyants</w:t>
      </w:r>
    </w:p>
    <w:p w:rsidR="00784C40" w:rsidRDefault="00784C40" w:rsidP="00784C40">
      <w:pPr>
        <w:pStyle w:val="Standard"/>
        <w:jc w:val="both"/>
      </w:pPr>
    </w:p>
    <w:p w:rsidR="00784C40" w:rsidRDefault="00784C40" w:rsidP="00784C40">
      <w:pPr>
        <w:jc w:val="both"/>
      </w:pPr>
      <w:r>
        <w:t>La plupart des établissements scolaires accueillent des enfants sourds ou non-voyants. Ils disposent d’un équipement spécial, souvent mis à leur disposition par l’Institut pour déficients visuels et/ou le Centre de logopédie. Le personnel n’étant pas formé à ces méthodes ou à l’utilisation d’un tel matériel, des spécialistes desdites institutions se déplacent chaque semaine soit pour donner quelques heures de cours auxdits enfants soit pour assister le personnel enseignant.</w:t>
      </w:r>
    </w:p>
    <w:p w:rsidR="00784C40" w:rsidRDefault="00784C40" w:rsidP="00784C40">
      <w:pPr>
        <w:jc w:val="both"/>
      </w:pPr>
    </w:p>
    <w:p w:rsidR="00784C40" w:rsidRDefault="00784C40" w:rsidP="00784C40">
      <w:pPr>
        <w:jc w:val="both"/>
      </w:pPr>
      <w:r>
        <w:t>Néanmoins, la plupart des élèves fréquentent en plus de leurs cours ordinaires des cours dispensés par l’Institut pour déficients visuels dans le but d’apprendre des techniques auxiliaires telles que le braille, voire des cours dispensés par le Centre de logopédie pour apprendre d’autres techniques qui font défaut dans le système normal.</w:t>
      </w:r>
    </w:p>
    <w:p w:rsidR="00784C40" w:rsidRDefault="00784C40" w:rsidP="00784C40">
      <w:pPr>
        <w:jc w:val="both"/>
      </w:pPr>
    </w:p>
    <w:p w:rsidR="00784C40" w:rsidRDefault="00784C40" w:rsidP="00784C40">
      <w:pPr>
        <w:pStyle w:val="Standard"/>
        <w:jc w:val="both"/>
      </w:pPr>
      <w:r>
        <w:t>Dans ce contexte, la CCDH salue l’initiative du gouvernement d’introduire par le biais de son projet de loi portant modification de la loi du 24 février 1984 sur le régime des langues, la langue des signes comme langue à part entière.</w:t>
      </w:r>
    </w:p>
    <w:p w:rsidR="00784C40" w:rsidRDefault="00784C40" w:rsidP="00784C40">
      <w:pPr>
        <w:pStyle w:val="Standard"/>
        <w:jc w:val="both"/>
      </w:pPr>
    </w:p>
    <w:p w:rsidR="00784C40" w:rsidRDefault="00784C40" w:rsidP="00784C40">
      <w:pPr>
        <w:pStyle w:val="Standard"/>
        <w:jc w:val="both"/>
      </w:pPr>
      <w:r>
        <w:t>Le paragraphe 2 du nouvel article 3</w:t>
      </w:r>
      <w:r>
        <w:rPr>
          <w:i/>
        </w:rPr>
        <w:t>bis</w:t>
      </w:r>
      <w:r>
        <w:t xml:space="preserve"> en projet dispose que « </w:t>
      </w:r>
      <w:r>
        <w:rPr>
          <w:b/>
          <w:bCs/>
          <w:i/>
          <w:iCs/>
        </w:rPr>
        <w:t>Tout</w:t>
      </w:r>
      <w:r>
        <w:rPr>
          <w:i/>
          <w:iCs/>
        </w:rPr>
        <w:t xml:space="preserve"> élève malentendant ou sourd a droit au Luxembourg à un enseignement de la langue des signes et il a le droit de suivre l’enseignement fondamental et secondaire dans la langue des signes</w:t>
      </w:r>
      <w:r>
        <w:t> ». Néanmoins, la CCDH s’inquiète de la discrimination qu’engendrera forcément cette nouvelle disposition, du fait que le paragraphe 1</w:t>
      </w:r>
      <w:r>
        <w:rPr>
          <w:vertAlign w:val="superscript"/>
        </w:rPr>
        <w:t>er</w:t>
      </w:r>
      <w:r>
        <w:t xml:space="preserve"> dudit article 3</w:t>
      </w:r>
      <w:r>
        <w:rPr>
          <w:i/>
        </w:rPr>
        <w:t>bis</w:t>
      </w:r>
      <w:r>
        <w:t xml:space="preserve"> précise que lorsqu’il est fait référence à la langue des signes, il s’agit de la langue des signes allemande.</w:t>
      </w:r>
    </w:p>
    <w:p w:rsidR="00784C40" w:rsidRDefault="00784C40" w:rsidP="00784C40">
      <w:pPr>
        <w:pStyle w:val="Standard"/>
        <w:jc w:val="both"/>
      </w:pPr>
    </w:p>
    <w:p w:rsidR="00784C40" w:rsidRDefault="00784C40" w:rsidP="00784C40">
      <w:pPr>
        <w:pStyle w:val="Standard"/>
        <w:jc w:val="both"/>
      </w:pPr>
      <w:r>
        <w:t>Ainsi, seuls les élèves germanophones auront le droit de suivre leur scolarisation dans la langue des signes, ce qui aux yeux de la CCDH consiste une discrimination par rapport aux enfants francophones par exemple. Les langues administratives d’usage au Luxembourg étant le luxembourgeois, l’allemand et le français, la CCDH regrette que la langue des signes française n'ait pas été introduite à la loi précitée de 1984, au même titre que la langue des signes allemande.</w:t>
      </w:r>
    </w:p>
    <w:p w:rsidR="00784C40" w:rsidRDefault="00784C40" w:rsidP="00784C40">
      <w:pPr>
        <w:pStyle w:val="Standard"/>
        <w:jc w:val="both"/>
      </w:pPr>
    </w:p>
    <w:p w:rsidR="00784C40" w:rsidRDefault="00784C40" w:rsidP="00784C40">
      <w:pPr>
        <w:pStyle w:val="Standard"/>
        <w:ind w:firstLine="567"/>
        <w:jc w:val="both"/>
        <w:rPr>
          <w:i/>
        </w:rPr>
      </w:pPr>
    </w:p>
    <w:p w:rsidR="00784C40" w:rsidRDefault="00784C40" w:rsidP="00784C40">
      <w:pPr>
        <w:pStyle w:val="Standard"/>
        <w:jc w:val="both"/>
        <w:rPr>
          <w:b/>
        </w:rPr>
      </w:pPr>
      <w:r>
        <w:rPr>
          <w:b/>
        </w:rPr>
        <w:t>Article 25 : Santé</w:t>
      </w:r>
    </w:p>
    <w:p w:rsidR="00784C40" w:rsidRDefault="00784C40" w:rsidP="00784C40">
      <w:pPr>
        <w:pStyle w:val="Standard"/>
        <w:jc w:val="both"/>
        <w:rPr>
          <w:rFonts w:eastAsia="Times New Roman" w:cs="Arial"/>
          <w:bCs/>
          <w:lang w:val="lb-LU" w:eastAsia="lb-LU"/>
        </w:rPr>
      </w:pPr>
    </w:p>
    <w:p w:rsidR="00784C40" w:rsidRDefault="00784C40" w:rsidP="00784C40">
      <w:pPr>
        <w:jc w:val="both"/>
      </w:pPr>
      <w:r>
        <w:t>La CCDH constate avec satisfaction que les personnes handicapées ne sont pas discriminées dans l’accès aux soins de santé, ni dans l’accès à l’assurance maladie.</w:t>
      </w:r>
    </w:p>
    <w:p w:rsidR="00784C40" w:rsidRDefault="00784C40" w:rsidP="00784C40">
      <w:pPr>
        <w:pStyle w:val="Standard"/>
        <w:jc w:val="both"/>
        <w:rPr>
          <w:rFonts w:eastAsia="Times New Roman" w:cs="Arial"/>
          <w:bCs/>
          <w:lang w:val="lb-LU" w:eastAsia="lb-LU"/>
        </w:rPr>
      </w:pPr>
    </w:p>
    <w:p w:rsidR="00784C40" w:rsidRDefault="00784C40" w:rsidP="00784C40">
      <w:pPr>
        <w:pStyle w:val="Standard"/>
        <w:jc w:val="both"/>
      </w:pPr>
      <w:r>
        <w:rPr>
          <w:rFonts w:eastAsia="Times New Roman" w:cs="Arial"/>
          <w:bCs/>
          <w:lang w:val="lb-LU" w:eastAsia="lb-LU"/>
        </w:rPr>
        <w:t xml:space="preserve">Cependant elle regrette que de nombreuses structures (consultations, unités de soins et urgences) ainsi que l’organisation hospitalières ne sont pas conçues ou aménagées pour accueillir et répondre aux besoins des personnes présentant un handicap. </w:t>
      </w:r>
      <w:r>
        <w:t>Des personnes concernées rapportent notamment l'absence de lève-personnes et de toilettes adaptées pour personnes atteintes d'un handicap physique lourd dans les unités d'hospitalisation de certains hôpitaux.</w:t>
      </w:r>
    </w:p>
    <w:p w:rsidR="00784C40" w:rsidRDefault="00784C40" w:rsidP="00784C40">
      <w:pPr>
        <w:pStyle w:val="Standard"/>
        <w:jc w:val="both"/>
        <w:rPr>
          <w:rFonts w:eastAsia="Times New Roman" w:cs="Arial"/>
          <w:bCs/>
          <w:lang w:eastAsia="lb-LU"/>
        </w:rPr>
      </w:pPr>
    </w:p>
    <w:p w:rsidR="00784C40" w:rsidRDefault="00784C40" w:rsidP="00784C40">
      <w:pPr>
        <w:jc w:val="both"/>
      </w:pPr>
      <w:r>
        <w:t>En matière d’accessibilité, la langue des signes, le braille, le langage simple ne sont pas garantis. Dans ce même contexte, la CCDH regrette que toutes les campagnes de santé publique ne sont pas conçues de manière à être accessibles aux personnes handicapées.</w:t>
      </w:r>
    </w:p>
    <w:p w:rsidR="00784C40" w:rsidRDefault="00784C40" w:rsidP="00784C40">
      <w:pPr>
        <w:pStyle w:val="Standard"/>
        <w:jc w:val="both"/>
        <w:rPr>
          <w:rFonts w:eastAsia="Times New Roman" w:cs="Arial"/>
          <w:bCs/>
          <w:lang w:val="lb-LU" w:eastAsia="lb-LU"/>
        </w:rPr>
      </w:pPr>
    </w:p>
    <w:p w:rsidR="00784C40" w:rsidRDefault="00784C40" w:rsidP="00784C40">
      <w:pPr>
        <w:pStyle w:val="Standard"/>
        <w:jc w:val="both"/>
      </w:pPr>
      <w:r>
        <w:rPr>
          <w:rFonts w:eastAsia="Times New Roman" w:cs="Arial"/>
          <w:lang w:val="lb-LU" w:eastAsia="lb-LU"/>
        </w:rPr>
        <w:t>La CCDH déplore que la mise en place d’une personne de contact ‘handicap’ dans chaque hôpital, prévue dans le plan d’action du gouvernement, n’a pas encore eu lieu.</w:t>
      </w:r>
    </w:p>
    <w:p w:rsidR="00784C40" w:rsidRDefault="00784C40" w:rsidP="00784C40">
      <w:pPr>
        <w:pStyle w:val="Standard"/>
        <w:jc w:val="both"/>
        <w:rPr>
          <w:rFonts w:eastAsia="Times New Roman" w:cs="Arial"/>
          <w:bCs/>
          <w:lang w:val="lb-LU" w:eastAsia="lb-LU"/>
        </w:rPr>
      </w:pPr>
    </w:p>
    <w:p w:rsidR="00784C40" w:rsidRDefault="00784C40" w:rsidP="00784C40">
      <w:pPr>
        <w:jc w:val="both"/>
      </w:pPr>
      <w:r>
        <w:t>Les médecins et autres professionnels de santé ne reçoivent, dans leur formation de base, aucune formation sur les droits des personnes handicapées, ni sur les droits de l’Homme en général. La CCDH préconise qu’une formation obligatoire aux droits de l’Homme, et en particulier aux droits des personnes handicapées, soit intégrée dans les cursus de formation initiale et continue du personnel médical et paramédical.</w:t>
      </w:r>
    </w:p>
    <w:p w:rsidR="00784C40" w:rsidRDefault="00784C40" w:rsidP="00784C40">
      <w:pPr>
        <w:pStyle w:val="Standard"/>
        <w:jc w:val="both"/>
        <w:rPr>
          <w:rFonts w:eastAsia="Times New Roman" w:cs="Arial"/>
          <w:bCs/>
          <w:lang w:val="lb-LU" w:eastAsia="lb-LU"/>
        </w:rPr>
      </w:pPr>
    </w:p>
    <w:p w:rsidR="00784C40" w:rsidRDefault="00784C40" w:rsidP="00784C40">
      <w:pPr>
        <w:jc w:val="both"/>
      </w:pPr>
      <w:r>
        <w:t>La CCDH est contente que le dépistage et les interventions précoces sur les enfants soient garantis.</w:t>
      </w:r>
    </w:p>
    <w:p w:rsidR="00784C40" w:rsidRDefault="00784C40" w:rsidP="00784C40">
      <w:pPr>
        <w:pStyle w:val="Standard"/>
        <w:jc w:val="both"/>
        <w:rPr>
          <w:rFonts w:eastAsia="Times New Roman" w:cs="Arial"/>
          <w:bCs/>
          <w:lang w:val="lb-LU" w:eastAsia="lb-LU"/>
        </w:rPr>
      </w:pPr>
    </w:p>
    <w:p w:rsidR="00784C40" w:rsidRDefault="00784C40" w:rsidP="00784C40">
      <w:pPr>
        <w:jc w:val="both"/>
      </w:pPr>
      <w:r>
        <w:t>En matière de santé mentale chez les personnes handicapées, la CCDH constate que le Luxembourg manque cruellement de structures. Il y a très peu de personnel spécialisé dans ce domaine précis, que ce soit en institution ou en cabinet privé. Il n’y a pas de consultation spécialisée en santé mentale pour les personnes présentant un handicap intellectuel. Ces personnes sont discriminées quand elles nécessitent un diagnostic, voire un suivi psychiatrique.</w:t>
      </w:r>
    </w:p>
    <w:p w:rsidR="00784C40" w:rsidRDefault="00784C40" w:rsidP="00784C40">
      <w:pPr>
        <w:jc w:val="both"/>
      </w:pPr>
    </w:p>
    <w:p w:rsidR="00784C40" w:rsidRDefault="00784C40" w:rsidP="00784C40">
      <w:pPr>
        <w:jc w:val="both"/>
      </w:pPr>
      <w:r>
        <w:t>Le nombre des structures d’accueil adaptées aux besoins des personnes qui présentent une pathologie psychiatrique et une déficience intellectuelle est très insuffisant.</w:t>
      </w: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Standard"/>
        <w:jc w:val="both"/>
      </w:pPr>
      <w:r>
        <w:rPr>
          <w:b/>
        </w:rPr>
        <w:t>Article 26 : Adaptation et réadaptation</w:t>
      </w:r>
    </w:p>
    <w:p w:rsidR="00784C40" w:rsidRDefault="00784C40" w:rsidP="00784C40">
      <w:pPr>
        <w:pStyle w:val="Standard"/>
        <w:jc w:val="both"/>
        <w:rPr>
          <w:b/>
        </w:rPr>
      </w:pPr>
    </w:p>
    <w:p w:rsidR="00784C40" w:rsidRDefault="00784C40" w:rsidP="00784C40">
      <w:pPr>
        <w:jc w:val="both"/>
      </w:pPr>
      <w:r>
        <w:t>Bien que l’adaptation et la réadaptation soient garanties au niveau médical, une pleine participation des personnes en situation de handicap à la vie sociale n’est pas toujours assurée.</w:t>
      </w:r>
    </w:p>
    <w:p w:rsidR="00784C40" w:rsidRDefault="00784C40" w:rsidP="00784C40">
      <w:pPr>
        <w:jc w:val="both"/>
      </w:pPr>
    </w:p>
    <w:p w:rsidR="00784C40" w:rsidRDefault="00784C40" w:rsidP="00784C40">
      <w:pPr>
        <w:jc w:val="both"/>
      </w:pPr>
      <w:r>
        <w:t>La CCDH encourage le gouvernement à faire appel à l’ensemble de la société, aux employeurs et surtout aux professionnels travaillant dans les services de réadaptation ou d’adaptation afin de faire des efforts pour arriver à une amélioration de la qualité de vie pour chacun.</w:t>
      </w: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Standard"/>
        <w:jc w:val="both"/>
        <w:rPr>
          <w:b/>
        </w:rPr>
      </w:pPr>
      <w:r>
        <w:rPr>
          <w:b/>
        </w:rPr>
        <w:t>Article 27 : Travail et emploi</w:t>
      </w:r>
    </w:p>
    <w:p w:rsidR="00784C40" w:rsidRDefault="00784C40" w:rsidP="00784C40">
      <w:pPr>
        <w:pStyle w:val="Standard"/>
        <w:jc w:val="both"/>
        <w:rPr>
          <w:b/>
        </w:rPr>
      </w:pPr>
    </w:p>
    <w:p w:rsidR="00784C40" w:rsidRDefault="00784C40" w:rsidP="00784C40">
      <w:pPr>
        <w:jc w:val="both"/>
      </w:pPr>
      <w:r>
        <w:t>Le gouvernement crée chaque année 50 nouveaux emplois pour les titulaires du statut de salarié handicapé et devrait s’assurer que les administrations publiques soient en mesure et aient la volonté d’employer ces personnes de façon judicieuse.</w:t>
      </w:r>
    </w:p>
    <w:p w:rsidR="00784C40" w:rsidRDefault="00784C40" w:rsidP="00784C40">
      <w:pPr>
        <w:jc w:val="both"/>
      </w:pPr>
    </w:p>
    <w:p w:rsidR="00784C40" w:rsidRDefault="00784C40" w:rsidP="00784C40">
      <w:pPr>
        <w:jc w:val="both"/>
      </w:pPr>
      <w:r>
        <w:t>Il ressort en effet que les différents services de l'Etat ne respectent pas le taux d'emploi de 5% d'agents reconnus comme travailleurs handicapés et que les communes et la plupart des établissements dérogent aussi à la disposition légale. Quant au secteur privé, une grande majorité des entreprises occupant au moins 25 salariés ne respectent pas le quota fixé par l'article L.562-3 du Code du travail.</w:t>
      </w:r>
    </w:p>
    <w:p w:rsidR="00784C40" w:rsidRDefault="00784C40" w:rsidP="00784C40">
      <w:pPr>
        <w:jc w:val="both"/>
      </w:pPr>
    </w:p>
    <w:p w:rsidR="00784C40" w:rsidRDefault="00784C40" w:rsidP="00784C40">
      <w:pPr>
        <w:jc w:val="both"/>
      </w:pPr>
      <w:r>
        <w:t>Les contrôles réglementaires et les sanctions en cas de non-respect des quotas devraient être appliqués. Les entreprises qui ne peuvent employer des salariés handicapés, parce que le travail à exécuter ne le permet pas, devraient être encouragées à acheter des services ou produits auprès des ateliers protégés.</w:t>
      </w:r>
    </w:p>
    <w:p w:rsidR="00784C40" w:rsidRDefault="00784C40" w:rsidP="00784C40">
      <w:pPr>
        <w:jc w:val="both"/>
      </w:pPr>
    </w:p>
    <w:p w:rsidR="00784C40" w:rsidRDefault="00784C40" w:rsidP="00784C40">
      <w:pPr>
        <w:jc w:val="both"/>
      </w:pPr>
      <w:r>
        <w:t>Le ministère du Travail devrait intensifier ses efforts afin de motiver les employeurs à l’aide de « bonnes pratiques » à insérer professionnellement des personnes handicapées et promouvoir des actions qui permettent de dissiper les craintes et les préoccupations des employeurs.</w:t>
      </w:r>
    </w:p>
    <w:p w:rsidR="00784C40" w:rsidRDefault="00784C40" w:rsidP="00784C40">
      <w:pPr>
        <w:pStyle w:val="NormalWeb"/>
        <w:spacing w:before="0" w:after="0"/>
        <w:jc w:val="both"/>
        <w:rPr>
          <w:rFonts w:ascii="Arial" w:hAnsi="Arial" w:cs="Arial"/>
        </w:rPr>
      </w:pPr>
    </w:p>
    <w:p w:rsidR="00784C40" w:rsidRDefault="00784C40" w:rsidP="00784C40">
      <w:pPr>
        <w:pStyle w:val="NormalWeb"/>
        <w:spacing w:before="0" w:after="0"/>
        <w:jc w:val="both"/>
        <w:rPr>
          <w:b/>
          <w:bCs/>
        </w:rPr>
      </w:pPr>
      <w:r>
        <w:rPr>
          <w:b/>
          <w:bCs/>
        </w:rPr>
        <w:t>Rôle des ateliers protégés</w:t>
      </w:r>
    </w:p>
    <w:p w:rsidR="00784C40" w:rsidRDefault="00784C40" w:rsidP="00784C40">
      <w:pPr>
        <w:pStyle w:val="NormalWeb"/>
        <w:spacing w:before="0" w:after="0"/>
        <w:jc w:val="both"/>
        <w:rPr>
          <w:b/>
          <w:bCs/>
        </w:rPr>
      </w:pPr>
    </w:p>
    <w:p w:rsidR="00784C40" w:rsidRDefault="00784C40" w:rsidP="00784C40">
      <w:pPr>
        <w:pStyle w:val="NormalWeb"/>
        <w:spacing w:before="0" w:after="0"/>
        <w:jc w:val="both"/>
      </w:pPr>
      <w:r>
        <w:t>Compte tenu du faible taux d'insertion observé, la priorité doit être donnée à l’intégration des personnes en situation de handicap sur le marché du travail ordinaire ainsi qu'à la transition de l’atelier protégé vers le marché du travail ordinaire. La réalisation de cet objectif ne doit pas être mise en danger par un « protectionnisme » exagéré de la part des instances qui considèrent le contrat de travail à l’atelier comme un avantage.</w:t>
      </w:r>
    </w:p>
    <w:p w:rsidR="00784C40" w:rsidRDefault="00784C40" w:rsidP="00784C40">
      <w:pPr>
        <w:pStyle w:val="NormalWeb"/>
        <w:spacing w:before="0" w:after="0"/>
        <w:jc w:val="both"/>
      </w:pPr>
    </w:p>
    <w:p w:rsidR="00784C40" w:rsidRDefault="00784C40" w:rsidP="00784C40">
      <w:pPr>
        <w:pStyle w:val="NormalWeb"/>
        <w:spacing w:before="0" w:after="0"/>
        <w:jc w:val="both"/>
      </w:pPr>
      <w:r>
        <w:t>La rémunération des personnes en situation de handicap dans les ateliers devrait tenir compte des compétences personnelles.</w:t>
      </w:r>
    </w:p>
    <w:p w:rsidR="00784C40" w:rsidRDefault="00784C40" w:rsidP="00784C40">
      <w:pPr>
        <w:pStyle w:val="Standard"/>
        <w:jc w:val="both"/>
        <w:rPr>
          <w:rFonts w:cs="Times New Roman"/>
        </w:rPr>
      </w:pPr>
    </w:p>
    <w:p w:rsidR="00784C40" w:rsidRDefault="00784C40" w:rsidP="00784C40">
      <w:pPr>
        <w:pStyle w:val="Standard"/>
        <w:jc w:val="both"/>
      </w:pPr>
    </w:p>
    <w:p w:rsidR="00784C40" w:rsidRDefault="00784C40" w:rsidP="00784C40">
      <w:pPr>
        <w:pageBreakBefore/>
        <w:suppressAutoHyphens w:val="0"/>
        <w:rPr>
          <w:b/>
        </w:rPr>
      </w:pPr>
    </w:p>
    <w:p w:rsidR="00784C40" w:rsidRDefault="00784C40" w:rsidP="00784C40">
      <w:pPr>
        <w:pStyle w:val="Standard"/>
        <w:jc w:val="both"/>
        <w:rPr>
          <w:b/>
        </w:rPr>
      </w:pPr>
      <w:r>
        <w:rPr>
          <w:b/>
        </w:rPr>
        <w:t>Article 28 : Niveau de vie adéquat et protection sociale</w:t>
      </w:r>
    </w:p>
    <w:p w:rsidR="00784C40" w:rsidRDefault="00784C40" w:rsidP="00784C40">
      <w:pPr>
        <w:pStyle w:val="Standard"/>
        <w:jc w:val="both"/>
        <w:rPr>
          <w:b/>
        </w:rPr>
      </w:pPr>
    </w:p>
    <w:p w:rsidR="00784C40" w:rsidRDefault="00784C40" w:rsidP="00784C40">
      <w:pPr>
        <w:pStyle w:val="Standard"/>
        <w:jc w:val="both"/>
      </w:pPr>
      <w:r>
        <w:t>En l’absence de données statistiques sur le niveau de vie des personnes en situation de handicap, il ne nous est malheureusement pas possible de tirer des conclusions sur la situation actuelle.</w:t>
      </w: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Standard"/>
        <w:jc w:val="both"/>
        <w:rPr>
          <w:b/>
        </w:rPr>
      </w:pPr>
      <w:r>
        <w:rPr>
          <w:b/>
        </w:rPr>
        <w:t>Article 29 : Participation à la vie politique et à la vie publique</w:t>
      </w:r>
    </w:p>
    <w:p w:rsidR="00784C40" w:rsidRDefault="00784C40" w:rsidP="00784C40">
      <w:pPr>
        <w:pStyle w:val="Standard"/>
        <w:jc w:val="both"/>
        <w:rPr>
          <w:b/>
        </w:rPr>
      </w:pPr>
    </w:p>
    <w:p w:rsidR="00784C40" w:rsidRDefault="00784C40" w:rsidP="00784C40">
      <w:pPr>
        <w:pStyle w:val="Standard"/>
        <w:jc w:val="both"/>
      </w:pPr>
      <w:r>
        <w:t>Voir droit de vote sous article 12</w:t>
      </w:r>
    </w:p>
    <w:p w:rsidR="00784C40" w:rsidRDefault="00784C40" w:rsidP="00784C40">
      <w:pPr>
        <w:pStyle w:val="Standard"/>
        <w:jc w:val="both"/>
      </w:pPr>
      <w:r>
        <w:t>S’agissant de l’accessibilité dans le contexte des élections, la CCDH recommande aux autorités de réfléchir à publier des programmes en langage simple, des bulletins de vote avec des photographies et des bulletins en braille.</w:t>
      </w:r>
    </w:p>
    <w:p w:rsidR="00784C40" w:rsidRDefault="00784C40" w:rsidP="00784C40">
      <w:pPr>
        <w:pStyle w:val="Standard"/>
        <w:jc w:val="both"/>
      </w:pPr>
      <w:r>
        <w:t>La CCDH a appris qu’un règlement grand-ducal est en cours d’élaboration pour rendre accessibles les bulletins de vote aux personnes malvoyantes et aveugles. Ces bulletins devraient être disponibles pour les élections parlementaires de 2018. La Commission salue cette ouverture.</w:t>
      </w:r>
    </w:p>
    <w:p w:rsidR="00784C40" w:rsidRDefault="00784C40" w:rsidP="00784C40">
      <w:pPr>
        <w:pStyle w:val="Standard"/>
        <w:jc w:val="both"/>
        <w:rPr>
          <w:b/>
        </w:rPr>
      </w:pPr>
    </w:p>
    <w:p w:rsidR="00784C40" w:rsidRDefault="00784C40" w:rsidP="00784C40">
      <w:pPr>
        <w:pStyle w:val="Standard"/>
        <w:jc w:val="both"/>
        <w:rPr>
          <w:b/>
        </w:rPr>
      </w:pPr>
    </w:p>
    <w:p w:rsidR="00784C40" w:rsidRDefault="00784C40" w:rsidP="00784C40">
      <w:pPr>
        <w:pStyle w:val="Standard"/>
        <w:jc w:val="both"/>
        <w:rPr>
          <w:b/>
        </w:rPr>
      </w:pPr>
      <w:r>
        <w:rPr>
          <w:b/>
        </w:rPr>
        <w:t>Article 30 : Participation à la vie culturelle et récréative, aux loisirs et aux sports</w:t>
      </w:r>
    </w:p>
    <w:p w:rsidR="00784C40" w:rsidRDefault="00784C40" w:rsidP="00784C40">
      <w:pPr>
        <w:pStyle w:val="Standard"/>
        <w:jc w:val="both"/>
      </w:pPr>
    </w:p>
    <w:p w:rsidR="00784C40" w:rsidRDefault="00784C40" w:rsidP="00784C40">
      <w:pPr>
        <w:pStyle w:val="Standard"/>
        <w:jc w:val="both"/>
      </w:pPr>
      <w:r>
        <w:t>Plusieurs associations de sport pour personnes en situation de handicap proposent des activités de loisirs et de compétitions. Or, les possibilités pour les sportifs handicapés de faire du sport avec des personnes non handicapées sont limitées. Ceci est dû à l’absence de formation adéquate des animateurs et entraîneurs sur le handicap. Par ailleurs, de nombreuses infrastructures sportives ne sont toujours pas accessibles et les possibilités de transport ne suffisent pas pour participer de manière régulière aux activités sportives.</w:t>
      </w:r>
    </w:p>
    <w:p w:rsidR="00784C40" w:rsidRDefault="00784C40" w:rsidP="00784C40">
      <w:pPr>
        <w:pStyle w:val="Standard"/>
        <w:jc w:val="both"/>
      </w:pPr>
    </w:p>
    <w:p w:rsidR="00784C40" w:rsidRDefault="00784C40" w:rsidP="00784C40">
      <w:pPr>
        <w:pStyle w:val="Standard"/>
        <w:jc w:val="both"/>
        <w:rPr>
          <w:b/>
        </w:rPr>
      </w:pPr>
    </w:p>
    <w:p w:rsidR="00784C40" w:rsidRDefault="00784C40" w:rsidP="00784C40">
      <w:pPr>
        <w:pStyle w:val="Standard"/>
        <w:jc w:val="both"/>
        <w:rPr>
          <w:b/>
        </w:rPr>
      </w:pPr>
      <w:r>
        <w:rPr>
          <w:b/>
        </w:rPr>
        <w:t>Article 31 : Statistiques et collecte de données</w:t>
      </w:r>
    </w:p>
    <w:p w:rsidR="00784C40" w:rsidRDefault="00784C40" w:rsidP="00784C40">
      <w:pPr>
        <w:pStyle w:val="Standard"/>
        <w:jc w:val="both"/>
      </w:pPr>
    </w:p>
    <w:p w:rsidR="00784C40" w:rsidRDefault="00784C40" w:rsidP="00784C40">
      <w:pPr>
        <w:pStyle w:val="Standard"/>
        <w:jc w:val="both"/>
      </w:pPr>
      <w:r>
        <w:t>Comme indiqué dans la partie sur la méthodologie, la collecte de données statistiques pose un vrai problème au Luxembourg, pas seulement dans le domaine du handicap. Il n’existe pas de système permettant une collecte systématique des données. Les seules données disponibles sont d’ordre général et concernent surtout l’intégration sociale des personnes en situation de handicap. Elles ne permettent pas d’avoir des informations sur certains handicaps spécifiques.</w:t>
      </w:r>
    </w:p>
    <w:p w:rsidR="00784C40" w:rsidRDefault="00784C40" w:rsidP="00784C40">
      <w:pPr>
        <w:pStyle w:val="Standard"/>
        <w:jc w:val="both"/>
      </w:pPr>
    </w:p>
    <w:p w:rsidR="00784C40" w:rsidRDefault="00784C40" w:rsidP="00784C40">
      <w:pPr>
        <w:pStyle w:val="Standard"/>
        <w:jc w:val="both"/>
      </w:pPr>
      <w:r>
        <w:t>La CCDH encourage par ailleurs le gouvernement à faire des sondages représentatifs et à diffuser les résultats parmi les personnes handicapées et les autres personnes.</w:t>
      </w:r>
    </w:p>
    <w:p w:rsidR="00784C40" w:rsidRDefault="00784C40" w:rsidP="00784C40">
      <w:pPr>
        <w:pStyle w:val="Standard"/>
        <w:jc w:val="both"/>
      </w:pPr>
    </w:p>
    <w:p w:rsidR="00784C40" w:rsidRDefault="00784C40" w:rsidP="00784C40">
      <w:pPr>
        <w:pStyle w:val="Standard"/>
        <w:jc w:val="both"/>
        <w:rPr>
          <w:b/>
        </w:rPr>
      </w:pPr>
    </w:p>
    <w:p w:rsidR="00784C40" w:rsidRDefault="00784C40" w:rsidP="00784C40">
      <w:pPr>
        <w:pStyle w:val="Standard"/>
        <w:jc w:val="both"/>
        <w:rPr>
          <w:b/>
        </w:rPr>
      </w:pPr>
      <w:r>
        <w:rPr>
          <w:b/>
        </w:rPr>
        <w:t>Article 32 : Coopération internationale</w:t>
      </w:r>
    </w:p>
    <w:p w:rsidR="00784C40" w:rsidRDefault="00784C40" w:rsidP="00784C40">
      <w:pPr>
        <w:pStyle w:val="Standard"/>
        <w:jc w:val="both"/>
        <w:rPr>
          <w:b/>
        </w:rPr>
      </w:pPr>
    </w:p>
    <w:p w:rsidR="00784C40" w:rsidRDefault="00784C40" w:rsidP="00784C40">
      <w:pPr>
        <w:pStyle w:val="Standard"/>
        <w:jc w:val="both"/>
      </w:pPr>
      <w:r>
        <w:t>La CCDH félicite le gouvernement de son engagement en matière de coopération au développement. Par ailleurs, elle constate avec satisfaction que le Luxembourg soutient des organisations non gouvernementales qui s’occupent de personnes en situation de handicap.</w:t>
      </w:r>
    </w:p>
    <w:p w:rsidR="00784C40" w:rsidRDefault="00784C40" w:rsidP="00784C40">
      <w:pPr>
        <w:pStyle w:val="Standard"/>
        <w:jc w:val="both"/>
      </w:pPr>
    </w:p>
    <w:p w:rsidR="00784C40" w:rsidRDefault="00784C40" w:rsidP="00784C40">
      <w:pPr>
        <w:pStyle w:val="Standard"/>
        <w:jc w:val="both"/>
      </w:pPr>
    </w:p>
    <w:p w:rsidR="00784C40" w:rsidRDefault="00784C40" w:rsidP="00784C40">
      <w:pPr>
        <w:pStyle w:val="Standard"/>
        <w:jc w:val="both"/>
      </w:pPr>
      <w:r>
        <w:t>Dans le contexte de la mise en œuvre par le gouvernement de l’Agenda 2030 et des 17 objectifs de développement durable</w:t>
      </w:r>
      <w:r>
        <w:rPr>
          <w:rStyle w:val="FootnoteReference"/>
        </w:rPr>
        <w:footnoteReference w:id="28"/>
      </w:r>
      <w:r>
        <w:t xml:space="preserve"> qui incluent pour la première fois les personnes handicapées, la CCDH souligne l’importance de l’apport et la participation des personnes en situation de handicap.</w:t>
      </w:r>
    </w:p>
    <w:p w:rsidR="00784C40" w:rsidRDefault="00784C40" w:rsidP="00784C40">
      <w:pPr>
        <w:pStyle w:val="Standard"/>
        <w:jc w:val="both"/>
      </w:pPr>
    </w:p>
    <w:p w:rsidR="00784C40" w:rsidRDefault="00784C40" w:rsidP="00784C40">
      <w:pPr>
        <w:pStyle w:val="Standard"/>
        <w:jc w:val="both"/>
        <w:rPr>
          <w:b/>
        </w:rPr>
      </w:pPr>
    </w:p>
    <w:p w:rsidR="00784C40" w:rsidRDefault="00784C40" w:rsidP="00784C40">
      <w:pPr>
        <w:pStyle w:val="Standard"/>
        <w:jc w:val="both"/>
        <w:rPr>
          <w:b/>
        </w:rPr>
      </w:pPr>
      <w:r>
        <w:rPr>
          <w:b/>
        </w:rPr>
        <w:t>Article 33 : Application et suivi au niveau national</w:t>
      </w:r>
    </w:p>
    <w:p w:rsidR="00784C40" w:rsidRDefault="00784C40" w:rsidP="00784C40">
      <w:pPr>
        <w:pStyle w:val="Standard"/>
        <w:jc w:val="both"/>
      </w:pPr>
    </w:p>
    <w:p w:rsidR="00784C40" w:rsidRDefault="00784C40" w:rsidP="00784C40">
      <w:pPr>
        <w:pStyle w:val="Standard"/>
        <w:jc w:val="both"/>
        <w:rPr>
          <w:b/>
        </w:rPr>
      </w:pPr>
      <w:r>
        <w:rPr>
          <w:b/>
        </w:rPr>
        <w:t>L’application de la Convention au niveau national et sa coordination </w:t>
      </w:r>
    </w:p>
    <w:p w:rsidR="00784C40" w:rsidRDefault="00784C40" w:rsidP="00784C40">
      <w:pPr>
        <w:pStyle w:val="Standard"/>
        <w:jc w:val="both"/>
        <w:rPr>
          <w:b/>
        </w:rPr>
      </w:pPr>
    </w:p>
    <w:p w:rsidR="00784C40" w:rsidRDefault="00784C40" w:rsidP="00784C40">
      <w:pPr>
        <w:pStyle w:val="Standard"/>
        <w:jc w:val="both"/>
      </w:pPr>
      <w:r>
        <w:t>D’après l’article 33 paragraphe 1 de la Convention, les États parties sont invités à mettre en place</w:t>
      </w:r>
      <w:r>
        <w:rPr>
          <w:rFonts w:cs="Arial"/>
          <w:lang w:val="fr-CH"/>
        </w:rPr>
        <w:t xml:space="preserve"> un ou plusieurs points de contact et, le cas échéant, un dispositif de coordination.</w:t>
      </w:r>
    </w:p>
    <w:p w:rsidR="00784C40" w:rsidRDefault="00784C40" w:rsidP="00784C40">
      <w:pPr>
        <w:pStyle w:val="Standard"/>
        <w:jc w:val="both"/>
      </w:pPr>
    </w:p>
    <w:p w:rsidR="00784C40" w:rsidRDefault="00784C40" w:rsidP="00784C40">
      <w:pPr>
        <w:pStyle w:val="Standard"/>
        <w:jc w:val="both"/>
      </w:pPr>
      <w:r>
        <w:t>La question du handicap étant par nature transversale et de fait traitée par différents secteurs de</w:t>
      </w:r>
      <w:r>
        <w:rPr>
          <w:rFonts w:cs="Arial"/>
          <w:lang w:val="fr-CH"/>
        </w:rPr>
        <w:t xml:space="preserve"> l’administration, la CCDH salue la nomination de points de contact dans l’ensemble des ministères, même si certains ministères ont un rôle plus spécifique à jouer dans la mise en œuvre de la Convention. Il va de soi que pour pouvoir remplir correctement la mission qui lui est confiée, chacun des points de contact doit être doté de capacités et de moyens à la hauteur de sa tâche.</w:t>
      </w:r>
    </w:p>
    <w:p w:rsidR="00784C40" w:rsidRDefault="00784C40" w:rsidP="00784C40">
      <w:pPr>
        <w:pStyle w:val="Standard"/>
        <w:jc w:val="both"/>
      </w:pPr>
    </w:p>
    <w:p w:rsidR="00784C40" w:rsidRDefault="00784C40" w:rsidP="00784C40">
      <w:pPr>
        <w:pStyle w:val="Standard"/>
        <w:jc w:val="both"/>
      </w:pPr>
      <w:r>
        <w:t>La coordination de ses points de contacts est assurée par le ministère de la Famille, de l’Intégration</w:t>
      </w:r>
      <w:r>
        <w:rPr>
          <w:rFonts w:cs="Arial"/>
          <w:lang w:val="fr-CH"/>
        </w:rPr>
        <w:t xml:space="preserve"> et à la Grande Région.</w:t>
      </w:r>
    </w:p>
    <w:p w:rsidR="00784C40" w:rsidRDefault="00784C40" w:rsidP="00784C40">
      <w:pPr>
        <w:pStyle w:val="Standard"/>
        <w:jc w:val="both"/>
        <w:rPr>
          <w:rFonts w:cs="Arial"/>
          <w:lang w:val="fr-CH"/>
        </w:rPr>
      </w:pPr>
    </w:p>
    <w:p w:rsidR="00784C40" w:rsidRDefault="00784C40" w:rsidP="00784C40">
      <w:pPr>
        <w:jc w:val="both"/>
      </w:pPr>
      <w:r>
        <w:t>Malheureusement, la CCDH ne reçoit pas de manière systématique d’informations sur le dispositif de coordination. Elle trouverait important de voir associé à ce dispositif des associations représentatives des personnes handicapées, en application de l’article 4 paragraphe 3 de la Convention.</w:t>
      </w:r>
    </w:p>
    <w:p w:rsidR="00784C40" w:rsidRDefault="00784C40" w:rsidP="00784C40">
      <w:pPr>
        <w:pStyle w:val="Standard"/>
        <w:jc w:val="both"/>
        <w:rPr>
          <w:lang w:val="fr-FR"/>
        </w:rPr>
      </w:pPr>
    </w:p>
    <w:p w:rsidR="00784C40" w:rsidRDefault="00784C40" w:rsidP="00784C40">
      <w:pPr>
        <w:pStyle w:val="Standard"/>
        <w:jc w:val="both"/>
        <w:rPr>
          <w:lang w:val="fr-FR"/>
        </w:rPr>
      </w:pPr>
    </w:p>
    <w:p w:rsidR="00784C40" w:rsidRDefault="00784C40" w:rsidP="00784C40">
      <w:pPr>
        <w:pStyle w:val="Standard"/>
        <w:jc w:val="both"/>
        <w:rPr>
          <w:b/>
        </w:rPr>
      </w:pPr>
      <w:r>
        <w:rPr>
          <w:b/>
        </w:rPr>
        <w:t>Mécanismes de promotion, de suivi et de protection </w:t>
      </w:r>
    </w:p>
    <w:p w:rsidR="00784C40" w:rsidRDefault="00784C40" w:rsidP="00784C40">
      <w:pPr>
        <w:pStyle w:val="Standard"/>
        <w:jc w:val="both"/>
      </w:pPr>
    </w:p>
    <w:p w:rsidR="00784C40" w:rsidRDefault="00784C40" w:rsidP="00784C40">
      <w:pPr>
        <w:pStyle w:val="Standard"/>
        <w:jc w:val="both"/>
      </w:pPr>
      <w:r>
        <w:t>Comme indiqué dans l’introduction, la CCDH regrette le manque de ressources disponibles pour les mécanismes nationaux de promotion et de suivi de l’application de la Convention (CCDH et CET).</w:t>
      </w:r>
    </w:p>
    <w:p w:rsidR="00784C40" w:rsidRDefault="00784C40" w:rsidP="00784C40">
      <w:pPr>
        <w:pStyle w:val="Standard"/>
        <w:jc w:val="both"/>
      </w:pPr>
    </w:p>
    <w:p w:rsidR="00784C40" w:rsidRDefault="00784C40" w:rsidP="00784C40">
      <w:pPr>
        <w:pStyle w:val="Standard"/>
        <w:jc w:val="both"/>
      </w:pPr>
      <w:r>
        <w:t xml:space="preserve">Concernant le mécanisme national de protection des droits des personnes handicapées, la CCDH réitère sa recommandation de doter le médiateur, qui remplit cette fonction, </w:t>
      </w:r>
      <w:r>
        <w:rPr>
          <w:color w:val="00000A"/>
        </w:rPr>
        <w:t>des compétences nécessaires de façon à ce qu'il n'y ait plus de différence de traitement entre les secteurs public et privé.</w:t>
      </w:r>
    </w:p>
    <w:p w:rsidR="00784C40" w:rsidRDefault="00784C40" w:rsidP="00784C40">
      <w:pPr>
        <w:pStyle w:val="Standard"/>
        <w:jc w:val="both"/>
      </w:pPr>
    </w:p>
    <w:p w:rsidR="00784C40" w:rsidRDefault="00784C40" w:rsidP="00784C40">
      <w:pPr>
        <w:pStyle w:val="Standard"/>
        <w:jc w:val="both"/>
      </w:pPr>
      <w:r>
        <w:t>S’agissant de la société civile, la CCDH recommande au gouvernement d’associer, conformément au point 3 de l’article 33, la société civile et les organisations de personnes handicapées à la fonction de suivi.</w:t>
      </w:r>
    </w:p>
    <w:p w:rsidR="00784C40" w:rsidRDefault="00784C40" w:rsidP="00784C40">
      <w:pPr>
        <w:pStyle w:val="Standard"/>
        <w:jc w:val="both"/>
      </w:pPr>
    </w:p>
    <w:p w:rsidR="00784C40" w:rsidRDefault="00784C40" w:rsidP="00784C40">
      <w:pPr>
        <w:jc w:val="both"/>
      </w:pPr>
      <w:r>
        <w:t xml:space="preserve">De manière générale, la CCDH est d’avis que l’architecture actuelle des organismes s’occupant de personnes en situation de handicap, peut prêter à confusion et fait que, très souvent, lesdites personnes ne savent pas à qui s’adresser. La CCDH est le mécanisme de promotion et de suivi de la Convention et ne peut traiter des plaintes individuelles. Le CET, quant à lui, est un organe de lutte contre les discriminations, qui d’une part fait également la promotion et le suivi de la Convention, et, d’autre part traite des plaintes de personnes qui s’estiment victime d’une discrimination basée sur leur handicap. Néanmoins, le CET ne peut pas ester en justice et a très peu de ressources humaines. Le médiateur (Ombudsman), tel qu’institué par la loi du 22 août 2003 ne peut, quant à lui, s’occuper que d’affaires relevant du secteur public. Info-Handicap a, d’après le Plan d’Action, le rôle de plateforme en charge de la Convention relative aux droits des personnes handicapées. Il peut e.a. informer et soutenir les personnes en situation de handicap ou toute personne de leur entourage. Le ministère de la Famille est en charge de la coordination des politiques, des législations et des actions en faveur des personnes en situation de handicap. Les autres ministères ont eux aussi des points de contact en charge de la mise en application de la Convention.   </w:t>
      </w:r>
    </w:p>
    <w:p w:rsidR="00784C40" w:rsidRDefault="00784C40" w:rsidP="00784C40">
      <w:pPr>
        <w:jc w:val="both"/>
      </w:pPr>
    </w:p>
    <w:p w:rsidR="00784C40" w:rsidRDefault="00784C40" w:rsidP="00784C40">
      <w:pPr>
        <w:jc w:val="both"/>
      </w:pPr>
      <w:r>
        <w:t xml:space="preserve">Dans ce contexte, la CCDH se pose la question de savoir s’il ne serait pas plus opportun de réfléchir à la mise en place d’une structure indépendante en charge, d’un côté, de la promotion et de la protection des droits et des intérêts des personnes en situation de handicap (tant  vis-à-vis du secteur public que du secteur privé), pouvant ainsi traiter des plaintes, voire ester en justice, et, de l’autre côté, de la surveillance et de la mise en œuvre de la Convention au niveau national, avec la possibilité d’informer le gouvernement sur les aspects pour lesquels la législation en vigueur est insuffisante.  </w:t>
      </w:r>
    </w:p>
    <w:p w:rsidR="00784C40" w:rsidRDefault="00784C40" w:rsidP="00784C40">
      <w:pPr>
        <w:jc w:val="both"/>
      </w:pPr>
    </w:p>
    <w:p w:rsidR="00784C40" w:rsidRDefault="00784C40" w:rsidP="00784C40">
      <w:pPr>
        <w:jc w:val="both"/>
      </w:pPr>
      <w:r>
        <w:t xml:space="preserve">Cette structure pourrait être une structure autonome, nouvelle, éventuellement un Ombudsman pour personnes en situation de handicap. La création d’un tel organe entraînera évidemment des modifications dans les textes législatifs actuels. Elle pourrait aussi être hébergée au sein d’une des structures existantes. </w:t>
      </w:r>
    </w:p>
    <w:p w:rsidR="00784C40" w:rsidRDefault="00784C40" w:rsidP="00784C40">
      <w:pPr>
        <w:jc w:val="both"/>
      </w:pPr>
      <w:r>
        <w:t xml:space="preserve">L’expérience a montré que les personnes en situation de handicap éprouvent des difficultés à se confier à des structures dépendant d’un ministère ou d’une administration publique. Pour les personnes concernées, il est important de pouvoir s’adresser à une structure indépendante, neutre et impartiale. Ce nouvel organe permettrait finalement de radier les difficultés que rencontrent les différents acteurs, du fait de l’architecture complexe des structures actuellement en place.   </w:t>
      </w:r>
    </w:p>
    <w:p w:rsidR="00784C40" w:rsidRDefault="00784C40" w:rsidP="00784C40">
      <w:pPr>
        <w:jc w:val="both"/>
      </w:pPr>
    </w:p>
    <w:p w:rsidR="00784C40" w:rsidRDefault="00784C40" w:rsidP="00784C40">
      <w:pPr>
        <w:pStyle w:val="Standard"/>
        <w:jc w:val="both"/>
      </w:pPr>
    </w:p>
    <w:p w:rsidR="00784C40" w:rsidRDefault="00784C40" w:rsidP="00784C40">
      <w:pPr>
        <w:pStyle w:val="Standard"/>
        <w:jc w:val="both"/>
        <w:rPr>
          <w:b/>
        </w:rPr>
      </w:pPr>
      <w:r>
        <w:rPr>
          <w:b/>
        </w:rPr>
        <w:t>Maison des droits de l’Homme </w:t>
      </w:r>
    </w:p>
    <w:p w:rsidR="00784C40" w:rsidRDefault="00784C40" w:rsidP="00784C40">
      <w:pPr>
        <w:pStyle w:val="Standard"/>
        <w:jc w:val="both"/>
        <w:rPr>
          <w:b/>
        </w:rPr>
      </w:pPr>
    </w:p>
    <w:p w:rsidR="00784C40" w:rsidRDefault="00784C40" w:rsidP="00784C40">
      <w:pPr>
        <w:pStyle w:val="Standard"/>
        <w:jc w:val="both"/>
      </w:pPr>
      <w:r>
        <w:t>La CCDH constate avec satisfaction que le projet d’une Maison des droits de l’Homme, qui réunit plusieurs institutions nationales, dont la CCDH, le CET et le médiateur, prend forme. Un regroupement sous un même toit de ces institutions facilitera l’échange d’informations et permettra de créer des synergies, pas seulement dans le domaine des droits des personnes handicapées. La CCDH rappelle l’importance de l’accessibilité de cette Maison, qui accueillera également des particuliers.</w:t>
      </w:r>
    </w:p>
    <w:p w:rsidR="00784C40" w:rsidRDefault="00784C40" w:rsidP="00784C40">
      <w:pPr>
        <w:pStyle w:val="Standard"/>
        <w:jc w:val="both"/>
      </w:pPr>
    </w:p>
    <w:p w:rsidR="00784C40" w:rsidRDefault="00784C40" w:rsidP="00784C40">
      <w:pPr>
        <w:pStyle w:val="Standard"/>
        <w:jc w:val="both"/>
      </w:pPr>
    </w:p>
    <w:p w:rsidR="00F87387" w:rsidRDefault="00F87387"/>
    <w:sectPr w:rsidR="00F8738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5D6" w:rsidRDefault="001D15D6" w:rsidP="00784C40">
      <w:r>
        <w:separator/>
      </w:r>
    </w:p>
  </w:endnote>
  <w:endnote w:type="continuationSeparator" w:id="0">
    <w:p w:rsidR="001D15D6" w:rsidRDefault="001D15D6" w:rsidP="00784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5D6" w:rsidRDefault="001D15D6" w:rsidP="00784C40">
      <w:r>
        <w:separator/>
      </w:r>
    </w:p>
  </w:footnote>
  <w:footnote w:type="continuationSeparator" w:id="0">
    <w:p w:rsidR="001D15D6" w:rsidRDefault="001D15D6" w:rsidP="00784C40">
      <w:r>
        <w:continuationSeparator/>
      </w:r>
    </w:p>
  </w:footnote>
  <w:footnote w:id="1">
    <w:p w:rsidR="00784C40" w:rsidRDefault="00784C40" w:rsidP="00784C40">
      <w:pPr>
        <w:pStyle w:val="FootnoteText"/>
      </w:pPr>
      <w:r>
        <w:rPr>
          <w:rStyle w:val="FootnoteReference"/>
        </w:rPr>
        <w:footnoteRef/>
      </w:r>
      <w:hyperlink r:id="rId1" w:history="1">
        <w:r>
          <w:rPr>
            <w:rStyle w:val="Hyperlink"/>
            <w:rFonts w:cs="Times New Roman"/>
            <w:color w:val="auto"/>
            <w:u w:val="none"/>
          </w:rPr>
          <w:t>http://www.ccdh.public.lu/fr/historique/loi_CCDH_memorial_2008.pdf</w:t>
        </w:r>
      </w:hyperlink>
    </w:p>
  </w:footnote>
  <w:footnote w:id="2">
    <w:p w:rsidR="00784C40" w:rsidRDefault="00784C40" w:rsidP="00784C40">
      <w:pPr>
        <w:pStyle w:val="FootnoteText"/>
      </w:pPr>
      <w:r>
        <w:rPr>
          <w:rStyle w:val="FootnoteReference"/>
        </w:rPr>
        <w:footnoteRef/>
      </w:r>
      <w:hyperlink r:id="rId2" w:history="1">
        <w:r>
          <w:rPr>
            <w:rStyle w:val="Hyperlink"/>
            <w:rFonts w:cs="Times New Roman"/>
            <w:color w:val="auto"/>
            <w:u w:val="none"/>
          </w:rPr>
          <w:t>http://www.ccdh.public.lu/fr/avis/2005/avisintenf.pdf</w:t>
        </w:r>
      </w:hyperlink>
    </w:p>
  </w:footnote>
  <w:footnote w:id="3">
    <w:p w:rsidR="00784C40" w:rsidRDefault="00784C40" w:rsidP="00784C40">
      <w:pPr>
        <w:pStyle w:val="FootnoteText"/>
      </w:pPr>
      <w:r>
        <w:rPr>
          <w:rStyle w:val="FootnoteReference"/>
        </w:rPr>
        <w:footnoteRef/>
      </w:r>
      <w:r>
        <w:rPr>
          <w:rFonts w:cs="Times New Roman"/>
        </w:rPr>
        <w:t xml:space="preserve">Avis 03/2011 du 29 octobre 2010 et avis complémentaire 03/2011 du 25 mai 2011 </w:t>
      </w:r>
      <w:hyperlink r:id="rId3" w:history="1">
        <w:r>
          <w:rPr>
            <w:rStyle w:val="Hyperlink"/>
            <w:rFonts w:cs="Times New Roman"/>
            <w:color w:val="auto"/>
            <w:u w:val="none"/>
          </w:rPr>
          <w:t>http://www.ccdh.public.lu/fr/avis/index.html</w:t>
        </w:r>
      </w:hyperlink>
    </w:p>
  </w:footnote>
  <w:footnote w:id="4">
    <w:p w:rsidR="00784C40" w:rsidRDefault="00784C40" w:rsidP="00784C40">
      <w:pPr>
        <w:pStyle w:val="FootnoteText"/>
      </w:pPr>
      <w:r>
        <w:rPr>
          <w:rStyle w:val="FootnoteReference"/>
        </w:rPr>
        <w:footnoteRef/>
      </w:r>
      <w:hyperlink r:id="rId4" w:history="1">
        <w:r>
          <w:rPr>
            <w:rStyle w:val="Hyperlink"/>
            <w:rFonts w:cs="Times New Roman"/>
            <w:color w:val="auto"/>
            <w:u w:val="none"/>
          </w:rPr>
          <w:t>http://www.ccdh.public.lu/fr/legislation/loi-du-28-juillet-_-convention.pdf</w:t>
        </w:r>
      </w:hyperlink>
    </w:p>
    <w:p w:rsidR="00784C40" w:rsidRDefault="00784C40" w:rsidP="00784C40">
      <w:pPr>
        <w:pStyle w:val="Footnote"/>
      </w:pPr>
      <w:r>
        <w:rPr>
          <w:rFonts w:cs="Times New Roman"/>
          <w:vertAlign w:val="superscript"/>
        </w:rPr>
        <w:br/>
      </w:r>
    </w:p>
  </w:footnote>
  <w:footnote w:id="5">
    <w:p w:rsidR="00784C40" w:rsidRDefault="00784C40" w:rsidP="00784C40">
      <w:pPr>
        <w:pStyle w:val="FootnoteText"/>
      </w:pPr>
      <w:r>
        <w:rPr>
          <w:rStyle w:val="FootnoteReference"/>
        </w:rPr>
        <w:footnoteRef/>
      </w:r>
      <w:hyperlink r:id="rId5" w:history="1">
        <w:r>
          <w:rPr>
            <w:rStyle w:val="Hyperlink"/>
          </w:rPr>
          <w:t>http://tbinternet.ohchr.org/_layouts/treatybodyexternal/Download.aspx?symbolno=INT%2fCRPD%2fCSS%2fLUX%2f26160&amp;Lang=en</w:t>
        </w:r>
      </w:hyperlink>
      <w:r>
        <w:rPr>
          <w:rFonts w:cs="Times New Roman"/>
          <w:shd w:val="clear" w:color="auto" w:fill="FFFF00"/>
        </w:rPr>
        <w:t xml:space="preserve"> </w:t>
      </w:r>
    </w:p>
  </w:footnote>
  <w:footnote w:id="6">
    <w:p w:rsidR="00784C40" w:rsidRDefault="00784C40" w:rsidP="00784C40">
      <w:pPr>
        <w:pStyle w:val="FootnoteText"/>
      </w:pPr>
      <w:r>
        <w:rPr>
          <w:rStyle w:val="FootnoteReference"/>
        </w:rPr>
        <w:footnoteRef/>
      </w:r>
      <w:hyperlink r:id="rId6" w:history="1">
        <w:r>
          <w:rPr>
            <w:rStyle w:val="Hyperlink"/>
            <w:rFonts w:cs="Times New Roman"/>
          </w:rPr>
          <w:t>https://ccdh.public.lu/fr/legislation/loi-du-28-juillet-_-convention.pdf</w:t>
        </w:r>
      </w:hyperlink>
      <w:r>
        <w:rPr>
          <w:rFonts w:cs="Times New Roman"/>
        </w:rPr>
        <w:t xml:space="preserve"> </w:t>
      </w:r>
    </w:p>
    <w:p w:rsidR="00784C40" w:rsidRDefault="00784C40" w:rsidP="00784C40">
      <w:pPr>
        <w:pStyle w:val="Footnote"/>
      </w:pPr>
      <w:r>
        <w:rPr>
          <w:rFonts w:cs="Times New Roman"/>
          <w:vertAlign w:val="superscript"/>
        </w:rPr>
        <w:br/>
      </w:r>
    </w:p>
  </w:footnote>
  <w:footnote w:id="7">
    <w:p w:rsidR="00784C40" w:rsidRDefault="00784C40" w:rsidP="00784C40">
      <w:pPr>
        <w:pStyle w:val="FootnoteText"/>
      </w:pPr>
      <w:r>
        <w:rPr>
          <w:rStyle w:val="FootnoteReference"/>
        </w:rPr>
        <w:footnoteRef/>
      </w:r>
      <w:r>
        <w:t xml:space="preserve"> Il a pour « mission de recevoir, dans les conditions fixées par la présente loi, les réclamations des personnes visées à l’article 2, paragraphe (1), formulées à l’occasion d’une affaire qui les concerne, relatives au fonctionnement des administrations de l’Etat et des communes, ainsi que des établissements publics relevant de l’Etat et des communes, à l’exclusion de leurs activités industrielles, financières et commerciales ». Loi du 22 août 2003</w:t>
      </w:r>
    </w:p>
  </w:footnote>
  <w:footnote w:id="8">
    <w:p w:rsidR="00784C40" w:rsidRDefault="00784C40" w:rsidP="00784C40">
      <w:pPr>
        <w:pStyle w:val="FootnoteText"/>
      </w:pPr>
      <w:r>
        <w:rPr>
          <w:rStyle w:val="FootnoteReference"/>
        </w:rPr>
        <w:footnoteRef/>
      </w:r>
      <w:r>
        <w:rPr>
          <w:rFonts w:cs="Times New Roman"/>
        </w:rPr>
        <w:t xml:space="preserve">Avis 01/2013 de la CCDH sur le Plan d’action, </w:t>
      </w:r>
      <w:hyperlink r:id="rId7" w:history="1">
        <w:r>
          <w:rPr>
            <w:rStyle w:val="Hyperlink"/>
            <w:rFonts w:cs="Times New Roman"/>
          </w:rPr>
          <w:t>https://ccdh.public.lu/fr/avis/2013/avis-CCDH-Plan-d_action-final.pdf</w:t>
        </w:r>
      </w:hyperlink>
      <w:r>
        <w:rPr>
          <w:rFonts w:cs="Times New Roman"/>
        </w:rPr>
        <w:t xml:space="preserve"> </w:t>
      </w:r>
    </w:p>
    <w:p w:rsidR="00784C40" w:rsidRDefault="00784C40" w:rsidP="00784C40">
      <w:pPr>
        <w:pStyle w:val="Footnote"/>
      </w:pPr>
      <w:r>
        <w:rPr>
          <w:rFonts w:cs="Times New Roman"/>
          <w:color w:val="00000A"/>
          <w:vertAlign w:val="superscript"/>
        </w:rPr>
        <w:br/>
      </w:r>
    </w:p>
  </w:footnote>
  <w:footnote w:id="9">
    <w:p w:rsidR="00784C40" w:rsidRDefault="00784C40" w:rsidP="00784C40">
      <w:pPr>
        <w:pStyle w:val="FootnoteText"/>
        <w:jc w:val="both"/>
      </w:pPr>
      <w:r>
        <w:rPr>
          <w:rStyle w:val="FootnoteReference"/>
        </w:rPr>
        <w:footnoteRef/>
      </w:r>
      <w:r>
        <w:rPr>
          <w:rFonts w:cs="Times New Roman"/>
        </w:rPr>
        <w:t xml:space="preserve">Avis 01/2013 de la CCDH sur le Plan d’action, </w:t>
      </w:r>
      <w:hyperlink r:id="rId8" w:history="1">
        <w:r>
          <w:rPr>
            <w:rStyle w:val="Hyperlink"/>
            <w:rFonts w:cs="Times New Roman"/>
          </w:rPr>
          <w:t>https://ccdh.public.lu/fr/avis/2013/avis-CCDH-Plan-d_action-final.pdf</w:t>
        </w:r>
      </w:hyperlink>
      <w:r>
        <w:rPr>
          <w:rFonts w:cs="Times New Roman"/>
        </w:rPr>
        <w:t xml:space="preserve"> </w:t>
      </w:r>
    </w:p>
  </w:footnote>
  <w:footnote w:id="10">
    <w:p w:rsidR="00784C40" w:rsidRDefault="00784C40" w:rsidP="00784C40">
      <w:pPr>
        <w:pStyle w:val="FootnoteText"/>
        <w:jc w:val="both"/>
      </w:pPr>
      <w:r>
        <w:rPr>
          <w:rStyle w:val="FootnoteReference"/>
        </w:rPr>
        <w:footnoteRef/>
      </w:r>
      <w:r>
        <w:rPr>
          <w:rFonts w:cs="Times New Roman"/>
        </w:rPr>
        <w:t xml:space="preserve">Rapport d’activités 2016 du CET, page 31, </w:t>
      </w:r>
      <w:hyperlink r:id="rId9" w:history="1">
        <w:r>
          <w:rPr>
            <w:rStyle w:val="Hyperlink"/>
            <w:rFonts w:cs="Times New Roman"/>
          </w:rPr>
          <w:t>http://cet.lu/wp-content/uploads/2017/04/Rapport-annuel-2016.pdf</w:t>
        </w:r>
      </w:hyperlink>
      <w:r>
        <w:rPr>
          <w:rFonts w:cs="Times New Roman"/>
        </w:rPr>
        <w:t xml:space="preserve"> </w:t>
      </w:r>
    </w:p>
  </w:footnote>
  <w:footnote w:id="11">
    <w:p w:rsidR="00784C40" w:rsidRDefault="00784C40" w:rsidP="00784C40">
      <w:pPr>
        <w:pStyle w:val="FootnoteText"/>
        <w:jc w:val="both"/>
      </w:pPr>
      <w:r>
        <w:rPr>
          <w:rStyle w:val="FootnoteReference"/>
        </w:rPr>
        <w:footnoteRef/>
      </w:r>
      <w:r>
        <w:rPr>
          <w:rFonts w:cs="Times New Roman"/>
        </w:rPr>
        <w:t>Projet de loi 7102</w:t>
      </w:r>
    </w:p>
  </w:footnote>
  <w:footnote w:id="12">
    <w:p w:rsidR="00784C40" w:rsidRDefault="00784C40" w:rsidP="00784C40">
      <w:pPr>
        <w:pStyle w:val="FootnoteText"/>
        <w:jc w:val="both"/>
      </w:pPr>
      <w:r>
        <w:rPr>
          <w:rStyle w:val="FootnoteReference"/>
        </w:rPr>
        <w:footnoteRef/>
      </w:r>
      <w:r>
        <w:t xml:space="preserve"> </w:t>
      </w:r>
      <w:r>
        <w:rPr>
          <w:rFonts w:cs="Times New Roman"/>
        </w:rPr>
        <w:t xml:space="preserve">E.a. Belgique, Centre interfédéral pour l’égalité des chances, </w:t>
      </w:r>
      <w:hyperlink r:id="rId10" w:history="1">
        <w:r>
          <w:rPr>
            <w:rStyle w:val="Hyperlink"/>
            <w:rFonts w:cs="Times New Roman"/>
          </w:rPr>
          <w:t>http://www.unia.be/fr</w:t>
        </w:r>
      </w:hyperlink>
      <w:r>
        <w:rPr>
          <w:rFonts w:cs="Times New Roman"/>
        </w:rPr>
        <w:t>; Pays Bas, Netherlands</w:t>
      </w:r>
      <w:r>
        <w:rPr>
          <w:rFonts w:cs="Times New Roman"/>
        </w:rPr>
        <w:br/>
        <w:t xml:space="preserve">Institute for Human Rights, </w:t>
      </w:r>
      <w:hyperlink r:id="rId11" w:history="1">
        <w:r>
          <w:rPr>
            <w:rStyle w:val="Hyperlink"/>
            <w:rFonts w:cs="Times New Roman"/>
          </w:rPr>
          <w:t>https://www.mensenrechten.nl/</w:t>
        </w:r>
      </w:hyperlink>
      <w:r>
        <w:rPr>
          <w:rFonts w:cs="Times New Roman"/>
        </w:rPr>
        <w:t xml:space="preserve"> ,voir aussi</w:t>
      </w:r>
    </w:p>
    <w:p w:rsidR="00784C40" w:rsidRPr="00784C40" w:rsidRDefault="00784C40" w:rsidP="00784C40">
      <w:pPr>
        <w:pStyle w:val="FootnoteText"/>
        <w:rPr>
          <w:lang w:val="en-US"/>
        </w:rPr>
      </w:pPr>
      <w:r>
        <w:rPr>
          <w:rFonts w:cs="Times New Roman"/>
          <w:lang w:val="en-US"/>
        </w:rPr>
        <w:t xml:space="preserve">Equinet, European Network of Equality Bodies, </w:t>
      </w:r>
      <w:hyperlink r:id="rId12" w:history="1">
        <w:r>
          <w:rPr>
            <w:rStyle w:val="Hyperlink"/>
            <w:rFonts w:cs="Times New Roman"/>
            <w:lang w:val="en-US"/>
          </w:rPr>
          <w:t>http://www.equineteurope.org/spip.php?page=tableau_neb&amp;section=mandate&amp;subsection=litigation</w:t>
        </w:r>
      </w:hyperlink>
      <w:r>
        <w:rPr>
          <w:rFonts w:cs="Times New Roman"/>
          <w:lang w:val="en-US"/>
        </w:rPr>
        <w:t xml:space="preserve">  </w:t>
      </w:r>
    </w:p>
    <w:p w:rsidR="00784C40" w:rsidRDefault="00784C40" w:rsidP="00784C40">
      <w:pPr>
        <w:pStyle w:val="FootnoteText"/>
        <w:rPr>
          <w:lang w:val="en-US"/>
        </w:rPr>
      </w:pPr>
    </w:p>
  </w:footnote>
  <w:footnote w:id="13">
    <w:p w:rsidR="00784C40" w:rsidRPr="00784C40" w:rsidRDefault="00784C40" w:rsidP="00784C40">
      <w:pPr>
        <w:pStyle w:val="FootnoteText"/>
        <w:rPr>
          <w:lang w:val="en-US"/>
        </w:rPr>
      </w:pPr>
      <w:r>
        <w:rPr>
          <w:rStyle w:val="FootnoteReference"/>
        </w:rPr>
        <w:footnoteRef/>
      </w:r>
      <w:r>
        <w:rPr>
          <w:rFonts w:cs="Times New Roman"/>
          <w:lang w:val="en-US"/>
        </w:rPr>
        <w:t xml:space="preserve"> </w:t>
      </w:r>
      <w:hyperlink r:id="rId13" w:history="1">
        <w:r>
          <w:rPr>
            <w:rStyle w:val="Hyperlink"/>
            <w:rFonts w:cs="Times New Roman"/>
            <w:lang w:val="en-US"/>
          </w:rPr>
          <w:t>http://www.adapth.lu/j3/index.php/homepage/accueil</w:t>
        </w:r>
      </w:hyperlink>
      <w:r>
        <w:rPr>
          <w:rFonts w:cs="Times New Roman"/>
          <w:lang w:val="en-US"/>
        </w:rPr>
        <w:t xml:space="preserve"> </w:t>
      </w:r>
    </w:p>
  </w:footnote>
  <w:footnote w:id="14">
    <w:p w:rsidR="00784C40" w:rsidRDefault="00784C40" w:rsidP="00784C40">
      <w:pPr>
        <w:pStyle w:val="FootnoteText"/>
      </w:pPr>
      <w:r>
        <w:rPr>
          <w:rStyle w:val="FootnoteReference"/>
        </w:rPr>
        <w:footnoteRef/>
      </w:r>
      <w:r>
        <w:rPr>
          <w:rFonts w:cs="Times New Roman"/>
        </w:rPr>
        <w:t xml:space="preserve"> Rapport initial du gouvernement luxembourgeois, page 14, </w:t>
      </w:r>
      <w:hyperlink r:id="rId14" w:history="1">
        <w:r>
          <w:rPr>
            <w:rStyle w:val="Hyperlink"/>
            <w:rFonts w:cs="Times New Roman"/>
          </w:rPr>
          <w:t>https://documents-dds-ny.un.org/doc/UNDOC/GEN/G15/201/47/PDF/G1520147.pdf?OpenElement</w:t>
        </w:r>
      </w:hyperlink>
      <w:r>
        <w:rPr>
          <w:rFonts w:cs="Times New Roman"/>
        </w:rPr>
        <w:t xml:space="preserve"> </w:t>
      </w:r>
    </w:p>
  </w:footnote>
  <w:footnote w:id="15">
    <w:p w:rsidR="00784C40" w:rsidRPr="00784C40" w:rsidRDefault="00784C40" w:rsidP="00784C40">
      <w:pPr>
        <w:pStyle w:val="FootnoteText"/>
        <w:rPr>
          <w:lang w:val="de-DE"/>
        </w:rPr>
      </w:pPr>
      <w:r>
        <w:rPr>
          <w:rStyle w:val="FootnoteReference"/>
        </w:rPr>
        <w:footnoteRef/>
      </w:r>
      <w:r>
        <w:rPr>
          <w:rFonts w:cs="Times New Roman"/>
          <w:lang w:val="de-DE"/>
        </w:rPr>
        <w:t xml:space="preserve"> Empowerment 2 Barrjerefreiheit und Mobilität, </w:t>
      </w:r>
      <w:hyperlink r:id="rId15" w:history="1">
        <w:r>
          <w:rPr>
            <w:rStyle w:val="Hyperlink"/>
            <w:rFonts w:cs="Times New Roman"/>
            <w:lang w:val="de-DE"/>
          </w:rPr>
          <w:t>https://ccdh.public.lu/fr/publications/brochures/Empowerment-2.pdf</w:t>
        </w:r>
      </w:hyperlink>
      <w:r>
        <w:rPr>
          <w:rFonts w:cs="Times New Roman"/>
          <w:lang w:val="de-DE"/>
        </w:rPr>
        <w:t xml:space="preserve"> </w:t>
      </w:r>
    </w:p>
  </w:footnote>
  <w:footnote w:id="16">
    <w:p w:rsidR="00784C40" w:rsidRPr="00784C40" w:rsidRDefault="00784C40" w:rsidP="00784C40">
      <w:pPr>
        <w:pStyle w:val="FootnoteText"/>
        <w:rPr>
          <w:lang w:val="de-DE"/>
        </w:rPr>
      </w:pPr>
      <w:r>
        <w:rPr>
          <w:rStyle w:val="FootnoteReference"/>
        </w:rPr>
        <w:footnoteRef/>
      </w:r>
      <w:r>
        <w:rPr>
          <w:rFonts w:cs="Times New Roman"/>
          <w:lang w:val="de-DE"/>
        </w:rPr>
        <w:t xml:space="preserve"> </w:t>
      </w:r>
      <w:hyperlink r:id="rId16" w:history="1">
        <w:r>
          <w:rPr>
            <w:rStyle w:val="Hyperlink"/>
            <w:rFonts w:cs="Times New Roman"/>
            <w:lang w:val="de-DE"/>
          </w:rPr>
          <w:t>https://ccdh.public.lu/fr/avis/2012/avis_compl__mentaire_PL6103_final.pdf</w:t>
        </w:r>
      </w:hyperlink>
      <w:r>
        <w:rPr>
          <w:rFonts w:cs="Times New Roman"/>
          <w:lang w:val="de-DE"/>
        </w:rPr>
        <w:t xml:space="preserve"> </w:t>
      </w:r>
    </w:p>
    <w:p w:rsidR="00784C40" w:rsidRDefault="00784C40" w:rsidP="00784C40">
      <w:pPr>
        <w:pStyle w:val="Footnote"/>
        <w:rPr>
          <w:rFonts w:cs="Times New Roman"/>
          <w:lang w:val="de-DE"/>
        </w:rPr>
      </w:pPr>
    </w:p>
  </w:footnote>
  <w:footnote w:id="17">
    <w:p w:rsidR="00784C40" w:rsidRPr="00784C40" w:rsidRDefault="00784C40" w:rsidP="00784C40">
      <w:pPr>
        <w:pStyle w:val="FootnoteText"/>
        <w:rPr>
          <w:lang w:val="de-DE"/>
        </w:rPr>
      </w:pPr>
      <w:r>
        <w:rPr>
          <w:rStyle w:val="FootnoteReference"/>
        </w:rPr>
        <w:footnoteRef/>
      </w:r>
      <w:r>
        <w:rPr>
          <w:rFonts w:cs="Times New Roman"/>
          <w:lang w:val="de-DE"/>
        </w:rPr>
        <w:t xml:space="preserve"> Empowerment 3 Selbstbestimmte Lebensführung, </w:t>
      </w:r>
      <w:hyperlink r:id="rId17" w:history="1">
        <w:r>
          <w:rPr>
            <w:rStyle w:val="Hyperlink"/>
            <w:rFonts w:cs="Times New Roman"/>
            <w:lang w:val="de-DE"/>
          </w:rPr>
          <w:t>https://ccdh.public.lu/fr/publications/brochures/Empowerment-3-Brochure.pdf</w:t>
        </w:r>
      </w:hyperlink>
      <w:r>
        <w:rPr>
          <w:rFonts w:cs="Times New Roman"/>
          <w:lang w:val="de-DE"/>
        </w:rPr>
        <w:t xml:space="preserve"> </w:t>
      </w:r>
    </w:p>
    <w:p w:rsidR="00784C40" w:rsidRDefault="00784C40" w:rsidP="00784C40">
      <w:pPr>
        <w:pStyle w:val="Footnote"/>
        <w:rPr>
          <w:rFonts w:cs="Times New Roman"/>
          <w:lang w:val="de-DE"/>
        </w:rPr>
      </w:pPr>
    </w:p>
  </w:footnote>
  <w:footnote w:id="18">
    <w:p w:rsidR="00784C40" w:rsidRDefault="00784C40" w:rsidP="00784C40">
      <w:pPr>
        <w:pStyle w:val="FootnoteText"/>
      </w:pPr>
      <w:r>
        <w:rPr>
          <w:rStyle w:val="FootnoteReference"/>
        </w:rPr>
        <w:footnoteRef/>
      </w:r>
      <w:r>
        <w:rPr>
          <w:rFonts w:cs="Times New Roman"/>
        </w:rPr>
        <w:t xml:space="preserve"> Loi du 11 avril 2010 portant approbation du protocole facultatif se rapportant à la Convention contre la torture et autres peines ou traitements cruels, inhumains ou dégradants</w:t>
      </w:r>
      <w:r>
        <w:rPr>
          <w:rFonts w:cs="Times New Roman"/>
          <w:vertAlign w:val="superscript"/>
        </w:rPr>
        <w:br/>
      </w:r>
      <w:r>
        <w:rPr>
          <w:rFonts w:cs="Times New Roman"/>
          <w:vertAlign w:val="superscript"/>
        </w:rPr>
        <w:br/>
      </w:r>
    </w:p>
  </w:footnote>
  <w:footnote w:id="19">
    <w:p w:rsidR="00784C40" w:rsidRDefault="00784C40" w:rsidP="00784C40">
      <w:pPr>
        <w:pStyle w:val="FootnoteText"/>
      </w:pPr>
      <w:r>
        <w:rPr>
          <w:rStyle w:val="FootnoteReference"/>
        </w:rPr>
        <w:footnoteRef/>
      </w:r>
      <w:r>
        <w:rPr>
          <w:rFonts w:cs="Times New Roman"/>
        </w:rPr>
        <w:t xml:space="preserve">https://ccdh.public.lu/fr/avis/2015/avis-PL-6779.pdf ; </w:t>
      </w:r>
      <w:hyperlink r:id="rId18" w:history="1">
        <w:r>
          <w:rPr>
            <w:rStyle w:val="Hyperlink"/>
            <w:rFonts w:cs="Times New Roman"/>
          </w:rPr>
          <w:t>https://ccdh.public.lu/fr/avis/2015/projet-avis-PL-6775-Accueil-final.pdf</w:t>
        </w:r>
      </w:hyperlink>
      <w:r>
        <w:rPr>
          <w:rFonts w:cs="Times New Roman"/>
        </w:rPr>
        <w:t xml:space="preserve"> </w:t>
      </w:r>
    </w:p>
  </w:footnote>
  <w:footnote w:id="20">
    <w:p w:rsidR="00784C40" w:rsidRDefault="00784C40" w:rsidP="00784C40">
      <w:pPr>
        <w:pStyle w:val="FootnoteText"/>
      </w:pPr>
      <w:r>
        <w:rPr>
          <w:rStyle w:val="FootnoteReference"/>
        </w:rPr>
        <w:footnoteRef/>
      </w:r>
      <w:r>
        <w:rPr>
          <w:rFonts w:cs="Times New Roman"/>
        </w:rPr>
        <w:t xml:space="preserve"> Loi du 18 décembre 2015 relative à la protection internationale et à la protection temporaire; Loi du 18 décembre 2015 relative à l’accueil des demandeurs de protection internationale et de protection temporaire</w:t>
      </w:r>
    </w:p>
  </w:footnote>
  <w:footnote w:id="21">
    <w:p w:rsidR="00784C40" w:rsidRDefault="00784C40" w:rsidP="00784C40">
      <w:pPr>
        <w:pStyle w:val="FootnoteText"/>
      </w:pPr>
      <w:r>
        <w:rPr>
          <w:rStyle w:val="FootnoteReference"/>
        </w:rPr>
        <w:footnoteRef/>
      </w:r>
      <w:r>
        <w:rPr>
          <w:rFonts w:cs="Times New Roman"/>
        </w:rPr>
        <w:t xml:space="preserve"> Ombudsman, Rapport d’activité 2016, p. 69, </w:t>
      </w:r>
      <w:hyperlink r:id="rId19" w:history="1">
        <w:r>
          <w:rPr>
            <w:rStyle w:val="Hyperlink"/>
            <w:rFonts w:cs="Times New Roman"/>
          </w:rPr>
          <w:t>http://www.ombudsman.lu/userfiles/files/Rapports%20annuels/RA%202016.pdf</w:t>
        </w:r>
      </w:hyperlink>
      <w:r>
        <w:rPr>
          <w:rFonts w:cs="Times New Roman"/>
        </w:rPr>
        <w:t xml:space="preserve"> </w:t>
      </w:r>
    </w:p>
    <w:p w:rsidR="00784C40" w:rsidRDefault="00784C40" w:rsidP="00784C40">
      <w:pPr>
        <w:pStyle w:val="FootnoteText"/>
        <w:rPr>
          <w:rFonts w:cs="Times New Roman"/>
        </w:rPr>
      </w:pPr>
    </w:p>
    <w:p w:rsidR="00784C40" w:rsidRDefault="00784C40" w:rsidP="00784C40">
      <w:pPr>
        <w:pStyle w:val="FootnoteText"/>
        <w:rPr>
          <w:rFonts w:cs="Times New Roman"/>
        </w:rPr>
      </w:pPr>
    </w:p>
    <w:p w:rsidR="00784C40" w:rsidRDefault="00784C40" w:rsidP="00784C40">
      <w:pPr>
        <w:pStyle w:val="Footnote"/>
        <w:rPr>
          <w:rFonts w:cs="Times New Roman"/>
        </w:rPr>
      </w:pPr>
    </w:p>
  </w:footnote>
  <w:footnote w:id="22">
    <w:p w:rsidR="00784C40" w:rsidRDefault="00784C40" w:rsidP="00784C40">
      <w:pPr>
        <w:pStyle w:val="FootnoteText"/>
      </w:pPr>
      <w:r>
        <w:rPr>
          <w:rStyle w:val="FootnoteReference"/>
        </w:rPr>
        <w:footnoteRef/>
      </w:r>
      <w:r>
        <w:rPr>
          <w:rFonts w:cs="Times New Roman"/>
        </w:rPr>
        <w:t xml:space="preserve"> Projet pilote de l’asbl Wäertvollt Liewen </w:t>
      </w:r>
      <w:hyperlink r:id="rId20" w:history="1">
        <w:r>
          <w:rPr>
            <w:rStyle w:val="Hyperlink"/>
            <w:rFonts w:cs="Times New Roman"/>
          </w:rPr>
          <w:t>http://www.waertvollt-liewen.lu/</w:t>
        </w:r>
      </w:hyperlink>
      <w:r>
        <w:rPr>
          <w:rFonts w:cs="Times New Roman"/>
        </w:rPr>
        <w:t xml:space="preserve"> </w:t>
      </w:r>
    </w:p>
    <w:p w:rsidR="00784C40" w:rsidRDefault="00784C40" w:rsidP="00784C40">
      <w:pPr>
        <w:pStyle w:val="Footnote"/>
        <w:rPr>
          <w:rFonts w:cs="Times New Roman"/>
        </w:rPr>
      </w:pPr>
    </w:p>
  </w:footnote>
  <w:footnote w:id="23">
    <w:p w:rsidR="00784C40" w:rsidRDefault="00784C40" w:rsidP="00784C40">
      <w:pPr>
        <w:pStyle w:val="FootnoteText"/>
      </w:pPr>
      <w:r>
        <w:rPr>
          <w:rStyle w:val="FootnoteReference"/>
        </w:rPr>
        <w:footnoteRef/>
      </w:r>
      <w:r>
        <w:rPr>
          <w:rFonts w:cs="Times New Roman"/>
        </w:rPr>
        <w:t>Projet de loi 7142</w:t>
      </w:r>
      <w:r>
        <w:t xml:space="preserve"> modifiant la loi du 24 février 1984 sur le régime des langues</w:t>
      </w:r>
    </w:p>
  </w:footnote>
  <w:footnote w:id="24">
    <w:p w:rsidR="00784C40" w:rsidRDefault="00784C40" w:rsidP="00784C40">
      <w:pPr>
        <w:pStyle w:val="FootnoteText"/>
      </w:pPr>
      <w:r>
        <w:rPr>
          <w:rStyle w:val="FootnoteReference"/>
        </w:rPr>
        <w:footnoteRef/>
      </w:r>
      <w:r>
        <w:rPr>
          <w:rFonts w:cs="Times New Roman"/>
        </w:rPr>
        <w:t xml:space="preserve"> </w:t>
      </w:r>
      <w:hyperlink r:id="rId21" w:history="1">
        <w:r>
          <w:rPr>
            <w:rStyle w:val="Hyperlink"/>
            <w:rFonts w:cs="Times New Roman"/>
          </w:rPr>
          <w:t>https://www.gouvernement.lu/6949966</w:t>
        </w:r>
      </w:hyperlink>
      <w:r>
        <w:rPr>
          <w:rFonts w:cs="Times New Roman"/>
        </w:rPr>
        <w:t xml:space="preserve"> </w:t>
      </w:r>
    </w:p>
  </w:footnote>
  <w:footnote w:id="25">
    <w:p w:rsidR="00784C40" w:rsidRDefault="00784C40" w:rsidP="00784C40">
      <w:pPr>
        <w:pStyle w:val="FootnoteText"/>
      </w:pPr>
      <w:r>
        <w:rPr>
          <w:rStyle w:val="FootnoteReference"/>
        </w:rPr>
        <w:footnoteRef/>
      </w:r>
      <w:r>
        <w:rPr>
          <w:rFonts w:cs="Times New Roman"/>
        </w:rPr>
        <w:t xml:space="preserve"> </w:t>
      </w:r>
      <w:hyperlink r:id="rId22" w:history="1">
        <w:r>
          <w:rPr>
            <w:rStyle w:val="Hyperlink"/>
            <w:rFonts w:cs="Times New Roman"/>
          </w:rPr>
          <w:t>http://www.hoergeschaedigt.lu/online/www/horizontal/home/FRE/index.html</w:t>
        </w:r>
      </w:hyperlink>
      <w:r>
        <w:rPr>
          <w:rFonts w:cs="Times New Roman"/>
        </w:rPr>
        <w:t xml:space="preserve">  </w:t>
      </w:r>
    </w:p>
    <w:p w:rsidR="00784C40" w:rsidRDefault="00784C40" w:rsidP="00784C40">
      <w:pPr>
        <w:pStyle w:val="Footnote"/>
        <w:rPr>
          <w:rFonts w:cs="Times New Roman"/>
        </w:rPr>
      </w:pPr>
    </w:p>
  </w:footnote>
  <w:footnote w:id="26">
    <w:p w:rsidR="00784C40" w:rsidRDefault="00784C40" w:rsidP="00784C40">
      <w:pPr>
        <w:pStyle w:val="FootnoteText"/>
      </w:pPr>
      <w:r>
        <w:rPr>
          <w:rStyle w:val="FootnoteReference"/>
        </w:rPr>
        <w:footnoteRef/>
      </w:r>
      <w:r>
        <w:rPr>
          <w:rFonts w:cs="Times New Roman"/>
        </w:rPr>
        <w:t xml:space="preserve"> </w:t>
      </w:r>
      <w:hyperlink r:id="rId23" w:history="1">
        <w:r>
          <w:rPr>
            <w:rStyle w:val="Hyperlink"/>
            <w:rFonts w:cs="Times New Roman"/>
          </w:rPr>
          <w:t>http://leidmedien.de/category/journalistische-tipps/</w:t>
        </w:r>
      </w:hyperlink>
      <w:r>
        <w:rPr>
          <w:rFonts w:cs="Times New Roman"/>
        </w:rPr>
        <w:t xml:space="preserve">  </w:t>
      </w:r>
    </w:p>
  </w:footnote>
  <w:footnote w:id="27">
    <w:p w:rsidR="00784C40" w:rsidRDefault="00784C40" w:rsidP="00784C40">
      <w:pPr>
        <w:pStyle w:val="FootnoteText"/>
      </w:pPr>
      <w:r>
        <w:rPr>
          <w:rStyle w:val="FootnoteReference"/>
        </w:rPr>
        <w:footnoteRef/>
      </w:r>
      <w:r>
        <w:rPr>
          <w:rFonts w:cs="Times New Roman"/>
        </w:rPr>
        <w:t xml:space="preserve">Projet de loi 7104 portant modification </w:t>
      </w:r>
      <w:r>
        <w:rPr>
          <w:rFonts w:cs="Times New Roman"/>
        </w:rPr>
        <w:br/>
        <w:t>1. de la loi modifiée du 6 février 2009 portant organisation de l'enseignement fondamental;</w:t>
      </w:r>
      <w:r>
        <w:rPr>
          <w:rFonts w:cs="Times New Roman"/>
        </w:rPr>
        <w:br/>
        <w:t>2. de la loi modifiée du 6 février 2009 concernant le personnel de l'enseignement fondamental;</w:t>
      </w:r>
      <w:r>
        <w:rPr>
          <w:rFonts w:cs="Times New Roman"/>
        </w:rPr>
        <w:br/>
        <w:t>3. de la loi modifiée du 7 octobre 1993 ayant pour objet a) la création d'un Service de Coordination de la Recherche et de l'Innovation pédagogiques et technologiques; b) la création d'un « Centre de Gestion Informatique de l'Éducation »; c) l'institution d'un Conseil scientifique;</w:t>
      </w:r>
      <w:r>
        <w:rPr>
          <w:rFonts w:cs="Times New Roman"/>
        </w:rPr>
        <w:br/>
        <w:t>4. de la loi modifiée du 9 décembre 2005 déterminant les conditions et modalités de nomination de certains fonctionnaires occupant des fonctions dirigeantes dans les administrations et services de l'Etat;</w:t>
      </w:r>
      <w:r>
        <w:rPr>
          <w:rFonts w:cs="Times New Roman"/>
        </w:rPr>
        <w:br/>
        <w:t>5. de la loi modifiée du 13 juillet 2006 portant réorganisation du centre de psychologie et d'orientation scolaires (CPOS);</w:t>
      </w:r>
      <w:r>
        <w:rPr>
          <w:rFonts w:cs="Times New Roman"/>
        </w:rPr>
        <w:br/>
        <w:t>6. de la loi du 6 février 2009 relative à l'obligation scolaire;</w:t>
      </w:r>
      <w:r>
        <w:rPr>
          <w:rFonts w:cs="Times New Roman"/>
        </w:rPr>
        <w:br/>
        <w:t>7. de la loi modifiée du 25 mars 2015 fixant le régime des traitements et les conditions et modalités d'avancement des fonctionnaires de l'Etat;</w:t>
      </w:r>
      <w:r>
        <w:rPr>
          <w:rFonts w:cs="Times New Roman"/>
        </w:rPr>
        <w:br/>
        <w:t>8. de la loi du 30 juillet 2015 portant création d'un Institut de formation de l'éducation nationale</w:t>
      </w:r>
      <w:r>
        <w:rPr>
          <w:rFonts w:cs="Times New Roman"/>
          <w:vertAlign w:val="superscript"/>
        </w:rPr>
        <w:br/>
      </w:r>
    </w:p>
    <w:p w:rsidR="00784C40" w:rsidRDefault="00784C40" w:rsidP="00784C40">
      <w:pPr>
        <w:pStyle w:val="Footnote"/>
        <w:rPr>
          <w:rFonts w:cs="Times New Roman"/>
        </w:rPr>
      </w:pPr>
    </w:p>
  </w:footnote>
  <w:footnote w:id="28">
    <w:p w:rsidR="00784C40" w:rsidRDefault="00784C40" w:rsidP="00784C40">
      <w:pPr>
        <w:pStyle w:val="FootnoteText"/>
      </w:pPr>
      <w:r>
        <w:rPr>
          <w:rStyle w:val="FootnoteReference"/>
        </w:rPr>
        <w:footnoteRef/>
      </w:r>
      <w:r>
        <w:rPr>
          <w:rFonts w:cs="Times New Roman"/>
        </w:rPr>
        <w:t xml:space="preserve"> </w:t>
      </w:r>
      <w:hyperlink r:id="rId24" w:history="1">
        <w:r>
          <w:rPr>
            <w:rStyle w:val="Hyperlink"/>
            <w:rFonts w:cs="Times New Roman"/>
            <w:color w:val="auto"/>
            <w:u w:val="none"/>
          </w:rPr>
          <w:t>https://www.gouvernement.lu/7018389/31-objectifs-millenaire</w:t>
        </w:r>
      </w:hyperlink>
    </w:p>
    <w:p w:rsidR="00784C40" w:rsidRDefault="00784C40" w:rsidP="00784C40">
      <w:pPr>
        <w:pStyle w:val="Footnote"/>
        <w:rPr>
          <w:rFonts w:cs="Times New Roma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FC03F4"/>
    <w:multiLevelType w:val="multilevel"/>
    <w:tmpl w:val="8B4A0BBC"/>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nsid w:val="55C9537A"/>
    <w:multiLevelType w:val="multilevel"/>
    <w:tmpl w:val="4E6CE6E6"/>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7D2D75E6"/>
    <w:multiLevelType w:val="multilevel"/>
    <w:tmpl w:val="6E541374"/>
    <w:styleLink w:val="WWNum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C40"/>
    <w:rsid w:val="001D15D6"/>
    <w:rsid w:val="00784C40"/>
    <w:rsid w:val="00BB4A1A"/>
    <w:rsid w:val="00F87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C40"/>
    <w:pPr>
      <w:widowControl w:val="0"/>
      <w:suppressAutoHyphens/>
      <w:autoSpaceDN w:val="0"/>
    </w:pPr>
    <w:rPr>
      <w:rFonts w:ascii="Times New Roman" w:eastAsia="SimSun" w:hAnsi="Times New Roman" w:cs="Mangal"/>
      <w:kern w:val="3"/>
      <w:sz w:val="24"/>
      <w:szCs w:val="24"/>
      <w:lang w:val="fr-LU"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784C40"/>
    <w:rPr>
      <w:color w:val="0563C1"/>
      <w:u w:val="single" w:color="000000"/>
    </w:rPr>
  </w:style>
  <w:style w:type="paragraph" w:styleId="NoSpacing">
    <w:name w:val="No Spacing"/>
    <w:qFormat/>
    <w:rsid w:val="00784C40"/>
    <w:pPr>
      <w:suppressAutoHyphens/>
      <w:autoSpaceDN w:val="0"/>
    </w:pPr>
    <w:rPr>
      <w:rFonts w:ascii="Calibri" w:eastAsia="Calibri" w:hAnsi="Calibri" w:cs="Times New Roman"/>
      <w:kern w:val="3"/>
      <w:szCs w:val="24"/>
      <w:lang w:val="de-DE" w:eastAsia="zh-CN" w:bidi="hi-IN"/>
    </w:rPr>
  </w:style>
  <w:style w:type="paragraph" w:customStyle="1" w:styleId="Standard">
    <w:name w:val="Standard"/>
    <w:rsid w:val="00784C40"/>
    <w:pPr>
      <w:widowControl w:val="0"/>
      <w:suppressAutoHyphens/>
      <w:autoSpaceDN w:val="0"/>
    </w:pPr>
    <w:rPr>
      <w:rFonts w:ascii="Times New Roman" w:eastAsia="SimSun" w:hAnsi="Times New Roman" w:cs="Mangal"/>
      <w:kern w:val="3"/>
      <w:sz w:val="24"/>
      <w:szCs w:val="24"/>
      <w:lang w:val="fr-LU" w:eastAsia="zh-CN" w:bidi="hi-IN"/>
    </w:rPr>
  </w:style>
  <w:style w:type="paragraph" w:customStyle="1" w:styleId="Default">
    <w:name w:val="Default"/>
    <w:rsid w:val="00784C40"/>
    <w:pPr>
      <w:suppressAutoHyphens/>
      <w:autoSpaceDN w:val="0"/>
    </w:pPr>
    <w:rPr>
      <w:rFonts w:ascii="Times New Roman" w:eastAsia="SimSun" w:hAnsi="Times New Roman" w:cs="Arial"/>
      <w:color w:val="000000"/>
      <w:kern w:val="3"/>
      <w:sz w:val="24"/>
      <w:szCs w:val="24"/>
      <w:lang w:val="fr-FR" w:eastAsia="zh-CN" w:bidi="hi-IN"/>
    </w:rPr>
  </w:style>
  <w:style w:type="paragraph" w:customStyle="1" w:styleId="Footnote">
    <w:name w:val="Footnote"/>
    <w:basedOn w:val="Standard"/>
    <w:rsid w:val="00784C40"/>
    <w:pPr>
      <w:suppressLineNumbers/>
      <w:ind w:left="283" w:hanging="283"/>
    </w:pPr>
    <w:rPr>
      <w:sz w:val="20"/>
      <w:szCs w:val="20"/>
    </w:rPr>
  </w:style>
  <w:style w:type="character" w:styleId="FootnoteReference">
    <w:name w:val="footnote reference"/>
    <w:basedOn w:val="DefaultParagraphFont"/>
    <w:semiHidden/>
    <w:unhideWhenUsed/>
    <w:rsid w:val="00784C40"/>
    <w:rPr>
      <w:position w:val="0"/>
      <w:vertAlign w:val="superscript"/>
    </w:rPr>
  </w:style>
  <w:style w:type="paragraph" w:styleId="FootnoteText">
    <w:name w:val="footnote text"/>
    <w:basedOn w:val="Standard"/>
    <w:link w:val="FootnoteTextChar"/>
    <w:semiHidden/>
    <w:unhideWhenUsed/>
    <w:rsid w:val="00784C40"/>
    <w:rPr>
      <w:sz w:val="20"/>
      <w:szCs w:val="20"/>
    </w:rPr>
  </w:style>
  <w:style w:type="character" w:customStyle="1" w:styleId="FootnoteTextChar">
    <w:name w:val="Footnote Text Char"/>
    <w:basedOn w:val="DefaultParagraphFont"/>
    <w:link w:val="FootnoteText"/>
    <w:semiHidden/>
    <w:rsid w:val="00784C40"/>
    <w:rPr>
      <w:rFonts w:ascii="Times New Roman" w:eastAsia="SimSun" w:hAnsi="Times New Roman" w:cs="Mangal"/>
      <w:kern w:val="3"/>
      <w:sz w:val="20"/>
      <w:szCs w:val="20"/>
      <w:lang w:val="fr-LU" w:eastAsia="zh-CN" w:bidi="hi-IN"/>
    </w:rPr>
  </w:style>
  <w:style w:type="paragraph" w:styleId="ListParagraph">
    <w:name w:val="List Paragraph"/>
    <w:basedOn w:val="Standard"/>
    <w:qFormat/>
    <w:rsid w:val="00784C40"/>
    <w:pPr>
      <w:ind w:left="720"/>
    </w:pPr>
  </w:style>
  <w:style w:type="paragraph" w:styleId="NormalWeb">
    <w:name w:val="Normal (Web)"/>
    <w:basedOn w:val="Standard"/>
    <w:semiHidden/>
    <w:unhideWhenUsed/>
    <w:rsid w:val="00784C40"/>
    <w:pPr>
      <w:spacing w:before="28" w:after="28"/>
    </w:pPr>
    <w:rPr>
      <w:rFonts w:eastAsia="Times New Roman" w:cs="Times New Roman"/>
      <w:lang w:eastAsia="fr-FR"/>
    </w:rPr>
  </w:style>
  <w:style w:type="numbering" w:customStyle="1" w:styleId="WWNum1">
    <w:name w:val="WWNum1"/>
    <w:rsid w:val="00784C40"/>
    <w:pPr>
      <w:numPr>
        <w:numId w:val="1"/>
      </w:numPr>
    </w:pPr>
  </w:style>
  <w:style w:type="numbering" w:customStyle="1" w:styleId="WWNum5">
    <w:name w:val="WWNum5"/>
    <w:rsid w:val="00784C40"/>
    <w:pPr>
      <w:numPr>
        <w:numId w:val="3"/>
      </w:numPr>
    </w:pPr>
  </w:style>
  <w:style w:type="numbering" w:customStyle="1" w:styleId="WWNum7">
    <w:name w:val="WWNum7"/>
    <w:rsid w:val="00784C40"/>
    <w:pPr>
      <w:numPr>
        <w:numId w:val="7"/>
      </w:numPr>
    </w:pPr>
  </w:style>
  <w:style w:type="paragraph" w:styleId="BalloonText">
    <w:name w:val="Balloon Text"/>
    <w:basedOn w:val="Normal"/>
    <w:link w:val="BalloonTextChar"/>
    <w:uiPriority w:val="99"/>
    <w:semiHidden/>
    <w:unhideWhenUsed/>
    <w:rsid w:val="00BB4A1A"/>
    <w:rPr>
      <w:rFonts w:ascii="Tahoma" w:hAnsi="Tahoma"/>
      <w:sz w:val="16"/>
      <w:szCs w:val="14"/>
    </w:rPr>
  </w:style>
  <w:style w:type="character" w:customStyle="1" w:styleId="BalloonTextChar">
    <w:name w:val="Balloon Text Char"/>
    <w:basedOn w:val="DefaultParagraphFont"/>
    <w:link w:val="BalloonText"/>
    <w:uiPriority w:val="99"/>
    <w:semiHidden/>
    <w:rsid w:val="00BB4A1A"/>
    <w:rPr>
      <w:rFonts w:ascii="Tahoma" w:eastAsia="SimSun" w:hAnsi="Tahoma" w:cs="Mangal"/>
      <w:kern w:val="3"/>
      <w:sz w:val="16"/>
      <w:szCs w:val="14"/>
      <w:lang w:val="fr-LU"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C40"/>
    <w:pPr>
      <w:widowControl w:val="0"/>
      <w:suppressAutoHyphens/>
      <w:autoSpaceDN w:val="0"/>
    </w:pPr>
    <w:rPr>
      <w:rFonts w:ascii="Times New Roman" w:eastAsia="SimSun" w:hAnsi="Times New Roman" w:cs="Mangal"/>
      <w:kern w:val="3"/>
      <w:sz w:val="24"/>
      <w:szCs w:val="24"/>
      <w:lang w:val="fr-LU"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784C40"/>
    <w:rPr>
      <w:color w:val="0563C1"/>
      <w:u w:val="single" w:color="000000"/>
    </w:rPr>
  </w:style>
  <w:style w:type="paragraph" w:styleId="NoSpacing">
    <w:name w:val="No Spacing"/>
    <w:qFormat/>
    <w:rsid w:val="00784C40"/>
    <w:pPr>
      <w:suppressAutoHyphens/>
      <w:autoSpaceDN w:val="0"/>
    </w:pPr>
    <w:rPr>
      <w:rFonts w:ascii="Calibri" w:eastAsia="Calibri" w:hAnsi="Calibri" w:cs="Times New Roman"/>
      <w:kern w:val="3"/>
      <w:szCs w:val="24"/>
      <w:lang w:val="de-DE" w:eastAsia="zh-CN" w:bidi="hi-IN"/>
    </w:rPr>
  </w:style>
  <w:style w:type="paragraph" w:customStyle="1" w:styleId="Standard">
    <w:name w:val="Standard"/>
    <w:rsid w:val="00784C40"/>
    <w:pPr>
      <w:widowControl w:val="0"/>
      <w:suppressAutoHyphens/>
      <w:autoSpaceDN w:val="0"/>
    </w:pPr>
    <w:rPr>
      <w:rFonts w:ascii="Times New Roman" w:eastAsia="SimSun" w:hAnsi="Times New Roman" w:cs="Mangal"/>
      <w:kern w:val="3"/>
      <w:sz w:val="24"/>
      <w:szCs w:val="24"/>
      <w:lang w:val="fr-LU" w:eastAsia="zh-CN" w:bidi="hi-IN"/>
    </w:rPr>
  </w:style>
  <w:style w:type="paragraph" w:customStyle="1" w:styleId="Default">
    <w:name w:val="Default"/>
    <w:rsid w:val="00784C40"/>
    <w:pPr>
      <w:suppressAutoHyphens/>
      <w:autoSpaceDN w:val="0"/>
    </w:pPr>
    <w:rPr>
      <w:rFonts w:ascii="Times New Roman" w:eastAsia="SimSun" w:hAnsi="Times New Roman" w:cs="Arial"/>
      <w:color w:val="000000"/>
      <w:kern w:val="3"/>
      <w:sz w:val="24"/>
      <w:szCs w:val="24"/>
      <w:lang w:val="fr-FR" w:eastAsia="zh-CN" w:bidi="hi-IN"/>
    </w:rPr>
  </w:style>
  <w:style w:type="paragraph" w:customStyle="1" w:styleId="Footnote">
    <w:name w:val="Footnote"/>
    <w:basedOn w:val="Standard"/>
    <w:rsid w:val="00784C40"/>
    <w:pPr>
      <w:suppressLineNumbers/>
      <w:ind w:left="283" w:hanging="283"/>
    </w:pPr>
    <w:rPr>
      <w:sz w:val="20"/>
      <w:szCs w:val="20"/>
    </w:rPr>
  </w:style>
  <w:style w:type="character" w:styleId="FootnoteReference">
    <w:name w:val="footnote reference"/>
    <w:basedOn w:val="DefaultParagraphFont"/>
    <w:semiHidden/>
    <w:unhideWhenUsed/>
    <w:rsid w:val="00784C40"/>
    <w:rPr>
      <w:position w:val="0"/>
      <w:vertAlign w:val="superscript"/>
    </w:rPr>
  </w:style>
  <w:style w:type="paragraph" w:styleId="FootnoteText">
    <w:name w:val="footnote text"/>
    <w:basedOn w:val="Standard"/>
    <w:link w:val="FootnoteTextChar"/>
    <w:semiHidden/>
    <w:unhideWhenUsed/>
    <w:rsid w:val="00784C40"/>
    <w:rPr>
      <w:sz w:val="20"/>
      <w:szCs w:val="20"/>
    </w:rPr>
  </w:style>
  <w:style w:type="character" w:customStyle="1" w:styleId="FootnoteTextChar">
    <w:name w:val="Footnote Text Char"/>
    <w:basedOn w:val="DefaultParagraphFont"/>
    <w:link w:val="FootnoteText"/>
    <w:semiHidden/>
    <w:rsid w:val="00784C40"/>
    <w:rPr>
      <w:rFonts w:ascii="Times New Roman" w:eastAsia="SimSun" w:hAnsi="Times New Roman" w:cs="Mangal"/>
      <w:kern w:val="3"/>
      <w:sz w:val="20"/>
      <w:szCs w:val="20"/>
      <w:lang w:val="fr-LU" w:eastAsia="zh-CN" w:bidi="hi-IN"/>
    </w:rPr>
  </w:style>
  <w:style w:type="paragraph" w:styleId="ListParagraph">
    <w:name w:val="List Paragraph"/>
    <w:basedOn w:val="Standard"/>
    <w:qFormat/>
    <w:rsid w:val="00784C40"/>
    <w:pPr>
      <w:ind w:left="720"/>
    </w:pPr>
  </w:style>
  <w:style w:type="paragraph" w:styleId="NormalWeb">
    <w:name w:val="Normal (Web)"/>
    <w:basedOn w:val="Standard"/>
    <w:semiHidden/>
    <w:unhideWhenUsed/>
    <w:rsid w:val="00784C40"/>
    <w:pPr>
      <w:spacing w:before="28" w:after="28"/>
    </w:pPr>
    <w:rPr>
      <w:rFonts w:eastAsia="Times New Roman" w:cs="Times New Roman"/>
      <w:lang w:eastAsia="fr-FR"/>
    </w:rPr>
  </w:style>
  <w:style w:type="numbering" w:customStyle="1" w:styleId="WWNum1">
    <w:name w:val="WWNum1"/>
    <w:rsid w:val="00784C40"/>
    <w:pPr>
      <w:numPr>
        <w:numId w:val="1"/>
      </w:numPr>
    </w:pPr>
  </w:style>
  <w:style w:type="numbering" w:customStyle="1" w:styleId="WWNum5">
    <w:name w:val="WWNum5"/>
    <w:rsid w:val="00784C40"/>
    <w:pPr>
      <w:numPr>
        <w:numId w:val="3"/>
      </w:numPr>
    </w:pPr>
  </w:style>
  <w:style w:type="numbering" w:customStyle="1" w:styleId="WWNum7">
    <w:name w:val="WWNum7"/>
    <w:rsid w:val="00784C40"/>
    <w:pPr>
      <w:numPr>
        <w:numId w:val="7"/>
      </w:numPr>
    </w:pPr>
  </w:style>
  <w:style w:type="paragraph" w:styleId="BalloonText">
    <w:name w:val="Balloon Text"/>
    <w:basedOn w:val="Normal"/>
    <w:link w:val="BalloonTextChar"/>
    <w:uiPriority w:val="99"/>
    <w:semiHidden/>
    <w:unhideWhenUsed/>
    <w:rsid w:val="00BB4A1A"/>
    <w:rPr>
      <w:rFonts w:ascii="Tahoma" w:hAnsi="Tahoma"/>
      <w:sz w:val="16"/>
      <w:szCs w:val="14"/>
    </w:rPr>
  </w:style>
  <w:style w:type="character" w:customStyle="1" w:styleId="BalloonTextChar">
    <w:name w:val="Balloon Text Char"/>
    <w:basedOn w:val="DefaultParagraphFont"/>
    <w:link w:val="BalloonText"/>
    <w:uiPriority w:val="99"/>
    <w:semiHidden/>
    <w:rsid w:val="00BB4A1A"/>
    <w:rPr>
      <w:rFonts w:ascii="Tahoma" w:eastAsia="SimSun" w:hAnsi="Tahoma" w:cs="Mangal"/>
      <w:kern w:val="3"/>
      <w:sz w:val="16"/>
      <w:szCs w:val="14"/>
      <w:lang w:val="fr-L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15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cdh.public.lu/fr/avis/2013/avis-CCDH-Plan-d_action-final.pdf" TargetMode="External"/><Relationship Id="rId13" Type="http://schemas.openxmlformats.org/officeDocument/2006/relationships/hyperlink" Target="http://www.adapth.lu/j3/index.php/homepage/accueil" TargetMode="External"/><Relationship Id="rId18" Type="http://schemas.openxmlformats.org/officeDocument/2006/relationships/hyperlink" Target="https://ccdh.public.lu/fr/avis/2015/projet-avis-PL-6775-Accueil-final.pdf" TargetMode="External"/><Relationship Id="rId3" Type="http://schemas.openxmlformats.org/officeDocument/2006/relationships/hyperlink" Target="http://www.ccdh.public.lu/fr/avis/index.html" TargetMode="External"/><Relationship Id="rId21" Type="http://schemas.openxmlformats.org/officeDocument/2006/relationships/hyperlink" Target="https://www.gouvernement.lu/6949966" TargetMode="External"/><Relationship Id="rId7" Type="http://schemas.openxmlformats.org/officeDocument/2006/relationships/hyperlink" Target="https://ccdh.public.lu/fr/avis/2013/avis-CCDH-Plan-d_action-final.pdf" TargetMode="External"/><Relationship Id="rId12" Type="http://schemas.openxmlformats.org/officeDocument/2006/relationships/hyperlink" Target="http://www.equineteurope.org/spip.php?page=tableau_neb&amp;section=mandate&amp;subsection=litigation" TargetMode="External"/><Relationship Id="rId17" Type="http://schemas.openxmlformats.org/officeDocument/2006/relationships/hyperlink" Target="https://ccdh.public.lu/fr/publications/brochures/Empowerment-3-Brochure.pdf" TargetMode="External"/><Relationship Id="rId2" Type="http://schemas.openxmlformats.org/officeDocument/2006/relationships/hyperlink" Target="http://www.ccdh.public.lu/fr/avis/2005/avisintenf.pdf" TargetMode="External"/><Relationship Id="rId16" Type="http://schemas.openxmlformats.org/officeDocument/2006/relationships/hyperlink" Target="https://ccdh.public.lu/fr/avis/2012/avis_compl__mentaire_PL6103_final.pdf" TargetMode="External"/><Relationship Id="rId20" Type="http://schemas.openxmlformats.org/officeDocument/2006/relationships/hyperlink" Target="http://www.waertvollt-liewen.lu/" TargetMode="External"/><Relationship Id="rId1" Type="http://schemas.openxmlformats.org/officeDocument/2006/relationships/hyperlink" Target="http://www.ccdh.public.lu/fr/historique/loi_CCDH_memorial_2008.pdf" TargetMode="External"/><Relationship Id="rId6" Type="http://schemas.openxmlformats.org/officeDocument/2006/relationships/hyperlink" Target="https://ccdh.public.lu/fr/legislation/loi-du-28-juillet-_-convention.pdf" TargetMode="External"/><Relationship Id="rId11" Type="http://schemas.openxmlformats.org/officeDocument/2006/relationships/hyperlink" Target="https://www.mensenrechten.nl/" TargetMode="External"/><Relationship Id="rId24" Type="http://schemas.openxmlformats.org/officeDocument/2006/relationships/hyperlink" Target="https://www.gouvernement.lu/7018389/31-objectifs-millenaire" TargetMode="External"/><Relationship Id="rId5" Type="http://schemas.openxmlformats.org/officeDocument/2006/relationships/hyperlink" Target="http://tbinternet.ohchr.org/_layouts/treatybodyexternal/Download.aspx?symbolno=INT%2fCRPD%2fCSS%2fLUX%2f26160&amp;Lang=en" TargetMode="External"/><Relationship Id="rId15" Type="http://schemas.openxmlformats.org/officeDocument/2006/relationships/hyperlink" Target="https://ccdh.public.lu/fr/publications/brochures/Empowerment-2.pdf" TargetMode="External"/><Relationship Id="rId23" Type="http://schemas.openxmlformats.org/officeDocument/2006/relationships/hyperlink" Target="http://leidmedien.de/category/journalistische-tipps/" TargetMode="External"/><Relationship Id="rId10" Type="http://schemas.openxmlformats.org/officeDocument/2006/relationships/hyperlink" Target="http://www.unia.be/fr" TargetMode="External"/><Relationship Id="rId19" Type="http://schemas.openxmlformats.org/officeDocument/2006/relationships/hyperlink" Target="http://www.ombudsman.lu/userfiles/files/Rapports%20annuels/RA%202016.pdf" TargetMode="External"/><Relationship Id="rId4" Type="http://schemas.openxmlformats.org/officeDocument/2006/relationships/hyperlink" Target="http://www.ccdh.public.lu/fr/legislation/loi-du-28-juillet-_-convention.pdf" TargetMode="External"/><Relationship Id="rId9" Type="http://schemas.openxmlformats.org/officeDocument/2006/relationships/hyperlink" Target="http://cet.lu/wp-content/uploads/2017/04/Rapport-annuel-2016.pdf" TargetMode="External"/><Relationship Id="rId14" Type="http://schemas.openxmlformats.org/officeDocument/2006/relationships/hyperlink" Target="https://documents-dds-ny.un.org/doc/UNDOC/GEN/G15/201/47/PDF/G1520147.pdf?OpenElement" TargetMode="External"/><Relationship Id="rId22" Type="http://schemas.openxmlformats.org/officeDocument/2006/relationships/hyperlink" Target="http://www.hoergeschaedigt.lu/online/www/horizontal/home/FRE/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E4A0B8-30D8-4270-9C18-CCDA2BB50EF7}"/>
</file>

<file path=customXml/itemProps2.xml><?xml version="1.0" encoding="utf-8"?>
<ds:datastoreItem xmlns:ds="http://schemas.openxmlformats.org/officeDocument/2006/customXml" ds:itemID="{65F4F24B-8FBE-425E-B853-323BB4492CCE}"/>
</file>

<file path=customXml/itemProps3.xml><?xml version="1.0" encoding="utf-8"?>
<ds:datastoreItem xmlns:ds="http://schemas.openxmlformats.org/officeDocument/2006/customXml" ds:itemID="{1DF38D74-E65A-4CCC-B674-4FBF99F1F9C9}"/>
</file>

<file path=docProps/app.xml><?xml version="1.0" encoding="utf-8"?>
<Properties xmlns="http://schemas.openxmlformats.org/officeDocument/2006/extended-properties" xmlns:vt="http://schemas.openxmlformats.org/officeDocument/2006/docPropsVTypes">
  <Template>Normal.dotm</Template>
  <TotalTime>1</TotalTime>
  <Pages>6</Pages>
  <Words>8659</Words>
  <Characters>49359</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CTIE</Company>
  <LinksUpToDate>false</LinksUpToDate>
  <CharactersWithSpaces>57903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Fabienne Rossler</dc:creator>
  <cp:lastModifiedBy>Jorge ARAYA</cp:lastModifiedBy>
  <cp:revision>2</cp:revision>
  <dcterms:created xsi:type="dcterms:W3CDTF">2017-06-30T10:07:00Z</dcterms:created>
  <dcterms:modified xsi:type="dcterms:W3CDTF">2017-06-30T10:07:00Z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