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F41226" w14:textId="42335981" w:rsidR="008F0744" w:rsidRDefault="008F0744" w:rsidP="008F0744">
      <w:pPr>
        <w:pBdr>
          <w:bottom w:val="single" w:sz="18" w:space="1" w:color="auto"/>
        </w:pBdr>
        <w:jc w:val="center"/>
        <w:rPr>
          <w:rFonts w:asciiTheme="majorBidi" w:hAnsiTheme="majorBidi" w:cstheme="majorBidi"/>
          <w:b/>
          <w:bCs/>
          <w:color w:val="1F3864" w:themeColor="accent5" w:themeShade="80"/>
          <w:sz w:val="28"/>
          <w:szCs w:val="28"/>
        </w:rPr>
      </w:pPr>
      <w:r w:rsidRPr="008F0744">
        <w:rPr>
          <w:rFonts w:asciiTheme="majorBidi" w:hAnsiTheme="majorBidi" w:cstheme="majorBidi"/>
          <w:b/>
          <w:bCs/>
          <w:color w:val="1F3864" w:themeColor="accent5" w:themeShade="80"/>
          <w:sz w:val="28"/>
          <w:szCs w:val="28"/>
          <w:lang w:val="en-GB"/>
        </w:rPr>
        <w:t xml:space="preserve">Maat for Peace’ </w:t>
      </w:r>
      <w:r w:rsidRPr="008F0744">
        <w:rPr>
          <w:rFonts w:asciiTheme="majorBidi" w:hAnsiTheme="majorBidi" w:cstheme="majorBidi"/>
          <w:b/>
          <w:bCs/>
          <w:color w:val="1F3864" w:themeColor="accent5" w:themeShade="80"/>
          <w:sz w:val="28"/>
          <w:szCs w:val="28"/>
        </w:rPr>
        <w:t>Report submitted to Committee on Elimination of Discrimination against Women</w:t>
      </w:r>
      <w:r w:rsidRPr="008F0744">
        <w:rPr>
          <w:rFonts w:asciiTheme="majorBidi" w:hAnsiTheme="majorBidi" w:cstheme="majorBidi"/>
          <w:b/>
          <w:bCs/>
          <w:color w:val="1F3864" w:themeColor="accent5" w:themeShade="80"/>
          <w:sz w:val="28"/>
          <w:szCs w:val="28"/>
        </w:rPr>
        <w:t xml:space="preserve"> regarding the review of </w:t>
      </w:r>
      <w:r w:rsidRPr="008F0744">
        <w:rPr>
          <w:rFonts w:asciiTheme="majorBidi" w:hAnsiTheme="majorBidi" w:cstheme="majorBidi"/>
          <w:b/>
          <w:bCs/>
          <w:color w:val="ED0000"/>
          <w:sz w:val="28"/>
          <w:szCs w:val="28"/>
        </w:rPr>
        <w:t>Liechtenstein</w:t>
      </w:r>
    </w:p>
    <w:p w14:paraId="03DB22C9" w14:textId="2862CCF6" w:rsidR="008F0744" w:rsidRPr="008F0744" w:rsidRDefault="008F0744" w:rsidP="008F0744">
      <w:pPr>
        <w:pBdr>
          <w:bottom w:val="single" w:sz="18" w:space="1" w:color="auto"/>
        </w:pBdr>
        <w:jc w:val="center"/>
        <w:rPr>
          <w:rFonts w:asciiTheme="majorBidi" w:hAnsiTheme="majorBidi" w:cstheme="majorBidi"/>
        </w:rPr>
      </w:pPr>
      <w:r w:rsidRPr="008F0744">
        <w:rPr>
          <w:rFonts w:asciiTheme="majorBidi" w:hAnsiTheme="majorBidi" w:cstheme="majorBidi"/>
        </w:rPr>
        <w:t>January 2025</w:t>
      </w:r>
    </w:p>
    <w:p w14:paraId="6DD8FBD8" w14:textId="77777777"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Maat for Peace, Development and Human Rights submits this report to the Committee on the Elimination of Discrimination against Women. The purpose of this report is to update the Committee on the State of Liechtenstein's compliance with the Convention on the Elimination of All Forms of Discrimination against Women, in the context of the 90th session, during which the Committee will engage with the State's delegation on February 14, 2025. In November 2022, the Committee provided the State with a list of issues, to which the State responded in November 2023. This response constitutes its sixth periodic report to the Committee. Maat's report focuses on key articles of the Convention and monitors the State's compliance with them, as follows:</w:t>
      </w:r>
    </w:p>
    <w:p w14:paraId="38427D30" w14:textId="77777777" w:rsidR="008F0744" w:rsidRPr="008F0744" w:rsidRDefault="008F0744" w:rsidP="008F0744">
      <w:pPr>
        <w:jc w:val="both"/>
        <w:rPr>
          <w:rFonts w:asciiTheme="majorBidi" w:hAnsiTheme="majorBidi" w:cstheme="majorBidi"/>
          <w:b/>
          <w:bCs/>
          <w:color w:val="ED0000"/>
          <w:sz w:val="28"/>
          <w:szCs w:val="28"/>
        </w:rPr>
      </w:pPr>
      <w:r w:rsidRPr="008F0744">
        <w:rPr>
          <w:rFonts w:asciiTheme="majorBidi" w:hAnsiTheme="majorBidi" w:cstheme="majorBidi"/>
          <w:b/>
          <w:bCs/>
          <w:color w:val="ED0000"/>
          <w:sz w:val="28"/>
          <w:szCs w:val="28"/>
        </w:rPr>
        <w:t>Article 2: Integrating Principle of Equality</w:t>
      </w:r>
    </w:p>
    <w:p w14:paraId="69C96DAE" w14:textId="79C22463"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Article 2 of the Convention requires the incorporation of the principle of equality between men and women into national constitutions or appropriate legislation</w:t>
      </w:r>
      <w:r w:rsidR="00AE7B0F">
        <w:rPr>
          <w:rStyle w:val="FootnoteReference"/>
          <w:rFonts w:asciiTheme="majorBidi" w:hAnsiTheme="majorBidi" w:cstheme="majorBidi"/>
          <w:sz w:val="24"/>
          <w:szCs w:val="24"/>
        </w:rPr>
        <w:footnoteReference w:id="1"/>
      </w:r>
      <w:r w:rsidRPr="008F0744">
        <w:rPr>
          <w:rFonts w:asciiTheme="majorBidi" w:hAnsiTheme="majorBidi" w:cstheme="majorBidi"/>
          <w:sz w:val="24"/>
          <w:szCs w:val="24"/>
        </w:rPr>
        <w:t>.  Maat notes that this principle is enshrined in Article 31 of the Constitution of the State of Liechtenstein, which states that “all citizens are equal before the law.” It guarantees equal access to public office in accordance with legal provisions, ensuring that both men and women enjoy equal rights</w:t>
      </w:r>
      <w:r w:rsidR="00AE7B0F">
        <w:rPr>
          <w:rStyle w:val="FootnoteReference"/>
          <w:rFonts w:asciiTheme="majorBidi" w:hAnsiTheme="majorBidi" w:cstheme="majorBidi"/>
          <w:sz w:val="24"/>
          <w:szCs w:val="24"/>
        </w:rPr>
        <w:footnoteReference w:id="2"/>
      </w:r>
      <w:r w:rsidRPr="008F0744">
        <w:rPr>
          <w:rFonts w:asciiTheme="majorBidi" w:hAnsiTheme="majorBidi" w:cstheme="majorBidi"/>
          <w:sz w:val="24"/>
          <w:szCs w:val="24"/>
        </w:rPr>
        <w:t>.  However, there is currently no unified, comprehensive legislation to combat discrimination in the country. The Gender Equality Act addresses discrimination related to employment, including sexual harassment and access to goods and services, while discrimination based on disability is covered under the Equality Act for Persons with Disabilities. In 2016, “sex” was recognized as a prohibited ground for discrimination in Article 283 of the Criminal Code</w:t>
      </w:r>
      <w:r w:rsidR="00AE7B0F">
        <w:rPr>
          <w:rStyle w:val="FootnoteReference"/>
          <w:rFonts w:asciiTheme="majorBidi" w:hAnsiTheme="majorBidi" w:cstheme="majorBidi"/>
          <w:sz w:val="24"/>
          <w:szCs w:val="24"/>
        </w:rPr>
        <w:footnoteReference w:id="3"/>
      </w:r>
      <w:r w:rsidRPr="008F0744">
        <w:rPr>
          <w:rFonts w:asciiTheme="majorBidi" w:hAnsiTheme="majorBidi" w:cstheme="majorBidi"/>
          <w:sz w:val="24"/>
          <w:szCs w:val="24"/>
        </w:rPr>
        <w:t xml:space="preserve">. </w:t>
      </w:r>
    </w:p>
    <w:p w14:paraId="6F81A4D8" w14:textId="1B87821B"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 xml:space="preserve">To date, no legislation exists in Liechtenstein that addresses intersectional discrimination, and there is no case law that considers this concept. Intersectional discrimination occurs when two or more grounds for discrimination intersect, resulting in unique and compounded forms of discrimination. Women facing or at risk of intersectional discrimination encounter significant </w:t>
      </w:r>
      <w:r w:rsidRPr="008F0744">
        <w:rPr>
          <w:rFonts w:asciiTheme="majorBidi" w:hAnsiTheme="majorBidi" w:cstheme="majorBidi"/>
          <w:sz w:val="24"/>
          <w:szCs w:val="24"/>
        </w:rPr>
        <w:lastRenderedPageBreak/>
        <w:t>obstacles in accessing services, obtaining information, and reporting discrimination and violence against them</w:t>
      </w:r>
      <w:r w:rsidR="00AE7B0F">
        <w:rPr>
          <w:rStyle w:val="FootnoteReference"/>
          <w:rFonts w:asciiTheme="majorBidi" w:hAnsiTheme="majorBidi" w:cstheme="majorBidi"/>
          <w:sz w:val="24"/>
          <w:szCs w:val="24"/>
        </w:rPr>
        <w:footnoteReference w:id="4"/>
      </w:r>
      <w:r w:rsidRPr="008F0744">
        <w:rPr>
          <w:rFonts w:asciiTheme="majorBidi" w:hAnsiTheme="majorBidi" w:cstheme="majorBidi"/>
          <w:sz w:val="24"/>
          <w:szCs w:val="24"/>
        </w:rPr>
        <w:t xml:space="preserve">. </w:t>
      </w:r>
    </w:p>
    <w:p w14:paraId="5B9DDD3D" w14:textId="77777777" w:rsidR="008F0744" w:rsidRPr="008F0744" w:rsidRDefault="008F0744" w:rsidP="008F0744">
      <w:pPr>
        <w:jc w:val="both"/>
        <w:rPr>
          <w:rFonts w:asciiTheme="majorBidi" w:hAnsiTheme="majorBidi" w:cstheme="majorBidi"/>
          <w:b/>
          <w:bCs/>
          <w:color w:val="ED0000"/>
          <w:sz w:val="28"/>
          <w:szCs w:val="28"/>
        </w:rPr>
      </w:pPr>
      <w:r w:rsidRPr="008F0744">
        <w:rPr>
          <w:rFonts w:asciiTheme="majorBidi" w:hAnsiTheme="majorBidi" w:cstheme="majorBidi"/>
          <w:b/>
          <w:bCs/>
          <w:color w:val="ED0000"/>
          <w:sz w:val="28"/>
          <w:szCs w:val="28"/>
        </w:rPr>
        <w:t>Article 4: Special Temporary Measures</w:t>
      </w:r>
    </w:p>
    <w:p w14:paraId="523D6738" w14:textId="71DC41CC"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Article 4 mandates that States Parties take temporary special measures to achieve de facto gender equality, such as quotas or incentive policies, to accelerate equality between men and women</w:t>
      </w:r>
      <w:r w:rsidR="00AE7B0F">
        <w:rPr>
          <w:rStyle w:val="FootnoteReference"/>
          <w:rFonts w:asciiTheme="majorBidi" w:hAnsiTheme="majorBidi" w:cstheme="majorBidi"/>
          <w:sz w:val="24"/>
          <w:szCs w:val="24"/>
        </w:rPr>
        <w:footnoteReference w:id="5"/>
      </w:r>
      <w:r w:rsidRPr="008F0744">
        <w:rPr>
          <w:rFonts w:asciiTheme="majorBidi" w:hAnsiTheme="majorBidi" w:cstheme="majorBidi"/>
          <w:sz w:val="24"/>
          <w:szCs w:val="24"/>
        </w:rPr>
        <w:t>.  However, Liechtenstein has not yet implemented mandatory temporary special measures, such as quotas, to enhance women’s participation in decision-making or political positions. The lack of mandatory temporary special measures hinders the achievement of de facto gender equality. While several European countries, including Sweden and Norway, have employed quotas to boost women’s representation in politics and large corporations, Liechtenstein has yet to adopt this approach, resulting in lower compliance with Article 4 compared to its European neighbors</w:t>
      </w:r>
      <w:r w:rsidR="00AE7B0F">
        <w:rPr>
          <w:rStyle w:val="FootnoteReference"/>
          <w:rFonts w:asciiTheme="majorBidi" w:hAnsiTheme="majorBidi" w:cstheme="majorBidi"/>
          <w:sz w:val="24"/>
          <w:szCs w:val="24"/>
        </w:rPr>
        <w:footnoteReference w:id="6"/>
      </w:r>
      <w:r w:rsidRPr="008F0744">
        <w:rPr>
          <w:rFonts w:asciiTheme="majorBidi" w:hAnsiTheme="majorBidi" w:cstheme="majorBidi"/>
          <w:sz w:val="24"/>
          <w:szCs w:val="24"/>
        </w:rPr>
        <w:t xml:space="preserve">. </w:t>
      </w:r>
    </w:p>
    <w:p w14:paraId="18ADA510" w14:textId="280A013B"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Although Maat has documented efforts to raise awareness of the importance of equality in political and social representation, these initiatives currently lack legally binding mechanisms. Key among these efforts are civil society initiatives at the national level, particularly following 2017, which saw a significant decline in women’s representation in parliamentary elections. These initiatives aim to develop strategies for increasing women’s participation in politics on a broader scale. The High Quota Foundation has organized public events and media campaigns advocating for a quota for women. Another initiative involved a joint project between political parties titled “Diversity in Politics” (“</w:t>
      </w:r>
      <w:proofErr w:type="spellStart"/>
      <w:r w:rsidRPr="008F0744">
        <w:rPr>
          <w:rFonts w:asciiTheme="majorBidi" w:hAnsiTheme="majorBidi" w:cstheme="majorBidi"/>
          <w:sz w:val="24"/>
          <w:szCs w:val="24"/>
        </w:rPr>
        <w:t>Vielfalt</w:t>
      </w:r>
      <w:proofErr w:type="spellEnd"/>
      <w:r w:rsidRPr="008F0744">
        <w:rPr>
          <w:rFonts w:asciiTheme="majorBidi" w:hAnsiTheme="majorBidi" w:cstheme="majorBidi"/>
          <w:sz w:val="24"/>
          <w:szCs w:val="24"/>
        </w:rPr>
        <w:t xml:space="preserve"> in der </w:t>
      </w:r>
      <w:proofErr w:type="spellStart"/>
      <w:r w:rsidRPr="008F0744">
        <w:rPr>
          <w:rFonts w:asciiTheme="majorBidi" w:hAnsiTheme="majorBidi" w:cstheme="majorBidi"/>
          <w:sz w:val="24"/>
          <w:szCs w:val="24"/>
        </w:rPr>
        <w:t>Politik</w:t>
      </w:r>
      <w:proofErr w:type="spellEnd"/>
      <w:r w:rsidRPr="008F0744">
        <w:rPr>
          <w:rFonts w:asciiTheme="majorBidi" w:hAnsiTheme="majorBidi" w:cstheme="majorBidi"/>
          <w:sz w:val="24"/>
          <w:szCs w:val="24"/>
        </w:rPr>
        <w:t xml:space="preserve">”), aiming for equal gender representation in all political bodies. This initiative sought to engage in discussions with all political parties to identify solutions for employing and supporting women in parliamentary and municipal elections. The Diversity in Politics project enhanced the visibility of female candidates during the election campaign and raised awareness through media contributions and other strategies designed to encourage women to engage in political activities. Additionally, the Equal Opportunities Unit of the Ministry of </w:t>
      </w:r>
      <w:r w:rsidRPr="008F0744">
        <w:rPr>
          <w:rFonts w:asciiTheme="majorBidi" w:hAnsiTheme="majorBidi" w:cstheme="majorBidi"/>
          <w:sz w:val="24"/>
          <w:szCs w:val="24"/>
        </w:rPr>
        <w:lastRenderedPageBreak/>
        <w:t>Social Development provides annual funding for initiatives and projects that promote equal opportunities, supporting major projects aimed at increasing women’s representation in politics</w:t>
      </w:r>
      <w:r w:rsidR="00AE7B0F">
        <w:rPr>
          <w:rStyle w:val="FootnoteReference"/>
          <w:rFonts w:asciiTheme="majorBidi" w:hAnsiTheme="majorBidi" w:cstheme="majorBidi"/>
          <w:sz w:val="24"/>
          <w:szCs w:val="24"/>
        </w:rPr>
        <w:footnoteReference w:id="7"/>
      </w:r>
      <w:r w:rsidRPr="008F0744">
        <w:rPr>
          <w:rFonts w:asciiTheme="majorBidi" w:hAnsiTheme="majorBidi" w:cstheme="majorBidi"/>
          <w:sz w:val="24"/>
          <w:szCs w:val="24"/>
        </w:rPr>
        <w:t xml:space="preserve">. </w:t>
      </w:r>
    </w:p>
    <w:p w14:paraId="600655CA" w14:textId="77777777" w:rsidR="008F0744" w:rsidRPr="008F0744" w:rsidRDefault="008F0744" w:rsidP="008F0744">
      <w:pPr>
        <w:jc w:val="both"/>
        <w:rPr>
          <w:rFonts w:asciiTheme="majorBidi" w:hAnsiTheme="majorBidi" w:cstheme="majorBidi"/>
          <w:b/>
          <w:bCs/>
          <w:color w:val="ED0000"/>
          <w:sz w:val="28"/>
          <w:szCs w:val="28"/>
        </w:rPr>
      </w:pPr>
      <w:r w:rsidRPr="008F0744">
        <w:rPr>
          <w:rFonts w:asciiTheme="majorBidi" w:hAnsiTheme="majorBidi" w:cstheme="majorBidi"/>
          <w:b/>
          <w:bCs/>
          <w:color w:val="ED0000"/>
          <w:sz w:val="28"/>
          <w:szCs w:val="28"/>
        </w:rPr>
        <w:t>Article 7: Elimination of Discrimination Against Women in Political and Public Life</w:t>
      </w:r>
    </w:p>
    <w:p w14:paraId="6E16065D" w14:textId="5AB5BF58"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Article 7 of the Convention on the Elimination of Discrimination against Women mandates States Parties to take all appropriate measures to eliminate discrimination against women in political and public life</w:t>
      </w:r>
      <w:r w:rsidR="0029400A">
        <w:rPr>
          <w:rStyle w:val="FootnoteReference"/>
          <w:rFonts w:asciiTheme="majorBidi" w:hAnsiTheme="majorBidi" w:cstheme="majorBidi"/>
          <w:sz w:val="24"/>
          <w:szCs w:val="24"/>
        </w:rPr>
        <w:footnoteReference w:id="8"/>
      </w:r>
      <w:r w:rsidRPr="008F0744">
        <w:rPr>
          <w:rFonts w:asciiTheme="majorBidi" w:hAnsiTheme="majorBidi" w:cstheme="majorBidi"/>
          <w:sz w:val="24"/>
          <w:szCs w:val="24"/>
        </w:rPr>
        <w:t>.  Maat has documented improvements in women’s political participation in Liechtenstein in recent years. In the last legislative session (2021-2025), women held 28 percent of parliamentary seats, with seven women elected, compared to only 12 percent in the previous session (2017-2021), which had three women out of 25 members</w:t>
      </w:r>
      <w:r w:rsidR="0029400A">
        <w:rPr>
          <w:rStyle w:val="FootnoteReference"/>
          <w:rFonts w:asciiTheme="majorBidi" w:hAnsiTheme="majorBidi" w:cstheme="majorBidi"/>
          <w:sz w:val="24"/>
          <w:szCs w:val="24"/>
        </w:rPr>
        <w:footnoteReference w:id="9"/>
      </w:r>
      <w:r w:rsidRPr="008F0744">
        <w:rPr>
          <w:rFonts w:asciiTheme="majorBidi" w:hAnsiTheme="majorBidi" w:cstheme="majorBidi"/>
          <w:sz w:val="24"/>
          <w:szCs w:val="24"/>
        </w:rPr>
        <w:t>.  Currently, three out of five ministers in the government are women</w:t>
      </w:r>
      <w:r w:rsidR="0029400A">
        <w:rPr>
          <w:rStyle w:val="FootnoteReference"/>
          <w:rFonts w:asciiTheme="majorBidi" w:hAnsiTheme="majorBidi" w:cstheme="majorBidi"/>
          <w:sz w:val="24"/>
          <w:szCs w:val="24"/>
        </w:rPr>
        <w:footnoteReference w:id="10"/>
      </w:r>
      <w:r w:rsidRPr="008F0744">
        <w:rPr>
          <w:rFonts w:asciiTheme="majorBidi" w:hAnsiTheme="majorBidi" w:cstheme="majorBidi"/>
          <w:sz w:val="24"/>
          <w:szCs w:val="24"/>
        </w:rPr>
        <w:t>.  Liechtenstein has prioritized the empowerment of women and girls in its foreign policy, supporting the equal, full, and meaningful participation of women in all decision-making bodies as a condition for successfully implementing the 2030 Agenda. Women's representation in diplomacy has also increased, with women now comprising nearly half of foreign policy personnel</w:t>
      </w:r>
      <w:r w:rsidR="0029400A">
        <w:rPr>
          <w:rStyle w:val="FootnoteReference"/>
          <w:rFonts w:asciiTheme="majorBidi" w:hAnsiTheme="majorBidi" w:cstheme="majorBidi"/>
          <w:sz w:val="24"/>
          <w:szCs w:val="24"/>
        </w:rPr>
        <w:footnoteReference w:id="11"/>
      </w:r>
      <w:r w:rsidRPr="008F0744">
        <w:rPr>
          <w:rFonts w:asciiTheme="majorBidi" w:hAnsiTheme="majorBidi" w:cstheme="majorBidi"/>
          <w:sz w:val="24"/>
          <w:szCs w:val="24"/>
        </w:rPr>
        <w:t xml:space="preserve">. </w:t>
      </w:r>
    </w:p>
    <w:p w14:paraId="5DFF11C6" w14:textId="035E73C6"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Furthermore, Liechtenstein funds a project led by the HD Center for Humanitarian Dialogue aimed at strengthening peace processes, a project that has received financial support from Liechtenstein for many years. Enhancing women’s inclusion in peace processes aligns with Liechtenstein’s commitment to the UN Security Council’s “Women, Peace and Security” agenda. The HD Center is involved in peace mediation in approximately 30 current and potential violent conflicts worldwide</w:t>
      </w:r>
      <w:r w:rsidR="0029400A">
        <w:rPr>
          <w:rStyle w:val="FootnoteReference"/>
          <w:rFonts w:asciiTheme="majorBidi" w:hAnsiTheme="majorBidi" w:cstheme="majorBidi"/>
          <w:sz w:val="24"/>
          <w:szCs w:val="24"/>
        </w:rPr>
        <w:footnoteReference w:id="12"/>
      </w:r>
      <w:r w:rsidRPr="008F0744">
        <w:rPr>
          <w:rFonts w:asciiTheme="majorBidi" w:hAnsiTheme="majorBidi" w:cstheme="majorBidi"/>
          <w:sz w:val="24"/>
          <w:szCs w:val="24"/>
        </w:rPr>
        <w:t xml:space="preserve">. </w:t>
      </w:r>
    </w:p>
    <w:p w14:paraId="1D59B9AA" w14:textId="5349BC5E"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lastRenderedPageBreak/>
        <w:t>However, gender equality has not yet been achieved at all political levels. For instance, nine of the eleven mayors are men, with only two women in these positions. In 2019, women constituted 25 percent</w:t>
      </w:r>
      <w:r w:rsidR="00D65CAF">
        <w:rPr>
          <w:rStyle w:val="FootnoteReference"/>
          <w:rFonts w:asciiTheme="majorBidi" w:hAnsiTheme="majorBidi" w:cstheme="majorBidi"/>
          <w:sz w:val="24"/>
          <w:szCs w:val="24"/>
        </w:rPr>
        <w:footnoteReference w:id="13"/>
      </w:r>
      <w:r w:rsidRPr="008F0744">
        <w:rPr>
          <w:rFonts w:asciiTheme="majorBidi" w:hAnsiTheme="majorBidi" w:cstheme="majorBidi"/>
          <w:sz w:val="24"/>
          <w:szCs w:val="24"/>
        </w:rPr>
        <w:t xml:space="preserve"> of committees and advisory councils.  Liechtenstein's system of government is a constitutional monarchy, where the firstborn male inherits the throne, excluding women from this right. Despite widespread criticism of this tradition, which perpetuates discrimination against women in the country’s highest political positions, it is unlikely that this longstanding practice will change in Liechtenstein</w:t>
      </w:r>
      <w:r w:rsidR="00D65CAF">
        <w:rPr>
          <w:rStyle w:val="FootnoteReference"/>
          <w:rFonts w:asciiTheme="majorBidi" w:hAnsiTheme="majorBidi" w:cstheme="majorBidi"/>
          <w:sz w:val="24"/>
          <w:szCs w:val="24"/>
        </w:rPr>
        <w:footnoteReference w:id="14"/>
      </w:r>
      <w:r w:rsidRPr="008F0744">
        <w:rPr>
          <w:rFonts w:asciiTheme="majorBidi" w:hAnsiTheme="majorBidi" w:cstheme="majorBidi"/>
          <w:sz w:val="24"/>
          <w:szCs w:val="24"/>
        </w:rPr>
        <w:t xml:space="preserve">. </w:t>
      </w:r>
    </w:p>
    <w:p w14:paraId="16347558" w14:textId="77777777" w:rsidR="008F0744" w:rsidRPr="008F0744" w:rsidRDefault="008F0744" w:rsidP="008F0744">
      <w:pPr>
        <w:jc w:val="both"/>
        <w:rPr>
          <w:rFonts w:asciiTheme="majorBidi" w:hAnsiTheme="majorBidi" w:cstheme="majorBidi"/>
          <w:b/>
          <w:bCs/>
          <w:color w:val="ED0000"/>
          <w:sz w:val="28"/>
          <w:szCs w:val="28"/>
        </w:rPr>
      </w:pPr>
      <w:r w:rsidRPr="008F0744">
        <w:rPr>
          <w:rFonts w:asciiTheme="majorBidi" w:hAnsiTheme="majorBidi" w:cstheme="majorBidi"/>
          <w:b/>
          <w:bCs/>
          <w:color w:val="ED0000"/>
          <w:sz w:val="28"/>
          <w:szCs w:val="28"/>
        </w:rPr>
        <w:t>Article 10: Gender Equality in Education</w:t>
      </w:r>
    </w:p>
    <w:p w14:paraId="7586687D" w14:textId="4BDFF450"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Article 10 of the Convention on the Elimination of All Forms of Discrimination against Women stipulates the necessity of ensuring gender equality in education</w:t>
      </w:r>
      <w:r w:rsidR="00D65CAF">
        <w:rPr>
          <w:rStyle w:val="FootnoteReference"/>
          <w:rFonts w:asciiTheme="majorBidi" w:hAnsiTheme="majorBidi" w:cstheme="majorBidi"/>
          <w:sz w:val="24"/>
          <w:szCs w:val="24"/>
        </w:rPr>
        <w:footnoteReference w:id="15"/>
      </w:r>
      <w:r w:rsidRPr="008F0744">
        <w:rPr>
          <w:rFonts w:asciiTheme="majorBidi" w:hAnsiTheme="majorBidi" w:cstheme="majorBidi"/>
          <w:sz w:val="24"/>
          <w:szCs w:val="24"/>
        </w:rPr>
        <w:t>, which includes equal access to curricula, educational facilities, and opportunities.  Maat has noted that Liechtenstein has made significant progress in recent years in ensuring that girls and boys have equal educational opportunities at all levels, from primary to higher education. The curricula are standardized and free from any form of gender discrimination, thereby providing the same academic opportunities to all students. The government has launched programs to encourage girls to pursue scientific and technological fields that have traditionally been male-dominated. Additionally, scholarships have been established to support girls in their studies in areas such as science and engineering. Authorities in Liechtenstein have also taken steps to promote principles of equality between women and men, non-stereotypical gender roles, mutual respect, and non-violent conflict resolution in educational, sports, cultural, and recreational settings. For instance, the Equal Opportunities Unit of the Ministry of Social Development has conducted a media campaign in collaboration with the Liechtenstein Olympic Committee, focusing on women in leadership roles in sports during 2021 and 2022. However, stereotypes still persist, affecting girls’ choices of academic majors, particularly in science and technology. Social and cultural challenges continue to contribute to indirect discrimination against women in higher education, especially in technical fields</w:t>
      </w:r>
      <w:r w:rsidR="00D65CAF">
        <w:rPr>
          <w:rStyle w:val="FootnoteReference"/>
          <w:rFonts w:asciiTheme="majorBidi" w:hAnsiTheme="majorBidi" w:cstheme="majorBidi"/>
          <w:sz w:val="24"/>
          <w:szCs w:val="24"/>
        </w:rPr>
        <w:footnoteReference w:id="16"/>
      </w:r>
      <w:r w:rsidRPr="008F0744">
        <w:rPr>
          <w:rFonts w:asciiTheme="majorBidi" w:hAnsiTheme="majorBidi" w:cstheme="majorBidi"/>
          <w:sz w:val="24"/>
          <w:szCs w:val="24"/>
        </w:rPr>
        <w:t xml:space="preserve">. </w:t>
      </w:r>
    </w:p>
    <w:p w14:paraId="4063741A" w14:textId="77777777" w:rsidR="008F0744" w:rsidRPr="008F0744" w:rsidRDefault="008F0744" w:rsidP="008F0744">
      <w:pPr>
        <w:jc w:val="both"/>
        <w:rPr>
          <w:rFonts w:asciiTheme="majorBidi" w:hAnsiTheme="majorBidi" w:cstheme="majorBidi"/>
          <w:b/>
          <w:bCs/>
          <w:color w:val="ED0000"/>
          <w:sz w:val="28"/>
          <w:szCs w:val="28"/>
        </w:rPr>
      </w:pPr>
      <w:r w:rsidRPr="008F0744">
        <w:rPr>
          <w:rFonts w:asciiTheme="majorBidi" w:hAnsiTheme="majorBidi" w:cstheme="majorBidi"/>
          <w:b/>
          <w:bCs/>
          <w:color w:val="ED0000"/>
          <w:sz w:val="28"/>
          <w:szCs w:val="28"/>
        </w:rPr>
        <w:t>Article 11: Elimination of Discrimination against Women in the Workplace</w:t>
      </w:r>
    </w:p>
    <w:p w14:paraId="4269EA7A" w14:textId="54C683F3"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lastRenderedPageBreak/>
        <w:t>Article 11 of the Convention on the Elimination of Discrimination against Women asserts the right to equal pay for men and women</w:t>
      </w:r>
      <w:r w:rsidR="00D65CAF">
        <w:rPr>
          <w:rStyle w:val="FootnoteReference"/>
          <w:rFonts w:asciiTheme="majorBidi" w:hAnsiTheme="majorBidi" w:cstheme="majorBidi"/>
          <w:sz w:val="24"/>
          <w:szCs w:val="24"/>
        </w:rPr>
        <w:footnoteReference w:id="17"/>
      </w:r>
      <w:r w:rsidRPr="008F0744">
        <w:rPr>
          <w:rFonts w:asciiTheme="majorBidi" w:hAnsiTheme="majorBidi" w:cstheme="majorBidi"/>
          <w:sz w:val="24"/>
          <w:szCs w:val="24"/>
        </w:rPr>
        <w:t>.  Despite Liechtenstein's economic prosperity and a general work culture that promotes equality, gender disparities in wages and salaries remain prevalent. Statistics indicate that women typically earn less than their male counterparts. Male employees earn an average of 65,080 Swiss francs, while female employees earn 59,940 Swiss francs, resulting in men generally earning 9 percent more than women for the same job across all professions</w:t>
      </w:r>
      <w:r w:rsidR="00050B79">
        <w:rPr>
          <w:rStyle w:val="FootnoteReference"/>
          <w:rFonts w:asciiTheme="majorBidi" w:hAnsiTheme="majorBidi" w:cstheme="majorBidi"/>
          <w:sz w:val="24"/>
          <w:szCs w:val="24"/>
        </w:rPr>
        <w:footnoteReference w:id="18"/>
      </w:r>
      <w:r w:rsidRPr="008F0744">
        <w:rPr>
          <w:rFonts w:asciiTheme="majorBidi" w:hAnsiTheme="majorBidi" w:cstheme="majorBidi"/>
          <w:sz w:val="24"/>
          <w:szCs w:val="24"/>
        </w:rPr>
        <w:t>.  This disparity is influenced by several factors, including differences in career choices, maternity leave, and a higher incidence of part-time work among women. These factors contribute to gaps in experience and continuity, adversely affecting overall career progression and wage growth. Despite documented efforts by Maat and initiatives from the Liechtenstein government to address this issue—particularly through legislative measures aimed at promoting gender equality in the workplace, including the commitment to the principle of "equal pay for equal work" in line with European Union standards and the European Economic Area Agreement</w:t>
      </w:r>
      <w:r w:rsidR="00050B79">
        <w:rPr>
          <w:rStyle w:val="FootnoteReference"/>
          <w:rFonts w:asciiTheme="majorBidi" w:hAnsiTheme="majorBidi" w:cstheme="majorBidi"/>
          <w:sz w:val="24"/>
          <w:szCs w:val="24"/>
        </w:rPr>
        <w:footnoteReference w:id="19"/>
      </w:r>
      <w:r w:rsidRPr="008F0744">
        <w:rPr>
          <w:rFonts w:asciiTheme="majorBidi" w:hAnsiTheme="majorBidi" w:cstheme="majorBidi"/>
          <w:sz w:val="24"/>
          <w:szCs w:val="24"/>
        </w:rPr>
        <w:t>—challenges remain.  The ongoing “Paper Mint” project aims to encourage children from kindergarten through high school to engage in science, technology, engineering, and mathematics, with a focus on increasing the participation of girls in technical professions and natural sciences</w:t>
      </w:r>
      <w:r w:rsidR="00050B79">
        <w:rPr>
          <w:rStyle w:val="FootnoteReference"/>
          <w:rFonts w:asciiTheme="majorBidi" w:hAnsiTheme="majorBidi" w:cstheme="majorBidi"/>
          <w:sz w:val="24"/>
          <w:szCs w:val="24"/>
        </w:rPr>
        <w:footnoteReference w:id="20"/>
      </w:r>
      <w:r w:rsidRPr="008F0744">
        <w:rPr>
          <w:rFonts w:asciiTheme="majorBidi" w:hAnsiTheme="majorBidi" w:cstheme="majorBidi"/>
          <w:sz w:val="24"/>
          <w:szCs w:val="24"/>
        </w:rPr>
        <w:t>.  However, bridging the gender wage gap remains a significant challenge, indicating a clear need for further reforms and initiatives to achieve full wage parity between men and women.</w:t>
      </w:r>
    </w:p>
    <w:p w14:paraId="74552CC6" w14:textId="77777777" w:rsidR="008F0744" w:rsidRPr="008F0744" w:rsidRDefault="008F0744" w:rsidP="008F0744">
      <w:pPr>
        <w:jc w:val="both"/>
        <w:rPr>
          <w:rFonts w:asciiTheme="majorBidi" w:hAnsiTheme="majorBidi" w:cstheme="majorBidi"/>
          <w:b/>
          <w:bCs/>
          <w:color w:val="ED0000"/>
          <w:sz w:val="28"/>
          <w:szCs w:val="28"/>
        </w:rPr>
      </w:pPr>
      <w:r w:rsidRPr="008F0744">
        <w:rPr>
          <w:rFonts w:asciiTheme="majorBidi" w:hAnsiTheme="majorBidi" w:cstheme="majorBidi"/>
          <w:b/>
          <w:bCs/>
          <w:color w:val="ED0000"/>
          <w:sz w:val="28"/>
          <w:szCs w:val="28"/>
        </w:rPr>
        <w:t>Article 14: Enjoying Adequate Living Conditions</w:t>
      </w:r>
    </w:p>
    <w:p w14:paraId="02A39BB3" w14:textId="13199D10"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 xml:space="preserve">Article 14 of the Convention on the Elimination of Discrimination against Women stipulates that women should enjoy adequate living conditions. However, women in Liechtenstein continue to face widespread violations of their physical and psychological rights, particularly concerning domestic violence. In 2021, the police recorded a total of 101 reports related to domestic violence, with the majority of victims being women. Only a quarter of these reports led to cases being submitted to the Public Prosecutor’s Office. It remains challenging to determine whether there were any convictions or further actions taken against the perpetrators. Maat notes the absence of a comprehensive assessment of data related to violence against women, and there is no systematic </w:t>
      </w:r>
      <w:r w:rsidRPr="008F0744">
        <w:rPr>
          <w:rFonts w:asciiTheme="majorBidi" w:hAnsiTheme="majorBidi" w:cstheme="majorBidi"/>
          <w:sz w:val="24"/>
          <w:szCs w:val="24"/>
        </w:rPr>
        <w:lastRenderedPageBreak/>
        <w:t>distinction between perpetrators, witnesses, or victims in police and court surveys on domestic violence. Although the Public Prosecutor differentiates between types of individual crimes, such as physical harm or serious threats, crimes of violence against women or domestic violence are not categorized separately. Despite these violations, Maat has documented some positive measures concerning violence against women. With the reform of the Criminal Code in 2019, Liechtenstein introduced new criminal offenses specifically related to violence against women. Offenses such as forced marriage, sexual assault, rape, and genital mutilation have now been included in the Criminal Code</w:t>
      </w:r>
      <w:r w:rsidR="00050B79">
        <w:rPr>
          <w:rStyle w:val="FootnoteReference"/>
          <w:rFonts w:asciiTheme="majorBidi" w:hAnsiTheme="majorBidi" w:cstheme="majorBidi"/>
          <w:sz w:val="24"/>
          <w:szCs w:val="24"/>
        </w:rPr>
        <w:footnoteReference w:id="21"/>
      </w:r>
      <w:r w:rsidRPr="008F0744">
        <w:rPr>
          <w:rFonts w:asciiTheme="majorBidi" w:hAnsiTheme="majorBidi" w:cstheme="majorBidi"/>
          <w:sz w:val="24"/>
          <w:szCs w:val="24"/>
        </w:rPr>
        <w:t xml:space="preserve">. </w:t>
      </w:r>
    </w:p>
    <w:p w14:paraId="5998C791" w14:textId="77777777" w:rsidR="008F0744" w:rsidRPr="00AE7B0F" w:rsidRDefault="008F0744" w:rsidP="008F0744">
      <w:pPr>
        <w:jc w:val="both"/>
        <w:rPr>
          <w:rFonts w:asciiTheme="majorBidi" w:hAnsiTheme="majorBidi" w:cstheme="majorBidi"/>
          <w:b/>
          <w:bCs/>
          <w:color w:val="ED0000"/>
          <w:sz w:val="28"/>
          <w:szCs w:val="28"/>
        </w:rPr>
      </w:pPr>
      <w:r w:rsidRPr="00AE7B0F">
        <w:rPr>
          <w:rFonts w:asciiTheme="majorBidi" w:hAnsiTheme="majorBidi" w:cstheme="majorBidi"/>
          <w:b/>
          <w:bCs/>
          <w:color w:val="ED0000"/>
          <w:sz w:val="28"/>
          <w:szCs w:val="28"/>
        </w:rPr>
        <w:t>Recommendations</w:t>
      </w:r>
    </w:p>
    <w:p w14:paraId="552CDF97" w14:textId="77777777" w:rsidR="008F0744" w:rsidRPr="00AE7B0F" w:rsidRDefault="008F0744" w:rsidP="008F0744">
      <w:pPr>
        <w:jc w:val="both"/>
        <w:rPr>
          <w:rFonts w:asciiTheme="majorBidi" w:hAnsiTheme="majorBidi" w:cstheme="majorBidi"/>
          <w:b/>
          <w:bCs/>
          <w:sz w:val="24"/>
          <w:szCs w:val="24"/>
        </w:rPr>
      </w:pPr>
      <w:r w:rsidRPr="00AE7B0F">
        <w:rPr>
          <w:rFonts w:asciiTheme="majorBidi" w:hAnsiTheme="majorBidi" w:cstheme="majorBidi"/>
          <w:b/>
          <w:bCs/>
          <w:sz w:val="24"/>
          <w:szCs w:val="24"/>
        </w:rPr>
        <w:t>Maat for Peace, Development and Human Rights recommends the following to the Committee on the Elimination of Discrimination against Women during its discussion of the sixth periodic report submitted by the State of Liechtenstein:</w:t>
      </w:r>
    </w:p>
    <w:p w14:paraId="358A9380" w14:textId="77777777"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w:t>
      </w:r>
      <w:r w:rsidRPr="008F0744">
        <w:rPr>
          <w:rFonts w:asciiTheme="majorBidi" w:hAnsiTheme="majorBidi" w:cstheme="majorBidi"/>
          <w:sz w:val="24"/>
          <w:szCs w:val="24"/>
        </w:rPr>
        <w:tab/>
        <w:t>Urge the representatives of the State of Liechtenstein to develop comprehensive and unified legislation to combat discrimination effectively.</w:t>
      </w:r>
    </w:p>
    <w:p w14:paraId="204961B4" w14:textId="77777777"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w:t>
      </w:r>
      <w:r w:rsidRPr="008F0744">
        <w:rPr>
          <w:rFonts w:asciiTheme="majorBidi" w:hAnsiTheme="majorBidi" w:cstheme="majorBidi"/>
          <w:sz w:val="24"/>
          <w:szCs w:val="24"/>
        </w:rPr>
        <w:tab/>
        <w:t>Address the rights and needs of women and girls exposed to or at risk of multiple discrimination by developing future laws, measures, and policies, particularly for immigrant women and women with disabilities.</w:t>
      </w:r>
    </w:p>
    <w:p w14:paraId="3A3605D1" w14:textId="77777777"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w:t>
      </w:r>
      <w:r w:rsidRPr="008F0744">
        <w:rPr>
          <w:rFonts w:asciiTheme="majorBidi" w:hAnsiTheme="majorBidi" w:cstheme="majorBidi"/>
          <w:sz w:val="24"/>
          <w:szCs w:val="24"/>
        </w:rPr>
        <w:tab/>
        <w:t>Encourage the State delegation to implement specific temporary measures to enhance women's participation in political and economic life, including enacting laws that impose a minimum percentage for women's representation in parliament and leadership positions (quotas). Additionally, launch programs to prepare women for elections and leadership roles, and encourage private companies to adopt incentive policies that enable women to attain senior positions.</w:t>
      </w:r>
    </w:p>
    <w:p w14:paraId="4589EB15" w14:textId="77777777"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w:t>
      </w:r>
      <w:r w:rsidRPr="008F0744">
        <w:rPr>
          <w:rFonts w:asciiTheme="majorBidi" w:hAnsiTheme="majorBidi" w:cstheme="majorBidi"/>
          <w:sz w:val="24"/>
          <w:szCs w:val="24"/>
        </w:rPr>
        <w:tab/>
        <w:t>Support the authorities in Liechtenstein to continue their efforts toward achieving gender equality in the labor market, politics, and society as a whole, including implementing necessary measures to close the gender wage gap.</w:t>
      </w:r>
    </w:p>
    <w:p w14:paraId="570C5B65" w14:textId="77777777"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w:t>
      </w:r>
      <w:r w:rsidRPr="008F0744">
        <w:rPr>
          <w:rFonts w:asciiTheme="majorBidi" w:hAnsiTheme="majorBidi" w:cstheme="majorBidi"/>
          <w:sz w:val="24"/>
          <w:szCs w:val="24"/>
        </w:rPr>
        <w:tab/>
        <w:t>Urge the Government of Liechtenstein to collaborate with NGOs to develop a government strategy for the protection of individuals from violence and to establish a dedicated government organization to implement this strategy and evaluate its outcomes.</w:t>
      </w:r>
    </w:p>
    <w:p w14:paraId="101B1892" w14:textId="77777777"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lastRenderedPageBreak/>
        <w:t>•</w:t>
      </w:r>
      <w:r w:rsidRPr="008F0744">
        <w:rPr>
          <w:rFonts w:asciiTheme="majorBidi" w:hAnsiTheme="majorBidi" w:cstheme="majorBidi"/>
          <w:sz w:val="24"/>
          <w:szCs w:val="24"/>
        </w:rPr>
        <w:tab/>
        <w:t>Address stereotypes that affect girls’ choices of academic disciplines, particularly in science and technology, by confronting the social and cultural challenges that lead to indirect discrimination against women in higher education.</w:t>
      </w:r>
    </w:p>
    <w:p w14:paraId="7A8A5B92" w14:textId="77777777" w:rsidR="008F0744" w:rsidRPr="008F0744" w:rsidRDefault="008F0744" w:rsidP="008F0744">
      <w:pPr>
        <w:jc w:val="both"/>
        <w:rPr>
          <w:rFonts w:asciiTheme="majorBidi" w:hAnsiTheme="majorBidi" w:cstheme="majorBidi"/>
          <w:sz w:val="24"/>
          <w:szCs w:val="24"/>
        </w:rPr>
      </w:pPr>
      <w:r w:rsidRPr="008F0744">
        <w:rPr>
          <w:rFonts w:asciiTheme="majorBidi" w:hAnsiTheme="majorBidi" w:cstheme="majorBidi"/>
          <w:sz w:val="24"/>
          <w:szCs w:val="24"/>
        </w:rPr>
        <w:t>•</w:t>
      </w:r>
      <w:r w:rsidRPr="008F0744">
        <w:rPr>
          <w:rFonts w:asciiTheme="majorBidi" w:hAnsiTheme="majorBidi" w:cstheme="majorBidi"/>
          <w:sz w:val="24"/>
          <w:szCs w:val="24"/>
        </w:rPr>
        <w:tab/>
        <w:t>Provide comprehensive statistics and information related to violence against women, ensuring a distinction between perpetrators, witnesses, and victims in surveys conducted by both the police and the courts.</w:t>
      </w:r>
    </w:p>
    <w:p w14:paraId="6FC6308C" w14:textId="074C1D40" w:rsidR="006B1AFB" w:rsidRPr="00A162C1" w:rsidRDefault="006B1AFB" w:rsidP="008F0744">
      <w:pPr>
        <w:jc w:val="both"/>
        <w:rPr>
          <w:rFonts w:asciiTheme="majorBidi" w:hAnsiTheme="majorBidi" w:cstheme="majorBidi"/>
          <w:sz w:val="24"/>
          <w:szCs w:val="24"/>
          <w:rtl/>
        </w:rPr>
      </w:pPr>
    </w:p>
    <w:sectPr w:rsidR="006B1AFB" w:rsidRPr="00A162C1"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0283F" w14:textId="77777777" w:rsidR="00E47C87" w:rsidRDefault="00E47C87" w:rsidP="004F6D5A">
      <w:pPr>
        <w:spacing w:after="0" w:line="240" w:lineRule="auto"/>
      </w:pPr>
      <w:r>
        <w:separator/>
      </w:r>
    </w:p>
  </w:endnote>
  <w:endnote w:type="continuationSeparator" w:id="0">
    <w:p w14:paraId="47111836" w14:textId="77777777" w:rsidR="00E47C87" w:rsidRDefault="00E47C87"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92BCC" w14:textId="77777777" w:rsidR="00E47C87" w:rsidRDefault="00E47C87" w:rsidP="004F6D5A">
      <w:pPr>
        <w:spacing w:after="0" w:line="240" w:lineRule="auto"/>
      </w:pPr>
      <w:r>
        <w:separator/>
      </w:r>
    </w:p>
  </w:footnote>
  <w:footnote w:type="continuationSeparator" w:id="0">
    <w:p w14:paraId="4291C81C" w14:textId="77777777" w:rsidR="00E47C87" w:rsidRDefault="00E47C87" w:rsidP="004F6D5A">
      <w:pPr>
        <w:spacing w:after="0" w:line="240" w:lineRule="auto"/>
      </w:pPr>
      <w:r>
        <w:continuationSeparator/>
      </w:r>
    </w:p>
  </w:footnote>
  <w:footnote w:id="1">
    <w:p w14:paraId="0723DD95" w14:textId="024D662B" w:rsidR="00AE7B0F" w:rsidRPr="00AE7B0F" w:rsidRDefault="00AE7B0F">
      <w:pPr>
        <w:pStyle w:val="FootnoteText"/>
        <w:rPr>
          <w:lang w:val="en-GB"/>
        </w:rPr>
      </w:pPr>
      <w:r>
        <w:rPr>
          <w:rStyle w:val="FootnoteReference"/>
        </w:rPr>
        <w:footnoteRef/>
      </w:r>
      <w:r>
        <w:t xml:space="preserve"> </w:t>
      </w:r>
      <w:r w:rsidRPr="00AE7B0F">
        <w:t xml:space="preserve">Convention on the Elimination of All Forms of Discrimination against Women, Article 2, </w:t>
      </w:r>
      <w:hyperlink r:id="rId1" w:history="1">
        <w:r w:rsidRPr="00267DB7">
          <w:rPr>
            <w:rStyle w:val="Hyperlink"/>
          </w:rPr>
          <w:t>https://www.ohchr.org/en/instruments-mechanisms/instruments/convention-elimination-all-forms-discrimination-against-women</w:t>
        </w:r>
      </w:hyperlink>
      <w:r>
        <w:t xml:space="preserve"> </w:t>
      </w:r>
    </w:p>
  </w:footnote>
  <w:footnote w:id="2">
    <w:p w14:paraId="57568395" w14:textId="5C45B874" w:rsidR="00AE7B0F" w:rsidRPr="00AE7B0F" w:rsidRDefault="00AE7B0F">
      <w:pPr>
        <w:pStyle w:val="FootnoteText"/>
        <w:rPr>
          <w:lang w:val="en-GB"/>
        </w:rPr>
      </w:pPr>
      <w:r>
        <w:rPr>
          <w:rStyle w:val="FootnoteReference"/>
        </w:rPr>
        <w:footnoteRef/>
      </w:r>
      <w:r>
        <w:t xml:space="preserve"> </w:t>
      </w:r>
      <w:proofErr w:type="spellStart"/>
      <w:r w:rsidRPr="00AE7B0F">
        <w:t>Verfassung</w:t>
      </w:r>
      <w:proofErr w:type="spellEnd"/>
      <w:r w:rsidRPr="00AE7B0F">
        <w:t xml:space="preserve"> des </w:t>
      </w:r>
      <w:proofErr w:type="spellStart"/>
      <w:r w:rsidRPr="00AE7B0F">
        <w:t>Fürstentums</w:t>
      </w:r>
      <w:proofErr w:type="spellEnd"/>
      <w:r w:rsidRPr="00AE7B0F">
        <w:t xml:space="preserve"> Liechtenstein, Art. 31, </w:t>
      </w:r>
      <w:hyperlink r:id="rId2" w:history="1">
        <w:r w:rsidRPr="00267DB7">
          <w:rPr>
            <w:rStyle w:val="Hyperlink"/>
          </w:rPr>
          <w:t>https://www.gesetze.li/konso/1921.015</w:t>
        </w:r>
      </w:hyperlink>
      <w:r>
        <w:t xml:space="preserve"> </w:t>
      </w:r>
    </w:p>
  </w:footnote>
  <w:footnote w:id="3">
    <w:p w14:paraId="27FAD989" w14:textId="741317DD" w:rsidR="00AE7B0F" w:rsidRPr="00AE7B0F" w:rsidRDefault="00AE7B0F">
      <w:pPr>
        <w:pStyle w:val="FootnoteText"/>
        <w:rPr>
          <w:lang w:val="en-GB"/>
        </w:rPr>
      </w:pPr>
      <w:r>
        <w:rPr>
          <w:rStyle w:val="FootnoteReference"/>
        </w:rPr>
        <w:footnoteRef/>
      </w:r>
      <w:r>
        <w:t xml:space="preserve"> </w:t>
      </w:r>
      <w:proofErr w:type="spellStart"/>
      <w:r w:rsidRPr="00AE7B0F">
        <w:t>Strafgesetzbuch</w:t>
      </w:r>
      <w:proofErr w:type="spellEnd"/>
      <w:r w:rsidRPr="00AE7B0F">
        <w:t xml:space="preserve"> (</w:t>
      </w:r>
      <w:proofErr w:type="spellStart"/>
      <w:r w:rsidRPr="00AE7B0F">
        <w:t>StGB</w:t>
      </w:r>
      <w:proofErr w:type="spellEnd"/>
      <w:r w:rsidRPr="00AE7B0F">
        <w:t xml:space="preserve">), Art. 283 </w:t>
      </w:r>
      <w:proofErr w:type="spellStart"/>
      <w:r w:rsidRPr="00AE7B0F">
        <w:t>Diskriminierung</w:t>
      </w:r>
      <w:proofErr w:type="spellEnd"/>
      <w:r w:rsidRPr="00AE7B0F">
        <w:t xml:space="preserve">, </w:t>
      </w:r>
      <w:hyperlink r:id="rId3" w:history="1">
        <w:r w:rsidRPr="00267DB7">
          <w:rPr>
            <w:rStyle w:val="Hyperlink"/>
          </w:rPr>
          <w:t>https://www.gesetze.li/konso/1988.037</w:t>
        </w:r>
      </w:hyperlink>
      <w:r>
        <w:t xml:space="preserve"> </w:t>
      </w:r>
    </w:p>
  </w:footnote>
  <w:footnote w:id="4">
    <w:p w14:paraId="3897135C" w14:textId="56112158" w:rsidR="00AE7B0F" w:rsidRPr="00AE7B0F" w:rsidRDefault="00AE7B0F">
      <w:pPr>
        <w:pStyle w:val="FootnoteText"/>
        <w:rPr>
          <w:lang w:val="en-GB"/>
        </w:rPr>
      </w:pPr>
      <w:r>
        <w:rPr>
          <w:rStyle w:val="FootnoteReference"/>
        </w:rPr>
        <w:footnoteRef/>
      </w:r>
      <w:r>
        <w:t xml:space="preserve"> </w:t>
      </w:r>
      <w:r w:rsidRPr="00AE7B0F">
        <w:t xml:space="preserve">Intersectionality and Multiple Discrimination, </w:t>
      </w:r>
      <w:r w:rsidRPr="00AE7B0F">
        <w:t>Coe</w:t>
      </w:r>
      <w:r w:rsidRPr="00AE7B0F">
        <w:t xml:space="preserve">, </w:t>
      </w:r>
      <w:hyperlink r:id="rId4" w:history="1">
        <w:r w:rsidRPr="00267DB7">
          <w:rPr>
            <w:rStyle w:val="Hyperlink"/>
          </w:rPr>
          <w:t>https://www.coe.int/en/web/gender-matters/intersectionality-and-multiple-discrimination</w:t>
        </w:r>
      </w:hyperlink>
      <w:r>
        <w:t xml:space="preserve"> </w:t>
      </w:r>
    </w:p>
  </w:footnote>
  <w:footnote w:id="5">
    <w:p w14:paraId="46DFEBB6" w14:textId="2FC42C1A" w:rsidR="00AE7B0F" w:rsidRPr="00AE7B0F" w:rsidRDefault="00AE7B0F">
      <w:pPr>
        <w:pStyle w:val="FootnoteText"/>
        <w:rPr>
          <w:lang w:val="en-GB"/>
        </w:rPr>
      </w:pPr>
      <w:r>
        <w:rPr>
          <w:rStyle w:val="FootnoteReference"/>
        </w:rPr>
        <w:footnoteRef/>
      </w:r>
      <w:r>
        <w:t xml:space="preserve"> </w:t>
      </w:r>
      <w:r w:rsidRPr="00AE7B0F">
        <w:t xml:space="preserve">Convention on the Elimination of All Forms of Discrimination against Women, Article 4, </w:t>
      </w:r>
      <w:hyperlink r:id="rId5" w:history="1">
        <w:r w:rsidRPr="00267DB7">
          <w:rPr>
            <w:rStyle w:val="Hyperlink"/>
          </w:rPr>
          <w:t>https://www.ohchr.org/en/instruments-mechanisms/instruments/convention-elimination-all-forms-discrimination-against-women</w:t>
        </w:r>
      </w:hyperlink>
      <w:r>
        <w:t xml:space="preserve"> </w:t>
      </w:r>
    </w:p>
  </w:footnote>
  <w:footnote w:id="6">
    <w:p w14:paraId="29D52606" w14:textId="63F05B13" w:rsidR="00AE7B0F" w:rsidRPr="00AE7B0F" w:rsidRDefault="00AE7B0F">
      <w:pPr>
        <w:pStyle w:val="FootnoteText"/>
        <w:rPr>
          <w:lang w:val="en-GB"/>
        </w:rPr>
      </w:pPr>
      <w:r>
        <w:rPr>
          <w:rStyle w:val="FootnoteReference"/>
        </w:rPr>
        <w:footnoteRef/>
      </w:r>
      <w:r>
        <w:t xml:space="preserve"> </w:t>
      </w:r>
      <w:r w:rsidRPr="00AE7B0F">
        <w:t xml:space="preserve">Quotas can turbocharge progress on gender balance in politics and business, </w:t>
      </w:r>
      <w:r w:rsidRPr="00AE7B0F">
        <w:t>Europa</w:t>
      </w:r>
      <w:r w:rsidRPr="00AE7B0F">
        <w:t xml:space="preserve">, 18 May 2021, </w:t>
      </w:r>
      <w:hyperlink r:id="rId6" w:history="1">
        <w:r w:rsidRPr="00267DB7">
          <w:rPr>
            <w:rStyle w:val="Hyperlink"/>
          </w:rPr>
          <w:t>https://tinyurl.com/mtx2zbfm</w:t>
        </w:r>
      </w:hyperlink>
      <w:r>
        <w:t xml:space="preserve"> </w:t>
      </w:r>
    </w:p>
  </w:footnote>
  <w:footnote w:id="7">
    <w:p w14:paraId="22DDF46D" w14:textId="66806BDE" w:rsidR="00AE7B0F" w:rsidRPr="00AE7B0F" w:rsidRDefault="00AE7B0F">
      <w:pPr>
        <w:pStyle w:val="FootnoteText"/>
        <w:rPr>
          <w:lang w:val="en-GB"/>
        </w:rPr>
      </w:pPr>
      <w:r>
        <w:rPr>
          <w:rStyle w:val="FootnoteReference"/>
        </w:rPr>
        <w:footnoteRef/>
      </w:r>
      <w:r>
        <w:t xml:space="preserve"> </w:t>
      </w:r>
      <w:r w:rsidRPr="00AE7B0F">
        <w:t>Sixth periodic report  submitted by Liechtenstein under article 18 of the Convention, due in 2023, 10 November 2023, CEDAW/C/LIE/6</w:t>
      </w:r>
      <w:r>
        <w:t xml:space="preserve"> </w:t>
      </w:r>
    </w:p>
  </w:footnote>
  <w:footnote w:id="8">
    <w:p w14:paraId="71C75317" w14:textId="016689CF" w:rsidR="0029400A" w:rsidRPr="0029400A" w:rsidRDefault="0029400A">
      <w:pPr>
        <w:pStyle w:val="FootnoteText"/>
        <w:rPr>
          <w:lang w:val="en-GB"/>
        </w:rPr>
      </w:pPr>
      <w:r>
        <w:rPr>
          <w:rStyle w:val="FootnoteReference"/>
        </w:rPr>
        <w:footnoteRef/>
      </w:r>
      <w:r>
        <w:t xml:space="preserve"> </w:t>
      </w:r>
      <w:r w:rsidRPr="0029400A">
        <w:t xml:space="preserve">Convention on the Elimination of All Forms of Discrimination against Women, Article 7, </w:t>
      </w:r>
      <w:hyperlink r:id="rId7" w:history="1">
        <w:r w:rsidRPr="00267DB7">
          <w:rPr>
            <w:rStyle w:val="Hyperlink"/>
          </w:rPr>
          <w:t>https://www.ohchr.org/en/instruments-mechanisms/instruments/convention-elimination-all-forms-discrimination-against-women</w:t>
        </w:r>
      </w:hyperlink>
      <w:r>
        <w:t xml:space="preserve"> </w:t>
      </w:r>
    </w:p>
  </w:footnote>
  <w:footnote w:id="9">
    <w:p w14:paraId="6B230585" w14:textId="461DD600" w:rsidR="0029400A" w:rsidRPr="0029400A" w:rsidRDefault="0029400A">
      <w:pPr>
        <w:pStyle w:val="FootnoteText"/>
        <w:rPr>
          <w:lang w:val="en-GB"/>
        </w:rPr>
      </w:pPr>
      <w:r>
        <w:rPr>
          <w:rStyle w:val="FootnoteReference"/>
        </w:rPr>
        <w:footnoteRef/>
      </w:r>
      <w:r>
        <w:t xml:space="preserve"> </w:t>
      </w:r>
      <w:proofErr w:type="spellStart"/>
      <w:r w:rsidRPr="0029400A">
        <w:t>Ausgewogene</w:t>
      </w:r>
      <w:proofErr w:type="spellEnd"/>
      <w:r w:rsidRPr="0029400A">
        <w:t xml:space="preserve"> </w:t>
      </w:r>
      <w:proofErr w:type="spellStart"/>
      <w:r w:rsidRPr="0029400A">
        <w:t>Vertretung</w:t>
      </w:r>
      <w:proofErr w:type="spellEnd"/>
      <w:r w:rsidRPr="0029400A">
        <w:t xml:space="preserve"> von Frauen in der </w:t>
      </w:r>
      <w:proofErr w:type="spellStart"/>
      <w:r w:rsidRPr="0029400A">
        <w:t>Politik</w:t>
      </w:r>
      <w:proofErr w:type="spellEnd"/>
      <w:r w:rsidRPr="0029400A">
        <w:t xml:space="preserve">, </w:t>
      </w:r>
      <w:proofErr w:type="spellStart"/>
      <w:r w:rsidRPr="0029400A">
        <w:t>menschenrechte</w:t>
      </w:r>
      <w:proofErr w:type="spellEnd"/>
      <w:r w:rsidRPr="0029400A">
        <w:t xml:space="preserve">, </w:t>
      </w:r>
      <w:hyperlink r:id="rId8" w:history="1">
        <w:r w:rsidRPr="00267DB7">
          <w:rPr>
            <w:rStyle w:val="Hyperlink"/>
          </w:rPr>
          <w:t>https://www.menschenrechte.li/frauenpolitik/</w:t>
        </w:r>
      </w:hyperlink>
      <w:r>
        <w:t xml:space="preserve"> </w:t>
      </w:r>
    </w:p>
  </w:footnote>
  <w:footnote w:id="10">
    <w:p w14:paraId="519740C9" w14:textId="2A6D1D44" w:rsidR="0029400A" w:rsidRPr="0029400A" w:rsidRDefault="0029400A">
      <w:pPr>
        <w:pStyle w:val="FootnoteText"/>
        <w:rPr>
          <w:lang w:val="en-GB"/>
        </w:rPr>
      </w:pPr>
      <w:r>
        <w:rPr>
          <w:rStyle w:val="FootnoteReference"/>
        </w:rPr>
        <w:footnoteRef/>
      </w:r>
      <w:r>
        <w:t xml:space="preserve"> </w:t>
      </w:r>
      <w:proofErr w:type="spellStart"/>
      <w:r w:rsidRPr="0029400A">
        <w:t>Regierung</w:t>
      </w:r>
      <w:proofErr w:type="spellEnd"/>
      <w:r w:rsidRPr="0029400A">
        <w:t xml:space="preserve"> des </w:t>
      </w:r>
      <w:proofErr w:type="spellStart"/>
      <w:r w:rsidRPr="0029400A">
        <w:t>Fürstentums</w:t>
      </w:r>
      <w:proofErr w:type="spellEnd"/>
      <w:r w:rsidRPr="0029400A">
        <w:t xml:space="preserve"> Liechtenstein, </w:t>
      </w:r>
      <w:proofErr w:type="spellStart"/>
      <w:r w:rsidRPr="0029400A">
        <w:t>regierung</w:t>
      </w:r>
      <w:proofErr w:type="spellEnd"/>
      <w:r w:rsidRPr="0029400A">
        <w:t xml:space="preserve">, </w:t>
      </w:r>
      <w:hyperlink r:id="rId9" w:history="1">
        <w:r w:rsidRPr="00267DB7">
          <w:rPr>
            <w:rStyle w:val="Hyperlink"/>
          </w:rPr>
          <w:t>https://www.regierung.li/regierungsmitglieder/16151/uebersicht</w:t>
        </w:r>
      </w:hyperlink>
      <w:r>
        <w:t xml:space="preserve"> </w:t>
      </w:r>
    </w:p>
  </w:footnote>
  <w:footnote w:id="11">
    <w:p w14:paraId="097A8670" w14:textId="6400E952" w:rsidR="0029400A" w:rsidRPr="0029400A" w:rsidRDefault="0029400A">
      <w:pPr>
        <w:pStyle w:val="FootnoteText"/>
        <w:rPr>
          <w:lang w:val="en-GB"/>
        </w:rPr>
      </w:pPr>
      <w:r>
        <w:rPr>
          <w:rStyle w:val="FootnoteReference"/>
        </w:rPr>
        <w:footnoteRef/>
      </w:r>
      <w:r>
        <w:t xml:space="preserve"> </w:t>
      </w:r>
      <w:r w:rsidRPr="0029400A">
        <w:t xml:space="preserve">Third committee item 26: advancement of women, permanent mission of the principality of </w:t>
      </w:r>
      <w:r w:rsidRPr="0029400A">
        <w:t>Liechtenstein</w:t>
      </w:r>
      <w:r w:rsidRPr="0029400A">
        <w:t xml:space="preserve"> to the united nations, 4 OCTOBER 2022, </w:t>
      </w:r>
      <w:hyperlink r:id="rId10" w:history="1">
        <w:r w:rsidRPr="00267DB7">
          <w:rPr>
            <w:rStyle w:val="Hyperlink"/>
          </w:rPr>
          <w:t>https://tinyurl.com/5csf6ywv</w:t>
        </w:r>
      </w:hyperlink>
      <w:r>
        <w:t xml:space="preserve"> </w:t>
      </w:r>
    </w:p>
  </w:footnote>
  <w:footnote w:id="12">
    <w:p w14:paraId="598C2368" w14:textId="1F7A46BF" w:rsidR="0029400A" w:rsidRPr="0029400A" w:rsidRDefault="0029400A">
      <w:pPr>
        <w:pStyle w:val="FootnoteText"/>
        <w:rPr>
          <w:lang w:val="en-GB"/>
        </w:rPr>
      </w:pPr>
      <w:r>
        <w:rPr>
          <w:rStyle w:val="FootnoteReference"/>
        </w:rPr>
        <w:footnoteRef/>
      </w:r>
      <w:r>
        <w:t xml:space="preserve"> </w:t>
      </w:r>
      <w:proofErr w:type="spellStart"/>
      <w:r w:rsidRPr="0029400A">
        <w:t>Einbezug</w:t>
      </w:r>
      <w:proofErr w:type="spellEnd"/>
      <w:r w:rsidRPr="0029400A">
        <w:t xml:space="preserve"> von Frauen in </w:t>
      </w:r>
      <w:proofErr w:type="spellStart"/>
      <w:r w:rsidRPr="0029400A">
        <w:t>Friedensprozessen</w:t>
      </w:r>
      <w:proofErr w:type="spellEnd"/>
      <w:r w:rsidRPr="0029400A">
        <w:t xml:space="preserve"> </w:t>
      </w:r>
      <w:proofErr w:type="spellStart"/>
      <w:r w:rsidRPr="0029400A">
        <w:t>stärken</w:t>
      </w:r>
      <w:proofErr w:type="spellEnd"/>
      <w:r w:rsidRPr="0029400A">
        <w:t xml:space="preserve">, </w:t>
      </w:r>
      <w:proofErr w:type="spellStart"/>
      <w:r w:rsidRPr="0029400A">
        <w:t>llv</w:t>
      </w:r>
      <w:proofErr w:type="spellEnd"/>
      <w:r w:rsidRPr="0029400A">
        <w:t xml:space="preserve">, 6 August 2021, </w:t>
      </w:r>
      <w:hyperlink r:id="rId11" w:history="1">
        <w:r w:rsidRPr="00267DB7">
          <w:rPr>
            <w:rStyle w:val="Hyperlink"/>
          </w:rPr>
          <w:t>https://www.llv.li/de/news/einbezug-von-frauen-in-friedensprozessen-staerken</w:t>
        </w:r>
      </w:hyperlink>
      <w:r>
        <w:t xml:space="preserve"> </w:t>
      </w:r>
    </w:p>
  </w:footnote>
  <w:footnote w:id="13">
    <w:p w14:paraId="4A5B1D5D" w14:textId="42AAD574" w:rsidR="00D65CAF" w:rsidRPr="00D65CAF" w:rsidRDefault="00D65CAF">
      <w:pPr>
        <w:pStyle w:val="FootnoteText"/>
        <w:rPr>
          <w:lang w:val="en-GB"/>
        </w:rPr>
      </w:pPr>
      <w:r>
        <w:rPr>
          <w:rStyle w:val="FootnoteReference"/>
        </w:rPr>
        <w:footnoteRef/>
      </w:r>
      <w:r>
        <w:t xml:space="preserve"> </w:t>
      </w:r>
      <w:r w:rsidRPr="00D65CAF">
        <w:t xml:space="preserve">Ibid, </w:t>
      </w:r>
      <w:hyperlink r:id="rId12" w:history="1">
        <w:r w:rsidRPr="00267DB7">
          <w:rPr>
            <w:rStyle w:val="Hyperlink"/>
          </w:rPr>
          <w:t>https://www.menschenrechte.li/frauenpolitik/</w:t>
        </w:r>
      </w:hyperlink>
      <w:r>
        <w:t xml:space="preserve"> </w:t>
      </w:r>
    </w:p>
  </w:footnote>
  <w:footnote w:id="14">
    <w:p w14:paraId="4ECC51DE" w14:textId="17687ADB" w:rsidR="00D65CAF" w:rsidRPr="00D65CAF" w:rsidRDefault="00D65CAF">
      <w:pPr>
        <w:pStyle w:val="FootnoteText"/>
        <w:rPr>
          <w:lang w:val="en-GB"/>
        </w:rPr>
      </w:pPr>
      <w:r>
        <w:rPr>
          <w:rStyle w:val="FootnoteReference"/>
        </w:rPr>
        <w:footnoteRef/>
      </w:r>
      <w:r>
        <w:t xml:space="preserve"> </w:t>
      </w:r>
      <w:r w:rsidRPr="00D65CAF">
        <w:t xml:space="preserve">Women’s Rights In Liechtenstein, </w:t>
      </w:r>
      <w:proofErr w:type="spellStart"/>
      <w:r w:rsidRPr="00D65CAF">
        <w:t>borgenproject</w:t>
      </w:r>
      <w:proofErr w:type="spellEnd"/>
      <w:r w:rsidRPr="00D65CAF">
        <w:t xml:space="preserve">, </w:t>
      </w:r>
      <w:hyperlink r:id="rId13" w:history="1">
        <w:r w:rsidRPr="00267DB7">
          <w:rPr>
            <w:rStyle w:val="Hyperlink"/>
          </w:rPr>
          <w:t>https://borgenproject.org/womens-rights-in-liechtenstein/</w:t>
        </w:r>
      </w:hyperlink>
      <w:r>
        <w:t xml:space="preserve"> </w:t>
      </w:r>
    </w:p>
  </w:footnote>
  <w:footnote w:id="15">
    <w:p w14:paraId="76CA6C1E" w14:textId="30C2324B" w:rsidR="00D65CAF" w:rsidRPr="00D65CAF" w:rsidRDefault="00D65CAF">
      <w:pPr>
        <w:pStyle w:val="FootnoteText"/>
        <w:rPr>
          <w:lang w:val="en-GB"/>
        </w:rPr>
      </w:pPr>
      <w:r>
        <w:rPr>
          <w:rStyle w:val="FootnoteReference"/>
        </w:rPr>
        <w:footnoteRef/>
      </w:r>
      <w:r>
        <w:t xml:space="preserve"> </w:t>
      </w:r>
      <w:r w:rsidRPr="00D65CAF">
        <w:t xml:space="preserve">Convention on the Elimination of All Forms of Discrimination against Women, Article 10, </w:t>
      </w:r>
      <w:hyperlink r:id="rId14" w:history="1">
        <w:r w:rsidRPr="00267DB7">
          <w:rPr>
            <w:rStyle w:val="Hyperlink"/>
          </w:rPr>
          <w:t>https://www.ohchr.org/en/instruments-mechanisms/instruments/convention-elimination-all-forms-discrimination-against-women</w:t>
        </w:r>
      </w:hyperlink>
      <w:r>
        <w:t xml:space="preserve"> </w:t>
      </w:r>
    </w:p>
  </w:footnote>
  <w:footnote w:id="16">
    <w:p w14:paraId="69AC8131" w14:textId="7048BE51" w:rsidR="00D65CAF" w:rsidRPr="00D65CAF" w:rsidRDefault="00D65CAF">
      <w:pPr>
        <w:pStyle w:val="FootnoteText"/>
        <w:rPr>
          <w:lang w:val="en-GB"/>
        </w:rPr>
      </w:pPr>
      <w:r>
        <w:rPr>
          <w:rStyle w:val="FootnoteReference"/>
        </w:rPr>
        <w:footnoteRef/>
      </w:r>
      <w:r>
        <w:t xml:space="preserve"> </w:t>
      </w:r>
      <w:r w:rsidRPr="00D65CAF">
        <w:t xml:space="preserve">GREVIO Baseline Evaluation Report Liechtenstein, GREVIO, December 2023, </w:t>
      </w:r>
      <w:hyperlink r:id="rId15" w:history="1">
        <w:r w:rsidRPr="00267DB7">
          <w:rPr>
            <w:rStyle w:val="Hyperlink"/>
          </w:rPr>
          <w:t>https://tinyurl.com/btf7zmkw</w:t>
        </w:r>
      </w:hyperlink>
      <w:r>
        <w:t xml:space="preserve"> </w:t>
      </w:r>
    </w:p>
  </w:footnote>
  <w:footnote w:id="17">
    <w:p w14:paraId="200BEB45" w14:textId="6BCDA4FB" w:rsidR="00D65CAF" w:rsidRPr="00D65CAF" w:rsidRDefault="00D65CAF">
      <w:pPr>
        <w:pStyle w:val="FootnoteText"/>
        <w:rPr>
          <w:lang w:val="en-GB"/>
        </w:rPr>
      </w:pPr>
      <w:r>
        <w:rPr>
          <w:rStyle w:val="FootnoteReference"/>
        </w:rPr>
        <w:footnoteRef/>
      </w:r>
      <w:r>
        <w:t xml:space="preserve"> </w:t>
      </w:r>
      <w:r w:rsidRPr="00D65CAF">
        <w:t xml:space="preserve">Convention on the Elimination of All Forms of Discrimination against Women, Article 11, </w:t>
      </w:r>
      <w:hyperlink r:id="rId16" w:history="1">
        <w:r w:rsidRPr="00267DB7">
          <w:rPr>
            <w:rStyle w:val="Hyperlink"/>
          </w:rPr>
          <w:t>https://www.ohchr.org/en/instruments-mechanisms/instruments/convention-elimination-all-forms-discrimination-against-women</w:t>
        </w:r>
      </w:hyperlink>
      <w:r>
        <w:t xml:space="preserve"> </w:t>
      </w:r>
    </w:p>
  </w:footnote>
  <w:footnote w:id="18">
    <w:p w14:paraId="4C382ADE" w14:textId="0438A826" w:rsidR="00050B79" w:rsidRPr="00050B79" w:rsidRDefault="00050B79">
      <w:pPr>
        <w:pStyle w:val="FootnoteText"/>
        <w:rPr>
          <w:lang w:val="en-GB"/>
        </w:rPr>
      </w:pPr>
      <w:r>
        <w:rPr>
          <w:rStyle w:val="FootnoteReference"/>
        </w:rPr>
        <w:footnoteRef/>
      </w:r>
      <w:r>
        <w:t xml:space="preserve"> </w:t>
      </w:r>
      <w:r w:rsidRPr="00050B79">
        <w:t xml:space="preserve">Average Salary in Liechtenstein for 2025, world salaries, </w:t>
      </w:r>
      <w:hyperlink r:id="rId17" w:history="1">
        <w:r w:rsidRPr="00267DB7">
          <w:rPr>
            <w:rStyle w:val="Hyperlink"/>
          </w:rPr>
          <w:t>https://worldsalaries.com/average-salary-in-liechtenstein/</w:t>
        </w:r>
      </w:hyperlink>
      <w:r>
        <w:t xml:space="preserve"> </w:t>
      </w:r>
    </w:p>
  </w:footnote>
  <w:footnote w:id="19">
    <w:p w14:paraId="197CFA5C" w14:textId="39656FA6" w:rsidR="00050B79" w:rsidRPr="00050B79" w:rsidRDefault="00050B79">
      <w:pPr>
        <w:pStyle w:val="FootnoteText"/>
        <w:rPr>
          <w:lang w:val="en-GB"/>
        </w:rPr>
      </w:pPr>
      <w:r>
        <w:rPr>
          <w:rStyle w:val="FootnoteReference"/>
        </w:rPr>
        <w:footnoteRef/>
      </w:r>
      <w:r>
        <w:t xml:space="preserve"> </w:t>
      </w:r>
      <w:r w:rsidRPr="00050B79">
        <w:t xml:space="preserve">Average Salary in Liechtenstein, </w:t>
      </w:r>
      <w:r w:rsidRPr="00050B79">
        <w:t>time camp</w:t>
      </w:r>
      <w:r w:rsidRPr="00050B79">
        <w:t xml:space="preserve">, </w:t>
      </w:r>
      <w:hyperlink r:id="rId18" w:history="1">
        <w:r w:rsidRPr="00267DB7">
          <w:rPr>
            <w:rStyle w:val="Hyperlink"/>
          </w:rPr>
          <w:t>https://www.timecamp.com/average-salary/liechtenstein/</w:t>
        </w:r>
      </w:hyperlink>
      <w:r>
        <w:t xml:space="preserve"> </w:t>
      </w:r>
    </w:p>
  </w:footnote>
  <w:footnote w:id="20">
    <w:p w14:paraId="5EC0ED9F" w14:textId="4D955D5B" w:rsidR="00050B79" w:rsidRPr="00050B79" w:rsidRDefault="00050B79">
      <w:pPr>
        <w:pStyle w:val="FootnoteText"/>
        <w:rPr>
          <w:lang w:val="en-GB"/>
        </w:rPr>
      </w:pPr>
      <w:r>
        <w:rPr>
          <w:rStyle w:val="FootnoteReference"/>
        </w:rPr>
        <w:footnoteRef/>
      </w:r>
      <w:r>
        <w:t xml:space="preserve"> </w:t>
      </w:r>
      <w:r w:rsidRPr="00050B79">
        <w:t>“</w:t>
      </w:r>
      <w:r w:rsidRPr="00050B79">
        <w:t>peppermint</w:t>
      </w:r>
      <w:r w:rsidRPr="00050B79">
        <w:t xml:space="preserve">” </w:t>
      </w:r>
      <w:r w:rsidRPr="00050B79">
        <w:t>project, see</w:t>
      </w:r>
      <w:r w:rsidRPr="00050B79">
        <w:t xml:space="preserve">: </w:t>
      </w:r>
      <w:hyperlink r:id="rId19" w:history="1">
        <w:r w:rsidRPr="00267DB7">
          <w:rPr>
            <w:rStyle w:val="Hyperlink"/>
          </w:rPr>
          <w:t>https://www.peppermint.li/</w:t>
        </w:r>
      </w:hyperlink>
      <w:r>
        <w:t xml:space="preserve"> </w:t>
      </w:r>
    </w:p>
  </w:footnote>
  <w:footnote w:id="21">
    <w:p w14:paraId="58AB2848" w14:textId="781BE2AD" w:rsidR="00050B79" w:rsidRPr="00050B79" w:rsidRDefault="00050B79">
      <w:pPr>
        <w:pStyle w:val="FootnoteText"/>
        <w:rPr>
          <w:lang w:val="en-GB"/>
        </w:rPr>
      </w:pPr>
      <w:r>
        <w:rPr>
          <w:rStyle w:val="FootnoteReference"/>
        </w:rPr>
        <w:footnoteRef/>
      </w:r>
      <w:r>
        <w:t xml:space="preserve"> </w:t>
      </w:r>
      <w:r w:rsidRPr="00050B79">
        <w:t xml:space="preserve">Frauen </w:t>
      </w:r>
      <w:proofErr w:type="spellStart"/>
      <w:r w:rsidRPr="00050B79">
        <w:t>sollen</w:t>
      </w:r>
      <w:proofErr w:type="spellEnd"/>
      <w:r w:rsidRPr="00050B79">
        <w:t xml:space="preserve"> </w:t>
      </w:r>
      <w:proofErr w:type="spellStart"/>
      <w:r w:rsidRPr="00050B79">
        <w:t>besser</w:t>
      </w:r>
      <w:proofErr w:type="spellEnd"/>
      <w:r w:rsidRPr="00050B79">
        <w:t xml:space="preserve"> </w:t>
      </w:r>
      <w:proofErr w:type="spellStart"/>
      <w:r w:rsidRPr="00050B79">
        <w:t>vor</w:t>
      </w:r>
      <w:proofErr w:type="spellEnd"/>
      <w:r w:rsidRPr="00050B79">
        <w:t xml:space="preserve"> </w:t>
      </w:r>
      <w:proofErr w:type="spellStart"/>
      <w:r w:rsidRPr="00050B79">
        <w:t>häuslicher</w:t>
      </w:r>
      <w:proofErr w:type="spellEnd"/>
      <w:r w:rsidRPr="00050B79">
        <w:t xml:space="preserve"> </w:t>
      </w:r>
      <w:proofErr w:type="spellStart"/>
      <w:r w:rsidRPr="00050B79">
        <w:t>Gewalt</w:t>
      </w:r>
      <w:proofErr w:type="spellEnd"/>
      <w:r w:rsidRPr="00050B79">
        <w:t xml:space="preserve"> </w:t>
      </w:r>
      <w:proofErr w:type="spellStart"/>
      <w:r w:rsidRPr="00050B79">
        <w:t>geschützt</w:t>
      </w:r>
      <w:proofErr w:type="spellEnd"/>
      <w:r w:rsidRPr="00050B79">
        <w:t xml:space="preserve"> warden, </w:t>
      </w:r>
      <w:proofErr w:type="spellStart"/>
      <w:r w:rsidRPr="00050B79">
        <w:t>nzz</w:t>
      </w:r>
      <w:proofErr w:type="spellEnd"/>
      <w:r w:rsidRPr="00050B79">
        <w:t xml:space="preserve">, </w:t>
      </w:r>
      <w:hyperlink r:id="rId20" w:history="1">
        <w:r w:rsidRPr="00267DB7">
          <w:rPr>
            <w:rStyle w:val="Hyperlink"/>
          </w:rPr>
          <w:t>https://www.nzz.ch/schweiz/ein-schattenbericht-fordert-eine-gewaltschutzstrategie-gegen-alle-formen-von-gewalt-ld.1724233</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9"/>
  </w:num>
  <w:num w:numId="7" w16cid:durableId="1975796718">
    <w:abstractNumId w:val="34"/>
  </w:num>
  <w:num w:numId="8" w16cid:durableId="168910388">
    <w:abstractNumId w:val="37"/>
  </w:num>
  <w:num w:numId="9" w16cid:durableId="864364265">
    <w:abstractNumId w:val="27"/>
  </w:num>
  <w:num w:numId="10" w16cid:durableId="1110662610">
    <w:abstractNumId w:val="30"/>
  </w:num>
  <w:num w:numId="11" w16cid:durableId="48504678">
    <w:abstractNumId w:val="22"/>
  </w:num>
  <w:num w:numId="12" w16cid:durableId="1057243330">
    <w:abstractNumId w:val="36"/>
  </w:num>
  <w:num w:numId="13" w16cid:durableId="113838224">
    <w:abstractNumId w:val="20"/>
  </w:num>
  <w:num w:numId="14" w16cid:durableId="1819300015">
    <w:abstractNumId w:val="7"/>
  </w:num>
  <w:num w:numId="15" w16cid:durableId="1354769003">
    <w:abstractNumId w:val="26"/>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39"/>
  </w:num>
  <w:num w:numId="22" w16cid:durableId="1106846340">
    <w:abstractNumId w:val="11"/>
  </w:num>
  <w:num w:numId="23" w16cid:durableId="1120413215">
    <w:abstractNumId w:val="15"/>
  </w:num>
  <w:num w:numId="24" w16cid:durableId="884490536">
    <w:abstractNumId w:val="28"/>
  </w:num>
  <w:num w:numId="25" w16cid:durableId="1098991049">
    <w:abstractNumId w:val="32"/>
  </w:num>
  <w:num w:numId="26" w16cid:durableId="631596808">
    <w:abstractNumId w:val="8"/>
  </w:num>
  <w:num w:numId="27" w16cid:durableId="1306087360">
    <w:abstractNumId w:val="6"/>
  </w:num>
  <w:num w:numId="28" w16cid:durableId="909191109">
    <w:abstractNumId w:val="23"/>
  </w:num>
  <w:num w:numId="29" w16cid:durableId="556204899">
    <w:abstractNumId w:val="24"/>
  </w:num>
  <w:num w:numId="30" w16cid:durableId="1668284805">
    <w:abstractNumId w:val="14"/>
  </w:num>
  <w:num w:numId="31" w16cid:durableId="1777868951">
    <w:abstractNumId w:val="21"/>
  </w:num>
  <w:num w:numId="32" w16cid:durableId="1614898655">
    <w:abstractNumId w:val="5"/>
  </w:num>
  <w:num w:numId="33" w16cid:durableId="364449577">
    <w:abstractNumId w:val="10"/>
  </w:num>
  <w:num w:numId="34" w16cid:durableId="248081818">
    <w:abstractNumId w:val="35"/>
  </w:num>
  <w:num w:numId="35" w16cid:durableId="1742749116">
    <w:abstractNumId w:val="33"/>
  </w:num>
  <w:num w:numId="36" w16cid:durableId="1632056943">
    <w:abstractNumId w:val="25"/>
  </w:num>
  <w:num w:numId="37" w16cid:durableId="16198188">
    <w:abstractNumId w:val="31"/>
  </w:num>
  <w:num w:numId="38" w16cid:durableId="995642619">
    <w:abstractNumId w:val="18"/>
  </w:num>
  <w:num w:numId="39" w16cid:durableId="1951429902">
    <w:abstractNumId w:val="38"/>
  </w:num>
  <w:num w:numId="40" w16cid:durableId="16606187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2C6F"/>
    <w:rsid w:val="0004495D"/>
    <w:rsid w:val="0004619A"/>
    <w:rsid w:val="00046C49"/>
    <w:rsid w:val="00050B79"/>
    <w:rsid w:val="00086352"/>
    <w:rsid w:val="00093D9F"/>
    <w:rsid w:val="000A0E24"/>
    <w:rsid w:val="000B5D57"/>
    <w:rsid w:val="000B6F75"/>
    <w:rsid w:val="000C7C14"/>
    <w:rsid w:val="00101544"/>
    <w:rsid w:val="00114CCA"/>
    <w:rsid w:val="00156C09"/>
    <w:rsid w:val="001668A8"/>
    <w:rsid w:val="00196443"/>
    <w:rsid w:val="001A6E66"/>
    <w:rsid w:val="001B13EB"/>
    <w:rsid w:val="001B450B"/>
    <w:rsid w:val="001D532C"/>
    <w:rsid w:val="001D6213"/>
    <w:rsid w:val="001F47FD"/>
    <w:rsid w:val="002257CD"/>
    <w:rsid w:val="002305C5"/>
    <w:rsid w:val="00284AAE"/>
    <w:rsid w:val="0028723E"/>
    <w:rsid w:val="002876FE"/>
    <w:rsid w:val="0029400A"/>
    <w:rsid w:val="002D0B34"/>
    <w:rsid w:val="002D5B01"/>
    <w:rsid w:val="002D65A3"/>
    <w:rsid w:val="002D7273"/>
    <w:rsid w:val="003216C7"/>
    <w:rsid w:val="00326F85"/>
    <w:rsid w:val="003319F3"/>
    <w:rsid w:val="003439F7"/>
    <w:rsid w:val="00360DAB"/>
    <w:rsid w:val="00372B51"/>
    <w:rsid w:val="0038184B"/>
    <w:rsid w:val="00383811"/>
    <w:rsid w:val="003A0EBE"/>
    <w:rsid w:val="003A1F96"/>
    <w:rsid w:val="003A60A9"/>
    <w:rsid w:val="003A745E"/>
    <w:rsid w:val="003B7C83"/>
    <w:rsid w:val="00401F8D"/>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E2E96"/>
    <w:rsid w:val="006105E2"/>
    <w:rsid w:val="00640577"/>
    <w:rsid w:val="006412F6"/>
    <w:rsid w:val="00644334"/>
    <w:rsid w:val="00644785"/>
    <w:rsid w:val="00646A53"/>
    <w:rsid w:val="006807A3"/>
    <w:rsid w:val="00690C3F"/>
    <w:rsid w:val="00693967"/>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290C"/>
    <w:rsid w:val="00A162C1"/>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E6F35"/>
    <w:rsid w:val="00BF1B11"/>
    <w:rsid w:val="00C0706B"/>
    <w:rsid w:val="00C26FE4"/>
    <w:rsid w:val="00C34E13"/>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B04A9"/>
    <w:rsid w:val="00DB5AB9"/>
    <w:rsid w:val="00DC35AC"/>
    <w:rsid w:val="00DE35AB"/>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533B4"/>
    <w:rsid w:val="00F56B3D"/>
    <w:rsid w:val="00F60E10"/>
    <w:rsid w:val="00F715CB"/>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menschenrechte.li/frauenpolitik/" TargetMode="External"/><Relationship Id="rId13" Type="http://schemas.openxmlformats.org/officeDocument/2006/relationships/hyperlink" Target="https://borgenproject.org/womens-rights-in-liechtenstein/" TargetMode="External"/><Relationship Id="rId18" Type="http://schemas.openxmlformats.org/officeDocument/2006/relationships/hyperlink" Target="https://www.timecamp.com/average-salary/liechtenstein/" TargetMode="External"/><Relationship Id="rId3" Type="http://schemas.openxmlformats.org/officeDocument/2006/relationships/hyperlink" Target="https://www.gesetze.li/konso/1988.037" TargetMode="External"/><Relationship Id="rId7" Type="http://schemas.openxmlformats.org/officeDocument/2006/relationships/hyperlink" Target="https://www.ohchr.org/en/instruments-mechanisms/instruments/convention-elimination-all-forms-discrimination-against-women" TargetMode="External"/><Relationship Id="rId12" Type="http://schemas.openxmlformats.org/officeDocument/2006/relationships/hyperlink" Target="https://www.menschenrechte.li/frauenpolitik/" TargetMode="External"/><Relationship Id="rId17" Type="http://schemas.openxmlformats.org/officeDocument/2006/relationships/hyperlink" Target="https://worldsalaries.com/average-salary-in-liechtenstein/" TargetMode="External"/><Relationship Id="rId2" Type="http://schemas.openxmlformats.org/officeDocument/2006/relationships/hyperlink" Target="https://www.gesetze.li/konso/1921.015" TargetMode="External"/><Relationship Id="rId16" Type="http://schemas.openxmlformats.org/officeDocument/2006/relationships/hyperlink" Target="https://www.ohchr.org/en/instruments-mechanisms/instruments/convention-elimination-all-forms-discrimination-against-women" TargetMode="External"/><Relationship Id="rId20" Type="http://schemas.openxmlformats.org/officeDocument/2006/relationships/hyperlink" Target="https://www.nzz.ch/schweiz/ein-schattenbericht-fordert-eine-gewaltschutzstrategie-gegen-alle-formen-von-gewalt-ld.1724233" TargetMode="External"/><Relationship Id="rId1" Type="http://schemas.openxmlformats.org/officeDocument/2006/relationships/hyperlink" Target="https://www.ohchr.org/en/instruments-mechanisms/instruments/convention-elimination-all-forms-discrimination-against-women" TargetMode="External"/><Relationship Id="rId6" Type="http://schemas.openxmlformats.org/officeDocument/2006/relationships/hyperlink" Target="https://tinyurl.com/mtx2zbfm" TargetMode="External"/><Relationship Id="rId11" Type="http://schemas.openxmlformats.org/officeDocument/2006/relationships/hyperlink" Target="https://www.llv.li/de/news/einbezug-von-frauen-in-friedensprozessen-staerken" TargetMode="External"/><Relationship Id="rId5" Type="http://schemas.openxmlformats.org/officeDocument/2006/relationships/hyperlink" Target="https://www.ohchr.org/en/instruments-mechanisms/instruments/convention-elimination-all-forms-discrimination-against-women" TargetMode="External"/><Relationship Id="rId15" Type="http://schemas.openxmlformats.org/officeDocument/2006/relationships/hyperlink" Target="https://tinyurl.com/btf7zmkw" TargetMode="External"/><Relationship Id="rId10" Type="http://schemas.openxmlformats.org/officeDocument/2006/relationships/hyperlink" Target="https://tinyurl.com/5csf6ywv" TargetMode="External"/><Relationship Id="rId19" Type="http://schemas.openxmlformats.org/officeDocument/2006/relationships/hyperlink" Target="https://www.peppermint.li/" TargetMode="External"/><Relationship Id="rId4" Type="http://schemas.openxmlformats.org/officeDocument/2006/relationships/hyperlink" Target="https://www.coe.int/en/web/gender-matters/intersectionality-and-multiple-discrimination" TargetMode="External"/><Relationship Id="rId9" Type="http://schemas.openxmlformats.org/officeDocument/2006/relationships/hyperlink" Target="https://www.regierung.li/regierungsmitglieder/16151/uebersicht" TargetMode="External"/><Relationship Id="rId14" Type="http://schemas.openxmlformats.org/officeDocument/2006/relationships/hyperlink" Target="https://www.ohchr.org/en/instruments-mechanisms/instruments/convention-elimination-all-forms-discrimination-against-wom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2025-01-09T07:00:56+00:00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386A90E8-5218-4763-8A5F-FE28C995FFE0}"/>
</file>

<file path=customXml/itemProps3.xml><?xml version="1.0" encoding="utf-8"?>
<ds:datastoreItem xmlns:ds="http://schemas.openxmlformats.org/officeDocument/2006/customXml" ds:itemID="{E94D942E-623E-41B2-8D88-67562509DD2A}"/>
</file>

<file path=customXml/itemProps4.xml><?xml version="1.0" encoding="utf-8"?>
<ds:datastoreItem xmlns:ds="http://schemas.openxmlformats.org/officeDocument/2006/customXml" ds:itemID="{B6E9BFE2-BADB-47BF-9FBE-1628E8B55613}"/>
</file>

<file path=docProps/app.xml><?xml version="1.0" encoding="utf-8"?>
<Properties xmlns="http://schemas.openxmlformats.org/officeDocument/2006/extended-properties" xmlns:vt="http://schemas.openxmlformats.org/officeDocument/2006/docPropsVTypes">
  <Template>Normal</Template>
  <TotalTime>0</TotalTime>
  <Pages>7</Pages>
  <Words>2041</Words>
  <Characters>11636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2025-01-06T15:59:00Z</dcterms:created>
  <dcterms:modified xsi:type="dcterms:W3CDTF">2025-01-06T15:59:00Z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0x010100A3CFA62B47352B44BFD11BEB9CD9FD5A</vt:lpwstr>
  </property>
</Properties>
</file>