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8078C" w14:textId="056B0E87" w:rsidR="00D36600" w:rsidRDefault="00D36600" w:rsidP="000C118E">
      <w:pPr>
        <w:spacing w:line="360" w:lineRule="auto"/>
        <w:jc w:val="center"/>
        <w:rPr>
          <w:rFonts w:ascii="Century Gothic" w:hAnsi="Century Gothic"/>
          <w:b/>
          <w:bCs/>
          <w:sz w:val="24"/>
          <w:szCs w:val="24"/>
          <w:lang w:val="en-US"/>
        </w:rPr>
      </w:pPr>
      <w:r>
        <w:rPr>
          <w:rFonts w:ascii="Century Gothic" w:hAnsi="Century Gothic"/>
          <w:b/>
          <w:bCs/>
          <w:noProof/>
          <w:sz w:val="24"/>
          <w:szCs w:val="24"/>
          <w:lang w:val="en-US"/>
        </w:rPr>
        <w:drawing>
          <wp:anchor distT="0" distB="0" distL="114300" distR="114300" simplePos="0" relativeHeight="251658240" behindDoc="0" locked="0" layoutInCell="1" allowOverlap="1" wp14:anchorId="019BAD1A" wp14:editId="4021C7A8">
            <wp:simplePos x="0" y="0"/>
            <wp:positionH relativeFrom="column">
              <wp:posOffset>-825500</wp:posOffset>
            </wp:positionH>
            <wp:positionV relativeFrom="paragraph">
              <wp:posOffset>-869950</wp:posOffset>
            </wp:positionV>
            <wp:extent cx="7600950" cy="9987279"/>
            <wp:effectExtent l="0" t="0" r="0" b="0"/>
            <wp:wrapNone/>
            <wp:docPr id="12996920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692041" name="Picture 1299692041"/>
                    <pic:cNvPicPr/>
                  </pic:nvPicPr>
                  <pic:blipFill>
                    <a:blip r:embed="rId8">
                      <a:extLst>
                        <a:ext uri="{28A0092B-C50C-407E-A947-70E740481C1C}">
                          <a14:useLocalDpi xmlns:a14="http://schemas.microsoft.com/office/drawing/2010/main" val="0"/>
                        </a:ext>
                      </a:extLst>
                    </a:blip>
                    <a:stretch>
                      <a:fillRect/>
                    </a:stretch>
                  </pic:blipFill>
                  <pic:spPr>
                    <a:xfrm>
                      <a:off x="0" y="0"/>
                      <a:ext cx="7634580" cy="10031468"/>
                    </a:xfrm>
                    <a:prstGeom prst="rect">
                      <a:avLst/>
                    </a:prstGeom>
                  </pic:spPr>
                </pic:pic>
              </a:graphicData>
            </a:graphic>
            <wp14:sizeRelH relativeFrom="margin">
              <wp14:pctWidth>0</wp14:pctWidth>
            </wp14:sizeRelH>
            <wp14:sizeRelV relativeFrom="margin">
              <wp14:pctHeight>0</wp14:pctHeight>
            </wp14:sizeRelV>
          </wp:anchor>
        </w:drawing>
      </w:r>
    </w:p>
    <w:p w14:paraId="21ECB8D4" w14:textId="47D304C7" w:rsidR="00D36600" w:rsidRDefault="00D36600" w:rsidP="000C118E">
      <w:pPr>
        <w:spacing w:line="360" w:lineRule="auto"/>
        <w:jc w:val="center"/>
        <w:rPr>
          <w:rFonts w:ascii="Century Gothic" w:hAnsi="Century Gothic"/>
          <w:b/>
          <w:bCs/>
          <w:sz w:val="24"/>
          <w:szCs w:val="24"/>
          <w:lang w:val="en-US"/>
        </w:rPr>
      </w:pPr>
    </w:p>
    <w:p w14:paraId="4671F96A" w14:textId="76485F25" w:rsidR="00D36600" w:rsidRDefault="00D36600" w:rsidP="000C118E">
      <w:pPr>
        <w:spacing w:line="360" w:lineRule="auto"/>
        <w:jc w:val="center"/>
        <w:rPr>
          <w:rFonts w:ascii="Century Gothic" w:hAnsi="Century Gothic"/>
          <w:b/>
          <w:bCs/>
          <w:sz w:val="24"/>
          <w:szCs w:val="24"/>
          <w:lang w:val="en-US"/>
        </w:rPr>
      </w:pPr>
    </w:p>
    <w:p w14:paraId="74340FF5" w14:textId="77777777" w:rsidR="00D36600" w:rsidRDefault="00D36600" w:rsidP="000C118E">
      <w:pPr>
        <w:spacing w:line="360" w:lineRule="auto"/>
        <w:jc w:val="center"/>
        <w:rPr>
          <w:rFonts w:ascii="Century Gothic" w:hAnsi="Century Gothic"/>
          <w:b/>
          <w:bCs/>
          <w:sz w:val="24"/>
          <w:szCs w:val="24"/>
          <w:lang w:val="en-US"/>
        </w:rPr>
      </w:pPr>
    </w:p>
    <w:p w14:paraId="3918F23F" w14:textId="77777777" w:rsidR="00D36600" w:rsidRDefault="00D36600" w:rsidP="000C118E">
      <w:pPr>
        <w:spacing w:line="360" w:lineRule="auto"/>
        <w:jc w:val="center"/>
        <w:rPr>
          <w:rFonts w:ascii="Century Gothic" w:hAnsi="Century Gothic"/>
          <w:b/>
          <w:bCs/>
          <w:sz w:val="24"/>
          <w:szCs w:val="24"/>
          <w:lang w:val="en-US"/>
        </w:rPr>
      </w:pPr>
    </w:p>
    <w:p w14:paraId="0ECB31C1" w14:textId="77777777" w:rsidR="00D36600" w:rsidRDefault="00D36600" w:rsidP="000C118E">
      <w:pPr>
        <w:spacing w:line="360" w:lineRule="auto"/>
        <w:jc w:val="center"/>
        <w:rPr>
          <w:rFonts w:ascii="Century Gothic" w:hAnsi="Century Gothic"/>
          <w:b/>
          <w:bCs/>
          <w:sz w:val="24"/>
          <w:szCs w:val="24"/>
          <w:lang w:val="en-US"/>
        </w:rPr>
      </w:pPr>
    </w:p>
    <w:p w14:paraId="571408B5" w14:textId="77777777" w:rsidR="00D36600" w:rsidRDefault="00D36600" w:rsidP="000C118E">
      <w:pPr>
        <w:spacing w:line="360" w:lineRule="auto"/>
        <w:jc w:val="center"/>
        <w:rPr>
          <w:rFonts w:ascii="Century Gothic" w:hAnsi="Century Gothic"/>
          <w:b/>
          <w:bCs/>
          <w:sz w:val="24"/>
          <w:szCs w:val="24"/>
          <w:lang w:val="en-US"/>
        </w:rPr>
      </w:pPr>
    </w:p>
    <w:p w14:paraId="09246BAD" w14:textId="77777777" w:rsidR="00D36600" w:rsidRDefault="00D36600" w:rsidP="000C118E">
      <w:pPr>
        <w:spacing w:line="360" w:lineRule="auto"/>
        <w:jc w:val="center"/>
        <w:rPr>
          <w:rFonts w:ascii="Century Gothic" w:hAnsi="Century Gothic"/>
          <w:b/>
          <w:bCs/>
          <w:sz w:val="24"/>
          <w:szCs w:val="24"/>
          <w:lang w:val="en-US"/>
        </w:rPr>
      </w:pPr>
    </w:p>
    <w:p w14:paraId="1C5B2397" w14:textId="77777777" w:rsidR="00D36600" w:rsidRDefault="00D36600" w:rsidP="000C118E">
      <w:pPr>
        <w:spacing w:line="360" w:lineRule="auto"/>
        <w:jc w:val="center"/>
        <w:rPr>
          <w:rFonts w:ascii="Century Gothic" w:hAnsi="Century Gothic"/>
          <w:b/>
          <w:bCs/>
          <w:sz w:val="24"/>
          <w:szCs w:val="24"/>
          <w:lang w:val="en-US"/>
        </w:rPr>
      </w:pPr>
    </w:p>
    <w:p w14:paraId="60FD1455" w14:textId="77777777" w:rsidR="00D36600" w:rsidRDefault="00D36600" w:rsidP="000C118E">
      <w:pPr>
        <w:spacing w:line="360" w:lineRule="auto"/>
        <w:jc w:val="center"/>
        <w:rPr>
          <w:rFonts w:ascii="Century Gothic" w:hAnsi="Century Gothic"/>
          <w:b/>
          <w:bCs/>
          <w:sz w:val="24"/>
          <w:szCs w:val="24"/>
          <w:lang w:val="en-US"/>
        </w:rPr>
      </w:pPr>
    </w:p>
    <w:p w14:paraId="2A6FD3AC" w14:textId="77777777" w:rsidR="00D36600" w:rsidRDefault="00D36600" w:rsidP="000C118E">
      <w:pPr>
        <w:spacing w:line="360" w:lineRule="auto"/>
        <w:jc w:val="center"/>
        <w:rPr>
          <w:rFonts w:ascii="Century Gothic" w:hAnsi="Century Gothic"/>
          <w:b/>
          <w:bCs/>
          <w:sz w:val="24"/>
          <w:szCs w:val="24"/>
          <w:lang w:val="en-US"/>
        </w:rPr>
      </w:pPr>
    </w:p>
    <w:p w14:paraId="7F4D25A7" w14:textId="77777777" w:rsidR="00D36600" w:rsidRDefault="00D36600" w:rsidP="000C118E">
      <w:pPr>
        <w:spacing w:line="360" w:lineRule="auto"/>
        <w:jc w:val="center"/>
        <w:rPr>
          <w:rFonts w:ascii="Century Gothic" w:hAnsi="Century Gothic"/>
          <w:b/>
          <w:bCs/>
          <w:sz w:val="24"/>
          <w:szCs w:val="24"/>
          <w:lang w:val="en-US"/>
        </w:rPr>
      </w:pPr>
    </w:p>
    <w:p w14:paraId="1D8C515E" w14:textId="77777777" w:rsidR="00D36600" w:rsidRDefault="00D36600" w:rsidP="000C118E">
      <w:pPr>
        <w:spacing w:line="360" w:lineRule="auto"/>
        <w:jc w:val="center"/>
        <w:rPr>
          <w:rFonts w:ascii="Century Gothic" w:hAnsi="Century Gothic"/>
          <w:b/>
          <w:bCs/>
          <w:sz w:val="24"/>
          <w:szCs w:val="24"/>
          <w:lang w:val="en-US"/>
        </w:rPr>
      </w:pPr>
    </w:p>
    <w:p w14:paraId="2A352CB3" w14:textId="77777777" w:rsidR="00D36600" w:rsidRDefault="00D36600" w:rsidP="000C118E">
      <w:pPr>
        <w:spacing w:line="360" w:lineRule="auto"/>
        <w:jc w:val="center"/>
        <w:rPr>
          <w:rFonts w:ascii="Century Gothic" w:hAnsi="Century Gothic"/>
          <w:b/>
          <w:bCs/>
          <w:sz w:val="24"/>
          <w:szCs w:val="24"/>
          <w:lang w:val="en-US"/>
        </w:rPr>
      </w:pPr>
    </w:p>
    <w:p w14:paraId="144FCA5A" w14:textId="77777777" w:rsidR="00D36600" w:rsidRDefault="00D36600" w:rsidP="000C118E">
      <w:pPr>
        <w:spacing w:line="360" w:lineRule="auto"/>
        <w:jc w:val="center"/>
        <w:rPr>
          <w:rFonts w:ascii="Century Gothic" w:hAnsi="Century Gothic"/>
          <w:b/>
          <w:bCs/>
          <w:sz w:val="24"/>
          <w:szCs w:val="24"/>
          <w:lang w:val="en-US"/>
        </w:rPr>
      </w:pPr>
    </w:p>
    <w:p w14:paraId="675ED514" w14:textId="77777777" w:rsidR="00D36600" w:rsidRDefault="00D36600" w:rsidP="000C118E">
      <w:pPr>
        <w:spacing w:line="360" w:lineRule="auto"/>
        <w:jc w:val="center"/>
        <w:rPr>
          <w:rFonts w:ascii="Century Gothic" w:hAnsi="Century Gothic"/>
          <w:b/>
          <w:bCs/>
          <w:sz w:val="24"/>
          <w:szCs w:val="24"/>
          <w:lang w:val="en-US"/>
        </w:rPr>
      </w:pPr>
    </w:p>
    <w:p w14:paraId="62B9043A" w14:textId="77777777" w:rsidR="00D36600" w:rsidRDefault="00D36600" w:rsidP="000C118E">
      <w:pPr>
        <w:spacing w:line="360" w:lineRule="auto"/>
        <w:jc w:val="center"/>
        <w:rPr>
          <w:rFonts w:ascii="Century Gothic" w:hAnsi="Century Gothic"/>
          <w:b/>
          <w:bCs/>
          <w:sz w:val="24"/>
          <w:szCs w:val="24"/>
          <w:lang w:val="en-US"/>
        </w:rPr>
      </w:pPr>
    </w:p>
    <w:p w14:paraId="3F68B7C5" w14:textId="77777777" w:rsidR="00D36600" w:rsidRDefault="00D36600" w:rsidP="000C118E">
      <w:pPr>
        <w:spacing w:line="360" w:lineRule="auto"/>
        <w:jc w:val="center"/>
        <w:rPr>
          <w:rFonts w:ascii="Century Gothic" w:hAnsi="Century Gothic"/>
          <w:b/>
          <w:bCs/>
          <w:sz w:val="24"/>
          <w:szCs w:val="24"/>
          <w:lang w:val="en-US"/>
        </w:rPr>
      </w:pPr>
    </w:p>
    <w:p w14:paraId="62E830BB" w14:textId="77777777" w:rsidR="00D36600" w:rsidRDefault="00D36600" w:rsidP="000C118E">
      <w:pPr>
        <w:spacing w:line="360" w:lineRule="auto"/>
        <w:jc w:val="center"/>
        <w:rPr>
          <w:rFonts w:ascii="Century Gothic" w:hAnsi="Century Gothic"/>
          <w:b/>
          <w:bCs/>
          <w:sz w:val="24"/>
          <w:szCs w:val="24"/>
          <w:lang w:val="en-US"/>
        </w:rPr>
      </w:pPr>
    </w:p>
    <w:p w14:paraId="6FB85B21" w14:textId="77777777" w:rsidR="00D36600" w:rsidRDefault="00D36600" w:rsidP="000C118E">
      <w:pPr>
        <w:spacing w:line="360" w:lineRule="auto"/>
        <w:jc w:val="center"/>
        <w:rPr>
          <w:rFonts w:ascii="Century Gothic" w:hAnsi="Century Gothic"/>
          <w:b/>
          <w:bCs/>
          <w:sz w:val="24"/>
          <w:szCs w:val="24"/>
          <w:lang w:val="en-US"/>
        </w:rPr>
      </w:pPr>
    </w:p>
    <w:p w14:paraId="535987BD" w14:textId="77777777" w:rsidR="00D36600" w:rsidRDefault="00D36600" w:rsidP="000C118E">
      <w:pPr>
        <w:spacing w:line="360" w:lineRule="auto"/>
        <w:jc w:val="center"/>
        <w:rPr>
          <w:rFonts w:ascii="Century Gothic" w:hAnsi="Century Gothic"/>
          <w:b/>
          <w:bCs/>
          <w:sz w:val="24"/>
          <w:szCs w:val="24"/>
          <w:lang w:val="en-US"/>
        </w:rPr>
      </w:pPr>
    </w:p>
    <w:p w14:paraId="7A143FA6" w14:textId="0E8D0730" w:rsidR="00EB091E" w:rsidRPr="00EB091E" w:rsidRDefault="00EB091E" w:rsidP="000C118E">
      <w:pPr>
        <w:spacing w:line="360" w:lineRule="auto"/>
        <w:jc w:val="center"/>
        <w:rPr>
          <w:rFonts w:ascii="Century Gothic" w:hAnsi="Century Gothic"/>
          <w:b/>
          <w:bCs/>
          <w:sz w:val="24"/>
          <w:szCs w:val="24"/>
          <w:lang w:val="en-US"/>
        </w:rPr>
      </w:pPr>
      <w:r w:rsidRPr="00EB091E">
        <w:rPr>
          <w:rFonts w:ascii="Century Gothic" w:hAnsi="Century Gothic"/>
          <w:b/>
          <w:bCs/>
          <w:sz w:val="24"/>
          <w:szCs w:val="24"/>
          <w:lang w:val="en-US"/>
        </w:rPr>
        <w:lastRenderedPageBreak/>
        <w:t>On Paper and in Practice: Assessing South Africa’s Compliance with CEDAW (2020–2025)</w:t>
      </w:r>
    </w:p>
    <w:p w14:paraId="75DAC826" w14:textId="74A5AD43" w:rsidR="00EB091E" w:rsidRPr="00EB091E" w:rsidRDefault="00EB091E" w:rsidP="006A12B2">
      <w:pPr>
        <w:spacing w:line="360" w:lineRule="auto"/>
        <w:jc w:val="center"/>
        <w:rPr>
          <w:rFonts w:ascii="Century Gothic" w:hAnsi="Century Gothic"/>
          <w:sz w:val="24"/>
          <w:szCs w:val="24"/>
          <w:lang w:val="en-US"/>
        </w:rPr>
      </w:pPr>
      <w:r w:rsidRPr="00EB091E">
        <w:rPr>
          <w:rFonts w:ascii="Century Gothic" w:hAnsi="Century Gothic"/>
          <w:b/>
          <w:bCs/>
          <w:sz w:val="24"/>
          <w:szCs w:val="24"/>
          <w:lang w:val="en-US"/>
        </w:rPr>
        <w:t>Commission for Gender Equality (CGE) Alternative Report</w:t>
      </w:r>
    </w:p>
    <w:p w14:paraId="653D5BF4" w14:textId="77777777" w:rsidR="00EB091E" w:rsidRPr="00EB091E" w:rsidRDefault="00EB091E" w:rsidP="00EB091E">
      <w:pPr>
        <w:spacing w:line="360" w:lineRule="auto"/>
        <w:jc w:val="both"/>
        <w:rPr>
          <w:rFonts w:ascii="Century Gothic" w:hAnsi="Century Gothic"/>
          <w:b/>
          <w:bCs/>
          <w:sz w:val="24"/>
          <w:szCs w:val="24"/>
          <w:lang w:val="en-US"/>
        </w:rPr>
      </w:pPr>
      <w:r w:rsidRPr="00EB091E">
        <w:rPr>
          <w:rFonts w:ascii="Century Gothic" w:hAnsi="Century Gothic"/>
          <w:b/>
          <w:bCs/>
          <w:sz w:val="24"/>
          <w:szCs w:val="24"/>
          <w:lang w:val="en-US"/>
        </w:rPr>
        <w:t>1. Introduction</w:t>
      </w:r>
    </w:p>
    <w:p w14:paraId="7DFD8D1B" w14:textId="7162B917"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The Commission for Gender Equality (CGE), established under Section 18</w:t>
      </w:r>
      <w:r w:rsidR="0011080E">
        <w:rPr>
          <w:rFonts w:ascii="Century Gothic" w:hAnsi="Century Gothic"/>
          <w:sz w:val="24"/>
          <w:szCs w:val="24"/>
          <w:lang w:val="en-US"/>
        </w:rPr>
        <w:t>1</w:t>
      </w:r>
      <w:r w:rsidRPr="00EB091E">
        <w:rPr>
          <w:rFonts w:ascii="Century Gothic" w:hAnsi="Century Gothic"/>
          <w:sz w:val="24"/>
          <w:szCs w:val="24"/>
          <w:lang w:val="en-US"/>
        </w:rPr>
        <w:t xml:space="preserve"> of the Constitution of South Africa and guided by</w:t>
      </w:r>
      <w:r w:rsidR="0011080E">
        <w:rPr>
          <w:rFonts w:ascii="Century Gothic" w:hAnsi="Century Gothic"/>
          <w:sz w:val="24"/>
          <w:szCs w:val="24"/>
          <w:lang w:val="en-US"/>
        </w:rPr>
        <w:t xml:space="preserve"> the </w:t>
      </w:r>
      <w:r w:rsidR="00EC6028">
        <w:rPr>
          <w:rFonts w:ascii="Century Gothic" w:hAnsi="Century Gothic"/>
          <w:sz w:val="24"/>
          <w:szCs w:val="24"/>
          <w:lang w:val="en-US"/>
        </w:rPr>
        <w:t>mandate as articulated under Section 187 of the Constitution and</w:t>
      </w:r>
      <w:r w:rsidRPr="00EB091E">
        <w:rPr>
          <w:rFonts w:ascii="Century Gothic" w:hAnsi="Century Gothic"/>
          <w:sz w:val="24"/>
          <w:szCs w:val="24"/>
          <w:lang w:val="en-US"/>
        </w:rPr>
        <w:t xml:space="preserve"> the CGE Act No. 39 of 1996</w:t>
      </w:r>
      <w:r w:rsidR="00EC6028">
        <w:rPr>
          <w:rFonts w:ascii="Century Gothic" w:hAnsi="Century Gothic"/>
          <w:sz w:val="24"/>
          <w:szCs w:val="24"/>
          <w:lang w:val="en-US"/>
        </w:rPr>
        <w:t xml:space="preserve">. The </w:t>
      </w:r>
      <w:r w:rsidR="006B025A">
        <w:rPr>
          <w:rFonts w:ascii="Century Gothic" w:hAnsi="Century Gothic"/>
          <w:sz w:val="24"/>
          <w:szCs w:val="24"/>
          <w:lang w:val="en-US"/>
        </w:rPr>
        <w:t>CGE is</w:t>
      </w:r>
      <w:r w:rsidRPr="00EB091E">
        <w:rPr>
          <w:rFonts w:ascii="Century Gothic" w:hAnsi="Century Gothic"/>
          <w:sz w:val="24"/>
          <w:szCs w:val="24"/>
          <w:lang w:val="en-US"/>
        </w:rPr>
        <w:t xml:space="preserve"> mandated to advance, monitor, and safeguard gender equality in the country. Central to this mandate is the responsibility to evaluate South Africa’s adherence to international human rights obligations, particularly the Convention on the Elimination of All Forms of Discrimination Against Women (CEDAW).</w:t>
      </w:r>
    </w:p>
    <w:p w14:paraId="031B537A" w14:textId="78455704"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 xml:space="preserve">This Alternative Report offers an independent assessment of South Africa’s implementation of CEDAW between 2020 and 2025. It builds on earlier CGE reporting cycles, including the baseline report of 2015 and subsequent reviews aligned with State periodic reports. The report specifically examines progress </w:t>
      </w:r>
      <w:r w:rsidR="00290033" w:rsidRPr="00EB091E">
        <w:rPr>
          <w:rFonts w:ascii="Century Gothic" w:hAnsi="Century Gothic"/>
          <w:sz w:val="24"/>
          <w:szCs w:val="24"/>
          <w:lang w:val="en-US"/>
        </w:rPr>
        <w:t>from</w:t>
      </w:r>
      <w:r w:rsidRPr="00EB091E">
        <w:rPr>
          <w:rFonts w:ascii="Century Gothic" w:hAnsi="Century Gothic"/>
          <w:sz w:val="24"/>
          <w:szCs w:val="24"/>
          <w:lang w:val="en-US"/>
        </w:rPr>
        <w:t xml:space="preserve"> the fifth periodic report presented to the CEDAW Committee in 2021, </w:t>
      </w:r>
      <w:proofErr w:type="gramStart"/>
      <w:r w:rsidRPr="00EB091E">
        <w:rPr>
          <w:rFonts w:ascii="Century Gothic" w:hAnsi="Century Gothic"/>
          <w:sz w:val="24"/>
          <w:szCs w:val="24"/>
          <w:lang w:val="en-US"/>
        </w:rPr>
        <w:t>taking into account</w:t>
      </w:r>
      <w:proofErr w:type="gramEnd"/>
      <w:r w:rsidRPr="00EB091E">
        <w:rPr>
          <w:rFonts w:ascii="Century Gothic" w:hAnsi="Century Gothic"/>
          <w:sz w:val="24"/>
          <w:szCs w:val="24"/>
          <w:lang w:val="en-US"/>
        </w:rPr>
        <w:t xml:space="preserve"> recommendations issued during the 1839th and 1840th sessions (CEDAW/C/SR.1839; CEDAW/C/SR.1840).</w:t>
      </w:r>
    </w:p>
    <w:p w14:paraId="4A5E1CCD" w14:textId="2C19A3C6" w:rsid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 xml:space="preserve">While South Africa has made notable advances in </w:t>
      </w:r>
      <w:r w:rsidR="002B5CF2">
        <w:rPr>
          <w:rFonts w:ascii="Century Gothic" w:hAnsi="Century Gothic"/>
          <w:sz w:val="24"/>
          <w:szCs w:val="24"/>
          <w:lang w:val="en-US"/>
        </w:rPr>
        <w:t xml:space="preserve">advocating </w:t>
      </w:r>
      <w:r w:rsidR="00327DED">
        <w:rPr>
          <w:rFonts w:ascii="Century Gothic" w:hAnsi="Century Gothic"/>
          <w:sz w:val="24"/>
          <w:szCs w:val="24"/>
          <w:lang w:val="en-US"/>
        </w:rPr>
        <w:t xml:space="preserve">for promotion of </w:t>
      </w:r>
      <w:r w:rsidRPr="00EB091E">
        <w:rPr>
          <w:rFonts w:ascii="Century Gothic" w:hAnsi="Century Gothic"/>
          <w:sz w:val="24"/>
          <w:szCs w:val="24"/>
          <w:lang w:val="en-US"/>
        </w:rPr>
        <w:t xml:space="preserve">gender equality through legislative and policy reforms, significant challenges persist in translating these commitments into tangible outcomes. This report therefore focuses not only on legal and institutional developments but also on implementation gaps that continue to shape </w:t>
      </w:r>
      <w:proofErr w:type="gramStart"/>
      <w:r w:rsidRPr="00EB091E">
        <w:rPr>
          <w:rFonts w:ascii="Century Gothic" w:hAnsi="Century Gothic"/>
          <w:sz w:val="24"/>
          <w:szCs w:val="24"/>
          <w:lang w:val="en-US"/>
        </w:rPr>
        <w:t>women’s</w:t>
      </w:r>
      <w:proofErr w:type="gramEnd"/>
      <w:r w:rsidRPr="00EB091E">
        <w:rPr>
          <w:rFonts w:ascii="Century Gothic" w:hAnsi="Century Gothic"/>
          <w:sz w:val="24"/>
          <w:szCs w:val="24"/>
          <w:lang w:val="en-US"/>
        </w:rPr>
        <w:t xml:space="preserve"> lived realities</w:t>
      </w:r>
      <w:r w:rsidR="00793E66">
        <w:rPr>
          <w:rFonts w:ascii="Century Gothic" w:hAnsi="Century Gothic"/>
          <w:sz w:val="24"/>
          <w:szCs w:val="24"/>
          <w:lang w:val="en-US"/>
        </w:rPr>
        <w:t xml:space="preserve"> in South Africa</w:t>
      </w:r>
      <w:r w:rsidRPr="00EB091E">
        <w:rPr>
          <w:rFonts w:ascii="Century Gothic" w:hAnsi="Century Gothic"/>
          <w:sz w:val="24"/>
          <w:szCs w:val="24"/>
          <w:lang w:val="en-US"/>
        </w:rPr>
        <w:t>.</w:t>
      </w:r>
    </w:p>
    <w:p w14:paraId="49FB01A7" w14:textId="77777777" w:rsidR="00D36600" w:rsidRDefault="00D36600" w:rsidP="00EB091E">
      <w:pPr>
        <w:spacing w:line="360" w:lineRule="auto"/>
        <w:jc w:val="both"/>
        <w:rPr>
          <w:rFonts w:ascii="Century Gothic" w:hAnsi="Century Gothic"/>
          <w:sz w:val="24"/>
          <w:szCs w:val="24"/>
          <w:lang w:val="en-US"/>
        </w:rPr>
      </w:pPr>
    </w:p>
    <w:p w14:paraId="07464CFE" w14:textId="77777777" w:rsidR="00D36600" w:rsidRPr="00EB091E" w:rsidRDefault="00D36600" w:rsidP="00EB091E">
      <w:pPr>
        <w:spacing w:line="360" w:lineRule="auto"/>
        <w:jc w:val="both"/>
        <w:rPr>
          <w:rFonts w:ascii="Century Gothic" w:hAnsi="Century Gothic"/>
          <w:sz w:val="24"/>
          <w:szCs w:val="24"/>
          <w:lang w:val="en-US"/>
        </w:rPr>
      </w:pPr>
    </w:p>
    <w:p w14:paraId="1783C822" w14:textId="77777777" w:rsidR="00EB091E" w:rsidRPr="00EB091E" w:rsidRDefault="00EB091E" w:rsidP="00EB091E">
      <w:pPr>
        <w:spacing w:line="360" w:lineRule="auto"/>
        <w:jc w:val="both"/>
        <w:rPr>
          <w:rFonts w:ascii="Century Gothic" w:hAnsi="Century Gothic"/>
          <w:b/>
          <w:bCs/>
          <w:sz w:val="24"/>
          <w:szCs w:val="24"/>
          <w:lang w:val="en-US"/>
        </w:rPr>
      </w:pPr>
      <w:r w:rsidRPr="00EB091E">
        <w:rPr>
          <w:rFonts w:ascii="Century Gothic" w:hAnsi="Century Gothic"/>
          <w:b/>
          <w:bCs/>
          <w:sz w:val="24"/>
          <w:szCs w:val="24"/>
          <w:lang w:val="en-US"/>
        </w:rPr>
        <w:lastRenderedPageBreak/>
        <w:t>2. Background and CEDAW Context</w:t>
      </w:r>
    </w:p>
    <w:p w14:paraId="35A17ACC" w14:textId="77777777"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CEDAW, adopted in 1979 by the United Nations General Assembly, is widely regarded as the international bill of rights for women. It is rooted in three core principles: substantive equality, non-discrimination, and State obligation. South Africa ratified the Convention in 1995, marking a crucial commitment to gender equality in the post-apartheid era.</w:t>
      </w:r>
    </w:p>
    <w:p w14:paraId="0EF0B1AA" w14:textId="1EA1469A"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The reporting process under CEDAW provides an opportunity for States to assess their progress,</w:t>
      </w:r>
      <w:r w:rsidR="00252C2E">
        <w:rPr>
          <w:rFonts w:ascii="Century Gothic" w:hAnsi="Century Gothic"/>
          <w:sz w:val="24"/>
          <w:szCs w:val="24"/>
          <w:lang w:val="en-US"/>
        </w:rPr>
        <w:t xml:space="preserve"> such as</w:t>
      </w:r>
      <w:r w:rsidRPr="00EB091E">
        <w:rPr>
          <w:rFonts w:ascii="Century Gothic" w:hAnsi="Century Gothic"/>
          <w:sz w:val="24"/>
          <w:szCs w:val="24"/>
          <w:lang w:val="en-US"/>
        </w:rPr>
        <w:t xml:space="preserve"> </w:t>
      </w:r>
      <w:r w:rsidR="00367629" w:rsidRPr="00EB091E">
        <w:rPr>
          <w:rFonts w:ascii="Century Gothic" w:hAnsi="Century Gothic"/>
          <w:sz w:val="24"/>
          <w:szCs w:val="24"/>
          <w:lang w:val="en-US"/>
        </w:rPr>
        <w:t>identifying</w:t>
      </w:r>
      <w:r w:rsidRPr="00EB091E">
        <w:rPr>
          <w:rFonts w:ascii="Century Gothic" w:hAnsi="Century Gothic"/>
          <w:sz w:val="24"/>
          <w:szCs w:val="24"/>
          <w:lang w:val="en-US"/>
        </w:rPr>
        <w:t xml:space="preserve"> shortcomings, </w:t>
      </w:r>
      <w:r w:rsidR="000C118E" w:rsidRPr="00EB091E">
        <w:rPr>
          <w:rFonts w:ascii="Century Gothic" w:hAnsi="Century Gothic"/>
          <w:sz w:val="24"/>
          <w:szCs w:val="24"/>
          <w:lang w:val="en-US"/>
        </w:rPr>
        <w:t xml:space="preserve">and </w:t>
      </w:r>
      <w:r w:rsidR="000C118E">
        <w:rPr>
          <w:rFonts w:ascii="Century Gothic" w:hAnsi="Century Gothic"/>
          <w:sz w:val="24"/>
          <w:szCs w:val="24"/>
          <w:lang w:val="en-US"/>
        </w:rPr>
        <w:t>developing</w:t>
      </w:r>
      <w:r w:rsidRPr="00EB091E">
        <w:rPr>
          <w:rFonts w:ascii="Century Gothic" w:hAnsi="Century Gothic"/>
          <w:sz w:val="24"/>
          <w:szCs w:val="24"/>
          <w:lang w:val="en-US"/>
        </w:rPr>
        <w:t xml:space="preserve"> strategies to meet their obligations. South Africa has submitted periodic reports since 1998, </w:t>
      </w:r>
      <w:r w:rsidR="00F700D5">
        <w:rPr>
          <w:rFonts w:ascii="Century Gothic" w:hAnsi="Century Gothic"/>
          <w:sz w:val="24"/>
          <w:szCs w:val="24"/>
          <w:lang w:val="en-US"/>
        </w:rPr>
        <w:t xml:space="preserve">and </w:t>
      </w:r>
      <w:r w:rsidR="0053770D">
        <w:rPr>
          <w:rFonts w:ascii="Century Gothic" w:hAnsi="Century Gothic"/>
          <w:sz w:val="24"/>
          <w:szCs w:val="24"/>
          <w:lang w:val="en-US"/>
        </w:rPr>
        <w:t>the</w:t>
      </w:r>
      <w:r w:rsidR="00320C8F">
        <w:rPr>
          <w:rFonts w:ascii="Century Gothic" w:hAnsi="Century Gothic"/>
          <w:sz w:val="24"/>
          <w:szCs w:val="24"/>
          <w:lang w:val="en-US"/>
        </w:rPr>
        <w:t xml:space="preserve"> </w:t>
      </w:r>
      <w:r w:rsidR="0053770D">
        <w:rPr>
          <w:rFonts w:ascii="Century Gothic" w:hAnsi="Century Gothic"/>
          <w:sz w:val="24"/>
          <w:szCs w:val="24"/>
          <w:lang w:val="en-US"/>
        </w:rPr>
        <w:t>combined</w:t>
      </w:r>
      <w:r w:rsidR="00320C8F">
        <w:rPr>
          <w:rFonts w:ascii="Century Gothic" w:hAnsi="Century Gothic"/>
          <w:sz w:val="24"/>
          <w:szCs w:val="24"/>
          <w:lang w:val="en-US"/>
        </w:rPr>
        <w:t xml:space="preserve"> up to </w:t>
      </w:r>
      <w:r w:rsidR="00367629">
        <w:rPr>
          <w:rFonts w:ascii="Century Gothic" w:hAnsi="Century Gothic"/>
          <w:sz w:val="24"/>
          <w:szCs w:val="24"/>
          <w:lang w:val="en-US"/>
        </w:rPr>
        <w:t>the fourth</w:t>
      </w:r>
      <w:r w:rsidR="00605637">
        <w:rPr>
          <w:rFonts w:ascii="Century Gothic" w:hAnsi="Century Gothic"/>
          <w:sz w:val="24"/>
          <w:szCs w:val="24"/>
          <w:lang w:val="en-US"/>
        </w:rPr>
        <w:t xml:space="preserve"> </w:t>
      </w:r>
      <w:r w:rsidRPr="00EB091E">
        <w:rPr>
          <w:rFonts w:ascii="Century Gothic" w:hAnsi="Century Gothic"/>
          <w:sz w:val="24"/>
          <w:szCs w:val="24"/>
          <w:lang w:val="en-US"/>
        </w:rPr>
        <w:t xml:space="preserve">  reports presented in 2011 and its fifth report </w:t>
      </w:r>
      <w:r w:rsidR="000C118E">
        <w:rPr>
          <w:rFonts w:ascii="Century Gothic" w:hAnsi="Century Gothic"/>
          <w:sz w:val="24"/>
          <w:szCs w:val="24"/>
          <w:lang w:val="en-US"/>
        </w:rPr>
        <w:t xml:space="preserve">presented </w:t>
      </w:r>
      <w:r w:rsidR="000C118E" w:rsidRPr="00EB091E">
        <w:rPr>
          <w:rFonts w:ascii="Century Gothic" w:hAnsi="Century Gothic"/>
          <w:sz w:val="24"/>
          <w:szCs w:val="24"/>
          <w:lang w:val="en-US"/>
        </w:rPr>
        <w:t>in</w:t>
      </w:r>
      <w:r w:rsidRPr="00EB091E">
        <w:rPr>
          <w:rFonts w:ascii="Century Gothic" w:hAnsi="Century Gothic"/>
          <w:sz w:val="24"/>
          <w:szCs w:val="24"/>
          <w:lang w:val="en-US"/>
        </w:rPr>
        <w:t xml:space="preserve"> November 2021.</w:t>
      </w:r>
    </w:p>
    <w:p w14:paraId="42DC7A29" w14:textId="7420292D"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The CEDAW Committee acknowledged South Africa’s progress in adopting key legislative and policy measures, including the Recognition of Customary Marriages Amendment Act (2021), the Employment Equity Act amendments, and the Prevention and Combating of Trafficking in Persons Act (2013). Complementary policy frameworks</w:t>
      </w:r>
      <w:r w:rsidR="00064C71">
        <w:rPr>
          <w:rFonts w:ascii="Century Gothic" w:hAnsi="Century Gothic"/>
          <w:sz w:val="24"/>
          <w:szCs w:val="24"/>
          <w:lang w:val="en-US"/>
        </w:rPr>
        <w:t xml:space="preserve"> </w:t>
      </w:r>
      <w:r w:rsidRPr="00EB091E">
        <w:rPr>
          <w:rFonts w:ascii="Century Gothic" w:hAnsi="Century Gothic"/>
          <w:sz w:val="24"/>
          <w:szCs w:val="24"/>
          <w:lang w:val="en-US"/>
        </w:rPr>
        <w:t>such as the National Strategic Plan on Gender-Based Violence and Femicide (NSP-GBVF) (2020–2030)</w:t>
      </w:r>
      <w:r w:rsidR="004214CE">
        <w:rPr>
          <w:rFonts w:ascii="Century Gothic" w:hAnsi="Century Gothic"/>
          <w:sz w:val="24"/>
          <w:szCs w:val="24"/>
          <w:lang w:val="en-US"/>
        </w:rPr>
        <w:t>, National Action Plan on Women, Peace and Security</w:t>
      </w:r>
      <w:r w:rsidR="00413E67">
        <w:rPr>
          <w:rFonts w:ascii="Century Gothic" w:hAnsi="Century Gothic"/>
          <w:sz w:val="24"/>
          <w:szCs w:val="24"/>
          <w:lang w:val="en-US"/>
        </w:rPr>
        <w:t xml:space="preserve"> (2021-2025)</w:t>
      </w:r>
      <w:r w:rsidRPr="00EB091E">
        <w:rPr>
          <w:rFonts w:ascii="Century Gothic" w:hAnsi="Century Gothic"/>
          <w:sz w:val="24"/>
          <w:szCs w:val="24"/>
          <w:lang w:val="en-US"/>
        </w:rPr>
        <w:t xml:space="preserve"> and the National Policy on the Prevention and Management of Learner Pregnancy (</w:t>
      </w:r>
      <w:r w:rsidR="00C4299A" w:rsidRPr="00EB091E">
        <w:rPr>
          <w:rFonts w:ascii="Century Gothic" w:hAnsi="Century Gothic"/>
          <w:sz w:val="24"/>
          <w:szCs w:val="24"/>
          <w:lang w:val="en-US"/>
        </w:rPr>
        <w:t>2021) demonstrate</w:t>
      </w:r>
      <w:r w:rsidRPr="00EB091E">
        <w:rPr>
          <w:rFonts w:ascii="Century Gothic" w:hAnsi="Century Gothic"/>
          <w:sz w:val="24"/>
          <w:szCs w:val="24"/>
          <w:lang w:val="en-US"/>
        </w:rPr>
        <w:t xml:space="preserve"> further commitment.</w:t>
      </w:r>
    </w:p>
    <w:p w14:paraId="1F47419A" w14:textId="561810B2" w:rsid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 xml:space="preserve">However, the </w:t>
      </w:r>
      <w:r w:rsidR="00D571EE" w:rsidRPr="00EB091E">
        <w:rPr>
          <w:rFonts w:ascii="Century Gothic" w:hAnsi="Century Gothic"/>
          <w:sz w:val="24"/>
          <w:szCs w:val="24"/>
          <w:lang w:val="en-US"/>
        </w:rPr>
        <w:t xml:space="preserve">Committee </w:t>
      </w:r>
      <w:r w:rsidR="00D571EE">
        <w:rPr>
          <w:rFonts w:ascii="Century Gothic" w:hAnsi="Century Gothic"/>
          <w:sz w:val="24"/>
          <w:szCs w:val="24"/>
          <w:lang w:val="en-US"/>
        </w:rPr>
        <w:t>during</w:t>
      </w:r>
      <w:r w:rsidR="006643BC">
        <w:rPr>
          <w:rFonts w:ascii="Century Gothic" w:hAnsi="Century Gothic"/>
          <w:sz w:val="24"/>
          <w:szCs w:val="24"/>
          <w:lang w:val="en-US"/>
        </w:rPr>
        <w:t xml:space="preserve"> the previous country </w:t>
      </w:r>
      <w:r w:rsidR="006A12B2">
        <w:rPr>
          <w:rFonts w:ascii="Century Gothic" w:hAnsi="Century Gothic"/>
          <w:sz w:val="24"/>
          <w:szCs w:val="24"/>
          <w:lang w:val="en-US"/>
        </w:rPr>
        <w:t>reporting</w:t>
      </w:r>
      <w:r w:rsidR="006643BC">
        <w:rPr>
          <w:rFonts w:ascii="Century Gothic" w:hAnsi="Century Gothic"/>
          <w:sz w:val="24"/>
          <w:szCs w:val="24"/>
          <w:lang w:val="en-US"/>
        </w:rPr>
        <w:t xml:space="preserve"> </w:t>
      </w:r>
      <w:r w:rsidR="00775437">
        <w:rPr>
          <w:rFonts w:ascii="Century Gothic" w:hAnsi="Century Gothic"/>
          <w:sz w:val="24"/>
          <w:szCs w:val="24"/>
          <w:lang w:val="en-US"/>
        </w:rPr>
        <w:t xml:space="preserve">issued a list of </w:t>
      </w:r>
      <w:r w:rsidR="004330A4">
        <w:rPr>
          <w:rFonts w:ascii="Century Gothic" w:hAnsi="Century Gothic"/>
          <w:sz w:val="24"/>
          <w:szCs w:val="24"/>
          <w:lang w:val="en-US"/>
        </w:rPr>
        <w:t xml:space="preserve">Concluding Observation </w:t>
      </w:r>
      <w:r w:rsidR="00C4299A">
        <w:rPr>
          <w:rFonts w:ascii="Century Gothic" w:hAnsi="Century Gothic"/>
          <w:sz w:val="24"/>
          <w:szCs w:val="24"/>
          <w:lang w:val="en-US"/>
        </w:rPr>
        <w:t xml:space="preserve">which </w:t>
      </w:r>
      <w:r w:rsidR="00C4299A" w:rsidRPr="00EB091E">
        <w:rPr>
          <w:rFonts w:ascii="Century Gothic" w:hAnsi="Century Gothic"/>
          <w:sz w:val="24"/>
          <w:szCs w:val="24"/>
          <w:lang w:val="en-US"/>
        </w:rPr>
        <w:t>highlighted</w:t>
      </w:r>
      <w:r w:rsidRPr="00EB091E">
        <w:rPr>
          <w:rFonts w:ascii="Century Gothic" w:hAnsi="Century Gothic"/>
          <w:sz w:val="24"/>
          <w:szCs w:val="24"/>
          <w:lang w:val="en-US"/>
        </w:rPr>
        <w:t xml:space="preserve"> persistent implementation challenges, including inadequate resources, weak institutional coordination, and insufficient monitoring mechanisms.</w:t>
      </w:r>
    </w:p>
    <w:p w14:paraId="53871531" w14:textId="77777777" w:rsidR="00D36600" w:rsidRDefault="00D36600" w:rsidP="00EB091E">
      <w:pPr>
        <w:spacing w:line="360" w:lineRule="auto"/>
        <w:jc w:val="both"/>
        <w:rPr>
          <w:rFonts w:ascii="Century Gothic" w:hAnsi="Century Gothic"/>
          <w:sz w:val="24"/>
          <w:szCs w:val="24"/>
          <w:lang w:val="en-US"/>
        </w:rPr>
      </w:pPr>
    </w:p>
    <w:p w14:paraId="6C9C4060" w14:textId="77777777" w:rsidR="00D36600" w:rsidRDefault="00D36600" w:rsidP="00EB091E">
      <w:pPr>
        <w:spacing w:line="360" w:lineRule="auto"/>
        <w:jc w:val="both"/>
        <w:rPr>
          <w:rFonts w:ascii="Century Gothic" w:hAnsi="Century Gothic"/>
          <w:sz w:val="24"/>
          <w:szCs w:val="24"/>
          <w:lang w:val="en-US"/>
        </w:rPr>
      </w:pPr>
    </w:p>
    <w:p w14:paraId="64898E81" w14:textId="77777777" w:rsidR="00D36600" w:rsidRPr="00EB091E" w:rsidRDefault="00D36600" w:rsidP="00EB091E">
      <w:pPr>
        <w:spacing w:line="360" w:lineRule="auto"/>
        <w:jc w:val="both"/>
        <w:rPr>
          <w:rFonts w:ascii="Century Gothic" w:hAnsi="Century Gothic"/>
          <w:sz w:val="24"/>
          <w:szCs w:val="24"/>
          <w:lang w:val="en-US"/>
        </w:rPr>
      </w:pPr>
    </w:p>
    <w:p w14:paraId="0BAC6819" w14:textId="77777777" w:rsidR="00EB091E" w:rsidRPr="00EB091E" w:rsidRDefault="00EB091E" w:rsidP="00EB091E">
      <w:pPr>
        <w:spacing w:line="360" w:lineRule="auto"/>
        <w:jc w:val="both"/>
        <w:rPr>
          <w:rFonts w:ascii="Century Gothic" w:hAnsi="Century Gothic"/>
          <w:b/>
          <w:bCs/>
          <w:sz w:val="24"/>
          <w:szCs w:val="24"/>
          <w:lang w:val="en-US"/>
        </w:rPr>
      </w:pPr>
      <w:r w:rsidRPr="00EB091E">
        <w:rPr>
          <w:rFonts w:ascii="Century Gothic" w:hAnsi="Century Gothic"/>
          <w:b/>
          <w:bCs/>
          <w:sz w:val="24"/>
          <w:szCs w:val="24"/>
          <w:lang w:val="en-US"/>
        </w:rPr>
        <w:t>3. Aim and Objectives</w:t>
      </w:r>
    </w:p>
    <w:p w14:paraId="70222E91" w14:textId="12B502FB"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 xml:space="preserve">The primary aim of this report is to </w:t>
      </w:r>
      <w:r w:rsidR="00F449BD">
        <w:rPr>
          <w:rFonts w:ascii="Century Gothic" w:hAnsi="Century Gothic"/>
          <w:sz w:val="24"/>
          <w:szCs w:val="24"/>
          <w:lang w:val="en-US"/>
        </w:rPr>
        <w:t>assess</w:t>
      </w:r>
      <w:r w:rsidRPr="00EB091E">
        <w:rPr>
          <w:rFonts w:ascii="Century Gothic" w:hAnsi="Century Gothic"/>
          <w:sz w:val="24"/>
          <w:szCs w:val="24"/>
          <w:lang w:val="en-US"/>
        </w:rPr>
        <w:t xml:space="preserve"> South Africa’s compliance with CEDAW</w:t>
      </w:r>
      <w:r w:rsidR="00F449BD">
        <w:rPr>
          <w:rFonts w:ascii="Century Gothic" w:hAnsi="Century Gothic"/>
          <w:sz w:val="24"/>
          <w:szCs w:val="24"/>
          <w:lang w:val="en-US"/>
        </w:rPr>
        <w:t xml:space="preserve"> implementation</w:t>
      </w:r>
      <w:r w:rsidRPr="00EB091E">
        <w:rPr>
          <w:rFonts w:ascii="Century Gothic" w:hAnsi="Century Gothic"/>
          <w:sz w:val="24"/>
          <w:szCs w:val="24"/>
          <w:lang w:val="en-US"/>
        </w:rPr>
        <w:t xml:space="preserve"> between 2020 and 2025. The analysis focuses on legislative reforms, policy developments, and practical measures implemented to promote gender equality.</w:t>
      </w:r>
    </w:p>
    <w:p w14:paraId="6A616650" w14:textId="77777777"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The secondary objectives include:</w:t>
      </w:r>
    </w:p>
    <w:p w14:paraId="359EEBCC" w14:textId="77CFF788" w:rsidR="00EB091E" w:rsidRPr="00EB091E" w:rsidRDefault="00EB091E" w:rsidP="00EB091E">
      <w:pPr>
        <w:numPr>
          <w:ilvl w:val="0"/>
          <w:numId w:val="1"/>
        </w:numPr>
        <w:spacing w:line="360" w:lineRule="auto"/>
        <w:jc w:val="both"/>
        <w:rPr>
          <w:rFonts w:ascii="Century Gothic" w:hAnsi="Century Gothic"/>
          <w:sz w:val="24"/>
          <w:szCs w:val="24"/>
          <w:lang w:val="en-US"/>
        </w:rPr>
      </w:pPr>
      <w:r w:rsidRPr="00EB091E">
        <w:rPr>
          <w:rFonts w:ascii="Century Gothic" w:hAnsi="Century Gothic"/>
          <w:sz w:val="24"/>
          <w:szCs w:val="24"/>
          <w:lang w:val="en-US"/>
        </w:rPr>
        <w:t xml:space="preserve">Assessing </w:t>
      </w:r>
      <w:r w:rsidR="00A263B9">
        <w:rPr>
          <w:rFonts w:ascii="Century Gothic" w:hAnsi="Century Gothic"/>
          <w:sz w:val="24"/>
          <w:szCs w:val="24"/>
          <w:lang w:val="en-US"/>
        </w:rPr>
        <w:t xml:space="preserve">progress regarding country </w:t>
      </w:r>
      <w:r w:rsidRPr="00EB091E">
        <w:rPr>
          <w:rFonts w:ascii="Century Gothic" w:hAnsi="Century Gothic"/>
          <w:sz w:val="24"/>
          <w:szCs w:val="24"/>
          <w:lang w:val="en-US"/>
        </w:rPr>
        <w:t xml:space="preserve">compliance </w:t>
      </w:r>
      <w:r w:rsidR="00CF2587">
        <w:rPr>
          <w:rFonts w:ascii="Century Gothic" w:hAnsi="Century Gothic"/>
          <w:sz w:val="24"/>
          <w:szCs w:val="24"/>
          <w:lang w:val="en-US"/>
        </w:rPr>
        <w:t xml:space="preserve">on the implementation </w:t>
      </w:r>
      <w:r w:rsidR="006A12B2">
        <w:rPr>
          <w:rFonts w:ascii="Century Gothic" w:hAnsi="Century Gothic"/>
          <w:sz w:val="24"/>
          <w:szCs w:val="24"/>
          <w:lang w:val="en-US"/>
        </w:rPr>
        <w:t xml:space="preserve">of </w:t>
      </w:r>
      <w:r w:rsidR="006A12B2" w:rsidRPr="00EB091E">
        <w:rPr>
          <w:rFonts w:ascii="Century Gothic" w:hAnsi="Century Gothic"/>
          <w:sz w:val="24"/>
          <w:szCs w:val="24"/>
          <w:lang w:val="en-US"/>
        </w:rPr>
        <w:t>specific</w:t>
      </w:r>
      <w:r w:rsidRPr="00EB091E">
        <w:rPr>
          <w:rFonts w:ascii="Century Gothic" w:hAnsi="Century Gothic"/>
          <w:sz w:val="24"/>
          <w:szCs w:val="24"/>
          <w:lang w:val="en-US"/>
        </w:rPr>
        <w:t xml:space="preserve"> CEDAW provisions during the reporting period</w:t>
      </w:r>
      <w:r w:rsidR="00960A99">
        <w:rPr>
          <w:rFonts w:ascii="Century Gothic" w:hAnsi="Century Gothic"/>
          <w:sz w:val="24"/>
          <w:szCs w:val="24"/>
          <w:lang w:val="en-US"/>
        </w:rPr>
        <w:t>.</w:t>
      </w:r>
    </w:p>
    <w:p w14:paraId="2CC8B7B1" w14:textId="6490D27F" w:rsidR="00EB091E" w:rsidRPr="00EB091E" w:rsidRDefault="00EB091E" w:rsidP="00EB091E">
      <w:pPr>
        <w:numPr>
          <w:ilvl w:val="0"/>
          <w:numId w:val="1"/>
        </w:numPr>
        <w:spacing w:line="360" w:lineRule="auto"/>
        <w:jc w:val="both"/>
        <w:rPr>
          <w:rFonts w:ascii="Century Gothic" w:hAnsi="Century Gothic"/>
          <w:sz w:val="24"/>
          <w:szCs w:val="24"/>
          <w:lang w:val="en-US"/>
        </w:rPr>
      </w:pPr>
      <w:r w:rsidRPr="00EB091E">
        <w:rPr>
          <w:rFonts w:ascii="Century Gothic" w:hAnsi="Century Gothic"/>
          <w:sz w:val="24"/>
          <w:szCs w:val="24"/>
          <w:lang w:val="en-US"/>
        </w:rPr>
        <w:t>Evaluating implementation of the Committee’s recommendations following the fifth periodic report</w:t>
      </w:r>
      <w:r w:rsidR="00DE43A3">
        <w:rPr>
          <w:rFonts w:ascii="Century Gothic" w:hAnsi="Century Gothic"/>
          <w:sz w:val="24"/>
          <w:szCs w:val="24"/>
          <w:lang w:val="en-US"/>
        </w:rPr>
        <w:t>.</w:t>
      </w:r>
    </w:p>
    <w:p w14:paraId="2B3BDF30" w14:textId="31819851" w:rsidR="00EB091E" w:rsidRPr="00EB091E" w:rsidRDefault="00EB091E" w:rsidP="00EB091E">
      <w:pPr>
        <w:numPr>
          <w:ilvl w:val="0"/>
          <w:numId w:val="1"/>
        </w:numPr>
        <w:spacing w:line="360" w:lineRule="auto"/>
        <w:jc w:val="both"/>
        <w:rPr>
          <w:rFonts w:ascii="Century Gothic" w:hAnsi="Century Gothic"/>
          <w:sz w:val="24"/>
          <w:szCs w:val="24"/>
          <w:lang w:val="en-US"/>
        </w:rPr>
      </w:pPr>
      <w:r w:rsidRPr="00EB091E">
        <w:rPr>
          <w:rFonts w:ascii="Century Gothic" w:hAnsi="Century Gothic"/>
          <w:sz w:val="24"/>
          <w:szCs w:val="24"/>
          <w:lang w:val="en-US"/>
        </w:rPr>
        <w:t>Identifying structural, institutional, and socio-economic barriers that hinder effective implementation</w:t>
      </w:r>
      <w:r w:rsidR="00DE43A3">
        <w:rPr>
          <w:rFonts w:ascii="Century Gothic" w:hAnsi="Century Gothic"/>
          <w:sz w:val="24"/>
          <w:szCs w:val="24"/>
          <w:lang w:val="en-US"/>
        </w:rPr>
        <w:t>.</w:t>
      </w:r>
    </w:p>
    <w:p w14:paraId="5431E1F9" w14:textId="2CF76216" w:rsidR="00DE43A3" w:rsidRPr="00DE43A3" w:rsidRDefault="00EB091E" w:rsidP="00DE43A3">
      <w:pPr>
        <w:numPr>
          <w:ilvl w:val="0"/>
          <w:numId w:val="1"/>
        </w:numPr>
        <w:spacing w:line="360" w:lineRule="auto"/>
        <w:jc w:val="both"/>
        <w:rPr>
          <w:rFonts w:ascii="Century Gothic" w:hAnsi="Century Gothic"/>
          <w:sz w:val="24"/>
          <w:szCs w:val="24"/>
          <w:lang w:val="en-US"/>
        </w:rPr>
      </w:pPr>
      <w:r w:rsidRPr="00EB091E">
        <w:rPr>
          <w:rFonts w:ascii="Century Gothic" w:hAnsi="Century Gothic"/>
          <w:sz w:val="24"/>
          <w:szCs w:val="24"/>
          <w:lang w:val="en-US"/>
        </w:rPr>
        <w:t>Proposing strategic interventions to strengthen compliance and gender transformation</w:t>
      </w:r>
      <w:r w:rsidR="00DE43A3">
        <w:rPr>
          <w:rFonts w:ascii="Century Gothic" w:hAnsi="Century Gothic"/>
          <w:sz w:val="24"/>
          <w:szCs w:val="24"/>
          <w:lang w:val="en-US"/>
        </w:rPr>
        <w:t>.</w:t>
      </w:r>
    </w:p>
    <w:p w14:paraId="6F53863C" w14:textId="77777777" w:rsidR="00EB091E" w:rsidRPr="00EB091E" w:rsidRDefault="00EB091E" w:rsidP="00EB091E">
      <w:pPr>
        <w:spacing w:line="360" w:lineRule="auto"/>
        <w:jc w:val="both"/>
        <w:rPr>
          <w:rFonts w:ascii="Century Gothic" w:hAnsi="Century Gothic"/>
          <w:b/>
          <w:bCs/>
          <w:sz w:val="24"/>
          <w:szCs w:val="24"/>
          <w:lang w:val="en-US"/>
        </w:rPr>
      </w:pPr>
      <w:r w:rsidRPr="00EB091E">
        <w:rPr>
          <w:rFonts w:ascii="Century Gothic" w:hAnsi="Century Gothic"/>
          <w:b/>
          <w:bCs/>
          <w:sz w:val="24"/>
          <w:szCs w:val="24"/>
          <w:lang w:val="en-US"/>
        </w:rPr>
        <w:t>4. Methodology</w:t>
      </w:r>
    </w:p>
    <w:p w14:paraId="72518E40" w14:textId="77777777"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The report adopts a qualitative research approach, drawing on secondary data from policy documents, government reports, and institutional records. Content analysis and thematic analysis were used to systematically review data, identify patterns, and assess alignment with CEDAW obligations (</w:t>
      </w:r>
      <w:proofErr w:type="spellStart"/>
      <w:r w:rsidRPr="00EB091E">
        <w:rPr>
          <w:rFonts w:ascii="Century Gothic" w:hAnsi="Century Gothic"/>
          <w:sz w:val="24"/>
          <w:szCs w:val="24"/>
          <w:lang w:val="en-US"/>
        </w:rPr>
        <w:t>Busetto</w:t>
      </w:r>
      <w:proofErr w:type="spellEnd"/>
      <w:r w:rsidRPr="00EB091E">
        <w:rPr>
          <w:rFonts w:ascii="Century Gothic" w:hAnsi="Century Gothic"/>
          <w:sz w:val="24"/>
          <w:szCs w:val="24"/>
          <w:lang w:val="en-US"/>
        </w:rPr>
        <w:t xml:space="preserve"> et al., 2020; Cypress, 2015; </w:t>
      </w:r>
      <w:proofErr w:type="spellStart"/>
      <w:r w:rsidRPr="00EB091E">
        <w:rPr>
          <w:rFonts w:ascii="Century Gothic" w:hAnsi="Century Gothic"/>
          <w:sz w:val="24"/>
          <w:szCs w:val="24"/>
          <w:lang w:val="en-US"/>
        </w:rPr>
        <w:t>Krippendorff</w:t>
      </w:r>
      <w:proofErr w:type="spellEnd"/>
      <w:r w:rsidRPr="00EB091E">
        <w:rPr>
          <w:rFonts w:ascii="Century Gothic" w:hAnsi="Century Gothic"/>
          <w:sz w:val="24"/>
          <w:szCs w:val="24"/>
          <w:lang w:val="en-US"/>
        </w:rPr>
        <w:t>, 2018).</w:t>
      </w:r>
    </w:p>
    <w:p w14:paraId="3DCB212A" w14:textId="77777777" w:rsid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This methodological approach allows for a comprehensive understanding of both progress and persistent challenges across multiple sectors.</w:t>
      </w:r>
    </w:p>
    <w:p w14:paraId="634245DC" w14:textId="77777777" w:rsidR="00D36600" w:rsidRDefault="00D36600" w:rsidP="00EB091E">
      <w:pPr>
        <w:spacing w:line="360" w:lineRule="auto"/>
        <w:jc w:val="both"/>
        <w:rPr>
          <w:rFonts w:ascii="Century Gothic" w:hAnsi="Century Gothic"/>
          <w:sz w:val="24"/>
          <w:szCs w:val="24"/>
          <w:lang w:val="en-US"/>
        </w:rPr>
      </w:pPr>
    </w:p>
    <w:p w14:paraId="31FAE015" w14:textId="7CEA4979" w:rsidR="00D36600" w:rsidRPr="00645F94" w:rsidRDefault="00645F94" w:rsidP="00D36600">
      <w:pPr>
        <w:spacing w:line="360" w:lineRule="auto"/>
        <w:jc w:val="both"/>
        <w:rPr>
          <w:rFonts w:ascii="Century Gothic" w:hAnsi="Century Gothic"/>
          <w:b/>
          <w:sz w:val="24"/>
          <w:szCs w:val="24"/>
        </w:rPr>
      </w:pPr>
      <w:bookmarkStart w:id="0" w:name="_Toc194904831"/>
      <w:r>
        <w:rPr>
          <w:rFonts w:ascii="Century Gothic" w:hAnsi="Century Gothic"/>
          <w:b/>
          <w:sz w:val="24"/>
          <w:szCs w:val="24"/>
        </w:rPr>
        <w:lastRenderedPageBreak/>
        <w:t xml:space="preserve">5. </w:t>
      </w:r>
      <w:r w:rsidRPr="00645F94">
        <w:rPr>
          <w:rFonts w:ascii="Century Gothic" w:hAnsi="Century Gothic"/>
          <w:b/>
          <w:sz w:val="24"/>
          <w:szCs w:val="24"/>
        </w:rPr>
        <w:t>Progress on concluding observations and recommendations from 1839</w:t>
      </w:r>
      <w:r w:rsidRPr="00645F94">
        <w:rPr>
          <w:rFonts w:ascii="Century Gothic" w:hAnsi="Century Gothic"/>
          <w:b/>
          <w:sz w:val="24"/>
          <w:szCs w:val="24"/>
          <w:vertAlign w:val="superscript"/>
        </w:rPr>
        <w:t>th</w:t>
      </w:r>
      <w:r w:rsidRPr="00645F94">
        <w:rPr>
          <w:rFonts w:ascii="Century Gothic" w:hAnsi="Century Gothic"/>
          <w:b/>
          <w:sz w:val="24"/>
          <w:szCs w:val="24"/>
        </w:rPr>
        <w:t xml:space="preserve"> and 1840</w:t>
      </w:r>
      <w:r w:rsidRPr="00645F94">
        <w:rPr>
          <w:rFonts w:ascii="Century Gothic" w:hAnsi="Century Gothic"/>
          <w:b/>
          <w:sz w:val="24"/>
          <w:szCs w:val="24"/>
          <w:vertAlign w:val="superscript"/>
        </w:rPr>
        <w:t>th</w:t>
      </w:r>
      <w:r w:rsidRPr="00645F94">
        <w:rPr>
          <w:rFonts w:ascii="Century Gothic" w:hAnsi="Century Gothic"/>
          <w:b/>
          <w:sz w:val="24"/>
          <w:szCs w:val="24"/>
        </w:rPr>
        <w:t xml:space="preserve"> Session</w:t>
      </w:r>
      <w:bookmarkEnd w:id="0"/>
    </w:p>
    <w:p w14:paraId="2E20052D" w14:textId="1FB83655" w:rsidR="00D54D41" w:rsidRPr="00395213" w:rsidRDefault="007D1133" w:rsidP="00EB091E">
      <w:pPr>
        <w:spacing w:line="360" w:lineRule="auto"/>
        <w:jc w:val="both"/>
        <w:rPr>
          <w:rFonts w:ascii="Century Gothic" w:hAnsi="Century Gothic"/>
          <w:b/>
          <w:bCs/>
          <w:sz w:val="24"/>
          <w:szCs w:val="24"/>
          <w:lang w:val="en-US"/>
        </w:rPr>
      </w:pPr>
      <w:r w:rsidRPr="00395213">
        <w:rPr>
          <w:rFonts w:ascii="Century Gothic" w:hAnsi="Century Gothic"/>
          <w:b/>
          <w:bCs/>
          <w:sz w:val="24"/>
          <w:szCs w:val="24"/>
          <w:lang w:val="en-US"/>
        </w:rPr>
        <w:t>Overall Findings</w:t>
      </w:r>
    </w:p>
    <w:p w14:paraId="5FEBC569" w14:textId="77777777" w:rsidR="0047431C" w:rsidRPr="0047431C" w:rsidRDefault="0047431C" w:rsidP="0047431C">
      <w:pPr>
        <w:spacing w:line="360" w:lineRule="auto"/>
        <w:jc w:val="both"/>
        <w:rPr>
          <w:rFonts w:ascii="Century Gothic" w:hAnsi="Century Gothic"/>
          <w:sz w:val="24"/>
          <w:szCs w:val="24"/>
          <w:lang w:val="en-US"/>
        </w:rPr>
      </w:pPr>
      <w:r w:rsidRPr="0047431C">
        <w:rPr>
          <w:rFonts w:ascii="Century Gothic" w:hAnsi="Century Gothic"/>
          <w:sz w:val="24"/>
          <w:szCs w:val="24"/>
          <w:lang w:val="en-US"/>
        </w:rPr>
        <w:t xml:space="preserve">The report concludes that South Africa has made notable progress in legal and policy development, particularly in strengthening frameworks aimed at gender equality, gender-based violence, and women’s empowerment. </w:t>
      </w:r>
    </w:p>
    <w:p w14:paraId="730126FB" w14:textId="77777777" w:rsidR="0047431C" w:rsidRPr="0047431C" w:rsidRDefault="0047431C" w:rsidP="0047431C">
      <w:pPr>
        <w:spacing w:line="360" w:lineRule="auto"/>
        <w:jc w:val="both"/>
        <w:rPr>
          <w:rFonts w:ascii="Century Gothic" w:hAnsi="Century Gothic"/>
          <w:sz w:val="24"/>
          <w:szCs w:val="24"/>
          <w:lang w:val="en-US"/>
        </w:rPr>
      </w:pPr>
      <w:r w:rsidRPr="0047431C">
        <w:rPr>
          <w:rFonts w:ascii="Century Gothic" w:hAnsi="Century Gothic"/>
          <w:sz w:val="24"/>
          <w:szCs w:val="24"/>
          <w:lang w:val="en-US"/>
        </w:rPr>
        <w:t>However, it highlights a significant gap between policy and implementation. Key systemic challenges include:</w:t>
      </w:r>
    </w:p>
    <w:p w14:paraId="0E416339" w14:textId="5EE3FBB8" w:rsidR="0047431C" w:rsidRPr="0047431C" w:rsidRDefault="0047431C" w:rsidP="0047431C">
      <w:pPr>
        <w:numPr>
          <w:ilvl w:val="0"/>
          <w:numId w:val="5"/>
        </w:numPr>
        <w:spacing w:line="360" w:lineRule="auto"/>
        <w:jc w:val="both"/>
        <w:rPr>
          <w:rFonts w:ascii="Century Gothic" w:hAnsi="Century Gothic"/>
          <w:sz w:val="24"/>
          <w:szCs w:val="24"/>
          <w:lang w:val="en-US"/>
        </w:rPr>
      </w:pPr>
      <w:r w:rsidRPr="0047431C">
        <w:rPr>
          <w:rFonts w:ascii="Century Gothic" w:hAnsi="Century Gothic"/>
          <w:sz w:val="24"/>
          <w:szCs w:val="24"/>
          <w:lang w:val="en-US"/>
        </w:rPr>
        <w:t>Chronic underfunding and underutilisation of budgets</w:t>
      </w:r>
      <w:r w:rsidR="00D32B81">
        <w:rPr>
          <w:rFonts w:ascii="Century Gothic" w:hAnsi="Century Gothic"/>
          <w:sz w:val="24"/>
          <w:szCs w:val="24"/>
          <w:lang w:val="en-US"/>
        </w:rPr>
        <w:t>.</w:t>
      </w:r>
    </w:p>
    <w:p w14:paraId="7D8834E1" w14:textId="2F051EA2" w:rsidR="0047431C" w:rsidRPr="0047431C" w:rsidRDefault="0047431C" w:rsidP="0047431C">
      <w:pPr>
        <w:numPr>
          <w:ilvl w:val="0"/>
          <w:numId w:val="5"/>
        </w:numPr>
        <w:spacing w:line="360" w:lineRule="auto"/>
        <w:jc w:val="both"/>
        <w:rPr>
          <w:rFonts w:ascii="Century Gothic" w:hAnsi="Century Gothic"/>
          <w:sz w:val="24"/>
          <w:szCs w:val="24"/>
          <w:lang w:val="en-US"/>
        </w:rPr>
      </w:pPr>
      <w:r w:rsidRPr="0047431C">
        <w:rPr>
          <w:rFonts w:ascii="Century Gothic" w:hAnsi="Century Gothic"/>
          <w:sz w:val="24"/>
          <w:szCs w:val="24"/>
          <w:lang w:val="en-US"/>
        </w:rPr>
        <w:t>Weak monitoring and evaluation systems</w:t>
      </w:r>
      <w:r w:rsidR="00D32B81">
        <w:rPr>
          <w:rFonts w:ascii="Century Gothic" w:hAnsi="Century Gothic"/>
          <w:sz w:val="24"/>
          <w:szCs w:val="24"/>
          <w:lang w:val="en-US"/>
        </w:rPr>
        <w:t>.</w:t>
      </w:r>
    </w:p>
    <w:p w14:paraId="6D619E43" w14:textId="139CC73D" w:rsidR="0047431C" w:rsidRPr="0047431C" w:rsidRDefault="0047431C" w:rsidP="0047431C">
      <w:pPr>
        <w:numPr>
          <w:ilvl w:val="0"/>
          <w:numId w:val="5"/>
        </w:numPr>
        <w:spacing w:line="360" w:lineRule="auto"/>
        <w:jc w:val="both"/>
        <w:rPr>
          <w:rFonts w:ascii="Century Gothic" w:hAnsi="Century Gothic"/>
          <w:sz w:val="24"/>
          <w:szCs w:val="24"/>
          <w:lang w:val="en-US"/>
        </w:rPr>
      </w:pPr>
      <w:r w:rsidRPr="0047431C">
        <w:rPr>
          <w:rFonts w:ascii="Century Gothic" w:hAnsi="Century Gothic"/>
          <w:sz w:val="24"/>
          <w:szCs w:val="24"/>
          <w:lang w:val="en-US"/>
        </w:rPr>
        <w:t>Poor coordination across institutions</w:t>
      </w:r>
      <w:r w:rsidR="00D32B81">
        <w:rPr>
          <w:rFonts w:ascii="Century Gothic" w:hAnsi="Century Gothic"/>
          <w:sz w:val="24"/>
          <w:szCs w:val="24"/>
          <w:lang w:val="en-US"/>
        </w:rPr>
        <w:t>.</w:t>
      </w:r>
    </w:p>
    <w:p w14:paraId="55015A5D" w14:textId="4FE5A4C5" w:rsidR="0047431C" w:rsidRPr="0047431C" w:rsidRDefault="0047431C" w:rsidP="0047431C">
      <w:pPr>
        <w:numPr>
          <w:ilvl w:val="0"/>
          <w:numId w:val="5"/>
        </w:numPr>
        <w:spacing w:line="360" w:lineRule="auto"/>
        <w:jc w:val="both"/>
        <w:rPr>
          <w:rFonts w:ascii="Century Gothic" w:hAnsi="Century Gothic"/>
          <w:sz w:val="24"/>
          <w:szCs w:val="24"/>
          <w:lang w:val="en-US"/>
        </w:rPr>
      </w:pPr>
      <w:r w:rsidRPr="0047431C">
        <w:rPr>
          <w:rFonts w:ascii="Century Gothic" w:hAnsi="Century Gothic"/>
          <w:sz w:val="24"/>
          <w:szCs w:val="24"/>
          <w:lang w:val="en-US"/>
        </w:rPr>
        <w:t>Limited access to services, especially in rural and marginalised communities</w:t>
      </w:r>
      <w:r w:rsidR="00305B96">
        <w:rPr>
          <w:rFonts w:ascii="Century Gothic" w:hAnsi="Century Gothic"/>
          <w:sz w:val="24"/>
          <w:szCs w:val="24"/>
          <w:lang w:val="en-US"/>
        </w:rPr>
        <w:t>.</w:t>
      </w:r>
    </w:p>
    <w:p w14:paraId="2FF47C86" w14:textId="3420E2E2" w:rsidR="0047431C" w:rsidRPr="0047431C" w:rsidRDefault="0047431C" w:rsidP="0047431C">
      <w:pPr>
        <w:numPr>
          <w:ilvl w:val="0"/>
          <w:numId w:val="5"/>
        </w:numPr>
        <w:spacing w:line="360" w:lineRule="auto"/>
        <w:jc w:val="both"/>
        <w:rPr>
          <w:rFonts w:ascii="Century Gothic" w:hAnsi="Century Gothic"/>
          <w:sz w:val="24"/>
          <w:szCs w:val="24"/>
          <w:lang w:val="en-US"/>
        </w:rPr>
      </w:pPr>
      <w:r w:rsidRPr="0047431C">
        <w:rPr>
          <w:rFonts w:ascii="Century Gothic" w:hAnsi="Century Gothic"/>
          <w:sz w:val="24"/>
          <w:szCs w:val="24"/>
          <w:lang w:val="en-US"/>
        </w:rPr>
        <w:t>Inadequate data collection, especially gender</w:t>
      </w:r>
      <w:r w:rsidRPr="0047431C">
        <w:rPr>
          <w:rFonts w:ascii="Century Gothic" w:hAnsi="Century Gothic"/>
          <w:sz w:val="24"/>
          <w:szCs w:val="24"/>
          <w:lang w:val="en-US"/>
        </w:rPr>
        <w:noBreakHyphen/>
        <w:t>disaggregated statistics</w:t>
      </w:r>
      <w:r w:rsidR="00305B96">
        <w:rPr>
          <w:rFonts w:ascii="Century Gothic" w:hAnsi="Century Gothic"/>
          <w:sz w:val="24"/>
          <w:szCs w:val="24"/>
          <w:lang w:val="en-US"/>
        </w:rPr>
        <w:t>.</w:t>
      </w:r>
    </w:p>
    <w:p w14:paraId="5159F93F" w14:textId="77777777" w:rsidR="0047431C" w:rsidRDefault="0047431C" w:rsidP="0047431C">
      <w:pPr>
        <w:spacing w:line="360" w:lineRule="auto"/>
        <w:jc w:val="both"/>
        <w:rPr>
          <w:rFonts w:ascii="Century Gothic" w:hAnsi="Century Gothic"/>
          <w:sz w:val="24"/>
          <w:szCs w:val="24"/>
          <w:lang w:val="en-US"/>
        </w:rPr>
      </w:pPr>
      <w:r w:rsidRPr="0047431C">
        <w:rPr>
          <w:rFonts w:ascii="Century Gothic" w:hAnsi="Century Gothic"/>
          <w:sz w:val="24"/>
          <w:szCs w:val="24"/>
          <w:lang w:val="en-US"/>
        </w:rPr>
        <w:t>Overall, while the legislative framework aligns with international standards, practical enforcement remains insufficient, limiting meaningful transformation in women’s lives.</w:t>
      </w:r>
    </w:p>
    <w:p w14:paraId="28E7023A" w14:textId="77777777" w:rsidR="008925C8" w:rsidRPr="008925C8" w:rsidRDefault="008925C8" w:rsidP="008925C8">
      <w:pPr>
        <w:spacing w:line="360" w:lineRule="auto"/>
        <w:jc w:val="both"/>
        <w:rPr>
          <w:rFonts w:ascii="Century Gothic" w:hAnsi="Century Gothic"/>
          <w:sz w:val="24"/>
          <w:szCs w:val="24"/>
        </w:rPr>
      </w:pPr>
      <w:r w:rsidRPr="008925C8">
        <w:rPr>
          <w:rFonts w:ascii="Century Gothic" w:hAnsi="Century Gothic"/>
          <w:sz w:val="24"/>
          <w:szCs w:val="24"/>
        </w:rPr>
        <w:t xml:space="preserve">South Africa has shown a significant improvement in the indicators it reports regarding the SDGs. This progress is evident in the Baseline Report and the first and second Voluntary National Review (VNR) reporting cycles, which have indicated that progress increased from 64% in 2019 to 72% in 2023. </w:t>
      </w:r>
    </w:p>
    <w:p w14:paraId="26E956F7" w14:textId="414D4549" w:rsidR="00725C10" w:rsidRDefault="008925C8" w:rsidP="008925C8">
      <w:pPr>
        <w:spacing w:line="360" w:lineRule="auto"/>
        <w:jc w:val="both"/>
        <w:rPr>
          <w:rFonts w:ascii="Century Gothic" w:hAnsi="Century Gothic"/>
          <w:sz w:val="24"/>
          <w:szCs w:val="24"/>
        </w:rPr>
      </w:pPr>
      <w:r w:rsidRPr="008925C8">
        <w:rPr>
          <w:rFonts w:ascii="Century Gothic" w:hAnsi="Century Gothic"/>
          <w:sz w:val="24"/>
          <w:szCs w:val="24"/>
        </w:rPr>
        <w:t xml:space="preserve">Additionally, there has been an increase in the availability of gender-disaggregated data across various indicators for the 17 SDGs. The SDGs Country Report of 2023 reveals positive trends in 33% of the targets, with the main </w:t>
      </w:r>
      <w:r w:rsidRPr="008925C8">
        <w:rPr>
          <w:rFonts w:ascii="Century Gothic" w:hAnsi="Century Gothic"/>
          <w:sz w:val="24"/>
          <w:szCs w:val="24"/>
        </w:rPr>
        <w:lastRenderedPageBreak/>
        <w:t>contributions coming from economic (11.2%), environmental (10.1%), and social (9.5%) goals, while the remaining 2.4% is attributed to the governance sector. Furthermore, 23% of the targets have shown no noticeable change in the data, 11% have demonstrated no progress, and 33% of the SDG targets lack sufficient or new data to effectively track their progress.</w:t>
      </w:r>
    </w:p>
    <w:p w14:paraId="358A4679" w14:textId="30C84CCD" w:rsidR="005F19DA" w:rsidRDefault="00D215A9" w:rsidP="008925C8">
      <w:pPr>
        <w:spacing w:line="360" w:lineRule="auto"/>
        <w:jc w:val="both"/>
        <w:rPr>
          <w:rFonts w:ascii="Century Gothic" w:hAnsi="Century Gothic"/>
          <w:sz w:val="24"/>
          <w:szCs w:val="24"/>
        </w:rPr>
      </w:pPr>
      <w:r w:rsidRPr="00CF41F8">
        <w:rPr>
          <w:rFonts w:eastAsia="Calibri"/>
          <w:noProof/>
        </w:rPr>
        <w:drawing>
          <wp:inline distT="0" distB="0" distL="0" distR="0" wp14:anchorId="0F371E21" wp14:editId="508BA0AB">
            <wp:extent cx="5450774" cy="4719928"/>
            <wp:effectExtent l="0" t="0" r="0" b="5080"/>
            <wp:docPr id="26083751" name="Picture 1" descr="A colorful circular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83751" name="Picture 1" descr="A colorful circular chart with text&#10;&#10;AI-generated content may be incorrect."/>
                    <pic:cNvPicPr/>
                  </pic:nvPicPr>
                  <pic:blipFill>
                    <a:blip r:embed="rId9"/>
                    <a:stretch>
                      <a:fillRect/>
                    </a:stretch>
                  </pic:blipFill>
                  <pic:spPr>
                    <a:xfrm>
                      <a:off x="0" y="0"/>
                      <a:ext cx="5467527" cy="4734435"/>
                    </a:xfrm>
                    <a:prstGeom prst="rect">
                      <a:avLst/>
                    </a:prstGeom>
                  </pic:spPr>
                </pic:pic>
              </a:graphicData>
            </a:graphic>
          </wp:inline>
        </w:drawing>
      </w:r>
    </w:p>
    <w:p w14:paraId="43DFA18C" w14:textId="77777777" w:rsidR="000C118E" w:rsidRPr="000C118E" w:rsidRDefault="000C118E" w:rsidP="000C118E">
      <w:pPr>
        <w:spacing w:line="360" w:lineRule="auto"/>
        <w:jc w:val="both"/>
        <w:rPr>
          <w:rFonts w:ascii="Century Gothic" w:hAnsi="Century Gothic"/>
          <w:sz w:val="24"/>
          <w:szCs w:val="24"/>
        </w:rPr>
      </w:pPr>
      <w:r w:rsidRPr="000C118E">
        <w:rPr>
          <w:rFonts w:ascii="Century Gothic" w:hAnsi="Century Gothic"/>
          <w:sz w:val="24"/>
          <w:szCs w:val="24"/>
        </w:rPr>
        <w:t>Source: South Africa SDG Report (2023)</w:t>
      </w:r>
    </w:p>
    <w:p w14:paraId="34C42219" w14:textId="0A4FA240" w:rsidR="00EB091E" w:rsidRPr="00EB091E" w:rsidRDefault="00F63F66" w:rsidP="00EB091E">
      <w:pPr>
        <w:spacing w:line="360" w:lineRule="auto"/>
        <w:jc w:val="both"/>
        <w:rPr>
          <w:rFonts w:ascii="Century Gothic" w:hAnsi="Century Gothic"/>
          <w:b/>
          <w:bCs/>
          <w:sz w:val="24"/>
          <w:szCs w:val="24"/>
          <w:lang w:val="en-US"/>
        </w:rPr>
      </w:pPr>
      <w:r>
        <w:rPr>
          <w:rFonts w:ascii="Century Gothic" w:hAnsi="Century Gothic"/>
          <w:b/>
          <w:bCs/>
          <w:sz w:val="24"/>
          <w:szCs w:val="24"/>
          <w:lang w:val="en-US"/>
        </w:rPr>
        <w:t>6</w:t>
      </w:r>
      <w:r w:rsidR="00EB091E" w:rsidRPr="00EB091E">
        <w:rPr>
          <w:rFonts w:ascii="Century Gothic" w:hAnsi="Century Gothic"/>
          <w:b/>
          <w:bCs/>
          <w:sz w:val="24"/>
          <w:szCs w:val="24"/>
          <w:lang w:val="en-US"/>
        </w:rPr>
        <w:t>. Legislative and Policy Framework</w:t>
      </w:r>
    </w:p>
    <w:p w14:paraId="635CEAC1" w14:textId="77777777"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 xml:space="preserve">South Africa’s constitutional framework provides a strong foundation for gender equality. Section 9 of the Bill of Rights prohibits discrimination </w:t>
      </w:r>
      <w:proofErr w:type="gramStart"/>
      <w:r w:rsidRPr="00EB091E">
        <w:rPr>
          <w:rFonts w:ascii="Century Gothic" w:hAnsi="Century Gothic"/>
          <w:sz w:val="24"/>
          <w:szCs w:val="24"/>
          <w:lang w:val="en-US"/>
        </w:rPr>
        <w:t>on the basis of</w:t>
      </w:r>
      <w:proofErr w:type="gramEnd"/>
      <w:r w:rsidRPr="00EB091E">
        <w:rPr>
          <w:rFonts w:ascii="Century Gothic" w:hAnsi="Century Gothic"/>
          <w:sz w:val="24"/>
          <w:szCs w:val="24"/>
          <w:lang w:val="en-US"/>
        </w:rPr>
        <w:t xml:space="preserve"> </w:t>
      </w:r>
      <w:r w:rsidRPr="00EB091E">
        <w:rPr>
          <w:rFonts w:ascii="Century Gothic" w:hAnsi="Century Gothic"/>
          <w:sz w:val="24"/>
          <w:szCs w:val="24"/>
          <w:lang w:val="en-US"/>
        </w:rPr>
        <w:lastRenderedPageBreak/>
        <w:t>gender, sex, and other grounds, while Section 39(3) ensures that customary law must align with constitutional principles.</w:t>
      </w:r>
    </w:p>
    <w:p w14:paraId="7EA6C780" w14:textId="77777777"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The Promotion of Equality and Prevention of Unfair Discrimination Act (PEPUDA) remains central to anti-discrimination efforts. Amendments and ongoing legislative reviews aim to broaden definitions of discrimination and strengthen enforcement mechanisms. Similarly, the Employment Equity Act seeks to address workplace inequality through affirmative action measures and gender targets.</w:t>
      </w:r>
    </w:p>
    <w:p w14:paraId="5F406E16" w14:textId="77777777"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Despite these frameworks, enforcement remains inconsistent. Equality courts, established under PEPUDA, are underutilised, with low case volumes indicating limited awareness and accessibility. Furthermore, Legal Aid South Africa lacks gender-disaggregated data, limiting the ability to assess women’s access to justice.</w:t>
      </w:r>
    </w:p>
    <w:p w14:paraId="45CC341C" w14:textId="3FCC0DA0"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 xml:space="preserve">The delayed finalisation of the Women’s Empowerment and Gender Equality (WEGE) Bill represents a significant </w:t>
      </w:r>
      <w:r w:rsidR="006A12B2" w:rsidRPr="00EB091E">
        <w:rPr>
          <w:rFonts w:ascii="Century Gothic" w:hAnsi="Century Gothic"/>
          <w:sz w:val="24"/>
          <w:szCs w:val="24"/>
          <w:lang w:val="en-US"/>
        </w:rPr>
        <w:t>gap,</w:t>
      </w:r>
      <w:r w:rsidR="00317535">
        <w:rPr>
          <w:rFonts w:ascii="Century Gothic" w:hAnsi="Century Gothic"/>
          <w:sz w:val="24"/>
          <w:szCs w:val="24"/>
          <w:lang w:val="en-US"/>
        </w:rPr>
        <w:t xml:space="preserve"> </w:t>
      </w:r>
      <w:r w:rsidR="000A5708">
        <w:rPr>
          <w:rFonts w:ascii="Century Gothic" w:hAnsi="Century Gothic"/>
          <w:sz w:val="24"/>
          <w:szCs w:val="24"/>
          <w:lang w:val="en-US"/>
        </w:rPr>
        <w:t>especially regarding the promotion of</w:t>
      </w:r>
      <w:r w:rsidR="001C4091">
        <w:rPr>
          <w:rFonts w:ascii="Century Gothic" w:hAnsi="Century Gothic"/>
          <w:sz w:val="24"/>
          <w:szCs w:val="24"/>
          <w:lang w:val="en-US"/>
        </w:rPr>
        <w:t xml:space="preserve"> gender equality in the country</w:t>
      </w:r>
      <w:r w:rsidRPr="00EB091E">
        <w:rPr>
          <w:rFonts w:ascii="Century Gothic" w:hAnsi="Century Gothic"/>
          <w:sz w:val="24"/>
          <w:szCs w:val="24"/>
          <w:lang w:val="en-US"/>
        </w:rPr>
        <w:t>. The absence of comprehensive legislation continues to impede gender transformation in both public and private sectors.</w:t>
      </w:r>
    </w:p>
    <w:p w14:paraId="45F7E226" w14:textId="77777777" w:rsidR="00EB091E" w:rsidRPr="00EB091E" w:rsidRDefault="00EB091E" w:rsidP="00EB091E">
      <w:pPr>
        <w:spacing w:line="360" w:lineRule="auto"/>
        <w:jc w:val="both"/>
        <w:rPr>
          <w:rFonts w:ascii="Century Gothic" w:hAnsi="Century Gothic"/>
          <w:b/>
          <w:bCs/>
          <w:sz w:val="24"/>
          <w:szCs w:val="24"/>
          <w:lang w:val="en-US"/>
        </w:rPr>
      </w:pPr>
      <w:r w:rsidRPr="00EB091E">
        <w:rPr>
          <w:rFonts w:ascii="Century Gothic" w:hAnsi="Century Gothic"/>
          <w:b/>
          <w:bCs/>
          <w:sz w:val="24"/>
          <w:szCs w:val="24"/>
          <w:lang w:val="en-US"/>
        </w:rPr>
        <w:t>6. Governance, Parliament, and Oversight</w:t>
      </w:r>
    </w:p>
    <w:p w14:paraId="51ABACB0" w14:textId="707AB2DB"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Parliament, particularly the Portfolio Committee on Women, Youth, and Persons with Disabilities, plays a crucial oversight role in ensuring compliance with</w:t>
      </w:r>
      <w:r w:rsidR="00B171DF">
        <w:rPr>
          <w:rFonts w:ascii="Century Gothic" w:hAnsi="Century Gothic"/>
          <w:sz w:val="24"/>
          <w:szCs w:val="24"/>
          <w:lang w:val="en-US"/>
        </w:rPr>
        <w:t xml:space="preserve"> </w:t>
      </w:r>
      <w:r w:rsidR="00B335DB">
        <w:rPr>
          <w:rFonts w:ascii="Century Gothic" w:hAnsi="Century Gothic"/>
          <w:sz w:val="24"/>
          <w:szCs w:val="24"/>
          <w:lang w:val="en-US"/>
        </w:rPr>
        <w:t xml:space="preserve">the </w:t>
      </w:r>
      <w:r w:rsidR="00404AD8">
        <w:rPr>
          <w:rFonts w:ascii="Century Gothic" w:hAnsi="Century Gothic"/>
          <w:sz w:val="24"/>
          <w:szCs w:val="24"/>
          <w:lang w:val="en-US"/>
        </w:rPr>
        <w:t>implementation of</w:t>
      </w:r>
      <w:r w:rsidRPr="00EB091E">
        <w:rPr>
          <w:rFonts w:ascii="Century Gothic" w:hAnsi="Century Gothic"/>
          <w:sz w:val="24"/>
          <w:szCs w:val="24"/>
          <w:lang w:val="en-US"/>
        </w:rPr>
        <w:t xml:space="preserve"> CEDAW. The Committee monitors strategic plans, budgets, and policy implementation, including the NSP-GBVF.</w:t>
      </w:r>
      <w:r w:rsidR="00E04FCD">
        <w:rPr>
          <w:rFonts w:ascii="Century Gothic" w:hAnsi="Century Gothic"/>
          <w:sz w:val="24"/>
          <w:szCs w:val="24"/>
          <w:lang w:val="en-US"/>
        </w:rPr>
        <w:t xml:space="preserve"> Commissi</w:t>
      </w:r>
      <w:r w:rsidR="00EE3353">
        <w:rPr>
          <w:rFonts w:ascii="Century Gothic" w:hAnsi="Century Gothic"/>
          <w:sz w:val="24"/>
          <w:szCs w:val="24"/>
          <w:lang w:val="en-US"/>
        </w:rPr>
        <w:t>on for Gender Equality</w:t>
      </w:r>
      <w:r w:rsidR="00CF2CAB">
        <w:rPr>
          <w:rFonts w:ascii="Century Gothic" w:hAnsi="Century Gothic"/>
          <w:sz w:val="24"/>
          <w:szCs w:val="24"/>
          <w:lang w:val="en-US"/>
        </w:rPr>
        <w:t xml:space="preserve"> </w:t>
      </w:r>
      <w:r w:rsidR="0061459B">
        <w:rPr>
          <w:rFonts w:ascii="Century Gothic" w:hAnsi="Century Gothic"/>
          <w:sz w:val="24"/>
          <w:szCs w:val="24"/>
          <w:lang w:val="en-US"/>
        </w:rPr>
        <w:t>is an independent Constitutional body</w:t>
      </w:r>
      <w:r w:rsidR="00AE4565">
        <w:rPr>
          <w:rFonts w:ascii="Century Gothic" w:hAnsi="Century Gothic"/>
          <w:sz w:val="24"/>
          <w:szCs w:val="24"/>
          <w:lang w:val="en-US"/>
        </w:rPr>
        <w:t xml:space="preserve"> </w:t>
      </w:r>
      <w:r w:rsidR="0061459B">
        <w:rPr>
          <w:rFonts w:ascii="Century Gothic" w:hAnsi="Century Gothic"/>
          <w:sz w:val="24"/>
          <w:szCs w:val="24"/>
          <w:lang w:val="en-US"/>
        </w:rPr>
        <w:t>mandated to</w:t>
      </w:r>
      <w:r w:rsidR="00E45AD5">
        <w:rPr>
          <w:rFonts w:ascii="Century Gothic" w:hAnsi="Century Gothic"/>
          <w:sz w:val="24"/>
          <w:szCs w:val="24"/>
          <w:lang w:val="en-US"/>
        </w:rPr>
        <w:t xml:space="preserve"> monitor and evaluate compli</w:t>
      </w:r>
      <w:r w:rsidR="00993A0F">
        <w:rPr>
          <w:rFonts w:ascii="Century Gothic" w:hAnsi="Century Gothic"/>
          <w:sz w:val="24"/>
          <w:szCs w:val="24"/>
          <w:lang w:val="en-US"/>
        </w:rPr>
        <w:t xml:space="preserve">ance by state and other entities regarding implementation of </w:t>
      </w:r>
      <w:r w:rsidR="00C338FF">
        <w:rPr>
          <w:rFonts w:ascii="Century Gothic" w:hAnsi="Century Gothic"/>
          <w:sz w:val="24"/>
          <w:szCs w:val="24"/>
          <w:lang w:val="en-US"/>
        </w:rPr>
        <w:t>gender transformational prescripts in the country.</w:t>
      </w:r>
    </w:p>
    <w:p w14:paraId="420CB075" w14:textId="77777777" w:rsid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lastRenderedPageBreak/>
        <w:t>While oversight mechanisms have improved, their impact remains limited. Legislative efforts have not fully translated into systemic change, particularly in addressing gender inequality in economic and political spheres.</w:t>
      </w:r>
    </w:p>
    <w:p w14:paraId="7BDA4E25" w14:textId="77777777" w:rsidR="00EB091E" w:rsidRPr="00EB091E" w:rsidRDefault="00EB091E" w:rsidP="00EB091E">
      <w:pPr>
        <w:spacing w:line="360" w:lineRule="auto"/>
        <w:jc w:val="both"/>
        <w:rPr>
          <w:rFonts w:ascii="Century Gothic" w:hAnsi="Century Gothic"/>
          <w:b/>
          <w:bCs/>
          <w:sz w:val="24"/>
          <w:szCs w:val="24"/>
          <w:lang w:val="en-US"/>
        </w:rPr>
      </w:pPr>
      <w:r w:rsidRPr="00EB091E">
        <w:rPr>
          <w:rFonts w:ascii="Century Gothic" w:hAnsi="Century Gothic"/>
          <w:b/>
          <w:bCs/>
          <w:sz w:val="24"/>
          <w:szCs w:val="24"/>
          <w:lang w:val="en-US"/>
        </w:rPr>
        <w:t>7. Gender-Based Violence and Femicide</w:t>
      </w:r>
    </w:p>
    <w:p w14:paraId="00F4D2E3" w14:textId="77777777"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Gender-based violence (GBV) remains one of the most critical challenges facing South Africa. The NSP-GBVF represents a comprehensive framework with six pillars addressing prevention, protection, accountability, and support services.</w:t>
      </w:r>
    </w:p>
    <w:p w14:paraId="4B4B023D" w14:textId="77777777"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Significant progress includes:</w:t>
      </w:r>
    </w:p>
    <w:p w14:paraId="17A1CBB6" w14:textId="77777777" w:rsidR="00EB091E" w:rsidRPr="00EB091E" w:rsidRDefault="00EB091E" w:rsidP="00EB091E">
      <w:pPr>
        <w:numPr>
          <w:ilvl w:val="0"/>
          <w:numId w:val="2"/>
        </w:numPr>
        <w:spacing w:line="360" w:lineRule="auto"/>
        <w:jc w:val="both"/>
        <w:rPr>
          <w:rFonts w:ascii="Century Gothic" w:hAnsi="Century Gothic"/>
          <w:sz w:val="24"/>
          <w:szCs w:val="24"/>
          <w:lang w:val="en-US"/>
        </w:rPr>
      </w:pPr>
      <w:r w:rsidRPr="00EB091E">
        <w:rPr>
          <w:rFonts w:ascii="Century Gothic" w:hAnsi="Century Gothic"/>
          <w:sz w:val="24"/>
          <w:szCs w:val="24"/>
          <w:lang w:val="en-US"/>
        </w:rPr>
        <w:t>Expansion of Thuthuzela Care Centres (from 55 to 64 between 2020 and 2024)</w:t>
      </w:r>
    </w:p>
    <w:p w14:paraId="3510B320" w14:textId="77777777" w:rsidR="00EB091E" w:rsidRPr="00EB091E" w:rsidRDefault="00EB091E" w:rsidP="00EB091E">
      <w:pPr>
        <w:numPr>
          <w:ilvl w:val="0"/>
          <w:numId w:val="2"/>
        </w:numPr>
        <w:spacing w:line="360" w:lineRule="auto"/>
        <w:jc w:val="both"/>
        <w:rPr>
          <w:rFonts w:ascii="Century Gothic" w:hAnsi="Century Gothic"/>
          <w:sz w:val="24"/>
          <w:szCs w:val="24"/>
          <w:lang w:val="en-US"/>
        </w:rPr>
      </w:pPr>
      <w:r w:rsidRPr="00EB091E">
        <w:rPr>
          <w:rFonts w:ascii="Century Gothic" w:hAnsi="Century Gothic"/>
          <w:sz w:val="24"/>
          <w:szCs w:val="24"/>
          <w:lang w:val="en-US"/>
        </w:rPr>
        <w:t>Establishment of over 1,000 victim-friendly rooms in police stations</w:t>
      </w:r>
    </w:p>
    <w:p w14:paraId="5CB49A54" w14:textId="77777777" w:rsidR="00EB091E" w:rsidRPr="00EB091E" w:rsidRDefault="00EB091E" w:rsidP="00EB091E">
      <w:pPr>
        <w:numPr>
          <w:ilvl w:val="0"/>
          <w:numId w:val="2"/>
        </w:numPr>
        <w:spacing w:line="360" w:lineRule="auto"/>
        <w:jc w:val="both"/>
        <w:rPr>
          <w:rFonts w:ascii="Century Gothic" w:hAnsi="Century Gothic"/>
          <w:sz w:val="24"/>
          <w:szCs w:val="24"/>
          <w:lang w:val="en-US"/>
        </w:rPr>
      </w:pPr>
      <w:r w:rsidRPr="00EB091E">
        <w:rPr>
          <w:rFonts w:ascii="Century Gothic" w:hAnsi="Century Gothic"/>
          <w:sz w:val="24"/>
          <w:szCs w:val="24"/>
          <w:lang w:val="en-US"/>
        </w:rPr>
        <w:t>Training initiatives for justice system personnel</w:t>
      </w:r>
    </w:p>
    <w:p w14:paraId="17918234" w14:textId="77777777"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 xml:space="preserve">However, implementation gaps remain severe. Only </w:t>
      </w:r>
      <w:r w:rsidRPr="00395213">
        <w:rPr>
          <w:rFonts w:ascii="Century Gothic" w:hAnsi="Century Gothic"/>
          <w:sz w:val="24"/>
          <w:szCs w:val="24"/>
          <w:lang w:val="en-US"/>
        </w:rPr>
        <w:t>52.1% of allocated GBVF funding</w:t>
      </w:r>
      <w:r w:rsidRPr="00EB091E">
        <w:rPr>
          <w:rFonts w:ascii="Century Gothic" w:hAnsi="Century Gothic"/>
          <w:sz w:val="24"/>
          <w:szCs w:val="24"/>
          <w:lang w:val="en-US"/>
        </w:rPr>
        <w:t xml:space="preserve"> was utilised between 2020 and 2023 (CGE, 2023), reflecting inefficiencies and lack of urgency.</w:t>
      </w:r>
    </w:p>
    <w:p w14:paraId="443CB7C4" w14:textId="1E24A3BC"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 xml:space="preserve">The National Council on GBVF, legislated in 2024, </w:t>
      </w:r>
      <w:r w:rsidR="00951C00" w:rsidRPr="00EB091E">
        <w:rPr>
          <w:rFonts w:ascii="Century Gothic" w:hAnsi="Century Gothic"/>
          <w:sz w:val="24"/>
          <w:szCs w:val="24"/>
          <w:lang w:val="en-US"/>
        </w:rPr>
        <w:t>has been</w:t>
      </w:r>
      <w:r w:rsidR="00BE25F0">
        <w:rPr>
          <w:rFonts w:ascii="Century Gothic" w:hAnsi="Century Gothic"/>
          <w:sz w:val="24"/>
          <w:szCs w:val="24"/>
          <w:lang w:val="en-US"/>
        </w:rPr>
        <w:t xml:space="preserve"> enacted, but not yet</w:t>
      </w:r>
      <w:r w:rsidRPr="00EB091E">
        <w:rPr>
          <w:rFonts w:ascii="Century Gothic" w:hAnsi="Century Gothic"/>
          <w:sz w:val="24"/>
          <w:szCs w:val="24"/>
          <w:lang w:val="en-US"/>
        </w:rPr>
        <w:t xml:space="preserve"> </w:t>
      </w:r>
      <w:r w:rsidR="00A13CA2" w:rsidRPr="00EB091E">
        <w:rPr>
          <w:rFonts w:ascii="Century Gothic" w:hAnsi="Century Gothic"/>
          <w:sz w:val="24"/>
          <w:szCs w:val="24"/>
          <w:lang w:val="en-US"/>
        </w:rPr>
        <w:t>operationalise</w:t>
      </w:r>
      <w:r w:rsidR="00A13CA2">
        <w:rPr>
          <w:rFonts w:ascii="Century Gothic" w:hAnsi="Century Gothic"/>
          <w:sz w:val="24"/>
          <w:szCs w:val="24"/>
          <w:lang w:val="en-US"/>
        </w:rPr>
        <w:t>d</w:t>
      </w:r>
      <w:r w:rsidRPr="00EB091E">
        <w:rPr>
          <w:rFonts w:ascii="Century Gothic" w:hAnsi="Century Gothic"/>
          <w:sz w:val="24"/>
          <w:szCs w:val="24"/>
          <w:lang w:val="en-US"/>
        </w:rPr>
        <w:t>,</w:t>
      </w:r>
      <w:r w:rsidR="00BE25F0">
        <w:rPr>
          <w:rFonts w:ascii="Century Gothic" w:hAnsi="Century Gothic"/>
          <w:sz w:val="24"/>
          <w:szCs w:val="24"/>
          <w:lang w:val="en-US"/>
        </w:rPr>
        <w:t xml:space="preserve"> hence</w:t>
      </w:r>
      <w:r w:rsidRPr="00EB091E">
        <w:rPr>
          <w:rFonts w:ascii="Century Gothic" w:hAnsi="Century Gothic"/>
          <w:sz w:val="24"/>
          <w:szCs w:val="24"/>
          <w:lang w:val="en-US"/>
        </w:rPr>
        <w:t xml:space="preserve"> creating a leadership void.</w:t>
      </w:r>
      <w:r w:rsidR="00BE25F0">
        <w:rPr>
          <w:rFonts w:ascii="Century Gothic" w:hAnsi="Century Gothic"/>
          <w:sz w:val="24"/>
          <w:szCs w:val="24"/>
          <w:lang w:val="en-US"/>
        </w:rPr>
        <w:t xml:space="preserve"> The</w:t>
      </w:r>
      <w:r w:rsidR="004E0694">
        <w:rPr>
          <w:rFonts w:ascii="Century Gothic" w:hAnsi="Century Gothic"/>
          <w:sz w:val="24"/>
          <w:szCs w:val="24"/>
          <w:lang w:val="en-US"/>
        </w:rPr>
        <w:t xml:space="preserve"> process of establishing the GBVF </w:t>
      </w:r>
      <w:r w:rsidR="00BF6D72">
        <w:rPr>
          <w:rFonts w:ascii="Century Gothic" w:hAnsi="Century Gothic"/>
          <w:sz w:val="24"/>
          <w:szCs w:val="24"/>
          <w:lang w:val="en-US"/>
        </w:rPr>
        <w:t>Council,</w:t>
      </w:r>
      <w:r w:rsidR="000C1BF9">
        <w:rPr>
          <w:rFonts w:ascii="Century Gothic" w:hAnsi="Century Gothic"/>
          <w:sz w:val="24"/>
          <w:szCs w:val="24"/>
          <w:lang w:val="en-US"/>
        </w:rPr>
        <w:t xml:space="preserve"> </w:t>
      </w:r>
      <w:r w:rsidR="00691A05">
        <w:rPr>
          <w:rFonts w:ascii="Century Gothic" w:hAnsi="Century Gothic"/>
          <w:sz w:val="24"/>
          <w:szCs w:val="24"/>
          <w:lang w:val="en-US"/>
        </w:rPr>
        <w:t xml:space="preserve">which is a </w:t>
      </w:r>
      <w:r w:rsidR="00570280">
        <w:rPr>
          <w:rFonts w:ascii="Century Gothic" w:hAnsi="Century Gothic"/>
          <w:sz w:val="24"/>
          <w:szCs w:val="24"/>
          <w:lang w:val="en-US"/>
        </w:rPr>
        <w:t>multi-sector</w:t>
      </w:r>
      <w:r w:rsidR="00691A05">
        <w:rPr>
          <w:rFonts w:ascii="Century Gothic" w:hAnsi="Century Gothic"/>
          <w:sz w:val="24"/>
          <w:szCs w:val="24"/>
          <w:lang w:val="en-US"/>
        </w:rPr>
        <w:t xml:space="preserve"> structure to oversee and </w:t>
      </w:r>
      <w:r w:rsidR="00B74FFC">
        <w:rPr>
          <w:rFonts w:ascii="Century Gothic" w:hAnsi="Century Gothic"/>
          <w:sz w:val="24"/>
          <w:szCs w:val="24"/>
          <w:lang w:val="en-US"/>
        </w:rPr>
        <w:t>coordinate the work related to fighting the scourge of GBVF in the</w:t>
      </w:r>
      <w:r w:rsidR="00EE7B15">
        <w:rPr>
          <w:rFonts w:ascii="Century Gothic" w:hAnsi="Century Gothic"/>
          <w:sz w:val="24"/>
          <w:szCs w:val="24"/>
          <w:lang w:val="en-US"/>
        </w:rPr>
        <w:t xml:space="preserve"> country</w:t>
      </w:r>
      <w:r w:rsidR="004E0694">
        <w:rPr>
          <w:rFonts w:ascii="Century Gothic" w:hAnsi="Century Gothic"/>
          <w:sz w:val="24"/>
          <w:szCs w:val="24"/>
          <w:lang w:val="en-US"/>
        </w:rPr>
        <w:t xml:space="preserve"> is now underway</w:t>
      </w:r>
      <w:r w:rsidR="00EE7B15">
        <w:rPr>
          <w:rFonts w:ascii="Century Gothic" w:hAnsi="Century Gothic"/>
          <w:sz w:val="24"/>
          <w:szCs w:val="24"/>
          <w:lang w:val="en-US"/>
        </w:rPr>
        <w:t>.</w:t>
      </w:r>
      <w:r w:rsidR="00BF6D72">
        <w:rPr>
          <w:rFonts w:ascii="Century Gothic" w:hAnsi="Century Gothic"/>
          <w:sz w:val="24"/>
          <w:szCs w:val="24"/>
          <w:lang w:val="en-US"/>
        </w:rPr>
        <w:t xml:space="preserve"> </w:t>
      </w:r>
      <w:r w:rsidR="00C64F37">
        <w:rPr>
          <w:rFonts w:ascii="Century Gothic" w:hAnsi="Century Gothic"/>
          <w:sz w:val="24"/>
          <w:szCs w:val="24"/>
          <w:lang w:val="en-US"/>
        </w:rPr>
        <w:t xml:space="preserve">Government should expedite the </w:t>
      </w:r>
      <w:r w:rsidR="008429D6">
        <w:rPr>
          <w:rFonts w:ascii="Century Gothic" w:hAnsi="Century Gothic"/>
          <w:sz w:val="24"/>
          <w:szCs w:val="24"/>
          <w:lang w:val="en-US"/>
        </w:rPr>
        <w:t xml:space="preserve">NCGBVF </w:t>
      </w:r>
      <w:r w:rsidR="00570280">
        <w:rPr>
          <w:rFonts w:ascii="Century Gothic" w:hAnsi="Century Gothic"/>
          <w:sz w:val="24"/>
          <w:szCs w:val="24"/>
          <w:lang w:val="en-US"/>
        </w:rPr>
        <w:t>establishment</w:t>
      </w:r>
      <w:r w:rsidR="00FB67BC">
        <w:rPr>
          <w:rFonts w:ascii="Century Gothic" w:hAnsi="Century Gothic"/>
          <w:sz w:val="24"/>
          <w:szCs w:val="24"/>
          <w:lang w:val="en-US"/>
        </w:rPr>
        <w:t xml:space="preserve"> (HSRC, 202</w:t>
      </w:r>
      <w:r w:rsidR="0054080B">
        <w:rPr>
          <w:rFonts w:ascii="Century Gothic" w:hAnsi="Century Gothic"/>
          <w:sz w:val="24"/>
          <w:szCs w:val="24"/>
          <w:lang w:val="en-US"/>
        </w:rPr>
        <w:t>4)</w:t>
      </w:r>
      <w:r w:rsidR="00570280">
        <w:rPr>
          <w:rFonts w:ascii="Century Gothic" w:hAnsi="Century Gothic"/>
          <w:sz w:val="24"/>
          <w:szCs w:val="24"/>
          <w:lang w:val="en-US"/>
        </w:rPr>
        <w:t>.</w:t>
      </w:r>
    </w:p>
    <w:p w14:paraId="6862C0DA" w14:textId="77777777"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Prevalence data from the Human Sciences Research Council (2024) underscores the magnitude of the crisis:</w:t>
      </w:r>
    </w:p>
    <w:p w14:paraId="2F8D658E" w14:textId="77777777" w:rsidR="00EB091E" w:rsidRPr="00EB091E" w:rsidRDefault="00EB091E" w:rsidP="00EB091E">
      <w:pPr>
        <w:numPr>
          <w:ilvl w:val="0"/>
          <w:numId w:val="3"/>
        </w:numPr>
        <w:spacing w:line="360" w:lineRule="auto"/>
        <w:jc w:val="both"/>
        <w:rPr>
          <w:rFonts w:ascii="Century Gothic" w:hAnsi="Century Gothic"/>
          <w:sz w:val="24"/>
          <w:szCs w:val="24"/>
          <w:lang w:val="en-US"/>
        </w:rPr>
      </w:pPr>
      <w:r w:rsidRPr="00EB091E">
        <w:rPr>
          <w:rFonts w:ascii="Century Gothic" w:hAnsi="Century Gothic"/>
          <w:sz w:val="24"/>
          <w:szCs w:val="24"/>
          <w:lang w:val="en-US"/>
        </w:rPr>
        <w:t>33.1% of women have experienced physical violence</w:t>
      </w:r>
    </w:p>
    <w:p w14:paraId="5E7DC3D0" w14:textId="77777777" w:rsidR="00EB091E" w:rsidRPr="00EB091E" w:rsidRDefault="00EB091E" w:rsidP="00EB091E">
      <w:pPr>
        <w:numPr>
          <w:ilvl w:val="0"/>
          <w:numId w:val="3"/>
        </w:numPr>
        <w:spacing w:line="360" w:lineRule="auto"/>
        <w:jc w:val="both"/>
        <w:rPr>
          <w:rFonts w:ascii="Century Gothic" w:hAnsi="Century Gothic"/>
          <w:sz w:val="24"/>
          <w:szCs w:val="24"/>
          <w:lang w:val="en-US"/>
        </w:rPr>
      </w:pPr>
      <w:r w:rsidRPr="00EB091E">
        <w:rPr>
          <w:rFonts w:ascii="Century Gothic" w:hAnsi="Century Gothic"/>
          <w:sz w:val="24"/>
          <w:szCs w:val="24"/>
          <w:lang w:val="en-US"/>
        </w:rPr>
        <w:t>9.8% have experienced sexual violence</w:t>
      </w:r>
    </w:p>
    <w:p w14:paraId="19CDEA7E" w14:textId="77777777" w:rsidR="00EB091E" w:rsidRPr="00EB091E" w:rsidRDefault="00EB091E" w:rsidP="00EB091E">
      <w:pPr>
        <w:numPr>
          <w:ilvl w:val="0"/>
          <w:numId w:val="3"/>
        </w:numPr>
        <w:spacing w:line="360" w:lineRule="auto"/>
        <w:jc w:val="both"/>
        <w:rPr>
          <w:rFonts w:ascii="Century Gothic" w:hAnsi="Century Gothic"/>
          <w:sz w:val="24"/>
          <w:szCs w:val="24"/>
          <w:lang w:val="en-US"/>
        </w:rPr>
      </w:pPr>
      <w:r w:rsidRPr="00EB091E">
        <w:rPr>
          <w:rFonts w:ascii="Century Gothic" w:hAnsi="Century Gothic"/>
          <w:sz w:val="24"/>
          <w:szCs w:val="24"/>
          <w:lang w:val="en-US"/>
        </w:rPr>
        <w:lastRenderedPageBreak/>
        <w:t>35.5% have experienced either form</w:t>
      </w:r>
    </w:p>
    <w:p w14:paraId="0BA994C8" w14:textId="0F4A04D5" w:rsid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These figures highlight the gap between policy commitments and lived realities.</w:t>
      </w:r>
    </w:p>
    <w:p w14:paraId="03BD6832" w14:textId="0D18CC09" w:rsidR="00EB091E" w:rsidRPr="00EB091E" w:rsidRDefault="00EB091E" w:rsidP="00EB091E">
      <w:pPr>
        <w:spacing w:line="360" w:lineRule="auto"/>
        <w:jc w:val="both"/>
        <w:rPr>
          <w:rFonts w:ascii="Century Gothic" w:hAnsi="Century Gothic"/>
          <w:b/>
          <w:bCs/>
          <w:sz w:val="24"/>
          <w:szCs w:val="24"/>
          <w:lang w:val="en-US"/>
        </w:rPr>
      </w:pPr>
      <w:r w:rsidRPr="00EB091E">
        <w:rPr>
          <w:rFonts w:ascii="Century Gothic" w:hAnsi="Century Gothic"/>
          <w:b/>
          <w:bCs/>
          <w:sz w:val="24"/>
          <w:szCs w:val="24"/>
          <w:lang w:val="en-US"/>
        </w:rPr>
        <w:t xml:space="preserve">8. </w:t>
      </w:r>
      <w:r w:rsidR="0054080B">
        <w:rPr>
          <w:rFonts w:ascii="Century Gothic" w:hAnsi="Century Gothic"/>
          <w:b/>
          <w:bCs/>
          <w:sz w:val="24"/>
          <w:szCs w:val="24"/>
          <w:lang w:val="en-US"/>
        </w:rPr>
        <w:t xml:space="preserve">International </w:t>
      </w:r>
      <w:r w:rsidR="0054108C">
        <w:rPr>
          <w:rFonts w:ascii="Century Gothic" w:hAnsi="Century Gothic"/>
          <w:b/>
          <w:bCs/>
          <w:sz w:val="24"/>
          <w:szCs w:val="24"/>
          <w:lang w:val="en-US"/>
        </w:rPr>
        <w:t>Representation and</w:t>
      </w:r>
      <w:r w:rsidR="00A221F0">
        <w:rPr>
          <w:rFonts w:ascii="Century Gothic" w:hAnsi="Century Gothic"/>
          <w:b/>
          <w:bCs/>
          <w:sz w:val="24"/>
          <w:szCs w:val="24"/>
          <w:lang w:val="en-US"/>
        </w:rPr>
        <w:t xml:space="preserve"> </w:t>
      </w:r>
      <w:r w:rsidRPr="00EB091E">
        <w:rPr>
          <w:rFonts w:ascii="Century Gothic" w:hAnsi="Century Gothic"/>
          <w:b/>
          <w:bCs/>
          <w:sz w:val="24"/>
          <w:szCs w:val="24"/>
          <w:lang w:val="en-US"/>
        </w:rPr>
        <w:t>Political Participation</w:t>
      </w:r>
    </w:p>
    <w:p w14:paraId="1452E7BC" w14:textId="20CB32C7"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 xml:space="preserve">Women’s political participation has improved over time but remains uneven. Representation in the National Assembly declined from 46% in 2019 to 43% in 2024 (IEC, 2024). At local government level, women occupy only 37% </w:t>
      </w:r>
      <w:proofErr w:type="gramStart"/>
      <w:r w:rsidRPr="00EB091E">
        <w:rPr>
          <w:rFonts w:ascii="Century Gothic" w:hAnsi="Century Gothic"/>
          <w:sz w:val="24"/>
          <w:szCs w:val="24"/>
          <w:lang w:val="en-US"/>
        </w:rPr>
        <w:t xml:space="preserve">of </w:t>
      </w:r>
      <w:r w:rsidR="00F34282">
        <w:rPr>
          <w:rFonts w:ascii="Century Gothic" w:hAnsi="Century Gothic"/>
          <w:sz w:val="24"/>
          <w:szCs w:val="24"/>
          <w:lang w:val="en-US"/>
        </w:rPr>
        <w:t xml:space="preserve"> </w:t>
      </w:r>
      <w:r w:rsidR="008E6852" w:rsidRPr="00EB091E">
        <w:rPr>
          <w:rFonts w:ascii="Century Gothic" w:hAnsi="Century Gothic"/>
          <w:sz w:val="24"/>
          <w:szCs w:val="24"/>
          <w:lang w:val="en-US"/>
        </w:rPr>
        <w:t>councilor</w:t>
      </w:r>
      <w:proofErr w:type="gramEnd"/>
      <w:r w:rsidRPr="00EB091E">
        <w:rPr>
          <w:rFonts w:ascii="Century Gothic" w:hAnsi="Century Gothic"/>
          <w:sz w:val="24"/>
          <w:szCs w:val="24"/>
          <w:lang w:val="en-US"/>
        </w:rPr>
        <w:t xml:space="preserve"> positions.</w:t>
      </w:r>
      <w:r w:rsidR="001338A6">
        <w:rPr>
          <w:rFonts w:ascii="Century Gothic" w:hAnsi="Century Gothic"/>
          <w:sz w:val="24"/>
          <w:szCs w:val="24"/>
          <w:lang w:val="en-US"/>
        </w:rPr>
        <w:t xml:space="preserve"> </w:t>
      </w:r>
      <w:r w:rsidR="00B55AAB">
        <w:rPr>
          <w:rFonts w:ascii="Century Gothic" w:hAnsi="Century Gothic"/>
          <w:sz w:val="24"/>
          <w:szCs w:val="24"/>
          <w:lang w:val="en-US"/>
        </w:rPr>
        <w:t xml:space="preserve">International representation </w:t>
      </w:r>
      <w:r w:rsidR="001607D2">
        <w:rPr>
          <w:rFonts w:ascii="Century Gothic" w:hAnsi="Century Gothic"/>
          <w:sz w:val="24"/>
          <w:szCs w:val="24"/>
          <w:lang w:val="en-US"/>
        </w:rPr>
        <w:t>has regressed as it constitutes 40% vacancies</w:t>
      </w:r>
      <w:r w:rsidR="00821078">
        <w:rPr>
          <w:rFonts w:ascii="Century Gothic" w:hAnsi="Century Gothic"/>
          <w:sz w:val="24"/>
          <w:szCs w:val="24"/>
          <w:lang w:val="en-US"/>
        </w:rPr>
        <w:t xml:space="preserve"> which affects the 43% representation that was</w:t>
      </w:r>
      <w:r w:rsidR="00694CAD">
        <w:rPr>
          <w:rFonts w:ascii="Century Gothic" w:hAnsi="Century Gothic"/>
          <w:sz w:val="24"/>
          <w:szCs w:val="24"/>
          <w:lang w:val="en-US"/>
        </w:rPr>
        <w:t xml:space="preserve"> achieved</w:t>
      </w:r>
      <w:r w:rsidR="00E563E8">
        <w:rPr>
          <w:rFonts w:ascii="Century Gothic" w:hAnsi="Century Gothic"/>
          <w:sz w:val="24"/>
          <w:szCs w:val="24"/>
          <w:lang w:val="en-US"/>
        </w:rPr>
        <w:t xml:space="preserve"> </w:t>
      </w:r>
      <w:r w:rsidR="00953306">
        <w:rPr>
          <w:rFonts w:ascii="Century Gothic" w:hAnsi="Century Gothic"/>
          <w:sz w:val="24"/>
          <w:szCs w:val="24"/>
          <w:lang w:val="en-US"/>
        </w:rPr>
        <w:t>post 2019 administration</w:t>
      </w:r>
      <w:r w:rsidR="00FB67BC">
        <w:rPr>
          <w:rFonts w:ascii="Century Gothic" w:hAnsi="Century Gothic"/>
          <w:sz w:val="24"/>
          <w:szCs w:val="24"/>
          <w:lang w:val="en-US"/>
        </w:rPr>
        <w:t xml:space="preserve"> (IEC, 2024)</w:t>
      </w:r>
      <w:r w:rsidR="00953306">
        <w:rPr>
          <w:rFonts w:ascii="Century Gothic" w:hAnsi="Century Gothic"/>
          <w:sz w:val="24"/>
          <w:szCs w:val="24"/>
          <w:lang w:val="en-US"/>
        </w:rPr>
        <w:t>.</w:t>
      </w:r>
    </w:p>
    <w:p w14:paraId="4B90D929" w14:textId="7E8161BE"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 xml:space="preserve">Voluntary party quotas, such as those adopted by the ANC and EFF, have contributed to progress. However, the absence of mandatory quotas limits broader gains. Women, particularly from marginalised groups, continue to face barriers, including violence, discrimination, and lack of access </w:t>
      </w:r>
      <w:r w:rsidR="00225EA6" w:rsidRPr="00EB091E">
        <w:rPr>
          <w:rFonts w:ascii="Century Gothic" w:hAnsi="Century Gothic"/>
          <w:sz w:val="24"/>
          <w:szCs w:val="24"/>
          <w:lang w:val="en-US"/>
        </w:rPr>
        <w:t>to</w:t>
      </w:r>
      <w:r w:rsidR="00225EA6">
        <w:rPr>
          <w:rFonts w:ascii="Century Gothic" w:hAnsi="Century Gothic"/>
          <w:sz w:val="24"/>
          <w:szCs w:val="24"/>
          <w:lang w:val="en-US"/>
        </w:rPr>
        <w:t xml:space="preserve"> economic</w:t>
      </w:r>
      <w:r w:rsidR="00685E41" w:rsidRPr="00EB091E">
        <w:rPr>
          <w:rFonts w:ascii="Century Gothic" w:hAnsi="Century Gothic"/>
          <w:sz w:val="24"/>
          <w:szCs w:val="24"/>
          <w:lang w:val="en-US"/>
        </w:rPr>
        <w:t xml:space="preserve"> resources</w:t>
      </w:r>
      <w:r w:rsidRPr="00EB091E">
        <w:rPr>
          <w:rFonts w:ascii="Century Gothic" w:hAnsi="Century Gothic"/>
          <w:sz w:val="24"/>
          <w:szCs w:val="24"/>
          <w:lang w:val="en-US"/>
        </w:rPr>
        <w:t>.</w:t>
      </w:r>
    </w:p>
    <w:p w14:paraId="1F580058" w14:textId="27B23F81" w:rsidR="002A7223" w:rsidRDefault="00EB091E" w:rsidP="002A7223">
      <w:pPr>
        <w:spacing w:line="360" w:lineRule="auto"/>
        <w:jc w:val="both"/>
        <w:rPr>
          <w:rFonts w:ascii="Century Gothic" w:hAnsi="Century Gothic"/>
          <w:sz w:val="24"/>
          <w:szCs w:val="24"/>
        </w:rPr>
      </w:pPr>
      <w:r w:rsidRPr="00EB091E">
        <w:rPr>
          <w:rFonts w:ascii="Century Gothic" w:hAnsi="Century Gothic"/>
          <w:sz w:val="24"/>
          <w:szCs w:val="24"/>
          <w:lang w:val="en-US"/>
        </w:rPr>
        <w:t xml:space="preserve">In the public sector, disparities </w:t>
      </w:r>
      <w:r w:rsidR="00225EA6" w:rsidRPr="00EB091E">
        <w:rPr>
          <w:rFonts w:ascii="Century Gothic" w:hAnsi="Century Gothic"/>
          <w:sz w:val="24"/>
          <w:szCs w:val="24"/>
          <w:lang w:val="en-US"/>
        </w:rPr>
        <w:t>are more</w:t>
      </w:r>
      <w:r w:rsidRPr="00EB091E">
        <w:rPr>
          <w:rFonts w:ascii="Century Gothic" w:hAnsi="Century Gothic"/>
          <w:sz w:val="24"/>
          <w:szCs w:val="24"/>
          <w:lang w:val="en-US"/>
        </w:rPr>
        <w:t xml:space="preserve"> pronounced. African women hold only 6.7% of top management positions, reflecting systemic inequalities (Employment Equity Report, 2023/2024).</w:t>
      </w:r>
      <w:r w:rsidR="002A7223">
        <w:rPr>
          <w:rFonts w:ascii="Century Gothic" w:hAnsi="Century Gothic"/>
          <w:sz w:val="24"/>
          <w:szCs w:val="24"/>
          <w:lang w:val="en-US"/>
        </w:rPr>
        <w:t xml:space="preserve"> </w:t>
      </w:r>
      <w:r w:rsidR="002A7223" w:rsidRPr="002A7223">
        <w:rPr>
          <w:rFonts w:ascii="Century Gothic" w:hAnsi="Century Gothic"/>
          <w:sz w:val="24"/>
          <w:szCs w:val="24"/>
        </w:rPr>
        <w:t>In 2024, women held 36% of board positions in the JSE Top 40 and 23% of executive positions</w:t>
      </w:r>
      <w:r w:rsidR="002A7223">
        <w:rPr>
          <w:rFonts w:ascii="Century Gothic" w:hAnsi="Century Gothic"/>
          <w:sz w:val="24"/>
          <w:szCs w:val="24"/>
        </w:rPr>
        <w:t xml:space="preserve"> demonstrating </w:t>
      </w:r>
      <w:r w:rsidR="000532F3">
        <w:rPr>
          <w:rFonts w:ascii="Century Gothic" w:hAnsi="Century Gothic"/>
          <w:sz w:val="24"/>
          <w:szCs w:val="24"/>
        </w:rPr>
        <w:t>large margin re</w:t>
      </w:r>
      <w:r w:rsidR="00FA4ADA">
        <w:rPr>
          <w:rFonts w:ascii="Century Gothic" w:hAnsi="Century Gothic"/>
          <w:sz w:val="24"/>
          <w:szCs w:val="24"/>
        </w:rPr>
        <w:t>garding women’s participation in leadership positions</w:t>
      </w:r>
      <w:r w:rsidR="00FB67BC">
        <w:rPr>
          <w:rFonts w:ascii="Century Gothic" w:hAnsi="Century Gothic"/>
          <w:sz w:val="24"/>
          <w:szCs w:val="24"/>
        </w:rPr>
        <w:t xml:space="preserve"> (</w:t>
      </w:r>
      <w:r w:rsidR="00FB67BC" w:rsidRPr="00FB67BC">
        <w:rPr>
          <w:rFonts w:ascii="Century Gothic" w:hAnsi="Century Gothic"/>
          <w:sz w:val="24"/>
          <w:szCs w:val="24"/>
        </w:rPr>
        <w:t>Just Share</w:t>
      </w:r>
      <w:r w:rsidR="00FB67BC">
        <w:rPr>
          <w:rFonts w:ascii="Century Gothic" w:hAnsi="Century Gothic"/>
          <w:sz w:val="24"/>
          <w:szCs w:val="24"/>
        </w:rPr>
        <w:t>,</w:t>
      </w:r>
      <w:r w:rsidR="00FB67BC" w:rsidRPr="00FB67BC">
        <w:rPr>
          <w:rFonts w:ascii="Century Gothic" w:hAnsi="Century Gothic"/>
          <w:sz w:val="24"/>
          <w:szCs w:val="24"/>
        </w:rPr>
        <w:t xml:space="preserve"> 2023)</w:t>
      </w:r>
      <w:r w:rsidR="002A7223" w:rsidRPr="002A7223">
        <w:rPr>
          <w:rFonts w:ascii="Century Gothic" w:hAnsi="Century Gothic"/>
          <w:sz w:val="24"/>
          <w:szCs w:val="24"/>
        </w:rPr>
        <w:t xml:space="preserve">. </w:t>
      </w:r>
    </w:p>
    <w:p w14:paraId="74325A32" w14:textId="77777777" w:rsidR="00760332" w:rsidRDefault="00760332" w:rsidP="002A7223">
      <w:pPr>
        <w:spacing w:line="360" w:lineRule="auto"/>
        <w:jc w:val="both"/>
        <w:rPr>
          <w:rFonts w:ascii="Century Gothic" w:hAnsi="Century Gothic"/>
          <w:sz w:val="24"/>
          <w:szCs w:val="24"/>
        </w:rPr>
      </w:pPr>
    </w:p>
    <w:p w14:paraId="0AD690EA" w14:textId="77777777" w:rsidR="00760332" w:rsidRDefault="00760332" w:rsidP="002A7223">
      <w:pPr>
        <w:spacing w:line="360" w:lineRule="auto"/>
        <w:jc w:val="both"/>
        <w:rPr>
          <w:rFonts w:ascii="Century Gothic" w:hAnsi="Century Gothic"/>
          <w:sz w:val="24"/>
          <w:szCs w:val="24"/>
        </w:rPr>
      </w:pPr>
    </w:p>
    <w:p w14:paraId="6F77F246" w14:textId="77777777" w:rsidR="00760332" w:rsidRDefault="00760332" w:rsidP="002A7223">
      <w:pPr>
        <w:spacing w:line="360" w:lineRule="auto"/>
        <w:jc w:val="both"/>
        <w:rPr>
          <w:rFonts w:ascii="Century Gothic" w:hAnsi="Century Gothic"/>
          <w:sz w:val="24"/>
          <w:szCs w:val="24"/>
        </w:rPr>
      </w:pPr>
    </w:p>
    <w:p w14:paraId="0E43B880" w14:textId="77777777" w:rsidR="00760332" w:rsidRDefault="00760332" w:rsidP="002A7223">
      <w:pPr>
        <w:spacing w:line="360" w:lineRule="auto"/>
        <w:jc w:val="both"/>
        <w:rPr>
          <w:rFonts w:ascii="Century Gothic" w:hAnsi="Century Gothic"/>
          <w:sz w:val="24"/>
          <w:szCs w:val="24"/>
        </w:rPr>
      </w:pPr>
    </w:p>
    <w:p w14:paraId="292834E7" w14:textId="77777777" w:rsidR="00760332" w:rsidRDefault="00760332" w:rsidP="002A7223">
      <w:pPr>
        <w:spacing w:line="360" w:lineRule="auto"/>
        <w:jc w:val="both"/>
        <w:rPr>
          <w:rFonts w:ascii="Century Gothic" w:hAnsi="Century Gothic"/>
          <w:sz w:val="24"/>
          <w:szCs w:val="24"/>
        </w:rPr>
      </w:pPr>
    </w:p>
    <w:p w14:paraId="7ACE7F18" w14:textId="2E67CD4B" w:rsidR="00517215" w:rsidRDefault="00D36600" w:rsidP="002A7223">
      <w:pPr>
        <w:spacing w:line="360" w:lineRule="auto"/>
        <w:jc w:val="both"/>
        <w:rPr>
          <w:rFonts w:ascii="Century Gothic" w:hAnsi="Century Gothic"/>
          <w:sz w:val="24"/>
          <w:szCs w:val="24"/>
        </w:rPr>
      </w:pPr>
      <w:r w:rsidRPr="00CF41F8">
        <w:rPr>
          <w:noProof/>
        </w:rPr>
        <w:lastRenderedPageBreak/>
        <w:drawing>
          <wp:anchor distT="0" distB="0" distL="114300" distR="114300" simplePos="0" relativeHeight="251659264" behindDoc="0" locked="0" layoutInCell="1" allowOverlap="1" wp14:anchorId="59B5DE35" wp14:editId="62B75398">
            <wp:simplePos x="0" y="0"/>
            <wp:positionH relativeFrom="column">
              <wp:posOffset>-6349</wp:posOffset>
            </wp:positionH>
            <wp:positionV relativeFrom="paragraph">
              <wp:posOffset>238760</wp:posOffset>
            </wp:positionV>
            <wp:extent cx="4102100" cy="2465623"/>
            <wp:effectExtent l="0" t="0" r="0" b="0"/>
            <wp:wrapNone/>
            <wp:docPr id="617377008" name="Picture 617377008"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377008" name="Picture 617377008" descr="A graph of a number of peopl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102645" cy="2465951"/>
                    </a:xfrm>
                    <a:prstGeom prst="rect">
                      <a:avLst/>
                    </a:prstGeom>
                  </pic:spPr>
                </pic:pic>
              </a:graphicData>
            </a:graphic>
            <wp14:sizeRelH relativeFrom="margin">
              <wp14:pctWidth>0</wp14:pctWidth>
            </wp14:sizeRelH>
            <wp14:sizeRelV relativeFrom="margin">
              <wp14:pctHeight>0</wp14:pctHeight>
            </wp14:sizeRelV>
          </wp:anchor>
        </w:drawing>
      </w:r>
      <w:r w:rsidR="00517215" w:rsidRPr="00517215">
        <w:rPr>
          <w:rFonts w:ascii="Century Gothic" w:hAnsi="Century Gothic"/>
          <w:b/>
          <w:bCs/>
          <w:sz w:val="24"/>
          <w:szCs w:val="24"/>
        </w:rPr>
        <w:t>Representation of women in the National Assembly</w:t>
      </w:r>
    </w:p>
    <w:p w14:paraId="6A7465C1" w14:textId="5D328462" w:rsidR="00EE0BFA" w:rsidRDefault="00EE0BFA" w:rsidP="002A7223">
      <w:pPr>
        <w:spacing w:line="360" w:lineRule="auto"/>
        <w:jc w:val="both"/>
        <w:rPr>
          <w:rFonts w:ascii="Century Gothic" w:hAnsi="Century Gothic"/>
          <w:sz w:val="24"/>
          <w:szCs w:val="24"/>
        </w:rPr>
      </w:pPr>
    </w:p>
    <w:p w14:paraId="3A63C800" w14:textId="77777777" w:rsidR="00D36600" w:rsidRDefault="00D36600" w:rsidP="002A7223">
      <w:pPr>
        <w:spacing w:line="360" w:lineRule="auto"/>
        <w:jc w:val="both"/>
        <w:rPr>
          <w:rFonts w:ascii="Century Gothic" w:hAnsi="Century Gothic"/>
          <w:sz w:val="24"/>
          <w:szCs w:val="24"/>
        </w:rPr>
      </w:pPr>
    </w:p>
    <w:p w14:paraId="0F9E22D8" w14:textId="77777777" w:rsidR="00D36600" w:rsidRDefault="00D36600" w:rsidP="002A7223">
      <w:pPr>
        <w:spacing w:line="360" w:lineRule="auto"/>
        <w:jc w:val="both"/>
        <w:rPr>
          <w:rFonts w:ascii="Century Gothic" w:hAnsi="Century Gothic"/>
          <w:sz w:val="24"/>
          <w:szCs w:val="24"/>
        </w:rPr>
      </w:pPr>
    </w:p>
    <w:p w14:paraId="0D10C0CD" w14:textId="77777777" w:rsidR="00D36600" w:rsidRDefault="00D36600" w:rsidP="002A7223">
      <w:pPr>
        <w:spacing w:line="360" w:lineRule="auto"/>
        <w:jc w:val="both"/>
        <w:rPr>
          <w:rFonts w:ascii="Century Gothic" w:hAnsi="Century Gothic"/>
          <w:sz w:val="24"/>
          <w:szCs w:val="24"/>
        </w:rPr>
      </w:pPr>
    </w:p>
    <w:p w14:paraId="4EED5659" w14:textId="77777777" w:rsidR="00D36600" w:rsidRDefault="00D36600" w:rsidP="002A7223">
      <w:pPr>
        <w:spacing w:line="360" w:lineRule="auto"/>
        <w:jc w:val="both"/>
        <w:rPr>
          <w:rFonts w:ascii="Century Gothic" w:hAnsi="Century Gothic"/>
          <w:sz w:val="24"/>
          <w:szCs w:val="24"/>
        </w:rPr>
      </w:pPr>
    </w:p>
    <w:p w14:paraId="34EE98BB" w14:textId="77777777" w:rsidR="00D36600" w:rsidRDefault="00D36600" w:rsidP="002A7223">
      <w:pPr>
        <w:spacing w:line="360" w:lineRule="auto"/>
        <w:jc w:val="both"/>
        <w:rPr>
          <w:rFonts w:ascii="Century Gothic" w:hAnsi="Century Gothic"/>
          <w:sz w:val="24"/>
          <w:szCs w:val="24"/>
        </w:rPr>
      </w:pPr>
    </w:p>
    <w:p w14:paraId="7F9DFED9" w14:textId="2E0EDF36" w:rsidR="00225EA6" w:rsidRDefault="008A79F5" w:rsidP="00D36600">
      <w:pPr>
        <w:spacing w:line="360" w:lineRule="auto"/>
        <w:jc w:val="both"/>
        <w:rPr>
          <w:rFonts w:ascii="Century Gothic" w:hAnsi="Century Gothic"/>
          <w:sz w:val="24"/>
          <w:szCs w:val="24"/>
        </w:rPr>
      </w:pPr>
      <w:r>
        <w:rPr>
          <w:rFonts w:ascii="Century Gothic" w:hAnsi="Century Gothic"/>
          <w:sz w:val="24"/>
          <w:szCs w:val="24"/>
        </w:rPr>
        <w:t>Source: CGE, 20</w:t>
      </w:r>
      <w:r w:rsidR="005F19DA">
        <w:rPr>
          <w:rFonts w:ascii="Century Gothic" w:hAnsi="Century Gothic"/>
          <w:sz w:val="24"/>
          <w:szCs w:val="24"/>
        </w:rPr>
        <w:t>24</w:t>
      </w:r>
    </w:p>
    <w:tbl>
      <w:tblPr>
        <w:tblStyle w:val="TableGrid"/>
        <w:tblW w:w="5000" w:type="pct"/>
        <w:tblLayout w:type="fixed"/>
        <w:tblLook w:val="04A0" w:firstRow="1" w:lastRow="0" w:firstColumn="1" w:lastColumn="0" w:noHBand="0" w:noVBand="1"/>
      </w:tblPr>
      <w:tblGrid>
        <w:gridCol w:w="4721"/>
        <w:gridCol w:w="925"/>
        <w:gridCol w:w="926"/>
        <w:gridCol w:w="926"/>
        <w:gridCol w:w="926"/>
        <w:gridCol w:w="926"/>
      </w:tblGrid>
      <w:tr w:rsidR="00EE0BFA" w:rsidRPr="00EE0BFA" w14:paraId="0E705D7F" w14:textId="77777777" w:rsidTr="00361D11">
        <w:trPr>
          <w:trHeight w:val="170"/>
        </w:trPr>
        <w:tc>
          <w:tcPr>
            <w:tcW w:w="4952" w:type="dxa"/>
          </w:tcPr>
          <w:p w14:paraId="4163B8D4"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Women in Politics in South Africa</w:t>
            </w:r>
          </w:p>
        </w:tc>
        <w:tc>
          <w:tcPr>
            <w:tcW w:w="961" w:type="dxa"/>
          </w:tcPr>
          <w:p w14:paraId="29B673DC" w14:textId="77777777" w:rsidR="00EE0BFA" w:rsidRPr="00EE0BFA" w:rsidRDefault="00EE0BFA" w:rsidP="00EE0BFA">
            <w:pPr>
              <w:spacing w:after="160" w:line="360" w:lineRule="auto"/>
              <w:jc w:val="both"/>
              <w:rPr>
                <w:rFonts w:ascii="Century Gothic" w:hAnsi="Century Gothic"/>
                <w:b/>
                <w:bCs/>
                <w:i/>
                <w:iCs/>
                <w:sz w:val="24"/>
                <w:szCs w:val="24"/>
              </w:rPr>
            </w:pPr>
            <w:r w:rsidRPr="00EE0BFA">
              <w:rPr>
                <w:rFonts w:ascii="Century Gothic" w:hAnsi="Century Gothic"/>
                <w:b/>
                <w:bCs/>
                <w:sz w:val="24"/>
                <w:szCs w:val="24"/>
              </w:rPr>
              <w:t>2004</w:t>
            </w:r>
          </w:p>
        </w:tc>
        <w:tc>
          <w:tcPr>
            <w:tcW w:w="962" w:type="dxa"/>
          </w:tcPr>
          <w:p w14:paraId="57878667" w14:textId="77777777" w:rsidR="00EE0BFA" w:rsidRPr="00EE0BFA" w:rsidRDefault="00EE0BFA" w:rsidP="00EE0BFA">
            <w:pPr>
              <w:spacing w:after="160" w:line="360" w:lineRule="auto"/>
              <w:jc w:val="both"/>
              <w:rPr>
                <w:rFonts w:ascii="Century Gothic" w:hAnsi="Century Gothic"/>
                <w:b/>
                <w:bCs/>
                <w:i/>
                <w:iCs/>
                <w:sz w:val="24"/>
                <w:szCs w:val="24"/>
              </w:rPr>
            </w:pPr>
            <w:r w:rsidRPr="00EE0BFA">
              <w:rPr>
                <w:rFonts w:ascii="Century Gothic" w:hAnsi="Century Gothic"/>
                <w:b/>
                <w:bCs/>
                <w:sz w:val="24"/>
                <w:szCs w:val="24"/>
              </w:rPr>
              <w:t>2009</w:t>
            </w:r>
          </w:p>
        </w:tc>
        <w:tc>
          <w:tcPr>
            <w:tcW w:w="962" w:type="dxa"/>
          </w:tcPr>
          <w:p w14:paraId="053C0233" w14:textId="77777777" w:rsidR="00EE0BFA" w:rsidRPr="00EE0BFA" w:rsidRDefault="00EE0BFA" w:rsidP="00EE0BFA">
            <w:pPr>
              <w:spacing w:after="160" w:line="360" w:lineRule="auto"/>
              <w:jc w:val="both"/>
              <w:rPr>
                <w:rFonts w:ascii="Century Gothic" w:hAnsi="Century Gothic"/>
                <w:b/>
                <w:bCs/>
                <w:i/>
                <w:iCs/>
                <w:sz w:val="24"/>
                <w:szCs w:val="24"/>
              </w:rPr>
            </w:pPr>
            <w:r w:rsidRPr="00EE0BFA">
              <w:rPr>
                <w:rFonts w:ascii="Century Gothic" w:hAnsi="Century Gothic"/>
                <w:b/>
                <w:bCs/>
                <w:sz w:val="24"/>
                <w:szCs w:val="24"/>
              </w:rPr>
              <w:t>2014</w:t>
            </w:r>
          </w:p>
        </w:tc>
        <w:tc>
          <w:tcPr>
            <w:tcW w:w="962" w:type="dxa"/>
          </w:tcPr>
          <w:p w14:paraId="6A2D1DC4" w14:textId="77777777" w:rsidR="00EE0BFA" w:rsidRPr="00EE0BFA" w:rsidRDefault="00EE0BFA" w:rsidP="00EE0BFA">
            <w:pPr>
              <w:spacing w:after="160" w:line="360" w:lineRule="auto"/>
              <w:jc w:val="both"/>
              <w:rPr>
                <w:rFonts w:ascii="Century Gothic" w:hAnsi="Century Gothic"/>
                <w:b/>
                <w:bCs/>
                <w:i/>
                <w:iCs/>
                <w:sz w:val="24"/>
                <w:szCs w:val="24"/>
              </w:rPr>
            </w:pPr>
            <w:r w:rsidRPr="00EE0BFA">
              <w:rPr>
                <w:rFonts w:ascii="Century Gothic" w:hAnsi="Century Gothic"/>
                <w:b/>
                <w:bCs/>
                <w:sz w:val="24"/>
                <w:szCs w:val="24"/>
              </w:rPr>
              <w:t>2019</w:t>
            </w:r>
          </w:p>
        </w:tc>
        <w:tc>
          <w:tcPr>
            <w:tcW w:w="962" w:type="dxa"/>
          </w:tcPr>
          <w:p w14:paraId="5FDBCDBB" w14:textId="77777777" w:rsidR="00EE0BFA" w:rsidRPr="00EE0BFA" w:rsidRDefault="00EE0BFA" w:rsidP="00EE0BFA">
            <w:pPr>
              <w:spacing w:after="160" w:line="360" w:lineRule="auto"/>
              <w:jc w:val="both"/>
              <w:rPr>
                <w:rFonts w:ascii="Century Gothic" w:hAnsi="Century Gothic"/>
                <w:b/>
                <w:bCs/>
                <w:sz w:val="24"/>
                <w:szCs w:val="24"/>
              </w:rPr>
            </w:pPr>
            <w:r w:rsidRPr="00EE0BFA">
              <w:rPr>
                <w:rFonts w:ascii="Century Gothic" w:hAnsi="Century Gothic"/>
                <w:b/>
                <w:bCs/>
                <w:sz w:val="24"/>
                <w:szCs w:val="24"/>
              </w:rPr>
              <w:t>2024</w:t>
            </w:r>
          </w:p>
        </w:tc>
      </w:tr>
      <w:tr w:rsidR="00EE0BFA" w:rsidRPr="00EE0BFA" w14:paraId="46681DCE" w14:textId="77777777" w:rsidTr="00361D11">
        <w:trPr>
          <w:trHeight w:val="170"/>
        </w:trPr>
        <w:tc>
          <w:tcPr>
            <w:tcW w:w="4952" w:type="dxa"/>
          </w:tcPr>
          <w:p w14:paraId="07BF8D75"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Women MPs in the National Assembly (NA)</w:t>
            </w:r>
          </w:p>
        </w:tc>
        <w:tc>
          <w:tcPr>
            <w:tcW w:w="961" w:type="dxa"/>
          </w:tcPr>
          <w:p w14:paraId="5AA27D72"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33%</w:t>
            </w:r>
          </w:p>
        </w:tc>
        <w:tc>
          <w:tcPr>
            <w:tcW w:w="962" w:type="dxa"/>
          </w:tcPr>
          <w:p w14:paraId="26B3643E"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43%</w:t>
            </w:r>
          </w:p>
        </w:tc>
        <w:tc>
          <w:tcPr>
            <w:tcW w:w="962" w:type="dxa"/>
          </w:tcPr>
          <w:p w14:paraId="4B197298"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40%</w:t>
            </w:r>
          </w:p>
        </w:tc>
        <w:tc>
          <w:tcPr>
            <w:tcW w:w="962" w:type="dxa"/>
          </w:tcPr>
          <w:p w14:paraId="2A4E036B"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46%</w:t>
            </w:r>
          </w:p>
        </w:tc>
        <w:tc>
          <w:tcPr>
            <w:tcW w:w="962" w:type="dxa"/>
          </w:tcPr>
          <w:p w14:paraId="0DE5DD51"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43%</w:t>
            </w:r>
          </w:p>
        </w:tc>
      </w:tr>
      <w:tr w:rsidR="00EE0BFA" w:rsidRPr="00EE0BFA" w14:paraId="7F1C2A94" w14:textId="77777777" w:rsidTr="00361D11">
        <w:trPr>
          <w:trHeight w:val="170"/>
        </w:trPr>
        <w:tc>
          <w:tcPr>
            <w:tcW w:w="4952" w:type="dxa"/>
          </w:tcPr>
          <w:p w14:paraId="234C3637"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Women MPs in NCOP</w:t>
            </w:r>
          </w:p>
        </w:tc>
        <w:tc>
          <w:tcPr>
            <w:tcW w:w="961" w:type="dxa"/>
          </w:tcPr>
          <w:p w14:paraId="3DC88F4F"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41%</w:t>
            </w:r>
          </w:p>
        </w:tc>
        <w:tc>
          <w:tcPr>
            <w:tcW w:w="962" w:type="dxa"/>
          </w:tcPr>
          <w:p w14:paraId="522E8D6F"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30%</w:t>
            </w:r>
          </w:p>
        </w:tc>
        <w:tc>
          <w:tcPr>
            <w:tcW w:w="962" w:type="dxa"/>
          </w:tcPr>
          <w:p w14:paraId="5EF4BCF4"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28%</w:t>
            </w:r>
          </w:p>
        </w:tc>
        <w:tc>
          <w:tcPr>
            <w:tcW w:w="962" w:type="dxa"/>
          </w:tcPr>
          <w:p w14:paraId="6E01D07A"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36%</w:t>
            </w:r>
          </w:p>
        </w:tc>
        <w:tc>
          <w:tcPr>
            <w:tcW w:w="962" w:type="dxa"/>
          </w:tcPr>
          <w:p w14:paraId="56A7D17A"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44,4%</w:t>
            </w:r>
          </w:p>
        </w:tc>
      </w:tr>
      <w:tr w:rsidR="00EE0BFA" w:rsidRPr="00EE0BFA" w14:paraId="6C7803DD" w14:textId="77777777" w:rsidTr="00361D11">
        <w:trPr>
          <w:trHeight w:val="170"/>
        </w:trPr>
        <w:tc>
          <w:tcPr>
            <w:tcW w:w="4952" w:type="dxa"/>
          </w:tcPr>
          <w:p w14:paraId="769A7A3B"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Women MPLs</w:t>
            </w:r>
          </w:p>
        </w:tc>
        <w:tc>
          <w:tcPr>
            <w:tcW w:w="961" w:type="dxa"/>
          </w:tcPr>
          <w:p w14:paraId="1F501D0D"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30%</w:t>
            </w:r>
          </w:p>
        </w:tc>
        <w:tc>
          <w:tcPr>
            <w:tcW w:w="962" w:type="dxa"/>
          </w:tcPr>
          <w:p w14:paraId="5F7739B0"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41%</w:t>
            </w:r>
          </w:p>
        </w:tc>
        <w:tc>
          <w:tcPr>
            <w:tcW w:w="962" w:type="dxa"/>
          </w:tcPr>
          <w:p w14:paraId="7BECF717"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37%</w:t>
            </w:r>
          </w:p>
        </w:tc>
        <w:tc>
          <w:tcPr>
            <w:tcW w:w="962" w:type="dxa"/>
          </w:tcPr>
          <w:p w14:paraId="4CD02B9C"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46%</w:t>
            </w:r>
          </w:p>
        </w:tc>
        <w:tc>
          <w:tcPr>
            <w:tcW w:w="962" w:type="dxa"/>
          </w:tcPr>
          <w:p w14:paraId="6925DC0E"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38%</w:t>
            </w:r>
          </w:p>
        </w:tc>
      </w:tr>
      <w:tr w:rsidR="00EE0BFA" w:rsidRPr="00EE0BFA" w14:paraId="7EA6DFEA" w14:textId="77777777" w:rsidTr="00361D11">
        <w:trPr>
          <w:trHeight w:val="170"/>
        </w:trPr>
        <w:tc>
          <w:tcPr>
            <w:tcW w:w="4952" w:type="dxa"/>
          </w:tcPr>
          <w:p w14:paraId="53391C03"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Women in Cabinet</w:t>
            </w:r>
          </w:p>
        </w:tc>
        <w:tc>
          <w:tcPr>
            <w:tcW w:w="961" w:type="dxa"/>
          </w:tcPr>
          <w:p w14:paraId="50F47A21"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42%</w:t>
            </w:r>
          </w:p>
        </w:tc>
        <w:tc>
          <w:tcPr>
            <w:tcW w:w="962" w:type="dxa"/>
          </w:tcPr>
          <w:p w14:paraId="4DFE1210"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41%</w:t>
            </w:r>
          </w:p>
        </w:tc>
        <w:tc>
          <w:tcPr>
            <w:tcW w:w="962" w:type="dxa"/>
          </w:tcPr>
          <w:p w14:paraId="2707D3FE"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41%</w:t>
            </w:r>
          </w:p>
        </w:tc>
        <w:tc>
          <w:tcPr>
            <w:tcW w:w="962" w:type="dxa"/>
          </w:tcPr>
          <w:p w14:paraId="725C8B7D"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50%</w:t>
            </w:r>
          </w:p>
        </w:tc>
        <w:tc>
          <w:tcPr>
            <w:tcW w:w="962" w:type="dxa"/>
          </w:tcPr>
          <w:p w14:paraId="636040E8"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44%</w:t>
            </w:r>
          </w:p>
        </w:tc>
      </w:tr>
      <w:tr w:rsidR="00EE0BFA" w:rsidRPr="00EE0BFA" w14:paraId="5CF0B2EA" w14:textId="77777777" w:rsidTr="00361D11">
        <w:trPr>
          <w:trHeight w:val="170"/>
        </w:trPr>
        <w:tc>
          <w:tcPr>
            <w:tcW w:w="4952" w:type="dxa"/>
          </w:tcPr>
          <w:p w14:paraId="62E919D4"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Women deputy ministers</w:t>
            </w:r>
          </w:p>
        </w:tc>
        <w:tc>
          <w:tcPr>
            <w:tcW w:w="961" w:type="dxa"/>
          </w:tcPr>
          <w:p w14:paraId="2390C3BE"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60%</w:t>
            </w:r>
          </w:p>
        </w:tc>
        <w:tc>
          <w:tcPr>
            <w:tcW w:w="962" w:type="dxa"/>
          </w:tcPr>
          <w:p w14:paraId="03B20ED1"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39%</w:t>
            </w:r>
          </w:p>
        </w:tc>
        <w:tc>
          <w:tcPr>
            <w:tcW w:w="962" w:type="dxa"/>
          </w:tcPr>
          <w:p w14:paraId="60EF23A4"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44%</w:t>
            </w:r>
          </w:p>
        </w:tc>
        <w:tc>
          <w:tcPr>
            <w:tcW w:w="962" w:type="dxa"/>
          </w:tcPr>
          <w:p w14:paraId="513741DD"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46%</w:t>
            </w:r>
          </w:p>
        </w:tc>
        <w:tc>
          <w:tcPr>
            <w:tcW w:w="962" w:type="dxa"/>
          </w:tcPr>
          <w:p w14:paraId="4FE69BB8"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39,5%</w:t>
            </w:r>
          </w:p>
        </w:tc>
      </w:tr>
      <w:tr w:rsidR="00EE0BFA" w:rsidRPr="00EE0BFA" w14:paraId="53F08BC2" w14:textId="77777777" w:rsidTr="00361D11">
        <w:trPr>
          <w:trHeight w:val="170"/>
        </w:trPr>
        <w:tc>
          <w:tcPr>
            <w:tcW w:w="4952" w:type="dxa"/>
          </w:tcPr>
          <w:p w14:paraId="190CA961"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Women premiers</w:t>
            </w:r>
          </w:p>
        </w:tc>
        <w:tc>
          <w:tcPr>
            <w:tcW w:w="961" w:type="dxa"/>
          </w:tcPr>
          <w:p w14:paraId="15CAB712"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44%</w:t>
            </w:r>
          </w:p>
        </w:tc>
        <w:tc>
          <w:tcPr>
            <w:tcW w:w="962" w:type="dxa"/>
          </w:tcPr>
          <w:p w14:paraId="1CDDF64C"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55%</w:t>
            </w:r>
          </w:p>
        </w:tc>
        <w:tc>
          <w:tcPr>
            <w:tcW w:w="962" w:type="dxa"/>
          </w:tcPr>
          <w:p w14:paraId="0A3E8366"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22%</w:t>
            </w:r>
          </w:p>
        </w:tc>
        <w:tc>
          <w:tcPr>
            <w:tcW w:w="962" w:type="dxa"/>
          </w:tcPr>
          <w:p w14:paraId="1B43A5F7"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22%</w:t>
            </w:r>
          </w:p>
        </w:tc>
        <w:tc>
          <w:tcPr>
            <w:tcW w:w="962" w:type="dxa"/>
          </w:tcPr>
          <w:p w14:paraId="0D42BA44"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22%</w:t>
            </w:r>
          </w:p>
        </w:tc>
      </w:tr>
      <w:tr w:rsidR="00EE0BFA" w:rsidRPr="00EE0BFA" w14:paraId="57C49B08" w14:textId="77777777" w:rsidTr="00361D11">
        <w:trPr>
          <w:trHeight w:val="170"/>
        </w:trPr>
        <w:tc>
          <w:tcPr>
            <w:tcW w:w="4952" w:type="dxa"/>
          </w:tcPr>
          <w:p w14:paraId="4E2E6F23"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Women voters</w:t>
            </w:r>
          </w:p>
        </w:tc>
        <w:tc>
          <w:tcPr>
            <w:tcW w:w="961" w:type="dxa"/>
          </w:tcPr>
          <w:p w14:paraId="666A6D80"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55%</w:t>
            </w:r>
          </w:p>
        </w:tc>
        <w:tc>
          <w:tcPr>
            <w:tcW w:w="962" w:type="dxa"/>
          </w:tcPr>
          <w:p w14:paraId="1BF7B4E6"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55%</w:t>
            </w:r>
          </w:p>
        </w:tc>
        <w:tc>
          <w:tcPr>
            <w:tcW w:w="962" w:type="dxa"/>
          </w:tcPr>
          <w:p w14:paraId="08E39687"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56%</w:t>
            </w:r>
          </w:p>
        </w:tc>
        <w:tc>
          <w:tcPr>
            <w:tcW w:w="962" w:type="dxa"/>
          </w:tcPr>
          <w:p w14:paraId="1E126AA6"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55%</w:t>
            </w:r>
          </w:p>
        </w:tc>
        <w:tc>
          <w:tcPr>
            <w:tcW w:w="962" w:type="dxa"/>
          </w:tcPr>
          <w:p w14:paraId="43921F39" w14:textId="77777777" w:rsidR="00EE0BFA" w:rsidRPr="00EE0BFA" w:rsidRDefault="00EE0BFA" w:rsidP="00EE0BFA">
            <w:pPr>
              <w:spacing w:after="160" w:line="360" w:lineRule="auto"/>
              <w:jc w:val="both"/>
              <w:rPr>
                <w:rFonts w:ascii="Century Gothic" w:hAnsi="Century Gothic"/>
                <w:sz w:val="24"/>
                <w:szCs w:val="24"/>
              </w:rPr>
            </w:pPr>
            <w:r w:rsidRPr="00EE0BFA">
              <w:rPr>
                <w:rFonts w:ascii="Century Gothic" w:hAnsi="Century Gothic"/>
                <w:sz w:val="24"/>
                <w:szCs w:val="24"/>
              </w:rPr>
              <w:t>55%</w:t>
            </w:r>
          </w:p>
        </w:tc>
      </w:tr>
    </w:tbl>
    <w:p w14:paraId="548F65A4" w14:textId="65861B52" w:rsidR="00E1733C" w:rsidRPr="002A7223" w:rsidRDefault="00FC3523" w:rsidP="002A7223">
      <w:pPr>
        <w:spacing w:line="360" w:lineRule="auto"/>
        <w:jc w:val="both"/>
        <w:rPr>
          <w:rFonts w:ascii="Century Gothic" w:hAnsi="Century Gothic"/>
          <w:sz w:val="24"/>
          <w:szCs w:val="24"/>
        </w:rPr>
      </w:pPr>
      <w:r>
        <w:rPr>
          <w:rFonts w:ascii="Century Gothic" w:hAnsi="Century Gothic"/>
          <w:sz w:val="24"/>
          <w:szCs w:val="24"/>
        </w:rPr>
        <w:t>Source: IEC, 2024</w:t>
      </w:r>
    </w:p>
    <w:p w14:paraId="0EE7C6C6" w14:textId="0E1203E4" w:rsidR="00EB091E" w:rsidRDefault="00EB091E" w:rsidP="00EB091E">
      <w:pPr>
        <w:spacing w:line="360" w:lineRule="auto"/>
        <w:jc w:val="both"/>
        <w:rPr>
          <w:rFonts w:ascii="Century Gothic" w:hAnsi="Century Gothic"/>
          <w:sz w:val="24"/>
          <w:szCs w:val="24"/>
        </w:rPr>
      </w:pPr>
    </w:p>
    <w:p w14:paraId="611FB95C" w14:textId="77777777" w:rsidR="00392DEE" w:rsidRDefault="00392DEE" w:rsidP="00EB091E">
      <w:pPr>
        <w:spacing w:line="360" w:lineRule="auto"/>
        <w:jc w:val="both"/>
        <w:rPr>
          <w:rFonts w:ascii="Century Gothic" w:hAnsi="Century Gothic"/>
          <w:sz w:val="24"/>
          <w:szCs w:val="24"/>
        </w:rPr>
      </w:pPr>
    </w:p>
    <w:p w14:paraId="1E25607C" w14:textId="77777777" w:rsidR="00392DEE" w:rsidRPr="00395213" w:rsidRDefault="00392DEE" w:rsidP="00EB091E">
      <w:pPr>
        <w:spacing w:line="360" w:lineRule="auto"/>
        <w:jc w:val="both"/>
        <w:rPr>
          <w:rFonts w:ascii="Century Gothic" w:hAnsi="Century Gothic"/>
          <w:sz w:val="24"/>
          <w:szCs w:val="24"/>
        </w:rPr>
      </w:pPr>
    </w:p>
    <w:p w14:paraId="6CC15B57" w14:textId="77777777" w:rsidR="00EB091E" w:rsidRPr="00EB091E" w:rsidRDefault="00EB091E" w:rsidP="00EB091E">
      <w:pPr>
        <w:spacing w:line="360" w:lineRule="auto"/>
        <w:jc w:val="both"/>
        <w:rPr>
          <w:rFonts w:ascii="Century Gothic" w:hAnsi="Century Gothic"/>
          <w:b/>
          <w:bCs/>
          <w:sz w:val="24"/>
          <w:szCs w:val="24"/>
          <w:lang w:val="en-US"/>
        </w:rPr>
      </w:pPr>
      <w:r w:rsidRPr="00EB091E">
        <w:rPr>
          <w:rFonts w:ascii="Century Gothic" w:hAnsi="Century Gothic"/>
          <w:b/>
          <w:bCs/>
          <w:sz w:val="24"/>
          <w:szCs w:val="24"/>
          <w:lang w:val="en-US"/>
        </w:rPr>
        <w:lastRenderedPageBreak/>
        <w:t>9. Education</w:t>
      </w:r>
    </w:p>
    <w:p w14:paraId="50DA0866" w14:textId="77777777"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Education remains a critical area of progress and concern. The Basic Education Laws Amendment Act (BELA) (2024) and the National Policy on Learner Pregnancy (2021) aim to improve access and retention for girls.</w:t>
      </w:r>
    </w:p>
    <w:p w14:paraId="57810B31" w14:textId="4E127BAF"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Female enrolment has remained relatively stable at around 49.5%, with higher participation in senior grades. However, dropout rates among girls are influenced by financial constraints, care</w:t>
      </w:r>
      <w:r w:rsidR="0003013A">
        <w:rPr>
          <w:rFonts w:ascii="Century Gothic" w:hAnsi="Century Gothic"/>
          <w:sz w:val="24"/>
          <w:szCs w:val="24"/>
          <w:lang w:val="en-US"/>
        </w:rPr>
        <w:t xml:space="preserve"> work</w:t>
      </w:r>
      <w:r w:rsidRPr="00EB091E">
        <w:rPr>
          <w:rFonts w:ascii="Century Gothic" w:hAnsi="Century Gothic"/>
          <w:sz w:val="24"/>
          <w:szCs w:val="24"/>
          <w:lang w:val="en-US"/>
        </w:rPr>
        <w:t xml:space="preserve"> responsibilities, and teenage pregnancy.</w:t>
      </w:r>
    </w:p>
    <w:p w14:paraId="0C974459" w14:textId="77777777"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Gender disparities persist in STEM fields, despite targeted initiatives such as the 10,000 Girls in STEM programme. Literacy rates also reflect inequality, with women consistently exhibiting higher illiteracy rates than men (Stats SA, 2022).</w:t>
      </w:r>
    </w:p>
    <w:p w14:paraId="2225D33D" w14:textId="7C7AA247" w:rsidR="00EB091E" w:rsidRDefault="00F21119" w:rsidP="00EB091E">
      <w:pPr>
        <w:spacing w:line="360" w:lineRule="auto"/>
        <w:jc w:val="both"/>
        <w:rPr>
          <w:rFonts w:ascii="Century Gothic" w:hAnsi="Century Gothic"/>
          <w:sz w:val="24"/>
          <w:szCs w:val="24"/>
          <w:lang w:val="en-US"/>
        </w:rPr>
      </w:pPr>
      <w:r>
        <w:rPr>
          <w:rFonts w:ascii="Century Gothic" w:hAnsi="Century Gothic"/>
          <w:sz w:val="24"/>
          <w:szCs w:val="24"/>
          <w:lang w:val="en-US"/>
        </w:rPr>
        <w:t>Closure to public schools</w:t>
      </w:r>
      <w:r w:rsidR="002C4186">
        <w:rPr>
          <w:rFonts w:ascii="Century Gothic" w:hAnsi="Century Gothic"/>
          <w:sz w:val="24"/>
          <w:szCs w:val="24"/>
          <w:lang w:val="en-US"/>
        </w:rPr>
        <w:t xml:space="preserve"> due to cost cutting and s</w:t>
      </w:r>
      <w:r w:rsidR="00EB091E" w:rsidRPr="00EB091E">
        <w:rPr>
          <w:rFonts w:ascii="Century Gothic" w:hAnsi="Century Gothic"/>
          <w:sz w:val="24"/>
          <w:szCs w:val="24"/>
          <w:lang w:val="en-US"/>
        </w:rPr>
        <w:t xml:space="preserve">chool safety remain a concern, particularly in rural areas </w:t>
      </w:r>
      <w:proofErr w:type="gramStart"/>
      <w:r w:rsidR="00EB091E" w:rsidRPr="00EB091E">
        <w:rPr>
          <w:rFonts w:ascii="Century Gothic" w:hAnsi="Century Gothic"/>
          <w:sz w:val="24"/>
          <w:szCs w:val="24"/>
          <w:lang w:val="en-US"/>
        </w:rPr>
        <w:t>where</w:t>
      </w:r>
      <w:proofErr w:type="gramEnd"/>
      <w:r w:rsidR="00EB091E" w:rsidRPr="00EB091E">
        <w:rPr>
          <w:rFonts w:ascii="Century Gothic" w:hAnsi="Century Gothic"/>
          <w:sz w:val="24"/>
          <w:szCs w:val="24"/>
          <w:lang w:val="en-US"/>
        </w:rPr>
        <w:t xml:space="preserve"> inadequate transport exposes girls to violence and harassment.</w:t>
      </w:r>
    </w:p>
    <w:p w14:paraId="35E77C02" w14:textId="7723CF25" w:rsidR="00E9700E" w:rsidRDefault="00E9700E" w:rsidP="00EB091E">
      <w:pPr>
        <w:spacing w:line="360" w:lineRule="auto"/>
        <w:jc w:val="both"/>
        <w:rPr>
          <w:rFonts w:ascii="Century Gothic" w:hAnsi="Century Gothic"/>
          <w:sz w:val="24"/>
          <w:szCs w:val="24"/>
          <w:lang w:val="en-US"/>
        </w:rPr>
      </w:pPr>
      <w:r w:rsidRPr="00E9700E">
        <w:rPr>
          <w:rFonts w:ascii="Century Gothic" w:hAnsi="Century Gothic"/>
          <w:b/>
          <w:bCs/>
          <w:sz w:val="24"/>
          <w:szCs w:val="24"/>
        </w:rPr>
        <w:t>Percentage distribution of female learners in ordinary schools by grade in 2024</w:t>
      </w:r>
    </w:p>
    <w:p w14:paraId="7ADF0E7D" w14:textId="5A3BC074" w:rsidR="001C7557" w:rsidRPr="00EB091E" w:rsidRDefault="001C7557" w:rsidP="00EB091E">
      <w:pPr>
        <w:spacing w:line="360" w:lineRule="auto"/>
        <w:jc w:val="both"/>
        <w:rPr>
          <w:rFonts w:ascii="Century Gothic" w:hAnsi="Century Gothic"/>
          <w:sz w:val="24"/>
          <w:szCs w:val="24"/>
          <w:lang w:val="en-US"/>
        </w:rPr>
      </w:pPr>
      <w:r w:rsidRPr="00CF41F8">
        <w:rPr>
          <w:noProof/>
        </w:rPr>
        <w:drawing>
          <wp:inline distT="0" distB="0" distL="0" distR="0" wp14:anchorId="41530379" wp14:editId="3AEA54E1">
            <wp:extent cx="5943600" cy="3211127"/>
            <wp:effectExtent l="0" t="0" r="0" b="8890"/>
            <wp:docPr id="1637252622" name="Picture 163725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3120" t="16559" r="3632" b="5023"/>
                    <a:stretch/>
                  </pic:blipFill>
                  <pic:spPr bwMode="auto">
                    <a:xfrm>
                      <a:off x="0" y="0"/>
                      <a:ext cx="5943600" cy="3211127"/>
                    </a:xfrm>
                    <a:prstGeom prst="rect">
                      <a:avLst/>
                    </a:prstGeom>
                    <a:ln>
                      <a:noFill/>
                    </a:ln>
                    <a:extLst>
                      <a:ext uri="{53640926-AAD7-44D8-BBD7-CCE9431645EC}">
                        <a14:shadowObscured xmlns:a14="http://schemas.microsoft.com/office/drawing/2010/main"/>
                      </a:ext>
                    </a:extLst>
                  </pic:spPr>
                </pic:pic>
              </a:graphicData>
            </a:graphic>
          </wp:inline>
        </w:drawing>
      </w:r>
    </w:p>
    <w:p w14:paraId="34D8FD68" w14:textId="0F596421" w:rsidR="00E9700E" w:rsidRDefault="00B65A1B" w:rsidP="00EB091E">
      <w:pPr>
        <w:spacing w:line="360" w:lineRule="auto"/>
        <w:jc w:val="both"/>
        <w:rPr>
          <w:rFonts w:ascii="Century Gothic" w:hAnsi="Century Gothic"/>
          <w:sz w:val="24"/>
          <w:szCs w:val="24"/>
          <w:lang w:val="en-US"/>
        </w:rPr>
      </w:pPr>
      <w:r w:rsidRPr="00B65A1B">
        <w:rPr>
          <w:rFonts w:ascii="Century Gothic" w:hAnsi="Century Gothic"/>
          <w:sz w:val="24"/>
          <w:szCs w:val="24"/>
          <w:lang w:val="en-US"/>
        </w:rPr>
        <w:lastRenderedPageBreak/>
        <w:t>Source: DBE, 2024</w:t>
      </w:r>
    </w:p>
    <w:p w14:paraId="5383354A" w14:textId="6C42DBCA" w:rsidR="00D4286C" w:rsidRPr="00FC5C7A" w:rsidRDefault="00FC5C7A" w:rsidP="00EB091E">
      <w:pPr>
        <w:spacing w:line="360" w:lineRule="auto"/>
        <w:jc w:val="both"/>
        <w:rPr>
          <w:rFonts w:ascii="Century Gothic" w:hAnsi="Century Gothic"/>
          <w:b/>
          <w:bCs/>
          <w:sz w:val="24"/>
          <w:szCs w:val="24"/>
          <w:lang w:val="en-US"/>
        </w:rPr>
      </w:pPr>
      <w:r w:rsidRPr="00FC5C7A">
        <w:rPr>
          <w:rFonts w:ascii="Century Gothic" w:hAnsi="Century Gothic"/>
          <w:b/>
          <w:bCs/>
          <w:sz w:val="24"/>
          <w:szCs w:val="24"/>
        </w:rPr>
        <w:t>National budget allocation for the Department of Basic Education</w:t>
      </w:r>
    </w:p>
    <w:tbl>
      <w:tblPr>
        <w:tblStyle w:val="TableGrid1"/>
        <w:tblW w:w="0" w:type="auto"/>
        <w:tblLayout w:type="fixed"/>
        <w:tblLook w:val="04A0" w:firstRow="1" w:lastRow="0" w:firstColumn="1" w:lastColumn="0" w:noHBand="0" w:noVBand="1"/>
      </w:tblPr>
      <w:tblGrid>
        <w:gridCol w:w="1555"/>
        <w:gridCol w:w="3168"/>
      </w:tblGrid>
      <w:tr w:rsidR="00D4286C" w:rsidRPr="00D4286C" w14:paraId="75790A69" w14:textId="77777777" w:rsidTr="00361D11">
        <w:trPr>
          <w:trHeight w:val="300"/>
        </w:trPr>
        <w:tc>
          <w:tcPr>
            <w:tcW w:w="1555" w:type="dxa"/>
          </w:tcPr>
          <w:p w14:paraId="478D6178" w14:textId="77777777" w:rsidR="00D4286C" w:rsidRPr="00D4286C" w:rsidRDefault="00D4286C" w:rsidP="00D4286C">
            <w:pPr>
              <w:rPr>
                <w:rFonts w:ascii="Century Gothic" w:eastAsia="Century Gothic" w:hAnsi="Century Gothic" w:cs="Century Gothic"/>
                <w:color w:val="000000" w:themeColor="text1"/>
              </w:rPr>
            </w:pPr>
            <w:r w:rsidRPr="00D4286C">
              <w:rPr>
                <w:rFonts w:ascii="Century Gothic" w:hAnsi="Century Gothic"/>
                <w:b/>
                <w:bCs/>
              </w:rPr>
              <w:t>Year</w:t>
            </w:r>
          </w:p>
        </w:tc>
        <w:tc>
          <w:tcPr>
            <w:tcW w:w="3168" w:type="dxa"/>
          </w:tcPr>
          <w:p w14:paraId="15E10B3E" w14:textId="77777777" w:rsidR="00D4286C" w:rsidRPr="00D4286C" w:rsidRDefault="00D4286C" w:rsidP="00D4286C">
            <w:pPr>
              <w:rPr>
                <w:rFonts w:ascii="Century Gothic" w:hAnsi="Century Gothic"/>
                <w:b/>
                <w:bCs/>
              </w:rPr>
            </w:pPr>
            <w:r w:rsidRPr="00D4286C">
              <w:rPr>
                <w:rFonts w:ascii="Century Gothic" w:hAnsi="Century Gothic"/>
                <w:b/>
                <w:bCs/>
              </w:rPr>
              <w:t>Budget allocation (R billion)</w:t>
            </w:r>
          </w:p>
        </w:tc>
      </w:tr>
      <w:tr w:rsidR="00D4286C" w:rsidRPr="00D4286C" w14:paraId="7C9120C3" w14:textId="77777777" w:rsidTr="00361D11">
        <w:trPr>
          <w:trHeight w:val="300"/>
        </w:trPr>
        <w:tc>
          <w:tcPr>
            <w:tcW w:w="1555" w:type="dxa"/>
          </w:tcPr>
          <w:p w14:paraId="3F914386" w14:textId="77777777" w:rsidR="00D4286C" w:rsidRPr="00D4286C" w:rsidRDefault="00D4286C" w:rsidP="00D4286C">
            <w:pPr>
              <w:rPr>
                <w:rFonts w:ascii="Century Gothic" w:eastAsia="Century Gothic" w:hAnsi="Century Gothic" w:cs="Century Gothic"/>
                <w:color w:val="000000" w:themeColor="text1"/>
              </w:rPr>
            </w:pPr>
            <w:r w:rsidRPr="00D4286C">
              <w:rPr>
                <w:rFonts w:ascii="Century Gothic" w:eastAsia="Century Gothic" w:hAnsi="Century Gothic" w:cs="Century Gothic"/>
                <w:color w:val="000000" w:themeColor="text1"/>
              </w:rPr>
              <w:t>2020/2021</w:t>
            </w:r>
          </w:p>
        </w:tc>
        <w:tc>
          <w:tcPr>
            <w:tcW w:w="3168" w:type="dxa"/>
          </w:tcPr>
          <w:p w14:paraId="42D83C61" w14:textId="77777777" w:rsidR="00D4286C" w:rsidRPr="00D4286C" w:rsidRDefault="00D4286C" w:rsidP="00D4286C">
            <w:pPr>
              <w:rPr>
                <w:rFonts w:ascii="Century Gothic" w:eastAsia="Century Gothic" w:hAnsi="Century Gothic" w:cs="Century Gothic"/>
                <w:color w:val="000000" w:themeColor="text1"/>
              </w:rPr>
            </w:pPr>
            <w:r w:rsidRPr="00D4286C">
              <w:rPr>
                <w:rFonts w:ascii="Century Gothic" w:eastAsia="Century Gothic" w:hAnsi="Century Gothic" w:cs="Century Gothic"/>
                <w:color w:val="000000" w:themeColor="text1"/>
              </w:rPr>
              <w:t>25.3</w:t>
            </w:r>
          </w:p>
        </w:tc>
      </w:tr>
      <w:tr w:rsidR="00D4286C" w:rsidRPr="00D4286C" w14:paraId="7959D021" w14:textId="77777777" w:rsidTr="00361D11">
        <w:trPr>
          <w:trHeight w:val="300"/>
        </w:trPr>
        <w:tc>
          <w:tcPr>
            <w:tcW w:w="1555" w:type="dxa"/>
          </w:tcPr>
          <w:p w14:paraId="66A2DCA3" w14:textId="77777777" w:rsidR="00D4286C" w:rsidRPr="00D4286C" w:rsidRDefault="00D4286C" w:rsidP="00D4286C">
            <w:pPr>
              <w:rPr>
                <w:rFonts w:ascii="Century Gothic" w:eastAsia="Century Gothic" w:hAnsi="Century Gothic" w:cs="Century Gothic"/>
                <w:color w:val="000000" w:themeColor="text1"/>
              </w:rPr>
            </w:pPr>
            <w:r w:rsidRPr="00D4286C">
              <w:rPr>
                <w:rFonts w:ascii="Century Gothic" w:eastAsia="Century Gothic" w:hAnsi="Century Gothic" w:cs="Century Gothic"/>
                <w:color w:val="000000" w:themeColor="text1"/>
              </w:rPr>
              <w:t>2021/2022</w:t>
            </w:r>
          </w:p>
        </w:tc>
        <w:tc>
          <w:tcPr>
            <w:tcW w:w="3168" w:type="dxa"/>
          </w:tcPr>
          <w:p w14:paraId="10F7468A" w14:textId="77777777" w:rsidR="00D4286C" w:rsidRPr="00D4286C" w:rsidRDefault="00D4286C" w:rsidP="00D4286C">
            <w:pPr>
              <w:rPr>
                <w:rFonts w:ascii="Century Gothic" w:eastAsia="Century Gothic" w:hAnsi="Century Gothic" w:cs="Century Gothic"/>
                <w:color w:val="000000" w:themeColor="text1"/>
              </w:rPr>
            </w:pPr>
            <w:r w:rsidRPr="00D4286C">
              <w:rPr>
                <w:rFonts w:ascii="Century Gothic" w:eastAsia="Century Gothic" w:hAnsi="Century Gothic" w:cs="Century Gothic"/>
                <w:color w:val="000000" w:themeColor="text1"/>
              </w:rPr>
              <w:t>27.6</w:t>
            </w:r>
          </w:p>
        </w:tc>
      </w:tr>
      <w:tr w:rsidR="00D4286C" w:rsidRPr="00D4286C" w14:paraId="63CD3AEF" w14:textId="77777777" w:rsidTr="00361D11">
        <w:trPr>
          <w:trHeight w:val="300"/>
        </w:trPr>
        <w:tc>
          <w:tcPr>
            <w:tcW w:w="1555" w:type="dxa"/>
          </w:tcPr>
          <w:p w14:paraId="05928471" w14:textId="77777777" w:rsidR="00D4286C" w:rsidRPr="00D4286C" w:rsidRDefault="00D4286C" w:rsidP="00D4286C">
            <w:pPr>
              <w:rPr>
                <w:rFonts w:ascii="Century Gothic" w:eastAsia="Century Gothic" w:hAnsi="Century Gothic" w:cs="Century Gothic"/>
                <w:color w:val="000000" w:themeColor="text1"/>
              </w:rPr>
            </w:pPr>
            <w:r w:rsidRPr="00D4286C">
              <w:rPr>
                <w:rFonts w:ascii="Century Gothic" w:eastAsia="Century Gothic" w:hAnsi="Century Gothic" w:cs="Century Gothic"/>
                <w:color w:val="000000" w:themeColor="text1"/>
              </w:rPr>
              <w:t>2022/2023</w:t>
            </w:r>
          </w:p>
        </w:tc>
        <w:tc>
          <w:tcPr>
            <w:tcW w:w="3168" w:type="dxa"/>
          </w:tcPr>
          <w:p w14:paraId="60EF9FAB" w14:textId="77777777" w:rsidR="00D4286C" w:rsidRPr="00D4286C" w:rsidRDefault="00D4286C" w:rsidP="00D4286C">
            <w:pPr>
              <w:rPr>
                <w:rFonts w:ascii="Century Gothic" w:eastAsia="Century Gothic" w:hAnsi="Century Gothic" w:cs="Century Gothic"/>
                <w:color w:val="000000" w:themeColor="text1"/>
              </w:rPr>
            </w:pPr>
            <w:r w:rsidRPr="00D4286C">
              <w:rPr>
                <w:rFonts w:ascii="Century Gothic" w:eastAsia="Century Gothic" w:hAnsi="Century Gothic" w:cs="Century Gothic"/>
                <w:color w:val="000000" w:themeColor="text1"/>
              </w:rPr>
              <w:t>29.1</w:t>
            </w:r>
          </w:p>
        </w:tc>
      </w:tr>
      <w:tr w:rsidR="00D4286C" w:rsidRPr="00D4286C" w14:paraId="0E8526EF" w14:textId="77777777" w:rsidTr="00361D11">
        <w:trPr>
          <w:trHeight w:val="300"/>
        </w:trPr>
        <w:tc>
          <w:tcPr>
            <w:tcW w:w="1555" w:type="dxa"/>
          </w:tcPr>
          <w:p w14:paraId="535ADE88" w14:textId="77777777" w:rsidR="00D4286C" w:rsidRPr="00D4286C" w:rsidRDefault="00D4286C" w:rsidP="00D4286C">
            <w:pPr>
              <w:rPr>
                <w:rFonts w:ascii="Century Gothic" w:eastAsia="Century Gothic" w:hAnsi="Century Gothic" w:cs="Century Gothic"/>
                <w:color w:val="000000" w:themeColor="text1"/>
              </w:rPr>
            </w:pPr>
            <w:r w:rsidRPr="00D4286C">
              <w:rPr>
                <w:rFonts w:ascii="Century Gothic" w:eastAsia="Century Gothic" w:hAnsi="Century Gothic" w:cs="Century Gothic"/>
                <w:color w:val="000000" w:themeColor="text1"/>
              </w:rPr>
              <w:t>2023/2024</w:t>
            </w:r>
          </w:p>
        </w:tc>
        <w:tc>
          <w:tcPr>
            <w:tcW w:w="3168" w:type="dxa"/>
          </w:tcPr>
          <w:p w14:paraId="6017DCF9" w14:textId="77777777" w:rsidR="00D4286C" w:rsidRPr="00D4286C" w:rsidRDefault="00D4286C" w:rsidP="00D4286C">
            <w:pPr>
              <w:rPr>
                <w:rFonts w:ascii="Century Gothic" w:eastAsia="Century Gothic" w:hAnsi="Century Gothic" w:cs="Century Gothic"/>
                <w:color w:val="000000" w:themeColor="text1"/>
              </w:rPr>
            </w:pPr>
            <w:r w:rsidRPr="00D4286C">
              <w:rPr>
                <w:rFonts w:ascii="Century Gothic" w:eastAsia="Century Gothic" w:hAnsi="Century Gothic" w:cs="Century Gothic"/>
                <w:color w:val="000000" w:themeColor="text1"/>
              </w:rPr>
              <w:t>30.5</w:t>
            </w:r>
          </w:p>
        </w:tc>
      </w:tr>
      <w:tr w:rsidR="00D4286C" w:rsidRPr="00D4286C" w14:paraId="65039819" w14:textId="77777777" w:rsidTr="00361D11">
        <w:trPr>
          <w:trHeight w:val="300"/>
        </w:trPr>
        <w:tc>
          <w:tcPr>
            <w:tcW w:w="1555" w:type="dxa"/>
          </w:tcPr>
          <w:p w14:paraId="25335693" w14:textId="77777777" w:rsidR="00D4286C" w:rsidRPr="00D4286C" w:rsidRDefault="00D4286C" w:rsidP="00D4286C">
            <w:pPr>
              <w:rPr>
                <w:rFonts w:ascii="Century Gothic" w:eastAsia="Century Gothic" w:hAnsi="Century Gothic" w:cs="Century Gothic"/>
                <w:color w:val="000000" w:themeColor="text1"/>
              </w:rPr>
            </w:pPr>
            <w:r w:rsidRPr="00D4286C">
              <w:rPr>
                <w:rFonts w:ascii="Century Gothic" w:eastAsia="Century Gothic" w:hAnsi="Century Gothic" w:cs="Century Gothic"/>
                <w:color w:val="000000" w:themeColor="text1"/>
              </w:rPr>
              <w:t>2024/2025</w:t>
            </w:r>
          </w:p>
        </w:tc>
        <w:tc>
          <w:tcPr>
            <w:tcW w:w="3168" w:type="dxa"/>
          </w:tcPr>
          <w:p w14:paraId="3D8CFE46" w14:textId="77777777" w:rsidR="00D4286C" w:rsidRPr="00D4286C" w:rsidRDefault="00D4286C" w:rsidP="00D4286C">
            <w:pPr>
              <w:rPr>
                <w:rFonts w:ascii="Century Gothic" w:eastAsia="Century Gothic" w:hAnsi="Century Gothic" w:cs="Century Gothic"/>
                <w:color w:val="000000" w:themeColor="text1"/>
              </w:rPr>
            </w:pPr>
            <w:r w:rsidRPr="00D4286C">
              <w:rPr>
                <w:rFonts w:ascii="Century Gothic" w:eastAsia="Century Gothic" w:hAnsi="Century Gothic" w:cs="Century Gothic"/>
                <w:color w:val="000000" w:themeColor="text1"/>
              </w:rPr>
              <w:t>32.3</w:t>
            </w:r>
          </w:p>
        </w:tc>
      </w:tr>
    </w:tbl>
    <w:p w14:paraId="6B4C838D" w14:textId="1236A5CC" w:rsidR="000335E0" w:rsidRPr="00A44AA1" w:rsidRDefault="00FC5C7A" w:rsidP="000335E0">
      <w:pPr>
        <w:spacing w:line="360" w:lineRule="auto"/>
        <w:jc w:val="both"/>
        <w:rPr>
          <w:rFonts w:ascii="Century Gothic" w:hAnsi="Century Gothic"/>
          <w:sz w:val="24"/>
          <w:szCs w:val="24"/>
          <w:lang w:val="en-US"/>
        </w:rPr>
      </w:pPr>
      <w:r w:rsidRPr="00A44AA1">
        <w:rPr>
          <w:rFonts w:ascii="Century Gothic" w:hAnsi="Century Gothic"/>
          <w:sz w:val="24"/>
          <w:szCs w:val="24"/>
          <w:lang w:val="en-US"/>
        </w:rPr>
        <w:t xml:space="preserve">Source: </w:t>
      </w:r>
      <w:r w:rsidR="00A44AA1" w:rsidRPr="00A44AA1">
        <w:rPr>
          <w:rFonts w:ascii="Century Gothic" w:hAnsi="Century Gothic"/>
          <w:sz w:val="24"/>
          <w:szCs w:val="24"/>
          <w:lang w:val="en-US"/>
        </w:rPr>
        <w:t>National Treasury</w:t>
      </w:r>
    </w:p>
    <w:p w14:paraId="7F1F0BC2" w14:textId="0EEC196C" w:rsidR="000335E0" w:rsidRPr="002F3362" w:rsidRDefault="004B2073" w:rsidP="000335E0">
      <w:pPr>
        <w:spacing w:line="360" w:lineRule="auto"/>
        <w:jc w:val="both"/>
        <w:rPr>
          <w:rFonts w:ascii="Century Gothic" w:hAnsi="Century Gothic"/>
          <w:sz w:val="24"/>
          <w:szCs w:val="24"/>
          <w:lang w:val="en-US"/>
        </w:rPr>
      </w:pPr>
      <w:r w:rsidRPr="002F3362">
        <w:rPr>
          <w:rFonts w:ascii="Century Gothic" w:hAnsi="Century Gothic"/>
          <w:sz w:val="24"/>
          <w:szCs w:val="24"/>
          <w:lang w:val="en-US"/>
        </w:rPr>
        <w:t xml:space="preserve">According to the table above, the </w:t>
      </w:r>
      <w:r w:rsidR="003825E5" w:rsidRPr="002F3362">
        <w:rPr>
          <w:rFonts w:ascii="Century Gothic" w:hAnsi="Century Gothic"/>
          <w:sz w:val="24"/>
          <w:szCs w:val="24"/>
          <w:lang w:val="en-US"/>
        </w:rPr>
        <w:t xml:space="preserve">trajectory of budget allocation does not demonstrate </w:t>
      </w:r>
      <w:r w:rsidR="00F41578" w:rsidRPr="002F3362">
        <w:rPr>
          <w:rFonts w:ascii="Century Gothic" w:hAnsi="Century Gothic"/>
          <w:sz w:val="24"/>
          <w:szCs w:val="24"/>
          <w:lang w:val="en-US"/>
        </w:rPr>
        <w:t xml:space="preserve">budget reduction. It is important for </w:t>
      </w:r>
      <w:r w:rsidR="00922835" w:rsidRPr="002F3362">
        <w:rPr>
          <w:rFonts w:ascii="Century Gothic" w:hAnsi="Century Gothic"/>
          <w:sz w:val="24"/>
          <w:szCs w:val="24"/>
          <w:lang w:val="en-US"/>
        </w:rPr>
        <w:t xml:space="preserve">the state party to provide the rationale </w:t>
      </w:r>
      <w:r w:rsidR="002F3362" w:rsidRPr="002F3362">
        <w:rPr>
          <w:rFonts w:ascii="Century Gothic" w:hAnsi="Century Gothic"/>
          <w:sz w:val="24"/>
          <w:szCs w:val="24"/>
          <w:lang w:val="en-US"/>
        </w:rPr>
        <w:t>for closing public schools especially in rural areas.</w:t>
      </w:r>
    </w:p>
    <w:p w14:paraId="78B5BD7F" w14:textId="1D53B659" w:rsidR="000335E0" w:rsidRPr="000335E0" w:rsidRDefault="000335E0" w:rsidP="000335E0">
      <w:pPr>
        <w:spacing w:line="360" w:lineRule="auto"/>
        <w:jc w:val="both"/>
        <w:rPr>
          <w:rFonts w:ascii="Century Gothic" w:hAnsi="Century Gothic"/>
          <w:b/>
          <w:bCs/>
          <w:sz w:val="24"/>
          <w:szCs w:val="24"/>
          <w:lang w:val="en-US"/>
        </w:rPr>
      </w:pPr>
      <w:r w:rsidRPr="000335E0">
        <w:rPr>
          <w:rFonts w:ascii="Century Gothic" w:hAnsi="Century Gothic"/>
          <w:b/>
          <w:bCs/>
          <w:sz w:val="24"/>
          <w:szCs w:val="24"/>
          <w:lang w:val="en-US"/>
        </w:rPr>
        <w:t>Percentage (%) distribution of main reasons given by persons aged 7 to 18 years for not attending an educational institution by sex, 2023</w:t>
      </w:r>
    </w:p>
    <w:p w14:paraId="0762E100" w14:textId="2927DD57" w:rsidR="00421A6A" w:rsidRDefault="00421A6A" w:rsidP="00EB091E">
      <w:pPr>
        <w:spacing w:line="360" w:lineRule="auto"/>
        <w:jc w:val="both"/>
        <w:rPr>
          <w:rFonts w:ascii="Century Gothic" w:hAnsi="Century Gothic"/>
          <w:sz w:val="24"/>
          <w:szCs w:val="24"/>
          <w:lang w:val="en-US"/>
        </w:rPr>
      </w:pPr>
      <w:r w:rsidRPr="00CF41F8">
        <w:rPr>
          <w:rFonts w:eastAsia="Aptos"/>
          <w:noProof/>
        </w:rPr>
        <w:drawing>
          <wp:inline distT="0" distB="0" distL="0" distR="0" wp14:anchorId="7963204E" wp14:editId="53A814A4">
            <wp:extent cx="5943600" cy="2765425"/>
            <wp:effectExtent l="0" t="0" r="0" b="0"/>
            <wp:docPr id="1561532800" name="Picture 1"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532800" name="Picture 1" descr="A graph of a number of people&#10;&#10;AI-generated content may be incorrect."/>
                    <pic:cNvPicPr/>
                  </pic:nvPicPr>
                  <pic:blipFill>
                    <a:blip r:embed="rId12"/>
                    <a:stretch>
                      <a:fillRect/>
                    </a:stretch>
                  </pic:blipFill>
                  <pic:spPr>
                    <a:xfrm>
                      <a:off x="0" y="0"/>
                      <a:ext cx="5943600" cy="2765425"/>
                    </a:xfrm>
                    <a:prstGeom prst="rect">
                      <a:avLst/>
                    </a:prstGeom>
                  </pic:spPr>
                </pic:pic>
              </a:graphicData>
            </a:graphic>
          </wp:inline>
        </w:drawing>
      </w:r>
    </w:p>
    <w:p w14:paraId="1A37C721" w14:textId="0A70E9DF" w:rsidR="00EF33B9" w:rsidRDefault="000335E0" w:rsidP="00EF33B9">
      <w:pPr>
        <w:spacing w:line="360" w:lineRule="auto"/>
        <w:jc w:val="both"/>
        <w:rPr>
          <w:rFonts w:ascii="Century Gothic" w:hAnsi="Century Gothic"/>
          <w:sz w:val="24"/>
          <w:szCs w:val="24"/>
        </w:rPr>
      </w:pPr>
      <w:r>
        <w:rPr>
          <w:rFonts w:ascii="Century Gothic" w:hAnsi="Century Gothic"/>
          <w:sz w:val="24"/>
          <w:szCs w:val="24"/>
          <w:lang w:val="en-US"/>
        </w:rPr>
        <w:t>Source:</w:t>
      </w:r>
      <w:r w:rsidR="00EF33B9" w:rsidRPr="00EF33B9">
        <w:rPr>
          <w:rFonts w:ascii="Century Gothic" w:hAnsi="Century Gothic"/>
          <w:sz w:val="24"/>
          <w:szCs w:val="24"/>
        </w:rPr>
        <w:t xml:space="preserve"> Stats SA GHS (2023)</w:t>
      </w:r>
    </w:p>
    <w:p w14:paraId="4638CE2E" w14:textId="787158E5" w:rsidR="002F3362" w:rsidRPr="00EF33B9" w:rsidRDefault="002F3362" w:rsidP="00EF33B9">
      <w:pPr>
        <w:spacing w:line="360" w:lineRule="auto"/>
        <w:jc w:val="both"/>
        <w:rPr>
          <w:rFonts w:ascii="Century Gothic" w:hAnsi="Century Gothic"/>
          <w:sz w:val="24"/>
          <w:szCs w:val="24"/>
        </w:rPr>
      </w:pPr>
      <w:r>
        <w:rPr>
          <w:rFonts w:ascii="Century Gothic" w:hAnsi="Century Gothic"/>
          <w:sz w:val="24"/>
          <w:szCs w:val="24"/>
        </w:rPr>
        <w:lastRenderedPageBreak/>
        <w:t xml:space="preserve">The table above </w:t>
      </w:r>
      <w:r w:rsidR="00256893">
        <w:rPr>
          <w:rFonts w:ascii="Century Gothic" w:hAnsi="Century Gothic"/>
          <w:sz w:val="24"/>
          <w:szCs w:val="24"/>
        </w:rPr>
        <w:t xml:space="preserve">presents the </w:t>
      </w:r>
      <w:r w:rsidR="00AB14A1">
        <w:rPr>
          <w:rFonts w:ascii="Century Gothic" w:hAnsi="Century Gothic"/>
          <w:sz w:val="24"/>
          <w:szCs w:val="24"/>
        </w:rPr>
        <w:t>sex</w:t>
      </w:r>
      <w:r w:rsidR="00256893">
        <w:rPr>
          <w:rFonts w:ascii="Century Gothic" w:hAnsi="Century Gothic"/>
          <w:sz w:val="24"/>
          <w:szCs w:val="24"/>
        </w:rPr>
        <w:t xml:space="preserve"> disaggregated data</w:t>
      </w:r>
      <w:r w:rsidR="00AB14A1">
        <w:rPr>
          <w:rFonts w:ascii="Century Gothic" w:hAnsi="Century Gothic"/>
          <w:sz w:val="24"/>
          <w:szCs w:val="24"/>
        </w:rPr>
        <w:t xml:space="preserve"> on the main reasons given by persons </w:t>
      </w:r>
      <w:r w:rsidR="00A96F3A">
        <w:rPr>
          <w:rFonts w:ascii="Century Gothic" w:hAnsi="Century Gothic"/>
          <w:sz w:val="24"/>
          <w:szCs w:val="24"/>
        </w:rPr>
        <w:t>aged 7 to 18 years for not attending school.</w:t>
      </w:r>
    </w:p>
    <w:p w14:paraId="20259AE3" w14:textId="6FF8BF8A" w:rsidR="00EB091E" w:rsidRPr="00EB091E" w:rsidRDefault="00EB091E" w:rsidP="00EB091E">
      <w:pPr>
        <w:spacing w:line="360" w:lineRule="auto"/>
        <w:jc w:val="both"/>
        <w:rPr>
          <w:rFonts w:ascii="Century Gothic" w:hAnsi="Century Gothic"/>
          <w:b/>
          <w:bCs/>
          <w:sz w:val="24"/>
          <w:szCs w:val="24"/>
          <w:lang w:val="en-US"/>
        </w:rPr>
      </w:pPr>
      <w:r w:rsidRPr="00EB091E">
        <w:rPr>
          <w:rFonts w:ascii="Century Gothic" w:hAnsi="Century Gothic"/>
          <w:b/>
          <w:bCs/>
          <w:sz w:val="24"/>
          <w:szCs w:val="24"/>
          <w:lang w:val="en-US"/>
        </w:rPr>
        <w:t>10. Employment and Economic Empowerment</w:t>
      </w:r>
    </w:p>
    <w:p w14:paraId="5DB3B421" w14:textId="77777777"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Despite progressive legislation, gender inequalities in employment persist. Women occupy only 24.9% of top management positions and earn between 23% and 35% less than men (Department of Labour, 2024; Buthelezi, 2023).</w:t>
      </w:r>
    </w:p>
    <w:p w14:paraId="521242A2" w14:textId="77777777"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The Employment Equity Amendment Act (2023) introduces stronger compliance mechanisms, including mandatory targets. However, enforcement remains weak, particularly in informal sectors dominated by women.</w:t>
      </w:r>
    </w:p>
    <w:p w14:paraId="2193293B" w14:textId="1979AA67"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Women face disproportionate unemployment rates, particularly Black women, whose unemployment exceeds 38.6% (Stats SA, 2025). Informal employment and care</w:t>
      </w:r>
      <w:r w:rsidR="00EE7B15">
        <w:rPr>
          <w:rFonts w:ascii="Century Gothic" w:hAnsi="Century Gothic"/>
          <w:sz w:val="24"/>
          <w:szCs w:val="24"/>
          <w:lang w:val="en-US"/>
        </w:rPr>
        <w:t xml:space="preserve"> work</w:t>
      </w:r>
      <w:r w:rsidRPr="00EB091E">
        <w:rPr>
          <w:rFonts w:ascii="Century Gothic" w:hAnsi="Century Gothic"/>
          <w:sz w:val="24"/>
          <w:szCs w:val="24"/>
          <w:lang w:val="en-US"/>
        </w:rPr>
        <w:t xml:space="preserve"> responsibilities limit economic participation.</w:t>
      </w:r>
    </w:p>
    <w:p w14:paraId="25A170E3" w14:textId="77777777"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 xml:space="preserve">Although initiatives such as the </w:t>
      </w:r>
      <w:proofErr w:type="spellStart"/>
      <w:r w:rsidRPr="00EB091E">
        <w:rPr>
          <w:rFonts w:ascii="Century Gothic" w:hAnsi="Century Gothic"/>
          <w:sz w:val="24"/>
          <w:szCs w:val="24"/>
          <w:lang w:val="en-US"/>
        </w:rPr>
        <w:t>Isivande</w:t>
      </w:r>
      <w:proofErr w:type="spellEnd"/>
      <w:r w:rsidRPr="00EB091E">
        <w:rPr>
          <w:rFonts w:ascii="Century Gothic" w:hAnsi="Century Gothic"/>
          <w:sz w:val="24"/>
          <w:szCs w:val="24"/>
          <w:lang w:val="en-US"/>
        </w:rPr>
        <w:t xml:space="preserve"> Women’s Fund and SEDFA aim to support women entrepreneurs, access to funding remains a significant barrier, especially in rural areas.</w:t>
      </w:r>
    </w:p>
    <w:p w14:paraId="3D746DA3" w14:textId="77777777" w:rsidR="00EB091E" w:rsidRPr="00EB091E" w:rsidRDefault="00EB091E" w:rsidP="00EB091E">
      <w:pPr>
        <w:spacing w:line="360" w:lineRule="auto"/>
        <w:jc w:val="both"/>
        <w:rPr>
          <w:rFonts w:ascii="Century Gothic" w:hAnsi="Century Gothic"/>
          <w:b/>
          <w:bCs/>
          <w:sz w:val="24"/>
          <w:szCs w:val="24"/>
          <w:lang w:val="en-US"/>
        </w:rPr>
      </w:pPr>
      <w:r w:rsidRPr="00EB091E">
        <w:rPr>
          <w:rFonts w:ascii="Century Gothic" w:hAnsi="Century Gothic"/>
          <w:b/>
          <w:bCs/>
          <w:sz w:val="24"/>
          <w:szCs w:val="24"/>
          <w:lang w:val="en-US"/>
        </w:rPr>
        <w:t>11. Health and Reproductive Rights</w:t>
      </w:r>
    </w:p>
    <w:p w14:paraId="369ED065" w14:textId="6B8AF30E"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 xml:space="preserve">South Africa has a strong legal framework for women’s health, including the National Health Act and the Choice on Termination of Pregnancy Act (1996). These laws provide access to reproductive health services, including </w:t>
      </w:r>
      <w:r w:rsidR="009A6D7C">
        <w:rPr>
          <w:rFonts w:ascii="Century Gothic" w:hAnsi="Century Gothic"/>
          <w:sz w:val="24"/>
          <w:szCs w:val="24"/>
          <w:lang w:val="en-US"/>
        </w:rPr>
        <w:t>terminat</w:t>
      </w:r>
      <w:r w:rsidR="0028723E">
        <w:rPr>
          <w:rFonts w:ascii="Century Gothic" w:hAnsi="Century Gothic"/>
          <w:sz w:val="24"/>
          <w:szCs w:val="24"/>
          <w:lang w:val="en-US"/>
        </w:rPr>
        <w:t>ion of pregnancy</w:t>
      </w:r>
      <w:r w:rsidRPr="00EB091E">
        <w:rPr>
          <w:rFonts w:ascii="Century Gothic" w:hAnsi="Century Gothic"/>
          <w:sz w:val="24"/>
          <w:szCs w:val="24"/>
          <w:lang w:val="en-US"/>
        </w:rPr>
        <w:t>.</w:t>
      </w:r>
    </w:p>
    <w:p w14:paraId="05AD85CA" w14:textId="4C9B3E6C" w:rsid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 xml:space="preserve">However, access remains uneven, particularly in rural </w:t>
      </w:r>
      <w:r w:rsidR="00B807B4" w:rsidRPr="00EB091E">
        <w:rPr>
          <w:rFonts w:ascii="Century Gothic" w:hAnsi="Century Gothic"/>
          <w:sz w:val="24"/>
          <w:szCs w:val="24"/>
          <w:lang w:val="en-US"/>
        </w:rPr>
        <w:t xml:space="preserve">areas </w:t>
      </w:r>
      <w:r w:rsidR="00B807B4">
        <w:rPr>
          <w:rFonts w:ascii="Century Gothic" w:hAnsi="Century Gothic"/>
          <w:sz w:val="24"/>
          <w:szCs w:val="24"/>
          <w:lang w:val="en-US"/>
        </w:rPr>
        <w:t>and</w:t>
      </w:r>
      <w:r w:rsidR="0028723E">
        <w:rPr>
          <w:rFonts w:ascii="Century Gothic" w:hAnsi="Century Gothic"/>
          <w:sz w:val="24"/>
          <w:szCs w:val="24"/>
          <w:lang w:val="en-US"/>
        </w:rPr>
        <w:t xml:space="preserve"> </w:t>
      </w:r>
      <w:r w:rsidR="00B807B4">
        <w:rPr>
          <w:rFonts w:ascii="Century Gothic" w:hAnsi="Century Gothic"/>
          <w:sz w:val="24"/>
          <w:szCs w:val="24"/>
          <w:lang w:val="en-US"/>
        </w:rPr>
        <w:t xml:space="preserve">marginalised communities, </w:t>
      </w:r>
      <w:r w:rsidRPr="00EB091E">
        <w:rPr>
          <w:rFonts w:ascii="Century Gothic" w:hAnsi="Century Gothic"/>
          <w:sz w:val="24"/>
          <w:szCs w:val="24"/>
          <w:lang w:val="en-US"/>
        </w:rPr>
        <w:t xml:space="preserve">where facilities and trained personnel are limited. Stigma </w:t>
      </w:r>
      <w:r w:rsidR="00DB6A43">
        <w:rPr>
          <w:rFonts w:ascii="Century Gothic" w:hAnsi="Century Gothic"/>
          <w:sz w:val="24"/>
          <w:szCs w:val="24"/>
          <w:lang w:val="en-US"/>
        </w:rPr>
        <w:t>against gender</w:t>
      </w:r>
      <w:r w:rsidR="00DB6A43">
        <w:rPr>
          <w:rFonts w:ascii="Century Gothic" w:hAnsi="Century Gothic" w:cs="Century Gothic"/>
          <w:sz w:val="24"/>
          <w:szCs w:val="24"/>
          <w:lang w:val="en-US"/>
        </w:rPr>
        <w:t>-</w:t>
      </w:r>
      <w:r w:rsidR="00DB6A43">
        <w:rPr>
          <w:rFonts w:ascii="Century Gothic" w:hAnsi="Century Gothic"/>
          <w:sz w:val="24"/>
          <w:szCs w:val="24"/>
          <w:lang w:val="en-US"/>
        </w:rPr>
        <w:t xml:space="preserve">diverse </w:t>
      </w:r>
      <w:r w:rsidR="002505EE">
        <w:rPr>
          <w:rFonts w:ascii="Century Gothic" w:hAnsi="Century Gothic"/>
          <w:sz w:val="24"/>
          <w:szCs w:val="24"/>
          <w:lang w:val="en-US"/>
        </w:rPr>
        <w:t xml:space="preserve">communities </w:t>
      </w:r>
      <w:r w:rsidRPr="00EB091E">
        <w:rPr>
          <w:rFonts w:ascii="Century Gothic" w:hAnsi="Century Gothic"/>
          <w:sz w:val="24"/>
          <w:szCs w:val="24"/>
          <w:lang w:val="en-US"/>
        </w:rPr>
        <w:t>and conscientious objection among healthcare providers further restrict access.</w:t>
      </w:r>
    </w:p>
    <w:p w14:paraId="6ECACF50" w14:textId="204EB3BD" w:rsidR="007E3E32" w:rsidRPr="00EB091E" w:rsidRDefault="007E3E32" w:rsidP="00EB091E">
      <w:pPr>
        <w:spacing w:line="360" w:lineRule="auto"/>
        <w:jc w:val="both"/>
        <w:rPr>
          <w:rFonts w:ascii="Century Gothic" w:hAnsi="Century Gothic"/>
          <w:sz w:val="24"/>
          <w:szCs w:val="24"/>
          <w:lang w:val="en-US"/>
        </w:rPr>
      </w:pPr>
      <w:r w:rsidRPr="007E3E32">
        <w:rPr>
          <w:rFonts w:ascii="Century Gothic" w:hAnsi="Century Gothic"/>
          <w:sz w:val="24"/>
          <w:szCs w:val="24"/>
        </w:rPr>
        <w:lastRenderedPageBreak/>
        <w:t>In 2021, the CGE found limited or no monitoring by the National Department of Health (NDOH) on termination of pregnancy (TOP) services across provinces, as the National Department of Health</w:t>
      </w:r>
      <w:r w:rsidRPr="007E3E32" w:rsidDel="00AA03C7">
        <w:rPr>
          <w:rFonts w:ascii="Century Gothic" w:hAnsi="Century Gothic"/>
          <w:sz w:val="24"/>
          <w:szCs w:val="24"/>
        </w:rPr>
        <w:t xml:space="preserve"> </w:t>
      </w:r>
      <w:r w:rsidRPr="007E3E32">
        <w:rPr>
          <w:rFonts w:ascii="Century Gothic" w:hAnsi="Century Gothic"/>
          <w:sz w:val="24"/>
          <w:szCs w:val="24"/>
        </w:rPr>
        <w:t>could not provide relevant information. Each province appears to manage termination of pregnancy services independently, leading to discrepancies in reporting.</w:t>
      </w:r>
      <w:r w:rsidR="000E1EB4">
        <w:rPr>
          <w:rFonts w:ascii="Century Gothic" w:hAnsi="Century Gothic"/>
          <w:sz w:val="24"/>
          <w:szCs w:val="24"/>
        </w:rPr>
        <w:t xml:space="preserve"> </w:t>
      </w:r>
      <w:r w:rsidR="000E1EB4" w:rsidRPr="000E1EB4">
        <w:rPr>
          <w:rFonts w:ascii="Century Gothic" w:hAnsi="Century Gothic"/>
          <w:sz w:val="24"/>
          <w:szCs w:val="24"/>
        </w:rPr>
        <w:t>Some provinces lack access to services, especially for second-trimester procedures. There is also an unwillingness of healthcare professionals to provide termination of pregnancy services due to conscientious objection, which is a significant barrier</w:t>
      </w:r>
      <w:r w:rsidR="000E1EB4">
        <w:rPr>
          <w:rFonts w:ascii="Century Gothic" w:hAnsi="Century Gothic"/>
          <w:sz w:val="24"/>
          <w:szCs w:val="24"/>
        </w:rPr>
        <w:t>.</w:t>
      </w:r>
    </w:p>
    <w:p w14:paraId="6CF25AB7" w14:textId="7AB68315" w:rsid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 xml:space="preserve">HIV prevalence among young women remains high, with rates reaching 21.6% among pregnant women aged 15–24. Reports of </w:t>
      </w:r>
      <w:r w:rsidR="002505EE">
        <w:rPr>
          <w:rFonts w:ascii="Century Gothic" w:hAnsi="Century Gothic"/>
          <w:sz w:val="24"/>
          <w:szCs w:val="24"/>
          <w:lang w:val="en-US"/>
        </w:rPr>
        <w:t>forced</w:t>
      </w:r>
      <w:r w:rsidR="002505EE" w:rsidRPr="00EB091E">
        <w:rPr>
          <w:rFonts w:ascii="Century Gothic" w:hAnsi="Century Gothic"/>
          <w:sz w:val="24"/>
          <w:szCs w:val="24"/>
          <w:lang w:val="en-US"/>
        </w:rPr>
        <w:t xml:space="preserve"> </w:t>
      </w:r>
      <w:r w:rsidRPr="00EB091E">
        <w:rPr>
          <w:rFonts w:ascii="Century Gothic" w:hAnsi="Century Gothic"/>
          <w:sz w:val="24"/>
          <w:szCs w:val="24"/>
          <w:lang w:val="en-US"/>
        </w:rPr>
        <w:t>sterilisation among women living with HIV highlight ongoing violations of reproductive rights.</w:t>
      </w:r>
    </w:p>
    <w:p w14:paraId="4583405A" w14:textId="77777777" w:rsidR="005434FD" w:rsidRDefault="005434FD" w:rsidP="005434FD">
      <w:pPr>
        <w:spacing w:line="360" w:lineRule="auto"/>
        <w:jc w:val="both"/>
        <w:rPr>
          <w:rFonts w:ascii="Century Gothic" w:hAnsi="Century Gothic"/>
          <w:sz w:val="24"/>
          <w:szCs w:val="24"/>
        </w:rPr>
      </w:pPr>
      <w:r w:rsidRPr="005434FD">
        <w:rPr>
          <w:rFonts w:ascii="Century Gothic" w:hAnsi="Century Gothic"/>
          <w:sz w:val="24"/>
          <w:szCs w:val="24"/>
        </w:rPr>
        <w:t>Maternal health services have been significantly improved, with over 500 obstetric care facilities available nationwide. The maternal mortality ratio has decreased to 138 deaths per 100,000 live births, but rural areas continue to experience higher mortality rates, with a 10% higher rate of maternal deaths compared to urban centres. The government’s Maternal Support Services (MSS) programme has been instrumental in reducing maternal mortality, particularly through efforts to ensure skilled birth attendants and access to emergency obstetric care. Additionally, 92% of births are attended by skilled health personnel in urban areas, although the percentage drops to 85% in rural areas.</w:t>
      </w:r>
    </w:p>
    <w:p w14:paraId="2D3F1C50" w14:textId="77777777" w:rsidR="000C797D" w:rsidRPr="000C797D" w:rsidRDefault="000C797D" w:rsidP="000C797D">
      <w:pPr>
        <w:spacing w:line="360" w:lineRule="auto"/>
        <w:jc w:val="both"/>
        <w:rPr>
          <w:rFonts w:ascii="Century Gothic" w:hAnsi="Century Gothic"/>
          <w:sz w:val="24"/>
          <w:szCs w:val="24"/>
        </w:rPr>
      </w:pPr>
      <w:r w:rsidRPr="000C797D">
        <w:rPr>
          <w:rFonts w:ascii="Century Gothic" w:hAnsi="Century Gothic"/>
          <w:sz w:val="24"/>
          <w:szCs w:val="24"/>
        </w:rPr>
        <w:t xml:space="preserve">In 2023/2024, the CGE undertook an investigation into maternal and neonatal healthcare within the Eastern Cape province. Despite governmental efforts that aim to promote gender equality and improve women’s health, some provinces, particularly the Eastern Cape, face significant challenges in delivering adequate and quality healthcare services for women, which has resulted in high maternal and neonatal mortality rates. </w:t>
      </w:r>
    </w:p>
    <w:p w14:paraId="555E0027" w14:textId="77777777" w:rsidR="000C797D" w:rsidRPr="005434FD" w:rsidRDefault="000C797D" w:rsidP="005434FD">
      <w:pPr>
        <w:spacing w:line="360" w:lineRule="auto"/>
        <w:jc w:val="both"/>
        <w:rPr>
          <w:rFonts w:ascii="Century Gothic" w:hAnsi="Century Gothic"/>
          <w:sz w:val="24"/>
          <w:szCs w:val="24"/>
        </w:rPr>
      </w:pPr>
    </w:p>
    <w:p w14:paraId="288F117F" w14:textId="77777777" w:rsidR="00EB091E" w:rsidRPr="00EB091E" w:rsidRDefault="00EB091E" w:rsidP="00EB091E">
      <w:pPr>
        <w:spacing w:line="360" w:lineRule="auto"/>
        <w:jc w:val="both"/>
        <w:rPr>
          <w:rFonts w:ascii="Century Gothic" w:hAnsi="Century Gothic"/>
          <w:b/>
          <w:bCs/>
          <w:sz w:val="24"/>
          <w:szCs w:val="24"/>
          <w:lang w:val="en-US"/>
        </w:rPr>
      </w:pPr>
      <w:r w:rsidRPr="00EB091E">
        <w:rPr>
          <w:rFonts w:ascii="Century Gothic" w:hAnsi="Century Gothic"/>
          <w:b/>
          <w:bCs/>
          <w:sz w:val="24"/>
          <w:szCs w:val="24"/>
          <w:lang w:val="en-US"/>
        </w:rPr>
        <w:lastRenderedPageBreak/>
        <w:t>12. Nationality and Citizenship</w:t>
      </w:r>
    </w:p>
    <w:p w14:paraId="139F0816" w14:textId="77777777"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Amendments to the Citizenship Act (2023) have strengthened gender equality by allowing women to confer nationality on their children. Birth registration rates have improved, particularly for children of South African mothers and foreign fathers.</w:t>
      </w:r>
    </w:p>
    <w:p w14:paraId="5705EA64" w14:textId="77777777" w:rsid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However, migrant and refugee women continue to face bureaucratic barriers, increasing the risk of statelessness. Inconsistent implementation across regions and lack of awareness remain key challenges.</w:t>
      </w:r>
    </w:p>
    <w:p w14:paraId="18FDD339" w14:textId="77777777" w:rsidR="00EB091E" w:rsidRPr="00EB091E" w:rsidRDefault="00EB091E" w:rsidP="00EB091E">
      <w:pPr>
        <w:spacing w:line="360" w:lineRule="auto"/>
        <w:jc w:val="both"/>
        <w:rPr>
          <w:rFonts w:ascii="Century Gothic" w:hAnsi="Century Gothic"/>
          <w:b/>
          <w:bCs/>
          <w:sz w:val="24"/>
          <w:szCs w:val="24"/>
          <w:lang w:val="en-US"/>
        </w:rPr>
      </w:pPr>
      <w:r w:rsidRPr="00EB091E">
        <w:rPr>
          <w:rFonts w:ascii="Century Gothic" w:hAnsi="Century Gothic"/>
          <w:b/>
          <w:bCs/>
          <w:sz w:val="24"/>
          <w:szCs w:val="24"/>
          <w:lang w:val="en-US"/>
        </w:rPr>
        <w:t>13. Rural Women and Structural Inequality</w:t>
      </w:r>
    </w:p>
    <w:p w14:paraId="5C9D03D4" w14:textId="5F757E58" w:rsidR="00EB091E" w:rsidRP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Rural women face compounded disadvantages, including limited access to land,</w:t>
      </w:r>
      <w:r w:rsidR="0089594F">
        <w:rPr>
          <w:rFonts w:ascii="Century Gothic" w:hAnsi="Century Gothic"/>
          <w:sz w:val="24"/>
          <w:szCs w:val="24"/>
          <w:lang w:val="en-US"/>
        </w:rPr>
        <w:t xml:space="preserve"> limited access to credit</w:t>
      </w:r>
      <w:r w:rsidR="00CD648A">
        <w:rPr>
          <w:rFonts w:ascii="Century Gothic" w:hAnsi="Century Gothic"/>
          <w:sz w:val="24"/>
          <w:szCs w:val="24"/>
          <w:lang w:val="en-US"/>
        </w:rPr>
        <w:t>,</w:t>
      </w:r>
      <w:r w:rsidRPr="00EB091E">
        <w:rPr>
          <w:rFonts w:ascii="Century Gothic" w:hAnsi="Century Gothic"/>
          <w:sz w:val="24"/>
          <w:szCs w:val="24"/>
          <w:lang w:val="en-US"/>
        </w:rPr>
        <w:t xml:space="preserve"> resources, and economic opportunities. Only 18% of redistributed land is held by women, reflecting persistent structural inequalities.</w:t>
      </w:r>
    </w:p>
    <w:p w14:paraId="0EA8B8DB" w14:textId="46CFB244" w:rsidR="00EB091E" w:rsidRDefault="00EB091E" w:rsidP="00EB091E">
      <w:pPr>
        <w:spacing w:line="360" w:lineRule="auto"/>
        <w:jc w:val="both"/>
        <w:rPr>
          <w:rFonts w:ascii="Century Gothic" w:hAnsi="Century Gothic"/>
          <w:sz w:val="24"/>
          <w:szCs w:val="24"/>
          <w:lang w:val="en-US"/>
        </w:rPr>
      </w:pPr>
      <w:r w:rsidRPr="00EB091E">
        <w:rPr>
          <w:rFonts w:ascii="Century Gothic" w:hAnsi="Century Gothic"/>
          <w:sz w:val="24"/>
          <w:szCs w:val="24"/>
          <w:lang w:val="en-US"/>
        </w:rPr>
        <w:t xml:space="preserve">Women also bear the burden of unpaid labour, contributing significantly to agriculture without formal recognition or compensation. Food security programmes reach only a fraction of female-headed </w:t>
      </w:r>
      <w:r w:rsidR="00254D7A">
        <w:rPr>
          <w:rFonts w:ascii="Century Gothic" w:hAnsi="Century Gothic"/>
          <w:sz w:val="24"/>
          <w:szCs w:val="24"/>
          <w:lang w:val="en-US"/>
        </w:rPr>
        <w:t>and child headed</w:t>
      </w:r>
      <w:r w:rsidR="00F44151">
        <w:rPr>
          <w:rFonts w:ascii="Century Gothic" w:hAnsi="Century Gothic"/>
          <w:sz w:val="24"/>
          <w:szCs w:val="24"/>
          <w:lang w:val="en-US"/>
        </w:rPr>
        <w:t xml:space="preserve"> </w:t>
      </w:r>
      <w:r w:rsidR="00F44151" w:rsidRPr="00F44151">
        <w:rPr>
          <w:rFonts w:ascii="Century Gothic" w:hAnsi="Century Gothic"/>
          <w:sz w:val="24"/>
          <w:szCs w:val="24"/>
          <w:lang w:val="en-US"/>
        </w:rPr>
        <w:t>households</w:t>
      </w:r>
      <w:r w:rsidRPr="00EB091E">
        <w:rPr>
          <w:rFonts w:ascii="Century Gothic" w:hAnsi="Century Gothic"/>
          <w:sz w:val="24"/>
          <w:szCs w:val="24"/>
          <w:lang w:val="en-US"/>
        </w:rPr>
        <w:t>, further exacerbating vulnerability.</w:t>
      </w:r>
    </w:p>
    <w:p w14:paraId="7DDC4954" w14:textId="77777777" w:rsidR="00704499" w:rsidRDefault="00704499" w:rsidP="00704499">
      <w:pPr>
        <w:spacing w:line="360" w:lineRule="auto"/>
        <w:jc w:val="both"/>
        <w:rPr>
          <w:rFonts w:ascii="Century Gothic" w:hAnsi="Century Gothic"/>
          <w:sz w:val="24"/>
          <w:szCs w:val="24"/>
        </w:rPr>
      </w:pPr>
      <w:r w:rsidRPr="00704499">
        <w:rPr>
          <w:rFonts w:ascii="Century Gothic" w:hAnsi="Century Gothic"/>
          <w:sz w:val="24"/>
          <w:szCs w:val="24"/>
        </w:rPr>
        <w:t xml:space="preserve">Women constituted </w:t>
      </w:r>
      <w:proofErr w:type="gramStart"/>
      <w:r w:rsidRPr="00704499">
        <w:rPr>
          <w:rFonts w:ascii="Century Gothic" w:hAnsi="Century Gothic"/>
          <w:sz w:val="24"/>
          <w:szCs w:val="24"/>
        </w:rPr>
        <w:t>a majority of</w:t>
      </w:r>
      <w:proofErr w:type="gramEnd"/>
      <w:r w:rsidRPr="00704499">
        <w:rPr>
          <w:rFonts w:ascii="Century Gothic" w:hAnsi="Century Gothic"/>
          <w:sz w:val="24"/>
          <w:szCs w:val="24"/>
        </w:rPr>
        <w:t xml:space="preserve"> beneficiaries, particularly in the Child Support Grant (CSG), with over 50% being mothers aged 18 to 35. In rural areas, half (47.2%) of women received grants compared to a quarter (23.1%) of women in urban areas (Stats SA, 2022). Women make up most of the grant recipients, especially the Child Support Grant, as women are the primary caregivers for the whole family, including the elderly. It is more evident in the rural areas than the urban areas that women are the primary grant recipients. In 2023, almost half (42,3%) of households nationally were headed by women, and just more than half (57,7%) were headed by men. Moreover, </w:t>
      </w:r>
      <w:r w:rsidRPr="00704499" w:rsidDel="00234E9A">
        <w:rPr>
          <w:rFonts w:ascii="Century Gothic" w:hAnsi="Century Gothic"/>
          <w:sz w:val="24"/>
          <w:szCs w:val="24"/>
        </w:rPr>
        <w:t xml:space="preserve">female </w:t>
      </w:r>
      <w:r w:rsidRPr="00704499">
        <w:rPr>
          <w:rFonts w:ascii="Century Gothic" w:hAnsi="Century Gothic"/>
          <w:sz w:val="24"/>
          <w:szCs w:val="24"/>
        </w:rPr>
        <w:t xml:space="preserve">headed households are prevalent in rural areas (47,6%), particularly in the Eastern Cape (48,8%) and </w:t>
      </w:r>
      <w:r w:rsidRPr="00704499">
        <w:rPr>
          <w:rFonts w:ascii="Century Gothic" w:hAnsi="Century Gothic"/>
          <w:sz w:val="24"/>
          <w:szCs w:val="24"/>
        </w:rPr>
        <w:lastRenderedPageBreak/>
        <w:t>Limpopo (47,0%) (GHS, 2023). As women make up most low-income earners and caregivers, women carry more responsibilities for collective household needs such as food, health, and education, and women spend a greater share of their already lower income on these needs.</w:t>
      </w:r>
    </w:p>
    <w:p w14:paraId="6F733EDF" w14:textId="77777777" w:rsidR="0074156A" w:rsidRPr="0074156A" w:rsidRDefault="0074156A" w:rsidP="0074156A">
      <w:pPr>
        <w:spacing w:line="360" w:lineRule="auto"/>
        <w:jc w:val="both"/>
        <w:rPr>
          <w:rFonts w:ascii="Century Gothic" w:hAnsi="Century Gothic"/>
          <w:sz w:val="24"/>
          <w:szCs w:val="24"/>
        </w:rPr>
      </w:pPr>
      <w:r w:rsidRPr="0074156A">
        <w:rPr>
          <w:rFonts w:ascii="Century Gothic" w:hAnsi="Century Gothic"/>
          <w:sz w:val="24"/>
          <w:szCs w:val="24"/>
        </w:rPr>
        <w:t>South Africa’s Constitution (1996) guarantees equality and non-discrimination, ensuring that rural women have equal access to land and property rights (Republic of South Africa, 1996). However, despite key legal instruments such as the Communal Land Rights Act of 2004 and the Land Reform Programme, rural women continue to face systemic barriers to land ownership and tenure security. Customary land tenure systems continue to favour men’s ownership, systematically excluding women from land control (Masuku, Mthembu &amp; Mlambo, 2023).</w:t>
      </w:r>
    </w:p>
    <w:p w14:paraId="79C85F0E" w14:textId="77777777" w:rsidR="00EB091E" w:rsidRPr="00EB091E" w:rsidRDefault="00EB091E" w:rsidP="00EB091E">
      <w:pPr>
        <w:spacing w:line="360" w:lineRule="auto"/>
        <w:jc w:val="both"/>
        <w:rPr>
          <w:rFonts w:ascii="Century Gothic" w:hAnsi="Century Gothic"/>
          <w:b/>
          <w:bCs/>
          <w:sz w:val="24"/>
          <w:szCs w:val="24"/>
          <w:lang w:val="en-US"/>
        </w:rPr>
      </w:pPr>
      <w:r w:rsidRPr="00EB091E">
        <w:rPr>
          <w:rFonts w:ascii="Century Gothic" w:hAnsi="Century Gothic"/>
          <w:b/>
          <w:bCs/>
          <w:sz w:val="24"/>
          <w:szCs w:val="24"/>
          <w:lang w:val="en-US"/>
        </w:rPr>
        <w:t>14. Conclusion</w:t>
      </w:r>
    </w:p>
    <w:p w14:paraId="6565D7B3" w14:textId="77777777" w:rsidR="00A020E9" w:rsidRPr="00A020E9" w:rsidRDefault="00A020E9" w:rsidP="00A020E9">
      <w:pPr>
        <w:spacing w:line="360" w:lineRule="auto"/>
        <w:jc w:val="both"/>
        <w:rPr>
          <w:rFonts w:ascii="Century Gothic" w:hAnsi="Century Gothic"/>
          <w:sz w:val="24"/>
          <w:szCs w:val="24"/>
        </w:rPr>
      </w:pPr>
      <w:r w:rsidRPr="00A020E9">
        <w:rPr>
          <w:rFonts w:ascii="Century Gothic" w:hAnsi="Century Gothic"/>
          <w:sz w:val="24"/>
          <w:szCs w:val="24"/>
        </w:rPr>
        <w:t>The review indicates that the country has made significant progress in various domains towards fulfilling its obligations under CEDAW. Notably, in the areas of policy and legislative reform, substantial advancements have been achieved throughout the reporting period from 2020 to 2025. The advancements include the implementation of progressive laws that aim to enhance gender equality and protect women's rights.</w:t>
      </w:r>
    </w:p>
    <w:p w14:paraId="0F10EA69" w14:textId="77777777" w:rsidR="00A020E9" w:rsidRPr="00A020E9" w:rsidRDefault="00A020E9" w:rsidP="00A020E9">
      <w:pPr>
        <w:spacing w:line="360" w:lineRule="auto"/>
        <w:jc w:val="both"/>
        <w:rPr>
          <w:rFonts w:ascii="Century Gothic" w:hAnsi="Century Gothic"/>
          <w:sz w:val="24"/>
          <w:szCs w:val="24"/>
        </w:rPr>
      </w:pPr>
      <w:r w:rsidRPr="00A020E9">
        <w:rPr>
          <w:rFonts w:ascii="Century Gothic" w:hAnsi="Century Gothic"/>
          <w:sz w:val="24"/>
          <w:szCs w:val="24"/>
        </w:rPr>
        <w:t xml:space="preserve">Additionally, a series of institutional reforms have been initiated, along with the development of comprehensive strategies and programmes. These initiatives focus not only on preventing discrimination and violence against women but also on providing support services for victims and survivors of </w:t>
      </w:r>
      <w:r w:rsidRPr="00A020E9" w:rsidDel="00505275">
        <w:rPr>
          <w:rFonts w:ascii="Century Gothic" w:hAnsi="Century Gothic"/>
          <w:sz w:val="24"/>
          <w:szCs w:val="24"/>
        </w:rPr>
        <w:t>GBV</w:t>
      </w:r>
      <w:r w:rsidRPr="00A020E9">
        <w:rPr>
          <w:rFonts w:ascii="Century Gothic" w:hAnsi="Century Gothic"/>
          <w:sz w:val="24"/>
          <w:szCs w:val="24"/>
        </w:rPr>
        <w:t xml:space="preserve">. </w:t>
      </w:r>
    </w:p>
    <w:p w14:paraId="16FD85B4" w14:textId="77777777" w:rsidR="00A020E9" w:rsidRPr="00A020E9" w:rsidRDefault="00A020E9" w:rsidP="00A020E9">
      <w:pPr>
        <w:spacing w:line="360" w:lineRule="auto"/>
        <w:jc w:val="both"/>
        <w:rPr>
          <w:rFonts w:ascii="Century Gothic" w:hAnsi="Century Gothic"/>
          <w:sz w:val="24"/>
          <w:szCs w:val="24"/>
        </w:rPr>
      </w:pPr>
      <w:r w:rsidRPr="00A020E9">
        <w:rPr>
          <w:rFonts w:ascii="Century Gothic" w:hAnsi="Century Gothic"/>
          <w:sz w:val="24"/>
          <w:szCs w:val="24"/>
        </w:rPr>
        <w:t xml:space="preserve">The findings indeed indicate that South Africa has made positive strides in addressing the crucial issues raised by the CEDAW Committee during the last reporting session. It is worth noting, however, that while significant advancements have been documented in terms of legislation and policy updates, as well as the </w:t>
      </w:r>
      <w:r w:rsidRPr="00A020E9">
        <w:rPr>
          <w:rFonts w:ascii="Century Gothic" w:hAnsi="Century Gothic"/>
          <w:sz w:val="24"/>
          <w:szCs w:val="24"/>
        </w:rPr>
        <w:lastRenderedPageBreak/>
        <w:t>establishment of various institutional mechanisms, much of this progress appears to exist primarily on paper. Many of these institutions, such as the Department of Health and other relevant agencies, remain inadequately resourced in terms of funding, personnel, and training, which hampers their ability to effectively implement the initiatives they were designed to support.</w:t>
      </w:r>
    </w:p>
    <w:p w14:paraId="3E5EB87E" w14:textId="77777777" w:rsidR="004915B1" w:rsidRPr="004915B1" w:rsidRDefault="004915B1" w:rsidP="004915B1">
      <w:pPr>
        <w:spacing w:line="360" w:lineRule="auto"/>
        <w:jc w:val="both"/>
        <w:rPr>
          <w:rFonts w:ascii="Century Gothic" w:hAnsi="Century Gothic"/>
          <w:sz w:val="24"/>
          <w:szCs w:val="24"/>
        </w:rPr>
      </w:pPr>
      <w:r w:rsidRPr="004915B1">
        <w:rPr>
          <w:rFonts w:ascii="Century Gothic" w:hAnsi="Century Gothic"/>
          <w:sz w:val="24"/>
          <w:szCs w:val="24"/>
        </w:rPr>
        <w:t xml:space="preserve">The three legislative frameworks established to tackle gender-based violence and femicide represent a significant step forward in South Africa’s commitment to this crucial issue. However, despite their promise, gender-based violence and femicide initiatives continue to face substantial challenges. They are often underfunded, resulting in inadequate resources for effective implementation. Coordination among various stakeholders, including government agencies, the private sector, non-governmental organisations, and community organisations, remains insufficient, which hampers the overall effectiveness of these initiatives. Furthermore, the execution of programmes designed to combat gender-based violence and femicide often lacks consistency and rigour, leaving many victims without the support they require. </w:t>
      </w:r>
    </w:p>
    <w:p w14:paraId="52D892F0" w14:textId="77777777" w:rsidR="004915B1" w:rsidRPr="004915B1" w:rsidRDefault="004915B1" w:rsidP="004915B1">
      <w:pPr>
        <w:spacing w:line="360" w:lineRule="auto"/>
        <w:jc w:val="both"/>
        <w:rPr>
          <w:rFonts w:ascii="Century Gothic" w:hAnsi="Century Gothic"/>
          <w:sz w:val="24"/>
          <w:szCs w:val="24"/>
        </w:rPr>
      </w:pPr>
      <w:r w:rsidRPr="004915B1">
        <w:rPr>
          <w:rFonts w:ascii="Century Gothic" w:hAnsi="Century Gothic"/>
          <w:sz w:val="24"/>
          <w:szCs w:val="24"/>
        </w:rPr>
        <w:t xml:space="preserve">This situation highlights a crucial critique that while South Africa may be making notable progress in developing legislation and policy frameworks on paper, the actual implementation of these measures falls significantly short, reflecting a worrying </w:t>
      </w:r>
      <w:bookmarkStart w:id="1" w:name="_Hlk194048157"/>
      <w:r w:rsidRPr="004915B1">
        <w:rPr>
          <w:rFonts w:ascii="Century Gothic" w:hAnsi="Century Gothic"/>
          <w:sz w:val="24"/>
          <w:szCs w:val="24"/>
        </w:rPr>
        <w:t xml:space="preserve">gap between intention and action </w:t>
      </w:r>
      <w:bookmarkEnd w:id="1"/>
      <w:r w:rsidRPr="004915B1">
        <w:rPr>
          <w:rFonts w:ascii="Century Gothic" w:hAnsi="Century Gothic"/>
          <w:sz w:val="24"/>
          <w:szCs w:val="24"/>
        </w:rPr>
        <w:t xml:space="preserve">in addressing gender inequality in the country. </w:t>
      </w:r>
    </w:p>
    <w:p w14:paraId="5989E0DF" w14:textId="77777777" w:rsidR="004915B1" w:rsidRPr="004915B1" w:rsidRDefault="004915B1" w:rsidP="004915B1">
      <w:pPr>
        <w:spacing w:line="360" w:lineRule="auto"/>
        <w:jc w:val="both"/>
        <w:rPr>
          <w:rFonts w:ascii="Century Gothic" w:hAnsi="Century Gothic"/>
          <w:b/>
          <w:bCs/>
          <w:sz w:val="24"/>
          <w:szCs w:val="24"/>
        </w:rPr>
      </w:pPr>
      <w:r w:rsidRPr="004915B1">
        <w:rPr>
          <w:rFonts w:ascii="Century Gothic" w:hAnsi="Century Gothic"/>
          <w:sz w:val="24"/>
          <w:szCs w:val="24"/>
        </w:rPr>
        <w:br w:type="page"/>
      </w:r>
    </w:p>
    <w:p w14:paraId="6EE8BB23" w14:textId="41FE16E9" w:rsidR="003610A8" w:rsidRDefault="003B035E" w:rsidP="00EB091E">
      <w:pPr>
        <w:spacing w:line="360" w:lineRule="auto"/>
        <w:jc w:val="both"/>
        <w:rPr>
          <w:rFonts w:ascii="Century Gothic" w:hAnsi="Century Gothic"/>
          <w:b/>
          <w:bCs/>
          <w:sz w:val="24"/>
          <w:szCs w:val="24"/>
          <w:lang w:val="en-US"/>
        </w:rPr>
      </w:pPr>
      <w:r w:rsidRPr="00395213">
        <w:rPr>
          <w:rFonts w:ascii="Century Gothic" w:hAnsi="Century Gothic"/>
          <w:b/>
          <w:bCs/>
          <w:sz w:val="24"/>
          <w:szCs w:val="24"/>
          <w:lang w:val="en-US"/>
        </w:rPr>
        <w:lastRenderedPageBreak/>
        <w:t>References</w:t>
      </w:r>
    </w:p>
    <w:p w14:paraId="3F1F6E66" w14:textId="77777777" w:rsidR="00083892" w:rsidRPr="00083892" w:rsidRDefault="00083892" w:rsidP="00083892">
      <w:pPr>
        <w:spacing w:line="360" w:lineRule="auto"/>
        <w:jc w:val="both"/>
        <w:rPr>
          <w:rFonts w:ascii="Century Gothic" w:hAnsi="Century Gothic"/>
          <w:sz w:val="24"/>
          <w:szCs w:val="24"/>
        </w:rPr>
      </w:pPr>
      <w:r w:rsidRPr="00083892">
        <w:rPr>
          <w:rFonts w:ascii="Century Gothic" w:hAnsi="Century Gothic"/>
          <w:sz w:val="24"/>
          <w:szCs w:val="24"/>
        </w:rPr>
        <w:t xml:space="preserve">Department of Employment and Labour. (2024). </w:t>
      </w:r>
      <w:r w:rsidRPr="00083892">
        <w:rPr>
          <w:rFonts w:ascii="Century Gothic" w:hAnsi="Century Gothic"/>
          <w:i/>
          <w:iCs/>
          <w:sz w:val="24"/>
          <w:szCs w:val="24"/>
        </w:rPr>
        <w:t xml:space="preserve">Department launches a </w:t>
      </w:r>
      <w:proofErr w:type="gramStart"/>
      <w:r w:rsidRPr="00083892">
        <w:rPr>
          <w:rFonts w:ascii="Century Gothic" w:hAnsi="Century Gothic"/>
          <w:i/>
          <w:iCs/>
          <w:sz w:val="24"/>
          <w:szCs w:val="24"/>
        </w:rPr>
        <w:t>game-changer</w:t>
      </w:r>
      <w:proofErr w:type="gramEnd"/>
      <w:r w:rsidRPr="00083892">
        <w:rPr>
          <w:rFonts w:ascii="Century Gothic" w:hAnsi="Century Gothic"/>
          <w:i/>
          <w:iCs/>
          <w:sz w:val="24"/>
          <w:szCs w:val="24"/>
        </w:rPr>
        <w:t xml:space="preserve"> in inspection and enforcement of NMW</w:t>
      </w:r>
      <w:r w:rsidRPr="00083892">
        <w:rPr>
          <w:rFonts w:ascii="Century Gothic" w:hAnsi="Century Gothic"/>
          <w:sz w:val="24"/>
          <w:szCs w:val="24"/>
        </w:rPr>
        <w:t xml:space="preserve">. Retrieved from </w:t>
      </w:r>
      <w:hyperlink r:id="rId13" w:history="1">
        <w:r w:rsidRPr="00083892">
          <w:rPr>
            <w:rStyle w:val="Hyperlink"/>
            <w:rFonts w:ascii="Century Gothic" w:hAnsi="Century Gothic"/>
            <w:sz w:val="24"/>
            <w:szCs w:val="24"/>
          </w:rPr>
          <w:t>https://www.labour.gov.za/department-of-employment-and-labour-launches-a-game-changer-in-inspection-and-enforcement-of-nmw</w:t>
        </w:r>
      </w:hyperlink>
      <w:r w:rsidRPr="00083892">
        <w:rPr>
          <w:rFonts w:ascii="Century Gothic" w:hAnsi="Century Gothic"/>
          <w:sz w:val="24"/>
          <w:szCs w:val="24"/>
        </w:rPr>
        <w:t xml:space="preserve"> </w:t>
      </w:r>
    </w:p>
    <w:p w14:paraId="1CD8A048" w14:textId="77777777" w:rsidR="00707AEE" w:rsidRDefault="00707AEE" w:rsidP="00707AEE">
      <w:pPr>
        <w:spacing w:line="360" w:lineRule="auto"/>
        <w:jc w:val="both"/>
        <w:rPr>
          <w:rFonts w:ascii="Century Gothic" w:hAnsi="Century Gothic"/>
          <w:sz w:val="24"/>
          <w:szCs w:val="24"/>
        </w:rPr>
      </w:pPr>
      <w:r w:rsidRPr="00707AEE">
        <w:rPr>
          <w:rFonts w:ascii="Century Gothic" w:hAnsi="Century Gothic"/>
          <w:sz w:val="24"/>
          <w:szCs w:val="24"/>
        </w:rPr>
        <w:t xml:space="preserve">End GBVF Collective. (n.d.). </w:t>
      </w:r>
      <w:r w:rsidRPr="00707AEE">
        <w:rPr>
          <w:rFonts w:ascii="Century Gothic" w:hAnsi="Century Gothic"/>
          <w:i/>
          <w:iCs/>
          <w:sz w:val="24"/>
          <w:szCs w:val="24"/>
        </w:rPr>
        <w:t>NSP implementation collective</w:t>
      </w:r>
      <w:r w:rsidRPr="00707AEE">
        <w:rPr>
          <w:rFonts w:ascii="Century Gothic" w:hAnsi="Century Gothic"/>
          <w:sz w:val="24"/>
          <w:szCs w:val="24"/>
        </w:rPr>
        <w:t xml:space="preserve">. Retrieved from </w:t>
      </w:r>
      <w:hyperlink r:id="rId14" w:tgtFrame="_blank" w:history="1">
        <w:r w:rsidRPr="00707AEE">
          <w:rPr>
            <w:rStyle w:val="Hyperlink"/>
            <w:rFonts w:ascii="Century Gothic" w:hAnsi="Century Gothic"/>
            <w:sz w:val="24"/>
            <w:szCs w:val="24"/>
          </w:rPr>
          <w:t>https://gbvf.org.za/nsp-implementation-collaborative/</w:t>
        </w:r>
      </w:hyperlink>
    </w:p>
    <w:p w14:paraId="6C7A9043" w14:textId="65BCE7E5" w:rsidR="00936866" w:rsidRPr="00707AEE" w:rsidRDefault="007A0791" w:rsidP="00707AEE">
      <w:pPr>
        <w:spacing w:line="360" w:lineRule="auto"/>
        <w:jc w:val="both"/>
        <w:rPr>
          <w:rFonts w:ascii="Century Gothic" w:hAnsi="Century Gothic"/>
          <w:sz w:val="24"/>
          <w:szCs w:val="24"/>
        </w:rPr>
      </w:pPr>
      <w:r w:rsidRPr="007A0791">
        <w:rPr>
          <w:rFonts w:ascii="Century Gothic" w:hAnsi="Century Gothic"/>
          <w:sz w:val="24"/>
          <w:szCs w:val="24"/>
        </w:rPr>
        <w:t>Masuku, M. M., Mthembu, Z., &amp; Mlambo, V. H. (2023). Gendered effects of land access and ownership on food security in rural settings in South Africa. </w:t>
      </w:r>
      <w:r w:rsidRPr="007A0791">
        <w:rPr>
          <w:rFonts w:ascii="Century Gothic" w:hAnsi="Century Gothic"/>
          <w:i/>
          <w:iCs/>
          <w:sz w:val="24"/>
          <w:szCs w:val="24"/>
        </w:rPr>
        <w:t>Frontiers in sustainable food systems</w:t>
      </w:r>
      <w:r w:rsidRPr="007A0791">
        <w:rPr>
          <w:rFonts w:ascii="Century Gothic" w:hAnsi="Century Gothic"/>
          <w:sz w:val="24"/>
          <w:szCs w:val="24"/>
        </w:rPr>
        <w:t>, </w:t>
      </w:r>
      <w:r w:rsidRPr="007A0791">
        <w:rPr>
          <w:rFonts w:ascii="Century Gothic" w:hAnsi="Century Gothic"/>
          <w:i/>
          <w:iCs/>
          <w:sz w:val="24"/>
          <w:szCs w:val="24"/>
        </w:rPr>
        <w:t>7</w:t>
      </w:r>
      <w:r w:rsidRPr="007A0791">
        <w:rPr>
          <w:rFonts w:ascii="Century Gothic" w:hAnsi="Century Gothic"/>
          <w:sz w:val="24"/>
          <w:szCs w:val="24"/>
        </w:rPr>
        <w:t>, 1158946.</w:t>
      </w:r>
    </w:p>
    <w:p w14:paraId="3AD580A9" w14:textId="757FA549" w:rsidR="00DF76A6" w:rsidRPr="00DF76A6" w:rsidRDefault="00DF76A6" w:rsidP="00DF76A6">
      <w:pPr>
        <w:spacing w:line="360" w:lineRule="auto"/>
        <w:jc w:val="both"/>
        <w:rPr>
          <w:rFonts w:ascii="Century Gothic" w:hAnsi="Century Gothic"/>
          <w:sz w:val="24"/>
          <w:szCs w:val="24"/>
        </w:rPr>
      </w:pPr>
      <w:r w:rsidRPr="00DF76A6">
        <w:rPr>
          <w:rFonts w:ascii="Century Gothic" w:hAnsi="Century Gothic"/>
          <w:sz w:val="24"/>
          <w:szCs w:val="24"/>
        </w:rPr>
        <w:t xml:space="preserve">Murray, R. (2022). The impact of CEDAW Article 11 on women's employment rights. </w:t>
      </w:r>
      <w:r w:rsidRPr="00DF76A6">
        <w:rPr>
          <w:rFonts w:ascii="Century Gothic" w:hAnsi="Century Gothic"/>
          <w:i/>
          <w:iCs/>
          <w:sz w:val="24"/>
          <w:szCs w:val="24"/>
        </w:rPr>
        <w:t>International Journal of Discrimination and the Law</w:t>
      </w:r>
      <w:r w:rsidRPr="00DF76A6">
        <w:rPr>
          <w:rFonts w:ascii="Century Gothic" w:hAnsi="Century Gothic"/>
          <w:sz w:val="24"/>
          <w:szCs w:val="24"/>
        </w:rPr>
        <w:t>, 22(1), 5-20.</w:t>
      </w:r>
    </w:p>
    <w:p w14:paraId="38016F0C" w14:textId="77777777" w:rsidR="001D7B01" w:rsidRPr="001D7B01" w:rsidRDefault="001D7B01" w:rsidP="001D7B01">
      <w:pPr>
        <w:spacing w:line="360" w:lineRule="auto"/>
        <w:jc w:val="both"/>
        <w:rPr>
          <w:rFonts w:ascii="Century Gothic" w:hAnsi="Century Gothic"/>
          <w:sz w:val="24"/>
          <w:szCs w:val="24"/>
        </w:rPr>
      </w:pPr>
      <w:r w:rsidRPr="001D7B01">
        <w:rPr>
          <w:rFonts w:ascii="Century Gothic" w:hAnsi="Century Gothic"/>
          <w:sz w:val="24"/>
          <w:szCs w:val="24"/>
          <w:lang w:val="pt-PT"/>
        </w:rPr>
        <w:t xml:space="preserve">Neves, D., &amp; Du Toit, A. (2023). </w:t>
      </w:r>
      <w:r w:rsidRPr="001D7B01">
        <w:rPr>
          <w:rFonts w:ascii="Century Gothic" w:hAnsi="Century Gothic"/>
          <w:sz w:val="24"/>
          <w:szCs w:val="24"/>
        </w:rPr>
        <w:t xml:space="preserve">Rural livelihoods and women's access to resources in South Africa. </w:t>
      </w:r>
      <w:r w:rsidRPr="001D7B01">
        <w:rPr>
          <w:rFonts w:ascii="Century Gothic" w:hAnsi="Century Gothic"/>
          <w:i/>
          <w:iCs/>
          <w:sz w:val="24"/>
          <w:szCs w:val="24"/>
        </w:rPr>
        <w:t>Development Studies Quarterly</w:t>
      </w:r>
      <w:r w:rsidRPr="001D7B01">
        <w:rPr>
          <w:rFonts w:ascii="Century Gothic" w:hAnsi="Century Gothic"/>
          <w:sz w:val="24"/>
          <w:szCs w:val="24"/>
        </w:rPr>
        <w:t>, 25(2), 74-95.</w:t>
      </w:r>
    </w:p>
    <w:p w14:paraId="4969B64D" w14:textId="7E9CCBAB" w:rsidR="003F5F16" w:rsidRPr="003F5F16" w:rsidRDefault="003F5F16" w:rsidP="003F5F16">
      <w:pPr>
        <w:spacing w:line="360" w:lineRule="auto"/>
        <w:jc w:val="both"/>
        <w:rPr>
          <w:rFonts w:ascii="Century Gothic" w:hAnsi="Century Gothic"/>
          <w:sz w:val="24"/>
          <w:szCs w:val="24"/>
        </w:rPr>
      </w:pPr>
      <w:r w:rsidRPr="003F5F16">
        <w:rPr>
          <w:rFonts w:ascii="Century Gothic" w:hAnsi="Century Gothic"/>
          <w:sz w:val="24"/>
          <w:szCs w:val="24"/>
        </w:rPr>
        <w:t xml:space="preserve">Olivier, T. (2020). The economic dependence of rural women in South Africa: A gendered analysis of social policies. </w:t>
      </w:r>
      <w:r w:rsidRPr="003F5F16">
        <w:rPr>
          <w:rFonts w:ascii="Century Gothic" w:hAnsi="Century Gothic"/>
          <w:i/>
          <w:iCs/>
          <w:sz w:val="24"/>
          <w:szCs w:val="24"/>
        </w:rPr>
        <w:t>Social Policy Review</w:t>
      </w:r>
      <w:r w:rsidRPr="003F5F16">
        <w:rPr>
          <w:rFonts w:ascii="Century Gothic" w:hAnsi="Century Gothic"/>
          <w:sz w:val="24"/>
          <w:szCs w:val="24"/>
        </w:rPr>
        <w:t>, 38(3), 98-113.</w:t>
      </w:r>
    </w:p>
    <w:p w14:paraId="541B2D39" w14:textId="6A6033C9" w:rsidR="00775B9B" w:rsidRPr="00775B9B" w:rsidRDefault="00775B9B" w:rsidP="00775B9B">
      <w:pPr>
        <w:spacing w:line="360" w:lineRule="auto"/>
        <w:jc w:val="both"/>
        <w:rPr>
          <w:rFonts w:ascii="Century Gothic" w:hAnsi="Century Gothic"/>
          <w:sz w:val="24"/>
          <w:szCs w:val="24"/>
        </w:rPr>
      </w:pPr>
      <w:r w:rsidRPr="00775B9B">
        <w:rPr>
          <w:rFonts w:ascii="Century Gothic" w:hAnsi="Century Gothic"/>
          <w:sz w:val="24"/>
          <w:szCs w:val="24"/>
        </w:rPr>
        <w:t xml:space="preserve">Pillay, S., &amp; Pillay, R. (2021). Unpaid work and rural women: Economic implications and policy solutions. </w:t>
      </w:r>
      <w:r w:rsidRPr="00775B9B">
        <w:rPr>
          <w:rFonts w:ascii="Century Gothic" w:hAnsi="Century Gothic"/>
          <w:i/>
          <w:iCs/>
          <w:sz w:val="24"/>
          <w:szCs w:val="24"/>
        </w:rPr>
        <w:t>Rural Economy Policy Review</w:t>
      </w:r>
      <w:r w:rsidRPr="00775B9B">
        <w:rPr>
          <w:rFonts w:ascii="Century Gothic" w:hAnsi="Century Gothic"/>
          <w:sz w:val="24"/>
          <w:szCs w:val="24"/>
        </w:rPr>
        <w:t>, 19(4), 175-190.</w:t>
      </w:r>
    </w:p>
    <w:p w14:paraId="1B102B22" w14:textId="3C6E869F" w:rsidR="00775B9B" w:rsidRDefault="00932C09" w:rsidP="003B43C4">
      <w:pPr>
        <w:spacing w:line="360" w:lineRule="auto"/>
        <w:jc w:val="both"/>
        <w:rPr>
          <w:rFonts w:ascii="Century Gothic" w:hAnsi="Century Gothic"/>
          <w:sz w:val="24"/>
          <w:szCs w:val="24"/>
        </w:rPr>
      </w:pPr>
      <w:r>
        <w:rPr>
          <w:rFonts w:ascii="Century Gothic" w:hAnsi="Century Gothic"/>
          <w:sz w:val="24"/>
          <w:szCs w:val="24"/>
        </w:rPr>
        <w:t xml:space="preserve">Republic of South Africa. (1996). Commission for Gender Equality </w:t>
      </w:r>
      <w:r w:rsidR="00ED5322">
        <w:rPr>
          <w:rFonts w:ascii="Century Gothic" w:hAnsi="Century Gothic"/>
          <w:sz w:val="24"/>
          <w:szCs w:val="24"/>
        </w:rPr>
        <w:t xml:space="preserve">Act No. 39 of </w:t>
      </w:r>
      <w:r w:rsidR="00EC0889">
        <w:rPr>
          <w:rFonts w:ascii="Century Gothic" w:hAnsi="Century Gothic"/>
          <w:sz w:val="24"/>
          <w:szCs w:val="24"/>
        </w:rPr>
        <w:t>1996. Government Printer</w:t>
      </w:r>
    </w:p>
    <w:p w14:paraId="63F60080" w14:textId="5F7B5F9E" w:rsidR="003B43C4" w:rsidRPr="00395213" w:rsidRDefault="003B43C4" w:rsidP="003B43C4">
      <w:pPr>
        <w:spacing w:line="360" w:lineRule="auto"/>
        <w:jc w:val="both"/>
        <w:rPr>
          <w:rFonts w:ascii="Century Gothic" w:hAnsi="Century Gothic"/>
          <w:sz w:val="24"/>
          <w:szCs w:val="24"/>
        </w:rPr>
      </w:pPr>
      <w:r w:rsidRPr="00395213">
        <w:rPr>
          <w:rFonts w:ascii="Century Gothic" w:hAnsi="Century Gothic"/>
          <w:sz w:val="24"/>
          <w:szCs w:val="24"/>
        </w:rPr>
        <w:t xml:space="preserve">Republic of South Africa. (1996). </w:t>
      </w:r>
      <w:r w:rsidRPr="00395213">
        <w:rPr>
          <w:rFonts w:ascii="Century Gothic" w:hAnsi="Century Gothic"/>
          <w:i/>
          <w:iCs/>
          <w:sz w:val="24"/>
          <w:szCs w:val="24"/>
        </w:rPr>
        <w:t>Constitution of the Republic of South Africa</w:t>
      </w:r>
      <w:r w:rsidRPr="00395213">
        <w:rPr>
          <w:rFonts w:ascii="Century Gothic" w:hAnsi="Century Gothic"/>
          <w:sz w:val="24"/>
          <w:szCs w:val="24"/>
        </w:rPr>
        <w:t>. Government Printer.</w:t>
      </w:r>
    </w:p>
    <w:p w14:paraId="64D8C1B8" w14:textId="088F9FA2" w:rsidR="00EB091E" w:rsidRDefault="00FA4C7C" w:rsidP="00EB091E">
      <w:pPr>
        <w:spacing w:line="360" w:lineRule="auto"/>
        <w:jc w:val="both"/>
        <w:rPr>
          <w:rFonts w:ascii="Century Gothic" w:hAnsi="Century Gothic"/>
          <w:sz w:val="24"/>
          <w:szCs w:val="24"/>
        </w:rPr>
      </w:pPr>
      <w:r w:rsidRPr="00FA4C7C">
        <w:rPr>
          <w:rFonts w:ascii="Century Gothic" w:hAnsi="Century Gothic"/>
          <w:sz w:val="24"/>
          <w:szCs w:val="24"/>
        </w:rPr>
        <w:t xml:space="preserve">Republic of South Africa. (2020). </w:t>
      </w:r>
      <w:r w:rsidRPr="00FA4C7C">
        <w:rPr>
          <w:rFonts w:ascii="Century Gothic" w:hAnsi="Century Gothic"/>
          <w:i/>
          <w:iCs/>
          <w:sz w:val="24"/>
          <w:szCs w:val="24"/>
        </w:rPr>
        <w:t>Employment Equity Amendment Act No. 47 of 2020</w:t>
      </w:r>
      <w:r w:rsidRPr="00FA4C7C">
        <w:rPr>
          <w:rFonts w:ascii="Century Gothic" w:hAnsi="Century Gothic"/>
          <w:sz w:val="24"/>
          <w:szCs w:val="24"/>
        </w:rPr>
        <w:t>. Government Printer</w:t>
      </w:r>
    </w:p>
    <w:p w14:paraId="2A96A4EA" w14:textId="77777777" w:rsidR="00A51C23" w:rsidRPr="00A51C23" w:rsidRDefault="00A51C23" w:rsidP="00A51C23">
      <w:pPr>
        <w:spacing w:line="360" w:lineRule="auto"/>
        <w:jc w:val="both"/>
        <w:rPr>
          <w:rFonts w:ascii="Century Gothic" w:hAnsi="Century Gothic"/>
          <w:sz w:val="24"/>
          <w:szCs w:val="24"/>
        </w:rPr>
      </w:pPr>
      <w:r w:rsidRPr="00A51C23">
        <w:rPr>
          <w:rFonts w:ascii="Century Gothic" w:hAnsi="Century Gothic"/>
          <w:sz w:val="24"/>
          <w:szCs w:val="24"/>
        </w:rPr>
        <w:lastRenderedPageBreak/>
        <w:t xml:space="preserve">Stats SA. (2022). </w:t>
      </w:r>
      <w:r w:rsidRPr="00A51C23">
        <w:rPr>
          <w:rFonts w:ascii="Century Gothic" w:hAnsi="Century Gothic"/>
          <w:i/>
          <w:iCs/>
          <w:sz w:val="24"/>
          <w:szCs w:val="24"/>
        </w:rPr>
        <w:t>Unemployment rates in rural and urban South Africa: A comparative analysis.</w:t>
      </w:r>
      <w:r w:rsidRPr="00A51C23">
        <w:rPr>
          <w:rFonts w:ascii="Century Gothic" w:hAnsi="Century Gothic"/>
          <w:sz w:val="24"/>
          <w:szCs w:val="24"/>
        </w:rPr>
        <w:t xml:space="preserve"> Statistics South Africa.</w:t>
      </w:r>
    </w:p>
    <w:p w14:paraId="67164A7D" w14:textId="77777777" w:rsidR="005E61A7" w:rsidRPr="00EB091E" w:rsidRDefault="005E61A7" w:rsidP="00EB091E">
      <w:pPr>
        <w:spacing w:line="360" w:lineRule="auto"/>
        <w:jc w:val="both"/>
        <w:rPr>
          <w:rFonts w:ascii="Century Gothic" w:hAnsi="Century Gothic"/>
          <w:sz w:val="24"/>
          <w:szCs w:val="24"/>
          <w:lang w:val="en-US"/>
        </w:rPr>
      </w:pPr>
    </w:p>
    <w:sectPr w:rsidR="005E61A7" w:rsidRPr="00EB091E">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4D859" w14:textId="77777777" w:rsidR="00A035F6" w:rsidRDefault="00A035F6" w:rsidP="00D36600">
      <w:pPr>
        <w:spacing w:after="0" w:line="240" w:lineRule="auto"/>
      </w:pPr>
      <w:r>
        <w:separator/>
      </w:r>
    </w:p>
  </w:endnote>
  <w:endnote w:type="continuationSeparator" w:id="0">
    <w:p w14:paraId="2B24B600" w14:textId="77777777" w:rsidR="00A035F6" w:rsidRDefault="00A035F6" w:rsidP="00D366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rsidR="00D36600" w14:paraId="41CE50DE" w14:textId="77777777">
      <w:trPr>
        <w:trHeight w:hRule="exact" w:val="115"/>
        <w:jc w:val="center"/>
      </w:trPr>
      <w:tc>
        <w:tcPr>
          <w:tcW w:w="4686" w:type="dxa"/>
          <w:shd w:val="clear" w:color="auto" w:fill="4472C4" w:themeFill="accent1"/>
          <w:tcMar>
            <w:top w:w="0" w:type="dxa"/>
            <w:bottom w:w="0" w:type="dxa"/>
          </w:tcMar>
        </w:tcPr>
        <w:p w14:paraId="12077FC8" w14:textId="77777777" w:rsidR="00D36600" w:rsidRDefault="00D36600">
          <w:pPr>
            <w:pStyle w:val="Header"/>
            <w:rPr>
              <w:caps/>
              <w:sz w:val="18"/>
            </w:rPr>
          </w:pPr>
        </w:p>
      </w:tc>
      <w:tc>
        <w:tcPr>
          <w:tcW w:w="4674" w:type="dxa"/>
          <w:shd w:val="clear" w:color="auto" w:fill="4472C4" w:themeFill="accent1"/>
          <w:tcMar>
            <w:top w:w="0" w:type="dxa"/>
            <w:bottom w:w="0" w:type="dxa"/>
          </w:tcMar>
        </w:tcPr>
        <w:p w14:paraId="44BDD62D" w14:textId="77777777" w:rsidR="00D36600" w:rsidRDefault="00D36600">
          <w:pPr>
            <w:pStyle w:val="Header"/>
            <w:jc w:val="right"/>
            <w:rPr>
              <w:caps/>
              <w:sz w:val="18"/>
            </w:rPr>
          </w:pPr>
        </w:p>
      </w:tc>
    </w:tr>
    <w:tr w:rsidR="00D36600" w14:paraId="31F02C24" w14:textId="77777777">
      <w:trPr>
        <w:jc w:val="center"/>
      </w:trPr>
      <w:sdt>
        <w:sdtPr>
          <w:rPr>
            <w:rFonts w:ascii="Century Gothic" w:hAnsi="Century Gothic"/>
            <w:b/>
            <w:bCs/>
            <w:caps/>
            <w:sz w:val="16"/>
            <w:szCs w:val="16"/>
          </w:rPr>
          <w:alias w:val="Author"/>
          <w:tag w:val=""/>
          <w:id w:val="1534151868"/>
          <w:placeholder>
            <w:docPart w:val="A4F1EFAF7D0647F6889DFF4BEE850CD7"/>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vAlign w:val="center"/>
            </w:tcPr>
            <w:p w14:paraId="23012A4B" w14:textId="15B39ADF" w:rsidR="00D36600" w:rsidRPr="00D36600" w:rsidRDefault="00D36600" w:rsidP="00D36600">
              <w:pPr>
                <w:pStyle w:val="Footer"/>
                <w:rPr>
                  <w:rFonts w:ascii="Century Gothic" w:hAnsi="Century Gothic"/>
                  <w:b/>
                  <w:bCs/>
                  <w:caps/>
                  <w:sz w:val="16"/>
                  <w:szCs w:val="16"/>
                </w:rPr>
              </w:pPr>
              <w:r w:rsidRPr="00D36600">
                <w:rPr>
                  <w:rFonts w:ascii="Century Gothic" w:hAnsi="Century Gothic"/>
                  <w:b/>
                  <w:bCs/>
                  <w:caps/>
                  <w:sz w:val="16"/>
                  <w:szCs w:val="16"/>
                </w:rPr>
                <w:t>O</w:t>
              </w:r>
              <w:r w:rsidRPr="00D36600">
                <w:rPr>
                  <w:rFonts w:ascii="Century Gothic" w:hAnsi="Century Gothic"/>
                  <w:b/>
                  <w:bCs/>
                  <w:sz w:val="16"/>
                  <w:szCs w:val="16"/>
                </w:rPr>
                <w:t>n Paper and in Practice: Assessing South Africa’s Compliance with CEDAW (2020–2025)</w:t>
              </w:r>
            </w:p>
          </w:tc>
        </w:sdtContent>
      </w:sdt>
      <w:tc>
        <w:tcPr>
          <w:tcW w:w="4674" w:type="dxa"/>
          <w:vAlign w:val="center"/>
        </w:tcPr>
        <w:p w14:paraId="7EC04A52" w14:textId="77777777" w:rsidR="00D36600" w:rsidRDefault="00D36600">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2931231E" w14:textId="77777777" w:rsidR="00D36600" w:rsidRDefault="00D366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93F8C" w14:textId="77777777" w:rsidR="00A035F6" w:rsidRDefault="00A035F6" w:rsidP="00D36600">
      <w:pPr>
        <w:spacing w:after="0" w:line="240" w:lineRule="auto"/>
      </w:pPr>
      <w:r>
        <w:separator/>
      </w:r>
    </w:p>
  </w:footnote>
  <w:footnote w:type="continuationSeparator" w:id="0">
    <w:p w14:paraId="26019800" w14:textId="77777777" w:rsidR="00A035F6" w:rsidRDefault="00A035F6" w:rsidP="00D366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D257BD"/>
    <w:multiLevelType w:val="multilevel"/>
    <w:tmpl w:val="8AB48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124CBF"/>
    <w:multiLevelType w:val="multilevel"/>
    <w:tmpl w:val="FC6A2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AF4942"/>
    <w:multiLevelType w:val="multilevel"/>
    <w:tmpl w:val="4EF4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A65FFA"/>
    <w:multiLevelType w:val="multilevel"/>
    <w:tmpl w:val="9132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8B4B1A"/>
    <w:multiLevelType w:val="multilevel"/>
    <w:tmpl w:val="ED7EB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8540164">
    <w:abstractNumId w:val="4"/>
  </w:num>
  <w:num w:numId="2" w16cid:durableId="1213999342">
    <w:abstractNumId w:val="3"/>
  </w:num>
  <w:num w:numId="3" w16cid:durableId="181405288">
    <w:abstractNumId w:val="1"/>
  </w:num>
  <w:num w:numId="4" w16cid:durableId="143086180">
    <w:abstractNumId w:val="2"/>
  </w:num>
  <w:num w:numId="5" w16cid:durableId="218713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91E"/>
    <w:rsid w:val="000115BB"/>
    <w:rsid w:val="0003013A"/>
    <w:rsid w:val="000335E0"/>
    <w:rsid w:val="0003653A"/>
    <w:rsid w:val="000532F3"/>
    <w:rsid w:val="00064C71"/>
    <w:rsid w:val="00083892"/>
    <w:rsid w:val="000838ED"/>
    <w:rsid w:val="00095335"/>
    <w:rsid w:val="000A5708"/>
    <w:rsid w:val="000C118E"/>
    <w:rsid w:val="000C1BF9"/>
    <w:rsid w:val="000C797D"/>
    <w:rsid w:val="000E1EB4"/>
    <w:rsid w:val="0011080E"/>
    <w:rsid w:val="001338A6"/>
    <w:rsid w:val="001607D2"/>
    <w:rsid w:val="001820D5"/>
    <w:rsid w:val="00194034"/>
    <w:rsid w:val="001A56B3"/>
    <w:rsid w:val="001A65D0"/>
    <w:rsid w:val="001C4091"/>
    <w:rsid w:val="001C7557"/>
    <w:rsid w:val="001D071B"/>
    <w:rsid w:val="001D7B01"/>
    <w:rsid w:val="001F4662"/>
    <w:rsid w:val="00207529"/>
    <w:rsid w:val="00225EA6"/>
    <w:rsid w:val="002505EE"/>
    <w:rsid w:val="00252C2E"/>
    <w:rsid w:val="00254D7A"/>
    <w:rsid w:val="00256893"/>
    <w:rsid w:val="0028723E"/>
    <w:rsid w:val="00290033"/>
    <w:rsid w:val="002A7223"/>
    <w:rsid w:val="002B3DA9"/>
    <w:rsid w:val="002B5453"/>
    <w:rsid w:val="002B5CF2"/>
    <w:rsid w:val="002C4186"/>
    <w:rsid w:val="002F3362"/>
    <w:rsid w:val="003011DB"/>
    <w:rsid w:val="00305B96"/>
    <w:rsid w:val="00317535"/>
    <w:rsid w:val="00320C8F"/>
    <w:rsid w:val="003270DF"/>
    <w:rsid w:val="00327DED"/>
    <w:rsid w:val="003610A8"/>
    <w:rsid w:val="00367629"/>
    <w:rsid w:val="003825E5"/>
    <w:rsid w:val="00392DEE"/>
    <w:rsid w:val="00395213"/>
    <w:rsid w:val="00397808"/>
    <w:rsid w:val="003B035E"/>
    <w:rsid w:val="003B43C4"/>
    <w:rsid w:val="003B5C4A"/>
    <w:rsid w:val="003F5F16"/>
    <w:rsid w:val="00404AD8"/>
    <w:rsid w:val="00413E67"/>
    <w:rsid w:val="004214CE"/>
    <w:rsid w:val="00421A6A"/>
    <w:rsid w:val="004330A4"/>
    <w:rsid w:val="00460990"/>
    <w:rsid w:val="0047431C"/>
    <w:rsid w:val="004915B1"/>
    <w:rsid w:val="004B2073"/>
    <w:rsid w:val="004E0694"/>
    <w:rsid w:val="004E256F"/>
    <w:rsid w:val="005061A2"/>
    <w:rsid w:val="00517215"/>
    <w:rsid w:val="0053770D"/>
    <w:rsid w:val="0054080B"/>
    <w:rsid w:val="0054108C"/>
    <w:rsid w:val="005434FD"/>
    <w:rsid w:val="00550B61"/>
    <w:rsid w:val="00562CCA"/>
    <w:rsid w:val="00570280"/>
    <w:rsid w:val="005E61A7"/>
    <w:rsid w:val="005E6DE0"/>
    <w:rsid w:val="005F19DA"/>
    <w:rsid w:val="00605637"/>
    <w:rsid w:val="0061459B"/>
    <w:rsid w:val="00636810"/>
    <w:rsid w:val="00645F94"/>
    <w:rsid w:val="006643BC"/>
    <w:rsid w:val="00681DF8"/>
    <w:rsid w:val="00685E41"/>
    <w:rsid w:val="0069137F"/>
    <w:rsid w:val="00691A05"/>
    <w:rsid w:val="00694CAD"/>
    <w:rsid w:val="006A12B2"/>
    <w:rsid w:val="006B025A"/>
    <w:rsid w:val="006C0042"/>
    <w:rsid w:val="00704499"/>
    <w:rsid w:val="00707AEE"/>
    <w:rsid w:val="00725C10"/>
    <w:rsid w:val="0074156A"/>
    <w:rsid w:val="00760332"/>
    <w:rsid w:val="0076247D"/>
    <w:rsid w:val="00772112"/>
    <w:rsid w:val="00775437"/>
    <w:rsid w:val="00775B9B"/>
    <w:rsid w:val="007811DA"/>
    <w:rsid w:val="00786860"/>
    <w:rsid w:val="00793E66"/>
    <w:rsid w:val="007A0791"/>
    <w:rsid w:val="007C743E"/>
    <w:rsid w:val="007D1133"/>
    <w:rsid w:val="007E3E32"/>
    <w:rsid w:val="00821078"/>
    <w:rsid w:val="008429D6"/>
    <w:rsid w:val="008925C8"/>
    <w:rsid w:val="0089594F"/>
    <w:rsid w:val="008A79F5"/>
    <w:rsid w:val="008E6852"/>
    <w:rsid w:val="00922835"/>
    <w:rsid w:val="00932458"/>
    <w:rsid w:val="00932C09"/>
    <w:rsid w:val="00936866"/>
    <w:rsid w:val="0095169A"/>
    <w:rsid w:val="00951C00"/>
    <w:rsid w:val="00953306"/>
    <w:rsid w:val="00960A99"/>
    <w:rsid w:val="00993A0F"/>
    <w:rsid w:val="009A6D7C"/>
    <w:rsid w:val="009E2682"/>
    <w:rsid w:val="00A020E9"/>
    <w:rsid w:val="00A035F6"/>
    <w:rsid w:val="00A13CA2"/>
    <w:rsid w:val="00A221F0"/>
    <w:rsid w:val="00A263B9"/>
    <w:rsid w:val="00A26B00"/>
    <w:rsid w:val="00A31F3C"/>
    <w:rsid w:val="00A44AA1"/>
    <w:rsid w:val="00A51C23"/>
    <w:rsid w:val="00A96F3A"/>
    <w:rsid w:val="00AB14A1"/>
    <w:rsid w:val="00AE4565"/>
    <w:rsid w:val="00B171DF"/>
    <w:rsid w:val="00B335DB"/>
    <w:rsid w:val="00B55AAB"/>
    <w:rsid w:val="00B65A1B"/>
    <w:rsid w:val="00B74FFC"/>
    <w:rsid w:val="00B807B4"/>
    <w:rsid w:val="00BE25F0"/>
    <w:rsid w:val="00BE5616"/>
    <w:rsid w:val="00BF6D72"/>
    <w:rsid w:val="00C06B90"/>
    <w:rsid w:val="00C14B56"/>
    <w:rsid w:val="00C27C6C"/>
    <w:rsid w:val="00C338FF"/>
    <w:rsid w:val="00C4299A"/>
    <w:rsid w:val="00C64F37"/>
    <w:rsid w:val="00CD55B8"/>
    <w:rsid w:val="00CD648A"/>
    <w:rsid w:val="00CE550D"/>
    <w:rsid w:val="00CF2587"/>
    <w:rsid w:val="00CF2CAB"/>
    <w:rsid w:val="00D215A9"/>
    <w:rsid w:val="00D32B81"/>
    <w:rsid w:val="00D36600"/>
    <w:rsid w:val="00D4286C"/>
    <w:rsid w:val="00D5126B"/>
    <w:rsid w:val="00D54D41"/>
    <w:rsid w:val="00D571EE"/>
    <w:rsid w:val="00D95CED"/>
    <w:rsid w:val="00DB6A43"/>
    <w:rsid w:val="00DE43A3"/>
    <w:rsid w:val="00DE59E4"/>
    <w:rsid w:val="00DF76A6"/>
    <w:rsid w:val="00E04FCD"/>
    <w:rsid w:val="00E1733C"/>
    <w:rsid w:val="00E311E3"/>
    <w:rsid w:val="00E34670"/>
    <w:rsid w:val="00E40525"/>
    <w:rsid w:val="00E45AD5"/>
    <w:rsid w:val="00E51E5C"/>
    <w:rsid w:val="00E563E8"/>
    <w:rsid w:val="00E77710"/>
    <w:rsid w:val="00E77F0F"/>
    <w:rsid w:val="00E9700E"/>
    <w:rsid w:val="00EA15DE"/>
    <w:rsid w:val="00EB091E"/>
    <w:rsid w:val="00EC0889"/>
    <w:rsid w:val="00EC3182"/>
    <w:rsid w:val="00EC6028"/>
    <w:rsid w:val="00ED3E80"/>
    <w:rsid w:val="00ED5322"/>
    <w:rsid w:val="00EE0BFA"/>
    <w:rsid w:val="00EE3353"/>
    <w:rsid w:val="00EE7B15"/>
    <w:rsid w:val="00EF33B9"/>
    <w:rsid w:val="00F14E8B"/>
    <w:rsid w:val="00F21119"/>
    <w:rsid w:val="00F23FE2"/>
    <w:rsid w:val="00F34282"/>
    <w:rsid w:val="00F41578"/>
    <w:rsid w:val="00F44151"/>
    <w:rsid w:val="00F449BD"/>
    <w:rsid w:val="00F562F8"/>
    <w:rsid w:val="00F63F66"/>
    <w:rsid w:val="00F700D5"/>
    <w:rsid w:val="00F9512A"/>
    <w:rsid w:val="00FA0C24"/>
    <w:rsid w:val="00FA4ADA"/>
    <w:rsid w:val="00FA4C7C"/>
    <w:rsid w:val="00FB67BC"/>
    <w:rsid w:val="00FC3523"/>
    <w:rsid w:val="00FC5C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6856F"/>
  <w15:chartTrackingRefBased/>
  <w15:docId w15:val="{719B0585-3D6E-473D-926E-4C0775F49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B091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B091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B091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B091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B091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B09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09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09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09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91E"/>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EB091E"/>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EB091E"/>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EB091E"/>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EB091E"/>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EB091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B091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B091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B091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EB09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091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B09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091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B091E"/>
    <w:pPr>
      <w:spacing w:before="160"/>
      <w:jc w:val="center"/>
    </w:pPr>
    <w:rPr>
      <w:i/>
      <w:iCs/>
      <w:color w:val="404040" w:themeColor="text1" w:themeTint="BF"/>
    </w:rPr>
  </w:style>
  <w:style w:type="character" w:customStyle="1" w:styleId="QuoteChar">
    <w:name w:val="Quote Char"/>
    <w:basedOn w:val="DefaultParagraphFont"/>
    <w:link w:val="Quote"/>
    <w:uiPriority w:val="29"/>
    <w:rsid w:val="00EB091E"/>
    <w:rPr>
      <w:i/>
      <w:iCs/>
      <w:color w:val="404040" w:themeColor="text1" w:themeTint="BF"/>
      <w:lang w:val="en-GB"/>
    </w:rPr>
  </w:style>
  <w:style w:type="paragraph" w:styleId="ListParagraph">
    <w:name w:val="List Paragraph"/>
    <w:basedOn w:val="Normal"/>
    <w:uiPriority w:val="34"/>
    <w:qFormat/>
    <w:rsid w:val="00EB091E"/>
    <w:pPr>
      <w:ind w:left="720"/>
      <w:contextualSpacing/>
    </w:pPr>
  </w:style>
  <w:style w:type="character" w:styleId="IntenseEmphasis">
    <w:name w:val="Intense Emphasis"/>
    <w:basedOn w:val="DefaultParagraphFont"/>
    <w:uiPriority w:val="21"/>
    <w:qFormat/>
    <w:rsid w:val="00EB091E"/>
    <w:rPr>
      <w:i/>
      <w:iCs/>
      <w:color w:val="2F5496" w:themeColor="accent1" w:themeShade="BF"/>
    </w:rPr>
  </w:style>
  <w:style w:type="paragraph" w:styleId="IntenseQuote">
    <w:name w:val="Intense Quote"/>
    <w:basedOn w:val="Normal"/>
    <w:next w:val="Normal"/>
    <w:link w:val="IntenseQuoteChar"/>
    <w:uiPriority w:val="30"/>
    <w:qFormat/>
    <w:rsid w:val="00EB09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091E"/>
    <w:rPr>
      <w:i/>
      <w:iCs/>
      <w:color w:val="2F5496" w:themeColor="accent1" w:themeShade="BF"/>
      <w:lang w:val="en-GB"/>
    </w:rPr>
  </w:style>
  <w:style w:type="character" w:styleId="IntenseReference">
    <w:name w:val="Intense Reference"/>
    <w:basedOn w:val="DefaultParagraphFont"/>
    <w:uiPriority w:val="32"/>
    <w:qFormat/>
    <w:rsid w:val="00EB091E"/>
    <w:rPr>
      <w:b/>
      <w:bCs/>
      <w:smallCaps/>
      <w:color w:val="2F5496" w:themeColor="accent1" w:themeShade="BF"/>
      <w:spacing w:val="5"/>
    </w:rPr>
  </w:style>
  <w:style w:type="paragraph" w:styleId="Revision">
    <w:name w:val="Revision"/>
    <w:hidden/>
    <w:uiPriority w:val="99"/>
    <w:semiHidden/>
    <w:rsid w:val="001820D5"/>
    <w:pPr>
      <w:spacing w:after="0" w:line="240" w:lineRule="auto"/>
    </w:pPr>
    <w:rPr>
      <w:lang w:val="en-GB"/>
    </w:rPr>
  </w:style>
  <w:style w:type="paragraph" w:styleId="Bibliography">
    <w:name w:val="Bibliography"/>
    <w:basedOn w:val="Normal"/>
    <w:next w:val="Normal"/>
    <w:uiPriority w:val="37"/>
    <w:semiHidden/>
    <w:unhideWhenUsed/>
    <w:rsid w:val="00A51C23"/>
  </w:style>
  <w:style w:type="character" w:styleId="Hyperlink">
    <w:name w:val="Hyperlink"/>
    <w:basedOn w:val="DefaultParagraphFont"/>
    <w:uiPriority w:val="99"/>
    <w:unhideWhenUsed/>
    <w:rsid w:val="00707AEE"/>
    <w:rPr>
      <w:color w:val="0563C1" w:themeColor="hyperlink"/>
      <w:u w:val="single"/>
    </w:rPr>
  </w:style>
  <w:style w:type="character" w:styleId="UnresolvedMention">
    <w:name w:val="Unresolved Mention"/>
    <w:basedOn w:val="DefaultParagraphFont"/>
    <w:uiPriority w:val="99"/>
    <w:semiHidden/>
    <w:unhideWhenUsed/>
    <w:rsid w:val="00707AEE"/>
    <w:rPr>
      <w:color w:val="605E5C"/>
      <w:shd w:val="clear" w:color="auto" w:fill="E1DFDD"/>
    </w:rPr>
  </w:style>
  <w:style w:type="table" w:styleId="TableGrid">
    <w:name w:val="Table Grid"/>
    <w:basedOn w:val="TableNormal"/>
    <w:uiPriority w:val="39"/>
    <w:rsid w:val="00EE0B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D42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style>
  <w:style w:type="paragraph" w:styleId="Header">
    <w:name w:val="header"/>
    <w:basedOn w:val="Normal"/>
    <w:link w:val="HeaderChar"/>
    <w:uiPriority w:val="99"/>
    <w:unhideWhenUsed/>
    <w:rsid w:val="00D366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600"/>
    <w:rPr>
      <w:lang w:val="en-GB"/>
    </w:rPr>
  </w:style>
  <w:style w:type="paragraph" w:styleId="Footer">
    <w:name w:val="footer"/>
    <w:basedOn w:val="Normal"/>
    <w:link w:val="FooterChar"/>
    <w:uiPriority w:val="99"/>
    <w:unhideWhenUsed/>
    <w:rsid w:val="00D366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60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abour.gov.za/department-of-employment-and-labour-launches-a-game-changer-in-inspection-and-enforcement-of-nmw"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bvf.org.za/nsp-implementation-collaborativ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4F1EFAF7D0647F6889DFF4BEE850CD7"/>
        <w:category>
          <w:name w:val="General"/>
          <w:gallery w:val="placeholder"/>
        </w:category>
        <w:types>
          <w:type w:val="bbPlcHdr"/>
        </w:types>
        <w:behaviors>
          <w:behavior w:val="content"/>
        </w:behaviors>
        <w:guid w:val="{34C0EC53-F38C-48DF-86B3-8A14A59EAEE6}"/>
      </w:docPartPr>
      <w:docPartBody>
        <w:p w:rsidR="00067F09" w:rsidRDefault="0073425A" w:rsidP="0073425A">
          <w:pPr>
            <w:pStyle w:val="A4F1EFAF7D0647F6889DFF4BEE850CD7"/>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25A"/>
    <w:rsid w:val="00067F09"/>
    <w:rsid w:val="000E5D67"/>
    <w:rsid w:val="0069137F"/>
    <w:rsid w:val="0073425A"/>
    <w:rsid w:val="00767B2E"/>
    <w:rsid w:val="007C743E"/>
    <w:rsid w:val="00ED3E80"/>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ZA" w:eastAsia="en-Z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3425A"/>
    <w:rPr>
      <w:color w:val="808080"/>
    </w:rPr>
  </w:style>
  <w:style w:type="paragraph" w:customStyle="1" w:styleId="A4F1EFAF7D0647F6889DFF4BEE850CD7">
    <w:name w:val="A4F1EFAF7D0647F6889DFF4BEE850CD7"/>
    <w:rsid w:val="007342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2026-07-14T12:26:17+00:00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11E625D-90E1-494F-8A89-22AA4899E735}">
  <ds:schemaRefs>
    <ds:schemaRef ds:uri="http://schemas.openxmlformats.org/officeDocument/2006/bibliography"/>
  </ds:schemaRefs>
</ds:datastoreItem>
</file>

<file path=customXml/itemProps2.xml><?xml version="1.0" encoding="utf-8"?>
<ds:datastoreItem xmlns:ds="http://schemas.openxmlformats.org/officeDocument/2006/customXml" ds:itemID="{A3621131-F7D9-438E-BE6E-04B0E8CE943C}"/>
</file>

<file path=customXml/itemProps3.xml><?xml version="1.0" encoding="utf-8"?>
<ds:datastoreItem xmlns:ds="http://schemas.openxmlformats.org/officeDocument/2006/customXml" ds:itemID="{90A7A8EB-1BB3-4F40-B8E3-CEFADAC012BF}"/>
</file>

<file path=customXml/itemProps4.xml><?xml version="1.0" encoding="utf-8"?>
<ds:datastoreItem xmlns:ds="http://schemas.openxmlformats.org/officeDocument/2006/customXml" ds:itemID="{2255DBEA-EB5F-423A-B8C4-CEFBDC720621}"/>
</file>

<file path=docProps/app.xml><?xml version="1.0" encoding="utf-8"?>
<Properties xmlns="http://schemas.openxmlformats.org/officeDocument/2006/extended-properties" xmlns:vt="http://schemas.openxmlformats.org/officeDocument/2006/docPropsVTypes">
  <Template>Normal</Template>
  <TotalTime>1</TotalTime>
  <Pages>19</Pages>
  <Words>3484</Words>
  <Characters>19860</Characters>
  <Application>Microsoft Office Word</Application>
  <DocSecurity>0</DocSecurity>
  <Lines>165</Lines>
  <Paragraphs>46</Paragraphs>
  <ScaleCrop>false</ScaleCrop>
  <Company/>
  <LinksUpToDate>false</LinksUpToDate>
  <CharactersWithSpaces>23298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 Paper and in Practice: Assessing South Africa’s Compliance with CEDAW (2020–2025)</dc:creator>
  <cp:keywords/>
  <dc:description/>
  <cp:lastModifiedBy>Lieketseng Mohlakoana-motopi</cp:lastModifiedBy>
  <cp:revision>2</cp:revision>
  <dcterms:created xsi:type="dcterms:W3CDTF">2026-07-13T10:37:00Z</dcterms:created>
  <dcterms:modified xsi:type="dcterms:W3CDTF">2026-07-13T10:37:00Z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