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2">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3">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4">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5">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6">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7">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8">
      <w:pPr>
        <w:spacing w:after="160" w:line="276" w:lineRule="auto"/>
        <w:jc w:val="center"/>
        <w:rPr>
          <w:rFonts w:ascii="Times New Roman" w:cs="Times New Roman" w:eastAsia="Times New Roman" w:hAnsi="Times New Roman"/>
          <w:b w:val="1"/>
          <w:sz w:val="23"/>
          <w:szCs w:val="23"/>
          <w:u w:val="single"/>
        </w:rPr>
      </w:pPr>
      <w:r w:rsidDel="00000000" w:rsidR="00000000" w:rsidRPr="00000000">
        <w:rPr>
          <w:rFonts w:ascii="Times New Roman" w:cs="Times New Roman" w:eastAsia="Times New Roman" w:hAnsi="Times New Roman"/>
          <w:sz w:val="23"/>
          <w:szCs w:val="23"/>
        </w:rPr>
        <w:drawing>
          <wp:inline distB="0" distT="0" distL="0" distR="0">
            <wp:extent cx="2438400" cy="11620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438400"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A">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B">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C">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D">
      <w:pPr>
        <w:spacing w:after="160" w:line="276"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0E">
      <w:pPr>
        <w:spacing w:after="160" w:line="276"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NGO Submission to the </w:t>
      </w:r>
    </w:p>
    <w:p w:rsidR="00000000" w:rsidDel="00000000" w:rsidP="00000000" w:rsidRDefault="00000000" w:rsidRPr="00000000" w14:paraId="0000000F">
      <w:pPr>
        <w:spacing w:after="160" w:line="276"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Committee on the Elimination of Discrimination against Women</w:t>
      </w:r>
    </w:p>
    <w:p w:rsidR="00000000" w:rsidDel="00000000" w:rsidP="00000000" w:rsidRDefault="00000000" w:rsidRPr="00000000" w14:paraId="00000010">
      <w:pPr>
        <w:spacing w:line="276"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for Turkey’s review at the Pre-sessional Working Group for the 81st session</w:t>
      </w:r>
    </w:p>
    <w:p w:rsidR="00000000" w:rsidDel="00000000" w:rsidP="00000000" w:rsidRDefault="00000000" w:rsidRPr="00000000" w14:paraId="00000011">
      <w:pPr>
        <w:spacing w:line="276" w:lineRule="auto"/>
        <w:jc w:val="center"/>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12">
      <w:pPr>
        <w:spacing w:line="276" w:lineRule="auto"/>
        <w:jc w:val="center"/>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13">
      <w:pPr>
        <w:spacing w:line="276" w:lineRule="auto"/>
        <w:jc w:val="center"/>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14">
      <w:pPr>
        <w:spacing w:line="276" w:lineRule="auto"/>
        <w:jc w:val="center"/>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015">
      <w:pPr>
        <w:spacing w:line="276"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Prepared and submitted by</w:t>
      </w:r>
    </w:p>
    <w:p w:rsidR="00000000" w:rsidDel="00000000" w:rsidP="00000000" w:rsidRDefault="00000000" w:rsidRPr="00000000" w14:paraId="00000016">
      <w:pPr>
        <w:spacing w:line="276"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Association for Monitoring Equal Rights (AMER)</w:t>
      </w:r>
    </w:p>
    <w:p w:rsidR="00000000" w:rsidDel="00000000" w:rsidP="00000000" w:rsidRDefault="00000000" w:rsidRPr="00000000" w14:paraId="00000017">
      <w:pPr>
        <w:spacing w:after="160" w:line="276" w:lineRule="auto"/>
        <w:jc w:val="center"/>
        <w:rPr>
          <w:rFonts w:ascii="Times New Roman" w:cs="Times New Roman" w:eastAsia="Times New Roman" w:hAnsi="Times New Roman"/>
          <w:b w:val="1"/>
          <w:sz w:val="23"/>
          <w:szCs w:val="23"/>
          <w:u w:val="single"/>
        </w:rPr>
      </w:pPr>
      <w:r w:rsidDel="00000000" w:rsidR="00000000" w:rsidRPr="00000000">
        <w:br w:type="page"/>
      </w:r>
      <w:r w:rsidDel="00000000" w:rsidR="00000000" w:rsidRPr="00000000">
        <w:rPr>
          <w:rtl w:val="0"/>
        </w:rPr>
      </w:r>
    </w:p>
    <w:p w:rsidR="00000000" w:rsidDel="00000000" w:rsidP="00000000" w:rsidRDefault="00000000" w:rsidRPr="00000000" w14:paraId="00000018">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9">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A">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B">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C">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D">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E">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F">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0">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1">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2">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3">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4">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5">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6">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7">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8">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9">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A">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B">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C">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D">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E">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2F">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30">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31">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32">
      <w:pPr>
        <w:spacing w:line="276"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33">
      <w:pPr>
        <w:spacing w:line="276"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The Association for Monitoring Equal Rights - AMER) (</w:t>
      </w:r>
      <w:r w:rsidDel="00000000" w:rsidR="00000000" w:rsidRPr="00000000">
        <w:rPr>
          <w:rFonts w:ascii="Times New Roman" w:cs="Times New Roman" w:eastAsia="Times New Roman" w:hAnsi="Times New Roman"/>
          <w:b w:val="1"/>
          <w:i w:val="1"/>
          <w:sz w:val="23"/>
          <w:szCs w:val="23"/>
          <w:rtl w:val="0"/>
        </w:rPr>
        <w:t xml:space="preserve">Eşit Haklar İçin İzleme Derneği - ESHID</w:t>
      </w:r>
      <w:r w:rsidDel="00000000" w:rsidR="00000000" w:rsidRPr="00000000">
        <w:rPr>
          <w:rFonts w:ascii="Times New Roman" w:cs="Times New Roman" w:eastAsia="Times New Roman" w:hAnsi="Times New Roman"/>
          <w:b w:val="1"/>
          <w:sz w:val="23"/>
          <w:szCs w:val="23"/>
          <w:rtl w:val="0"/>
        </w:rPr>
        <w:t xml:space="preserve">) </w:t>
      </w:r>
      <w:r w:rsidDel="00000000" w:rsidR="00000000" w:rsidRPr="00000000">
        <w:rPr>
          <w:rFonts w:ascii="Times New Roman" w:cs="Times New Roman" w:eastAsia="Times New Roman" w:hAnsi="Times New Roman"/>
          <w:sz w:val="23"/>
          <w:szCs w:val="23"/>
          <w:rtl w:val="0"/>
        </w:rPr>
        <w:t xml:space="preserve">was established in October 2010 to monitor and combat discrimination in society, to ensure everyone can access and enjoy human rights on a full and equal basis. AMER carries out all its monitoring and reporting activities in consultation and partnership with national and grassroots civil society organizations (CSOs) which work with various disadvantaged groups including women, persons with disabilities, different ethnic and religious minority groups in different parts of Turkey. AMER has been observing every election since 2011 in terms of equal access of disadvantaged groups within society, as well as reporting discrimination with regards to the enjoyment of human rights. AMER is the sole CSO in Turkey which has been systematically monitoring freedom of peaceful assembly in Turkey since 2015. Since 2016, AMER has been working on access to justice for persons with disabilities in Turkey. Prior to this report, AMER has submitted a LoIPR to the UN HRCtte in May 2021, an Alternative Country Report on Turkey for the 21</w:t>
      </w:r>
      <w:r w:rsidDel="00000000" w:rsidR="00000000" w:rsidRPr="00000000">
        <w:rPr>
          <w:rFonts w:ascii="Times New Roman" w:cs="Times New Roman" w:eastAsia="Times New Roman" w:hAnsi="Times New Roman"/>
          <w:sz w:val="23"/>
          <w:szCs w:val="23"/>
          <w:vertAlign w:val="superscript"/>
          <w:rtl w:val="0"/>
        </w:rPr>
        <w:t xml:space="preserve">st</w:t>
      </w:r>
      <w:r w:rsidDel="00000000" w:rsidR="00000000" w:rsidRPr="00000000">
        <w:rPr>
          <w:rFonts w:ascii="Times New Roman" w:cs="Times New Roman" w:eastAsia="Times New Roman" w:hAnsi="Times New Roman"/>
          <w:sz w:val="23"/>
          <w:szCs w:val="23"/>
          <w:rtl w:val="0"/>
        </w:rPr>
        <w:t xml:space="preserve"> session of the CRPD in 2019, and the 88</w:t>
      </w:r>
      <w:r w:rsidDel="00000000" w:rsidR="00000000" w:rsidRPr="00000000">
        <w:rPr>
          <w:rFonts w:ascii="Times New Roman" w:cs="Times New Roman" w:eastAsia="Times New Roman" w:hAnsi="Times New Roman"/>
          <w:sz w:val="23"/>
          <w:szCs w:val="23"/>
          <w:vertAlign w:val="superscript"/>
          <w:rtl w:val="0"/>
        </w:rPr>
        <w:t xml:space="preserve">th</w:t>
      </w:r>
      <w:r w:rsidDel="00000000" w:rsidR="00000000" w:rsidRPr="00000000">
        <w:rPr>
          <w:rFonts w:ascii="Times New Roman" w:cs="Times New Roman" w:eastAsia="Times New Roman" w:hAnsi="Times New Roman"/>
          <w:sz w:val="23"/>
          <w:szCs w:val="23"/>
          <w:rtl w:val="0"/>
        </w:rPr>
        <w:t xml:space="preserve"> CERD Meeting in 2015.</w:t>
      </w:r>
      <w:r w:rsidDel="00000000" w:rsidR="00000000" w:rsidRPr="00000000">
        <w:rPr>
          <w:rtl w:val="0"/>
        </w:rPr>
      </w:r>
    </w:p>
    <w:p w:rsidR="00000000" w:rsidDel="00000000" w:rsidP="00000000" w:rsidRDefault="00000000" w:rsidRPr="00000000" w14:paraId="00000034">
      <w:pPr>
        <w:spacing w:line="276" w:lineRule="auto"/>
        <w:jc w:val="both"/>
        <w:rPr>
          <w:rFonts w:ascii="Times New Roman" w:cs="Times New Roman" w:eastAsia="Times New Roman" w:hAnsi="Times New Roman"/>
          <w:b w:val="1"/>
          <w:color w:val="0563c1"/>
          <w:sz w:val="23"/>
          <w:szCs w:val="23"/>
          <w:u w:val="single"/>
        </w:rPr>
      </w:pPr>
      <w:r w:rsidDel="00000000" w:rsidR="00000000" w:rsidRPr="00000000">
        <w:rPr>
          <w:rtl w:val="0"/>
        </w:rPr>
      </w:r>
    </w:p>
    <w:p w:rsidR="00000000" w:rsidDel="00000000" w:rsidP="00000000" w:rsidRDefault="00000000" w:rsidRPr="00000000" w14:paraId="00000035">
      <w:pPr>
        <w:spacing w:line="276"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website:</w:t>
      </w:r>
      <w:r w:rsidDel="00000000" w:rsidR="00000000" w:rsidRPr="00000000">
        <w:rPr>
          <w:rFonts w:ascii="Times New Roman" w:cs="Times New Roman" w:eastAsia="Times New Roman" w:hAnsi="Times New Roman"/>
          <w:sz w:val="23"/>
          <w:szCs w:val="23"/>
          <w:rtl w:val="0"/>
        </w:rPr>
        <w:t xml:space="preserve"> </w:t>
      </w:r>
      <w:hyperlink r:id="rId8">
        <w:r w:rsidDel="00000000" w:rsidR="00000000" w:rsidRPr="00000000">
          <w:rPr>
            <w:rFonts w:ascii="Times New Roman" w:cs="Times New Roman" w:eastAsia="Times New Roman" w:hAnsi="Times New Roman"/>
            <w:color w:val="0563c1"/>
            <w:sz w:val="23"/>
            <w:szCs w:val="23"/>
            <w:u w:val="single"/>
            <w:rtl w:val="0"/>
          </w:rPr>
          <w:t xml:space="preserve">www.esithaklar.org</w:t>
        </w:r>
      </w:hyperlink>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36">
      <w:pPr>
        <w:spacing w:line="276"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e-mail:</w:t>
      </w:r>
      <w:r w:rsidDel="00000000" w:rsidR="00000000" w:rsidRPr="00000000">
        <w:rPr>
          <w:rFonts w:ascii="Times New Roman" w:cs="Times New Roman" w:eastAsia="Times New Roman" w:hAnsi="Times New Roman"/>
          <w:sz w:val="23"/>
          <w:szCs w:val="23"/>
          <w:rtl w:val="0"/>
        </w:rPr>
        <w:t xml:space="preserve"> </w:t>
      </w:r>
      <w:hyperlink r:id="rId9">
        <w:r w:rsidDel="00000000" w:rsidR="00000000" w:rsidRPr="00000000">
          <w:rPr>
            <w:rFonts w:ascii="Times New Roman" w:cs="Times New Roman" w:eastAsia="Times New Roman" w:hAnsi="Times New Roman"/>
            <w:color w:val="0563c1"/>
            <w:sz w:val="23"/>
            <w:szCs w:val="23"/>
            <w:u w:val="single"/>
            <w:rtl w:val="0"/>
          </w:rPr>
          <w:t xml:space="preserve">esithaklar@gmail.com</w:t>
        </w:r>
      </w:hyperlink>
      <w:r w:rsidDel="00000000" w:rsidR="00000000" w:rsidRPr="00000000">
        <w:rPr>
          <w:rFonts w:ascii="Times New Roman" w:cs="Times New Roman" w:eastAsia="Times New Roman" w:hAnsi="Times New Roman"/>
          <w:sz w:val="23"/>
          <w:szCs w:val="23"/>
          <w:rtl w:val="0"/>
        </w:rPr>
        <w:t xml:space="preserve">, </w:t>
      </w:r>
      <w:hyperlink r:id="rId10">
        <w:r w:rsidDel="00000000" w:rsidR="00000000" w:rsidRPr="00000000">
          <w:rPr>
            <w:rFonts w:ascii="Times New Roman" w:cs="Times New Roman" w:eastAsia="Times New Roman" w:hAnsi="Times New Roman"/>
            <w:color w:val="0563c1"/>
            <w:sz w:val="23"/>
            <w:szCs w:val="23"/>
            <w:u w:val="single"/>
            <w:rtl w:val="0"/>
          </w:rPr>
          <w:t xml:space="preserve">info@esithaklar.org</w:t>
        </w:r>
      </w:hyperlink>
      <w:r w:rsidDel="00000000" w:rsidR="00000000" w:rsidRPr="00000000">
        <w:rPr>
          <w:rtl w:val="0"/>
        </w:rPr>
      </w:r>
    </w:p>
    <w:p w:rsidR="00000000" w:rsidDel="00000000" w:rsidP="00000000" w:rsidRDefault="00000000" w:rsidRPr="00000000" w14:paraId="00000037">
      <w:pPr>
        <w:spacing w:line="276"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23"/>
          <w:szCs w:val="23"/>
          <w:rtl w:val="0"/>
        </w:rPr>
        <w:t xml:space="preserve">phone:</w:t>
      </w:r>
      <w:r w:rsidDel="00000000" w:rsidR="00000000" w:rsidRPr="00000000">
        <w:rPr>
          <w:rFonts w:ascii="Times New Roman" w:cs="Times New Roman" w:eastAsia="Times New Roman" w:hAnsi="Times New Roman"/>
          <w:sz w:val="23"/>
          <w:szCs w:val="23"/>
          <w:rtl w:val="0"/>
        </w:rPr>
        <w:t xml:space="preserve"> +90 212 293 63 77</w:t>
        <w:tab/>
      </w:r>
      <w:r w:rsidDel="00000000" w:rsidR="00000000" w:rsidRPr="00000000">
        <w:br w:type="page"/>
      </w:r>
      <w:r w:rsidDel="00000000" w:rsidR="00000000" w:rsidRPr="00000000">
        <w:rPr>
          <w:rtl w:val="0"/>
        </w:rPr>
      </w:r>
    </w:p>
    <w:p w:rsidR="00000000" w:rsidDel="00000000" w:rsidP="00000000" w:rsidRDefault="00000000" w:rsidRPr="00000000" w14:paraId="00000038">
      <w:pPr>
        <w:spacing w:after="20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Prohibition of Discrimination</w:t>
      </w:r>
      <w:r w:rsidDel="00000000" w:rsidR="00000000" w:rsidRPr="00000000">
        <w:rPr>
          <w:rtl w:val="0"/>
        </w:rPr>
      </w:r>
    </w:p>
    <w:p w:rsidR="00000000" w:rsidDel="00000000" w:rsidP="00000000" w:rsidRDefault="00000000" w:rsidRPr="00000000" w14:paraId="00000039">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prohibition of discrimination is constitutionally protected in Turkey. Where sex is cited as a basis of discrimination; gender identity and sexual orientation is not recognised by Turkey. Turkey’s domestic legislation regarding non-discrimination is narrow and does not contain adequate safeguards which can be implemented against any and every form of discrimination which can be encountered.</w:t>
      </w:r>
    </w:p>
    <w:p w:rsidR="00000000" w:rsidDel="00000000" w:rsidP="00000000" w:rsidRDefault="00000000" w:rsidRPr="00000000" w14:paraId="0000003A">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Violence against women has reached frightening levels with at least 474 women killed in 2019. Judiciary fails to prosecute the perpetrators accordingly, often giving a reduction in sentences on grounds of social norms such as “honour”, “disobedience to husbands”. LGBTI+ women, especially trans women face discriminatory practices and social pressure in all areas of their life. Moreover, trans women commonly experience violence where an effective investigation is not carried out in most cases to bring forth an element of hatred by the perpetrators.</w:t>
      </w:r>
    </w:p>
    <w:p w:rsidR="00000000" w:rsidDel="00000000" w:rsidP="00000000" w:rsidRDefault="00000000" w:rsidRPr="00000000" w14:paraId="0000003B">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norms perpetrating discrimination against women which are fueled by a certain interpretation of religion, tradition and culture continue to be effective in all areas of social life. In May 2020, Turkish Directorate of Religious Affairs condemned the LGBTI+ community, labelling them as “diseased and cursed”. Media, religious communities and even politicians often are voicing arguments for legitimising marriage with 13-year-old girls. </w:t>
      </w:r>
    </w:p>
    <w:p w:rsidR="00000000" w:rsidDel="00000000" w:rsidP="00000000" w:rsidRDefault="00000000" w:rsidRPr="00000000" w14:paraId="0000003C">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Republic of Turkey has a policy on minorities which is inconsistent with the framework provided by the UN treaties and the human rights literature. Its official policy on minorities is defined and implemented in line with the Lausanne Treaty of 1923, which is considered a founding text for Turkey. In Articles 37-44 of the Lausanne Treaty, minority rights are stipulated with reference to the differences of religion and language.    </w:t>
      </w:r>
    </w:p>
    <w:p w:rsidR="00000000" w:rsidDel="00000000" w:rsidP="00000000" w:rsidRDefault="00000000" w:rsidRPr="00000000" w14:paraId="0000003D">
      <w:pPr>
        <w:spacing w:after="20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Turkey retains its policy of limiting the designated status and legal framework on minorities in line with this restrictive interpretation of the Lausanne Treaty. Within this political framework, Turkey has made reservations on the International Covenant on Political and Civil Rights (Article 27) and its Optional Protocol, the International Covenant on Economic, Social and Cultural Rights (Article 13), the Convention on the Rights of the Child (Articles 17; 29-30) and its Optional Protocol on the Involvement of Children in Armed Conflicts.</w:t>
      </w:r>
    </w:p>
    <w:p w:rsidR="00000000" w:rsidDel="00000000" w:rsidP="00000000" w:rsidRDefault="00000000" w:rsidRPr="00000000" w14:paraId="0000003E">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policy, still held by Turkey, denies any minority status to numerous national or ethnic, religious and linguistic groups; weakens their capabilities to preserve their identities or cultures; and exempts the State from its positive obligations. Turkey is a country enjoying many national or ethnic, religious and linguistic diversities. However, its policy on minorities, deprive women and girls belonging to communities such as Kurds, Roma, Arabs, Alawites, Albanians, Circassians, Laz people, Assyrians, Terekemes, Zazas, Abkhazians etc. of the right to education in native language or development of their culture. </w:t>
      </w:r>
    </w:p>
    <w:p w:rsidR="00000000" w:rsidDel="00000000" w:rsidP="00000000" w:rsidRDefault="00000000" w:rsidRPr="00000000" w14:paraId="0000003F">
      <w:pPr>
        <w:spacing w:after="20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CERD had recommended that Turkey review its position and consider recognizing other groups that may qualify as being ethnic, national or ethno-religious minorities. The same recommendation is reiterated in the UPR Compilation on Turkey by the OHCHR.</w:t>
      </w:r>
    </w:p>
    <w:p w:rsidR="00000000" w:rsidDel="00000000" w:rsidP="00000000" w:rsidRDefault="00000000" w:rsidRPr="00000000" w14:paraId="00000040">
      <w:pPr>
        <w:spacing w:after="200" w:before="240"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Women and Girls With Disabilities</w:t>
      </w:r>
      <w:r w:rsidDel="00000000" w:rsidR="00000000" w:rsidRPr="00000000">
        <w:rPr>
          <w:rtl w:val="0"/>
        </w:rPr>
      </w:r>
    </w:p>
    <w:p w:rsidR="00000000" w:rsidDel="00000000" w:rsidP="00000000" w:rsidRDefault="00000000" w:rsidRPr="00000000" w14:paraId="00000041">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limited number of research carried out on persons with disabilities in Turkey all show that women and girls with disabilities experience multiple and intersecting forms of discrimination. Government and public officials lack an intersectional and holistic approach on gender and disability, State Party Report does not mention any plans or improvement on the status of women and girls with disabilities. Additionally, the State Party Report also does not mention any improvements or plans which are undertaken on women and girls with disabilities in accordance with the Concluding Observations of CRPD which was published in 2019.</w:t>
      </w:r>
    </w:p>
    <w:p w:rsidR="00000000" w:rsidDel="00000000" w:rsidP="00000000" w:rsidRDefault="00000000" w:rsidRPr="00000000" w14:paraId="00000042">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and girls with disabilities experience rights violations including discrimination in almost all areas of life. There is a severe lack of legal provisions, concrete action plans or policies to ensure women and girls with disabilities can equally and fully access the right to education, access to justice, right to health among others. Data on how many women and girls with disabilities are present within closed institutions are currently unavailable; additionally, there is no data on the amount and type of rights violations they experience in closed institutions. </w:t>
      </w:r>
    </w:p>
    <w:p w:rsidR="00000000" w:rsidDel="00000000" w:rsidP="00000000" w:rsidRDefault="00000000" w:rsidRPr="00000000" w14:paraId="00000043">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Party Report does not include intersectional and holistic policies regarding women and girls with disabilities. However, the report does mention data on literacy disaggregated on sex. The most recent data from 2019 shows that while %34 of women with disabilities are illiterate, this rate drops to %10 for men with disabilities.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and girls with mental disabilities constitute one of the most disadvantaged fragments of society due to the lack of government policies and legislation. Court cases where the above mention group is party to the cases as victims, judgments are issued by courts which contribute to the prevalent impunity on grounds that “the victim consented” or “victim’s mental health was not harmed.”</w:t>
      </w:r>
    </w:p>
    <w:p w:rsidR="00000000" w:rsidDel="00000000" w:rsidP="00000000" w:rsidRDefault="00000000" w:rsidRPr="00000000" w14:paraId="00000045">
      <w:pPr>
        <w:spacing w:after="20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6">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National Human Rights Institutions</w:t>
      </w:r>
      <w:r w:rsidDel="00000000" w:rsidR="00000000" w:rsidRPr="00000000">
        <w:rPr>
          <w:rtl w:val="0"/>
        </w:rPr>
      </w:r>
    </w:p>
    <w:p w:rsidR="00000000" w:rsidDel="00000000" w:rsidP="00000000" w:rsidRDefault="00000000" w:rsidRPr="00000000" w14:paraId="00000047">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claim in paragraph 14 of the State Party Report, none of the two National Human Rights Institutions (NHRI) in Turkey are compliant with Paris Principles. This situation was affirmed by the government where the Human Rights Action Plan which was announced on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March 2021 where one the goals identified (Goal 1.2(a)) was to ensure the Human Rights and Equality Institution of Turkey (TİHEK, Türkiye İnsan Hakları ve Eşitlik Kurumu, hereinafter) complies with Paris Principles.</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48">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Turkey received 20 recommendations about its NHRIs at the 3rd Cycle of Universal Periodic Review. 13 of these recommendations concern ensuring compliance of NRHIs with Paris Principles. NHRIs do not monitor the implementation of any international human rights convention Turkey is a state party to.</w:t>
      </w:r>
    </w:p>
    <w:p w:rsidR="00000000" w:rsidDel="00000000" w:rsidP="00000000" w:rsidRDefault="00000000" w:rsidRPr="00000000" w14:paraId="00000049">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Party Report also refers to the “Supporting Human Rights Boards and Women’s Rights Project” (2014 -2016) implemented by TİHEK which includes trainings; however there is no information available about the outputs of the project or its impact assessment. In the meantime, after the project was concluded from 2018 onwards the Head of TİHEK identified 130 thousand divorces per year as “terror”</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stated on public record that restraining orders especially within the union of marriage as a “ human rights violation”, that the term “violence against women” should not be used, that there was a difference between “child marriage” and “forced marriage”</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and most recently argued for the “legalisation of marriage for 15 year old children” at a presentation to the Parliament.</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In 2021, TİHEK also argued for the withdrawal from the Istanbul Convention.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NHRIs in Turkey do not publish all their decisions on their websites; within the scope of the above mentioned Human Rights Action Plan another goal (Goal 1.2(b)) is ensuring that all decisions issued by NHRI to be accessible to the public online. State Party Report makes no mention of how many decisions are issued by NHRIs concerning discrimination against women and girls. Considering that violence against women, discriminatory and hate speech is rapidly rising in Turkey, the small number of decisions issued by NHRI on this issue is conspicuous. </w:t>
      </w:r>
    </w:p>
    <w:p w:rsidR="00000000" w:rsidDel="00000000" w:rsidP="00000000" w:rsidRDefault="00000000" w:rsidRPr="00000000" w14:paraId="0000004B">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2020, there are two decisions issued by TİHEK on grounds of gender-based discrimination, both of these concern men.</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No ex officio investigations have been carried out regarding violence against women, neither has there been any decisions concerning this issue. Additionally, Law No. 6701 on TİHEK does mention recognised bases of discrimination as a closed list but leaves out gender identity and sexual orientation. Similarly, the Ombudsman Institution only has one decision (among those that are open access) concerning violence against women. A recommendation decision to the Ministry of Health has been issued with respect to a health worker woman whose safety and life was at risk.</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On the other hand, an applicant who had gotten legal recognition of their correct gender identity on their ID card through court proceedings, requested an amended copy of their school diploma; the Ombudsman Institution despite citing numerous international human rights documents dismissed the application.</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4C">
      <w:pPr>
        <w:spacing w:after="200" w:line="276"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D">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Right to Participation, Right to Vote and Stand for Election </w:t>
      </w:r>
      <w:r w:rsidDel="00000000" w:rsidR="00000000" w:rsidRPr="00000000">
        <w:rPr>
          <w:rtl w:val="0"/>
        </w:rPr>
      </w:r>
    </w:p>
    <w:p w:rsidR="00000000" w:rsidDel="00000000" w:rsidP="00000000" w:rsidRDefault="00000000" w:rsidRPr="00000000" w14:paraId="0000004E">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67 of the Constitution guarantees that the elections be held according to the following principles: independence, universal direct suffrage, open count and cast and secret ballot principle, under judicial review and control and to ensure all citizens can enjoy the right to vote. Aforementioned article also specifies certain restrictions about those who cannot vote. In accordance with these restrictions </w:t>
      </w:r>
      <w:r w:rsidDel="00000000" w:rsidR="00000000" w:rsidRPr="00000000">
        <w:rPr>
          <w:rFonts w:ascii="Times New Roman" w:cs="Times New Roman" w:eastAsia="Times New Roman" w:hAnsi="Times New Roman"/>
          <w:i w:val="1"/>
          <w:sz w:val="24"/>
          <w:szCs w:val="24"/>
          <w:rtl w:val="0"/>
        </w:rPr>
        <w:t xml:space="preserve">“Privates and corporals at arms, cadets, and convicts in penal execution institutions excluding those convicted of negligent offences shall not vote.”</w:t>
      </w:r>
      <w:r w:rsidDel="00000000" w:rsidR="00000000" w:rsidRPr="00000000">
        <w:rPr>
          <w:rFonts w:ascii="Times New Roman" w:cs="Times New Roman" w:eastAsia="Times New Roman" w:hAnsi="Times New Roman"/>
          <w:i w:val="1"/>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4F">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accordance with regulatory rules, the lists (electoral registers) of those who will vote in elections are created based on address. This situation makes it impossible for the homeless, women living in shelters and even though small in numbers Roma citizens living in tents, to vote; this restriction has no constitutional or legal basis and is solely created due to the method of arranging voter lists. This situation is contrary to Article 25 of the CCPR among other UN Conventions as well as Committees’ General Comments and Recommendations.</w:t>
      </w:r>
    </w:p>
    <w:p w:rsidR="00000000" w:rsidDel="00000000" w:rsidP="00000000" w:rsidRDefault="00000000" w:rsidRPr="00000000" w14:paraId="00000050">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Voter trainings are carried out by the Supreme Election Council (SEC) before the elections, but there are citizens in Turkey whose native language is not Turkish and who do not speak Turkish. The Supreme Election Council conducts voter trainings solely in Turkish. It must be noted that most of the voters who are illiterate and/ do not speak Turkish are women. </w:t>
      </w:r>
    </w:p>
    <w:p w:rsidR="00000000" w:rsidDel="00000000" w:rsidP="00000000" w:rsidRDefault="00000000" w:rsidRPr="00000000" w14:paraId="00000051">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Turkey has regressed from 122nd place to 129 at the Women in Politics: 2021 list prepared by the UN Women and International Parliamentary Union (IPU). </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Gender inequality in Turkey is a significant problem area in every walk of life including equal access to human rights. Any available (or often lack of) data on lack of access of girls to education, or lack of participation by women in political affairs or employment illustrates gender inequality and gender based discrimination. For example, only 103 of 600 MPs are women. In the most recent 31 March 2019 Local Elections, there were only 652 women out of the 8257 nominees for municipalities.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While the proportion of women nominees were %2.87 in 2014, this has dropped to %2.66 in the 2019 elections.</w:t>
      </w:r>
    </w:p>
    <w:p w:rsidR="00000000" w:rsidDel="00000000" w:rsidP="00000000" w:rsidRDefault="00000000" w:rsidRPr="00000000" w14:paraId="00000052">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existence of the Committee on Equality of Opportunity for Women and Men within the Parliament, the legislature does not operate with a perspective on gender equality. There are no mechanisms to ensure participation of women and girls. Politicians, media outlets and public authorities often utilise the argument of traditions and culture, which in turn has an eroding effect on the societal awareness the feminist movement is trying to create.</w:t>
      </w:r>
    </w:p>
    <w:p w:rsidR="00000000" w:rsidDel="00000000" w:rsidP="00000000" w:rsidRDefault="00000000" w:rsidRPr="00000000" w14:paraId="00000053">
      <w:pPr>
        <w:spacing w:after="200" w:line="276"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4">
      <w:pPr>
        <w:spacing w:after="200" w:line="276" w:lineRule="auto"/>
        <w:jc w:val="both"/>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55">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Freedom of Peaceful Assembly </w:t>
      </w:r>
      <w:r w:rsidDel="00000000" w:rsidR="00000000" w:rsidRPr="00000000">
        <w:rPr>
          <w:rtl w:val="0"/>
        </w:rPr>
      </w:r>
    </w:p>
    <w:p w:rsidR="00000000" w:rsidDel="00000000" w:rsidP="00000000" w:rsidRDefault="00000000" w:rsidRPr="00000000" w14:paraId="00000056">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of assembly is a constitutional right for everyone in Turkey, it also provides that international treaty provisions prevail in case of a clash with domestic legislation. Main legislation on freedom of assembly and others which contain provisions regarding this right are incompatible with international standards. The Constitution does not impose standards such as location restrictions or obtaining permission for peaceful assemblies. That being said, other legislation affords governors and district governors the power to restrict or ban assemblies on a general or specific scope, for a specific location, indefinitely or for a period of time. There are no provisions to prevent arbitrary use of powers. Ban decisions concerning specific assemblies or demonstrations are usually justified with “protection of public order” and take place before the event even begins. The notification requirement contained in the relevant legislation, operates as a “mandatory permission requirement” in practice.</w:t>
      </w:r>
    </w:p>
    <w:p w:rsidR="00000000" w:rsidDel="00000000" w:rsidP="00000000" w:rsidRDefault="00000000" w:rsidRPr="00000000" w14:paraId="00000057">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Legislation states that a permission must be obtained from governorates in order to investigate or prosecute law enforcement officers even in cases where disproportionate force has been used during intervention in peaceful assemblies. This permission is granted very rarely which leads to instances of disproportionate use of force resulting in impunity. Law Enforcement Monitoring Commission was established in 2016 through legislation and its members have been appointed in July 2019, however it is not possible yet to find out any information or data concerning its activities. Moreover, the Commission is not in line with Paris Principles. </w:t>
      </w:r>
    </w:p>
    <w:p w:rsidR="00000000" w:rsidDel="00000000" w:rsidP="00000000" w:rsidRDefault="00000000" w:rsidRPr="00000000" w14:paraId="00000058">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Organisers of protests are constantly the target of investigations and judicial harassment. Criminalisation of the right is done through charging people with aiding terror organisations. Administrative fines are also a common method. All these have a chilling effect on the enjoyment of the right.</w:t>
      </w:r>
    </w:p>
    <w:p w:rsidR="00000000" w:rsidDel="00000000" w:rsidP="00000000" w:rsidRDefault="00000000" w:rsidRPr="00000000" w14:paraId="00000059">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factors create an atmosphere where freedom of assembly can be regulated as a tool to silence dissent and be implemented in a discriminatory manner. Limitations imposed do not meet the fundamental criteria of proportionality, necessity and legality. There are no provisions contained in domestic law which serve as a facilitator for women, LGBTI+ identifying women and girls to enjoy freedom of assembly. Present attitude focuses on restricting the use of this right. For example, the peaceful sit-in by Saturday Mothers has been ongoing for 25 years in Istanbul. On 25.08.2018, Beyoğlu District Governorate has issued a ban (still in effect), stating that permission had not been obtained before the sit in; 46 people are currently on trial. In 2018 Ankara Governorate issued an indefinite ban on all LGBTI+ assemblies, demonstrations and events which illustrates the discriminatory attitude of public authorities. </w:t>
      </w:r>
    </w:p>
    <w:p w:rsidR="00000000" w:rsidDel="00000000" w:rsidP="00000000" w:rsidRDefault="00000000" w:rsidRPr="00000000" w14:paraId="0000005A">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obtained shows that out of at least 552 police interventions to peaceful assemblies and demonstrations, at least 35 specifically focused on women’s rights.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Recently, 8th March Celebrations and Feminist Night March, 25th November Marches, LGBTI+ and Trans Pride Marches have been consistently banned. “Permissions” to hold these demonstrations are given only for locations which completely neglect “sight and sound principle”. In 2019 25th November march in Istanbul was banned by the governorate, despite it being lifted upon the organising committee’s efforts the security forces still intervened with the use of force.11 Participants of the 8th March Feminist Night March were targeted in the mainstream media claiming that participants “booed the call to prayer”. During 8th March 2021 celebrations which took place after the announcement of the Human Rights Action Plan on 2nd March; 6 transwomen were followed when they exited the demonstration area, beaten and detained</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1 girl and 17 women were detained on grounds that they “jumped rhythmically [to the slogan] thereby committing the crime of insulting the President”. </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5B">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Tesis demonstrations can serve as an example of targeting experienced by women exercising freedom of assembly. The demonstrations which took place in Ankara, İstanbul and İzmir saw police intervention as they “did not obtain a permission” and the lyrics of the song (translated) “constituted a crime”. “Opposing the law on assemblies and demonstrations”, “insulting the Republic of Turkey and its institutions” and “insulting the president” are some of the charges directed at the participants against whom judicial proceedings have been initiated.</w:t>
      </w:r>
    </w:p>
    <w:p w:rsidR="00000000" w:rsidDel="00000000" w:rsidP="00000000" w:rsidRDefault="00000000" w:rsidRPr="00000000" w14:paraId="0000005C">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 politicians and associations experience disproportionate force, arbitrary and illegitimate reprisals upon exercise of freedom of assembly. Disciplinary measures are used to both restrict freedom of assembly and right to education. Students lose out on their scholarships, which affects their right to housing. To counter this chilling effect, the approach of punishing exercise of the right must be abandoned.</w:t>
      </w:r>
    </w:p>
    <w:p w:rsidR="00000000" w:rsidDel="00000000" w:rsidP="00000000" w:rsidRDefault="00000000" w:rsidRPr="00000000" w14:paraId="0000005D">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Harassment of administrative and judicial authorities towards women exercising freedom of assembly and generally women human rights defenders have recently seen a sharp increase. In addition to judicial proceedings, women participating in protests are being targeted by government officials and biased media outlets, students lose their scholarship or go through disciplinary investigations. Criminalisation of women rights defenders, combined with the misogynistic government policies pose a rapidly increasing risk for women, girls and members of disadvantaged groups.</w:t>
      </w:r>
    </w:p>
    <w:p w:rsidR="00000000" w:rsidDel="00000000" w:rsidP="00000000" w:rsidRDefault="00000000" w:rsidRPr="00000000" w14:paraId="0000005E">
      <w:pPr>
        <w:spacing w:after="20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276" w:lineRule="auto"/>
        <w:jc w:val="both"/>
        <w:rPr>
          <w:rFonts w:ascii="Times New Roman" w:cs="Times New Roman" w:eastAsia="Times New Roman" w:hAnsi="Times New Roman"/>
          <w:sz w:val="23"/>
          <w:szCs w:val="23"/>
        </w:rPr>
      </w:pPr>
      <w:r w:rsidDel="00000000" w:rsidR="00000000" w:rsidRPr="00000000">
        <w:rPr>
          <w:rtl w:val="0"/>
        </w:rPr>
      </w:r>
    </w:p>
    <w:sectPr>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Turkish Statistical Institute, Gender Indicators in Society: Disability, (2019)https://data.tuik.gov.tr/Search/Search?text=okuryazar</w:t>
      </w:r>
    </w:p>
  </w:footnote>
  <w:footnote w:id="1">
    <w:p w:rsidR="00000000" w:rsidDel="00000000" w:rsidP="00000000" w:rsidRDefault="00000000" w:rsidRPr="00000000" w14:paraId="00000061">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https://hhgm.adalet.gov.tr/Resimler/SayfaDokuman/232021205748%C4%B0nsan%20Haklar%C4%B1%20Eylem%20Plan%C4%B1.pdf</w:t>
      </w:r>
    </w:p>
  </w:footnote>
  <w:footnote w:id="2">
    <w:p w:rsidR="00000000" w:rsidDel="00000000" w:rsidP="00000000" w:rsidRDefault="00000000" w:rsidRPr="00000000" w14:paraId="00000062">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https://www.hurriyetdailynews.com/130-000-divorces-every-year-terror-human-rights-institution-official-139479</w:t>
      </w:r>
    </w:p>
  </w:footnote>
  <w:footnote w:id="3">
    <w:p w:rsidR="00000000" w:rsidDel="00000000" w:rsidP="00000000" w:rsidRDefault="00000000" w:rsidRPr="00000000" w14:paraId="00000063">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https://m.bianet.org/bianet/kadin/232096-esik-tihek-baskani-cocuk-istismarini-mesru-gosteriyor</w:t>
      </w:r>
    </w:p>
  </w:footnote>
  <w:footnote w:id="4">
    <w:p w:rsidR="00000000" w:rsidDel="00000000" w:rsidP="00000000" w:rsidRDefault="00000000" w:rsidRPr="00000000" w14:paraId="00000064">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6"/>
          <w:szCs w:val="16"/>
          <w:rtl w:val="0"/>
        </w:rPr>
        <w:t xml:space="preserve">https://www.duvarenglish.com/turkeys-equality-agency-defends-child-marriages-calls-non-marital-relationships-deviant-news-57652</w:t>
      </w:r>
    </w:p>
  </w:footnote>
  <w:footnote w:id="5">
    <w:p w:rsidR="00000000" w:rsidDel="00000000" w:rsidP="00000000" w:rsidRDefault="00000000" w:rsidRPr="00000000" w14:paraId="00000065">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6"/>
          <w:szCs w:val="16"/>
          <w:rtl w:val="0"/>
        </w:rPr>
        <w:t xml:space="preserve">https://tr.boell.org/en/2021/05/03/istanbul-convention-our-struggle-equality</w:t>
      </w:r>
    </w:p>
  </w:footnote>
  <w:footnote w:id="6">
    <w:p w:rsidR="00000000" w:rsidDel="00000000" w:rsidP="00000000" w:rsidRDefault="00000000" w:rsidRPr="00000000" w14:paraId="00000066">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Association for Monitoring Equal Rights, ‘National Human Rights Institutions As a Human Rights Protection Mechanism (2021)’, pg. 48,  </w:t>
      </w:r>
      <w:hyperlink r:id="rId1">
        <w:r w:rsidDel="00000000" w:rsidR="00000000" w:rsidRPr="00000000">
          <w:rPr>
            <w:rFonts w:ascii="Calibri" w:cs="Calibri" w:eastAsia="Calibri" w:hAnsi="Calibri"/>
            <w:color w:val="0563c1"/>
            <w:sz w:val="16"/>
            <w:szCs w:val="16"/>
            <w:u w:val="single"/>
            <w:rtl w:val="0"/>
          </w:rPr>
          <w:t xml:space="preserve">https://www.esithaklar.org/wp-content/uploads/2021/04/ESHID-TIHEK-RAPORU-ENG.pdf</w:t>
        </w:r>
      </w:hyperlink>
      <w:r w:rsidDel="00000000" w:rsidR="00000000" w:rsidRPr="00000000">
        <w:rPr>
          <w:rFonts w:ascii="Calibri" w:cs="Calibri" w:eastAsia="Calibri" w:hAnsi="Calibri"/>
          <w:sz w:val="16"/>
          <w:szCs w:val="16"/>
          <w:rtl w:val="0"/>
        </w:rPr>
        <w:t xml:space="preserve"> </w:t>
      </w:r>
    </w:p>
  </w:footnote>
  <w:footnote w:id="7">
    <w:p w:rsidR="00000000" w:rsidDel="00000000" w:rsidP="00000000" w:rsidRDefault="00000000" w:rsidRPr="00000000" w14:paraId="00000067">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Application no. 2019/17388, 29.11.2019, </w:t>
      </w:r>
      <w:hyperlink r:id="rId2">
        <w:r w:rsidDel="00000000" w:rsidR="00000000" w:rsidRPr="00000000">
          <w:rPr>
            <w:rFonts w:ascii="Calibri" w:cs="Calibri" w:eastAsia="Calibri" w:hAnsi="Calibri"/>
            <w:color w:val="0563c1"/>
            <w:sz w:val="16"/>
            <w:szCs w:val="16"/>
            <w:u w:val="single"/>
            <w:rtl w:val="0"/>
          </w:rPr>
          <w:t xml:space="preserve">https://kararlar.ombudsman.gov.tr/Arama/Download?url=20191002\76214\Yayin\Karar-2019-17388.pdf&amp;tarih=2019-11-29T08:59:31.937891</w:t>
        </w:r>
      </w:hyperlink>
      <w:r w:rsidDel="00000000" w:rsidR="00000000" w:rsidRPr="00000000">
        <w:rPr>
          <w:rFonts w:ascii="Calibri" w:cs="Calibri" w:eastAsia="Calibri" w:hAnsi="Calibri"/>
          <w:sz w:val="16"/>
          <w:szCs w:val="16"/>
          <w:rtl w:val="0"/>
        </w:rPr>
        <w:t xml:space="preserve"> </w:t>
      </w:r>
    </w:p>
  </w:footnote>
  <w:footnote w:id="8">
    <w:p w:rsidR="00000000" w:rsidDel="00000000" w:rsidP="00000000" w:rsidRDefault="00000000" w:rsidRPr="00000000" w14:paraId="00000068">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Application no. 2016/278, 24.08.2016</w:t>
      </w:r>
    </w:p>
  </w:footnote>
  <w:footnote w:id="9">
    <w:p w:rsidR="00000000" w:rsidDel="00000000" w:rsidP="00000000" w:rsidRDefault="00000000" w:rsidRPr="00000000" w14:paraId="00000069">
      <w:pPr>
        <w:spacing w:line="240" w:lineRule="auto"/>
        <w:rPr>
          <w:rFonts w:ascii="Times New Roman" w:cs="Times New Roman" w:eastAsia="Times New Roman" w:hAnsi="Times New Roman"/>
          <w:sz w:val="24"/>
          <w:szCs w:val="24"/>
        </w:rPr>
      </w:pPr>
      <w:r w:rsidDel="00000000" w:rsidR="00000000" w:rsidRPr="00000000">
        <w:rPr>
          <w:rStyle w:val="FootnoteReference"/>
          <w:vertAlign w:val="superscript"/>
        </w:rPr>
        <w:footnoteRef/>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16"/>
          <w:szCs w:val="16"/>
          <w:rtl w:val="0"/>
        </w:rPr>
        <w:t xml:space="preserve">https://www.anayasa.gov.tr/en/legislation/turkish-constiution/</w:t>
      </w:r>
      <w:r w:rsidDel="00000000" w:rsidR="00000000" w:rsidRPr="00000000">
        <w:rPr>
          <w:rtl w:val="0"/>
        </w:rPr>
      </w:r>
    </w:p>
  </w:footnote>
  <w:footnote w:id="10">
    <w:p w:rsidR="00000000" w:rsidDel="00000000" w:rsidP="00000000" w:rsidRDefault="00000000" w:rsidRPr="00000000" w14:paraId="0000006A">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https://www.ipu.org/women-in-politics-2021</w:t>
      </w:r>
    </w:p>
  </w:footnote>
  <w:footnote w:id="13">
    <w:p w:rsidR="00000000" w:rsidDel="00000000" w:rsidP="00000000" w:rsidRDefault="00000000" w:rsidRPr="00000000" w14:paraId="0000006B">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https://kaosgl.org/en/single-news/police-banned-lgbti-signs-in-8th-march-protest-attacked-and-detained-trans-women-after-the-protest</w:t>
      </w:r>
    </w:p>
  </w:footnote>
  <w:footnote w:id="14">
    <w:p w:rsidR="00000000" w:rsidDel="00000000" w:rsidP="00000000" w:rsidRDefault="00000000" w:rsidRPr="00000000" w14:paraId="0000006C">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6"/>
          <w:szCs w:val="16"/>
          <w:rtl w:val="0"/>
        </w:rPr>
        <w:t xml:space="preserve">https://bianet.org/english/women/240672-18-women-released-on-probation</w:t>
      </w:r>
    </w:p>
  </w:footnote>
  <w:footnote w:id="11">
    <w:p w:rsidR="00000000" w:rsidDel="00000000" w:rsidP="00000000" w:rsidRDefault="00000000" w:rsidRPr="00000000" w14:paraId="0000006E">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Association for Monitoring Equal Rights, 31st March 2019 Local Elections Interim Monitoring Report (2019) </w:t>
      </w:r>
      <w:hyperlink r:id="rId3">
        <w:r w:rsidDel="00000000" w:rsidR="00000000" w:rsidRPr="00000000">
          <w:rPr>
            <w:color w:val="1155cc"/>
            <w:sz w:val="16"/>
            <w:szCs w:val="16"/>
            <w:u w:val="single"/>
            <w:rtl w:val="0"/>
          </w:rPr>
          <w:t xml:space="preserve">https://www.esithaklar.org/publications/</w:t>
        </w:r>
      </w:hyperlink>
      <w:r w:rsidDel="00000000" w:rsidR="00000000" w:rsidRPr="00000000">
        <w:rPr>
          <w:sz w:val="16"/>
          <w:szCs w:val="16"/>
          <w:rtl w:val="0"/>
        </w:rPr>
        <w:t xml:space="preserve"> </w:t>
      </w:r>
    </w:p>
  </w:footnote>
  <w:footnote w:id="12">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Association for Monitoring Equal Rights, Freedom of Peaceful Assembly Monitoring Report (</w:t>
      </w:r>
      <w:r w:rsidDel="00000000" w:rsidR="00000000" w:rsidRPr="00000000">
        <w:rPr>
          <w:i w:val="1"/>
          <w:sz w:val="20"/>
          <w:szCs w:val="20"/>
          <w:rtl w:val="0"/>
        </w:rPr>
        <w:t xml:space="preserve">forthcoming</w:t>
      </w:r>
      <w:r w:rsidDel="00000000" w:rsidR="00000000" w:rsidRPr="00000000">
        <w:rPr>
          <w:sz w:val="20"/>
          <w:szCs w:val="20"/>
          <w:rtl w:val="0"/>
        </w:rPr>
        <w:t xml:space="preserve">), Freedom of Peaceful Assembly Data Bulletins, https://www.esithaklar.org/publications/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http://www.esithaklar.org" TargetMode="Externa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mailto:esithaklar@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esithaklar.org/wp-content/uploads/2021/04/ESHID-TIHEK-RAPORU-ENG.pdf" TargetMode="External"/><Relationship Id="rId2" Type="http://schemas.openxmlformats.org/officeDocument/2006/relationships/hyperlink" Target="https://kararlar.ombudsman.gov.tr/Arama/Download?url=20191002%5C76214%5CYayin%5CKarar-2019-17388.pdf&amp;tarih=2019-11-29T08:59:31.937891" TargetMode="External"/><Relationship Id="rId3" Type="http://schemas.openxmlformats.org/officeDocument/2006/relationships/hyperlink" Target="https://www.esithaklar.org/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30850-DC03-4FEF-AFD8-8D43A892356D}"/>
</file>

<file path=customXml/itemProps2.xml><?xml version="1.0" encoding="utf-8"?>
<ds:datastoreItem xmlns:ds="http://schemas.openxmlformats.org/officeDocument/2006/customXml" ds:itemID="{F95235AE-7940-4F77-AF4F-7E555455C44A}"/>
</file>

<file path=customXml/itemProps3.xml><?xml version="1.0" encoding="utf-8"?>
<ds:datastoreItem xmlns:ds="http://schemas.openxmlformats.org/officeDocument/2006/customXml" ds:itemID="{5E94205F-8C6A-4584-B298-775C07700498}"/>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