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D73B" w14:textId="7DBF2821" w:rsidR="005F2144" w:rsidRDefault="005F2144"/>
    <w:p w14:paraId="29738099" w14:textId="12CF7291" w:rsidR="005F2144" w:rsidRPr="00261D1A" w:rsidRDefault="003670AE" w:rsidP="00DE4F4E">
      <w:pPr>
        <w:jc w:val="center"/>
        <w:rPr>
          <w:b/>
          <w:bCs/>
          <w:sz w:val="28"/>
          <w:szCs w:val="28"/>
          <w:u w:val="single"/>
        </w:rPr>
      </w:pPr>
      <w:r w:rsidRPr="00261D1A">
        <w:rPr>
          <w:b/>
          <w:bCs/>
          <w:sz w:val="28"/>
          <w:szCs w:val="28"/>
          <w:u w:val="single"/>
        </w:rPr>
        <w:t xml:space="preserve">Summary of Decisions </w:t>
      </w:r>
      <w:r w:rsidR="00641753" w:rsidRPr="00261D1A">
        <w:rPr>
          <w:b/>
          <w:bCs/>
          <w:sz w:val="28"/>
          <w:szCs w:val="28"/>
          <w:u w:val="single"/>
        </w:rPr>
        <w:t>from</w:t>
      </w:r>
      <w:r w:rsidRPr="00261D1A">
        <w:rPr>
          <w:b/>
          <w:bCs/>
          <w:sz w:val="28"/>
          <w:szCs w:val="28"/>
          <w:u w:val="single"/>
        </w:rPr>
        <w:t xml:space="preserve"> the 139</w:t>
      </w:r>
      <w:r w:rsidR="00641753" w:rsidRPr="00261D1A">
        <w:rPr>
          <w:b/>
          <w:bCs/>
          <w:sz w:val="28"/>
          <w:szCs w:val="28"/>
          <w:u w:val="single"/>
        </w:rPr>
        <w:t>th</w:t>
      </w:r>
      <w:r w:rsidRPr="00261D1A">
        <w:rPr>
          <w:b/>
          <w:bCs/>
          <w:sz w:val="28"/>
          <w:szCs w:val="28"/>
          <w:u w:val="single"/>
        </w:rPr>
        <w:t xml:space="preserve"> session </w:t>
      </w:r>
      <w:r w:rsidR="00C6263B" w:rsidRPr="00261D1A">
        <w:rPr>
          <w:b/>
          <w:bCs/>
          <w:sz w:val="28"/>
          <w:szCs w:val="28"/>
          <w:u w:val="single"/>
        </w:rPr>
        <w:t xml:space="preserve"> </w:t>
      </w:r>
    </w:p>
    <w:p w14:paraId="614B9DA3" w14:textId="77777777" w:rsidR="00DE4F4E" w:rsidRPr="00261D1A" w:rsidRDefault="00DE4F4E"/>
    <w:p w14:paraId="1B84D8AD" w14:textId="3A025A6A" w:rsidR="005F2144" w:rsidRPr="00261D1A" w:rsidRDefault="00261D1A" w:rsidP="00474C7C">
      <w:pPr>
        <w:jc w:val="both"/>
        <w:rPr>
          <w:b/>
          <w:bCs/>
          <w:color w:val="FF0000"/>
        </w:rPr>
      </w:pPr>
      <w:r w:rsidRPr="00261D1A">
        <w:t>During the</w:t>
      </w:r>
      <w:r w:rsidR="005F2144" w:rsidRPr="00261D1A">
        <w:t xml:space="preserve"> 13</w:t>
      </w:r>
      <w:r w:rsidR="00F1288C" w:rsidRPr="00261D1A">
        <w:t>9</w:t>
      </w:r>
      <w:r w:rsidR="005F2144" w:rsidRPr="00261D1A">
        <w:rPr>
          <w:vertAlign w:val="superscript"/>
        </w:rPr>
        <w:t>th</w:t>
      </w:r>
      <w:r w:rsidR="005F2144" w:rsidRPr="00261D1A">
        <w:t xml:space="preserve"> session (</w:t>
      </w:r>
      <w:r w:rsidR="00F1288C" w:rsidRPr="00261D1A">
        <w:t>October-November</w:t>
      </w:r>
      <w:r w:rsidR="005F2144" w:rsidRPr="00261D1A">
        <w:t xml:space="preserve"> 2023), the Human Rights Committee adopted </w:t>
      </w:r>
      <w:r w:rsidR="00997B3D" w:rsidRPr="00AE2B8D">
        <w:t>5</w:t>
      </w:r>
      <w:r w:rsidR="00892081" w:rsidRPr="00AE2B8D">
        <w:t>4</w:t>
      </w:r>
      <w:r w:rsidR="005F2144" w:rsidRPr="00AE2B8D">
        <w:t xml:space="preserve"> decisions</w:t>
      </w:r>
      <w:r w:rsidR="00493FBB" w:rsidRPr="00AE2B8D">
        <w:t xml:space="preserve"> which brings the total of communications adopted in 2023 to 163</w:t>
      </w:r>
      <w:r w:rsidR="005F2144" w:rsidRPr="00261D1A">
        <w:t xml:space="preserve">. Of the </w:t>
      </w:r>
      <w:r w:rsidR="00997B3D" w:rsidRPr="00261D1A">
        <w:t>5</w:t>
      </w:r>
      <w:r w:rsidR="00892081" w:rsidRPr="00261D1A">
        <w:t>4</w:t>
      </w:r>
      <w:r w:rsidR="00997B3D" w:rsidRPr="00261D1A">
        <w:t xml:space="preserve"> </w:t>
      </w:r>
      <w:r w:rsidR="005F2144" w:rsidRPr="00261D1A">
        <w:t>decisions adopted</w:t>
      </w:r>
      <w:r w:rsidR="00493FBB" w:rsidRPr="00261D1A">
        <w:t xml:space="preserve"> in November 2023</w:t>
      </w:r>
      <w:r w:rsidR="005F2144" w:rsidRPr="00261D1A">
        <w:t xml:space="preserve">, </w:t>
      </w:r>
      <w:r w:rsidR="00997B3D" w:rsidRPr="00261D1A">
        <w:t xml:space="preserve">25 </w:t>
      </w:r>
      <w:r w:rsidR="005F2144" w:rsidRPr="00261D1A">
        <w:t>were decided on the merits</w:t>
      </w:r>
      <w:r w:rsidR="00892081" w:rsidRPr="00261D1A">
        <w:t xml:space="preserve">, </w:t>
      </w:r>
      <w:r w:rsidR="00997B3D" w:rsidRPr="00261D1A">
        <w:t xml:space="preserve">16 </w:t>
      </w:r>
      <w:r w:rsidR="005F2144" w:rsidRPr="00261D1A">
        <w:t xml:space="preserve">cases were declared inadmissible, </w:t>
      </w:r>
      <w:r w:rsidR="00A0712E" w:rsidRPr="00261D1A">
        <w:t>and 1</w:t>
      </w:r>
      <w:r w:rsidR="00892081" w:rsidRPr="00261D1A">
        <w:t>3</w:t>
      </w:r>
      <w:r w:rsidR="00997B3D" w:rsidRPr="00261D1A">
        <w:t xml:space="preserve"> </w:t>
      </w:r>
      <w:r w:rsidR="005F2144" w:rsidRPr="00261D1A">
        <w:t>communications were discontinued</w:t>
      </w:r>
      <w:r w:rsidR="00892081" w:rsidRPr="00261D1A">
        <w:t>, one of which with a positive outcome for the petitioners</w:t>
      </w:r>
      <w:r w:rsidR="007672FC" w:rsidRPr="00261D1A">
        <w:t xml:space="preserve"> and the remaining part, due to the absence of reply by the authors</w:t>
      </w:r>
      <w:r w:rsidR="005F2144" w:rsidRPr="00261D1A">
        <w:t>. Regarding the cases decided on the merits, the Committee found violations in</w:t>
      </w:r>
      <w:r w:rsidR="00997B3D" w:rsidRPr="00261D1A">
        <w:t xml:space="preserve"> 22</w:t>
      </w:r>
      <w:r w:rsidR="005F2144" w:rsidRPr="00261D1A">
        <w:t xml:space="preserve"> of them.</w:t>
      </w:r>
      <w:r w:rsidR="00887889" w:rsidRPr="00261D1A">
        <w:t xml:space="preserve"> </w:t>
      </w:r>
    </w:p>
    <w:p w14:paraId="52791D91" w14:textId="3F0DE3B4" w:rsidR="005F2144" w:rsidRPr="00261D1A" w:rsidRDefault="005F2144">
      <w:pPr>
        <w:jc w:val="both"/>
      </w:pPr>
    </w:p>
    <w:p w14:paraId="7394129D" w14:textId="31FD347A" w:rsidR="00493FBB" w:rsidRPr="00261D1A" w:rsidRDefault="00EF38BF" w:rsidP="009B4295">
      <w:pPr>
        <w:jc w:val="both"/>
      </w:pPr>
      <w:r w:rsidRPr="00261D1A">
        <w:t xml:space="preserve">There are currently </w:t>
      </w:r>
      <w:r w:rsidR="00D448DC" w:rsidRPr="00261D1A">
        <w:t>1,3</w:t>
      </w:r>
      <w:r w:rsidR="000E6A83">
        <w:t>21</w:t>
      </w:r>
      <w:r w:rsidR="00D448DC" w:rsidRPr="00261D1A">
        <w:t xml:space="preserve"> communications</w:t>
      </w:r>
      <w:r w:rsidR="00493FBB" w:rsidRPr="00261D1A">
        <w:t xml:space="preserve"> under</w:t>
      </w:r>
      <w:r w:rsidR="00D448DC" w:rsidRPr="00261D1A">
        <w:t xml:space="preserve"> </w:t>
      </w:r>
      <w:r w:rsidR="009B4295" w:rsidRPr="00261D1A">
        <w:t xml:space="preserve">the Committee’s </w:t>
      </w:r>
      <w:r w:rsidR="00493FBB" w:rsidRPr="00261D1A">
        <w:t xml:space="preserve">consideration with </w:t>
      </w:r>
      <w:r w:rsidR="009B4295" w:rsidRPr="00261D1A">
        <w:t xml:space="preserve">268 communications </w:t>
      </w:r>
      <w:r w:rsidR="00493FBB" w:rsidRPr="00261D1A">
        <w:t>registered in 2023 which represent a</w:t>
      </w:r>
      <w:r w:rsidR="00A978EF">
        <w:t xml:space="preserve"> steady increase in the last five years</w:t>
      </w:r>
      <w:r w:rsidR="00493FBB" w:rsidRPr="00261D1A">
        <w:t xml:space="preserve">. The Committee anticipates a </w:t>
      </w:r>
      <w:r w:rsidR="00A978EF">
        <w:t>further</w:t>
      </w:r>
      <w:r w:rsidR="00493FBB" w:rsidRPr="00261D1A">
        <w:t xml:space="preserve"> increase in the number of communications in 2024.</w:t>
      </w:r>
      <w:r w:rsidR="009B4295" w:rsidRPr="00261D1A">
        <w:t xml:space="preserve"> In orde</w:t>
      </w:r>
      <w:r w:rsidR="009A5209" w:rsidRPr="00261D1A">
        <w:t>r</w:t>
      </w:r>
      <w:r w:rsidR="005F2144" w:rsidRPr="00261D1A">
        <w:t xml:space="preserve"> to address the important number of communications pending </w:t>
      </w:r>
      <w:r w:rsidR="00F70B6E" w:rsidRPr="00261D1A">
        <w:t xml:space="preserve">its </w:t>
      </w:r>
      <w:r w:rsidR="005F2144" w:rsidRPr="00261D1A">
        <w:t xml:space="preserve">consideration, the Committee continued to join communications raising similar claims. </w:t>
      </w:r>
    </w:p>
    <w:p w14:paraId="08C4932B" w14:textId="77777777" w:rsidR="00493FBB" w:rsidRPr="00261D1A" w:rsidRDefault="00493FBB">
      <w:pPr>
        <w:jc w:val="both"/>
      </w:pPr>
    </w:p>
    <w:p w14:paraId="778EB0D0" w14:textId="6DE825C6" w:rsidR="00D93EA5" w:rsidRPr="00261D1A" w:rsidRDefault="00AE2B8D" w:rsidP="00474C7C">
      <w:pPr>
        <w:jc w:val="both"/>
      </w:pPr>
      <w:r>
        <w:t>During the</w:t>
      </w:r>
      <w:r w:rsidR="00493FBB" w:rsidRPr="00261D1A">
        <w:t xml:space="preserve"> session, the </w:t>
      </w:r>
      <w:r w:rsidR="005F2144" w:rsidRPr="00261D1A">
        <w:t xml:space="preserve">Committee examined </w:t>
      </w:r>
      <w:r w:rsidR="00C97912" w:rsidRPr="00261D1A">
        <w:t xml:space="preserve">individual </w:t>
      </w:r>
      <w:r w:rsidR="005F2144" w:rsidRPr="00261D1A">
        <w:t xml:space="preserve">communications covering </w:t>
      </w:r>
      <w:r w:rsidR="007672FC" w:rsidRPr="00261D1A">
        <w:t xml:space="preserve">issues </w:t>
      </w:r>
      <w:r w:rsidR="005F2144" w:rsidRPr="00261D1A">
        <w:t xml:space="preserve">ranging from arbitrary detention, </w:t>
      </w:r>
      <w:r w:rsidR="007D084A" w:rsidRPr="00261D1A">
        <w:t>torture,</w:t>
      </w:r>
      <w:r w:rsidR="005F2144" w:rsidRPr="00261D1A">
        <w:t xml:space="preserve"> and ill </w:t>
      </w:r>
      <w:r w:rsidR="0051166E" w:rsidRPr="00261D1A">
        <w:t>treatment</w:t>
      </w:r>
      <w:r w:rsidR="00C97912" w:rsidRPr="00261D1A">
        <w:t>, including forced confession, linguistic rights, electoral rights</w:t>
      </w:r>
      <w:r w:rsidR="0051166E" w:rsidRPr="00261D1A">
        <w:t>, to</w:t>
      </w:r>
      <w:r w:rsidR="00997B3D" w:rsidRPr="00261D1A">
        <w:t xml:space="preserve"> </w:t>
      </w:r>
      <w:r w:rsidR="007672FC" w:rsidRPr="00261D1A">
        <w:t xml:space="preserve">right to a fair trial, </w:t>
      </w:r>
      <w:r w:rsidR="00B53538" w:rsidRPr="00261D1A">
        <w:t>due process</w:t>
      </w:r>
      <w:r w:rsidR="00997B3D" w:rsidRPr="00261D1A">
        <w:t>,</w:t>
      </w:r>
      <w:r w:rsidR="005F2144" w:rsidRPr="00261D1A">
        <w:t xml:space="preserve"> non-refoulement</w:t>
      </w:r>
      <w:r w:rsidR="00C97912" w:rsidRPr="00261D1A">
        <w:t>, extradition and diplomatic assurances</w:t>
      </w:r>
      <w:r w:rsidR="005F2144" w:rsidRPr="00261D1A">
        <w:t>, freedom of religion</w:t>
      </w:r>
      <w:r w:rsidR="00922051" w:rsidRPr="00261D1A">
        <w:t xml:space="preserve"> in a self-proclaimed autonomous region</w:t>
      </w:r>
      <w:r w:rsidR="005F2144" w:rsidRPr="00261D1A">
        <w:t xml:space="preserve">, </w:t>
      </w:r>
      <w:r w:rsidR="00C97912" w:rsidRPr="00261D1A">
        <w:t xml:space="preserve">scope of and limits to </w:t>
      </w:r>
      <w:r w:rsidR="005F2144" w:rsidRPr="00261D1A">
        <w:t xml:space="preserve">freedom of expression </w:t>
      </w:r>
      <w:r w:rsidR="00997B3D" w:rsidRPr="00261D1A">
        <w:t xml:space="preserve">including in the context of the use of social medias, right to </w:t>
      </w:r>
      <w:r w:rsidR="005F2144" w:rsidRPr="00261D1A">
        <w:t>peaceful assembly</w:t>
      </w:r>
      <w:r w:rsidR="00C97912" w:rsidRPr="00261D1A">
        <w:t xml:space="preserve">, </w:t>
      </w:r>
      <w:r w:rsidR="00997B3D" w:rsidRPr="00261D1A">
        <w:t>forced eviction</w:t>
      </w:r>
      <w:r w:rsidR="00C97912" w:rsidRPr="00261D1A">
        <w:t>, and home schooling</w:t>
      </w:r>
      <w:r w:rsidR="005F2144" w:rsidRPr="00261D1A">
        <w:t>. The Committee examined communications in relation to 20 States parties from different regions</w:t>
      </w:r>
      <w:r w:rsidR="00A41643" w:rsidRPr="00261D1A">
        <w:t>, including</w:t>
      </w:r>
      <w:r w:rsidR="008A0E80" w:rsidRPr="00261D1A">
        <w:t xml:space="preserve"> </w:t>
      </w:r>
      <w:r w:rsidR="0051166E" w:rsidRPr="00261D1A">
        <w:t>Austria</w:t>
      </w:r>
      <w:r w:rsidR="004D0B06" w:rsidRPr="00261D1A">
        <w:t xml:space="preserve">, </w:t>
      </w:r>
      <w:r w:rsidR="00A41643" w:rsidRPr="00261D1A">
        <w:t xml:space="preserve">Belarus, Kazakhstan, </w:t>
      </w:r>
      <w:r w:rsidR="004D0B06" w:rsidRPr="00261D1A">
        <w:t xml:space="preserve">Moldova, </w:t>
      </w:r>
      <w:r w:rsidR="00A41643" w:rsidRPr="00261D1A">
        <w:t>New Zealand, Russian Federation,</w:t>
      </w:r>
      <w:r w:rsidR="004D0B06" w:rsidRPr="00261D1A">
        <w:t xml:space="preserve"> South Africa,</w:t>
      </w:r>
      <w:r w:rsidR="00A41643" w:rsidRPr="00261D1A">
        <w:t xml:space="preserve"> </w:t>
      </w:r>
      <w:r w:rsidR="002B7D7F" w:rsidRPr="00261D1A">
        <w:t xml:space="preserve">Sweden </w:t>
      </w:r>
      <w:r w:rsidR="00A0712E" w:rsidRPr="00261D1A">
        <w:t xml:space="preserve">and </w:t>
      </w:r>
      <w:r w:rsidR="004D0B06" w:rsidRPr="00261D1A">
        <w:t>Venezuela</w:t>
      </w:r>
      <w:r w:rsidR="005F2144" w:rsidRPr="00261D1A">
        <w:t>.</w:t>
      </w:r>
      <w:r w:rsidR="0082145F" w:rsidRPr="00261D1A">
        <w:t xml:space="preserve"> </w:t>
      </w:r>
    </w:p>
    <w:p w14:paraId="6ACF19F9" w14:textId="77777777" w:rsidR="0061373F" w:rsidRPr="00261D1A" w:rsidRDefault="0061373F">
      <w:pPr>
        <w:jc w:val="both"/>
      </w:pPr>
    </w:p>
    <w:p w14:paraId="018F7DD3" w14:textId="34CD5D75" w:rsidR="0061373F" w:rsidRPr="00AE2B8D" w:rsidRDefault="00922051" w:rsidP="0061373F">
      <w:pPr>
        <w:jc w:val="both"/>
        <w:rPr>
          <w:b/>
          <w:bCs/>
          <w:u w:val="single"/>
          <w:lang w:val="en-US"/>
        </w:rPr>
      </w:pPr>
      <w:r w:rsidRPr="00AE2B8D">
        <w:rPr>
          <w:b/>
          <w:bCs/>
          <w:u w:val="single"/>
          <w:lang w:val="en-US"/>
        </w:rPr>
        <w:t xml:space="preserve">Jurisdiction and freedom of religion </w:t>
      </w:r>
    </w:p>
    <w:p w14:paraId="3B6C7359" w14:textId="45872A72" w:rsidR="0061373F" w:rsidRPr="00261D1A" w:rsidRDefault="0061373F">
      <w:pPr>
        <w:jc w:val="both"/>
        <w:rPr>
          <w:lang w:val="en-US"/>
        </w:rPr>
      </w:pPr>
      <w:r w:rsidRPr="00261D1A">
        <w:rPr>
          <w:lang w:val="en-US"/>
        </w:rPr>
        <w:t>On the issue of States parties’ jurisdiction under the Covenant, the Committee considered two separate cases, simultaneously brough against the Russian Federation and the Republic of Moldova by members of a religious community claiming a violation of their right to freedom of religion due to the refusal by the de facto authorities of the self-proclaimed Transnistrian Moldovan Republic to register changes to the constituent documents of their religious organization. The cases raised issues relating to State jurisdiction</w:t>
      </w:r>
      <w:r w:rsidR="00922051" w:rsidRPr="00261D1A">
        <w:rPr>
          <w:lang w:val="en-US"/>
        </w:rPr>
        <w:t>.</w:t>
      </w:r>
      <w:r w:rsidRPr="00261D1A">
        <w:rPr>
          <w:lang w:val="en-US"/>
        </w:rPr>
        <w:t xml:space="preserve"> The Committee found the communications in both cases inadmissible due to the lack of sufficient substantiation pertaining to the principal legal and factual elements for holding the States parties in the cases to account. </w:t>
      </w:r>
    </w:p>
    <w:p w14:paraId="19A9588C" w14:textId="4F51AB58" w:rsidR="005F2144" w:rsidRPr="00261D1A" w:rsidRDefault="005F2144" w:rsidP="00474C7C">
      <w:pPr>
        <w:jc w:val="both"/>
      </w:pPr>
    </w:p>
    <w:p w14:paraId="0B271CBF" w14:textId="76544CFB" w:rsidR="00E44E21" w:rsidRPr="00261D1A" w:rsidRDefault="00E44E21" w:rsidP="00474C7C">
      <w:pPr>
        <w:jc w:val="both"/>
        <w:rPr>
          <w:b/>
          <w:bCs/>
          <w:u w:val="single"/>
        </w:rPr>
      </w:pPr>
      <w:r w:rsidRPr="00261D1A">
        <w:rPr>
          <w:b/>
          <w:bCs/>
          <w:u w:val="single"/>
        </w:rPr>
        <w:t>Freedom of expression</w:t>
      </w:r>
    </w:p>
    <w:p w14:paraId="5A6EA5D5" w14:textId="1B509648" w:rsidR="00997B3D" w:rsidRPr="00261D1A" w:rsidRDefault="00997B3D" w:rsidP="00D97163">
      <w:pPr>
        <w:jc w:val="both"/>
        <w:rPr>
          <w:lang w:val="en-US"/>
        </w:rPr>
      </w:pPr>
      <w:r w:rsidRPr="00261D1A">
        <w:rPr>
          <w:lang w:val="en-US"/>
        </w:rPr>
        <w:t xml:space="preserve">In a case against </w:t>
      </w:r>
      <w:r w:rsidRPr="00AE2B8D">
        <w:rPr>
          <w:lang w:val="en-US"/>
        </w:rPr>
        <w:t>Belarus</w:t>
      </w:r>
      <w:r w:rsidRPr="00261D1A">
        <w:rPr>
          <w:lang w:val="en-US"/>
        </w:rPr>
        <w:t xml:space="preserve">, the Committee </w:t>
      </w:r>
      <w:r w:rsidR="00A0712E" w:rsidRPr="00261D1A">
        <w:rPr>
          <w:lang w:val="en-US"/>
        </w:rPr>
        <w:t>examined for the first time claims of</w:t>
      </w:r>
      <w:r w:rsidRPr="00261D1A">
        <w:rPr>
          <w:lang w:val="en-US"/>
        </w:rPr>
        <w:t xml:space="preserve"> violation of the right to freedom of expression </w:t>
      </w:r>
      <w:r w:rsidR="004D0B06" w:rsidRPr="00261D1A">
        <w:rPr>
          <w:lang w:val="en-US"/>
        </w:rPr>
        <w:t xml:space="preserve">in relation to the posting online of an article </w:t>
      </w:r>
      <w:r w:rsidR="00C6263B" w:rsidRPr="00261D1A">
        <w:rPr>
          <w:lang w:val="en-US"/>
        </w:rPr>
        <w:t xml:space="preserve">against the backdrop of </w:t>
      </w:r>
      <w:r w:rsidR="004D0B06" w:rsidRPr="00261D1A">
        <w:rPr>
          <w:lang w:val="en-US"/>
        </w:rPr>
        <w:t xml:space="preserve">the Belarus’ </w:t>
      </w:r>
      <w:r w:rsidRPr="00261D1A">
        <w:rPr>
          <w:lang w:val="en-US"/>
        </w:rPr>
        <w:t xml:space="preserve">legal framework </w:t>
      </w:r>
      <w:r w:rsidR="004D0B06" w:rsidRPr="00261D1A">
        <w:rPr>
          <w:lang w:val="en-US"/>
        </w:rPr>
        <w:t xml:space="preserve">on </w:t>
      </w:r>
      <w:r w:rsidRPr="00261D1A">
        <w:rPr>
          <w:lang w:val="en-US"/>
        </w:rPr>
        <w:t>countering extremism</w:t>
      </w:r>
      <w:r w:rsidR="00F70B6E" w:rsidRPr="00261D1A">
        <w:rPr>
          <w:lang w:val="en-US"/>
        </w:rPr>
        <w:t xml:space="preserve">. </w:t>
      </w:r>
      <w:r w:rsidR="00A0712E" w:rsidRPr="00261D1A">
        <w:rPr>
          <w:lang w:val="en-US"/>
        </w:rPr>
        <w:t>The Committee considered that the lack of</w:t>
      </w:r>
      <w:r w:rsidRPr="00261D1A">
        <w:rPr>
          <w:lang w:val="en-US"/>
        </w:rPr>
        <w:t xml:space="preserve"> individual assessment of the article with regards the </w:t>
      </w:r>
      <w:r w:rsidRPr="00261D1A">
        <w:t>national security or public safety, public order, the protection of public health or morals or the protection of the rights and freedoms of others</w:t>
      </w:r>
      <w:r w:rsidRPr="00261D1A">
        <w:rPr>
          <w:lang w:val="en-US"/>
        </w:rPr>
        <w:t xml:space="preserve">, </w:t>
      </w:r>
      <w:r w:rsidR="00A0712E" w:rsidRPr="00261D1A">
        <w:rPr>
          <w:lang w:val="en-US"/>
        </w:rPr>
        <w:t>and the automatic reliance on</w:t>
      </w:r>
      <w:r w:rsidRPr="00261D1A">
        <w:rPr>
          <w:lang w:val="en-US"/>
        </w:rPr>
        <w:t xml:space="preserve"> the court’s decision declaring all materials on the platform as extremist</w:t>
      </w:r>
      <w:r w:rsidR="00A0712E" w:rsidRPr="00261D1A">
        <w:rPr>
          <w:lang w:val="en-US"/>
        </w:rPr>
        <w:t xml:space="preserve"> amounted to a violation of the right to freedom of expression of the author</w:t>
      </w:r>
      <w:r w:rsidRPr="00261D1A">
        <w:rPr>
          <w:lang w:val="en-US"/>
        </w:rPr>
        <w:t xml:space="preserve">. </w:t>
      </w:r>
    </w:p>
    <w:p w14:paraId="0D3DABE5" w14:textId="77777777" w:rsidR="00997B3D" w:rsidRPr="00261D1A" w:rsidRDefault="00997B3D" w:rsidP="00D97163">
      <w:pPr>
        <w:jc w:val="both"/>
        <w:rPr>
          <w:rFonts w:asciiTheme="minorHAnsi" w:hAnsiTheme="minorHAnsi" w:cstheme="minorHAnsi"/>
        </w:rPr>
      </w:pPr>
    </w:p>
    <w:p w14:paraId="18DFDC78" w14:textId="3E897D58" w:rsidR="00997B3D" w:rsidRPr="00261D1A" w:rsidRDefault="0082145F" w:rsidP="00474C7C">
      <w:pPr>
        <w:jc w:val="both"/>
      </w:pPr>
      <w:r w:rsidRPr="00261D1A">
        <w:t>In a</w:t>
      </w:r>
      <w:r w:rsidR="00997B3D" w:rsidRPr="00261D1A">
        <w:t xml:space="preserve"> case brough against </w:t>
      </w:r>
      <w:r w:rsidR="00997B3D" w:rsidRPr="00AE2B8D">
        <w:t>Kyrgyzstan</w:t>
      </w:r>
      <w:r w:rsidR="00997B3D" w:rsidRPr="00261D1A">
        <w:t xml:space="preserve"> by the editor-in-chief of an internet news portal</w:t>
      </w:r>
      <w:r w:rsidRPr="00261D1A">
        <w:t xml:space="preserve">, </w:t>
      </w:r>
      <w:r w:rsidR="00997B3D" w:rsidRPr="00261D1A">
        <w:t>who was sued for publishing an article reproducing a third party’s speech, criticising the then president of Kyrgyzstan</w:t>
      </w:r>
      <w:r w:rsidR="009A5209" w:rsidRPr="00261D1A">
        <w:t>, the Committee considered that the threshold of protection of officials and public figures against defamation had to be mitigated against the importance of the information for public debate and the context of the publication</w:t>
      </w:r>
      <w:r w:rsidR="00762CD7" w:rsidRPr="00261D1A">
        <w:t xml:space="preserve">. </w:t>
      </w:r>
      <w:r w:rsidR="00031AED" w:rsidRPr="00261D1A">
        <w:t>In another case</w:t>
      </w:r>
      <w:r w:rsidR="009A5209" w:rsidRPr="00261D1A">
        <w:t xml:space="preserve"> against </w:t>
      </w:r>
      <w:r w:rsidR="009A5209" w:rsidRPr="00AE2B8D">
        <w:t>Austria</w:t>
      </w:r>
      <w:r w:rsidR="00762CD7" w:rsidRPr="00261D1A">
        <w:rPr>
          <w:color w:val="FF0000"/>
        </w:rPr>
        <w:t xml:space="preserve"> </w:t>
      </w:r>
      <w:r w:rsidR="00762CD7" w:rsidRPr="00261D1A">
        <w:t>brought by a blogger who used a nazi symbol to illustrate an</w:t>
      </w:r>
      <w:r w:rsidR="00762CD7" w:rsidRPr="00261D1A">
        <w:rPr>
          <w:b/>
          <w:bCs/>
        </w:rPr>
        <w:t xml:space="preserve"> </w:t>
      </w:r>
      <w:r w:rsidR="00762CD7" w:rsidRPr="00261D1A">
        <w:t>article he posted on his website</w:t>
      </w:r>
      <w:r w:rsidR="00705EAD" w:rsidRPr="00261D1A">
        <w:t>, t</w:t>
      </w:r>
      <w:r w:rsidR="00997B3D" w:rsidRPr="00261D1A">
        <w:t xml:space="preserve">he Committee </w:t>
      </w:r>
      <w:r w:rsidR="00A0583E" w:rsidRPr="00261D1A">
        <w:t>considered the need to contextualize the exercise of freedom of expression</w:t>
      </w:r>
      <w:r w:rsidR="00762CD7" w:rsidRPr="00261D1A">
        <w:t xml:space="preserve"> and </w:t>
      </w:r>
      <w:r w:rsidR="006C2EA1" w:rsidRPr="00261D1A">
        <w:t xml:space="preserve">acknowledged the relevance of the historical </w:t>
      </w:r>
      <w:r w:rsidR="006C2EA1" w:rsidRPr="00261D1A">
        <w:lastRenderedPageBreak/>
        <w:t xml:space="preserve">context in applying the necessity and proportionality principles to assess whether restrictions to the right to freedom of expression are warranted. </w:t>
      </w:r>
      <w:r w:rsidR="00997B3D" w:rsidRPr="00261D1A">
        <w:t xml:space="preserve"> </w:t>
      </w:r>
    </w:p>
    <w:p w14:paraId="6A350249" w14:textId="73B6E513" w:rsidR="006516B6" w:rsidRPr="00261D1A" w:rsidRDefault="006516B6" w:rsidP="00474C7C">
      <w:pPr>
        <w:jc w:val="both"/>
      </w:pPr>
    </w:p>
    <w:p w14:paraId="4A7EF008" w14:textId="313DC7EE" w:rsidR="00E44E21" w:rsidRPr="003D3710" w:rsidRDefault="00073A4C" w:rsidP="00474C7C">
      <w:pPr>
        <w:jc w:val="both"/>
        <w:rPr>
          <w:b/>
          <w:bCs/>
          <w:u w:val="single"/>
        </w:rPr>
      </w:pPr>
      <w:r w:rsidRPr="003D3710">
        <w:rPr>
          <w:b/>
          <w:bCs/>
          <w:u w:val="single"/>
        </w:rPr>
        <w:t>P</w:t>
      </w:r>
      <w:r w:rsidR="0061373F" w:rsidRPr="003D3710">
        <w:rPr>
          <w:b/>
          <w:bCs/>
          <w:u w:val="single"/>
        </w:rPr>
        <w:t>olitical rights</w:t>
      </w:r>
      <w:r w:rsidRPr="003D3710">
        <w:rPr>
          <w:b/>
          <w:bCs/>
          <w:u w:val="single"/>
        </w:rPr>
        <w:t>, arbitrary detention and due process</w:t>
      </w:r>
    </w:p>
    <w:p w14:paraId="244D6EA4" w14:textId="0FD112E3" w:rsidR="00997B3D" w:rsidRPr="00261D1A" w:rsidRDefault="006516B6">
      <w:pPr>
        <w:jc w:val="both"/>
      </w:pPr>
      <w:r w:rsidRPr="00261D1A">
        <w:t xml:space="preserve">In a communication brought against </w:t>
      </w:r>
      <w:r w:rsidRPr="00AE2B8D">
        <w:t>Belarus</w:t>
      </w:r>
      <w:r w:rsidRPr="00261D1A">
        <w:t xml:space="preserve"> by </w:t>
      </w:r>
      <w:r w:rsidR="00892081" w:rsidRPr="00261D1A">
        <w:t xml:space="preserve">Viktar Babaryka, </w:t>
      </w:r>
      <w:r w:rsidRPr="00261D1A">
        <w:t>a candidate to the 2020 Presidential elections, the Committee found that the arrest o</w:t>
      </w:r>
      <w:r w:rsidR="001C07A9" w:rsidRPr="00261D1A">
        <w:t xml:space="preserve">f the author while en route to </w:t>
      </w:r>
      <w:r w:rsidR="00E80716" w:rsidRPr="00261D1A">
        <w:t xml:space="preserve">submit the signatures for his presidential </w:t>
      </w:r>
      <w:r w:rsidR="00BA24D8" w:rsidRPr="00261D1A">
        <w:t>candidacy, without</w:t>
      </w:r>
      <w:r w:rsidR="00E80716" w:rsidRPr="00261D1A">
        <w:t xml:space="preserve"> giving him access to a lawyer and without promptly bringing him before a judge amounted to the violation of his right not to be arbitrar</w:t>
      </w:r>
      <w:r w:rsidR="00892081" w:rsidRPr="00261D1A">
        <w:t>ily</w:t>
      </w:r>
      <w:r w:rsidR="00E80716" w:rsidRPr="00261D1A">
        <w:t xml:space="preserve"> detained.</w:t>
      </w:r>
    </w:p>
    <w:p w14:paraId="58BA5C5B" w14:textId="12D8DB8C" w:rsidR="00720573" w:rsidRPr="00AE2B8D" w:rsidRDefault="00073A4C" w:rsidP="00AE2B8D">
      <w:r w:rsidRPr="00261D1A">
        <w:t xml:space="preserve">In two other communications, the Committee examined the exercize of political rights under article 25 of the Covenant. In a group of cases against </w:t>
      </w:r>
      <w:r w:rsidRPr="00AE2B8D">
        <w:t>Kazakhstan</w:t>
      </w:r>
      <w:r w:rsidRPr="00261D1A">
        <w:t xml:space="preserve">, the Committee considered that the disqualification of candidates </w:t>
      </w:r>
      <w:r w:rsidR="00762CD7" w:rsidRPr="00261D1A">
        <w:t xml:space="preserve">should not be </w:t>
      </w:r>
      <w:r w:rsidRPr="00261D1A">
        <w:t>allowed unless based on objective and reasonable grounds while ensuring due process to the candidates.</w:t>
      </w:r>
      <w:r w:rsidR="00762CD7" w:rsidRPr="00261D1A">
        <w:t xml:space="preserve"> In a communication in relation </w:t>
      </w:r>
      <w:r w:rsidR="00762CD7" w:rsidRPr="00AE2B8D">
        <w:t>to Latvia</w:t>
      </w:r>
      <w:r w:rsidR="00762CD7" w:rsidRPr="00261D1A">
        <w:t xml:space="preserve">, the Committee </w:t>
      </w:r>
      <w:r w:rsidR="00167988" w:rsidRPr="00261D1A">
        <w:t>considered that the restrictions imposed on the complainant in seeking to stand as an independent candidate in parliamentary elections, through the requirements of the electoral system responded to the criteria of objectiv</w:t>
      </w:r>
      <w:r w:rsidR="00F70849" w:rsidRPr="00261D1A">
        <w:t>ity</w:t>
      </w:r>
      <w:r w:rsidR="00167988" w:rsidRPr="00261D1A">
        <w:t>, proportiona</w:t>
      </w:r>
      <w:r w:rsidR="00F70849" w:rsidRPr="00261D1A">
        <w:t xml:space="preserve">lity </w:t>
      </w:r>
      <w:r w:rsidR="00167988" w:rsidRPr="00261D1A">
        <w:t>and reasonable</w:t>
      </w:r>
      <w:r w:rsidR="00F70849" w:rsidRPr="00261D1A">
        <w:t>ness</w:t>
      </w:r>
      <w:r w:rsidR="00167988" w:rsidRPr="00261D1A">
        <w:t>.</w:t>
      </w:r>
    </w:p>
    <w:p w14:paraId="41B6B3B2" w14:textId="71F7ADE9" w:rsidR="00F35C1D" w:rsidRPr="00261D1A" w:rsidRDefault="00F35C1D" w:rsidP="00D97163">
      <w:pPr>
        <w:jc w:val="both"/>
        <w:rPr>
          <w:lang w:val="en-US"/>
        </w:rPr>
      </w:pPr>
    </w:p>
    <w:p w14:paraId="4A3D06E1" w14:textId="77777777" w:rsidR="00F35C1D" w:rsidRPr="00AE2B8D" w:rsidRDefault="00F35C1D" w:rsidP="00F35C1D">
      <w:pPr>
        <w:jc w:val="both"/>
        <w:rPr>
          <w:b/>
          <w:bCs/>
          <w:iCs/>
          <w:u w:val="single"/>
        </w:rPr>
      </w:pPr>
      <w:r w:rsidRPr="00AE2B8D">
        <w:rPr>
          <w:b/>
          <w:bCs/>
          <w:iCs/>
          <w:u w:val="single"/>
        </w:rPr>
        <w:t>Extradition and diplomatic assurances</w:t>
      </w:r>
    </w:p>
    <w:p w14:paraId="223DBB3C" w14:textId="61E788FC" w:rsidR="00F35C1D" w:rsidRPr="00261D1A" w:rsidRDefault="00F35C1D" w:rsidP="00F35C1D">
      <w:pPr>
        <w:jc w:val="both"/>
        <w:rPr>
          <w:iCs/>
        </w:rPr>
      </w:pPr>
      <w:r w:rsidRPr="00261D1A">
        <w:rPr>
          <w:iCs/>
        </w:rPr>
        <w:t xml:space="preserve">In a case against New Zealand, the Committee was called to examine the condition and length of author’s detention before his extradition to China </w:t>
      </w:r>
      <w:r w:rsidR="00B53538" w:rsidRPr="00261D1A">
        <w:rPr>
          <w:iCs/>
        </w:rPr>
        <w:t xml:space="preserve">where he was the first suspect in a </w:t>
      </w:r>
      <w:r w:rsidRPr="00261D1A">
        <w:rPr>
          <w:iCs/>
        </w:rPr>
        <w:t xml:space="preserve">murder, as well as the diplomatic assurances requested by New Zealand to the Chinese authorities. The Committee considered that if the overall proceeding did not breach the Covenant, a short period of detention was contrary to Article 9, as it was not covered by a valid warrant and therefore, had no legal basis. As far as the assurances are concerned, the Committee was satisfied </w:t>
      </w:r>
      <w:r w:rsidR="00B53538" w:rsidRPr="00261D1A">
        <w:rPr>
          <w:iCs/>
        </w:rPr>
        <w:t xml:space="preserve">by the detailed nature and comprehensive level of diplomatic assurances </w:t>
      </w:r>
      <w:r w:rsidRPr="00261D1A">
        <w:rPr>
          <w:iCs/>
        </w:rPr>
        <w:t xml:space="preserve">requested and obtained </w:t>
      </w:r>
      <w:r w:rsidR="00B53538" w:rsidRPr="00261D1A">
        <w:rPr>
          <w:iCs/>
        </w:rPr>
        <w:t>by New Zealand</w:t>
      </w:r>
      <w:r w:rsidRPr="00261D1A">
        <w:rPr>
          <w:iCs/>
        </w:rPr>
        <w:t>, and therefore concluded that there was no violation of the prohibition of ill-treatment.</w:t>
      </w:r>
    </w:p>
    <w:p w14:paraId="45D7AB6C" w14:textId="77777777" w:rsidR="00F35C1D" w:rsidRPr="00261D1A" w:rsidRDefault="00F35C1D" w:rsidP="00D97163">
      <w:pPr>
        <w:jc w:val="both"/>
        <w:rPr>
          <w:lang w:val="en-US"/>
        </w:rPr>
      </w:pPr>
    </w:p>
    <w:p w14:paraId="4C07D2DA" w14:textId="68E6866D" w:rsidR="00D97163" w:rsidRPr="00261D1A" w:rsidRDefault="00D97163" w:rsidP="00D97163">
      <w:pPr>
        <w:jc w:val="both"/>
        <w:rPr>
          <w:rFonts w:asciiTheme="minorHAnsi" w:hAnsiTheme="minorHAnsi" w:cstheme="minorHAnsi"/>
        </w:rPr>
      </w:pPr>
      <w:r w:rsidRPr="00261D1A">
        <w:rPr>
          <w:rFonts w:asciiTheme="minorHAnsi" w:hAnsiTheme="minorHAnsi" w:cstheme="minorHAnsi"/>
        </w:rPr>
        <w:t>Forced evictions and protection of privacy and family life</w:t>
      </w:r>
    </w:p>
    <w:p w14:paraId="34062325" w14:textId="70F2C4DF" w:rsidR="006516B6" w:rsidRPr="00261D1A" w:rsidRDefault="006516B6" w:rsidP="00D97163">
      <w:pPr>
        <w:jc w:val="both"/>
        <w:rPr>
          <w:rFonts w:asciiTheme="minorHAnsi" w:hAnsiTheme="minorHAnsi" w:cstheme="minorHAnsi"/>
        </w:rPr>
      </w:pPr>
      <w:r w:rsidRPr="00261D1A">
        <w:rPr>
          <w:rFonts w:asciiTheme="minorHAnsi" w:hAnsiTheme="minorHAnsi" w:cstheme="minorHAnsi"/>
        </w:rPr>
        <w:t xml:space="preserve">In a case against Venezuela, the Committee decided that the forced eviction of a woman and her two minor children </w:t>
      </w:r>
      <w:r w:rsidR="00E44E21" w:rsidRPr="00261D1A">
        <w:rPr>
          <w:rFonts w:asciiTheme="minorHAnsi" w:hAnsiTheme="minorHAnsi" w:cstheme="minorHAnsi"/>
        </w:rPr>
        <w:t xml:space="preserve">in the context of the “Operations for the Liberation of the People”, </w:t>
      </w:r>
      <w:r w:rsidRPr="00261D1A">
        <w:rPr>
          <w:rFonts w:asciiTheme="minorHAnsi" w:hAnsiTheme="minorHAnsi" w:cstheme="minorHAnsi"/>
        </w:rPr>
        <w:t xml:space="preserve">violated their </w:t>
      </w:r>
      <w:r w:rsidR="00705EAD" w:rsidRPr="00261D1A">
        <w:rPr>
          <w:rFonts w:asciiTheme="minorHAnsi" w:hAnsiTheme="minorHAnsi" w:cstheme="minorHAnsi"/>
        </w:rPr>
        <w:t>rights.</w:t>
      </w:r>
      <w:r w:rsidRPr="00261D1A">
        <w:rPr>
          <w:rFonts w:asciiTheme="minorHAnsi" w:hAnsiTheme="minorHAnsi" w:cstheme="minorHAnsi"/>
        </w:rPr>
        <w:t xml:space="preserve">  The Committee found that the forced eviction amounted to </w:t>
      </w:r>
      <w:r w:rsidR="006E027C" w:rsidRPr="00261D1A">
        <w:rPr>
          <w:rFonts w:asciiTheme="minorHAnsi" w:hAnsiTheme="minorHAnsi" w:cstheme="minorHAnsi"/>
        </w:rPr>
        <w:t xml:space="preserve">arbitrary </w:t>
      </w:r>
      <w:r w:rsidRPr="00261D1A">
        <w:rPr>
          <w:rFonts w:asciiTheme="minorHAnsi" w:hAnsiTheme="minorHAnsi" w:cstheme="minorHAnsi"/>
        </w:rPr>
        <w:t>interference with the family’s home, without due process of law and procedural guarantees</w:t>
      </w:r>
      <w:r w:rsidR="00E44E21" w:rsidRPr="00261D1A">
        <w:rPr>
          <w:rFonts w:asciiTheme="minorHAnsi" w:hAnsiTheme="minorHAnsi" w:cstheme="minorHAnsi"/>
        </w:rPr>
        <w:t xml:space="preserve"> and that the way it was conducted qualified</w:t>
      </w:r>
      <w:r w:rsidRPr="00261D1A">
        <w:rPr>
          <w:rFonts w:asciiTheme="minorHAnsi" w:hAnsiTheme="minorHAnsi" w:cstheme="minorHAnsi"/>
        </w:rPr>
        <w:t xml:space="preserve"> as cruel, inhuman and degrading treatment and as an arbitrary act of a punitive nature</w:t>
      </w:r>
      <w:r w:rsidR="00E44E21" w:rsidRPr="00261D1A">
        <w:rPr>
          <w:rFonts w:asciiTheme="minorHAnsi" w:hAnsiTheme="minorHAnsi" w:cstheme="minorHAnsi"/>
        </w:rPr>
        <w:t>.</w:t>
      </w:r>
      <w:r w:rsidRPr="00261D1A">
        <w:rPr>
          <w:rFonts w:asciiTheme="minorHAnsi" w:hAnsiTheme="minorHAnsi" w:cstheme="minorHAnsi"/>
        </w:rPr>
        <w:t xml:space="preserve"> </w:t>
      </w:r>
    </w:p>
    <w:p w14:paraId="578BDBC0" w14:textId="58CB0925" w:rsidR="00705EAD" w:rsidRPr="00261D1A" w:rsidRDefault="00705EAD" w:rsidP="00D97163">
      <w:pPr>
        <w:jc w:val="both"/>
        <w:rPr>
          <w:rFonts w:asciiTheme="minorHAnsi" w:hAnsiTheme="minorHAnsi" w:cstheme="minorHAnsi"/>
        </w:rPr>
      </w:pPr>
    </w:p>
    <w:p w14:paraId="002AC389" w14:textId="6D2C92C3" w:rsidR="00D97163" w:rsidRPr="00AE2B8D" w:rsidRDefault="00D97163" w:rsidP="00D97163">
      <w:pPr>
        <w:jc w:val="both"/>
        <w:rPr>
          <w:rFonts w:asciiTheme="minorHAnsi" w:hAnsiTheme="minorHAnsi" w:cstheme="minorHAnsi"/>
          <w:b/>
          <w:bCs/>
          <w:u w:val="single"/>
        </w:rPr>
      </w:pPr>
      <w:r w:rsidRPr="00AE2B8D">
        <w:rPr>
          <w:rFonts w:asciiTheme="minorHAnsi" w:hAnsiTheme="minorHAnsi" w:cstheme="minorHAnsi"/>
          <w:b/>
          <w:bCs/>
          <w:u w:val="single"/>
        </w:rPr>
        <w:t>Linguistic minorities rights</w:t>
      </w:r>
    </w:p>
    <w:p w14:paraId="023724A1" w14:textId="7E309B39" w:rsidR="00720573" w:rsidRDefault="007522EA" w:rsidP="00D97163">
      <w:pPr>
        <w:jc w:val="both"/>
        <w:rPr>
          <w:iCs/>
        </w:rPr>
      </w:pPr>
      <w:r w:rsidRPr="00261D1A">
        <w:t>The</w:t>
      </w:r>
      <w:r w:rsidR="00720573" w:rsidRPr="00261D1A">
        <w:t xml:space="preserve"> Committee examined a case submitted by a practicing lawyer </w:t>
      </w:r>
      <w:r w:rsidRPr="00261D1A">
        <w:t xml:space="preserve">claiming that by not </w:t>
      </w:r>
      <w:r w:rsidR="006E027C" w:rsidRPr="00261D1A">
        <w:t>translating</w:t>
      </w:r>
      <w:r w:rsidR="00720573" w:rsidRPr="00261D1A">
        <w:t xml:space="preserve"> national legislation into all the official languages including Afrikaans, the author’s mother tongue</w:t>
      </w:r>
      <w:r w:rsidRPr="00261D1A">
        <w:t>, South Africa had violated his rights</w:t>
      </w:r>
      <w:r w:rsidR="00D97163" w:rsidRPr="00261D1A">
        <w:t xml:space="preserve"> as a member of a linguistic minority</w:t>
      </w:r>
      <w:r w:rsidR="00720573" w:rsidRPr="00261D1A">
        <w:t xml:space="preserve">. </w:t>
      </w:r>
      <w:r w:rsidR="00720573" w:rsidRPr="00261D1A">
        <w:rPr>
          <w:iCs/>
        </w:rPr>
        <w:t xml:space="preserve">The Committee noted, however, that the author had only provided general information in support of his claims </w:t>
      </w:r>
      <w:r w:rsidRPr="00261D1A">
        <w:rPr>
          <w:iCs/>
        </w:rPr>
        <w:t>without explaining</w:t>
      </w:r>
      <w:r w:rsidR="00720573" w:rsidRPr="00261D1A">
        <w:rPr>
          <w:iCs/>
        </w:rPr>
        <w:t xml:space="preserve"> how he had been personally adversely affected by the alleged failure of the State. </w:t>
      </w:r>
      <w:r w:rsidR="006E027C" w:rsidRPr="00261D1A">
        <w:rPr>
          <w:iCs/>
        </w:rPr>
        <w:t>Therefore,</w:t>
      </w:r>
      <w:r w:rsidR="00720573" w:rsidRPr="00261D1A">
        <w:rPr>
          <w:iCs/>
        </w:rPr>
        <w:t xml:space="preserve"> the Committee found his claims inadmissible.</w:t>
      </w:r>
    </w:p>
    <w:p w14:paraId="29BFD364" w14:textId="3F1D7C91" w:rsidR="005255C7" w:rsidRDefault="005255C7" w:rsidP="00D97163">
      <w:pPr>
        <w:jc w:val="both"/>
        <w:rPr>
          <w:iCs/>
        </w:rPr>
      </w:pPr>
    </w:p>
    <w:p w14:paraId="6940AD53" w14:textId="2E9C5290" w:rsidR="005255C7" w:rsidRDefault="005255C7" w:rsidP="00D97163">
      <w:pPr>
        <w:jc w:val="both"/>
        <w:rPr>
          <w:iCs/>
        </w:rPr>
      </w:pPr>
      <w:r>
        <w:rPr>
          <w:iCs/>
        </w:rPr>
        <w:t>ENDS</w:t>
      </w:r>
    </w:p>
    <w:p w14:paraId="0AA4B54A" w14:textId="6BCB9612" w:rsidR="006E027C" w:rsidRDefault="006E027C" w:rsidP="00D97163">
      <w:pPr>
        <w:jc w:val="both"/>
        <w:rPr>
          <w:iCs/>
        </w:rPr>
      </w:pPr>
    </w:p>
    <w:p w14:paraId="273B5788" w14:textId="77777777" w:rsidR="00720573" w:rsidRDefault="00720573" w:rsidP="00D97163">
      <w:pPr>
        <w:jc w:val="both"/>
        <w:rPr>
          <w:rFonts w:asciiTheme="minorHAnsi" w:hAnsiTheme="minorHAnsi" w:cstheme="minorHAnsi"/>
        </w:rPr>
      </w:pPr>
    </w:p>
    <w:sectPr w:rsidR="007205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EAE95" w14:textId="77777777" w:rsidR="008B255A" w:rsidRDefault="008B255A" w:rsidP="001213A4">
      <w:r>
        <w:separator/>
      </w:r>
    </w:p>
  </w:endnote>
  <w:endnote w:type="continuationSeparator" w:id="0">
    <w:p w14:paraId="096786D5" w14:textId="77777777" w:rsidR="008B255A" w:rsidRDefault="008B255A" w:rsidP="0012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9CB8F" w14:textId="77777777" w:rsidR="008B255A" w:rsidRDefault="008B255A" w:rsidP="001213A4">
      <w:r>
        <w:separator/>
      </w:r>
    </w:p>
  </w:footnote>
  <w:footnote w:type="continuationSeparator" w:id="0">
    <w:p w14:paraId="338042EE" w14:textId="77777777" w:rsidR="008B255A" w:rsidRDefault="008B255A" w:rsidP="001213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144"/>
    <w:rsid w:val="00031AED"/>
    <w:rsid w:val="00073A4C"/>
    <w:rsid w:val="000E6A83"/>
    <w:rsid w:val="001213A4"/>
    <w:rsid w:val="00167988"/>
    <w:rsid w:val="00187AF8"/>
    <w:rsid w:val="001C07A9"/>
    <w:rsid w:val="001C239F"/>
    <w:rsid w:val="001E1F5B"/>
    <w:rsid w:val="00234C3F"/>
    <w:rsid w:val="00261D1A"/>
    <w:rsid w:val="002B7D7F"/>
    <w:rsid w:val="002F785D"/>
    <w:rsid w:val="003670AE"/>
    <w:rsid w:val="003D3710"/>
    <w:rsid w:val="00412DA9"/>
    <w:rsid w:val="00474C7C"/>
    <w:rsid w:val="00493FBB"/>
    <w:rsid w:val="004D0B06"/>
    <w:rsid w:val="0051166E"/>
    <w:rsid w:val="005255C7"/>
    <w:rsid w:val="005926BB"/>
    <w:rsid w:val="005D115B"/>
    <w:rsid w:val="005F2144"/>
    <w:rsid w:val="0061373F"/>
    <w:rsid w:val="00624EB0"/>
    <w:rsid w:val="00641753"/>
    <w:rsid w:val="006516B6"/>
    <w:rsid w:val="00662296"/>
    <w:rsid w:val="006C2EA1"/>
    <w:rsid w:val="006E027C"/>
    <w:rsid w:val="00705EAD"/>
    <w:rsid w:val="00720573"/>
    <w:rsid w:val="007522EA"/>
    <w:rsid w:val="00757295"/>
    <w:rsid w:val="00762CD7"/>
    <w:rsid w:val="007672FC"/>
    <w:rsid w:val="007C0507"/>
    <w:rsid w:val="007D084A"/>
    <w:rsid w:val="0082145F"/>
    <w:rsid w:val="00887889"/>
    <w:rsid w:val="00892081"/>
    <w:rsid w:val="008A0E80"/>
    <w:rsid w:val="008B255A"/>
    <w:rsid w:val="00922051"/>
    <w:rsid w:val="00923A41"/>
    <w:rsid w:val="00997B3D"/>
    <w:rsid w:val="009A5209"/>
    <w:rsid w:val="009B4295"/>
    <w:rsid w:val="00A0583E"/>
    <w:rsid w:val="00A0712E"/>
    <w:rsid w:val="00A41643"/>
    <w:rsid w:val="00A978EF"/>
    <w:rsid w:val="00AE2B8D"/>
    <w:rsid w:val="00B0057D"/>
    <w:rsid w:val="00B22B07"/>
    <w:rsid w:val="00B417D6"/>
    <w:rsid w:val="00B53538"/>
    <w:rsid w:val="00BA24D8"/>
    <w:rsid w:val="00C6263B"/>
    <w:rsid w:val="00C97912"/>
    <w:rsid w:val="00D14E24"/>
    <w:rsid w:val="00D37E64"/>
    <w:rsid w:val="00D448DC"/>
    <w:rsid w:val="00D53E5A"/>
    <w:rsid w:val="00D83370"/>
    <w:rsid w:val="00D93EA5"/>
    <w:rsid w:val="00D97163"/>
    <w:rsid w:val="00DE4F4E"/>
    <w:rsid w:val="00E44E21"/>
    <w:rsid w:val="00E478B2"/>
    <w:rsid w:val="00E80716"/>
    <w:rsid w:val="00E96699"/>
    <w:rsid w:val="00EE0D9F"/>
    <w:rsid w:val="00EF38BF"/>
    <w:rsid w:val="00F1288C"/>
    <w:rsid w:val="00F35C1D"/>
    <w:rsid w:val="00F70849"/>
    <w:rsid w:val="00F70B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9F307"/>
  <w15:chartTrackingRefBased/>
  <w15:docId w15:val="{31580F3E-F995-48D5-9B0B-4130FE5D9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4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A41643"/>
    <w:rPr>
      <w:lang w:eastAsia="en-GB"/>
    </w:rPr>
  </w:style>
  <w:style w:type="character" w:customStyle="1" w:styleId="s68f5eaef">
    <w:name w:val="s68f5eaef"/>
    <w:basedOn w:val="DefaultParagraphFont"/>
    <w:rsid w:val="00A41643"/>
  </w:style>
  <w:style w:type="character" w:styleId="Hyperlink">
    <w:name w:val="Hyperlink"/>
    <w:basedOn w:val="DefaultParagraphFont"/>
    <w:uiPriority w:val="99"/>
    <w:semiHidden/>
    <w:unhideWhenUsed/>
    <w:rsid w:val="00A41643"/>
    <w:rPr>
      <w:color w:val="0563C1"/>
      <w:u w:val="single"/>
    </w:rPr>
  </w:style>
  <w:style w:type="paragraph" w:styleId="FootnoteText">
    <w:name w:val="footnote text"/>
    <w:basedOn w:val="Normal"/>
    <w:link w:val="FootnoteTextChar"/>
    <w:uiPriority w:val="99"/>
    <w:semiHidden/>
    <w:unhideWhenUsed/>
    <w:rsid w:val="001213A4"/>
    <w:rPr>
      <w:rFonts w:ascii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semiHidden/>
    <w:rsid w:val="001213A4"/>
    <w:rPr>
      <w:kern w:val="2"/>
      <w:sz w:val="20"/>
      <w:szCs w:val="20"/>
      <w14:ligatures w14:val="standardContextual"/>
    </w:rPr>
  </w:style>
  <w:style w:type="character" w:styleId="FootnoteReference">
    <w:name w:val="footnote reference"/>
    <w:basedOn w:val="DefaultParagraphFont"/>
    <w:uiPriority w:val="99"/>
    <w:semiHidden/>
    <w:unhideWhenUsed/>
    <w:rsid w:val="001213A4"/>
    <w:rPr>
      <w:vertAlign w:val="superscript"/>
    </w:rPr>
  </w:style>
  <w:style w:type="paragraph" w:styleId="Revision">
    <w:name w:val="Revision"/>
    <w:hidden/>
    <w:uiPriority w:val="99"/>
    <w:semiHidden/>
    <w:rsid w:val="004D0B06"/>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F70B6E"/>
    <w:rPr>
      <w:sz w:val="16"/>
      <w:szCs w:val="16"/>
    </w:rPr>
  </w:style>
  <w:style w:type="paragraph" w:styleId="CommentText">
    <w:name w:val="annotation text"/>
    <w:basedOn w:val="Normal"/>
    <w:link w:val="CommentTextChar"/>
    <w:uiPriority w:val="99"/>
    <w:unhideWhenUsed/>
    <w:rsid w:val="00F70B6E"/>
    <w:rPr>
      <w:sz w:val="20"/>
      <w:szCs w:val="20"/>
    </w:rPr>
  </w:style>
  <w:style w:type="character" w:customStyle="1" w:styleId="CommentTextChar">
    <w:name w:val="Comment Text Char"/>
    <w:basedOn w:val="DefaultParagraphFont"/>
    <w:link w:val="CommentText"/>
    <w:uiPriority w:val="99"/>
    <w:rsid w:val="00F70B6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F70B6E"/>
    <w:rPr>
      <w:b/>
      <w:bCs/>
    </w:rPr>
  </w:style>
  <w:style w:type="character" w:customStyle="1" w:styleId="CommentSubjectChar">
    <w:name w:val="Comment Subject Char"/>
    <w:basedOn w:val="CommentTextChar"/>
    <w:link w:val="CommentSubject"/>
    <w:uiPriority w:val="99"/>
    <w:semiHidden/>
    <w:rsid w:val="00F70B6E"/>
    <w:rPr>
      <w:rFonts w:ascii="Calibri" w:hAnsi="Calibri" w:cs="Calibri"/>
      <w:b/>
      <w:bCs/>
      <w:sz w:val="20"/>
      <w:szCs w:val="20"/>
    </w:rPr>
  </w:style>
  <w:style w:type="paragraph" w:customStyle="1" w:styleId="SingleTxtG">
    <w:name w:val="_ Single Txt_G"/>
    <w:basedOn w:val="Normal"/>
    <w:qFormat/>
    <w:rsid w:val="00167988"/>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8095">
      <w:bodyDiv w:val="1"/>
      <w:marLeft w:val="0"/>
      <w:marRight w:val="0"/>
      <w:marTop w:val="0"/>
      <w:marBottom w:val="0"/>
      <w:divBdr>
        <w:top w:val="none" w:sz="0" w:space="0" w:color="auto"/>
        <w:left w:val="none" w:sz="0" w:space="0" w:color="auto"/>
        <w:bottom w:val="none" w:sz="0" w:space="0" w:color="auto"/>
        <w:right w:val="none" w:sz="0" w:space="0" w:color="auto"/>
      </w:divBdr>
    </w:div>
    <w:div w:id="555120326">
      <w:bodyDiv w:val="1"/>
      <w:marLeft w:val="0"/>
      <w:marRight w:val="0"/>
      <w:marTop w:val="0"/>
      <w:marBottom w:val="0"/>
      <w:divBdr>
        <w:top w:val="none" w:sz="0" w:space="0" w:color="auto"/>
        <w:left w:val="none" w:sz="0" w:space="0" w:color="auto"/>
        <w:bottom w:val="none" w:sz="0" w:space="0" w:color="auto"/>
        <w:right w:val="none" w:sz="0" w:space="0" w:color="auto"/>
      </w:divBdr>
    </w:div>
    <w:div w:id="1014695297">
      <w:bodyDiv w:val="1"/>
      <w:marLeft w:val="0"/>
      <w:marRight w:val="0"/>
      <w:marTop w:val="0"/>
      <w:marBottom w:val="0"/>
      <w:divBdr>
        <w:top w:val="none" w:sz="0" w:space="0" w:color="auto"/>
        <w:left w:val="none" w:sz="0" w:space="0" w:color="auto"/>
        <w:bottom w:val="none" w:sz="0" w:space="0" w:color="auto"/>
        <w:right w:val="none" w:sz="0" w:space="0" w:color="auto"/>
      </w:divBdr>
    </w:div>
    <w:div w:id="1017776029">
      <w:bodyDiv w:val="1"/>
      <w:marLeft w:val="0"/>
      <w:marRight w:val="0"/>
      <w:marTop w:val="0"/>
      <w:marBottom w:val="0"/>
      <w:divBdr>
        <w:top w:val="none" w:sz="0" w:space="0" w:color="auto"/>
        <w:left w:val="none" w:sz="0" w:space="0" w:color="auto"/>
        <w:bottom w:val="none" w:sz="0" w:space="0" w:color="auto"/>
        <w:right w:val="none" w:sz="0" w:space="0" w:color="auto"/>
      </w:divBdr>
    </w:div>
    <w:div w:id="1024750854">
      <w:bodyDiv w:val="1"/>
      <w:marLeft w:val="0"/>
      <w:marRight w:val="0"/>
      <w:marTop w:val="0"/>
      <w:marBottom w:val="0"/>
      <w:divBdr>
        <w:top w:val="none" w:sz="0" w:space="0" w:color="auto"/>
        <w:left w:val="none" w:sz="0" w:space="0" w:color="auto"/>
        <w:bottom w:val="none" w:sz="0" w:space="0" w:color="auto"/>
        <w:right w:val="none" w:sz="0" w:space="0" w:color="auto"/>
      </w:divBdr>
    </w:div>
    <w:div w:id="1083910606">
      <w:bodyDiv w:val="1"/>
      <w:marLeft w:val="0"/>
      <w:marRight w:val="0"/>
      <w:marTop w:val="0"/>
      <w:marBottom w:val="0"/>
      <w:divBdr>
        <w:top w:val="none" w:sz="0" w:space="0" w:color="auto"/>
        <w:left w:val="none" w:sz="0" w:space="0" w:color="auto"/>
        <w:bottom w:val="none" w:sz="0" w:space="0" w:color="auto"/>
        <w:right w:val="none" w:sz="0" w:space="0" w:color="auto"/>
      </w:divBdr>
    </w:div>
    <w:div w:id="1097210591">
      <w:bodyDiv w:val="1"/>
      <w:marLeft w:val="0"/>
      <w:marRight w:val="0"/>
      <w:marTop w:val="0"/>
      <w:marBottom w:val="0"/>
      <w:divBdr>
        <w:top w:val="none" w:sz="0" w:space="0" w:color="auto"/>
        <w:left w:val="none" w:sz="0" w:space="0" w:color="auto"/>
        <w:bottom w:val="none" w:sz="0" w:space="0" w:color="auto"/>
        <w:right w:val="none" w:sz="0" w:space="0" w:color="auto"/>
      </w:divBdr>
    </w:div>
    <w:div w:id="1307786048">
      <w:bodyDiv w:val="1"/>
      <w:marLeft w:val="0"/>
      <w:marRight w:val="0"/>
      <w:marTop w:val="0"/>
      <w:marBottom w:val="0"/>
      <w:divBdr>
        <w:top w:val="none" w:sz="0" w:space="0" w:color="auto"/>
        <w:left w:val="none" w:sz="0" w:space="0" w:color="auto"/>
        <w:bottom w:val="none" w:sz="0" w:space="0" w:color="auto"/>
        <w:right w:val="none" w:sz="0" w:space="0" w:color="auto"/>
      </w:divBdr>
    </w:div>
    <w:div w:id="1866744119">
      <w:bodyDiv w:val="1"/>
      <w:marLeft w:val="0"/>
      <w:marRight w:val="0"/>
      <w:marTop w:val="0"/>
      <w:marBottom w:val="0"/>
      <w:divBdr>
        <w:top w:val="none" w:sz="0" w:space="0" w:color="auto"/>
        <w:left w:val="none" w:sz="0" w:space="0" w:color="auto"/>
        <w:bottom w:val="none" w:sz="0" w:space="0" w:color="auto"/>
        <w:right w:val="none" w:sz="0" w:space="0" w:color="auto"/>
      </w:divBdr>
    </w:div>
    <w:div w:id="210379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1064</Words>
  <Characters>6071</Characters>
  <Application>Microsoft Office Word</Application>
  <DocSecurity>0</DocSecurity>
  <Lines>50</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 Tebourbi-Guerfali</cp:lastModifiedBy>
  <cp:revision>3</cp:revision>
  <dcterms:created xsi:type="dcterms:W3CDTF">2024-03-06T11:48:00Z</dcterms:created>
  <dcterms:modified xsi:type="dcterms:W3CDTF">2024-03-06T11:49:00Z</dcterms:modified>
</cp:coreProperties>
</file>