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126BE" w14:textId="77777777" w:rsidR="00B17A7F" w:rsidRDefault="00B17A7F" w:rsidP="00B17A7F">
      <w:pPr>
        <w:jc w:val="center"/>
      </w:pPr>
      <w:r w:rsidRPr="00883EAA">
        <w:rPr>
          <w:rFonts w:ascii="MetaPro-Norm" w:hAnsi="MetaPro-Norm"/>
          <w:noProof/>
          <w:color w:val="000000" w:themeColor="text1"/>
        </w:rPr>
        <w:drawing>
          <wp:inline distT="0" distB="0" distL="0" distR="0" wp14:anchorId="74FCB882" wp14:editId="43DBCF86">
            <wp:extent cx="1174750" cy="117475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0871" cy="1180871"/>
                    </a:xfrm>
                    <a:prstGeom prst="rect">
                      <a:avLst/>
                    </a:prstGeom>
                    <a:noFill/>
                    <a:ln>
                      <a:noFill/>
                    </a:ln>
                  </pic:spPr>
                </pic:pic>
              </a:graphicData>
            </a:graphic>
          </wp:inline>
        </w:drawing>
      </w:r>
    </w:p>
    <w:p w14:paraId="2D77F7CE" w14:textId="77777777" w:rsidR="00B17A7F" w:rsidRPr="00883EAA" w:rsidRDefault="00B17A7F" w:rsidP="00B17A7F">
      <w:pPr>
        <w:spacing w:after="0"/>
        <w:jc w:val="center"/>
        <w:rPr>
          <w:rFonts w:ascii="MetaPro-Norm" w:hAnsi="MetaPro-Norm"/>
          <w:b/>
          <w:bCs/>
        </w:rPr>
      </w:pPr>
      <w:r w:rsidRPr="00883EAA">
        <w:rPr>
          <w:rFonts w:ascii="MetaPro-Norm" w:hAnsi="MetaPro-Norm"/>
          <w:b/>
          <w:bCs/>
        </w:rPr>
        <w:t xml:space="preserve">Human Rights Watch Submission </w:t>
      </w:r>
    </w:p>
    <w:p w14:paraId="0091D750" w14:textId="5540575F" w:rsidR="00B17A7F" w:rsidRPr="00883EAA" w:rsidRDefault="00B17A7F" w:rsidP="00CD1797">
      <w:pPr>
        <w:spacing w:after="0"/>
        <w:jc w:val="center"/>
        <w:rPr>
          <w:rFonts w:ascii="MetaPro-Norm" w:hAnsi="MetaPro-Norm" w:cstheme="minorHAnsi"/>
          <w:b/>
          <w:bCs/>
        </w:rPr>
      </w:pPr>
      <w:r w:rsidRPr="00883EAA">
        <w:rPr>
          <w:rFonts w:ascii="MetaPro-Norm" w:hAnsi="MetaPro-Norm"/>
          <w:b/>
          <w:bCs/>
        </w:rPr>
        <w:t xml:space="preserve">to the United Nations </w:t>
      </w:r>
      <w:r w:rsidR="00CD1797" w:rsidRPr="00CD1797">
        <w:rPr>
          <w:rFonts w:ascii="MetaPro-Norm" w:hAnsi="MetaPro-Norm"/>
          <w:b/>
          <w:bCs/>
        </w:rPr>
        <w:t xml:space="preserve">Committee </w:t>
      </w:r>
      <w:bookmarkStart w:id="0" w:name="_Hlk140059133"/>
      <w:r w:rsidR="00CD1797" w:rsidRPr="00CD1797">
        <w:rPr>
          <w:rFonts w:ascii="MetaPro-Norm" w:hAnsi="MetaPro-Norm"/>
          <w:b/>
          <w:bCs/>
        </w:rPr>
        <w:t xml:space="preserve">on the Elimination of Discrimination </w:t>
      </w:r>
      <w:r w:rsidR="00425C0F">
        <w:rPr>
          <w:rFonts w:ascii="MetaPro-Norm" w:hAnsi="MetaPro-Norm"/>
          <w:b/>
          <w:bCs/>
        </w:rPr>
        <w:t>a</w:t>
      </w:r>
      <w:r w:rsidR="00CD1797" w:rsidRPr="00CD1797">
        <w:rPr>
          <w:rFonts w:ascii="MetaPro-Norm" w:hAnsi="MetaPro-Norm"/>
          <w:b/>
          <w:bCs/>
        </w:rPr>
        <w:t>gainst Women</w:t>
      </w:r>
      <w:bookmarkEnd w:id="0"/>
      <w:r w:rsidR="006D38BD">
        <w:rPr>
          <w:rFonts w:ascii="MetaPro-Norm" w:hAnsi="MetaPro-Norm"/>
          <w:b/>
          <w:bCs/>
        </w:rPr>
        <w:t xml:space="preserve"> – Review of Malawi</w:t>
      </w:r>
    </w:p>
    <w:p w14:paraId="12FF02BC" w14:textId="77777777" w:rsidR="00CD1797" w:rsidRDefault="00CD1797" w:rsidP="00CD1797">
      <w:pPr>
        <w:spacing w:after="0"/>
        <w:jc w:val="center"/>
        <w:rPr>
          <w:rFonts w:ascii="MetaPro-Norm" w:hAnsi="MetaPro-Norm" w:cstheme="minorHAnsi"/>
          <w:b/>
          <w:bCs/>
        </w:rPr>
      </w:pPr>
      <w:bookmarkStart w:id="1" w:name="_Hlk120698938"/>
      <w:r>
        <w:rPr>
          <w:rFonts w:ascii="MetaPro-Norm" w:hAnsi="MetaPro-Norm" w:cstheme="minorHAnsi"/>
          <w:b/>
          <w:bCs/>
        </w:rPr>
        <w:t>86th</w:t>
      </w:r>
      <w:bookmarkEnd w:id="1"/>
      <w:r>
        <w:rPr>
          <w:rFonts w:ascii="MetaPro-Norm" w:hAnsi="MetaPro-Norm" w:cstheme="minorHAnsi"/>
          <w:b/>
          <w:bCs/>
        </w:rPr>
        <w:t xml:space="preserve"> Session</w:t>
      </w:r>
    </w:p>
    <w:p w14:paraId="1449EA4E" w14:textId="0AD2506F" w:rsidR="00B17A7F" w:rsidRPr="00C05FB9" w:rsidRDefault="00CD1797" w:rsidP="00C05FB9">
      <w:pPr>
        <w:spacing w:after="0"/>
        <w:jc w:val="center"/>
        <w:rPr>
          <w:rFonts w:ascii="MetaPro-Norm" w:hAnsi="MetaPro-Norm" w:cstheme="minorHAnsi"/>
          <w:b/>
          <w:bCs/>
        </w:rPr>
      </w:pPr>
      <w:r>
        <w:rPr>
          <w:rFonts w:ascii="MetaPro-Norm" w:hAnsi="MetaPro-Norm"/>
          <w:b/>
          <w:bCs/>
          <w:i/>
          <w:iCs/>
        </w:rPr>
        <w:t>September</w:t>
      </w:r>
      <w:r w:rsidR="00B17A7F" w:rsidRPr="7FB91F82">
        <w:rPr>
          <w:rFonts w:ascii="MetaPro-Norm" w:hAnsi="MetaPro-Norm"/>
          <w:b/>
          <w:bCs/>
          <w:i/>
          <w:iCs/>
        </w:rPr>
        <w:t xml:space="preserve"> 202</w:t>
      </w:r>
      <w:r w:rsidR="00B17A7F">
        <w:rPr>
          <w:rFonts w:ascii="MetaPro-Norm" w:hAnsi="MetaPro-Norm"/>
          <w:b/>
          <w:bCs/>
          <w:i/>
          <w:iCs/>
        </w:rPr>
        <w:t>3</w:t>
      </w:r>
    </w:p>
    <w:p w14:paraId="72AE7578" w14:textId="77777777" w:rsidR="00B17A7F" w:rsidRPr="00F223BA" w:rsidRDefault="00B17A7F" w:rsidP="00B17A7F">
      <w:pPr>
        <w:spacing w:after="0"/>
        <w:rPr>
          <w:rFonts w:ascii="MetaPro-Norm" w:hAnsi="MetaPro-Norm" w:cstheme="minorHAnsi"/>
          <w:b/>
          <w:bCs/>
        </w:rPr>
      </w:pPr>
    </w:p>
    <w:p w14:paraId="29DD7335" w14:textId="69C5C010" w:rsidR="00B17A7F" w:rsidRDefault="00B17A7F" w:rsidP="00B17A7F">
      <w:pPr>
        <w:pStyle w:val="Body"/>
        <w:rPr>
          <w:rFonts w:ascii="MetaPro-Norm" w:eastAsia="MetaPro-Norm" w:hAnsi="MetaPro-Norm" w:cs="MetaPro-Norm"/>
          <w:sz w:val="22"/>
          <w:szCs w:val="22"/>
        </w:rPr>
      </w:pPr>
      <w:r w:rsidRPr="0E37E5DD">
        <w:rPr>
          <w:rFonts w:ascii="MetaPro-Norm" w:eastAsia="MetaPro-Norm" w:hAnsi="MetaPro-Norm" w:cs="MetaPro-Norm"/>
          <w:sz w:val="22"/>
          <w:szCs w:val="22"/>
        </w:rPr>
        <w:t xml:space="preserve">We write in advance of the </w:t>
      </w:r>
      <w:r w:rsidR="00CD1797" w:rsidRPr="0E37E5DD">
        <w:rPr>
          <w:rFonts w:ascii="MetaPro-Norm" w:eastAsia="MetaPro-Norm" w:hAnsi="MetaPro-Norm" w:cs="MetaPro-Norm"/>
          <w:sz w:val="22"/>
          <w:szCs w:val="22"/>
        </w:rPr>
        <w:t>86th s</w:t>
      </w:r>
      <w:r w:rsidRPr="0E37E5DD">
        <w:rPr>
          <w:rFonts w:ascii="MetaPro-Norm" w:eastAsia="MetaPro-Norm" w:hAnsi="MetaPro-Norm" w:cs="MetaPro-Norm"/>
          <w:sz w:val="22"/>
          <w:szCs w:val="22"/>
        </w:rPr>
        <w:t xml:space="preserve">ession of the Committee </w:t>
      </w:r>
      <w:r w:rsidR="00CD1797" w:rsidRPr="0E37E5DD">
        <w:rPr>
          <w:rFonts w:ascii="MetaPro-Norm" w:eastAsia="MetaPro-Norm" w:hAnsi="MetaPro-Norm" w:cs="MetaPro-Norm"/>
          <w:sz w:val="22"/>
          <w:szCs w:val="22"/>
        </w:rPr>
        <w:t xml:space="preserve">on the Elimination of Discrimination </w:t>
      </w:r>
      <w:r w:rsidR="00425C0F">
        <w:rPr>
          <w:rFonts w:ascii="MetaPro-Norm" w:eastAsia="MetaPro-Norm" w:hAnsi="MetaPro-Norm" w:cs="MetaPro-Norm"/>
          <w:sz w:val="22"/>
          <w:szCs w:val="22"/>
        </w:rPr>
        <w:t>a</w:t>
      </w:r>
      <w:r w:rsidR="00CD1797" w:rsidRPr="0E37E5DD">
        <w:rPr>
          <w:rFonts w:ascii="MetaPro-Norm" w:eastAsia="MetaPro-Norm" w:hAnsi="MetaPro-Norm" w:cs="MetaPro-Norm"/>
          <w:sz w:val="22"/>
          <w:szCs w:val="22"/>
        </w:rPr>
        <w:t xml:space="preserve">gainst Women </w:t>
      </w:r>
      <w:r w:rsidR="001C455A" w:rsidRPr="0E37E5DD">
        <w:rPr>
          <w:rFonts w:ascii="MetaPro-Norm" w:eastAsia="MetaPro-Norm" w:hAnsi="MetaPro-Norm" w:cs="MetaPro-Norm"/>
          <w:sz w:val="22"/>
          <w:szCs w:val="22"/>
        </w:rPr>
        <w:t>(the “Committee”)</w:t>
      </w:r>
      <w:r w:rsidR="00CD1797" w:rsidRPr="0E37E5DD">
        <w:rPr>
          <w:rFonts w:ascii="MetaPro-Norm" w:eastAsia="MetaPro-Norm" w:hAnsi="MetaPro-Norm" w:cs="MetaPro-Norm"/>
          <w:sz w:val="22"/>
          <w:szCs w:val="22"/>
        </w:rPr>
        <w:t xml:space="preserve"> </w:t>
      </w:r>
      <w:r w:rsidR="006755C4" w:rsidRPr="0E37E5DD">
        <w:rPr>
          <w:rFonts w:ascii="MetaPro-Norm" w:eastAsia="MetaPro-Norm" w:hAnsi="MetaPro-Norm" w:cs="MetaPro-Norm"/>
          <w:sz w:val="22"/>
          <w:szCs w:val="22"/>
        </w:rPr>
        <w:t>and its review of Malawi</w:t>
      </w:r>
      <w:r w:rsidR="00425C0F">
        <w:rPr>
          <w:rFonts w:ascii="MetaPro-Norm" w:eastAsia="MetaPro-Norm" w:hAnsi="MetaPro-Norm" w:cs="MetaPro-Norm"/>
          <w:sz w:val="22"/>
          <w:szCs w:val="22"/>
        </w:rPr>
        <w:t xml:space="preserve"> under the Convention on the Elimination of All Forms of Discrimination against Women (CEDAW)</w:t>
      </w:r>
      <w:r w:rsidRPr="0E37E5DD">
        <w:rPr>
          <w:rFonts w:ascii="MetaPro-Norm" w:eastAsia="MetaPro-Norm" w:hAnsi="MetaPro-Norm" w:cs="MetaPro-Norm"/>
          <w:sz w:val="22"/>
          <w:szCs w:val="22"/>
        </w:rPr>
        <w:t xml:space="preserve">. This submission </w:t>
      </w:r>
      <w:r w:rsidR="00A721C4" w:rsidRPr="0E37E5DD">
        <w:rPr>
          <w:rFonts w:ascii="MetaPro-Norm" w:eastAsia="MetaPro-Norm" w:hAnsi="MetaPro-Norm" w:cs="MetaPro-Norm"/>
          <w:sz w:val="22"/>
          <w:szCs w:val="22"/>
        </w:rPr>
        <w:t>focuses</w:t>
      </w:r>
      <w:r w:rsidRPr="0E37E5DD">
        <w:rPr>
          <w:rFonts w:ascii="MetaPro-Norm" w:eastAsia="MetaPro-Norm" w:hAnsi="MetaPro-Norm" w:cs="MetaPro-Norm"/>
          <w:sz w:val="22"/>
          <w:szCs w:val="22"/>
        </w:rPr>
        <w:t xml:space="preserve"> on teenage pregnancy and child marriage, government-endorsed online learning during the Covid-19 pandemic, </w:t>
      </w:r>
      <w:r w:rsidR="00E92FFC" w:rsidRPr="0E37E5DD">
        <w:rPr>
          <w:rFonts w:ascii="MetaPro-Norm" w:eastAsia="MetaPro-Norm" w:hAnsi="MetaPro-Norm" w:cs="MetaPro-Norm"/>
          <w:sz w:val="22"/>
          <w:szCs w:val="22"/>
        </w:rPr>
        <w:t>and the right to free and compulsory education</w:t>
      </w:r>
      <w:r w:rsidRPr="0E37E5DD">
        <w:rPr>
          <w:rFonts w:ascii="MetaPro-Norm" w:eastAsia="MetaPro-Norm" w:hAnsi="MetaPro-Norm" w:cs="MetaPro-Norm"/>
          <w:sz w:val="22"/>
          <w:szCs w:val="22"/>
        </w:rPr>
        <w:t>.</w:t>
      </w:r>
    </w:p>
    <w:p w14:paraId="2F998069" w14:textId="77777777" w:rsidR="00B17A7F" w:rsidRDefault="00B17A7F" w:rsidP="00B17A7F">
      <w:pPr>
        <w:pStyle w:val="Body"/>
        <w:rPr>
          <w:rFonts w:ascii="MetaPro-Norm" w:eastAsia="MetaPro-Norm" w:hAnsi="MetaPro-Norm" w:cs="MetaPro-Norm"/>
          <w:sz w:val="22"/>
          <w:szCs w:val="22"/>
        </w:rPr>
      </w:pPr>
    </w:p>
    <w:p w14:paraId="2EE012EA" w14:textId="6396DDF9" w:rsidR="00B17A7F" w:rsidRDefault="00B17A7F" w:rsidP="00B17A7F">
      <w:pPr>
        <w:pStyle w:val="Body"/>
        <w:rPr>
          <w:rFonts w:ascii="MetaPro-Norm" w:eastAsia="MetaPro-Norm" w:hAnsi="MetaPro-Norm" w:cs="MetaPro-Norm"/>
          <w:b/>
          <w:bCs/>
          <w:sz w:val="22"/>
          <w:szCs w:val="22"/>
        </w:rPr>
      </w:pPr>
      <w:r w:rsidRPr="0058382A">
        <w:rPr>
          <w:rFonts w:ascii="MetaPro-Norm" w:eastAsia="MetaPro-Norm" w:hAnsi="MetaPro-Norm" w:cs="MetaPro-Norm"/>
          <w:b/>
          <w:sz w:val="22"/>
          <w:szCs w:val="22"/>
        </w:rPr>
        <w:t>Teenage Pregnancy and Child Marriage (</w:t>
      </w:r>
      <w:r w:rsidRPr="00A850A8">
        <w:rPr>
          <w:rFonts w:ascii="MetaPro-Norm" w:eastAsia="MetaPro-Norm" w:hAnsi="MetaPro-Norm" w:cs="MetaPro-Norm"/>
          <w:b/>
          <w:sz w:val="22"/>
          <w:szCs w:val="22"/>
        </w:rPr>
        <w:t xml:space="preserve">articles </w:t>
      </w:r>
      <w:r w:rsidR="00395AE5" w:rsidRPr="00A850A8">
        <w:rPr>
          <w:rFonts w:ascii="MetaPro-Norm" w:eastAsia="MetaPro-Norm" w:hAnsi="MetaPro-Norm" w:cs="MetaPro-Norm"/>
          <w:b/>
          <w:sz w:val="22"/>
          <w:szCs w:val="22"/>
        </w:rPr>
        <w:t xml:space="preserve">2, </w:t>
      </w:r>
      <w:r w:rsidR="00510525" w:rsidRPr="00A850A8">
        <w:rPr>
          <w:rFonts w:ascii="MetaPro-Norm" w:eastAsia="MetaPro-Norm" w:hAnsi="MetaPro-Norm" w:cs="MetaPro-Norm"/>
          <w:b/>
          <w:sz w:val="22"/>
          <w:szCs w:val="22"/>
        </w:rPr>
        <w:t xml:space="preserve">3, </w:t>
      </w:r>
      <w:r w:rsidR="00B860F1" w:rsidRPr="00A850A8">
        <w:rPr>
          <w:rFonts w:ascii="MetaPro-Norm" w:eastAsia="MetaPro-Norm" w:hAnsi="MetaPro-Norm" w:cs="MetaPro-Norm"/>
          <w:b/>
          <w:sz w:val="22"/>
          <w:szCs w:val="22"/>
        </w:rPr>
        <w:t xml:space="preserve">5, </w:t>
      </w:r>
      <w:r w:rsidR="004A1E9D" w:rsidRPr="00A850A8">
        <w:rPr>
          <w:rFonts w:ascii="MetaPro-Norm" w:eastAsia="MetaPro-Norm" w:hAnsi="MetaPro-Norm" w:cs="MetaPro-Norm"/>
          <w:b/>
          <w:sz w:val="22"/>
          <w:szCs w:val="22"/>
        </w:rPr>
        <w:t>10</w:t>
      </w:r>
      <w:r w:rsidR="00AC721E" w:rsidRPr="00A850A8">
        <w:rPr>
          <w:rFonts w:ascii="MetaPro-Norm" w:eastAsia="MetaPro-Norm" w:hAnsi="MetaPro-Norm" w:cs="MetaPro-Norm"/>
          <w:b/>
          <w:sz w:val="22"/>
          <w:szCs w:val="22"/>
        </w:rPr>
        <w:t xml:space="preserve">, </w:t>
      </w:r>
      <w:r w:rsidR="00DF058C">
        <w:rPr>
          <w:rFonts w:ascii="MetaPro-Norm" w:eastAsia="MetaPro-Norm" w:hAnsi="MetaPro-Norm" w:cs="MetaPro-Norm"/>
          <w:b/>
          <w:sz w:val="22"/>
          <w:szCs w:val="22"/>
        </w:rPr>
        <w:t>12</w:t>
      </w:r>
      <w:r w:rsidR="001B51AC">
        <w:rPr>
          <w:rFonts w:ascii="MetaPro-Norm" w:eastAsia="MetaPro-Norm" w:hAnsi="MetaPro-Norm" w:cs="MetaPro-Norm"/>
          <w:b/>
          <w:sz w:val="22"/>
          <w:szCs w:val="22"/>
        </w:rPr>
        <w:t>, and 16</w:t>
      </w:r>
      <w:r w:rsidRPr="0058382A">
        <w:rPr>
          <w:rFonts w:ascii="MetaPro-Norm" w:eastAsia="MetaPro-Norm" w:hAnsi="MetaPro-Norm" w:cs="MetaPro-Norm"/>
          <w:b/>
          <w:sz w:val="22"/>
          <w:szCs w:val="22"/>
        </w:rPr>
        <w:t>)</w:t>
      </w:r>
    </w:p>
    <w:p w14:paraId="65425B85" w14:textId="5101CA70" w:rsidR="00B17A7F" w:rsidRDefault="009E2DE1" w:rsidP="00B17A7F">
      <w:pPr>
        <w:spacing w:after="0" w:line="240" w:lineRule="auto"/>
        <w:rPr>
          <w:rFonts w:ascii="MetaPro-Norm" w:hAnsi="MetaPro-Norm"/>
        </w:rPr>
      </w:pPr>
      <w:r>
        <w:rPr>
          <w:rFonts w:ascii="MetaPro-Norm" w:hAnsi="MetaPro-Norm"/>
        </w:rPr>
        <w:t>T</w:t>
      </w:r>
      <w:r w:rsidR="00B17A7F" w:rsidRPr="003B3CC2">
        <w:rPr>
          <w:rFonts w:ascii="MetaPro-Norm" w:hAnsi="MetaPro-Norm"/>
        </w:rPr>
        <w:t xml:space="preserve">he adolescent birth rate in </w:t>
      </w:r>
      <w:r w:rsidR="00B17A7F">
        <w:rPr>
          <w:rFonts w:ascii="MetaPro-Norm" w:hAnsi="MetaPro-Norm"/>
        </w:rPr>
        <w:t>Malawi</w:t>
      </w:r>
      <w:r w:rsidR="00B17A7F" w:rsidRPr="003B3CC2">
        <w:rPr>
          <w:rFonts w:ascii="MetaPro-Norm" w:hAnsi="MetaPro-Norm"/>
        </w:rPr>
        <w:t xml:space="preserve"> </w:t>
      </w:r>
      <w:r>
        <w:rPr>
          <w:rFonts w:ascii="MetaPro-Norm" w:hAnsi="MetaPro-Norm"/>
        </w:rPr>
        <w:t>is</w:t>
      </w:r>
      <w:r w:rsidR="00B17A7F" w:rsidRPr="003B3CC2">
        <w:rPr>
          <w:rFonts w:ascii="MetaPro-Norm" w:hAnsi="MetaPro-Norm"/>
        </w:rPr>
        <w:t xml:space="preserve"> </w:t>
      </w:r>
      <w:r w:rsidR="00B17A7F">
        <w:rPr>
          <w:rFonts w:ascii="MetaPro-Norm" w:hAnsi="MetaPro-Norm"/>
        </w:rPr>
        <w:t>13</w:t>
      </w:r>
      <w:r>
        <w:rPr>
          <w:rFonts w:ascii="MetaPro-Norm" w:hAnsi="MetaPro-Norm"/>
        </w:rPr>
        <w:t>6</w:t>
      </w:r>
      <w:r w:rsidR="00B17A7F" w:rsidRPr="003B3CC2">
        <w:rPr>
          <w:rFonts w:ascii="MetaPro-Norm" w:hAnsi="MetaPro-Norm"/>
        </w:rPr>
        <w:t xml:space="preserve"> per 1,000 girls and women age</w:t>
      </w:r>
      <w:r w:rsidR="00425C0F">
        <w:rPr>
          <w:rFonts w:ascii="MetaPro-Norm" w:hAnsi="MetaPro-Norm"/>
        </w:rPr>
        <w:t>s</w:t>
      </w:r>
      <w:r w:rsidR="00B17A7F" w:rsidRPr="003B3CC2">
        <w:rPr>
          <w:rFonts w:ascii="MetaPro-Norm" w:hAnsi="MetaPro-Norm"/>
        </w:rPr>
        <w:t xml:space="preserve"> 15-19.</w:t>
      </w:r>
      <w:r w:rsidR="00B17A7F" w:rsidRPr="00C05FB7">
        <w:rPr>
          <w:rStyle w:val="FootnoteReference"/>
        </w:rPr>
        <w:footnoteReference w:id="2"/>
      </w:r>
      <w:r w:rsidR="00B17A7F" w:rsidRPr="003B3CC2">
        <w:rPr>
          <w:rFonts w:ascii="MetaPro-Norm" w:hAnsi="MetaPro-Norm"/>
        </w:rPr>
        <w:t xml:space="preserve"> This is </w:t>
      </w:r>
      <w:r w:rsidR="00BE08DB">
        <w:rPr>
          <w:rFonts w:ascii="MetaPro-Norm" w:hAnsi="MetaPro-Norm"/>
        </w:rPr>
        <w:t xml:space="preserve">higher than </w:t>
      </w:r>
      <w:r w:rsidR="00B17A7F" w:rsidRPr="003B3CC2">
        <w:rPr>
          <w:rFonts w:ascii="MetaPro-Norm" w:hAnsi="MetaPro-Norm"/>
        </w:rPr>
        <w:t xml:space="preserve">the regional rate in </w:t>
      </w:r>
      <w:r w:rsidR="00B17A7F">
        <w:rPr>
          <w:rFonts w:ascii="MetaPro-Norm" w:hAnsi="MetaPro-Norm"/>
        </w:rPr>
        <w:t>East and Southern Africa</w:t>
      </w:r>
      <w:r w:rsidR="00B17A7F" w:rsidRPr="003B3CC2">
        <w:rPr>
          <w:rFonts w:ascii="MetaPro-Norm" w:hAnsi="MetaPro-Norm"/>
        </w:rPr>
        <w:t xml:space="preserve"> </w:t>
      </w:r>
      <w:r w:rsidR="00BE08DB">
        <w:rPr>
          <w:rFonts w:ascii="MetaPro-Norm" w:hAnsi="MetaPro-Norm"/>
        </w:rPr>
        <w:t xml:space="preserve">of </w:t>
      </w:r>
      <w:r w:rsidR="009D13B3">
        <w:rPr>
          <w:rFonts w:ascii="MetaPro-Norm" w:hAnsi="MetaPro-Norm"/>
        </w:rPr>
        <w:t xml:space="preserve">94 </w:t>
      </w:r>
      <w:r w:rsidR="00425C0F">
        <w:rPr>
          <w:rFonts w:ascii="MetaPro-Norm" w:hAnsi="MetaPro-Norm"/>
        </w:rPr>
        <w:t xml:space="preserve">per 1,000 </w:t>
      </w:r>
      <w:r w:rsidR="00B17A7F">
        <w:rPr>
          <w:rFonts w:ascii="MetaPro-Norm" w:hAnsi="MetaPro-Norm"/>
        </w:rPr>
        <w:t>and more than three times</w:t>
      </w:r>
      <w:r w:rsidR="00B17A7F" w:rsidRPr="003B3CC2">
        <w:rPr>
          <w:rFonts w:ascii="MetaPro-Norm" w:hAnsi="MetaPro-Norm"/>
        </w:rPr>
        <w:t xml:space="preserve"> the world rate</w:t>
      </w:r>
      <w:r w:rsidR="009D13B3">
        <w:rPr>
          <w:rFonts w:ascii="MetaPro-Norm" w:hAnsi="MetaPro-Norm"/>
        </w:rPr>
        <w:t xml:space="preserve"> of 41</w:t>
      </w:r>
      <w:r w:rsidR="00425C0F">
        <w:rPr>
          <w:rFonts w:ascii="MetaPro-Norm" w:hAnsi="MetaPro-Norm"/>
        </w:rPr>
        <w:t xml:space="preserve"> per 1,000</w:t>
      </w:r>
      <w:r w:rsidR="00B17A7F" w:rsidRPr="003B3CC2">
        <w:rPr>
          <w:rFonts w:ascii="MetaPro-Norm" w:hAnsi="MetaPro-Norm"/>
        </w:rPr>
        <w:t>.</w:t>
      </w:r>
      <w:r w:rsidR="00B17A7F">
        <w:rPr>
          <w:rStyle w:val="FootnoteReference"/>
        </w:rPr>
        <w:footnoteReference w:id="3"/>
      </w:r>
      <w:r w:rsidR="00B17A7F" w:rsidRPr="003B3CC2">
        <w:rPr>
          <w:rFonts w:ascii="MetaPro-Norm" w:hAnsi="MetaPro-Norm"/>
        </w:rPr>
        <w:t xml:space="preserve"> </w:t>
      </w:r>
      <w:r w:rsidR="00425C0F">
        <w:rPr>
          <w:rFonts w:ascii="MetaPro-Norm" w:hAnsi="MetaPro-Norm"/>
        </w:rPr>
        <w:t>Go</w:t>
      </w:r>
      <w:r w:rsidR="00412D71">
        <w:rPr>
          <w:rFonts w:ascii="MetaPro-Norm" w:hAnsi="MetaPro-Norm"/>
        </w:rPr>
        <w:t xml:space="preserve">vernment data </w:t>
      </w:r>
      <w:r w:rsidR="00425C0F">
        <w:rPr>
          <w:rFonts w:ascii="MetaPro-Norm" w:hAnsi="MetaPro-Norm"/>
        </w:rPr>
        <w:t xml:space="preserve">from 2019-2020 </w:t>
      </w:r>
      <w:r w:rsidR="00412D71">
        <w:rPr>
          <w:rFonts w:ascii="MetaPro-Norm" w:hAnsi="MetaPro-Norm"/>
        </w:rPr>
        <w:t>indicate</w:t>
      </w:r>
      <w:r w:rsidR="00B723DB">
        <w:rPr>
          <w:rFonts w:ascii="MetaPro-Norm" w:hAnsi="MetaPro-Norm"/>
        </w:rPr>
        <w:t>s that</w:t>
      </w:r>
      <w:r w:rsidR="00B17A7F">
        <w:rPr>
          <w:rFonts w:ascii="MetaPro-Norm" w:hAnsi="MetaPro-Norm"/>
        </w:rPr>
        <w:t xml:space="preserve"> 4</w:t>
      </w:r>
      <w:r w:rsidR="00B723DB">
        <w:rPr>
          <w:rFonts w:ascii="MetaPro-Norm" w:hAnsi="MetaPro-Norm"/>
        </w:rPr>
        <w:t xml:space="preserve">3 </w:t>
      </w:r>
      <w:r w:rsidR="00B17A7F" w:rsidRPr="003B3CC2">
        <w:rPr>
          <w:rFonts w:ascii="MetaPro-Norm" w:hAnsi="MetaPro-Norm"/>
        </w:rPr>
        <w:t xml:space="preserve">percent of </w:t>
      </w:r>
      <w:r w:rsidR="00B723DB">
        <w:rPr>
          <w:rFonts w:ascii="MetaPro-Norm" w:hAnsi="MetaPro-Norm"/>
        </w:rPr>
        <w:t xml:space="preserve">women ages 20-49 got married before </w:t>
      </w:r>
      <w:r w:rsidR="00B17A7F" w:rsidRPr="003B3CC2">
        <w:rPr>
          <w:rFonts w:ascii="MetaPro-Norm" w:hAnsi="MetaPro-Norm"/>
        </w:rPr>
        <w:t xml:space="preserve">the age of 18, and </w:t>
      </w:r>
      <w:r w:rsidR="00395A8A">
        <w:rPr>
          <w:rFonts w:ascii="MetaPro-Norm" w:hAnsi="MetaPro-Norm"/>
        </w:rPr>
        <w:t>11</w:t>
      </w:r>
      <w:r w:rsidR="00B17A7F" w:rsidRPr="003B3CC2">
        <w:rPr>
          <w:rFonts w:ascii="MetaPro-Norm" w:hAnsi="MetaPro-Norm"/>
        </w:rPr>
        <w:t xml:space="preserve"> percent </w:t>
      </w:r>
      <w:r w:rsidR="00FB4A2C">
        <w:rPr>
          <w:rFonts w:ascii="MetaPro-Norm" w:hAnsi="MetaPro-Norm"/>
        </w:rPr>
        <w:t>did so</w:t>
      </w:r>
      <w:r w:rsidR="00B17A7F" w:rsidRPr="003B3CC2">
        <w:rPr>
          <w:rFonts w:ascii="MetaPro-Norm" w:hAnsi="MetaPro-Norm"/>
        </w:rPr>
        <w:t xml:space="preserve"> before the age of 15.</w:t>
      </w:r>
      <w:r w:rsidR="00B17A7F" w:rsidRPr="00C05FB7">
        <w:rPr>
          <w:rStyle w:val="FootnoteReference"/>
        </w:rPr>
        <w:footnoteReference w:id="4"/>
      </w:r>
      <w:r w:rsidR="00B17A7F" w:rsidRPr="003B3CC2">
        <w:rPr>
          <w:rFonts w:ascii="MetaPro-Norm" w:hAnsi="MetaPro-Norm"/>
        </w:rPr>
        <w:t xml:space="preserve"> </w:t>
      </w:r>
      <w:r w:rsidR="00B17A7F" w:rsidRPr="007A72D3">
        <w:rPr>
          <w:rFonts w:ascii="MetaPro-Norm" w:hAnsi="MetaPro-Norm"/>
        </w:rPr>
        <w:t>Pregnancy is both a barrier to girls continuing their education and often a consequence of girls dropping out of school. Numerous studies have shown that the longer a girl stays in school, the less likely she is to be married as a child or become pregnant during her teenage years.</w:t>
      </w:r>
      <w:r w:rsidR="00B17A7F">
        <w:rPr>
          <w:rStyle w:val="FootnoteReference"/>
        </w:rPr>
        <w:footnoteReference w:id="5"/>
      </w:r>
    </w:p>
    <w:p w14:paraId="3DBDE637" w14:textId="77777777" w:rsidR="00B17A7F" w:rsidRDefault="00B17A7F" w:rsidP="00B17A7F">
      <w:pPr>
        <w:pStyle w:val="Body"/>
        <w:rPr>
          <w:rFonts w:ascii="MetaPro-Norm" w:hAnsi="MetaPro-Norm"/>
          <w:sz w:val="22"/>
          <w:szCs w:val="22"/>
        </w:rPr>
      </w:pPr>
    </w:p>
    <w:p w14:paraId="3935B136" w14:textId="38CA1FC7" w:rsidR="00B17A7F" w:rsidRDefault="00B17A7F" w:rsidP="00B17A7F">
      <w:pPr>
        <w:pStyle w:val="Body"/>
        <w:rPr>
          <w:rFonts w:ascii="MetaPro-Norm" w:hAnsi="MetaPro-Norm"/>
          <w:sz w:val="22"/>
          <w:szCs w:val="22"/>
        </w:rPr>
      </w:pPr>
      <w:r>
        <w:rPr>
          <w:rFonts w:ascii="MetaPro-Norm" w:hAnsi="MetaPro-Norm"/>
          <w:sz w:val="22"/>
          <w:szCs w:val="22"/>
        </w:rPr>
        <w:t xml:space="preserve">In 2017, Malawi </w:t>
      </w:r>
      <w:r w:rsidRPr="002F1B10">
        <w:rPr>
          <w:rFonts w:ascii="MetaPro-Norm" w:hAnsi="MetaPro-Norm"/>
          <w:sz w:val="22"/>
          <w:szCs w:val="22"/>
        </w:rPr>
        <w:t xml:space="preserve">removed from its </w:t>
      </w:r>
      <w:r w:rsidR="001A1FE6">
        <w:rPr>
          <w:rFonts w:ascii="MetaPro-Norm" w:hAnsi="MetaPro-Norm"/>
          <w:sz w:val="22"/>
          <w:szCs w:val="22"/>
        </w:rPr>
        <w:t>c</w:t>
      </w:r>
      <w:r w:rsidRPr="002F1B10">
        <w:rPr>
          <w:rFonts w:ascii="MetaPro-Norm" w:hAnsi="MetaPro-Norm"/>
          <w:sz w:val="22"/>
          <w:szCs w:val="22"/>
        </w:rPr>
        <w:t>onstitution a provision allowing children between the ages of 15 and 18 to marry with parental consent</w:t>
      </w:r>
      <w:r>
        <w:rPr>
          <w:rFonts w:ascii="MetaPro-Norm" w:hAnsi="MetaPro-Norm"/>
          <w:sz w:val="22"/>
          <w:szCs w:val="22"/>
        </w:rPr>
        <w:t xml:space="preserve">, thereby aligning </w:t>
      </w:r>
      <w:r w:rsidRPr="005377ED">
        <w:rPr>
          <w:rFonts w:ascii="MetaPro-Norm" w:hAnsi="MetaPro-Norm"/>
          <w:sz w:val="22"/>
          <w:szCs w:val="22"/>
        </w:rPr>
        <w:t xml:space="preserve">the minimum age of marriage with the </w:t>
      </w:r>
      <w:r w:rsidRPr="005377ED">
        <w:rPr>
          <w:rFonts w:ascii="MetaPro-Norm" w:hAnsi="MetaPro-Norm"/>
          <w:sz w:val="22"/>
          <w:szCs w:val="22"/>
        </w:rPr>
        <w:lastRenderedPageBreak/>
        <w:t>Marriage, Divorce and Family Relations Act,</w:t>
      </w:r>
      <w:r>
        <w:rPr>
          <w:rStyle w:val="FootnoteReference"/>
          <w:szCs w:val="22"/>
        </w:rPr>
        <w:footnoteReference w:id="6"/>
      </w:r>
      <w:r w:rsidRPr="005377ED">
        <w:rPr>
          <w:rFonts w:ascii="MetaPro-Norm" w:hAnsi="MetaPro-Norm"/>
          <w:sz w:val="22"/>
          <w:szCs w:val="22"/>
        </w:rPr>
        <w:t xml:space="preserve"> a </w:t>
      </w:r>
      <w:r w:rsidR="00213AAD">
        <w:rPr>
          <w:rFonts w:ascii="MetaPro-Norm" w:hAnsi="MetaPro-Norm"/>
          <w:sz w:val="22"/>
          <w:szCs w:val="22"/>
        </w:rPr>
        <w:t xml:space="preserve">2015 </w:t>
      </w:r>
      <w:r w:rsidRPr="005377ED">
        <w:rPr>
          <w:rFonts w:ascii="MetaPro-Norm" w:hAnsi="MetaPro-Norm"/>
          <w:sz w:val="22"/>
          <w:szCs w:val="22"/>
        </w:rPr>
        <w:t xml:space="preserve">law that sets 18 as the </w:t>
      </w:r>
      <w:r>
        <w:rPr>
          <w:rFonts w:ascii="MetaPro-Norm" w:hAnsi="MetaPro-Norm"/>
          <w:sz w:val="22"/>
          <w:szCs w:val="22"/>
        </w:rPr>
        <w:t xml:space="preserve">minimum </w:t>
      </w:r>
      <w:r w:rsidRPr="005377ED">
        <w:rPr>
          <w:rFonts w:ascii="MetaPro-Norm" w:hAnsi="MetaPro-Norm"/>
          <w:sz w:val="22"/>
          <w:szCs w:val="22"/>
        </w:rPr>
        <w:t>age of marriage.</w:t>
      </w:r>
      <w:r>
        <w:rPr>
          <w:rStyle w:val="FootnoteReference"/>
          <w:szCs w:val="22"/>
        </w:rPr>
        <w:footnoteReference w:id="7"/>
      </w:r>
    </w:p>
    <w:p w14:paraId="5BDC274D" w14:textId="77777777" w:rsidR="00B17A7F" w:rsidRDefault="00B17A7F" w:rsidP="00B17A7F">
      <w:pPr>
        <w:pStyle w:val="Body"/>
      </w:pPr>
    </w:p>
    <w:p w14:paraId="27DCA824" w14:textId="59312E71" w:rsidR="00B17A7F" w:rsidRDefault="00B17A7F" w:rsidP="00B17A7F">
      <w:pPr>
        <w:pStyle w:val="Body"/>
        <w:rPr>
          <w:rFonts w:ascii="MetaPro-Norm" w:hAnsi="MetaPro-Norm"/>
          <w:sz w:val="22"/>
          <w:szCs w:val="22"/>
        </w:rPr>
      </w:pPr>
      <w:r w:rsidRPr="00011942">
        <w:rPr>
          <w:rFonts w:ascii="MetaPro-Norm" w:hAnsi="MetaPro-Norm"/>
          <w:sz w:val="22"/>
          <w:szCs w:val="22"/>
        </w:rPr>
        <w:t>Malawi ha</w:t>
      </w:r>
      <w:r>
        <w:rPr>
          <w:rFonts w:ascii="MetaPro-Norm" w:hAnsi="MetaPro-Norm"/>
          <w:sz w:val="22"/>
          <w:szCs w:val="22"/>
        </w:rPr>
        <w:t>s</w:t>
      </w:r>
      <w:r w:rsidRPr="00011942">
        <w:rPr>
          <w:rFonts w:ascii="MetaPro-Norm" w:hAnsi="MetaPro-Norm"/>
          <w:sz w:val="22"/>
          <w:szCs w:val="22"/>
        </w:rPr>
        <w:t xml:space="preserve"> adopted</w:t>
      </w:r>
      <w:r>
        <w:rPr>
          <w:rFonts w:ascii="MetaPro-Norm" w:hAnsi="MetaPro-Norm"/>
          <w:sz w:val="22"/>
          <w:szCs w:val="22"/>
        </w:rPr>
        <w:t xml:space="preserve"> a</w:t>
      </w:r>
      <w:r w:rsidRPr="00011942">
        <w:rPr>
          <w:rFonts w:ascii="MetaPro-Norm" w:hAnsi="MetaPro-Norm"/>
          <w:sz w:val="22"/>
          <w:szCs w:val="22"/>
        </w:rPr>
        <w:t xml:space="preserve"> </w:t>
      </w:r>
      <w:r w:rsidR="00A166B3">
        <w:rPr>
          <w:rFonts w:ascii="MetaPro-Norm" w:hAnsi="MetaPro-Norm"/>
          <w:sz w:val="22"/>
          <w:szCs w:val="22"/>
        </w:rPr>
        <w:t xml:space="preserve">school </w:t>
      </w:r>
      <w:r>
        <w:rPr>
          <w:rFonts w:ascii="MetaPro-Norm" w:hAnsi="MetaPro-Norm"/>
          <w:sz w:val="22"/>
          <w:szCs w:val="22"/>
        </w:rPr>
        <w:t>readmission</w:t>
      </w:r>
      <w:r w:rsidRPr="00011942">
        <w:rPr>
          <w:rFonts w:ascii="MetaPro-Norm" w:hAnsi="MetaPro-Norm"/>
          <w:sz w:val="22"/>
          <w:szCs w:val="22"/>
        </w:rPr>
        <w:t xml:space="preserve"> polic</w:t>
      </w:r>
      <w:r>
        <w:rPr>
          <w:rFonts w:ascii="MetaPro-Norm" w:hAnsi="MetaPro-Norm"/>
          <w:sz w:val="22"/>
          <w:szCs w:val="22"/>
        </w:rPr>
        <w:t xml:space="preserve">y (introduced in 1993 and revised in 2016) </w:t>
      </w:r>
      <w:r w:rsidRPr="00011942">
        <w:rPr>
          <w:rFonts w:ascii="MetaPro-Norm" w:hAnsi="MetaPro-Norm"/>
          <w:sz w:val="22"/>
          <w:szCs w:val="22"/>
        </w:rPr>
        <w:t>to ensure that pregnant girls can resume their education after giving birth.</w:t>
      </w:r>
      <w:r>
        <w:rPr>
          <w:rFonts w:ascii="MetaPro-Norm" w:hAnsi="MetaPro-Norm"/>
          <w:sz w:val="22"/>
          <w:szCs w:val="22"/>
        </w:rPr>
        <w:t xml:space="preserve"> It</w:t>
      </w:r>
      <w:r w:rsidR="00A166B3">
        <w:rPr>
          <w:rFonts w:ascii="MetaPro-Norm" w:hAnsi="MetaPro-Norm"/>
          <w:sz w:val="22"/>
          <w:szCs w:val="22"/>
        </w:rPr>
        <w:t xml:space="preserve"> provides</w:t>
      </w:r>
      <w:r w:rsidRPr="00C056D5">
        <w:rPr>
          <w:rFonts w:ascii="MetaPro-Norm" w:hAnsi="MetaPro-Norm"/>
          <w:sz w:val="22"/>
          <w:szCs w:val="22"/>
        </w:rPr>
        <w:t xml:space="preserve"> that girls are not allowed to remain in school while pregnant but are expected to return to school one year after giving birth. Students, their parents or guardians, and the school’s head teacher are expected to fill in a standard school </w:t>
      </w:r>
      <w:r w:rsidR="00A166B3">
        <w:rPr>
          <w:rFonts w:ascii="MetaPro-Norm" w:hAnsi="MetaPro-Norm"/>
          <w:sz w:val="22"/>
          <w:szCs w:val="22"/>
        </w:rPr>
        <w:t>“</w:t>
      </w:r>
      <w:r w:rsidRPr="00C056D5">
        <w:rPr>
          <w:rFonts w:ascii="MetaPro-Norm" w:hAnsi="MetaPro-Norm"/>
          <w:sz w:val="22"/>
          <w:szCs w:val="22"/>
        </w:rPr>
        <w:t>dropout and readmission</w:t>
      </w:r>
      <w:r w:rsidR="00A166B3">
        <w:rPr>
          <w:rFonts w:ascii="MetaPro-Norm" w:hAnsi="MetaPro-Norm"/>
          <w:sz w:val="22"/>
          <w:szCs w:val="22"/>
        </w:rPr>
        <w:t>”</w:t>
      </w:r>
      <w:r w:rsidRPr="00C056D5">
        <w:rPr>
          <w:rFonts w:ascii="MetaPro-Norm" w:hAnsi="MetaPro-Norm"/>
          <w:sz w:val="22"/>
          <w:szCs w:val="22"/>
        </w:rPr>
        <w:t xml:space="preserve"> form detailing both processes. This provision replaced a previous</w:t>
      </w:r>
      <w:r>
        <w:rPr>
          <w:rFonts w:ascii="MetaPro-Norm" w:hAnsi="MetaPro-Norm"/>
          <w:sz w:val="22"/>
          <w:szCs w:val="22"/>
        </w:rPr>
        <w:t xml:space="preserve"> and more complex</w:t>
      </w:r>
      <w:r w:rsidRPr="00C056D5">
        <w:rPr>
          <w:rFonts w:ascii="MetaPro-Norm" w:hAnsi="MetaPro-Norm"/>
          <w:sz w:val="22"/>
          <w:szCs w:val="22"/>
        </w:rPr>
        <w:t xml:space="preserve"> requirement for students to submit letters</w:t>
      </w:r>
      <w:r>
        <w:rPr>
          <w:rFonts w:ascii="MetaPro-Norm" w:hAnsi="MetaPro-Norm"/>
          <w:sz w:val="22"/>
          <w:szCs w:val="22"/>
        </w:rPr>
        <w:t xml:space="preserve"> to </w:t>
      </w:r>
      <w:r w:rsidRPr="00311091">
        <w:rPr>
          <w:rFonts w:ascii="MetaPro-Norm" w:hAnsi="MetaPro-Norm"/>
          <w:sz w:val="22"/>
          <w:szCs w:val="22"/>
        </w:rPr>
        <w:t>education officials</w:t>
      </w:r>
      <w:r w:rsidRPr="00C056D5">
        <w:rPr>
          <w:rFonts w:ascii="MetaPro-Norm" w:hAnsi="MetaPro-Norm"/>
          <w:sz w:val="22"/>
          <w:szCs w:val="22"/>
        </w:rPr>
        <w:t>.</w:t>
      </w:r>
      <w:r>
        <w:rPr>
          <w:rFonts w:ascii="MetaPro-Norm" w:hAnsi="MetaPro-Norm"/>
          <w:sz w:val="22"/>
          <w:szCs w:val="22"/>
        </w:rPr>
        <w:t xml:space="preserve"> Malawi also provides s</w:t>
      </w:r>
      <w:r w:rsidRPr="00C056D5">
        <w:rPr>
          <w:rFonts w:ascii="MetaPro-Norm" w:hAnsi="MetaPro-Norm"/>
          <w:sz w:val="22"/>
          <w:szCs w:val="22"/>
        </w:rPr>
        <w:t xml:space="preserve">tudents readmitted after pregnancy </w:t>
      </w:r>
      <w:r w:rsidR="00A166B3">
        <w:rPr>
          <w:rFonts w:ascii="MetaPro-Norm" w:hAnsi="MetaPro-Norm"/>
          <w:sz w:val="22"/>
          <w:szCs w:val="22"/>
        </w:rPr>
        <w:t xml:space="preserve">with </w:t>
      </w:r>
      <w:r w:rsidRPr="00C056D5">
        <w:rPr>
          <w:rFonts w:ascii="MetaPro-Norm" w:hAnsi="MetaPro-Norm"/>
          <w:sz w:val="22"/>
          <w:szCs w:val="22"/>
        </w:rPr>
        <w:t xml:space="preserve">counseling and psychosocial </w:t>
      </w:r>
      <w:r>
        <w:rPr>
          <w:rFonts w:ascii="MetaPro-Norm" w:hAnsi="MetaPro-Norm"/>
          <w:sz w:val="22"/>
          <w:szCs w:val="22"/>
        </w:rPr>
        <w:t xml:space="preserve">as well as remedial academic </w:t>
      </w:r>
      <w:r w:rsidRPr="00C056D5">
        <w:rPr>
          <w:rFonts w:ascii="MetaPro-Norm" w:hAnsi="MetaPro-Norm"/>
          <w:sz w:val="22"/>
          <w:szCs w:val="22"/>
        </w:rPr>
        <w:t>support.</w:t>
      </w:r>
      <w:r w:rsidR="00946ABE" w:rsidRPr="5B02E693">
        <w:rPr>
          <w:rStyle w:val="FootnoteReference"/>
        </w:rPr>
        <w:footnoteReference w:id="8"/>
      </w:r>
    </w:p>
    <w:p w14:paraId="3D406A33" w14:textId="77777777" w:rsidR="00B17A7F" w:rsidRDefault="00B17A7F" w:rsidP="00B17A7F">
      <w:pPr>
        <w:pStyle w:val="Body"/>
        <w:rPr>
          <w:rFonts w:ascii="MetaPro-Norm" w:hAnsi="MetaPro-Norm"/>
          <w:sz w:val="22"/>
          <w:szCs w:val="22"/>
        </w:rPr>
      </w:pPr>
    </w:p>
    <w:p w14:paraId="591F8E96" w14:textId="510B8CCE" w:rsidR="00D84D2D" w:rsidRDefault="005937E5" w:rsidP="00D84D2D">
      <w:pPr>
        <w:pStyle w:val="Body"/>
        <w:rPr>
          <w:rFonts w:ascii="MetaPro-Norm" w:hAnsi="MetaPro-Norm"/>
          <w:sz w:val="22"/>
          <w:szCs w:val="22"/>
        </w:rPr>
      </w:pPr>
      <w:r>
        <w:rPr>
          <w:rFonts w:ascii="MetaPro-Norm" w:hAnsi="MetaPro-Norm"/>
          <w:sz w:val="22"/>
          <w:szCs w:val="22"/>
        </w:rPr>
        <w:t xml:space="preserve">Malawi’s </w:t>
      </w:r>
      <w:r w:rsidRPr="005937E5">
        <w:rPr>
          <w:rFonts w:ascii="MetaPro-Norm" w:hAnsi="MetaPro-Norm"/>
          <w:sz w:val="22"/>
          <w:szCs w:val="22"/>
        </w:rPr>
        <w:t xml:space="preserve">Multiple Indicator Cluster Survey </w:t>
      </w:r>
      <w:r w:rsidR="009E4E22">
        <w:rPr>
          <w:rFonts w:ascii="MetaPro-Norm" w:hAnsi="MetaPro-Norm"/>
          <w:sz w:val="22"/>
          <w:szCs w:val="22"/>
        </w:rPr>
        <w:t xml:space="preserve">of </w:t>
      </w:r>
      <w:r w:rsidRPr="005937E5">
        <w:rPr>
          <w:rFonts w:ascii="MetaPro-Norm" w:hAnsi="MetaPro-Norm"/>
          <w:sz w:val="22"/>
          <w:szCs w:val="22"/>
        </w:rPr>
        <w:t>2019-</w:t>
      </w:r>
      <w:r w:rsidR="009E4E22">
        <w:rPr>
          <w:rFonts w:ascii="MetaPro-Norm" w:hAnsi="MetaPro-Norm"/>
          <w:sz w:val="22"/>
          <w:szCs w:val="22"/>
        </w:rPr>
        <w:t>20</w:t>
      </w:r>
      <w:r w:rsidRPr="005937E5">
        <w:rPr>
          <w:rFonts w:ascii="MetaPro-Norm" w:hAnsi="MetaPro-Norm"/>
          <w:sz w:val="22"/>
          <w:szCs w:val="22"/>
        </w:rPr>
        <w:t>20</w:t>
      </w:r>
      <w:r>
        <w:rPr>
          <w:rFonts w:ascii="MetaPro-Norm" w:hAnsi="MetaPro-Norm"/>
          <w:sz w:val="22"/>
          <w:szCs w:val="22"/>
        </w:rPr>
        <w:t xml:space="preserve"> indicates that </w:t>
      </w:r>
      <w:r w:rsidR="0039403F">
        <w:rPr>
          <w:rFonts w:ascii="MetaPro-Norm" w:hAnsi="MetaPro-Norm"/>
          <w:sz w:val="22"/>
          <w:szCs w:val="22"/>
        </w:rPr>
        <w:t>15 p</w:t>
      </w:r>
      <w:r w:rsidRPr="005937E5">
        <w:rPr>
          <w:rFonts w:ascii="MetaPro-Norm" w:hAnsi="MetaPro-Norm"/>
          <w:sz w:val="22"/>
          <w:szCs w:val="22"/>
        </w:rPr>
        <w:t xml:space="preserve">ercent of </w:t>
      </w:r>
      <w:r w:rsidR="6DD32B7A" w:rsidRPr="005937E5">
        <w:rPr>
          <w:rFonts w:ascii="MetaPro-Norm" w:hAnsi="MetaPro-Norm"/>
          <w:sz w:val="22"/>
          <w:szCs w:val="22"/>
        </w:rPr>
        <w:t xml:space="preserve">girls and </w:t>
      </w:r>
      <w:r w:rsidRPr="005937E5">
        <w:rPr>
          <w:rFonts w:ascii="MetaPro-Norm" w:hAnsi="MetaPro-Norm"/>
          <w:sz w:val="22"/>
          <w:szCs w:val="22"/>
        </w:rPr>
        <w:t>women age</w:t>
      </w:r>
      <w:r w:rsidR="0039403F">
        <w:rPr>
          <w:rFonts w:ascii="MetaPro-Norm" w:hAnsi="MetaPro-Norm"/>
          <w:sz w:val="22"/>
          <w:szCs w:val="22"/>
        </w:rPr>
        <w:t>s</w:t>
      </w:r>
      <w:r w:rsidRPr="005937E5">
        <w:rPr>
          <w:rFonts w:ascii="MetaPro-Norm" w:hAnsi="MetaPro-Norm"/>
          <w:sz w:val="22"/>
          <w:szCs w:val="22"/>
        </w:rPr>
        <w:t xml:space="preserve"> 15-49 who are currently married or in union</w:t>
      </w:r>
      <w:r w:rsidR="004B6890">
        <w:rPr>
          <w:rFonts w:ascii="MetaPro-Norm" w:hAnsi="MetaPro-Norm"/>
          <w:sz w:val="22"/>
          <w:szCs w:val="22"/>
        </w:rPr>
        <w:t xml:space="preserve">, and </w:t>
      </w:r>
      <w:r w:rsidR="00D84D2D">
        <w:rPr>
          <w:rFonts w:ascii="MetaPro-Norm" w:hAnsi="MetaPro-Norm"/>
          <w:sz w:val="22"/>
          <w:szCs w:val="22"/>
        </w:rPr>
        <w:t xml:space="preserve">almost </w:t>
      </w:r>
      <w:r w:rsidR="00A166B3">
        <w:rPr>
          <w:rFonts w:ascii="MetaPro-Norm" w:hAnsi="MetaPro-Norm"/>
          <w:sz w:val="22"/>
          <w:szCs w:val="22"/>
        </w:rPr>
        <w:t>50 percent of</w:t>
      </w:r>
      <w:r w:rsidR="00D84D2D">
        <w:rPr>
          <w:rFonts w:ascii="MetaPro-Norm" w:hAnsi="MetaPro-Norm"/>
          <w:sz w:val="22"/>
          <w:szCs w:val="22"/>
        </w:rPr>
        <w:t xml:space="preserve"> </w:t>
      </w:r>
      <w:r w:rsidR="008614E0">
        <w:rPr>
          <w:rFonts w:ascii="MetaPro-Norm" w:hAnsi="MetaPro-Norm"/>
          <w:sz w:val="22"/>
          <w:szCs w:val="22"/>
        </w:rPr>
        <w:t xml:space="preserve">girls and </w:t>
      </w:r>
      <w:r w:rsidR="00D84D2D">
        <w:rPr>
          <w:rFonts w:ascii="MetaPro-Norm" w:hAnsi="MetaPro-Norm"/>
          <w:sz w:val="22"/>
          <w:szCs w:val="22"/>
        </w:rPr>
        <w:t xml:space="preserve">women ages 15-49 who are </w:t>
      </w:r>
      <w:r w:rsidR="000C4E54">
        <w:rPr>
          <w:rFonts w:ascii="MetaPro-Norm" w:hAnsi="MetaPro-Norm"/>
          <w:sz w:val="22"/>
          <w:szCs w:val="22"/>
        </w:rPr>
        <w:t xml:space="preserve">sexually active and </w:t>
      </w:r>
      <w:r w:rsidR="00D84D2D">
        <w:rPr>
          <w:rFonts w:ascii="MetaPro-Norm" w:hAnsi="MetaPro-Norm"/>
          <w:sz w:val="22"/>
          <w:szCs w:val="22"/>
        </w:rPr>
        <w:t>currently unmarried or not in union,</w:t>
      </w:r>
      <w:r w:rsidRPr="005937E5">
        <w:rPr>
          <w:rFonts w:ascii="MetaPro-Norm" w:hAnsi="MetaPro-Norm"/>
          <w:sz w:val="22"/>
          <w:szCs w:val="22"/>
        </w:rPr>
        <w:t xml:space="preserve"> </w:t>
      </w:r>
      <w:r w:rsidR="0039403F">
        <w:rPr>
          <w:rFonts w:ascii="MetaPro-Norm" w:hAnsi="MetaPro-Norm"/>
          <w:sz w:val="22"/>
          <w:szCs w:val="22"/>
        </w:rPr>
        <w:t>have an</w:t>
      </w:r>
      <w:r w:rsidRPr="005937E5">
        <w:rPr>
          <w:rFonts w:ascii="MetaPro-Norm" w:hAnsi="MetaPro-Norm"/>
          <w:sz w:val="22"/>
          <w:szCs w:val="22"/>
        </w:rPr>
        <w:t xml:space="preserve"> unmet need for family planning</w:t>
      </w:r>
      <w:r w:rsidR="00D84D2D">
        <w:rPr>
          <w:rFonts w:ascii="MetaPro-Norm" w:hAnsi="MetaPro-Norm"/>
          <w:sz w:val="22"/>
          <w:szCs w:val="22"/>
        </w:rPr>
        <w:t>.</w:t>
      </w:r>
      <w:r w:rsidR="00D84D2D" w:rsidRPr="0E37E5DD">
        <w:rPr>
          <w:rStyle w:val="FootnoteReference"/>
        </w:rPr>
        <w:footnoteReference w:id="9"/>
      </w:r>
    </w:p>
    <w:p w14:paraId="3E2C3C8A" w14:textId="77777777" w:rsidR="00D84D2D" w:rsidRDefault="00D84D2D" w:rsidP="00D84D2D">
      <w:pPr>
        <w:pStyle w:val="Body"/>
        <w:rPr>
          <w:rFonts w:ascii="MetaPro-Norm" w:hAnsi="MetaPro-Norm"/>
          <w:sz w:val="22"/>
          <w:szCs w:val="22"/>
        </w:rPr>
      </w:pPr>
    </w:p>
    <w:p w14:paraId="00BF88EF" w14:textId="58F37227" w:rsidR="00B17A7F" w:rsidRDefault="00B17A7F" w:rsidP="00507103">
      <w:pPr>
        <w:pStyle w:val="Body"/>
        <w:rPr>
          <w:rFonts w:ascii="MetaPro-Norm" w:hAnsi="MetaPro-Norm"/>
          <w:sz w:val="22"/>
          <w:szCs w:val="22"/>
        </w:rPr>
      </w:pPr>
      <w:r w:rsidRPr="000C5B21">
        <w:rPr>
          <w:rFonts w:ascii="MetaPro-Norm" w:hAnsi="MetaPro-Norm"/>
          <w:sz w:val="22"/>
          <w:szCs w:val="22"/>
        </w:rPr>
        <w:t>Abortion in Malawi is illegal and punishable by</w:t>
      </w:r>
      <w:r w:rsidR="00276EEF">
        <w:rPr>
          <w:rFonts w:ascii="MetaPro-Norm" w:hAnsi="MetaPro-Norm"/>
          <w:sz w:val="22"/>
          <w:szCs w:val="22"/>
        </w:rPr>
        <w:t xml:space="preserve"> up to 14 years </w:t>
      </w:r>
      <w:r w:rsidR="00A166B3">
        <w:rPr>
          <w:rFonts w:ascii="MetaPro-Norm" w:hAnsi="MetaPro-Norm"/>
          <w:sz w:val="22"/>
          <w:szCs w:val="22"/>
        </w:rPr>
        <w:t>in</w:t>
      </w:r>
      <w:r w:rsidRPr="000C5B21">
        <w:rPr>
          <w:rFonts w:ascii="MetaPro-Norm" w:hAnsi="MetaPro-Norm"/>
          <w:sz w:val="22"/>
          <w:szCs w:val="22"/>
        </w:rPr>
        <w:t xml:space="preserve"> prison,</w:t>
      </w:r>
      <w:r w:rsidRPr="0E37E5DD">
        <w:rPr>
          <w:rStyle w:val="FootnoteReference"/>
        </w:rPr>
        <w:footnoteReference w:id="10"/>
      </w:r>
      <w:r w:rsidRPr="000C5B21">
        <w:rPr>
          <w:rFonts w:ascii="MetaPro-Norm" w:hAnsi="MetaPro-Norm"/>
          <w:sz w:val="22"/>
          <w:szCs w:val="22"/>
        </w:rPr>
        <w:t xml:space="preserve"> </w:t>
      </w:r>
      <w:r w:rsidR="497C6DAA" w:rsidRPr="000C5B21">
        <w:rPr>
          <w:rFonts w:ascii="MetaPro-Norm" w:hAnsi="MetaPro-Norm"/>
          <w:sz w:val="22"/>
          <w:szCs w:val="22"/>
        </w:rPr>
        <w:t>except to preserve the pregnant person’s life.</w:t>
      </w:r>
      <w:r w:rsidRPr="0E37E5DD">
        <w:rPr>
          <w:rStyle w:val="FootnoteReference"/>
        </w:rPr>
        <w:footnoteReference w:id="11"/>
      </w:r>
      <w:r w:rsidRPr="000C5B21">
        <w:rPr>
          <w:rFonts w:ascii="MetaPro-Norm" w:hAnsi="MetaPro-Norm"/>
          <w:sz w:val="22"/>
          <w:szCs w:val="22"/>
        </w:rPr>
        <w:t xml:space="preserve"> </w:t>
      </w:r>
      <w:r w:rsidR="00335757">
        <w:rPr>
          <w:rFonts w:ascii="MetaPro-Norm" w:hAnsi="MetaPro-Norm"/>
          <w:sz w:val="22"/>
          <w:szCs w:val="22"/>
        </w:rPr>
        <w:t xml:space="preserve">In 2021, </w:t>
      </w:r>
      <w:r w:rsidRPr="000C5B21">
        <w:rPr>
          <w:rFonts w:ascii="MetaPro-Norm" w:hAnsi="MetaPro-Norm"/>
          <w:sz w:val="22"/>
          <w:szCs w:val="22"/>
        </w:rPr>
        <w:t>Malawi</w:t>
      </w:r>
      <w:r w:rsidR="008F5D4F">
        <w:rPr>
          <w:rFonts w:ascii="MetaPro-Norm" w:hAnsi="MetaPro-Norm"/>
          <w:sz w:val="22"/>
          <w:szCs w:val="22"/>
        </w:rPr>
        <w:t>’s parliament</w:t>
      </w:r>
      <w:r w:rsidR="00CF6657">
        <w:rPr>
          <w:rFonts w:ascii="MetaPro-Norm" w:hAnsi="MetaPro-Norm"/>
          <w:sz w:val="22"/>
          <w:szCs w:val="22"/>
        </w:rPr>
        <w:t xml:space="preserve"> withdrew from debate </w:t>
      </w:r>
      <w:r w:rsidR="00DF3810">
        <w:rPr>
          <w:rFonts w:ascii="MetaPro-Norm" w:hAnsi="MetaPro-Norm"/>
          <w:sz w:val="22"/>
          <w:szCs w:val="22"/>
        </w:rPr>
        <w:t>the Termination of Pregnancy B</w:t>
      </w:r>
      <w:r w:rsidR="00CF6657">
        <w:rPr>
          <w:rFonts w:ascii="MetaPro-Norm" w:hAnsi="MetaPro-Norm"/>
          <w:sz w:val="22"/>
          <w:szCs w:val="22"/>
        </w:rPr>
        <w:t>ill</w:t>
      </w:r>
      <w:r w:rsidR="00F43B7A">
        <w:rPr>
          <w:rFonts w:ascii="MetaPro-Norm" w:hAnsi="MetaPro-Norm"/>
          <w:sz w:val="22"/>
          <w:szCs w:val="22"/>
        </w:rPr>
        <w:t>,</w:t>
      </w:r>
      <w:r w:rsidR="00335757">
        <w:rPr>
          <w:rFonts w:ascii="MetaPro-Norm" w:hAnsi="MetaPro-Norm"/>
          <w:sz w:val="22"/>
          <w:szCs w:val="22"/>
        </w:rPr>
        <w:t xml:space="preserve"> which would have </w:t>
      </w:r>
      <w:r w:rsidR="0085586C">
        <w:rPr>
          <w:rFonts w:ascii="MetaPro-Norm" w:hAnsi="MetaPro-Norm"/>
          <w:sz w:val="22"/>
          <w:szCs w:val="22"/>
        </w:rPr>
        <w:t>eased restrictions</w:t>
      </w:r>
      <w:r w:rsidR="005A06D4">
        <w:rPr>
          <w:rFonts w:ascii="MetaPro-Norm" w:hAnsi="MetaPro-Norm"/>
          <w:sz w:val="22"/>
          <w:szCs w:val="22"/>
        </w:rPr>
        <w:t xml:space="preserve"> on access to abortion in the country</w:t>
      </w:r>
      <w:r w:rsidR="00CF6657">
        <w:rPr>
          <w:rFonts w:ascii="MetaPro-Norm" w:hAnsi="MetaPro-Norm"/>
          <w:sz w:val="22"/>
          <w:szCs w:val="22"/>
        </w:rPr>
        <w:t>.</w:t>
      </w:r>
      <w:r w:rsidRPr="0E37E5DD">
        <w:rPr>
          <w:rStyle w:val="FootnoteReference"/>
        </w:rPr>
        <w:footnoteReference w:id="12"/>
      </w:r>
      <w:r w:rsidR="0039059A">
        <w:rPr>
          <w:rFonts w:ascii="MetaPro-Norm" w:hAnsi="MetaPro-Norm"/>
          <w:sz w:val="22"/>
          <w:szCs w:val="22"/>
        </w:rPr>
        <w:t xml:space="preserve"> </w:t>
      </w:r>
    </w:p>
    <w:p w14:paraId="2CDB8ABC" w14:textId="594875CE" w:rsidR="3D456F3B" w:rsidRDefault="3D456F3B" w:rsidP="3D456F3B">
      <w:pPr>
        <w:pStyle w:val="Body"/>
        <w:rPr>
          <w:rFonts w:ascii="MetaPro-Norm" w:hAnsi="MetaPro-Norm"/>
          <w:sz w:val="22"/>
          <w:szCs w:val="22"/>
        </w:rPr>
      </w:pPr>
    </w:p>
    <w:p w14:paraId="022EDC63" w14:textId="0F281B38" w:rsidR="009D5A58" w:rsidRDefault="00AC59D8" w:rsidP="00B322F7">
      <w:pPr>
        <w:pStyle w:val="Body"/>
        <w:rPr>
          <w:rFonts w:ascii="MetaPro-Norm" w:hAnsi="MetaPro-Norm"/>
          <w:i/>
          <w:iCs/>
          <w:sz w:val="22"/>
          <w:szCs w:val="22"/>
        </w:rPr>
      </w:pPr>
      <w:r w:rsidRPr="00AC59D8">
        <w:rPr>
          <w:rFonts w:ascii="MetaPro-Norm" w:hAnsi="MetaPro-Norm"/>
          <w:i/>
          <w:iCs/>
          <w:sz w:val="22"/>
          <w:szCs w:val="22"/>
        </w:rPr>
        <w:t>Human Rights Watch encourages the Committee to ask the government of Malawi:</w:t>
      </w:r>
    </w:p>
    <w:p w14:paraId="658826BD" w14:textId="77777777" w:rsidR="0022651C" w:rsidRPr="003B3CC2" w:rsidRDefault="0022651C" w:rsidP="0022651C">
      <w:pPr>
        <w:pStyle w:val="ListParagraph"/>
        <w:numPr>
          <w:ilvl w:val="0"/>
          <w:numId w:val="7"/>
        </w:numPr>
        <w:spacing w:after="0"/>
        <w:rPr>
          <w:rFonts w:ascii="MetaPro-Norm" w:hAnsi="MetaPro-Norm" w:cstheme="minorHAnsi"/>
        </w:rPr>
      </w:pPr>
      <w:r w:rsidRPr="003B3CC2">
        <w:rPr>
          <w:rFonts w:ascii="MetaPro-Norm" w:hAnsi="MetaPro-Norm"/>
        </w:rPr>
        <w:lastRenderedPageBreak/>
        <w:t>What steps is the government taking to ensure pregnant girls and adolescent mothers who are at risk of dropping out are socially and financially supported to stay in school?</w:t>
      </w:r>
    </w:p>
    <w:p w14:paraId="334301D8" w14:textId="77777777" w:rsidR="0022651C" w:rsidRPr="003B3CC2" w:rsidRDefault="0022651C" w:rsidP="0022651C">
      <w:pPr>
        <w:pStyle w:val="ListParagraph"/>
        <w:numPr>
          <w:ilvl w:val="0"/>
          <w:numId w:val="7"/>
        </w:numPr>
        <w:spacing w:after="0"/>
        <w:rPr>
          <w:rFonts w:ascii="MetaPro-Norm" w:hAnsi="MetaPro-Norm" w:cstheme="minorHAnsi"/>
        </w:rPr>
      </w:pPr>
      <w:r w:rsidRPr="003B3CC2">
        <w:rPr>
          <w:rFonts w:ascii="MetaPro-Norm" w:hAnsi="MetaPro-Norm"/>
        </w:rPr>
        <w:t>What special accommodations are provided for young mothers at school, such as time for breast-feeding, flexibility when babies are ill, or flexibility in class schedules?</w:t>
      </w:r>
    </w:p>
    <w:p w14:paraId="3DDC333C" w14:textId="507E218A" w:rsidR="00AC59D8" w:rsidRPr="0022651C" w:rsidRDefault="0022651C" w:rsidP="0022651C">
      <w:pPr>
        <w:pStyle w:val="ListParagraph"/>
        <w:numPr>
          <w:ilvl w:val="0"/>
          <w:numId w:val="7"/>
        </w:numPr>
        <w:spacing w:after="0"/>
        <w:rPr>
          <w:rFonts w:ascii="MetaPro-Norm" w:hAnsi="MetaPro-Norm" w:cstheme="minorHAnsi"/>
        </w:rPr>
      </w:pPr>
      <w:r w:rsidRPr="003B3CC2">
        <w:rPr>
          <w:rFonts w:ascii="MetaPro-Norm" w:hAnsi="MetaPro-Norm"/>
        </w:rPr>
        <w:t>What programs are in place to ensure access to nurseries or early childhood centers close to schools?</w:t>
      </w:r>
    </w:p>
    <w:p w14:paraId="5256BEA9" w14:textId="77777777" w:rsidR="00AC59D8" w:rsidRDefault="00AC59D8" w:rsidP="00B17A7F">
      <w:pPr>
        <w:spacing w:after="0"/>
        <w:rPr>
          <w:rFonts w:ascii="MetaPro-Norm" w:hAnsi="MetaPro-Norm" w:cstheme="minorHAnsi"/>
          <w:i/>
          <w:iCs/>
        </w:rPr>
      </w:pPr>
    </w:p>
    <w:p w14:paraId="4EF4E93A" w14:textId="166BAEE9" w:rsidR="00B17A7F" w:rsidRPr="007A54F8" w:rsidRDefault="00B17A7F" w:rsidP="00B17A7F">
      <w:pPr>
        <w:spacing w:after="0"/>
        <w:rPr>
          <w:rFonts w:ascii="MetaPro-Norm" w:hAnsi="MetaPro-Norm" w:cstheme="minorHAnsi"/>
          <w:i/>
          <w:iCs/>
        </w:rPr>
      </w:pPr>
      <w:r w:rsidRPr="003B3CC2">
        <w:rPr>
          <w:rFonts w:ascii="MetaPro-Norm" w:hAnsi="MetaPro-Norm" w:cstheme="minorHAnsi"/>
          <w:i/>
          <w:iCs/>
        </w:rPr>
        <w:t xml:space="preserve">Human Rights Watch encourages the Committee to call on the government of </w:t>
      </w:r>
      <w:r>
        <w:rPr>
          <w:rFonts w:ascii="MetaPro-Norm" w:hAnsi="MetaPro-Norm" w:cstheme="minorHAnsi"/>
          <w:i/>
          <w:iCs/>
        </w:rPr>
        <w:t>Malawi</w:t>
      </w:r>
      <w:r w:rsidRPr="003B3CC2">
        <w:rPr>
          <w:rFonts w:ascii="MetaPro-Norm" w:hAnsi="MetaPro-Norm" w:cstheme="minorHAnsi"/>
          <w:i/>
          <w:iCs/>
        </w:rPr>
        <w:t xml:space="preserve"> to:</w:t>
      </w:r>
    </w:p>
    <w:p w14:paraId="24A43CF3" w14:textId="466ACF8B" w:rsidR="00B17A7F" w:rsidRDefault="00B17A7F" w:rsidP="00B17A7F">
      <w:pPr>
        <w:pStyle w:val="ListParagraph"/>
        <w:numPr>
          <w:ilvl w:val="0"/>
          <w:numId w:val="3"/>
        </w:numPr>
        <w:spacing w:after="0"/>
        <w:rPr>
          <w:rFonts w:ascii="MetaPro-Norm" w:hAnsi="MetaPro-Norm"/>
        </w:rPr>
      </w:pPr>
      <w:r w:rsidRPr="7FB91F82">
        <w:rPr>
          <w:rFonts w:ascii="MetaPro-Norm" w:hAnsi="MetaPro-Norm"/>
        </w:rPr>
        <w:t>C</w:t>
      </w:r>
      <w:r>
        <w:rPr>
          <w:rFonts w:ascii="MetaPro-Norm" w:hAnsi="MetaPro-Norm"/>
        </w:rPr>
        <w:t xml:space="preserve">ontinue </w:t>
      </w:r>
      <w:r w:rsidRPr="7FB91F82">
        <w:rPr>
          <w:rFonts w:ascii="MetaPro-Norm" w:hAnsi="MetaPro-Norm"/>
        </w:rPr>
        <w:t>to combat child marriage</w:t>
      </w:r>
      <w:r>
        <w:rPr>
          <w:rFonts w:ascii="MetaPro-Norm" w:hAnsi="MetaPro-Norm"/>
        </w:rPr>
        <w:t xml:space="preserve"> through national strategies</w:t>
      </w:r>
      <w:r w:rsidRPr="7FB91F82">
        <w:rPr>
          <w:rFonts w:ascii="MetaPro-Norm" w:hAnsi="MetaPro-Norm"/>
        </w:rPr>
        <w:t xml:space="preserve">, with input from women’s and children’s rights groups, health professionals, and other service providers; </w:t>
      </w:r>
      <w:r>
        <w:rPr>
          <w:rFonts w:ascii="MetaPro-Norm" w:hAnsi="MetaPro-Norm"/>
        </w:rPr>
        <w:t xml:space="preserve">and </w:t>
      </w:r>
      <w:r w:rsidRPr="7FB91F82">
        <w:rPr>
          <w:rFonts w:ascii="MetaPro-Norm" w:hAnsi="MetaPro-Norm"/>
        </w:rPr>
        <w:t xml:space="preserve">coordinate efforts among all relevant </w:t>
      </w:r>
      <w:r w:rsidR="00A166B3">
        <w:rPr>
          <w:rFonts w:ascii="MetaPro-Norm" w:hAnsi="MetaPro-Norm"/>
        </w:rPr>
        <w:t xml:space="preserve">government </w:t>
      </w:r>
      <w:r w:rsidRPr="7FB91F82">
        <w:rPr>
          <w:rFonts w:ascii="MetaPro-Norm" w:hAnsi="MetaPro-Norm"/>
        </w:rPr>
        <w:t>ministries.</w:t>
      </w:r>
    </w:p>
    <w:p w14:paraId="4BC30447" w14:textId="5782C759" w:rsidR="00B17A7F" w:rsidRPr="003B3CC2" w:rsidRDefault="00B17A7F" w:rsidP="0E37E5DD">
      <w:pPr>
        <w:pStyle w:val="ListParagraph"/>
        <w:numPr>
          <w:ilvl w:val="0"/>
          <w:numId w:val="3"/>
        </w:numPr>
        <w:spacing w:after="0"/>
        <w:rPr>
          <w:rFonts w:ascii="MetaPro-Norm" w:hAnsi="MetaPro-Norm"/>
        </w:rPr>
      </w:pPr>
      <w:r w:rsidRPr="0E37E5DD">
        <w:rPr>
          <w:rFonts w:ascii="MetaPro-Norm" w:hAnsi="MetaPro-Norm"/>
        </w:rPr>
        <w:t xml:space="preserve">Address social, financial, and systemic barriers that inhibit </w:t>
      </w:r>
      <w:r w:rsidR="53D2AC4A" w:rsidRPr="0E37E5DD">
        <w:rPr>
          <w:rFonts w:ascii="MetaPro-Norm" w:hAnsi="MetaPro-Norm"/>
        </w:rPr>
        <w:t xml:space="preserve">girls who have become </w:t>
      </w:r>
      <w:r w:rsidRPr="0E37E5DD">
        <w:rPr>
          <w:rFonts w:ascii="MetaPro-Norm" w:hAnsi="MetaPro-Norm"/>
        </w:rPr>
        <w:t>mothers from continuing their education.</w:t>
      </w:r>
    </w:p>
    <w:p w14:paraId="1387F502" w14:textId="77777777" w:rsidR="00B17A7F" w:rsidRPr="003B3CC2" w:rsidRDefault="00B17A7F" w:rsidP="00B17A7F">
      <w:pPr>
        <w:pStyle w:val="ListParagraph"/>
        <w:numPr>
          <w:ilvl w:val="0"/>
          <w:numId w:val="3"/>
        </w:numPr>
        <w:spacing w:after="0"/>
        <w:rPr>
          <w:rFonts w:ascii="MetaPro-Norm" w:hAnsi="MetaPro-Norm"/>
        </w:rPr>
      </w:pPr>
      <w:r w:rsidRPr="5B02E693">
        <w:rPr>
          <w:rFonts w:ascii="MetaPro-Norm" w:hAnsi="MetaPro-Norm"/>
        </w:rPr>
        <w:t>Adopt a continuation policy that allows students who are pregnant, mothers, and/or married to continue their education while pregnant and after giving birth</w:t>
      </w:r>
      <w:r>
        <w:rPr>
          <w:rFonts w:ascii="MetaPro-Norm" w:hAnsi="MetaPro-Norm"/>
        </w:rPr>
        <w:t>.</w:t>
      </w:r>
    </w:p>
    <w:p w14:paraId="5D347C26" w14:textId="3D47B154" w:rsidR="00B17A7F" w:rsidRDefault="00B17A7F" w:rsidP="00B17A7F">
      <w:pPr>
        <w:pStyle w:val="ListParagraph"/>
        <w:numPr>
          <w:ilvl w:val="0"/>
          <w:numId w:val="3"/>
        </w:numPr>
        <w:spacing w:after="0"/>
        <w:rPr>
          <w:rFonts w:ascii="MetaPro-Norm" w:hAnsi="MetaPro-Norm"/>
        </w:rPr>
      </w:pPr>
      <w:r w:rsidRPr="7D37B11C">
        <w:rPr>
          <w:rFonts w:ascii="MetaPro-Norm" w:hAnsi="MetaPro-Norm"/>
        </w:rPr>
        <w:t xml:space="preserve">Ensure that </w:t>
      </w:r>
      <w:r w:rsidR="00D8202C">
        <w:rPr>
          <w:rFonts w:ascii="MetaPro-Norm" w:hAnsi="MetaPro-Norm"/>
        </w:rPr>
        <w:t xml:space="preserve">women and girls have </w:t>
      </w:r>
      <w:r w:rsidRPr="7D37B11C">
        <w:rPr>
          <w:rFonts w:ascii="MetaPro-Norm" w:hAnsi="MetaPro-Norm"/>
        </w:rPr>
        <w:t>access to modern forms of contraceptives</w:t>
      </w:r>
      <w:r>
        <w:rPr>
          <w:rFonts w:ascii="MetaPro-Norm" w:hAnsi="MetaPro-Norm"/>
        </w:rPr>
        <w:t xml:space="preserve"> </w:t>
      </w:r>
      <w:r w:rsidRPr="7D37B11C">
        <w:rPr>
          <w:rFonts w:ascii="MetaPro-Norm" w:hAnsi="MetaPro-Norm"/>
        </w:rPr>
        <w:t>and information on sexual and reproductive health rights, including through comprehensive sexuality education</w:t>
      </w:r>
      <w:r w:rsidR="00C07A5A">
        <w:rPr>
          <w:rFonts w:ascii="MetaPro-Norm" w:hAnsi="MetaPro-Norm"/>
        </w:rPr>
        <w:t xml:space="preserve"> at school and in the community</w:t>
      </w:r>
      <w:r w:rsidRPr="7D37B11C">
        <w:rPr>
          <w:rFonts w:ascii="MetaPro-Norm" w:hAnsi="MetaPro-Norm"/>
        </w:rPr>
        <w:t>.</w:t>
      </w:r>
    </w:p>
    <w:p w14:paraId="00907C80" w14:textId="3A625E87" w:rsidR="00A03E76" w:rsidRDefault="001A39AE" w:rsidP="00C661DE">
      <w:pPr>
        <w:pStyle w:val="ListParagraph"/>
        <w:numPr>
          <w:ilvl w:val="0"/>
          <w:numId w:val="3"/>
        </w:numPr>
        <w:spacing w:after="0" w:line="240" w:lineRule="auto"/>
        <w:rPr>
          <w:rFonts w:ascii="MetaPro-Norm" w:hAnsi="MetaPro-Norm" w:cs="Times New Roman"/>
        </w:rPr>
      </w:pPr>
      <w:r w:rsidRPr="00A03E76">
        <w:rPr>
          <w:rFonts w:ascii="MetaPro-Norm" w:hAnsi="MetaPro-Norm" w:cs="Times New Roman"/>
        </w:rPr>
        <w:t xml:space="preserve">Decriminalize abortion </w:t>
      </w:r>
      <w:r w:rsidR="0011105B">
        <w:rPr>
          <w:rFonts w:ascii="MetaPro-Norm" w:hAnsi="MetaPro-Norm" w:cs="Times New Roman"/>
        </w:rPr>
        <w:t xml:space="preserve">in all circumstances </w:t>
      </w:r>
      <w:r w:rsidRPr="00A03E76">
        <w:rPr>
          <w:rFonts w:ascii="MetaPro-Norm" w:hAnsi="MetaPro-Norm" w:cs="Times New Roman"/>
        </w:rPr>
        <w:t>as a matter of urgency</w:t>
      </w:r>
      <w:r w:rsidR="00A03E76">
        <w:rPr>
          <w:rFonts w:ascii="MetaPro-Norm" w:hAnsi="MetaPro-Norm" w:cs="Times New Roman"/>
        </w:rPr>
        <w:t>.</w:t>
      </w:r>
    </w:p>
    <w:p w14:paraId="586DAB56" w14:textId="77777777" w:rsidR="00A03E76" w:rsidRPr="00A03E76" w:rsidRDefault="00A03E76" w:rsidP="00A03E76">
      <w:pPr>
        <w:pStyle w:val="ListParagraph"/>
        <w:spacing w:after="0" w:line="240" w:lineRule="auto"/>
        <w:rPr>
          <w:rFonts w:ascii="MetaPro-Norm" w:hAnsi="MetaPro-Norm" w:cs="Times New Roman"/>
        </w:rPr>
      </w:pPr>
    </w:p>
    <w:p w14:paraId="5FBF62C5" w14:textId="48F593A9" w:rsidR="00B17A7F" w:rsidRPr="00AE5E25" w:rsidRDefault="00B17A7F" w:rsidP="00B17A7F">
      <w:pPr>
        <w:pStyle w:val="Body"/>
        <w:rPr>
          <w:rFonts w:ascii="MetaPro-Norm" w:hAnsi="MetaPro-Norm"/>
          <w:b/>
          <w:bCs/>
          <w:sz w:val="22"/>
          <w:szCs w:val="22"/>
        </w:rPr>
      </w:pPr>
      <w:r w:rsidRPr="774BAEBD">
        <w:rPr>
          <w:rFonts w:ascii="MetaPro-Norm" w:hAnsi="MetaPro-Norm"/>
          <w:b/>
          <w:bCs/>
          <w:sz w:val="22"/>
          <w:szCs w:val="22"/>
        </w:rPr>
        <w:t>Government-Endorsed Online Learning during the Covid-19 Pandemic (article 1</w:t>
      </w:r>
      <w:r w:rsidR="4249458E" w:rsidRPr="774BAEBD">
        <w:rPr>
          <w:rFonts w:ascii="MetaPro-Norm" w:hAnsi="MetaPro-Norm"/>
          <w:b/>
          <w:bCs/>
          <w:sz w:val="22"/>
          <w:szCs w:val="22"/>
        </w:rPr>
        <w:t>0</w:t>
      </w:r>
      <w:r w:rsidRPr="774BAEBD">
        <w:rPr>
          <w:rFonts w:ascii="MetaPro-Norm" w:hAnsi="MetaPro-Norm"/>
          <w:b/>
          <w:bCs/>
          <w:sz w:val="22"/>
          <w:szCs w:val="22"/>
        </w:rPr>
        <w:t>)</w:t>
      </w:r>
    </w:p>
    <w:p w14:paraId="0F9529D5" w14:textId="215A591B" w:rsidR="48C0D838" w:rsidRDefault="00A166B3" w:rsidP="00F07295">
      <w:pPr>
        <w:pStyle w:val="Body"/>
        <w:rPr>
          <w:rFonts w:ascii="MetaPro-Norm" w:hAnsi="MetaPro-Norm"/>
          <w:sz w:val="22"/>
          <w:szCs w:val="22"/>
        </w:rPr>
      </w:pPr>
      <w:r>
        <w:rPr>
          <w:rFonts w:ascii="MetaPro-Norm" w:hAnsi="MetaPro-Norm"/>
          <w:sz w:val="22"/>
          <w:szCs w:val="22"/>
        </w:rPr>
        <w:t xml:space="preserve">The UN </w:t>
      </w:r>
      <w:r w:rsidRPr="774BAEBD">
        <w:rPr>
          <w:rFonts w:ascii="MetaPro-Norm" w:hAnsi="MetaPro-Norm"/>
          <w:sz w:val="22"/>
          <w:szCs w:val="22"/>
        </w:rPr>
        <w:t>High Commissioner for Human Rights</w:t>
      </w:r>
      <w:r>
        <w:rPr>
          <w:rFonts w:ascii="MetaPro-Norm" w:hAnsi="MetaPro-Norm"/>
          <w:sz w:val="22"/>
          <w:szCs w:val="22"/>
        </w:rPr>
        <w:t>, i</w:t>
      </w:r>
      <w:r w:rsidR="5DC7DF92" w:rsidRPr="5FAAA23F">
        <w:rPr>
          <w:rFonts w:ascii="MetaPro-Norm" w:hAnsi="MetaPro-Norm"/>
          <w:sz w:val="22"/>
          <w:szCs w:val="22"/>
        </w:rPr>
        <w:t xml:space="preserve">n her 2022 report on the </w:t>
      </w:r>
      <w:r w:rsidR="1732CFA5" w:rsidRPr="5FAAA23F">
        <w:rPr>
          <w:rFonts w:ascii="MetaPro-Norm" w:hAnsi="MetaPro-Norm"/>
          <w:sz w:val="22"/>
          <w:szCs w:val="22"/>
        </w:rPr>
        <w:t>i</w:t>
      </w:r>
      <w:r w:rsidR="5DC7DF92" w:rsidRPr="5FAAA23F">
        <w:rPr>
          <w:rFonts w:ascii="MetaPro-Norm" w:hAnsi="MetaPro-Norm"/>
          <w:sz w:val="22"/>
          <w:szCs w:val="22"/>
        </w:rPr>
        <w:t>mpact of the C</w:t>
      </w:r>
      <w:r w:rsidR="008C20F6">
        <w:rPr>
          <w:rFonts w:ascii="MetaPro-Norm" w:hAnsi="MetaPro-Norm"/>
          <w:sz w:val="22"/>
          <w:szCs w:val="22"/>
        </w:rPr>
        <w:t>ovid</w:t>
      </w:r>
      <w:r w:rsidR="5DC7DF92" w:rsidRPr="5FAAA23F">
        <w:rPr>
          <w:rFonts w:ascii="MetaPro-Norm" w:hAnsi="MetaPro-Norm"/>
          <w:sz w:val="22"/>
          <w:szCs w:val="22"/>
        </w:rPr>
        <w:t>-19 pandemic on the realization of the</w:t>
      </w:r>
      <w:r>
        <w:rPr>
          <w:rFonts w:ascii="MetaPro-Norm" w:hAnsi="MetaPro-Norm"/>
          <w:sz w:val="22"/>
          <w:szCs w:val="22"/>
        </w:rPr>
        <w:t xml:space="preserve"> </w:t>
      </w:r>
      <w:r w:rsidR="5DC7DF92" w:rsidRPr="774BAEBD">
        <w:rPr>
          <w:rFonts w:ascii="MetaPro-Norm" w:hAnsi="MetaPro-Norm"/>
          <w:sz w:val="22"/>
          <w:szCs w:val="22"/>
        </w:rPr>
        <w:t xml:space="preserve">equal enjoyment of the right to education by every girl, </w:t>
      </w:r>
      <w:r w:rsidR="221930C9" w:rsidRPr="774BAEBD">
        <w:rPr>
          <w:rFonts w:ascii="MetaPro-Norm" w:hAnsi="MetaPro-Norm"/>
          <w:sz w:val="22"/>
          <w:szCs w:val="22"/>
        </w:rPr>
        <w:t>stressed the need to protect the rights of the child in relation to the digital environment,</w:t>
      </w:r>
      <w:r w:rsidR="00F07295">
        <w:rPr>
          <w:rFonts w:ascii="MetaPro-Norm" w:hAnsi="MetaPro-Norm"/>
          <w:sz w:val="22"/>
          <w:szCs w:val="22"/>
        </w:rPr>
        <w:t xml:space="preserve"> </w:t>
      </w:r>
      <w:r w:rsidR="581CC76A" w:rsidRPr="33787544">
        <w:rPr>
          <w:rFonts w:ascii="MetaPro-Norm" w:hAnsi="MetaPro-Norm"/>
          <w:sz w:val="22"/>
          <w:szCs w:val="22"/>
        </w:rPr>
        <w:t>including protection from online violence and exploitation, and respect for their right to privacy.</w:t>
      </w:r>
      <w:r w:rsidR="007C0BB2" w:rsidRPr="5DC0F2D4">
        <w:rPr>
          <w:rStyle w:val="FootnoteReference"/>
        </w:rPr>
        <w:footnoteReference w:id="13"/>
      </w:r>
      <w:r w:rsidR="4E98EB48" w:rsidRPr="33787544">
        <w:rPr>
          <w:rFonts w:ascii="MetaPro-Norm" w:hAnsi="MetaPro-Norm"/>
          <w:sz w:val="22"/>
          <w:szCs w:val="22"/>
        </w:rPr>
        <w:t xml:space="preserve"> </w:t>
      </w:r>
      <w:r w:rsidR="48C0D838" w:rsidRPr="2719E5F2">
        <w:rPr>
          <w:rFonts w:ascii="MetaPro-Norm" w:hAnsi="MetaPro-Norm"/>
          <w:sz w:val="22"/>
          <w:szCs w:val="22"/>
        </w:rPr>
        <w:t>The</w:t>
      </w:r>
      <w:r w:rsidR="48C0D838" w:rsidRPr="0577DA18">
        <w:rPr>
          <w:rFonts w:ascii="MetaPro-Norm" w:hAnsi="MetaPro-Norm"/>
          <w:sz w:val="22"/>
          <w:szCs w:val="22"/>
        </w:rPr>
        <w:t xml:space="preserve"> UN</w:t>
      </w:r>
      <w:r w:rsidR="48C0D838" w:rsidRPr="2719E5F2">
        <w:rPr>
          <w:rFonts w:ascii="MetaPro-Norm" w:hAnsi="MetaPro-Norm"/>
          <w:sz w:val="22"/>
          <w:szCs w:val="22"/>
        </w:rPr>
        <w:t xml:space="preserve"> </w:t>
      </w:r>
      <w:r w:rsidR="423B37D0" w:rsidRPr="2719E5F2">
        <w:rPr>
          <w:rFonts w:ascii="MetaPro-Norm" w:hAnsi="MetaPro-Norm"/>
          <w:sz w:val="22"/>
          <w:szCs w:val="22"/>
        </w:rPr>
        <w:t xml:space="preserve">Human Rights Council and the General Assembly have called upon </w:t>
      </w:r>
      <w:r w:rsidR="00786023">
        <w:rPr>
          <w:rFonts w:ascii="MetaPro-Norm" w:hAnsi="MetaPro-Norm"/>
          <w:sz w:val="22"/>
          <w:szCs w:val="22"/>
        </w:rPr>
        <w:t>s</w:t>
      </w:r>
      <w:r w:rsidR="423B37D0" w:rsidRPr="2719E5F2">
        <w:rPr>
          <w:rFonts w:ascii="MetaPro-Norm" w:hAnsi="MetaPro-Norm"/>
          <w:sz w:val="22"/>
          <w:szCs w:val="22"/>
        </w:rPr>
        <w:t>tates “to further develop or maintain, in this regard, preventive measures and remedies for violations and abuses regarding the right to privacy in the digital age that may affect all individuals, including where there are particular adverse effects on women, as well as children and persons in vulnerable situations or marginalized groups.”</w:t>
      </w:r>
      <w:r w:rsidR="00274647">
        <w:rPr>
          <w:rStyle w:val="FootnoteReference"/>
          <w:szCs w:val="22"/>
        </w:rPr>
        <w:footnoteReference w:id="14"/>
      </w:r>
    </w:p>
    <w:p w14:paraId="22CA8960" w14:textId="77777777" w:rsidR="774BAEBD" w:rsidRDefault="774BAEBD" w:rsidP="774BAEBD">
      <w:pPr>
        <w:pStyle w:val="Body"/>
        <w:rPr>
          <w:rFonts w:ascii="MetaPro-Norm" w:hAnsi="MetaPro-Norm"/>
          <w:sz w:val="22"/>
          <w:szCs w:val="22"/>
        </w:rPr>
      </w:pPr>
    </w:p>
    <w:p w14:paraId="5210D035" w14:textId="766FDA93" w:rsidR="00B17A7F" w:rsidRDefault="00B17A7F" w:rsidP="00B17A7F">
      <w:pPr>
        <w:pStyle w:val="Body"/>
        <w:rPr>
          <w:rFonts w:ascii="MetaPro-Norm" w:hAnsi="MetaPro-Norm"/>
          <w:sz w:val="22"/>
          <w:szCs w:val="22"/>
        </w:rPr>
      </w:pPr>
      <w:r>
        <w:rPr>
          <w:rFonts w:ascii="MetaPro-Norm" w:hAnsi="MetaPro-Norm"/>
          <w:sz w:val="22"/>
          <w:szCs w:val="22"/>
        </w:rPr>
        <w:lastRenderedPageBreak/>
        <w:t xml:space="preserve">Human Rights Watch analyzed Notesmaster, an </w:t>
      </w:r>
      <w:r w:rsidR="00786023">
        <w:rPr>
          <w:rFonts w:ascii="MetaPro-Norm" w:hAnsi="MetaPro-Norm"/>
          <w:sz w:val="22"/>
          <w:szCs w:val="22"/>
        </w:rPr>
        <w:t>education technology (</w:t>
      </w:r>
      <w:r>
        <w:rPr>
          <w:rFonts w:ascii="MetaPro-Norm" w:hAnsi="MetaPro-Norm"/>
          <w:sz w:val="22"/>
          <w:szCs w:val="22"/>
        </w:rPr>
        <w:t>EdTech</w:t>
      </w:r>
      <w:r w:rsidR="00786023">
        <w:rPr>
          <w:rFonts w:ascii="MetaPro-Norm" w:hAnsi="MetaPro-Norm"/>
          <w:sz w:val="22"/>
          <w:szCs w:val="22"/>
        </w:rPr>
        <w:t>)</w:t>
      </w:r>
      <w:r>
        <w:rPr>
          <w:rFonts w:ascii="MetaPro-Norm" w:hAnsi="MetaPro-Norm"/>
          <w:sz w:val="22"/>
          <w:szCs w:val="22"/>
        </w:rPr>
        <w:t xml:space="preserve"> website that was used by Malawi’s </w:t>
      </w:r>
      <w:r w:rsidR="00786023">
        <w:rPr>
          <w:rFonts w:ascii="MetaPro-Norm" w:hAnsi="MetaPro-Norm"/>
          <w:sz w:val="22"/>
          <w:szCs w:val="22"/>
        </w:rPr>
        <w:t>E</w:t>
      </w:r>
      <w:r>
        <w:rPr>
          <w:rFonts w:ascii="MetaPro-Norm" w:hAnsi="MetaPro-Norm"/>
          <w:sz w:val="22"/>
          <w:szCs w:val="22"/>
        </w:rPr>
        <w:t xml:space="preserve">ducation </w:t>
      </w:r>
      <w:r w:rsidR="00786023">
        <w:rPr>
          <w:rFonts w:ascii="MetaPro-Norm" w:hAnsi="MetaPro-Norm"/>
          <w:sz w:val="22"/>
          <w:szCs w:val="22"/>
        </w:rPr>
        <w:t>M</w:t>
      </w:r>
      <w:r>
        <w:rPr>
          <w:rFonts w:ascii="MetaPro-Norm" w:hAnsi="MetaPro-Norm"/>
          <w:sz w:val="22"/>
          <w:szCs w:val="22"/>
        </w:rPr>
        <w:t>inistry as its primary means of delivering online education to secondary school students during the pandemic.</w:t>
      </w:r>
      <w:r w:rsidRPr="774BAEBD">
        <w:rPr>
          <w:rStyle w:val="FootnoteReference"/>
        </w:rPr>
        <w:footnoteReference w:id="15"/>
      </w:r>
      <w:r>
        <w:rPr>
          <w:rFonts w:ascii="MetaPro-Norm" w:hAnsi="MetaPro-Norm"/>
          <w:sz w:val="22"/>
          <w:szCs w:val="22"/>
        </w:rPr>
        <w:t xml:space="preserve"> The website was developed in partnership with Notesmaster, its parent company of the same name. As most Malawian children were not likely to have access to affordable, reliable internet,</w:t>
      </w:r>
      <w:r w:rsidRPr="774BAEBD">
        <w:rPr>
          <w:rStyle w:val="FootnoteReference"/>
        </w:rPr>
        <w:footnoteReference w:id="16"/>
      </w:r>
      <w:r>
        <w:rPr>
          <w:rFonts w:ascii="MetaPro-Norm" w:hAnsi="MetaPro-Norm"/>
          <w:sz w:val="22"/>
          <w:szCs w:val="22"/>
        </w:rPr>
        <w:t xml:space="preserve"> access to the website was provided to students at no cost through a partnership with Telekom Networks Malawi, a major telecommunications provider in the country.</w:t>
      </w:r>
      <w:r w:rsidRPr="774BAEBD">
        <w:rPr>
          <w:rStyle w:val="FootnoteReference"/>
        </w:rPr>
        <w:footnoteReference w:id="17"/>
      </w:r>
    </w:p>
    <w:p w14:paraId="6A10722B" w14:textId="77777777" w:rsidR="00B17A7F" w:rsidRDefault="00B17A7F" w:rsidP="00B17A7F">
      <w:pPr>
        <w:pStyle w:val="Body"/>
        <w:rPr>
          <w:rFonts w:ascii="MetaPro-Norm" w:hAnsi="MetaPro-Norm"/>
          <w:sz w:val="22"/>
          <w:szCs w:val="22"/>
        </w:rPr>
      </w:pPr>
    </w:p>
    <w:p w14:paraId="13F8D190" w14:textId="62133C66" w:rsidR="00B17A7F" w:rsidRDefault="00786023" w:rsidP="00B17A7F">
      <w:pPr>
        <w:pStyle w:val="Body"/>
        <w:rPr>
          <w:rFonts w:ascii="MetaPro-Norm" w:hAnsi="MetaPro-Norm"/>
          <w:sz w:val="22"/>
          <w:szCs w:val="22"/>
        </w:rPr>
      </w:pPr>
      <w:r>
        <w:rPr>
          <w:rFonts w:ascii="MetaPro-Norm" w:hAnsi="MetaPro-Norm"/>
          <w:sz w:val="22"/>
          <w:szCs w:val="22"/>
        </w:rPr>
        <w:t xml:space="preserve">Human Rights Watch found that </w:t>
      </w:r>
      <w:r w:rsidR="00B17A7F">
        <w:rPr>
          <w:rFonts w:ascii="MetaPro-Norm" w:hAnsi="MetaPro-Norm"/>
          <w:sz w:val="22"/>
          <w:szCs w:val="22"/>
        </w:rPr>
        <w:t>Notesmaster surveill</w:t>
      </w:r>
      <w:r>
        <w:rPr>
          <w:rFonts w:ascii="MetaPro-Norm" w:hAnsi="MetaPro-Norm"/>
          <w:sz w:val="22"/>
          <w:szCs w:val="22"/>
        </w:rPr>
        <w:t>ed</w:t>
      </w:r>
      <w:r w:rsidR="00B17A7F">
        <w:rPr>
          <w:rFonts w:ascii="MetaPro-Norm" w:hAnsi="MetaPro-Norm"/>
          <w:sz w:val="22"/>
          <w:szCs w:val="22"/>
        </w:rPr>
        <w:t xml:space="preserve"> children not only within its online learning platform, but also tracking them across the internet, outside of school hours, and deep into their private lives.</w:t>
      </w:r>
      <w:r w:rsidR="00B17A7F" w:rsidRPr="1E64661E">
        <w:rPr>
          <w:rStyle w:val="FootnoteReference"/>
        </w:rPr>
        <w:footnoteReference w:id="18"/>
      </w:r>
      <w:r w:rsidR="00B17A7F">
        <w:rPr>
          <w:rFonts w:ascii="MetaPro-Norm" w:hAnsi="MetaPro-Norm"/>
          <w:sz w:val="22"/>
          <w:szCs w:val="22"/>
        </w:rPr>
        <w:t xml:space="preserve"> Human Rights Watch observed 14 ad trackers and 15 third-party cookies sending children’s data to a combined 16 advertising technology (AdTech) companies. In most instances, Notesmaster transmitted this data to domains owned by these companies that are intended to receive and process incoming data for commercial or advertising purposes.</w:t>
      </w:r>
    </w:p>
    <w:p w14:paraId="4B8C310B" w14:textId="77777777" w:rsidR="00B17A7F" w:rsidRDefault="00B17A7F" w:rsidP="00B17A7F">
      <w:pPr>
        <w:pStyle w:val="Body"/>
        <w:rPr>
          <w:rFonts w:ascii="MetaPro-Norm" w:hAnsi="MetaPro-Norm"/>
          <w:sz w:val="22"/>
          <w:szCs w:val="22"/>
        </w:rPr>
      </w:pPr>
    </w:p>
    <w:p w14:paraId="5C424185" w14:textId="77777777" w:rsidR="00B17A7F" w:rsidRDefault="00B17A7F" w:rsidP="00B17A7F">
      <w:pPr>
        <w:pStyle w:val="Body"/>
        <w:rPr>
          <w:rFonts w:ascii="MetaPro-Norm" w:hAnsi="MetaPro-Norm"/>
          <w:sz w:val="22"/>
          <w:szCs w:val="22"/>
        </w:rPr>
      </w:pPr>
      <w:r>
        <w:rPr>
          <w:rFonts w:ascii="MetaPro-Norm" w:hAnsi="MetaPro-Norm"/>
          <w:sz w:val="22"/>
          <w:szCs w:val="22"/>
        </w:rPr>
        <w:t>Among these, Human Rights Watch detected Notesmaster transmitting children’s data to Oracle’s BlueKai Data Management Platform, a data broker that has amassed one of the world’s largest troves of data on people online.</w:t>
      </w:r>
      <w:r w:rsidRPr="33787544">
        <w:rPr>
          <w:rStyle w:val="FootnoteReference"/>
        </w:rPr>
        <w:footnoteReference w:id="19"/>
      </w:r>
      <w:r>
        <w:rPr>
          <w:rFonts w:ascii="MetaPro-Norm" w:hAnsi="MetaPro-Norm"/>
          <w:sz w:val="22"/>
          <w:szCs w:val="22"/>
        </w:rPr>
        <w:t xml:space="preserve"> </w:t>
      </w:r>
      <w:r w:rsidRPr="006B6979">
        <w:rPr>
          <w:rFonts w:ascii="MetaPro-Norm" w:hAnsi="MetaPro-Norm"/>
          <w:sz w:val="22"/>
          <w:szCs w:val="22"/>
        </w:rPr>
        <w:t>In June 2020, TechCrunch reported that BlueKai had left one of its servers unprotected, spilling data on billions of records on people—names, home addresses, other personally identifiable data—out onto the open web for anyone to find</w:t>
      </w:r>
      <w:r>
        <w:rPr>
          <w:rFonts w:ascii="MetaPro-Norm" w:hAnsi="MetaPro-Norm"/>
          <w:sz w:val="22"/>
          <w:szCs w:val="22"/>
        </w:rPr>
        <w:t>, resulting in one of the most significant data security incidents of 2020.</w:t>
      </w:r>
      <w:r w:rsidRPr="33787544">
        <w:rPr>
          <w:rStyle w:val="FootnoteReference"/>
        </w:rPr>
        <w:footnoteReference w:id="20"/>
      </w:r>
      <w:r>
        <w:rPr>
          <w:rFonts w:ascii="MetaPro-Norm" w:hAnsi="MetaPro-Norm"/>
          <w:sz w:val="22"/>
          <w:szCs w:val="22"/>
        </w:rPr>
        <w:t xml:space="preserve"> Human Rights Watch detected Notesmaster sending children’s data to Oracle’s BlueKai, both before and after the reported data breach</w:t>
      </w:r>
      <w:r w:rsidRPr="0051322A">
        <w:rPr>
          <w:rFonts w:ascii="MetaPro-Norm" w:hAnsi="MetaPro-Norm"/>
          <w:sz w:val="22"/>
          <w:szCs w:val="22"/>
        </w:rPr>
        <w:t>.</w:t>
      </w:r>
      <w:r w:rsidRPr="33787544">
        <w:rPr>
          <w:rStyle w:val="FootnoteReference"/>
        </w:rPr>
        <w:footnoteReference w:id="21"/>
      </w:r>
    </w:p>
    <w:p w14:paraId="74D872F0" w14:textId="77777777" w:rsidR="00B17A7F" w:rsidRDefault="00B17A7F" w:rsidP="00B17A7F">
      <w:pPr>
        <w:pStyle w:val="Body"/>
        <w:rPr>
          <w:rFonts w:ascii="MetaPro-Norm" w:hAnsi="MetaPro-Norm"/>
          <w:sz w:val="22"/>
          <w:szCs w:val="22"/>
        </w:rPr>
      </w:pPr>
    </w:p>
    <w:p w14:paraId="2EBE6969" w14:textId="77777777" w:rsidR="00B17A7F" w:rsidRDefault="00B17A7F" w:rsidP="00B17A7F">
      <w:pPr>
        <w:pStyle w:val="Body"/>
        <w:rPr>
          <w:rFonts w:ascii="MetaPro-Norm" w:hAnsi="MetaPro-Norm"/>
          <w:sz w:val="22"/>
          <w:szCs w:val="22"/>
        </w:rPr>
      </w:pPr>
      <w:r w:rsidRPr="7FB91F82">
        <w:rPr>
          <w:rFonts w:ascii="MetaPro-Norm" w:hAnsi="MetaPro-Norm"/>
          <w:sz w:val="22"/>
          <w:szCs w:val="22"/>
        </w:rPr>
        <w:lastRenderedPageBreak/>
        <w:t xml:space="preserve">In addition, Human Rights Watch observed Notesmaster collecting and sending children’s data to Meta </w:t>
      </w:r>
      <w:r>
        <w:rPr>
          <w:rFonts w:ascii="MetaPro-Norm" w:hAnsi="MetaPro-Norm"/>
          <w:sz w:val="22"/>
          <w:szCs w:val="22"/>
        </w:rPr>
        <w:t xml:space="preserve">(formerly Facebook) </w:t>
      </w:r>
      <w:r w:rsidRPr="7FB91F82">
        <w:rPr>
          <w:rFonts w:ascii="MetaPro-Norm" w:hAnsi="MetaPro-Norm"/>
          <w:sz w:val="22"/>
          <w:szCs w:val="22"/>
        </w:rPr>
        <w:t xml:space="preserve">through Facebook Pixel, an AdTech tool that could not only be used by Notesmaster to later target its child users with ads on Facebook and Instagram, but also allowed Meta to retain and use this data for its own advertising purposes. Notesmaster sent children’s data to Google’s advertising platform, and through its use of Google Analytics’ </w:t>
      </w:r>
      <w:r>
        <w:rPr>
          <w:rFonts w:ascii="MetaPro-Norm" w:hAnsi="MetaPro-Norm"/>
          <w:sz w:val="22"/>
          <w:szCs w:val="22"/>
        </w:rPr>
        <w:t>“</w:t>
      </w:r>
      <w:r w:rsidRPr="7FB91F82">
        <w:rPr>
          <w:rFonts w:ascii="MetaPro-Norm" w:hAnsi="MetaPro-Norm"/>
          <w:sz w:val="22"/>
          <w:szCs w:val="22"/>
        </w:rPr>
        <w:t>remarketing audiences,</w:t>
      </w:r>
      <w:r>
        <w:rPr>
          <w:rFonts w:ascii="MetaPro-Norm" w:hAnsi="MetaPro-Norm"/>
          <w:sz w:val="22"/>
          <w:szCs w:val="22"/>
        </w:rPr>
        <w:t>”</w:t>
      </w:r>
      <w:r w:rsidRPr="7FB91F82">
        <w:rPr>
          <w:rFonts w:ascii="MetaPro-Norm" w:hAnsi="MetaPro-Norm"/>
          <w:sz w:val="22"/>
          <w:szCs w:val="22"/>
        </w:rPr>
        <w:t xml:space="preserve"> an AdTech tool that allowed Notesmaster to target its users with ads across the internet.</w:t>
      </w:r>
      <w:r w:rsidRPr="33787544">
        <w:rPr>
          <w:rStyle w:val="FootnoteReference"/>
        </w:rPr>
        <w:footnoteReference w:id="22"/>
      </w:r>
    </w:p>
    <w:p w14:paraId="59DE9D50" w14:textId="77777777" w:rsidR="00B17A7F" w:rsidRDefault="00B17A7F" w:rsidP="00B17A7F">
      <w:pPr>
        <w:pStyle w:val="Body"/>
        <w:rPr>
          <w:rFonts w:ascii="MetaPro-Norm" w:hAnsi="MetaPro-Norm"/>
          <w:sz w:val="22"/>
          <w:szCs w:val="22"/>
        </w:rPr>
      </w:pPr>
    </w:p>
    <w:p w14:paraId="4C45DA6E" w14:textId="7033099F" w:rsidR="00B17A7F" w:rsidRPr="00704D69" w:rsidRDefault="00B17A7F" w:rsidP="00B17A7F">
      <w:pPr>
        <w:pStyle w:val="Body"/>
        <w:rPr>
          <w:rFonts w:ascii="MetaPro-Norm" w:hAnsi="MetaPro-Norm"/>
          <w:sz w:val="22"/>
          <w:szCs w:val="22"/>
        </w:rPr>
      </w:pPr>
      <w:r w:rsidRPr="446AD8EC">
        <w:rPr>
          <w:rFonts w:ascii="MetaPro-Norm" w:hAnsi="MetaPro-Norm"/>
          <w:sz w:val="22"/>
          <w:szCs w:val="22"/>
        </w:rPr>
        <w:t xml:space="preserve">In doing so, Notesmaster permitted these companies the opportunity to stitch together and analyze the data they received to guess at a </w:t>
      </w:r>
      <w:r w:rsidR="5EAAD7B3" w:rsidRPr="446AD8EC">
        <w:rPr>
          <w:rFonts w:ascii="MetaPro-Norm" w:hAnsi="MetaPro-Norm"/>
          <w:sz w:val="22"/>
          <w:szCs w:val="22"/>
        </w:rPr>
        <w:t>girl</w:t>
      </w:r>
      <w:r w:rsidRPr="446AD8EC">
        <w:rPr>
          <w:rFonts w:ascii="MetaPro-Norm" w:hAnsi="MetaPro-Norm"/>
          <w:sz w:val="22"/>
          <w:szCs w:val="22"/>
        </w:rPr>
        <w:t xml:space="preserve">’s personal characteristics and interests (“profiling”), and to predict what a </w:t>
      </w:r>
      <w:r w:rsidR="7AF9FD86" w:rsidRPr="446AD8EC">
        <w:rPr>
          <w:rFonts w:ascii="MetaPro-Norm" w:hAnsi="MetaPro-Norm"/>
          <w:sz w:val="22"/>
          <w:szCs w:val="22"/>
        </w:rPr>
        <w:t>girl</w:t>
      </w:r>
      <w:r w:rsidRPr="446AD8EC">
        <w:rPr>
          <w:rFonts w:ascii="MetaPro-Norm" w:hAnsi="MetaPro-Norm"/>
          <w:sz w:val="22"/>
          <w:szCs w:val="22"/>
        </w:rPr>
        <w:t xml:space="preserve"> might do next and how they might be influenced. Access to these insights could then be sold to anyone—advertisers, data brokers, and others—who sought to target a defined group of people with similar characteristics online.</w:t>
      </w:r>
    </w:p>
    <w:p w14:paraId="2ED99C08" w14:textId="77777777" w:rsidR="00B17A7F" w:rsidRPr="00704D69" w:rsidRDefault="00B17A7F" w:rsidP="00B17A7F">
      <w:pPr>
        <w:pStyle w:val="Body"/>
        <w:rPr>
          <w:rFonts w:ascii="MetaPro-Norm" w:hAnsi="MetaPro-Norm"/>
          <w:sz w:val="22"/>
          <w:szCs w:val="22"/>
        </w:rPr>
      </w:pPr>
    </w:p>
    <w:p w14:paraId="6D43B239" w14:textId="1EE16103" w:rsidR="00B17A7F" w:rsidRDefault="00B17A7F" w:rsidP="00B17A7F">
      <w:pPr>
        <w:pStyle w:val="Body"/>
        <w:rPr>
          <w:rFonts w:ascii="MetaPro-Norm" w:hAnsi="MetaPro-Norm"/>
          <w:sz w:val="22"/>
          <w:szCs w:val="22"/>
        </w:rPr>
      </w:pPr>
      <w:r w:rsidRPr="00EA0893">
        <w:rPr>
          <w:rFonts w:ascii="MetaPro-Norm" w:hAnsi="MetaPro-Norm"/>
          <w:sz w:val="22"/>
          <w:szCs w:val="22"/>
        </w:rPr>
        <w:t xml:space="preserve">Profiling and targeting </w:t>
      </w:r>
      <w:r w:rsidR="6934879B" w:rsidRPr="00EA0893">
        <w:rPr>
          <w:rFonts w:ascii="MetaPro-Norm" w:hAnsi="MetaPro-Norm"/>
          <w:sz w:val="22"/>
          <w:szCs w:val="22"/>
        </w:rPr>
        <w:t>girls</w:t>
      </w:r>
      <w:r w:rsidRPr="00EA0893">
        <w:rPr>
          <w:rFonts w:ascii="MetaPro-Norm" w:hAnsi="MetaPro-Norm"/>
          <w:sz w:val="22"/>
          <w:szCs w:val="22"/>
        </w:rPr>
        <w:t xml:space="preserve"> on the basis of their actual or inferred characteristics not only infringes on their privacy, but also risks abusing or violating their other rights, particularly when this information is used to anticipate and guide them toward outcomes that are harmful or not in their best interest. </w:t>
      </w:r>
      <w:r>
        <w:rPr>
          <w:rFonts w:ascii="MetaPro-Norm" w:hAnsi="MetaPro-Norm"/>
          <w:sz w:val="22"/>
          <w:szCs w:val="22"/>
        </w:rPr>
        <w:t>The C</w:t>
      </w:r>
      <w:r w:rsidRPr="000F5A38">
        <w:rPr>
          <w:rFonts w:ascii="MetaPro-Norm" w:hAnsi="MetaPro-Norm"/>
          <w:sz w:val="22"/>
          <w:szCs w:val="22"/>
        </w:rPr>
        <w:t>ommittee</w:t>
      </w:r>
      <w:r>
        <w:rPr>
          <w:rFonts w:ascii="MetaPro-Norm" w:hAnsi="MetaPro-Norm"/>
          <w:sz w:val="22"/>
          <w:szCs w:val="22"/>
        </w:rPr>
        <w:t xml:space="preserve"> on the Rights of the Child</w:t>
      </w:r>
      <w:r w:rsidRPr="000F5A38">
        <w:rPr>
          <w:rFonts w:ascii="MetaPro-Norm" w:hAnsi="MetaPro-Norm"/>
          <w:sz w:val="22"/>
          <w:szCs w:val="22"/>
        </w:rPr>
        <w:t xml:space="preserve"> has warned that such processing and use of children’s data “may result in violations or abuses of children’s rights</w:t>
      </w:r>
      <w:r>
        <w:rPr>
          <w:rFonts w:ascii="MetaPro-Norm" w:hAnsi="MetaPro-Norm"/>
          <w:sz w:val="22"/>
          <w:szCs w:val="22"/>
        </w:rPr>
        <w:t>,”</w:t>
      </w:r>
      <w:r w:rsidRPr="33787544">
        <w:rPr>
          <w:rStyle w:val="FootnoteReference"/>
        </w:rPr>
        <w:footnoteReference w:id="23"/>
      </w:r>
      <w:r w:rsidRPr="000F5A38">
        <w:rPr>
          <w:rFonts w:ascii="MetaPro-Norm" w:hAnsi="MetaPro-Norm"/>
          <w:sz w:val="22"/>
          <w:szCs w:val="22"/>
        </w:rPr>
        <w:t xml:space="preserve"> and has called on states to “prohibit by law the profiling or targeting of children of any age for commercial purposes on the basis of a digital record of their actual or inferred characteristics, including group or collective data, targeting by association or affinity profiling.”</w:t>
      </w:r>
      <w:r w:rsidRPr="33787544">
        <w:rPr>
          <w:rStyle w:val="FootnoteReference"/>
        </w:rPr>
        <w:footnoteReference w:id="24"/>
      </w:r>
    </w:p>
    <w:p w14:paraId="5919344F" w14:textId="77777777" w:rsidR="00B17A7F" w:rsidRDefault="00B17A7F" w:rsidP="00B17A7F">
      <w:pPr>
        <w:pStyle w:val="Body"/>
        <w:rPr>
          <w:rFonts w:ascii="MetaPro-Norm" w:hAnsi="MetaPro-Norm"/>
          <w:sz w:val="22"/>
          <w:szCs w:val="22"/>
        </w:rPr>
      </w:pPr>
    </w:p>
    <w:p w14:paraId="36F8A16D" w14:textId="77777777" w:rsidR="00B17A7F" w:rsidRPr="00944CB9" w:rsidRDefault="00B17A7F" w:rsidP="00B17A7F">
      <w:pPr>
        <w:pStyle w:val="Body"/>
        <w:rPr>
          <w:rFonts w:ascii="MetaPro-Norm" w:hAnsi="MetaPro-Norm"/>
          <w:sz w:val="22"/>
          <w:szCs w:val="22"/>
        </w:rPr>
      </w:pPr>
      <w:r>
        <w:rPr>
          <w:rFonts w:ascii="MetaPro-Norm" w:hAnsi="MetaPro-Norm"/>
          <w:sz w:val="22"/>
          <w:szCs w:val="22"/>
        </w:rPr>
        <w:t>Notesmaster also deployed “key logging,” a particularly invasive procedure that surreptitiously captures personal information that people enter on forms before they hit submit, much less consent. Human Rights Watch detected Notesmaster using key logging to send child users’ names, usernames, passwords, and other information to YouTube.</w:t>
      </w:r>
    </w:p>
    <w:p w14:paraId="7B55AD8F" w14:textId="77777777" w:rsidR="00B17A7F" w:rsidRDefault="00B17A7F" w:rsidP="00B17A7F">
      <w:pPr>
        <w:pStyle w:val="Body"/>
        <w:rPr>
          <w:rFonts w:ascii="MetaPro-Norm" w:hAnsi="MetaPro-Norm"/>
          <w:sz w:val="22"/>
          <w:szCs w:val="22"/>
        </w:rPr>
      </w:pPr>
    </w:p>
    <w:p w14:paraId="20F0346C" w14:textId="77777777" w:rsidR="00B17A7F" w:rsidRDefault="00B17A7F" w:rsidP="00B17A7F">
      <w:pPr>
        <w:spacing w:after="0" w:line="252" w:lineRule="auto"/>
        <w:rPr>
          <w:rFonts w:ascii="MetaPro-Norm" w:hAnsi="MetaPro-Norm"/>
        </w:rPr>
      </w:pPr>
      <w:r>
        <w:rPr>
          <w:rFonts w:ascii="MetaPro-Norm" w:hAnsi="MetaPro-Norm"/>
        </w:rPr>
        <w:t>Children were compelled to give up their privacy for their learning. Human Rights Watch finds that these tracking techniques, designed for advertising and commercial purposes, are neither proportionate nor necessary for Notesmaster to function or to deliver educational content. Their use on children in an educational setting arbitrarily interferes with children’s right to privacy.</w:t>
      </w:r>
    </w:p>
    <w:p w14:paraId="3A17D53F" w14:textId="77777777" w:rsidR="00B17A7F" w:rsidRDefault="00B17A7F" w:rsidP="00B17A7F">
      <w:pPr>
        <w:spacing w:after="0" w:line="252" w:lineRule="auto"/>
        <w:rPr>
          <w:rFonts w:ascii="MetaPro-Norm" w:hAnsi="MetaPro-Norm"/>
        </w:rPr>
      </w:pPr>
    </w:p>
    <w:p w14:paraId="3F5CACB3" w14:textId="77777777" w:rsidR="00B17A7F" w:rsidRDefault="00B17A7F" w:rsidP="00B17A7F">
      <w:pPr>
        <w:spacing w:after="0" w:line="252" w:lineRule="auto"/>
        <w:rPr>
          <w:rFonts w:ascii="MetaPro-Norm" w:hAnsi="MetaPro-Norm"/>
        </w:rPr>
      </w:pPr>
      <w:r>
        <w:rPr>
          <w:rFonts w:ascii="MetaPro-Norm" w:hAnsi="MetaPro-Norm"/>
        </w:rPr>
        <w:lastRenderedPageBreak/>
        <w:t xml:space="preserve">Children who relied on Notesmaster as their primary source of education during school closures could not </w:t>
      </w:r>
      <w:r w:rsidRPr="00DF54E9">
        <w:rPr>
          <w:rFonts w:ascii="MetaPro-Norm" w:hAnsi="MetaPro-Norm"/>
        </w:rPr>
        <w:t>reasonably object to such surveillance</w:t>
      </w:r>
      <w:r>
        <w:rPr>
          <w:rFonts w:ascii="MetaPro-Norm" w:hAnsi="MetaPro-Norm"/>
        </w:rPr>
        <w:t xml:space="preserve"> </w:t>
      </w:r>
      <w:r w:rsidRPr="00DF54E9">
        <w:rPr>
          <w:rFonts w:ascii="MetaPro-Norm" w:hAnsi="MetaPro-Norm"/>
        </w:rPr>
        <w:t>without opting out of compulsory education and giving up on formal learning during the pandemic.</w:t>
      </w:r>
      <w:r>
        <w:rPr>
          <w:rFonts w:ascii="MetaPro-Norm" w:hAnsi="MetaPro-Norm"/>
        </w:rPr>
        <w:t xml:space="preserve"> Notesmaster did not allow children to decline to be tracked. </w:t>
      </w:r>
      <w:r w:rsidRPr="00B466D7">
        <w:rPr>
          <w:rFonts w:ascii="MetaPro-Norm" w:hAnsi="MetaPro-Norm"/>
        </w:rPr>
        <w:t>As these tracking</w:t>
      </w:r>
      <w:r>
        <w:rPr>
          <w:rFonts w:ascii="MetaPro-Norm" w:hAnsi="MetaPro-Norm"/>
        </w:rPr>
        <w:t xml:space="preserve"> </w:t>
      </w:r>
      <w:r w:rsidRPr="00B466D7">
        <w:rPr>
          <w:rFonts w:ascii="MetaPro-Norm" w:hAnsi="MetaPro-Norm"/>
        </w:rPr>
        <w:t>technologies were invisible to the user, children had no reasonably practical way of knowing</w:t>
      </w:r>
      <w:r>
        <w:rPr>
          <w:rFonts w:ascii="MetaPro-Norm" w:hAnsi="MetaPro-Norm"/>
        </w:rPr>
        <w:t xml:space="preserve"> </w:t>
      </w:r>
      <w:r w:rsidRPr="00B466D7">
        <w:rPr>
          <w:rFonts w:ascii="MetaPro-Norm" w:hAnsi="MetaPro-Norm"/>
        </w:rPr>
        <w:t xml:space="preserve">the existence and extent of these data practices, much less the impacts on their rights. </w:t>
      </w:r>
    </w:p>
    <w:p w14:paraId="615A2E8F" w14:textId="77777777" w:rsidR="00B17A7F" w:rsidRDefault="00B17A7F" w:rsidP="00B17A7F">
      <w:pPr>
        <w:spacing w:after="0" w:line="252" w:lineRule="auto"/>
        <w:rPr>
          <w:rFonts w:ascii="MetaPro-Norm" w:hAnsi="MetaPro-Norm"/>
        </w:rPr>
      </w:pPr>
    </w:p>
    <w:p w14:paraId="5BB9147D" w14:textId="12B7E0DA" w:rsidR="00B17A7F" w:rsidRDefault="00B17A7F" w:rsidP="00B17A7F">
      <w:pPr>
        <w:spacing w:after="0" w:line="252" w:lineRule="auto"/>
        <w:rPr>
          <w:rFonts w:ascii="MetaPro-Norm" w:hAnsi="MetaPro-Norm"/>
        </w:rPr>
      </w:pPr>
      <w:r w:rsidRPr="33787544">
        <w:rPr>
          <w:rFonts w:ascii="MetaPro-Norm" w:hAnsi="MetaPro-Norm"/>
        </w:rPr>
        <w:t xml:space="preserve">Human Rights Watch did not find evidence that Malawi’s </w:t>
      </w:r>
      <w:r w:rsidR="00BD06D0">
        <w:rPr>
          <w:rFonts w:ascii="MetaPro-Norm" w:hAnsi="MetaPro-Norm"/>
        </w:rPr>
        <w:t>E</w:t>
      </w:r>
      <w:r w:rsidRPr="33787544">
        <w:rPr>
          <w:rFonts w:ascii="MetaPro-Norm" w:hAnsi="MetaPro-Norm"/>
        </w:rPr>
        <w:t xml:space="preserve">ducation </w:t>
      </w:r>
      <w:r w:rsidR="00BD06D0">
        <w:rPr>
          <w:rFonts w:ascii="MetaPro-Norm" w:hAnsi="MetaPro-Norm"/>
        </w:rPr>
        <w:t>M</w:t>
      </w:r>
      <w:r w:rsidRPr="33787544">
        <w:rPr>
          <w:rFonts w:ascii="MetaPro-Norm" w:hAnsi="MetaPro-Norm"/>
        </w:rPr>
        <w:t>inistry took measures to prevent or mitigate children’s rights abuses through Note</w:t>
      </w:r>
      <w:r w:rsidR="005B4593" w:rsidRPr="33787544">
        <w:rPr>
          <w:rFonts w:ascii="MetaPro-Norm" w:hAnsi="MetaPro-Norm"/>
        </w:rPr>
        <w:t>s</w:t>
      </w:r>
      <w:r w:rsidRPr="33787544">
        <w:rPr>
          <w:rFonts w:ascii="MetaPro-Norm" w:hAnsi="MetaPro-Norm"/>
        </w:rPr>
        <w:t xml:space="preserve">master’s data practices, or that the </w:t>
      </w:r>
      <w:r w:rsidR="00BD06D0">
        <w:rPr>
          <w:rFonts w:ascii="MetaPro-Norm" w:hAnsi="MetaPro-Norm"/>
        </w:rPr>
        <w:t>E</w:t>
      </w:r>
      <w:r w:rsidRPr="33787544">
        <w:rPr>
          <w:rFonts w:ascii="MetaPro-Norm" w:hAnsi="MetaPro-Norm"/>
        </w:rPr>
        <w:t xml:space="preserve">ducation </w:t>
      </w:r>
      <w:r w:rsidR="00BD06D0">
        <w:rPr>
          <w:rFonts w:ascii="MetaPro-Norm" w:hAnsi="MetaPro-Norm"/>
        </w:rPr>
        <w:t>M</w:t>
      </w:r>
      <w:r w:rsidRPr="33787544">
        <w:rPr>
          <w:rFonts w:ascii="MetaPro-Norm" w:hAnsi="MetaPro-Norm"/>
        </w:rPr>
        <w:t xml:space="preserve">inistry checked whether Notesmaster was safe for </w:t>
      </w:r>
      <w:r w:rsidR="5E611909" w:rsidRPr="33787544">
        <w:rPr>
          <w:rFonts w:ascii="MetaPro-Norm" w:hAnsi="MetaPro-Norm"/>
        </w:rPr>
        <w:t xml:space="preserve">girls, or </w:t>
      </w:r>
      <w:r w:rsidRPr="33787544">
        <w:rPr>
          <w:rFonts w:ascii="MetaPro-Norm" w:hAnsi="MetaPro-Norm"/>
        </w:rPr>
        <w:t xml:space="preserve">children </w:t>
      </w:r>
      <w:r w:rsidR="1AAEFF56" w:rsidRPr="33787544">
        <w:rPr>
          <w:rFonts w:ascii="MetaPro-Norm" w:hAnsi="MetaPro-Norm"/>
        </w:rPr>
        <w:t xml:space="preserve">in general, </w:t>
      </w:r>
      <w:r w:rsidRPr="33787544">
        <w:rPr>
          <w:rFonts w:ascii="MetaPro-Norm" w:hAnsi="MetaPro-Norm"/>
        </w:rPr>
        <w:t xml:space="preserve">to use. As a result, </w:t>
      </w:r>
      <w:r w:rsidR="572421A8" w:rsidRPr="33787544">
        <w:rPr>
          <w:rFonts w:ascii="MetaPro-Norm" w:hAnsi="MetaPro-Norm"/>
        </w:rPr>
        <w:t xml:space="preserve">girls and children in general, </w:t>
      </w:r>
      <w:r w:rsidRPr="33787544">
        <w:rPr>
          <w:rFonts w:ascii="MetaPro-Norm" w:hAnsi="MetaPro-Norm"/>
        </w:rPr>
        <w:t>whose families were able to afford access to the internet and connected devices, or who made hard sacrifices to do so, were exposed to the risks of misuse or exploitation of their data.</w:t>
      </w:r>
    </w:p>
    <w:p w14:paraId="6653F8DE" w14:textId="77777777" w:rsidR="00B17A7F" w:rsidRDefault="00B17A7F" w:rsidP="00B17A7F">
      <w:pPr>
        <w:pStyle w:val="Body"/>
        <w:rPr>
          <w:rFonts w:ascii="MetaPro-Norm" w:hAnsi="MetaPro-Norm"/>
          <w:sz w:val="22"/>
          <w:szCs w:val="22"/>
        </w:rPr>
      </w:pPr>
    </w:p>
    <w:p w14:paraId="3E7F4759" w14:textId="4B8DC48D" w:rsidR="00B17A7F" w:rsidRDefault="00B17A7F" w:rsidP="00B17A7F">
      <w:pPr>
        <w:pStyle w:val="Body"/>
        <w:rPr>
          <w:rFonts w:ascii="MetaPro-Norm" w:hAnsi="MetaPro-Norm"/>
          <w:sz w:val="22"/>
          <w:szCs w:val="22"/>
        </w:rPr>
      </w:pPr>
      <w:r>
        <w:rPr>
          <w:rFonts w:ascii="MetaPro-Norm" w:hAnsi="MetaPro-Norm"/>
          <w:sz w:val="22"/>
          <w:szCs w:val="22"/>
        </w:rPr>
        <w:t xml:space="preserve">The </w:t>
      </w:r>
      <w:r w:rsidR="00BD06D0">
        <w:rPr>
          <w:rFonts w:ascii="MetaPro-Norm" w:hAnsi="MetaPro-Norm"/>
          <w:sz w:val="22"/>
          <w:szCs w:val="22"/>
        </w:rPr>
        <w:t>E</w:t>
      </w:r>
      <w:r>
        <w:rPr>
          <w:rFonts w:ascii="MetaPro-Norm" w:hAnsi="MetaPro-Norm"/>
          <w:sz w:val="22"/>
          <w:szCs w:val="22"/>
        </w:rPr>
        <w:t xml:space="preserve">ducation </w:t>
      </w:r>
      <w:r w:rsidR="00BD06D0">
        <w:rPr>
          <w:rFonts w:ascii="MetaPro-Norm" w:hAnsi="MetaPro-Norm"/>
          <w:sz w:val="22"/>
          <w:szCs w:val="22"/>
        </w:rPr>
        <w:t>M</w:t>
      </w:r>
      <w:r>
        <w:rPr>
          <w:rFonts w:ascii="MetaPro-Norm" w:hAnsi="MetaPro-Norm"/>
          <w:sz w:val="22"/>
          <w:szCs w:val="22"/>
        </w:rPr>
        <w:t>inistry did not respond to Human Rights Watch’s request for comment. Notesmaster denied that it shares children’s data with third-party advertising companies and stated that it does not display advertising on its site.</w:t>
      </w:r>
      <w:r w:rsidRPr="068A16C0">
        <w:rPr>
          <w:rStyle w:val="FootnoteReference"/>
        </w:rPr>
        <w:footnoteReference w:id="25"/>
      </w:r>
      <w:r>
        <w:rPr>
          <w:rFonts w:ascii="MetaPro-Norm" w:hAnsi="MetaPro-Norm"/>
          <w:sz w:val="22"/>
          <w:szCs w:val="22"/>
        </w:rPr>
        <w:t xml:space="preserve"> In its response, </w:t>
      </w:r>
      <w:r w:rsidRPr="008F3FC9">
        <w:rPr>
          <w:rFonts w:ascii="MetaPro-Norm" w:hAnsi="MetaPro-Norm"/>
          <w:sz w:val="22"/>
          <w:szCs w:val="22"/>
        </w:rPr>
        <w:t xml:space="preserve">Oracle confirmed the data leak, and said that an investigation it conducted in 2020 did not uncover evidence that data relating to children were involved. Oracle stated that any receipt of data related to children would be a violation of Oracle’s agreements and policy, and did not address whether it had nonetheless received child users’ data from six EdTech websites, including </w:t>
      </w:r>
      <w:r>
        <w:rPr>
          <w:rFonts w:ascii="MetaPro-Norm" w:hAnsi="MetaPro-Norm"/>
          <w:sz w:val="22"/>
          <w:szCs w:val="22"/>
        </w:rPr>
        <w:t>Notesmaster</w:t>
      </w:r>
      <w:r w:rsidRPr="008F3FC9">
        <w:rPr>
          <w:rFonts w:ascii="MetaPro-Norm" w:hAnsi="MetaPro-Norm"/>
          <w:sz w:val="22"/>
          <w:szCs w:val="22"/>
        </w:rPr>
        <w:t xml:space="preserve">. The company did not address whether data received from </w:t>
      </w:r>
      <w:r>
        <w:rPr>
          <w:rFonts w:ascii="MetaPro-Norm" w:hAnsi="MetaPro-Norm"/>
          <w:sz w:val="22"/>
          <w:szCs w:val="22"/>
        </w:rPr>
        <w:t>Notesmaster</w:t>
      </w:r>
      <w:r w:rsidRPr="008F3FC9">
        <w:rPr>
          <w:rFonts w:ascii="MetaPro-Norm" w:hAnsi="MetaPro-Norm"/>
          <w:sz w:val="22"/>
          <w:szCs w:val="22"/>
        </w:rPr>
        <w:t xml:space="preserve"> were exposed as part of the 2020 security breach, and whether it had informed </w:t>
      </w:r>
      <w:r>
        <w:rPr>
          <w:rFonts w:ascii="MetaPro-Norm" w:hAnsi="MetaPro-Norm"/>
          <w:sz w:val="22"/>
          <w:szCs w:val="22"/>
        </w:rPr>
        <w:t>Notesmaster</w:t>
      </w:r>
      <w:r w:rsidRPr="008F3FC9">
        <w:rPr>
          <w:rFonts w:ascii="MetaPro-Norm" w:hAnsi="MetaPro-Norm"/>
          <w:sz w:val="22"/>
          <w:szCs w:val="22"/>
        </w:rPr>
        <w:t xml:space="preserve"> or the other EdTech websites about the security breach.</w:t>
      </w:r>
      <w:r w:rsidRPr="068A16C0">
        <w:rPr>
          <w:rStyle w:val="FootnoteReference"/>
        </w:rPr>
        <w:footnoteReference w:id="26"/>
      </w:r>
      <w:r>
        <w:rPr>
          <w:rFonts w:ascii="MetaPro-Norm" w:hAnsi="MetaPro-Norm"/>
          <w:sz w:val="22"/>
          <w:szCs w:val="22"/>
        </w:rPr>
        <w:t xml:space="preserve"> </w:t>
      </w:r>
    </w:p>
    <w:p w14:paraId="33E0EDFC" w14:textId="77777777" w:rsidR="00B17A7F" w:rsidRDefault="00B17A7F" w:rsidP="00B17A7F">
      <w:pPr>
        <w:pStyle w:val="Body"/>
        <w:rPr>
          <w:rFonts w:ascii="MetaPro-Norm" w:hAnsi="MetaPro-Norm"/>
          <w:sz w:val="22"/>
          <w:szCs w:val="22"/>
        </w:rPr>
      </w:pPr>
    </w:p>
    <w:p w14:paraId="5716AF6B" w14:textId="77777777" w:rsidR="00B17A7F" w:rsidRDefault="00B17A7F" w:rsidP="00B17A7F">
      <w:pPr>
        <w:pStyle w:val="Body"/>
        <w:rPr>
          <w:rFonts w:ascii="MetaPro-Norm" w:hAnsi="MetaPro-Norm"/>
          <w:sz w:val="22"/>
          <w:szCs w:val="22"/>
        </w:rPr>
      </w:pPr>
      <w:r w:rsidRPr="002B3F2E">
        <w:rPr>
          <w:rFonts w:ascii="MetaPro-Norm" w:hAnsi="MetaPro-Norm"/>
          <w:sz w:val="22"/>
          <w:szCs w:val="22"/>
        </w:rPr>
        <w:t xml:space="preserve">Meta did not address whether it was receiving children’s user data from </w:t>
      </w:r>
      <w:r>
        <w:rPr>
          <w:rFonts w:ascii="MetaPro-Norm" w:hAnsi="MetaPro-Norm"/>
          <w:sz w:val="22"/>
          <w:szCs w:val="22"/>
        </w:rPr>
        <w:t>Notesmaster</w:t>
      </w:r>
      <w:r w:rsidRPr="002B3F2E">
        <w:rPr>
          <w:rFonts w:ascii="MetaPro-Norm" w:hAnsi="MetaPro-Norm"/>
          <w:sz w:val="22"/>
          <w:szCs w:val="22"/>
        </w:rPr>
        <w:t xml:space="preserve"> and said that it was their customers’ responsibility to comply with their policies and applicable laws that prohibit the collection of children’s data.</w:t>
      </w:r>
      <w:r w:rsidRPr="33787544">
        <w:rPr>
          <w:rStyle w:val="FootnoteReference"/>
        </w:rPr>
        <w:footnoteReference w:id="27"/>
      </w:r>
    </w:p>
    <w:p w14:paraId="1C5471AB" w14:textId="77777777" w:rsidR="00B17A7F" w:rsidRDefault="00B17A7F" w:rsidP="00B17A7F">
      <w:pPr>
        <w:pStyle w:val="Body"/>
        <w:rPr>
          <w:rFonts w:ascii="MetaPro-Norm" w:hAnsi="MetaPro-Norm"/>
          <w:sz w:val="22"/>
          <w:szCs w:val="22"/>
        </w:rPr>
      </w:pPr>
    </w:p>
    <w:p w14:paraId="6E995FC5" w14:textId="77777777" w:rsidR="00B17A7F" w:rsidRPr="00F538A8" w:rsidRDefault="00B17A7F" w:rsidP="00B17A7F">
      <w:pPr>
        <w:pStyle w:val="Body"/>
        <w:rPr>
          <w:rFonts w:ascii="MetaPro-Norm" w:hAnsi="MetaPro-Norm"/>
          <w:i/>
          <w:iCs/>
          <w:sz w:val="22"/>
          <w:szCs w:val="22"/>
        </w:rPr>
      </w:pPr>
      <w:r w:rsidRPr="00F538A8">
        <w:rPr>
          <w:rFonts w:ascii="MetaPro-Norm" w:hAnsi="MetaPro-Norm"/>
          <w:i/>
          <w:iCs/>
          <w:sz w:val="22"/>
          <w:szCs w:val="22"/>
        </w:rPr>
        <w:t>Human Rights Watch recommends that the Committee ask the government of Malawi:</w:t>
      </w:r>
    </w:p>
    <w:p w14:paraId="0CFC00AE" w14:textId="722C226C" w:rsidR="00B17A7F" w:rsidRDefault="00B17A7F" w:rsidP="00B17A7F">
      <w:pPr>
        <w:pStyle w:val="Body"/>
        <w:numPr>
          <w:ilvl w:val="0"/>
          <w:numId w:val="4"/>
        </w:numPr>
        <w:rPr>
          <w:rFonts w:ascii="MetaPro-Norm" w:hAnsi="MetaPro-Norm"/>
          <w:sz w:val="22"/>
          <w:szCs w:val="22"/>
        </w:rPr>
      </w:pPr>
      <w:r w:rsidRPr="33787544">
        <w:rPr>
          <w:rFonts w:ascii="MetaPro-Norm" w:hAnsi="MetaPro-Norm"/>
          <w:sz w:val="22"/>
          <w:szCs w:val="22"/>
        </w:rPr>
        <w:t xml:space="preserve">Does the government have plans to amend its proposed draft data protection law to incorporate comprehensive protections for </w:t>
      </w:r>
      <w:r w:rsidR="3E728273" w:rsidRPr="33787544">
        <w:rPr>
          <w:rFonts w:ascii="MetaPro-Norm" w:hAnsi="MetaPro-Norm"/>
          <w:sz w:val="22"/>
          <w:szCs w:val="22"/>
        </w:rPr>
        <w:t xml:space="preserve">girls and all </w:t>
      </w:r>
      <w:r w:rsidRPr="33787544">
        <w:rPr>
          <w:rFonts w:ascii="MetaPro-Norm" w:hAnsi="MetaPro-Norm"/>
          <w:sz w:val="22"/>
          <w:szCs w:val="22"/>
        </w:rPr>
        <w:t>children?</w:t>
      </w:r>
    </w:p>
    <w:p w14:paraId="3AB2CD48" w14:textId="77777777" w:rsidR="00B17A7F" w:rsidRDefault="00B17A7F" w:rsidP="00B17A7F">
      <w:pPr>
        <w:pStyle w:val="Body"/>
        <w:numPr>
          <w:ilvl w:val="0"/>
          <w:numId w:val="4"/>
        </w:numPr>
        <w:rPr>
          <w:rFonts w:ascii="MetaPro-Norm" w:hAnsi="MetaPro-Norm"/>
          <w:sz w:val="22"/>
          <w:szCs w:val="22"/>
        </w:rPr>
      </w:pPr>
      <w:r w:rsidRPr="003E15FD">
        <w:rPr>
          <w:rFonts w:ascii="MetaPro-Norm" w:hAnsi="MetaPro-Norm"/>
          <w:sz w:val="22"/>
          <w:szCs w:val="22"/>
        </w:rPr>
        <w:t xml:space="preserve">What recourse or remedy does the government provide, or is planning to provide, to </w:t>
      </w:r>
      <w:r>
        <w:rPr>
          <w:rFonts w:ascii="MetaPro-Norm" w:hAnsi="MetaPro-Norm"/>
          <w:sz w:val="22"/>
          <w:szCs w:val="22"/>
        </w:rPr>
        <w:t>children</w:t>
      </w:r>
      <w:r w:rsidRPr="003E15FD">
        <w:rPr>
          <w:rFonts w:ascii="MetaPro-Norm" w:hAnsi="MetaPro-Norm"/>
          <w:sz w:val="22"/>
          <w:szCs w:val="22"/>
        </w:rPr>
        <w:t xml:space="preserve"> who have experienced infringements of their rights as a result of their use of </w:t>
      </w:r>
      <w:r>
        <w:rPr>
          <w:rFonts w:ascii="MetaPro-Norm" w:hAnsi="MetaPro-Norm"/>
          <w:sz w:val="22"/>
          <w:szCs w:val="22"/>
        </w:rPr>
        <w:t>Notesmaster</w:t>
      </w:r>
      <w:r w:rsidRPr="003E15FD">
        <w:rPr>
          <w:rFonts w:ascii="MetaPro-Norm" w:hAnsi="MetaPro-Norm"/>
          <w:sz w:val="22"/>
          <w:szCs w:val="22"/>
        </w:rPr>
        <w:t xml:space="preserve"> and whose data remain at risk of misuse and exploitation?</w:t>
      </w:r>
    </w:p>
    <w:p w14:paraId="787A143A" w14:textId="77777777" w:rsidR="00B17A7F" w:rsidRPr="00F538A8" w:rsidRDefault="00B17A7F" w:rsidP="00B17A7F">
      <w:pPr>
        <w:pStyle w:val="Body"/>
        <w:ind w:left="720"/>
        <w:rPr>
          <w:rFonts w:ascii="MetaPro-Norm" w:hAnsi="MetaPro-Norm"/>
          <w:sz w:val="22"/>
          <w:szCs w:val="22"/>
        </w:rPr>
      </w:pPr>
    </w:p>
    <w:p w14:paraId="7E66E370" w14:textId="77777777" w:rsidR="00B17A7F" w:rsidRPr="003E15FD" w:rsidRDefault="00B17A7F" w:rsidP="00B17A7F">
      <w:pPr>
        <w:pStyle w:val="Body"/>
        <w:rPr>
          <w:rFonts w:ascii="MetaPro-Norm" w:hAnsi="MetaPro-Norm"/>
          <w:i/>
          <w:iCs/>
          <w:sz w:val="22"/>
          <w:szCs w:val="22"/>
        </w:rPr>
      </w:pPr>
      <w:r w:rsidRPr="003E15FD">
        <w:rPr>
          <w:rFonts w:ascii="MetaPro-Norm" w:hAnsi="MetaPro-Norm"/>
          <w:i/>
          <w:iCs/>
          <w:sz w:val="22"/>
          <w:szCs w:val="22"/>
        </w:rPr>
        <w:t>Human Rights Watch recommends that the Committee call on the government of Malawi to:</w:t>
      </w:r>
    </w:p>
    <w:p w14:paraId="4C302EF5" w14:textId="31518D51" w:rsidR="00B17A7F" w:rsidRDefault="00B17A7F" w:rsidP="00B17A7F">
      <w:pPr>
        <w:pStyle w:val="Body"/>
        <w:numPr>
          <w:ilvl w:val="0"/>
          <w:numId w:val="5"/>
        </w:numPr>
        <w:rPr>
          <w:rFonts w:ascii="MetaPro-Norm" w:hAnsi="MetaPro-Norm"/>
          <w:sz w:val="22"/>
          <w:szCs w:val="22"/>
        </w:rPr>
      </w:pPr>
      <w:r w:rsidRPr="33787544">
        <w:rPr>
          <w:rFonts w:ascii="MetaPro-Norm" w:hAnsi="MetaPro-Norm"/>
          <w:sz w:val="22"/>
          <w:szCs w:val="22"/>
        </w:rPr>
        <w:t xml:space="preserve">Amend and adopt its proposed draft data protection law to incorporate comprehensive protections for </w:t>
      </w:r>
      <w:r w:rsidR="6C3CF685" w:rsidRPr="33787544">
        <w:rPr>
          <w:rFonts w:ascii="MetaPro-Norm" w:hAnsi="MetaPro-Norm"/>
          <w:sz w:val="22"/>
          <w:szCs w:val="22"/>
        </w:rPr>
        <w:t xml:space="preserve">all </w:t>
      </w:r>
      <w:r w:rsidRPr="33787544">
        <w:rPr>
          <w:rFonts w:ascii="MetaPro-Norm" w:hAnsi="MetaPro-Norm"/>
          <w:sz w:val="22"/>
          <w:szCs w:val="22"/>
        </w:rPr>
        <w:t>children</w:t>
      </w:r>
      <w:r w:rsidR="5B2506B4" w:rsidRPr="33787544">
        <w:rPr>
          <w:rFonts w:ascii="MetaPro-Norm" w:hAnsi="MetaPro-Norm"/>
          <w:sz w:val="22"/>
          <w:szCs w:val="22"/>
        </w:rPr>
        <w:t>, including girls</w:t>
      </w:r>
      <w:r w:rsidRPr="33787544">
        <w:rPr>
          <w:rFonts w:ascii="MetaPro-Norm" w:hAnsi="MetaPro-Norm"/>
          <w:sz w:val="22"/>
          <w:szCs w:val="22"/>
        </w:rPr>
        <w:t>. Such protections should require that any processing of children’s data meet strict requirements of necessity and proportionality, regardless of consent.</w:t>
      </w:r>
    </w:p>
    <w:p w14:paraId="5A3B4BD8" w14:textId="77777777" w:rsidR="00B322F7" w:rsidRDefault="00B17A7F" w:rsidP="00B322F7">
      <w:pPr>
        <w:pStyle w:val="Body"/>
        <w:numPr>
          <w:ilvl w:val="0"/>
          <w:numId w:val="5"/>
        </w:numPr>
        <w:rPr>
          <w:rFonts w:ascii="MetaPro-Norm" w:hAnsi="MetaPro-Norm"/>
          <w:sz w:val="22"/>
          <w:szCs w:val="22"/>
        </w:rPr>
      </w:pPr>
      <w:r w:rsidRPr="005F51E6">
        <w:rPr>
          <w:rFonts w:ascii="MetaPro-Norm" w:hAnsi="MetaPro-Norm"/>
          <w:sz w:val="22"/>
          <w:szCs w:val="22"/>
        </w:rPr>
        <w:t xml:space="preserve">Provide remedies for children whose data were collected through their use of </w:t>
      </w:r>
      <w:r>
        <w:rPr>
          <w:rFonts w:ascii="MetaPro-Norm" w:hAnsi="MetaPro-Norm"/>
          <w:sz w:val="22"/>
          <w:szCs w:val="22"/>
        </w:rPr>
        <w:t>Notesmaster</w:t>
      </w:r>
      <w:r w:rsidRPr="005F51E6">
        <w:rPr>
          <w:rFonts w:ascii="MetaPro-Norm" w:hAnsi="MetaPro-Norm"/>
          <w:sz w:val="22"/>
          <w:szCs w:val="22"/>
        </w:rPr>
        <w:t xml:space="preserve">. To do so, the </w:t>
      </w:r>
      <w:r>
        <w:rPr>
          <w:rFonts w:ascii="MetaPro-Norm" w:hAnsi="MetaPro-Norm"/>
          <w:sz w:val="22"/>
          <w:szCs w:val="22"/>
        </w:rPr>
        <w:t>Education Ministry</w:t>
      </w:r>
      <w:r w:rsidRPr="005F51E6">
        <w:rPr>
          <w:rFonts w:ascii="MetaPro-Norm" w:hAnsi="MetaPro-Norm"/>
          <w:sz w:val="22"/>
          <w:szCs w:val="22"/>
        </w:rPr>
        <w:t xml:space="preserve"> should:</w:t>
      </w:r>
    </w:p>
    <w:p w14:paraId="62DC371E" w14:textId="49443F40" w:rsidR="00B17A7F" w:rsidRPr="00B322F7" w:rsidRDefault="00B17A7F" w:rsidP="00B322F7">
      <w:pPr>
        <w:pStyle w:val="Body"/>
        <w:numPr>
          <w:ilvl w:val="1"/>
          <w:numId w:val="5"/>
        </w:numPr>
        <w:rPr>
          <w:rFonts w:ascii="MetaPro-Norm" w:hAnsi="MetaPro-Norm"/>
          <w:sz w:val="22"/>
          <w:szCs w:val="22"/>
        </w:rPr>
      </w:pPr>
      <w:r w:rsidRPr="00B322F7">
        <w:rPr>
          <w:rFonts w:ascii="MetaPro-Norm" w:hAnsi="MetaPro-Norm"/>
          <w:sz w:val="22"/>
          <w:szCs w:val="22"/>
        </w:rPr>
        <w:t>Require Notesmaster to immediately remove all ad tracking technologies from its website, and delete any children’s data collected during the pandemic.</w:t>
      </w:r>
    </w:p>
    <w:p w14:paraId="353B62A6" w14:textId="77777777" w:rsidR="00B17A7F" w:rsidRDefault="00B17A7F" w:rsidP="00B17A7F">
      <w:pPr>
        <w:pStyle w:val="Body"/>
        <w:numPr>
          <w:ilvl w:val="1"/>
          <w:numId w:val="5"/>
        </w:numPr>
        <w:rPr>
          <w:rFonts w:ascii="MetaPro-Norm" w:hAnsi="MetaPro-Norm"/>
          <w:sz w:val="22"/>
          <w:szCs w:val="22"/>
        </w:rPr>
      </w:pPr>
      <w:r w:rsidRPr="005F51E6">
        <w:rPr>
          <w:rFonts w:ascii="MetaPro-Norm" w:hAnsi="MetaPro-Norm"/>
          <w:sz w:val="22"/>
          <w:szCs w:val="22"/>
        </w:rPr>
        <w:t>Immediately notify and guide affected schools, teachers, parents, and children to prevent further collection and misuse of children’s data.</w:t>
      </w:r>
    </w:p>
    <w:p w14:paraId="51FB2582" w14:textId="4AB6EF49" w:rsidR="00B17A7F" w:rsidRPr="00671C1C" w:rsidRDefault="00B17A7F" w:rsidP="00671C1C">
      <w:pPr>
        <w:pStyle w:val="Body"/>
        <w:numPr>
          <w:ilvl w:val="1"/>
          <w:numId w:val="5"/>
        </w:numPr>
        <w:rPr>
          <w:rFonts w:ascii="MetaPro-Norm" w:hAnsi="MetaPro-Norm"/>
          <w:sz w:val="22"/>
          <w:szCs w:val="22"/>
        </w:rPr>
      </w:pPr>
      <w:r w:rsidRPr="003F3201">
        <w:rPr>
          <w:rFonts w:ascii="MetaPro-Norm" w:hAnsi="MetaPro-Norm"/>
          <w:sz w:val="22"/>
          <w:szCs w:val="22"/>
        </w:rPr>
        <w:t xml:space="preserve">Require AdTech companies to identify and immediately delete any children’s data they received from </w:t>
      </w:r>
      <w:r>
        <w:rPr>
          <w:rFonts w:ascii="MetaPro-Norm" w:hAnsi="MetaPro-Norm"/>
          <w:sz w:val="22"/>
          <w:szCs w:val="22"/>
        </w:rPr>
        <w:t>Notesmaster</w:t>
      </w:r>
      <w:r w:rsidRPr="003F3201">
        <w:rPr>
          <w:rFonts w:ascii="MetaPro-Norm" w:hAnsi="MetaPro-Norm"/>
          <w:sz w:val="22"/>
          <w:szCs w:val="22"/>
        </w:rPr>
        <w:t xml:space="preserve"> during the pandemic.</w:t>
      </w:r>
    </w:p>
    <w:p w14:paraId="299C216E" w14:textId="380E5D1C" w:rsidR="00B17A7F" w:rsidRPr="00B322F7" w:rsidRDefault="00B17A7F" w:rsidP="00B322F7">
      <w:pPr>
        <w:pStyle w:val="Body"/>
        <w:numPr>
          <w:ilvl w:val="0"/>
          <w:numId w:val="5"/>
        </w:numPr>
        <w:rPr>
          <w:rFonts w:ascii="MetaPro-Norm" w:hAnsi="MetaPro-Norm"/>
          <w:sz w:val="22"/>
          <w:szCs w:val="22"/>
        </w:rPr>
      </w:pPr>
      <w:r w:rsidRPr="33787544">
        <w:rPr>
          <w:rFonts w:ascii="MetaPro-Norm" w:hAnsi="MetaPro-Norm"/>
          <w:sz w:val="22"/>
          <w:szCs w:val="22"/>
        </w:rPr>
        <w:t xml:space="preserve">Ensure that any services that are endorsed or procured to deliver online education are safe for </w:t>
      </w:r>
      <w:r w:rsidR="029C2F01" w:rsidRPr="33787544">
        <w:rPr>
          <w:rFonts w:ascii="MetaPro-Norm" w:hAnsi="MetaPro-Norm"/>
          <w:sz w:val="22"/>
          <w:szCs w:val="22"/>
        </w:rPr>
        <w:t xml:space="preserve">girls and all </w:t>
      </w:r>
      <w:r w:rsidRPr="33787544">
        <w:rPr>
          <w:rFonts w:ascii="MetaPro-Norm" w:hAnsi="MetaPro-Norm"/>
          <w:sz w:val="22"/>
          <w:szCs w:val="22"/>
        </w:rPr>
        <w:t xml:space="preserve">children. In coordination with data protection authorities and other relevant institutions, the </w:t>
      </w:r>
      <w:r w:rsidR="00BD06D0">
        <w:rPr>
          <w:rFonts w:ascii="MetaPro-Norm" w:hAnsi="MetaPro-Norm"/>
          <w:sz w:val="22"/>
          <w:szCs w:val="22"/>
        </w:rPr>
        <w:t>E</w:t>
      </w:r>
      <w:r w:rsidRPr="33787544">
        <w:rPr>
          <w:rFonts w:ascii="MetaPro-Norm" w:hAnsi="MetaPro-Norm"/>
          <w:sz w:val="22"/>
          <w:szCs w:val="22"/>
        </w:rPr>
        <w:t xml:space="preserve">ducation </w:t>
      </w:r>
      <w:r w:rsidR="00BD06D0">
        <w:rPr>
          <w:rFonts w:ascii="MetaPro-Norm" w:hAnsi="MetaPro-Norm"/>
          <w:sz w:val="22"/>
          <w:szCs w:val="22"/>
        </w:rPr>
        <w:t>M</w:t>
      </w:r>
      <w:r w:rsidRPr="33787544">
        <w:rPr>
          <w:rFonts w:ascii="MetaPro-Norm" w:hAnsi="MetaPro-Norm"/>
          <w:sz w:val="22"/>
          <w:szCs w:val="22"/>
        </w:rPr>
        <w:t>inistry should:</w:t>
      </w:r>
    </w:p>
    <w:p w14:paraId="65BB495B" w14:textId="77777777" w:rsidR="00B17A7F" w:rsidRDefault="00B17A7F" w:rsidP="00B17A7F">
      <w:pPr>
        <w:pStyle w:val="Body"/>
        <w:numPr>
          <w:ilvl w:val="1"/>
          <w:numId w:val="5"/>
        </w:numPr>
        <w:rPr>
          <w:rFonts w:ascii="MetaPro-Norm" w:hAnsi="MetaPro-Norm"/>
          <w:sz w:val="22"/>
          <w:szCs w:val="22"/>
        </w:rPr>
      </w:pPr>
      <w:r w:rsidRPr="003E15FD">
        <w:rPr>
          <w:rFonts w:ascii="MetaPro-Norm" w:hAnsi="MetaPro-Norm"/>
          <w:sz w:val="22"/>
          <w:szCs w:val="22"/>
        </w:rPr>
        <w:t>Require all actors providing digital educational services to children to identify, prevent, and mitigate negative impacts on children’s rights, including across their business relationships and global operations.</w:t>
      </w:r>
    </w:p>
    <w:p w14:paraId="5CFA2470" w14:textId="77777777" w:rsidR="00B17A7F" w:rsidRDefault="00B17A7F" w:rsidP="00B17A7F">
      <w:pPr>
        <w:pStyle w:val="Body"/>
        <w:numPr>
          <w:ilvl w:val="1"/>
          <w:numId w:val="5"/>
        </w:numPr>
        <w:rPr>
          <w:rFonts w:ascii="MetaPro-Norm" w:hAnsi="MetaPro-Norm"/>
          <w:sz w:val="22"/>
          <w:szCs w:val="22"/>
        </w:rPr>
      </w:pPr>
      <w:r w:rsidRPr="003F3201">
        <w:rPr>
          <w:rFonts w:ascii="MetaPro-Norm" w:hAnsi="MetaPro-Norm"/>
          <w:sz w:val="22"/>
          <w:szCs w:val="22"/>
        </w:rPr>
        <w:t>Require child data protection impact assessments of any educational technology provider seeking public investment, procurement, or endorsement.</w:t>
      </w:r>
    </w:p>
    <w:p w14:paraId="0354CA9D" w14:textId="77777777" w:rsidR="00B17A7F" w:rsidRDefault="00B17A7F" w:rsidP="00B17A7F">
      <w:pPr>
        <w:pStyle w:val="Body"/>
        <w:numPr>
          <w:ilvl w:val="1"/>
          <w:numId w:val="5"/>
        </w:numPr>
        <w:rPr>
          <w:rFonts w:ascii="MetaPro-Norm" w:hAnsi="MetaPro-Norm"/>
          <w:sz w:val="22"/>
          <w:szCs w:val="22"/>
        </w:rPr>
      </w:pPr>
      <w:r w:rsidRPr="003F3201">
        <w:rPr>
          <w:rFonts w:ascii="MetaPro-Norm" w:hAnsi="MetaPro-Norm"/>
          <w:sz w:val="22"/>
          <w:szCs w:val="22"/>
        </w:rPr>
        <w:t>Ensure that public and private educational institutions enter into written contracts with EdTech providers that include protections for children’s data.</w:t>
      </w:r>
    </w:p>
    <w:p w14:paraId="66ED880E" w14:textId="77777777" w:rsidR="00B17A7F" w:rsidRPr="002A6865" w:rsidRDefault="00B17A7F" w:rsidP="00B17A7F">
      <w:pPr>
        <w:pStyle w:val="Body"/>
        <w:numPr>
          <w:ilvl w:val="1"/>
          <w:numId w:val="5"/>
        </w:numPr>
        <w:rPr>
          <w:rFonts w:ascii="MetaPro-Norm" w:hAnsi="MetaPro-Norm"/>
          <w:sz w:val="22"/>
          <w:szCs w:val="22"/>
        </w:rPr>
      </w:pPr>
      <w:r w:rsidRPr="002A6865">
        <w:rPr>
          <w:rFonts w:ascii="MetaPro-Norm" w:hAnsi="MetaPro-Norm"/>
          <w:sz w:val="22"/>
          <w:szCs w:val="22"/>
        </w:rPr>
        <w:t>Define and provide special protections for categories of sensitive personal data that should never be collected from children in educational settings.</w:t>
      </w:r>
    </w:p>
    <w:p w14:paraId="5C9474C8" w14:textId="77777777" w:rsidR="00730C0B" w:rsidRDefault="00730C0B" w:rsidP="374E17B3">
      <w:pPr>
        <w:spacing w:after="0"/>
        <w:rPr>
          <w:rFonts w:ascii="MetaPro-Norm" w:hAnsi="MetaPro-Norm"/>
          <w:b/>
          <w:bCs/>
        </w:rPr>
      </w:pPr>
    </w:p>
    <w:p w14:paraId="0C0AE431" w14:textId="0D194C55" w:rsidR="00730C0B" w:rsidRDefault="3D8D094D" w:rsidP="5F71FCE5">
      <w:pPr>
        <w:spacing w:after="0"/>
        <w:rPr>
          <w:rFonts w:ascii="MetaPro-Norm" w:hAnsi="MetaPro-Norm"/>
          <w:b/>
          <w:bCs/>
        </w:rPr>
      </w:pPr>
      <w:r w:rsidRPr="33787544">
        <w:rPr>
          <w:rFonts w:ascii="MetaPro-Norm" w:hAnsi="MetaPro-Norm"/>
          <w:b/>
          <w:bCs/>
        </w:rPr>
        <w:t>Right to Free and Compulsory Education</w:t>
      </w:r>
      <w:r w:rsidR="0C25EA9F" w:rsidRPr="33787544">
        <w:rPr>
          <w:rFonts w:ascii="MetaPro-Norm" w:hAnsi="MetaPro-Norm"/>
          <w:b/>
          <w:bCs/>
        </w:rPr>
        <w:t xml:space="preserve"> (article 10)</w:t>
      </w:r>
    </w:p>
    <w:p w14:paraId="00D951A6" w14:textId="4A0E9046" w:rsidR="0B8AD403" w:rsidRDefault="0B8AD403" w:rsidP="00B07B14">
      <w:pPr>
        <w:spacing w:after="0"/>
        <w:rPr>
          <w:rFonts w:ascii="MetaPro-Norm" w:hAnsi="MetaPro-Norm"/>
        </w:rPr>
      </w:pPr>
      <w:r w:rsidRPr="33787544">
        <w:rPr>
          <w:rFonts w:ascii="MetaPro-Norm" w:hAnsi="MetaPro-Norm"/>
        </w:rPr>
        <w:t xml:space="preserve">Failing to guarantee free pre-primary and secondary education disproportionately harms girls and women. In a world where too many parents with limited resources face social pressure to prioritize their boys over their girls, </w:t>
      </w:r>
      <w:r w:rsidR="03857930" w:rsidRPr="33787544">
        <w:rPr>
          <w:rFonts w:ascii="MetaPro-Norm" w:hAnsi="MetaPro-Norm"/>
        </w:rPr>
        <w:t>school fees can in particular p</w:t>
      </w:r>
      <w:r w:rsidR="437E85BF" w:rsidRPr="33787544">
        <w:rPr>
          <w:rFonts w:ascii="MetaPro-Norm" w:hAnsi="MetaPro-Norm"/>
        </w:rPr>
        <w:t>l</w:t>
      </w:r>
      <w:r w:rsidR="03857930" w:rsidRPr="33787544">
        <w:rPr>
          <w:rFonts w:ascii="MetaPro-Norm" w:hAnsi="MetaPro-Norm"/>
        </w:rPr>
        <w:t>ay a factor in keep</w:t>
      </w:r>
      <w:r w:rsidR="5FC69984" w:rsidRPr="33787544">
        <w:rPr>
          <w:rFonts w:ascii="MetaPro-Norm" w:hAnsi="MetaPro-Norm"/>
        </w:rPr>
        <w:t>ing</w:t>
      </w:r>
      <w:r w:rsidR="03857930" w:rsidRPr="33787544">
        <w:rPr>
          <w:rFonts w:ascii="MetaPro-Norm" w:hAnsi="MetaPro-Norm"/>
        </w:rPr>
        <w:t xml:space="preserve"> girls from school. </w:t>
      </w:r>
      <w:r w:rsidRPr="33787544">
        <w:rPr>
          <w:rFonts w:ascii="MetaPro-Norm" w:hAnsi="MetaPro-Norm"/>
        </w:rPr>
        <w:t>Excluding children from preschool also hinders parents—overwhelmingly mothers—from engaging in paid employment should they need or choose to do so, or otherwise participating in public life.</w:t>
      </w:r>
      <w:r w:rsidR="6A9701B8" w:rsidRPr="33787544">
        <w:rPr>
          <w:rFonts w:ascii="MetaPro-Norm" w:hAnsi="MetaPro-Norm"/>
        </w:rPr>
        <w:t xml:space="preserve"> In its General Recommendation </w:t>
      </w:r>
      <w:r w:rsidR="10AD1FE5" w:rsidRPr="33787544">
        <w:rPr>
          <w:rFonts w:ascii="MetaPro-Norm" w:hAnsi="MetaPro-Norm"/>
        </w:rPr>
        <w:t>No. 36 (2017) on the right of girls</w:t>
      </w:r>
      <w:r w:rsidR="00B07B14">
        <w:rPr>
          <w:rFonts w:ascii="MetaPro-Norm" w:hAnsi="MetaPro-Norm"/>
        </w:rPr>
        <w:t xml:space="preserve"> </w:t>
      </w:r>
      <w:r w:rsidR="10AD1FE5" w:rsidRPr="33787544">
        <w:rPr>
          <w:rFonts w:ascii="MetaPro-Norm" w:hAnsi="MetaPro-Norm"/>
        </w:rPr>
        <w:t>and women to education, this Committee stated that education “should be free and compulsory from preschool through secondary school.”</w:t>
      </w:r>
      <w:r w:rsidR="0084662B">
        <w:rPr>
          <w:rStyle w:val="FootnoteReference"/>
        </w:rPr>
        <w:footnoteReference w:id="28"/>
      </w:r>
    </w:p>
    <w:p w14:paraId="39339D60" w14:textId="14252CB9" w:rsidR="774BAEBD" w:rsidRDefault="774BAEBD" w:rsidP="774BAEBD">
      <w:pPr>
        <w:spacing w:after="0"/>
        <w:rPr>
          <w:rFonts w:ascii="MetaPro-Norm" w:hAnsi="MetaPro-Norm"/>
        </w:rPr>
      </w:pPr>
    </w:p>
    <w:p w14:paraId="406A1CBE" w14:textId="37DAACF1" w:rsidR="00536D79" w:rsidRPr="00C458E7" w:rsidRDefault="00B84F9A" w:rsidP="008C1F36">
      <w:pPr>
        <w:spacing w:after="0"/>
        <w:rPr>
          <w:rFonts w:ascii="MetaPro-Norm" w:hAnsi="MetaPro-Norm" w:cstheme="minorHAnsi"/>
        </w:rPr>
      </w:pPr>
      <w:r w:rsidRPr="33787544">
        <w:rPr>
          <w:rFonts w:ascii="MetaPro-Norm" w:hAnsi="MetaPro-Norm"/>
        </w:rPr>
        <w:t xml:space="preserve">The Constitution of Malawi </w:t>
      </w:r>
      <w:r w:rsidR="00891505" w:rsidRPr="33787544">
        <w:rPr>
          <w:rFonts w:ascii="MetaPro-Norm" w:hAnsi="MetaPro-Norm"/>
        </w:rPr>
        <w:t xml:space="preserve">and the Education Act state that </w:t>
      </w:r>
      <w:r w:rsidR="0071307E" w:rsidRPr="33787544">
        <w:rPr>
          <w:rFonts w:ascii="MetaPro-Norm" w:hAnsi="MetaPro-Norm"/>
        </w:rPr>
        <w:t>primary education shall be free and compulsory</w:t>
      </w:r>
      <w:r w:rsidR="00C83D1F" w:rsidRPr="33787544">
        <w:rPr>
          <w:rFonts w:ascii="MetaPro-Norm" w:hAnsi="MetaPro-Norm"/>
        </w:rPr>
        <w:t>.</w:t>
      </w:r>
      <w:r w:rsidR="00C83D1F" w:rsidRPr="33787544">
        <w:rPr>
          <w:rStyle w:val="FootnoteReference"/>
        </w:rPr>
        <w:footnoteReference w:id="29"/>
      </w:r>
      <w:r w:rsidR="005657FE" w:rsidRPr="33787544">
        <w:rPr>
          <w:rFonts w:ascii="MetaPro-Norm" w:hAnsi="MetaPro-Norm"/>
        </w:rPr>
        <w:t xml:space="preserve"> Primary education begins at </w:t>
      </w:r>
      <w:r w:rsidR="001F02C5" w:rsidRPr="33787544">
        <w:rPr>
          <w:rFonts w:ascii="MetaPro-Norm" w:hAnsi="MetaPro-Norm"/>
        </w:rPr>
        <w:t xml:space="preserve">age </w:t>
      </w:r>
      <w:r w:rsidR="005657FE" w:rsidRPr="33787544">
        <w:rPr>
          <w:rFonts w:ascii="MetaPro-Norm" w:hAnsi="MetaPro-Norm"/>
        </w:rPr>
        <w:t xml:space="preserve">6 and </w:t>
      </w:r>
      <w:r w:rsidR="004F0273" w:rsidRPr="33787544">
        <w:rPr>
          <w:rFonts w:ascii="MetaPro-Norm" w:hAnsi="MetaPro-Norm"/>
        </w:rPr>
        <w:t>lasts</w:t>
      </w:r>
      <w:r w:rsidR="005657FE" w:rsidRPr="33787544">
        <w:rPr>
          <w:rFonts w:ascii="MetaPro-Norm" w:hAnsi="MetaPro-Norm"/>
        </w:rPr>
        <w:t xml:space="preserve"> </w:t>
      </w:r>
      <w:r w:rsidR="00D50849">
        <w:rPr>
          <w:rFonts w:ascii="MetaPro-Norm" w:hAnsi="MetaPro-Norm"/>
        </w:rPr>
        <w:t>eight</w:t>
      </w:r>
      <w:r w:rsidR="005657FE" w:rsidRPr="33787544">
        <w:rPr>
          <w:rFonts w:ascii="MetaPro-Norm" w:hAnsi="MetaPro-Norm"/>
        </w:rPr>
        <w:t xml:space="preserve"> years.</w:t>
      </w:r>
      <w:r w:rsidR="004F0273" w:rsidRPr="33787544">
        <w:rPr>
          <w:rStyle w:val="FootnoteReference"/>
        </w:rPr>
        <w:footnoteReference w:id="30"/>
      </w:r>
      <w:r w:rsidR="005657FE" w:rsidRPr="33787544">
        <w:rPr>
          <w:rFonts w:ascii="MetaPro-Norm" w:hAnsi="MetaPro-Norm"/>
        </w:rPr>
        <w:t xml:space="preserve"> </w:t>
      </w:r>
      <w:r w:rsidR="007F3412" w:rsidRPr="33787544">
        <w:rPr>
          <w:rFonts w:ascii="MetaPro-Norm" w:hAnsi="MetaPro-Norm"/>
        </w:rPr>
        <w:t>According to t</w:t>
      </w:r>
      <w:r w:rsidR="005657FE" w:rsidRPr="33787544">
        <w:rPr>
          <w:rFonts w:ascii="MetaPro-Norm" w:hAnsi="MetaPro-Norm"/>
        </w:rPr>
        <w:t xml:space="preserve">he </w:t>
      </w:r>
      <w:r w:rsidR="00AC3C1F" w:rsidRPr="33787544">
        <w:rPr>
          <w:rFonts w:ascii="MetaPro-Norm" w:hAnsi="MetaPro-Norm"/>
        </w:rPr>
        <w:t xml:space="preserve">2020-2030 </w:t>
      </w:r>
      <w:r w:rsidR="007F3412" w:rsidRPr="33787544">
        <w:rPr>
          <w:rFonts w:ascii="MetaPro-Norm" w:hAnsi="MetaPro-Norm"/>
        </w:rPr>
        <w:t>i</w:t>
      </w:r>
      <w:r w:rsidR="00E56C10" w:rsidRPr="33787544">
        <w:rPr>
          <w:rFonts w:ascii="MetaPro-Norm" w:hAnsi="MetaPro-Norm"/>
        </w:rPr>
        <w:t xml:space="preserve">nvestment </w:t>
      </w:r>
      <w:r w:rsidR="007F3412" w:rsidRPr="33787544">
        <w:rPr>
          <w:rFonts w:ascii="MetaPro-Norm" w:hAnsi="MetaPro-Norm"/>
        </w:rPr>
        <w:t>p</w:t>
      </w:r>
      <w:r w:rsidR="00E56C10" w:rsidRPr="33787544">
        <w:rPr>
          <w:rFonts w:ascii="MetaPro-Norm" w:hAnsi="MetaPro-Norm"/>
        </w:rPr>
        <w:t>lan</w:t>
      </w:r>
      <w:r w:rsidR="005A76C6" w:rsidRPr="33787544">
        <w:rPr>
          <w:rFonts w:ascii="MetaPro-Norm" w:hAnsi="MetaPro-Norm"/>
        </w:rPr>
        <w:t xml:space="preserve"> for Malawi’s education sector</w:t>
      </w:r>
      <w:r w:rsidR="007F3412" w:rsidRPr="33787544">
        <w:rPr>
          <w:rFonts w:ascii="MetaPro-Norm" w:hAnsi="MetaPro-Norm"/>
        </w:rPr>
        <w:t>, one of the government’s</w:t>
      </w:r>
      <w:r w:rsidR="00E56C10" w:rsidRPr="33787544">
        <w:rPr>
          <w:rFonts w:ascii="MetaPro-Norm" w:hAnsi="MetaPro-Norm"/>
        </w:rPr>
        <w:t xml:space="preserve"> </w:t>
      </w:r>
      <w:r w:rsidR="00CA3720" w:rsidRPr="33787544">
        <w:rPr>
          <w:rFonts w:ascii="MetaPro-Norm" w:hAnsi="MetaPro-Norm"/>
        </w:rPr>
        <w:t>objectiv</w:t>
      </w:r>
      <w:r w:rsidR="007F3412" w:rsidRPr="33787544">
        <w:rPr>
          <w:rFonts w:ascii="MetaPro-Norm" w:hAnsi="MetaPro-Norm"/>
        </w:rPr>
        <w:t>es</w:t>
      </w:r>
      <w:r w:rsidR="00CA3720" w:rsidRPr="33787544">
        <w:rPr>
          <w:rFonts w:ascii="MetaPro-Norm" w:hAnsi="MetaPro-Norm"/>
        </w:rPr>
        <w:t xml:space="preserve"> </w:t>
      </w:r>
      <w:r w:rsidR="007F3412" w:rsidRPr="33787544">
        <w:rPr>
          <w:rFonts w:ascii="MetaPro-Norm" w:hAnsi="MetaPro-Norm"/>
        </w:rPr>
        <w:t>is “</w:t>
      </w:r>
      <w:r w:rsidR="00C07E73" w:rsidRPr="33787544">
        <w:rPr>
          <w:rFonts w:ascii="MetaPro-Norm" w:hAnsi="MetaPro-Norm"/>
        </w:rPr>
        <w:t>increas</w:t>
      </w:r>
      <w:r w:rsidR="007F3412" w:rsidRPr="33787544">
        <w:rPr>
          <w:rFonts w:ascii="MetaPro-Norm" w:hAnsi="MetaPro-Norm"/>
        </w:rPr>
        <w:t xml:space="preserve">ing </w:t>
      </w:r>
      <w:r w:rsidR="00C07E73" w:rsidRPr="33787544">
        <w:rPr>
          <w:rFonts w:ascii="MetaPro-Norm" w:hAnsi="MetaPro-Norm"/>
        </w:rPr>
        <w:t>access to secondary</w:t>
      </w:r>
      <w:r w:rsidR="00C458E7" w:rsidRPr="33787544">
        <w:rPr>
          <w:rFonts w:ascii="MetaPro-Norm" w:hAnsi="MetaPro-Norm"/>
        </w:rPr>
        <w:t xml:space="preserve"> </w:t>
      </w:r>
      <w:r w:rsidR="00C07E73" w:rsidRPr="33787544">
        <w:rPr>
          <w:rFonts w:ascii="MetaPro-Norm" w:hAnsi="MetaPro-Norm"/>
        </w:rPr>
        <w:t>education and transition from primary to secondary with a long-term view of having free and</w:t>
      </w:r>
      <w:r w:rsidR="00C458E7" w:rsidRPr="33787544">
        <w:rPr>
          <w:rFonts w:ascii="MetaPro-Norm" w:hAnsi="MetaPro-Norm"/>
        </w:rPr>
        <w:t xml:space="preserve"> </w:t>
      </w:r>
      <w:r w:rsidR="00C07E73" w:rsidRPr="33787544">
        <w:rPr>
          <w:rFonts w:ascii="MetaPro-Norm" w:hAnsi="MetaPro-Norm"/>
        </w:rPr>
        <w:t>compulsory secondary education.</w:t>
      </w:r>
      <w:r w:rsidR="00C458E7" w:rsidRPr="33787544">
        <w:rPr>
          <w:rFonts w:ascii="MetaPro-Norm" w:hAnsi="MetaPro-Norm"/>
        </w:rPr>
        <w:t>”</w:t>
      </w:r>
      <w:r w:rsidR="00C458E7" w:rsidRPr="33787544">
        <w:rPr>
          <w:rStyle w:val="FootnoteReference"/>
        </w:rPr>
        <w:footnoteReference w:id="31"/>
      </w:r>
      <w:r w:rsidR="00C07E73" w:rsidRPr="33787544">
        <w:rPr>
          <w:rFonts w:ascii="MetaPro-Norm" w:hAnsi="MetaPro-Norm"/>
        </w:rPr>
        <w:t xml:space="preserve"> </w:t>
      </w:r>
      <w:r w:rsidR="002C107D" w:rsidRPr="33787544">
        <w:rPr>
          <w:rFonts w:ascii="MetaPro-Norm" w:hAnsi="MetaPro-Norm"/>
        </w:rPr>
        <w:t>M</w:t>
      </w:r>
      <w:r w:rsidR="00D12032" w:rsidRPr="33787544">
        <w:rPr>
          <w:rFonts w:ascii="MetaPro-Norm" w:hAnsi="MetaPro-Norm"/>
        </w:rPr>
        <w:t>alawi Vision</w:t>
      </w:r>
      <w:r w:rsidR="002C107D" w:rsidRPr="33787544">
        <w:rPr>
          <w:rFonts w:ascii="MetaPro-Norm" w:hAnsi="MetaPro-Norm"/>
        </w:rPr>
        <w:t xml:space="preserve"> 2063 </w:t>
      </w:r>
      <w:r w:rsidR="00D12032" w:rsidRPr="33787544">
        <w:rPr>
          <w:rFonts w:ascii="MetaPro-Norm" w:hAnsi="MetaPro-Norm"/>
        </w:rPr>
        <w:t xml:space="preserve">(MW2063) </w:t>
      </w:r>
      <w:r w:rsidR="00BC25DA" w:rsidRPr="33787544">
        <w:rPr>
          <w:rFonts w:ascii="MetaPro-Norm" w:hAnsi="MetaPro-Norm"/>
        </w:rPr>
        <w:t xml:space="preserve">further </w:t>
      </w:r>
      <w:r w:rsidR="002C107D" w:rsidRPr="33787544">
        <w:rPr>
          <w:rFonts w:ascii="MetaPro-Norm" w:hAnsi="MetaPro-Norm"/>
        </w:rPr>
        <w:t xml:space="preserve">calls for making </w:t>
      </w:r>
      <w:r w:rsidR="008C1F36" w:rsidRPr="33787544">
        <w:rPr>
          <w:rFonts w:ascii="MetaPro-Norm" w:hAnsi="MetaPro-Norm"/>
        </w:rPr>
        <w:t>at least 12 years of formal education compulsory, and prioritizing early childhood education for all.</w:t>
      </w:r>
      <w:r w:rsidR="007A5044" w:rsidRPr="33787544">
        <w:rPr>
          <w:rStyle w:val="FootnoteReference"/>
        </w:rPr>
        <w:footnoteReference w:id="32"/>
      </w:r>
    </w:p>
    <w:p w14:paraId="4DF58CF5" w14:textId="28294D19" w:rsidR="007C1D22" w:rsidRDefault="007C1D22" w:rsidP="00730C0B">
      <w:pPr>
        <w:spacing w:after="0"/>
        <w:rPr>
          <w:rFonts w:ascii="MetaPro-Norm" w:hAnsi="MetaPro-Norm" w:cstheme="minorHAnsi"/>
          <w:b/>
          <w:bCs/>
        </w:rPr>
      </w:pPr>
    </w:p>
    <w:p w14:paraId="4E2D7B10" w14:textId="2898A023" w:rsidR="00787660" w:rsidRDefault="002C61BE" w:rsidP="068A16C0">
      <w:pPr>
        <w:spacing w:after="0"/>
        <w:rPr>
          <w:rFonts w:ascii="MetaPro-Norm" w:hAnsi="MetaPro-Norm"/>
        </w:rPr>
      </w:pPr>
      <w:r w:rsidRPr="068A16C0">
        <w:rPr>
          <w:rFonts w:ascii="MetaPro-Norm" w:hAnsi="MetaPro-Norm"/>
        </w:rPr>
        <w:t>According to the United Nations Children’s Fund (</w:t>
      </w:r>
      <w:r w:rsidR="003E3DFA" w:rsidRPr="068A16C0">
        <w:rPr>
          <w:rFonts w:ascii="MetaPro-Norm" w:hAnsi="MetaPro-Norm"/>
        </w:rPr>
        <w:t>UNICEF</w:t>
      </w:r>
      <w:r w:rsidRPr="068A16C0">
        <w:rPr>
          <w:rFonts w:ascii="MetaPro-Norm" w:hAnsi="MetaPro-Norm"/>
        </w:rPr>
        <w:t>), tuition fees and transport and accommodation costs</w:t>
      </w:r>
      <w:r w:rsidR="003E3DFA" w:rsidRPr="068A16C0">
        <w:rPr>
          <w:rFonts w:ascii="MetaPro-Norm" w:hAnsi="MetaPro-Norm"/>
        </w:rPr>
        <w:t xml:space="preserve"> </w:t>
      </w:r>
      <w:r w:rsidR="00B17CE3" w:rsidRPr="068A16C0">
        <w:rPr>
          <w:rFonts w:ascii="MetaPro-Norm" w:hAnsi="MetaPro-Norm"/>
        </w:rPr>
        <w:t xml:space="preserve">have created significant barriers in accessing secondary education </w:t>
      </w:r>
      <w:r w:rsidRPr="068A16C0">
        <w:rPr>
          <w:rFonts w:ascii="MetaPro-Norm" w:hAnsi="MetaPro-Norm"/>
        </w:rPr>
        <w:t>in Malawi.</w:t>
      </w:r>
      <w:r w:rsidRPr="068A16C0">
        <w:rPr>
          <w:rStyle w:val="FootnoteReference"/>
        </w:rPr>
        <w:footnoteReference w:id="33"/>
      </w:r>
      <w:r w:rsidR="00045AA9" w:rsidRPr="068A16C0">
        <w:rPr>
          <w:rFonts w:ascii="MetaPro-Norm" w:hAnsi="MetaPro-Norm"/>
        </w:rPr>
        <w:t xml:space="preserve"> Government data indicates that net enrol</w:t>
      </w:r>
      <w:r w:rsidR="00D50849">
        <w:rPr>
          <w:rFonts w:ascii="MetaPro-Norm" w:hAnsi="MetaPro-Norm"/>
        </w:rPr>
        <w:t>l</w:t>
      </w:r>
      <w:r w:rsidR="00045AA9" w:rsidRPr="068A16C0">
        <w:rPr>
          <w:rFonts w:ascii="MetaPro-Norm" w:hAnsi="MetaPro-Norm"/>
        </w:rPr>
        <w:t xml:space="preserve">ment </w:t>
      </w:r>
      <w:r w:rsidR="006D45D0" w:rsidRPr="068A16C0">
        <w:rPr>
          <w:rFonts w:ascii="MetaPro-Norm" w:hAnsi="MetaPro-Norm"/>
        </w:rPr>
        <w:t>at the secondary level</w:t>
      </w:r>
      <w:r w:rsidR="00045AA9" w:rsidRPr="068A16C0">
        <w:rPr>
          <w:rFonts w:ascii="MetaPro-Norm" w:hAnsi="MetaPro-Norm"/>
        </w:rPr>
        <w:t xml:space="preserve"> was just 1</w:t>
      </w:r>
      <w:r w:rsidR="00D50849">
        <w:rPr>
          <w:rFonts w:ascii="MetaPro-Norm" w:hAnsi="MetaPro-Norm"/>
        </w:rPr>
        <w:t>7</w:t>
      </w:r>
      <w:r w:rsidR="00045AA9" w:rsidRPr="068A16C0">
        <w:rPr>
          <w:rFonts w:ascii="MetaPro-Norm" w:hAnsi="MetaPro-Norm"/>
        </w:rPr>
        <w:t xml:space="preserve"> percent in </w:t>
      </w:r>
      <w:r w:rsidR="007331E7" w:rsidRPr="068A16C0">
        <w:rPr>
          <w:rFonts w:ascii="MetaPro-Norm" w:hAnsi="MetaPro-Norm"/>
        </w:rPr>
        <w:t>2021/</w:t>
      </w:r>
      <w:r w:rsidR="00A56799" w:rsidRPr="068A16C0">
        <w:rPr>
          <w:rFonts w:ascii="MetaPro-Norm" w:hAnsi="MetaPro-Norm"/>
        </w:rPr>
        <w:t>22</w:t>
      </w:r>
      <w:r w:rsidR="003257F7" w:rsidRPr="068A16C0">
        <w:rPr>
          <w:rFonts w:ascii="MetaPro-Norm" w:hAnsi="MetaPro-Norm"/>
        </w:rPr>
        <w:t xml:space="preserve">, whereas </w:t>
      </w:r>
      <w:r w:rsidR="00C1703A" w:rsidRPr="068A16C0">
        <w:rPr>
          <w:rFonts w:ascii="MetaPro-Norm" w:hAnsi="MetaPro-Norm"/>
        </w:rPr>
        <w:t xml:space="preserve">the </w:t>
      </w:r>
      <w:r w:rsidR="0012503A" w:rsidRPr="068A16C0">
        <w:rPr>
          <w:rFonts w:ascii="MetaPro-Norm" w:hAnsi="MetaPro-Norm"/>
        </w:rPr>
        <w:t>completion rate</w:t>
      </w:r>
      <w:r w:rsidR="007331E7" w:rsidRPr="068A16C0">
        <w:rPr>
          <w:rFonts w:ascii="MetaPro-Norm" w:hAnsi="MetaPro-Norm"/>
        </w:rPr>
        <w:t xml:space="preserve"> was </w:t>
      </w:r>
      <w:r w:rsidR="00444CA4" w:rsidRPr="068A16C0">
        <w:rPr>
          <w:rFonts w:ascii="MetaPro-Norm" w:hAnsi="MetaPro-Norm"/>
        </w:rPr>
        <w:t>19 percent (21 for boys and 17 for girls)</w:t>
      </w:r>
      <w:r w:rsidR="00045AA9" w:rsidRPr="068A16C0">
        <w:rPr>
          <w:rFonts w:ascii="MetaPro-Norm" w:hAnsi="MetaPro-Norm"/>
        </w:rPr>
        <w:t>.</w:t>
      </w:r>
      <w:r w:rsidR="00045AA9" w:rsidRPr="068A16C0">
        <w:rPr>
          <w:rStyle w:val="FootnoteReference"/>
        </w:rPr>
        <w:footnoteReference w:id="34"/>
      </w:r>
      <w:r w:rsidR="00970F84" w:rsidRPr="068A16C0">
        <w:rPr>
          <w:rFonts w:ascii="MetaPro-Norm" w:hAnsi="MetaPro-Norm"/>
        </w:rPr>
        <w:t xml:space="preserve"> </w:t>
      </w:r>
      <w:r w:rsidR="46A1B720" w:rsidRPr="068A16C0">
        <w:rPr>
          <w:rFonts w:ascii="MetaPro-Norm" w:hAnsi="MetaPro-Norm"/>
        </w:rPr>
        <w:t>L</w:t>
      </w:r>
      <w:r w:rsidR="00C6626F" w:rsidRPr="068A16C0">
        <w:rPr>
          <w:rFonts w:ascii="MetaPro-Norm" w:hAnsi="MetaPro-Norm"/>
        </w:rPr>
        <w:t xml:space="preserve">ack of </w:t>
      </w:r>
      <w:r w:rsidR="00E471D5" w:rsidRPr="068A16C0">
        <w:rPr>
          <w:rFonts w:ascii="MetaPro-Norm" w:hAnsi="MetaPro-Norm"/>
        </w:rPr>
        <w:t xml:space="preserve">sufficient or </w:t>
      </w:r>
      <w:r w:rsidR="00C6626F" w:rsidRPr="068A16C0">
        <w:rPr>
          <w:rFonts w:ascii="MetaPro-Norm" w:hAnsi="MetaPro-Norm"/>
        </w:rPr>
        <w:t xml:space="preserve">adequate </w:t>
      </w:r>
      <w:r w:rsidR="00970F84" w:rsidRPr="068A16C0">
        <w:rPr>
          <w:rFonts w:ascii="MetaPro-Norm" w:hAnsi="MetaPro-Norm"/>
        </w:rPr>
        <w:t>s</w:t>
      </w:r>
      <w:r w:rsidR="00012257" w:rsidRPr="068A16C0">
        <w:rPr>
          <w:rFonts w:ascii="MetaPro-Norm" w:hAnsi="MetaPro-Norm"/>
        </w:rPr>
        <w:t>chool infrastructure, amenities, and other facilities</w:t>
      </w:r>
      <w:r w:rsidR="00C6626F" w:rsidRPr="068A16C0">
        <w:rPr>
          <w:rFonts w:ascii="MetaPro-Norm" w:hAnsi="MetaPro-Norm"/>
        </w:rPr>
        <w:t>, such as sanitation and changing rooms,</w:t>
      </w:r>
      <w:r w:rsidR="00012257" w:rsidRPr="068A16C0">
        <w:rPr>
          <w:rFonts w:ascii="MetaPro-Norm" w:hAnsi="MetaPro-Norm"/>
        </w:rPr>
        <w:t xml:space="preserve"> reportedly </w:t>
      </w:r>
      <w:r w:rsidR="0081404D" w:rsidRPr="068A16C0">
        <w:rPr>
          <w:rFonts w:ascii="MetaPro-Norm" w:hAnsi="MetaPro-Norm"/>
        </w:rPr>
        <w:t>create barriers for girls at the secondary level</w:t>
      </w:r>
      <w:r w:rsidR="00F25246" w:rsidRPr="068A16C0">
        <w:rPr>
          <w:rFonts w:ascii="MetaPro-Norm" w:hAnsi="MetaPro-Norm"/>
        </w:rPr>
        <w:t>.</w:t>
      </w:r>
      <w:r w:rsidR="00F25246" w:rsidRPr="068A16C0">
        <w:rPr>
          <w:rStyle w:val="FootnoteReference"/>
        </w:rPr>
        <w:footnoteReference w:id="35"/>
      </w:r>
      <w:r w:rsidR="00480092" w:rsidRPr="068A16C0">
        <w:rPr>
          <w:rFonts w:ascii="MetaPro-Norm" w:hAnsi="MetaPro-Norm"/>
        </w:rPr>
        <w:t xml:space="preserve"> </w:t>
      </w:r>
    </w:p>
    <w:p w14:paraId="269678D0" w14:textId="2BB67A24" w:rsidR="00A373D0" w:rsidRDefault="00A373D0" w:rsidP="6434688D">
      <w:pPr>
        <w:spacing w:after="0"/>
        <w:rPr>
          <w:rFonts w:ascii="MetaPro-Norm" w:hAnsi="MetaPro-Norm"/>
        </w:rPr>
      </w:pPr>
    </w:p>
    <w:p w14:paraId="6D356E5B" w14:textId="69824E3D" w:rsidR="00A373D0" w:rsidRDefault="00B66795" w:rsidP="0E37E5DD">
      <w:pPr>
        <w:spacing w:after="0"/>
        <w:rPr>
          <w:rFonts w:ascii="MetaPro-Norm" w:hAnsi="MetaPro-Norm"/>
        </w:rPr>
      </w:pPr>
      <w:r w:rsidRPr="0E37E5DD">
        <w:rPr>
          <w:rFonts w:ascii="MetaPro-Norm" w:hAnsi="MetaPro-Norm"/>
        </w:rPr>
        <w:t>Girls constituted</w:t>
      </w:r>
      <w:r w:rsidR="00A373D0" w:rsidRPr="0E37E5DD">
        <w:rPr>
          <w:rFonts w:ascii="MetaPro-Norm" w:hAnsi="MetaPro-Norm"/>
        </w:rPr>
        <w:t xml:space="preserve"> 61 percent </w:t>
      </w:r>
      <w:r w:rsidRPr="0E37E5DD">
        <w:rPr>
          <w:rFonts w:ascii="MetaPro-Norm" w:hAnsi="MetaPro-Norm"/>
        </w:rPr>
        <w:t>of dropouts from secondary education in 2021/2022</w:t>
      </w:r>
      <w:r w:rsidR="0048120C" w:rsidRPr="0E37E5DD">
        <w:rPr>
          <w:rFonts w:ascii="MetaPro-Norm" w:hAnsi="MetaPro-Norm"/>
        </w:rPr>
        <w:t>.</w:t>
      </w:r>
      <w:r w:rsidR="00DF54B5" w:rsidRPr="0E37E5DD">
        <w:rPr>
          <w:rFonts w:ascii="MetaPro-Norm" w:hAnsi="MetaPro-Norm"/>
        </w:rPr>
        <w:t xml:space="preserve"> </w:t>
      </w:r>
      <w:r w:rsidR="00D50849">
        <w:rPr>
          <w:rFonts w:ascii="MetaPro-Norm" w:hAnsi="MetaPro-Norm"/>
        </w:rPr>
        <w:t>Nearly 16</w:t>
      </w:r>
      <w:r w:rsidR="00DF54B5" w:rsidRPr="0E37E5DD">
        <w:rPr>
          <w:rFonts w:ascii="MetaPro-Norm" w:hAnsi="MetaPro-Norm"/>
        </w:rPr>
        <w:t xml:space="preserve"> percent of </w:t>
      </w:r>
      <w:r w:rsidR="0048120C" w:rsidRPr="0E37E5DD">
        <w:rPr>
          <w:rFonts w:ascii="MetaPro-Norm" w:hAnsi="MetaPro-Norm"/>
        </w:rPr>
        <w:t xml:space="preserve">them </w:t>
      </w:r>
      <w:r w:rsidR="00DF54B5" w:rsidRPr="0E37E5DD">
        <w:rPr>
          <w:rFonts w:ascii="MetaPro-Norm" w:hAnsi="MetaPro-Norm"/>
        </w:rPr>
        <w:t>reportedly d</w:t>
      </w:r>
      <w:r w:rsidR="0048120C" w:rsidRPr="0E37E5DD">
        <w:rPr>
          <w:rFonts w:ascii="MetaPro-Norm" w:hAnsi="MetaPro-Norm"/>
        </w:rPr>
        <w:t>id</w:t>
      </w:r>
      <w:r w:rsidR="00DF54B5" w:rsidRPr="0E37E5DD">
        <w:rPr>
          <w:rFonts w:ascii="MetaPro-Norm" w:hAnsi="MetaPro-Norm"/>
        </w:rPr>
        <w:t xml:space="preserve"> so due to pregnancy.</w:t>
      </w:r>
      <w:r w:rsidR="00FB70FD" w:rsidRPr="0E37E5DD">
        <w:rPr>
          <w:rStyle w:val="FootnoteReference"/>
        </w:rPr>
        <w:footnoteReference w:id="36"/>
      </w:r>
    </w:p>
    <w:p w14:paraId="531B0E99" w14:textId="77777777" w:rsidR="00DF6B2E" w:rsidRDefault="00DF6B2E" w:rsidP="00DF6B2E">
      <w:pPr>
        <w:spacing w:after="0"/>
        <w:rPr>
          <w:rFonts w:ascii="MetaPro-Norm" w:hAnsi="MetaPro-Norm" w:cstheme="minorHAnsi"/>
        </w:rPr>
      </w:pPr>
    </w:p>
    <w:p w14:paraId="5F41E225" w14:textId="2F56A435" w:rsidR="008A4C32" w:rsidRDefault="00497BF5" w:rsidP="00B736BC">
      <w:pPr>
        <w:spacing w:after="0"/>
        <w:rPr>
          <w:rFonts w:ascii="MetaPro-Norm" w:hAnsi="MetaPro-Norm" w:cstheme="minorHAnsi"/>
        </w:rPr>
      </w:pPr>
      <w:r w:rsidRPr="33787544">
        <w:rPr>
          <w:rFonts w:ascii="MetaPro-Norm" w:hAnsi="MetaPro-Norm"/>
        </w:rPr>
        <w:t xml:space="preserve">At the primary level, </w:t>
      </w:r>
      <w:r w:rsidR="00E24AAF" w:rsidRPr="33787544">
        <w:rPr>
          <w:rFonts w:ascii="MetaPro-Norm" w:hAnsi="MetaPro-Norm"/>
        </w:rPr>
        <w:t>w</w:t>
      </w:r>
      <w:r w:rsidR="00DF6B2E" w:rsidRPr="33787544">
        <w:rPr>
          <w:rFonts w:ascii="MetaPro-Norm" w:hAnsi="MetaPro-Norm"/>
        </w:rPr>
        <w:t>hile net enrol</w:t>
      </w:r>
      <w:r w:rsidR="005853BC">
        <w:rPr>
          <w:rFonts w:ascii="MetaPro-Norm" w:hAnsi="MetaPro-Norm"/>
        </w:rPr>
        <w:t>l</w:t>
      </w:r>
      <w:r w:rsidR="00DF6B2E" w:rsidRPr="33787544">
        <w:rPr>
          <w:rFonts w:ascii="MetaPro-Norm" w:hAnsi="MetaPro-Norm"/>
        </w:rPr>
        <w:t>ment</w:t>
      </w:r>
      <w:r w:rsidR="00E108FE" w:rsidRPr="33787544">
        <w:rPr>
          <w:rFonts w:ascii="MetaPro-Norm" w:hAnsi="MetaPro-Norm"/>
        </w:rPr>
        <w:t xml:space="preserve"> stood at </w:t>
      </w:r>
      <w:r w:rsidR="002860BA" w:rsidRPr="33787544">
        <w:rPr>
          <w:rFonts w:ascii="MetaPro-Norm" w:hAnsi="MetaPro-Norm"/>
        </w:rPr>
        <w:t>88</w:t>
      </w:r>
      <w:r w:rsidR="00E108FE" w:rsidRPr="33787544">
        <w:rPr>
          <w:rFonts w:ascii="MetaPro-Norm" w:hAnsi="MetaPro-Norm"/>
        </w:rPr>
        <w:t xml:space="preserve"> percent </w:t>
      </w:r>
      <w:r w:rsidR="00DF6B2E" w:rsidRPr="33787544">
        <w:rPr>
          <w:rFonts w:ascii="MetaPro-Norm" w:hAnsi="MetaPro-Norm"/>
        </w:rPr>
        <w:t xml:space="preserve">in </w:t>
      </w:r>
      <w:r w:rsidR="002860BA" w:rsidRPr="33787544">
        <w:rPr>
          <w:rFonts w:ascii="MetaPro-Norm" w:hAnsi="MetaPro-Norm"/>
        </w:rPr>
        <w:t>2021/22</w:t>
      </w:r>
      <w:r w:rsidR="00E108FE" w:rsidRPr="33787544">
        <w:rPr>
          <w:rFonts w:ascii="MetaPro-Norm" w:hAnsi="MetaPro-Norm"/>
        </w:rPr>
        <w:t xml:space="preserve">, </w:t>
      </w:r>
      <w:r w:rsidR="00322D97" w:rsidRPr="33787544">
        <w:rPr>
          <w:rFonts w:ascii="MetaPro-Norm" w:hAnsi="MetaPro-Norm"/>
        </w:rPr>
        <w:t>r</w:t>
      </w:r>
      <w:r w:rsidR="008109ED" w:rsidRPr="33787544">
        <w:rPr>
          <w:rFonts w:ascii="MetaPro-Norm" w:hAnsi="MetaPro-Norm"/>
        </w:rPr>
        <w:t>etention remain</w:t>
      </w:r>
      <w:r w:rsidR="00322D97" w:rsidRPr="33787544">
        <w:rPr>
          <w:rFonts w:ascii="MetaPro-Norm" w:hAnsi="MetaPro-Norm"/>
        </w:rPr>
        <w:t xml:space="preserve">ed </w:t>
      </w:r>
      <w:r w:rsidR="008109ED" w:rsidRPr="33787544">
        <w:rPr>
          <w:rFonts w:ascii="MetaPro-Norm" w:hAnsi="MetaPro-Norm"/>
        </w:rPr>
        <w:t>a challenge</w:t>
      </w:r>
      <w:r w:rsidR="00322D97" w:rsidRPr="33787544">
        <w:rPr>
          <w:rFonts w:ascii="MetaPro-Norm" w:hAnsi="MetaPro-Norm"/>
        </w:rPr>
        <w:t>,</w:t>
      </w:r>
      <w:r w:rsidR="008109ED" w:rsidRPr="33787544">
        <w:rPr>
          <w:rFonts w:ascii="MetaPro-Norm" w:hAnsi="MetaPro-Norm"/>
        </w:rPr>
        <w:t xml:space="preserve"> with primary completion rate </w:t>
      </w:r>
      <w:r w:rsidR="00904294" w:rsidRPr="33787544">
        <w:rPr>
          <w:rFonts w:ascii="MetaPro-Norm" w:hAnsi="MetaPro-Norm"/>
        </w:rPr>
        <w:t xml:space="preserve">standing at just </w:t>
      </w:r>
      <w:r w:rsidR="00237D9E" w:rsidRPr="33787544">
        <w:rPr>
          <w:rFonts w:ascii="MetaPro-Norm" w:hAnsi="MetaPro-Norm"/>
        </w:rPr>
        <w:t>5</w:t>
      </w:r>
      <w:r w:rsidR="00246039" w:rsidRPr="33787544">
        <w:rPr>
          <w:rFonts w:ascii="MetaPro-Norm" w:hAnsi="MetaPro-Norm"/>
        </w:rPr>
        <w:t>6</w:t>
      </w:r>
      <w:r w:rsidR="008109ED" w:rsidRPr="33787544">
        <w:rPr>
          <w:rFonts w:ascii="MetaPro-Norm" w:hAnsi="MetaPro-Norm"/>
        </w:rPr>
        <w:t xml:space="preserve"> percent</w:t>
      </w:r>
      <w:r w:rsidR="003D661D" w:rsidRPr="33787544">
        <w:rPr>
          <w:rFonts w:ascii="MetaPro-Norm" w:hAnsi="MetaPro-Norm"/>
        </w:rPr>
        <w:t xml:space="preserve">, according to government </w:t>
      </w:r>
      <w:r w:rsidR="003D661D" w:rsidRPr="33787544">
        <w:rPr>
          <w:rFonts w:ascii="MetaPro-Norm" w:hAnsi="MetaPro-Norm"/>
        </w:rPr>
        <w:lastRenderedPageBreak/>
        <w:t>figures</w:t>
      </w:r>
      <w:r w:rsidR="008109ED" w:rsidRPr="33787544">
        <w:rPr>
          <w:rFonts w:ascii="MetaPro-Norm" w:hAnsi="MetaPro-Norm"/>
        </w:rPr>
        <w:t>.</w:t>
      </w:r>
      <w:r w:rsidR="002B007A" w:rsidRPr="33787544">
        <w:rPr>
          <w:rStyle w:val="FootnoteReference"/>
        </w:rPr>
        <w:footnoteReference w:id="37"/>
      </w:r>
      <w:r w:rsidR="004B6FA0" w:rsidRPr="33787544">
        <w:rPr>
          <w:rFonts w:ascii="MetaPro-Norm" w:hAnsi="MetaPro-Norm"/>
        </w:rPr>
        <w:t xml:space="preserve"> </w:t>
      </w:r>
      <w:r w:rsidR="00B736BC" w:rsidRPr="33787544">
        <w:rPr>
          <w:rFonts w:ascii="MetaPro-Norm" w:hAnsi="MetaPro-Norm"/>
        </w:rPr>
        <w:t>Mo</w:t>
      </w:r>
      <w:r w:rsidR="00567971" w:rsidRPr="33787544">
        <w:rPr>
          <w:rFonts w:ascii="MetaPro-Norm" w:hAnsi="MetaPro-Norm"/>
        </w:rPr>
        <w:t>reover, o</w:t>
      </w:r>
      <w:r w:rsidR="001C7FFB" w:rsidRPr="33787544">
        <w:rPr>
          <w:rFonts w:ascii="MetaPro-Norm" w:hAnsi="MetaPro-Norm"/>
        </w:rPr>
        <w:t xml:space="preserve">nly 40 percent of children who first registered in primary schools in Malawi had </w:t>
      </w:r>
      <w:r w:rsidR="007F1253" w:rsidRPr="33787544">
        <w:rPr>
          <w:rFonts w:ascii="MetaPro-Norm" w:hAnsi="MetaPro-Norm"/>
        </w:rPr>
        <w:t>gotten a</w:t>
      </w:r>
      <w:r w:rsidR="00F2754A" w:rsidRPr="33787544">
        <w:rPr>
          <w:rFonts w:ascii="MetaPro-Norm" w:hAnsi="MetaPro-Norm"/>
        </w:rPr>
        <w:t xml:space="preserve"> pre</w:t>
      </w:r>
      <w:r w:rsidR="005853BC">
        <w:rPr>
          <w:rFonts w:ascii="MetaPro-Norm" w:hAnsi="MetaPro-Norm"/>
        </w:rPr>
        <w:t>-</w:t>
      </w:r>
      <w:r w:rsidR="00F2754A" w:rsidRPr="33787544">
        <w:rPr>
          <w:rFonts w:ascii="MetaPro-Norm" w:hAnsi="MetaPro-Norm"/>
        </w:rPr>
        <w:t>primary</w:t>
      </w:r>
      <w:r w:rsidR="001C7FFB" w:rsidRPr="33787544">
        <w:rPr>
          <w:rFonts w:ascii="MetaPro-Norm" w:hAnsi="MetaPro-Norm"/>
        </w:rPr>
        <w:t xml:space="preserve"> </w:t>
      </w:r>
      <w:r w:rsidR="00F2754A" w:rsidRPr="33787544">
        <w:rPr>
          <w:rFonts w:ascii="MetaPro-Norm" w:hAnsi="MetaPro-Norm"/>
        </w:rPr>
        <w:t>(</w:t>
      </w:r>
      <w:r w:rsidR="001C7FFB" w:rsidRPr="33787544">
        <w:rPr>
          <w:rFonts w:ascii="MetaPro-Norm" w:hAnsi="MetaPro-Norm"/>
        </w:rPr>
        <w:t>E</w:t>
      </w:r>
      <w:r w:rsidR="00567971" w:rsidRPr="33787544">
        <w:rPr>
          <w:rFonts w:ascii="MetaPro-Norm" w:hAnsi="MetaPro-Norm"/>
        </w:rPr>
        <w:t xml:space="preserve">arly </w:t>
      </w:r>
      <w:r w:rsidR="001C7FFB" w:rsidRPr="33787544">
        <w:rPr>
          <w:rFonts w:ascii="MetaPro-Norm" w:hAnsi="MetaPro-Norm"/>
        </w:rPr>
        <w:t>C</w:t>
      </w:r>
      <w:r w:rsidR="00567971" w:rsidRPr="33787544">
        <w:rPr>
          <w:rFonts w:ascii="MetaPro-Norm" w:hAnsi="MetaPro-Norm"/>
        </w:rPr>
        <w:t xml:space="preserve">hildhood </w:t>
      </w:r>
      <w:r w:rsidR="001C7FFB" w:rsidRPr="33787544">
        <w:rPr>
          <w:rFonts w:ascii="MetaPro-Norm" w:hAnsi="MetaPro-Norm"/>
        </w:rPr>
        <w:t>D</w:t>
      </w:r>
      <w:r w:rsidR="00567971" w:rsidRPr="33787544">
        <w:rPr>
          <w:rFonts w:ascii="MetaPro-Norm" w:hAnsi="MetaPro-Norm"/>
        </w:rPr>
        <w:t>evelopment</w:t>
      </w:r>
      <w:r w:rsidR="00F2754A" w:rsidRPr="33787544">
        <w:rPr>
          <w:rFonts w:ascii="MetaPro-Norm" w:hAnsi="MetaPro-Norm"/>
        </w:rPr>
        <w:t>)</w:t>
      </w:r>
      <w:r w:rsidR="001C7FFB" w:rsidRPr="33787544">
        <w:rPr>
          <w:rFonts w:ascii="MetaPro-Norm" w:hAnsi="MetaPro-Norm"/>
        </w:rPr>
        <w:t xml:space="preserve"> </w:t>
      </w:r>
      <w:r w:rsidR="007F1253" w:rsidRPr="33787544">
        <w:rPr>
          <w:rFonts w:ascii="MetaPro-Norm" w:hAnsi="MetaPro-Norm"/>
        </w:rPr>
        <w:t>education</w:t>
      </w:r>
      <w:r w:rsidR="001C7FFB" w:rsidRPr="33787544">
        <w:rPr>
          <w:rFonts w:ascii="MetaPro-Norm" w:hAnsi="MetaPro-Norm"/>
        </w:rPr>
        <w:t>.</w:t>
      </w:r>
      <w:r w:rsidR="0004615B" w:rsidRPr="33787544">
        <w:rPr>
          <w:rStyle w:val="FootnoteReference"/>
        </w:rPr>
        <w:footnoteReference w:id="38"/>
      </w:r>
    </w:p>
    <w:p w14:paraId="5DF9D307" w14:textId="77777777" w:rsidR="003466C6" w:rsidRDefault="003466C6" w:rsidP="009078E0">
      <w:pPr>
        <w:spacing w:after="0"/>
        <w:rPr>
          <w:rFonts w:ascii="MetaPro-Norm" w:hAnsi="MetaPro-Norm" w:cstheme="minorHAnsi"/>
          <w:i/>
          <w:iCs/>
        </w:rPr>
      </w:pPr>
    </w:p>
    <w:p w14:paraId="37906C09" w14:textId="1E091866" w:rsidR="009078E0" w:rsidRPr="00265DA0" w:rsidRDefault="009078E0" w:rsidP="009078E0">
      <w:pPr>
        <w:spacing w:after="0"/>
        <w:rPr>
          <w:rFonts w:ascii="MetaPro-Norm" w:hAnsi="MetaPro-Norm" w:cstheme="minorHAnsi"/>
          <w:i/>
          <w:iCs/>
        </w:rPr>
      </w:pPr>
      <w:r w:rsidRPr="00265DA0">
        <w:rPr>
          <w:rFonts w:ascii="MetaPro-Norm" w:hAnsi="MetaPro-Norm" w:cstheme="minorHAnsi"/>
          <w:i/>
          <w:iCs/>
        </w:rPr>
        <w:t>Human Rights Watch recommends that the Committee ask the government o</w:t>
      </w:r>
      <w:r w:rsidR="00490A7E" w:rsidRPr="00265DA0">
        <w:rPr>
          <w:rFonts w:ascii="MetaPro-Norm" w:hAnsi="MetaPro-Norm" w:cstheme="minorHAnsi"/>
          <w:i/>
          <w:iCs/>
        </w:rPr>
        <w:t>f Malawi</w:t>
      </w:r>
      <w:r w:rsidRPr="00265DA0">
        <w:rPr>
          <w:rFonts w:ascii="MetaPro-Norm" w:hAnsi="MetaPro-Norm" w:cstheme="minorHAnsi"/>
          <w:i/>
          <w:iCs/>
        </w:rPr>
        <w:t>:</w:t>
      </w:r>
    </w:p>
    <w:p w14:paraId="7D388681" w14:textId="18BD6E20" w:rsidR="00490A7E" w:rsidRDefault="009078E0" w:rsidP="774BAEBD">
      <w:pPr>
        <w:pStyle w:val="ListParagraph"/>
        <w:numPr>
          <w:ilvl w:val="0"/>
          <w:numId w:val="11"/>
        </w:numPr>
        <w:spacing w:after="0"/>
        <w:rPr>
          <w:rFonts w:ascii="MetaPro-Norm" w:hAnsi="MetaPro-Norm"/>
        </w:rPr>
      </w:pPr>
      <w:r w:rsidRPr="774BAEBD">
        <w:rPr>
          <w:rFonts w:ascii="MetaPro-Norm" w:hAnsi="MetaPro-Norm"/>
        </w:rPr>
        <w:t xml:space="preserve">What </w:t>
      </w:r>
      <w:r w:rsidR="00DF697C" w:rsidRPr="774BAEBD">
        <w:rPr>
          <w:rFonts w:ascii="MetaPro-Norm" w:hAnsi="MetaPro-Norm"/>
        </w:rPr>
        <w:t>steps is the government taking to</w:t>
      </w:r>
      <w:r w:rsidRPr="774BAEBD">
        <w:rPr>
          <w:rFonts w:ascii="MetaPro-Norm" w:hAnsi="MetaPro-Norm"/>
        </w:rPr>
        <w:t xml:space="preserve"> increas</w:t>
      </w:r>
      <w:r w:rsidR="00DF697C" w:rsidRPr="774BAEBD">
        <w:rPr>
          <w:rFonts w:ascii="MetaPro-Norm" w:hAnsi="MetaPro-Norm"/>
        </w:rPr>
        <w:t>e</w:t>
      </w:r>
      <w:r w:rsidRPr="774BAEBD">
        <w:rPr>
          <w:rFonts w:ascii="MetaPro-Norm" w:hAnsi="MetaPro-Norm"/>
        </w:rPr>
        <w:t xml:space="preserve"> enrollment and completion rates </w:t>
      </w:r>
      <w:r w:rsidR="42858656" w:rsidRPr="774BAEBD">
        <w:rPr>
          <w:rFonts w:ascii="MetaPro-Norm" w:hAnsi="MetaPro-Norm"/>
        </w:rPr>
        <w:t xml:space="preserve">for girls </w:t>
      </w:r>
      <w:r w:rsidRPr="774BAEBD">
        <w:rPr>
          <w:rFonts w:ascii="MetaPro-Norm" w:hAnsi="MetaPro-Norm"/>
        </w:rPr>
        <w:t xml:space="preserve">within compulsory </w:t>
      </w:r>
      <w:r w:rsidR="00C95E6B" w:rsidRPr="774BAEBD">
        <w:rPr>
          <w:rFonts w:ascii="MetaPro-Norm" w:hAnsi="MetaPro-Norm"/>
        </w:rPr>
        <w:t xml:space="preserve">primary </w:t>
      </w:r>
      <w:r w:rsidRPr="774BAEBD">
        <w:rPr>
          <w:rFonts w:ascii="MetaPro-Norm" w:hAnsi="MetaPro-Norm"/>
        </w:rPr>
        <w:t>education?</w:t>
      </w:r>
    </w:p>
    <w:p w14:paraId="55B45FDC" w14:textId="2F590C3B" w:rsidR="00F35ED2" w:rsidRDefault="00F35ED2" w:rsidP="00490A7E">
      <w:pPr>
        <w:pStyle w:val="ListParagraph"/>
        <w:numPr>
          <w:ilvl w:val="0"/>
          <w:numId w:val="11"/>
        </w:numPr>
        <w:spacing w:after="0"/>
        <w:rPr>
          <w:rFonts w:ascii="MetaPro-Norm" w:hAnsi="MetaPro-Norm" w:cstheme="minorHAnsi"/>
        </w:rPr>
      </w:pPr>
      <w:r>
        <w:rPr>
          <w:rFonts w:ascii="MetaPro-Norm" w:hAnsi="MetaPro-Norm" w:cstheme="minorHAnsi"/>
        </w:rPr>
        <w:t>What steps is the government taking to reduce and eventually eliminate school fees at the secondary level?</w:t>
      </w:r>
    </w:p>
    <w:p w14:paraId="478C0792" w14:textId="77777777" w:rsidR="00301098" w:rsidRDefault="009078E0" w:rsidP="00301098">
      <w:pPr>
        <w:pStyle w:val="ListParagraph"/>
        <w:numPr>
          <w:ilvl w:val="0"/>
          <w:numId w:val="11"/>
        </w:numPr>
        <w:spacing w:after="0"/>
        <w:rPr>
          <w:rFonts w:ascii="MetaPro-Norm" w:hAnsi="MetaPro-Norm" w:cstheme="minorHAnsi"/>
        </w:rPr>
      </w:pPr>
      <w:r w:rsidRPr="00490A7E">
        <w:rPr>
          <w:rFonts w:ascii="MetaPro-Norm" w:hAnsi="MetaPro-Norm" w:cstheme="minorHAnsi"/>
        </w:rPr>
        <w:t>What barriers does the government see to expanding the right to free and compulsory education to include at least one year of pre-primary education?</w:t>
      </w:r>
    </w:p>
    <w:p w14:paraId="71BCD20C" w14:textId="4522DA8E" w:rsidR="003466C6" w:rsidRDefault="003466C6" w:rsidP="774BAEBD">
      <w:pPr>
        <w:pStyle w:val="ListParagraph"/>
        <w:numPr>
          <w:ilvl w:val="0"/>
          <w:numId w:val="11"/>
        </w:numPr>
        <w:spacing w:after="0"/>
        <w:rPr>
          <w:rFonts w:ascii="MetaPro-Norm" w:hAnsi="MetaPro-Norm"/>
        </w:rPr>
      </w:pPr>
      <w:r w:rsidRPr="774BAEBD">
        <w:rPr>
          <w:rFonts w:ascii="MetaPro-Norm" w:hAnsi="MetaPro-Norm"/>
        </w:rPr>
        <w:t>What is the timeline to legislate 12 years of free primary and secondary education?</w:t>
      </w:r>
    </w:p>
    <w:p w14:paraId="6882A853" w14:textId="77777777" w:rsidR="009078E0" w:rsidRPr="009078E0" w:rsidRDefault="009078E0" w:rsidP="009078E0">
      <w:pPr>
        <w:spacing w:after="0"/>
        <w:rPr>
          <w:rFonts w:ascii="MetaPro-Norm" w:hAnsi="MetaPro-Norm" w:cstheme="minorHAnsi"/>
        </w:rPr>
      </w:pPr>
    </w:p>
    <w:p w14:paraId="77806877" w14:textId="69101EB5" w:rsidR="009078E0" w:rsidRPr="003466C6" w:rsidRDefault="009078E0" w:rsidP="009078E0">
      <w:pPr>
        <w:spacing w:after="0"/>
        <w:rPr>
          <w:rFonts w:ascii="MetaPro-Norm" w:hAnsi="MetaPro-Norm" w:cstheme="minorHAnsi"/>
          <w:i/>
          <w:iCs/>
        </w:rPr>
      </w:pPr>
      <w:r w:rsidRPr="003466C6">
        <w:rPr>
          <w:rFonts w:ascii="MetaPro-Norm" w:hAnsi="MetaPro-Norm" w:cstheme="minorHAnsi"/>
          <w:i/>
          <w:iCs/>
        </w:rPr>
        <w:t xml:space="preserve">Human Rights Watch encourages the Committee to call on the government of </w:t>
      </w:r>
      <w:r w:rsidR="00DF697C">
        <w:rPr>
          <w:rFonts w:ascii="MetaPro-Norm" w:hAnsi="MetaPro-Norm" w:cstheme="minorHAnsi"/>
          <w:i/>
          <w:iCs/>
        </w:rPr>
        <w:t>Malawi</w:t>
      </w:r>
      <w:r w:rsidRPr="003466C6">
        <w:rPr>
          <w:rFonts w:ascii="MetaPro-Norm" w:hAnsi="MetaPro-Norm" w:cstheme="minorHAnsi"/>
          <w:i/>
          <w:iCs/>
        </w:rPr>
        <w:t xml:space="preserve"> to:</w:t>
      </w:r>
    </w:p>
    <w:p w14:paraId="3E253701" w14:textId="11A33165" w:rsidR="2AFA33B6" w:rsidRDefault="2AFA33B6" w:rsidP="068A16C0">
      <w:pPr>
        <w:pStyle w:val="ListParagraph"/>
        <w:numPr>
          <w:ilvl w:val="0"/>
          <w:numId w:val="12"/>
        </w:numPr>
        <w:rPr>
          <w:rFonts w:ascii="MetaPro-Norm" w:hAnsi="MetaPro-Norm"/>
        </w:rPr>
      </w:pPr>
      <w:r w:rsidRPr="068A16C0">
        <w:rPr>
          <w:rFonts w:ascii="MetaPro-Norm" w:hAnsi="MetaPro-Norm"/>
        </w:rPr>
        <w:t>Legislate that at least one year of pre-primary education be free and compulsory, and that all secondary education be free, for all children.</w:t>
      </w:r>
    </w:p>
    <w:p w14:paraId="37577DDB" w14:textId="3939643D" w:rsidR="0030720F" w:rsidRPr="005B6535" w:rsidRDefault="009C623A" w:rsidP="005B6535">
      <w:pPr>
        <w:pStyle w:val="ListParagraph"/>
        <w:numPr>
          <w:ilvl w:val="0"/>
          <w:numId w:val="12"/>
        </w:numPr>
        <w:rPr>
          <w:rFonts w:ascii="MetaPro-Norm" w:hAnsi="MetaPro-Norm" w:cstheme="minorHAnsi"/>
        </w:rPr>
      </w:pPr>
      <w:r w:rsidRPr="068A16C0">
        <w:rPr>
          <w:rFonts w:ascii="MetaPro-Norm" w:hAnsi="MetaPro-Norm"/>
        </w:rPr>
        <w:t>Develop and implement mechanisms to follow up on and keep track of girls who drop out of school</w:t>
      </w:r>
      <w:r w:rsidR="00601584" w:rsidRPr="068A16C0">
        <w:rPr>
          <w:rFonts w:ascii="MetaPro-Norm" w:hAnsi="MetaPro-Norm"/>
        </w:rPr>
        <w:t>, including</w:t>
      </w:r>
      <w:r w:rsidRPr="068A16C0">
        <w:rPr>
          <w:rFonts w:ascii="MetaPro-Norm" w:hAnsi="MetaPro-Norm"/>
        </w:rPr>
        <w:t xml:space="preserve"> due to pregnancy or marriage, with the aim of initiating their return to school</w:t>
      </w:r>
      <w:r w:rsidR="0013341A" w:rsidRPr="068A16C0">
        <w:rPr>
          <w:rFonts w:ascii="MetaPro-Norm" w:hAnsi="MetaPro-Norm"/>
        </w:rPr>
        <w:t>.</w:t>
      </w:r>
    </w:p>
    <w:sectPr w:rsidR="0030720F" w:rsidRPr="005B65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F3ECE" w14:textId="77777777" w:rsidR="0040101E" w:rsidRDefault="0040101E" w:rsidP="00B17A7F">
      <w:pPr>
        <w:spacing w:after="0" w:line="240" w:lineRule="auto"/>
      </w:pPr>
      <w:r>
        <w:separator/>
      </w:r>
    </w:p>
  </w:endnote>
  <w:endnote w:type="continuationSeparator" w:id="0">
    <w:p w14:paraId="1153B145" w14:textId="77777777" w:rsidR="0040101E" w:rsidRDefault="0040101E" w:rsidP="00B17A7F">
      <w:pPr>
        <w:spacing w:after="0" w:line="240" w:lineRule="auto"/>
      </w:pPr>
      <w:r>
        <w:continuationSeparator/>
      </w:r>
    </w:p>
  </w:endnote>
  <w:endnote w:type="continuationNotice" w:id="1">
    <w:p w14:paraId="524536D2" w14:textId="77777777" w:rsidR="0040101E" w:rsidRDefault="004010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etaPro-Medi" w:hAnsi="MetaPro-Medi"/>
      </w:rPr>
      <w:id w:val="-728387652"/>
      <w:docPartObj>
        <w:docPartGallery w:val="Page Numbers (Bottom of Page)"/>
        <w:docPartUnique/>
      </w:docPartObj>
    </w:sdtPr>
    <w:sdtEndPr>
      <w:rPr>
        <w:noProof/>
      </w:rPr>
    </w:sdtEndPr>
    <w:sdtContent>
      <w:p w14:paraId="4A682AB3" w14:textId="28FC18AA" w:rsidR="00B17A7F" w:rsidRPr="00B17A7F" w:rsidRDefault="00B17A7F">
        <w:pPr>
          <w:pStyle w:val="Footer"/>
          <w:jc w:val="center"/>
          <w:rPr>
            <w:rFonts w:ascii="MetaPro-Medi" w:hAnsi="MetaPro-Medi"/>
          </w:rPr>
        </w:pPr>
        <w:r w:rsidRPr="00B17A7F">
          <w:rPr>
            <w:rFonts w:ascii="MetaPro-Medi" w:hAnsi="MetaPro-Medi"/>
          </w:rPr>
          <w:fldChar w:fldCharType="begin"/>
        </w:r>
        <w:r w:rsidRPr="00B17A7F">
          <w:rPr>
            <w:rFonts w:ascii="MetaPro-Medi" w:hAnsi="MetaPro-Medi"/>
          </w:rPr>
          <w:instrText xml:space="preserve"> PAGE   \* MERGEFORMAT </w:instrText>
        </w:r>
        <w:r w:rsidRPr="00B17A7F">
          <w:rPr>
            <w:rFonts w:ascii="MetaPro-Medi" w:hAnsi="MetaPro-Medi"/>
          </w:rPr>
          <w:fldChar w:fldCharType="separate"/>
        </w:r>
        <w:r w:rsidRPr="00B17A7F">
          <w:rPr>
            <w:rFonts w:ascii="MetaPro-Medi" w:hAnsi="MetaPro-Medi"/>
            <w:noProof/>
          </w:rPr>
          <w:t>2</w:t>
        </w:r>
        <w:r w:rsidRPr="00B17A7F">
          <w:rPr>
            <w:rFonts w:ascii="MetaPro-Medi" w:hAnsi="MetaPro-Medi"/>
            <w:noProof/>
          </w:rPr>
          <w:fldChar w:fldCharType="end"/>
        </w:r>
      </w:p>
    </w:sdtContent>
  </w:sdt>
  <w:p w14:paraId="4E86F676" w14:textId="77777777" w:rsidR="00B17A7F" w:rsidRDefault="00B17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ABD5A" w14:textId="77777777" w:rsidR="0040101E" w:rsidRDefault="0040101E" w:rsidP="00B17A7F">
      <w:pPr>
        <w:spacing w:after="0" w:line="240" w:lineRule="auto"/>
      </w:pPr>
      <w:r>
        <w:separator/>
      </w:r>
    </w:p>
  </w:footnote>
  <w:footnote w:type="continuationSeparator" w:id="0">
    <w:p w14:paraId="26DF737B" w14:textId="77777777" w:rsidR="0040101E" w:rsidRDefault="0040101E" w:rsidP="00B17A7F">
      <w:pPr>
        <w:spacing w:after="0" w:line="240" w:lineRule="auto"/>
      </w:pPr>
      <w:r>
        <w:continuationSeparator/>
      </w:r>
    </w:p>
  </w:footnote>
  <w:footnote w:type="continuationNotice" w:id="1">
    <w:p w14:paraId="606768D0" w14:textId="77777777" w:rsidR="0040101E" w:rsidRDefault="0040101E">
      <w:pPr>
        <w:spacing w:after="0" w:line="240" w:lineRule="auto"/>
      </w:pPr>
    </w:p>
  </w:footnote>
  <w:footnote w:id="2">
    <w:p w14:paraId="7CB008E1" w14:textId="7EDB38BF" w:rsidR="00B17A7F" w:rsidRPr="005D120B" w:rsidRDefault="00B17A7F" w:rsidP="00B17A7F">
      <w:pPr>
        <w:pStyle w:val="FootnoteText"/>
      </w:pPr>
      <w:r w:rsidRPr="00D94521">
        <w:rPr>
          <w:rStyle w:val="FootnoteReference"/>
          <w:rFonts w:cstheme="minorHAnsi"/>
          <w:szCs w:val="22"/>
        </w:rPr>
        <w:footnoteRef/>
      </w:r>
      <w:r w:rsidRPr="00843DFD">
        <w:rPr>
          <w:rFonts w:cstheme="minorHAnsi"/>
          <w:sz w:val="18"/>
          <w:szCs w:val="18"/>
        </w:rPr>
        <w:t xml:space="preserve"> </w:t>
      </w:r>
      <w:r w:rsidRPr="005D120B">
        <w:t xml:space="preserve">United Nations Population Fund (UNFPA), </w:t>
      </w:r>
      <w:r>
        <w:t>“World Population Dashboard” (webpage),</w:t>
      </w:r>
      <w:r w:rsidRPr="005D120B">
        <w:t xml:space="preserve"> 202</w:t>
      </w:r>
      <w:r>
        <w:t>3</w:t>
      </w:r>
      <w:r w:rsidRPr="005D120B">
        <w:t xml:space="preserve">, </w:t>
      </w:r>
      <w:r w:rsidRPr="007C4481">
        <w:t xml:space="preserve">https://www.unfpa.org/data/world-population-dashboard </w:t>
      </w:r>
      <w:r w:rsidRPr="005D120B">
        <w:t xml:space="preserve">(accessed </w:t>
      </w:r>
      <w:r w:rsidR="009E2DE1">
        <w:t>August 3</w:t>
      </w:r>
      <w:r>
        <w:t>, 2023</w:t>
      </w:r>
      <w:r w:rsidRPr="005D120B">
        <w:t>).</w:t>
      </w:r>
    </w:p>
  </w:footnote>
  <w:footnote w:id="3">
    <w:p w14:paraId="08519D2C" w14:textId="77777777" w:rsidR="00B17A7F" w:rsidRDefault="00B17A7F" w:rsidP="00B17A7F">
      <w:pPr>
        <w:pStyle w:val="FootnoteText"/>
      </w:pPr>
      <w:r>
        <w:rPr>
          <w:rStyle w:val="FootnoteReference"/>
        </w:rPr>
        <w:footnoteRef/>
      </w:r>
      <w:r>
        <w:t xml:space="preserve"> Ibid.</w:t>
      </w:r>
    </w:p>
  </w:footnote>
  <w:footnote w:id="4">
    <w:p w14:paraId="3E075728" w14:textId="2F8C155B" w:rsidR="00B17A7F" w:rsidRPr="002F322F" w:rsidRDefault="00B17A7F" w:rsidP="00B17A7F">
      <w:pPr>
        <w:pStyle w:val="FootnoteText"/>
        <w:rPr>
          <w:rFonts w:cstheme="minorHAnsi"/>
          <w:sz w:val="18"/>
          <w:szCs w:val="18"/>
        </w:rPr>
      </w:pPr>
      <w:r w:rsidRPr="00D94521">
        <w:rPr>
          <w:rStyle w:val="FootnoteReference"/>
          <w:rFonts w:cstheme="minorHAnsi"/>
          <w:szCs w:val="22"/>
        </w:rPr>
        <w:footnoteRef/>
      </w:r>
      <w:r w:rsidRPr="00843DFD">
        <w:rPr>
          <w:rFonts w:cstheme="minorHAnsi"/>
          <w:sz w:val="18"/>
          <w:szCs w:val="18"/>
        </w:rPr>
        <w:t xml:space="preserve"> </w:t>
      </w:r>
      <w:bookmarkStart w:id="2" w:name="_Hlk118282963"/>
      <w:r w:rsidR="0091354C">
        <w:t xml:space="preserve">National Statistical Office, </w:t>
      </w:r>
      <w:r w:rsidR="0091354C" w:rsidRPr="0091354C">
        <w:rPr>
          <w:i/>
          <w:iCs/>
        </w:rPr>
        <w:t>Malawi Multiple Indicator Cluster Survey 2019-20, Survey Findings Report</w:t>
      </w:r>
      <w:r w:rsidR="0091354C">
        <w:t xml:space="preserve"> (Zomba, Malawi: National Statistical Office, 2021), </w:t>
      </w:r>
      <w:r w:rsidR="007363FD" w:rsidRPr="007363FD">
        <w:t>http://www.nsomalawi.mw/images/stories/data_on_line/demography/mics/mics6_2019_20/Malawi_Multiple_Indicator_Cluster_Survey_MICS_2019-20.pdf</w:t>
      </w:r>
      <w:r w:rsidR="007363FD">
        <w:t xml:space="preserve"> (accessed August 3, 2023</w:t>
      </w:r>
      <w:r w:rsidR="00097D3D">
        <w:t>), p.</w:t>
      </w:r>
      <w:r w:rsidR="0097217C">
        <w:t xml:space="preserve"> </w:t>
      </w:r>
      <w:r w:rsidR="00097D3D">
        <w:t>314</w:t>
      </w:r>
      <w:r w:rsidR="007363FD">
        <w:t>.</w:t>
      </w:r>
    </w:p>
    <w:bookmarkEnd w:id="2"/>
  </w:footnote>
  <w:footnote w:id="5">
    <w:p w14:paraId="3AA77FE2" w14:textId="77777777" w:rsidR="00B17A7F" w:rsidRPr="007A72D3" w:rsidRDefault="00B17A7F" w:rsidP="00B17A7F">
      <w:pPr>
        <w:pStyle w:val="FootnoteText"/>
      </w:pPr>
      <w:r>
        <w:rPr>
          <w:rStyle w:val="FootnoteReference"/>
        </w:rPr>
        <w:footnoteRef/>
      </w:r>
      <w:r>
        <w:t xml:space="preserve"> </w:t>
      </w:r>
      <w:r w:rsidRPr="00D76752">
        <w:t xml:space="preserve">UNFPA, </w:t>
      </w:r>
      <w:r w:rsidRPr="00D76752">
        <w:rPr>
          <w:i/>
          <w:iCs/>
        </w:rPr>
        <w:t>Worlds Apart: Reproductive health and rights in an age of inequality</w:t>
      </w:r>
      <w:r w:rsidRPr="00D76752">
        <w:t xml:space="preserve">, the State of World Population 2017, </w:t>
      </w:r>
      <w:hyperlink r:id="rId1" w:history="1">
        <w:r w:rsidRPr="00D76752">
          <w:rPr>
            <w:rStyle w:val="Hyperlink"/>
            <w:color w:val="auto"/>
            <w:u w:val="none"/>
          </w:rPr>
          <w:t>https://www.unfpa.org/sites/default/files/sowp/downloads/UNFPA_PUB_2017_EN_SWOP.pdf</w:t>
        </w:r>
      </w:hyperlink>
      <w:r w:rsidRPr="00D76752">
        <w:t xml:space="preserve"> (accessed December 8, 2022).</w:t>
      </w:r>
    </w:p>
  </w:footnote>
  <w:footnote w:id="6">
    <w:p w14:paraId="46E1DF96" w14:textId="470067A1" w:rsidR="00B17A7F" w:rsidRPr="00AC0212" w:rsidRDefault="00B17A7F" w:rsidP="00B17A7F">
      <w:pPr>
        <w:pStyle w:val="FootnoteText"/>
      </w:pPr>
      <w:r>
        <w:rPr>
          <w:rStyle w:val="FootnoteReference"/>
        </w:rPr>
        <w:footnoteRef/>
      </w:r>
      <w:r>
        <w:t xml:space="preserve"> </w:t>
      </w:r>
      <w:r w:rsidR="0097217C" w:rsidRPr="005C7C62">
        <w:rPr>
          <w:szCs w:val="16"/>
        </w:rPr>
        <w:t>Marriage, Divorce and Family Relations Act, a</w:t>
      </w:r>
      <w:r w:rsidRPr="0097217C">
        <w:rPr>
          <w:szCs w:val="16"/>
        </w:rPr>
        <w:t>v</w:t>
      </w:r>
      <w:r>
        <w:t xml:space="preserve">ailable at </w:t>
      </w:r>
      <w:r w:rsidRPr="005D120B">
        <w:rPr>
          <w:szCs w:val="16"/>
        </w:rPr>
        <w:t>“Malawi</w:t>
      </w:r>
      <w:r>
        <w:rPr>
          <w:szCs w:val="16"/>
        </w:rPr>
        <w:t xml:space="preserve">: Marriage </w:t>
      </w:r>
      <w:r w:rsidRPr="00192AF5">
        <w:rPr>
          <w:szCs w:val="16"/>
        </w:rPr>
        <w:t>Registration,”</w:t>
      </w:r>
      <w:r>
        <w:rPr>
          <w:szCs w:val="16"/>
        </w:rPr>
        <w:t xml:space="preserve"> UN</w:t>
      </w:r>
      <w:r w:rsidR="000129AA">
        <w:rPr>
          <w:szCs w:val="16"/>
        </w:rPr>
        <w:t xml:space="preserve"> Children’s Fund (UNI</w:t>
      </w:r>
      <w:r>
        <w:rPr>
          <w:szCs w:val="16"/>
        </w:rPr>
        <w:t>CEF</w:t>
      </w:r>
      <w:r w:rsidR="000129AA">
        <w:rPr>
          <w:szCs w:val="16"/>
        </w:rPr>
        <w:t>)</w:t>
      </w:r>
      <w:r>
        <w:rPr>
          <w:szCs w:val="16"/>
        </w:rPr>
        <w:t>,</w:t>
      </w:r>
      <w:r w:rsidRPr="00192AF5">
        <w:rPr>
          <w:szCs w:val="16"/>
        </w:rPr>
        <w:t xml:space="preserve"> </w:t>
      </w:r>
      <w:hyperlink r:id="rId2" w:history="1">
        <w:r w:rsidRPr="00192AF5">
          <w:rPr>
            <w:rStyle w:val="Hyperlink"/>
            <w:color w:val="auto"/>
            <w:szCs w:val="16"/>
            <w:u w:val="none"/>
          </w:rPr>
          <w:t>https://data.unicef.org/crvs/malawi/</w:t>
        </w:r>
      </w:hyperlink>
      <w:r w:rsidRPr="00192AF5">
        <w:rPr>
          <w:szCs w:val="16"/>
        </w:rPr>
        <w:t xml:space="preserve"> (accessed December 6, 2022).</w:t>
      </w:r>
    </w:p>
  </w:footnote>
  <w:footnote w:id="7">
    <w:p w14:paraId="624B5934" w14:textId="019CD801" w:rsidR="00B17A7F" w:rsidRDefault="00B17A7F" w:rsidP="00B17A7F">
      <w:pPr>
        <w:pStyle w:val="FootnoteText"/>
      </w:pPr>
      <w:r>
        <w:rPr>
          <w:rStyle w:val="FootnoteReference"/>
        </w:rPr>
        <w:footnoteRef/>
      </w:r>
      <w:r w:rsidR="00912A8A" w:rsidRPr="00912A8A">
        <w:t>Annerieke Smaak Daniel</w:t>
      </w:r>
      <w:r w:rsidRPr="000352FA">
        <w:t xml:space="preserve">, “Malawi Amends Constitution to Remove Child Marriage Loophole,” </w:t>
      </w:r>
      <w:r w:rsidR="00912A8A">
        <w:t xml:space="preserve">Human Rights Watch dispatch, </w:t>
      </w:r>
      <w:r w:rsidRPr="000352FA">
        <w:t xml:space="preserve">February 23, 2017, </w:t>
      </w:r>
      <w:hyperlink r:id="rId3" w:history="1">
        <w:r w:rsidRPr="000352FA">
          <w:rPr>
            <w:rStyle w:val="Hyperlink"/>
            <w:color w:val="auto"/>
            <w:u w:val="none"/>
          </w:rPr>
          <w:t>https://www.hrw.org/news/2017/02/24/malawi-amends-constitution-remove-child-marriage-loophole</w:t>
        </w:r>
      </w:hyperlink>
      <w:r w:rsidRPr="000352FA">
        <w:t>.</w:t>
      </w:r>
    </w:p>
  </w:footnote>
  <w:footnote w:id="8">
    <w:p w14:paraId="70A78CA1" w14:textId="41067F5F" w:rsidR="00946ABE" w:rsidRPr="00601ACF" w:rsidRDefault="00946ABE" w:rsidP="00946ABE">
      <w:pPr>
        <w:pStyle w:val="FootnoteText"/>
      </w:pPr>
      <w:r>
        <w:rPr>
          <w:rStyle w:val="FootnoteReference"/>
        </w:rPr>
        <w:footnoteRef/>
      </w:r>
      <w:r>
        <w:t xml:space="preserve"> Human Rights Watch, “</w:t>
      </w:r>
      <w:r w:rsidRPr="00601ACF">
        <w:t xml:space="preserve">A Brighter Future: Empowering Pregnant Girls and Adolescent Mothers to </w:t>
      </w:r>
      <w:r w:rsidRPr="00AF6EF7">
        <w:t>Stay in School</w:t>
      </w:r>
      <w:r>
        <w:t xml:space="preserve">,” interactive index, 2022, </w:t>
      </w:r>
      <w:r w:rsidRPr="00040786">
        <w:t>https://www.hrw.org/video-photos/interactive/2022/08/29/brighter-future-empowering-pregnant-girls-and-adolescent</w:t>
      </w:r>
      <w:r>
        <w:t xml:space="preserve">; </w:t>
      </w:r>
      <w:r w:rsidRPr="0043192C">
        <w:rPr>
          <w:rFonts w:cstheme="minorHAnsi"/>
          <w:szCs w:val="16"/>
        </w:rPr>
        <w:t>Human Rights Watch,</w:t>
      </w:r>
      <w:r w:rsidRPr="00891673">
        <w:rPr>
          <w:rFonts w:cstheme="minorHAnsi"/>
          <w:i/>
          <w:iCs/>
          <w:szCs w:val="16"/>
        </w:rPr>
        <w:t xml:space="preserve"> Leave No Girl behind in Africa: Discrimination in Education against Pregnant Girls and Adolescent Mothers</w:t>
      </w:r>
      <w:r w:rsidRPr="0043192C">
        <w:rPr>
          <w:rFonts w:cstheme="minorHAnsi"/>
          <w:szCs w:val="16"/>
        </w:rPr>
        <w:t xml:space="preserve"> </w:t>
      </w:r>
      <w:r>
        <w:rPr>
          <w:rFonts w:cstheme="minorHAnsi"/>
          <w:szCs w:val="16"/>
        </w:rPr>
        <w:t xml:space="preserve">(New York: </w:t>
      </w:r>
      <w:r w:rsidRPr="0043192C">
        <w:rPr>
          <w:rFonts w:cstheme="minorHAnsi"/>
          <w:szCs w:val="16"/>
        </w:rPr>
        <w:t>Human Rights Watch</w:t>
      </w:r>
      <w:r>
        <w:rPr>
          <w:rFonts w:cstheme="minorHAnsi"/>
          <w:szCs w:val="16"/>
        </w:rPr>
        <w:t xml:space="preserve">, </w:t>
      </w:r>
      <w:r w:rsidRPr="0043192C">
        <w:rPr>
          <w:rFonts w:cstheme="minorHAnsi"/>
          <w:szCs w:val="16"/>
        </w:rPr>
        <w:t>2018</w:t>
      </w:r>
      <w:r>
        <w:rPr>
          <w:rFonts w:cstheme="minorHAnsi"/>
          <w:szCs w:val="16"/>
        </w:rPr>
        <w:t>)</w:t>
      </w:r>
      <w:r w:rsidR="00DD1858">
        <w:rPr>
          <w:rFonts w:cstheme="minorHAnsi"/>
          <w:szCs w:val="16"/>
        </w:rPr>
        <w:t>,</w:t>
      </w:r>
      <w:r>
        <w:rPr>
          <w:rFonts w:cstheme="minorHAnsi"/>
          <w:szCs w:val="16"/>
        </w:rPr>
        <w:t xml:space="preserve"> </w:t>
      </w:r>
      <w:r w:rsidRPr="00C216B7">
        <w:rPr>
          <w:rFonts w:cstheme="minorHAnsi"/>
          <w:szCs w:val="16"/>
        </w:rPr>
        <w:t>https://www.hrw.org/sites/default/files/report_pdf/au0618_web.pdf</w:t>
      </w:r>
      <w:r>
        <w:rPr>
          <w:rFonts w:cstheme="minorHAnsi"/>
          <w:szCs w:val="16"/>
        </w:rPr>
        <w:t>.</w:t>
      </w:r>
    </w:p>
  </w:footnote>
  <w:footnote w:id="9">
    <w:p w14:paraId="6BCE9A4B" w14:textId="759473C9" w:rsidR="00D84D2D" w:rsidRPr="00522E4B" w:rsidRDefault="00D84D2D">
      <w:pPr>
        <w:pStyle w:val="FootnoteText"/>
      </w:pPr>
      <w:r>
        <w:rPr>
          <w:rStyle w:val="FootnoteReference"/>
        </w:rPr>
        <w:footnoteRef/>
      </w:r>
      <w:r w:rsidRPr="00522E4B">
        <w:t xml:space="preserve"> </w:t>
      </w:r>
      <w:r w:rsidR="00522E4B">
        <w:t xml:space="preserve">National Statistical Office, </w:t>
      </w:r>
      <w:r w:rsidR="00522E4B" w:rsidRPr="0091354C">
        <w:rPr>
          <w:i/>
          <w:iCs/>
        </w:rPr>
        <w:t>Malawi Multiple Indicator Cluster Survey 2019-20, Survey Findings Report</w:t>
      </w:r>
      <w:r w:rsidR="00522E4B">
        <w:t>, p</w:t>
      </w:r>
      <w:r w:rsidR="0097217C">
        <w:t>p</w:t>
      </w:r>
      <w:r w:rsidR="007B0249">
        <w:t>. 94</w:t>
      </w:r>
      <w:r w:rsidR="002A4516">
        <w:t xml:space="preserve">, </w:t>
      </w:r>
      <w:r w:rsidR="007B0249">
        <w:t>96.</w:t>
      </w:r>
    </w:p>
  </w:footnote>
  <w:footnote w:id="10">
    <w:p w14:paraId="62D4960F" w14:textId="77777777" w:rsidR="00B17A7F" w:rsidRPr="00D30FC5" w:rsidRDefault="00B17A7F" w:rsidP="00B17A7F">
      <w:pPr>
        <w:pStyle w:val="FootnoteText"/>
        <w:rPr>
          <w:lang w:val="fr-FR"/>
        </w:rPr>
      </w:pPr>
      <w:r>
        <w:rPr>
          <w:rStyle w:val="FootnoteReference"/>
        </w:rPr>
        <w:footnoteRef/>
      </w:r>
      <w:r w:rsidRPr="00D30FC5">
        <w:rPr>
          <w:lang w:val="fr-FR"/>
        </w:rPr>
        <w:t xml:space="preserve"> Malawi Penal Code, chapter XV, sections 149-151.</w:t>
      </w:r>
    </w:p>
  </w:footnote>
  <w:footnote w:id="11">
    <w:p w14:paraId="108D9724" w14:textId="77777777" w:rsidR="00B17A7F" w:rsidRPr="00ED3693" w:rsidRDefault="00B17A7F" w:rsidP="00B17A7F">
      <w:pPr>
        <w:pStyle w:val="FootnoteText"/>
      </w:pPr>
      <w:r>
        <w:rPr>
          <w:rStyle w:val="FootnoteReference"/>
        </w:rPr>
        <w:footnoteRef/>
      </w:r>
      <w:r w:rsidRPr="00ED3693">
        <w:t xml:space="preserve"> Ibid., </w:t>
      </w:r>
      <w:r>
        <w:t>c</w:t>
      </w:r>
      <w:r w:rsidRPr="00ED3693">
        <w:t xml:space="preserve">hapter XXII, </w:t>
      </w:r>
      <w:r>
        <w:t>s</w:t>
      </w:r>
      <w:r w:rsidRPr="00ED3693">
        <w:t>ection 243.</w:t>
      </w:r>
    </w:p>
  </w:footnote>
  <w:footnote w:id="12">
    <w:p w14:paraId="22EC03D1" w14:textId="6C53A063" w:rsidR="00B17A7F" w:rsidRPr="00BA6536" w:rsidRDefault="00B17A7F" w:rsidP="00B17A7F">
      <w:pPr>
        <w:pStyle w:val="FootnoteText"/>
      </w:pPr>
      <w:r>
        <w:rPr>
          <w:rStyle w:val="FootnoteReference"/>
        </w:rPr>
        <w:footnoteRef/>
      </w:r>
      <w:r w:rsidR="00BA6536">
        <w:t xml:space="preserve"> Lameck Masina, “</w:t>
      </w:r>
      <w:r w:rsidR="00BA6536" w:rsidRPr="00BA6536">
        <w:t>Malawi Parliament Withdraws Abortion Rights Bill after Objections</w:t>
      </w:r>
      <w:r w:rsidR="00BA6536">
        <w:t xml:space="preserve">,” </w:t>
      </w:r>
      <w:r w:rsidR="00EB2B06">
        <w:rPr>
          <w:i/>
          <w:iCs/>
        </w:rPr>
        <w:t>Voice of America</w:t>
      </w:r>
      <w:r w:rsidR="00BA6536">
        <w:t xml:space="preserve">, </w:t>
      </w:r>
      <w:r w:rsidR="00751CEA">
        <w:t xml:space="preserve">June 19, 2021, </w:t>
      </w:r>
      <w:r w:rsidR="00751CEA" w:rsidRPr="00751CEA">
        <w:t>https://www.voanews.com/a/africa_malawi-parliament-withdraws-abortion-rights-bill-after-objections/6207221.html#:~:text=Malawi%20Parliament%20Withdraws%20Abortion%20Rights%20Bill%20after%20Objections,-June%2019%2C%202021&amp;text=Malawi's%20parliament%20has%20withdrawn%20an,mother's%20life%20is%20at%20risk</w:t>
      </w:r>
      <w:r w:rsidR="00751CEA">
        <w:t xml:space="preserve"> (accessed August 4, 2023)</w:t>
      </w:r>
      <w:r w:rsidR="00F71769">
        <w:t xml:space="preserve">; </w:t>
      </w:r>
      <w:r w:rsidR="001D06A2">
        <w:t>S</w:t>
      </w:r>
      <w:r w:rsidR="001D06A2" w:rsidRPr="001D06A2">
        <w:t>outhern Africa Litigation Centre, “Malawi’s obligation to enact the Termination of Pregnancy Bill,” September 27, 2021, https://www.southernafricalitigationcentre.org/2021/09/27/malawis-obligation-to-enact-the-termination-of-pregnancy-bill/ (accessed January 5, 2023).</w:t>
      </w:r>
    </w:p>
  </w:footnote>
  <w:footnote w:id="13">
    <w:p w14:paraId="57F96556" w14:textId="5B2AE03A" w:rsidR="007C0BB2" w:rsidRDefault="007C0BB2">
      <w:pPr>
        <w:pStyle w:val="FootnoteText"/>
      </w:pPr>
      <w:r>
        <w:rPr>
          <w:rStyle w:val="FootnoteReference"/>
        </w:rPr>
        <w:footnoteRef/>
      </w:r>
      <w:r>
        <w:t xml:space="preserve"> </w:t>
      </w:r>
      <w:r w:rsidR="000E221A">
        <w:t>Report of the United Nations High Commissioner for Human Rights</w:t>
      </w:r>
      <w:r w:rsidR="00786023">
        <w:t>,</w:t>
      </w:r>
      <w:r w:rsidR="000E221A">
        <w:t xml:space="preserve"> “Impact of the COVID-19 pandemic on the realization of the equal enjoyment of the right to education by every girl,” </w:t>
      </w:r>
      <w:r w:rsidR="00AD1D40">
        <w:t>A/HRC/50/50, May 11, 2022</w:t>
      </w:r>
      <w:r w:rsidR="00E97847">
        <w:t xml:space="preserve">, </w:t>
      </w:r>
      <w:r w:rsidR="00E97847" w:rsidRPr="00E97847">
        <w:t>https://undocs.org/Home/Mobile?FinalSymbol=A%2FHRC%2F50%2F50&amp;Language=E&amp;DeviceType=Desktop&amp;LangRequested=False</w:t>
      </w:r>
      <w:r w:rsidR="00E97847">
        <w:t xml:space="preserve"> (accessed September 9, 2023).</w:t>
      </w:r>
    </w:p>
  </w:footnote>
  <w:footnote w:id="14">
    <w:p w14:paraId="75974117" w14:textId="1ED58D69" w:rsidR="00274647" w:rsidRDefault="00274647">
      <w:pPr>
        <w:pStyle w:val="FootnoteText"/>
      </w:pPr>
      <w:r>
        <w:rPr>
          <w:rStyle w:val="FootnoteReference"/>
        </w:rPr>
        <w:footnoteRef/>
      </w:r>
      <w:r>
        <w:t xml:space="preserve"> </w:t>
      </w:r>
      <w:r w:rsidR="00107293">
        <w:t xml:space="preserve">UN Human Rights Council, </w:t>
      </w:r>
      <w:r w:rsidR="00786023">
        <w:t>“</w:t>
      </w:r>
      <w:r w:rsidR="0019182D" w:rsidRPr="0019182D">
        <w:t>The right to privacy in the digital age</w:t>
      </w:r>
      <w:r w:rsidR="00107293">
        <w:t>,</w:t>
      </w:r>
      <w:r w:rsidR="00786023">
        <w:t>”</w:t>
      </w:r>
      <w:r w:rsidR="0019182D" w:rsidRPr="0019182D">
        <w:t xml:space="preserve"> </w:t>
      </w:r>
      <w:r w:rsidR="00107293" w:rsidRPr="00107293">
        <w:t>A/HRC/RES/34/7</w:t>
      </w:r>
      <w:r w:rsidR="00107293">
        <w:t>, M</w:t>
      </w:r>
      <w:r w:rsidR="0019182D" w:rsidRPr="0019182D">
        <w:t>arch</w:t>
      </w:r>
      <w:r w:rsidR="00107293">
        <w:t xml:space="preserve"> 23,</w:t>
      </w:r>
      <w:r w:rsidR="0019182D" w:rsidRPr="0019182D">
        <w:t xml:space="preserve"> 2017</w:t>
      </w:r>
      <w:r w:rsidR="009763CE">
        <w:t xml:space="preserve">; </w:t>
      </w:r>
      <w:r w:rsidR="009763CE" w:rsidRPr="009763CE">
        <w:t>G</w:t>
      </w:r>
      <w:r w:rsidR="005C2A6E">
        <w:t xml:space="preserve">eneral </w:t>
      </w:r>
      <w:r w:rsidR="009763CE" w:rsidRPr="009763CE">
        <w:t>A</w:t>
      </w:r>
      <w:r w:rsidR="005C2A6E">
        <w:t>ssembly</w:t>
      </w:r>
      <w:r w:rsidR="00B90794">
        <w:t xml:space="preserve">, </w:t>
      </w:r>
      <w:r w:rsidR="00786023">
        <w:t>“</w:t>
      </w:r>
      <w:r w:rsidR="007F666A">
        <w:t>The right to privacy in the digital age,</w:t>
      </w:r>
      <w:r w:rsidR="00786023">
        <w:t>”</w:t>
      </w:r>
      <w:r w:rsidR="007F666A">
        <w:t xml:space="preserve"> </w:t>
      </w:r>
      <w:r w:rsidR="00BD4717">
        <w:t>A/RES/71/199, January 25, 2017.</w:t>
      </w:r>
    </w:p>
  </w:footnote>
  <w:footnote w:id="15">
    <w:p w14:paraId="53496727" w14:textId="221915F0" w:rsidR="774BAEBD" w:rsidRDefault="774BAEBD" w:rsidP="774BAEBD">
      <w:pPr>
        <w:pStyle w:val="FootnoteText"/>
      </w:pPr>
      <w:r w:rsidRPr="774BAEBD">
        <w:rPr>
          <w:rStyle w:val="FootnoteReference"/>
        </w:rPr>
        <w:footnoteRef/>
      </w:r>
      <w:r>
        <w:t xml:space="preserve"> Human Rights Watch, </w:t>
      </w:r>
      <w:r w:rsidRPr="774BAEBD">
        <w:rPr>
          <w:i/>
          <w:iCs/>
        </w:rPr>
        <w:t>“How Dare They Peep into My Private Life?”: Children’s Rights Violations by Governments that Endorsed Online Learning During the Covid-19 Pandemic</w:t>
      </w:r>
      <w:r>
        <w:t xml:space="preserve"> (New York: Human Rights Watch, 2022), </w:t>
      </w:r>
      <w:hyperlink r:id="rId4">
        <w:r w:rsidRPr="774BAEBD">
          <w:rPr>
            <w:rStyle w:val="Hyperlink"/>
            <w:color w:val="auto"/>
            <w:u w:val="none"/>
          </w:rPr>
          <w:t>https://www.hrw.org/report/2022/05/25/how-dare-they-peep-my-private-life/childrens-rights-violations-governments</w:t>
        </w:r>
      </w:hyperlink>
      <w:r>
        <w:t>.</w:t>
      </w:r>
    </w:p>
  </w:footnote>
  <w:footnote w:id="16">
    <w:p w14:paraId="6A885FA3" w14:textId="2D22D424" w:rsidR="00B17A7F" w:rsidRDefault="00B17A7F" w:rsidP="00B17A7F">
      <w:pPr>
        <w:pStyle w:val="FootnoteText"/>
      </w:pPr>
      <w:r>
        <w:rPr>
          <w:rStyle w:val="FootnoteReference"/>
        </w:rPr>
        <w:footnoteRef/>
      </w:r>
      <w:r>
        <w:t xml:space="preserve"> </w:t>
      </w:r>
      <w:r w:rsidRPr="005D36DD">
        <w:t>Human Rights Watch, “</w:t>
      </w:r>
      <w:r w:rsidRPr="003A65BC">
        <w:rPr>
          <w:i/>
          <w:iCs/>
        </w:rPr>
        <w:t>Years Don’t Wait for Them”</w:t>
      </w:r>
      <w:r w:rsidR="003A65BC" w:rsidRPr="003A65BC">
        <w:rPr>
          <w:i/>
          <w:iCs/>
        </w:rPr>
        <w:t>: Increased Inequalities in Children’s Right to Education Due to the Covid-19 Pandemic</w:t>
      </w:r>
      <w:r w:rsidRPr="005D36DD">
        <w:t xml:space="preserve"> </w:t>
      </w:r>
      <w:r w:rsidR="003A65BC">
        <w:t xml:space="preserve">(New York: Human Rights Watch, </w:t>
      </w:r>
      <w:r w:rsidRPr="005D36DD">
        <w:t>2021</w:t>
      </w:r>
      <w:r w:rsidR="003A65BC">
        <w:t>)</w:t>
      </w:r>
      <w:r w:rsidRPr="005D36DD">
        <w:t xml:space="preserve">, </w:t>
      </w:r>
      <w:hyperlink r:id="rId5" w:history="1">
        <w:r w:rsidRPr="005D36DD">
          <w:rPr>
            <w:rStyle w:val="Hyperlink"/>
            <w:color w:val="auto"/>
            <w:u w:val="none"/>
          </w:rPr>
          <w:t>https://www.hrw.org/report/2021/05/17/years-dont-wait-them/increased-inequalities-childrens-right-education-due-covid</w:t>
        </w:r>
      </w:hyperlink>
      <w:r w:rsidRPr="005D36DD">
        <w:t>; Freedom House, “Freedom on the Net 2021</w:t>
      </w:r>
      <w:r w:rsidR="006202BC">
        <w:t>:</w:t>
      </w:r>
      <w:r w:rsidRPr="005D36DD">
        <w:t xml:space="preserve"> Malawi”</w:t>
      </w:r>
      <w:r w:rsidR="006202BC">
        <w:t xml:space="preserve"> (webpage)</w:t>
      </w:r>
      <w:r w:rsidR="00835094">
        <w:t xml:space="preserve"> [n.d.],</w:t>
      </w:r>
      <w:r w:rsidRPr="005D36DD">
        <w:t xml:space="preserve"> </w:t>
      </w:r>
      <w:hyperlink r:id="rId6" w:history="1">
        <w:r w:rsidRPr="005D36DD">
          <w:rPr>
            <w:rStyle w:val="Hyperlink"/>
            <w:color w:val="auto"/>
            <w:u w:val="none"/>
          </w:rPr>
          <w:t>https://freedomhouse.org/country/malawi/freedom-net/2021</w:t>
        </w:r>
      </w:hyperlink>
      <w:r w:rsidRPr="005D36DD">
        <w:t xml:space="preserve"> (accessed December 21, 2022).</w:t>
      </w:r>
    </w:p>
  </w:footnote>
  <w:footnote w:id="17">
    <w:p w14:paraId="0CC9E961" w14:textId="77777777" w:rsidR="00B17A7F" w:rsidRPr="000846EA" w:rsidRDefault="00B17A7F" w:rsidP="00B17A7F">
      <w:pPr>
        <w:pStyle w:val="FootnoteText"/>
      </w:pPr>
      <w:r>
        <w:rPr>
          <w:rStyle w:val="FootnoteReference"/>
        </w:rPr>
        <w:footnoteRef/>
      </w:r>
      <w:r>
        <w:t xml:space="preserve"> </w:t>
      </w:r>
      <w:r w:rsidRPr="000846EA">
        <w:t>Speech by Dr. William Susuwele-Banda, Minister of Education, Science and Technology, April 21, 2020,</w:t>
      </w:r>
    </w:p>
    <w:p w14:paraId="390AD6B3" w14:textId="77777777" w:rsidR="00B17A7F" w:rsidRDefault="0027298E" w:rsidP="00B17A7F">
      <w:pPr>
        <w:pStyle w:val="FootnoteText"/>
      </w:pPr>
      <w:hyperlink r:id="rId7" w:history="1">
        <w:r w:rsidR="00B17A7F" w:rsidRPr="000846EA">
          <w:rPr>
            <w:rStyle w:val="Hyperlink"/>
            <w:color w:val="auto"/>
            <w:u w:val="none"/>
          </w:rPr>
          <w:t>https://www.facebook.com/permalink.php?id=262009470606274&amp;story_fbid=1659255777548296</w:t>
        </w:r>
      </w:hyperlink>
      <w:r w:rsidR="00B17A7F" w:rsidRPr="000846EA">
        <w:t xml:space="preserve"> (accessed December 15, 2022).</w:t>
      </w:r>
    </w:p>
  </w:footnote>
  <w:footnote w:id="18">
    <w:p w14:paraId="6FDB6E29" w14:textId="17E001AF" w:rsidR="00B17A7F" w:rsidRDefault="00B17A7F" w:rsidP="00B17A7F">
      <w:pPr>
        <w:pStyle w:val="FootnoteText"/>
      </w:pPr>
      <w:r>
        <w:rPr>
          <w:rStyle w:val="FootnoteReference"/>
        </w:rPr>
        <w:footnoteRef/>
      </w:r>
      <w:r>
        <w:t xml:space="preserve"> </w:t>
      </w:r>
      <w:r w:rsidRPr="00C03685">
        <w:t xml:space="preserve">Human Rights Watch, “Privacy Snapshot: </w:t>
      </w:r>
      <w:r>
        <w:t>Notesmaster</w:t>
      </w:r>
      <w:r w:rsidRPr="00C03685">
        <w:t xml:space="preserve">,” June 2021, </w:t>
      </w:r>
      <w:hyperlink r:id="rId8" w:history="1">
        <w:r w:rsidRPr="00C03685">
          <w:rPr>
            <w:rStyle w:val="Hyperlink"/>
            <w:color w:val="auto"/>
            <w:u w:val="none"/>
          </w:rPr>
          <w:t>https://features.hrw.org/features/StudentsNotProducts/files/privacy_snapshots/Privacy%20Snapshot%20-%20Malawi%20Notesmaster.pdf</w:t>
        </w:r>
      </w:hyperlink>
      <w:r>
        <w:t>.</w:t>
      </w:r>
    </w:p>
  </w:footnote>
  <w:footnote w:id="19">
    <w:p w14:paraId="501E12A1" w14:textId="46906893" w:rsidR="00B17A7F" w:rsidRPr="007F59BB" w:rsidRDefault="00B17A7F" w:rsidP="00B17A7F">
      <w:pPr>
        <w:pStyle w:val="FootnoteText"/>
      </w:pPr>
      <w:r>
        <w:rPr>
          <w:rStyle w:val="FootnoteReference"/>
        </w:rPr>
        <w:footnoteRef/>
      </w:r>
      <w:r>
        <w:t xml:space="preserve"> </w:t>
      </w:r>
      <w:r w:rsidRPr="0004710D">
        <w:t xml:space="preserve">See Cliqz, Who Tracks Me, “BlueKai,” https://whotracks.me/trackers/bluekai.html (accessed July 12, 2021); Bennett Cyphers and Gennie Gebhart, “Behind the One-Way Mirror: A Deep Dive Into the Technology of Corporate Surveillance,” </w:t>
      </w:r>
      <w:r w:rsidRPr="008F7C90">
        <w:t>Electronic Frontier Foundation</w:t>
      </w:r>
      <w:r w:rsidRPr="0004710D">
        <w:t>, December 2, 2019, https://www.eff.org/wp/behind-the-one-way-mirror (accessed July 12, 2021).</w:t>
      </w:r>
    </w:p>
  </w:footnote>
  <w:footnote w:id="20">
    <w:p w14:paraId="2CBD8E85" w14:textId="77777777" w:rsidR="00B17A7F" w:rsidRDefault="00B17A7F" w:rsidP="00B17A7F">
      <w:pPr>
        <w:pStyle w:val="FootnoteText"/>
      </w:pPr>
      <w:r>
        <w:rPr>
          <w:rStyle w:val="FootnoteReference"/>
        </w:rPr>
        <w:footnoteRef/>
      </w:r>
      <w:r>
        <w:t xml:space="preserve"> Zack Whittaker, “Oracle’s BlueKai Tracks You Across the Web. That Data Spilled Online,” </w:t>
      </w:r>
      <w:r>
        <w:rPr>
          <w:i/>
          <w:iCs/>
        </w:rPr>
        <w:t>TechCrunch</w:t>
      </w:r>
      <w:r>
        <w:t>, June 19, 2020, https://techcrunch.com/2020/06/19/oracle-bluekai-web-tracking/ (accessed July 12, 2021).</w:t>
      </w:r>
    </w:p>
  </w:footnote>
  <w:footnote w:id="21">
    <w:p w14:paraId="7F114A98" w14:textId="66873837" w:rsidR="00B17A7F" w:rsidRPr="0027430E" w:rsidRDefault="00B17A7F" w:rsidP="00B17A7F">
      <w:pPr>
        <w:pStyle w:val="FootnoteText"/>
      </w:pPr>
      <w:r>
        <w:rPr>
          <w:rStyle w:val="FootnoteReference"/>
        </w:rPr>
        <w:footnoteRef/>
      </w:r>
      <w:r>
        <w:t xml:space="preserve"> </w:t>
      </w:r>
      <w:r w:rsidRPr="00F47F27">
        <w:t xml:space="preserve">Human Rights Watch, </w:t>
      </w:r>
      <w:r w:rsidRPr="00807D36">
        <w:rPr>
          <w:i/>
          <w:iCs/>
        </w:rPr>
        <w:t>“How Dare They Peep into My Private Life?”</w:t>
      </w:r>
    </w:p>
  </w:footnote>
  <w:footnote w:id="22">
    <w:p w14:paraId="5567B7F5" w14:textId="11E7AA25" w:rsidR="00B17A7F" w:rsidRPr="009F13F6" w:rsidRDefault="00B17A7F" w:rsidP="00B17A7F">
      <w:pPr>
        <w:pStyle w:val="FootnoteText"/>
      </w:pPr>
      <w:r>
        <w:rPr>
          <w:rStyle w:val="FootnoteReference"/>
        </w:rPr>
        <w:footnoteRef/>
      </w:r>
      <w:r>
        <w:t xml:space="preserve"> </w:t>
      </w:r>
      <w:r w:rsidRPr="00C03685">
        <w:t xml:space="preserve">Human Rights Watch, “Privacy Snapshot: </w:t>
      </w:r>
      <w:r>
        <w:t>Notesmaster</w:t>
      </w:r>
      <w:r w:rsidRPr="00C03685">
        <w:t>,” June 2021</w:t>
      </w:r>
      <w:r w:rsidR="005F1B95">
        <w:t xml:space="preserve">, </w:t>
      </w:r>
      <w:hyperlink r:id="rId9" w:history="1">
        <w:r w:rsidR="005F1B95" w:rsidRPr="00C03685">
          <w:rPr>
            <w:rStyle w:val="Hyperlink"/>
            <w:color w:val="auto"/>
            <w:u w:val="none"/>
          </w:rPr>
          <w:t>https://features.hrw.org/features/StudentsNotProducts/files/privacy_snapshots/Privacy%20Snapshot%20-%20Malawi%20Notesmaster.pdf</w:t>
        </w:r>
      </w:hyperlink>
      <w:r w:rsidR="005F1B95">
        <w:rPr>
          <w:rStyle w:val="Hyperlink"/>
          <w:color w:val="auto"/>
          <w:u w:val="none"/>
        </w:rPr>
        <w:t>.</w:t>
      </w:r>
    </w:p>
  </w:footnote>
  <w:footnote w:id="23">
    <w:p w14:paraId="07090CE5" w14:textId="33887182" w:rsidR="00B17A7F" w:rsidRPr="00822200" w:rsidRDefault="00B17A7F" w:rsidP="00B17A7F">
      <w:pPr>
        <w:spacing w:after="0"/>
        <w:rPr>
          <w:rFonts w:ascii="MetaPro-Norm" w:hAnsi="MetaPro-Norm"/>
          <w:sz w:val="16"/>
          <w:szCs w:val="20"/>
        </w:rPr>
      </w:pPr>
      <w:r>
        <w:rPr>
          <w:rStyle w:val="FootnoteReference"/>
        </w:rPr>
        <w:footnoteRef/>
      </w:r>
      <w:r>
        <w:t xml:space="preserve"> </w:t>
      </w:r>
      <w:r w:rsidRPr="00D02D0D">
        <w:rPr>
          <w:rFonts w:ascii="MetaPro-Norm" w:hAnsi="MetaPro-Norm"/>
          <w:sz w:val="16"/>
          <w:szCs w:val="20"/>
        </w:rPr>
        <w:t>United Nations Committee on the Rights of the Child, General Comment No. 25 on Children’s Rights in Relation to the Digital Environment, U.N. Doc. CRC/C/GC/25</w:t>
      </w:r>
      <w:r w:rsidR="0097217C">
        <w:rPr>
          <w:rFonts w:ascii="MetaPro-Norm" w:hAnsi="MetaPro-Norm"/>
          <w:sz w:val="16"/>
          <w:szCs w:val="20"/>
        </w:rPr>
        <w:t>,</w:t>
      </w:r>
      <w:r w:rsidRPr="00D02D0D">
        <w:rPr>
          <w:rFonts w:ascii="MetaPro-Norm" w:hAnsi="MetaPro-Norm"/>
          <w:sz w:val="16"/>
          <w:szCs w:val="20"/>
        </w:rPr>
        <w:t xml:space="preserve"> 2021, para. 40.</w:t>
      </w:r>
    </w:p>
  </w:footnote>
  <w:footnote w:id="24">
    <w:p w14:paraId="01406D56" w14:textId="77777777" w:rsidR="00B17A7F" w:rsidRPr="00D02D0D" w:rsidRDefault="00B17A7F" w:rsidP="00B17A7F">
      <w:pPr>
        <w:pStyle w:val="FootnoteText"/>
      </w:pPr>
      <w:r>
        <w:rPr>
          <w:rStyle w:val="FootnoteReference"/>
        </w:rPr>
        <w:footnoteRef/>
      </w:r>
      <w:r>
        <w:t xml:space="preserve"> </w:t>
      </w:r>
      <w:r w:rsidRPr="00822200">
        <w:t>Ibid., para. 42.</w:t>
      </w:r>
    </w:p>
  </w:footnote>
  <w:footnote w:id="25">
    <w:p w14:paraId="1FAF1BF0" w14:textId="77777777" w:rsidR="00B17A7F" w:rsidRDefault="00B17A7F" w:rsidP="00B17A7F">
      <w:pPr>
        <w:pStyle w:val="FootnoteText"/>
      </w:pPr>
      <w:r>
        <w:rPr>
          <w:rStyle w:val="FootnoteReference"/>
        </w:rPr>
        <w:footnoteRef/>
      </w:r>
      <w:r>
        <w:t xml:space="preserve"> Human Rights Watch email correspondence with Dean Dundas, Managing Director, Notesmaster, April 20, 2022.</w:t>
      </w:r>
    </w:p>
  </w:footnote>
  <w:footnote w:id="26">
    <w:p w14:paraId="1BCF99A9" w14:textId="77777777" w:rsidR="00B17A7F" w:rsidRDefault="00B17A7F" w:rsidP="00B17A7F">
      <w:pPr>
        <w:pStyle w:val="FootnoteText"/>
      </w:pPr>
      <w:r>
        <w:rPr>
          <w:rStyle w:val="FootnoteReference"/>
        </w:rPr>
        <w:footnoteRef/>
      </w:r>
      <w:r>
        <w:t xml:space="preserve"> </w:t>
      </w:r>
      <w:r w:rsidRPr="008F3FC9">
        <w:t>Human Rights Watch email correspondence with Dorian Daley, Executive Vice President and General Counsel</w:t>
      </w:r>
      <w:r>
        <w:t xml:space="preserve">, </w:t>
      </w:r>
      <w:r w:rsidRPr="008F3FC9">
        <w:t>Oracle, April 15, 2022.</w:t>
      </w:r>
    </w:p>
  </w:footnote>
  <w:footnote w:id="27">
    <w:p w14:paraId="0646B4B6" w14:textId="77777777" w:rsidR="00B17A7F" w:rsidRDefault="00B17A7F" w:rsidP="00B17A7F">
      <w:pPr>
        <w:pStyle w:val="FootnoteText"/>
      </w:pPr>
      <w:r>
        <w:rPr>
          <w:rStyle w:val="FootnoteReference"/>
        </w:rPr>
        <w:footnoteRef/>
      </w:r>
      <w:r>
        <w:t xml:space="preserve"> Human Rights Watch email correspondence with Miranda Sissons, Director, Human Rights Policy, Meta, April 15, 2022.</w:t>
      </w:r>
    </w:p>
  </w:footnote>
  <w:footnote w:id="28">
    <w:p w14:paraId="2BC1B129" w14:textId="18DAE5BB" w:rsidR="0084662B" w:rsidRDefault="0084662B">
      <w:pPr>
        <w:pStyle w:val="FootnoteText"/>
      </w:pPr>
      <w:r>
        <w:rPr>
          <w:rStyle w:val="FootnoteReference"/>
        </w:rPr>
        <w:footnoteRef/>
      </w:r>
      <w:r>
        <w:t xml:space="preserve"> </w:t>
      </w:r>
      <w:r w:rsidR="00DA36DD">
        <w:t xml:space="preserve">Committee on </w:t>
      </w:r>
      <w:r w:rsidR="006F459A">
        <w:t xml:space="preserve">the Elimination of Discrimination against Women, </w:t>
      </w:r>
      <w:r w:rsidR="00CB21FA">
        <w:t>General recommendation No. 36 (2017) on the right of girls and women to education</w:t>
      </w:r>
      <w:r w:rsidR="00AC54DE">
        <w:t xml:space="preserve">, CEDAW/C/GC/36, </w:t>
      </w:r>
      <w:r w:rsidR="00D46BBC">
        <w:t xml:space="preserve">November 27, 2017, art. </w:t>
      </w:r>
      <w:r w:rsidR="00B021A5">
        <w:t>36.</w:t>
      </w:r>
    </w:p>
  </w:footnote>
  <w:footnote w:id="29">
    <w:p w14:paraId="3D899116" w14:textId="0CF71D52" w:rsidR="00C83D1F" w:rsidRDefault="00C83D1F">
      <w:pPr>
        <w:pStyle w:val="FootnoteText"/>
      </w:pPr>
      <w:r>
        <w:rPr>
          <w:rStyle w:val="FootnoteReference"/>
        </w:rPr>
        <w:footnoteRef/>
      </w:r>
      <w:r>
        <w:t xml:space="preserve"> </w:t>
      </w:r>
      <w:r w:rsidR="00A36463">
        <w:t xml:space="preserve">Constitution of the Republic of Malawi, </w:t>
      </w:r>
      <w:r w:rsidR="008465D0">
        <w:t>art. 13 (f)(ii)</w:t>
      </w:r>
      <w:r w:rsidR="0071307E">
        <w:t>; Republic of Malawi, Education Act, Chapter 30:01, December 31, 2014, art. 13.</w:t>
      </w:r>
    </w:p>
  </w:footnote>
  <w:footnote w:id="30">
    <w:p w14:paraId="23DEB4BC" w14:textId="7638FC40" w:rsidR="004F0273" w:rsidRDefault="004F0273">
      <w:pPr>
        <w:pStyle w:val="FootnoteText"/>
      </w:pPr>
      <w:r>
        <w:rPr>
          <w:rStyle w:val="FootnoteReference"/>
        </w:rPr>
        <w:footnoteRef/>
      </w:r>
      <w:r>
        <w:t xml:space="preserve"> </w:t>
      </w:r>
      <w:r w:rsidR="001C7E8B">
        <w:t xml:space="preserve">Republic of Malawi, Ministry of Education, National Education Sector Investment Plan 2020-2030, </w:t>
      </w:r>
      <w:r w:rsidR="004A0BFD">
        <w:t xml:space="preserve">August 2020, </w:t>
      </w:r>
      <w:r w:rsidR="001C7E8B">
        <w:t>p.</w:t>
      </w:r>
      <w:r w:rsidR="004A0BFD">
        <w:t xml:space="preserve"> 5.</w:t>
      </w:r>
      <w:r w:rsidR="001C7E8B">
        <w:t xml:space="preserve"> </w:t>
      </w:r>
    </w:p>
  </w:footnote>
  <w:footnote w:id="31">
    <w:p w14:paraId="5C8E669F" w14:textId="561F9CFD" w:rsidR="00C458E7" w:rsidRDefault="00C458E7">
      <w:pPr>
        <w:pStyle w:val="FootnoteText"/>
      </w:pPr>
      <w:r>
        <w:rPr>
          <w:rStyle w:val="FootnoteReference"/>
        </w:rPr>
        <w:footnoteRef/>
      </w:r>
      <w:r>
        <w:t xml:space="preserve"> Ibid., p. </w:t>
      </w:r>
      <w:r w:rsidR="008A4C32">
        <w:t>44.</w:t>
      </w:r>
    </w:p>
  </w:footnote>
  <w:footnote w:id="32">
    <w:p w14:paraId="4F7CF7A3" w14:textId="4839BDD1" w:rsidR="007A5044" w:rsidRDefault="007A5044">
      <w:pPr>
        <w:pStyle w:val="FootnoteText"/>
      </w:pPr>
      <w:r>
        <w:rPr>
          <w:rStyle w:val="FootnoteReference"/>
        </w:rPr>
        <w:footnoteRef/>
      </w:r>
      <w:r>
        <w:t xml:space="preserve"> </w:t>
      </w:r>
      <w:r w:rsidR="00360696">
        <w:t xml:space="preserve">National Planning Commission (NPC), </w:t>
      </w:r>
      <w:r w:rsidR="00360696" w:rsidRPr="00360696">
        <w:rPr>
          <w:i/>
          <w:iCs/>
        </w:rPr>
        <w:t>Malawi</w:t>
      </w:r>
      <w:r w:rsidR="000A3E86">
        <w:rPr>
          <w:i/>
          <w:iCs/>
        </w:rPr>
        <w:t xml:space="preserve">’s </w:t>
      </w:r>
      <w:r w:rsidR="00360696" w:rsidRPr="00360696">
        <w:rPr>
          <w:i/>
          <w:iCs/>
        </w:rPr>
        <w:t>Vision</w:t>
      </w:r>
      <w:r w:rsidR="000A3E86">
        <w:rPr>
          <w:i/>
          <w:iCs/>
        </w:rPr>
        <w:t xml:space="preserve">: </w:t>
      </w:r>
      <w:r w:rsidR="000A3E86" w:rsidRPr="000A3E86">
        <w:rPr>
          <w:i/>
          <w:iCs/>
        </w:rPr>
        <w:t>An Inclusively Wealthy and Self-reliant Nation</w:t>
      </w:r>
      <w:r w:rsidR="000A3E86">
        <w:rPr>
          <w:i/>
          <w:iCs/>
        </w:rPr>
        <w:t xml:space="preserve">, </w:t>
      </w:r>
      <w:r w:rsidR="000A3E86">
        <w:t>Malawi 206</w:t>
      </w:r>
      <w:r w:rsidR="00D717B2">
        <w:t>3</w:t>
      </w:r>
      <w:r w:rsidR="00EC59DB">
        <w:t xml:space="preserve"> </w:t>
      </w:r>
      <w:r w:rsidR="00D717B2">
        <w:t xml:space="preserve">(Lilongwe: NPC, 2020), </w:t>
      </w:r>
      <w:r w:rsidR="00F90F8D" w:rsidRPr="00F90F8D">
        <w:t>https://malawi.un.org/sites/default/files/2021-01/MW2063-%20Malawi%20Vision%202063%20Document.pdf</w:t>
      </w:r>
      <w:r w:rsidR="00F90F8D">
        <w:t xml:space="preserve"> (accessed August 8, 2023)</w:t>
      </w:r>
      <w:r w:rsidR="00360696">
        <w:t>.</w:t>
      </w:r>
    </w:p>
  </w:footnote>
  <w:footnote w:id="33">
    <w:p w14:paraId="71A45570" w14:textId="0844757F" w:rsidR="002C61BE" w:rsidRDefault="002C61BE">
      <w:pPr>
        <w:pStyle w:val="FootnoteText"/>
      </w:pPr>
      <w:r>
        <w:rPr>
          <w:rStyle w:val="FootnoteReference"/>
        </w:rPr>
        <w:footnoteRef/>
      </w:r>
      <w:r>
        <w:t xml:space="preserve"> </w:t>
      </w:r>
      <w:r w:rsidR="00E82D74">
        <w:t xml:space="preserve">UNICEF, “Affordable, quality secondary education for all children in Malawi,” 2019, </w:t>
      </w:r>
      <w:r w:rsidR="00E82D74" w:rsidRPr="00E82D74">
        <w:t>https://www.unicef.org/esa/sites/unicef.org.esa/files/2019-05/UNICEF-Malawi-2018-Costing-Quality-Secondary-Education-for-all-Children.pdf</w:t>
      </w:r>
      <w:r w:rsidR="00E82D74">
        <w:t xml:space="preserve"> (accessed August 8, 2023).</w:t>
      </w:r>
    </w:p>
  </w:footnote>
  <w:footnote w:id="34">
    <w:p w14:paraId="6CDDB1E5" w14:textId="3E5EDF26" w:rsidR="00045AA9" w:rsidRDefault="00045AA9">
      <w:pPr>
        <w:pStyle w:val="FootnoteText"/>
      </w:pPr>
      <w:r>
        <w:rPr>
          <w:rStyle w:val="FootnoteReference"/>
        </w:rPr>
        <w:footnoteRef/>
      </w:r>
      <w:r>
        <w:t xml:space="preserve"> Republic of Malawi, Ministry of Education,</w:t>
      </w:r>
      <w:r w:rsidR="004A36B7">
        <w:t xml:space="preserve"> 2022 Malawi Education Statistics Report, </w:t>
      </w:r>
      <w:r w:rsidR="00037017">
        <w:t xml:space="preserve">Education Management Information System (EMIS), </w:t>
      </w:r>
      <w:r w:rsidR="001B2030">
        <w:t xml:space="preserve">available at </w:t>
      </w:r>
      <w:r w:rsidR="001B2030" w:rsidRPr="001B2030">
        <w:t>https://www.education.gov.mw/index.php/edu-resources/2022-education-statistics</w:t>
      </w:r>
      <w:r w:rsidR="001B2030">
        <w:t xml:space="preserve"> (accessed August 8, 2023), </w:t>
      </w:r>
      <w:r w:rsidR="009B233B">
        <w:t>p</w:t>
      </w:r>
      <w:r w:rsidR="0097217C">
        <w:t>p</w:t>
      </w:r>
      <w:r w:rsidR="009B233B">
        <w:t>. xii</w:t>
      </w:r>
      <w:r w:rsidR="00AC4609">
        <w:t>-xiii</w:t>
      </w:r>
      <w:r w:rsidR="00936AAD">
        <w:t>.</w:t>
      </w:r>
    </w:p>
  </w:footnote>
  <w:footnote w:id="35">
    <w:p w14:paraId="55C882D2" w14:textId="249AC0AE" w:rsidR="00F25246" w:rsidRDefault="00F25246">
      <w:pPr>
        <w:pStyle w:val="FootnoteText"/>
      </w:pPr>
      <w:r>
        <w:rPr>
          <w:rStyle w:val="FootnoteReference"/>
        </w:rPr>
        <w:footnoteRef/>
      </w:r>
      <w:r>
        <w:t xml:space="preserve"> </w:t>
      </w:r>
      <w:r w:rsidR="006B65F4">
        <w:t>Ibid. See also</w:t>
      </w:r>
      <w:r w:rsidR="0097217C">
        <w:t>,</w:t>
      </w:r>
      <w:r w:rsidR="006B65F4">
        <w:t xml:space="preserve"> </w:t>
      </w:r>
      <w:r w:rsidR="00A51487">
        <w:t>National Education Sector Investment Plan 2020-2030</w:t>
      </w:r>
      <w:r w:rsidR="00DE701F">
        <w:t xml:space="preserve">; and </w:t>
      </w:r>
      <w:r w:rsidR="00162F7C">
        <w:t>U</w:t>
      </w:r>
      <w:r w:rsidR="006A0A82">
        <w:t xml:space="preserve">nited States </w:t>
      </w:r>
      <w:r w:rsidR="00162F7C">
        <w:t>A</w:t>
      </w:r>
      <w:r w:rsidR="006A0A82">
        <w:t xml:space="preserve">gency for </w:t>
      </w:r>
      <w:r w:rsidR="00162F7C">
        <w:t>I</w:t>
      </w:r>
      <w:r w:rsidR="006A0A82">
        <w:t xml:space="preserve">nternational </w:t>
      </w:r>
      <w:r w:rsidR="00162F7C">
        <w:t>D</w:t>
      </w:r>
      <w:r w:rsidR="006A0A82">
        <w:t>evelopment</w:t>
      </w:r>
      <w:r w:rsidR="00E3367D">
        <w:t xml:space="preserve"> (USAID)</w:t>
      </w:r>
      <w:r w:rsidR="00162F7C">
        <w:t>, “Secondary Education Expansion for Development (SEED) Malawi</w:t>
      </w:r>
      <w:r w:rsidR="00E77433">
        <w:t>,</w:t>
      </w:r>
      <w:r w:rsidR="00162F7C">
        <w:t>”</w:t>
      </w:r>
      <w:r w:rsidR="00E77433">
        <w:t xml:space="preserve"> 2022, </w:t>
      </w:r>
      <w:r w:rsidR="000E5041" w:rsidRPr="000E5041">
        <w:t>https://www.usaid.gov/infrastructure/results/malawi-secondary-education-expansion</w:t>
      </w:r>
      <w:r w:rsidR="000E5041">
        <w:t xml:space="preserve"> (accessed August 8, 2023).</w:t>
      </w:r>
    </w:p>
  </w:footnote>
  <w:footnote w:id="36">
    <w:p w14:paraId="3050B4FB" w14:textId="116642C0" w:rsidR="00FB70FD" w:rsidRDefault="00FB70FD">
      <w:pPr>
        <w:pStyle w:val="FootnoteText"/>
      </w:pPr>
      <w:r>
        <w:rPr>
          <w:rStyle w:val="FootnoteReference"/>
        </w:rPr>
        <w:footnoteRef/>
      </w:r>
      <w:r>
        <w:t xml:space="preserve"> Ministry of Education, 2022 Malawi Education Statistics Report, EMIS, p</w:t>
      </w:r>
      <w:r w:rsidR="005853BC">
        <w:t>p</w:t>
      </w:r>
      <w:r>
        <w:t xml:space="preserve">. </w:t>
      </w:r>
      <w:r w:rsidR="00E66C2C">
        <w:t>71-72.</w:t>
      </w:r>
    </w:p>
  </w:footnote>
  <w:footnote w:id="37">
    <w:p w14:paraId="6410AB5F" w14:textId="559F12AB" w:rsidR="002B007A" w:rsidRPr="00781D9F" w:rsidRDefault="002B007A">
      <w:pPr>
        <w:pStyle w:val="FootnoteText"/>
        <w:rPr>
          <w:lang w:val="es-CO"/>
        </w:rPr>
      </w:pPr>
      <w:r>
        <w:rPr>
          <w:rStyle w:val="FootnoteReference"/>
        </w:rPr>
        <w:footnoteRef/>
      </w:r>
      <w:r w:rsidRPr="00781D9F">
        <w:rPr>
          <w:lang w:val="es-CO"/>
        </w:rPr>
        <w:t xml:space="preserve"> </w:t>
      </w:r>
      <w:r w:rsidR="009055C7" w:rsidRPr="00781D9F">
        <w:rPr>
          <w:lang w:val="es-CO"/>
        </w:rPr>
        <w:t>Ibid.</w:t>
      </w:r>
      <w:r w:rsidR="00A51487" w:rsidRPr="00781D9F">
        <w:rPr>
          <w:lang w:val="es-CO"/>
        </w:rPr>
        <w:t>, p</w:t>
      </w:r>
      <w:r w:rsidR="005853BC">
        <w:rPr>
          <w:lang w:val="es-CO"/>
        </w:rPr>
        <w:t>p</w:t>
      </w:r>
      <w:r w:rsidR="00A51487" w:rsidRPr="00781D9F">
        <w:rPr>
          <w:lang w:val="es-CO"/>
        </w:rPr>
        <w:t>. xii-xiii</w:t>
      </w:r>
      <w:r w:rsidR="00690AB3" w:rsidRPr="00781D9F">
        <w:rPr>
          <w:lang w:val="es-CO"/>
        </w:rPr>
        <w:t>.</w:t>
      </w:r>
    </w:p>
  </w:footnote>
  <w:footnote w:id="38">
    <w:p w14:paraId="68851FB8" w14:textId="665F143C" w:rsidR="0004615B" w:rsidRPr="00781D9F" w:rsidRDefault="0004615B">
      <w:pPr>
        <w:pStyle w:val="FootnoteText"/>
        <w:rPr>
          <w:lang w:val="es-CO"/>
        </w:rPr>
      </w:pPr>
      <w:r>
        <w:rPr>
          <w:rStyle w:val="FootnoteReference"/>
        </w:rPr>
        <w:footnoteRef/>
      </w:r>
      <w:r w:rsidRPr="00781D9F">
        <w:rPr>
          <w:lang w:val="es-CO"/>
        </w:rPr>
        <w:t xml:space="preserve"> </w:t>
      </w:r>
      <w:r w:rsidR="009055C7" w:rsidRPr="00781D9F">
        <w:rPr>
          <w:lang w:val="es-CO"/>
        </w:rPr>
        <w:t>Ibid.,</w:t>
      </w:r>
      <w:r w:rsidRPr="00781D9F">
        <w:rPr>
          <w:lang w:val="es-CO"/>
        </w:rPr>
        <w:t xml:space="preserve"> p. 13</w:t>
      </w:r>
      <w:r w:rsidR="009055C7" w:rsidRPr="00781D9F">
        <w:rPr>
          <w:lang w:val="es-CO"/>
        </w:rPr>
        <w:t>.</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C517A"/>
    <w:multiLevelType w:val="hybridMultilevel"/>
    <w:tmpl w:val="1C32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55036"/>
    <w:multiLevelType w:val="hybridMultilevel"/>
    <w:tmpl w:val="D06EB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733268A"/>
    <w:multiLevelType w:val="hybridMultilevel"/>
    <w:tmpl w:val="8898D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E97EC3"/>
    <w:multiLevelType w:val="hybridMultilevel"/>
    <w:tmpl w:val="B6AE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5" w15:restartNumberingAfterBreak="0">
    <w:nsid w:val="3DD13576"/>
    <w:multiLevelType w:val="hybridMultilevel"/>
    <w:tmpl w:val="1A5223EE"/>
    <w:lvl w:ilvl="0" w:tplc="D84ED4CC">
      <w:start w:val="23"/>
      <w:numFmt w:val="bullet"/>
      <w:lvlText w:val="-"/>
      <w:lvlJc w:val="left"/>
      <w:pPr>
        <w:ind w:left="720" w:hanging="360"/>
      </w:pPr>
      <w:rPr>
        <w:rFonts w:ascii="MetaPro-Norm" w:eastAsiaTheme="minorHAnsi" w:hAnsi="MetaPro-Norm"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4901B0"/>
    <w:multiLevelType w:val="hybridMultilevel"/>
    <w:tmpl w:val="DDCEC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BC6AC8"/>
    <w:multiLevelType w:val="hybridMultilevel"/>
    <w:tmpl w:val="AF96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171890"/>
    <w:multiLevelType w:val="hybridMultilevel"/>
    <w:tmpl w:val="27A64F30"/>
    <w:lvl w:ilvl="0" w:tplc="740A0EF4">
      <w:start w:val="1"/>
      <w:numFmt w:val="bullet"/>
      <w:lvlText w:val=""/>
      <w:lvlJc w:val="left"/>
      <w:pPr>
        <w:ind w:left="720" w:hanging="360"/>
      </w:pPr>
      <w:rPr>
        <w:rFonts w:ascii="Symbol" w:hAnsi="Symbol" w:hint="default"/>
      </w:rPr>
    </w:lvl>
    <w:lvl w:ilvl="1" w:tplc="1938C454">
      <w:start w:val="1"/>
      <w:numFmt w:val="bullet"/>
      <w:lvlText w:val="o"/>
      <w:lvlJc w:val="left"/>
      <w:pPr>
        <w:ind w:left="1440" w:hanging="360"/>
      </w:pPr>
      <w:rPr>
        <w:rFonts w:ascii="Courier New" w:hAnsi="Courier New" w:hint="default"/>
      </w:rPr>
    </w:lvl>
    <w:lvl w:ilvl="2" w:tplc="6748B580">
      <w:start w:val="1"/>
      <w:numFmt w:val="bullet"/>
      <w:lvlText w:val=""/>
      <w:lvlJc w:val="left"/>
      <w:pPr>
        <w:ind w:left="2160" w:hanging="360"/>
      </w:pPr>
      <w:rPr>
        <w:rFonts w:ascii="Wingdings" w:hAnsi="Wingdings" w:hint="default"/>
      </w:rPr>
    </w:lvl>
    <w:lvl w:ilvl="3" w:tplc="99B06D9E">
      <w:start w:val="1"/>
      <w:numFmt w:val="bullet"/>
      <w:lvlText w:val=""/>
      <w:lvlJc w:val="left"/>
      <w:pPr>
        <w:ind w:left="2880" w:hanging="360"/>
      </w:pPr>
      <w:rPr>
        <w:rFonts w:ascii="Symbol" w:hAnsi="Symbol" w:hint="default"/>
      </w:rPr>
    </w:lvl>
    <w:lvl w:ilvl="4" w:tplc="D6B0BF94">
      <w:start w:val="1"/>
      <w:numFmt w:val="bullet"/>
      <w:lvlText w:val="o"/>
      <w:lvlJc w:val="left"/>
      <w:pPr>
        <w:ind w:left="3600" w:hanging="360"/>
      </w:pPr>
      <w:rPr>
        <w:rFonts w:ascii="Courier New" w:hAnsi="Courier New" w:hint="default"/>
      </w:rPr>
    </w:lvl>
    <w:lvl w:ilvl="5" w:tplc="47A625BA">
      <w:start w:val="1"/>
      <w:numFmt w:val="bullet"/>
      <w:lvlText w:val=""/>
      <w:lvlJc w:val="left"/>
      <w:pPr>
        <w:ind w:left="4320" w:hanging="360"/>
      </w:pPr>
      <w:rPr>
        <w:rFonts w:ascii="Wingdings" w:hAnsi="Wingdings" w:hint="default"/>
      </w:rPr>
    </w:lvl>
    <w:lvl w:ilvl="6" w:tplc="C1AC6C8E">
      <w:start w:val="1"/>
      <w:numFmt w:val="bullet"/>
      <w:lvlText w:val=""/>
      <w:lvlJc w:val="left"/>
      <w:pPr>
        <w:ind w:left="5040" w:hanging="360"/>
      </w:pPr>
      <w:rPr>
        <w:rFonts w:ascii="Symbol" w:hAnsi="Symbol" w:hint="default"/>
      </w:rPr>
    </w:lvl>
    <w:lvl w:ilvl="7" w:tplc="F580DE32">
      <w:start w:val="1"/>
      <w:numFmt w:val="bullet"/>
      <w:lvlText w:val="o"/>
      <w:lvlJc w:val="left"/>
      <w:pPr>
        <w:ind w:left="5760" w:hanging="360"/>
      </w:pPr>
      <w:rPr>
        <w:rFonts w:ascii="Courier New" w:hAnsi="Courier New" w:hint="default"/>
      </w:rPr>
    </w:lvl>
    <w:lvl w:ilvl="8" w:tplc="B4C6A50E">
      <w:start w:val="1"/>
      <w:numFmt w:val="bullet"/>
      <w:lvlText w:val=""/>
      <w:lvlJc w:val="left"/>
      <w:pPr>
        <w:ind w:left="6480" w:hanging="360"/>
      </w:pPr>
      <w:rPr>
        <w:rFonts w:ascii="Wingdings" w:hAnsi="Wingdings" w:hint="default"/>
      </w:rPr>
    </w:lvl>
  </w:abstractNum>
  <w:abstractNum w:abstractNumId="9" w15:restartNumberingAfterBreak="0">
    <w:nsid w:val="5A470FDF"/>
    <w:multiLevelType w:val="hybridMultilevel"/>
    <w:tmpl w:val="454E1DDA"/>
    <w:lvl w:ilvl="0" w:tplc="D84ED4CC">
      <w:start w:val="23"/>
      <w:numFmt w:val="bullet"/>
      <w:lvlText w:val="-"/>
      <w:lvlJc w:val="left"/>
      <w:pPr>
        <w:ind w:left="720" w:hanging="360"/>
      </w:pPr>
      <w:rPr>
        <w:rFonts w:ascii="MetaPro-Norm" w:eastAsiaTheme="minorHAnsi" w:hAnsi="MetaPro-Norm"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11" w15:restartNumberingAfterBreak="0">
    <w:nsid w:val="6B06B659"/>
    <w:multiLevelType w:val="hybridMultilevel"/>
    <w:tmpl w:val="D180CCF0"/>
    <w:lvl w:ilvl="0" w:tplc="9DD47148">
      <w:start w:val="1"/>
      <w:numFmt w:val="bullet"/>
      <w:lvlText w:val=""/>
      <w:lvlJc w:val="left"/>
      <w:pPr>
        <w:ind w:left="720" w:hanging="360"/>
      </w:pPr>
      <w:rPr>
        <w:rFonts w:ascii="Symbol" w:hAnsi="Symbol" w:hint="default"/>
      </w:rPr>
    </w:lvl>
    <w:lvl w:ilvl="1" w:tplc="499E9C16">
      <w:start w:val="1"/>
      <w:numFmt w:val="bullet"/>
      <w:lvlText w:val="o"/>
      <w:lvlJc w:val="left"/>
      <w:pPr>
        <w:ind w:left="1440" w:hanging="360"/>
      </w:pPr>
      <w:rPr>
        <w:rFonts w:ascii="Courier New" w:hAnsi="Courier New" w:hint="default"/>
      </w:rPr>
    </w:lvl>
    <w:lvl w:ilvl="2" w:tplc="6A82808E">
      <w:start w:val="1"/>
      <w:numFmt w:val="bullet"/>
      <w:lvlText w:val=""/>
      <w:lvlJc w:val="left"/>
      <w:pPr>
        <w:ind w:left="2160" w:hanging="360"/>
      </w:pPr>
      <w:rPr>
        <w:rFonts w:ascii="Wingdings" w:hAnsi="Wingdings" w:hint="default"/>
      </w:rPr>
    </w:lvl>
    <w:lvl w:ilvl="3" w:tplc="411AFC40">
      <w:start w:val="1"/>
      <w:numFmt w:val="bullet"/>
      <w:lvlText w:val=""/>
      <w:lvlJc w:val="left"/>
      <w:pPr>
        <w:ind w:left="2880" w:hanging="360"/>
      </w:pPr>
      <w:rPr>
        <w:rFonts w:ascii="Symbol" w:hAnsi="Symbol" w:hint="default"/>
      </w:rPr>
    </w:lvl>
    <w:lvl w:ilvl="4" w:tplc="C102DDA0">
      <w:start w:val="1"/>
      <w:numFmt w:val="bullet"/>
      <w:lvlText w:val="o"/>
      <w:lvlJc w:val="left"/>
      <w:pPr>
        <w:ind w:left="3600" w:hanging="360"/>
      </w:pPr>
      <w:rPr>
        <w:rFonts w:ascii="Courier New" w:hAnsi="Courier New" w:hint="default"/>
      </w:rPr>
    </w:lvl>
    <w:lvl w:ilvl="5" w:tplc="E034BB00">
      <w:start w:val="1"/>
      <w:numFmt w:val="bullet"/>
      <w:lvlText w:val=""/>
      <w:lvlJc w:val="left"/>
      <w:pPr>
        <w:ind w:left="4320" w:hanging="360"/>
      </w:pPr>
      <w:rPr>
        <w:rFonts w:ascii="Wingdings" w:hAnsi="Wingdings" w:hint="default"/>
      </w:rPr>
    </w:lvl>
    <w:lvl w:ilvl="6" w:tplc="8E26CF10">
      <w:start w:val="1"/>
      <w:numFmt w:val="bullet"/>
      <w:lvlText w:val=""/>
      <w:lvlJc w:val="left"/>
      <w:pPr>
        <w:ind w:left="5040" w:hanging="360"/>
      </w:pPr>
      <w:rPr>
        <w:rFonts w:ascii="Symbol" w:hAnsi="Symbol" w:hint="default"/>
      </w:rPr>
    </w:lvl>
    <w:lvl w:ilvl="7" w:tplc="46242920">
      <w:start w:val="1"/>
      <w:numFmt w:val="bullet"/>
      <w:lvlText w:val="o"/>
      <w:lvlJc w:val="left"/>
      <w:pPr>
        <w:ind w:left="5760" w:hanging="360"/>
      </w:pPr>
      <w:rPr>
        <w:rFonts w:ascii="Courier New" w:hAnsi="Courier New" w:hint="default"/>
      </w:rPr>
    </w:lvl>
    <w:lvl w:ilvl="8" w:tplc="1EB4461C">
      <w:start w:val="1"/>
      <w:numFmt w:val="bullet"/>
      <w:lvlText w:val=""/>
      <w:lvlJc w:val="left"/>
      <w:pPr>
        <w:ind w:left="6480" w:hanging="360"/>
      </w:pPr>
      <w:rPr>
        <w:rFonts w:ascii="Wingdings" w:hAnsi="Wingdings" w:hint="default"/>
      </w:rPr>
    </w:lvl>
  </w:abstractNum>
  <w:abstractNum w:abstractNumId="12" w15:restartNumberingAfterBreak="0">
    <w:nsid w:val="78B927F9"/>
    <w:multiLevelType w:val="hybridMultilevel"/>
    <w:tmpl w:val="6298E3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2535592">
    <w:abstractNumId w:val="4"/>
  </w:num>
  <w:num w:numId="2" w16cid:durableId="1879509569">
    <w:abstractNumId w:val="10"/>
  </w:num>
  <w:num w:numId="3" w16cid:durableId="371927556">
    <w:abstractNumId w:val="8"/>
  </w:num>
  <w:num w:numId="4" w16cid:durableId="142897903">
    <w:abstractNumId w:val="7"/>
  </w:num>
  <w:num w:numId="5" w16cid:durableId="2085487337">
    <w:abstractNumId w:val="2"/>
  </w:num>
  <w:num w:numId="6" w16cid:durableId="1491478609">
    <w:abstractNumId w:val="12"/>
  </w:num>
  <w:num w:numId="7" w16cid:durableId="568661791">
    <w:abstractNumId w:val="3"/>
  </w:num>
  <w:num w:numId="8" w16cid:durableId="214779452">
    <w:abstractNumId w:val="11"/>
  </w:num>
  <w:num w:numId="9" w16cid:durableId="1630669239">
    <w:abstractNumId w:val="5"/>
  </w:num>
  <w:num w:numId="10" w16cid:durableId="1175388735">
    <w:abstractNumId w:val="9"/>
  </w:num>
  <w:num w:numId="11" w16cid:durableId="1899634603">
    <w:abstractNumId w:val="0"/>
  </w:num>
  <w:num w:numId="12" w16cid:durableId="1422490286">
    <w:abstractNumId w:val="6"/>
  </w:num>
  <w:num w:numId="13" w16cid:durableId="183056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93B"/>
    <w:rsid w:val="00010A88"/>
    <w:rsid w:val="00012257"/>
    <w:rsid w:val="000129AA"/>
    <w:rsid w:val="000179A2"/>
    <w:rsid w:val="00037017"/>
    <w:rsid w:val="00037594"/>
    <w:rsid w:val="00040786"/>
    <w:rsid w:val="00045AA9"/>
    <w:rsid w:val="0004615B"/>
    <w:rsid w:val="00047454"/>
    <w:rsid w:val="0005573E"/>
    <w:rsid w:val="00063E59"/>
    <w:rsid w:val="00065901"/>
    <w:rsid w:val="00085451"/>
    <w:rsid w:val="00090DF8"/>
    <w:rsid w:val="00094DB8"/>
    <w:rsid w:val="00097D3D"/>
    <w:rsid w:val="000A3E86"/>
    <w:rsid w:val="000C0F1E"/>
    <w:rsid w:val="000C4E54"/>
    <w:rsid w:val="000E221A"/>
    <w:rsid w:val="000E2664"/>
    <w:rsid w:val="000E3E8B"/>
    <w:rsid w:val="000E5041"/>
    <w:rsid w:val="0010241B"/>
    <w:rsid w:val="00107293"/>
    <w:rsid w:val="001074F8"/>
    <w:rsid w:val="0011105B"/>
    <w:rsid w:val="0012503A"/>
    <w:rsid w:val="00127588"/>
    <w:rsid w:val="0013341A"/>
    <w:rsid w:val="00144E08"/>
    <w:rsid w:val="00151111"/>
    <w:rsid w:val="001554CA"/>
    <w:rsid w:val="00162F7C"/>
    <w:rsid w:val="00176B6D"/>
    <w:rsid w:val="00184352"/>
    <w:rsid w:val="0019182D"/>
    <w:rsid w:val="00191C1F"/>
    <w:rsid w:val="001A1FE6"/>
    <w:rsid w:val="001A39AE"/>
    <w:rsid w:val="001B15B4"/>
    <w:rsid w:val="001B2030"/>
    <w:rsid w:val="001B51AC"/>
    <w:rsid w:val="001C455A"/>
    <w:rsid w:val="001C7E8B"/>
    <w:rsid w:val="001C7FFB"/>
    <w:rsid w:val="001D06A2"/>
    <w:rsid w:val="001D10F4"/>
    <w:rsid w:val="001D7B30"/>
    <w:rsid w:val="001E37B1"/>
    <w:rsid w:val="001F02C5"/>
    <w:rsid w:val="001F7A59"/>
    <w:rsid w:val="00201B28"/>
    <w:rsid w:val="0021157E"/>
    <w:rsid w:val="002130D3"/>
    <w:rsid w:val="00213AAD"/>
    <w:rsid w:val="00225B52"/>
    <w:rsid w:val="0022651C"/>
    <w:rsid w:val="00227F4D"/>
    <w:rsid w:val="002350CF"/>
    <w:rsid w:val="00236017"/>
    <w:rsid w:val="00237D9E"/>
    <w:rsid w:val="0024374D"/>
    <w:rsid w:val="00246039"/>
    <w:rsid w:val="002510CD"/>
    <w:rsid w:val="00263B59"/>
    <w:rsid w:val="00265DA0"/>
    <w:rsid w:val="00267AE7"/>
    <w:rsid w:val="0027298E"/>
    <w:rsid w:val="0027393B"/>
    <w:rsid w:val="0027430E"/>
    <w:rsid w:val="00274647"/>
    <w:rsid w:val="00276EEF"/>
    <w:rsid w:val="002860BA"/>
    <w:rsid w:val="002905CD"/>
    <w:rsid w:val="002A4516"/>
    <w:rsid w:val="002A5134"/>
    <w:rsid w:val="002B007A"/>
    <w:rsid w:val="002B0949"/>
    <w:rsid w:val="002C107D"/>
    <w:rsid w:val="002C11DC"/>
    <w:rsid w:val="002C4A2B"/>
    <w:rsid w:val="002C61BE"/>
    <w:rsid w:val="002E6972"/>
    <w:rsid w:val="00301098"/>
    <w:rsid w:val="0030720F"/>
    <w:rsid w:val="003149EF"/>
    <w:rsid w:val="00320958"/>
    <w:rsid w:val="00322D97"/>
    <w:rsid w:val="003257F7"/>
    <w:rsid w:val="003271B6"/>
    <w:rsid w:val="003356BD"/>
    <w:rsid w:val="00335757"/>
    <w:rsid w:val="00343E5F"/>
    <w:rsid w:val="00344745"/>
    <w:rsid w:val="003466C6"/>
    <w:rsid w:val="003556C2"/>
    <w:rsid w:val="003574E3"/>
    <w:rsid w:val="00360696"/>
    <w:rsid w:val="003609B8"/>
    <w:rsid w:val="00377540"/>
    <w:rsid w:val="0039059A"/>
    <w:rsid w:val="00393AA0"/>
    <w:rsid w:val="0039403F"/>
    <w:rsid w:val="00395A8A"/>
    <w:rsid w:val="00395AE5"/>
    <w:rsid w:val="003A65BC"/>
    <w:rsid w:val="003B361B"/>
    <w:rsid w:val="003B7C2E"/>
    <w:rsid w:val="003C7ACD"/>
    <w:rsid w:val="003D4ECD"/>
    <w:rsid w:val="003D661D"/>
    <w:rsid w:val="003E0890"/>
    <w:rsid w:val="003E3DFA"/>
    <w:rsid w:val="003E64AD"/>
    <w:rsid w:val="00400624"/>
    <w:rsid w:val="0040101E"/>
    <w:rsid w:val="00404B7B"/>
    <w:rsid w:val="00405B94"/>
    <w:rsid w:val="004074A9"/>
    <w:rsid w:val="00411640"/>
    <w:rsid w:val="00412D71"/>
    <w:rsid w:val="00421571"/>
    <w:rsid w:val="004227B6"/>
    <w:rsid w:val="004234E1"/>
    <w:rsid w:val="00425C0F"/>
    <w:rsid w:val="00440690"/>
    <w:rsid w:val="00444CA4"/>
    <w:rsid w:val="00473E2D"/>
    <w:rsid w:val="00480092"/>
    <w:rsid w:val="0048120C"/>
    <w:rsid w:val="00483EBE"/>
    <w:rsid w:val="00490A7E"/>
    <w:rsid w:val="00495224"/>
    <w:rsid w:val="00497BF5"/>
    <w:rsid w:val="004A0BFD"/>
    <w:rsid w:val="004A1E9D"/>
    <w:rsid w:val="004A36B7"/>
    <w:rsid w:val="004A3D84"/>
    <w:rsid w:val="004B2036"/>
    <w:rsid w:val="004B6890"/>
    <w:rsid w:val="004B6FA0"/>
    <w:rsid w:val="004D3409"/>
    <w:rsid w:val="004D5A34"/>
    <w:rsid w:val="004D6B4D"/>
    <w:rsid w:val="004E156B"/>
    <w:rsid w:val="004E6693"/>
    <w:rsid w:val="004F0273"/>
    <w:rsid w:val="00501F38"/>
    <w:rsid w:val="00507103"/>
    <w:rsid w:val="00510525"/>
    <w:rsid w:val="005212CA"/>
    <w:rsid w:val="00522E4B"/>
    <w:rsid w:val="00531C8E"/>
    <w:rsid w:val="005369D0"/>
    <w:rsid w:val="00536D79"/>
    <w:rsid w:val="00550DF0"/>
    <w:rsid w:val="00553BD2"/>
    <w:rsid w:val="005547EB"/>
    <w:rsid w:val="005642DB"/>
    <w:rsid w:val="005657FE"/>
    <w:rsid w:val="00567971"/>
    <w:rsid w:val="00576B3B"/>
    <w:rsid w:val="005853BC"/>
    <w:rsid w:val="005937E5"/>
    <w:rsid w:val="005A06D4"/>
    <w:rsid w:val="005A1173"/>
    <w:rsid w:val="005A76C6"/>
    <w:rsid w:val="005B23D8"/>
    <w:rsid w:val="005B36D1"/>
    <w:rsid w:val="005B4593"/>
    <w:rsid w:val="005B6535"/>
    <w:rsid w:val="005B7076"/>
    <w:rsid w:val="005B7809"/>
    <w:rsid w:val="005C1656"/>
    <w:rsid w:val="005C2A6E"/>
    <w:rsid w:val="005C7C62"/>
    <w:rsid w:val="005E3DEF"/>
    <w:rsid w:val="005E49E3"/>
    <w:rsid w:val="005F08DD"/>
    <w:rsid w:val="005F1B95"/>
    <w:rsid w:val="00601584"/>
    <w:rsid w:val="00614B41"/>
    <w:rsid w:val="006202BC"/>
    <w:rsid w:val="00635C27"/>
    <w:rsid w:val="00666EFD"/>
    <w:rsid w:val="00671C1C"/>
    <w:rsid w:val="006755C4"/>
    <w:rsid w:val="006810C8"/>
    <w:rsid w:val="00690AB3"/>
    <w:rsid w:val="006A0A82"/>
    <w:rsid w:val="006A397F"/>
    <w:rsid w:val="006A5F58"/>
    <w:rsid w:val="006B65F4"/>
    <w:rsid w:val="006C202C"/>
    <w:rsid w:val="006C2CF5"/>
    <w:rsid w:val="006D1DDF"/>
    <w:rsid w:val="006D38BD"/>
    <w:rsid w:val="006D3ED7"/>
    <w:rsid w:val="006D45D0"/>
    <w:rsid w:val="006D8409"/>
    <w:rsid w:val="006E45F5"/>
    <w:rsid w:val="006F459A"/>
    <w:rsid w:val="00704179"/>
    <w:rsid w:val="00705427"/>
    <w:rsid w:val="0071307E"/>
    <w:rsid w:val="00722C92"/>
    <w:rsid w:val="00723B66"/>
    <w:rsid w:val="00730C0B"/>
    <w:rsid w:val="007331E7"/>
    <w:rsid w:val="007363FD"/>
    <w:rsid w:val="007402D0"/>
    <w:rsid w:val="00751CEA"/>
    <w:rsid w:val="00766623"/>
    <w:rsid w:val="0077415C"/>
    <w:rsid w:val="00774B46"/>
    <w:rsid w:val="00779957"/>
    <w:rsid w:val="00781D9F"/>
    <w:rsid w:val="00786023"/>
    <w:rsid w:val="00787660"/>
    <w:rsid w:val="00794E16"/>
    <w:rsid w:val="007A5044"/>
    <w:rsid w:val="007A5DB0"/>
    <w:rsid w:val="007B0249"/>
    <w:rsid w:val="007C0BB2"/>
    <w:rsid w:val="007C1D22"/>
    <w:rsid w:val="007D43BF"/>
    <w:rsid w:val="007E191C"/>
    <w:rsid w:val="007E229F"/>
    <w:rsid w:val="007F1253"/>
    <w:rsid w:val="007F1F58"/>
    <w:rsid w:val="007F3412"/>
    <w:rsid w:val="007F666A"/>
    <w:rsid w:val="008069FF"/>
    <w:rsid w:val="00807D36"/>
    <w:rsid w:val="0081042D"/>
    <w:rsid w:val="008109ED"/>
    <w:rsid w:val="00813BDF"/>
    <w:rsid w:val="0081404D"/>
    <w:rsid w:val="00815349"/>
    <w:rsid w:val="00830067"/>
    <w:rsid w:val="00835094"/>
    <w:rsid w:val="00837E70"/>
    <w:rsid w:val="00841BAE"/>
    <w:rsid w:val="008465D0"/>
    <w:rsid w:val="0084662B"/>
    <w:rsid w:val="0085586C"/>
    <w:rsid w:val="008614E0"/>
    <w:rsid w:val="00873A08"/>
    <w:rsid w:val="00883C93"/>
    <w:rsid w:val="008874E0"/>
    <w:rsid w:val="00887B7E"/>
    <w:rsid w:val="00891505"/>
    <w:rsid w:val="008A4C32"/>
    <w:rsid w:val="008B1935"/>
    <w:rsid w:val="008C1F36"/>
    <w:rsid w:val="008C20F6"/>
    <w:rsid w:val="008C745D"/>
    <w:rsid w:val="008C7781"/>
    <w:rsid w:val="008E20D6"/>
    <w:rsid w:val="008F5D4F"/>
    <w:rsid w:val="008F7C90"/>
    <w:rsid w:val="00904294"/>
    <w:rsid w:val="009055C7"/>
    <w:rsid w:val="009078E0"/>
    <w:rsid w:val="00907985"/>
    <w:rsid w:val="00912A8A"/>
    <w:rsid w:val="0091354C"/>
    <w:rsid w:val="00916671"/>
    <w:rsid w:val="0092624C"/>
    <w:rsid w:val="00936AAD"/>
    <w:rsid w:val="00946ABE"/>
    <w:rsid w:val="0095350D"/>
    <w:rsid w:val="00962C21"/>
    <w:rsid w:val="00970F84"/>
    <w:rsid w:val="0097217C"/>
    <w:rsid w:val="00976085"/>
    <w:rsid w:val="009763CE"/>
    <w:rsid w:val="009905B1"/>
    <w:rsid w:val="009A2DBB"/>
    <w:rsid w:val="009A2E81"/>
    <w:rsid w:val="009B233B"/>
    <w:rsid w:val="009C623A"/>
    <w:rsid w:val="009D13B3"/>
    <w:rsid w:val="009D5A58"/>
    <w:rsid w:val="009E2DE1"/>
    <w:rsid w:val="009E4E22"/>
    <w:rsid w:val="009F045C"/>
    <w:rsid w:val="00A03E76"/>
    <w:rsid w:val="00A165B5"/>
    <w:rsid w:val="00A166B3"/>
    <w:rsid w:val="00A23526"/>
    <w:rsid w:val="00A36463"/>
    <w:rsid w:val="00A373D0"/>
    <w:rsid w:val="00A42269"/>
    <w:rsid w:val="00A4393B"/>
    <w:rsid w:val="00A51487"/>
    <w:rsid w:val="00A56799"/>
    <w:rsid w:val="00A70552"/>
    <w:rsid w:val="00A721C4"/>
    <w:rsid w:val="00A764BB"/>
    <w:rsid w:val="00A84CBB"/>
    <w:rsid w:val="00A850A8"/>
    <w:rsid w:val="00AA40F4"/>
    <w:rsid w:val="00AC3C1F"/>
    <w:rsid w:val="00AC4609"/>
    <w:rsid w:val="00AC54DE"/>
    <w:rsid w:val="00AC59D8"/>
    <w:rsid w:val="00AC721E"/>
    <w:rsid w:val="00AD1D40"/>
    <w:rsid w:val="00AD33F8"/>
    <w:rsid w:val="00AE71EE"/>
    <w:rsid w:val="00B017AE"/>
    <w:rsid w:val="00B021A5"/>
    <w:rsid w:val="00B07B14"/>
    <w:rsid w:val="00B11213"/>
    <w:rsid w:val="00B16CB8"/>
    <w:rsid w:val="00B17A7F"/>
    <w:rsid w:val="00B17CE3"/>
    <w:rsid w:val="00B322F7"/>
    <w:rsid w:val="00B32420"/>
    <w:rsid w:val="00B64E67"/>
    <w:rsid w:val="00B66795"/>
    <w:rsid w:val="00B723DB"/>
    <w:rsid w:val="00B736BC"/>
    <w:rsid w:val="00B82E8A"/>
    <w:rsid w:val="00B84F9A"/>
    <w:rsid w:val="00B860F1"/>
    <w:rsid w:val="00B90794"/>
    <w:rsid w:val="00B930ED"/>
    <w:rsid w:val="00BA6536"/>
    <w:rsid w:val="00BB25DA"/>
    <w:rsid w:val="00BC25DA"/>
    <w:rsid w:val="00BD06D0"/>
    <w:rsid w:val="00BD4717"/>
    <w:rsid w:val="00BE08DB"/>
    <w:rsid w:val="00BE77D9"/>
    <w:rsid w:val="00BF12A9"/>
    <w:rsid w:val="00BF2C26"/>
    <w:rsid w:val="00C02FCB"/>
    <w:rsid w:val="00C05FB9"/>
    <w:rsid w:val="00C07A5A"/>
    <w:rsid w:val="00C07E73"/>
    <w:rsid w:val="00C15FF3"/>
    <w:rsid w:val="00C1703A"/>
    <w:rsid w:val="00C20EAE"/>
    <w:rsid w:val="00C25054"/>
    <w:rsid w:val="00C32536"/>
    <w:rsid w:val="00C446F4"/>
    <w:rsid w:val="00C458E7"/>
    <w:rsid w:val="00C53DC9"/>
    <w:rsid w:val="00C573E4"/>
    <w:rsid w:val="00C62543"/>
    <w:rsid w:val="00C661DE"/>
    <w:rsid w:val="00C6626F"/>
    <w:rsid w:val="00C71354"/>
    <w:rsid w:val="00C72565"/>
    <w:rsid w:val="00C820ED"/>
    <w:rsid w:val="00C83D1F"/>
    <w:rsid w:val="00C95E6B"/>
    <w:rsid w:val="00CA3720"/>
    <w:rsid w:val="00CB15C2"/>
    <w:rsid w:val="00CB21FA"/>
    <w:rsid w:val="00CC0A25"/>
    <w:rsid w:val="00CC1A64"/>
    <w:rsid w:val="00CD1797"/>
    <w:rsid w:val="00CD2479"/>
    <w:rsid w:val="00CD2A31"/>
    <w:rsid w:val="00CD763D"/>
    <w:rsid w:val="00CD7CF4"/>
    <w:rsid w:val="00CE23CD"/>
    <w:rsid w:val="00CE44AA"/>
    <w:rsid w:val="00CF4018"/>
    <w:rsid w:val="00CF6657"/>
    <w:rsid w:val="00D01D06"/>
    <w:rsid w:val="00D03E42"/>
    <w:rsid w:val="00D05C25"/>
    <w:rsid w:val="00D12032"/>
    <w:rsid w:val="00D2270D"/>
    <w:rsid w:val="00D359EE"/>
    <w:rsid w:val="00D46BBC"/>
    <w:rsid w:val="00D50849"/>
    <w:rsid w:val="00D62C75"/>
    <w:rsid w:val="00D717B2"/>
    <w:rsid w:val="00D8202C"/>
    <w:rsid w:val="00D84D2D"/>
    <w:rsid w:val="00D93FC1"/>
    <w:rsid w:val="00D966BB"/>
    <w:rsid w:val="00DA36DD"/>
    <w:rsid w:val="00DC5344"/>
    <w:rsid w:val="00DD1858"/>
    <w:rsid w:val="00DE35DF"/>
    <w:rsid w:val="00DE701F"/>
    <w:rsid w:val="00DE74CC"/>
    <w:rsid w:val="00DF058C"/>
    <w:rsid w:val="00DF3810"/>
    <w:rsid w:val="00DF54B5"/>
    <w:rsid w:val="00DF697C"/>
    <w:rsid w:val="00DF6B2E"/>
    <w:rsid w:val="00E108FE"/>
    <w:rsid w:val="00E136FD"/>
    <w:rsid w:val="00E24AAF"/>
    <w:rsid w:val="00E27349"/>
    <w:rsid w:val="00E31913"/>
    <w:rsid w:val="00E3367D"/>
    <w:rsid w:val="00E41211"/>
    <w:rsid w:val="00E41C73"/>
    <w:rsid w:val="00E471D5"/>
    <w:rsid w:val="00E5094E"/>
    <w:rsid w:val="00E5320B"/>
    <w:rsid w:val="00E54268"/>
    <w:rsid w:val="00E56C10"/>
    <w:rsid w:val="00E64904"/>
    <w:rsid w:val="00E66C2C"/>
    <w:rsid w:val="00E743E0"/>
    <w:rsid w:val="00E77433"/>
    <w:rsid w:val="00E823A9"/>
    <w:rsid w:val="00E82D74"/>
    <w:rsid w:val="00E92FFC"/>
    <w:rsid w:val="00E93511"/>
    <w:rsid w:val="00E97847"/>
    <w:rsid w:val="00EA4119"/>
    <w:rsid w:val="00EA7F8B"/>
    <w:rsid w:val="00EB00FF"/>
    <w:rsid w:val="00EB08FE"/>
    <w:rsid w:val="00EB2B06"/>
    <w:rsid w:val="00EB2FAD"/>
    <w:rsid w:val="00EC59DB"/>
    <w:rsid w:val="00ED2471"/>
    <w:rsid w:val="00ED4133"/>
    <w:rsid w:val="00EF6BF3"/>
    <w:rsid w:val="00F004FB"/>
    <w:rsid w:val="00F07295"/>
    <w:rsid w:val="00F12E37"/>
    <w:rsid w:val="00F25246"/>
    <w:rsid w:val="00F2754A"/>
    <w:rsid w:val="00F323FF"/>
    <w:rsid w:val="00F35ED2"/>
    <w:rsid w:val="00F41C9D"/>
    <w:rsid w:val="00F43B7A"/>
    <w:rsid w:val="00F71769"/>
    <w:rsid w:val="00F90D3B"/>
    <w:rsid w:val="00F90F8D"/>
    <w:rsid w:val="00F91B00"/>
    <w:rsid w:val="00F9538F"/>
    <w:rsid w:val="00FB3A2F"/>
    <w:rsid w:val="00FB4A2C"/>
    <w:rsid w:val="00FB4D1C"/>
    <w:rsid w:val="00FB70FD"/>
    <w:rsid w:val="00FC41BE"/>
    <w:rsid w:val="00FD16A6"/>
    <w:rsid w:val="00FD5151"/>
    <w:rsid w:val="012CBAB1"/>
    <w:rsid w:val="021BB811"/>
    <w:rsid w:val="029C2F01"/>
    <w:rsid w:val="02C25D02"/>
    <w:rsid w:val="035C3EEA"/>
    <w:rsid w:val="03857930"/>
    <w:rsid w:val="0407872A"/>
    <w:rsid w:val="04F5BC0A"/>
    <w:rsid w:val="0577DA18"/>
    <w:rsid w:val="068A16C0"/>
    <w:rsid w:val="077C78ED"/>
    <w:rsid w:val="07EAEA0B"/>
    <w:rsid w:val="091EDCAD"/>
    <w:rsid w:val="09321D36"/>
    <w:rsid w:val="09D5A359"/>
    <w:rsid w:val="0B042897"/>
    <w:rsid w:val="0B8AD403"/>
    <w:rsid w:val="0BAF69A8"/>
    <w:rsid w:val="0BE87D5D"/>
    <w:rsid w:val="0C25EA9F"/>
    <w:rsid w:val="0C30922C"/>
    <w:rsid w:val="0D156758"/>
    <w:rsid w:val="0E2D197D"/>
    <w:rsid w:val="0E37E5DD"/>
    <w:rsid w:val="0EFE9FB6"/>
    <w:rsid w:val="10648B7A"/>
    <w:rsid w:val="10AD1FE5"/>
    <w:rsid w:val="111A7A6A"/>
    <w:rsid w:val="116376C7"/>
    <w:rsid w:val="11AC1AAE"/>
    <w:rsid w:val="1732CFA5"/>
    <w:rsid w:val="182A424A"/>
    <w:rsid w:val="1A0D7B60"/>
    <w:rsid w:val="1A56B571"/>
    <w:rsid w:val="1AAEFF56"/>
    <w:rsid w:val="1AE04FE8"/>
    <w:rsid w:val="1AF1FFD9"/>
    <w:rsid w:val="1B2F31E2"/>
    <w:rsid w:val="1BACF2EB"/>
    <w:rsid w:val="1BF3D315"/>
    <w:rsid w:val="1CCC3C7C"/>
    <w:rsid w:val="1E64661E"/>
    <w:rsid w:val="1F74912D"/>
    <w:rsid w:val="201C9D0F"/>
    <w:rsid w:val="21847641"/>
    <w:rsid w:val="219A1013"/>
    <w:rsid w:val="221930C9"/>
    <w:rsid w:val="22EDC9B8"/>
    <w:rsid w:val="23DBC124"/>
    <w:rsid w:val="2443597A"/>
    <w:rsid w:val="2719E5F2"/>
    <w:rsid w:val="28174210"/>
    <w:rsid w:val="2913B424"/>
    <w:rsid w:val="2A5ED014"/>
    <w:rsid w:val="2AFA33B6"/>
    <w:rsid w:val="2B70D310"/>
    <w:rsid w:val="2BEF118B"/>
    <w:rsid w:val="2C0BF891"/>
    <w:rsid w:val="2C66AAE2"/>
    <w:rsid w:val="2D143B65"/>
    <w:rsid w:val="2D690EAD"/>
    <w:rsid w:val="2F4CE746"/>
    <w:rsid w:val="3084EBDF"/>
    <w:rsid w:val="31293B8C"/>
    <w:rsid w:val="319D4CCA"/>
    <w:rsid w:val="33787544"/>
    <w:rsid w:val="33D73535"/>
    <w:rsid w:val="374E17B3"/>
    <w:rsid w:val="387096C8"/>
    <w:rsid w:val="3A421365"/>
    <w:rsid w:val="3B1E7756"/>
    <w:rsid w:val="3B85C56D"/>
    <w:rsid w:val="3D456F3B"/>
    <w:rsid w:val="3D8D094D"/>
    <w:rsid w:val="3E02048E"/>
    <w:rsid w:val="3E511956"/>
    <w:rsid w:val="3E728273"/>
    <w:rsid w:val="3F356B19"/>
    <w:rsid w:val="3FCC0537"/>
    <w:rsid w:val="40943178"/>
    <w:rsid w:val="415BBEFA"/>
    <w:rsid w:val="41E3860B"/>
    <w:rsid w:val="423B37D0"/>
    <w:rsid w:val="4249458E"/>
    <w:rsid w:val="42858656"/>
    <w:rsid w:val="42F7C098"/>
    <w:rsid w:val="437E85BF"/>
    <w:rsid w:val="44691964"/>
    <w:rsid w:val="446AD8EC"/>
    <w:rsid w:val="44B7FDE4"/>
    <w:rsid w:val="45E9DD5F"/>
    <w:rsid w:val="46140F37"/>
    <w:rsid w:val="461C82F4"/>
    <w:rsid w:val="46A1B720"/>
    <w:rsid w:val="478F1AEF"/>
    <w:rsid w:val="4873A56A"/>
    <w:rsid w:val="48C0D838"/>
    <w:rsid w:val="497C6DAA"/>
    <w:rsid w:val="4A1C5CB6"/>
    <w:rsid w:val="4B21D90B"/>
    <w:rsid w:val="4C14D826"/>
    <w:rsid w:val="4C47368E"/>
    <w:rsid w:val="4C568FFD"/>
    <w:rsid w:val="4C8AB6D4"/>
    <w:rsid w:val="4DA50D23"/>
    <w:rsid w:val="4E98EB48"/>
    <w:rsid w:val="4F31754F"/>
    <w:rsid w:val="4FE9CB2D"/>
    <w:rsid w:val="50281395"/>
    <w:rsid w:val="512F2060"/>
    <w:rsid w:val="526A3A5F"/>
    <w:rsid w:val="52F8F8AA"/>
    <w:rsid w:val="53D2AC4A"/>
    <w:rsid w:val="541C01B1"/>
    <w:rsid w:val="572421A8"/>
    <w:rsid w:val="57948A95"/>
    <w:rsid w:val="5806A287"/>
    <w:rsid w:val="580DDEF6"/>
    <w:rsid w:val="581CC76A"/>
    <w:rsid w:val="58D17433"/>
    <w:rsid w:val="59090794"/>
    <w:rsid w:val="5B2506B4"/>
    <w:rsid w:val="5D03EC58"/>
    <w:rsid w:val="5DC0F2D4"/>
    <w:rsid w:val="5DC7DF92"/>
    <w:rsid w:val="5DEA1FFD"/>
    <w:rsid w:val="5E611909"/>
    <w:rsid w:val="5EAAD7B3"/>
    <w:rsid w:val="5F71FCE5"/>
    <w:rsid w:val="5FAAA23F"/>
    <w:rsid w:val="5FC69984"/>
    <w:rsid w:val="5FD68487"/>
    <w:rsid w:val="60795A77"/>
    <w:rsid w:val="6128DFCA"/>
    <w:rsid w:val="61507B78"/>
    <w:rsid w:val="634497DB"/>
    <w:rsid w:val="636A8DE0"/>
    <w:rsid w:val="6434688D"/>
    <w:rsid w:val="65A5F9E7"/>
    <w:rsid w:val="66032977"/>
    <w:rsid w:val="6633BC04"/>
    <w:rsid w:val="6934879B"/>
    <w:rsid w:val="6A796B0A"/>
    <w:rsid w:val="6A9701B8"/>
    <w:rsid w:val="6B83C972"/>
    <w:rsid w:val="6BB5559F"/>
    <w:rsid w:val="6BB84B0F"/>
    <w:rsid w:val="6BD27469"/>
    <w:rsid w:val="6BF27619"/>
    <w:rsid w:val="6BF85028"/>
    <w:rsid w:val="6BFF4801"/>
    <w:rsid w:val="6C3CF685"/>
    <w:rsid w:val="6D4EBDBC"/>
    <w:rsid w:val="6DD32B7A"/>
    <w:rsid w:val="7021F06D"/>
    <w:rsid w:val="7079A81D"/>
    <w:rsid w:val="72516CA2"/>
    <w:rsid w:val="74B2484F"/>
    <w:rsid w:val="757D5108"/>
    <w:rsid w:val="75F001BA"/>
    <w:rsid w:val="768D9FC4"/>
    <w:rsid w:val="76908747"/>
    <w:rsid w:val="774BAEBD"/>
    <w:rsid w:val="7760D7B7"/>
    <w:rsid w:val="77BE346A"/>
    <w:rsid w:val="780E6290"/>
    <w:rsid w:val="7AF9FD86"/>
    <w:rsid w:val="7ED09CF4"/>
    <w:rsid w:val="7FAC7C71"/>
    <w:rsid w:val="7FFD57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6C830"/>
  <w15:chartTrackingRefBased/>
  <w15:docId w15:val="{C856AB3C-EC73-4BDC-A4DA-532A0867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A7F"/>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customStyle="1" w:styleId="Body">
    <w:name w:val="Body"/>
    <w:rsid w:val="00B17A7F"/>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rPr>
  </w:style>
  <w:style w:type="paragraph" w:styleId="FootnoteText">
    <w:name w:val="footnote text"/>
    <w:basedOn w:val="Normal"/>
    <w:link w:val="FootnoteTextChar"/>
    <w:uiPriority w:val="99"/>
    <w:unhideWhenUsed/>
    <w:rsid w:val="00B17A7F"/>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B17A7F"/>
    <w:rPr>
      <w:rFonts w:ascii="MetaPro-Norm" w:hAnsi="MetaPro-Norm"/>
      <w:kern w:val="0"/>
      <w:sz w:val="16"/>
      <w:szCs w:val="20"/>
    </w:rPr>
  </w:style>
  <w:style w:type="character" w:styleId="Hyperlink">
    <w:name w:val="Hyperlink"/>
    <w:basedOn w:val="DefaultParagraphFont"/>
    <w:uiPriority w:val="99"/>
    <w:unhideWhenUsed/>
    <w:rsid w:val="00B17A7F"/>
    <w:rPr>
      <w:color w:val="0563C1" w:themeColor="hyperlink"/>
      <w:u w:val="single"/>
    </w:rPr>
  </w:style>
  <w:style w:type="paragraph" w:styleId="Footer">
    <w:name w:val="footer"/>
    <w:basedOn w:val="Normal"/>
    <w:link w:val="FooterChar"/>
    <w:uiPriority w:val="99"/>
    <w:unhideWhenUsed/>
    <w:rsid w:val="00B17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A7F"/>
    <w:rPr>
      <w:kern w:val="0"/>
    </w:rPr>
  </w:style>
  <w:style w:type="paragraph" w:styleId="ListParagraph">
    <w:name w:val="List Paragraph"/>
    <w:basedOn w:val="Normal"/>
    <w:uiPriority w:val="34"/>
    <w:qFormat/>
    <w:rsid w:val="00B17A7F"/>
    <w:pPr>
      <w:ind w:left="720"/>
      <w:contextualSpacing/>
    </w:pPr>
  </w:style>
  <w:style w:type="paragraph" w:styleId="Header">
    <w:name w:val="header"/>
    <w:basedOn w:val="Normal"/>
    <w:link w:val="HeaderChar"/>
    <w:uiPriority w:val="99"/>
    <w:unhideWhenUsed/>
    <w:rsid w:val="00B17A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A7F"/>
    <w:rPr>
      <w:kern w:val="0"/>
    </w:rPr>
  </w:style>
  <w:style w:type="character" w:styleId="CommentReference">
    <w:name w:val="annotation reference"/>
    <w:basedOn w:val="DefaultParagraphFont"/>
    <w:uiPriority w:val="99"/>
    <w:semiHidden/>
    <w:unhideWhenUsed/>
    <w:rsid w:val="00EB2FAD"/>
    <w:rPr>
      <w:sz w:val="16"/>
      <w:szCs w:val="16"/>
    </w:rPr>
  </w:style>
  <w:style w:type="paragraph" w:styleId="CommentText">
    <w:name w:val="annotation text"/>
    <w:basedOn w:val="Normal"/>
    <w:link w:val="CommentTextChar"/>
    <w:uiPriority w:val="99"/>
    <w:unhideWhenUsed/>
    <w:rsid w:val="00EB2FAD"/>
    <w:pPr>
      <w:spacing w:line="240" w:lineRule="auto"/>
    </w:pPr>
    <w:rPr>
      <w:sz w:val="20"/>
      <w:szCs w:val="20"/>
    </w:rPr>
  </w:style>
  <w:style w:type="character" w:customStyle="1" w:styleId="CommentTextChar">
    <w:name w:val="Comment Text Char"/>
    <w:basedOn w:val="DefaultParagraphFont"/>
    <w:link w:val="CommentText"/>
    <w:uiPriority w:val="99"/>
    <w:rsid w:val="00EB2FAD"/>
    <w:rPr>
      <w:kern w:val="0"/>
      <w:sz w:val="20"/>
      <w:szCs w:val="20"/>
    </w:rPr>
  </w:style>
  <w:style w:type="paragraph" w:styleId="CommentSubject">
    <w:name w:val="annotation subject"/>
    <w:basedOn w:val="CommentText"/>
    <w:next w:val="CommentText"/>
    <w:link w:val="CommentSubjectChar"/>
    <w:uiPriority w:val="99"/>
    <w:semiHidden/>
    <w:unhideWhenUsed/>
    <w:rsid w:val="00EB2FAD"/>
    <w:rPr>
      <w:b/>
      <w:bCs/>
    </w:rPr>
  </w:style>
  <w:style w:type="character" w:customStyle="1" w:styleId="CommentSubjectChar">
    <w:name w:val="Comment Subject Char"/>
    <w:basedOn w:val="CommentTextChar"/>
    <w:link w:val="CommentSubject"/>
    <w:uiPriority w:val="99"/>
    <w:semiHidden/>
    <w:rsid w:val="00EB2FAD"/>
    <w:rPr>
      <w:b/>
      <w:bCs/>
      <w:kern w:val="0"/>
      <w:sz w:val="20"/>
      <w:szCs w:val="20"/>
    </w:rPr>
  </w:style>
  <w:style w:type="character" w:styleId="UnresolvedMention">
    <w:name w:val="Unresolved Mention"/>
    <w:basedOn w:val="DefaultParagraphFont"/>
    <w:uiPriority w:val="99"/>
    <w:semiHidden/>
    <w:unhideWhenUsed/>
    <w:rsid w:val="007363FD"/>
    <w:rPr>
      <w:color w:val="605E5C"/>
      <w:shd w:val="clear" w:color="auto" w:fill="E1DFDD"/>
    </w:rPr>
  </w:style>
  <w:style w:type="paragraph" w:styleId="Revision">
    <w:name w:val="Revision"/>
    <w:hidden/>
    <w:uiPriority w:val="99"/>
    <w:semiHidden/>
    <w:rsid w:val="00E743E0"/>
    <w:pPr>
      <w:spacing w:after="0" w:line="240" w:lineRule="auto"/>
    </w:pPr>
    <w:rPr>
      <w:kern w:val="0"/>
    </w:rPr>
  </w:style>
  <w:style w:type="character" w:styleId="Mention">
    <w:name w:val="Mention"/>
    <w:basedOn w:val="DefaultParagraphFont"/>
    <w:uiPriority w:val="99"/>
    <w:unhideWhenUsed/>
    <w:rsid w:val="00B3242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81463">
      <w:bodyDiv w:val="1"/>
      <w:marLeft w:val="0"/>
      <w:marRight w:val="0"/>
      <w:marTop w:val="0"/>
      <w:marBottom w:val="0"/>
      <w:divBdr>
        <w:top w:val="none" w:sz="0" w:space="0" w:color="auto"/>
        <w:left w:val="none" w:sz="0" w:space="0" w:color="auto"/>
        <w:bottom w:val="none" w:sz="0" w:space="0" w:color="auto"/>
        <w:right w:val="none" w:sz="0" w:space="0" w:color="auto"/>
      </w:divBdr>
    </w:div>
    <w:div w:id="171260332">
      <w:bodyDiv w:val="1"/>
      <w:marLeft w:val="0"/>
      <w:marRight w:val="0"/>
      <w:marTop w:val="0"/>
      <w:marBottom w:val="0"/>
      <w:divBdr>
        <w:top w:val="none" w:sz="0" w:space="0" w:color="auto"/>
        <w:left w:val="none" w:sz="0" w:space="0" w:color="auto"/>
        <w:bottom w:val="none" w:sz="0" w:space="0" w:color="auto"/>
        <w:right w:val="none" w:sz="0" w:space="0" w:color="auto"/>
      </w:divBdr>
    </w:div>
    <w:div w:id="556356332">
      <w:bodyDiv w:val="1"/>
      <w:marLeft w:val="0"/>
      <w:marRight w:val="0"/>
      <w:marTop w:val="0"/>
      <w:marBottom w:val="0"/>
      <w:divBdr>
        <w:top w:val="none" w:sz="0" w:space="0" w:color="auto"/>
        <w:left w:val="none" w:sz="0" w:space="0" w:color="auto"/>
        <w:bottom w:val="none" w:sz="0" w:space="0" w:color="auto"/>
        <w:right w:val="none" w:sz="0" w:space="0" w:color="auto"/>
      </w:divBdr>
    </w:div>
    <w:div w:id="1501382484">
      <w:bodyDiv w:val="1"/>
      <w:marLeft w:val="0"/>
      <w:marRight w:val="0"/>
      <w:marTop w:val="0"/>
      <w:marBottom w:val="0"/>
      <w:divBdr>
        <w:top w:val="none" w:sz="0" w:space="0" w:color="auto"/>
        <w:left w:val="none" w:sz="0" w:space="0" w:color="auto"/>
        <w:bottom w:val="none" w:sz="0" w:space="0" w:color="auto"/>
        <w:right w:val="none" w:sz="0" w:space="0" w:color="auto"/>
      </w:divBdr>
    </w:div>
    <w:div w:id="15621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features.hrw.org/features/StudentsNotProducts/files/privacy_snapshots/Privacy%20Snapshot%20-%20Malawi%20Notesmaster.pdf" TargetMode="External"/><Relationship Id="rId3" Type="http://schemas.openxmlformats.org/officeDocument/2006/relationships/hyperlink" Target="https://www.hrw.org/news/2017/02/24/malawi-amends-constitution-remove-child-marriage-loophole" TargetMode="External"/><Relationship Id="rId7" Type="http://schemas.openxmlformats.org/officeDocument/2006/relationships/hyperlink" Target="https://www.facebook.com/permalink.php?id=262009470606274&amp;story_fbid=1659255777548296" TargetMode="External"/><Relationship Id="rId2" Type="http://schemas.openxmlformats.org/officeDocument/2006/relationships/hyperlink" Target="https://data.unicef.org/crvs/malawi/" TargetMode="External"/><Relationship Id="rId1" Type="http://schemas.openxmlformats.org/officeDocument/2006/relationships/hyperlink" Target="https://www.unfpa.org/sites/default/files/sowp/downloads/UNFPA_PUB_2017_EN_SWOP.pdf" TargetMode="External"/><Relationship Id="rId6" Type="http://schemas.openxmlformats.org/officeDocument/2006/relationships/hyperlink" Target="https://freedomhouse.org/country/malawi/freedom-net/2021" TargetMode="External"/><Relationship Id="rId5" Type="http://schemas.openxmlformats.org/officeDocument/2006/relationships/hyperlink" Target="https://www.hrw.org/report/2021/05/17/years-dont-wait-them/increased-inequalities-childrens-right-education-due-covid" TargetMode="External"/><Relationship Id="rId4" Type="http://schemas.openxmlformats.org/officeDocument/2006/relationships/hyperlink" Target="https://www.hrw.org/report/2022/05/25/how-dare-they-peep-my-private-life/childrens-rights-violations-governments" TargetMode="External"/><Relationship Id="rId9" Type="http://schemas.openxmlformats.org/officeDocument/2006/relationships/hyperlink" Target="https://features.hrw.org/features/StudentsNotProducts/files/privacy_snapshots/Privacy%20Snapshot%20-%20Malawi%20Notesmas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3FAC6-D7E5-4EF0-BDE0-2EA1B0F84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2645</Words>
  <Characters>14641</Characters>
  <Application>Microsoft Office Word</Application>
  <DocSecurity>0</DocSecurity>
  <Lines>244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17212</CharactersWithSpaces>
  <SharedDoc>false</SharedDoc>
  <HLinks>
    <vt:vector size="54" baseType="variant">
      <vt:variant>
        <vt:i4>5111934</vt:i4>
      </vt:variant>
      <vt:variant>
        <vt:i4>24</vt:i4>
      </vt:variant>
      <vt:variant>
        <vt:i4>0</vt:i4>
      </vt:variant>
      <vt:variant>
        <vt:i4>5</vt:i4>
      </vt:variant>
      <vt:variant>
        <vt:lpwstr>https://features.hrw.org/features/StudentsNotProducts/files/privacy_snapshots/Privacy Snapshot - Malawi Notesmaster.pdf</vt:lpwstr>
      </vt:variant>
      <vt:variant>
        <vt:lpwstr/>
      </vt:variant>
      <vt:variant>
        <vt:i4>5111934</vt:i4>
      </vt:variant>
      <vt:variant>
        <vt:i4>21</vt:i4>
      </vt:variant>
      <vt:variant>
        <vt:i4>0</vt:i4>
      </vt:variant>
      <vt:variant>
        <vt:i4>5</vt:i4>
      </vt:variant>
      <vt:variant>
        <vt:lpwstr>https://features.hrw.org/features/StudentsNotProducts/files/privacy_snapshots/Privacy Snapshot - Malawi Notesmaster.pdf</vt:lpwstr>
      </vt:variant>
      <vt:variant>
        <vt:lpwstr/>
      </vt:variant>
      <vt:variant>
        <vt:i4>3473496</vt:i4>
      </vt:variant>
      <vt:variant>
        <vt:i4>18</vt:i4>
      </vt:variant>
      <vt:variant>
        <vt:i4>0</vt:i4>
      </vt:variant>
      <vt:variant>
        <vt:i4>5</vt:i4>
      </vt:variant>
      <vt:variant>
        <vt:lpwstr>https://www.facebook.com/permalink.php?id=262009470606274&amp;story_fbid=1659255777548296</vt:lpwstr>
      </vt:variant>
      <vt:variant>
        <vt:lpwstr/>
      </vt:variant>
      <vt:variant>
        <vt:i4>4521984</vt:i4>
      </vt:variant>
      <vt:variant>
        <vt:i4>15</vt:i4>
      </vt:variant>
      <vt:variant>
        <vt:i4>0</vt:i4>
      </vt:variant>
      <vt:variant>
        <vt:i4>5</vt:i4>
      </vt:variant>
      <vt:variant>
        <vt:lpwstr>https://freedomhouse.org/country/malawi/freedom-net/2021</vt:lpwstr>
      </vt:variant>
      <vt:variant>
        <vt:lpwstr/>
      </vt:variant>
      <vt:variant>
        <vt:i4>196613</vt:i4>
      </vt:variant>
      <vt:variant>
        <vt:i4>12</vt:i4>
      </vt:variant>
      <vt:variant>
        <vt:i4>0</vt:i4>
      </vt:variant>
      <vt:variant>
        <vt:i4>5</vt:i4>
      </vt:variant>
      <vt:variant>
        <vt:lpwstr>https://www.hrw.org/report/2021/05/17/years-dont-wait-them/increased-inequalities-childrens-right-education-due-covid</vt:lpwstr>
      </vt:variant>
      <vt:variant>
        <vt:lpwstr/>
      </vt:variant>
      <vt:variant>
        <vt:i4>262156</vt:i4>
      </vt:variant>
      <vt:variant>
        <vt:i4>9</vt:i4>
      </vt:variant>
      <vt:variant>
        <vt:i4>0</vt:i4>
      </vt:variant>
      <vt:variant>
        <vt:i4>5</vt:i4>
      </vt:variant>
      <vt:variant>
        <vt:lpwstr>https://www.hrw.org/report/2022/05/25/how-dare-they-peep-my-private-life/childrens-rights-violations-governments</vt:lpwstr>
      </vt:variant>
      <vt:variant>
        <vt:lpwstr/>
      </vt:variant>
      <vt:variant>
        <vt:i4>131088</vt:i4>
      </vt:variant>
      <vt:variant>
        <vt:i4>6</vt:i4>
      </vt:variant>
      <vt:variant>
        <vt:i4>0</vt:i4>
      </vt:variant>
      <vt:variant>
        <vt:i4>5</vt:i4>
      </vt:variant>
      <vt:variant>
        <vt:lpwstr>https://www.hrw.org/news/2017/02/24/malawi-amends-constitution-remove-child-marriage-loophole</vt:lpwstr>
      </vt:variant>
      <vt:variant>
        <vt:lpwstr/>
      </vt:variant>
      <vt:variant>
        <vt:i4>4390990</vt:i4>
      </vt:variant>
      <vt:variant>
        <vt:i4>3</vt:i4>
      </vt:variant>
      <vt:variant>
        <vt:i4>0</vt:i4>
      </vt:variant>
      <vt:variant>
        <vt:i4>5</vt:i4>
      </vt:variant>
      <vt:variant>
        <vt:lpwstr>https://data.unicef.org/crvs/malawi/</vt:lpwstr>
      </vt:variant>
      <vt:variant>
        <vt:lpwstr/>
      </vt:variant>
      <vt:variant>
        <vt:i4>1310747</vt:i4>
      </vt:variant>
      <vt:variant>
        <vt:i4>0</vt:i4>
      </vt:variant>
      <vt:variant>
        <vt:i4>0</vt:i4>
      </vt:variant>
      <vt:variant>
        <vt:i4>5</vt:i4>
      </vt:variant>
      <vt:variant>
        <vt:lpwstr>https://www.unfpa.org/sites/default/files/sowp/downloads/UNFPA_PUB_2017_EN_SWOP.pdf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22</cp:revision>
  <dcterms:created xsi:type="dcterms:W3CDTF">2023-09-11T16:54:00Z</dcterms:created>
  <dcterms:modified xsi:type="dcterms:W3CDTF">2023-09-11T17:15:00Z</dcterms:modified>
</cp:coreProperties>
</file>