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z w:val="28"/>
          <w:lang w:val="en-US"/>
        </w:rPr>
      </w:pPr>
      <w:r w:rsidRPr="00DE4CCA">
        <w:rPr>
          <w:b/>
          <w:sz w:val="28"/>
          <w:lang w:val="en-US"/>
        </w:rPr>
        <w:tab/>
      </w:r>
      <w:r w:rsidRPr="00DE4CCA">
        <w:rPr>
          <w:b/>
          <w:sz w:val="28"/>
          <w:lang w:val="en-US"/>
        </w:rPr>
        <w:tab/>
        <w:t>Annexes</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0" w:name="_Hlk84427986"/>
      <w:r w:rsidRPr="00DE4CCA">
        <w:rPr>
          <w:b/>
          <w:lang w:val="en-US"/>
        </w:rPr>
        <w:tab/>
      </w:r>
      <w:r w:rsidRPr="00DE4CCA">
        <w:rPr>
          <w:b/>
          <w:lang w:val="en-US"/>
        </w:rPr>
        <w:tab/>
        <w:t>Data on the training programs of Center for Training in Judiciary and State Prosecution Service</w:t>
      </w:r>
    </w:p>
    <w:bookmarkEnd w:id="0"/>
    <w:p w:rsidR="00DE4CCA" w:rsidRPr="00DE4CCA" w:rsidRDefault="00DE4CCA" w:rsidP="00DE4CCA">
      <w:pPr>
        <w:numPr>
          <w:ilvl w:val="0"/>
          <w:numId w:val="16"/>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In the period from January 1, 2017 to July 23, 2021, the Center for Training in Judiciary and State Prosecution Service conducted the following training on the CEDAW Convention, as well as other national and international legal acts dealing with the protection of women, human rights, and gender equality:</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GB"/>
        </w:rPr>
        <w:t>June 7, 2017 –NGO Center for Women's Rights, in cooperation with the UNICEF Montenegro and with the financial support of the European Union, organized a conference titled “Domestic Violence and Risks to Children – Towards a Comprehensive</w:t>
      </w:r>
      <w:r w:rsidRPr="00DE4CCA">
        <w:rPr>
          <w:b/>
          <w:bCs/>
          <w:lang w:val="en-US"/>
        </w:rPr>
        <w:t xml:space="preserve"> </w:t>
      </w:r>
      <w:r w:rsidRPr="00DE4CCA">
        <w:rPr>
          <w:lang w:val="en-GB"/>
        </w:rPr>
        <w:t>Solution</w:t>
      </w:r>
      <w:r w:rsidRPr="00DE4CCA">
        <w:rPr>
          <w:bCs/>
          <w:lang w:val="en-US"/>
        </w:rPr>
        <w:t>”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June 8–9, 2017 –Training for professionals on protecting children from domestic violence;</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May 24–25, 2018, seminar on the topic: “Protection from domestic violence with emphasis on the Istanbul Convention”;</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GB"/>
        </w:rPr>
      </w:pPr>
      <w:r w:rsidRPr="00DE4CCA">
        <w:rPr>
          <w:lang w:val="en-GB"/>
        </w:rPr>
        <w:t>November 22–23, 2018. In cooperation with the Center for Women's Rights, the Center for Training in Judiciary and State Prosecution Service organized a seminar on the topic: “United Nations Convention on the Elimination of All Forms of Discrimination against Women (CEDAW) and its practical application”;</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GB"/>
        </w:rPr>
      </w:pPr>
      <w:r w:rsidRPr="00DE4CCA">
        <w:rPr>
          <w:lang w:val="en-GB"/>
        </w:rPr>
        <w:t>July 5, 2018 and July 19, 2018 Podgorica.- seminar in the topics: #Human smuggling and human trafficking; Illegal possession of weapons and explosives; Abuse of power; Abuse of authority in business; Abuse; and Domestic Violence”;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GB"/>
        </w:rPr>
      </w:pPr>
      <w:r w:rsidRPr="00DE4CCA">
        <w:rPr>
          <w:lang w:val="en-GB"/>
        </w:rPr>
        <w:t>June 10–11, 2019 – Podgorica. In cooperation with the AIRE Center from London, The Training Center for Judiciary and Public Prosecutor's Office organized training on “Protection from domestic violence with an emphasis on the Istanbul Convention”;</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May 14–15, 2019. The US Embassy in Podgorica organized training on “Treatment, prevention and protection from domestic violence in Montenegro, with an emphasis on the police response”;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November 7, 2019, seminar on </w:t>
      </w:r>
      <w:r w:rsidRPr="00DE4CCA">
        <w:rPr>
          <w:i/>
          <w:iCs/>
          <w:lang w:val="en-US"/>
        </w:rPr>
        <w:t>“Article 14 of the European Convention on Human Rights Rights – The Prohibition of Discrimination”</w:t>
      </w:r>
      <w:r w:rsidRPr="00DE4CCA">
        <w:rPr>
          <w:lang w:val="en-US"/>
        </w:rPr>
        <w:t xml:space="preserve">. The seminar was attended by nine judges, six state prosecutors and eight advisors.  </w:t>
      </w:r>
    </w:p>
    <w:p w:rsidR="00DE4CCA" w:rsidRPr="00DE4CCA" w:rsidRDefault="00DE4CCA" w:rsidP="00DE4CCA">
      <w:pPr>
        <w:numPr>
          <w:ilvl w:val="0"/>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As part of the implementation of the theoretical part of the Initial Training Program in 2019, five trainings were conducted on the topic “</w:t>
      </w:r>
      <w:r w:rsidRPr="00DE4CCA">
        <w:rPr>
          <w:b/>
          <w:bCs/>
          <w:i/>
          <w:iCs/>
          <w:lang w:val="en-US"/>
        </w:rPr>
        <w:t>International instruments and case law related to domestic violence, with special emphasis on the Istanbul Convention”.</w:t>
      </w:r>
    </w:p>
    <w:p w:rsidR="00DE4CCA" w:rsidRPr="00DE4CCA" w:rsidRDefault="00DE4CCA" w:rsidP="00DE4CCA">
      <w:pPr>
        <w:numPr>
          <w:ilvl w:val="0"/>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bCs/>
          <w:lang w:val="en-US"/>
        </w:rPr>
        <w:t>In 2020,</w:t>
      </w:r>
      <w:r w:rsidRPr="00DE4CCA">
        <w:rPr>
          <w:b/>
          <w:bCs/>
          <w:lang w:val="en-US"/>
        </w:rPr>
        <w:t xml:space="preserve"> </w:t>
      </w:r>
      <w:r w:rsidRPr="00DE4CCA">
        <w:rPr>
          <w:lang w:val="en-US"/>
        </w:rPr>
        <w:t xml:space="preserve">the Center for Training in Judiciary and State Prosecution Service conducted a total of four training activities: “Protection of women from violence, including domestic violence“ (January 29–30, 2020); “The role of the Montenegrin judiciary – Gender equality and legal protection of women victims of domestic violence“ in cooperation with the Center for Democracy and Human Rights – CEDEM, with the support of the Ministry for Human and Minority Rights. </w:t>
      </w:r>
    </w:p>
    <w:p w:rsidR="00DE4CCA" w:rsidRPr="00DE4CCA" w:rsidRDefault="00DE4CCA" w:rsidP="00DE4CCA">
      <w:pPr>
        <w:numPr>
          <w:ilvl w:val="0"/>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In the context of the implementation of the theoretical part of the Initial Training Program two days of training were conducted on the topic:</w:t>
      </w:r>
      <w:r w:rsidRPr="00DE4CCA">
        <w:rPr>
          <w:i/>
          <w:lang w:val="en-US"/>
        </w:rPr>
        <w:t xml:space="preserve"> </w:t>
      </w:r>
      <w:r w:rsidRPr="00DE4CCA">
        <w:rPr>
          <w:b/>
          <w:i/>
          <w:lang w:val="en-US"/>
        </w:rPr>
        <w:t>“</w:t>
      </w:r>
      <w:r w:rsidRPr="00DE4CCA">
        <w:rPr>
          <w:i/>
          <w:lang w:val="en-US"/>
        </w:rPr>
        <w:t>I</w:t>
      </w:r>
      <w:r w:rsidRPr="00DE4CCA">
        <w:rPr>
          <w:b/>
          <w:bCs/>
          <w:i/>
          <w:lang w:val="en-US"/>
        </w:rPr>
        <w:t>nternational instruments and case law related to domestic violence, with special emphasis on the Istanbul Convention</w:t>
      </w:r>
      <w:r w:rsidRPr="00DE4CCA">
        <w:rPr>
          <w:b/>
          <w:bCs/>
          <w:i/>
          <w:iCs/>
          <w:lang w:val="en-US"/>
        </w:rPr>
        <w:t>; Implementation of the Law on Protection from Domestic Violence”</w:t>
      </w:r>
      <w:r w:rsidRPr="00DE4CCA">
        <w:rPr>
          <w:lang w:val="en-US"/>
        </w:rPr>
        <w:t xml:space="preserve">. </w:t>
      </w:r>
    </w:p>
    <w:p w:rsidR="00DE4CCA" w:rsidRPr="00DE4CCA" w:rsidRDefault="00DE4CCA" w:rsidP="00DE4CCA">
      <w:pPr>
        <w:numPr>
          <w:ilvl w:val="0"/>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lastRenderedPageBreak/>
        <w:t xml:space="preserve">Three training activities were conducted in the period from January 1 to July 20, </w:t>
      </w:r>
      <w:r w:rsidRPr="00DE4CCA">
        <w:rPr>
          <w:bCs/>
          <w:lang w:val="en-US"/>
        </w:rPr>
        <w:t>2021</w:t>
      </w:r>
      <w:r w:rsidRPr="00DE4CCA">
        <w:rPr>
          <w:lang w:val="en-US"/>
        </w:rPr>
        <w:t>:</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The European Judicial Training Network (EJTN) organized online seminar in the field of human rights and fundamental freedoms, on the following topic: </w:t>
      </w:r>
      <w:r w:rsidRPr="00DE4CCA">
        <w:rPr>
          <w:b/>
          <w:bCs/>
          <w:lang w:val="en-US"/>
        </w:rPr>
        <w:t>“</w:t>
      </w:r>
      <w:r w:rsidRPr="00DE4CCA">
        <w:rPr>
          <w:bCs/>
          <w:lang w:val="en-US"/>
        </w:rPr>
        <w:t>European Law on Gender Equality</w:t>
      </w:r>
      <w:r w:rsidRPr="00DE4CCA">
        <w:rPr>
          <w:b/>
          <w:bCs/>
          <w:lang w:val="en-US"/>
        </w:rPr>
        <w:t xml:space="preserve">“ </w:t>
      </w:r>
      <w:r w:rsidRPr="00DE4CCA">
        <w:rPr>
          <w:lang w:val="en-US"/>
        </w:rPr>
        <w:t xml:space="preserve">(March 4, 2021);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Online training on “Protection from Domestic Violence with Special Emphasis on the Istanbul Convention“ (May 10–11, 2021). </w:t>
      </w:r>
    </w:p>
    <w:p w:rsidR="00DE4CCA" w:rsidRPr="00DE4CCA" w:rsidRDefault="00DE4CCA" w:rsidP="00DE4CCA">
      <w:pPr>
        <w:numPr>
          <w:ilvl w:val="0"/>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In the context of the implementation of the theoretical part of the Initial Training Program two days of training were conducted on the topic: „</w:t>
      </w:r>
      <w:r w:rsidRPr="00DE4CCA">
        <w:rPr>
          <w:b/>
          <w:bCs/>
          <w:i/>
          <w:iCs/>
          <w:lang w:val="en-US"/>
        </w:rPr>
        <w:t>International instruments and case law related to domestic violence, with special emphasis on the Istanbul Convention, “</w:t>
      </w:r>
      <w:r w:rsidRPr="00DE4CCA">
        <w:rPr>
          <w:lang w:val="en-US"/>
        </w:rPr>
        <w:t>attended by 6 candidates for state prosecutors (April 28 and April 29, 2021).</w:t>
      </w:r>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2</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bookmarkStart w:id="1" w:name="_Hlk84429435"/>
      <w:r w:rsidRPr="00DE4CCA">
        <w:rPr>
          <w:lang w:val="en-US"/>
        </w:rPr>
        <w:t>Statistics of the Protector of Human Rights and Freedoms on complaints to the Institution</w:t>
      </w:r>
    </w:p>
    <w:tbl>
      <w:tblPr>
        <w:tblW w:w="7370" w:type="dxa"/>
        <w:tblInd w:w="1134" w:type="dxa"/>
        <w:tblLayout w:type="fixed"/>
        <w:tblCellMar>
          <w:left w:w="0" w:type="dxa"/>
          <w:right w:w="0" w:type="dxa"/>
        </w:tblCellMar>
        <w:tblLook w:val="04A0" w:firstRow="1" w:lastRow="0" w:firstColumn="1" w:lastColumn="0" w:noHBand="0" w:noVBand="1"/>
      </w:tblPr>
      <w:tblGrid>
        <w:gridCol w:w="836"/>
        <w:gridCol w:w="1384"/>
        <w:gridCol w:w="5150"/>
      </w:tblGrid>
      <w:tr w:rsidR="00DE4CCA" w:rsidRPr="00DE4CCA" w:rsidTr="004135BE">
        <w:trPr>
          <w:tblHeader/>
        </w:trPr>
        <w:tc>
          <w:tcPr>
            <w:tcW w:w="836" w:type="dxa"/>
            <w:tcBorders>
              <w:top w:val="single" w:sz="4" w:space="0" w:color="auto"/>
              <w:bottom w:val="single" w:sz="12" w:space="0" w:color="auto"/>
            </w:tcBorders>
            <w:shd w:val="clear" w:color="auto" w:fill="auto"/>
            <w:vAlign w:val="bottom"/>
            <w:hideMark/>
          </w:tcPr>
          <w:bookmarkEnd w:id="1"/>
          <w:p w:rsidR="00DE4CCA" w:rsidRPr="00DE4CCA" w:rsidRDefault="00DE4CCA" w:rsidP="00DE4CCA">
            <w:pPr>
              <w:suppressAutoHyphens/>
              <w:spacing w:before="80" w:after="80" w:line="200" w:lineRule="exact"/>
              <w:ind w:right="113"/>
              <w:rPr>
                <w:rFonts w:eastAsia="Times New Roman"/>
                <w:i/>
                <w:sz w:val="16"/>
                <w:lang w:val="en-US"/>
              </w:rPr>
            </w:pPr>
            <w:r w:rsidRPr="00DE4CCA">
              <w:rPr>
                <w:rFonts w:eastAsia="Times New Roman"/>
                <w:i/>
                <w:sz w:val="16"/>
                <w:lang w:val="en-US"/>
              </w:rPr>
              <w:t>Year</w:t>
            </w:r>
          </w:p>
        </w:tc>
        <w:tc>
          <w:tcPr>
            <w:tcW w:w="1384" w:type="dxa"/>
            <w:tcBorders>
              <w:top w:val="single" w:sz="4" w:space="0" w:color="auto"/>
              <w:bottom w:val="single" w:sz="12" w:space="0" w:color="auto"/>
            </w:tcBorders>
            <w:shd w:val="clear" w:color="auto" w:fill="auto"/>
            <w:vAlign w:val="bottom"/>
            <w:hideMark/>
          </w:tcPr>
          <w:p w:rsidR="00DE4CCA" w:rsidRPr="00DE4CCA" w:rsidRDefault="00DE4CCA" w:rsidP="00DE4CCA">
            <w:pPr>
              <w:suppressAutoHyphens/>
              <w:spacing w:before="80" w:after="80" w:line="200" w:lineRule="exact"/>
              <w:ind w:right="113"/>
              <w:rPr>
                <w:rFonts w:eastAsia="Times New Roman"/>
                <w:i/>
                <w:sz w:val="16"/>
                <w:lang w:val="en-US"/>
              </w:rPr>
            </w:pPr>
            <w:r w:rsidRPr="00DE4CCA">
              <w:rPr>
                <w:rFonts w:eastAsia="Times New Roman"/>
                <w:i/>
                <w:sz w:val="16"/>
                <w:lang w:val="en-US"/>
              </w:rPr>
              <w:t>Number of complaints</w:t>
            </w:r>
          </w:p>
        </w:tc>
        <w:tc>
          <w:tcPr>
            <w:tcW w:w="5150" w:type="dxa"/>
            <w:tcBorders>
              <w:top w:val="single" w:sz="4" w:space="0" w:color="auto"/>
              <w:bottom w:val="single" w:sz="12" w:space="0" w:color="auto"/>
            </w:tcBorders>
            <w:shd w:val="clear" w:color="auto" w:fill="auto"/>
            <w:vAlign w:val="bottom"/>
            <w:hideMark/>
          </w:tcPr>
          <w:p w:rsidR="00DE4CCA" w:rsidRPr="00DE4CCA" w:rsidRDefault="00DE4CCA" w:rsidP="00DE4CCA">
            <w:pPr>
              <w:suppressAutoHyphens/>
              <w:spacing w:before="80" w:after="80" w:line="200" w:lineRule="exact"/>
              <w:ind w:right="113"/>
              <w:rPr>
                <w:rFonts w:eastAsia="Times New Roman"/>
                <w:i/>
                <w:sz w:val="16"/>
                <w:lang w:val="en-US"/>
              </w:rPr>
            </w:pPr>
            <w:r w:rsidRPr="00DE4CCA">
              <w:rPr>
                <w:rFonts w:eastAsia="Times New Roman"/>
                <w:i/>
                <w:sz w:val="16"/>
                <w:lang w:val="en-US"/>
              </w:rPr>
              <w:t>Area and grounds for discrimination</w:t>
            </w:r>
          </w:p>
        </w:tc>
      </w:tr>
      <w:tr w:rsidR="00DE4CCA" w:rsidRPr="00DE4CCA" w:rsidTr="004135BE">
        <w:trPr>
          <w:trHeight w:hRule="exact" w:val="113"/>
        </w:trPr>
        <w:tc>
          <w:tcPr>
            <w:tcW w:w="836"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lang w:val="en-US"/>
              </w:rPr>
            </w:pPr>
          </w:p>
        </w:tc>
        <w:tc>
          <w:tcPr>
            <w:tcW w:w="1384"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lang w:val="en-US"/>
              </w:rPr>
            </w:pPr>
          </w:p>
        </w:tc>
        <w:tc>
          <w:tcPr>
            <w:tcW w:w="5150"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lang w:val="en-US"/>
              </w:rPr>
            </w:pPr>
          </w:p>
        </w:tc>
      </w:tr>
      <w:tr w:rsidR="00DE4CCA" w:rsidRPr="00DE4CCA" w:rsidTr="004135BE">
        <w:tc>
          <w:tcPr>
            <w:tcW w:w="836"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2020</w:t>
            </w:r>
          </w:p>
        </w:tc>
        <w:tc>
          <w:tcPr>
            <w:tcW w:w="138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w:t>
            </w:r>
          </w:p>
        </w:tc>
        <w:tc>
          <w:tcPr>
            <w:tcW w:w="515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6 complaints based on gender discrimination in the area of labor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 complaints based on gender, gender reassignment, gender identity issues the field of in health care</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1 complaint based on gender and gender reassignment issues in proceedings before judicial authorities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1 complaint related to marital or family status in the field of labor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related to gender and gender reassignment issues in proceedings before judicial authorities</w:t>
            </w:r>
          </w:p>
        </w:tc>
      </w:tr>
      <w:tr w:rsidR="00DE4CCA" w:rsidRPr="00DE4CCA" w:rsidTr="004135BE">
        <w:tc>
          <w:tcPr>
            <w:tcW w:w="836"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2019</w:t>
            </w:r>
          </w:p>
        </w:tc>
        <w:tc>
          <w:tcPr>
            <w:tcW w:w="138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26</w:t>
            </w:r>
          </w:p>
        </w:tc>
        <w:tc>
          <w:tcPr>
            <w:tcW w:w="515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6 complaints related to gender-based discrimination in the field of labor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related to marital or family status in the field of labor and employment</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based on marital or family status in proceedings before public authorities</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3 complaints based on marital or family status in the field of social protection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based on marital and family status in the field of domestic violence</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in the field of education</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13 complaints related to gender-based violence</w:t>
            </w:r>
          </w:p>
        </w:tc>
      </w:tr>
      <w:tr w:rsidR="00DE4CCA" w:rsidRPr="00DE4CCA" w:rsidTr="004135BE">
        <w:tc>
          <w:tcPr>
            <w:tcW w:w="836"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2018</w:t>
            </w:r>
          </w:p>
        </w:tc>
        <w:tc>
          <w:tcPr>
            <w:tcW w:w="138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29</w:t>
            </w:r>
          </w:p>
        </w:tc>
        <w:tc>
          <w:tcPr>
            <w:tcW w:w="515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4 complaints related to gender, gender reassignment, gender identity discrimination in the field of work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3 complaints related to marital and family status discrimination in the field of work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 complaints related to gender-based discrimination in proceedings before public authorities</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related to gender-based discrimination in the field of pension and disability insurance</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6 complaints related to gender-based discrimination in the field of social protection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1 complaint related to gender, gender reassignment, gender identity discrimination in the field of health care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based on gender in the area of ​​access to goods and services</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11 complaints related to gender-based violence </w:t>
            </w:r>
          </w:p>
        </w:tc>
      </w:tr>
      <w:tr w:rsidR="00DE4CCA" w:rsidRPr="00DE4CCA" w:rsidTr="004135BE">
        <w:tc>
          <w:tcPr>
            <w:tcW w:w="836"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2017</w:t>
            </w:r>
          </w:p>
        </w:tc>
        <w:tc>
          <w:tcPr>
            <w:tcW w:w="138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25</w:t>
            </w:r>
          </w:p>
        </w:tc>
        <w:tc>
          <w:tcPr>
            <w:tcW w:w="515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 complaints related to gender-based violence</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related to hate speech – based on gender</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lastRenderedPageBreak/>
              <w:t xml:space="preserve">1 complaint related to exercising the right to equal pay for work of equal value in the field of labor and employment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 complaint related based on gender in the area of ​​access to goods and services</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3 complaints related to maternity rights in the field of labor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1 complaint related to pregnancy rights in the field of labor </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7 complaints related to maternity rights in the field of social protection</w:t>
            </w:r>
          </w:p>
        </w:tc>
      </w:tr>
      <w:tr w:rsidR="00DE4CCA" w:rsidRPr="00DE4CCA" w:rsidTr="004135BE">
        <w:tc>
          <w:tcPr>
            <w:tcW w:w="836" w:type="dxa"/>
            <w:tcBorders>
              <w:bottom w:val="single" w:sz="12" w:space="0" w:color="auto"/>
            </w:tcBorders>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lastRenderedPageBreak/>
              <w:t>2016</w:t>
            </w:r>
          </w:p>
        </w:tc>
        <w:tc>
          <w:tcPr>
            <w:tcW w:w="1384" w:type="dxa"/>
            <w:tcBorders>
              <w:bottom w:val="single" w:sz="12" w:space="0" w:color="auto"/>
            </w:tcBorders>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26</w:t>
            </w:r>
          </w:p>
        </w:tc>
        <w:tc>
          <w:tcPr>
            <w:tcW w:w="5150" w:type="dxa"/>
            <w:tcBorders>
              <w:bottom w:val="single" w:sz="12" w:space="0" w:color="auto"/>
            </w:tcBorders>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3 complaints related to gender-based discrimination</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19 complaints related to discrimination based on maternity rights</w:t>
            </w:r>
          </w:p>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 xml:space="preserve">4 complaints related to gender-based violence </w:t>
            </w:r>
          </w:p>
        </w:tc>
      </w:tr>
    </w:tbl>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r>
    </w:p>
    <w:p w:rsidR="00DE4CCA" w:rsidRPr="00DE4CCA" w:rsidRDefault="00DE4CCA" w:rsidP="00DE4CCA">
      <w:pPr>
        <w:spacing w:after="200" w:line="276" w:lineRule="auto"/>
        <w:rPr>
          <w:b/>
          <w:sz w:val="24"/>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3</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2" w:name="_Hlk84429452"/>
      <w:r w:rsidRPr="00DE4CCA">
        <w:rPr>
          <w:b/>
          <w:lang w:val="en-US"/>
        </w:rPr>
        <w:tab/>
      </w:r>
      <w:r w:rsidRPr="00DE4CCA">
        <w:rPr>
          <w:b/>
          <w:lang w:val="en-US"/>
        </w:rPr>
        <w:tab/>
        <w:t>Trainings organized by MJHMR</w:t>
      </w:r>
    </w:p>
    <w:bookmarkEnd w:id="2"/>
    <w:p w:rsidR="00DE4CCA" w:rsidRPr="00DE4CCA" w:rsidRDefault="00DE4CCA" w:rsidP="00DE4CCA">
      <w:pPr>
        <w:numPr>
          <w:ilvl w:val="0"/>
          <w:numId w:val="17"/>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Ministry of Justice, Human and Minority Rights (MJHMR), formerly the Ministry for Human and Minority Rights, has been implementing cycles of trainings in the field of protection against discrimination for many years, according to the established “Curriculum for Education of Civil Servants, Judicial Officers and Employees in Other Bodies, Organizations and Institutions that come into contact with cases of discrimination.” The training is delivered through 6 seminars and 6 interactive workshops. The introductory seminar is dedicated to the general legal regime of protection against discrimination, while the other 5 modules address the issue of protection against discrimination of special social groups that are identified as most vulnerable, specifically: Roma and Egyptian communities, persons with disabilities, women and girls, LGBTI persons, AIDS and HIV positive persons.</w:t>
      </w:r>
    </w:p>
    <w:p w:rsidR="00DE4CCA" w:rsidRPr="00DE4CCA" w:rsidRDefault="00DE4CCA" w:rsidP="00DE4CCA">
      <w:pPr>
        <w:numPr>
          <w:ilvl w:val="0"/>
          <w:numId w:val="17"/>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2018 campaign was organized under the slogan “Together for equality.” The campaign aimed to raise the level of awareness of the general population towards discrimination, create a tolerant environment and raise public awareness, especially towards the most vulnerable social groups, such as persons with disabilities, especially children with disabilities. The media campaign, in both Montenegrin and Albanian, lasted 60 days and included: broadcasting a video on the national (RTCG) and a local TV station (TV Niksic); broadcasting a radio jingle on the national Radio Montenegro and four local radio stations in Bijelo Polje, Ulcinj, Kotor and Niksic; publishing newspaper advertisements on the campaign on the prohibition of discrimination and promotion of tolerance and respect towards diversity in daily print media in Montenegro; insertion of flyers written in Braille into two newspapers (on two occasions, the total of 5,000 flyers and additional 1,000 flyers for needs of the Ministry for Human and Minority Rights were printed and distributed); as well as advertising the campaign information and messages on 20 billboards on the busiest streets and roads throughout Montenegro.</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4</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3" w:name="_Hlk84429485"/>
      <w:r w:rsidRPr="00DE4CCA">
        <w:rPr>
          <w:b/>
          <w:lang w:val="en-US"/>
        </w:rPr>
        <w:tab/>
      </w:r>
      <w:r w:rsidRPr="00DE4CCA">
        <w:rPr>
          <w:b/>
          <w:lang w:val="en-US"/>
        </w:rPr>
        <w:tab/>
        <w:t>Evaluation of the implementation of the Third Action Plan for Achieving Gender Equality in Montenegro 2017–2021 (APAGE)</w:t>
      </w:r>
    </w:p>
    <w:bookmarkEnd w:id="3"/>
    <w:p w:rsidR="00DE4CCA" w:rsidRPr="00DE4CCA" w:rsidRDefault="00DE4CCA" w:rsidP="00DE4CCA">
      <w:pPr>
        <w:numPr>
          <w:ilvl w:val="0"/>
          <w:numId w:val="18"/>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The evaluation was conducted by Slavica Strikovic, a national expert, in 2020, with the support of the OSCE Mission to Montenegro. The evaluation aimed to assess the extent to which the implementation of the planned activities improved the state of affairs in the areas listed as priorities. </w:t>
      </w:r>
    </w:p>
    <w:p w:rsidR="00DE4CCA" w:rsidRPr="00DE4CCA" w:rsidRDefault="00DE4CCA" w:rsidP="00DE4CCA">
      <w:pPr>
        <w:numPr>
          <w:ilvl w:val="0"/>
          <w:numId w:val="18"/>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evaluation can be found at the following address:</w:t>
      </w:r>
    </w:p>
    <w:p w:rsidR="00DE4CCA" w:rsidRPr="00DE4CCA" w:rsidRDefault="00DE4CCA" w:rsidP="00DE4CCA">
      <w:pPr>
        <w:numPr>
          <w:ilvl w:val="0"/>
          <w:numId w:val="26"/>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rPr>
          <w:lang w:val="en-US"/>
        </w:rPr>
      </w:pPr>
      <w:r w:rsidRPr="00DE4CCA">
        <w:rPr>
          <w:lang w:val="en-US"/>
        </w:rPr>
        <w:t xml:space="preserve">The Montenegrin language version: </w:t>
      </w:r>
      <w:hyperlink r:id="rId7" w:history="1">
        <w:r w:rsidRPr="00DE4CCA">
          <w:rPr>
            <w:color w:val="0000FF"/>
            <w:lang w:val="en-US"/>
          </w:rPr>
          <w:t>https://www.gov.me/dokumenta/ca88f0cd–cdee–4f50–bd50–2d2c667af45a</w:t>
        </w:r>
      </w:hyperlink>
      <w:r w:rsidRPr="00DE4CCA">
        <w:rPr>
          <w:lang w:val="en-GB"/>
        </w:rPr>
        <w:t>.;</w:t>
      </w:r>
    </w:p>
    <w:p w:rsidR="00DE4CCA" w:rsidRPr="00DE4CCA" w:rsidRDefault="00DE4CCA" w:rsidP="00DE4CCA">
      <w:pPr>
        <w:numPr>
          <w:ilvl w:val="0"/>
          <w:numId w:val="26"/>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rPr>
          <w:lang w:val="en-US"/>
        </w:rPr>
      </w:pPr>
      <w:r w:rsidRPr="00DE4CCA">
        <w:rPr>
          <w:lang w:val="en-US"/>
        </w:rPr>
        <w:t xml:space="preserve">The English language version: </w:t>
      </w:r>
      <w:hyperlink r:id="rId8" w:history="1">
        <w:r w:rsidRPr="00DE4CCA">
          <w:rPr>
            <w:color w:val="0000FF"/>
            <w:lang w:val="en-US"/>
          </w:rPr>
          <w:t>https://www.gov.me/dokumenta/dfddd921–dff9–4b72–93e0–27f8710d7974</w:t>
        </w:r>
      </w:hyperlink>
      <w:r w:rsidRPr="00DE4CCA">
        <w:rPr>
          <w:color w:val="0000FF"/>
          <w:lang w:val="en-US"/>
        </w:rPr>
        <w:t>.</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5</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4" w:name="_Hlk84371808"/>
      <w:r w:rsidRPr="00DE4CCA">
        <w:rPr>
          <w:b/>
          <w:lang w:val="en-US"/>
        </w:rPr>
        <w:tab/>
      </w:r>
      <w:r w:rsidRPr="00DE4CCA">
        <w:rPr>
          <w:b/>
          <w:lang w:val="en-US"/>
        </w:rPr>
        <w:tab/>
        <w:t>Methodology for policy development, drafting and monitoring of the implementation of strategic documents</w:t>
      </w:r>
    </w:p>
    <w:bookmarkEnd w:id="4"/>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Decree is accompanied and further elaborated by the Methodology for policy development, drafting and monitoring of the implementation of strategic documents (</w:t>
      </w:r>
      <w:hyperlink r:id="rId9" w:history="1">
        <w:r w:rsidRPr="00DE4CCA">
          <w:rPr>
            <w:color w:val="0000FF"/>
            <w:lang w:val="en-US"/>
          </w:rPr>
          <w:t>https://javnepolitike.me/wp–content/uploads/2020/11/Metodologija–razvijanja–politika–draft3–preview–22SEP20.pdf</w:t>
        </w:r>
      </w:hyperlink>
      <w:r w:rsidRPr="00DE4CCA">
        <w:rPr>
          <w:lang w:val="en-US"/>
        </w:rPr>
        <w:t xml:space="preserve"> ). </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lastRenderedPageBreak/>
        <w:tab/>
      </w:r>
      <w:r w:rsidRPr="00DE4CCA">
        <w:rPr>
          <w:b/>
          <w:sz w:val="24"/>
          <w:lang w:val="en-US"/>
        </w:rPr>
        <w:tab/>
        <w:t>Annex 6</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5" w:name="_Hlk84429531"/>
      <w:r w:rsidRPr="00DE4CCA">
        <w:rPr>
          <w:b/>
          <w:lang w:val="en-US"/>
        </w:rPr>
        <w:tab/>
      </w:r>
      <w:r w:rsidRPr="00DE4CCA">
        <w:rPr>
          <w:b/>
          <w:lang w:val="en-US"/>
        </w:rPr>
        <w:tab/>
        <w:t>Strategy for Improving Enabling Environment for the Activities of NGOs 2018–2020</w:t>
      </w:r>
    </w:p>
    <w:bookmarkEnd w:id="5"/>
    <w:p w:rsidR="00DE4CCA" w:rsidRPr="00DE4CCA" w:rsidRDefault="00DE4CCA" w:rsidP="00DE4CCA">
      <w:pPr>
        <w:numPr>
          <w:ilvl w:val="0"/>
          <w:numId w:val="19"/>
        </w:numPr>
        <w:suppressAutoHyphens/>
        <w:kinsoku w:val="0"/>
        <w:overflowPunct w:val="0"/>
        <w:autoSpaceDE w:val="0"/>
        <w:autoSpaceDN w:val="0"/>
        <w:adjustRightInd w:val="0"/>
        <w:snapToGrid w:val="0"/>
        <w:spacing w:after="120" w:line="240" w:lineRule="atLeast"/>
        <w:ind w:left="1134" w:right="1134"/>
        <w:jc w:val="both"/>
        <w:rPr>
          <w:lang w:val="en-GB"/>
        </w:rPr>
      </w:pPr>
      <w:r w:rsidRPr="00DE4CCA">
        <w:rPr>
          <w:lang w:val="en-GB"/>
        </w:rPr>
        <w:t>Link to the Strategy:</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lang w:val="en-US"/>
        </w:rPr>
      </w:pPr>
      <w:hyperlink r:id="rId10" w:history="1">
        <w:r w:rsidRPr="00DE4CCA">
          <w:rPr>
            <w:color w:val="0000FF"/>
            <w:lang w:val="en-US"/>
          </w:rPr>
          <w:t>https://www.google.com/url?sa=t&amp;rct=j&amp;q=&amp;esrc=s&amp;source=web&amp;cd=&amp;ved=2ahUKEwj1sMbdzo_yAhUAgP0HHZi_CJYQFjAFegQIDhAD&amp;url=http%2F%2A%2 2591enja–podsticajnog–okru% 25C5% 25BEenja–za–djelovanje–NVO–2018–2020–1.pdf &amp; usg = AOvVaw069LoNxBtnrTlD–qe0nfWH</w:t>
        </w:r>
      </w:hyperlink>
    </w:p>
    <w:p w:rsidR="00DE4CCA" w:rsidRPr="00DE4CCA" w:rsidRDefault="00DE4CCA" w:rsidP="00DE4CCA">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r w:rsidRPr="00DE4CCA">
        <w:rPr>
          <w:lang w:val="en-US"/>
        </w:rPr>
        <w:t xml:space="preserve">Link to the Evaluation Report on the Strategy for Improving Enabling Environment for the Activities of NGOs 2018–2020: </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hyperlink r:id="rId11" w:history="1">
        <w:r w:rsidRPr="00DE4CCA">
          <w:rPr>
            <w:color w:val="0000FF"/>
            <w:lang w:val="en-US"/>
          </w:rPr>
          <w:t>https://www.google.com/url?sa=t&amp;rct=j&amp;q=&amp;esrc=s&amp;source=web&amp;cd=&amp;ved=2ahUKEwj1sMbdzo_yAhUAgP0HHZi_CJYQFjADegQICRAD&amp;url=https%3F%FFager 26rType% 3D2% 26file% 3DEvaluation% 2520o% 2520evaluation% 2520Strategy% 2520for% 2520action% 2520NVO% 25202018–2020.pdf &amp; usg = AOvVaw0nVjKs4o64RLzlFYB1fgqd</w:t>
        </w:r>
      </w:hyperlink>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7</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Projects implemented by the Center for Democracy and Human Rights</w:t>
      </w:r>
    </w:p>
    <w:p w:rsidR="00DE4CCA" w:rsidRPr="00DE4CCA" w:rsidRDefault="00DE4CCA" w:rsidP="00DE4CCA">
      <w:pPr>
        <w:numPr>
          <w:ilvl w:val="0"/>
          <w:numId w:val="20"/>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June 2020, the </w:t>
      </w:r>
      <w:r w:rsidRPr="00DE4CCA">
        <w:rPr>
          <w:bCs/>
          <w:lang w:val="en-US"/>
        </w:rPr>
        <w:t xml:space="preserve">Center for Democracy and Human Rights – CEDEM </w:t>
      </w:r>
      <w:r w:rsidRPr="00DE4CCA">
        <w:rPr>
          <w:lang w:val="en-US"/>
        </w:rPr>
        <w:t xml:space="preserve">conducted a survey entitled </w:t>
      </w:r>
      <w:r w:rsidRPr="00DE4CCA">
        <w:rPr>
          <w:bCs/>
          <w:lang w:val="en-US"/>
        </w:rPr>
        <w:t>“Analysis of the presence of the topic of gender equality in the media“</w:t>
      </w:r>
      <w:r w:rsidRPr="00DE4CCA">
        <w:rPr>
          <w:lang w:val="en-US"/>
        </w:rPr>
        <w:t xml:space="preserve">. </w:t>
      </w:r>
    </w:p>
    <w:p w:rsidR="00DE4CCA" w:rsidRPr="00DE4CCA" w:rsidRDefault="00DE4CCA" w:rsidP="00DE4CCA">
      <w:pPr>
        <w:numPr>
          <w:ilvl w:val="0"/>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Data available are at: </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Analysis of the presence of the topic of gender equality in the media, CEDEM, 2020, page 2, available at: </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hyperlink r:id="rId12" w:history="1">
        <w:r w:rsidRPr="00DE4CCA">
          <w:rPr>
            <w:color w:val="0000FF"/>
            <w:lang w:val="en-US"/>
          </w:rPr>
          <w:t>https://www.cedem.me/component/jdownloads/send/31–ostala–istrazivanja/2003–analiza–medijskog–prisustva–teme–rodna–ravnopravnost–u–medijima</w:t>
        </w:r>
      </w:hyperlink>
      <w:r w:rsidRPr="00DE4CCA">
        <w:rPr>
          <w:lang w:val="en-US"/>
        </w:rPr>
        <w:t>.</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 xml:space="preserve">Annex 8 </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6" w:name="_Hlk84429907"/>
      <w:r w:rsidRPr="00DE4CCA">
        <w:rPr>
          <w:b/>
          <w:lang w:val="en-US"/>
        </w:rPr>
        <w:tab/>
      </w:r>
      <w:r w:rsidRPr="00DE4CCA">
        <w:rPr>
          <w:b/>
          <w:lang w:val="en-US"/>
        </w:rPr>
        <w:tab/>
        <w:t>Statistics on early marriages</w:t>
      </w:r>
      <w:bookmarkEnd w:id="6"/>
      <w:r w:rsidRPr="00DE4CCA">
        <w:rPr>
          <w:b/>
          <w:lang w:val="en-US"/>
        </w:rPr>
        <w:t xml:space="preserve"> </w:t>
      </w:r>
    </w:p>
    <w:p w:rsidR="00DE4CCA" w:rsidRPr="00DE4CCA" w:rsidRDefault="00DE4CCA" w:rsidP="00DE4CCA">
      <w:pPr>
        <w:numPr>
          <w:ilvl w:val="0"/>
          <w:numId w:val="21"/>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“Children are Children” campaign was implemented in March 2020 by the Government of Montenegro in cooperation with the Ministry of Labor and Social Welfare, the Ministry of the Interior, the Police Directorate and the Center for Roma Initiatives with the financial support of the British Embassy.</w:t>
      </w:r>
      <w:r w:rsidRPr="00DE4CCA">
        <w:rPr>
          <w:b/>
          <w:bCs/>
          <w:lang w:val="en-US"/>
        </w:rPr>
        <w:t xml:space="preserve"> </w:t>
      </w:r>
    </w:p>
    <w:p w:rsidR="00DE4CCA" w:rsidRPr="00DE4CCA" w:rsidRDefault="00DE4CCA" w:rsidP="00DE4CCA">
      <w:pPr>
        <w:numPr>
          <w:ilvl w:val="0"/>
          <w:numId w:val="21"/>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bCs/>
          <w:lang w:val="en-US"/>
        </w:rPr>
        <w:t xml:space="preserve">Statistics on early marriages available from the Survey of Multiple Indicator Cluster Survey in Montenegro </w:t>
      </w:r>
      <w:r w:rsidRPr="00DE4CCA">
        <w:rPr>
          <w:lang w:val="en-US"/>
        </w:rPr>
        <w:t>– MICS 2018 Research – links:</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r w:rsidRPr="00DE4CCA">
        <w:rPr>
          <w:lang w:val="en-GB"/>
        </w:rPr>
        <w:t>In the Montenegrin language:</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hyperlink r:id="rId13" w:history="1">
        <w:r w:rsidRPr="00DE4CCA">
          <w:rPr>
            <w:color w:val="0000FF"/>
            <w:lang w:val="en-US"/>
          </w:rPr>
          <w:t>http://www.monstat.org/uploads/files/MICS/FINAL%20Crna%20Gora%202018%20MICS6%20SFR.pdf</w:t>
        </w:r>
      </w:hyperlink>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lang w:val="en-US"/>
        </w:rPr>
      </w:pPr>
      <w:r w:rsidRPr="00DE4CCA">
        <w:rPr>
          <w:lang w:val="en-GB"/>
        </w:rPr>
        <w:t>In the English language:</w:t>
      </w:r>
      <w:r w:rsidRPr="00DE4CCA">
        <w:rPr>
          <w:i/>
          <w:iCs/>
          <w:lang w:val="en-US"/>
        </w:rPr>
        <w:t xml:space="preserve"> </w:t>
      </w:r>
      <w:hyperlink r:id="rId14" w:history="1">
        <w:r w:rsidRPr="00DE4CCA">
          <w:rPr>
            <w:color w:val="0000FF"/>
            <w:lang w:val="en-US"/>
          </w:rPr>
          <w:t>http://www.monstat.org/userfiles/file/MICS/ENG/eng/Montenegro%20(National%20and%20Roma%20Settlements)%202018%20MICS%20SFR_English_v4.pdf</w:t>
        </w:r>
      </w:hyperlink>
      <w:r w:rsidRPr="00DE4CCA">
        <w:rPr>
          <w:lang w:val="en-US"/>
        </w:rPr>
        <w:t>.</w:t>
      </w:r>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bookmarkStart w:id="7" w:name="_Hlk84430071"/>
      <w:r w:rsidRPr="00DE4CCA">
        <w:rPr>
          <w:b/>
          <w:sz w:val="24"/>
          <w:lang w:val="en-US"/>
        </w:rPr>
        <w:tab/>
      </w:r>
      <w:r w:rsidRPr="00DE4CCA">
        <w:rPr>
          <w:b/>
          <w:sz w:val="24"/>
          <w:lang w:val="en-US"/>
        </w:rPr>
        <w:tab/>
        <w:t>Annex 9</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Table with the number of RE students (7</w:t>
      </w:r>
      <w:r w:rsidRPr="00DE4CCA">
        <w:rPr>
          <w:vertAlign w:val="superscript"/>
          <w:lang w:val="en-US"/>
        </w:rPr>
        <w:t>th</w:t>
      </w:r>
      <w:r w:rsidRPr="00DE4CCA">
        <w:rPr>
          <w:lang w:val="en-US"/>
        </w:rPr>
        <w:t>, 8</w:t>
      </w:r>
      <w:r w:rsidRPr="00DE4CCA">
        <w:rPr>
          <w:vertAlign w:val="superscript"/>
          <w:lang w:val="en-US"/>
        </w:rPr>
        <w:t>th</w:t>
      </w:r>
      <w:r w:rsidRPr="00DE4CCA">
        <w:rPr>
          <w:lang w:val="en-US"/>
        </w:rPr>
        <w:t>, and 9</w:t>
      </w:r>
      <w:r w:rsidRPr="00DE4CCA">
        <w:rPr>
          <w:vertAlign w:val="superscript"/>
          <w:lang w:val="en-US"/>
        </w:rPr>
        <w:t>th</w:t>
      </w:r>
      <w:r w:rsidRPr="00DE4CCA">
        <w:rPr>
          <w:lang w:val="en-US"/>
        </w:rPr>
        <w:t xml:space="preserve"> grades of primary school) who spent seven days in summer or winter camps during holidays  </w:t>
      </w:r>
    </w:p>
    <w:tbl>
      <w:tblPr>
        <w:tblW w:w="7370" w:type="dxa"/>
        <w:tblInd w:w="1134" w:type="dxa"/>
        <w:tblLayout w:type="fixed"/>
        <w:tblCellMar>
          <w:left w:w="0" w:type="dxa"/>
          <w:right w:w="0" w:type="dxa"/>
        </w:tblCellMar>
        <w:tblLook w:val="04A0" w:firstRow="1" w:lastRow="0" w:firstColumn="1" w:lastColumn="0" w:noHBand="0" w:noVBand="1"/>
      </w:tblPr>
      <w:tblGrid>
        <w:gridCol w:w="1724"/>
        <w:gridCol w:w="1412"/>
        <w:gridCol w:w="1397"/>
        <w:gridCol w:w="1430"/>
        <w:gridCol w:w="1407"/>
      </w:tblGrid>
      <w:tr w:rsidR="00DE4CCA" w:rsidRPr="00DE4CCA" w:rsidTr="004135BE">
        <w:trPr>
          <w:tblHeader/>
        </w:trPr>
        <w:tc>
          <w:tcPr>
            <w:tcW w:w="7370" w:type="dxa"/>
            <w:gridSpan w:val="5"/>
            <w:tcBorders>
              <w:top w:val="single" w:sz="4" w:space="0" w:color="auto"/>
              <w:bottom w:val="single" w:sz="12" w:space="0" w:color="auto"/>
            </w:tcBorders>
            <w:shd w:val="clear" w:color="auto" w:fill="auto"/>
            <w:vAlign w:val="bottom"/>
            <w:hideMark/>
          </w:tcPr>
          <w:bookmarkEnd w:id="7"/>
          <w:p w:rsidR="00DE4CCA" w:rsidRPr="00DE4CCA" w:rsidRDefault="00DE4CCA" w:rsidP="00DE4CCA">
            <w:pPr>
              <w:suppressAutoHyphens/>
              <w:spacing w:before="80" w:after="80" w:line="200" w:lineRule="exact"/>
              <w:ind w:right="113"/>
              <w:rPr>
                <w:rFonts w:eastAsia="Times New Roman"/>
                <w:i/>
                <w:sz w:val="16"/>
                <w:lang w:val="en-US"/>
              </w:rPr>
            </w:pPr>
            <w:r w:rsidRPr="00DE4CCA">
              <w:rPr>
                <w:rFonts w:eastAsia="Times New Roman"/>
                <w:bCs/>
                <w:i/>
                <w:sz w:val="16"/>
                <w:lang w:val="en-US"/>
              </w:rPr>
              <w:t> </w:t>
            </w:r>
            <w:r w:rsidRPr="00DE4CCA">
              <w:rPr>
                <w:rFonts w:eastAsia="Times New Roman"/>
                <w:i/>
                <w:sz w:val="16"/>
                <w:lang w:val="en-US"/>
              </w:rPr>
              <w:t xml:space="preserve">Table: Number of students who spent seven days in summer or winter camps during holidays  </w:t>
            </w:r>
          </w:p>
        </w:tc>
      </w:tr>
      <w:tr w:rsidR="00DE4CCA" w:rsidRPr="00DE4CCA" w:rsidTr="004135BE">
        <w:trPr>
          <w:trHeight w:hRule="exact" w:val="113"/>
        </w:trPr>
        <w:tc>
          <w:tcPr>
            <w:tcW w:w="7370" w:type="dxa"/>
            <w:gridSpan w:val="5"/>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b/>
                <w:bCs/>
                <w:lang w:val="en-US"/>
              </w:rPr>
            </w:pP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p>
        </w:tc>
        <w:tc>
          <w:tcPr>
            <w:tcW w:w="2809" w:type="dxa"/>
            <w:gridSpan w:val="2"/>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Winter vacation</w:t>
            </w:r>
          </w:p>
        </w:tc>
        <w:tc>
          <w:tcPr>
            <w:tcW w:w="2837" w:type="dxa"/>
            <w:gridSpan w:val="2"/>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Summer vacation</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M</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F</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M</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F</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2016</w:t>
            </w: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13</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12</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10</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6</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2017</w:t>
            </w: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15</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7</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14</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3</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2018</w:t>
            </w: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12</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12</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10</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2019</w:t>
            </w: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13</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18</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6</w:t>
            </w:r>
          </w:p>
        </w:tc>
      </w:tr>
      <w:tr w:rsidR="00DE4CCA" w:rsidRPr="00DE4CCA" w:rsidTr="004135BE">
        <w:tc>
          <w:tcPr>
            <w:tcW w:w="1724"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2020</w:t>
            </w: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12</w:t>
            </w:r>
          </w:p>
        </w:tc>
        <w:tc>
          <w:tcPr>
            <w:tcW w:w="2837" w:type="dxa"/>
            <w:gridSpan w:val="2"/>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Not organized due to the COVID-19 pandemic</w:t>
            </w:r>
          </w:p>
        </w:tc>
      </w:tr>
      <w:tr w:rsidR="00DE4CCA" w:rsidRPr="00DE4CCA" w:rsidTr="004135BE">
        <w:tc>
          <w:tcPr>
            <w:tcW w:w="1724" w:type="dxa"/>
            <w:vMerge w:val="restart"/>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TOTAL</w:t>
            </w:r>
          </w:p>
          <w:p w:rsidR="00DE4CCA" w:rsidRPr="00DE4CCA" w:rsidRDefault="00DE4CCA" w:rsidP="00DE4CCA">
            <w:pPr>
              <w:suppressAutoHyphens/>
              <w:spacing w:before="40" w:after="120" w:line="240" w:lineRule="atLeast"/>
              <w:ind w:right="113"/>
              <w:rPr>
                <w:rFonts w:eastAsia="Times New Roman"/>
                <w:lang w:val="en-US"/>
              </w:rPr>
            </w:pPr>
          </w:p>
        </w:tc>
        <w:tc>
          <w:tcPr>
            <w:tcW w:w="1412"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62</w:t>
            </w:r>
          </w:p>
        </w:tc>
        <w:tc>
          <w:tcPr>
            <w:tcW w:w="139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55</w:t>
            </w:r>
          </w:p>
        </w:tc>
        <w:tc>
          <w:tcPr>
            <w:tcW w:w="1430"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54</w:t>
            </w:r>
          </w:p>
        </w:tc>
        <w:tc>
          <w:tcPr>
            <w:tcW w:w="1407" w:type="dxa"/>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25</w:t>
            </w:r>
          </w:p>
        </w:tc>
      </w:tr>
      <w:tr w:rsidR="00DE4CCA" w:rsidRPr="00DE4CCA" w:rsidTr="004135BE">
        <w:tc>
          <w:tcPr>
            <w:tcW w:w="1724" w:type="dxa"/>
            <w:vMerge/>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p>
        </w:tc>
        <w:tc>
          <w:tcPr>
            <w:tcW w:w="2809" w:type="dxa"/>
            <w:gridSpan w:val="2"/>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117</w:t>
            </w:r>
          </w:p>
        </w:tc>
        <w:tc>
          <w:tcPr>
            <w:tcW w:w="2837" w:type="dxa"/>
            <w:gridSpan w:val="2"/>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79</w:t>
            </w:r>
          </w:p>
        </w:tc>
      </w:tr>
      <w:tr w:rsidR="00DE4CCA" w:rsidRPr="00DE4CCA" w:rsidTr="004135BE">
        <w:tc>
          <w:tcPr>
            <w:tcW w:w="1724" w:type="dxa"/>
            <w:vMerge/>
            <w:tcBorders>
              <w:bottom w:val="single" w:sz="12" w:space="0" w:color="auto"/>
            </w:tcBorders>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p>
        </w:tc>
        <w:tc>
          <w:tcPr>
            <w:tcW w:w="5646" w:type="dxa"/>
            <w:gridSpan w:val="4"/>
            <w:tcBorders>
              <w:bottom w:val="single" w:sz="12" w:space="0" w:color="auto"/>
            </w:tcBorders>
            <w:shd w:val="clear" w:color="auto" w:fill="auto"/>
            <w:hideMark/>
          </w:tcPr>
          <w:p w:rsidR="00DE4CCA" w:rsidRPr="00DE4CCA" w:rsidRDefault="00DE4CCA" w:rsidP="00DE4CCA">
            <w:pPr>
              <w:suppressAutoHyphens/>
              <w:spacing w:before="40" w:after="120" w:line="240" w:lineRule="atLeast"/>
              <w:ind w:right="113"/>
              <w:rPr>
                <w:rFonts w:eastAsia="Times New Roman"/>
                <w:lang w:val="en-US"/>
              </w:rPr>
            </w:pPr>
            <w:r w:rsidRPr="00DE4CCA">
              <w:rPr>
                <w:rFonts w:eastAsia="Times New Roman"/>
                <w:lang w:val="en-US"/>
              </w:rPr>
              <w:t>196</w:t>
            </w:r>
          </w:p>
        </w:tc>
      </w:tr>
    </w:tbl>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10</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8" w:name="_Hlk84430187"/>
      <w:r w:rsidRPr="00DE4CCA">
        <w:rPr>
          <w:b/>
          <w:lang w:val="en-US"/>
        </w:rPr>
        <w:tab/>
      </w:r>
      <w:r w:rsidRPr="00DE4CCA">
        <w:rPr>
          <w:b/>
          <w:lang w:val="en-US"/>
        </w:rPr>
        <w:tab/>
        <w:t>State Prosecution and CEDAW Committee Recommendations</w:t>
      </w:r>
    </w:p>
    <w:bookmarkEnd w:id="8"/>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Thus, prosecutors have been appointed to the membership of the Coordination Committee for the Coordination, Implementation, Monitoring and Evaluation of Policies and Measures to Prevent and Combat All Forms of Violence Covered by the Istanbul Convention; Council for Gender Equality; The National Advisory Board for Combating Domestic Violence and Violence against Women, the Operational Team for Combating Domestic Violence and Violence against Women; working groups for drafting the Protocol on Prevention and Protection from Domestic Violence; RE Population Support Team; the working groups to develop guidelines for the application of the principle of impunity for victims of trafficking in human beings. </w:t>
      </w:r>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 xml:space="preserve">Annex 11 </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9" w:name="_Hlk84430200"/>
      <w:r w:rsidRPr="00DE4CCA">
        <w:rPr>
          <w:b/>
          <w:lang w:val="en-US"/>
        </w:rPr>
        <w:tab/>
      </w:r>
      <w:r w:rsidRPr="00DE4CCA">
        <w:rPr>
          <w:b/>
          <w:lang w:val="en-US"/>
        </w:rPr>
        <w:tab/>
        <w:t>Statistics on cases of violence against women</w:t>
      </w:r>
    </w:p>
    <w:bookmarkEnd w:id="9"/>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rPr>
          <w:b/>
          <w:i/>
          <w:lang w:val="en-US"/>
        </w:rPr>
      </w:pPr>
      <w:r w:rsidRPr="00DE4CCA">
        <w:rPr>
          <w:b/>
          <w:i/>
          <w:lang w:val="en-US"/>
        </w:rPr>
        <w:tab/>
      </w:r>
      <w:r w:rsidRPr="00DE4CCA">
        <w:rPr>
          <w:b/>
          <w:i/>
          <w:lang w:val="en-US"/>
        </w:rPr>
        <w:tab/>
        <w:t>Supreme state prosecutor's office</w:t>
      </w:r>
    </w:p>
    <w:p w:rsidR="00DE4CCA" w:rsidRPr="00DE4CCA" w:rsidRDefault="00DE4CCA" w:rsidP="00DE4CCA">
      <w:pPr>
        <w:numPr>
          <w:ilvl w:val="0"/>
          <w:numId w:val="22"/>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In 2020, due to the commission of the criminal offense of domestic violence under Art. 220 of the Criminal Code of Montenegro, 271 persons were reported. Together with unresolved reports against 22 persons from the previous period, there were reports against 293 persons.</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State prosecutors dismissed criminal charges against 90 persons, indictments were filed against 181 persons, direct indictments were filed against one person, indictments were assigned in 4 cases, while at the end of the reporting period, indictments against 17 persons remained unresolved. </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addition to the unresolved indictments against 72 persons from the previous period, the court had a total of outstanding 255 indictments. A conviction was handed down against 165 persons, of which 77 persons were sentenced to imprisonment, 67 persons were given suspended sentences, 10 persons were sentenced to community work, 6 persons were fined, and 1 person was reprimanded. Following the court decision, 4 persons were imposed a security measure of compulsory psychiatric treatment and confinement in a medical institution. In addition to criminal sanctions, the court imposed 15 security measures: compulsory psychiatric treatment out of the institution for 1 person, compulsory treatment of drug addiction for one person, compulsory treatment of alcohol addiction for one person, </w:t>
      </w:r>
      <w:r w:rsidRPr="00DE4CCA">
        <w:rPr>
          <w:bCs/>
          <w:lang w:val="en-US"/>
        </w:rPr>
        <w:t>seizure of travel document</w:t>
      </w:r>
      <w:r w:rsidRPr="00DE4CCA">
        <w:rPr>
          <w:lang w:val="en-US"/>
        </w:rPr>
        <w:t xml:space="preserve"> for 2 persons, restraining order for 6 persons and removal from the place of residence for 4 people. </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At the end of 2020, the indictments against 78 persons remained unresolved in court, while 4 charges have been assigned. A decision to acquit the defendant was pronounced in relation to 4 persons, and a judgment of dismissal was passed in relation to 3 persons.</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State prosecutors appealed against the courts’ decisions against 18 persons due to pronounced sentences, so together with 2 unresolved appeals against decisions from the previous period, there were a total of 20 appeals, 17 of which related to the decision on sentence and 3 related to other reasons. Deciding on the appeals, the court accepted the appeal against 4 persons in relation to the decision on the sentence, and rejected the appeals against 13 persons in relation to the decision on the sentence. At the end of the reporting period 3 appeals remained unresolved.</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rPr>
          <w:b/>
          <w:i/>
          <w:lang w:val="en-US"/>
        </w:rPr>
      </w:pPr>
      <w:r w:rsidRPr="00DE4CCA">
        <w:rPr>
          <w:b/>
          <w:i/>
          <w:lang w:val="en-US"/>
        </w:rPr>
        <w:tab/>
      </w:r>
      <w:r w:rsidRPr="00DE4CCA">
        <w:rPr>
          <w:b/>
          <w:i/>
          <w:lang w:val="en-US"/>
        </w:rPr>
        <w:tab/>
        <w:t>Supreme court of Montenegro</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Overview of cases related to Article 220: Domestic or family violence, in 2020</w:t>
      </w:r>
    </w:p>
    <w:tbl>
      <w:tblPr>
        <w:tblW w:w="7370" w:type="dxa"/>
        <w:tblInd w:w="1134" w:type="dxa"/>
        <w:tblLayout w:type="fixed"/>
        <w:tblCellMar>
          <w:left w:w="0" w:type="dxa"/>
          <w:right w:w="0" w:type="dxa"/>
        </w:tblCellMar>
        <w:tblLook w:val="04A0" w:firstRow="1" w:lastRow="0" w:firstColumn="1" w:lastColumn="0" w:noHBand="0" w:noVBand="1"/>
      </w:tblPr>
      <w:tblGrid>
        <w:gridCol w:w="931"/>
        <w:gridCol w:w="1076"/>
        <w:gridCol w:w="1004"/>
        <w:gridCol w:w="1485"/>
        <w:gridCol w:w="1309"/>
        <w:gridCol w:w="1565"/>
      </w:tblGrid>
      <w:tr w:rsidR="00DE4CCA" w:rsidRPr="00DE4CCA" w:rsidTr="004135BE">
        <w:trPr>
          <w:tblHeader/>
        </w:trPr>
        <w:tc>
          <w:tcPr>
            <w:tcW w:w="1003" w:type="dxa"/>
            <w:vMerge w:val="restart"/>
            <w:tcBorders>
              <w:top w:val="single" w:sz="4" w:space="0" w:color="auto"/>
              <w:bottom w:val="single" w:sz="12" w:space="0" w:color="auto"/>
            </w:tcBorders>
            <w:shd w:val="clear" w:color="auto" w:fill="auto"/>
            <w:tcMar>
              <w:top w:w="0" w:type="dxa"/>
              <w:left w:w="9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80" w:after="80" w:line="200" w:lineRule="exact"/>
              <w:rPr>
                <w:i/>
                <w:sz w:val="16"/>
                <w:lang w:val="en-US"/>
              </w:rPr>
            </w:pPr>
            <w:r w:rsidRPr="00DE4CCA">
              <w:rPr>
                <w:bCs/>
                <w:i/>
                <w:sz w:val="16"/>
                <w:lang w:val="en-US"/>
              </w:rPr>
              <w:t>Article of the CC</w:t>
            </w:r>
          </w:p>
        </w:tc>
        <w:tc>
          <w:tcPr>
            <w:tcW w:w="1162" w:type="dxa"/>
            <w:vMerge w:val="restart"/>
            <w:tcBorders>
              <w:top w:val="single" w:sz="4" w:space="0" w:color="auto"/>
              <w:bottom w:val="single" w:sz="12" w:space="0" w:color="auto"/>
            </w:tcBorders>
            <w:shd w:val="clear" w:color="auto" w:fill="auto"/>
            <w:tcMar>
              <w:top w:w="0" w:type="dxa"/>
              <w:left w:w="9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en-US"/>
              </w:rPr>
            </w:pPr>
            <w:r w:rsidRPr="00DE4CCA">
              <w:rPr>
                <w:bCs/>
                <w:i/>
                <w:sz w:val="16"/>
                <w:lang w:val="en-US"/>
              </w:rPr>
              <w:t>Total number of cases in a procedure</w:t>
            </w:r>
          </w:p>
        </w:tc>
        <w:tc>
          <w:tcPr>
            <w:tcW w:w="1082" w:type="dxa"/>
            <w:vMerge w:val="restart"/>
            <w:tcBorders>
              <w:top w:val="single" w:sz="4" w:space="0" w:color="auto"/>
              <w:bottom w:val="single" w:sz="12" w:space="0" w:color="auto"/>
            </w:tcBorders>
            <w:shd w:val="clear" w:color="auto" w:fill="auto"/>
            <w:tcMar>
              <w:top w:w="0" w:type="dxa"/>
              <w:left w:w="9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en-US"/>
              </w:rPr>
            </w:pPr>
            <w:r w:rsidRPr="00DE4CCA">
              <w:rPr>
                <w:bCs/>
                <w:i/>
                <w:sz w:val="16"/>
                <w:lang w:val="en-US"/>
              </w:rPr>
              <w:t>Number of cases with the final decision as of December 31, 2020</w:t>
            </w:r>
          </w:p>
        </w:tc>
        <w:tc>
          <w:tcPr>
            <w:tcW w:w="4730" w:type="dxa"/>
            <w:gridSpan w:val="3"/>
            <w:tcBorders>
              <w:top w:val="single" w:sz="4" w:space="0" w:color="auto"/>
              <w:bottom w:val="single" w:sz="12" w:space="0" w:color="auto"/>
            </w:tcBorders>
            <w:shd w:val="clear" w:color="auto" w:fill="auto"/>
            <w:tcMar>
              <w:top w:w="0" w:type="dxa"/>
              <w:left w:w="10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en-US"/>
              </w:rPr>
            </w:pPr>
            <w:r w:rsidRPr="00DE4CCA">
              <w:rPr>
                <w:bCs/>
                <w:i/>
                <w:sz w:val="16"/>
                <w:lang w:val="en-US"/>
              </w:rPr>
              <w:t>Type of final decisions by the number of persons</w:t>
            </w:r>
          </w:p>
        </w:tc>
      </w:tr>
      <w:tr w:rsidR="00DE4CCA" w:rsidRPr="00DE4CCA" w:rsidTr="004135BE">
        <w:trPr>
          <w:tblHeader/>
        </w:trPr>
        <w:tc>
          <w:tcPr>
            <w:tcW w:w="1003" w:type="dxa"/>
            <w:vMerge/>
            <w:tcBorders>
              <w:top w:val="single" w:sz="12" w:space="0" w:color="auto"/>
            </w:tcBorders>
            <w:shd w:val="clear" w:color="auto" w:fill="auto"/>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p>
        </w:tc>
        <w:tc>
          <w:tcPr>
            <w:tcW w:w="1162" w:type="dxa"/>
            <w:vMerge/>
            <w:tcBorders>
              <w:top w:val="single" w:sz="12" w:space="0" w:color="auto"/>
            </w:tcBorders>
            <w:shd w:val="clear" w:color="auto" w:fill="auto"/>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p>
        </w:tc>
        <w:tc>
          <w:tcPr>
            <w:tcW w:w="1082" w:type="dxa"/>
            <w:vMerge/>
            <w:tcBorders>
              <w:top w:val="single" w:sz="12" w:space="0" w:color="auto"/>
            </w:tcBorders>
            <w:shd w:val="clear" w:color="auto" w:fill="auto"/>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p>
        </w:tc>
        <w:tc>
          <w:tcPr>
            <w:tcW w:w="1612" w:type="dxa"/>
            <w:tcBorders>
              <w:top w:val="single" w:sz="12" w:space="0" w:color="auto"/>
            </w:tcBorders>
            <w:shd w:val="clear" w:color="auto" w:fill="auto"/>
            <w:tcMar>
              <w:top w:w="0" w:type="dxa"/>
              <w:left w:w="10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Convicted</w:t>
            </w:r>
          </w:p>
        </w:tc>
        <w:tc>
          <w:tcPr>
            <w:tcW w:w="1417" w:type="dxa"/>
            <w:tcBorders>
              <w:top w:val="single" w:sz="12" w:space="0" w:color="auto"/>
            </w:tcBorders>
            <w:shd w:val="clear" w:color="auto" w:fill="auto"/>
            <w:tcMar>
              <w:top w:w="0" w:type="dxa"/>
              <w:left w:w="108" w:type="dxa"/>
              <w:bottom w:w="0" w:type="dxa"/>
              <w:right w:w="10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 xml:space="preserve">Acquitted </w:t>
            </w:r>
          </w:p>
        </w:tc>
        <w:tc>
          <w:tcPr>
            <w:tcW w:w="1701" w:type="dxa"/>
            <w:tcBorders>
              <w:top w:val="single" w:sz="12" w:space="0" w:color="auto"/>
            </w:tcBorders>
            <w:shd w:val="clear" w:color="auto" w:fill="auto"/>
            <w:tcMar>
              <w:top w:w="0" w:type="dxa"/>
              <w:left w:w="9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Suspension of proceedings</w:t>
            </w:r>
          </w:p>
        </w:tc>
      </w:tr>
      <w:tr w:rsidR="00DE4CCA" w:rsidRPr="00DE4CCA" w:rsidTr="004135BE">
        <w:tc>
          <w:tcPr>
            <w:tcW w:w="1003" w:type="dxa"/>
            <w:tcBorders>
              <w:bottom w:val="single" w:sz="12" w:space="0" w:color="auto"/>
            </w:tcBorders>
            <w:shd w:val="clear" w:color="auto" w:fill="auto"/>
            <w:tcMar>
              <w:top w:w="0" w:type="dxa"/>
              <w:left w:w="98" w:type="dxa"/>
              <w:bottom w:w="0" w:type="dxa"/>
              <w:right w:w="98" w:type="dxa"/>
            </w:tcMar>
            <w:hideMark/>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r w:rsidRPr="00DE4CCA">
              <w:rPr>
                <w:b/>
                <w:bCs/>
                <w:sz w:val="18"/>
                <w:lang w:val="en-US"/>
              </w:rPr>
              <w:t>220</w:t>
            </w:r>
          </w:p>
        </w:tc>
        <w:tc>
          <w:tcPr>
            <w:tcW w:w="1162" w:type="dxa"/>
            <w:tcBorders>
              <w:bottom w:val="single" w:sz="12" w:space="0" w:color="auto"/>
            </w:tcBorders>
            <w:shd w:val="clear" w:color="auto" w:fill="auto"/>
            <w:tcMar>
              <w:top w:w="0" w:type="dxa"/>
              <w:left w:w="10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252</w:t>
            </w:r>
          </w:p>
        </w:tc>
        <w:tc>
          <w:tcPr>
            <w:tcW w:w="1082" w:type="dxa"/>
            <w:tcBorders>
              <w:bottom w:val="single" w:sz="12" w:space="0" w:color="auto"/>
            </w:tcBorders>
            <w:shd w:val="clear" w:color="auto" w:fill="auto"/>
            <w:tcMar>
              <w:top w:w="0" w:type="dxa"/>
              <w:left w:w="10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140</w:t>
            </w:r>
          </w:p>
        </w:tc>
        <w:tc>
          <w:tcPr>
            <w:tcW w:w="1612" w:type="dxa"/>
            <w:tcBorders>
              <w:bottom w:val="single" w:sz="12" w:space="0" w:color="auto"/>
            </w:tcBorders>
            <w:shd w:val="clear" w:color="auto" w:fill="auto"/>
            <w:tcMar>
              <w:top w:w="0" w:type="dxa"/>
              <w:left w:w="10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139</w:t>
            </w:r>
          </w:p>
        </w:tc>
        <w:tc>
          <w:tcPr>
            <w:tcW w:w="1417" w:type="dxa"/>
            <w:tcBorders>
              <w:bottom w:val="single" w:sz="12" w:space="0" w:color="auto"/>
            </w:tcBorders>
            <w:shd w:val="clear" w:color="auto" w:fill="auto"/>
            <w:tcMar>
              <w:top w:w="0" w:type="dxa"/>
              <w:left w:w="108" w:type="dxa"/>
              <w:bottom w:w="0" w:type="dxa"/>
              <w:right w:w="10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3</w:t>
            </w:r>
          </w:p>
        </w:tc>
        <w:tc>
          <w:tcPr>
            <w:tcW w:w="1701" w:type="dxa"/>
            <w:tcBorders>
              <w:bottom w:val="single" w:sz="12" w:space="0" w:color="auto"/>
            </w:tcBorders>
            <w:shd w:val="clear" w:color="auto" w:fill="auto"/>
            <w:tcMar>
              <w:top w:w="0" w:type="dxa"/>
              <w:left w:w="98" w:type="dxa"/>
              <w:bottom w:w="0" w:type="dxa"/>
              <w:right w:w="98" w:type="dxa"/>
            </w:tcMar>
            <w:vAlign w:val="bottom"/>
            <w:hideMark/>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b/>
                <w:bCs/>
                <w:sz w:val="18"/>
                <w:lang w:val="en-US"/>
              </w:rPr>
              <w:t>3</w:t>
            </w:r>
          </w:p>
        </w:tc>
      </w:tr>
    </w:tbl>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rPr>
          <w:b/>
          <w:i/>
          <w:lang w:val="en-US"/>
        </w:rPr>
      </w:pPr>
      <w:r w:rsidRPr="00DE4CCA">
        <w:rPr>
          <w:b/>
          <w:i/>
          <w:lang w:val="en-US"/>
        </w:rPr>
        <w:tab/>
      </w:r>
      <w:r w:rsidRPr="00DE4CCA">
        <w:rPr>
          <w:b/>
          <w:i/>
          <w:lang w:val="en-US"/>
        </w:rPr>
        <w:tab/>
        <w:t>SOS LINE</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 Statistics for the period January–December 2020. </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Table 1. National SOS line for victims of domestic violence – Data on the number of persons who requested assistance</w:t>
      </w:r>
    </w:p>
    <w:tbl>
      <w:tblPr>
        <w:tblW w:w="7370" w:type="dxa"/>
        <w:tblInd w:w="1134" w:type="dxa"/>
        <w:tblLayout w:type="fixed"/>
        <w:tblCellMar>
          <w:left w:w="0" w:type="dxa"/>
          <w:right w:w="0" w:type="dxa"/>
        </w:tblCellMar>
        <w:tblLook w:val="04A0" w:firstRow="1" w:lastRow="0" w:firstColumn="1" w:lastColumn="0" w:noHBand="0" w:noVBand="1"/>
      </w:tblPr>
      <w:tblGrid>
        <w:gridCol w:w="2801"/>
        <w:gridCol w:w="2503"/>
        <w:gridCol w:w="2066"/>
      </w:tblGrid>
      <w:tr w:rsidR="00DE4CCA" w:rsidRPr="00DE4CCA" w:rsidTr="004135BE">
        <w:trPr>
          <w:tblHeader/>
        </w:trPr>
        <w:tc>
          <w:tcPr>
            <w:tcW w:w="1345"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rPr>
                <w:i/>
                <w:sz w:val="16"/>
                <w:lang w:val="en-US"/>
              </w:rPr>
            </w:pPr>
            <w:r w:rsidRPr="00DE4CCA">
              <w:rPr>
                <w:i/>
                <w:sz w:val="16"/>
                <w:lang w:val="en-US"/>
              </w:rPr>
              <w:t>Victims</w:t>
            </w:r>
          </w:p>
          <w:p w:rsidR="00DE4CCA" w:rsidRPr="00DE4CCA" w:rsidRDefault="00DE4CCA" w:rsidP="00DE4CCA">
            <w:pPr>
              <w:kinsoku w:val="0"/>
              <w:overflowPunct w:val="0"/>
              <w:autoSpaceDE w:val="0"/>
              <w:autoSpaceDN w:val="0"/>
              <w:adjustRightInd w:val="0"/>
              <w:snapToGrid w:val="0"/>
              <w:spacing w:before="80" w:after="80" w:line="200" w:lineRule="exact"/>
              <w:rPr>
                <w:bCs/>
                <w:i/>
                <w:iCs/>
                <w:sz w:val="16"/>
                <w:lang w:val="en-US"/>
              </w:rPr>
            </w:pPr>
          </w:p>
        </w:tc>
        <w:tc>
          <w:tcPr>
            <w:tcW w:w="1202"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en-US"/>
              </w:rPr>
            </w:pPr>
            <w:r w:rsidRPr="00DE4CCA">
              <w:rPr>
                <w:i/>
                <w:sz w:val="16"/>
                <w:lang w:val="en-US"/>
              </w:rPr>
              <w:t>Number</w:t>
            </w:r>
          </w:p>
          <w:p w:rsidR="00DE4CCA" w:rsidRPr="00DE4CCA" w:rsidRDefault="00DE4CCA" w:rsidP="00DE4CCA">
            <w:pPr>
              <w:kinsoku w:val="0"/>
              <w:overflowPunct w:val="0"/>
              <w:autoSpaceDE w:val="0"/>
              <w:autoSpaceDN w:val="0"/>
              <w:adjustRightInd w:val="0"/>
              <w:snapToGrid w:val="0"/>
              <w:spacing w:before="80" w:after="80" w:line="200" w:lineRule="exact"/>
              <w:jc w:val="right"/>
              <w:rPr>
                <w:bCs/>
                <w:i/>
                <w:sz w:val="16"/>
                <w:lang w:val="en-US"/>
              </w:rPr>
            </w:pPr>
          </w:p>
        </w:tc>
        <w:tc>
          <w:tcPr>
            <w:tcW w:w="992"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bCs/>
                <w:i/>
                <w:sz w:val="16"/>
                <w:lang w:val="en-US"/>
              </w:rPr>
            </w:pPr>
            <w:r w:rsidRPr="00DE4CCA">
              <w:rPr>
                <w:bCs/>
                <w:i/>
                <w:sz w:val="16"/>
                <w:lang w:val="en-US"/>
              </w:rPr>
              <w:t>%</w:t>
            </w:r>
          </w:p>
        </w:tc>
      </w:tr>
      <w:tr w:rsidR="00DE4CCA" w:rsidRPr="00DE4CCA" w:rsidTr="004135BE">
        <w:tc>
          <w:tcPr>
            <w:tcW w:w="1345" w:type="dxa"/>
            <w:tcBorders>
              <w:top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sz w:val="18"/>
                <w:lang w:val="en-US"/>
              </w:rPr>
            </w:pPr>
            <w:r w:rsidRPr="00DE4CCA">
              <w:rPr>
                <w:b/>
                <w:sz w:val="18"/>
                <w:lang w:val="en-US"/>
              </w:rPr>
              <w:lastRenderedPageBreak/>
              <w:t>Women</w:t>
            </w:r>
          </w:p>
        </w:tc>
        <w:tc>
          <w:tcPr>
            <w:tcW w:w="1202"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334</w:t>
            </w:r>
          </w:p>
        </w:tc>
        <w:tc>
          <w:tcPr>
            <w:tcW w:w="992"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94.35</w:t>
            </w:r>
          </w:p>
        </w:tc>
      </w:tr>
      <w:tr w:rsidR="00DE4CCA" w:rsidRPr="00DE4CCA" w:rsidTr="004135BE">
        <w:tc>
          <w:tcPr>
            <w:tcW w:w="1345"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sz w:val="18"/>
                <w:lang w:val="en-US"/>
              </w:rPr>
            </w:pPr>
            <w:r w:rsidRPr="00DE4CCA">
              <w:rPr>
                <w:b/>
                <w:sz w:val="18"/>
                <w:lang w:val="en-US"/>
              </w:rPr>
              <w:t>Children</w:t>
            </w:r>
          </w:p>
        </w:tc>
        <w:tc>
          <w:tcPr>
            <w:tcW w:w="1202"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13</w:t>
            </w:r>
          </w:p>
        </w:tc>
        <w:tc>
          <w:tcPr>
            <w:tcW w:w="992"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3.67</w:t>
            </w:r>
          </w:p>
        </w:tc>
      </w:tr>
      <w:tr w:rsidR="00DE4CCA" w:rsidRPr="00DE4CCA" w:rsidTr="004135BE">
        <w:tc>
          <w:tcPr>
            <w:tcW w:w="1345"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sz w:val="18"/>
                <w:lang w:val="en-US"/>
              </w:rPr>
            </w:pPr>
            <w:r w:rsidRPr="00DE4CCA">
              <w:rPr>
                <w:b/>
                <w:sz w:val="18"/>
                <w:lang w:val="en-US"/>
              </w:rPr>
              <w:t>Men</w:t>
            </w:r>
          </w:p>
        </w:tc>
        <w:tc>
          <w:tcPr>
            <w:tcW w:w="1202"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7</w:t>
            </w:r>
          </w:p>
        </w:tc>
        <w:tc>
          <w:tcPr>
            <w:tcW w:w="992"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1.98</w:t>
            </w:r>
          </w:p>
        </w:tc>
      </w:tr>
      <w:tr w:rsidR="00DE4CCA" w:rsidRPr="00DE4CCA" w:rsidTr="004135BE">
        <w:tc>
          <w:tcPr>
            <w:tcW w:w="1345" w:type="dxa"/>
            <w:tcBorders>
              <w:bottom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bCs/>
                <w:iCs/>
                <w:sz w:val="18"/>
                <w:lang w:val="en-US"/>
              </w:rPr>
            </w:pPr>
            <w:r w:rsidRPr="00DE4CCA">
              <w:rPr>
                <w:b/>
                <w:sz w:val="18"/>
                <w:lang w:val="en-US"/>
              </w:rPr>
              <w:t>Total</w:t>
            </w:r>
          </w:p>
        </w:tc>
        <w:tc>
          <w:tcPr>
            <w:tcW w:w="1202"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354</w:t>
            </w:r>
          </w:p>
        </w:tc>
        <w:tc>
          <w:tcPr>
            <w:tcW w:w="992"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100</w:t>
            </w:r>
          </w:p>
        </w:tc>
      </w:tr>
    </w:tbl>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 xml:space="preserve">Table2. Number of services provided by the National SOS line </w:t>
      </w:r>
    </w:p>
    <w:tbl>
      <w:tblPr>
        <w:tblW w:w="7370" w:type="dxa"/>
        <w:tblInd w:w="1134" w:type="dxa"/>
        <w:tblLayout w:type="fixed"/>
        <w:tblCellMar>
          <w:left w:w="0" w:type="dxa"/>
          <w:right w:w="0" w:type="dxa"/>
        </w:tblCellMar>
        <w:tblLook w:val="01E0" w:firstRow="1" w:lastRow="1" w:firstColumn="1" w:lastColumn="1" w:noHBand="0" w:noVBand="0"/>
      </w:tblPr>
      <w:tblGrid>
        <w:gridCol w:w="2801"/>
        <w:gridCol w:w="2382"/>
        <w:gridCol w:w="2187"/>
      </w:tblGrid>
      <w:tr w:rsidR="00DE4CCA" w:rsidRPr="00DE4CCA" w:rsidTr="004135BE">
        <w:trPr>
          <w:tblHeader/>
        </w:trPr>
        <w:tc>
          <w:tcPr>
            <w:tcW w:w="3661"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rPr>
                <w:bCs/>
                <w:i/>
                <w:sz w:val="16"/>
                <w:lang w:val="en-US"/>
              </w:rPr>
            </w:pPr>
            <w:r w:rsidRPr="00DE4CCA">
              <w:rPr>
                <w:bCs/>
                <w:i/>
                <w:sz w:val="16"/>
                <w:lang w:val="en-US"/>
              </w:rPr>
              <w:t>Type of service</w:t>
            </w:r>
          </w:p>
        </w:tc>
        <w:tc>
          <w:tcPr>
            <w:tcW w:w="3111"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bCs/>
                <w:i/>
                <w:sz w:val="16"/>
                <w:lang w:val="en-US"/>
              </w:rPr>
            </w:pPr>
            <w:r w:rsidRPr="00DE4CCA">
              <w:rPr>
                <w:bCs/>
                <w:i/>
                <w:sz w:val="16"/>
                <w:lang w:val="en-US"/>
              </w:rPr>
              <w:t>Number</w:t>
            </w:r>
          </w:p>
        </w:tc>
        <w:tc>
          <w:tcPr>
            <w:tcW w:w="2856"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bCs/>
                <w:i/>
                <w:sz w:val="16"/>
                <w:lang w:val="en-US"/>
              </w:rPr>
            </w:pPr>
            <w:r w:rsidRPr="00DE4CCA">
              <w:rPr>
                <w:bCs/>
                <w:i/>
                <w:sz w:val="16"/>
                <w:lang w:val="en-US"/>
              </w:rPr>
              <w:t>%</w:t>
            </w:r>
          </w:p>
        </w:tc>
      </w:tr>
      <w:tr w:rsidR="00DE4CCA" w:rsidRPr="00DE4CCA" w:rsidTr="004135BE">
        <w:tc>
          <w:tcPr>
            <w:tcW w:w="3661" w:type="dxa"/>
            <w:tcBorders>
              <w:top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Cs/>
                <w:sz w:val="18"/>
                <w:lang w:val="en-US"/>
              </w:rPr>
            </w:pPr>
            <w:r w:rsidRPr="00DE4CCA">
              <w:rPr>
                <w:bCs/>
                <w:sz w:val="18"/>
                <w:lang w:val="en-US"/>
              </w:rPr>
              <w:t>Informing</w:t>
            </w:r>
          </w:p>
        </w:tc>
        <w:tc>
          <w:tcPr>
            <w:tcW w:w="3111"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2,087</w:t>
            </w:r>
          </w:p>
        </w:tc>
        <w:tc>
          <w:tcPr>
            <w:tcW w:w="2856"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59.07</w:t>
            </w:r>
          </w:p>
        </w:tc>
      </w:tr>
      <w:tr w:rsidR="00DE4CCA" w:rsidRPr="00DE4CCA" w:rsidTr="004135BE">
        <w:tc>
          <w:tcPr>
            <w:tcW w:w="3661"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Cs/>
                <w:sz w:val="18"/>
                <w:lang w:val="en-US"/>
              </w:rPr>
            </w:pPr>
            <w:r w:rsidRPr="00DE4CCA">
              <w:rPr>
                <w:bCs/>
                <w:sz w:val="18"/>
                <w:lang w:val="en-US"/>
              </w:rPr>
              <w:t>Confidential conversations / emotional support</w:t>
            </w:r>
          </w:p>
        </w:tc>
        <w:tc>
          <w:tcPr>
            <w:tcW w:w="3111"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775</w:t>
            </w:r>
          </w:p>
        </w:tc>
        <w:tc>
          <w:tcPr>
            <w:tcW w:w="2856"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21.94</w:t>
            </w:r>
          </w:p>
        </w:tc>
      </w:tr>
      <w:tr w:rsidR="00DE4CCA" w:rsidRPr="00DE4CCA" w:rsidTr="004135BE">
        <w:tc>
          <w:tcPr>
            <w:tcW w:w="3661"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r w:rsidRPr="00DE4CCA">
              <w:rPr>
                <w:sz w:val="18"/>
                <w:lang w:val="en-US"/>
              </w:rPr>
              <w:t>Psychological counseling</w:t>
            </w:r>
          </w:p>
        </w:tc>
        <w:tc>
          <w:tcPr>
            <w:tcW w:w="3111"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349</w:t>
            </w:r>
          </w:p>
        </w:tc>
        <w:tc>
          <w:tcPr>
            <w:tcW w:w="2856"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9.88</w:t>
            </w:r>
          </w:p>
        </w:tc>
      </w:tr>
      <w:tr w:rsidR="00DE4CCA" w:rsidRPr="00DE4CCA" w:rsidTr="004135BE">
        <w:tc>
          <w:tcPr>
            <w:tcW w:w="3661"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r w:rsidRPr="00DE4CCA">
              <w:rPr>
                <w:sz w:val="18"/>
                <w:lang w:val="en-US"/>
              </w:rPr>
              <w:t>Legal counseling</w:t>
            </w:r>
          </w:p>
        </w:tc>
        <w:tc>
          <w:tcPr>
            <w:tcW w:w="3111"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184</w:t>
            </w:r>
          </w:p>
        </w:tc>
        <w:tc>
          <w:tcPr>
            <w:tcW w:w="2856"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5.21</w:t>
            </w:r>
          </w:p>
        </w:tc>
      </w:tr>
      <w:tr w:rsidR="00DE4CCA" w:rsidRPr="00DE4CCA" w:rsidTr="004135BE">
        <w:tc>
          <w:tcPr>
            <w:tcW w:w="3661"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r w:rsidRPr="00DE4CCA">
              <w:rPr>
                <w:sz w:val="18"/>
                <w:lang w:val="en-US"/>
              </w:rPr>
              <w:t>Mediation with institutions and urgent interventions</w:t>
            </w:r>
          </w:p>
        </w:tc>
        <w:tc>
          <w:tcPr>
            <w:tcW w:w="3111"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 xml:space="preserve">  101</w:t>
            </w:r>
          </w:p>
        </w:tc>
        <w:tc>
          <w:tcPr>
            <w:tcW w:w="2856"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2.86</w:t>
            </w:r>
          </w:p>
        </w:tc>
      </w:tr>
      <w:tr w:rsidR="00DE4CCA" w:rsidRPr="00DE4CCA" w:rsidTr="004135BE">
        <w:tc>
          <w:tcPr>
            <w:tcW w:w="3661"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sz w:val="18"/>
                <w:lang w:val="en-US"/>
              </w:rPr>
            </w:pPr>
            <w:r w:rsidRPr="00DE4CCA">
              <w:rPr>
                <w:sz w:val="18"/>
                <w:lang w:val="en-US"/>
              </w:rPr>
              <w:t>Request for accommodation</w:t>
            </w:r>
          </w:p>
        </w:tc>
        <w:tc>
          <w:tcPr>
            <w:tcW w:w="3111"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37</w:t>
            </w:r>
          </w:p>
        </w:tc>
        <w:tc>
          <w:tcPr>
            <w:tcW w:w="2856"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en-US"/>
              </w:rPr>
            </w:pPr>
            <w:r w:rsidRPr="00DE4CCA">
              <w:rPr>
                <w:sz w:val="18"/>
                <w:lang w:val="en-US"/>
              </w:rPr>
              <w:t>1.04</w:t>
            </w:r>
          </w:p>
        </w:tc>
      </w:tr>
      <w:tr w:rsidR="00DE4CCA" w:rsidRPr="00DE4CCA" w:rsidTr="004135BE">
        <w:tc>
          <w:tcPr>
            <w:tcW w:w="3661" w:type="dxa"/>
            <w:tcBorders>
              <w:bottom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bCs/>
                <w:sz w:val="18"/>
                <w:lang w:val="en-US"/>
              </w:rPr>
            </w:pPr>
            <w:r w:rsidRPr="00DE4CCA">
              <w:rPr>
                <w:b/>
                <w:bCs/>
                <w:sz w:val="18"/>
                <w:lang w:val="en-US"/>
              </w:rPr>
              <w:t>Total</w:t>
            </w:r>
          </w:p>
        </w:tc>
        <w:tc>
          <w:tcPr>
            <w:tcW w:w="3111"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3,533</w:t>
            </w:r>
          </w:p>
        </w:tc>
        <w:tc>
          <w:tcPr>
            <w:tcW w:w="2856"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bCs/>
                <w:sz w:val="18"/>
                <w:lang w:val="en-US"/>
              </w:rPr>
            </w:pPr>
            <w:r w:rsidRPr="00DE4CCA">
              <w:rPr>
                <w:b/>
                <w:bCs/>
                <w:sz w:val="18"/>
                <w:lang w:val="en-US"/>
              </w:rPr>
              <w:t>100</w:t>
            </w:r>
          </w:p>
        </w:tc>
      </w:tr>
    </w:tbl>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rPr>
          <w:b/>
          <w:i/>
          <w:lang w:val="en-US"/>
        </w:rPr>
      </w:pPr>
      <w:r w:rsidRPr="00DE4CCA">
        <w:rPr>
          <w:i/>
          <w:lang w:val="en-US"/>
        </w:rPr>
        <w:tab/>
      </w:r>
      <w:r w:rsidRPr="00DE4CCA">
        <w:rPr>
          <w:i/>
          <w:lang w:val="en-US"/>
        </w:rPr>
        <w:tab/>
      </w:r>
      <w:r w:rsidRPr="00DE4CCA">
        <w:rPr>
          <w:i/>
          <w:lang w:val="en-US"/>
        </w:rPr>
        <w:tab/>
      </w:r>
      <w:r w:rsidRPr="00DE4CCA">
        <w:rPr>
          <w:b/>
          <w:i/>
          <w:lang w:val="en-US"/>
        </w:rPr>
        <w:t>Judicial Information System of Courts (PRIS)</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Based on the data obtained from the Judicial Information System of Courts (PRIS), it follows that during 2020, in a total of eight (8) cases, the courts imposed the security measure of restraining order under Article 77a of the Criminal Code of Montenegro.</w:t>
      </w:r>
    </w:p>
    <w:p w:rsidR="00DE4CCA" w:rsidRPr="00DE4CCA" w:rsidRDefault="00DE4CCA" w:rsidP="00DE4CCA">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2020, the misdemeanor courts imposed a total of 408 protective measures, as follows: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Removal from the place of residence, 54;</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Restraining order, 111;</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Prohibition of harassment and stalking, 185;</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Compulsory treatment for addiction, 16;</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Compulsory psychiatric treatment, 31, and</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Compulsory psychosocial treatment, 11.</w:t>
      </w:r>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12</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10" w:name="_Hlk84430486"/>
      <w:r w:rsidRPr="00DE4CCA">
        <w:rPr>
          <w:b/>
          <w:lang w:val="en-US"/>
        </w:rPr>
        <w:tab/>
      </w:r>
      <w:r w:rsidRPr="00DE4CCA">
        <w:rPr>
          <w:b/>
          <w:lang w:val="en-US"/>
        </w:rPr>
        <w:tab/>
        <w:t>Operational Team for Combating Trafficking in Human Beings</w:t>
      </w:r>
    </w:p>
    <w:bookmarkEnd w:id="10"/>
    <w:p w:rsidR="00DE4CCA" w:rsidRPr="00DE4CCA" w:rsidRDefault="00DE4CCA" w:rsidP="00DE4CCA">
      <w:pPr>
        <w:numPr>
          <w:ilvl w:val="0"/>
          <w:numId w:val="23"/>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The Operational Team for Combating Trafficking in Human Beings consists of representatives of the Ministry of the Interior, the Police Directorate, the Higher State Prosecutor's Office and the MPLJMP. </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Consolidated statistics on trafficking in human beings in Montenegro:</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5"/>
        <w:gridCol w:w="1808"/>
        <w:gridCol w:w="1979"/>
        <w:gridCol w:w="1918"/>
      </w:tblGrid>
      <w:tr w:rsidR="00DE4CCA" w:rsidRPr="00DE4CCA" w:rsidTr="004135BE">
        <w:trPr>
          <w:tblHeader/>
        </w:trPr>
        <w:tc>
          <w:tcPr>
            <w:tcW w:w="1665" w:type="dxa"/>
            <w:tcBorders>
              <w:top w:val="single" w:sz="4" w:space="0" w:color="auto"/>
              <w:bottom w:val="single" w:sz="12" w:space="0" w:color="auto"/>
            </w:tcBorders>
            <w:shd w:val="clear" w:color="auto" w:fill="auto"/>
            <w:vAlign w:val="bottom"/>
          </w:tcPr>
          <w:p w:rsidR="00DE4CCA" w:rsidRPr="00DE4CCA" w:rsidRDefault="00DE4CCA" w:rsidP="00DE4CCA">
            <w:pPr>
              <w:spacing w:before="80" w:after="80" w:line="200" w:lineRule="exact"/>
              <w:rPr>
                <w:rFonts w:eastAsia="Calibri"/>
                <w:i/>
                <w:noProof/>
                <w:sz w:val="16"/>
                <w:szCs w:val="24"/>
                <w:lang w:val="en-US"/>
              </w:rPr>
            </w:pPr>
          </w:p>
        </w:tc>
        <w:tc>
          <w:tcPr>
            <w:tcW w:w="1808" w:type="dxa"/>
            <w:tcBorders>
              <w:top w:val="single" w:sz="4" w:space="0" w:color="auto"/>
              <w:bottom w:val="single" w:sz="12" w:space="0" w:color="auto"/>
            </w:tcBorders>
            <w:shd w:val="clear" w:color="auto" w:fill="auto"/>
            <w:vAlign w:val="bottom"/>
          </w:tcPr>
          <w:p w:rsidR="00DE4CCA" w:rsidRPr="00DE4CCA" w:rsidRDefault="00DE4CCA" w:rsidP="00DE4CCA">
            <w:pPr>
              <w:spacing w:before="80" w:after="80" w:line="200" w:lineRule="exact"/>
              <w:jc w:val="right"/>
              <w:rPr>
                <w:rFonts w:eastAsia="Times New Roman"/>
                <w:i/>
                <w:sz w:val="16"/>
                <w:szCs w:val="24"/>
                <w:lang w:val="en-US"/>
              </w:rPr>
            </w:pPr>
            <w:r w:rsidRPr="00DE4CCA">
              <w:rPr>
                <w:rFonts w:eastAsia="Times New Roman"/>
                <w:i/>
                <w:sz w:val="16"/>
                <w:szCs w:val="24"/>
                <w:lang w:val="en-US"/>
              </w:rPr>
              <w:t>Number of  charges</w:t>
            </w:r>
          </w:p>
        </w:tc>
        <w:tc>
          <w:tcPr>
            <w:tcW w:w="1979" w:type="dxa"/>
            <w:tcBorders>
              <w:top w:val="single" w:sz="4" w:space="0" w:color="auto"/>
              <w:bottom w:val="single" w:sz="12" w:space="0" w:color="auto"/>
            </w:tcBorders>
            <w:shd w:val="clear" w:color="auto" w:fill="auto"/>
            <w:vAlign w:val="bottom"/>
          </w:tcPr>
          <w:p w:rsidR="00DE4CCA" w:rsidRPr="00DE4CCA" w:rsidRDefault="00DE4CCA" w:rsidP="00DE4CCA">
            <w:pPr>
              <w:spacing w:before="80" w:after="80" w:line="200" w:lineRule="exact"/>
              <w:jc w:val="right"/>
              <w:rPr>
                <w:rFonts w:eastAsia="Times New Roman"/>
                <w:i/>
                <w:sz w:val="16"/>
                <w:szCs w:val="24"/>
                <w:lang w:val="en-US"/>
              </w:rPr>
            </w:pPr>
            <w:r w:rsidRPr="00DE4CCA">
              <w:rPr>
                <w:rFonts w:eastAsia="Times New Roman"/>
                <w:i/>
                <w:sz w:val="16"/>
                <w:szCs w:val="24"/>
                <w:lang w:val="en-US"/>
              </w:rPr>
              <w:t>Number of indictments filed</w:t>
            </w:r>
          </w:p>
        </w:tc>
        <w:tc>
          <w:tcPr>
            <w:tcW w:w="1918" w:type="dxa"/>
            <w:tcBorders>
              <w:top w:val="single" w:sz="4" w:space="0" w:color="auto"/>
              <w:bottom w:val="single" w:sz="12" w:space="0" w:color="auto"/>
            </w:tcBorders>
            <w:shd w:val="clear" w:color="auto" w:fill="auto"/>
            <w:vAlign w:val="bottom"/>
          </w:tcPr>
          <w:p w:rsidR="00DE4CCA" w:rsidRPr="00DE4CCA" w:rsidRDefault="00DE4CCA" w:rsidP="00DE4CCA">
            <w:pPr>
              <w:spacing w:before="80" w:after="80" w:line="200" w:lineRule="exact"/>
              <w:jc w:val="right"/>
              <w:rPr>
                <w:rFonts w:eastAsia="Calibri"/>
                <w:i/>
                <w:noProof/>
                <w:sz w:val="16"/>
                <w:szCs w:val="24"/>
                <w:lang w:val="en-US"/>
              </w:rPr>
            </w:pPr>
            <w:r w:rsidRPr="00DE4CCA">
              <w:rPr>
                <w:rFonts w:eastAsia="Times New Roman"/>
                <w:i/>
                <w:sz w:val="16"/>
                <w:szCs w:val="24"/>
                <w:lang w:val="en-US"/>
              </w:rPr>
              <w:t>Number of judgments</w:t>
            </w:r>
          </w:p>
        </w:tc>
      </w:tr>
      <w:tr w:rsidR="00DE4CCA" w:rsidRPr="00DE4CCA" w:rsidTr="004135BE">
        <w:tc>
          <w:tcPr>
            <w:tcW w:w="1665" w:type="dxa"/>
            <w:tcBorders>
              <w:top w:val="single" w:sz="12" w:space="0" w:color="auto"/>
            </w:tcBorders>
            <w:shd w:val="clear" w:color="auto" w:fill="auto"/>
          </w:tcPr>
          <w:p w:rsidR="00DE4CCA" w:rsidRPr="00DE4CCA" w:rsidRDefault="00DE4CCA" w:rsidP="00DE4CCA">
            <w:pPr>
              <w:spacing w:before="40" w:after="40" w:line="220" w:lineRule="exact"/>
              <w:rPr>
                <w:rFonts w:eastAsia="Calibri"/>
                <w:noProof/>
                <w:sz w:val="18"/>
                <w:szCs w:val="24"/>
                <w:lang w:val="en-US"/>
              </w:rPr>
            </w:pPr>
            <w:r w:rsidRPr="00DE4CCA">
              <w:rPr>
                <w:rFonts w:eastAsia="Calibri"/>
                <w:noProof/>
                <w:sz w:val="18"/>
                <w:szCs w:val="24"/>
                <w:lang w:val="en-US"/>
              </w:rPr>
              <w:t>2017</w:t>
            </w:r>
          </w:p>
        </w:tc>
        <w:tc>
          <w:tcPr>
            <w:tcW w:w="1808" w:type="dxa"/>
            <w:tcBorders>
              <w:top w:val="single" w:sz="12" w:space="0" w:color="auto"/>
            </w:tcBorders>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0</w:t>
            </w:r>
          </w:p>
        </w:tc>
        <w:tc>
          <w:tcPr>
            <w:tcW w:w="1979" w:type="dxa"/>
            <w:tcBorders>
              <w:top w:val="single" w:sz="12" w:space="0" w:color="auto"/>
            </w:tcBorders>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1</w:t>
            </w:r>
          </w:p>
        </w:tc>
        <w:tc>
          <w:tcPr>
            <w:tcW w:w="1918" w:type="dxa"/>
            <w:tcBorders>
              <w:top w:val="single" w:sz="12" w:space="0" w:color="auto"/>
            </w:tcBorders>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0</w:t>
            </w:r>
          </w:p>
        </w:tc>
      </w:tr>
      <w:tr w:rsidR="00DE4CCA" w:rsidRPr="00DE4CCA" w:rsidTr="004135BE">
        <w:tc>
          <w:tcPr>
            <w:tcW w:w="1665" w:type="dxa"/>
            <w:shd w:val="clear" w:color="auto" w:fill="auto"/>
          </w:tcPr>
          <w:p w:rsidR="00DE4CCA" w:rsidRPr="00DE4CCA" w:rsidRDefault="00DE4CCA" w:rsidP="00DE4CCA">
            <w:pPr>
              <w:spacing w:before="40" w:after="40" w:line="220" w:lineRule="exact"/>
              <w:rPr>
                <w:rFonts w:eastAsia="Calibri"/>
                <w:noProof/>
                <w:sz w:val="18"/>
                <w:szCs w:val="24"/>
                <w:lang w:val="en-US"/>
              </w:rPr>
            </w:pPr>
            <w:r w:rsidRPr="00DE4CCA">
              <w:rPr>
                <w:rFonts w:eastAsia="Calibri"/>
                <w:noProof/>
                <w:sz w:val="18"/>
                <w:szCs w:val="24"/>
                <w:lang w:val="en-US"/>
              </w:rPr>
              <w:t>2018</w:t>
            </w:r>
          </w:p>
        </w:tc>
        <w:tc>
          <w:tcPr>
            <w:tcW w:w="180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c>
          <w:tcPr>
            <w:tcW w:w="1979"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0</w:t>
            </w:r>
          </w:p>
        </w:tc>
        <w:tc>
          <w:tcPr>
            <w:tcW w:w="191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0</w:t>
            </w:r>
          </w:p>
        </w:tc>
      </w:tr>
      <w:tr w:rsidR="00DE4CCA" w:rsidRPr="00DE4CCA" w:rsidTr="004135BE">
        <w:tc>
          <w:tcPr>
            <w:tcW w:w="1665" w:type="dxa"/>
            <w:shd w:val="clear" w:color="auto" w:fill="auto"/>
          </w:tcPr>
          <w:p w:rsidR="00DE4CCA" w:rsidRPr="00DE4CCA" w:rsidRDefault="00DE4CCA" w:rsidP="00DE4CCA">
            <w:pPr>
              <w:spacing w:before="40" w:after="40" w:line="220" w:lineRule="exact"/>
              <w:rPr>
                <w:rFonts w:eastAsia="Calibri"/>
                <w:noProof/>
                <w:sz w:val="18"/>
                <w:szCs w:val="24"/>
                <w:lang w:val="en-US"/>
              </w:rPr>
            </w:pPr>
            <w:r w:rsidRPr="00DE4CCA">
              <w:rPr>
                <w:rFonts w:eastAsia="Calibri"/>
                <w:noProof/>
                <w:sz w:val="18"/>
                <w:szCs w:val="24"/>
                <w:lang w:val="en-US"/>
              </w:rPr>
              <w:t>2019</w:t>
            </w:r>
          </w:p>
        </w:tc>
        <w:tc>
          <w:tcPr>
            <w:tcW w:w="180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c>
          <w:tcPr>
            <w:tcW w:w="1979"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c>
          <w:tcPr>
            <w:tcW w:w="191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0</w:t>
            </w:r>
          </w:p>
        </w:tc>
      </w:tr>
      <w:tr w:rsidR="00DE4CCA" w:rsidRPr="00DE4CCA" w:rsidTr="004135BE">
        <w:tc>
          <w:tcPr>
            <w:tcW w:w="1665" w:type="dxa"/>
            <w:shd w:val="clear" w:color="auto" w:fill="auto"/>
          </w:tcPr>
          <w:p w:rsidR="00DE4CCA" w:rsidRPr="00DE4CCA" w:rsidRDefault="00DE4CCA" w:rsidP="00DE4CCA">
            <w:pPr>
              <w:spacing w:before="40" w:after="40" w:line="220" w:lineRule="exact"/>
              <w:rPr>
                <w:rFonts w:eastAsia="Calibri"/>
                <w:noProof/>
                <w:sz w:val="18"/>
                <w:szCs w:val="24"/>
                <w:lang w:val="en-US"/>
              </w:rPr>
            </w:pPr>
            <w:r w:rsidRPr="00DE4CCA">
              <w:rPr>
                <w:rFonts w:eastAsia="Calibri"/>
                <w:noProof/>
                <w:sz w:val="18"/>
                <w:szCs w:val="24"/>
                <w:lang w:val="en-US"/>
              </w:rPr>
              <w:t>2020</w:t>
            </w:r>
          </w:p>
        </w:tc>
        <w:tc>
          <w:tcPr>
            <w:tcW w:w="180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8</w:t>
            </w:r>
          </w:p>
        </w:tc>
        <w:tc>
          <w:tcPr>
            <w:tcW w:w="1979"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4</w:t>
            </w:r>
          </w:p>
        </w:tc>
        <w:tc>
          <w:tcPr>
            <w:tcW w:w="191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3</w:t>
            </w:r>
          </w:p>
        </w:tc>
      </w:tr>
      <w:tr w:rsidR="00DE4CCA" w:rsidRPr="00DE4CCA" w:rsidTr="004135BE">
        <w:tc>
          <w:tcPr>
            <w:tcW w:w="1665" w:type="dxa"/>
            <w:shd w:val="clear" w:color="auto" w:fill="auto"/>
          </w:tcPr>
          <w:p w:rsidR="00DE4CCA" w:rsidRPr="00DE4CCA" w:rsidRDefault="00DE4CCA" w:rsidP="00DE4CCA">
            <w:pPr>
              <w:spacing w:before="40" w:after="40" w:line="220" w:lineRule="exact"/>
              <w:rPr>
                <w:rFonts w:eastAsia="Calibri"/>
                <w:noProof/>
                <w:sz w:val="18"/>
                <w:szCs w:val="24"/>
                <w:lang w:val="en-US"/>
              </w:rPr>
            </w:pPr>
            <w:r w:rsidRPr="00DE4CCA">
              <w:rPr>
                <w:rFonts w:eastAsia="Calibri"/>
                <w:noProof/>
                <w:sz w:val="18"/>
                <w:szCs w:val="24"/>
                <w:lang w:val="en-US"/>
              </w:rPr>
              <w:t>2021 – as of April</w:t>
            </w:r>
          </w:p>
        </w:tc>
        <w:tc>
          <w:tcPr>
            <w:tcW w:w="180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c>
          <w:tcPr>
            <w:tcW w:w="1979"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c>
          <w:tcPr>
            <w:tcW w:w="1918" w:type="dxa"/>
            <w:shd w:val="clear" w:color="auto" w:fill="auto"/>
            <w:vAlign w:val="bottom"/>
          </w:tcPr>
          <w:p w:rsidR="00DE4CCA" w:rsidRPr="00DE4CCA" w:rsidRDefault="00DE4CCA" w:rsidP="00DE4CCA">
            <w:pPr>
              <w:spacing w:before="40" w:after="40" w:line="220" w:lineRule="exact"/>
              <w:jc w:val="right"/>
              <w:rPr>
                <w:rFonts w:eastAsia="Calibri"/>
                <w:noProof/>
                <w:sz w:val="18"/>
                <w:szCs w:val="24"/>
                <w:lang w:val="en-US"/>
              </w:rPr>
            </w:pPr>
            <w:r w:rsidRPr="00DE4CCA">
              <w:rPr>
                <w:rFonts w:eastAsia="Calibri"/>
                <w:noProof/>
                <w:sz w:val="18"/>
                <w:szCs w:val="24"/>
                <w:lang w:val="en-US"/>
              </w:rPr>
              <w:t>2</w:t>
            </w:r>
          </w:p>
        </w:tc>
      </w:tr>
    </w:tbl>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r>
    </w:p>
    <w:p w:rsidR="00DE4CCA" w:rsidRPr="00DE4CCA" w:rsidRDefault="00DE4CCA" w:rsidP="00DE4CCA">
      <w:pPr>
        <w:spacing w:after="200" w:line="276" w:lineRule="auto"/>
        <w:rPr>
          <w:b/>
          <w:sz w:val="24"/>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13</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Victims of trafficking in human beings – statistics and implemented projects</w:t>
      </w:r>
    </w:p>
    <w:tbl>
      <w:tblPr>
        <w:tblStyle w:val="TableGridLight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3"/>
        <w:gridCol w:w="1377"/>
        <w:gridCol w:w="2679"/>
        <w:gridCol w:w="2231"/>
      </w:tblGrid>
      <w:tr w:rsidR="00DE4CCA" w:rsidRPr="00DE4CCA" w:rsidTr="004135BE">
        <w:trPr>
          <w:tblHeader/>
        </w:trPr>
        <w:tc>
          <w:tcPr>
            <w:tcW w:w="1083" w:type="dxa"/>
            <w:tcBorders>
              <w:top w:val="single" w:sz="4" w:space="0" w:color="auto"/>
              <w:bottom w:val="single" w:sz="12" w:space="0" w:color="auto"/>
            </w:tcBorders>
            <w:shd w:val="clear" w:color="auto" w:fill="auto"/>
            <w:vAlign w:val="bottom"/>
          </w:tcPr>
          <w:p w:rsidR="00DE4CCA" w:rsidRPr="00DE4CCA" w:rsidRDefault="00DE4CCA" w:rsidP="00DE4CCA">
            <w:pPr>
              <w:suppressAutoHyphens/>
              <w:spacing w:before="80" w:after="80" w:line="200" w:lineRule="exact"/>
              <w:ind w:right="113"/>
              <w:rPr>
                <w:rFonts w:eastAsia="Times New Roman"/>
                <w:i/>
                <w:sz w:val="16"/>
              </w:rPr>
            </w:pPr>
            <w:r w:rsidRPr="00DE4CCA">
              <w:rPr>
                <w:rFonts w:eastAsia="Times New Roman"/>
                <w:i/>
                <w:sz w:val="16"/>
              </w:rPr>
              <w:t>Victim</w:t>
            </w:r>
          </w:p>
        </w:tc>
        <w:tc>
          <w:tcPr>
            <w:tcW w:w="1377" w:type="dxa"/>
            <w:tcBorders>
              <w:top w:val="single" w:sz="4" w:space="0" w:color="auto"/>
              <w:bottom w:val="single" w:sz="12" w:space="0" w:color="auto"/>
            </w:tcBorders>
            <w:shd w:val="clear" w:color="auto" w:fill="auto"/>
            <w:vAlign w:val="bottom"/>
          </w:tcPr>
          <w:p w:rsidR="00DE4CCA" w:rsidRPr="00DE4CCA" w:rsidRDefault="00DE4CCA" w:rsidP="00DE4CCA">
            <w:pPr>
              <w:suppressAutoHyphens/>
              <w:spacing w:before="80" w:after="80" w:line="200" w:lineRule="exact"/>
              <w:ind w:right="113"/>
              <w:rPr>
                <w:rFonts w:eastAsia="Times New Roman"/>
                <w:i/>
                <w:sz w:val="16"/>
              </w:rPr>
            </w:pPr>
            <w:r w:rsidRPr="00DE4CCA">
              <w:rPr>
                <w:rFonts w:eastAsia="Times New Roman"/>
                <w:i/>
                <w:sz w:val="16"/>
              </w:rPr>
              <w:t>2 adult men</w:t>
            </w:r>
          </w:p>
        </w:tc>
        <w:tc>
          <w:tcPr>
            <w:tcW w:w="2679" w:type="dxa"/>
            <w:tcBorders>
              <w:top w:val="single" w:sz="4" w:space="0" w:color="auto"/>
              <w:bottom w:val="single" w:sz="12" w:space="0" w:color="auto"/>
            </w:tcBorders>
            <w:shd w:val="clear" w:color="auto" w:fill="auto"/>
            <w:vAlign w:val="bottom"/>
          </w:tcPr>
          <w:p w:rsidR="00DE4CCA" w:rsidRPr="00DE4CCA" w:rsidRDefault="00DE4CCA" w:rsidP="00DE4CCA">
            <w:pPr>
              <w:suppressAutoHyphens/>
              <w:spacing w:before="80" w:after="80" w:line="200" w:lineRule="exact"/>
              <w:ind w:right="113"/>
              <w:rPr>
                <w:rFonts w:eastAsia="Times New Roman"/>
                <w:i/>
                <w:sz w:val="16"/>
              </w:rPr>
            </w:pPr>
            <w:r w:rsidRPr="00DE4CCA">
              <w:rPr>
                <w:rFonts w:eastAsia="Times New Roman"/>
                <w:i/>
                <w:sz w:val="16"/>
              </w:rPr>
              <w:t>Work exploitation</w:t>
            </w:r>
          </w:p>
        </w:tc>
        <w:tc>
          <w:tcPr>
            <w:tcW w:w="2231" w:type="dxa"/>
            <w:tcBorders>
              <w:top w:val="single" w:sz="4" w:space="0" w:color="auto"/>
              <w:bottom w:val="single" w:sz="12" w:space="0" w:color="auto"/>
            </w:tcBorders>
            <w:shd w:val="clear" w:color="auto" w:fill="auto"/>
            <w:vAlign w:val="bottom"/>
          </w:tcPr>
          <w:p w:rsidR="00DE4CCA" w:rsidRPr="00DE4CCA" w:rsidRDefault="00DE4CCA" w:rsidP="00DE4CCA">
            <w:pPr>
              <w:suppressAutoHyphens/>
              <w:spacing w:before="80" w:after="80" w:line="200" w:lineRule="exact"/>
              <w:ind w:right="113"/>
              <w:rPr>
                <w:rFonts w:eastAsia="Times New Roman"/>
                <w:i/>
                <w:sz w:val="16"/>
              </w:rPr>
            </w:pPr>
            <w:r w:rsidRPr="00DE4CCA">
              <w:rPr>
                <w:rFonts w:eastAsia="Times New Roman"/>
                <w:i/>
                <w:sz w:val="16"/>
              </w:rPr>
              <w:t>PAKISTAN</w:t>
            </w:r>
          </w:p>
        </w:tc>
      </w:tr>
      <w:tr w:rsidR="00DE4CCA" w:rsidRPr="00DE4CCA" w:rsidTr="004135BE">
        <w:trPr>
          <w:trHeight w:hRule="exact" w:val="113"/>
        </w:trPr>
        <w:tc>
          <w:tcPr>
            <w:tcW w:w="1083"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1377"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2679"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2231" w:type="dxa"/>
            <w:tcBorders>
              <w:top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minor girl</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Conclusion of illegal marriage</w:t>
            </w: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SERBIA</w:t>
            </w:r>
          </w:p>
        </w:tc>
      </w:tr>
      <w:tr w:rsidR="00DE4CCA" w:rsidRPr="00DE4CCA" w:rsidTr="004135BE">
        <w:tc>
          <w:tcPr>
            <w:tcW w:w="1083" w:type="dxa"/>
            <w:vMerge w:val="restart"/>
            <w:shd w:val="clear" w:color="auto" w:fill="auto"/>
          </w:tcPr>
          <w:p w:rsidR="00DE4CCA" w:rsidRPr="00DE4CCA" w:rsidRDefault="00DE4CCA" w:rsidP="00DE4CCA">
            <w:pPr>
              <w:suppressAutoHyphens/>
              <w:spacing w:before="40" w:after="120" w:line="240" w:lineRule="atLeast"/>
              <w:ind w:right="113"/>
              <w:rPr>
                <w:rFonts w:eastAsia="Times New Roman"/>
              </w:rPr>
            </w:pPr>
          </w:p>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p w:rsidR="00DE4CCA" w:rsidRPr="00DE4CCA" w:rsidRDefault="00DE4CCA" w:rsidP="00DE4CCA">
            <w:pPr>
              <w:suppressAutoHyphens/>
              <w:spacing w:before="40" w:after="120" w:line="240" w:lineRule="atLeast"/>
              <w:ind w:right="113"/>
              <w:rPr>
                <w:rFonts w:eastAsia="Times New Roman"/>
              </w:rPr>
            </w:pP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minor girl</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Begging under coercion and conclusion of illegal marriage</w:t>
            </w:r>
          </w:p>
        </w:tc>
        <w:tc>
          <w:tcPr>
            <w:tcW w:w="2231" w:type="dxa"/>
            <w:vMerge w:val="restart"/>
            <w:shd w:val="clear" w:color="auto" w:fill="auto"/>
          </w:tcPr>
          <w:p w:rsidR="00DE4CCA" w:rsidRPr="00DE4CCA" w:rsidRDefault="00DE4CCA" w:rsidP="00DE4CCA">
            <w:pPr>
              <w:suppressAutoHyphens/>
              <w:spacing w:before="40" w:after="120" w:line="240" w:lineRule="atLeast"/>
              <w:ind w:right="113"/>
              <w:rPr>
                <w:rFonts w:eastAsia="Times New Roman"/>
              </w:rPr>
            </w:pPr>
          </w:p>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w:t>
            </w:r>
          </w:p>
        </w:tc>
      </w:tr>
      <w:tr w:rsidR="00DE4CCA" w:rsidRPr="00DE4CCA" w:rsidTr="004135BE">
        <w:tc>
          <w:tcPr>
            <w:tcW w:w="1083" w:type="dxa"/>
            <w:vMerge/>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minor boy</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Begging under coercion</w:t>
            </w:r>
          </w:p>
          <w:p w:rsidR="00DE4CCA" w:rsidRPr="00DE4CCA" w:rsidRDefault="00DE4CCA" w:rsidP="00DE4CCA">
            <w:pPr>
              <w:suppressAutoHyphens/>
              <w:spacing w:before="40" w:after="120" w:line="240" w:lineRule="atLeast"/>
              <w:ind w:right="113"/>
              <w:rPr>
                <w:rFonts w:eastAsia="Times New Roman"/>
              </w:rPr>
            </w:pPr>
          </w:p>
        </w:tc>
        <w:tc>
          <w:tcPr>
            <w:tcW w:w="2231" w:type="dxa"/>
            <w:vMerge/>
            <w:shd w:val="clear" w:color="auto" w:fill="auto"/>
          </w:tcPr>
          <w:p w:rsidR="00DE4CCA" w:rsidRPr="00DE4CCA" w:rsidRDefault="00DE4CCA" w:rsidP="00DE4CCA">
            <w:pPr>
              <w:suppressAutoHyphens/>
              <w:spacing w:before="40" w:after="120" w:line="240" w:lineRule="atLeast"/>
              <w:ind w:right="113"/>
              <w:rPr>
                <w:rFonts w:eastAsia="Times New Roman"/>
              </w:rPr>
            </w:pPr>
          </w:p>
        </w:tc>
      </w:tr>
      <w:tr w:rsidR="00DE4CCA" w:rsidRPr="00DE4CCA" w:rsidTr="004135BE">
        <w:tc>
          <w:tcPr>
            <w:tcW w:w="1083" w:type="dxa"/>
            <w:vMerge w:val="restart"/>
            <w:shd w:val="clear" w:color="auto" w:fill="auto"/>
          </w:tcPr>
          <w:p w:rsidR="00DE4CCA" w:rsidRPr="00DE4CCA" w:rsidRDefault="00DE4CCA" w:rsidP="00DE4CCA">
            <w:pPr>
              <w:suppressAutoHyphens/>
              <w:spacing w:before="40" w:after="120" w:line="240" w:lineRule="atLeast"/>
              <w:ind w:right="113"/>
              <w:rPr>
                <w:rFonts w:eastAsia="Times New Roman"/>
              </w:rPr>
            </w:pPr>
          </w:p>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 xml:space="preserve">Victims </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12 adult women</w:t>
            </w:r>
          </w:p>
        </w:tc>
        <w:tc>
          <w:tcPr>
            <w:tcW w:w="2679" w:type="dxa"/>
            <w:vMerge w:val="restart"/>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Labor exploitation</w:t>
            </w:r>
          </w:p>
        </w:tc>
        <w:tc>
          <w:tcPr>
            <w:tcW w:w="2231" w:type="dxa"/>
            <w:vMerge w:val="restart"/>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TAIWAN</w:t>
            </w:r>
          </w:p>
        </w:tc>
      </w:tr>
      <w:tr w:rsidR="00DE4CCA" w:rsidRPr="00DE4CCA" w:rsidTr="004135BE">
        <w:tc>
          <w:tcPr>
            <w:tcW w:w="1083" w:type="dxa"/>
            <w:vMerge/>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25 adult men</w:t>
            </w:r>
          </w:p>
        </w:tc>
        <w:tc>
          <w:tcPr>
            <w:tcW w:w="2679" w:type="dxa"/>
            <w:vMerge/>
            <w:shd w:val="clear" w:color="auto" w:fill="auto"/>
          </w:tcPr>
          <w:p w:rsidR="00DE4CCA" w:rsidRPr="00DE4CCA" w:rsidRDefault="00DE4CCA" w:rsidP="00DE4CCA">
            <w:pPr>
              <w:suppressAutoHyphens/>
              <w:spacing w:before="40" w:after="120" w:line="240" w:lineRule="atLeast"/>
              <w:ind w:right="113"/>
              <w:rPr>
                <w:rFonts w:eastAsia="Times New Roman"/>
              </w:rPr>
            </w:pPr>
          </w:p>
        </w:tc>
        <w:tc>
          <w:tcPr>
            <w:tcW w:w="2231" w:type="dxa"/>
            <w:vMerge/>
            <w:shd w:val="clear" w:color="auto" w:fill="auto"/>
          </w:tcPr>
          <w:p w:rsidR="00DE4CCA" w:rsidRPr="00DE4CCA" w:rsidRDefault="00DE4CCA" w:rsidP="00DE4CCA">
            <w:pPr>
              <w:suppressAutoHyphens/>
              <w:spacing w:before="40" w:after="120" w:line="240" w:lineRule="atLeast"/>
              <w:ind w:right="113"/>
              <w:rPr>
                <w:rFonts w:eastAsia="Times New Roman"/>
              </w:rPr>
            </w:pP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minor girl</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Conclusion of illegal marriage</w:t>
            </w: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w:t>
            </w: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adult woman</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Conclusion of illegal marriage</w:t>
            </w: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KOSOVO</w:t>
            </w: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adult man</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Begging under coercion</w:t>
            </w:r>
          </w:p>
          <w:p w:rsidR="00DE4CCA" w:rsidRPr="00DE4CCA" w:rsidRDefault="00DE4CCA" w:rsidP="00DE4CCA">
            <w:pPr>
              <w:suppressAutoHyphens/>
              <w:spacing w:before="40" w:after="120" w:line="240" w:lineRule="atLeast"/>
              <w:ind w:right="113"/>
              <w:rPr>
                <w:rFonts w:eastAsia="Times New Roman"/>
              </w:rPr>
            </w:pP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w:t>
            </w: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1 minor girl</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 of illegal marriage</w:t>
            </w: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w:t>
            </w:r>
          </w:p>
        </w:tc>
      </w:tr>
      <w:tr w:rsidR="00DE4CCA" w:rsidRPr="00DE4CCA" w:rsidTr="004135BE">
        <w:tc>
          <w:tcPr>
            <w:tcW w:w="1083"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tc>
        <w:tc>
          <w:tcPr>
            <w:tcW w:w="1377"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4 minors, 2 boys and 2 girls</w:t>
            </w:r>
          </w:p>
        </w:tc>
        <w:tc>
          <w:tcPr>
            <w:tcW w:w="2679" w:type="dxa"/>
            <w:shd w:val="clear" w:color="auto" w:fill="auto"/>
          </w:tcPr>
          <w:p w:rsidR="00DE4CCA" w:rsidRPr="00DE4CCA" w:rsidRDefault="00DE4CCA" w:rsidP="00DE4CCA">
            <w:pPr>
              <w:suppressAutoHyphens/>
              <w:spacing w:before="40" w:after="120" w:line="240" w:lineRule="atLeast"/>
              <w:ind w:right="113"/>
              <w:rPr>
                <w:rFonts w:eastAsia="Times New Roman"/>
              </w:rPr>
            </w:pPr>
          </w:p>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Begging under coercion</w:t>
            </w:r>
          </w:p>
          <w:p w:rsidR="00DE4CCA" w:rsidRPr="00DE4CCA" w:rsidRDefault="00DE4CCA" w:rsidP="00DE4CCA">
            <w:pPr>
              <w:suppressAutoHyphens/>
              <w:spacing w:before="40" w:after="120" w:line="240" w:lineRule="atLeast"/>
              <w:ind w:right="113"/>
              <w:rPr>
                <w:rFonts w:eastAsia="Times New Roman"/>
              </w:rPr>
            </w:pPr>
          </w:p>
        </w:tc>
        <w:tc>
          <w:tcPr>
            <w:tcW w:w="2231" w:type="dxa"/>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 IDP</w:t>
            </w:r>
          </w:p>
        </w:tc>
      </w:tr>
      <w:tr w:rsidR="00DE4CCA" w:rsidRPr="00DE4CCA" w:rsidTr="004135BE">
        <w:tc>
          <w:tcPr>
            <w:tcW w:w="1083" w:type="dxa"/>
            <w:tcBorders>
              <w:bottom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Victim</w:t>
            </w:r>
          </w:p>
          <w:p w:rsidR="00DE4CCA" w:rsidRPr="00DE4CCA" w:rsidRDefault="00DE4CCA" w:rsidP="00DE4CCA">
            <w:pPr>
              <w:suppressAutoHyphens/>
              <w:spacing w:before="40" w:after="120" w:line="240" w:lineRule="atLeast"/>
              <w:ind w:right="113"/>
              <w:rPr>
                <w:rFonts w:eastAsia="Times New Roman"/>
              </w:rPr>
            </w:pPr>
          </w:p>
        </w:tc>
        <w:tc>
          <w:tcPr>
            <w:tcW w:w="1377" w:type="dxa"/>
            <w:tcBorders>
              <w:bottom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2 adult women</w:t>
            </w:r>
          </w:p>
        </w:tc>
        <w:tc>
          <w:tcPr>
            <w:tcW w:w="2679" w:type="dxa"/>
            <w:tcBorders>
              <w:bottom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 xml:space="preserve">Sexual exploitation </w:t>
            </w:r>
          </w:p>
        </w:tc>
        <w:tc>
          <w:tcPr>
            <w:tcW w:w="2231" w:type="dxa"/>
            <w:tcBorders>
              <w:bottom w:val="single" w:sz="12" w:space="0" w:color="auto"/>
            </w:tcBorders>
            <w:shd w:val="clear" w:color="auto" w:fill="auto"/>
          </w:tcPr>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SERBIA</w:t>
            </w:r>
          </w:p>
          <w:p w:rsidR="00DE4CCA" w:rsidRPr="00DE4CCA" w:rsidRDefault="00DE4CCA" w:rsidP="00DE4CCA">
            <w:pPr>
              <w:suppressAutoHyphens/>
              <w:spacing w:before="40" w:after="120" w:line="240" w:lineRule="atLeast"/>
              <w:ind w:right="113"/>
              <w:rPr>
                <w:rFonts w:eastAsia="Times New Roman"/>
              </w:rPr>
            </w:pPr>
            <w:r w:rsidRPr="00DE4CCA">
              <w:rPr>
                <w:rFonts w:eastAsia="Times New Roman"/>
              </w:rPr>
              <w:t>MONTENEGRO</w:t>
            </w:r>
          </w:p>
        </w:tc>
      </w:tr>
    </w:tbl>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p>
    <w:p w:rsidR="00DE4CCA" w:rsidRPr="00DE4CCA" w:rsidRDefault="00DE4CCA" w:rsidP="00DE4CCA">
      <w:pPr>
        <w:numPr>
          <w:ilvl w:val="0"/>
          <w:numId w:val="23"/>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Every year, a campaign is realized to promote the 116666 SOS line for victims of trafficking in human beings by broadcasting the video “End Trafficking in Human Beings.” The SOS line is financed from the state budget and calls to this number can be made free of charge for all networks in Montenegro. </w:t>
      </w:r>
    </w:p>
    <w:p w:rsidR="00DE4CCA" w:rsidRPr="00DE4CCA" w:rsidRDefault="00DE4CCA" w:rsidP="00DE4CCA">
      <w:pPr>
        <w:numPr>
          <w:ilvl w:val="0"/>
          <w:numId w:val="23"/>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the reporting period, i.e., years 2017, 2018, and 2019, a campaign titled “Protection from domestic violence, violence against children and forced child marriages among Roma” was conducted in cooperation with the Department for Combating Trafficking in Human Beings and the former Ministry for Human and Minority rights, together with the Police Directorate, Centers for Social Work, local governments, the Red Cross of Montenegro and the non-governmental sector. </w:t>
      </w:r>
    </w:p>
    <w:p w:rsidR="00DE4CCA" w:rsidRPr="00DE4CCA" w:rsidRDefault="00DE4CCA" w:rsidP="00DE4CCA">
      <w:pPr>
        <w:numPr>
          <w:ilvl w:val="0"/>
          <w:numId w:val="23"/>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2021, the project titled “The victim can be your daughter, sister, mother, or wife" is being implemented within a GIZ project “Prevention and Combating Trafficking in Human </w:t>
      </w:r>
      <w:r w:rsidRPr="00DE4CCA">
        <w:rPr>
          <w:lang w:val="en-US"/>
        </w:rPr>
        <w:lastRenderedPageBreak/>
        <w:t xml:space="preserve">Beings in the Western Balkans.” The project is implemented by the NGO Montenegrin Women's Lobby. </w:t>
      </w:r>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14</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Examples of anti-trafficking awareness campaigns</w:t>
      </w:r>
    </w:p>
    <w:p w:rsidR="00DE4CCA" w:rsidRPr="00DE4CCA" w:rsidRDefault="00DE4CCA" w:rsidP="00DE4CCA">
      <w:pPr>
        <w:numPr>
          <w:ilvl w:val="0"/>
          <w:numId w:val="24"/>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The NGO Montenegrin Women's Lobby developed and presented to the professional and general public “A Better Path for Women Victims of Human Trafficking” – a publication that contains an analysis and recommendations for six case studies concerning women victims of trafficking who before, during and after trafficking suffered other forms of violence (domestic violence, physical and psychological violence, sexual, economic violence, or were victims of arranged child marriages). In 2018, in the context of the project “Together for the Inclusion of Roma Women in Montenegro”, this NGO published a handbook for institutions and non-governmental organizations dealing with the protection of victims of violence, trafficking in human beings and contracted child marriages in Montenegro. The handbook was printed in 300 copies. </w:t>
      </w:r>
    </w:p>
    <w:p w:rsidR="00DE4CCA" w:rsidRPr="00DE4CCA" w:rsidRDefault="00DE4CCA" w:rsidP="00DE4CCA">
      <w:pPr>
        <w:numPr>
          <w:ilvl w:val="0"/>
          <w:numId w:val="24"/>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In cooperation with the Red Cross of Montenegro, a workshop on “Trafficking in Human Beings” was organized for asylum seekers residing in the Center for Asylum Seekers in 2018. </w:t>
      </w:r>
    </w:p>
    <w:p w:rsidR="00DE4CCA" w:rsidRPr="00DE4CCA" w:rsidRDefault="00DE4CCA" w:rsidP="00DE4CCA">
      <w:pPr>
        <w:numPr>
          <w:ilvl w:val="0"/>
          <w:numId w:val="24"/>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The National Council for Education and the Bureau of Education Services (2017/2018) accredited the Teacher Training Program on Trafficking in Human Beings and conducted a two-day teacher training on “Prevention of early and arranged marriages and economic exploitation of children through the education system”. </w:t>
      </w:r>
    </w:p>
    <w:p w:rsidR="00DE4CCA" w:rsidRPr="00DE4CCA" w:rsidRDefault="00DE4CCA" w:rsidP="00DE4CCA">
      <w:pPr>
        <w:numPr>
          <w:ilvl w:val="0"/>
          <w:numId w:val="24"/>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UNICEF provided support to the implementation of the project “Standard Operating Procedures for the Treatment of Unaccompanied or Separated Children with Special Emphasis on Proactive Identification of Potential Victims of Trafficking in Human Beings” (2017/2018). </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15</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11" w:name="_Hlk84430550"/>
      <w:r w:rsidRPr="00DE4CCA">
        <w:rPr>
          <w:b/>
          <w:lang w:val="en-US"/>
        </w:rPr>
        <w:tab/>
      </w:r>
      <w:r w:rsidRPr="00DE4CCA">
        <w:rPr>
          <w:b/>
          <w:lang w:val="en-US"/>
        </w:rPr>
        <w:tab/>
        <w:t>Number of women MPs in the committees of the Parliament of Montenegro</w:t>
      </w:r>
    </w:p>
    <w:bookmarkEnd w:id="11"/>
    <w:p w:rsidR="00DE4CCA" w:rsidRPr="00DE4CCA" w:rsidRDefault="00DE4CCA" w:rsidP="00DE4CCA">
      <w:pPr>
        <w:numPr>
          <w:ilvl w:val="0"/>
          <w:numId w:val="25"/>
        </w:numPr>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On July 20, 2021, out of 81 MPs, 22 or 27.16% were women. One woman occupies the position of the Vice-President of the Parliament of Montenegro. The Parliament has 15 permanent working bodies. When it comes to the leadership of the committee, 3 women are chairs of the committees as follows: the Constitutional Committee, the Gender Equality Committee, and the Anti-Corruption Committee. The largest representation of women is in the Gender Equality Committee (69.3%). There are no women in the Security and Defense Committee. When it comes to the temporary working body of the Committee for Comprehensive Electoral Reform, it has 14 members, of which 5 are women (35.7%).   </w:t>
      </w:r>
    </w:p>
    <w:p w:rsidR="00DE4CCA" w:rsidRPr="00DE4CCA" w:rsidRDefault="00DE4CCA" w:rsidP="00DE4CCA">
      <w:pPr>
        <w:numPr>
          <w:ilvl w:val="0"/>
          <w:numId w:val="25"/>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 xml:space="preserve">Three women serve as heads of permanent delegations – to the Parliamentary Assembly of the Council of Europe (PACE), to the Inter-Parliamentary Union (IPA) and to the Parliamentary Dimension of the Central European Initiative (CEI PD). </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283" w:right="1134" w:hanging="283"/>
        <w:outlineLvl w:val="2"/>
        <w:rPr>
          <w:b/>
          <w:sz w:val="24"/>
          <w:lang w:val="en-US"/>
        </w:rPr>
      </w:pPr>
      <w:r w:rsidRPr="00DE4CCA">
        <w:rPr>
          <w:b/>
          <w:sz w:val="24"/>
          <w:lang w:val="en-US"/>
        </w:rPr>
        <w:tab/>
      </w:r>
      <w:r w:rsidRPr="00DE4CCA">
        <w:rPr>
          <w:b/>
          <w:sz w:val="24"/>
          <w:lang w:val="en-US"/>
        </w:rPr>
        <w:tab/>
      </w:r>
      <w:r w:rsidRPr="00DE4CCA">
        <w:rPr>
          <w:b/>
          <w:sz w:val="24"/>
          <w:lang w:val="en-US"/>
        </w:rPr>
        <w:tab/>
        <w:t>Annex 16</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567" w:right="1134" w:hanging="567"/>
        <w:outlineLvl w:val="3"/>
        <w:rPr>
          <w:b/>
          <w:lang w:val="en-US"/>
        </w:rPr>
      </w:pPr>
      <w:r w:rsidRPr="00DE4CCA">
        <w:rPr>
          <w:b/>
          <w:lang w:val="en-US"/>
        </w:rPr>
        <w:tab/>
      </w:r>
      <w:r w:rsidRPr="00DE4CCA">
        <w:rPr>
          <w:b/>
          <w:lang w:val="en-US"/>
        </w:rPr>
        <w:tab/>
      </w:r>
      <w:r w:rsidRPr="00DE4CCA">
        <w:rPr>
          <w:b/>
          <w:lang w:val="en-US"/>
        </w:rPr>
        <w:tab/>
        <w:t>Education – statistics</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Source of data: Montenegro in Figures 2020, MONSTAT</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hyperlink r:id="rId15" w:history="1">
        <w:r w:rsidRPr="00DE4CCA">
          <w:rPr>
            <w:color w:val="0000FF"/>
            <w:lang w:val="en-US"/>
          </w:rPr>
          <w:t>http://monstat.org/uploads/files/publikacije/CG%20u%20brojkama%202020%20MNE.pdf</w:t>
        </w:r>
      </w:hyperlink>
    </w:p>
    <w:p w:rsidR="00DE4CCA" w:rsidRPr="00DE4CCA" w:rsidRDefault="00DE4CCA" w:rsidP="00DE4CCA">
      <w:pPr>
        <w:spacing w:after="200" w:line="276" w:lineRule="auto"/>
        <w:rPr>
          <w:lang w:val="en-US"/>
        </w:rPr>
      </w:pPr>
      <w:r w:rsidRPr="00DE4CCA">
        <w:rPr>
          <w:rFonts w:eastAsia="Times New Roman"/>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17</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Table: Number of Roma and Egyptian students at all levels of education in the period from 2016 to 2020</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4"/>
        <w:gridCol w:w="1241"/>
        <w:gridCol w:w="735"/>
        <w:gridCol w:w="1156"/>
        <w:gridCol w:w="975"/>
        <w:gridCol w:w="795"/>
        <w:gridCol w:w="1254"/>
      </w:tblGrid>
      <w:tr w:rsidR="00DE4CCA" w:rsidRPr="00DE4CCA" w:rsidTr="004135BE">
        <w:trPr>
          <w:tblHeader/>
        </w:trPr>
        <w:tc>
          <w:tcPr>
            <w:tcW w:w="7370" w:type="dxa"/>
            <w:gridSpan w:val="7"/>
            <w:tcBorders>
              <w:top w:val="single" w:sz="4" w:space="0" w:color="auto"/>
              <w:bottom w:val="single" w:sz="12" w:space="0" w:color="auto"/>
            </w:tcBorders>
            <w:shd w:val="clear" w:color="auto" w:fill="auto"/>
            <w:vAlign w:val="bottom"/>
          </w:tcPr>
          <w:p w:rsidR="00DE4CCA" w:rsidRPr="00DE4CCA" w:rsidRDefault="00DE4CCA" w:rsidP="00DE4CCA">
            <w:pPr>
              <w:spacing w:before="80" w:after="80" w:line="200" w:lineRule="exact"/>
              <w:rPr>
                <w:rFonts w:eastAsia="Times New Roman"/>
                <w:i/>
                <w:sz w:val="16"/>
                <w:szCs w:val="24"/>
                <w:lang w:val="en-US"/>
              </w:rPr>
            </w:pPr>
            <w:r w:rsidRPr="00DE4CCA">
              <w:rPr>
                <w:rFonts w:eastAsia="Times New Roman"/>
                <w:i/>
                <w:sz w:val="16"/>
                <w:szCs w:val="24"/>
                <w:lang w:val="en-US"/>
              </w:rPr>
              <w:t>Table: Number of Roma and Egyptian students at all levels of education in the period from 2016 to 2020</w:t>
            </w:r>
          </w:p>
        </w:tc>
      </w:tr>
      <w:tr w:rsidR="00DE4CCA" w:rsidRPr="00DE4CCA" w:rsidTr="004135BE">
        <w:tc>
          <w:tcPr>
            <w:tcW w:w="1214" w:type="dxa"/>
            <w:tcBorders>
              <w:top w:val="single" w:sz="12" w:space="0" w:color="auto"/>
            </w:tcBorders>
            <w:shd w:val="clear" w:color="auto" w:fill="auto"/>
            <w:hideMark/>
          </w:tcPr>
          <w:p w:rsidR="00DE4CCA" w:rsidRPr="00DE4CCA" w:rsidRDefault="00DE4CCA" w:rsidP="00DE4CCA">
            <w:pPr>
              <w:spacing w:before="40" w:after="40" w:line="220" w:lineRule="exact"/>
              <w:rPr>
                <w:rFonts w:eastAsia="Times New Roman"/>
                <w:sz w:val="18"/>
                <w:szCs w:val="24"/>
                <w:lang w:val="en-US"/>
              </w:rPr>
            </w:pPr>
            <w:r w:rsidRPr="00DE4CCA">
              <w:rPr>
                <w:rFonts w:eastAsia="Times New Roman"/>
                <w:sz w:val="18"/>
                <w:szCs w:val="24"/>
                <w:lang w:val="en-US"/>
              </w:rPr>
              <w:t>School year</w:t>
            </w:r>
          </w:p>
        </w:tc>
        <w:tc>
          <w:tcPr>
            <w:tcW w:w="1241"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2015/16</w:t>
            </w:r>
          </w:p>
        </w:tc>
        <w:tc>
          <w:tcPr>
            <w:tcW w:w="735"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2016/17</w:t>
            </w:r>
          </w:p>
        </w:tc>
        <w:tc>
          <w:tcPr>
            <w:tcW w:w="1156"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2017/18</w:t>
            </w:r>
          </w:p>
        </w:tc>
        <w:tc>
          <w:tcPr>
            <w:tcW w:w="975"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2018/19</w:t>
            </w:r>
          </w:p>
        </w:tc>
        <w:tc>
          <w:tcPr>
            <w:tcW w:w="795"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2019/20</w:t>
            </w:r>
          </w:p>
        </w:tc>
        <w:tc>
          <w:tcPr>
            <w:tcW w:w="1254" w:type="dxa"/>
            <w:tcBorders>
              <w:top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2020/21</w:t>
            </w:r>
          </w:p>
        </w:tc>
      </w:tr>
      <w:tr w:rsidR="00DE4CCA" w:rsidRPr="00DE4CCA" w:rsidTr="004135BE">
        <w:tc>
          <w:tcPr>
            <w:tcW w:w="1214" w:type="dxa"/>
            <w:shd w:val="clear" w:color="auto" w:fill="auto"/>
            <w:hideMark/>
          </w:tcPr>
          <w:p w:rsidR="00DE4CCA" w:rsidRPr="00DE4CCA" w:rsidRDefault="00DE4CCA" w:rsidP="00DE4CCA">
            <w:pPr>
              <w:spacing w:before="40" w:after="40" w:line="220" w:lineRule="exact"/>
              <w:rPr>
                <w:rFonts w:eastAsia="Times New Roman"/>
                <w:sz w:val="18"/>
                <w:szCs w:val="24"/>
                <w:lang w:val="en-US"/>
              </w:rPr>
            </w:pPr>
            <w:r w:rsidRPr="00DE4CCA">
              <w:rPr>
                <w:rFonts w:eastAsia="Times New Roman"/>
                <w:sz w:val="18"/>
                <w:szCs w:val="24"/>
                <w:lang w:val="en-US"/>
              </w:rPr>
              <w:t>Preschool education</w:t>
            </w:r>
          </w:p>
        </w:tc>
        <w:tc>
          <w:tcPr>
            <w:tcW w:w="1241"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224</w:t>
            </w:r>
          </w:p>
        </w:tc>
        <w:tc>
          <w:tcPr>
            <w:tcW w:w="735" w:type="dxa"/>
            <w:shd w:val="clear" w:color="auto" w:fill="auto"/>
          </w:tcPr>
          <w:p w:rsidR="00DE4CCA" w:rsidRPr="00DE4CCA" w:rsidRDefault="00DE4CCA" w:rsidP="00DE4CCA">
            <w:pPr>
              <w:spacing w:before="40" w:after="40" w:line="220" w:lineRule="exact"/>
              <w:rPr>
                <w:rFonts w:eastAsia="Calibri"/>
                <w:sz w:val="18"/>
                <w:szCs w:val="24"/>
                <w:lang w:val="en-GB"/>
              </w:rPr>
            </w:pPr>
          </w:p>
        </w:tc>
        <w:tc>
          <w:tcPr>
            <w:tcW w:w="1156"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190</w:t>
            </w:r>
          </w:p>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(113 M, 77 F)</w:t>
            </w:r>
          </w:p>
        </w:tc>
        <w:tc>
          <w:tcPr>
            <w:tcW w:w="97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191</w:t>
            </w:r>
          </w:p>
        </w:tc>
        <w:tc>
          <w:tcPr>
            <w:tcW w:w="79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208</w:t>
            </w:r>
          </w:p>
        </w:tc>
        <w:tc>
          <w:tcPr>
            <w:tcW w:w="1254"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224 (118 F)</w:t>
            </w:r>
          </w:p>
        </w:tc>
      </w:tr>
      <w:tr w:rsidR="00DE4CCA" w:rsidRPr="00DE4CCA" w:rsidTr="004135BE">
        <w:tc>
          <w:tcPr>
            <w:tcW w:w="1214" w:type="dxa"/>
            <w:shd w:val="clear" w:color="auto" w:fill="auto"/>
            <w:hideMark/>
          </w:tcPr>
          <w:p w:rsidR="00DE4CCA" w:rsidRPr="00DE4CCA" w:rsidRDefault="00DE4CCA" w:rsidP="00DE4CCA">
            <w:pPr>
              <w:spacing w:before="40" w:after="40" w:line="220" w:lineRule="exact"/>
              <w:rPr>
                <w:rFonts w:eastAsia="Times New Roman"/>
                <w:sz w:val="18"/>
                <w:szCs w:val="24"/>
                <w:lang w:val="en-US"/>
              </w:rPr>
            </w:pPr>
            <w:r w:rsidRPr="00DE4CCA">
              <w:rPr>
                <w:rFonts w:eastAsia="Times New Roman"/>
                <w:sz w:val="18"/>
                <w:szCs w:val="24"/>
                <w:lang w:val="en-US"/>
              </w:rPr>
              <w:t>Primary education</w:t>
            </w:r>
            <w:r w:rsidRPr="00DE4CCA">
              <w:rPr>
                <w:rFonts w:eastAsia="Times New Roman"/>
                <w:sz w:val="18"/>
                <w:szCs w:val="24"/>
                <w:lang w:val="en-US"/>
              </w:rPr>
              <w:tab/>
            </w:r>
          </w:p>
        </w:tc>
        <w:tc>
          <w:tcPr>
            <w:tcW w:w="1241"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1,438</w:t>
            </w:r>
          </w:p>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(772 M, 666 F)</w:t>
            </w:r>
          </w:p>
        </w:tc>
        <w:tc>
          <w:tcPr>
            <w:tcW w:w="73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1617</w:t>
            </w:r>
          </w:p>
        </w:tc>
        <w:tc>
          <w:tcPr>
            <w:tcW w:w="1156"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1,860</w:t>
            </w:r>
          </w:p>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(998 M, 862 F)</w:t>
            </w:r>
          </w:p>
        </w:tc>
        <w:tc>
          <w:tcPr>
            <w:tcW w:w="97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1793</w:t>
            </w:r>
          </w:p>
        </w:tc>
        <w:tc>
          <w:tcPr>
            <w:tcW w:w="79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1830</w:t>
            </w:r>
          </w:p>
        </w:tc>
        <w:tc>
          <w:tcPr>
            <w:tcW w:w="1254"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1,793 (864 F)</w:t>
            </w:r>
          </w:p>
        </w:tc>
      </w:tr>
      <w:tr w:rsidR="00DE4CCA" w:rsidRPr="00DE4CCA" w:rsidTr="004135BE">
        <w:tc>
          <w:tcPr>
            <w:tcW w:w="1214" w:type="dxa"/>
            <w:shd w:val="clear" w:color="auto" w:fill="auto"/>
            <w:hideMark/>
          </w:tcPr>
          <w:p w:rsidR="00DE4CCA" w:rsidRPr="00DE4CCA" w:rsidRDefault="00DE4CCA" w:rsidP="00DE4CCA">
            <w:pPr>
              <w:spacing w:before="40" w:after="40" w:line="220" w:lineRule="exact"/>
              <w:rPr>
                <w:rFonts w:eastAsia="Times New Roman"/>
                <w:sz w:val="18"/>
                <w:szCs w:val="24"/>
                <w:lang w:val="en-US"/>
              </w:rPr>
            </w:pPr>
            <w:r w:rsidRPr="00DE4CCA">
              <w:rPr>
                <w:rFonts w:eastAsia="Times New Roman"/>
                <w:sz w:val="18"/>
                <w:szCs w:val="24"/>
                <w:lang w:val="en-US"/>
              </w:rPr>
              <w:t>Secondary school</w:t>
            </w:r>
            <w:r w:rsidRPr="00DE4CCA">
              <w:rPr>
                <w:rFonts w:eastAsia="Times New Roman"/>
                <w:sz w:val="18"/>
                <w:szCs w:val="24"/>
                <w:lang w:val="en-US"/>
              </w:rPr>
              <w:tab/>
            </w:r>
          </w:p>
        </w:tc>
        <w:tc>
          <w:tcPr>
            <w:tcW w:w="1241"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99 (49 F)</w:t>
            </w:r>
          </w:p>
        </w:tc>
        <w:tc>
          <w:tcPr>
            <w:tcW w:w="73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112</w:t>
            </w:r>
          </w:p>
        </w:tc>
        <w:tc>
          <w:tcPr>
            <w:tcW w:w="1156"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142</w:t>
            </w:r>
          </w:p>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(79 M, 63 F)</w:t>
            </w:r>
          </w:p>
        </w:tc>
        <w:tc>
          <w:tcPr>
            <w:tcW w:w="97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137 (62 F)</w:t>
            </w:r>
          </w:p>
        </w:tc>
        <w:tc>
          <w:tcPr>
            <w:tcW w:w="795"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142</w:t>
            </w:r>
          </w:p>
        </w:tc>
        <w:tc>
          <w:tcPr>
            <w:tcW w:w="1254" w:type="dxa"/>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174 (73 F)</w:t>
            </w:r>
          </w:p>
        </w:tc>
      </w:tr>
      <w:tr w:rsidR="00DE4CCA" w:rsidRPr="00DE4CCA" w:rsidTr="004135BE">
        <w:tc>
          <w:tcPr>
            <w:tcW w:w="1214" w:type="dxa"/>
            <w:tcBorders>
              <w:bottom w:val="single" w:sz="12" w:space="0" w:color="auto"/>
            </w:tcBorders>
            <w:shd w:val="clear" w:color="auto" w:fill="auto"/>
            <w:hideMark/>
          </w:tcPr>
          <w:p w:rsidR="00DE4CCA" w:rsidRPr="00DE4CCA" w:rsidRDefault="00DE4CCA" w:rsidP="00DE4CCA">
            <w:pPr>
              <w:spacing w:before="40" w:after="40" w:line="220" w:lineRule="exact"/>
              <w:rPr>
                <w:rFonts w:eastAsia="Times New Roman"/>
                <w:sz w:val="18"/>
                <w:szCs w:val="24"/>
                <w:lang w:val="en-US"/>
              </w:rPr>
            </w:pPr>
            <w:r w:rsidRPr="00DE4CCA">
              <w:rPr>
                <w:rFonts w:eastAsia="Times New Roman"/>
                <w:sz w:val="18"/>
                <w:szCs w:val="24"/>
                <w:lang w:val="en-US"/>
              </w:rPr>
              <w:t>Higher education</w:t>
            </w:r>
          </w:p>
        </w:tc>
        <w:tc>
          <w:tcPr>
            <w:tcW w:w="1241" w:type="dxa"/>
            <w:tcBorders>
              <w:bottom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w:t>
            </w:r>
          </w:p>
        </w:tc>
        <w:tc>
          <w:tcPr>
            <w:tcW w:w="735" w:type="dxa"/>
            <w:tcBorders>
              <w:bottom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20</w:t>
            </w:r>
          </w:p>
        </w:tc>
        <w:tc>
          <w:tcPr>
            <w:tcW w:w="1156" w:type="dxa"/>
            <w:tcBorders>
              <w:bottom w:val="single" w:sz="12" w:space="0" w:color="auto"/>
            </w:tcBorders>
            <w:shd w:val="clear" w:color="auto" w:fill="auto"/>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27</w:t>
            </w:r>
          </w:p>
          <w:p w:rsidR="00DE4CCA" w:rsidRPr="00DE4CCA" w:rsidRDefault="00DE4CCA" w:rsidP="00DE4CCA">
            <w:pPr>
              <w:spacing w:before="40" w:after="40" w:line="220" w:lineRule="exact"/>
              <w:rPr>
                <w:rFonts w:eastAsia="Calibri"/>
                <w:sz w:val="18"/>
                <w:szCs w:val="24"/>
                <w:lang w:val="en-GB"/>
              </w:rPr>
            </w:pPr>
          </w:p>
        </w:tc>
        <w:tc>
          <w:tcPr>
            <w:tcW w:w="975" w:type="dxa"/>
            <w:tcBorders>
              <w:bottom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14 (7 F)</w:t>
            </w:r>
          </w:p>
        </w:tc>
        <w:tc>
          <w:tcPr>
            <w:tcW w:w="795" w:type="dxa"/>
            <w:tcBorders>
              <w:bottom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13</w:t>
            </w:r>
          </w:p>
        </w:tc>
        <w:tc>
          <w:tcPr>
            <w:tcW w:w="1254" w:type="dxa"/>
            <w:tcBorders>
              <w:bottom w:val="single" w:sz="12" w:space="0" w:color="auto"/>
            </w:tcBorders>
            <w:shd w:val="clear" w:color="auto" w:fill="auto"/>
            <w:hideMark/>
          </w:tcPr>
          <w:p w:rsidR="00DE4CCA" w:rsidRPr="00DE4CCA" w:rsidRDefault="00DE4CCA" w:rsidP="00DE4CCA">
            <w:pPr>
              <w:spacing w:before="40" w:after="40" w:line="220" w:lineRule="exact"/>
              <w:rPr>
                <w:rFonts w:eastAsia="Calibri"/>
                <w:sz w:val="18"/>
                <w:szCs w:val="24"/>
                <w:lang w:val="en-GB"/>
              </w:rPr>
            </w:pPr>
            <w:r w:rsidRPr="00DE4CCA">
              <w:rPr>
                <w:rFonts w:eastAsia="Calibri"/>
                <w:sz w:val="18"/>
                <w:szCs w:val="24"/>
                <w:lang w:val="en-GB"/>
              </w:rPr>
              <w:t>17 (9 F)</w:t>
            </w:r>
          </w:p>
        </w:tc>
      </w:tr>
    </w:tbl>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18</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Data on the number of mentors (teachers) for RE students in primary and secondary schools</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number of mentors (teachers) for RE students in primary and secondary schools who were hired through a project implemented by the NGO “Young Roma” in cooperation with the MoESCS:</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In the period from January 2020 to June 2020, a total of 35 mentors were hired in primary schools for 130 RE students from grades 8 and 9. In the period from October 2020 to December 2020, a total of 47 mentors were hired in primary schools for 169 RE students from grades 8 and 9;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Within the same project, in the period January 2020 to June 2020, a total of 44 mentors were hired in secondary schools for 120 RE students. In the period from October 2020 to December 2020, a total of 48 mentors were hired for 157 secondary school students.</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19</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bookmarkStart w:id="12" w:name="_Hlk84430568"/>
      <w:r w:rsidRPr="00DE4CCA">
        <w:rPr>
          <w:b/>
          <w:lang w:val="en-US"/>
        </w:rPr>
        <w:tab/>
      </w:r>
      <w:r w:rsidRPr="00DE4CCA">
        <w:rPr>
          <w:b/>
          <w:lang w:val="en-US"/>
        </w:rPr>
        <w:tab/>
        <w:t>Data on the research “Employment of Roma and Egyptians in Montenegro”</w:t>
      </w:r>
      <w:bookmarkEnd w:id="12"/>
      <w:r w:rsidRPr="00DE4CCA">
        <w:rPr>
          <w:b/>
          <w:lang w:val="en-US"/>
        </w:rPr>
        <w:t xml:space="preserve"> </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Data are available at:</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Forms and degree of discrimination in Montenegro, CEDEM, 2020, available at the following link: </w:t>
      </w:r>
      <w:hyperlink r:id="rId16" w:history="1">
        <w:r w:rsidRPr="00DE4CCA">
          <w:rPr>
            <w:color w:val="0000FF"/>
            <w:lang w:val="en-US"/>
          </w:rPr>
          <w:t>https://www.cedem.me/publikacije/istrazivanja/ostala-istrazivanja/send/31-ostala-istrazivanja/1980-obrasci-i-stepen-diskriminacije-u-crnoj-gori-u-2020-godini</w:t>
        </w:r>
      </w:hyperlink>
      <w:r w:rsidRPr="00DE4CCA">
        <w:rPr>
          <w:color w:val="0000FF"/>
          <w:lang w:val="en-US"/>
        </w:rPr>
        <w:t>;</w:t>
      </w:r>
      <w:r w:rsidRPr="00DE4CCA">
        <w:rPr>
          <w:lang w:val="en-US"/>
        </w:rPr>
        <w:t xml:space="preserve"> </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Employment of Roma and Egyptians in Montenegro, CEDEM, EU Delegation to Montenegro, 2018, available at the following link: </w:t>
      </w:r>
      <w:hyperlink r:id="rId17" w:history="1">
        <w:r w:rsidRPr="00DE4CCA">
          <w:rPr>
            <w:color w:val="0000FF"/>
            <w:lang w:val="en-US"/>
          </w:rPr>
          <w:t>http://www.cedem.me/images/jDownloads_new/Zaposljavanje_Roma_MNE.pdf</w:t>
        </w:r>
      </w:hyperlink>
      <w:r w:rsidRPr="00DE4CCA">
        <w:rPr>
          <w:color w:val="0000FF"/>
          <w:lang w:val="en-US"/>
        </w:rPr>
        <w:t>.</w:t>
      </w:r>
    </w:p>
    <w:p w:rsidR="00DE4CCA" w:rsidRPr="00DE4CCA" w:rsidRDefault="00DE4CCA" w:rsidP="00DE4CCA">
      <w:pPr>
        <w:spacing w:after="200" w:line="276" w:lineRule="auto"/>
        <w:rPr>
          <w:color w:val="0000FF"/>
          <w:lang w:val="en-US"/>
        </w:rPr>
      </w:pPr>
      <w:r w:rsidRPr="00DE4CCA">
        <w:rPr>
          <w:rFonts w:eastAsia="Times New Roman"/>
          <w:color w:val="0000FF"/>
          <w:lang w:val="en-US"/>
        </w:rPr>
        <w:br w:type="page"/>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20</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Gender Equality Index</w:t>
      </w:r>
    </w:p>
    <w:p w:rsidR="00DE4CCA" w:rsidRPr="00DE4CCA" w:rsidRDefault="00DE4CCA" w:rsidP="00DE4CCA">
      <w:pPr>
        <w:keepNext/>
        <w:keepLines/>
        <w:tabs>
          <w:tab w:val="left" w:pos="1701"/>
          <w:tab w:val="left" w:pos="2268"/>
          <w:tab w:val="left" w:pos="2835"/>
        </w:tabs>
        <w:suppressAutoHyphens/>
        <w:kinsoku w:val="0"/>
        <w:overflowPunct w:val="0"/>
        <w:autoSpaceDE w:val="0"/>
        <w:autoSpaceDN w:val="0"/>
        <w:adjustRightInd w:val="0"/>
        <w:snapToGrid w:val="0"/>
        <w:ind w:left="1134"/>
        <w:outlineLvl w:val="0"/>
        <w:rPr>
          <w:lang w:val="en-US"/>
        </w:rPr>
      </w:pPr>
      <w:r w:rsidRPr="00DE4CCA">
        <w:rPr>
          <w:lang w:val="en-US"/>
        </w:rPr>
        <w:t>The index was presented on January 29, 2020, in Podgorica.</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4"/>
        <w:gridCol w:w="2553"/>
        <w:gridCol w:w="2263"/>
      </w:tblGrid>
      <w:tr w:rsidR="00DE4CCA" w:rsidRPr="00DE4CCA" w:rsidTr="004135BE">
        <w:trPr>
          <w:tblHeader/>
        </w:trPr>
        <w:tc>
          <w:tcPr>
            <w:tcW w:w="2554"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rPr>
                <w:i/>
                <w:sz w:val="16"/>
                <w:lang w:val="fr-FR"/>
              </w:rPr>
            </w:pPr>
            <w:r w:rsidRPr="00DE4CCA">
              <w:rPr>
                <w:i/>
                <w:sz w:val="16"/>
                <w:lang w:val="fr-FR"/>
              </w:rPr>
              <w:t>Montenegro</w:t>
            </w:r>
          </w:p>
        </w:tc>
        <w:tc>
          <w:tcPr>
            <w:tcW w:w="2553"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fr-FR"/>
              </w:rPr>
            </w:pPr>
            <w:r w:rsidRPr="00DE4CCA">
              <w:rPr>
                <w:i/>
                <w:sz w:val="16"/>
                <w:lang w:val="fr-FR"/>
              </w:rPr>
              <w:t>Montenegro</w:t>
            </w:r>
          </w:p>
        </w:tc>
        <w:tc>
          <w:tcPr>
            <w:tcW w:w="2263" w:type="dxa"/>
            <w:tcBorders>
              <w:top w:val="single" w:sz="4" w:space="0" w:color="auto"/>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80" w:after="80" w:line="200" w:lineRule="exact"/>
              <w:jc w:val="right"/>
              <w:rPr>
                <w:i/>
                <w:sz w:val="16"/>
                <w:lang w:val="fr-FR"/>
              </w:rPr>
            </w:pPr>
            <w:r w:rsidRPr="00DE4CCA">
              <w:rPr>
                <w:i/>
                <w:sz w:val="16"/>
                <w:lang w:val="fr-FR"/>
              </w:rPr>
              <w:t>EU average</w:t>
            </w:r>
          </w:p>
        </w:tc>
      </w:tr>
      <w:tr w:rsidR="00DE4CCA" w:rsidRPr="00DE4CCA" w:rsidTr="004135BE">
        <w:tc>
          <w:tcPr>
            <w:tcW w:w="2554" w:type="dxa"/>
            <w:tcBorders>
              <w:top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Work</w:t>
            </w:r>
          </w:p>
        </w:tc>
        <w:tc>
          <w:tcPr>
            <w:tcW w:w="2553"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65.2</w:t>
            </w:r>
          </w:p>
        </w:tc>
        <w:tc>
          <w:tcPr>
            <w:tcW w:w="2263" w:type="dxa"/>
            <w:tcBorders>
              <w:top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72</w:t>
            </w:r>
          </w:p>
        </w:tc>
      </w:tr>
      <w:tr w:rsidR="00DE4CCA" w:rsidRPr="00DE4CCA" w:rsidTr="004135BE">
        <w:tc>
          <w:tcPr>
            <w:tcW w:w="2554"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Money</w:t>
            </w:r>
          </w:p>
        </w:tc>
        <w:tc>
          <w:tcPr>
            <w:tcW w:w="255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59.7</w:t>
            </w:r>
          </w:p>
        </w:tc>
        <w:tc>
          <w:tcPr>
            <w:tcW w:w="226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80.4</w:t>
            </w:r>
          </w:p>
        </w:tc>
      </w:tr>
      <w:tr w:rsidR="00DE4CCA" w:rsidRPr="00DE4CCA" w:rsidTr="004135BE">
        <w:tc>
          <w:tcPr>
            <w:tcW w:w="2554"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Knowledge</w:t>
            </w:r>
          </w:p>
        </w:tc>
        <w:tc>
          <w:tcPr>
            <w:tcW w:w="255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55.1</w:t>
            </w:r>
          </w:p>
        </w:tc>
        <w:tc>
          <w:tcPr>
            <w:tcW w:w="226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63.5</w:t>
            </w:r>
          </w:p>
        </w:tc>
      </w:tr>
      <w:tr w:rsidR="00DE4CCA" w:rsidRPr="00DE4CCA" w:rsidTr="004135BE">
        <w:tc>
          <w:tcPr>
            <w:tcW w:w="2554"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Time</w:t>
            </w:r>
          </w:p>
        </w:tc>
        <w:tc>
          <w:tcPr>
            <w:tcW w:w="255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52.7</w:t>
            </w:r>
          </w:p>
        </w:tc>
        <w:tc>
          <w:tcPr>
            <w:tcW w:w="226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65.7</w:t>
            </w:r>
          </w:p>
        </w:tc>
      </w:tr>
      <w:tr w:rsidR="00DE4CCA" w:rsidRPr="00DE4CCA" w:rsidTr="004135BE">
        <w:tc>
          <w:tcPr>
            <w:tcW w:w="2554"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Power</w:t>
            </w:r>
          </w:p>
        </w:tc>
        <w:tc>
          <w:tcPr>
            <w:tcW w:w="255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35.1</w:t>
            </w:r>
          </w:p>
        </w:tc>
        <w:tc>
          <w:tcPr>
            <w:tcW w:w="226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51.9</w:t>
            </w:r>
          </w:p>
        </w:tc>
      </w:tr>
      <w:tr w:rsidR="00DE4CCA" w:rsidRPr="00DE4CCA" w:rsidTr="004135BE">
        <w:tc>
          <w:tcPr>
            <w:tcW w:w="2554" w:type="dxa"/>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Health</w:t>
            </w:r>
          </w:p>
        </w:tc>
        <w:tc>
          <w:tcPr>
            <w:tcW w:w="255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86.9</w:t>
            </w:r>
          </w:p>
        </w:tc>
        <w:tc>
          <w:tcPr>
            <w:tcW w:w="2263" w:type="dxa"/>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sz w:val="18"/>
                <w:lang w:val="fr-FR"/>
              </w:rPr>
            </w:pPr>
            <w:r w:rsidRPr="00DE4CCA">
              <w:rPr>
                <w:sz w:val="18"/>
                <w:lang w:val="fr-FR"/>
              </w:rPr>
              <w:t>88.1</w:t>
            </w:r>
          </w:p>
        </w:tc>
      </w:tr>
      <w:tr w:rsidR="00DE4CCA" w:rsidRPr="00DE4CCA" w:rsidTr="004135BE">
        <w:tc>
          <w:tcPr>
            <w:tcW w:w="2554" w:type="dxa"/>
            <w:tcBorders>
              <w:bottom w:val="single" w:sz="12" w:space="0" w:color="auto"/>
            </w:tcBorders>
            <w:shd w:val="clear" w:color="auto" w:fill="auto"/>
          </w:tcPr>
          <w:p w:rsidR="00DE4CCA" w:rsidRPr="00DE4CCA" w:rsidRDefault="00DE4CCA" w:rsidP="00DE4CCA">
            <w:pPr>
              <w:kinsoku w:val="0"/>
              <w:overflowPunct w:val="0"/>
              <w:autoSpaceDE w:val="0"/>
              <w:autoSpaceDN w:val="0"/>
              <w:adjustRightInd w:val="0"/>
              <w:snapToGrid w:val="0"/>
              <w:spacing w:before="40" w:after="40" w:line="220" w:lineRule="exact"/>
              <w:rPr>
                <w:b/>
                <w:i/>
                <w:sz w:val="18"/>
                <w:lang w:val="fr-FR"/>
              </w:rPr>
            </w:pPr>
            <w:r w:rsidRPr="00DE4CCA">
              <w:rPr>
                <w:b/>
                <w:i/>
                <w:sz w:val="18"/>
                <w:lang w:val="fr-FR"/>
              </w:rPr>
              <w:t>TOTAL value</w:t>
            </w:r>
          </w:p>
        </w:tc>
        <w:tc>
          <w:tcPr>
            <w:tcW w:w="2553"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sz w:val="18"/>
                <w:lang w:val="fr-FR"/>
              </w:rPr>
            </w:pPr>
            <w:r w:rsidRPr="00DE4CCA">
              <w:rPr>
                <w:b/>
                <w:sz w:val="18"/>
                <w:lang w:val="fr-FR"/>
              </w:rPr>
              <w:t>55</w:t>
            </w:r>
          </w:p>
        </w:tc>
        <w:tc>
          <w:tcPr>
            <w:tcW w:w="2263" w:type="dxa"/>
            <w:tcBorders>
              <w:bottom w:val="single" w:sz="12" w:space="0" w:color="auto"/>
            </w:tcBorders>
            <w:shd w:val="clear" w:color="auto" w:fill="auto"/>
            <w:vAlign w:val="bottom"/>
          </w:tcPr>
          <w:p w:rsidR="00DE4CCA" w:rsidRPr="00DE4CCA" w:rsidRDefault="00DE4CCA" w:rsidP="00DE4CCA">
            <w:pPr>
              <w:kinsoku w:val="0"/>
              <w:overflowPunct w:val="0"/>
              <w:autoSpaceDE w:val="0"/>
              <w:autoSpaceDN w:val="0"/>
              <w:adjustRightInd w:val="0"/>
              <w:snapToGrid w:val="0"/>
              <w:spacing w:before="40" w:after="40" w:line="220" w:lineRule="exact"/>
              <w:jc w:val="right"/>
              <w:rPr>
                <w:b/>
                <w:sz w:val="18"/>
                <w:lang w:val="fr-FR"/>
              </w:rPr>
            </w:pPr>
            <w:r w:rsidRPr="00DE4CCA">
              <w:rPr>
                <w:b/>
                <w:sz w:val="18"/>
                <w:lang w:val="fr-FR"/>
              </w:rPr>
              <w:t>67.4</w:t>
            </w:r>
          </w:p>
        </w:tc>
      </w:tr>
    </w:tbl>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
          <w:lang w:val="en-US"/>
        </w:rPr>
      </w:pPr>
      <w:r w:rsidRPr="00DE4CCA">
        <w:rPr>
          <w:i/>
          <w:lang w:val="en-US"/>
        </w:rPr>
        <w:t>Table 7: Comparison of the degrees of gender equality in Montenegro with the EU average, by individual domains in 2019. Source: MONSTAT</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DE4CCA">
        <w:rPr>
          <w:b/>
          <w:sz w:val="24"/>
          <w:lang w:val="en-US"/>
        </w:rPr>
        <w:tab/>
      </w:r>
      <w:r w:rsidRPr="00DE4CCA">
        <w:rPr>
          <w:b/>
          <w:sz w:val="24"/>
          <w:lang w:val="en-US"/>
        </w:rPr>
        <w:tab/>
        <w:t>Annex 21</w:t>
      </w:r>
    </w:p>
    <w:p w:rsidR="00DE4CCA" w:rsidRPr="00DE4CCA" w:rsidRDefault="00DE4CCA" w:rsidP="00DE4CC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rPr>
          <w:b/>
          <w:lang w:val="en-US"/>
        </w:rPr>
      </w:pPr>
      <w:r w:rsidRPr="00DE4CCA">
        <w:rPr>
          <w:b/>
          <w:lang w:val="en-US"/>
        </w:rPr>
        <w:tab/>
      </w:r>
      <w:r w:rsidRPr="00DE4CCA">
        <w:rPr>
          <w:b/>
          <w:lang w:val="en-US"/>
        </w:rPr>
        <w:tab/>
        <w:t>National Strategy for Sustainable Development and Gender Equality</w:t>
      </w:r>
    </w:p>
    <w:p w:rsidR="00DE4CCA" w:rsidRPr="00DE4CCA" w:rsidRDefault="00DE4CCA" w:rsidP="00DE4CC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US"/>
        </w:rPr>
      </w:pPr>
      <w:r w:rsidRPr="00DE4CCA">
        <w:rPr>
          <w:lang w:val="en-US"/>
        </w:rPr>
        <w:t>The Action Plan on Gender Equality and Climate Change identifies the following objectives:</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Improving regulations and public policies in the field of climate change (strategies and bylaws) by mainstreaming gender perspective, as well as climate change perspective into policies related to gender equality. This priority will be financed from the state budget, and it is expected that measures related to gender and climate change will be incorporated in the new Gender Equality Program 2021–2026. The entire process will be coordinated by the Ministry for Human and Minority Rights;</w:t>
      </w:r>
    </w:p>
    <w:p w:rsidR="00DE4CCA" w:rsidRPr="00DE4CCA" w:rsidRDefault="00DE4CCA" w:rsidP="00DE4CCA">
      <w:pPr>
        <w:numPr>
          <w:ilvl w:val="0"/>
          <w:numId w:val="1"/>
        </w:numPr>
        <w:tabs>
          <w:tab w:val="clear" w:pos="1701"/>
          <w:tab w:val="num" w:pos="2041"/>
        </w:tabs>
        <w:suppressAutoHyphens/>
        <w:kinsoku w:val="0"/>
        <w:overflowPunct w:val="0"/>
        <w:autoSpaceDE w:val="0"/>
        <w:autoSpaceDN w:val="0"/>
        <w:adjustRightInd w:val="0"/>
        <w:snapToGrid w:val="0"/>
        <w:spacing w:after="120" w:line="240" w:lineRule="atLeast"/>
        <w:ind w:left="2041" w:right="1134"/>
        <w:jc w:val="both"/>
        <w:rPr>
          <w:lang w:val="en-US"/>
        </w:rPr>
      </w:pPr>
      <w:r w:rsidRPr="00DE4CCA">
        <w:rPr>
          <w:lang w:val="en-US"/>
        </w:rPr>
        <w:t xml:space="preserve">Strengthening national institutions to engender the transparency framework in the field of climate change. This priority involves three steps – the first and second are expected to be financed through the CBIT, with the Ministry of Ecology, Spatial Planning and Urbanism playing a key role, as follows: </w:t>
      </w:r>
    </w:p>
    <w:p w:rsidR="00DE4CCA" w:rsidRPr="00DE4CCA" w:rsidRDefault="00DE4CCA" w:rsidP="00DE4CCA">
      <w:pPr>
        <w:suppressAutoHyphens/>
        <w:kinsoku w:val="0"/>
        <w:overflowPunct w:val="0"/>
        <w:autoSpaceDE w:val="0"/>
        <w:autoSpaceDN w:val="0"/>
        <w:adjustRightInd w:val="0"/>
        <w:snapToGrid w:val="0"/>
        <w:spacing w:after="120" w:line="240" w:lineRule="atLeast"/>
        <w:ind w:left="2268" w:right="1134"/>
        <w:jc w:val="both"/>
        <w:rPr>
          <w:lang w:val="en-US"/>
        </w:rPr>
      </w:pPr>
      <w:r w:rsidRPr="00DE4CCA">
        <w:rPr>
          <w:lang w:val="en-US"/>
        </w:rPr>
        <w:t>(a)</w:t>
      </w:r>
      <w:r w:rsidRPr="00DE4CCA">
        <w:rPr>
          <w:lang w:val="en-US"/>
        </w:rPr>
        <w:tab/>
        <w:t>Assessing the capacity of institutions to cross-link gender and climate change;</w:t>
      </w:r>
    </w:p>
    <w:p w:rsidR="00DE4CCA" w:rsidRPr="00DE4CCA" w:rsidRDefault="00DE4CCA" w:rsidP="00DE4CCA">
      <w:pPr>
        <w:suppressAutoHyphens/>
        <w:kinsoku w:val="0"/>
        <w:overflowPunct w:val="0"/>
        <w:autoSpaceDE w:val="0"/>
        <w:autoSpaceDN w:val="0"/>
        <w:adjustRightInd w:val="0"/>
        <w:snapToGrid w:val="0"/>
        <w:spacing w:after="120" w:line="240" w:lineRule="atLeast"/>
        <w:ind w:left="2268" w:right="1134"/>
        <w:jc w:val="both"/>
        <w:rPr>
          <w:lang w:val="en-US"/>
        </w:rPr>
      </w:pPr>
      <w:r w:rsidRPr="00DE4CCA">
        <w:rPr>
          <w:lang w:val="en-US"/>
        </w:rPr>
        <w:t>(b)</w:t>
      </w:r>
      <w:r w:rsidRPr="00DE4CCA">
        <w:rPr>
          <w:lang w:val="en-US"/>
        </w:rPr>
        <w:tab/>
        <w:t xml:space="preserve">A series of trainings on gender equality and climate change; </w:t>
      </w:r>
    </w:p>
    <w:p w:rsidR="00DE4CCA" w:rsidRPr="00DE4CCA" w:rsidRDefault="00DE4CCA" w:rsidP="00DE4CCA">
      <w:pPr>
        <w:suppressAutoHyphens/>
        <w:kinsoku w:val="0"/>
        <w:overflowPunct w:val="0"/>
        <w:autoSpaceDE w:val="0"/>
        <w:autoSpaceDN w:val="0"/>
        <w:adjustRightInd w:val="0"/>
        <w:snapToGrid w:val="0"/>
        <w:spacing w:after="120" w:line="240" w:lineRule="atLeast"/>
        <w:ind w:left="2268" w:right="1134"/>
        <w:jc w:val="both"/>
        <w:rPr>
          <w:lang w:val="en-US"/>
        </w:rPr>
      </w:pPr>
      <w:r w:rsidRPr="00DE4CCA">
        <w:rPr>
          <w:lang w:val="en-US"/>
        </w:rPr>
        <w:t>(c)</w:t>
      </w:r>
      <w:r w:rsidRPr="00DE4CCA">
        <w:rPr>
          <w:lang w:val="en-US"/>
        </w:rPr>
        <w:tab/>
        <w:t>Designation of a person who will be in charge of gender equality affairs in the Working Group on Climate Change within the National Council for Sustainable Development.</w:t>
      </w:r>
    </w:p>
    <w:p w:rsidR="00446FE5" w:rsidRPr="00770252" w:rsidRDefault="00DE4CCA" w:rsidP="00DE4CCA">
      <w:pPr>
        <w:rPr>
          <w:lang w:val="en-US"/>
        </w:rPr>
      </w:pPr>
      <w:r w:rsidRPr="00DE4CCA">
        <w:rPr>
          <w:rFonts w:eastAsia="Times New Roman"/>
          <w:lang w:val="en-US"/>
        </w:rPr>
        <w:tab/>
      </w:r>
      <w:bookmarkStart w:id="13" w:name="_GoBack"/>
      <w:bookmarkEnd w:id="13"/>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CCA" w:rsidRDefault="00DE4CCA" w:rsidP="00F95C08"/>
  </w:endnote>
  <w:endnote w:type="continuationSeparator" w:id="0">
    <w:p w:rsidR="00DE4CCA" w:rsidRPr="00AC3823" w:rsidRDefault="00DE4CCA" w:rsidP="00AC3823">
      <w:pPr>
        <w:pStyle w:val="Footer"/>
      </w:pPr>
    </w:p>
  </w:endnote>
  <w:endnote w:type="continuationNotice" w:id="1">
    <w:p w:rsidR="00DE4CCA" w:rsidRDefault="00DE4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CCA" w:rsidRPr="00AC3823" w:rsidRDefault="00DE4CCA" w:rsidP="00AC3823">
      <w:pPr>
        <w:pStyle w:val="Footer"/>
        <w:tabs>
          <w:tab w:val="right" w:pos="2155"/>
        </w:tabs>
        <w:spacing w:after="80" w:line="240" w:lineRule="atLeast"/>
        <w:ind w:left="680"/>
        <w:rPr>
          <w:u w:val="single"/>
        </w:rPr>
      </w:pPr>
      <w:r>
        <w:rPr>
          <w:u w:val="single"/>
        </w:rPr>
        <w:tab/>
      </w:r>
    </w:p>
  </w:footnote>
  <w:footnote w:type="continuationSeparator" w:id="0">
    <w:p w:rsidR="00DE4CCA" w:rsidRPr="00AC3823" w:rsidRDefault="00DE4CCA" w:rsidP="00AC3823">
      <w:pPr>
        <w:pStyle w:val="Footer"/>
        <w:tabs>
          <w:tab w:val="right" w:pos="2155"/>
        </w:tabs>
        <w:spacing w:after="80" w:line="240" w:lineRule="atLeast"/>
        <w:ind w:left="680"/>
        <w:rPr>
          <w:u w:val="single"/>
        </w:rPr>
      </w:pPr>
      <w:r>
        <w:rPr>
          <w:u w:val="single"/>
        </w:rPr>
        <w:tab/>
      </w:r>
    </w:p>
  </w:footnote>
  <w:footnote w:type="continuationNotice" w:id="1">
    <w:p w:rsidR="00DE4CCA" w:rsidRPr="00AC3823" w:rsidRDefault="00DE4CCA">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72AC9"/>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213D9B"/>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7963FA"/>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9210D6"/>
    <w:multiLevelType w:val="hybridMultilevel"/>
    <w:tmpl w:val="043CC5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200F1515"/>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3F769F"/>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66E635E"/>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4C7104"/>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C60136"/>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3F0F03"/>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E550B1"/>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1"/>
  </w:num>
  <w:num w:numId="16">
    <w:abstractNumId w:val="19"/>
  </w:num>
  <w:num w:numId="17">
    <w:abstractNumId w:val="16"/>
  </w:num>
  <w:num w:numId="18">
    <w:abstractNumId w:val="24"/>
  </w:num>
  <w:num w:numId="19">
    <w:abstractNumId w:val="21"/>
  </w:num>
  <w:num w:numId="20">
    <w:abstractNumId w:val="10"/>
  </w:num>
  <w:num w:numId="21">
    <w:abstractNumId w:val="12"/>
  </w:num>
  <w:num w:numId="22">
    <w:abstractNumId w:val="13"/>
  </w:num>
  <w:num w:numId="23">
    <w:abstractNumId w:val="22"/>
  </w:num>
  <w:num w:numId="24">
    <w:abstractNumId w:val="15"/>
  </w:num>
  <w:num w:numId="25">
    <w:abstractNumId w:val="2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CCA"/>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F789D"/>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E4CCA"/>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015402-6262-448E-8772-4F713D83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table" w:customStyle="1" w:styleId="TableGrid1">
    <w:name w:val="Table Grid1"/>
    <w:basedOn w:val="TableNormal"/>
    <w:next w:val="TableGrid"/>
    <w:uiPriority w:val="59"/>
    <w:rsid w:val="00DE4CC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Light11">
    <w:name w:val="Table Grid Light11"/>
    <w:basedOn w:val="TableNormal"/>
    <w:uiPriority w:val="40"/>
    <w:rsid w:val="00DE4CCA"/>
    <w:rPr>
      <w:rFonts w:asciiTheme="minorHAnsi" w:hAnsiTheme="minorHAnsi" w:cstheme="minorBidi"/>
      <w:sz w:val="22"/>
      <w:szCs w:val="22"/>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me/dokumenta/dfddd921&#8211;dff9&#8211;4b72&#8211;93e0&#8211;27f8710d7974" TargetMode="External"/><Relationship Id="rId13" Type="http://schemas.openxmlformats.org/officeDocument/2006/relationships/hyperlink" Target="http://www.monstat.org/uploads/files/MICS/FINAL%2520Crna%2520Gora%25202018%2520MICS6%2520SFR.pdf"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s://www.gov.me/dokumenta/ca88f0cd-cdee-4f50-bd50-2d2c667af45a" TargetMode="External"/><Relationship Id="rId12" Type="http://schemas.openxmlformats.org/officeDocument/2006/relationships/hyperlink" Target="https://www.cedem.me/component/jdownloads/send/31-ostala-istrazivanja/2003-analiza-medijskog-prisustva-teme-rodna-ravnopravnost-u-medijima" TargetMode="External"/><Relationship Id="rId17" Type="http://schemas.openxmlformats.org/officeDocument/2006/relationships/hyperlink" Target="http://www.cedem.me/images/jDownloads_new/Zaposljavanje_Roma_MNE.pdf" TargetMode="External"/><Relationship Id="rId2" Type="http://schemas.openxmlformats.org/officeDocument/2006/relationships/styles" Target="styles.xml"/><Relationship Id="rId16" Type="http://schemas.openxmlformats.org/officeDocument/2006/relationships/hyperlink" Target="https://www.cedem.me/publikacije/istrazivanja/ostala-istrazivanja/send/31-ostala-istrazivanja/1980-obrasci-i-stepen-diskriminacije-u-crnoj-gori-u-2020-godini"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3Fsa%3Dt%26rct%3Dj%26q%3D%26esrc%3Ds%26source%3Dweb%26cd%3D%26ved%3D2ahUKEwj1sMbdzo_yAhUAgP0HHZi_CJYQFjADegQICRAD%26url%3Dhttps%253A%252F%252Fuip.gov.me%252FResourceManager%252FFileDownload.aspx%253Frid%253D431834%2526rType%253D2%2526file%253DIzvjestaj%252520o%252520evaluaciji%252520Strategije%252520za%252520djelovanje%252520NVO%2525202018-2020.pdf%26usg%3DAOvVaw0nVjKs4o64RLzlFYB1fgqd" TargetMode="External"/><Relationship Id="rId5" Type="http://schemas.openxmlformats.org/officeDocument/2006/relationships/footnotes" Target="footnotes.xml"/><Relationship Id="rId15" Type="http://schemas.openxmlformats.org/officeDocument/2006/relationships/hyperlink" Target="http://monstat.org/uploads/files/publikacije/CG%20u%20brojkama%202020%20MNE.pdf" TargetMode="External"/><Relationship Id="rId10" Type="http://schemas.openxmlformats.org/officeDocument/2006/relationships/hyperlink" Target="https://www.google.com/url%3Fsa%3Dt%26rct%3Dj%26q%3D%26esrc%3Ds%26source%3Dweb%26cd%3D%26ved%3D2ahUKEwj1sMbdzo_yAhUAgP0HHZi_CJYQFjAFegQIDhAD%26url%3Dhttp%253A%252F%252Fnvoinfo.me%252Fwp-content%252Fuploads%252FStrategija-unaprje%2525C4%252591enja-podsticajnog-okru%2525C5%2525BEenja-za-djelovanje-NVO-2018-2020-1.pdf%26usg%3DAOvVaw069LoNxBtnrTlD-qe0nfW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avnepolitike.me/wp-content/uploads/2020/11/Metodologija-razvijanja-politika-draft3-preview-22SEP20.pdf" TargetMode="External"/><Relationship Id="rId14" Type="http://schemas.openxmlformats.org/officeDocument/2006/relationships/hyperlink" Target="http://www.monstat.org/userfiles/file/MICS/ENG/eng/Montenegro%2520(National%2520and%2520Roma%2520Settlements)%25202018%2520MICS%2520SFR_English_v4.pdf"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F45B4D-8D09-468A-9044-9472BB1E81EF}"/>
</file>

<file path=customXml/itemProps2.xml><?xml version="1.0" encoding="utf-8"?>
<ds:datastoreItem xmlns:ds="http://schemas.openxmlformats.org/officeDocument/2006/customXml" ds:itemID="{342A40A0-6786-4E16-A34A-9B7F10397513}"/>
</file>

<file path=customXml/itemProps3.xml><?xml version="1.0" encoding="utf-8"?>
<ds:datastoreItem xmlns:ds="http://schemas.openxmlformats.org/officeDocument/2006/customXml" ds:itemID="{DBA9A982-B337-4E6A-8154-D2DD2FE1F6EF}"/>
</file>

<file path=docProps/app.xml><?xml version="1.0" encoding="utf-8"?>
<Properties xmlns="http://schemas.openxmlformats.org/officeDocument/2006/extended-properties" xmlns:vt="http://schemas.openxmlformats.org/officeDocument/2006/docPropsVTypes">
  <Template>Normal.dotm</Template>
  <TotalTime>1</TotalTime>
  <Pages>15</Pages>
  <Words>4119</Words>
  <Characters>23483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SEERATHUN Jamila</dc:creator>
  <cp:keywords/>
  <dc:description/>
  <cp:lastModifiedBy>SEERATHUN Jamila</cp:lastModifiedBy>
  <cp:revision>1</cp:revision>
  <cp:lastPrinted>2014-05-14T10:59:00Z</cp:lastPrinted>
  <dcterms:created xsi:type="dcterms:W3CDTF">2021-12-01T11:30:00Z</dcterms:created>
  <dcterms:modified xsi:type="dcterms:W3CDTF">2021-12-01T11:31:00Z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