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8761C7" w14:textId="77777777" w:rsidR="008311DE" w:rsidRPr="00E936FC" w:rsidRDefault="006D34B9" w:rsidP="00102F43">
      <w:pPr>
        <w:spacing w:after="0" w:line="240" w:lineRule="auto"/>
        <w:jc w:val="center"/>
      </w:pPr>
      <w:r w:rsidRPr="00E936FC">
        <w:t>Adalah</w:t>
      </w:r>
      <w:r w:rsidR="00D030A4" w:rsidRPr="00E936FC">
        <w:t xml:space="preserve"> </w:t>
      </w:r>
      <w:r w:rsidR="00102F43" w:rsidRPr="00E936FC">
        <w:t>– The Legal Center for Arab Minority Rights in Israel</w:t>
      </w:r>
    </w:p>
    <w:p w14:paraId="47BEEDED" w14:textId="77777777" w:rsidR="00D030A4" w:rsidRPr="00E936FC" w:rsidRDefault="006D34B9" w:rsidP="00102F43">
      <w:pPr>
        <w:spacing w:after="0" w:line="240" w:lineRule="auto"/>
        <w:jc w:val="center"/>
        <w:rPr>
          <w:b/>
          <w:bCs/>
        </w:rPr>
      </w:pPr>
      <w:r w:rsidRPr="00E936FC">
        <w:rPr>
          <w:b/>
          <w:bCs/>
        </w:rPr>
        <w:t>Response to the</w:t>
      </w:r>
      <w:r w:rsidR="00D030A4" w:rsidRPr="00E936FC">
        <w:rPr>
          <w:b/>
          <w:bCs/>
        </w:rPr>
        <w:t xml:space="preserve"> State of Israel’s </w:t>
      </w:r>
      <w:r w:rsidR="00102F43" w:rsidRPr="00E936FC">
        <w:rPr>
          <w:b/>
          <w:bCs/>
        </w:rPr>
        <w:t>replies</w:t>
      </w:r>
      <w:r w:rsidR="00D030A4" w:rsidRPr="00E936FC">
        <w:rPr>
          <w:b/>
          <w:bCs/>
        </w:rPr>
        <w:t xml:space="preserve"> to the </w:t>
      </w:r>
      <w:r w:rsidR="00102F43" w:rsidRPr="00E936FC">
        <w:rPr>
          <w:b/>
          <w:bCs/>
        </w:rPr>
        <w:t>UN HRC’s</w:t>
      </w:r>
      <w:r w:rsidR="00D030A4" w:rsidRPr="00E936FC">
        <w:rPr>
          <w:b/>
          <w:bCs/>
        </w:rPr>
        <w:t xml:space="preserve"> List of Issues</w:t>
      </w:r>
    </w:p>
    <w:p w14:paraId="02BA86C0" w14:textId="601DB798" w:rsidR="00D030A4" w:rsidRPr="00E936FC" w:rsidRDefault="00FC7B0D" w:rsidP="00D030A4">
      <w:pPr>
        <w:spacing w:after="0" w:line="240" w:lineRule="auto"/>
        <w:jc w:val="center"/>
      </w:pPr>
      <w:r w:rsidRPr="00E936FC">
        <w:t>1</w:t>
      </w:r>
      <w:r w:rsidR="00661646">
        <w:t>6</w:t>
      </w:r>
      <w:r w:rsidRPr="00E936FC">
        <w:t xml:space="preserve"> September</w:t>
      </w:r>
      <w:r w:rsidR="00D030A4" w:rsidRPr="00E936FC">
        <w:t xml:space="preserve"> 2014</w:t>
      </w:r>
    </w:p>
    <w:p w14:paraId="48D02B92" w14:textId="77777777" w:rsidR="00D030A4" w:rsidRPr="00E936FC" w:rsidRDefault="00D030A4" w:rsidP="00D030A4">
      <w:pPr>
        <w:spacing w:after="0" w:line="240" w:lineRule="auto"/>
      </w:pPr>
    </w:p>
    <w:p w14:paraId="7524663E" w14:textId="1CD4B0B7" w:rsidR="00EC716C" w:rsidRDefault="00EC716C" w:rsidP="00B5058A">
      <w:pPr>
        <w:spacing w:after="0" w:line="240" w:lineRule="auto"/>
        <w:jc w:val="both"/>
      </w:pPr>
      <w:proofErr w:type="spellStart"/>
      <w:r w:rsidRPr="00E936FC">
        <w:t>Adalah</w:t>
      </w:r>
      <w:proofErr w:type="spellEnd"/>
      <w:r w:rsidR="006409A4">
        <w:t xml:space="preserve"> </w:t>
      </w:r>
      <w:r w:rsidRPr="00E936FC">
        <w:t xml:space="preserve">submits this report to the UN Human Rights Committee (UN HRC) regarding Israel’s lack of compliance with the International Covenant on Civil and Political Rights (ICCPR) concerning the rights of </w:t>
      </w:r>
      <w:r w:rsidRPr="00611C7E">
        <w:rPr>
          <w:b/>
          <w:bCs/>
        </w:rPr>
        <w:t xml:space="preserve">Palestinian Arab </w:t>
      </w:r>
      <w:r w:rsidR="00661646">
        <w:rPr>
          <w:b/>
          <w:bCs/>
        </w:rPr>
        <w:t xml:space="preserve">citizens of </w:t>
      </w:r>
      <w:r w:rsidRPr="00611C7E">
        <w:rPr>
          <w:b/>
          <w:bCs/>
        </w:rPr>
        <w:t>Israel</w:t>
      </w:r>
      <w:r w:rsidRPr="00E936FC">
        <w:t xml:space="preserve">, </w:t>
      </w:r>
      <w:r w:rsidR="00FC7B0D" w:rsidRPr="00E936FC">
        <w:t>about</w:t>
      </w:r>
      <w:r w:rsidRPr="00E936FC">
        <w:t xml:space="preserve"> 1.</w:t>
      </w:r>
      <w:r w:rsidR="00B734BB">
        <w:t>3</w:t>
      </w:r>
      <w:r w:rsidRPr="00E936FC">
        <w:t xml:space="preserve"> million</w:t>
      </w:r>
      <w:bookmarkStart w:id="0" w:name="_GoBack"/>
      <w:bookmarkEnd w:id="0"/>
      <w:r w:rsidRPr="00E936FC">
        <w:t xml:space="preserve"> </w:t>
      </w:r>
      <w:r w:rsidR="00661646">
        <w:t>people</w:t>
      </w:r>
      <w:r w:rsidR="00FC7B0D" w:rsidRPr="00E936FC">
        <w:t xml:space="preserve"> or</w:t>
      </w:r>
      <w:r w:rsidRPr="00E936FC">
        <w:t xml:space="preserve"> 20% of the </w:t>
      </w:r>
      <w:r w:rsidR="00FC7B0D" w:rsidRPr="00E936FC">
        <w:t>population</w:t>
      </w:r>
      <w:r w:rsidRPr="00E936FC">
        <w:t>.</w:t>
      </w:r>
      <w:r w:rsidR="005A43A3" w:rsidRPr="00E936FC">
        <w:t xml:space="preserve"> This </w:t>
      </w:r>
      <w:r w:rsidR="00B13978">
        <w:t xml:space="preserve">document </w:t>
      </w:r>
      <w:r w:rsidR="005A43A3" w:rsidRPr="00E936FC">
        <w:t xml:space="preserve">is the second </w:t>
      </w:r>
      <w:r w:rsidR="00B13978">
        <w:t xml:space="preserve">that </w:t>
      </w:r>
      <w:proofErr w:type="spellStart"/>
      <w:r w:rsidR="005A43A3" w:rsidRPr="00E936FC">
        <w:t>Adalah</w:t>
      </w:r>
      <w:proofErr w:type="spellEnd"/>
      <w:r w:rsidR="005A43A3" w:rsidRPr="00E936FC">
        <w:t xml:space="preserve"> has submitted for the HRC’s review of </w:t>
      </w:r>
      <w:r w:rsidR="005A43A3" w:rsidRPr="00B5058A">
        <w:t>Israel</w:t>
      </w:r>
      <w:r w:rsidR="00B5058A" w:rsidRPr="00B5058A">
        <w:t>;</w:t>
      </w:r>
      <w:r w:rsidR="005A43A3" w:rsidRPr="00B5058A">
        <w:t xml:space="preserve"> </w:t>
      </w:r>
      <w:r w:rsidR="00B5058A" w:rsidRPr="00F82E0B">
        <w:t>t</w:t>
      </w:r>
      <w:r w:rsidR="00B13978" w:rsidRPr="00B5058A">
        <w:t xml:space="preserve">he first report was submitted on </w:t>
      </w:r>
      <w:r w:rsidR="00B5058A" w:rsidRPr="00F82E0B">
        <w:t>11 June 2012</w:t>
      </w:r>
      <w:r w:rsidR="00B13978" w:rsidRPr="00B5058A">
        <w:t>.</w:t>
      </w:r>
      <w:r w:rsidR="00FD5532">
        <w:rPr>
          <w:rStyle w:val="FootnoteReference"/>
        </w:rPr>
        <w:footnoteReference w:id="1"/>
      </w:r>
      <w:r w:rsidR="00B13978" w:rsidRPr="00B5058A">
        <w:t xml:space="preserve"> </w:t>
      </w:r>
      <w:r w:rsidR="005A43A3" w:rsidRPr="00B5058A">
        <w:t>T</w:t>
      </w:r>
      <w:r w:rsidR="005A43A3" w:rsidRPr="00E936FC">
        <w:t xml:space="preserve">his report addresses </w:t>
      </w:r>
      <w:r w:rsidR="005A43A3" w:rsidRPr="00E936FC">
        <w:rPr>
          <w:b/>
          <w:bCs/>
        </w:rPr>
        <w:t>Questions</w:t>
      </w:r>
      <w:r w:rsidR="005A43A3" w:rsidRPr="00E936FC">
        <w:t xml:space="preserve"> </w:t>
      </w:r>
      <w:r w:rsidR="005A43A3" w:rsidRPr="00E936FC">
        <w:rPr>
          <w:b/>
          <w:bCs/>
        </w:rPr>
        <w:t>5, 6(b), 8(a), 8(c)</w:t>
      </w:r>
      <w:r w:rsidR="0034059F">
        <w:rPr>
          <w:b/>
          <w:bCs/>
        </w:rPr>
        <w:t xml:space="preserve">, </w:t>
      </w:r>
      <w:r w:rsidR="00CF42F7">
        <w:rPr>
          <w:b/>
          <w:bCs/>
        </w:rPr>
        <w:t>24</w:t>
      </w:r>
      <w:r w:rsidR="005A43A3" w:rsidRPr="00E936FC">
        <w:rPr>
          <w:b/>
          <w:bCs/>
        </w:rPr>
        <w:t xml:space="preserve"> </w:t>
      </w:r>
      <w:r w:rsidR="0034059F" w:rsidRPr="0034059F">
        <w:rPr>
          <w:b/>
          <w:bCs/>
        </w:rPr>
        <w:t>and 26(b)</w:t>
      </w:r>
      <w:r w:rsidR="0034059F">
        <w:t xml:space="preserve"> </w:t>
      </w:r>
      <w:r w:rsidR="005A43A3" w:rsidRPr="00E936FC">
        <w:t>of the List of Issues.</w:t>
      </w:r>
    </w:p>
    <w:p w14:paraId="3E42FDD7" w14:textId="77777777" w:rsidR="00B236C7" w:rsidRDefault="00B236C7" w:rsidP="0034059F">
      <w:pPr>
        <w:spacing w:after="0" w:line="240" w:lineRule="auto"/>
        <w:jc w:val="both"/>
      </w:pPr>
    </w:p>
    <w:p w14:paraId="21BBBDB1" w14:textId="1BA0EA41" w:rsidR="00F238FE" w:rsidRPr="004475E0" w:rsidRDefault="00CA6EC2" w:rsidP="00272C1A">
      <w:pPr>
        <w:spacing w:after="0" w:line="240" w:lineRule="auto"/>
        <w:jc w:val="both"/>
      </w:pPr>
      <w:r>
        <w:t>This report is being submitted in the aftermath of a 50-day military offensive by Israel on the Gaza Strip in the summer of 2014</w:t>
      </w:r>
      <w:r w:rsidR="00661646">
        <w:t xml:space="preserve">, which resulted in the killing of over </w:t>
      </w:r>
      <w:r w:rsidR="00661646" w:rsidRPr="004475E0">
        <w:t>2,100</w:t>
      </w:r>
      <w:r w:rsidR="00661646">
        <w:t xml:space="preserve"> Palestinians and the injury of </w:t>
      </w:r>
      <w:r w:rsidR="00661646" w:rsidRPr="004475E0">
        <w:t>10,000</w:t>
      </w:r>
      <w:r w:rsidR="00661646">
        <w:t>, the overwhelming majority of whom are civilians</w:t>
      </w:r>
      <w:r>
        <w:t>. Th</w:t>
      </w:r>
      <w:r w:rsidR="00661646">
        <w:t>e</w:t>
      </w:r>
      <w:r>
        <w:t xml:space="preserve"> war </w:t>
      </w:r>
      <w:r w:rsidR="00661646">
        <w:t xml:space="preserve">also </w:t>
      </w:r>
      <w:r>
        <w:t>had unprecedented effects on Palestinian citizens of Israel, including violations and threats to their human rights, dignity and security.</w:t>
      </w:r>
      <w:r w:rsidR="00324B47">
        <w:rPr>
          <w:rStyle w:val="FootnoteReference"/>
          <w:rFonts w:cs="Arial"/>
          <w:color w:val="222222"/>
          <w:shd w:val="clear" w:color="auto" w:fill="FFFFFF"/>
        </w:rPr>
        <w:footnoteReference w:id="2"/>
      </w:r>
      <w:r>
        <w:rPr>
          <w:rFonts w:cs="Arial"/>
          <w:color w:val="222222"/>
          <w:shd w:val="clear" w:color="auto" w:fill="FFFFFF"/>
        </w:rPr>
        <w:t xml:space="preserve"> </w:t>
      </w:r>
      <w:r w:rsidRPr="00CA6EC2">
        <w:rPr>
          <w:rFonts w:cs="Arial"/>
          <w:color w:val="222222"/>
          <w:shd w:val="clear" w:color="auto" w:fill="FFFFFF"/>
        </w:rPr>
        <w:t>Since early July</w:t>
      </w:r>
      <w:r>
        <w:rPr>
          <w:rFonts w:cs="Arial"/>
          <w:color w:val="222222"/>
          <w:shd w:val="clear" w:color="auto" w:fill="FFFFFF"/>
        </w:rPr>
        <w:t xml:space="preserve"> 2014</w:t>
      </w:r>
      <w:r w:rsidRPr="00CA6EC2">
        <w:rPr>
          <w:rFonts w:cs="Arial"/>
          <w:color w:val="222222"/>
          <w:shd w:val="clear" w:color="auto" w:fill="FFFFFF"/>
        </w:rPr>
        <w:t>, thousands of Palestinian citizens demonstrated in Arab towns and villages</w:t>
      </w:r>
      <w:r w:rsidR="00450B70">
        <w:rPr>
          <w:rFonts w:cs="Arial"/>
          <w:color w:val="222222"/>
          <w:shd w:val="clear" w:color="auto" w:fill="FFFFFF"/>
        </w:rPr>
        <w:t xml:space="preserve"> in Israel</w:t>
      </w:r>
      <w:r w:rsidRPr="00CA6EC2">
        <w:rPr>
          <w:rFonts w:cs="Arial"/>
          <w:color w:val="111111"/>
          <w:shd w:val="clear" w:color="auto" w:fill="FFFFFF"/>
        </w:rPr>
        <w:t>, and in mixed cities, in protest of Israel’s military attacks in the West Bank, the murder of Palestinian teenager Muhammad A</w:t>
      </w:r>
      <w:r>
        <w:rPr>
          <w:rFonts w:cs="Arial"/>
          <w:color w:val="111111"/>
          <w:shd w:val="clear" w:color="auto" w:fill="FFFFFF"/>
        </w:rPr>
        <w:t xml:space="preserve">bu </w:t>
      </w:r>
      <w:proofErr w:type="spellStart"/>
      <w:r>
        <w:rPr>
          <w:rFonts w:cs="Arial"/>
          <w:color w:val="111111"/>
          <w:shd w:val="clear" w:color="auto" w:fill="FFFFFF"/>
        </w:rPr>
        <w:t>Khdeir</w:t>
      </w:r>
      <w:proofErr w:type="spellEnd"/>
      <w:r>
        <w:rPr>
          <w:rFonts w:cs="Arial"/>
          <w:color w:val="111111"/>
          <w:shd w:val="clear" w:color="auto" w:fill="FFFFFF"/>
        </w:rPr>
        <w:t xml:space="preserve"> in East Jerusalem, the racist</w:t>
      </w:r>
      <w:r w:rsidRPr="00CA6EC2">
        <w:rPr>
          <w:rFonts w:cs="Arial"/>
          <w:color w:val="111111"/>
          <w:shd w:val="clear" w:color="auto" w:fill="FFFFFF"/>
        </w:rPr>
        <w:t xml:space="preserve"> incitement </w:t>
      </w:r>
      <w:r w:rsidR="00661646">
        <w:rPr>
          <w:rFonts w:cs="Arial"/>
          <w:color w:val="111111"/>
          <w:shd w:val="clear" w:color="auto" w:fill="FFFFFF"/>
        </w:rPr>
        <w:t xml:space="preserve">by </w:t>
      </w:r>
      <w:r w:rsidRPr="00CA6EC2">
        <w:rPr>
          <w:rFonts w:cs="Arial"/>
          <w:color w:val="111111"/>
          <w:shd w:val="clear" w:color="auto" w:fill="FFFFFF"/>
        </w:rPr>
        <w:t>Israeli officials and the public, and</w:t>
      </w:r>
      <w:r>
        <w:rPr>
          <w:rStyle w:val="apple-converted-space"/>
          <w:rFonts w:cs="Arial"/>
          <w:color w:val="111111"/>
          <w:shd w:val="clear" w:color="auto" w:fill="FFFFFF"/>
        </w:rPr>
        <w:t xml:space="preserve"> the war </w:t>
      </w:r>
      <w:r w:rsidRPr="00CA6EC2">
        <w:rPr>
          <w:rFonts w:cs="Arial"/>
          <w:color w:val="111111"/>
          <w:shd w:val="clear" w:color="auto" w:fill="FFFFFF"/>
        </w:rPr>
        <w:t xml:space="preserve">on Gaza. It is estimated that </w:t>
      </w:r>
      <w:r w:rsidR="00661646">
        <w:rPr>
          <w:rFonts w:cs="Arial"/>
          <w:color w:val="111111"/>
          <w:shd w:val="clear" w:color="auto" w:fill="FFFFFF"/>
        </w:rPr>
        <w:t xml:space="preserve">the Israeli police arrested </w:t>
      </w:r>
      <w:r>
        <w:rPr>
          <w:rFonts w:cs="Arial"/>
          <w:color w:val="111111"/>
          <w:shd w:val="clear" w:color="auto" w:fill="FFFFFF"/>
        </w:rPr>
        <w:t>up to</w:t>
      </w:r>
      <w:r w:rsidRPr="00CA6EC2">
        <w:rPr>
          <w:rFonts w:cs="Arial"/>
          <w:color w:val="111111"/>
          <w:shd w:val="clear" w:color="auto" w:fill="FFFFFF"/>
        </w:rPr>
        <w:t xml:space="preserve"> 1,500 </w:t>
      </w:r>
      <w:r w:rsidR="00E77C88">
        <w:rPr>
          <w:rFonts w:cs="Arial"/>
          <w:color w:val="111111"/>
          <w:shd w:val="clear" w:color="auto" w:fill="FFFFFF"/>
        </w:rPr>
        <w:t>people from Arab towns in Israel and occupied East Jerusalem.</w:t>
      </w:r>
      <w:r w:rsidR="004475E0">
        <w:rPr>
          <w:rFonts w:cs="Arial"/>
          <w:color w:val="111111"/>
          <w:shd w:val="clear" w:color="auto" w:fill="FFFFFF"/>
        </w:rPr>
        <w:t xml:space="preserve"> </w:t>
      </w:r>
      <w:r w:rsidRPr="00CA6EC2">
        <w:rPr>
          <w:rFonts w:cs="Arial"/>
          <w:color w:val="111111"/>
          <w:shd w:val="clear" w:color="auto" w:fill="FFFFFF"/>
        </w:rPr>
        <w:t>The Israeli police used clear double standard</w:t>
      </w:r>
      <w:r w:rsidR="00450B70">
        <w:rPr>
          <w:rFonts w:cs="Arial"/>
          <w:color w:val="111111"/>
          <w:shd w:val="clear" w:color="auto" w:fill="FFFFFF"/>
        </w:rPr>
        <w:t>s</w:t>
      </w:r>
      <w:r w:rsidRPr="00CA6EC2">
        <w:rPr>
          <w:rFonts w:cs="Arial"/>
          <w:color w:val="111111"/>
          <w:shd w:val="clear" w:color="auto" w:fill="FFFFFF"/>
        </w:rPr>
        <w:t xml:space="preserve"> in its treatment of demonstrators: whereas hundreds of Palestinian citizens </w:t>
      </w:r>
      <w:r w:rsidR="00E77C88">
        <w:rPr>
          <w:rFonts w:cs="Arial"/>
          <w:color w:val="111111"/>
          <w:shd w:val="clear" w:color="auto" w:fill="FFFFFF"/>
        </w:rPr>
        <w:t xml:space="preserve">of Israel were </w:t>
      </w:r>
      <w:r>
        <w:rPr>
          <w:rStyle w:val="apple-converted-space"/>
          <w:rFonts w:cs="Arial"/>
          <w:color w:val="111111"/>
          <w:shd w:val="clear" w:color="auto" w:fill="FFFFFF"/>
        </w:rPr>
        <w:t>arrested</w:t>
      </w:r>
      <w:r w:rsidRPr="00CA6EC2">
        <w:rPr>
          <w:rFonts w:cs="Arial"/>
          <w:color w:val="111111"/>
          <w:shd w:val="clear" w:color="auto" w:fill="FFFFFF"/>
        </w:rPr>
        <w:t xml:space="preserve">, very few if any Israeli Jewish right-wing protestors </w:t>
      </w:r>
      <w:r>
        <w:rPr>
          <w:rFonts w:cs="Arial"/>
          <w:color w:val="111111"/>
          <w:shd w:val="clear" w:color="auto" w:fill="FFFFFF"/>
        </w:rPr>
        <w:t xml:space="preserve">were arrested </w:t>
      </w:r>
      <w:r w:rsidRPr="00CA6EC2">
        <w:rPr>
          <w:rFonts w:cs="Arial"/>
          <w:color w:val="111111"/>
          <w:shd w:val="clear" w:color="auto" w:fill="FFFFFF"/>
        </w:rPr>
        <w:t>or detained.</w:t>
      </w:r>
      <w:r w:rsidR="0037134F">
        <w:rPr>
          <w:rStyle w:val="FootnoteReference"/>
          <w:rFonts w:cs="Arial"/>
          <w:color w:val="111111"/>
          <w:shd w:val="clear" w:color="auto" w:fill="FFFFFF"/>
        </w:rPr>
        <w:footnoteReference w:id="3"/>
      </w:r>
      <w:r w:rsidR="003C7AF9">
        <w:rPr>
          <w:rStyle w:val="apple-converted-space"/>
          <w:rFonts w:cs="Arial"/>
          <w:color w:val="111111"/>
          <w:shd w:val="clear" w:color="auto" w:fill="FFFFFF"/>
        </w:rPr>
        <w:t xml:space="preserve"> </w:t>
      </w:r>
      <w:r w:rsidR="003C7AF9" w:rsidRPr="003C7AF9">
        <w:rPr>
          <w:rFonts w:cs="Arial"/>
          <w:shd w:val="clear" w:color="auto" w:fill="FFFFFF"/>
        </w:rPr>
        <w:t xml:space="preserve">Palestinian citizens </w:t>
      </w:r>
      <w:r w:rsidR="00661646">
        <w:rPr>
          <w:rFonts w:cs="Arial"/>
          <w:shd w:val="clear" w:color="auto" w:fill="FFFFFF"/>
        </w:rPr>
        <w:t xml:space="preserve">were also </w:t>
      </w:r>
      <w:r w:rsidR="003C7AF9" w:rsidRPr="003C7AF9">
        <w:rPr>
          <w:rFonts w:cs="Arial"/>
          <w:shd w:val="clear" w:color="auto" w:fill="FFFFFF"/>
        </w:rPr>
        <w:t xml:space="preserve">given warnings or fired from their jobs, and called before university disciplinary committees for expressing their views on Facebook against the </w:t>
      </w:r>
      <w:r w:rsidR="00661646">
        <w:rPr>
          <w:rFonts w:cs="Arial"/>
          <w:shd w:val="clear" w:color="auto" w:fill="FFFFFF"/>
        </w:rPr>
        <w:t>W</w:t>
      </w:r>
      <w:r w:rsidR="003C7AF9" w:rsidRPr="003C7AF9">
        <w:rPr>
          <w:rFonts w:cs="Arial"/>
          <w:shd w:val="clear" w:color="auto" w:fill="FFFFFF"/>
        </w:rPr>
        <w:t>ar on Gaza.</w:t>
      </w:r>
      <w:r w:rsidR="003C7AF9">
        <w:rPr>
          <w:rFonts w:cs="Arial"/>
          <w:color w:val="111111"/>
          <w:shd w:val="clear" w:color="auto" w:fill="FFFFFF"/>
        </w:rPr>
        <w:t xml:space="preserve"> </w:t>
      </w:r>
      <w:r w:rsidRPr="00CA6EC2">
        <w:rPr>
          <w:rFonts w:cs="Arial"/>
          <w:color w:val="111111"/>
          <w:shd w:val="clear" w:color="auto" w:fill="FFFFFF"/>
        </w:rPr>
        <w:t xml:space="preserve">Israeli Jewish citizens did </w:t>
      </w:r>
      <w:r w:rsidR="00450B70">
        <w:rPr>
          <w:rFonts w:cs="Arial"/>
          <w:color w:val="111111"/>
          <w:shd w:val="clear" w:color="auto" w:fill="FFFFFF"/>
        </w:rPr>
        <w:t xml:space="preserve">not </w:t>
      </w:r>
      <w:r w:rsidRPr="00CA6EC2">
        <w:rPr>
          <w:rFonts w:cs="Arial"/>
          <w:color w:val="111111"/>
          <w:shd w:val="clear" w:color="auto" w:fill="FFFFFF"/>
        </w:rPr>
        <w:t>face this treatment, despite an intense wave of hate speech and incitement targeted against Arab</w:t>
      </w:r>
      <w:r w:rsidR="00661646">
        <w:rPr>
          <w:rFonts w:cs="Arial"/>
          <w:color w:val="111111"/>
          <w:shd w:val="clear" w:color="auto" w:fill="FFFFFF"/>
        </w:rPr>
        <w:t xml:space="preserve"> citizens</w:t>
      </w:r>
      <w:r w:rsidRPr="00CA6EC2">
        <w:rPr>
          <w:rFonts w:cs="Arial"/>
          <w:color w:val="111111"/>
          <w:shd w:val="clear" w:color="auto" w:fill="FFFFFF"/>
        </w:rPr>
        <w:t xml:space="preserve">, including groups that identified and demanded the firing of Arab employees </w:t>
      </w:r>
      <w:r>
        <w:rPr>
          <w:rFonts w:cs="Arial"/>
          <w:color w:val="111111"/>
          <w:shd w:val="clear" w:color="auto" w:fill="FFFFFF"/>
        </w:rPr>
        <w:t xml:space="preserve">or </w:t>
      </w:r>
      <w:r w:rsidR="00661646">
        <w:rPr>
          <w:rFonts w:cs="Arial"/>
          <w:color w:val="111111"/>
          <w:shd w:val="clear" w:color="auto" w:fill="FFFFFF"/>
        </w:rPr>
        <w:t xml:space="preserve">that </w:t>
      </w:r>
      <w:r>
        <w:rPr>
          <w:rFonts w:cs="Arial"/>
          <w:color w:val="111111"/>
          <w:shd w:val="clear" w:color="auto" w:fill="FFFFFF"/>
        </w:rPr>
        <w:t>post</w:t>
      </w:r>
      <w:r w:rsidR="00661646">
        <w:rPr>
          <w:rFonts w:cs="Arial"/>
          <w:color w:val="111111"/>
          <w:shd w:val="clear" w:color="auto" w:fill="FFFFFF"/>
        </w:rPr>
        <w:t>ed</w:t>
      </w:r>
      <w:r>
        <w:rPr>
          <w:rFonts w:cs="Arial"/>
          <w:color w:val="111111"/>
          <w:shd w:val="clear" w:color="auto" w:fill="FFFFFF"/>
        </w:rPr>
        <w:t xml:space="preserve"> racist</w:t>
      </w:r>
      <w:r w:rsidR="00661646">
        <w:rPr>
          <w:rFonts w:cs="Arial"/>
          <w:color w:val="111111"/>
          <w:shd w:val="clear" w:color="auto" w:fill="FFFFFF"/>
        </w:rPr>
        <w:t>, hate</w:t>
      </w:r>
      <w:r w:rsidRPr="00CA6EC2">
        <w:rPr>
          <w:rFonts w:cs="Arial"/>
          <w:color w:val="111111"/>
          <w:shd w:val="clear" w:color="auto" w:fill="FFFFFF"/>
        </w:rPr>
        <w:t xml:space="preserve"> speech.</w:t>
      </w:r>
      <w:r w:rsidR="00272C1A">
        <w:rPr>
          <w:rStyle w:val="FootnoteReference"/>
          <w:rFonts w:cs="Arial"/>
          <w:color w:val="111111"/>
          <w:shd w:val="clear" w:color="auto" w:fill="FFFFFF"/>
        </w:rPr>
        <w:footnoteReference w:id="4"/>
      </w:r>
    </w:p>
    <w:p w14:paraId="283E9924" w14:textId="77777777" w:rsidR="00876297" w:rsidRPr="004475E0" w:rsidRDefault="00876297" w:rsidP="00272C1A">
      <w:pPr>
        <w:spacing w:after="0" w:line="240" w:lineRule="auto"/>
        <w:jc w:val="both"/>
      </w:pPr>
    </w:p>
    <w:p w14:paraId="0485BD5E" w14:textId="19BE76F9" w:rsidR="00876297" w:rsidRPr="004475E0" w:rsidRDefault="00876297" w:rsidP="00272C1A">
      <w:pPr>
        <w:spacing w:after="0" w:line="240" w:lineRule="auto"/>
        <w:jc w:val="both"/>
        <w:rPr>
          <w:b/>
          <w:bCs/>
        </w:rPr>
      </w:pPr>
      <w:r w:rsidRPr="004475E0">
        <w:rPr>
          <w:b/>
          <w:bCs/>
        </w:rPr>
        <w:t>Summary of main points:</w:t>
      </w:r>
    </w:p>
    <w:p w14:paraId="3AE6EE4C" w14:textId="77777777" w:rsidR="00876297" w:rsidRDefault="00876297" w:rsidP="00272C1A">
      <w:pPr>
        <w:spacing w:after="0" w:line="240" w:lineRule="auto"/>
        <w:jc w:val="both"/>
      </w:pPr>
    </w:p>
    <w:p w14:paraId="4850AA28" w14:textId="52AA8ADB" w:rsidR="00876297" w:rsidRDefault="00876297" w:rsidP="004475E0">
      <w:pPr>
        <w:pStyle w:val="ListParagraph"/>
        <w:numPr>
          <w:ilvl w:val="0"/>
          <w:numId w:val="7"/>
        </w:numPr>
        <w:spacing w:after="0" w:line="240" w:lineRule="auto"/>
        <w:jc w:val="both"/>
      </w:pPr>
      <w:r>
        <w:t xml:space="preserve">Due to the absence of a constitutional guarantee to the right to equality in Israeli law, the Israeli Knesset </w:t>
      </w:r>
      <w:r w:rsidR="00661646">
        <w:t xml:space="preserve">enacts </w:t>
      </w:r>
      <w:r w:rsidRPr="004475E0">
        <w:rPr>
          <w:b/>
          <w:bCs/>
        </w:rPr>
        <w:t>le</w:t>
      </w:r>
      <w:r w:rsidR="00FE7B16" w:rsidRPr="004475E0">
        <w:rPr>
          <w:b/>
          <w:bCs/>
        </w:rPr>
        <w:t>gislation that discriminate</w:t>
      </w:r>
      <w:r w:rsidR="00D2260A" w:rsidRPr="004475E0">
        <w:rPr>
          <w:b/>
          <w:bCs/>
        </w:rPr>
        <w:t>s</w:t>
      </w:r>
      <w:r w:rsidRPr="004475E0">
        <w:rPr>
          <w:b/>
          <w:bCs/>
        </w:rPr>
        <w:t xml:space="preserve"> against the Palestinian minority</w:t>
      </w:r>
      <w:r>
        <w:t>;</w:t>
      </w:r>
      <w:r w:rsidR="00FE7B16">
        <w:t xml:space="preserve"> many of these laws </w:t>
      </w:r>
      <w:r w:rsidR="00661646">
        <w:t xml:space="preserve">have also been upheld by the Supreme Court; </w:t>
      </w:r>
    </w:p>
    <w:p w14:paraId="23B285A4" w14:textId="739DD3EA" w:rsidR="00876297" w:rsidRDefault="00661646" w:rsidP="004475E0">
      <w:pPr>
        <w:pStyle w:val="ListParagraph"/>
        <w:numPr>
          <w:ilvl w:val="0"/>
          <w:numId w:val="7"/>
        </w:numPr>
        <w:spacing w:after="0" w:line="240" w:lineRule="auto"/>
        <w:jc w:val="both"/>
      </w:pPr>
      <w:r>
        <w:t xml:space="preserve">The </w:t>
      </w:r>
      <w:r w:rsidR="006C16D1">
        <w:t>Israel</w:t>
      </w:r>
      <w:r>
        <w:t>i government</w:t>
      </w:r>
      <w:r w:rsidR="006C16D1">
        <w:t xml:space="preserve"> continues to carry out </w:t>
      </w:r>
      <w:r w:rsidR="006C16D1" w:rsidRPr="004475E0">
        <w:rPr>
          <w:b/>
          <w:bCs/>
        </w:rPr>
        <w:t>discriminatory policies in land, planning and housing</w:t>
      </w:r>
      <w:r w:rsidR="006C16D1">
        <w:t xml:space="preserve"> that allocate more </w:t>
      </w:r>
      <w:r>
        <w:t xml:space="preserve">state </w:t>
      </w:r>
      <w:r w:rsidR="006C16D1">
        <w:t xml:space="preserve">resources and benefits to Israeli Jewish citizens, </w:t>
      </w:r>
      <w:r>
        <w:t xml:space="preserve">and </w:t>
      </w:r>
      <w:r w:rsidR="006C16D1">
        <w:t xml:space="preserve">illegal </w:t>
      </w:r>
      <w:r w:rsidR="006C16D1">
        <w:lastRenderedPageBreak/>
        <w:t>Jewish settlements in the Occupied Territories, while greatly marginalizing Palestinian citizens</w:t>
      </w:r>
      <w:r w:rsidR="00885228">
        <w:t xml:space="preserve"> in Israel</w:t>
      </w:r>
      <w:r w:rsidR="006C16D1">
        <w:t>;</w:t>
      </w:r>
    </w:p>
    <w:p w14:paraId="6CE849D2" w14:textId="4EB3DA23" w:rsidR="006C16D1" w:rsidRDefault="00885228" w:rsidP="004475E0">
      <w:pPr>
        <w:pStyle w:val="ListParagraph"/>
        <w:numPr>
          <w:ilvl w:val="0"/>
          <w:numId w:val="7"/>
        </w:numPr>
        <w:spacing w:after="0" w:line="240" w:lineRule="auto"/>
        <w:jc w:val="both"/>
      </w:pPr>
      <w:r>
        <w:t xml:space="preserve">Palestinian </w:t>
      </w:r>
      <w:r w:rsidR="006C16D1">
        <w:t xml:space="preserve">Arab citizens, particularly Arab women, </w:t>
      </w:r>
      <w:r w:rsidR="006C16D1" w:rsidRPr="004475E0">
        <w:rPr>
          <w:b/>
          <w:bCs/>
        </w:rPr>
        <w:t>remain</w:t>
      </w:r>
      <w:r w:rsidR="006C16D1">
        <w:t xml:space="preserve"> </w:t>
      </w:r>
      <w:r w:rsidR="006C16D1" w:rsidRPr="004475E0">
        <w:rPr>
          <w:b/>
          <w:bCs/>
        </w:rPr>
        <w:t>greatly underrepresented in the Israeli civil service</w:t>
      </w:r>
      <w:r>
        <w:rPr>
          <w:b/>
          <w:bCs/>
        </w:rPr>
        <w:t xml:space="preserve"> due to the state’s failure to implement the law</w:t>
      </w:r>
      <w:r w:rsidR="006C16D1">
        <w:t xml:space="preserve">; also, Arab citizens face gross discrimination </w:t>
      </w:r>
      <w:r w:rsidR="00FE7B16">
        <w:t xml:space="preserve">in employment </w:t>
      </w:r>
      <w:r>
        <w:t>due to unrelated military service requirements and racism</w:t>
      </w:r>
      <w:r w:rsidR="0019035E">
        <w:t>;</w:t>
      </w:r>
    </w:p>
    <w:p w14:paraId="1B47574B" w14:textId="71705078" w:rsidR="0019035E" w:rsidRDefault="00FE7B16" w:rsidP="004475E0">
      <w:pPr>
        <w:pStyle w:val="ListParagraph"/>
        <w:numPr>
          <w:ilvl w:val="0"/>
          <w:numId w:val="7"/>
        </w:numPr>
        <w:spacing w:after="0" w:line="240" w:lineRule="auto"/>
        <w:jc w:val="both"/>
      </w:pPr>
      <w:r w:rsidRPr="004475E0">
        <w:rPr>
          <w:b/>
          <w:bCs/>
        </w:rPr>
        <w:t xml:space="preserve">Arab political parties and </w:t>
      </w:r>
      <w:r w:rsidR="00885228">
        <w:rPr>
          <w:b/>
          <w:bCs/>
        </w:rPr>
        <w:t xml:space="preserve">parliamentarians </w:t>
      </w:r>
      <w:r w:rsidR="00D2260A">
        <w:rPr>
          <w:b/>
          <w:bCs/>
        </w:rPr>
        <w:t>continue to be</w:t>
      </w:r>
      <w:r w:rsidRPr="004475E0">
        <w:rPr>
          <w:b/>
          <w:bCs/>
        </w:rPr>
        <w:t xml:space="preserve"> </w:t>
      </w:r>
      <w:r w:rsidR="00885228">
        <w:rPr>
          <w:b/>
          <w:bCs/>
        </w:rPr>
        <w:t xml:space="preserve">harassed </w:t>
      </w:r>
      <w:r w:rsidRPr="004475E0">
        <w:rPr>
          <w:b/>
          <w:bCs/>
        </w:rPr>
        <w:t xml:space="preserve">by </w:t>
      </w:r>
      <w:r w:rsidR="00885228">
        <w:rPr>
          <w:b/>
          <w:bCs/>
        </w:rPr>
        <w:t xml:space="preserve">the </w:t>
      </w:r>
      <w:r w:rsidRPr="004475E0">
        <w:rPr>
          <w:b/>
          <w:bCs/>
        </w:rPr>
        <w:t>Israeli authorities</w:t>
      </w:r>
      <w:r>
        <w:t xml:space="preserve"> through election disqualification motions</w:t>
      </w:r>
      <w:r w:rsidR="00885228">
        <w:t>, Knesset sanctions,</w:t>
      </w:r>
      <w:r>
        <w:t xml:space="preserve"> and </w:t>
      </w:r>
      <w:r w:rsidR="00885228">
        <w:t xml:space="preserve">the </w:t>
      </w:r>
      <w:r>
        <w:t>issu</w:t>
      </w:r>
      <w:r w:rsidR="00885228">
        <w:t xml:space="preserve">ance of selective </w:t>
      </w:r>
      <w:r>
        <w:t>criminal indictments</w:t>
      </w:r>
      <w:r w:rsidR="00885228">
        <w:t xml:space="preserve"> against them</w:t>
      </w:r>
      <w:r>
        <w:t>;</w:t>
      </w:r>
    </w:p>
    <w:p w14:paraId="07403E4B" w14:textId="3B7A3C72" w:rsidR="00FE7B16" w:rsidRDefault="00885228" w:rsidP="004475E0">
      <w:pPr>
        <w:pStyle w:val="ListParagraph"/>
        <w:numPr>
          <w:ilvl w:val="0"/>
          <w:numId w:val="7"/>
        </w:numPr>
        <w:spacing w:after="0" w:line="240" w:lineRule="auto"/>
        <w:jc w:val="both"/>
      </w:pPr>
      <w:r>
        <w:t xml:space="preserve">The </w:t>
      </w:r>
      <w:r w:rsidR="009D0DCE">
        <w:t xml:space="preserve">Israeli police violated numerous laws </w:t>
      </w:r>
      <w:r>
        <w:t xml:space="preserve">and procedures </w:t>
      </w:r>
      <w:r w:rsidR="009D0DCE">
        <w:t xml:space="preserve">during </w:t>
      </w:r>
      <w:r w:rsidR="009D0DCE" w:rsidRPr="004475E0">
        <w:rPr>
          <w:b/>
          <w:bCs/>
        </w:rPr>
        <w:t>the arrests and interrogation of Palestinian citizen</w:t>
      </w:r>
      <w:r>
        <w:rPr>
          <w:b/>
          <w:bCs/>
        </w:rPr>
        <w:t>s, including</w:t>
      </w:r>
      <w:r w:rsidR="009D0DCE" w:rsidRPr="004475E0">
        <w:rPr>
          <w:b/>
          <w:bCs/>
        </w:rPr>
        <w:t xml:space="preserve"> minors</w:t>
      </w:r>
      <w:r>
        <w:rPr>
          <w:b/>
          <w:bCs/>
        </w:rPr>
        <w:t>,</w:t>
      </w:r>
      <w:r w:rsidR="00D2260A">
        <w:rPr>
          <w:b/>
          <w:bCs/>
        </w:rPr>
        <w:t xml:space="preserve"> </w:t>
      </w:r>
      <w:r w:rsidR="00D2260A" w:rsidRPr="004475E0">
        <w:t xml:space="preserve">following demonstrations against the </w:t>
      </w:r>
      <w:r>
        <w:t>W</w:t>
      </w:r>
      <w:r w:rsidR="00D2260A" w:rsidRPr="004475E0">
        <w:t>ar on Gaza</w:t>
      </w:r>
      <w:r w:rsidR="009D0DCE">
        <w:t>.</w:t>
      </w:r>
    </w:p>
    <w:p w14:paraId="636DF509" w14:textId="77777777" w:rsidR="009D0DCE" w:rsidRPr="004475E0" w:rsidRDefault="009D0DCE" w:rsidP="009D0DCE">
      <w:pPr>
        <w:spacing w:after="0" w:line="240" w:lineRule="auto"/>
        <w:jc w:val="both"/>
      </w:pPr>
    </w:p>
    <w:p w14:paraId="306DF3F1" w14:textId="7BF28582" w:rsidR="00D030A4" w:rsidRPr="00E936FC" w:rsidRDefault="00D030A4" w:rsidP="008762FF">
      <w:pPr>
        <w:pStyle w:val="ListParagraph"/>
        <w:numPr>
          <w:ilvl w:val="0"/>
          <w:numId w:val="2"/>
        </w:numPr>
        <w:spacing w:after="0" w:line="240" w:lineRule="auto"/>
        <w:jc w:val="both"/>
        <w:rPr>
          <w:b/>
          <w:bCs/>
          <w:i/>
          <w:iCs/>
        </w:rPr>
      </w:pPr>
      <w:r w:rsidRPr="00E936FC">
        <w:rPr>
          <w:b/>
          <w:bCs/>
          <w:i/>
          <w:iCs/>
        </w:rPr>
        <w:t>Question 5</w:t>
      </w:r>
      <w:r w:rsidR="008140D2" w:rsidRPr="00E936FC">
        <w:rPr>
          <w:b/>
          <w:bCs/>
          <w:i/>
          <w:iCs/>
        </w:rPr>
        <w:t xml:space="preserve">: </w:t>
      </w:r>
      <w:r w:rsidRPr="00E936FC">
        <w:rPr>
          <w:b/>
          <w:bCs/>
          <w:i/>
          <w:iCs/>
        </w:rPr>
        <w:t>Please indicate any step taken to include the principle of equality and non- discrimination in the Basic Law: Human Dignity and Liberty, and to repeal any discriminatory laws</w:t>
      </w:r>
      <w:r w:rsidR="00EC716C" w:rsidRPr="00E936FC">
        <w:rPr>
          <w:b/>
          <w:bCs/>
          <w:i/>
          <w:iCs/>
        </w:rPr>
        <w:t>;</w:t>
      </w:r>
    </w:p>
    <w:p w14:paraId="053432A1" w14:textId="77777777" w:rsidR="004375F0" w:rsidRPr="00E936FC" w:rsidRDefault="004375F0" w:rsidP="00E936FC">
      <w:pPr>
        <w:spacing w:after="0" w:line="240" w:lineRule="auto"/>
        <w:jc w:val="both"/>
      </w:pPr>
    </w:p>
    <w:p w14:paraId="3E87084E" w14:textId="549A1488" w:rsidR="00204C73" w:rsidRDefault="00204C73" w:rsidP="008762FF">
      <w:pPr>
        <w:spacing w:after="0" w:line="240" w:lineRule="auto"/>
        <w:jc w:val="both"/>
      </w:pPr>
      <w:r w:rsidRPr="00E936FC">
        <w:t xml:space="preserve">As highlighted in </w:t>
      </w:r>
      <w:proofErr w:type="spellStart"/>
      <w:r w:rsidRPr="00E936FC">
        <w:t>Adalah’s</w:t>
      </w:r>
      <w:proofErr w:type="spellEnd"/>
      <w:r w:rsidRPr="00E936FC">
        <w:t xml:space="preserve"> </w:t>
      </w:r>
      <w:r w:rsidR="008762FF">
        <w:t>first</w:t>
      </w:r>
      <w:r w:rsidR="008762FF" w:rsidRPr="00E936FC">
        <w:t xml:space="preserve"> </w:t>
      </w:r>
      <w:r w:rsidRPr="00E936FC">
        <w:t>report</w:t>
      </w:r>
      <w:r w:rsidR="008762FF">
        <w:t xml:space="preserve"> to the HRC</w:t>
      </w:r>
      <w:r w:rsidRPr="00E936FC">
        <w:t>, the absence of constitutional guarantees for the right to equality</w:t>
      </w:r>
      <w:r w:rsidR="00B13978">
        <w:t xml:space="preserve"> </w:t>
      </w:r>
      <w:r w:rsidRPr="00E936FC">
        <w:t xml:space="preserve">has allowed the </w:t>
      </w:r>
      <w:r w:rsidR="00B13978">
        <w:t xml:space="preserve">Knesset </w:t>
      </w:r>
      <w:r w:rsidRPr="00E936FC">
        <w:t xml:space="preserve">to enact numerous laws that </w:t>
      </w:r>
      <w:r w:rsidR="00C64AB9">
        <w:t xml:space="preserve">directly or indirectly </w:t>
      </w:r>
      <w:r w:rsidRPr="00E936FC">
        <w:t xml:space="preserve">discriminate against Palestinian citizens of Israel. Since the issuance of the HRC’s List of Issues in July 2012, </w:t>
      </w:r>
      <w:r w:rsidR="00B13978">
        <w:t xml:space="preserve">the government and Members of Knesset </w:t>
      </w:r>
      <w:r w:rsidRPr="00C64AB9">
        <w:rPr>
          <w:b/>
          <w:bCs/>
        </w:rPr>
        <w:t>ha</w:t>
      </w:r>
      <w:r w:rsidR="00B13978">
        <w:rPr>
          <w:b/>
          <w:bCs/>
        </w:rPr>
        <w:t>ve</w:t>
      </w:r>
      <w:r w:rsidRPr="00C64AB9">
        <w:rPr>
          <w:b/>
          <w:bCs/>
        </w:rPr>
        <w:t xml:space="preserve"> continued to propose and enact dozens of laws </w:t>
      </w:r>
      <w:r w:rsidR="001A491A" w:rsidRPr="00C64AB9">
        <w:rPr>
          <w:b/>
          <w:bCs/>
        </w:rPr>
        <w:t xml:space="preserve">that </w:t>
      </w:r>
      <w:r w:rsidR="006409A4">
        <w:rPr>
          <w:b/>
          <w:bCs/>
        </w:rPr>
        <w:t>further entrench</w:t>
      </w:r>
      <w:r w:rsidR="006409A4" w:rsidRPr="00C64AB9">
        <w:rPr>
          <w:b/>
          <w:bCs/>
        </w:rPr>
        <w:t xml:space="preserve"> </w:t>
      </w:r>
      <w:r w:rsidRPr="00C64AB9">
        <w:rPr>
          <w:b/>
          <w:bCs/>
        </w:rPr>
        <w:t>the legal inequality of Palestinian citizens</w:t>
      </w:r>
      <w:r w:rsidRPr="00E936FC">
        <w:t xml:space="preserve">. Some of the </w:t>
      </w:r>
      <w:r w:rsidRPr="004C2BDE">
        <w:t xml:space="preserve">most dangerous </w:t>
      </w:r>
      <w:r w:rsidR="00BB46A7" w:rsidRPr="004C2BDE">
        <w:t xml:space="preserve">laws </w:t>
      </w:r>
      <w:r w:rsidR="00B13978">
        <w:t xml:space="preserve">enacted </w:t>
      </w:r>
      <w:r w:rsidR="00BB46A7" w:rsidRPr="004C2BDE">
        <w:t>and bills</w:t>
      </w:r>
      <w:r w:rsidR="00BB46A7" w:rsidRPr="00E936FC">
        <w:t xml:space="preserve"> </w:t>
      </w:r>
      <w:r w:rsidR="00C2407C">
        <w:t xml:space="preserve">raised in 2013 and 2014 </w:t>
      </w:r>
      <w:r w:rsidR="00BB46A7" w:rsidRPr="00E936FC">
        <w:t>include:</w:t>
      </w:r>
      <w:r w:rsidR="004C2BDE">
        <w:rPr>
          <w:rStyle w:val="FootnoteReference"/>
        </w:rPr>
        <w:footnoteReference w:id="5"/>
      </w:r>
    </w:p>
    <w:p w14:paraId="2847E40A" w14:textId="77777777" w:rsidR="00A24B86" w:rsidRDefault="00A24B86" w:rsidP="008762FF">
      <w:pPr>
        <w:spacing w:after="0" w:line="240" w:lineRule="auto"/>
        <w:jc w:val="both"/>
      </w:pPr>
    </w:p>
    <w:p w14:paraId="0F3AB712" w14:textId="1E644A13" w:rsidR="00B5058A" w:rsidRPr="001A762E" w:rsidRDefault="00B5058A" w:rsidP="001A762E">
      <w:pPr>
        <w:pStyle w:val="ListParagraph"/>
        <w:numPr>
          <w:ilvl w:val="0"/>
          <w:numId w:val="1"/>
        </w:numPr>
        <w:spacing w:after="0" w:line="240" w:lineRule="auto"/>
        <w:jc w:val="both"/>
        <w:rPr>
          <w:b/>
          <w:bCs/>
        </w:rPr>
      </w:pPr>
      <w:r w:rsidRPr="001A762E">
        <w:rPr>
          <w:b/>
          <w:bCs/>
        </w:rPr>
        <w:t xml:space="preserve">The Sectarian Representation Law (enacted 2/14): </w:t>
      </w:r>
      <w:r w:rsidRPr="001A762E">
        <w:t xml:space="preserve">This law </w:t>
      </w:r>
      <w:r w:rsidRPr="001A762E">
        <w:rPr>
          <w:rFonts w:cs="Tahoma"/>
          <w:shd w:val="clear" w:color="auto" w:fill="FFFFFF"/>
        </w:rPr>
        <w:t>replaces Arab representation on a public advisory board of the Equal Employment Opportunity Commission with sectarian representation for Arab Muslims and Christians. The aim of the law, as declared by the sponsoring Israeli Jewish Knesset member, is to fragment and segregate the Palestinian citizens and distort their collective identity.</w:t>
      </w:r>
      <w:r w:rsidR="001A762E" w:rsidRPr="001A762E">
        <w:rPr>
          <w:rStyle w:val="FootnoteReference"/>
          <w:rFonts w:cs="Tahoma"/>
          <w:shd w:val="clear" w:color="auto" w:fill="FFFFFF"/>
        </w:rPr>
        <w:footnoteReference w:id="6"/>
      </w:r>
      <w:r w:rsidRPr="001A762E">
        <w:rPr>
          <w:rFonts w:cs="Tahoma"/>
          <w:shd w:val="clear" w:color="auto" w:fill="FFFFFF"/>
        </w:rPr>
        <w:t xml:space="preserve"> </w:t>
      </w:r>
    </w:p>
    <w:p w14:paraId="7EF7805E" w14:textId="0548C0F0" w:rsidR="00B5058A" w:rsidRPr="004A6463" w:rsidRDefault="00B5058A" w:rsidP="00807C8C">
      <w:pPr>
        <w:pStyle w:val="ListParagraph"/>
        <w:numPr>
          <w:ilvl w:val="0"/>
          <w:numId w:val="1"/>
        </w:numPr>
        <w:spacing w:after="0" w:line="240" w:lineRule="auto"/>
        <w:jc w:val="both"/>
        <w:rPr>
          <w:b/>
          <w:bCs/>
        </w:rPr>
      </w:pPr>
      <w:r w:rsidRPr="004475E0">
        <w:rPr>
          <w:b/>
          <w:bCs/>
        </w:rPr>
        <w:t>Elections Threshold Law</w:t>
      </w:r>
      <w:r w:rsidR="004A6463" w:rsidRPr="004A6463">
        <w:rPr>
          <w:b/>
          <w:bCs/>
        </w:rPr>
        <w:t xml:space="preserve"> (</w:t>
      </w:r>
      <w:r w:rsidR="004A6463">
        <w:rPr>
          <w:b/>
          <w:bCs/>
        </w:rPr>
        <w:t>enacted 2/14):</w:t>
      </w:r>
      <w:r w:rsidR="004A6463">
        <w:t xml:space="preserve"> This law raises the electoral threshold for political parties to be elected into</w:t>
      </w:r>
      <w:r w:rsidR="00807C8C">
        <w:t xml:space="preserve"> the Knesset, which has </w:t>
      </w:r>
      <w:r w:rsidR="004A6463">
        <w:t xml:space="preserve">an acute discriminatory effect on parties representing the Arab minority in Israel (see response to </w:t>
      </w:r>
      <w:r w:rsidR="004A6463" w:rsidRPr="004475E0">
        <w:rPr>
          <w:b/>
          <w:bCs/>
        </w:rPr>
        <w:t>Question 8(c)</w:t>
      </w:r>
      <w:r w:rsidR="004A6463">
        <w:t xml:space="preserve"> for details).</w:t>
      </w:r>
    </w:p>
    <w:p w14:paraId="578F63B8" w14:textId="62A0613A" w:rsidR="00204C73" w:rsidRPr="00E936FC" w:rsidRDefault="00204C73" w:rsidP="00D72E18">
      <w:pPr>
        <w:pStyle w:val="ListParagraph"/>
        <w:numPr>
          <w:ilvl w:val="0"/>
          <w:numId w:val="1"/>
        </w:numPr>
        <w:spacing w:after="0" w:line="240" w:lineRule="auto"/>
        <w:jc w:val="both"/>
      </w:pPr>
      <w:r w:rsidRPr="00D72E18">
        <w:rPr>
          <w:b/>
          <w:bCs/>
        </w:rPr>
        <w:t xml:space="preserve">The </w:t>
      </w:r>
      <w:proofErr w:type="spellStart"/>
      <w:r w:rsidRPr="00D72E18">
        <w:rPr>
          <w:b/>
          <w:bCs/>
        </w:rPr>
        <w:t>Prawer</w:t>
      </w:r>
      <w:proofErr w:type="spellEnd"/>
      <w:r w:rsidRPr="00D72E18">
        <w:rPr>
          <w:b/>
          <w:bCs/>
        </w:rPr>
        <w:t xml:space="preserve"> Plan Bill</w:t>
      </w:r>
      <w:r w:rsidR="00BB46A7" w:rsidRPr="00D72E18">
        <w:rPr>
          <w:b/>
          <w:bCs/>
        </w:rPr>
        <w:t xml:space="preserve"> (frozen)</w:t>
      </w:r>
      <w:r w:rsidRPr="00D72E18">
        <w:rPr>
          <w:b/>
          <w:bCs/>
        </w:rPr>
        <w:t>:</w:t>
      </w:r>
      <w:r w:rsidR="00D72E18">
        <w:t xml:space="preserve"> This bill is the legislative arm of the Prawer Plan, a discriminatory government program that aims to forcibly displace and dispossess up to 70,000 Arab Bedouin citizens of Israel</w:t>
      </w:r>
      <w:r w:rsidR="00B13978">
        <w:t xml:space="preserve"> from the unrecognized villages</w:t>
      </w:r>
      <w:r w:rsidR="00D72E18">
        <w:t xml:space="preserve"> to government-</w:t>
      </w:r>
      <w:r w:rsidR="00D72E18" w:rsidRPr="00D72E18">
        <w:t>planned towns. In December 2013, the Israeli minister in charge of the Plan resigned and confirmed that the government had not consulted with the Bedouin citizens about the Plan</w:t>
      </w:r>
      <w:r w:rsidR="00B13978">
        <w:t>. While the government</w:t>
      </w:r>
      <w:r w:rsidR="00D72E18" w:rsidRPr="00D72E18">
        <w:t xml:space="preserve"> announced </w:t>
      </w:r>
      <w:r w:rsidR="00B13978">
        <w:t xml:space="preserve">that it was still going forward with the legislation and re-assigned the initiative to the Minister of Agriculture, in effect the legislative process has been frozen. </w:t>
      </w:r>
      <w:r w:rsidR="00D72E18" w:rsidRPr="00D72E18">
        <w:t>However, the government is continuing to implement aspects of the plan on the ground</w:t>
      </w:r>
      <w:r w:rsidR="00D72E18" w:rsidRPr="00337760">
        <w:rPr>
          <w:bCs/>
        </w:rPr>
        <w:t>.</w:t>
      </w:r>
      <w:r w:rsidR="00D72E18">
        <w:rPr>
          <w:rStyle w:val="FootnoteReference"/>
          <w:bCs/>
        </w:rPr>
        <w:footnoteReference w:id="7"/>
      </w:r>
    </w:p>
    <w:p w14:paraId="3ED887C3" w14:textId="7E001297" w:rsidR="00204C73" w:rsidRPr="003C299A" w:rsidRDefault="00204C73" w:rsidP="00545F1E">
      <w:pPr>
        <w:pStyle w:val="ListParagraph"/>
        <w:numPr>
          <w:ilvl w:val="0"/>
          <w:numId w:val="1"/>
        </w:numPr>
        <w:spacing w:after="0" w:line="240" w:lineRule="auto"/>
        <w:jc w:val="both"/>
      </w:pPr>
      <w:r w:rsidRPr="003C299A">
        <w:rPr>
          <w:b/>
          <w:bCs/>
        </w:rPr>
        <w:lastRenderedPageBreak/>
        <w:t>The Contributors to the State Bill</w:t>
      </w:r>
      <w:r w:rsidR="00BB46A7" w:rsidRPr="003C299A">
        <w:rPr>
          <w:b/>
          <w:bCs/>
        </w:rPr>
        <w:t xml:space="preserve"> (pending)</w:t>
      </w:r>
      <w:r w:rsidRPr="00834C64">
        <w:rPr>
          <w:b/>
          <w:bCs/>
        </w:rPr>
        <w:t>:</w:t>
      </w:r>
      <w:r w:rsidR="005F620A" w:rsidRPr="00834C64">
        <w:t xml:space="preserve"> This bill seeks to institute preferential </w:t>
      </w:r>
      <w:r w:rsidR="00CF15A5" w:rsidRPr="00AC1268">
        <w:t xml:space="preserve">public </w:t>
      </w:r>
      <w:r w:rsidR="005F620A" w:rsidRPr="003C299A">
        <w:t xml:space="preserve">treatment to citizens who </w:t>
      </w:r>
      <w:r w:rsidR="00CC7E96" w:rsidRPr="003C299A">
        <w:t>serve</w:t>
      </w:r>
      <w:r w:rsidR="005F620A" w:rsidRPr="003C299A">
        <w:t xml:space="preserve"> in th</w:t>
      </w:r>
      <w:r w:rsidR="00CC7E96" w:rsidRPr="003C299A">
        <w:t>e military or civil service</w:t>
      </w:r>
      <w:r w:rsidR="005F620A" w:rsidRPr="003C299A">
        <w:t xml:space="preserve">. It discriminates against Arab citizens of Israel </w:t>
      </w:r>
      <w:r w:rsidR="00E936FC" w:rsidRPr="003C299A">
        <w:t>as</w:t>
      </w:r>
      <w:r w:rsidR="005F620A" w:rsidRPr="003C299A">
        <w:t xml:space="preserve"> the vast majority of them are exempted from </w:t>
      </w:r>
      <w:r w:rsidR="00CF15A5" w:rsidRPr="003C299A">
        <w:t xml:space="preserve">Israeli </w:t>
      </w:r>
      <w:r w:rsidR="005F620A" w:rsidRPr="003C299A">
        <w:t xml:space="preserve">military service for historical and political reasons. </w:t>
      </w:r>
      <w:r w:rsidR="00CF15A5" w:rsidRPr="003C299A">
        <w:t>The bill proposes</w:t>
      </w:r>
      <w:r w:rsidR="005F620A" w:rsidRPr="003C299A">
        <w:t xml:space="preserve"> preference in hiring, in job salaries and in receiving services such as student housing, higher education and allocation of land for housing. The bill states that such preferential treatment shall not be considered discriminatio</w:t>
      </w:r>
      <w:r w:rsidR="00CC7E96" w:rsidRPr="003C299A">
        <w:t>n.</w:t>
      </w:r>
      <w:r w:rsidR="00545F1E" w:rsidRPr="003C299A">
        <w:t xml:space="preserve"> The bill also conflicts with other Israeli laws that are meant to ensure adequate representation for Arab citizens in public service jobs and other areas.</w:t>
      </w:r>
    </w:p>
    <w:p w14:paraId="13DD1AAF" w14:textId="4D3110E8" w:rsidR="005F620A" w:rsidRPr="003C299A" w:rsidRDefault="00204C73" w:rsidP="00E60453">
      <w:pPr>
        <w:pStyle w:val="ListParagraph"/>
        <w:numPr>
          <w:ilvl w:val="0"/>
          <w:numId w:val="1"/>
        </w:numPr>
        <w:spacing w:after="0" w:line="240" w:lineRule="auto"/>
        <w:jc w:val="both"/>
      </w:pPr>
      <w:r w:rsidRPr="003C299A">
        <w:rPr>
          <w:b/>
          <w:bCs/>
        </w:rPr>
        <w:t>The Jewish Nation-State Bill</w:t>
      </w:r>
      <w:r w:rsidR="00BB46A7" w:rsidRPr="003C299A">
        <w:rPr>
          <w:b/>
          <w:bCs/>
        </w:rPr>
        <w:t xml:space="preserve"> (</w:t>
      </w:r>
      <w:r w:rsidR="00E60453" w:rsidRPr="003C299A">
        <w:rPr>
          <w:b/>
          <w:bCs/>
        </w:rPr>
        <w:t xml:space="preserve">to be </w:t>
      </w:r>
      <w:r w:rsidR="00B5058A" w:rsidRPr="003C299A">
        <w:rPr>
          <w:b/>
          <w:bCs/>
        </w:rPr>
        <w:t>proposed</w:t>
      </w:r>
      <w:r w:rsidR="00BB46A7" w:rsidRPr="003C299A">
        <w:rPr>
          <w:b/>
          <w:bCs/>
        </w:rPr>
        <w:t>)</w:t>
      </w:r>
      <w:r w:rsidRPr="003C299A">
        <w:rPr>
          <w:b/>
          <w:bCs/>
        </w:rPr>
        <w:t xml:space="preserve">: </w:t>
      </w:r>
      <w:r w:rsidR="005F620A" w:rsidRPr="003C299A">
        <w:t xml:space="preserve">The purpose of this bill is to constitutionally </w:t>
      </w:r>
      <w:r w:rsidR="007A28E9" w:rsidRPr="003C299A">
        <w:t xml:space="preserve">enshrine </w:t>
      </w:r>
      <w:r w:rsidR="005F620A" w:rsidRPr="003C299A">
        <w:t xml:space="preserve">the identity of the State of Israel as the nation state of the Jewish people. In practice, the bill will change the ‘Jewish and democratic’ definition of the state by subordinating the democratic component and making it secondary to the Jewish component. The latest drafts of the bill state that the right to national self-determination in Israel belongs exclusively to the Jewish people. Because the proposed legislation has the status of a </w:t>
      </w:r>
      <w:r w:rsidR="007A28E9" w:rsidRPr="003C299A">
        <w:t>B</w:t>
      </w:r>
      <w:r w:rsidR="005F620A" w:rsidRPr="003C299A">
        <w:t xml:space="preserve">asic </w:t>
      </w:r>
      <w:r w:rsidR="007A28E9" w:rsidRPr="003C299A">
        <w:t>La</w:t>
      </w:r>
      <w:r w:rsidR="005F620A" w:rsidRPr="003C299A">
        <w:t>w, its enactment could be used to justify widespread discrimination against Arab citizens of Israel, as non-Jews. The bill has yet to be brought before the Knesset.</w:t>
      </w:r>
    </w:p>
    <w:p w14:paraId="2455730F" w14:textId="77777777" w:rsidR="005F620A" w:rsidRPr="00E936FC" w:rsidRDefault="005F620A" w:rsidP="00E936FC">
      <w:pPr>
        <w:spacing w:after="0" w:line="240" w:lineRule="auto"/>
        <w:jc w:val="both"/>
      </w:pPr>
    </w:p>
    <w:p w14:paraId="7D2BC4DC" w14:textId="2AD76051" w:rsidR="00204C73" w:rsidRPr="00E936FC" w:rsidRDefault="00197F8D" w:rsidP="00C2407C">
      <w:pPr>
        <w:spacing w:after="0" w:line="240" w:lineRule="auto"/>
        <w:jc w:val="both"/>
      </w:pPr>
      <w:r>
        <w:t>Other d</w:t>
      </w:r>
      <w:r w:rsidR="008762FF">
        <w:t xml:space="preserve">iscriminatory </w:t>
      </w:r>
      <w:r w:rsidR="00204C73" w:rsidRPr="00E936FC">
        <w:t xml:space="preserve">laws that were highlighted in the HRC’s List of Issues also remain </w:t>
      </w:r>
      <w:r w:rsidR="00C2407C">
        <w:t xml:space="preserve">in place. </w:t>
      </w:r>
      <w:r w:rsidR="00204C73" w:rsidRPr="00E936FC">
        <w:t xml:space="preserve">These include </w:t>
      </w:r>
      <w:r w:rsidR="00C2407C">
        <w:t xml:space="preserve">the </w:t>
      </w:r>
      <w:r w:rsidR="00C2407C" w:rsidRPr="004475E0">
        <w:rPr>
          <w:b/>
        </w:rPr>
        <w:t>“</w:t>
      </w:r>
      <w:r w:rsidR="00204C73" w:rsidRPr="004475E0">
        <w:rPr>
          <w:b/>
        </w:rPr>
        <w:t>Foreign Funding Law</w:t>
      </w:r>
      <w:r w:rsidR="00C2407C" w:rsidRPr="004475E0">
        <w:rPr>
          <w:b/>
        </w:rPr>
        <w:t>” or “NGO Law”</w:t>
      </w:r>
      <w:r w:rsidR="00C2407C">
        <w:t xml:space="preserve"> (see question 24)</w:t>
      </w:r>
      <w:r w:rsidR="00204C73" w:rsidRPr="00E936FC">
        <w:t xml:space="preserve">, the </w:t>
      </w:r>
      <w:r w:rsidR="00C2407C" w:rsidRPr="004475E0">
        <w:rPr>
          <w:b/>
        </w:rPr>
        <w:t>“</w:t>
      </w:r>
      <w:r w:rsidR="00204C73" w:rsidRPr="004475E0">
        <w:rPr>
          <w:b/>
        </w:rPr>
        <w:t>Anti-Boycott Law</w:t>
      </w:r>
      <w:r w:rsidR="00C2407C">
        <w:t>” (see question 24)</w:t>
      </w:r>
      <w:r w:rsidR="00204C73" w:rsidRPr="00E936FC">
        <w:t xml:space="preserve">, the </w:t>
      </w:r>
      <w:r w:rsidR="00C2407C" w:rsidRPr="004475E0">
        <w:rPr>
          <w:b/>
        </w:rPr>
        <w:t>“</w:t>
      </w:r>
      <w:r w:rsidR="00204C73" w:rsidRPr="004475E0">
        <w:rPr>
          <w:b/>
        </w:rPr>
        <w:t>Nakba Law</w:t>
      </w:r>
      <w:r w:rsidR="00C2407C" w:rsidRPr="004475E0">
        <w:rPr>
          <w:b/>
        </w:rPr>
        <w:t>”</w:t>
      </w:r>
      <w:r w:rsidR="00C2407C">
        <w:t xml:space="preserve"> (see question 24), and the</w:t>
      </w:r>
      <w:r w:rsidR="00C2407C" w:rsidRPr="00C2407C">
        <w:t xml:space="preserve"> </w:t>
      </w:r>
      <w:r w:rsidR="00C2407C" w:rsidRPr="004475E0">
        <w:rPr>
          <w:b/>
        </w:rPr>
        <w:t>“Ban on Family Unification Law”</w:t>
      </w:r>
      <w:r w:rsidR="00D433CD">
        <w:t>.</w:t>
      </w:r>
      <w:r w:rsidR="00701339">
        <w:rPr>
          <w:rStyle w:val="FootnoteReference"/>
        </w:rPr>
        <w:footnoteReference w:id="8"/>
      </w:r>
    </w:p>
    <w:p w14:paraId="132C37E4" w14:textId="77777777" w:rsidR="00204C73" w:rsidRPr="00E936FC" w:rsidRDefault="00204C73" w:rsidP="00E936FC">
      <w:pPr>
        <w:spacing w:after="0" w:line="240" w:lineRule="auto"/>
        <w:jc w:val="both"/>
      </w:pPr>
    </w:p>
    <w:p w14:paraId="2268E4FF" w14:textId="4149E892" w:rsidR="00BE4483" w:rsidRPr="00E936FC" w:rsidRDefault="00BE4483" w:rsidP="00E01B07">
      <w:pPr>
        <w:pStyle w:val="ListParagraph"/>
        <w:numPr>
          <w:ilvl w:val="0"/>
          <w:numId w:val="2"/>
        </w:numPr>
        <w:spacing w:after="0" w:line="240" w:lineRule="auto"/>
        <w:jc w:val="both"/>
        <w:rPr>
          <w:b/>
          <w:bCs/>
          <w:i/>
          <w:iCs/>
        </w:rPr>
      </w:pPr>
      <w:r w:rsidRPr="00E936FC">
        <w:rPr>
          <w:b/>
          <w:bCs/>
          <w:i/>
          <w:iCs/>
        </w:rPr>
        <w:t>Question 6</w:t>
      </w:r>
      <w:r w:rsidR="00D735A9">
        <w:rPr>
          <w:b/>
          <w:bCs/>
          <w:i/>
          <w:iCs/>
        </w:rPr>
        <w:t>(</w:t>
      </w:r>
      <w:r w:rsidRPr="00E936FC">
        <w:rPr>
          <w:b/>
          <w:bCs/>
          <w:i/>
          <w:iCs/>
        </w:rPr>
        <w:t>b</w:t>
      </w:r>
      <w:r w:rsidR="00D735A9">
        <w:rPr>
          <w:b/>
          <w:bCs/>
          <w:i/>
          <w:iCs/>
        </w:rPr>
        <w:t>)</w:t>
      </w:r>
      <w:r w:rsidR="008140D2" w:rsidRPr="00E936FC">
        <w:rPr>
          <w:b/>
          <w:bCs/>
          <w:i/>
          <w:iCs/>
        </w:rPr>
        <w:t xml:space="preserve">: </w:t>
      </w:r>
      <w:r w:rsidRPr="00E936FC">
        <w:rPr>
          <w:b/>
          <w:bCs/>
          <w:i/>
          <w:iCs/>
        </w:rPr>
        <w:t>In light of the Committee’s previous concluding observations (paras. 17 and 24) and in order to guarantee minorities’ rights, especially those of Palestinians and Bedouins, please provide updated in</w:t>
      </w:r>
      <w:r w:rsidR="00D735A9">
        <w:rPr>
          <w:b/>
          <w:bCs/>
          <w:i/>
          <w:iCs/>
        </w:rPr>
        <w:t>formation on measures taken…</w:t>
      </w:r>
      <w:r w:rsidRPr="00E936FC">
        <w:rPr>
          <w:b/>
          <w:bCs/>
          <w:i/>
          <w:iCs/>
        </w:rPr>
        <w:t>To review the State party’s housing policy and the issuance of construction permits, to ensure that municipal planning systems are not discriminatory and to increase the legal constr</w:t>
      </w:r>
      <w:r w:rsidR="00E01B07">
        <w:rPr>
          <w:b/>
          <w:bCs/>
          <w:i/>
          <w:iCs/>
        </w:rPr>
        <w:t>uction of houses for minorities…</w:t>
      </w:r>
      <w:r w:rsidRPr="00E936FC">
        <w:rPr>
          <w:b/>
          <w:bCs/>
          <w:i/>
          <w:iCs/>
        </w:rPr>
        <w:t>;</w:t>
      </w:r>
    </w:p>
    <w:p w14:paraId="2D25C2D6" w14:textId="77777777" w:rsidR="00C645DD" w:rsidRDefault="00C645DD" w:rsidP="00E936FC">
      <w:pPr>
        <w:spacing w:after="0" w:line="240" w:lineRule="auto"/>
        <w:jc w:val="both"/>
      </w:pPr>
    </w:p>
    <w:p w14:paraId="66C938C8" w14:textId="1E97CEB8" w:rsidR="009A5885" w:rsidRDefault="004D4B84" w:rsidP="00B734BB">
      <w:pPr>
        <w:spacing w:after="0" w:line="240" w:lineRule="auto"/>
        <w:jc w:val="both"/>
      </w:pPr>
      <w:r w:rsidRPr="00E936FC">
        <w:t xml:space="preserve">In 2013, the Israel Land Authority (ILA) and the Israeli Ministry of </w:t>
      </w:r>
      <w:r w:rsidRPr="00367C08">
        <w:t>Construction and Housing</w:t>
      </w:r>
      <w:r w:rsidRPr="00E936FC">
        <w:t xml:space="preserve"> </w:t>
      </w:r>
      <w:r w:rsidRPr="00A00B43">
        <w:rPr>
          <w:b/>
          <w:bCs/>
        </w:rPr>
        <w:t xml:space="preserve">continued to carry out </w:t>
      </w:r>
      <w:r w:rsidR="00600845" w:rsidRPr="00A00B43">
        <w:rPr>
          <w:b/>
          <w:bCs/>
        </w:rPr>
        <w:t xml:space="preserve">discriminatory policies against Palestinian </w:t>
      </w:r>
      <w:r w:rsidR="00211641">
        <w:rPr>
          <w:b/>
          <w:bCs/>
        </w:rPr>
        <w:t xml:space="preserve">Arab </w:t>
      </w:r>
      <w:r w:rsidR="00600845" w:rsidRPr="00A00B43">
        <w:rPr>
          <w:b/>
          <w:bCs/>
        </w:rPr>
        <w:t>citizens in Israel</w:t>
      </w:r>
      <w:r w:rsidR="00600845" w:rsidRPr="00E936FC">
        <w:t xml:space="preserve"> in various fields of </w:t>
      </w:r>
      <w:r w:rsidR="00D433CD">
        <w:t xml:space="preserve">housing and </w:t>
      </w:r>
      <w:r w:rsidR="00600845" w:rsidRPr="00E936FC">
        <w:t>development.</w:t>
      </w:r>
      <w:r w:rsidR="00C645DD">
        <w:rPr>
          <w:rStyle w:val="FootnoteReference"/>
        </w:rPr>
        <w:footnoteReference w:id="9"/>
      </w:r>
      <w:r w:rsidR="00087A5A">
        <w:t xml:space="preserve"> </w:t>
      </w:r>
      <w:r w:rsidR="00291ADD">
        <w:t>For example,</w:t>
      </w:r>
      <w:r w:rsidR="00E74B7B">
        <w:t xml:space="preserve"> i</w:t>
      </w:r>
      <w:r w:rsidR="00087A5A">
        <w:t xml:space="preserve">n December 2013, </w:t>
      </w:r>
      <w:proofErr w:type="spellStart"/>
      <w:r w:rsidR="00087A5A">
        <w:t>Adalah</w:t>
      </w:r>
      <w:proofErr w:type="spellEnd"/>
      <w:r w:rsidR="00087A5A">
        <w:t xml:space="preserve"> submitted several cases on behalf of Palestinian </w:t>
      </w:r>
      <w:r w:rsidR="00E74B7B">
        <w:t xml:space="preserve">citizen </w:t>
      </w:r>
      <w:r w:rsidR="00087A5A">
        <w:t xml:space="preserve">petitioners against various policies and municipal plans that serve to exclude Palestinian citizens of Israel from accessing housing. The cases included a petition to the </w:t>
      </w:r>
      <w:r w:rsidR="00E74B7B">
        <w:t xml:space="preserve">Israeli </w:t>
      </w:r>
      <w:r w:rsidR="00087A5A">
        <w:t>Supreme Court challenging the refusal of a construction</w:t>
      </w:r>
      <w:r w:rsidR="00E74B7B">
        <w:t xml:space="preserve"> company</w:t>
      </w:r>
      <w:r w:rsidR="00087A5A">
        <w:t xml:space="preserve"> to sell an apartment to a Palestinian Arab man in the Jewish town of Afula in central Israel</w:t>
      </w:r>
      <w:r w:rsidR="00E74B7B">
        <w:t>,</w:t>
      </w:r>
      <w:r w:rsidR="00087A5A">
        <w:t xml:space="preserve"> on the grounds </w:t>
      </w:r>
      <w:r w:rsidR="00E74B7B">
        <w:t xml:space="preserve">that </w:t>
      </w:r>
      <w:r w:rsidR="00087A5A">
        <w:t>the neighborhood was not a “mixed neighborhood.”</w:t>
      </w:r>
      <w:r w:rsidR="000A1AE3">
        <w:rPr>
          <w:rStyle w:val="FootnoteReference"/>
        </w:rPr>
        <w:footnoteReference w:id="10"/>
      </w:r>
      <w:r w:rsidR="00AC1268">
        <w:t xml:space="preserve"> </w:t>
      </w:r>
      <w:r w:rsidR="00087A5A">
        <w:t xml:space="preserve">In </w:t>
      </w:r>
      <w:r w:rsidR="009E694B">
        <w:t>another case</w:t>
      </w:r>
      <w:r w:rsidR="00087A5A">
        <w:t xml:space="preserve"> where </w:t>
      </w:r>
      <w:r w:rsidR="007C4F9A">
        <w:t>two</w:t>
      </w:r>
      <w:r w:rsidR="00087A5A">
        <w:t xml:space="preserve"> Palestinian</w:t>
      </w:r>
      <w:r w:rsidR="007C4F9A">
        <w:t xml:space="preserve"> citizens</w:t>
      </w:r>
      <w:r w:rsidR="00087A5A">
        <w:t xml:space="preserve"> </w:t>
      </w:r>
      <w:r w:rsidR="007C4F9A">
        <w:t>were</w:t>
      </w:r>
      <w:r w:rsidR="00087A5A">
        <w:t xml:space="preserve"> able to purchase a home, </w:t>
      </w:r>
      <w:r w:rsidR="009E694B">
        <w:t>they</w:t>
      </w:r>
      <w:r w:rsidR="00087A5A">
        <w:t xml:space="preserve"> faced extreme delays in registering the</w:t>
      </w:r>
      <w:r w:rsidR="009E694B">
        <w:t>ir</w:t>
      </w:r>
      <w:r w:rsidR="00087A5A">
        <w:t xml:space="preserve"> home because </w:t>
      </w:r>
      <w:r w:rsidR="009E694B">
        <w:t>it had been</w:t>
      </w:r>
      <w:r w:rsidR="00087A5A">
        <w:t xml:space="preserve"> built on land owned by the Jewish </w:t>
      </w:r>
      <w:r w:rsidR="00087A5A">
        <w:lastRenderedPageBreak/>
        <w:t>National Fund, a quasi-state entity who</w:t>
      </w:r>
      <w:r w:rsidR="009E694B">
        <w:t>se charter demands that it allocates l</w:t>
      </w:r>
      <w:r w:rsidR="009A5885">
        <w:t>and to Jewish people</w:t>
      </w:r>
      <w:r w:rsidR="007C4F9A">
        <w:t xml:space="preserve"> only</w:t>
      </w:r>
      <w:r w:rsidR="009A5885">
        <w:t>.</w:t>
      </w:r>
      <w:r w:rsidR="00D611FD">
        <w:rPr>
          <w:rStyle w:val="FootnoteReference"/>
        </w:rPr>
        <w:footnoteReference w:id="11"/>
      </w:r>
      <w:r w:rsidR="009A5885">
        <w:t xml:space="preserve"> </w:t>
      </w:r>
      <w:r w:rsidR="00AC1268">
        <w:t xml:space="preserve">Israeli laws such as the </w:t>
      </w:r>
      <w:r w:rsidR="00AC1268" w:rsidRPr="004475E0">
        <w:rPr>
          <w:b/>
        </w:rPr>
        <w:t>Admissions Committees Law</w:t>
      </w:r>
      <w:r w:rsidR="00AC1268">
        <w:t xml:space="preserve"> (2011)</w:t>
      </w:r>
      <w:r w:rsidR="00B734BB">
        <w:t xml:space="preserve">, which allows the exclusion of Palestinian citizens from hundreds of small communities </w:t>
      </w:r>
      <w:r w:rsidR="00885228">
        <w:t>built on ‘state-owned’ land i</w:t>
      </w:r>
      <w:r w:rsidR="00B734BB">
        <w:t>n Israel</w:t>
      </w:r>
      <w:r w:rsidR="00885228">
        <w:t xml:space="preserve"> due to a “social suitability” criterion</w:t>
      </w:r>
      <w:r w:rsidR="00B734BB">
        <w:t>,</w:t>
      </w:r>
      <w:r w:rsidR="00AC1268">
        <w:t xml:space="preserve"> and the </w:t>
      </w:r>
      <w:proofErr w:type="spellStart"/>
      <w:r w:rsidR="00AC1268">
        <w:t>Prawer</w:t>
      </w:r>
      <w:proofErr w:type="spellEnd"/>
      <w:r w:rsidR="00AC1268">
        <w:t xml:space="preserve"> Plan Bill</w:t>
      </w:r>
      <w:r w:rsidR="00B734BB">
        <w:t xml:space="preserve"> (frozen), which aims to dispossess up to 70,000 Arab Bedouin citizens of their lands and homes in unrecognized villages, further demonstrate the continuation of the state's deliberate violations of the rights of Palestinian citizens.</w:t>
      </w:r>
    </w:p>
    <w:p w14:paraId="604BAF01" w14:textId="77777777" w:rsidR="009A5885" w:rsidRDefault="009A5885" w:rsidP="00A00B43">
      <w:pPr>
        <w:spacing w:after="0" w:line="240" w:lineRule="auto"/>
        <w:jc w:val="both"/>
      </w:pPr>
    </w:p>
    <w:p w14:paraId="76BFFEF3" w14:textId="00391C73" w:rsidR="00211641" w:rsidRDefault="009A5885" w:rsidP="00A00B43">
      <w:pPr>
        <w:spacing w:after="0" w:line="240" w:lineRule="auto"/>
        <w:jc w:val="both"/>
      </w:pPr>
      <w:r>
        <w:t>T</w:t>
      </w:r>
      <w:r w:rsidR="009E694B">
        <w:t>he state’s discriminatory policies and practices</w:t>
      </w:r>
      <w:r w:rsidR="00D811A3">
        <w:t xml:space="preserve"> against individual Palestinian citizens of Israel are reflected in the government’s macro-planning priorities</w:t>
      </w:r>
      <w:r w:rsidR="007C4F9A">
        <w:t>,</w:t>
      </w:r>
      <w:r w:rsidR="00D811A3">
        <w:t xml:space="preserve"> such as</w:t>
      </w:r>
      <w:r>
        <w:t xml:space="preserve"> its substantial investments in</w:t>
      </w:r>
      <w:r w:rsidR="00D811A3">
        <w:t xml:space="preserve"> </w:t>
      </w:r>
      <w:r>
        <w:t>the illegal settlements in the O</w:t>
      </w:r>
      <w:r w:rsidR="00B94CD6">
        <w:t>ccupied Palestinian Territory (OPT)</w:t>
      </w:r>
      <w:r>
        <w:t xml:space="preserve">. In the 2012 conclusions of UN Special Rapporteur on Adequate Housing Raquel </w:t>
      </w:r>
      <w:proofErr w:type="spellStart"/>
      <w:r>
        <w:t>Rolnik</w:t>
      </w:r>
      <w:proofErr w:type="spellEnd"/>
      <w:r w:rsidR="007C4F9A">
        <w:t>,</w:t>
      </w:r>
      <w:r>
        <w:t xml:space="preserve"> following a fact-finding mission to Israel and the OPT, she noted “</w:t>
      </w:r>
      <w:r w:rsidRPr="009A5885">
        <w:t>Israel has continuously dedicated important public financial and technical resources to promote the expansion of settlements in the Occupied Palestinian Territory. The State engagement in the settlement enterprise not only violates international law and seriously worsens the living conditions of Palestinians under occupation, but also ends up depriving Israeli nationals of important resources that could be used to promote access to adequate housing within the internationally recognized boundaries of the country.</w:t>
      </w:r>
      <w:r>
        <w:t>”</w:t>
      </w:r>
      <w:r>
        <w:rPr>
          <w:rStyle w:val="FootnoteReference"/>
        </w:rPr>
        <w:footnoteReference w:id="12"/>
      </w:r>
    </w:p>
    <w:p w14:paraId="4F3B6E9F" w14:textId="77777777" w:rsidR="00211641" w:rsidRDefault="00211641" w:rsidP="00A00B43">
      <w:pPr>
        <w:spacing w:after="0" w:line="240" w:lineRule="auto"/>
        <w:jc w:val="both"/>
      </w:pPr>
    </w:p>
    <w:p w14:paraId="1CB04810" w14:textId="6F4E34FA" w:rsidR="001C6B49" w:rsidRPr="00E936FC" w:rsidRDefault="004D4B84" w:rsidP="00367C08">
      <w:pPr>
        <w:spacing w:after="0" w:line="240" w:lineRule="auto"/>
        <w:jc w:val="both"/>
      </w:pPr>
      <w:r w:rsidRPr="00E936FC">
        <w:t>For example, i</w:t>
      </w:r>
      <w:r w:rsidR="001C6B49" w:rsidRPr="00E936FC">
        <w:t xml:space="preserve">n the course of 2013, the ILA published tenders for the construction of approximately 3,883 housing units in the illegal settlements </w:t>
      </w:r>
      <w:r w:rsidR="00B94CD6">
        <w:t xml:space="preserve">in the </w:t>
      </w:r>
      <w:r w:rsidR="00367C08">
        <w:t>occupied territories</w:t>
      </w:r>
      <w:r w:rsidR="00AB16DD">
        <w:t xml:space="preserve">, including </w:t>
      </w:r>
      <w:r w:rsidR="001C6B49" w:rsidRPr="00E936FC">
        <w:t xml:space="preserve">the West Bank, East Jerusalem and the Golan Heights. By contrast, it published tenders only for 3,547 housing units in the Arab communities in Israel, although the number of inhabitants in these villages is more than double the number of Jewish residents living in the settlements (approximately </w:t>
      </w:r>
      <w:r w:rsidR="001C6B49" w:rsidRPr="003C299A">
        <w:t>1.</w:t>
      </w:r>
      <w:r w:rsidR="003C299A" w:rsidRPr="00B734BB">
        <w:t>3</w:t>
      </w:r>
      <w:r w:rsidR="001C6B49" w:rsidRPr="00E936FC">
        <w:t xml:space="preserve"> million people live in the Arab communities </w:t>
      </w:r>
      <w:r w:rsidR="00AB16DD">
        <w:t xml:space="preserve">in Israel </w:t>
      </w:r>
      <w:r w:rsidR="001C6B49" w:rsidRPr="00E936FC">
        <w:t xml:space="preserve">as compared with 550,000 people in the </w:t>
      </w:r>
      <w:r w:rsidR="00AB16DD">
        <w:t xml:space="preserve">illegal </w:t>
      </w:r>
      <w:r w:rsidR="001C6B49" w:rsidRPr="00E936FC">
        <w:t>settlements).</w:t>
      </w:r>
      <w:r w:rsidR="00C645DD">
        <w:rPr>
          <w:rStyle w:val="FootnoteReference"/>
        </w:rPr>
        <w:footnoteReference w:id="13"/>
      </w:r>
      <w:r w:rsidR="001C6B49" w:rsidRPr="00E936FC">
        <w:t xml:space="preserve"> Thus, the government of Israel continues its illegal policy of building and settling Jewish citizens beyond the Green Line, while </w:t>
      </w:r>
      <w:r w:rsidR="001C6B49" w:rsidRPr="00A00B43">
        <w:rPr>
          <w:b/>
          <w:bCs/>
        </w:rPr>
        <w:t>Arab communities within its territory continue to suffer from a shortage of housing and overcrowding</w:t>
      </w:r>
      <w:r w:rsidR="001C6B49" w:rsidRPr="00E936FC">
        <w:t xml:space="preserve"> due to the massive discriminatory appropriation of land and unfair, inequitable planning policies of the state.</w:t>
      </w:r>
    </w:p>
    <w:p w14:paraId="31C949C2" w14:textId="77777777" w:rsidR="00496000" w:rsidRPr="00E936FC" w:rsidRDefault="00496000" w:rsidP="00E936FC">
      <w:pPr>
        <w:spacing w:after="0" w:line="240" w:lineRule="auto"/>
        <w:jc w:val="both"/>
      </w:pPr>
    </w:p>
    <w:tbl>
      <w:tblPr>
        <w:tblStyle w:val="TableGrid"/>
        <w:bidiVisual/>
        <w:tblW w:w="0" w:type="auto"/>
        <w:jc w:val="center"/>
        <w:tblLook w:val="04A0" w:firstRow="1" w:lastRow="0" w:firstColumn="1" w:lastColumn="0" w:noHBand="0" w:noVBand="1"/>
      </w:tblPr>
      <w:tblGrid>
        <w:gridCol w:w="3177"/>
        <w:gridCol w:w="3178"/>
        <w:gridCol w:w="3178"/>
      </w:tblGrid>
      <w:tr w:rsidR="00496000" w:rsidRPr="00E936FC" w14:paraId="6A2672CE" w14:textId="77777777" w:rsidTr="00AB4767">
        <w:trPr>
          <w:jc w:val="center"/>
        </w:trPr>
        <w:tc>
          <w:tcPr>
            <w:tcW w:w="3177" w:type="dxa"/>
          </w:tcPr>
          <w:p w14:paraId="121F56F2" w14:textId="77777777" w:rsidR="00496000" w:rsidRPr="00E936FC" w:rsidRDefault="00496000" w:rsidP="00AB4767">
            <w:pPr>
              <w:spacing w:after="100"/>
              <w:jc w:val="center"/>
              <w:rPr>
                <w:rFonts w:asciiTheme="minorHAnsi" w:hAnsiTheme="minorHAnsi"/>
                <w:b/>
                <w:bCs/>
                <w:sz w:val="22"/>
                <w:szCs w:val="22"/>
                <w:u w:val="single"/>
                <w:rtl/>
              </w:rPr>
            </w:pPr>
            <w:r w:rsidRPr="00E936FC">
              <w:rPr>
                <w:rFonts w:asciiTheme="minorHAnsi" w:hAnsiTheme="minorHAnsi"/>
                <w:b/>
                <w:bCs/>
                <w:sz w:val="22"/>
                <w:szCs w:val="22"/>
                <w:u w:val="single"/>
              </w:rPr>
              <w:t>Arab Towns</w:t>
            </w:r>
          </w:p>
        </w:tc>
        <w:tc>
          <w:tcPr>
            <w:tcW w:w="3178" w:type="dxa"/>
          </w:tcPr>
          <w:p w14:paraId="57572F9F" w14:textId="77777777" w:rsidR="00496000" w:rsidRPr="00E936FC" w:rsidRDefault="00496000" w:rsidP="00AB4767">
            <w:pPr>
              <w:spacing w:after="100"/>
              <w:jc w:val="center"/>
              <w:rPr>
                <w:rFonts w:asciiTheme="minorHAnsi" w:hAnsiTheme="minorHAnsi"/>
                <w:b/>
                <w:bCs/>
                <w:sz w:val="22"/>
                <w:szCs w:val="22"/>
                <w:u w:val="single"/>
                <w:rtl/>
              </w:rPr>
            </w:pPr>
            <w:r w:rsidRPr="00E936FC">
              <w:rPr>
                <w:rFonts w:asciiTheme="minorHAnsi" w:hAnsiTheme="minorHAnsi"/>
                <w:b/>
                <w:bCs/>
                <w:sz w:val="22"/>
                <w:szCs w:val="22"/>
                <w:u w:val="single"/>
              </w:rPr>
              <w:t>Settlements</w:t>
            </w:r>
          </w:p>
        </w:tc>
        <w:tc>
          <w:tcPr>
            <w:tcW w:w="3178" w:type="dxa"/>
          </w:tcPr>
          <w:p w14:paraId="46CAB8F5" w14:textId="77777777" w:rsidR="00496000" w:rsidRPr="00E936FC" w:rsidRDefault="00496000" w:rsidP="00AB4767">
            <w:pPr>
              <w:spacing w:after="100"/>
              <w:jc w:val="center"/>
              <w:rPr>
                <w:rFonts w:asciiTheme="minorHAnsi" w:hAnsiTheme="minorHAnsi"/>
                <w:b/>
                <w:bCs/>
                <w:sz w:val="22"/>
                <w:szCs w:val="22"/>
                <w:u w:val="single"/>
                <w:rtl/>
              </w:rPr>
            </w:pPr>
            <w:r w:rsidRPr="00E936FC">
              <w:rPr>
                <w:rFonts w:asciiTheme="minorHAnsi" w:hAnsiTheme="minorHAnsi"/>
                <w:b/>
                <w:bCs/>
                <w:sz w:val="22"/>
                <w:szCs w:val="22"/>
                <w:u w:val="single"/>
              </w:rPr>
              <w:t>Indicator</w:t>
            </w:r>
          </w:p>
        </w:tc>
      </w:tr>
      <w:tr w:rsidR="00496000" w:rsidRPr="00E936FC" w14:paraId="766EB31D" w14:textId="77777777" w:rsidTr="00AB4767">
        <w:trPr>
          <w:jc w:val="center"/>
        </w:trPr>
        <w:tc>
          <w:tcPr>
            <w:tcW w:w="3177" w:type="dxa"/>
          </w:tcPr>
          <w:p w14:paraId="600F46F0" w14:textId="77777777" w:rsidR="00496000" w:rsidRPr="00E936FC" w:rsidRDefault="00496000" w:rsidP="00AB4767">
            <w:pPr>
              <w:spacing w:after="100"/>
              <w:jc w:val="center"/>
              <w:rPr>
                <w:rFonts w:asciiTheme="minorHAnsi" w:hAnsiTheme="minorHAnsi"/>
                <w:sz w:val="22"/>
                <w:szCs w:val="22"/>
                <w:rtl/>
              </w:rPr>
            </w:pPr>
            <w:r w:rsidRPr="00E936FC">
              <w:rPr>
                <w:rFonts w:asciiTheme="minorHAnsi" w:hAnsiTheme="minorHAnsi"/>
                <w:sz w:val="22"/>
                <w:szCs w:val="22"/>
              </w:rPr>
              <w:t>3,547</w:t>
            </w:r>
          </w:p>
        </w:tc>
        <w:tc>
          <w:tcPr>
            <w:tcW w:w="3178" w:type="dxa"/>
          </w:tcPr>
          <w:p w14:paraId="452159ED" w14:textId="77777777" w:rsidR="00496000" w:rsidRPr="00E936FC" w:rsidRDefault="00496000" w:rsidP="00AB4767">
            <w:pPr>
              <w:spacing w:after="100"/>
              <w:jc w:val="center"/>
              <w:rPr>
                <w:rFonts w:asciiTheme="minorHAnsi" w:hAnsiTheme="minorHAnsi"/>
                <w:sz w:val="22"/>
                <w:szCs w:val="22"/>
                <w:rtl/>
              </w:rPr>
            </w:pPr>
            <w:r w:rsidRPr="00E936FC">
              <w:rPr>
                <w:rFonts w:asciiTheme="minorHAnsi" w:hAnsiTheme="minorHAnsi"/>
                <w:sz w:val="22"/>
                <w:szCs w:val="22"/>
              </w:rPr>
              <w:t>3,883</w:t>
            </w:r>
          </w:p>
        </w:tc>
        <w:tc>
          <w:tcPr>
            <w:tcW w:w="3178" w:type="dxa"/>
          </w:tcPr>
          <w:p w14:paraId="2B83B2CA" w14:textId="77777777" w:rsidR="00496000" w:rsidRPr="00E936FC" w:rsidRDefault="00496000" w:rsidP="00AB4767">
            <w:pPr>
              <w:spacing w:after="100"/>
              <w:jc w:val="center"/>
              <w:rPr>
                <w:rFonts w:asciiTheme="minorHAnsi" w:hAnsiTheme="minorHAnsi"/>
                <w:b/>
                <w:bCs/>
                <w:sz w:val="22"/>
                <w:szCs w:val="22"/>
                <w:rtl/>
              </w:rPr>
            </w:pPr>
            <w:r w:rsidRPr="00E936FC">
              <w:rPr>
                <w:rFonts w:asciiTheme="minorHAnsi" w:hAnsiTheme="minorHAnsi"/>
                <w:b/>
                <w:bCs/>
                <w:sz w:val="22"/>
                <w:szCs w:val="22"/>
              </w:rPr>
              <w:t>Tenders Published</w:t>
            </w:r>
          </w:p>
        </w:tc>
      </w:tr>
      <w:tr w:rsidR="00496000" w:rsidRPr="00E936FC" w14:paraId="4A4AC145" w14:textId="77777777" w:rsidTr="00AB4767">
        <w:trPr>
          <w:jc w:val="center"/>
        </w:trPr>
        <w:tc>
          <w:tcPr>
            <w:tcW w:w="3177" w:type="dxa"/>
          </w:tcPr>
          <w:p w14:paraId="0FDA6789" w14:textId="77777777" w:rsidR="00496000" w:rsidRPr="00E936FC" w:rsidRDefault="00496000" w:rsidP="00AB4767">
            <w:pPr>
              <w:spacing w:after="100"/>
              <w:jc w:val="center"/>
              <w:rPr>
                <w:rFonts w:asciiTheme="minorHAnsi" w:hAnsiTheme="minorHAnsi"/>
                <w:sz w:val="22"/>
                <w:szCs w:val="22"/>
                <w:rtl/>
              </w:rPr>
            </w:pPr>
            <w:r w:rsidRPr="00E936FC">
              <w:rPr>
                <w:rFonts w:asciiTheme="minorHAnsi" w:hAnsiTheme="minorHAnsi"/>
                <w:sz w:val="22"/>
                <w:szCs w:val="22"/>
              </w:rPr>
              <w:t>1,200,000</w:t>
            </w:r>
          </w:p>
        </w:tc>
        <w:tc>
          <w:tcPr>
            <w:tcW w:w="3178" w:type="dxa"/>
          </w:tcPr>
          <w:p w14:paraId="48C299F5" w14:textId="77777777" w:rsidR="00496000" w:rsidRPr="00E936FC" w:rsidRDefault="00496000" w:rsidP="00AB4767">
            <w:pPr>
              <w:spacing w:after="100"/>
              <w:jc w:val="center"/>
              <w:rPr>
                <w:rFonts w:asciiTheme="minorHAnsi" w:hAnsiTheme="minorHAnsi"/>
                <w:sz w:val="22"/>
                <w:szCs w:val="22"/>
                <w:rtl/>
              </w:rPr>
            </w:pPr>
            <w:r w:rsidRPr="00E936FC">
              <w:rPr>
                <w:rFonts w:asciiTheme="minorHAnsi" w:hAnsiTheme="minorHAnsi"/>
                <w:sz w:val="22"/>
                <w:szCs w:val="22"/>
              </w:rPr>
              <w:t>550,00</w:t>
            </w:r>
          </w:p>
        </w:tc>
        <w:tc>
          <w:tcPr>
            <w:tcW w:w="3178" w:type="dxa"/>
          </w:tcPr>
          <w:p w14:paraId="6C9925C4" w14:textId="77777777" w:rsidR="00496000" w:rsidRPr="00E936FC" w:rsidRDefault="00496000" w:rsidP="00AB4767">
            <w:pPr>
              <w:spacing w:after="100"/>
              <w:jc w:val="center"/>
              <w:rPr>
                <w:rFonts w:asciiTheme="minorHAnsi" w:hAnsiTheme="minorHAnsi"/>
                <w:b/>
                <w:bCs/>
                <w:sz w:val="22"/>
                <w:szCs w:val="22"/>
                <w:rtl/>
              </w:rPr>
            </w:pPr>
            <w:r w:rsidRPr="00E936FC">
              <w:rPr>
                <w:rFonts w:asciiTheme="minorHAnsi" w:hAnsiTheme="minorHAnsi"/>
                <w:b/>
                <w:bCs/>
                <w:sz w:val="22"/>
                <w:szCs w:val="22"/>
              </w:rPr>
              <w:t>Inhabitants (approx.)</w:t>
            </w:r>
          </w:p>
        </w:tc>
      </w:tr>
    </w:tbl>
    <w:p w14:paraId="30E551A7" w14:textId="77777777" w:rsidR="005B6465" w:rsidRPr="00E936FC" w:rsidRDefault="005B6465" w:rsidP="00D030A4">
      <w:pPr>
        <w:spacing w:after="0" w:line="240" w:lineRule="auto"/>
      </w:pPr>
    </w:p>
    <w:p w14:paraId="687A487C" w14:textId="015BD7A2" w:rsidR="00496000" w:rsidRPr="00E936FC" w:rsidRDefault="00496000" w:rsidP="00E936FC">
      <w:pPr>
        <w:spacing w:after="0" w:line="240" w:lineRule="auto"/>
        <w:jc w:val="both"/>
      </w:pPr>
      <w:r w:rsidRPr="00E936FC">
        <w:t>In addition</w:t>
      </w:r>
      <w:r w:rsidR="00533A1A" w:rsidRPr="00E936FC">
        <w:t xml:space="preserve"> to housing</w:t>
      </w:r>
      <w:r w:rsidR="004D4B84" w:rsidRPr="00E936FC">
        <w:t>, the ILA continued</w:t>
      </w:r>
      <w:r w:rsidRPr="00E936FC">
        <w:t xml:space="preserve"> to discriminate against Arab communities in </w:t>
      </w:r>
      <w:r w:rsidRPr="00A00B43">
        <w:rPr>
          <w:b/>
          <w:bCs/>
        </w:rPr>
        <w:t>the allocation of land for industrial and commercial zones</w:t>
      </w:r>
      <w:r w:rsidRPr="00E936FC">
        <w:t>. In 2013, the I</w:t>
      </w:r>
      <w:r w:rsidR="00AF3158" w:rsidRPr="00E936FC">
        <w:t xml:space="preserve">LA published 44 tenders for the </w:t>
      </w:r>
      <w:r w:rsidRPr="00E936FC">
        <w:t>establishment of industrial zones in Jewish communities (7 of which are to be located in illegal settlements</w:t>
      </w:r>
      <w:r w:rsidR="00AB16DD">
        <w:t xml:space="preserve"> in the OPT</w:t>
      </w:r>
      <w:r w:rsidRPr="00E936FC">
        <w:t xml:space="preserve">), in contrast with “0” tenders for the establishment of these zones in Arab communities. Between 2009 and 2013, the ILA published 13 tenders for the establishment of commercial and industrial zones in Arab communities, whereas it published 292 tenders for these zones in non-Arab communities. Most of these </w:t>
      </w:r>
      <w:r w:rsidRPr="00E936FC">
        <w:lastRenderedPageBreak/>
        <w:t>areas in Arab communities included land designated for housing and cannot constitute a significant economic impetus</w:t>
      </w:r>
      <w:r w:rsidR="00C645DD">
        <w:t>.</w:t>
      </w:r>
      <w:r w:rsidR="00C645DD">
        <w:rPr>
          <w:rStyle w:val="FootnoteReference"/>
        </w:rPr>
        <w:footnoteReference w:id="14"/>
      </w:r>
    </w:p>
    <w:p w14:paraId="363BAE90" w14:textId="77777777" w:rsidR="00496000" w:rsidRPr="00E936FC" w:rsidRDefault="00496000" w:rsidP="00E936FC">
      <w:pPr>
        <w:spacing w:after="0" w:line="240" w:lineRule="auto"/>
        <w:jc w:val="both"/>
      </w:pPr>
    </w:p>
    <w:tbl>
      <w:tblPr>
        <w:tblStyle w:val="TableGrid"/>
        <w:tblW w:w="0" w:type="auto"/>
        <w:tblLook w:val="04A0" w:firstRow="1" w:lastRow="0" w:firstColumn="1" w:lastColumn="0" w:noHBand="0" w:noVBand="1"/>
      </w:tblPr>
      <w:tblGrid>
        <w:gridCol w:w="3177"/>
        <w:gridCol w:w="3178"/>
        <w:gridCol w:w="3178"/>
      </w:tblGrid>
      <w:tr w:rsidR="00496000" w:rsidRPr="00E936FC" w14:paraId="2519ABA0" w14:textId="77777777" w:rsidTr="00AB4767">
        <w:tc>
          <w:tcPr>
            <w:tcW w:w="3177" w:type="dxa"/>
          </w:tcPr>
          <w:p w14:paraId="2AA4AB45" w14:textId="77777777" w:rsidR="00496000" w:rsidRPr="00E936FC" w:rsidRDefault="00496000" w:rsidP="00AB4767">
            <w:pPr>
              <w:spacing w:after="100"/>
              <w:jc w:val="center"/>
              <w:rPr>
                <w:rFonts w:asciiTheme="minorHAnsi" w:hAnsiTheme="minorHAnsi"/>
                <w:b/>
                <w:bCs/>
                <w:sz w:val="22"/>
                <w:szCs w:val="22"/>
                <w:u w:val="single"/>
              </w:rPr>
            </w:pPr>
            <w:r w:rsidRPr="00E936FC">
              <w:rPr>
                <w:rFonts w:asciiTheme="minorHAnsi" w:hAnsiTheme="minorHAnsi"/>
                <w:b/>
                <w:bCs/>
                <w:sz w:val="22"/>
                <w:szCs w:val="22"/>
                <w:u w:val="single"/>
              </w:rPr>
              <w:t>Year</w:t>
            </w:r>
          </w:p>
        </w:tc>
        <w:tc>
          <w:tcPr>
            <w:tcW w:w="3178" w:type="dxa"/>
          </w:tcPr>
          <w:p w14:paraId="0A4B518F" w14:textId="77777777" w:rsidR="00496000" w:rsidRPr="00E936FC" w:rsidRDefault="00496000" w:rsidP="00AB4767">
            <w:pPr>
              <w:spacing w:after="100"/>
              <w:jc w:val="center"/>
              <w:rPr>
                <w:rFonts w:asciiTheme="minorHAnsi" w:hAnsiTheme="minorHAnsi"/>
                <w:b/>
                <w:bCs/>
                <w:sz w:val="22"/>
                <w:szCs w:val="22"/>
                <w:u w:val="single"/>
              </w:rPr>
            </w:pPr>
            <w:r w:rsidRPr="00E936FC">
              <w:rPr>
                <w:rFonts w:asciiTheme="minorHAnsi" w:hAnsiTheme="minorHAnsi"/>
                <w:b/>
                <w:bCs/>
                <w:sz w:val="22"/>
                <w:szCs w:val="22"/>
                <w:u w:val="single"/>
              </w:rPr>
              <w:t>Settlements &amp; Jewish Towns</w:t>
            </w:r>
          </w:p>
        </w:tc>
        <w:tc>
          <w:tcPr>
            <w:tcW w:w="3178" w:type="dxa"/>
          </w:tcPr>
          <w:p w14:paraId="0684861D" w14:textId="77777777" w:rsidR="00496000" w:rsidRPr="00E936FC" w:rsidRDefault="00496000" w:rsidP="00AB4767">
            <w:pPr>
              <w:spacing w:after="100"/>
              <w:jc w:val="center"/>
              <w:rPr>
                <w:rFonts w:asciiTheme="minorHAnsi" w:hAnsiTheme="minorHAnsi"/>
                <w:b/>
                <w:bCs/>
                <w:sz w:val="22"/>
                <w:szCs w:val="22"/>
                <w:u w:val="single"/>
              </w:rPr>
            </w:pPr>
            <w:r w:rsidRPr="00E936FC">
              <w:rPr>
                <w:rFonts w:asciiTheme="minorHAnsi" w:hAnsiTheme="minorHAnsi"/>
                <w:b/>
                <w:bCs/>
                <w:sz w:val="22"/>
                <w:szCs w:val="22"/>
                <w:u w:val="single"/>
              </w:rPr>
              <w:t>Arab Towns</w:t>
            </w:r>
          </w:p>
        </w:tc>
      </w:tr>
      <w:tr w:rsidR="00496000" w:rsidRPr="00E936FC" w14:paraId="556AD94D" w14:textId="77777777" w:rsidTr="00AB4767">
        <w:tc>
          <w:tcPr>
            <w:tcW w:w="3177" w:type="dxa"/>
          </w:tcPr>
          <w:p w14:paraId="64D9EF97" w14:textId="77777777" w:rsidR="00496000" w:rsidRPr="00E936FC" w:rsidRDefault="00496000" w:rsidP="00AB4767">
            <w:pPr>
              <w:spacing w:after="100"/>
              <w:jc w:val="center"/>
              <w:rPr>
                <w:rFonts w:asciiTheme="minorHAnsi" w:hAnsiTheme="minorHAnsi"/>
                <w:b/>
                <w:bCs/>
                <w:sz w:val="22"/>
                <w:szCs w:val="22"/>
              </w:rPr>
            </w:pPr>
            <w:r w:rsidRPr="00E936FC">
              <w:rPr>
                <w:rFonts w:asciiTheme="minorHAnsi" w:hAnsiTheme="minorHAnsi"/>
                <w:b/>
                <w:bCs/>
                <w:sz w:val="22"/>
                <w:szCs w:val="22"/>
              </w:rPr>
              <w:t>2013</w:t>
            </w:r>
          </w:p>
        </w:tc>
        <w:tc>
          <w:tcPr>
            <w:tcW w:w="3178" w:type="dxa"/>
          </w:tcPr>
          <w:p w14:paraId="17C9653A" w14:textId="77777777" w:rsidR="00496000" w:rsidRPr="00E936FC" w:rsidRDefault="00496000" w:rsidP="00AB4767">
            <w:pPr>
              <w:spacing w:after="100"/>
              <w:jc w:val="center"/>
              <w:rPr>
                <w:rFonts w:asciiTheme="minorHAnsi" w:hAnsiTheme="minorHAnsi"/>
                <w:sz w:val="22"/>
                <w:szCs w:val="22"/>
              </w:rPr>
            </w:pPr>
            <w:r w:rsidRPr="00E936FC">
              <w:rPr>
                <w:rFonts w:asciiTheme="minorHAnsi" w:hAnsiTheme="minorHAnsi"/>
                <w:sz w:val="22"/>
                <w:szCs w:val="22"/>
              </w:rPr>
              <w:t>44</w:t>
            </w:r>
          </w:p>
        </w:tc>
        <w:tc>
          <w:tcPr>
            <w:tcW w:w="3178" w:type="dxa"/>
          </w:tcPr>
          <w:p w14:paraId="243D0EBB" w14:textId="77777777" w:rsidR="00496000" w:rsidRPr="00E936FC" w:rsidRDefault="00496000" w:rsidP="00AB4767">
            <w:pPr>
              <w:spacing w:after="100"/>
              <w:jc w:val="center"/>
              <w:rPr>
                <w:rFonts w:asciiTheme="minorHAnsi" w:hAnsiTheme="minorHAnsi"/>
                <w:sz w:val="22"/>
                <w:szCs w:val="22"/>
              </w:rPr>
            </w:pPr>
            <w:r w:rsidRPr="00E936FC">
              <w:rPr>
                <w:rFonts w:asciiTheme="minorHAnsi" w:hAnsiTheme="minorHAnsi"/>
                <w:sz w:val="22"/>
                <w:szCs w:val="22"/>
              </w:rPr>
              <w:t>0</w:t>
            </w:r>
          </w:p>
        </w:tc>
      </w:tr>
      <w:tr w:rsidR="00496000" w:rsidRPr="00E936FC" w14:paraId="3A8CCF00" w14:textId="77777777" w:rsidTr="00AB4767">
        <w:tc>
          <w:tcPr>
            <w:tcW w:w="3177" w:type="dxa"/>
          </w:tcPr>
          <w:p w14:paraId="7F1F2FBE" w14:textId="77777777" w:rsidR="00496000" w:rsidRPr="00E936FC" w:rsidRDefault="00496000" w:rsidP="00AB4767">
            <w:pPr>
              <w:spacing w:after="100"/>
              <w:jc w:val="center"/>
              <w:rPr>
                <w:rFonts w:asciiTheme="minorHAnsi" w:hAnsiTheme="minorHAnsi"/>
                <w:b/>
                <w:bCs/>
                <w:sz w:val="22"/>
                <w:szCs w:val="22"/>
              </w:rPr>
            </w:pPr>
            <w:r w:rsidRPr="00E936FC">
              <w:rPr>
                <w:rFonts w:asciiTheme="minorHAnsi" w:hAnsiTheme="minorHAnsi"/>
                <w:b/>
                <w:bCs/>
                <w:sz w:val="22"/>
                <w:szCs w:val="22"/>
              </w:rPr>
              <w:t>2009-2013</w:t>
            </w:r>
          </w:p>
        </w:tc>
        <w:tc>
          <w:tcPr>
            <w:tcW w:w="3178" w:type="dxa"/>
          </w:tcPr>
          <w:p w14:paraId="6A7784E1" w14:textId="77777777" w:rsidR="00496000" w:rsidRPr="00E936FC" w:rsidRDefault="00496000" w:rsidP="00AB4767">
            <w:pPr>
              <w:spacing w:after="100"/>
              <w:jc w:val="center"/>
              <w:rPr>
                <w:rFonts w:asciiTheme="minorHAnsi" w:hAnsiTheme="minorHAnsi"/>
                <w:sz w:val="22"/>
                <w:szCs w:val="22"/>
              </w:rPr>
            </w:pPr>
            <w:r w:rsidRPr="00E936FC">
              <w:rPr>
                <w:rFonts w:asciiTheme="minorHAnsi" w:hAnsiTheme="minorHAnsi"/>
                <w:sz w:val="22"/>
                <w:szCs w:val="22"/>
              </w:rPr>
              <w:t>292</w:t>
            </w:r>
          </w:p>
        </w:tc>
        <w:tc>
          <w:tcPr>
            <w:tcW w:w="3178" w:type="dxa"/>
          </w:tcPr>
          <w:p w14:paraId="0631AB7F" w14:textId="77777777" w:rsidR="00496000" w:rsidRPr="00E936FC" w:rsidRDefault="00496000" w:rsidP="00AB4767">
            <w:pPr>
              <w:spacing w:after="100"/>
              <w:jc w:val="center"/>
              <w:rPr>
                <w:rFonts w:asciiTheme="minorHAnsi" w:hAnsiTheme="minorHAnsi"/>
                <w:sz w:val="22"/>
                <w:szCs w:val="22"/>
              </w:rPr>
            </w:pPr>
            <w:r w:rsidRPr="00E936FC">
              <w:rPr>
                <w:rFonts w:asciiTheme="minorHAnsi" w:hAnsiTheme="minorHAnsi"/>
                <w:sz w:val="22"/>
                <w:szCs w:val="22"/>
              </w:rPr>
              <w:t>13</w:t>
            </w:r>
          </w:p>
        </w:tc>
      </w:tr>
    </w:tbl>
    <w:p w14:paraId="3352FE17" w14:textId="77777777" w:rsidR="00496000" w:rsidRDefault="00496000" w:rsidP="00E936FC">
      <w:pPr>
        <w:spacing w:after="0" w:line="240" w:lineRule="auto"/>
        <w:jc w:val="both"/>
      </w:pPr>
    </w:p>
    <w:p w14:paraId="11EA993E" w14:textId="27536EF0" w:rsidR="00D030A4" w:rsidRPr="00E936FC" w:rsidRDefault="00D030A4" w:rsidP="00611C7E">
      <w:pPr>
        <w:pStyle w:val="ListParagraph"/>
        <w:numPr>
          <w:ilvl w:val="0"/>
          <w:numId w:val="2"/>
        </w:numPr>
        <w:spacing w:after="0" w:line="240" w:lineRule="auto"/>
        <w:jc w:val="both"/>
        <w:rPr>
          <w:b/>
          <w:bCs/>
          <w:i/>
          <w:iCs/>
        </w:rPr>
      </w:pPr>
      <w:r w:rsidRPr="00E936FC">
        <w:rPr>
          <w:b/>
          <w:bCs/>
          <w:i/>
          <w:iCs/>
        </w:rPr>
        <w:t>Question 8</w:t>
      </w:r>
      <w:r w:rsidR="00D735A9">
        <w:rPr>
          <w:b/>
          <w:bCs/>
          <w:i/>
          <w:iCs/>
        </w:rPr>
        <w:t>(</w:t>
      </w:r>
      <w:r w:rsidRPr="00E936FC">
        <w:rPr>
          <w:b/>
          <w:bCs/>
          <w:i/>
          <w:iCs/>
        </w:rPr>
        <w:t>a</w:t>
      </w:r>
      <w:r w:rsidR="00D735A9">
        <w:rPr>
          <w:b/>
          <w:bCs/>
          <w:i/>
          <w:iCs/>
        </w:rPr>
        <w:t>)</w:t>
      </w:r>
      <w:r w:rsidR="008140D2" w:rsidRPr="00E936FC">
        <w:rPr>
          <w:b/>
          <w:bCs/>
          <w:i/>
          <w:iCs/>
        </w:rPr>
        <w:t xml:space="preserve">: </w:t>
      </w:r>
      <w:r w:rsidRPr="00E936FC">
        <w:rPr>
          <w:b/>
          <w:bCs/>
          <w:i/>
          <w:iCs/>
        </w:rPr>
        <w:t xml:space="preserve">Please provide information on steps taken by the State party to ensure: (a) Equal representation of Jewish and Arab citizens in the civil service, in particular in decision-making positions. </w:t>
      </w:r>
      <w:r w:rsidRPr="00D735A9">
        <w:rPr>
          <w:b/>
          <w:bCs/>
          <w:i/>
          <w:iCs/>
        </w:rPr>
        <w:t xml:space="preserve">In this regard, please inform the Committee of the outcome of the Government’s employment-policy and on cases of discrimination in employment against Arab Israeli citizens addressed by the courts or the </w:t>
      </w:r>
      <w:proofErr w:type="spellStart"/>
      <w:r w:rsidRPr="00D735A9">
        <w:rPr>
          <w:b/>
          <w:bCs/>
          <w:i/>
          <w:iCs/>
        </w:rPr>
        <w:t>labour</w:t>
      </w:r>
      <w:proofErr w:type="spellEnd"/>
      <w:r w:rsidRPr="00D735A9">
        <w:rPr>
          <w:b/>
          <w:bCs/>
          <w:i/>
          <w:iCs/>
        </w:rPr>
        <w:t xml:space="preserve"> inspection servic</w:t>
      </w:r>
      <w:r w:rsidR="00611C7E" w:rsidRPr="00D735A9">
        <w:rPr>
          <w:b/>
          <w:bCs/>
          <w:i/>
          <w:iCs/>
        </w:rPr>
        <w:t>e</w:t>
      </w:r>
      <w:r w:rsidRPr="007C4F9A">
        <w:rPr>
          <w:b/>
          <w:bCs/>
          <w:i/>
          <w:iCs/>
        </w:rPr>
        <w:t>;</w:t>
      </w:r>
    </w:p>
    <w:p w14:paraId="70058DAD" w14:textId="77777777" w:rsidR="004C2BDE" w:rsidRDefault="004C2BDE" w:rsidP="00E936FC">
      <w:pPr>
        <w:spacing w:after="0" w:line="240" w:lineRule="auto"/>
        <w:jc w:val="both"/>
      </w:pPr>
    </w:p>
    <w:p w14:paraId="6EE02CCF" w14:textId="63F6ED5B" w:rsidR="0008659E" w:rsidRDefault="00FC1975" w:rsidP="009612F4">
      <w:pPr>
        <w:spacing w:after="0" w:line="240" w:lineRule="auto"/>
        <w:jc w:val="both"/>
      </w:pPr>
      <w:r>
        <w:t xml:space="preserve">Israeli authorities have not </w:t>
      </w:r>
      <w:r w:rsidR="00AC3C0A">
        <w:t>demonstrated</w:t>
      </w:r>
      <w:r>
        <w:t xml:space="preserve"> sufficient effort in addressing the low representation of Arab citizens</w:t>
      </w:r>
      <w:r w:rsidR="00AC3C0A">
        <w:t xml:space="preserve"> </w:t>
      </w:r>
      <w:r>
        <w:t>in the</w:t>
      </w:r>
      <w:r w:rsidR="00AC3C0A">
        <w:t xml:space="preserve"> Israeli</w:t>
      </w:r>
      <w:r>
        <w:t xml:space="preserve"> civil service</w:t>
      </w:r>
      <w:r w:rsidR="0058286C">
        <w:t>, particularly Arab women who</w:t>
      </w:r>
      <w:r w:rsidR="0008659E">
        <w:t xml:space="preserve"> remain severely underrepresented in all positions</w:t>
      </w:r>
      <w:r>
        <w:t xml:space="preserve">. </w:t>
      </w:r>
      <w:r w:rsidR="009612F4">
        <w:t>In parallel, the "Contributors to the State Bill" proposed in the Knesset, which would give preferences in hiring to military or civic service graduates, threatens to negatively affect the already small number of Arabs in these positions and would roll back the small gains achieved in this field</w:t>
      </w:r>
      <w:r w:rsidR="009612F4" w:rsidRPr="00885228">
        <w:t>.</w:t>
      </w:r>
      <w:r w:rsidR="009612F4" w:rsidRPr="004475E0">
        <w:t xml:space="preserve"> </w:t>
      </w:r>
      <w:r w:rsidR="0008659E" w:rsidRPr="00E77C88">
        <w:t>W</w:t>
      </w:r>
      <w:r w:rsidR="0008659E">
        <w:t>hile as of 2014, 8-9% of civil service positions are held by Palestinian citizens of Israel (short of the 10% target by 2012 that was set by</w:t>
      </w:r>
      <w:r>
        <w:t xml:space="preserve"> Government Decision No. 2579 </w:t>
      </w:r>
      <w:r w:rsidR="007C4F9A">
        <w:t xml:space="preserve">in </w:t>
      </w:r>
      <w:r>
        <w:t>2007</w:t>
      </w:r>
      <w:r w:rsidR="0008659E">
        <w:t>)</w:t>
      </w:r>
      <w:r w:rsidR="00E8551C">
        <w:t>,</w:t>
      </w:r>
      <w:r>
        <w:t xml:space="preserve"> </w:t>
      </w:r>
      <w:proofErr w:type="spellStart"/>
      <w:r w:rsidR="0008659E">
        <w:t>Adalah</w:t>
      </w:r>
      <w:proofErr w:type="spellEnd"/>
      <w:r w:rsidR="0008659E">
        <w:t xml:space="preserve"> found that </w:t>
      </w:r>
      <w:r w:rsidR="0008659E" w:rsidRPr="00F04D6C">
        <w:rPr>
          <w:b/>
          <w:bCs/>
        </w:rPr>
        <w:t>there is no coordinated process and/or overall comprehensive plan</w:t>
      </w:r>
      <w:r w:rsidR="0008659E">
        <w:t xml:space="preserve"> aimed at raising the proportion of Arab women, or the Arab population as a whole, within the civil service.</w:t>
      </w:r>
    </w:p>
    <w:p w14:paraId="75D7AA78" w14:textId="47EE0245" w:rsidR="0008659E" w:rsidRDefault="0008659E" w:rsidP="00C65907">
      <w:pPr>
        <w:spacing w:after="0" w:line="240" w:lineRule="auto"/>
        <w:jc w:val="both"/>
      </w:pPr>
    </w:p>
    <w:p w14:paraId="1FF9BC14" w14:textId="56CAE902" w:rsidR="00F04D6C" w:rsidRDefault="00FC1975" w:rsidP="00B734BB">
      <w:pPr>
        <w:spacing w:after="0" w:line="240" w:lineRule="auto"/>
        <w:jc w:val="both"/>
      </w:pPr>
      <w:r>
        <w:t xml:space="preserve">The </w:t>
      </w:r>
      <w:r w:rsidRPr="008936C2">
        <w:rPr>
          <w:b/>
          <w:bCs/>
        </w:rPr>
        <w:t>representation of Arab women is particularly dire</w:t>
      </w:r>
      <w:r>
        <w:t xml:space="preserve"> as they make up only </w:t>
      </w:r>
      <w:r w:rsidR="00C65907">
        <w:t xml:space="preserve">around </w:t>
      </w:r>
      <w:r>
        <w:t>1.8% of the civil service.</w:t>
      </w:r>
      <w:r w:rsidR="0008659E">
        <w:t xml:space="preserve">  </w:t>
      </w:r>
      <w:r w:rsidR="00F04D6C">
        <w:t xml:space="preserve">While the proportion of </w:t>
      </w:r>
      <w:r w:rsidR="00197F8D">
        <w:t xml:space="preserve">Israeli </w:t>
      </w:r>
      <w:r w:rsidR="00F04D6C">
        <w:t>Jewish women in the civil service has risen significantly, the number of Arab women remains minimal today.</w:t>
      </w:r>
      <w:r w:rsidR="00AC3C0A">
        <w:t xml:space="preserve"> </w:t>
      </w:r>
      <w:proofErr w:type="spellStart"/>
      <w:r>
        <w:t>Adalah</w:t>
      </w:r>
      <w:proofErr w:type="spellEnd"/>
      <w:r>
        <w:t xml:space="preserve"> </w:t>
      </w:r>
      <w:r w:rsidR="00197F8D">
        <w:t xml:space="preserve">found that </w:t>
      </w:r>
      <w:r>
        <w:t xml:space="preserve">the </w:t>
      </w:r>
      <w:r w:rsidR="00197F8D">
        <w:t>law</w:t>
      </w:r>
      <w:r w:rsidR="00834C64">
        <w:t>s</w:t>
      </w:r>
      <w:r w:rsidR="00197F8D">
        <w:t xml:space="preserve"> </w:t>
      </w:r>
      <w:r>
        <w:t xml:space="preserve">regarding the </w:t>
      </w:r>
      <w:r w:rsidR="00197F8D">
        <w:t xml:space="preserve">adequate </w:t>
      </w:r>
      <w:r>
        <w:t xml:space="preserve">representation of women </w:t>
      </w:r>
      <w:r w:rsidR="00197F8D">
        <w:t>in the civil service</w:t>
      </w:r>
      <w:r w:rsidR="00B734BB">
        <w:t xml:space="preserve"> </w:t>
      </w:r>
      <w:r>
        <w:t xml:space="preserve">were implemented effectively </w:t>
      </w:r>
      <w:r w:rsidR="00AC3C0A">
        <w:t>in regards to</w:t>
      </w:r>
      <w:r>
        <w:t xml:space="preserve"> Jewish women, </w:t>
      </w:r>
      <w:r w:rsidR="00AC3C0A">
        <w:t>but</w:t>
      </w:r>
      <w:r>
        <w:t xml:space="preserve"> in practice, </w:t>
      </w:r>
      <w:r w:rsidRPr="00F04D6C">
        <w:rPr>
          <w:b/>
          <w:bCs/>
        </w:rPr>
        <w:t xml:space="preserve">there </w:t>
      </w:r>
      <w:r w:rsidR="00AC3C0A">
        <w:rPr>
          <w:b/>
          <w:bCs/>
        </w:rPr>
        <w:t>was</w:t>
      </w:r>
      <w:r w:rsidRPr="00F04D6C">
        <w:rPr>
          <w:b/>
          <w:bCs/>
        </w:rPr>
        <w:t xml:space="preserve"> </w:t>
      </w:r>
      <w:r w:rsidR="00A35A9E">
        <w:rPr>
          <w:b/>
          <w:bCs/>
        </w:rPr>
        <w:t xml:space="preserve">no </w:t>
      </w:r>
      <w:r w:rsidR="00AC3C0A">
        <w:rPr>
          <w:b/>
          <w:bCs/>
        </w:rPr>
        <w:t>similar</w:t>
      </w:r>
      <w:r w:rsidRPr="00F04D6C">
        <w:rPr>
          <w:b/>
          <w:bCs/>
        </w:rPr>
        <w:t xml:space="preserve"> implementation </w:t>
      </w:r>
      <w:r w:rsidR="00F04D6C">
        <w:rPr>
          <w:b/>
          <w:bCs/>
        </w:rPr>
        <w:t>of these provisions for</w:t>
      </w:r>
      <w:r w:rsidRPr="00F04D6C">
        <w:rPr>
          <w:b/>
          <w:bCs/>
        </w:rPr>
        <w:t xml:space="preserve"> Arab women</w:t>
      </w:r>
      <w:r w:rsidR="00B734BB">
        <w:t>, neither through the law for improving women's representation or the law for improving Arab representation.</w:t>
      </w:r>
      <w:r w:rsidR="003E4A4B">
        <w:rPr>
          <w:rStyle w:val="FootnoteReference"/>
        </w:rPr>
        <w:footnoteReference w:id="15"/>
      </w:r>
    </w:p>
    <w:p w14:paraId="4AB1008A" w14:textId="77777777" w:rsidR="008936C2" w:rsidRDefault="008936C2" w:rsidP="00F04D6C">
      <w:pPr>
        <w:spacing w:after="0" w:line="240" w:lineRule="auto"/>
        <w:jc w:val="both"/>
      </w:pPr>
    </w:p>
    <w:p w14:paraId="036E8D98" w14:textId="0178BF61" w:rsidR="004C2BDE" w:rsidRDefault="00A35A9E" w:rsidP="001977DE">
      <w:pPr>
        <w:spacing w:after="0" w:line="240" w:lineRule="auto"/>
        <w:jc w:val="both"/>
      </w:pPr>
      <w:r>
        <w:t>T</w:t>
      </w:r>
      <w:r w:rsidR="00AC3C0A">
        <w:t xml:space="preserve">he reasons for low Arab representation in the civil service, and particularly in regards to Arab women, </w:t>
      </w:r>
      <w:r w:rsidR="00E80DAB">
        <w:t>include:</w:t>
      </w:r>
      <w:r w:rsidR="00AC3C0A">
        <w:t xml:space="preserve"> the</w:t>
      </w:r>
      <w:r w:rsidR="00F04D6C">
        <w:t xml:space="preserve"> </w:t>
      </w:r>
      <w:r w:rsidR="008936C2">
        <w:t xml:space="preserve">lack of genuine </w:t>
      </w:r>
      <w:r w:rsidR="00E80DAB">
        <w:t xml:space="preserve">internalization </w:t>
      </w:r>
      <w:r>
        <w:t xml:space="preserve">by the government </w:t>
      </w:r>
      <w:r w:rsidR="00E80DAB">
        <w:t>of the importance</w:t>
      </w:r>
      <w:r w:rsidR="008936C2">
        <w:t xml:space="preserve"> </w:t>
      </w:r>
      <w:r w:rsidR="00E80DAB">
        <w:t>of having</w:t>
      </w:r>
      <w:r w:rsidR="008936C2">
        <w:t xml:space="preserve"> Arab women employees</w:t>
      </w:r>
      <w:r w:rsidR="00E80DAB">
        <w:t>;</w:t>
      </w:r>
      <w:r w:rsidR="008936C2">
        <w:t xml:space="preserve"> no tangible actions by the ministries to ensure the efficacy of their outreach</w:t>
      </w:r>
      <w:r w:rsidR="00E80DAB">
        <w:t xml:space="preserve"> for civil service employees;</w:t>
      </w:r>
      <w:r w:rsidR="008936C2">
        <w:t xml:space="preserve"> and </w:t>
      </w:r>
      <w:r w:rsidR="00E80DAB">
        <w:t xml:space="preserve">the </w:t>
      </w:r>
      <w:r w:rsidR="008936C2">
        <w:t xml:space="preserve">absence of budget allocations dedicated </w:t>
      </w:r>
      <w:r w:rsidR="00E80DAB">
        <w:t xml:space="preserve">specifically </w:t>
      </w:r>
      <w:r w:rsidR="008936C2">
        <w:t xml:space="preserve">for the recruitment of </w:t>
      </w:r>
      <w:r w:rsidR="00E80DAB">
        <w:t>Arab citizens</w:t>
      </w:r>
      <w:r w:rsidR="008936C2">
        <w:t xml:space="preserve">. </w:t>
      </w:r>
      <w:r w:rsidR="00E80DAB">
        <w:t>An additional</w:t>
      </w:r>
      <w:r w:rsidR="008936C2">
        <w:t xml:space="preserve"> problem </w:t>
      </w:r>
      <w:r w:rsidR="00E80DAB">
        <w:t>is</w:t>
      </w:r>
      <w:r w:rsidR="00FC1975">
        <w:t xml:space="preserve"> the absence of the state’s recognition of the historical discrimination against the Arab minority, including Arab women</w:t>
      </w:r>
      <w:r w:rsidR="00E80DAB">
        <w:t xml:space="preserve"> who face compound discrimination for their nationality and gender</w:t>
      </w:r>
      <w:r w:rsidR="00FC1975">
        <w:t xml:space="preserve">, </w:t>
      </w:r>
      <w:r w:rsidR="00E80DAB">
        <w:t>and as a result</w:t>
      </w:r>
      <w:r w:rsidR="00FC1975">
        <w:t xml:space="preserve"> </w:t>
      </w:r>
      <w:r w:rsidR="00E80DAB" w:rsidRPr="00E80DAB">
        <w:t xml:space="preserve">disregard </w:t>
      </w:r>
      <w:r w:rsidR="00FC1975" w:rsidRPr="00E80DAB">
        <w:t>the importance of implementing affirmative action measures</w:t>
      </w:r>
      <w:r w:rsidR="00E80DAB" w:rsidRPr="00E80DAB">
        <w:t xml:space="preserve"> for these</w:t>
      </w:r>
      <w:r w:rsidR="00AB0481" w:rsidRPr="00E80DAB">
        <w:t xml:space="preserve"> </w:t>
      </w:r>
      <w:r w:rsidR="00AB0481">
        <w:t>marginalized group</w:t>
      </w:r>
      <w:r w:rsidR="00E80DAB">
        <w:t>s</w:t>
      </w:r>
      <w:r w:rsidR="00AB0481">
        <w:t>.</w:t>
      </w:r>
      <w:r w:rsidR="00D8781E">
        <w:t xml:space="preserve"> </w:t>
      </w:r>
      <w:r>
        <w:t>T</w:t>
      </w:r>
      <w:r w:rsidR="008936C2">
        <w:t xml:space="preserve">he state has </w:t>
      </w:r>
      <w:r w:rsidR="00E80DAB">
        <w:t>yet to firmly dedicate itself</w:t>
      </w:r>
      <w:r w:rsidR="008936C2">
        <w:t xml:space="preserve"> to </w:t>
      </w:r>
      <w:r w:rsidR="00E80DAB">
        <w:t>meeting</w:t>
      </w:r>
      <w:r w:rsidR="008936C2">
        <w:t xml:space="preserve"> th</w:t>
      </w:r>
      <w:r>
        <w:t>e goals of the law</w:t>
      </w:r>
      <w:r w:rsidR="00E80DAB">
        <w:t xml:space="preserve"> regard</w:t>
      </w:r>
      <w:r>
        <w:t>ing</w:t>
      </w:r>
      <w:r w:rsidR="00E80DAB">
        <w:t xml:space="preserve"> Arab minority representation.</w:t>
      </w:r>
    </w:p>
    <w:p w14:paraId="433AC36E" w14:textId="77777777" w:rsidR="004C2BDE" w:rsidRPr="006C16D1" w:rsidRDefault="004C2BDE" w:rsidP="00E936FC">
      <w:pPr>
        <w:spacing w:after="0" w:line="240" w:lineRule="auto"/>
        <w:jc w:val="both"/>
      </w:pPr>
    </w:p>
    <w:p w14:paraId="65E3253F" w14:textId="0EB1B7F0" w:rsidR="004A675A" w:rsidRPr="006C16D1" w:rsidRDefault="009168BA" w:rsidP="001977DE">
      <w:pPr>
        <w:spacing w:after="0" w:line="240" w:lineRule="auto"/>
        <w:jc w:val="both"/>
      </w:pPr>
      <w:r w:rsidRPr="00FE7B16">
        <w:t xml:space="preserve">Regarding </w:t>
      </w:r>
      <w:r w:rsidR="00775352" w:rsidRPr="00FE7B16">
        <w:t xml:space="preserve">cases of </w:t>
      </w:r>
      <w:r w:rsidRPr="00FE7B16">
        <w:rPr>
          <w:b/>
          <w:bCs/>
        </w:rPr>
        <w:t xml:space="preserve">discrimination </w:t>
      </w:r>
      <w:r w:rsidR="00A35A9E" w:rsidRPr="00FE7B16">
        <w:rPr>
          <w:b/>
          <w:bCs/>
        </w:rPr>
        <w:t xml:space="preserve">in </w:t>
      </w:r>
      <w:r w:rsidRPr="009D0DCE">
        <w:rPr>
          <w:b/>
          <w:bCs/>
        </w:rPr>
        <w:t>employment</w:t>
      </w:r>
      <w:r w:rsidR="00A35A9E" w:rsidRPr="009D0DCE">
        <w:rPr>
          <w:b/>
          <w:bCs/>
        </w:rPr>
        <w:t xml:space="preserve"> in general</w:t>
      </w:r>
      <w:r w:rsidR="00775352" w:rsidRPr="009D0DCE">
        <w:t>, Arab citizens</w:t>
      </w:r>
      <w:r w:rsidRPr="009D0DCE">
        <w:t xml:space="preserve"> </w:t>
      </w:r>
      <w:r w:rsidR="00775352" w:rsidRPr="009D0DCE">
        <w:t xml:space="preserve">continue to face </w:t>
      </w:r>
      <w:r w:rsidR="00A35A9E" w:rsidRPr="009D0DCE">
        <w:t xml:space="preserve">a </w:t>
      </w:r>
      <w:r w:rsidR="00775352" w:rsidRPr="009D0DCE">
        <w:t xml:space="preserve">lack of protection of their basic rights. </w:t>
      </w:r>
      <w:r w:rsidR="00775352" w:rsidRPr="00D2260A">
        <w:t>In an alarming and widespread trend</w:t>
      </w:r>
      <w:r w:rsidR="00775352" w:rsidRPr="00834C64">
        <w:t>, d</w:t>
      </w:r>
      <w:r w:rsidR="00AD54D5" w:rsidRPr="00834C64">
        <w:t xml:space="preserve">uring </w:t>
      </w:r>
      <w:r w:rsidR="00775352" w:rsidRPr="00834C64">
        <w:t xml:space="preserve">Israel's </w:t>
      </w:r>
      <w:r w:rsidR="00AD54D5" w:rsidRPr="00834C64">
        <w:t xml:space="preserve">military offensive in </w:t>
      </w:r>
      <w:r w:rsidR="00AD54D5" w:rsidRPr="00834C64">
        <w:lastRenderedPageBreak/>
        <w:t>Gaza</w:t>
      </w:r>
      <w:r w:rsidR="00775352" w:rsidRPr="00834C64">
        <w:t xml:space="preserve"> in the summer of 2014, </w:t>
      </w:r>
      <w:proofErr w:type="spellStart"/>
      <w:r w:rsidR="00775352" w:rsidRPr="00834C64">
        <w:t>Adalah</w:t>
      </w:r>
      <w:proofErr w:type="spellEnd"/>
      <w:r w:rsidR="00775352" w:rsidRPr="00834C64">
        <w:t xml:space="preserve"> documented numerous claims by Arab workers and Arab university students who were facing </w:t>
      </w:r>
      <w:r w:rsidR="00775352" w:rsidRPr="00834C64">
        <w:rPr>
          <w:b/>
          <w:bCs/>
        </w:rPr>
        <w:t>dismissals and threats of suspension over the publication of anti-war views on their personal Facebook pages</w:t>
      </w:r>
      <w:r w:rsidR="00775352" w:rsidRPr="00834C64">
        <w:t>.</w:t>
      </w:r>
      <w:r w:rsidR="00775352" w:rsidRPr="00834C64">
        <w:rPr>
          <w:rFonts w:cs="Arial"/>
          <w:shd w:val="clear" w:color="auto" w:fill="FFFFFF"/>
        </w:rPr>
        <w:t xml:space="preserve"> It was clear from the complaints that many employers and co-workers generally knew about the Arab employees' viewpoints through special pages on Facebook, with the aim of chasing Arab workers and collecting their statements against the Israeli military and the war, in order to put pressure on the employers to dismiss them.</w:t>
      </w:r>
      <w:r w:rsidR="00EE76B2" w:rsidRPr="006C16D1">
        <w:t xml:space="preserve"> These pressures were part of a wave of incitement against Palestinian citizens that also became targeted towards Palestinians</w:t>
      </w:r>
      <w:r w:rsidR="00EE76B2" w:rsidRPr="0019035E">
        <w:t xml:space="preserve"> in the Israeli workforce; t</w:t>
      </w:r>
      <w:r w:rsidR="00EE76B2" w:rsidRPr="009D0DCE">
        <w:t xml:space="preserve">he </w:t>
      </w:r>
      <w:r w:rsidR="00EE76B2" w:rsidRPr="00D2260A">
        <w:t>incitement included stateme</w:t>
      </w:r>
      <w:r w:rsidR="00EE76B2" w:rsidRPr="00834C64">
        <w:t xml:space="preserve">nts from Israeli </w:t>
      </w:r>
      <w:r w:rsidR="00A35A9E" w:rsidRPr="00834C64">
        <w:t xml:space="preserve">elected leaders </w:t>
      </w:r>
      <w:r w:rsidR="00EE76B2" w:rsidRPr="00834C64">
        <w:t xml:space="preserve">such as Foreign Minister </w:t>
      </w:r>
      <w:proofErr w:type="spellStart"/>
      <w:r w:rsidR="00EE76B2" w:rsidRPr="00834C64">
        <w:t>Avigdor</w:t>
      </w:r>
      <w:proofErr w:type="spellEnd"/>
      <w:r w:rsidR="00EE76B2" w:rsidRPr="00834C64">
        <w:t xml:space="preserve"> Lieberman</w:t>
      </w:r>
      <w:r w:rsidR="00EE76B2" w:rsidRPr="00834C64">
        <w:rPr>
          <w:rFonts w:cs="Arial"/>
          <w:shd w:val="clear" w:color="auto" w:fill="FFFFFF"/>
        </w:rPr>
        <w:t>, who called for a boycott of Arab businesses.</w:t>
      </w:r>
      <w:r w:rsidR="00EE76B2" w:rsidRPr="006C16D1">
        <w:t xml:space="preserve"> Such threats and dismissals were clear violations of Israel's Equal Employment Opportunities Law (1988),</w:t>
      </w:r>
      <w:r w:rsidR="00EE76B2" w:rsidRPr="00834C64">
        <w:rPr>
          <w:rFonts w:cs="Arial"/>
          <w:shd w:val="clear" w:color="auto" w:fill="FFFFFF"/>
        </w:rPr>
        <w:t xml:space="preserve"> which prohibits the employer from discriminating against his employees due to their political opinions or national belonging, including discrimination in working conditions, dismissal and severance pay. However, no statements or actions were taken by the Israeli government against these clear rights violations.</w:t>
      </w:r>
      <w:r w:rsidR="00EE76B2" w:rsidRPr="006C16D1">
        <w:rPr>
          <w:rStyle w:val="FootnoteReference"/>
        </w:rPr>
        <w:footnoteReference w:id="16"/>
      </w:r>
    </w:p>
    <w:p w14:paraId="7726EAAB" w14:textId="77777777" w:rsidR="00067A01" w:rsidRPr="00D735A9" w:rsidRDefault="00067A01" w:rsidP="00E936FC">
      <w:pPr>
        <w:spacing w:after="0" w:line="240" w:lineRule="auto"/>
        <w:jc w:val="both"/>
        <w:rPr>
          <w:b/>
          <w:bCs/>
        </w:rPr>
      </w:pPr>
    </w:p>
    <w:p w14:paraId="2B0598A9" w14:textId="3332D25D" w:rsidR="00D030A4" w:rsidRDefault="00D030A4" w:rsidP="00E936FC">
      <w:pPr>
        <w:pStyle w:val="ListParagraph"/>
        <w:numPr>
          <w:ilvl w:val="0"/>
          <w:numId w:val="2"/>
        </w:numPr>
        <w:spacing w:after="0" w:line="240" w:lineRule="auto"/>
        <w:jc w:val="both"/>
        <w:rPr>
          <w:b/>
          <w:bCs/>
          <w:i/>
          <w:iCs/>
        </w:rPr>
      </w:pPr>
      <w:r w:rsidRPr="00E936FC">
        <w:rPr>
          <w:b/>
          <w:bCs/>
          <w:i/>
          <w:iCs/>
        </w:rPr>
        <w:t>Question 8</w:t>
      </w:r>
      <w:r w:rsidR="00D735A9">
        <w:rPr>
          <w:b/>
          <w:bCs/>
          <w:i/>
          <w:iCs/>
        </w:rPr>
        <w:t>(c)</w:t>
      </w:r>
      <w:r w:rsidR="008140D2" w:rsidRPr="00E936FC">
        <w:rPr>
          <w:b/>
          <w:bCs/>
          <w:i/>
          <w:iCs/>
        </w:rPr>
        <w:t xml:space="preserve">: </w:t>
      </w:r>
      <w:r w:rsidR="009E6D6E" w:rsidRPr="00E936FC">
        <w:rPr>
          <w:b/>
          <w:bCs/>
          <w:i/>
          <w:iCs/>
        </w:rPr>
        <w:t xml:space="preserve">Please provide information on steps taken by the State party to ensure: (c) </w:t>
      </w:r>
      <w:r w:rsidRPr="00E936FC">
        <w:rPr>
          <w:b/>
          <w:bCs/>
          <w:i/>
          <w:iCs/>
        </w:rPr>
        <w:t xml:space="preserve">The right of every citizen to participate in public life. In this regard, please comment on cases where political leadership of the Arab minority faces continued and severe attacks and harassment, including Members of Knesset (cases of Members of Knesset </w:t>
      </w:r>
      <w:proofErr w:type="spellStart"/>
      <w:r w:rsidRPr="00E936FC">
        <w:rPr>
          <w:b/>
          <w:bCs/>
          <w:i/>
          <w:iCs/>
        </w:rPr>
        <w:t>Sa’id</w:t>
      </w:r>
      <w:proofErr w:type="spellEnd"/>
      <w:r w:rsidRPr="00E936FC">
        <w:rPr>
          <w:b/>
          <w:bCs/>
          <w:i/>
          <w:iCs/>
        </w:rPr>
        <w:t xml:space="preserve"> </w:t>
      </w:r>
      <w:proofErr w:type="spellStart"/>
      <w:r w:rsidRPr="00E936FC">
        <w:rPr>
          <w:b/>
          <w:bCs/>
          <w:i/>
          <w:iCs/>
        </w:rPr>
        <w:t>Naffaa</w:t>
      </w:r>
      <w:proofErr w:type="spellEnd"/>
      <w:r w:rsidRPr="00E936FC">
        <w:rPr>
          <w:b/>
          <w:bCs/>
          <w:i/>
          <w:iCs/>
        </w:rPr>
        <w:t xml:space="preserve">, Mohammed </w:t>
      </w:r>
      <w:proofErr w:type="spellStart"/>
      <w:r w:rsidRPr="00E936FC">
        <w:rPr>
          <w:b/>
          <w:bCs/>
          <w:i/>
          <w:iCs/>
        </w:rPr>
        <w:t>Barak</w:t>
      </w:r>
      <w:r w:rsidR="00EC716C" w:rsidRPr="00E936FC">
        <w:rPr>
          <w:b/>
          <w:bCs/>
          <w:i/>
          <w:iCs/>
        </w:rPr>
        <w:t>eh</w:t>
      </w:r>
      <w:proofErr w:type="spellEnd"/>
      <w:r w:rsidR="00EC716C" w:rsidRPr="00E936FC">
        <w:rPr>
          <w:b/>
          <w:bCs/>
          <w:i/>
          <w:iCs/>
        </w:rPr>
        <w:t xml:space="preserve">, </w:t>
      </w:r>
      <w:proofErr w:type="spellStart"/>
      <w:r w:rsidR="00EC716C" w:rsidRPr="00E936FC">
        <w:rPr>
          <w:b/>
          <w:bCs/>
          <w:i/>
          <w:iCs/>
        </w:rPr>
        <w:t>Haneen</w:t>
      </w:r>
      <w:proofErr w:type="spellEnd"/>
      <w:r w:rsidR="00EC716C" w:rsidRPr="00E936FC">
        <w:rPr>
          <w:b/>
          <w:bCs/>
          <w:i/>
          <w:iCs/>
        </w:rPr>
        <w:t xml:space="preserve"> </w:t>
      </w:r>
      <w:proofErr w:type="spellStart"/>
      <w:r w:rsidR="00EC716C" w:rsidRPr="00E936FC">
        <w:rPr>
          <w:b/>
          <w:bCs/>
          <w:i/>
          <w:iCs/>
        </w:rPr>
        <w:t>Zoabi</w:t>
      </w:r>
      <w:proofErr w:type="spellEnd"/>
      <w:r w:rsidR="00EC716C" w:rsidRPr="00E936FC">
        <w:rPr>
          <w:b/>
          <w:bCs/>
          <w:i/>
          <w:iCs/>
        </w:rPr>
        <w:t xml:space="preserve"> and Ahmad </w:t>
      </w:r>
      <w:proofErr w:type="spellStart"/>
      <w:r w:rsidR="00EC716C" w:rsidRPr="00E936FC">
        <w:rPr>
          <w:b/>
          <w:bCs/>
          <w:i/>
          <w:iCs/>
        </w:rPr>
        <w:t>Tibi</w:t>
      </w:r>
      <w:proofErr w:type="spellEnd"/>
      <w:r w:rsidRPr="00E936FC">
        <w:rPr>
          <w:b/>
          <w:bCs/>
          <w:i/>
          <w:iCs/>
        </w:rPr>
        <w:t>)</w:t>
      </w:r>
      <w:r w:rsidR="00EC716C" w:rsidRPr="00E936FC">
        <w:rPr>
          <w:b/>
          <w:bCs/>
          <w:i/>
          <w:iCs/>
        </w:rPr>
        <w:t>;</w:t>
      </w:r>
    </w:p>
    <w:p w14:paraId="3603EB23" w14:textId="77777777" w:rsidR="007A7B4B" w:rsidRPr="00E936FC" w:rsidRDefault="007A7B4B" w:rsidP="00D735A9">
      <w:pPr>
        <w:pStyle w:val="ListParagraph"/>
        <w:spacing w:after="0" w:line="240" w:lineRule="auto"/>
        <w:jc w:val="both"/>
        <w:rPr>
          <w:b/>
          <w:bCs/>
          <w:i/>
          <w:iCs/>
        </w:rPr>
      </w:pPr>
    </w:p>
    <w:p w14:paraId="5D1081A1" w14:textId="66D1028F" w:rsidR="00802FD6" w:rsidRPr="00E936FC" w:rsidRDefault="0008659E" w:rsidP="00B734BB">
      <w:pPr>
        <w:spacing w:after="0" w:line="240" w:lineRule="auto"/>
        <w:jc w:val="both"/>
      </w:pPr>
      <w:r>
        <w:t xml:space="preserve">In 2013 and 2014, Arab Members of the Knesset (MKs) continued to face numerous attacks and harassment by Israeli state authorities and </w:t>
      </w:r>
      <w:r w:rsidR="007A7B4B">
        <w:t xml:space="preserve">political representatives, both as individuals and as collective representatives of the Palestinian Arab community in Israel. </w:t>
      </w:r>
      <w:r w:rsidR="00BD540F">
        <w:t>In addition to the</w:t>
      </w:r>
      <w:r w:rsidR="007A7B4B">
        <w:t xml:space="preserve"> challenges facing individual </w:t>
      </w:r>
      <w:r w:rsidR="00BD540F">
        <w:t>MKs</w:t>
      </w:r>
      <w:r w:rsidR="007A7B4B">
        <w:t xml:space="preserve"> (discussed below), </w:t>
      </w:r>
      <w:r w:rsidR="00BD540F">
        <w:t xml:space="preserve">the Israeli Knesset has proposed or passed new legislation </w:t>
      </w:r>
      <w:r w:rsidR="007A7B4B">
        <w:t>that threatens to</w:t>
      </w:r>
      <w:r w:rsidR="007A7B4B" w:rsidRPr="007A7B4B">
        <w:t xml:space="preserve"> oust the Arab-Palestinian public from the political arena in Israel.</w:t>
      </w:r>
      <w:r w:rsidR="007A7B4B">
        <w:t xml:space="preserve"> </w:t>
      </w:r>
      <w:r w:rsidR="00802FD6" w:rsidRPr="00802FD6">
        <w:rPr>
          <w:b/>
          <w:bCs/>
        </w:rPr>
        <w:t>The Electoral Threshold Law</w:t>
      </w:r>
      <w:r w:rsidR="00BD540F">
        <w:rPr>
          <w:b/>
          <w:bCs/>
        </w:rPr>
        <w:t xml:space="preserve">, </w:t>
      </w:r>
      <w:r w:rsidR="00802FD6" w:rsidRPr="00D735A9">
        <w:t xml:space="preserve">enacted </w:t>
      </w:r>
      <w:r w:rsidR="00BD540F">
        <w:t>in February 2014,</w:t>
      </w:r>
      <w:r w:rsidR="00802FD6" w:rsidRPr="002B124E">
        <w:t xml:space="preserve"> </w:t>
      </w:r>
      <w:r w:rsidR="00802FD6">
        <w:t>raises the minimum electoral threshold for political parties to enter the Knesset from 2% to 3.25%.</w:t>
      </w:r>
      <w:r w:rsidR="00B734BB">
        <w:t xml:space="preserve"> </w:t>
      </w:r>
      <w:r w:rsidR="00802FD6">
        <w:t xml:space="preserve">The law is particularly aimed at the three main Arab political parties, which </w:t>
      </w:r>
      <w:r w:rsidR="00B734BB">
        <w:t xml:space="preserve">traditionally </w:t>
      </w:r>
      <w:r w:rsidR="00802FD6">
        <w:t xml:space="preserve">each garner </w:t>
      </w:r>
      <w:r w:rsidR="00885228">
        <w:t xml:space="preserve">2.5 to </w:t>
      </w:r>
      <w:r w:rsidR="00B734BB">
        <w:t xml:space="preserve">3% of the vote, or </w:t>
      </w:r>
      <w:r w:rsidR="00802FD6">
        <w:t xml:space="preserve">3 to 4 seats in the Knesset. The new threshold would mean that these parties will either be unable to enter the Knesset, or would have to unite in order to pass the threshold. This would irrevocably </w:t>
      </w:r>
      <w:r w:rsidR="00802FD6" w:rsidRPr="00D735A9">
        <w:rPr>
          <w:b/>
          <w:bCs/>
        </w:rPr>
        <w:t>violate the right of Arab citizens to choose different political parties</w:t>
      </w:r>
      <w:r w:rsidR="00802FD6">
        <w:t xml:space="preserve">, and could mean </w:t>
      </w:r>
      <w:r w:rsidR="00802FD6" w:rsidRPr="00D735A9">
        <w:rPr>
          <w:b/>
          <w:bCs/>
        </w:rPr>
        <w:t>little or near-absent representation of the Arab minority</w:t>
      </w:r>
      <w:r w:rsidR="00802FD6">
        <w:t xml:space="preserve"> in the Knesset.</w:t>
      </w:r>
    </w:p>
    <w:p w14:paraId="10BE4CA9" w14:textId="77777777" w:rsidR="00D030A4" w:rsidRDefault="00D030A4" w:rsidP="00F30C94">
      <w:pPr>
        <w:spacing w:after="0" w:line="240" w:lineRule="auto"/>
        <w:jc w:val="both"/>
      </w:pPr>
    </w:p>
    <w:p w14:paraId="6F8FAAE3" w14:textId="0EAD4707" w:rsidR="005D6334" w:rsidRDefault="007A7B4B" w:rsidP="00093428">
      <w:pPr>
        <w:spacing w:after="0" w:line="240" w:lineRule="auto"/>
        <w:jc w:val="both"/>
      </w:pPr>
      <w:r>
        <w:t xml:space="preserve">The Arab political leadership ensures that the rights and concerns of Palestinian minority in Israel remain part of the national agenda; however, the political parties regularly face </w:t>
      </w:r>
      <w:r w:rsidR="00BD540F">
        <w:t xml:space="preserve">threats of </w:t>
      </w:r>
      <w:r>
        <w:t xml:space="preserve">disqualification during elections. </w:t>
      </w:r>
      <w:r w:rsidR="00093428">
        <w:t xml:space="preserve">In December 2012, </w:t>
      </w:r>
      <w:r w:rsidR="001C3BF3">
        <w:t xml:space="preserve">two Arab political parties, </w:t>
      </w:r>
      <w:proofErr w:type="spellStart"/>
      <w:r w:rsidR="001C3BF3">
        <w:t>Balad</w:t>
      </w:r>
      <w:proofErr w:type="spellEnd"/>
      <w:r w:rsidR="001C3BF3">
        <w:t>/al-</w:t>
      </w:r>
      <w:proofErr w:type="spellStart"/>
      <w:r w:rsidR="001C3BF3">
        <w:t>Tajammu</w:t>
      </w:r>
      <w:proofErr w:type="spellEnd"/>
      <w:r w:rsidR="001C3BF3">
        <w:t xml:space="preserve">’ and </w:t>
      </w:r>
      <w:proofErr w:type="spellStart"/>
      <w:r w:rsidR="001C3BF3">
        <w:t>Ra’am-Taal</w:t>
      </w:r>
      <w:proofErr w:type="spellEnd"/>
      <w:r w:rsidR="001C3BF3">
        <w:t xml:space="preserve">, and Arab MK </w:t>
      </w:r>
      <w:proofErr w:type="spellStart"/>
      <w:r w:rsidR="001C3BF3">
        <w:t>Haneen</w:t>
      </w:r>
      <w:proofErr w:type="spellEnd"/>
      <w:r w:rsidR="001C3BF3">
        <w:t xml:space="preserve"> </w:t>
      </w:r>
      <w:proofErr w:type="spellStart"/>
      <w:r w:rsidR="001C3BF3">
        <w:t>Zoabi</w:t>
      </w:r>
      <w:proofErr w:type="spellEnd"/>
      <w:r w:rsidR="001C3BF3">
        <w:t xml:space="preserve"> of </w:t>
      </w:r>
      <w:proofErr w:type="spellStart"/>
      <w:r w:rsidR="001C3BF3">
        <w:t>Balad</w:t>
      </w:r>
      <w:proofErr w:type="spellEnd"/>
      <w:r w:rsidR="001C3BF3">
        <w:t xml:space="preserve">, were </w:t>
      </w:r>
      <w:r w:rsidR="001C3BF3" w:rsidRPr="00093428">
        <w:rPr>
          <w:b/>
          <w:bCs/>
        </w:rPr>
        <w:t xml:space="preserve">subject to motions for disqualification from the </w:t>
      </w:r>
      <w:r w:rsidR="00093428">
        <w:rPr>
          <w:b/>
          <w:bCs/>
        </w:rPr>
        <w:t xml:space="preserve">Israeli general </w:t>
      </w:r>
      <w:r w:rsidR="001C3BF3" w:rsidRPr="00093428">
        <w:rPr>
          <w:b/>
          <w:bCs/>
        </w:rPr>
        <w:t>elections by the Central Elections Commission</w:t>
      </w:r>
      <w:r w:rsidR="007664EB">
        <w:rPr>
          <w:b/>
          <w:bCs/>
        </w:rPr>
        <w:t xml:space="preserve"> (CEC)</w:t>
      </w:r>
      <w:r w:rsidR="001C3BF3">
        <w:t>. The C</w:t>
      </w:r>
      <w:r w:rsidR="007664EB">
        <w:t>EC</w:t>
      </w:r>
      <w:r w:rsidR="001C3BF3">
        <w:t xml:space="preserve"> dismissed the motions against the two parties, but accepted the disqualification of MK </w:t>
      </w:r>
      <w:proofErr w:type="spellStart"/>
      <w:r w:rsidR="001C3BF3">
        <w:t>Zoabi</w:t>
      </w:r>
      <w:proofErr w:type="spellEnd"/>
      <w:r w:rsidR="001C3BF3">
        <w:t>. The C</w:t>
      </w:r>
      <w:r w:rsidR="007664EB">
        <w:t>EC</w:t>
      </w:r>
      <w:r w:rsidR="001C3BF3">
        <w:t xml:space="preserve">’s decision was </w:t>
      </w:r>
      <w:r w:rsidR="007664EB">
        <w:t xml:space="preserve">later </w:t>
      </w:r>
      <w:r w:rsidR="001C3BF3">
        <w:t xml:space="preserve">cancelled </w:t>
      </w:r>
      <w:r w:rsidR="007664EB">
        <w:t xml:space="preserve">by the Israeli Supreme Court following </w:t>
      </w:r>
      <w:r w:rsidR="001C3BF3">
        <w:t xml:space="preserve">MK </w:t>
      </w:r>
      <w:proofErr w:type="spellStart"/>
      <w:r w:rsidR="001C3BF3">
        <w:t>Zoabi</w:t>
      </w:r>
      <w:r w:rsidR="007664EB">
        <w:t>’s</w:t>
      </w:r>
      <w:proofErr w:type="spellEnd"/>
      <w:r w:rsidR="001C3BF3">
        <w:t xml:space="preserve"> appeal</w:t>
      </w:r>
      <w:r w:rsidR="007664EB">
        <w:t>.</w:t>
      </w:r>
      <w:r w:rsidR="002B124E">
        <w:rPr>
          <w:rStyle w:val="FootnoteReference"/>
        </w:rPr>
        <w:footnoteReference w:id="17"/>
      </w:r>
      <w:r w:rsidR="001C3BF3">
        <w:t xml:space="preserve"> The attempts to </w:t>
      </w:r>
      <w:r w:rsidR="00093428">
        <w:t>disqualify Arab political</w:t>
      </w:r>
      <w:r w:rsidR="007664EB">
        <w:t xml:space="preserve"> parties </w:t>
      </w:r>
      <w:r w:rsidR="007664EB">
        <w:lastRenderedPageBreak/>
        <w:t>and</w:t>
      </w:r>
      <w:r w:rsidR="00093428">
        <w:t xml:space="preserve"> representatives, as was </w:t>
      </w:r>
      <w:r w:rsidR="007664EB">
        <w:t xml:space="preserve">also </w:t>
      </w:r>
      <w:r w:rsidR="00093428">
        <w:t>attempted in the elections of 200</w:t>
      </w:r>
      <w:r w:rsidR="007664EB">
        <w:t>3</w:t>
      </w:r>
      <w:r w:rsidR="00093428">
        <w:t>, 2006 and 2009, represent</w:t>
      </w:r>
      <w:r w:rsidR="007664EB">
        <w:t>s</w:t>
      </w:r>
      <w:r w:rsidR="00093428">
        <w:t xml:space="preserve"> a continued </w:t>
      </w:r>
      <w:r w:rsidR="00093428" w:rsidRPr="00093428">
        <w:rPr>
          <w:b/>
          <w:bCs/>
        </w:rPr>
        <w:t>effort by Israeli politicians to deny Arab political representation</w:t>
      </w:r>
      <w:r w:rsidR="00093428">
        <w:t xml:space="preserve"> </w:t>
      </w:r>
      <w:r w:rsidR="00093428" w:rsidRPr="00093428">
        <w:rPr>
          <w:b/>
          <w:bCs/>
        </w:rPr>
        <w:t>in the Knesset</w:t>
      </w:r>
      <w:r w:rsidR="00093428">
        <w:t>.</w:t>
      </w:r>
    </w:p>
    <w:p w14:paraId="759BA8D8" w14:textId="77777777" w:rsidR="005D6334" w:rsidRDefault="005D6334" w:rsidP="005D6334">
      <w:pPr>
        <w:spacing w:after="0" w:line="240" w:lineRule="auto"/>
        <w:jc w:val="both"/>
      </w:pPr>
    </w:p>
    <w:p w14:paraId="3B0F65BE" w14:textId="79BDF4D0" w:rsidR="006C7294" w:rsidRDefault="005D6334" w:rsidP="006C7294">
      <w:pPr>
        <w:spacing w:after="0" w:line="240" w:lineRule="auto"/>
        <w:jc w:val="both"/>
      </w:pPr>
      <w:r>
        <w:t xml:space="preserve">The most intensive </w:t>
      </w:r>
      <w:r w:rsidR="007A7B4B">
        <w:t xml:space="preserve">individual </w:t>
      </w:r>
      <w:r>
        <w:t xml:space="preserve">attacks have targeted </w:t>
      </w:r>
      <w:r w:rsidRPr="001C3BF3">
        <w:rPr>
          <w:b/>
          <w:bCs/>
        </w:rPr>
        <w:t xml:space="preserve">MK </w:t>
      </w:r>
      <w:proofErr w:type="spellStart"/>
      <w:r w:rsidRPr="001C3BF3">
        <w:rPr>
          <w:b/>
          <w:bCs/>
        </w:rPr>
        <w:t>Haneen</w:t>
      </w:r>
      <w:proofErr w:type="spellEnd"/>
      <w:r w:rsidRPr="001C3BF3">
        <w:rPr>
          <w:b/>
          <w:bCs/>
        </w:rPr>
        <w:t xml:space="preserve"> </w:t>
      </w:r>
      <w:proofErr w:type="spellStart"/>
      <w:r w:rsidRPr="001C3BF3">
        <w:rPr>
          <w:b/>
          <w:bCs/>
        </w:rPr>
        <w:t>Zoabi</w:t>
      </w:r>
      <w:proofErr w:type="spellEnd"/>
      <w:r w:rsidR="001C3BF3">
        <w:rPr>
          <w:b/>
          <w:bCs/>
        </w:rPr>
        <w:t xml:space="preserve">, </w:t>
      </w:r>
      <w:r w:rsidR="007664EB" w:rsidRPr="001977DE">
        <w:rPr>
          <w:bCs/>
        </w:rPr>
        <w:t>the only Palestinian Arab woman in the Knesset. She</w:t>
      </w:r>
      <w:r w:rsidR="007664EB">
        <w:rPr>
          <w:b/>
          <w:bCs/>
        </w:rPr>
        <w:t xml:space="preserve"> </w:t>
      </w:r>
      <w:r w:rsidRPr="001C3BF3">
        <w:t xml:space="preserve">has been the subject of </w:t>
      </w:r>
      <w:r w:rsidRPr="001C3BF3">
        <w:rPr>
          <w:b/>
          <w:bCs/>
        </w:rPr>
        <w:t>a wide campaign of incitement and efforts by right-wing politicians to prohibit her participation in the Knesset</w:t>
      </w:r>
      <w:r>
        <w:t>. The most recent incident has been the Knesset Ethics Committee’s decision</w:t>
      </w:r>
      <w:r w:rsidR="007A7B4B">
        <w:t xml:space="preserve"> in August 2014</w:t>
      </w:r>
      <w:r>
        <w:t xml:space="preserve"> to </w:t>
      </w:r>
      <w:r w:rsidRPr="008D2274">
        <w:t xml:space="preserve">suspend the right of MK </w:t>
      </w:r>
      <w:proofErr w:type="spellStart"/>
      <w:r w:rsidRPr="008D2274">
        <w:t>Zoabi</w:t>
      </w:r>
      <w:proofErr w:type="spellEnd"/>
      <w:r w:rsidRPr="008D2274">
        <w:t xml:space="preserve"> </w:t>
      </w:r>
      <w:r w:rsidR="007A7B4B">
        <w:t xml:space="preserve">to </w:t>
      </w:r>
      <w:r w:rsidR="007A7B4B" w:rsidRPr="008D2274">
        <w:t>participat</w:t>
      </w:r>
      <w:r w:rsidR="007A7B4B">
        <w:t>e</w:t>
      </w:r>
      <w:r w:rsidR="007A7B4B" w:rsidRPr="008D2274">
        <w:t xml:space="preserve"> </w:t>
      </w:r>
      <w:r w:rsidRPr="008D2274">
        <w:t>in meetings and discussions of the Knesset plenum and its committees, except during voting procedures, for a period of six months.</w:t>
      </w:r>
      <w:r w:rsidR="002B124E">
        <w:rPr>
          <w:rStyle w:val="FootnoteReference"/>
        </w:rPr>
        <w:footnoteReference w:id="18"/>
      </w:r>
      <w:r w:rsidRPr="008D2274">
        <w:t xml:space="preserve"> </w:t>
      </w:r>
      <w:r w:rsidRPr="001C3BF3">
        <w:rPr>
          <w:b/>
          <w:bCs/>
        </w:rPr>
        <w:t>This is the harshest punishment ever imposed on a Knesset member by the Ethics Committee</w:t>
      </w:r>
      <w:r w:rsidRPr="008D2274">
        <w:t xml:space="preserve">, and is the maximum penalty that the Committee is authorized to impose. The Committee penalized MK </w:t>
      </w:r>
      <w:proofErr w:type="spellStart"/>
      <w:r w:rsidRPr="008D2274">
        <w:t>Zoabi</w:t>
      </w:r>
      <w:proofErr w:type="spellEnd"/>
      <w:r w:rsidRPr="008D2274">
        <w:t xml:space="preserve"> for </w:t>
      </w:r>
      <w:r>
        <w:t xml:space="preserve">legitimate </w:t>
      </w:r>
      <w:r w:rsidRPr="008D2274">
        <w:t xml:space="preserve">political remarks </w:t>
      </w:r>
      <w:r>
        <w:t xml:space="preserve">that </w:t>
      </w:r>
      <w:r w:rsidRPr="008D2274">
        <w:t xml:space="preserve">she made </w:t>
      </w:r>
      <w:r>
        <w:t xml:space="preserve">outside of the parliament </w:t>
      </w:r>
      <w:r w:rsidRPr="008D2274">
        <w:t>during an interview in Hebrew with an Israeli radio station</w:t>
      </w:r>
      <w:r w:rsidR="004D618A">
        <w:t>, regarding the abduction of three Israeli settler teenagers in the occupied West Bank</w:t>
      </w:r>
      <w:r>
        <w:t>.</w:t>
      </w:r>
      <w:r w:rsidR="004D618A">
        <w:t xml:space="preserve"> </w:t>
      </w:r>
      <w:r w:rsidRPr="008D2274">
        <w:t xml:space="preserve">These remarks led to an unprecedented wave of incitement against MK </w:t>
      </w:r>
      <w:proofErr w:type="spellStart"/>
      <w:r w:rsidRPr="008D2274">
        <w:t>Zoabi</w:t>
      </w:r>
      <w:proofErr w:type="spellEnd"/>
      <w:r>
        <w:t>; many public officials and media outlets quoted</w:t>
      </w:r>
      <w:r w:rsidRPr="008D2274">
        <w:t xml:space="preserve"> </w:t>
      </w:r>
      <w:r>
        <w:t>her</w:t>
      </w:r>
      <w:r w:rsidRPr="008D2274">
        <w:t xml:space="preserve"> remarks incompletely, </w:t>
      </w:r>
      <w:r>
        <w:t>presented</w:t>
      </w:r>
      <w:r w:rsidRPr="008D2274">
        <w:t xml:space="preserve"> them out of context, and distorted their message</w:t>
      </w:r>
      <w:r>
        <w:t xml:space="preserve">. </w:t>
      </w:r>
      <w:r w:rsidRPr="008D2274">
        <w:rPr>
          <w:rFonts w:cstheme="minorHAnsi"/>
        </w:rPr>
        <w:t xml:space="preserve">In </w:t>
      </w:r>
      <w:r>
        <w:rPr>
          <w:rFonts w:cstheme="minorHAnsi"/>
        </w:rPr>
        <w:t xml:space="preserve">her appeal </w:t>
      </w:r>
      <w:r w:rsidR="00E4299A">
        <w:rPr>
          <w:rFonts w:cstheme="minorHAnsi"/>
        </w:rPr>
        <w:t xml:space="preserve">to the Ethics Committee </w:t>
      </w:r>
      <w:r>
        <w:rPr>
          <w:rFonts w:cstheme="minorHAnsi"/>
        </w:rPr>
        <w:t xml:space="preserve">against the decision, </w:t>
      </w:r>
      <w:r w:rsidRPr="008D2274">
        <w:rPr>
          <w:rFonts w:cstheme="minorHAnsi"/>
        </w:rPr>
        <w:t xml:space="preserve">MK </w:t>
      </w:r>
      <w:proofErr w:type="spellStart"/>
      <w:r w:rsidRPr="008D2274">
        <w:rPr>
          <w:rFonts w:cstheme="minorHAnsi"/>
        </w:rPr>
        <w:t>Zoabi</w:t>
      </w:r>
      <w:proofErr w:type="spellEnd"/>
      <w:r w:rsidRPr="008D2274">
        <w:rPr>
          <w:rFonts w:cstheme="minorHAnsi"/>
        </w:rPr>
        <w:t xml:space="preserve"> argued that the Ethics Committee</w:t>
      </w:r>
      <w:r w:rsidRPr="008D2274">
        <w:t xml:space="preserve"> exceeded its authorities and operated in breach of the principles of the freedom of political expression and the provisions of </w:t>
      </w:r>
      <w:r>
        <w:t>her parliamentary immunity.</w:t>
      </w:r>
      <w:r w:rsidR="00E4299A">
        <w:t xml:space="preserve"> </w:t>
      </w:r>
      <w:r w:rsidR="001C3BF3">
        <w:t>The Committee had</w:t>
      </w:r>
      <w:r w:rsidR="001C3BF3" w:rsidRPr="008D2274">
        <w:t xml:space="preserve"> no authority over statements that were made while the Knesset member was discharging </w:t>
      </w:r>
      <w:r w:rsidR="001C3BF3">
        <w:t xml:space="preserve">her </w:t>
      </w:r>
      <w:r w:rsidR="001C3BF3" w:rsidRPr="008D2274">
        <w:t xml:space="preserve">political duty. </w:t>
      </w:r>
      <w:r w:rsidR="001C3BF3">
        <w:t xml:space="preserve">MK </w:t>
      </w:r>
      <w:proofErr w:type="spellStart"/>
      <w:r w:rsidR="001C3BF3" w:rsidRPr="008D2274">
        <w:t>Zoabi</w:t>
      </w:r>
      <w:proofErr w:type="spellEnd"/>
      <w:r w:rsidR="001C3BF3" w:rsidRPr="008D2274">
        <w:t xml:space="preserve"> added that the Committee's decision constitutes "an illegitimate political decision made on behalf of the political majority against </w:t>
      </w:r>
      <w:r w:rsidR="001C3BF3">
        <w:t xml:space="preserve">a </w:t>
      </w:r>
      <w:r w:rsidR="001C3BF3" w:rsidRPr="008D2274">
        <w:t>member of the minority."</w:t>
      </w:r>
      <w:r w:rsidR="008C28BD">
        <w:rPr>
          <w:rStyle w:val="FootnoteReference"/>
        </w:rPr>
        <w:footnoteReference w:id="19"/>
      </w:r>
      <w:r w:rsidR="00E4299A">
        <w:t xml:space="preserve"> MK </w:t>
      </w:r>
      <w:proofErr w:type="spellStart"/>
      <w:r w:rsidR="00E4299A">
        <w:t>Zoabi</w:t>
      </w:r>
      <w:proofErr w:type="spellEnd"/>
      <w:r w:rsidR="00E4299A">
        <w:t xml:space="preserve"> plans to file a petition to the Supreme Court demanding the cancellation of the Committee's decision.</w:t>
      </w:r>
      <w:r w:rsidR="006C7294">
        <w:t xml:space="preserve"> MK </w:t>
      </w:r>
      <w:proofErr w:type="spellStart"/>
      <w:r w:rsidR="006C7294">
        <w:t>Zoabi</w:t>
      </w:r>
      <w:proofErr w:type="spellEnd"/>
      <w:r w:rsidR="006C7294">
        <w:t xml:space="preserve"> also faces attempts by </w:t>
      </w:r>
      <w:r w:rsidR="00E77C88">
        <w:t xml:space="preserve">the </w:t>
      </w:r>
      <w:r w:rsidR="006C7294">
        <w:t xml:space="preserve">Israeli </w:t>
      </w:r>
      <w:r w:rsidR="00E77C88">
        <w:t xml:space="preserve">police </w:t>
      </w:r>
      <w:r w:rsidR="006C7294">
        <w:t xml:space="preserve">to criminally indict her on the charge of insulting a public official, during an angry response to news of the mistreatment of Arab </w:t>
      </w:r>
      <w:r w:rsidR="00E77C88">
        <w:t xml:space="preserve">children </w:t>
      </w:r>
      <w:r w:rsidR="006C7294">
        <w:t xml:space="preserve">during their detention by Israeli police. Meanwhile, the police have refused to open investigations into complaints made by MK </w:t>
      </w:r>
      <w:proofErr w:type="spellStart"/>
      <w:r w:rsidR="006C7294">
        <w:t>Zoabi</w:t>
      </w:r>
      <w:proofErr w:type="spellEnd"/>
      <w:r w:rsidR="006C7294">
        <w:t xml:space="preserve"> regarding police officers who harassed her during her participation in an anti-war protest in the summer of 2014.</w:t>
      </w:r>
    </w:p>
    <w:p w14:paraId="4DEF0799" w14:textId="77777777" w:rsidR="00590F8A" w:rsidRDefault="00590F8A" w:rsidP="006C7294">
      <w:pPr>
        <w:spacing w:after="0" w:line="240" w:lineRule="auto"/>
        <w:jc w:val="both"/>
      </w:pPr>
    </w:p>
    <w:p w14:paraId="66034E13" w14:textId="1FB44C41" w:rsidR="00EE68FC" w:rsidRDefault="00EE68FC" w:rsidP="005D6334">
      <w:pPr>
        <w:spacing w:after="0" w:line="240" w:lineRule="auto"/>
        <w:jc w:val="both"/>
        <w:rPr>
          <w:rFonts w:cs="Arial"/>
        </w:rPr>
      </w:pPr>
      <w:r>
        <w:t xml:space="preserve">In March 2014, the Tel Aviv Magistrates’ Court </w:t>
      </w:r>
      <w:r w:rsidRPr="00C65907">
        <w:rPr>
          <w:rFonts w:cs="Arial"/>
          <w:b/>
          <w:bCs/>
        </w:rPr>
        <w:t xml:space="preserve">acquitted MK </w:t>
      </w:r>
      <w:r>
        <w:rPr>
          <w:rFonts w:cs="Arial"/>
          <w:b/>
          <w:bCs/>
        </w:rPr>
        <w:t xml:space="preserve">Mohammed </w:t>
      </w:r>
      <w:proofErr w:type="spellStart"/>
      <w:r w:rsidRPr="00C65907">
        <w:rPr>
          <w:rFonts w:cs="Arial"/>
          <w:b/>
          <w:bCs/>
        </w:rPr>
        <w:t>Barakeh</w:t>
      </w:r>
      <w:proofErr w:type="spellEnd"/>
      <w:r>
        <w:rPr>
          <w:rFonts w:cs="Arial"/>
          <w:b/>
          <w:bCs/>
        </w:rPr>
        <w:t>, head of the Democratic Front for Peace and Equality (</w:t>
      </w:r>
      <w:proofErr w:type="spellStart"/>
      <w:r>
        <w:rPr>
          <w:rFonts w:cs="Arial"/>
          <w:b/>
          <w:bCs/>
        </w:rPr>
        <w:t>Hadash</w:t>
      </w:r>
      <w:proofErr w:type="spellEnd"/>
      <w:r>
        <w:rPr>
          <w:rFonts w:cs="Arial"/>
          <w:b/>
          <w:bCs/>
        </w:rPr>
        <w:t>/al-</w:t>
      </w:r>
      <w:proofErr w:type="spellStart"/>
      <w:r>
        <w:rPr>
          <w:rFonts w:cs="Arial"/>
          <w:b/>
          <w:bCs/>
        </w:rPr>
        <w:t>Jabha</w:t>
      </w:r>
      <w:proofErr w:type="spellEnd"/>
      <w:r>
        <w:rPr>
          <w:rFonts w:cs="Arial"/>
          <w:b/>
          <w:bCs/>
        </w:rPr>
        <w:t>)</w:t>
      </w:r>
      <w:r w:rsidRPr="005D6334">
        <w:rPr>
          <w:rFonts w:cs="Arial"/>
        </w:rPr>
        <w:t>, of the charge of assaulting an undercover officer</w:t>
      </w:r>
      <w:r w:rsidRPr="005D6334">
        <w:rPr>
          <w:rStyle w:val="apple-converted-space"/>
          <w:rFonts w:cs="Arial"/>
        </w:rPr>
        <w:t> </w:t>
      </w:r>
      <w:r w:rsidRPr="005D6334">
        <w:rPr>
          <w:rFonts w:cs="Arial"/>
        </w:rPr>
        <w:t xml:space="preserve">during a protest </w:t>
      </w:r>
      <w:r w:rsidRPr="00C65907">
        <w:rPr>
          <w:rFonts w:cs="Arial"/>
        </w:rPr>
        <w:t xml:space="preserve">against the Separation Wall in </w:t>
      </w:r>
      <w:proofErr w:type="spellStart"/>
      <w:r w:rsidRPr="00C65907">
        <w:rPr>
          <w:rFonts w:cs="Arial"/>
        </w:rPr>
        <w:t>Bil’in</w:t>
      </w:r>
      <w:proofErr w:type="spellEnd"/>
      <w:r w:rsidRPr="00C65907">
        <w:rPr>
          <w:rFonts w:cs="Arial"/>
        </w:rPr>
        <w:t xml:space="preserve"> in the West Bank in 2005. However, the court </w:t>
      </w:r>
      <w:r w:rsidRPr="00C65907">
        <w:rPr>
          <w:rFonts w:cs="Arial"/>
          <w:b/>
          <w:bCs/>
        </w:rPr>
        <w:t xml:space="preserve">convicted MK </w:t>
      </w:r>
      <w:proofErr w:type="spellStart"/>
      <w:r w:rsidRPr="00C65907">
        <w:rPr>
          <w:rFonts w:cs="Arial"/>
          <w:b/>
          <w:bCs/>
        </w:rPr>
        <w:t>Barakeh</w:t>
      </w:r>
      <w:proofErr w:type="spellEnd"/>
      <w:r w:rsidRPr="00C65907">
        <w:rPr>
          <w:rFonts w:cs="Arial"/>
          <w:b/>
          <w:bCs/>
        </w:rPr>
        <w:t xml:space="preserve"> </w:t>
      </w:r>
      <w:r w:rsidRPr="00C65907">
        <w:rPr>
          <w:rFonts w:cs="Arial"/>
        </w:rPr>
        <w:t xml:space="preserve">of assaulting a right-wing activist during a protest against the War in Lebanon in 2006; in this incident, MK </w:t>
      </w:r>
      <w:proofErr w:type="spellStart"/>
      <w:r w:rsidRPr="00C65907">
        <w:rPr>
          <w:rFonts w:cs="Arial"/>
        </w:rPr>
        <w:t>Barakeh</w:t>
      </w:r>
      <w:proofErr w:type="spellEnd"/>
      <w:r w:rsidRPr="00C65907">
        <w:rPr>
          <w:rFonts w:cs="Arial"/>
        </w:rPr>
        <w:t xml:space="preserve"> tried to prevent the activist from assaulting peace activist and former MK Uri </w:t>
      </w:r>
      <w:proofErr w:type="spellStart"/>
      <w:r w:rsidRPr="00C65907">
        <w:rPr>
          <w:rFonts w:cs="Arial"/>
        </w:rPr>
        <w:t>Avnery</w:t>
      </w:r>
      <w:proofErr w:type="spellEnd"/>
      <w:r w:rsidRPr="00C65907">
        <w:rPr>
          <w:rFonts w:cs="Arial"/>
        </w:rPr>
        <w:t>, aged 85 at the time.</w:t>
      </w:r>
      <w:r w:rsidRPr="00C65907">
        <w:rPr>
          <w:rStyle w:val="apple-converted-space"/>
          <w:rFonts w:cs="Arial"/>
        </w:rPr>
        <w:t> </w:t>
      </w:r>
      <w:r w:rsidRPr="00C65907">
        <w:rPr>
          <w:rFonts w:cs="Arial"/>
        </w:rPr>
        <w:t xml:space="preserve">The court sentenced MK </w:t>
      </w:r>
      <w:proofErr w:type="spellStart"/>
      <w:r w:rsidRPr="00C65907">
        <w:rPr>
          <w:rFonts w:cs="Arial"/>
        </w:rPr>
        <w:t>Barakeh</w:t>
      </w:r>
      <w:proofErr w:type="spellEnd"/>
      <w:r w:rsidRPr="00C65907">
        <w:rPr>
          <w:rFonts w:cs="Arial"/>
        </w:rPr>
        <w:t xml:space="preserve"> to</w:t>
      </w:r>
      <w:r w:rsidRPr="00C65907">
        <w:rPr>
          <w:rStyle w:val="apple-converted-space"/>
          <w:rFonts w:cs="Arial"/>
        </w:rPr>
        <w:t> </w:t>
      </w:r>
      <w:r w:rsidRPr="00C65907">
        <w:rPr>
          <w:rFonts w:cs="Arial"/>
        </w:rPr>
        <w:t>pay a NIS 650 fine</w:t>
      </w:r>
      <w:r>
        <w:rPr>
          <w:rFonts w:cs="Arial"/>
        </w:rPr>
        <w:t>.</w:t>
      </w:r>
      <w:r w:rsidR="005D6334">
        <w:rPr>
          <w:rStyle w:val="FootnoteReference"/>
          <w:rFonts w:cs="Arial"/>
        </w:rPr>
        <w:footnoteReference w:id="20"/>
      </w:r>
      <w:r>
        <w:rPr>
          <w:rFonts w:cs="Arial"/>
        </w:rPr>
        <w:t xml:space="preserve"> </w:t>
      </w:r>
      <w:r w:rsidRPr="00C65907">
        <w:rPr>
          <w:rFonts w:cs="Arial"/>
        </w:rPr>
        <w:t>Adalah</w:t>
      </w:r>
      <w:r>
        <w:rPr>
          <w:rFonts w:cs="Arial"/>
        </w:rPr>
        <w:t xml:space="preserve">, which </w:t>
      </w:r>
      <w:r w:rsidR="0061421C">
        <w:rPr>
          <w:rFonts w:cs="Arial"/>
        </w:rPr>
        <w:t>has</w:t>
      </w:r>
      <w:r>
        <w:rPr>
          <w:rFonts w:cs="Arial"/>
        </w:rPr>
        <w:t xml:space="preserve"> represented </w:t>
      </w:r>
      <w:r w:rsidR="0061421C">
        <w:rPr>
          <w:rFonts w:cs="Arial"/>
        </w:rPr>
        <w:t xml:space="preserve">MK </w:t>
      </w:r>
      <w:proofErr w:type="spellStart"/>
      <w:r w:rsidR="0061421C">
        <w:rPr>
          <w:rFonts w:cs="Arial"/>
        </w:rPr>
        <w:t>Barakeh</w:t>
      </w:r>
      <w:proofErr w:type="spellEnd"/>
      <w:r w:rsidR="0061421C">
        <w:rPr>
          <w:rFonts w:cs="Arial"/>
        </w:rPr>
        <w:t xml:space="preserve"> </w:t>
      </w:r>
      <w:r w:rsidR="007664EB">
        <w:rPr>
          <w:rFonts w:cs="Arial"/>
        </w:rPr>
        <w:t xml:space="preserve">on the above charges, as well as </w:t>
      </w:r>
      <w:r w:rsidR="0061421C">
        <w:rPr>
          <w:rFonts w:cs="Arial"/>
        </w:rPr>
        <w:t xml:space="preserve">two </w:t>
      </w:r>
      <w:r w:rsidR="005D6334">
        <w:rPr>
          <w:rFonts w:cs="Arial"/>
        </w:rPr>
        <w:t>other</w:t>
      </w:r>
      <w:r w:rsidR="007664EB">
        <w:rPr>
          <w:rFonts w:cs="Arial"/>
        </w:rPr>
        <w:t>s</w:t>
      </w:r>
      <w:r w:rsidR="0061421C">
        <w:rPr>
          <w:rFonts w:cs="Arial"/>
        </w:rPr>
        <w:t xml:space="preserve"> (which were dismissed </w:t>
      </w:r>
      <w:r w:rsidR="005D6334">
        <w:rPr>
          <w:rFonts w:cs="Arial"/>
        </w:rPr>
        <w:t>on the basis of</w:t>
      </w:r>
      <w:r w:rsidR="0061421C">
        <w:rPr>
          <w:rFonts w:cs="Arial"/>
        </w:rPr>
        <w:t xml:space="preserve"> parliamentary immunity),</w:t>
      </w:r>
      <w:r w:rsidRPr="00C65907">
        <w:rPr>
          <w:rStyle w:val="apple-converted-space"/>
          <w:rFonts w:cs="Arial"/>
        </w:rPr>
        <w:t> </w:t>
      </w:r>
      <w:r w:rsidRPr="00C65907">
        <w:rPr>
          <w:rFonts w:cs="Arial"/>
        </w:rPr>
        <w:t>appealed against the conviction</w:t>
      </w:r>
      <w:r w:rsidRPr="00C65907">
        <w:rPr>
          <w:rStyle w:val="apple-converted-space"/>
          <w:rFonts w:cs="Arial"/>
        </w:rPr>
        <w:t> </w:t>
      </w:r>
      <w:r w:rsidRPr="00C65907">
        <w:rPr>
          <w:rFonts w:cs="Arial"/>
        </w:rPr>
        <w:t>in June 2014.</w:t>
      </w:r>
      <w:r w:rsidR="005D6334" w:rsidRPr="005D6334">
        <w:rPr>
          <w:rFonts w:cs="Arial"/>
        </w:rPr>
        <w:t xml:space="preserve"> </w:t>
      </w:r>
      <w:r w:rsidR="005D6334">
        <w:rPr>
          <w:rFonts w:cs="Arial"/>
        </w:rPr>
        <w:t xml:space="preserve">Although MK </w:t>
      </w:r>
      <w:proofErr w:type="spellStart"/>
      <w:r w:rsidR="005D6334">
        <w:rPr>
          <w:rFonts w:cs="Arial"/>
        </w:rPr>
        <w:t>Barakeh</w:t>
      </w:r>
      <w:proofErr w:type="spellEnd"/>
      <w:r w:rsidR="005D6334">
        <w:rPr>
          <w:rFonts w:cs="Arial"/>
        </w:rPr>
        <w:t xml:space="preserve"> succeeded in dismissing three of these charges and </w:t>
      </w:r>
      <w:r w:rsidR="007664EB">
        <w:rPr>
          <w:rFonts w:cs="Arial"/>
        </w:rPr>
        <w:t xml:space="preserve">is </w:t>
      </w:r>
      <w:r w:rsidR="005D6334">
        <w:rPr>
          <w:rFonts w:cs="Arial"/>
        </w:rPr>
        <w:t xml:space="preserve">challenging the fourth, it was clear from the court proceedings that </w:t>
      </w:r>
      <w:r w:rsidR="005D6334" w:rsidRPr="00F01819">
        <w:rPr>
          <w:rFonts w:cs="Arial"/>
          <w:b/>
          <w:bCs/>
        </w:rPr>
        <w:t>the police had little to no evidence for their accusations</w:t>
      </w:r>
      <w:r w:rsidR="005D6334">
        <w:rPr>
          <w:rFonts w:cs="Arial"/>
        </w:rPr>
        <w:t xml:space="preserve"> against him. The attempts to </w:t>
      </w:r>
      <w:r w:rsidR="007664EB">
        <w:rPr>
          <w:rFonts w:cs="Arial"/>
        </w:rPr>
        <w:t xml:space="preserve">criminalize </w:t>
      </w:r>
      <w:r w:rsidR="005D6334">
        <w:rPr>
          <w:rFonts w:cs="Arial"/>
        </w:rPr>
        <w:t xml:space="preserve">MK </w:t>
      </w:r>
      <w:proofErr w:type="spellStart"/>
      <w:r w:rsidR="005D6334">
        <w:rPr>
          <w:rFonts w:cs="Arial"/>
        </w:rPr>
        <w:t>Barakeh</w:t>
      </w:r>
      <w:proofErr w:type="spellEnd"/>
      <w:r w:rsidR="005D6334">
        <w:rPr>
          <w:rFonts w:cs="Arial"/>
        </w:rPr>
        <w:t xml:space="preserve"> represent an effort by Israeli police to stifle the activities and freedom of expression of Arab political representatives, including their right to protest.</w:t>
      </w:r>
    </w:p>
    <w:p w14:paraId="27D71269" w14:textId="77777777" w:rsidR="005D6334" w:rsidRDefault="005D6334" w:rsidP="005D6334">
      <w:pPr>
        <w:spacing w:after="0" w:line="240" w:lineRule="auto"/>
        <w:jc w:val="both"/>
        <w:rPr>
          <w:rFonts w:cs="Arial"/>
        </w:rPr>
      </w:pPr>
    </w:p>
    <w:p w14:paraId="00EA0204" w14:textId="2DE59E27" w:rsidR="00BC4CBB" w:rsidRDefault="001C3BF3" w:rsidP="0050659C">
      <w:pPr>
        <w:spacing w:after="0" w:line="240" w:lineRule="auto"/>
        <w:jc w:val="both"/>
        <w:rPr>
          <w:rFonts w:eastAsia="Times New Roman" w:cs="Tahoma"/>
        </w:rPr>
      </w:pPr>
      <w:r>
        <w:lastRenderedPageBreak/>
        <w:t xml:space="preserve">The political attacks against </w:t>
      </w:r>
      <w:r w:rsidR="00093428">
        <w:t xml:space="preserve">MK </w:t>
      </w:r>
      <w:proofErr w:type="spellStart"/>
      <w:r w:rsidR="00093428">
        <w:t>Zoabi</w:t>
      </w:r>
      <w:proofErr w:type="spellEnd"/>
      <w:r w:rsidR="00093428">
        <w:t xml:space="preserve">, </w:t>
      </w:r>
      <w:r>
        <w:t xml:space="preserve">MK </w:t>
      </w:r>
      <w:proofErr w:type="spellStart"/>
      <w:r>
        <w:t>Barakeh</w:t>
      </w:r>
      <w:proofErr w:type="spellEnd"/>
      <w:r>
        <w:t xml:space="preserve"> </w:t>
      </w:r>
      <w:r w:rsidR="00093428">
        <w:t xml:space="preserve">and others </w:t>
      </w:r>
      <w:r w:rsidRPr="008D2274">
        <w:t xml:space="preserve">exemplify </w:t>
      </w:r>
      <w:r w:rsidRPr="00093428">
        <w:rPr>
          <w:b/>
          <w:bCs/>
        </w:rPr>
        <w:t>the Israeli authorities' discriminatory efforts to target Arab Members of the Knesset</w:t>
      </w:r>
      <w:r w:rsidRPr="00093428">
        <w:t>, including their freedom of expression and their right to political participation.</w:t>
      </w:r>
      <w:r w:rsidRPr="008D2274">
        <w:t xml:space="preserve"> As a result of these actions, MK </w:t>
      </w:r>
      <w:proofErr w:type="spellStart"/>
      <w:r w:rsidRPr="008D2274">
        <w:t>Zoabi</w:t>
      </w:r>
      <w:proofErr w:type="spellEnd"/>
      <w:r w:rsidRPr="008D2274">
        <w:t xml:space="preserve"> is being excluded from political </w:t>
      </w:r>
      <w:r>
        <w:t xml:space="preserve">participation in the Knesset, to which she was recently elected again, </w:t>
      </w:r>
      <w:r w:rsidRPr="008D2274">
        <w:t xml:space="preserve">denied her right to due process in Knesset proceedings, unduly punished for her </w:t>
      </w:r>
      <w:r>
        <w:t xml:space="preserve">legitimate political </w:t>
      </w:r>
      <w:r w:rsidRPr="008D2274">
        <w:t>speech, and fearing for her personal security.</w:t>
      </w:r>
      <w:r>
        <w:t xml:space="preserve"> </w:t>
      </w:r>
      <w:r w:rsidR="00093428">
        <w:t>Also</w:t>
      </w:r>
      <w:r>
        <w:t xml:space="preserve">, MK </w:t>
      </w:r>
      <w:proofErr w:type="spellStart"/>
      <w:r>
        <w:t>Barakeh</w:t>
      </w:r>
      <w:proofErr w:type="spellEnd"/>
      <w:r>
        <w:t xml:space="preserve"> was forced to undergo years of legal procedures over charges that were ultimately invalid due to his parliamentary immunity or were proven baseless.</w:t>
      </w:r>
    </w:p>
    <w:p w14:paraId="5E4F2501" w14:textId="77777777" w:rsidR="00B875FD" w:rsidRPr="00E936FC" w:rsidRDefault="00B875FD" w:rsidP="00E936FC">
      <w:pPr>
        <w:spacing w:after="0" w:line="240" w:lineRule="auto"/>
        <w:jc w:val="both"/>
      </w:pPr>
    </w:p>
    <w:p w14:paraId="1D4B8C41" w14:textId="35CCD2E4" w:rsidR="00D030A4" w:rsidRPr="00E936FC" w:rsidRDefault="00D030A4" w:rsidP="00A70149">
      <w:pPr>
        <w:pStyle w:val="ListParagraph"/>
        <w:numPr>
          <w:ilvl w:val="0"/>
          <w:numId w:val="4"/>
        </w:numPr>
        <w:spacing w:after="0" w:line="240" w:lineRule="auto"/>
        <w:jc w:val="both"/>
        <w:rPr>
          <w:b/>
          <w:bCs/>
          <w:i/>
          <w:iCs/>
        </w:rPr>
      </w:pPr>
      <w:r w:rsidRPr="00D735A9">
        <w:rPr>
          <w:b/>
          <w:bCs/>
          <w:i/>
          <w:iCs/>
        </w:rPr>
        <w:t>Question 24</w:t>
      </w:r>
      <w:r w:rsidR="008140D2" w:rsidRPr="00D735A9">
        <w:rPr>
          <w:b/>
          <w:bCs/>
          <w:i/>
          <w:iCs/>
        </w:rPr>
        <w:t xml:space="preserve">: </w:t>
      </w:r>
      <w:r w:rsidRPr="00D735A9">
        <w:rPr>
          <w:b/>
          <w:bCs/>
          <w:i/>
          <w:iCs/>
        </w:rPr>
        <w:t>Please</w:t>
      </w:r>
      <w:r w:rsidRPr="00E936FC">
        <w:rPr>
          <w:b/>
          <w:bCs/>
          <w:i/>
          <w:iCs/>
        </w:rPr>
        <w:t xml:space="preserve"> provide detailed and updated information on the situation of human rights defenders’ freedom of association and fre</w:t>
      </w:r>
      <w:r w:rsidR="00173346" w:rsidRPr="00E936FC">
        <w:rPr>
          <w:b/>
          <w:bCs/>
          <w:i/>
          <w:iCs/>
        </w:rPr>
        <w:t>edom of opinion and expression…</w:t>
      </w:r>
      <w:r w:rsidRPr="00E936FC">
        <w:rPr>
          <w:b/>
          <w:bCs/>
          <w:i/>
          <w:iCs/>
        </w:rPr>
        <w:t>Please provide detailed information on the new Israeli anti- boycott law and its compliance with the right to freedom of conscience, expression and opinion. Please also provide information on the “Foreign Funding Law”, adopted on 2 March 2011 and specify what measures have been taken or are envisaged to revise these laws in accordance with the Covenant</w:t>
      </w:r>
      <w:r w:rsidR="00A70149">
        <w:rPr>
          <w:b/>
          <w:bCs/>
          <w:i/>
          <w:iCs/>
        </w:rPr>
        <w:t>…</w:t>
      </w:r>
      <w:r w:rsidR="00EC716C" w:rsidRPr="00E936FC">
        <w:rPr>
          <w:b/>
          <w:bCs/>
          <w:i/>
          <w:iCs/>
        </w:rPr>
        <w:t>;</w:t>
      </w:r>
    </w:p>
    <w:p w14:paraId="76505ADF" w14:textId="77777777" w:rsidR="00D030A4" w:rsidRDefault="00D030A4" w:rsidP="00E936FC">
      <w:pPr>
        <w:spacing w:after="0" w:line="240" w:lineRule="auto"/>
        <w:jc w:val="both"/>
      </w:pPr>
    </w:p>
    <w:p w14:paraId="3D902AF7" w14:textId="7F0A6692" w:rsidR="00F519B1" w:rsidRDefault="00967A67" w:rsidP="00E01B07">
      <w:pPr>
        <w:spacing w:after="0" w:line="240" w:lineRule="auto"/>
        <w:jc w:val="both"/>
      </w:pPr>
      <w:r>
        <w:t xml:space="preserve">Israeli lawmakers have not shown any intent to </w:t>
      </w:r>
      <w:r w:rsidR="00F519B1">
        <w:t>revoke the three following laws enacted in 2011 that have severe implications for the freedom of expression and freedom of association: the “Anti-Boycott Law”, the “Foreign Funding Law” (aka the “NGO Law”), and the Nakba Law”.</w:t>
      </w:r>
      <w:r w:rsidR="00F519B1">
        <w:rPr>
          <w:rStyle w:val="FootnoteReference"/>
        </w:rPr>
        <w:footnoteReference w:id="21"/>
      </w:r>
      <w:r w:rsidR="00F519B1">
        <w:t xml:space="preserve"> </w:t>
      </w:r>
      <w:r w:rsidR="00E01B07">
        <w:rPr>
          <w:rFonts w:cs="Arial"/>
        </w:rPr>
        <w:t>These cases demonstrate Israel’s growing efforts to turn policies that target the freedom of expression and freedom of association of Arab citizens into law, thereby penalizing their political opinions, human rights activism and national identity.</w:t>
      </w:r>
      <w:r w:rsidR="00E01B07">
        <w:t xml:space="preserve"> </w:t>
      </w:r>
      <w:r w:rsidR="00F519B1">
        <w:t xml:space="preserve">These laws </w:t>
      </w:r>
      <w:r w:rsidR="00F519B1" w:rsidRPr="00F519B1">
        <w:rPr>
          <w:b/>
          <w:bCs/>
        </w:rPr>
        <w:t>directly violate many of the basic principles and articles of the ICCPR</w:t>
      </w:r>
      <w:r w:rsidR="00E01B07">
        <w:t>.</w:t>
      </w:r>
    </w:p>
    <w:p w14:paraId="1D19D1FA" w14:textId="77777777" w:rsidR="00E01B07" w:rsidRPr="00E01B07" w:rsidRDefault="00E01B07" w:rsidP="00E01B07">
      <w:pPr>
        <w:spacing w:after="0" w:line="240" w:lineRule="auto"/>
        <w:jc w:val="both"/>
        <w:rPr>
          <w:rFonts w:cs="Arial"/>
        </w:rPr>
      </w:pPr>
    </w:p>
    <w:p w14:paraId="5ECD1A19" w14:textId="1930A47D" w:rsidR="00F519B1" w:rsidRDefault="00F519B1" w:rsidP="00E63F3B">
      <w:pPr>
        <w:spacing w:after="0" w:line="240" w:lineRule="auto"/>
        <w:jc w:val="both"/>
      </w:pPr>
      <w:r>
        <w:t xml:space="preserve">In February 2014, the Israeli Supreme Court held its second hearing on a petition against </w:t>
      </w:r>
      <w:r w:rsidRPr="00F519B1">
        <w:rPr>
          <w:b/>
          <w:bCs/>
        </w:rPr>
        <w:t>the Anti-Boycott Law</w:t>
      </w:r>
      <w:r>
        <w:t xml:space="preserve">, focusing on the legal question of whether the law harms freedom of political expression. The petitioners argued that the law imposed a ‘price tag’ on legitimate political expression and undermined public debate on the most controversial issues in Israeli society. The law has also had a ‘chilling effect’ by deterring calls for </w:t>
      </w:r>
      <w:r w:rsidR="00BC4CBB">
        <w:t>a boycott as a political stance.</w:t>
      </w:r>
      <w:r w:rsidR="00B12701">
        <w:rPr>
          <w:rStyle w:val="FootnoteReference"/>
        </w:rPr>
        <w:footnoteReference w:id="22"/>
      </w:r>
    </w:p>
    <w:p w14:paraId="7D6F1F26" w14:textId="77777777" w:rsidR="00967A67" w:rsidRDefault="00967A67" w:rsidP="00E936FC">
      <w:pPr>
        <w:spacing w:after="0" w:line="240" w:lineRule="auto"/>
        <w:jc w:val="both"/>
      </w:pPr>
    </w:p>
    <w:p w14:paraId="2B0AEE7D" w14:textId="46DE448C" w:rsidR="00F519B1" w:rsidRDefault="00D979AF" w:rsidP="00D979AF">
      <w:pPr>
        <w:spacing w:after="0" w:line="240" w:lineRule="auto"/>
        <w:jc w:val="both"/>
      </w:pPr>
      <w:r>
        <w:t xml:space="preserve">Throughout 2013 and 2014, </w:t>
      </w:r>
      <w:r w:rsidR="00F519B1">
        <w:t xml:space="preserve">Israeli lawmakers also revealed their intent to make </w:t>
      </w:r>
      <w:r w:rsidR="00F519B1" w:rsidRPr="002D7383">
        <w:rPr>
          <w:b/>
          <w:bCs/>
        </w:rPr>
        <w:t>the Foreign Funding Law</w:t>
      </w:r>
      <w:r w:rsidR="00F519B1">
        <w:t xml:space="preserve"> even harsher, by proposing the introduction of an income tax of up to 45% for </w:t>
      </w:r>
      <w:r w:rsidR="00BE6C39">
        <w:t xml:space="preserve">human rights </w:t>
      </w:r>
      <w:r w:rsidR="00F519B1">
        <w:t xml:space="preserve">groups </w:t>
      </w:r>
      <w:r w:rsidR="00BE6C39">
        <w:t xml:space="preserve">designated as ‘political associations’ </w:t>
      </w:r>
      <w:r w:rsidR="00F519B1">
        <w:t xml:space="preserve">that receive funding from abroad. </w:t>
      </w:r>
      <w:r>
        <w:t>As frequently declared by its supporters, t</w:t>
      </w:r>
      <w:r w:rsidR="00F519B1">
        <w:t xml:space="preserve">his </w:t>
      </w:r>
      <w:r w:rsidR="00BE6C39">
        <w:t xml:space="preserve">pending bill </w:t>
      </w:r>
      <w:r w:rsidR="00F519B1">
        <w:t>is</w:t>
      </w:r>
      <w:r>
        <w:t xml:space="preserve"> targeted towards the finances </w:t>
      </w:r>
      <w:r w:rsidR="00F519B1">
        <w:t xml:space="preserve">of numerous human rights organizations in Israel, </w:t>
      </w:r>
      <w:r w:rsidR="002D7383">
        <w:t xml:space="preserve">which are critical of the state’s policies </w:t>
      </w:r>
      <w:r w:rsidR="00BE6C39">
        <w:t xml:space="preserve">and human rights violations against Palestinians in Israel and in the OPT, </w:t>
      </w:r>
      <w:r w:rsidR="002D7383">
        <w:t xml:space="preserve">and </w:t>
      </w:r>
      <w:r w:rsidR="00F519B1">
        <w:t>most of wh</w:t>
      </w:r>
      <w:r w:rsidR="00BE6C39">
        <w:t>ich</w:t>
      </w:r>
      <w:r w:rsidR="00F519B1">
        <w:t xml:space="preserve"> receive funding from European</w:t>
      </w:r>
      <w:r w:rsidR="002D7383">
        <w:t>, American</w:t>
      </w:r>
      <w:r w:rsidR="00F519B1">
        <w:t xml:space="preserve"> </w:t>
      </w:r>
      <w:r w:rsidR="002D7383">
        <w:t xml:space="preserve">and other international donors. </w:t>
      </w:r>
      <w:r w:rsidR="00BE6C39">
        <w:t xml:space="preserve">Human rights </w:t>
      </w:r>
      <w:r w:rsidR="002D7383">
        <w:t>organizations are therefore still being threatened with penalties for their freedom of association and their activities in support of human rights and accountability.</w:t>
      </w:r>
    </w:p>
    <w:p w14:paraId="5D6C0AA6" w14:textId="77777777" w:rsidR="002D7383" w:rsidRDefault="002D7383" w:rsidP="002D7383">
      <w:pPr>
        <w:spacing w:after="0" w:line="240" w:lineRule="auto"/>
        <w:jc w:val="both"/>
      </w:pPr>
    </w:p>
    <w:p w14:paraId="14E168F6" w14:textId="77777777" w:rsidR="009F0582" w:rsidRDefault="00D979AF" w:rsidP="009F0582">
      <w:pPr>
        <w:spacing w:after="0" w:line="240" w:lineRule="auto"/>
        <w:jc w:val="both"/>
        <w:rPr>
          <w:rFonts w:cs="Arial"/>
        </w:rPr>
      </w:pPr>
      <w:r w:rsidRPr="009F0582">
        <w:rPr>
          <w:b/>
          <w:bCs/>
        </w:rPr>
        <w:t xml:space="preserve">The </w:t>
      </w:r>
      <w:r w:rsidR="00807488" w:rsidRPr="009F0582">
        <w:rPr>
          <w:b/>
          <w:bCs/>
        </w:rPr>
        <w:t>Nakba Law</w:t>
      </w:r>
      <w:r>
        <w:t xml:space="preserve"> has also had very negative effects o</w:t>
      </w:r>
      <w:r w:rsidR="009F0582">
        <w:t>n the rights of Arab citizens. In</w:t>
      </w:r>
      <w:r>
        <w:t xml:space="preserve"> May 2014,</w:t>
      </w:r>
      <w:r w:rsidRPr="00D979AF">
        <w:rPr>
          <w:rFonts w:cs="Arial"/>
        </w:rPr>
        <w:t xml:space="preserve"> </w:t>
      </w:r>
      <w:r w:rsidR="009F0582">
        <w:rPr>
          <w:rFonts w:cs="Arial"/>
        </w:rPr>
        <w:t xml:space="preserve">the Dean of Students at Haifa University expelled two Arab student leaders and banned all activities of Arab student clubs until the end of the year due to their protest against the university’s decision to prohibit </w:t>
      </w:r>
      <w:r w:rsidR="009F0582">
        <w:rPr>
          <w:rFonts w:cs="Arial"/>
        </w:rPr>
        <w:lastRenderedPageBreak/>
        <w:t>an event to mark Nakba Day, a national day of mourning for Palestinians. Adalah represented the students and student groups before Israeli courts and succeeded to overturn the decisions.</w:t>
      </w:r>
      <w:r w:rsidR="00611C7E">
        <w:rPr>
          <w:rStyle w:val="FootnoteReference"/>
          <w:rFonts w:cs="Arial"/>
        </w:rPr>
        <w:footnoteReference w:id="23"/>
      </w:r>
      <w:r w:rsidR="009F0582">
        <w:rPr>
          <w:rFonts w:cs="Arial"/>
        </w:rPr>
        <w:t xml:space="preserve"> The university’s excessive actions were taken in the shadow of this Nakba Law, which threatens to punish public institutions that hold any event marking Israel’s independence day as a “day of mourning” – a direct attack against Palestinian citizens’ right to commemorate their history.</w:t>
      </w:r>
    </w:p>
    <w:p w14:paraId="0EDD533F" w14:textId="77777777" w:rsidR="001F173C" w:rsidRPr="00E936FC" w:rsidRDefault="001F173C" w:rsidP="00E936FC">
      <w:pPr>
        <w:spacing w:after="0" w:line="240" w:lineRule="auto"/>
        <w:jc w:val="both"/>
      </w:pPr>
    </w:p>
    <w:p w14:paraId="5BCF63CA" w14:textId="57F899C8" w:rsidR="001F173C" w:rsidRPr="00886C28" w:rsidRDefault="00D030A4" w:rsidP="00E936FC">
      <w:pPr>
        <w:pStyle w:val="ListParagraph"/>
        <w:numPr>
          <w:ilvl w:val="0"/>
          <w:numId w:val="4"/>
        </w:numPr>
        <w:spacing w:after="0" w:line="240" w:lineRule="auto"/>
        <w:jc w:val="both"/>
      </w:pPr>
      <w:r w:rsidRPr="00886C28">
        <w:rPr>
          <w:b/>
          <w:bCs/>
          <w:i/>
          <w:iCs/>
        </w:rPr>
        <w:t>Question 26</w:t>
      </w:r>
      <w:r w:rsidR="00D735A9">
        <w:rPr>
          <w:b/>
          <w:bCs/>
          <w:i/>
          <w:iCs/>
        </w:rPr>
        <w:t>(</w:t>
      </w:r>
      <w:r w:rsidRPr="00886C28">
        <w:rPr>
          <w:b/>
          <w:bCs/>
          <w:i/>
          <w:iCs/>
        </w:rPr>
        <w:t>b</w:t>
      </w:r>
      <w:r w:rsidR="00D735A9">
        <w:rPr>
          <w:b/>
          <w:bCs/>
          <w:i/>
          <w:iCs/>
        </w:rPr>
        <w:t>)</w:t>
      </w:r>
      <w:r w:rsidR="008140D2" w:rsidRPr="00886C28">
        <w:rPr>
          <w:b/>
          <w:bCs/>
          <w:i/>
          <w:iCs/>
        </w:rPr>
        <w:t xml:space="preserve">: </w:t>
      </w:r>
      <w:r w:rsidRPr="00886C28">
        <w:rPr>
          <w:b/>
          <w:bCs/>
          <w:i/>
          <w:iCs/>
        </w:rPr>
        <w:t>In light of the previous Committee’s concluding observations (para. 22) and its follow-up analysis (CCPR/C/105/2), please provide information on measures taken by the State party: (b) To ensure that children are only detained as a measure of last resort and for the shortest possible time, to guarantee that proceedings involving children are audio-visually recorded and that their rights to a fair trial and fundamental safeguards are guaranteed.</w:t>
      </w:r>
    </w:p>
    <w:p w14:paraId="7E3DC350" w14:textId="77777777" w:rsidR="000F57DC" w:rsidRDefault="000F57DC" w:rsidP="00D735A9">
      <w:pPr>
        <w:spacing w:after="0" w:line="240" w:lineRule="auto"/>
        <w:jc w:val="both"/>
      </w:pPr>
    </w:p>
    <w:p w14:paraId="5EBF1CE6" w14:textId="77A9A6F2" w:rsidR="004A675A" w:rsidRDefault="00AF7053" w:rsidP="009D0DCE">
      <w:pPr>
        <w:spacing w:after="0" w:line="240" w:lineRule="auto"/>
        <w:jc w:val="both"/>
      </w:pPr>
      <w:r>
        <w:t xml:space="preserve">During the latest Israeli military offensive in Gaza, </w:t>
      </w:r>
      <w:r w:rsidR="004A675A" w:rsidRPr="004A675A">
        <w:t xml:space="preserve">Adalah </w:t>
      </w:r>
      <w:r>
        <w:t>and other human rights organizations witnessed an</w:t>
      </w:r>
      <w:r w:rsidR="004A675A" w:rsidRPr="004A675A">
        <w:t xml:space="preserve"> unprecedented campaign of arrests</w:t>
      </w:r>
      <w:r>
        <w:t xml:space="preserve"> against both Palestinian citizens of Israel and Palestinian residents of </w:t>
      </w:r>
      <w:r w:rsidR="00BE6C39">
        <w:t xml:space="preserve">East Jerusalem </w:t>
      </w:r>
      <w:r>
        <w:t xml:space="preserve">who were protesting against the war and in solidarity with the Palestinians in Gaza. Of the </w:t>
      </w:r>
      <w:r w:rsidR="004A675A" w:rsidRPr="004A675A">
        <w:t>nearly 1,</w:t>
      </w:r>
      <w:r w:rsidR="00DB0E89">
        <w:t>5</w:t>
      </w:r>
      <w:r w:rsidR="004A675A" w:rsidRPr="004A675A">
        <w:t xml:space="preserve">00 people from Arab towns in Israel and in East Jerusalem </w:t>
      </w:r>
      <w:r>
        <w:t>who were arrested,</w:t>
      </w:r>
      <w:r w:rsidR="007A4B8E">
        <w:t xml:space="preserve"> </w:t>
      </w:r>
      <w:r w:rsidR="00BE6C39">
        <w:t xml:space="preserve">it is estimated that </w:t>
      </w:r>
      <w:r w:rsidR="00DB0E89">
        <w:t>up to one third of them</w:t>
      </w:r>
      <w:r w:rsidRPr="007A4B8E">
        <w:t xml:space="preserve"> were minors</w:t>
      </w:r>
      <w:r>
        <w:t>.</w:t>
      </w:r>
      <w:r w:rsidR="009D0DCE">
        <w:rPr>
          <w:rStyle w:val="FootnoteReference"/>
        </w:rPr>
        <w:footnoteReference w:id="24"/>
      </w:r>
      <w:r>
        <w:t xml:space="preserve"> Israel failed to protect the rights of the minors arrested and violated </w:t>
      </w:r>
      <w:r w:rsidR="004A675A" w:rsidRPr="004A675A">
        <w:t>their rights during detention and interrogation. The minors, many of whom were arrested and interrogated in the late hours of the night, were questioned by police without the presence of a parent and before being allowed to meet with a lawyer. These practices, which violate the law, were done with the aim of obtaining confessions from them even for alleged offenses that they did not commit.</w:t>
      </w:r>
      <w:r>
        <w:t xml:space="preserve"> The objective of the mass arrests was to suppress the wave of protest and specifically, and the targeting of young people has a chilling effect on the right to freedom of expression, which is ever more crucial in times of heightened violence and military action</w:t>
      </w:r>
      <w:r w:rsidRPr="00D735A9">
        <w:t>.</w:t>
      </w:r>
      <w:r w:rsidR="00291ADD" w:rsidRPr="00D735A9">
        <w:rPr>
          <w:rStyle w:val="FootnoteReference"/>
        </w:rPr>
        <w:footnoteReference w:id="25"/>
      </w:r>
    </w:p>
    <w:p w14:paraId="0820149A" w14:textId="77777777" w:rsidR="00BE6C39" w:rsidRDefault="00BE6C39" w:rsidP="00D735A9">
      <w:pPr>
        <w:spacing w:after="0" w:line="240" w:lineRule="auto"/>
        <w:jc w:val="both"/>
      </w:pPr>
    </w:p>
    <w:p w14:paraId="2D394D20" w14:textId="5A3C752E" w:rsidR="00C25C2F" w:rsidRPr="004475E0" w:rsidRDefault="00C25C2F" w:rsidP="00D735A9">
      <w:pPr>
        <w:spacing w:after="0" w:line="240" w:lineRule="auto"/>
        <w:jc w:val="both"/>
        <w:rPr>
          <w:highlight w:val="cyan"/>
        </w:rPr>
      </w:pPr>
    </w:p>
    <w:sectPr w:rsidR="00C25C2F" w:rsidRPr="004475E0" w:rsidSect="007E1AF0">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59CEB0" w14:textId="77777777" w:rsidR="00857375" w:rsidRDefault="00857375" w:rsidP="00C645DD">
      <w:pPr>
        <w:spacing w:after="0" w:line="240" w:lineRule="auto"/>
      </w:pPr>
      <w:r>
        <w:separator/>
      </w:r>
    </w:p>
  </w:endnote>
  <w:endnote w:type="continuationSeparator" w:id="0">
    <w:p w14:paraId="08269445" w14:textId="77777777" w:rsidR="00857375" w:rsidRDefault="00857375" w:rsidP="00C64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875028"/>
      <w:docPartObj>
        <w:docPartGallery w:val="Page Numbers (Bottom of Page)"/>
        <w:docPartUnique/>
      </w:docPartObj>
    </w:sdtPr>
    <w:sdtEndPr/>
    <w:sdtContent>
      <w:p w14:paraId="498741E2" w14:textId="77777777" w:rsidR="00885228" w:rsidRDefault="00885228">
        <w:pPr>
          <w:pStyle w:val="Footer"/>
          <w:jc w:val="center"/>
        </w:pPr>
        <w:r>
          <w:fldChar w:fldCharType="begin"/>
        </w:r>
        <w:r>
          <w:instrText xml:space="preserve"> PAGE   \* MERGEFORMAT </w:instrText>
        </w:r>
        <w:r>
          <w:fldChar w:fldCharType="separate"/>
        </w:r>
        <w:r w:rsidR="004475E0">
          <w:rPr>
            <w:noProof/>
          </w:rPr>
          <w:t>2</w:t>
        </w:r>
        <w:r>
          <w:rPr>
            <w:noProof/>
          </w:rPr>
          <w:fldChar w:fldCharType="end"/>
        </w:r>
      </w:p>
    </w:sdtContent>
  </w:sdt>
  <w:p w14:paraId="64F7534A" w14:textId="77777777" w:rsidR="00885228" w:rsidRDefault="0088522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013E12" w14:textId="77777777" w:rsidR="00885228" w:rsidRDefault="00885228" w:rsidP="007E1AF0">
    <w:pPr>
      <w:pStyle w:val="Footer"/>
      <w:jc w:val="center"/>
      <w:rPr>
        <w:b/>
        <w:bCs/>
      </w:rPr>
    </w:pPr>
  </w:p>
  <w:p w14:paraId="19B6F097" w14:textId="77777777" w:rsidR="00885228" w:rsidRPr="007E1AF0" w:rsidRDefault="00885228" w:rsidP="007E1AF0">
    <w:pPr>
      <w:pStyle w:val="Footer"/>
      <w:jc w:val="center"/>
      <w:rPr>
        <w:b/>
        <w:bCs/>
      </w:rPr>
    </w:pPr>
    <w:r w:rsidRPr="007E1AF0">
      <w:rPr>
        <w:b/>
        <w:bCs/>
      </w:rPr>
      <w:t>P.O. Box 8921 Haifa 31090 Israel   Tel: (972)-4-950-1610 Fax: (972)-4-950-3140</w:t>
    </w:r>
  </w:p>
  <w:p w14:paraId="1A387F3D" w14:textId="77777777" w:rsidR="00885228" w:rsidRPr="007E1AF0" w:rsidRDefault="00885228" w:rsidP="007E1AF0">
    <w:pPr>
      <w:pStyle w:val="Footer"/>
      <w:jc w:val="center"/>
      <w:rPr>
        <w:rtl/>
        <w:lang w:bidi="ar-SA"/>
      </w:rPr>
    </w:pPr>
    <w:r w:rsidRPr="007E1AF0">
      <w:rPr>
        <w:rtl/>
        <w:lang w:bidi="ar-SA"/>
      </w:rPr>
      <w:t>حـــيــفا</w:t>
    </w:r>
    <w:r w:rsidRPr="007E1AF0">
      <w:rPr>
        <w:rtl/>
      </w:rPr>
      <w:t xml:space="preserve"> </w:t>
    </w:r>
    <w:r w:rsidRPr="007E1AF0">
      <w:rPr>
        <w:rtl/>
        <w:lang w:bidi="ar-SA"/>
      </w:rPr>
      <w:t xml:space="preserve"> </w:t>
    </w:r>
    <w:r w:rsidRPr="007E1AF0">
      <w:rPr>
        <w:spacing w:val="22"/>
        <w:rtl/>
        <w:lang w:bidi="ar-SA"/>
      </w:rPr>
      <w:t>31090</w:t>
    </w:r>
    <w:r w:rsidRPr="007E1AF0">
      <w:rPr>
        <w:rtl/>
        <w:lang w:bidi="ar-SA"/>
      </w:rPr>
      <w:t xml:space="preserve"> ، </w:t>
    </w:r>
    <w:r w:rsidRPr="007E1AF0">
      <w:rPr>
        <w:rtl/>
      </w:rPr>
      <w:t xml:space="preserve">  </w:t>
    </w:r>
    <w:r w:rsidRPr="007E1AF0">
      <w:rPr>
        <w:rtl/>
        <w:lang w:bidi="ar-SA"/>
      </w:rPr>
      <w:t xml:space="preserve">ص.ب  </w:t>
    </w:r>
    <w:r w:rsidRPr="007E1AF0">
      <w:rPr>
        <w:spacing w:val="28"/>
        <w:rtl/>
        <w:lang w:bidi="ar-SA"/>
      </w:rPr>
      <w:t>8921</w:t>
    </w:r>
    <w:r w:rsidRPr="007E1AF0">
      <w:rPr>
        <w:rtl/>
        <w:lang w:bidi="ar-SA"/>
      </w:rPr>
      <w:t xml:space="preserve">    هــاتــف</w:t>
    </w:r>
    <w:r w:rsidRPr="007E1AF0">
      <w:rPr>
        <w:rtl/>
      </w:rPr>
      <w:t xml:space="preserve"> </w:t>
    </w:r>
    <w:r w:rsidRPr="007E1AF0">
      <w:rPr>
        <w:rtl/>
        <w:lang w:bidi="ar-SA"/>
      </w:rPr>
      <w:t xml:space="preserve"> </w:t>
    </w:r>
    <w:r w:rsidRPr="007E1AF0">
      <w:rPr>
        <w:spacing w:val="34"/>
        <w:rtl/>
        <w:lang w:bidi="ar-SA"/>
      </w:rPr>
      <w:t xml:space="preserve">9501610-04 </w:t>
    </w:r>
    <w:r w:rsidRPr="007E1AF0">
      <w:rPr>
        <w:rtl/>
        <w:lang w:bidi="ar-SA"/>
      </w:rPr>
      <w:t xml:space="preserve">     فاكس </w:t>
    </w:r>
    <w:r w:rsidRPr="007E1AF0">
      <w:rPr>
        <w:spacing w:val="28"/>
        <w:rtl/>
        <w:lang w:bidi="ar-SA"/>
      </w:rPr>
      <w:t>9503140-04</w:t>
    </w:r>
    <w:r w:rsidRPr="007E1AF0">
      <w:rPr>
        <w:rtl/>
        <w:lang w:bidi="ar-SA"/>
      </w:rPr>
      <w:t xml:space="preserve"> </w:t>
    </w:r>
  </w:p>
  <w:p w14:paraId="04760B59" w14:textId="77777777" w:rsidR="00885228" w:rsidRPr="007E1AF0" w:rsidRDefault="00885228" w:rsidP="007E1AF0">
    <w:pPr>
      <w:pStyle w:val="Footer"/>
      <w:jc w:val="center"/>
      <w:rPr>
        <w:spacing w:val="38"/>
        <w:rtl/>
      </w:rPr>
    </w:pPr>
    <w:r w:rsidRPr="007E1AF0">
      <w:rPr>
        <w:spacing w:val="38"/>
        <w:rtl/>
      </w:rPr>
      <w:t xml:space="preserve">חיפה 31090,   ת.ד. 8921  טלפון 04-9501610   פקס 04-9503140 </w:t>
    </w:r>
  </w:p>
  <w:p w14:paraId="3F9E140C" w14:textId="77777777" w:rsidR="00885228" w:rsidRPr="007E1AF0" w:rsidRDefault="00885228" w:rsidP="007E1AF0">
    <w:pPr>
      <w:pStyle w:val="Footer"/>
      <w:jc w:val="center"/>
      <w:rPr>
        <w:b/>
        <w:bCs/>
      </w:rPr>
    </w:pPr>
    <w:r w:rsidRPr="007E1AF0">
      <w:rPr>
        <w:b/>
        <w:bCs/>
      </w:rPr>
      <w:t>Email:  adalah@adalah.org            http://www.adalah.org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712D19" w14:textId="77777777" w:rsidR="00857375" w:rsidRDefault="00857375" w:rsidP="00C645DD">
      <w:pPr>
        <w:spacing w:after="0" w:line="240" w:lineRule="auto"/>
      </w:pPr>
      <w:r>
        <w:separator/>
      </w:r>
    </w:p>
  </w:footnote>
  <w:footnote w:type="continuationSeparator" w:id="0">
    <w:p w14:paraId="59BA94FA" w14:textId="77777777" w:rsidR="00857375" w:rsidRDefault="00857375" w:rsidP="00C645DD">
      <w:pPr>
        <w:spacing w:after="0" w:line="240" w:lineRule="auto"/>
      </w:pPr>
      <w:r>
        <w:continuationSeparator/>
      </w:r>
    </w:p>
  </w:footnote>
  <w:footnote w:id="1">
    <w:p w14:paraId="5987264D" w14:textId="58269611" w:rsidR="00885228" w:rsidRDefault="00885228">
      <w:pPr>
        <w:pStyle w:val="FootnoteText"/>
      </w:pPr>
      <w:r>
        <w:rPr>
          <w:rStyle w:val="FootnoteReference"/>
        </w:rPr>
        <w:footnoteRef/>
      </w:r>
      <w:r>
        <w:t xml:space="preserve"> </w:t>
      </w:r>
      <w:proofErr w:type="spellStart"/>
      <w:r>
        <w:t>Adalah</w:t>
      </w:r>
      <w:proofErr w:type="spellEnd"/>
      <w:r>
        <w:t xml:space="preserve">, "Suggested Issue for Adoption of List of Issues Prior to Reporting: UN HRC", 11 June 2012: </w:t>
      </w:r>
      <w:hyperlink r:id="rId1" w:history="1">
        <w:r w:rsidRPr="00FD7CA3">
          <w:rPr>
            <w:rStyle w:val="Hyperlink"/>
          </w:rPr>
          <w:t>http://adalah.org/Public/files/English/International_Advocacy/LOIPR_for_UNHRC_June_2012.pdf</w:t>
        </w:r>
      </w:hyperlink>
      <w:r>
        <w:t xml:space="preserve">. </w:t>
      </w:r>
    </w:p>
  </w:footnote>
  <w:footnote w:id="2">
    <w:p w14:paraId="171FDFF2" w14:textId="48EB95FA" w:rsidR="00885228" w:rsidRDefault="00885228" w:rsidP="0037134F">
      <w:pPr>
        <w:pStyle w:val="FootnoteText"/>
      </w:pPr>
      <w:r>
        <w:rPr>
          <w:rStyle w:val="FootnoteReference"/>
        </w:rPr>
        <w:footnoteRef/>
      </w:r>
      <w:r>
        <w:t xml:space="preserve"> </w:t>
      </w:r>
      <w:proofErr w:type="spellStart"/>
      <w:r>
        <w:t>Shai</w:t>
      </w:r>
      <w:proofErr w:type="spellEnd"/>
      <w:r>
        <w:t xml:space="preserve"> Fogelman, Hilo Glazer, Naomi </w:t>
      </w:r>
      <w:proofErr w:type="spellStart"/>
      <w:r>
        <w:t>Darom</w:t>
      </w:r>
      <w:proofErr w:type="spellEnd"/>
      <w:r>
        <w:t xml:space="preserve">, </w:t>
      </w:r>
      <w:proofErr w:type="spellStart"/>
      <w:r>
        <w:t>Neta</w:t>
      </w:r>
      <w:proofErr w:type="spellEnd"/>
      <w:r>
        <w:t xml:space="preserve"> </w:t>
      </w:r>
      <w:proofErr w:type="spellStart"/>
      <w:r>
        <w:t>Ahituv</w:t>
      </w:r>
      <w:proofErr w:type="spellEnd"/>
      <w:r>
        <w:t xml:space="preserve">, "Have we come to a fault line in relations between Jews and Arabs in Israel?", translated from Hebrew by George </w:t>
      </w:r>
      <w:proofErr w:type="spellStart"/>
      <w:r>
        <w:t>Malent</w:t>
      </w:r>
      <w:proofErr w:type="spellEnd"/>
      <w:r>
        <w:t xml:space="preserve">, </w:t>
      </w:r>
      <w:proofErr w:type="spellStart"/>
      <w:r>
        <w:t>Haaretz</w:t>
      </w:r>
      <w:proofErr w:type="spellEnd"/>
      <w:r>
        <w:t xml:space="preserve"> Weekend Supplement, 31 July 2014: </w:t>
      </w:r>
      <w:hyperlink r:id="rId2" w:history="1">
        <w:r w:rsidRPr="00FD7CA3">
          <w:rPr>
            <w:rStyle w:val="Hyperlink"/>
          </w:rPr>
          <w:t>http://www.scribd.com/doc/237910587/Incitement-on-Facebook-fear-of-walking-the-streets-harassment-in-places-of-work-Have-we-come-to-a-fault-line-in-relations-between-Jews-and-Arabs-in</w:t>
        </w:r>
      </w:hyperlink>
      <w:r>
        <w:t xml:space="preserve">. </w:t>
      </w:r>
    </w:p>
  </w:footnote>
  <w:footnote w:id="3">
    <w:p w14:paraId="4E5D0585" w14:textId="2229ACAB" w:rsidR="00885228" w:rsidRDefault="00885228" w:rsidP="0037134F">
      <w:pPr>
        <w:pStyle w:val="FootnoteText"/>
      </w:pPr>
      <w:r>
        <w:rPr>
          <w:rStyle w:val="FootnoteReference"/>
        </w:rPr>
        <w:footnoteRef/>
      </w:r>
      <w:r>
        <w:t xml:space="preserve"> Hagar </w:t>
      </w:r>
      <w:proofErr w:type="spellStart"/>
      <w:r>
        <w:t>Sheizaf</w:t>
      </w:r>
      <w:proofErr w:type="spellEnd"/>
      <w:r>
        <w:t xml:space="preserve">, "Following wave of protests, Israel arrests scores of Arab activists, minors", +972 Magazine, 23 July 2014: </w:t>
      </w:r>
      <w:hyperlink r:id="rId3" w:history="1">
        <w:r w:rsidRPr="00FD7CA3">
          <w:rPr>
            <w:rStyle w:val="Hyperlink"/>
          </w:rPr>
          <w:t>http://972mag.com/following-wave-of-protests-israel-arrests-scores-of-arab-activists-minors/94131/</w:t>
        </w:r>
      </w:hyperlink>
      <w:r>
        <w:t xml:space="preserve">. </w:t>
      </w:r>
    </w:p>
  </w:footnote>
  <w:footnote w:id="4">
    <w:p w14:paraId="3B9676BC" w14:textId="172D7977" w:rsidR="00885228" w:rsidRDefault="00885228">
      <w:pPr>
        <w:pStyle w:val="FootnoteText"/>
      </w:pPr>
      <w:r>
        <w:rPr>
          <w:rStyle w:val="FootnoteReference"/>
        </w:rPr>
        <w:footnoteRef/>
      </w:r>
      <w:r>
        <w:t xml:space="preserve"> Jonathan Cook, "Israel's Gaza backlash targets Arab minority", Middle East Eye, 30 July 2014: </w:t>
      </w:r>
      <w:hyperlink r:id="rId4" w:history="1">
        <w:r w:rsidRPr="00FD7CA3">
          <w:rPr>
            <w:rStyle w:val="Hyperlink"/>
          </w:rPr>
          <w:t>http://www.middleeasteye.net/news/israel-s-gaza-backlash-targets-arab-minority-483153084</w:t>
        </w:r>
      </w:hyperlink>
      <w:r>
        <w:t xml:space="preserve">. </w:t>
      </w:r>
    </w:p>
  </w:footnote>
  <w:footnote w:id="5">
    <w:p w14:paraId="6F208B92" w14:textId="75B0DFF7" w:rsidR="00885228" w:rsidRDefault="00885228">
      <w:pPr>
        <w:pStyle w:val="FootnoteText"/>
      </w:pPr>
      <w:r>
        <w:rPr>
          <w:rStyle w:val="FootnoteReference"/>
        </w:rPr>
        <w:footnoteRef/>
      </w:r>
      <w:r>
        <w:t xml:space="preserve"> </w:t>
      </w:r>
      <w:proofErr w:type="spellStart"/>
      <w:r>
        <w:t>Adalah</w:t>
      </w:r>
      <w:proofErr w:type="spellEnd"/>
      <w:r>
        <w:t>, "Discriminatory Bills in the 19</w:t>
      </w:r>
      <w:r w:rsidRPr="00D735A9">
        <w:rPr>
          <w:vertAlign w:val="superscript"/>
        </w:rPr>
        <w:t>th</w:t>
      </w:r>
      <w:r>
        <w:t xml:space="preserve"> Knesset", October 2013: </w:t>
      </w:r>
      <w:hyperlink r:id="rId5" w:history="1">
        <w:r w:rsidRPr="00D32E74">
          <w:rPr>
            <w:rStyle w:val="Hyperlink"/>
          </w:rPr>
          <w:t>http://adalah.org/Public/files/English/Legal_Advocacy/Discriminatory_Laws/Discriminatory-Bills-19th-Knesset-October-2013.pdf</w:t>
        </w:r>
      </w:hyperlink>
      <w:r>
        <w:t xml:space="preserve">. </w:t>
      </w:r>
    </w:p>
  </w:footnote>
  <w:footnote w:id="6">
    <w:p w14:paraId="0C9DD785" w14:textId="30A84904" w:rsidR="00885228" w:rsidRDefault="00885228">
      <w:pPr>
        <w:pStyle w:val="FootnoteText"/>
      </w:pPr>
      <w:r>
        <w:rPr>
          <w:rStyle w:val="FootnoteReference"/>
        </w:rPr>
        <w:footnoteRef/>
      </w:r>
      <w:r>
        <w:t xml:space="preserve"> </w:t>
      </w:r>
      <w:proofErr w:type="spellStart"/>
      <w:r>
        <w:t>Adalah</w:t>
      </w:r>
      <w:proofErr w:type="spellEnd"/>
      <w:r>
        <w:t xml:space="preserve"> press release, "Palestinian NGOs in Israel reject the 'Sectarian Representation Law': We hold onto our Palestinian national identity", 27 February 2014: </w:t>
      </w:r>
      <w:hyperlink r:id="rId6" w:history="1">
        <w:r w:rsidRPr="00FD7CA3">
          <w:rPr>
            <w:rStyle w:val="Hyperlink"/>
          </w:rPr>
          <w:t>http://adalah.org/eng/Articles/2250/Palestinian-NGOs-in-Israel-reject-the-Sectarian--We</w:t>
        </w:r>
      </w:hyperlink>
      <w:r>
        <w:t xml:space="preserve">. </w:t>
      </w:r>
    </w:p>
  </w:footnote>
  <w:footnote w:id="7">
    <w:p w14:paraId="4E97639D" w14:textId="75DE294F" w:rsidR="00885228" w:rsidRDefault="00885228" w:rsidP="00D72E18">
      <w:pPr>
        <w:pStyle w:val="FootnoteText"/>
      </w:pPr>
      <w:r>
        <w:rPr>
          <w:rStyle w:val="FootnoteReference"/>
        </w:rPr>
        <w:footnoteRef/>
      </w:r>
      <w:r>
        <w:t xml:space="preserve"> See joint submission to the UN HRC by Adalah and the Negev Coexistence Forum on the rights of Arab Bedouin citizens of Israel, 15 September 2014.</w:t>
      </w:r>
    </w:p>
  </w:footnote>
  <w:footnote w:id="8">
    <w:p w14:paraId="099F39EF" w14:textId="3D4A2428" w:rsidR="00885228" w:rsidRDefault="00885228" w:rsidP="00A44F13">
      <w:pPr>
        <w:pStyle w:val="FootnoteText"/>
      </w:pPr>
      <w:r w:rsidRPr="00DA7574">
        <w:rPr>
          <w:rStyle w:val="FootnoteReference"/>
        </w:rPr>
        <w:footnoteRef/>
      </w:r>
      <w:r w:rsidRPr="00DA7574">
        <w:t xml:space="preserve"> </w:t>
      </w:r>
      <w:r w:rsidRPr="00E74B7B">
        <w:t xml:space="preserve">The </w:t>
      </w:r>
      <w:r w:rsidRPr="00D735A9">
        <w:t>Citizenship and Entry into Israel Law (2003), which bans family unification between Palestinian citizens of Israel and their spouses from the OPT or other “enemy states” was renewed in March 2014</w:t>
      </w:r>
      <w:r w:rsidRPr="00DA7574">
        <w:t>.  The temporary ban has now been in place for 11 years</w:t>
      </w:r>
      <w:r w:rsidRPr="00E74B7B">
        <w:t xml:space="preserve">.  See </w:t>
      </w:r>
      <w:proofErr w:type="spellStart"/>
      <w:r>
        <w:t>Adalah's</w:t>
      </w:r>
      <w:proofErr w:type="spellEnd"/>
      <w:r>
        <w:t xml:space="preserve"> information on the law: </w:t>
      </w:r>
      <w:hyperlink r:id="rId7" w:history="1">
        <w:r w:rsidRPr="00BC7867">
          <w:rPr>
            <w:rStyle w:val="Hyperlink"/>
          </w:rPr>
          <w:t>http://www.adalah.org/eng/?mod=db&amp;dld_page=law&amp;slg=citizenship-and-entry-into-israel-law-temporary-order</w:t>
        </w:r>
      </w:hyperlink>
      <w:r>
        <w:t xml:space="preserve">. </w:t>
      </w:r>
    </w:p>
  </w:footnote>
  <w:footnote w:id="9">
    <w:p w14:paraId="20D55661" w14:textId="6059F24A" w:rsidR="00885228" w:rsidRDefault="00885228">
      <w:pPr>
        <w:pStyle w:val="FootnoteText"/>
      </w:pPr>
      <w:r>
        <w:rPr>
          <w:rStyle w:val="FootnoteReference"/>
        </w:rPr>
        <w:footnoteRef/>
      </w:r>
      <w:r>
        <w:t xml:space="preserve"> See </w:t>
      </w:r>
      <w:proofErr w:type="spellStart"/>
      <w:r>
        <w:t>Adalah</w:t>
      </w:r>
      <w:proofErr w:type="spellEnd"/>
      <w:r>
        <w:t xml:space="preserve"> position paper on land discrimination, March 2014: </w:t>
      </w:r>
      <w:hyperlink r:id="rId8" w:history="1">
        <w:r w:rsidRPr="00D32E74">
          <w:rPr>
            <w:rStyle w:val="Hyperlink"/>
          </w:rPr>
          <w:t>http://adalah.org/Public/files/English/Newsletter/Mar-2014/English-Discrimination-Tenders-March-2014.pdf</w:t>
        </w:r>
      </w:hyperlink>
      <w:r>
        <w:t xml:space="preserve">. </w:t>
      </w:r>
    </w:p>
  </w:footnote>
  <w:footnote w:id="10">
    <w:p w14:paraId="26E2FCF6" w14:textId="21D01EBB" w:rsidR="00885228" w:rsidRDefault="00885228" w:rsidP="00450B70">
      <w:pPr>
        <w:pStyle w:val="FootnoteText"/>
      </w:pPr>
      <w:r>
        <w:rPr>
          <w:rStyle w:val="FootnoteReference"/>
        </w:rPr>
        <w:footnoteRef/>
      </w:r>
      <w:r>
        <w:t xml:space="preserve"> Case citation: HCJ 8625/13 </w:t>
      </w:r>
      <w:proofErr w:type="spellStart"/>
      <w:r>
        <w:t>Mohannad</w:t>
      </w:r>
      <w:proofErr w:type="spellEnd"/>
      <w:r>
        <w:t xml:space="preserve"> </w:t>
      </w:r>
      <w:proofErr w:type="spellStart"/>
      <w:r>
        <w:t>Khoury</w:t>
      </w:r>
      <w:proofErr w:type="spellEnd"/>
      <w:r>
        <w:t xml:space="preserve"> et al. v. Israel Land Authority et al. (pending); </w:t>
      </w:r>
      <w:proofErr w:type="spellStart"/>
      <w:r>
        <w:t>Adalah</w:t>
      </w:r>
      <w:proofErr w:type="spellEnd"/>
      <w:r>
        <w:t>, "</w:t>
      </w:r>
      <w:proofErr w:type="spellStart"/>
      <w:r>
        <w:t>Adalah</w:t>
      </w:r>
      <w:proofErr w:type="spellEnd"/>
      <w:r>
        <w:t xml:space="preserve"> petitions Supreme Court against construction company that refuses to sell apartments to Arab citizens", 22 December 2013: </w:t>
      </w:r>
      <w:r w:rsidRPr="000A1AE3">
        <w:t>http://adalah.org/eng/Articles/2229/Adalah-petitions-Supreme-Court-against-Company-to</w:t>
      </w:r>
      <w:r>
        <w:t xml:space="preserve">: </w:t>
      </w:r>
      <w:hyperlink r:id="rId9" w:history="1">
        <w:r w:rsidRPr="00FD7CA3">
          <w:rPr>
            <w:rStyle w:val="Hyperlink"/>
          </w:rPr>
          <w:t>http://adalah.org/eng/Articles/2229/Adalah-petitions-Supreme-Court-against-Company-to</w:t>
        </w:r>
      </w:hyperlink>
      <w:r>
        <w:t xml:space="preserve">. </w:t>
      </w:r>
    </w:p>
  </w:footnote>
  <w:footnote w:id="11">
    <w:p w14:paraId="5AEA5848" w14:textId="2CAAB3B3" w:rsidR="00885228" w:rsidRDefault="00885228" w:rsidP="00D611FD">
      <w:pPr>
        <w:pStyle w:val="FootnoteText"/>
      </w:pPr>
      <w:r>
        <w:rPr>
          <w:rStyle w:val="FootnoteReference"/>
        </w:rPr>
        <w:footnoteRef/>
      </w:r>
      <w:r>
        <w:t xml:space="preserve"> </w:t>
      </w:r>
      <w:proofErr w:type="spellStart"/>
      <w:r>
        <w:t>Adalah</w:t>
      </w:r>
      <w:proofErr w:type="spellEnd"/>
      <w:r>
        <w:t>, "</w:t>
      </w:r>
      <w:proofErr w:type="spellStart"/>
      <w:r>
        <w:t>Adalah</w:t>
      </w:r>
      <w:proofErr w:type="spellEnd"/>
      <w:r>
        <w:t xml:space="preserve"> demands that Israel Land Authority register properties of Arab citizens on JNF lands in </w:t>
      </w:r>
      <w:proofErr w:type="spellStart"/>
      <w:r>
        <w:t>Carmiel</w:t>
      </w:r>
      <w:proofErr w:type="spellEnd"/>
      <w:r>
        <w:t xml:space="preserve">", 22 January 2014: </w:t>
      </w:r>
      <w:hyperlink r:id="rId10" w:history="1">
        <w:r w:rsidRPr="00FD7CA3">
          <w:rPr>
            <w:rStyle w:val="Hyperlink"/>
          </w:rPr>
          <w:t>http://adalah.org/eng/Articles/2240/Adalah-demands-that-Israel-Land-Authority-of-Arab</w:t>
        </w:r>
      </w:hyperlink>
      <w:r>
        <w:t xml:space="preserve">. </w:t>
      </w:r>
    </w:p>
  </w:footnote>
  <w:footnote w:id="12">
    <w:p w14:paraId="690C3FE3" w14:textId="26DAF769" w:rsidR="00885228" w:rsidRDefault="00885228" w:rsidP="009A5885">
      <w:pPr>
        <w:pStyle w:val="FootnoteText"/>
      </w:pPr>
      <w:r>
        <w:rPr>
          <w:rStyle w:val="FootnoteReference"/>
        </w:rPr>
        <w:footnoteRef/>
      </w:r>
      <w:r>
        <w:t xml:space="preserve"> See Report of the Special Rapporteur on adequate housing as a component of the right to an adequate standard of living, and on the right to non-discrimination in this context, Raquel </w:t>
      </w:r>
      <w:proofErr w:type="spellStart"/>
      <w:r>
        <w:t>Rolnik</w:t>
      </w:r>
      <w:proofErr w:type="spellEnd"/>
      <w:r>
        <w:t xml:space="preserve"> Mission to Israel and the Occupied Palestinian Territory, 24 December 2012. A/HRC/22/46/Add.1.</w:t>
      </w:r>
    </w:p>
  </w:footnote>
  <w:footnote w:id="13">
    <w:p w14:paraId="335F80A2" w14:textId="09867BA4" w:rsidR="00885228" w:rsidRDefault="00885228" w:rsidP="00D735A9">
      <w:pPr>
        <w:pStyle w:val="FootnoteText"/>
      </w:pPr>
      <w:r>
        <w:rPr>
          <w:rStyle w:val="FootnoteReference"/>
        </w:rPr>
        <w:footnoteRef/>
      </w:r>
      <w:r>
        <w:t xml:space="preserve"> See footnote 5.</w:t>
      </w:r>
    </w:p>
  </w:footnote>
  <w:footnote w:id="14">
    <w:p w14:paraId="71D6A5EF" w14:textId="77777777" w:rsidR="00885228" w:rsidRDefault="00885228">
      <w:pPr>
        <w:pStyle w:val="FootnoteText"/>
      </w:pPr>
      <w:r>
        <w:rPr>
          <w:rStyle w:val="FootnoteReference"/>
        </w:rPr>
        <w:footnoteRef/>
      </w:r>
      <w:r>
        <w:t xml:space="preserve"> Ibid.</w:t>
      </w:r>
    </w:p>
  </w:footnote>
  <w:footnote w:id="15">
    <w:p w14:paraId="2C4B5932" w14:textId="7261D664" w:rsidR="00885228" w:rsidRDefault="00885228" w:rsidP="00D735A9">
      <w:pPr>
        <w:pStyle w:val="FootnoteText"/>
      </w:pPr>
      <w:r>
        <w:rPr>
          <w:rStyle w:val="FootnoteReference"/>
        </w:rPr>
        <w:footnoteRef/>
      </w:r>
      <w:r>
        <w:t xml:space="preserve"> </w:t>
      </w:r>
      <w:proofErr w:type="spellStart"/>
      <w:r>
        <w:t>Adalah</w:t>
      </w:r>
      <w:proofErr w:type="spellEnd"/>
      <w:r>
        <w:t xml:space="preserve"> Attorney </w:t>
      </w:r>
      <w:proofErr w:type="spellStart"/>
      <w:r>
        <w:t>Sawsan</w:t>
      </w:r>
      <w:proofErr w:type="spellEnd"/>
      <w:r>
        <w:t xml:space="preserve"> </w:t>
      </w:r>
      <w:proofErr w:type="spellStart"/>
      <w:r>
        <w:t>Zaher</w:t>
      </w:r>
      <w:proofErr w:type="spellEnd"/>
      <w:r>
        <w:t xml:space="preserve">, "Ensuring Appropriate Representation of Arab Women in the Civil Service in Israel", March 2013: </w:t>
      </w:r>
      <w:hyperlink r:id="rId11" w:history="1">
        <w:r w:rsidRPr="00D32E74">
          <w:rPr>
            <w:rStyle w:val="Hyperlink"/>
          </w:rPr>
          <w:t>http://adalah.org/Public/files/English/Newsletter/102-March2013/Sawsan-Zaher-Arab-Women-Civil-Service-03-13.pdf</w:t>
        </w:r>
      </w:hyperlink>
      <w:r>
        <w:t>.</w:t>
      </w:r>
    </w:p>
  </w:footnote>
  <w:footnote w:id="16">
    <w:p w14:paraId="3E130628" w14:textId="087F29D0" w:rsidR="00885228" w:rsidRDefault="00885228" w:rsidP="00B734BB">
      <w:pPr>
        <w:pStyle w:val="FootnoteText"/>
      </w:pPr>
      <w:r>
        <w:rPr>
          <w:rStyle w:val="FootnoteReference"/>
        </w:rPr>
        <w:footnoteRef/>
      </w:r>
      <w:r>
        <w:t xml:space="preserve"> </w:t>
      </w:r>
      <w:proofErr w:type="spellStart"/>
      <w:r>
        <w:t>Adalah</w:t>
      </w:r>
      <w:proofErr w:type="spellEnd"/>
      <w:r>
        <w:t xml:space="preserve"> press release, "</w:t>
      </w:r>
      <w:proofErr w:type="spellStart"/>
      <w:r>
        <w:t>Adalah</w:t>
      </w:r>
      <w:proofErr w:type="spellEnd"/>
      <w:r>
        <w:t xml:space="preserve"> demands retraction of punitive measures taken against Arab students and workers for their anti-war opinions on Gaza", 6 August 2014: </w:t>
      </w:r>
      <w:hyperlink r:id="rId12" w:history="1">
        <w:r w:rsidRPr="00BC7867">
          <w:rPr>
            <w:rStyle w:val="Hyperlink"/>
          </w:rPr>
          <w:t>http://adalah.org/eng/Articles/2315/Adalah-demands-that-Israeli-academic-and-retract-</w:t>
        </w:r>
      </w:hyperlink>
      <w:r>
        <w:t xml:space="preserve">; Jonathan Cook, "Israel's Gaza backlash targets Arab minority", Middle East Eye, 30 July 2014: </w:t>
      </w:r>
      <w:hyperlink r:id="rId13" w:history="1">
        <w:r w:rsidRPr="00FD7CA3">
          <w:rPr>
            <w:rStyle w:val="Hyperlink"/>
          </w:rPr>
          <w:t>http://www.middleeasteye.net/news/israel-s-gaza-backlash-targets-arab-minority-483153084</w:t>
        </w:r>
      </w:hyperlink>
      <w:r>
        <w:t>.</w:t>
      </w:r>
    </w:p>
  </w:footnote>
  <w:footnote w:id="17">
    <w:p w14:paraId="61A99540" w14:textId="1723E24A" w:rsidR="00885228" w:rsidRDefault="00885228" w:rsidP="002B124E">
      <w:pPr>
        <w:pStyle w:val="FootnoteText"/>
      </w:pPr>
      <w:r>
        <w:rPr>
          <w:rStyle w:val="FootnoteReference"/>
        </w:rPr>
        <w:footnoteRef/>
      </w:r>
      <w:r>
        <w:t xml:space="preserve"> Case citation: </w:t>
      </w:r>
      <w:r w:rsidRPr="002B124E">
        <w:rPr>
          <w:i/>
          <w:iCs/>
        </w:rPr>
        <w:t xml:space="preserve">Elections Confirmation 9255/12, the Central Elections Committee v. </w:t>
      </w:r>
      <w:proofErr w:type="spellStart"/>
      <w:r w:rsidRPr="002B124E">
        <w:rPr>
          <w:i/>
          <w:iCs/>
        </w:rPr>
        <w:t>Haneen</w:t>
      </w:r>
      <w:proofErr w:type="spellEnd"/>
      <w:r w:rsidRPr="002B124E">
        <w:rPr>
          <w:i/>
          <w:iCs/>
        </w:rPr>
        <w:t xml:space="preserve"> </w:t>
      </w:r>
      <w:proofErr w:type="spellStart"/>
      <w:r w:rsidRPr="002B124E">
        <w:rPr>
          <w:i/>
          <w:iCs/>
        </w:rPr>
        <w:t>Zoabi</w:t>
      </w:r>
      <w:proofErr w:type="spellEnd"/>
      <w:r>
        <w:t xml:space="preserve">;  </w:t>
      </w:r>
      <w:proofErr w:type="spellStart"/>
      <w:r>
        <w:t>Adalah</w:t>
      </w:r>
      <w:proofErr w:type="spellEnd"/>
      <w:r>
        <w:t xml:space="preserve"> press release, “Israeli Supreme Court delivers detailed decision in MK </w:t>
      </w:r>
      <w:proofErr w:type="spellStart"/>
      <w:r>
        <w:t>Haneen</w:t>
      </w:r>
      <w:proofErr w:type="spellEnd"/>
      <w:r>
        <w:t xml:space="preserve"> </w:t>
      </w:r>
      <w:proofErr w:type="spellStart"/>
      <w:r>
        <w:t>Zoabi’s</w:t>
      </w:r>
      <w:proofErr w:type="spellEnd"/>
      <w:r>
        <w:t xml:space="preserve"> Elections Disqualification case”, 22 August 2014: </w:t>
      </w:r>
      <w:hyperlink r:id="rId14" w:history="1">
        <w:r w:rsidRPr="00D32E74">
          <w:rPr>
            <w:rStyle w:val="Hyperlink"/>
          </w:rPr>
          <w:t>http://www.adalah.org/eng/Articles/2199/Israeli-Supreme-Court-Delivers-Detailed-Decision-</w:t>
        </w:r>
      </w:hyperlink>
      <w:r>
        <w:t>.</w:t>
      </w:r>
    </w:p>
  </w:footnote>
  <w:footnote w:id="18">
    <w:p w14:paraId="41CF9A08" w14:textId="0CB5BAE8" w:rsidR="00885228" w:rsidRDefault="00885228" w:rsidP="00E01B07">
      <w:pPr>
        <w:pStyle w:val="FootnoteText"/>
      </w:pPr>
    </w:p>
  </w:footnote>
  <w:footnote w:id="19">
    <w:p w14:paraId="5648885D" w14:textId="7E096690" w:rsidR="00885228" w:rsidRDefault="00885228">
      <w:pPr>
        <w:pStyle w:val="FootnoteText"/>
      </w:pPr>
      <w:r>
        <w:rPr>
          <w:rStyle w:val="FootnoteReference"/>
        </w:rPr>
        <w:footnoteRef/>
      </w:r>
      <w:r>
        <w:t xml:space="preserve"> </w:t>
      </w:r>
      <w:proofErr w:type="spellStart"/>
      <w:r>
        <w:t>Aeyal</w:t>
      </w:r>
      <w:proofErr w:type="spellEnd"/>
      <w:r>
        <w:t xml:space="preserve"> Gross, "With </w:t>
      </w:r>
      <w:proofErr w:type="spellStart"/>
      <w:r>
        <w:t>Zoabi's</w:t>
      </w:r>
      <w:proofErr w:type="spellEnd"/>
      <w:r>
        <w:t xml:space="preserve"> suspension, Knesset moves towards fascism", </w:t>
      </w:r>
      <w:proofErr w:type="spellStart"/>
      <w:r>
        <w:t>Haaretz</w:t>
      </w:r>
      <w:proofErr w:type="spellEnd"/>
      <w:r>
        <w:t xml:space="preserve">, 30 July 2014: </w:t>
      </w:r>
      <w:hyperlink r:id="rId15" w:history="1">
        <w:r w:rsidRPr="00FD7CA3">
          <w:rPr>
            <w:rStyle w:val="Hyperlink"/>
          </w:rPr>
          <w:t>http://www.haaretz.com/opinion/.premium-1.607924</w:t>
        </w:r>
      </w:hyperlink>
      <w:r>
        <w:t xml:space="preserve">. </w:t>
      </w:r>
    </w:p>
  </w:footnote>
  <w:footnote w:id="20">
    <w:p w14:paraId="54550051" w14:textId="56ACF225" w:rsidR="00885228" w:rsidRDefault="00885228">
      <w:pPr>
        <w:pStyle w:val="FootnoteText"/>
      </w:pPr>
      <w:r>
        <w:rPr>
          <w:rStyle w:val="FootnoteReference"/>
        </w:rPr>
        <w:footnoteRef/>
      </w:r>
      <w:r>
        <w:t xml:space="preserve"> </w:t>
      </w:r>
      <w:proofErr w:type="spellStart"/>
      <w:r>
        <w:t>Adalah</w:t>
      </w:r>
      <w:proofErr w:type="spellEnd"/>
      <w:r>
        <w:t xml:space="preserve"> press release, “After 5 years of trial, Tel Aviv Magistrates’ Court sentence MK Mohammed </w:t>
      </w:r>
      <w:proofErr w:type="spellStart"/>
      <w:r>
        <w:t>Barakeh</w:t>
      </w:r>
      <w:proofErr w:type="spellEnd"/>
      <w:r>
        <w:t xml:space="preserve"> to pay NIS 650 fine”, 27 April 2014: </w:t>
      </w:r>
      <w:hyperlink r:id="rId16" w:history="1">
        <w:r w:rsidRPr="00D32E74">
          <w:rPr>
            <w:rStyle w:val="Hyperlink"/>
          </w:rPr>
          <w:t>http://adalah.org/eng/Articles/2269/After-5-years-of-trial,-Tel-Aviv-Magistrates%E2%80%99-MK</w:t>
        </w:r>
      </w:hyperlink>
      <w:r>
        <w:t xml:space="preserve">. </w:t>
      </w:r>
    </w:p>
  </w:footnote>
  <w:footnote w:id="21">
    <w:p w14:paraId="5BFA1457" w14:textId="41AFB1E7" w:rsidR="00885228" w:rsidRDefault="00885228" w:rsidP="00EB3C95">
      <w:pPr>
        <w:pStyle w:val="FootnoteText"/>
      </w:pPr>
      <w:r>
        <w:rPr>
          <w:rStyle w:val="FootnoteReference"/>
        </w:rPr>
        <w:footnoteRef/>
      </w:r>
      <w:r>
        <w:t xml:space="preserve"> See </w:t>
      </w:r>
      <w:proofErr w:type="spellStart"/>
      <w:r>
        <w:t>Adalah’s</w:t>
      </w:r>
      <w:proofErr w:type="spellEnd"/>
      <w:r>
        <w:t xml:space="preserve"> submission to the HRC 2011</w:t>
      </w:r>
      <w:r w:rsidRPr="00EB3C95">
        <w:t xml:space="preserve">: </w:t>
      </w:r>
      <w:hyperlink r:id="rId17" w:history="1">
        <w:r w:rsidRPr="00FD7CA3">
          <w:rPr>
            <w:rStyle w:val="Hyperlink"/>
          </w:rPr>
          <w:t>http://adalah.org/Public/files/English/International_Advocacy/LOIPR_for_UNHRC_June_2012.pdf</w:t>
        </w:r>
      </w:hyperlink>
      <w:r>
        <w:t xml:space="preserve">; </w:t>
      </w:r>
      <w:proofErr w:type="spellStart"/>
      <w:r>
        <w:t>Adalah’s</w:t>
      </w:r>
      <w:proofErr w:type="spellEnd"/>
      <w:r>
        <w:t xml:space="preserve"> Discriminatory Laws Database for more details and documents on the laws: </w:t>
      </w:r>
      <w:hyperlink r:id="rId18" w:history="1">
        <w:r w:rsidRPr="00D32E74">
          <w:rPr>
            <w:rStyle w:val="Hyperlink"/>
          </w:rPr>
          <w:t>http://adalah.org/eng/Israeli-Discriminatory-Law-Database</w:t>
        </w:r>
      </w:hyperlink>
      <w:r>
        <w:t>.</w:t>
      </w:r>
    </w:p>
  </w:footnote>
  <w:footnote w:id="22">
    <w:p w14:paraId="7BADAA71" w14:textId="40722507" w:rsidR="00885228" w:rsidRDefault="00885228">
      <w:pPr>
        <w:pStyle w:val="FootnoteText"/>
      </w:pPr>
      <w:r>
        <w:rPr>
          <w:rStyle w:val="FootnoteReference"/>
        </w:rPr>
        <w:footnoteRef/>
      </w:r>
      <w:r>
        <w:t xml:space="preserve"> </w:t>
      </w:r>
      <w:r w:rsidRPr="00B12701">
        <w:rPr>
          <w:rFonts w:cs="Arial"/>
          <w:shd w:val="clear" w:color="auto" w:fill="FFFFFF"/>
        </w:rPr>
        <w:t xml:space="preserve">Case citation: </w:t>
      </w:r>
      <w:r w:rsidRPr="00B12701">
        <w:rPr>
          <w:rFonts w:cs="Arial"/>
          <w:i/>
          <w:iCs/>
          <w:shd w:val="clear" w:color="auto" w:fill="FFFFFF"/>
        </w:rPr>
        <w:t>HCJ 2072/12, The Coalition of Women for Peace, et al. v. The Minister of Finance, et al. (pending)</w:t>
      </w:r>
      <w:r w:rsidRPr="00B12701">
        <w:t xml:space="preserve">; </w:t>
      </w:r>
      <w:proofErr w:type="spellStart"/>
      <w:r w:rsidRPr="00B12701">
        <w:t>Adalah</w:t>
      </w:r>
      <w:proofErr w:type="spellEnd"/>
      <w:r w:rsidRPr="00B12701">
        <w:t xml:space="preserve"> </w:t>
      </w:r>
      <w:r>
        <w:t xml:space="preserve">press release, "Expanded Supreme Court panel hears petition against 'Anti-Boycott Law'", 18 February 2014: </w:t>
      </w:r>
      <w:hyperlink r:id="rId19" w:history="1">
        <w:r w:rsidRPr="00FD7CA3">
          <w:rPr>
            <w:rStyle w:val="Hyperlink"/>
          </w:rPr>
          <w:t>http://adalah.org/eng/Articles/2246/Expanded-Supreme-Court-Panel-Hears-Petition</w:t>
        </w:r>
      </w:hyperlink>
      <w:r>
        <w:t xml:space="preserve">. </w:t>
      </w:r>
    </w:p>
  </w:footnote>
  <w:footnote w:id="23">
    <w:p w14:paraId="23EB438B" w14:textId="10768DB5" w:rsidR="00885228" w:rsidRDefault="00885228">
      <w:pPr>
        <w:pStyle w:val="FootnoteText"/>
      </w:pPr>
      <w:r>
        <w:rPr>
          <w:rStyle w:val="FootnoteReference"/>
        </w:rPr>
        <w:footnoteRef/>
      </w:r>
      <w:r>
        <w:t xml:space="preserve"> </w:t>
      </w:r>
      <w:proofErr w:type="spellStart"/>
      <w:r>
        <w:t>Adalah</w:t>
      </w:r>
      <w:proofErr w:type="spellEnd"/>
      <w:r>
        <w:t xml:space="preserve"> press release, “District Court cancels Haifa University’s decision to expel Arab students”, 20 May 2014: </w:t>
      </w:r>
      <w:hyperlink r:id="rId20" w:history="1">
        <w:r w:rsidRPr="00D32E74">
          <w:rPr>
            <w:rStyle w:val="Hyperlink"/>
          </w:rPr>
          <w:t>http://www.adalah.org/eng/Articles/2280/District-Court-cancels-Haifa-University%E2%80%99s-to</w:t>
        </w:r>
      </w:hyperlink>
      <w:r>
        <w:t>.</w:t>
      </w:r>
    </w:p>
  </w:footnote>
  <w:footnote w:id="24">
    <w:p w14:paraId="4AC66A51" w14:textId="2B077EC2" w:rsidR="00885228" w:rsidRDefault="00885228" w:rsidP="009D0DCE">
      <w:pPr>
        <w:pStyle w:val="FootnoteText"/>
      </w:pPr>
      <w:r>
        <w:rPr>
          <w:rStyle w:val="FootnoteReference"/>
        </w:rPr>
        <w:footnoteRef/>
      </w:r>
      <w:r>
        <w:t xml:space="preserve"> The estimation of these statistics was made through communications with the Israeli Police and with lawyers who represented detainees in various courts across Israel</w:t>
      </w:r>
      <w:r w:rsidR="00E77C88">
        <w:t xml:space="preserve">. </w:t>
      </w:r>
      <w:proofErr w:type="spellStart"/>
      <w:r>
        <w:t>Adalah</w:t>
      </w:r>
      <w:proofErr w:type="spellEnd"/>
      <w:r>
        <w:t xml:space="preserve"> sent a </w:t>
      </w:r>
      <w:r w:rsidR="00E77C88">
        <w:t xml:space="preserve">freedom of information act </w:t>
      </w:r>
      <w:r>
        <w:t>request in August 2014 to the police for the full numbers of people arrested and detained, including minors.</w:t>
      </w:r>
    </w:p>
  </w:footnote>
  <w:footnote w:id="25">
    <w:p w14:paraId="15459F17" w14:textId="64A992B5" w:rsidR="00885228" w:rsidRDefault="00885228" w:rsidP="00D2260A">
      <w:pPr>
        <w:pStyle w:val="FootnoteText"/>
      </w:pPr>
      <w:r w:rsidRPr="009D0DCE">
        <w:rPr>
          <w:rStyle w:val="FootnoteReference"/>
        </w:rPr>
        <w:footnoteRef/>
      </w:r>
      <w:r w:rsidRPr="009D0DCE">
        <w:t xml:space="preserve"> </w:t>
      </w:r>
      <w:proofErr w:type="spellStart"/>
      <w:r w:rsidRPr="009D0DCE">
        <w:t>Adalah</w:t>
      </w:r>
      <w:proofErr w:type="spellEnd"/>
      <w:r>
        <w:t xml:space="preserve">, "110 Palestinian citizens of Israel remain in detention after largest wave of arrests since October 2000", 8 July 2014: </w:t>
      </w:r>
      <w:hyperlink r:id="rId21" w:history="1">
        <w:r w:rsidRPr="00FD7CA3">
          <w:rPr>
            <w:rStyle w:val="Hyperlink"/>
          </w:rPr>
          <w:t>http://adalah.org/eng/Articles/2302/110-Palestinian-citizens-of-Israel-remain-in-after--</w:t>
        </w:r>
      </w:hyperlink>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7E1180" w14:textId="77777777" w:rsidR="00885228" w:rsidRDefault="00885228">
    <w:pPr>
      <w:pStyle w:val="Header"/>
    </w:pPr>
    <w:r>
      <w:rPr>
        <w:noProof/>
      </w:rPr>
      <w:drawing>
        <wp:inline distT="0" distB="0" distL="0" distR="0" wp14:anchorId="70791E0E" wp14:editId="7182FA0A">
          <wp:extent cx="5928526" cy="738037"/>
          <wp:effectExtent l="19050" t="0" r="0" b="0"/>
          <wp:docPr id="13" name="תמונה 13" descr="letterhead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etterheadtop"/>
                  <pic:cNvPicPr>
                    <a:picLocks noChangeAspect="1" noChangeArrowheads="1"/>
                  </pic:cNvPicPr>
                </pic:nvPicPr>
                <pic:blipFill>
                  <a:blip r:embed="rId1"/>
                  <a:srcRect/>
                  <a:stretch>
                    <a:fillRect/>
                  </a:stretch>
                </pic:blipFill>
                <pic:spPr bwMode="auto">
                  <a:xfrm>
                    <a:off x="0" y="0"/>
                    <a:ext cx="5928758" cy="738066"/>
                  </a:xfrm>
                  <a:prstGeom prst="rect">
                    <a:avLst/>
                  </a:prstGeom>
                  <a:noFill/>
                  <a:ln w="9525">
                    <a:noFill/>
                    <a:miter lim="800000"/>
                    <a:headEnd/>
                    <a:tailEnd/>
                  </a:ln>
                </pic:spPr>
              </pic:pic>
            </a:graphicData>
          </a:graphic>
        </wp:inline>
      </w:drawing>
    </w:r>
  </w:p>
  <w:p w14:paraId="0F7247ED" w14:textId="77777777" w:rsidR="00885228" w:rsidRDefault="0088522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F6AA4"/>
    <w:multiLevelType w:val="hybridMultilevel"/>
    <w:tmpl w:val="5D6E9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A722D"/>
    <w:multiLevelType w:val="hybridMultilevel"/>
    <w:tmpl w:val="4F1AF300"/>
    <w:lvl w:ilvl="0" w:tplc="9030F180">
      <w:start w:val="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ED77D7"/>
    <w:multiLevelType w:val="hybridMultilevel"/>
    <w:tmpl w:val="FE84B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1A03C14"/>
    <w:multiLevelType w:val="hybridMultilevel"/>
    <w:tmpl w:val="F95CE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9B695E"/>
    <w:multiLevelType w:val="hybridMultilevel"/>
    <w:tmpl w:val="FD86B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1A5757"/>
    <w:multiLevelType w:val="hybridMultilevel"/>
    <w:tmpl w:val="2C867ABE"/>
    <w:lvl w:ilvl="0" w:tplc="57AEFFE8">
      <w:start w:val="1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9E50E5"/>
    <w:multiLevelType w:val="hybridMultilevel"/>
    <w:tmpl w:val="CB982A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2"/>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30A4"/>
    <w:rsid w:val="00002186"/>
    <w:rsid w:val="00012656"/>
    <w:rsid w:val="00067A01"/>
    <w:rsid w:val="00081784"/>
    <w:rsid w:val="0008659E"/>
    <w:rsid w:val="00087A5A"/>
    <w:rsid w:val="00093428"/>
    <w:rsid w:val="000A1AE3"/>
    <w:rsid w:val="000A1B67"/>
    <w:rsid w:val="000B17F8"/>
    <w:rsid w:val="000C5392"/>
    <w:rsid w:val="000D0FC0"/>
    <w:rsid w:val="000E6E58"/>
    <w:rsid w:val="000F57DC"/>
    <w:rsid w:val="00102F43"/>
    <w:rsid w:val="00127BD2"/>
    <w:rsid w:val="0015031C"/>
    <w:rsid w:val="00152041"/>
    <w:rsid w:val="00154059"/>
    <w:rsid w:val="00161475"/>
    <w:rsid w:val="00173346"/>
    <w:rsid w:val="00173CC1"/>
    <w:rsid w:val="00180689"/>
    <w:rsid w:val="0018112B"/>
    <w:rsid w:val="00187B66"/>
    <w:rsid w:val="0019035E"/>
    <w:rsid w:val="001977DE"/>
    <w:rsid w:val="00197F8D"/>
    <w:rsid w:val="001A491A"/>
    <w:rsid w:val="001A762E"/>
    <w:rsid w:val="001C3BF3"/>
    <w:rsid w:val="001C6B49"/>
    <w:rsid w:val="001F173C"/>
    <w:rsid w:val="00204C73"/>
    <w:rsid w:val="00211641"/>
    <w:rsid w:val="00215655"/>
    <w:rsid w:val="00221740"/>
    <w:rsid w:val="00272C1A"/>
    <w:rsid w:val="00291ADD"/>
    <w:rsid w:val="002A6B11"/>
    <w:rsid w:val="002B124E"/>
    <w:rsid w:val="002C3C75"/>
    <w:rsid w:val="002C4AC2"/>
    <w:rsid w:val="002D7383"/>
    <w:rsid w:val="00324B47"/>
    <w:rsid w:val="00336977"/>
    <w:rsid w:val="0034059F"/>
    <w:rsid w:val="00351EFB"/>
    <w:rsid w:val="0035314F"/>
    <w:rsid w:val="0035695A"/>
    <w:rsid w:val="00367B54"/>
    <w:rsid w:val="00367C08"/>
    <w:rsid w:val="0037134F"/>
    <w:rsid w:val="003C299A"/>
    <w:rsid w:val="003C7AF9"/>
    <w:rsid w:val="003E4A4B"/>
    <w:rsid w:val="004079E9"/>
    <w:rsid w:val="00411329"/>
    <w:rsid w:val="00423B61"/>
    <w:rsid w:val="00425C4C"/>
    <w:rsid w:val="004375F0"/>
    <w:rsid w:val="004475E0"/>
    <w:rsid w:val="00450B70"/>
    <w:rsid w:val="00450C43"/>
    <w:rsid w:val="00465889"/>
    <w:rsid w:val="00474934"/>
    <w:rsid w:val="00496000"/>
    <w:rsid w:val="004A6463"/>
    <w:rsid w:val="004A675A"/>
    <w:rsid w:val="004C2BDE"/>
    <w:rsid w:val="004D001E"/>
    <w:rsid w:val="004D1C0D"/>
    <w:rsid w:val="004D4B84"/>
    <w:rsid w:val="004D618A"/>
    <w:rsid w:val="004D72B0"/>
    <w:rsid w:val="004E0382"/>
    <w:rsid w:val="0050659C"/>
    <w:rsid w:val="00533A1A"/>
    <w:rsid w:val="00545F1E"/>
    <w:rsid w:val="0058286C"/>
    <w:rsid w:val="00590F8A"/>
    <w:rsid w:val="005A24A0"/>
    <w:rsid w:val="005A43A3"/>
    <w:rsid w:val="005B26A4"/>
    <w:rsid w:val="005B6465"/>
    <w:rsid w:val="005D6334"/>
    <w:rsid w:val="005F1ED1"/>
    <w:rsid w:val="005F620A"/>
    <w:rsid w:val="00600845"/>
    <w:rsid w:val="00611C7E"/>
    <w:rsid w:val="0061421C"/>
    <w:rsid w:val="006409A4"/>
    <w:rsid w:val="0064444A"/>
    <w:rsid w:val="006511D1"/>
    <w:rsid w:val="00661646"/>
    <w:rsid w:val="006944E3"/>
    <w:rsid w:val="006C16D1"/>
    <w:rsid w:val="006C7294"/>
    <w:rsid w:val="006D34B9"/>
    <w:rsid w:val="00701339"/>
    <w:rsid w:val="00723FEB"/>
    <w:rsid w:val="0072739C"/>
    <w:rsid w:val="00737B5A"/>
    <w:rsid w:val="00740E98"/>
    <w:rsid w:val="0074237A"/>
    <w:rsid w:val="0074423C"/>
    <w:rsid w:val="007664EB"/>
    <w:rsid w:val="00775352"/>
    <w:rsid w:val="00782D63"/>
    <w:rsid w:val="00793C76"/>
    <w:rsid w:val="007A28E9"/>
    <w:rsid w:val="007A4B8E"/>
    <w:rsid w:val="007A7B4B"/>
    <w:rsid w:val="007C1972"/>
    <w:rsid w:val="007C4F9A"/>
    <w:rsid w:val="007D467A"/>
    <w:rsid w:val="007E1AF0"/>
    <w:rsid w:val="007F59C4"/>
    <w:rsid w:val="00802FD6"/>
    <w:rsid w:val="00807488"/>
    <w:rsid w:val="00807C8C"/>
    <w:rsid w:val="008140D2"/>
    <w:rsid w:val="008311DE"/>
    <w:rsid w:val="00834C64"/>
    <w:rsid w:val="0084547E"/>
    <w:rsid w:val="00851464"/>
    <w:rsid w:val="0085255B"/>
    <w:rsid w:val="00857375"/>
    <w:rsid w:val="00876297"/>
    <w:rsid w:val="008762FF"/>
    <w:rsid w:val="00885228"/>
    <w:rsid w:val="008868B4"/>
    <w:rsid w:val="00886C28"/>
    <w:rsid w:val="008936C2"/>
    <w:rsid w:val="008A4BBC"/>
    <w:rsid w:val="008A5F17"/>
    <w:rsid w:val="008C28BD"/>
    <w:rsid w:val="008C645B"/>
    <w:rsid w:val="009168BA"/>
    <w:rsid w:val="00921CAA"/>
    <w:rsid w:val="00937D99"/>
    <w:rsid w:val="00944E58"/>
    <w:rsid w:val="009612F4"/>
    <w:rsid w:val="00967A67"/>
    <w:rsid w:val="009918C9"/>
    <w:rsid w:val="009A5885"/>
    <w:rsid w:val="009D0DCE"/>
    <w:rsid w:val="009D13D5"/>
    <w:rsid w:val="009E694B"/>
    <w:rsid w:val="009E6D6E"/>
    <w:rsid w:val="009F0582"/>
    <w:rsid w:val="009F4A7B"/>
    <w:rsid w:val="00A00B43"/>
    <w:rsid w:val="00A07CFB"/>
    <w:rsid w:val="00A24B86"/>
    <w:rsid w:val="00A26A39"/>
    <w:rsid w:val="00A34A2A"/>
    <w:rsid w:val="00A35A9E"/>
    <w:rsid w:val="00A44F13"/>
    <w:rsid w:val="00A70149"/>
    <w:rsid w:val="00AB0481"/>
    <w:rsid w:val="00AB16DD"/>
    <w:rsid w:val="00AB4767"/>
    <w:rsid w:val="00AC1268"/>
    <w:rsid w:val="00AC3C0A"/>
    <w:rsid w:val="00AD54D5"/>
    <w:rsid w:val="00AF3158"/>
    <w:rsid w:val="00AF7053"/>
    <w:rsid w:val="00B050F5"/>
    <w:rsid w:val="00B12701"/>
    <w:rsid w:val="00B13978"/>
    <w:rsid w:val="00B236C7"/>
    <w:rsid w:val="00B332FF"/>
    <w:rsid w:val="00B5058A"/>
    <w:rsid w:val="00B55DEB"/>
    <w:rsid w:val="00B62B76"/>
    <w:rsid w:val="00B63241"/>
    <w:rsid w:val="00B734BB"/>
    <w:rsid w:val="00B83997"/>
    <w:rsid w:val="00B875FD"/>
    <w:rsid w:val="00B94CD6"/>
    <w:rsid w:val="00B95F0E"/>
    <w:rsid w:val="00BB46A7"/>
    <w:rsid w:val="00BC4CBB"/>
    <w:rsid w:val="00BD540F"/>
    <w:rsid w:val="00BE4483"/>
    <w:rsid w:val="00BE6C39"/>
    <w:rsid w:val="00C220A9"/>
    <w:rsid w:val="00C2407C"/>
    <w:rsid w:val="00C24FD4"/>
    <w:rsid w:val="00C25C2F"/>
    <w:rsid w:val="00C26D00"/>
    <w:rsid w:val="00C5106F"/>
    <w:rsid w:val="00C645DD"/>
    <w:rsid w:val="00C64AB9"/>
    <w:rsid w:val="00C65907"/>
    <w:rsid w:val="00C9665F"/>
    <w:rsid w:val="00C9675D"/>
    <w:rsid w:val="00CA6EC2"/>
    <w:rsid w:val="00CB2AB8"/>
    <w:rsid w:val="00CC7E96"/>
    <w:rsid w:val="00CF15A5"/>
    <w:rsid w:val="00CF3837"/>
    <w:rsid w:val="00CF42F7"/>
    <w:rsid w:val="00CF7231"/>
    <w:rsid w:val="00D030A4"/>
    <w:rsid w:val="00D15475"/>
    <w:rsid w:val="00D2260A"/>
    <w:rsid w:val="00D25A65"/>
    <w:rsid w:val="00D308E5"/>
    <w:rsid w:val="00D433CD"/>
    <w:rsid w:val="00D61062"/>
    <w:rsid w:val="00D611FD"/>
    <w:rsid w:val="00D61BC3"/>
    <w:rsid w:val="00D72E18"/>
    <w:rsid w:val="00D735A9"/>
    <w:rsid w:val="00D7767F"/>
    <w:rsid w:val="00D811A3"/>
    <w:rsid w:val="00D8781E"/>
    <w:rsid w:val="00D979AF"/>
    <w:rsid w:val="00DA7574"/>
    <w:rsid w:val="00DB0E89"/>
    <w:rsid w:val="00E01B07"/>
    <w:rsid w:val="00E16DAF"/>
    <w:rsid w:val="00E4299A"/>
    <w:rsid w:val="00E60453"/>
    <w:rsid w:val="00E63F3B"/>
    <w:rsid w:val="00E74B7B"/>
    <w:rsid w:val="00E77C88"/>
    <w:rsid w:val="00E80DAB"/>
    <w:rsid w:val="00E8551C"/>
    <w:rsid w:val="00E87289"/>
    <w:rsid w:val="00E936FC"/>
    <w:rsid w:val="00EB107A"/>
    <w:rsid w:val="00EB3C95"/>
    <w:rsid w:val="00EC716C"/>
    <w:rsid w:val="00EC7840"/>
    <w:rsid w:val="00ED68D3"/>
    <w:rsid w:val="00EE68FC"/>
    <w:rsid w:val="00EE76B2"/>
    <w:rsid w:val="00F01819"/>
    <w:rsid w:val="00F04A15"/>
    <w:rsid w:val="00F04D6C"/>
    <w:rsid w:val="00F06205"/>
    <w:rsid w:val="00F238FE"/>
    <w:rsid w:val="00F30C94"/>
    <w:rsid w:val="00F3567A"/>
    <w:rsid w:val="00F519B1"/>
    <w:rsid w:val="00F82E0B"/>
    <w:rsid w:val="00FB6A37"/>
    <w:rsid w:val="00FC1975"/>
    <w:rsid w:val="00FC4B8C"/>
    <w:rsid w:val="00FC7B0D"/>
    <w:rsid w:val="00FD5532"/>
    <w:rsid w:val="00FE7B16"/>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558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1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5F0"/>
    <w:pPr>
      <w:ind w:left="720"/>
      <w:contextualSpacing/>
    </w:pPr>
  </w:style>
  <w:style w:type="character" w:styleId="Hyperlink">
    <w:name w:val="Hyperlink"/>
    <w:basedOn w:val="DefaultParagraphFont"/>
    <w:uiPriority w:val="99"/>
    <w:unhideWhenUsed/>
    <w:rsid w:val="00C9675D"/>
    <w:rPr>
      <w:color w:val="0000FF" w:themeColor="hyperlink"/>
      <w:u w:val="single"/>
    </w:rPr>
  </w:style>
  <w:style w:type="character" w:styleId="FollowedHyperlink">
    <w:name w:val="FollowedHyperlink"/>
    <w:basedOn w:val="DefaultParagraphFont"/>
    <w:uiPriority w:val="99"/>
    <w:semiHidden/>
    <w:unhideWhenUsed/>
    <w:rsid w:val="00204C73"/>
    <w:rPr>
      <w:color w:val="800080" w:themeColor="followedHyperlink"/>
      <w:u w:val="single"/>
    </w:rPr>
  </w:style>
  <w:style w:type="table" w:styleId="TableGrid">
    <w:name w:val="Table Grid"/>
    <w:basedOn w:val="TableNormal"/>
    <w:uiPriority w:val="99"/>
    <w:rsid w:val="00496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C645DD"/>
    <w:pPr>
      <w:spacing w:after="0" w:line="240" w:lineRule="auto"/>
    </w:pPr>
    <w:rPr>
      <w:sz w:val="20"/>
      <w:szCs w:val="20"/>
    </w:rPr>
  </w:style>
  <w:style w:type="character" w:customStyle="1" w:styleId="FootnoteTextChar">
    <w:name w:val="Footnote Text Char"/>
    <w:basedOn w:val="DefaultParagraphFont"/>
    <w:link w:val="FootnoteText"/>
    <w:uiPriority w:val="99"/>
    <w:rsid w:val="00C645DD"/>
    <w:rPr>
      <w:sz w:val="20"/>
      <w:szCs w:val="20"/>
    </w:rPr>
  </w:style>
  <w:style w:type="character" w:styleId="FootnoteReference">
    <w:name w:val="footnote reference"/>
    <w:basedOn w:val="DefaultParagraphFont"/>
    <w:uiPriority w:val="99"/>
    <w:unhideWhenUsed/>
    <w:rsid w:val="00C645DD"/>
    <w:rPr>
      <w:vertAlign w:val="superscript"/>
    </w:rPr>
  </w:style>
  <w:style w:type="character" w:customStyle="1" w:styleId="apple-converted-space">
    <w:name w:val="apple-converted-space"/>
    <w:basedOn w:val="DefaultParagraphFont"/>
    <w:rsid w:val="00F30C94"/>
  </w:style>
  <w:style w:type="paragraph" w:styleId="Header">
    <w:name w:val="header"/>
    <w:basedOn w:val="Normal"/>
    <w:link w:val="HeaderChar"/>
    <w:uiPriority w:val="99"/>
    <w:unhideWhenUsed/>
    <w:rsid w:val="007E1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1AF0"/>
  </w:style>
  <w:style w:type="paragraph" w:styleId="Footer">
    <w:name w:val="footer"/>
    <w:basedOn w:val="Normal"/>
    <w:link w:val="FooterChar"/>
    <w:unhideWhenUsed/>
    <w:rsid w:val="007E1A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1AF0"/>
  </w:style>
  <w:style w:type="paragraph" w:styleId="BalloonText">
    <w:name w:val="Balloon Text"/>
    <w:basedOn w:val="Normal"/>
    <w:link w:val="BalloonTextChar"/>
    <w:uiPriority w:val="99"/>
    <w:semiHidden/>
    <w:unhideWhenUsed/>
    <w:rsid w:val="007E1A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AF0"/>
    <w:rPr>
      <w:rFonts w:ascii="Tahoma" w:hAnsi="Tahoma" w:cs="Tahoma"/>
      <w:sz w:val="16"/>
      <w:szCs w:val="16"/>
    </w:rPr>
  </w:style>
  <w:style w:type="character" w:styleId="CommentReference">
    <w:name w:val="annotation reference"/>
    <w:basedOn w:val="DefaultParagraphFont"/>
    <w:uiPriority w:val="99"/>
    <w:semiHidden/>
    <w:unhideWhenUsed/>
    <w:rsid w:val="0034059F"/>
    <w:rPr>
      <w:sz w:val="16"/>
      <w:szCs w:val="16"/>
    </w:rPr>
  </w:style>
  <w:style w:type="paragraph" w:styleId="CommentText">
    <w:name w:val="annotation text"/>
    <w:basedOn w:val="Normal"/>
    <w:link w:val="CommentTextChar"/>
    <w:uiPriority w:val="99"/>
    <w:semiHidden/>
    <w:unhideWhenUsed/>
    <w:rsid w:val="0034059F"/>
    <w:pPr>
      <w:spacing w:line="240" w:lineRule="auto"/>
    </w:pPr>
    <w:rPr>
      <w:sz w:val="20"/>
      <w:szCs w:val="20"/>
    </w:rPr>
  </w:style>
  <w:style w:type="character" w:customStyle="1" w:styleId="CommentTextChar">
    <w:name w:val="Comment Text Char"/>
    <w:basedOn w:val="DefaultParagraphFont"/>
    <w:link w:val="CommentText"/>
    <w:uiPriority w:val="99"/>
    <w:semiHidden/>
    <w:rsid w:val="0034059F"/>
    <w:rPr>
      <w:sz w:val="20"/>
      <w:szCs w:val="20"/>
    </w:rPr>
  </w:style>
  <w:style w:type="paragraph" w:styleId="CommentSubject">
    <w:name w:val="annotation subject"/>
    <w:basedOn w:val="CommentText"/>
    <w:next w:val="CommentText"/>
    <w:link w:val="CommentSubjectChar"/>
    <w:uiPriority w:val="99"/>
    <w:semiHidden/>
    <w:unhideWhenUsed/>
    <w:rsid w:val="0034059F"/>
    <w:rPr>
      <w:b/>
      <w:bCs/>
    </w:rPr>
  </w:style>
  <w:style w:type="character" w:customStyle="1" w:styleId="CommentSubjectChar">
    <w:name w:val="Comment Subject Char"/>
    <w:basedOn w:val="CommentTextChar"/>
    <w:link w:val="CommentSubject"/>
    <w:uiPriority w:val="99"/>
    <w:semiHidden/>
    <w:rsid w:val="0034059F"/>
    <w:rPr>
      <w:b/>
      <w:bCs/>
      <w:sz w:val="20"/>
      <w:szCs w:val="20"/>
    </w:rPr>
  </w:style>
  <w:style w:type="character" w:customStyle="1" w:styleId="il">
    <w:name w:val="il"/>
    <w:basedOn w:val="DefaultParagraphFont"/>
    <w:rsid w:val="00F238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1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5F0"/>
    <w:pPr>
      <w:ind w:left="720"/>
      <w:contextualSpacing/>
    </w:pPr>
  </w:style>
  <w:style w:type="character" w:styleId="Hyperlink">
    <w:name w:val="Hyperlink"/>
    <w:basedOn w:val="DefaultParagraphFont"/>
    <w:uiPriority w:val="99"/>
    <w:unhideWhenUsed/>
    <w:rsid w:val="00C9675D"/>
    <w:rPr>
      <w:color w:val="0000FF" w:themeColor="hyperlink"/>
      <w:u w:val="single"/>
    </w:rPr>
  </w:style>
  <w:style w:type="character" w:styleId="FollowedHyperlink">
    <w:name w:val="FollowedHyperlink"/>
    <w:basedOn w:val="DefaultParagraphFont"/>
    <w:uiPriority w:val="99"/>
    <w:semiHidden/>
    <w:unhideWhenUsed/>
    <w:rsid w:val="00204C73"/>
    <w:rPr>
      <w:color w:val="800080" w:themeColor="followedHyperlink"/>
      <w:u w:val="single"/>
    </w:rPr>
  </w:style>
  <w:style w:type="table" w:styleId="TableGrid">
    <w:name w:val="Table Grid"/>
    <w:basedOn w:val="TableNormal"/>
    <w:uiPriority w:val="99"/>
    <w:rsid w:val="0049600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C645DD"/>
    <w:pPr>
      <w:spacing w:after="0" w:line="240" w:lineRule="auto"/>
    </w:pPr>
    <w:rPr>
      <w:sz w:val="20"/>
      <w:szCs w:val="20"/>
    </w:rPr>
  </w:style>
  <w:style w:type="character" w:customStyle="1" w:styleId="FootnoteTextChar">
    <w:name w:val="Footnote Text Char"/>
    <w:basedOn w:val="DefaultParagraphFont"/>
    <w:link w:val="FootnoteText"/>
    <w:uiPriority w:val="99"/>
    <w:rsid w:val="00C645DD"/>
    <w:rPr>
      <w:sz w:val="20"/>
      <w:szCs w:val="20"/>
    </w:rPr>
  </w:style>
  <w:style w:type="character" w:styleId="FootnoteReference">
    <w:name w:val="footnote reference"/>
    <w:basedOn w:val="DefaultParagraphFont"/>
    <w:uiPriority w:val="99"/>
    <w:unhideWhenUsed/>
    <w:rsid w:val="00C645DD"/>
    <w:rPr>
      <w:vertAlign w:val="superscript"/>
    </w:rPr>
  </w:style>
  <w:style w:type="character" w:customStyle="1" w:styleId="apple-converted-space">
    <w:name w:val="apple-converted-space"/>
    <w:basedOn w:val="DefaultParagraphFont"/>
    <w:rsid w:val="00F30C94"/>
  </w:style>
  <w:style w:type="paragraph" w:styleId="Header">
    <w:name w:val="header"/>
    <w:basedOn w:val="Normal"/>
    <w:link w:val="HeaderChar"/>
    <w:uiPriority w:val="99"/>
    <w:unhideWhenUsed/>
    <w:rsid w:val="007E1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1AF0"/>
  </w:style>
  <w:style w:type="paragraph" w:styleId="Footer">
    <w:name w:val="footer"/>
    <w:basedOn w:val="Normal"/>
    <w:link w:val="FooterChar"/>
    <w:unhideWhenUsed/>
    <w:rsid w:val="007E1A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1AF0"/>
  </w:style>
  <w:style w:type="paragraph" w:styleId="BalloonText">
    <w:name w:val="Balloon Text"/>
    <w:basedOn w:val="Normal"/>
    <w:link w:val="BalloonTextChar"/>
    <w:uiPriority w:val="99"/>
    <w:semiHidden/>
    <w:unhideWhenUsed/>
    <w:rsid w:val="007E1A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AF0"/>
    <w:rPr>
      <w:rFonts w:ascii="Tahoma" w:hAnsi="Tahoma" w:cs="Tahoma"/>
      <w:sz w:val="16"/>
      <w:szCs w:val="16"/>
    </w:rPr>
  </w:style>
  <w:style w:type="character" w:styleId="CommentReference">
    <w:name w:val="annotation reference"/>
    <w:basedOn w:val="DefaultParagraphFont"/>
    <w:uiPriority w:val="99"/>
    <w:semiHidden/>
    <w:unhideWhenUsed/>
    <w:rsid w:val="0034059F"/>
    <w:rPr>
      <w:sz w:val="16"/>
      <w:szCs w:val="16"/>
    </w:rPr>
  </w:style>
  <w:style w:type="paragraph" w:styleId="CommentText">
    <w:name w:val="annotation text"/>
    <w:basedOn w:val="Normal"/>
    <w:link w:val="CommentTextChar"/>
    <w:uiPriority w:val="99"/>
    <w:semiHidden/>
    <w:unhideWhenUsed/>
    <w:rsid w:val="0034059F"/>
    <w:pPr>
      <w:spacing w:line="240" w:lineRule="auto"/>
    </w:pPr>
    <w:rPr>
      <w:sz w:val="20"/>
      <w:szCs w:val="20"/>
    </w:rPr>
  </w:style>
  <w:style w:type="character" w:customStyle="1" w:styleId="CommentTextChar">
    <w:name w:val="Comment Text Char"/>
    <w:basedOn w:val="DefaultParagraphFont"/>
    <w:link w:val="CommentText"/>
    <w:uiPriority w:val="99"/>
    <w:semiHidden/>
    <w:rsid w:val="0034059F"/>
    <w:rPr>
      <w:sz w:val="20"/>
      <w:szCs w:val="20"/>
    </w:rPr>
  </w:style>
  <w:style w:type="paragraph" w:styleId="CommentSubject">
    <w:name w:val="annotation subject"/>
    <w:basedOn w:val="CommentText"/>
    <w:next w:val="CommentText"/>
    <w:link w:val="CommentSubjectChar"/>
    <w:uiPriority w:val="99"/>
    <w:semiHidden/>
    <w:unhideWhenUsed/>
    <w:rsid w:val="0034059F"/>
    <w:rPr>
      <w:b/>
      <w:bCs/>
    </w:rPr>
  </w:style>
  <w:style w:type="character" w:customStyle="1" w:styleId="CommentSubjectChar">
    <w:name w:val="Comment Subject Char"/>
    <w:basedOn w:val="CommentTextChar"/>
    <w:link w:val="CommentSubject"/>
    <w:uiPriority w:val="99"/>
    <w:semiHidden/>
    <w:rsid w:val="0034059F"/>
    <w:rPr>
      <w:b/>
      <w:bCs/>
      <w:sz w:val="20"/>
      <w:szCs w:val="20"/>
    </w:rPr>
  </w:style>
  <w:style w:type="character" w:customStyle="1" w:styleId="il">
    <w:name w:val="il"/>
    <w:basedOn w:val="DefaultParagraphFont"/>
    <w:rsid w:val="00F238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225792">
      <w:bodyDiv w:val="1"/>
      <w:marLeft w:val="0"/>
      <w:marRight w:val="0"/>
      <w:marTop w:val="0"/>
      <w:marBottom w:val="0"/>
      <w:divBdr>
        <w:top w:val="none" w:sz="0" w:space="0" w:color="auto"/>
        <w:left w:val="none" w:sz="0" w:space="0" w:color="auto"/>
        <w:bottom w:val="none" w:sz="0" w:space="0" w:color="auto"/>
        <w:right w:val="none" w:sz="0" w:space="0" w:color="auto"/>
      </w:divBdr>
    </w:div>
    <w:div w:id="716125288">
      <w:bodyDiv w:val="1"/>
      <w:marLeft w:val="0"/>
      <w:marRight w:val="0"/>
      <w:marTop w:val="0"/>
      <w:marBottom w:val="0"/>
      <w:divBdr>
        <w:top w:val="none" w:sz="0" w:space="0" w:color="auto"/>
        <w:left w:val="none" w:sz="0" w:space="0" w:color="auto"/>
        <w:bottom w:val="none" w:sz="0" w:space="0" w:color="auto"/>
        <w:right w:val="none" w:sz="0" w:space="0" w:color="auto"/>
      </w:divBdr>
    </w:div>
    <w:div w:id="1251037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adalah.org/Public/files/English/Newsletter/Mar-2014/English-Discrimination-Tenders-March-2014.pdf" TargetMode="External"/><Relationship Id="rId13" Type="http://schemas.openxmlformats.org/officeDocument/2006/relationships/hyperlink" Target="http://www.middleeasteye.net/news/israel-s-gaza-backlash-targets-arab-minority-483153084" TargetMode="External"/><Relationship Id="rId18" Type="http://schemas.openxmlformats.org/officeDocument/2006/relationships/hyperlink" Target="http://adalah.org/eng/Israeli-Discriminatory-Law-Database" TargetMode="External"/><Relationship Id="rId3" Type="http://schemas.openxmlformats.org/officeDocument/2006/relationships/hyperlink" Target="http://972mag.com/following-wave-of-protests-israel-arrests-scores-of-arab-activists-minors/94131/" TargetMode="External"/><Relationship Id="rId21" Type="http://schemas.openxmlformats.org/officeDocument/2006/relationships/hyperlink" Target="http://adalah.org/eng/Articles/2302/110-Palestinian-citizens-of-Israel-remain-in-after--" TargetMode="External"/><Relationship Id="rId7" Type="http://schemas.openxmlformats.org/officeDocument/2006/relationships/hyperlink" Target="http://www.adalah.org/eng/?mod=db&amp;dld_page=law&amp;slg=citizenship-and-entry-into-israel-law-temporary-order" TargetMode="External"/><Relationship Id="rId12" Type="http://schemas.openxmlformats.org/officeDocument/2006/relationships/hyperlink" Target="http://adalah.org/eng/Articles/2315/Adalah-demands-that-Israeli-academic-and-retract-" TargetMode="External"/><Relationship Id="rId17" Type="http://schemas.openxmlformats.org/officeDocument/2006/relationships/hyperlink" Target="http://adalah.org/Public/files/English/International_Advocacy/LOIPR_for_UNHRC_June_2012.pdf" TargetMode="External"/><Relationship Id="rId2" Type="http://schemas.openxmlformats.org/officeDocument/2006/relationships/hyperlink" Target="http://www.scribd.com/doc/237910587/Incitement-on-Facebook-fear-of-walking-the-streets-harassment-in-places-of-work-Have-we-come-to-a-fault-line-in-relations-between-Jews-and-Arabs-in" TargetMode="External"/><Relationship Id="rId16" Type="http://schemas.openxmlformats.org/officeDocument/2006/relationships/hyperlink" Target="http://adalah.org/eng/Articles/2269/After-5-years-of-trial,-Tel-Aviv-Magistrates%E2%80%99-MK" TargetMode="External"/><Relationship Id="rId20" Type="http://schemas.openxmlformats.org/officeDocument/2006/relationships/hyperlink" Target="http://www.adalah.org/eng/Articles/2280/District-Court-cancels-Haifa-University%E2%80%99s-to" TargetMode="External"/><Relationship Id="rId1" Type="http://schemas.openxmlformats.org/officeDocument/2006/relationships/hyperlink" Target="http://adalah.org/Public/files/English/International_Advocacy/LOIPR_for_UNHRC_June_2012.pdf" TargetMode="External"/><Relationship Id="rId6" Type="http://schemas.openxmlformats.org/officeDocument/2006/relationships/hyperlink" Target="http://adalah.org/eng/Articles/2250/Palestinian-NGOs-in-Israel-reject-the-Sectarian--We" TargetMode="External"/><Relationship Id="rId11" Type="http://schemas.openxmlformats.org/officeDocument/2006/relationships/hyperlink" Target="http://adalah.org/Public/files/English/Newsletter/102-March2013/Sawsan-Zaher-Arab-Women-Civil-Service-03-13.pdf" TargetMode="External"/><Relationship Id="rId5" Type="http://schemas.openxmlformats.org/officeDocument/2006/relationships/hyperlink" Target="http://adalah.org/Public/files/English/Legal_Advocacy/Discriminatory_Laws/Discriminatory-Bills-19th-Knesset-October-2013.pdf" TargetMode="External"/><Relationship Id="rId15" Type="http://schemas.openxmlformats.org/officeDocument/2006/relationships/hyperlink" Target="http://www.haaretz.com/opinion/.premium-1.607924" TargetMode="External"/><Relationship Id="rId10" Type="http://schemas.openxmlformats.org/officeDocument/2006/relationships/hyperlink" Target="http://adalah.org/eng/Articles/2240/Adalah-demands-that-Israel-Land-Authority-of-Arab" TargetMode="External"/><Relationship Id="rId19" Type="http://schemas.openxmlformats.org/officeDocument/2006/relationships/hyperlink" Target="http://adalah.org/eng/Articles/2246/Expanded-Supreme-Court-Panel-Hears-Petition" TargetMode="External"/><Relationship Id="rId4" Type="http://schemas.openxmlformats.org/officeDocument/2006/relationships/hyperlink" Target="http://www.middleeasteye.net/news/israel-s-gaza-backlash-targets-arab-minority-483153084" TargetMode="External"/><Relationship Id="rId9" Type="http://schemas.openxmlformats.org/officeDocument/2006/relationships/hyperlink" Target="http://adalah.org/eng/Articles/2229/Adalah-petitions-Supreme-Court-against-Company-to" TargetMode="External"/><Relationship Id="rId14" Type="http://schemas.openxmlformats.org/officeDocument/2006/relationships/hyperlink" Target="http://www.adalah.org/eng/Articles/2199/Israeli-Supreme-Court-Delivers-Detailed-Decis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AC5872-DDB5-4448-B9D0-1C22E05423E4}"/>
</file>

<file path=customXml/itemProps2.xml><?xml version="1.0" encoding="utf-8"?>
<ds:datastoreItem xmlns:ds="http://schemas.openxmlformats.org/officeDocument/2006/customXml" ds:itemID="{F1B9C486-8041-4003-8E23-3141E54AE7CF}"/>
</file>

<file path=customXml/itemProps3.xml><?xml version="1.0" encoding="utf-8"?>
<ds:datastoreItem xmlns:ds="http://schemas.openxmlformats.org/officeDocument/2006/customXml" ds:itemID="{A68A519D-724C-466F-9D55-A273F071334E}"/>
</file>

<file path=customXml/itemProps4.xml><?xml version="1.0" encoding="utf-8"?>
<ds:datastoreItem xmlns:ds="http://schemas.openxmlformats.org/officeDocument/2006/customXml" ds:itemID="{98B0C436-EB3E-4836-9DD7-2AC9F5658D01}"/>
</file>

<file path=docProps/app.xml><?xml version="1.0" encoding="utf-8"?>
<Properties xmlns="http://schemas.openxmlformats.org/officeDocument/2006/extended-properties" xmlns:vt="http://schemas.openxmlformats.org/officeDocument/2006/docPropsVTypes">
  <Template>Normal</Template>
  <TotalTime>13</TotalTime>
  <Pages>9</Pages>
  <Words>4645</Words>
  <Characters>23226</Characters>
  <Application>Microsoft Office Word</Application>
  <DocSecurity>0</DocSecurity>
  <Lines>193</Lines>
  <Paragraphs>55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Hewlett-Packard</Company>
  <LinksUpToDate>false</LinksUpToDate>
  <CharactersWithSpaces>27816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Amjad Iraqi</dc:creator>
  <cp:lastModifiedBy>Amjad</cp:lastModifiedBy>
  <cp:revision>3</cp:revision>
  <dcterms:created xsi:type="dcterms:W3CDTF">2014-09-16T01:12:00Z</dcterms:created>
  <dcterms:modified xsi:type="dcterms:W3CDTF">2014-09-16T07:37:00Z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