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26CA9" w14:paraId="1B878D9F" w14:textId="77777777" w:rsidTr="00E56EE3">
        <w:trPr>
          <w:trHeight w:hRule="exact" w:val="851"/>
        </w:trPr>
        <w:tc>
          <w:tcPr>
            <w:tcW w:w="1280" w:type="dxa"/>
            <w:tcBorders>
              <w:bottom w:val="single" w:sz="4" w:space="0" w:color="auto"/>
            </w:tcBorders>
            <w:shd w:val="clear" w:color="auto" w:fill="auto"/>
          </w:tcPr>
          <w:p w14:paraId="0F74DE7D" w14:textId="77777777" w:rsidR="002D5AAC" w:rsidRDefault="002D5AAC" w:rsidP="00E56EE3"/>
        </w:tc>
        <w:tc>
          <w:tcPr>
            <w:tcW w:w="2273" w:type="dxa"/>
            <w:tcBorders>
              <w:bottom w:val="single" w:sz="4" w:space="0" w:color="auto"/>
            </w:tcBorders>
            <w:shd w:val="clear" w:color="auto" w:fill="auto"/>
            <w:vAlign w:val="bottom"/>
          </w:tcPr>
          <w:p w14:paraId="11880E5F" w14:textId="66CF8734" w:rsidR="002D5AAC" w:rsidRPr="00D4778E" w:rsidRDefault="002D5AAC" w:rsidP="00E56EE3">
            <w:pPr>
              <w:spacing w:after="80" w:line="300" w:lineRule="exact"/>
              <w:rPr>
                <w:sz w:val="28"/>
              </w:rPr>
            </w:pPr>
          </w:p>
        </w:tc>
        <w:tc>
          <w:tcPr>
            <w:tcW w:w="6086" w:type="dxa"/>
            <w:gridSpan w:val="2"/>
            <w:tcBorders>
              <w:bottom w:val="single" w:sz="4" w:space="0" w:color="auto"/>
            </w:tcBorders>
            <w:shd w:val="clear" w:color="auto" w:fill="auto"/>
            <w:vAlign w:val="bottom"/>
          </w:tcPr>
          <w:p w14:paraId="2B9C0564" w14:textId="77777777" w:rsidR="002D5AAC" w:rsidRDefault="009B7907" w:rsidP="00E56EE3">
            <w:pPr>
              <w:jc w:val="right"/>
            </w:pPr>
            <w:r w:rsidRPr="00660281">
              <w:rPr>
                <w:sz w:val="40"/>
              </w:rPr>
              <w:t>CRPD</w:t>
            </w:r>
            <w:r w:rsidR="00935A0B" w:rsidRPr="00F43810">
              <w:t>/C/BOL/2-4</w:t>
            </w:r>
          </w:p>
        </w:tc>
      </w:tr>
      <w:tr w:rsidR="00226CA9" w14:paraId="129C1569" w14:textId="77777777" w:rsidTr="00E56EE3">
        <w:trPr>
          <w:trHeight w:hRule="exact" w:val="2835"/>
        </w:trPr>
        <w:tc>
          <w:tcPr>
            <w:tcW w:w="1280" w:type="dxa"/>
            <w:tcBorders>
              <w:top w:val="single" w:sz="4" w:space="0" w:color="auto"/>
              <w:bottom w:val="single" w:sz="12" w:space="0" w:color="auto"/>
            </w:tcBorders>
            <w:shd w:val="clear" w:color="auto" w:fill="auto"/>
          </w:tcPr>
          <w:p w14:paraId="3A50BA65" w14:textId="4282CFCD" w:rsidR="002D5AAC" w:rsidRDefault="002D5AAC" w:rsidP="00E56EE3">
            <w:pPr>
              <w:spacing w:before="120"/>
              <w:jc w:val="center"/>
            </w:pPr>
          </w:p>
        </w:tc>
        <w:tc>
          <w:tcPr>
            <w:tcW w:w="5540" w:type="dxa"/>
            <w:gridSpan w:val="2"/>
            <w:tcBorders>
              <w:top w:val="single" w:sz="4" w:space="0" w:color="auto"/>
              <w:bottom w:val="single" w:sz="12" w:space="0" w:color="auto"/>
            </w:tcBorders>
            <w:shd w:val="clear" w:color="auto" w:fill="auto"/>
          </w:tcPr>
          <w:p w14:paraId="460B7FEB" w14:textId="59B0984C" w:rsidR="002D5AAC" w:rsidRPr="00D4778E" w:rsidRDefault="0044363C" w:rsidP="00CC3501">
            <w:pPr>
              <w:spacing w:before="120" w:line="360" w:lineRule="exact"/>
              <w:rPr>
                <w:b/>
                <w:sz w:val="34"/>
                <w:szCs w:val="34"/>
              </w:rPr>
            </w:pPr>
            <w:r>
              <w:rPr>
                <w:b/>
                <w:sz w:val="34"/>
                <w:szCs w:val="34"/>
              </w:rPr>
              <w:t>VERSION AVANZADA NO EDITADA</w:t>
            </w:r>
          </w:p>
        </w:tc>
        <w:tc>
          <w:tcPr>
            <w:tcW w:w="2819" w:type="dxa"/>
            <w:tcBorders>
              <w:top w:val="single" w:sz="4" w:space="0" w:color="auto"/>
              <w:bottom w:val="single" w:sz="12" w:space="0" w:color="auto"/>
            </w:tcBorders>
            <w:shd w:val="clear" w:color="auto" w:fill="auto"/>
          </w:tcPr>
          <w:p w14:paraId="4237424C" w14:textId="77777777" w:rsidR="00935A0B" w:rsidRPr="00F43810" w:rsidRDefault="009B7907" w:rsidP="00935A0B">
            <w:pPr>
              <w:spacing w:before="240" w:line="240" w:lineRule="exact"/>
            </w:pPr>
            <w:proofErr w:type="spellStart"/>
            <w:r w:rsidRPr="00F43810">
              <w:t>Distr</w:t>
            </w:r>
            <w:proofErr w:type="spellEnd"/>
            <w:r w:rsidRPr="00F43810">
              <w:t xml:space="preserve">. </w:t>
            </w:r>
            <w:r w:rsidR="006551F6" w:rsidRPr="00F43810">
              <w:t>general</w:t>
            </w:r>
          </w:p>
          <w:p w14:paraId="5CF734F9" w14:textId="276F1CBB" w:rsidR="00935A0B" w:rsidRPr="00F43810" w:rsidRDefault="009B7907" w:rsidP="00935A0B">
            <w:r w:rsidRPr="00F43810">
              <w:t>1</w:t>
            </w:r>
            <w:r w:rsidR="00FA6BE0">
              <w:t>4</w:t>
            </w:r>
            <w:r w:rsidRPr="00F43810">
              <w:t xml:space="preserve"> de diciembre de 2023</w:t>
            </w:r>
          </w:p>
          <w:p w14:paraId="12B82CB8" w14:textId="77777777" w:rsidR="00935A0B" w:rsidRPr="00F43810" w:rsidRDefault="00935A0B" w:rsidP="00935A0B"/>
          <w:p w14:paraId="7545D227" w14:textId="719E2793" w:rsidR="002D5AAC" w:rsidRDefault="009B7907" w:rsidP="0044363C">
            <w:r w:rsidRPr="00F43810">
              <w:t xml:space="preserve">Original: </w:t>
            </w:r>
            <w:r w:rsidR="0044363C">
              <w:t>E</w:t>
            </w:r>
            <w:r w:rsidRPr="00F43810">
              <w:t>spañol</w:t>
            </w:r>
          </w:p>
        </w:tc>
      </w:tr>
    </w:tbl>
    <w:p w14:paraId="08EE1EB6" w14:textId="77777777" w:rsidR="001A4396" w:rsidRDefault="009B7907" w:rsidP="001A4396">
      <w:pPr>
        <w:spacing w:before="120"/>
        <w:rPr>
          <w:b/>
          <w:sz w:val="24"/>
        </w:rPr>
      </w:pPr>
      <w:r w:rsidRPr="00D65EF3">
        <w:rPr>
          <w:b/>
          <w:sz w:val="24"/>
          <w:szCs w:val="24"/>
        </w:rPr>
        <w:t>Comité sobre los Derechos de las Personas con Discapacidad</w:t>
      </w:r>
    </w:p>
    <w:p w14:paraId="321CDD1F" w14:textId="6D1CDA44" w:rsidR="001A4396" w:rsidRPr="00203C19" w:rsidRDefault="009B7907" w:rsidP="00203C19">
      <w:pPr>
        <w:pStyle w:val="HMG"/>
        <w:rPr>
          <w:rStyle w:val="HMGChar"/>
          <w:b/>
        </w:rPr>
      </w:pPr>
      <w:r>
        <w:rPr>
          <w:color w:val="000000"/>
        </w:rPr>
        <w:tab/>
      </w:r>
      <w:r>
        <w:rPr>
          <w:color w:val="000000"/>
        </w:rPr>
        <w:tab/>
      </w:r>
      <w:bookmarkStart w:id="0" w:name="_Toc165295131"/>
      <w:r w:rsidR="00D46FF5">
        <w:t>Informes periódicos segundo a cuarto combinados</w:t>
      </w:r>
      <w:r w:rsidR="00D46FF5">
        <w:rPr>
          <w:color w:val="000000"/>
        </w:rPr>
        <w:t xml:space="preserve"> </w:t>
      </w:r>
      <w:r w:rsidR="00D46FF5">
        <w:t xml:space="preserve">que el Estado Plurinacional de Bolivia debía presentar en </w:t>
      </w:r>
      <w:r>
        <w:t>2023</w:t>
      </w:r>
      <w:r w:rsidR="00D46FF5" w:rsidRPr="00ED3749">
        <w:t xml:space="preserve"> </w:t>
      </w:r>
      <w:r w:rsidR="00203C19" w:rsidRPr="00575534">
        <w:t>en virtud del artículo</w:t>
      </w:r>
      <w:r w:rsidR="00203C19">
        <w:t> </w:t>
      </w:r>
      <w:r w:rsidR="00203C19" w:rsidRPr="00575534">
        <w:t>35 de la Convención con arreglo al procedimiento facultativo de presentación de informes</w:t>
      </w:r>
      <w:r>
        <w:rPr>
          <w:b w:val="0"/>
          <w:sz w:val="20"/>
        </w:rPr>
        <w:footnoteReference w:customMarkFollows="1" w:id="1"/>
        <w:t>*</w:t>
      </w:r>
      <w:bookmarkEnd w:id="0"/>
    </w:p>
    <w:p w14:paraId="185BC029" w14:textId="125674C2" w:rsidR="001A4396" w:rsidRDefault="009B7907" w:rsidP="003A3CE4">
      <w:pPr>
        <w:pStyle w:val="SingleTxtG"/>
        <w:jc w:val="right"/>
      </w:pPr>
      <w:r>
        <w:t>[</w:t>
      </w:r>
      <w:r w:rsidR="00E31CF9">
        <w:t xml:space="preserve">Fecha de </w:t>
      </w:r>
      <w:r w:rsidR="00E31CF9" w:rsidRPr="007809B3">
        <w:rPr>
          <w:color w:val="000000" w:themeColor="text1"/>
        </w:rPr>
        <w:t xml:space="preserve">recepción: </w:t>
      </w:r>
      <w:r w:rsidRPr="007809B3">
        <w:rPr>
          <w:color w:val="000000" w:themeColor="text1"/>
        </w:rPr>
        <w:t>1</w:t>
      </w:r>
      <w:r w:rsidR="00FA6BE0" w:rsidRPr="007809B3">
        <w:rPr>
          <w:color w:val="000000" w:themeColor="text1"/>
        </w:rPr>
        <w:t>4</w:t>
      </w:r>
      <w:r w:rsidR="00E31CF9" w:rsidRPr="007809B3">
        <w:rPr>
          <w:color w:val="000000" w:themeColor="text1"/>
        </w:rPr>
        <w:t xml:space="preserve"> de </w:t>
      </w:r>
      <w:r w:rsidRPr="007809B3">
        <w:rPr>
          <w:color w:val="000000" w:themeColor="text1"/>
        </w:rPr>
        <w:t>diciembre</w:t>
      </w:r>
      <w:r w:rsidR="00E31CF9" w:rsidRPr="007809B3">
        <w:rPr>
          <w:color w:val="000000" w:themeColor="text1"/>
        </w:rPr>
        <w:t xml:space="preserve"> de </w:t>
      </w:r>
      <w:r w:rsidRPr="007809B3">
        <w:rPr>
          <w:color w:val="000000" w:themeColor="text1"/>
        </w:rPr>
        <w:t>2023]</w:t>
      </w:r>
    </w:p>
    <w:p w14:paraId="1684368F" w14:textId="77777777" w:rsidR="00653063" w:rsidRPr="009C2DE1" w:rsidRDefault="009B7907" w:rsidP="009B7907">
      <w:pPr>
        <w:jc w:val="center"/>
        <w:rPr>
          <w:rFonts w:eastAsia="Times New Roman"/>
          <w:b/>
          <w:sz w:val="28"/>
          <w:szCs w:val="28"/>
        </w:rPr>
      </w:pPr>
      <w:r>
        <w:br w:type="page"/>
      </w:r>
    </w:p>
    <w:sdt>
      <w:sdtPr>
        <w:rPr>
          <w:rFonts w:ascii="Times New Roman" w:eastAsiaTheme="minorEastAsia" w:hAnsi="Times New Roman" w:cs="Times New Roman"/>
          <w:color w:val="auto"/>
          <w:sz w:val="20"/>
          <w:szCs w:val="20"/>
          <w:lang w:val="es-ES" w:eastAsia="es-ES"/>
        </w:rPr>
        <w:id w:val="-757367239"/>
        <w:docPartObj>
          <w:docPartGallery w:val="Table of Contents"/>
          <w:docPartUnique/>
        </w:docPartObj>
      </w:sdtPr>
      <w:sdtEndPr>
        <w:rPr>
          <w:b/>
          <w:bCs/>
          <w:noProof/>
        </w:rPr>
      </w:sdtEndPr>
      <w:sdtContent>
        <w:p w14:paraId="692DB9E1" w14:textId="576EBF6A" w:rsidR="00653063" w:rsidRDefault="00653063">
          <w:pPr>
            <w:pStyle w:val="TOCHeading"/>
          </w:pPr>
          <w:r>
            <w:t>Contents</w:t>
          </w:r>
        </w:p>
        <w:p w14:paraId="2AC0FE1E" w14:textId="29DB8D30" w:rsidR="00E739DD" w:rsidRDefault="00653063">
          <w:pPr>
            <w:pStyle w:val="TOC1"/>
            <w:tabs>
              <w:tab w:val="right" w:leader="dot" w:pos="9628"/>
            </w:tabs>
            <w:rPr>
              <w:rFonts w:asciiTheme="minorHAnsi" w:hAnsiTheme="minorHAnsi" w:cstheme="minorBidi"/>
              <w:noProof/>
              <w:kern w:val="2"/>
              <w:sz w:val="22"/>
              <w:szCs w:val="22"/>
              <w:lang w:val="en-GB" w:eastAsia="en-GB"/>
              <w14:ligatures w14:val="standardContextual"/>
            </w:rPr>
          </w:pPr>
          <w:r>
            <w:fldChar w:fldCharType="begin"/>
          </w:r>
          <w:r>
            <w:instrText xml:space="preserve"> TOC \o "1-3" \h \z \u </w:instrText>
          </w:r>
          <w:r>
            <w:fldChar w:fldCharType="separate"/>
          </w:r>
        </w:p>
        <w:p w14:paraId="48E1894F" w14:textId="05205AAD" w:rsidR="00E739DD" w:rsidRDefault="00E739DD">
          <w:pPr>
            <w:pStyle w:val="TOC2"/>
            <w:tabs>
              <w:tab w:val="left" w:pos="660"/>
              <w:tab w:val="right" w:leader="dot" w:pos="9628"/>
            </w:tabs>
            <w:rPr>
              <w:rFonts w:asciiTheme="minorHAnsi" w:hAnsiTheme="minorHAnsi" w:cstheme="minorBidi"/>
              <w:noProof/>
              <w:kern w:val="2"/>
              <w:sz w:val="22"/>
              <w:szCs w:val="22"/>
              <w:lang w:val="en-GB" w:eastAsia="en-GB"/>
              <w14:ligatures w14:val="standardContextual"/>
            </w:rPr>
          </w:pPr>
          <w:hyperlink w:anchor="_Toc165295132" w:history="1">
            <w:r w:rsidRPr="00710531">
              <w:rPr>
                <w:rStyle w:val="Hyperlink"/>
                <w:noProof/>
              </w:rPr>
              <w:t>I.</w:t>
            </w:r>
            <w:r>
              <w:rPr>
                <w:rFonts w:asciiTheme="minorHAnsi" w:hAnsiTheme="minorHAnsi" w:cstheme="minorBidi"/>
                <w:noProof/>
                <w:kern w:val="2"/>
                <w:sz w:val="22"/>
                <w:szCs w:val="22"/>
                <w:lang w:val="en-GB" w:eastAsia="en-GB"/>
                <w14:ligatures w14:val="standardContextual"/>
              </w:rPr>
              <w:tab/>
            </w:r>
            <w:r w:rsidRPr="00710531">
              <w:rPr>
                <w:rStyle w:val="Hyperlink"/>
                <w:noProof/>
              </w:rPr>
              <w:t>Introducción</w:t>
            </w:r>
            <w:r>
              <w:rPr>
                <w:noProof/>
                <w:webHidden/>
              </w:rPr>
              <w:tab/>
            </w:r>
            <w:r>
              <w:rPr>
                <w:noProof/>
                <w:webHidden/>
              </w:rPr>
              <w:fldChar w:fldCharType="begin"/>
            </w:r>
            <w:r>
              <w:rPr>
                <w:noProof/>
                <w:webHidden/>
              </w:rPr>
              <w:instrText xml:space="preserve"> PAGEREF _Toc165295132 \h </w:instrText>
            </w:r>
            <w:r>
              <w:rPr>
                <w:noProof/>
                <w:webHidden/>
              </w:rPr>
            </w:r>
            <w:r>
              <w:rPr>
                <w:noProof/>
                <w:webHidden/>
              </w:rPr>
              <w:fldChar w:fldCharType="separate"/>
            </w:r>
            <w:r>
              <w:rPr>
                <w:noProof/>
                <w:webHidden/>
              </w:rPr>
              <w:t>3</w:t>
            </w:r>
            <w:r>
              <w:rPr>
                <w:noProof/>
                <w:webHidden/>
              </w:rPr>
              <w:fldChar w:fldCharType="end"/>
            </w:r>
          </w:hyperlink>
        </w:p>
        <w:p w14:paraId="0F5D6F53" w14:textId="76C1CE5C" w:rsidR="00E739DD" w:rsidRDefault="00E739DD">
          <w:pPr>
            <w:pStyle w:val="TOC2"/>
            <w:tabs>
              <w:tab w:val="left" w:pos="660"/>
              <w:tab w:val="right" w:leader="dot" w:pos="9628"/>
            </w:tabs>
            <w:rPr>
              <w:rFonts w:asciiTheme="minorHAnsi" w:hAnsiTheme="minorHAnsi" w:cstheme="minorBidi"/>
              <w:noProof/>
              <w:kern w:val="2"/>
              <w:sz w:val="22"/>
              <w:szCs w:val="22"/>
              <w:lang w:val="en-GB" w:eastAsia="en-GB"/>
              <w14:ligatures w14:val="standardContextual"/>
            </w:rPr>
          </w:pPr>
          <w:hyperlink w:anchor="_Toc165295133" w:history="1">
            <w:r w:rsidRPr="00710531">
              <w:rPr>
                <w:rStyle w:val="Hyperlink"/>
                <w:noProof/>
                <w:lang w:val="es-ES_tradnl" w:eastAsia="es-BO"/>
              </w:rPr>
              <w:t>II.</w:t>
            </w:r>
            <w:r>
              <w:rPr>
                <w:rFonts w:asciiTheme="minorHAnsi" w:hAnsiTheme="minorHAnsi" w:cstheme="minorBidi"/>
                <w:noProof/>
                <w:kern w:val="2"/>
                <w:sz w:val="22"/>
                <w:szCs w:val="22"/>
                <w:lang w:val="en-GB" w:eastAsia="en-GB"/>
                <w14:ligatures w14:val="standardContextual"/>
              </w:rPr>
              <w:tab/>
            </w:r>
            <w:r w:rsidRPr="00710531">
              <w:rPr>
                <w:rStyle w:val="Hyperlink"/>
                <w:noProof/>
                <w:lang w:val="es-ES_tradnl" w:eastAsia="es-BO"/>
              </w:rPr>
              <w:t>Disposiciones generales de la Convención</w:t>
            </w:r>
            <w:r>
              <w:rPr>
                <w:noProof/>
                <w:webHidden/>
              </w:rPr>
              <w:tab/>
            </w:r>
            <w:r>
              <w:rPr>
                <w:noProof/>
                <w:webHidden/>
              </w:rPr>
              <w:fldChar w:fldCharType="begin"/>
            </w:r>
            <w:r>
              <w:rPr>
                <w:noProof/>
                <w:webHidden/>
              </w:rPr>
              <w:instrText xml:space="preserve"> PAGEREF _Toc165295133 \h </w:instrText>
            </w:r>
            <w:r>
              <w:rPr>
                <w:noProof/>
                <w:webHidden/>
              </w:rPr>
            </w:r>
            <w:r>
              <w:rPr>
                <w:noProof/>
                <w:webHidden/>
              </w:rPr>
              <w:fldChar w:fldCharType="separate"/>
            </w:r>
            <w:r>
              <w:rPr>
                <w:noProof/>
                <w:webHidden/>
              </w:rPr>
              <w:t>3</w:t>
            </w:r>
            <w:r>
              <w:rPr>
                <w:noProof/>
                <w:webHidden/>
              </w:rPr>
              <w:fldChar w:fldCharType="end"/>
            </w:r>
          </w:hyperlink>
        </w:p>
        <w:p w14:paraId="0E846B8B" w14:textId="4EAC08F5" w:rsidR="00E739DD" w:rsidRDefault="00E739DD">
          <w:pPr>
            <w:pStyle w:val="TOC3"/>
            <w:tabs>
              <w:tab w:val="left" w:pos="880"/>
              <w:tab w:val="right" w:leader="dot" w:pos="9628"/>
            </w:tabs>
            <w:rPr>
              <w:noProof/>
            </w:rPr>
          </w:pPr>
          <w:hyperlink w:anchor="_Toc165295134" w:history="1">
            <w:r w:rsidRPr="00710531">
              <w:rPr>
                <w:rStyle w:val="Hyperlink"/>
                <w:noProof/>
              </w:rPr>
              <w:t>A.</w:t>
            </w:r>
            <w:r>
              <w:rPr>
                <w:noProof/>
              </w:rPr>
              <w:tab/>
            </w:r>
            <w:r w:rsidRPr="00710531">
              <w:rPr>
                <w:rStyle w:val="Hyperlink"/>
                <w:noProof/>
              </w:rPr>
              <w:t>Principios Generales y Obligaciones (Artículos 1 al 4 y Recomendaciones 6, 8, 10)</w:t>
            </w:r>
            <w:r>
              <w:rPr>
                <w:noProof/>
                <w:webHidden/>
              </w:rPr>
              <w:tab/>
            </w:r>
            <w:r>
              <w:rPr>
                <w:noProof/>
                <w:webHidden/>
              </w:rPr>
              <w:fldChar w:fldCharType="begin"/>
            </w:r>
            <w:r>
              <w:rPr>
                <w:noProof/>
                <w:webHidden/>
              </w:rPr>
              <w:instrText xml:space="preserve"> PAGEREF _Toc165295134 \h </w:instrText>
            </w:r>
            <w:r>
              <w:rPr>
                <w:noProof/>
                <w:webHidden/>
              </w:rPr>
            </w:r>
            <w:r>
              <w:rPr>
                <w:noProof/>
                <w:webHidden/>
              </w:rPr>
              <w:fldChar w:fldCharType="separate"/>
            </w:r>
            <w:r>
              <w:rPr>
                <w:noProof/>
                <w:webHidden/>
              </w:rPr>
              <w:t>3</w:t>
            </w:r>
            <w:r>
              <w:rPr>
                <w:noProof/>
                <w:webHidden/>
              </w:rPr>
              <w:fldChar w:fldCharType="end"/>
            </w:r>
          </w:hyperlink>
        </w:p>
        <w:p w14:paraId="091E634E" w14:textId="6E905F6A" w:rsidR="00E739DD" w:rsidRDefault="00E739DD">
          <w:pPr>
            <w:pStyle w:val="TOC3"/>
            <w:tabs>
              <w:tab w:val="left" w:pos="880"/>
              <w:tab w:val="right" w:leader="dot" w:pos="9628"/>
            </w:tabs>
            <w:rPr>
              <w:noProof/>
            </w:rPr>
          </w:pPr>
          <w:hyperlink w:anchor="_Toc165295135" w:history="1">
            <w:r w:rsidRPr="00710531">
              <w:rPr>
                <w:rStyle w:val="Hyperlink"/>
                <w:noProof/>
                <w:lang w:val="es-ES_tradnl" w:eastAsia="es-BO"/>
              </w:rPr>
              <w:t>B.</w:t>
            </w:r>
            <w:r>
              <w:rPr>
                <w:noProof/>
              </w:rPr>
              <w:tab/>
            </w:r>
            <w:r w:rsidRPr="00710531">
              <w:rPr>
                <w:rStyle w:val="Hyperlink"/>
                <w:noProof/>
                <w:lang w:val="es-ES_tradnl" w:eastAsia="es-BO"/>
              </w:rPr>
              <w:t>Derechos específicos de la Convención (Artículos 5 a 30)</w:t>
            </w:r>
            <w:r>
              <w:rPr>
                <w:noProof/>
                <w:webHidden/>
              </w:rPr>
              <w:tab/>
            </w:r>
            <w:r>
              <w:rPr>
                <w:noProof/>
                <w:webHidden/>
              </w:rPr>
              <w:fldChar w:fldCharType="begin"/>
            </w:r>
            <w:r>
              <w:rPr>
                <w:noProof/>
                <w:webHidden/>
              </w:rPr>
              <w:instrText xml:space="preserve"> PAGEREF _Toc165295135 \h </w:instrText>
            </w:r>
            <w:r>
              <w:rPr>
                <w:noProof/>
                <w:webHidden/>
              </w:rPr>
            </w:r>
            <w:r>
              <w:rPr>
                <w:noProof/>
                <w:webHidden/>
              </w:rPr>
              <w:fldChar w:fldCharType="separate"/>
            </w:r>
            <w:r>
              <w:rPr>
                <w:noProof/>
                <w:webHidden/>
              </w:rPr>
              <w:t>5</w:t>
            </w:r>
            <w:r>
              <w:rPr>
                <w:noProof/>
                <w:webHidden/>
              </w:rPr>
              <w:fldChar w:fldCharType="end"/>
            </w:r>
          </w:hyperlink>
        </w:p>
        <w:p w14:paraId="6DD45677" w14:textId="2A2CAE67" w:rsidR="00E739DD" w:rsidRDefault="00E739DD">
          <w:pPr>
            <w:pStyle w:val="TOC2"/>
            <w:tabs>
              <w:tab w:val="left" w:pos="660"/>
              <w:tab w:val="right" w:leader="dot" w:pos="9628"/>
            </w:tabs>
            <w:rPr>
              <w:rFonts w:asciiTheme="minorHAnsi" w:hAnsiTheme="minorHAnsi" w:cstheme="minorBidi"/>
              <w:noProof/>
              <w:kern w:val="2"/>
              <w:sz w:val="22"/>
              <w:szCs w:val="22"/>
              <w:lang w:val="en-GB" w:eastAsia="en-GB"/>
              <w14:ligatures w14:val="standardContextual"/>
            </w:rPr>
          </w:pPr>
          <w:hyperlink w:anchor="_Toc165295136" w:history="1">
            <w:r w:rsidRPr="00710531">
              <w:rPr>
                <w:rStyle w:val="Hyperlink"/>
                <w:noProof/>
                <w:lang w:val="es-ES_tradnl" w:eastAsia="es-BO"/>
              </w:rPr>
              <w:t>C.</w:t>
            </w:r>
            <w:r>
              <w:rPr>
                <w:rFonts w:asciiTheme="minorHAnsi" w:hAnsiTheme="minorHAnsi" w:cstheme="minorBidi"/>
                <w:noProof/>
                <w:kern w:val="2"/>
                <w:sz w:val="22"/>
                <w:szCs w:val="22"/>
                <w:lang w:val="en-GB" w:eastAsia="en-GB"/>
                <w14:ligatures w14:val="standardContextual"/>
              </w:rPr>
              <w:tab/>
            </w:r>
            <w:r w:rsidRPr="00710531">
              <w:rPr>
                <w:rStyle w:val="Hyperlink"/>
                <w:noProof/>
                <w:lang w:val="es-ES_tradnl" w:eastAsia="es-BO"/>
              </w:rPr>
              <w:t>Obligaciones específicas (Artículos 31 a 33)</w:t>
            </w:r>
            <w:r>
              <w:rPr>
                <w:noProof/>
                <w:webHidden/>
              </w:rPr>
              <w:tab/>
            </w:r>
            <w:r>
              <w:rPr>
                <w:noProof/>
                <w:webHidden/>
              </w:rPr>
              <w:fldChar w:fldCharType="begin"/>
            </w:r>
            <w:r>
              <w:rPr>
                <w:noProof/>
                <w:webHidden/>
              </w:rPr>
              <w:instrText xml:space="preserve"> PAGEREF _Toc165295136 \h </w:instrText>
            </w:r>
            <w:r>
              <w:rPr>
                <w:noProof/>
                <w:webHidden/>
              </w:rPr>
            </w:r>
            <w:r>
              <w:rPr>
                <w:noProof/>
                <w:webHidden/>
              </w:rPr>
              <w:fldChar w:fldCharType="separate"/>
            </w:r>
            <w:r>
              <w:rPr>
                <w:noProof/>
                <w:webHidden/>
              </w:rPr>
              <w:t>37</w:t>
            </w:r>
            <w:r>
              <w:rPr>
                <w:noProof/>
                <w:webHidden/>
              </w:rPr>
              <w:fldChar w:fldCharType="end"/>
            </w:r>
          </w:hyperlink>
        </w:p>
        <w:p w14:paraId="1A40D3D8" w14:textId="0605F6BD" w:rsidR="00653063" w:rsidRDefault="00653063">
          <w:r>
            <w:rPr>
              <w:b/>
              <w:bCs/>
              <w:noProof/>
            </w:rPr>
            <w:fldChar w:fldCharType="end"/>
          </w:r>
        </w:p>
      </w:sdtContent>
    </w:sdt>
    <w:p w14:paraId="054E5AA5" w14:textId="77777777" w:rsidR="00653063" w:rsidRDefault="00653063">
      <w:pPr>
        <w:spacing w:line="240" w:lineRule="auto"/>
        <w:rPr>
          <w:rFonts w:eastAsia="Times New Roman"/>
          <w:b/>
          <w:sz w:val="28"/>
          <w:szCs w:val="28"/>
        </w:rPr>
      </w:pPr>
      <w:r>
        <w:rPr>
          <w:rFonts w:eastAsia="Times New Roman"/>
          <w:b/>
          <w:sz w:val="28"/>
          <w:szCs w:val="28"/>
        </w:rPr>
        <w:br w:type="page"/>
      </w:r>
    </w:p>
    <w:p w14:paraId="561423E5" w14:textId="4C0FA55B" w:rsidR="00653063" w:rsidRPr="007A5702" w:rsidRDefault="007A5702" w:rsidP="007A5702">
      <w:pPr>
        <w:pStyle w:val="HChG"/>
      </w:pPr>
      <w:bookmarkStart w:id="1" w:name="_heading=h.30j0zll" w:colFirst="0" w:colLast="0"/>
      <w:bookmarkEnd w:id="1"/>
      <w:r>
        <w:lastRenderedPageBreak/>
        <w:tab/>
      </w:r>
      <w:bookmarkStart w:id="2" w:name="_Toc165295132"/>
      <w:r w:rsidRPr="007A5702">
        <w:t>I.</w:t>
      </w:r>
      <w:r w:rsidRPr="007A5702">
        <w:tab/>
      </w:r>
      <w:r w:rsidR="00653063" w:rsidRPr="007A5702">
        <w:t>Introducción</w:t>
      </w:r>
      <w:bookmarkEnd w:id="2"/>
    </w:p>
    <w:p w14:paraId="0C27DF5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Estado Plurinacional de Bolivia (Bolivia/Estado/Estado boliviano) en atención a la Convención sobre los Derechos de las Personas con Discapacidad (“Convención”), presenta su Segundo, Tercero y Cuarto Informes Combinados ante el </w:t>
      </w:r>
      <w:r w:rsidRPr="007C0676">
        <w:rPr>
          <w:rFonts w:eastAsia="新細明體;Times New Roman"/>
          <w:lang w:val="en-US" w:eastAsia="ko-KR" w:bidi="hi-IN"/>
        </w:rPr>
        <w:t>Comité</w:t>
      </w:r>
      <w:r w:rsidRPr="00653063">
        <w:rPr>
          <w:rFonts w:eastAsia="Times New Roman"/>
          <w:lang w:val="es-ES_tradnl" w:eastAsia="es-BO"/>
        </w:rPr>
        <w:t xml:space="preserve"> sobre los Derechos de las Personas con Discapacidad (“Comité”) de conformidad con el Artículo 35 de la Convención, las Directrices sobre la Presentación de Informes Periódicos</w:t>
      </w:r>
      <w:r w:rsidRPr="00653063">
        <w:rPr>
          <w:rFonts w:eastAsia="Times New Roman"/>
          <w:sz w:val="18"/>
          <w:szCs w:val="18"/>
          <w:vertAlign w:val="superscript"/>
          <w:lang w:val="es-ES_tradnl" w:eastAsia="es-BO"/>
        </w:rPr>
        <w:footnoteReference w:id="2"/>
      </w:r>
      <w:r w:rsidRPr="00653063">
        <w:rPr>
          <w:rFonts w:eastAsia="Times New Roman"/>
          <w:lang w:val="es-ES_tradnl" w:eastAsia="es-BO"/>
        </w:rPr>
        <w:t xml:space="preserve"> y las Directrices Armonizadas para la Presentación de Informes a los Órganos creados en Virtud de Tratados y las Observaciones Finales del Comité al Informe Inicial</w:t>
      </w:r>
      <w:r w:rsidRPr="00653063">
        <w:rPr>
          <w:rFonts w:eastAsia="Times New Roman"/>
          <w:sz w:val="18"/>
          <w:szCs w:val="18"/>
          <w:vertAlign w:val="superscript"/>
          <w:lang w:val="es-ES_tradnl" w:eastAsia="es-BO"/>
        </w:rPr>
        <w:footnoteReference w:id="3"/>
      </w:r>
      <w:r w:rsidRPr="00653063">
        <w:rPr>
          <w:rFonts w:eastAsia="Times New Roman"/>
          <w:lang w:val="es-ES_tradnl" w:eastAsia="es-BO"/>
        </w:rPr>
        <w:t>.</w:t>
      </w:r>
    </w:p>
    <w:p w14:paraId="3C0B048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El presente Informe fue coordinado y elaborado por la Secretaría Técnica de la Comisión para la Presentación de Informes de Estado y para Desapariciones Forzadas (“CPIE”)</w:t>
      </w:r>
      <w:r w:rsidRPr="00653063">
        <w:rPr>
          <w:sz w:val="18"/>
          <w:szCs w:val="18"/>
          <w:vertAlign w:val="superscript"/>
          <w:lang w:val="es-ES_tradnl" w:eastAsia="es-BO"/>
        </w:rPr>
        <w:footnoteReference w:id="4"/>
      </w:r>
      <w:r w:rsidRPr="00653063">
        <w:rPr>
          <w:lang w:val="es-ES_tradnl" w:eastAsia="es-BO"/>
        </w:rPr>
        <w:t xml:space="preserve"> con el apoyo del Comité Nacional de Personas con Discapacidad (“CONALPEDIS”)</w:t>
      </w:r>
      <w:r w:rsidRPr="00653063">
        <w:rPr>
          <w:sz w:val="18"/>
          <w:szCs w:val="18"/>
          <w:vertAlign w:val="superscript"/>
          <w:lang w:val="es-ES_tradnl" w:eastAsia="es-BO"/>
        </w:rPr>
        <w:footnoteReference w:id="5"/>
      </w:r>
      <w:r w:rsidRPr="00653063">
        <w:rPr>
          <w:lang w:val="es-ES_tradnl" w:eastAsia="es-BO"/>
        </w:rPr>
        <w:t xml:space="preserve"> y diferentes Instituciones </w:t>
      </w:r>
      <w:r w:rsidRPr="00820A30">
        <w:rPr>
          <w:rFonts w:eastAsia="Times New Roman"/>
          <w:lang w:val="es-ES_tradnl" w:eastAsia="es-BO"/>
        </w:rPr>
        <w:t>Públicas</w:t>
      </w:r>
      <w:r w:rsidRPr="00653063">
        <w:rPr>
          <w:lang w:val="es-ES_tradnl" w:eastAsia="es-BO"/>
        </w:rPr>
        <w:t xml:space="preserve"> (nivel central, departamental y municipal) y los Órganos Ejecutivo, Judicial, Legislativo y Electoral, a través de los puntos focales designados al efecto. </w:t>
      </w:r>
    </w:p>
    <w:p w14:paraId="341844B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Es imprescindible informar al Comité, que el Gobierno del Presidente Luis Alberto Arce Catacora, reafirma su fehaciente compromiso con la defensa, protección y garantía de los derechos humanos; razón por la cual, el 26 de octubre de 2022, creó la CPIE como</w:t>
      </w:r>
      <w:r w:rsidRPr="00653063">
        <w:rPr>
          <w:sz w:val="24"/>
          <w:szCs w:val="24"/>
          <w:lang w:val="es-ES_tradnl" w:eastAsia="es-BO"/>
        </w:rPr>
        <w:t xml:space="preserve"> </w:t>
      </w:r>
      <w:r w:rsidRPr="00653063">
        <w:rPr>
          <w:lang w:val="es-ES_tradnl" w:eastAsia="es-BO"/>
        </w:rPr>
        <w:t>instancia de coordinación interinstitucional, que contribuye a profundizar la protección, respeto y garantía de los derechos humanos a través de la presentación de Informes de Estado y seguimiento a recomendaciones de mecanismos internacionales de protección de derechos humanos. Asimismo, se instituyó un nuevo CONALPEDIS</w:t>
      </w:r>
      <w:r w:rsidRPr="00653063">
        <w:rPr>
          <w:sz w:val="18"/>
          <w:szCs w:val="18"/>
          <w:vertAlign w:val="superscript"/>
          <w:lang w:val="es-ES_tradnl" w:eastAsia="es-BO"/>
        </w:rPr>
        <w:footnoteReference w:id="6"/>
      </w:r>
      <w:r w:rsidRPr="00653063">
        <w:rPr>
          <w:lang w:val="es-ES_tradnl" w:eastAsia="es-BO"/>
        </w:rPr>
        <w:t xml:space="preserve"> el 30 de marzo de 2022, como entidad desconcentrada dependiente del Ministerio de Justicia y Transparencia Institucional (“MJTI”), creándose al mismo tiempo, el Consejo Plurinacional de Personas con Discapacidad, conformado por representantes de la Confederación Boliviana de Personas con Discapacidad (“COBOPDI”) y los Ministerios involucrados en la temática; el CONALPEDIS se constituye en la Instancia encargada de promover normas, políticas y estrategias para el ejercicio de los derechos de las Personas con Discapacidad (“</w:t>
      </w:r>
      <w:proofErr w:type="spellStart"/>
      <w:r w:rsidRPr="00653063">
        <w:rPr>
          <w:lang w:val="es-ES_tradnl" w:eastAsia="es-BO"/>
        </w:rPr>
        <w:t>PcD</w:t>
      </w:r>
      <w:proofErr w:type="spellEnd"/>
      <w:r w:rsidRPr="00653063">
        <w:rPr>
          <w:lang w:val="es-ES_tradnl" w:eastAsia="es-BO"/>
        </w:rPr>
        <w:t>”).</w:t>
      </w:r>
    </w:p>
    <w:p w14:paraId="7E82C2E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El presente Informe contempla las principales medidas adoptadas por el Estado entre 2016 a diciembre de 2022 respecto a la implementación de la Convención y las Recomendaciones realizadas por el Comité, al mismo tiempo, refleja los avances sustantivos en la construcción de una sociedad inclusiva, solidaria, justa y armoniosa y el reconocimiento del goce y ejercicio pleno e igualitario de los derechos humanos y libertades fundamentales.</w:t>
      </w:r>
    </w:p>
    <w:p w14:paraId="4A2C2D9E" w14:textId="70F2D7E8" w:rsidR="00653063" w:rsidRPr="00653063" w:rsidRDefault="00820A30" w:rsidP="00820A30">
      <w:pPr>
        <w:pStyle w:val="HChG"/>
        <w:rPr>
          <w:lang w:val="es-ES_tradnl" w:eastAsia="es-BO"/>
        </w:rPr>
      </w:pPr>
      <w:r>
        <w:rPr>
          <w:lang w:val="es-ES_tradnl" w:eastAsia="es-BO"/>
        </w:rPr>
        <w:tab/>
      </w:r>
      <w:bookmarkStart w:id="3" w:name="_Toc165295133"/>
      <w:r>
        <w:rPr>
          <w:lang w:val="es-ES_tradnl" w:eastAsia="es-BO"/>
        </w:rPr>
        <w:t>I</w:t>
      </w:r>
      <w:r w:rsidR="002B79BC">
        <w:rPr>
          <w:lang w:val="es-ES_tradnl" w:eastAsia="es-BO"/>
        </w:rPr>
        <w:t>I</w:t>
      </w:r>
      <w:r>
        <w:rPr>
          <w:lang w:val="es-ES_tradnl" w:eastAsia="es-BO"/>
        </w:rPr>
        <w:t>.</w:t>
      </w:r>
      <w:r>
        <w:rPr>
          <w:lang w:val="es-ES_tradnl" w:eastAsia="es-BO"/>
        </w:rPr>
        <w:tab/>
      </w:r>
      <w:r w:rsidR="00653063" w:rsidRPr="00653063">
        <w:rPr>
          <w:lang w:val="es-ES_tradnl" w:eastAsia="es-BO"/>
        </w:rPr>
        <w:t>Disposiciones generales de la Convención</w:t>
      </w:r>
      <w:bookmarkEnd w:id="3"/>
    </w:p>
    <w:p w14:paraId="509DD236" w14:textId="409DE538" w:rsidR="00653063" w:rsidRPr="00820A30" w:rsidRDefault="00820A30" w:rsidP="00820A30">
      <w:pPr>
        <w:pStyle w:val="H1G"/>
      </w:pPr>
      <w:bookmarkStart w:id="4" w:name="_heading=h.1fob9te" w:colFirst="0" w:colLast="0"/>
      <w:bookmarkStart w:id="5" w:name="_heading=h.3znysh7" w:colFirst="0" w:colLast="0"/>
      <w:bookmarkEnd w:id="4"/>
      <w:bookmarkEnd w:id="5"/>
      <w:r>
        <w:tab/>
      </w:r>
      <w:bookmarkStart w:id="6" w:name="_Toc165295134"/>
      <w:r w:rsidRPr="00820A30">
        <w:t>A.</w:t>
      </w:r>
      <w:r w:rsidRPr="00820A30">
        <w:tab/>
      </w:r>
      <w:r w:rsidR="00653063" w:rsidRPr="00820A30">
        <w:t>Principios Generales y Obligaciones (Artículos 1 al 4 y Recomendaciones 6, 8, 10)</w:t>
      </w:r>
      <w:bookmarkEnd w:id="6"/>
    </w:p>
    <w:p w14:paraId="0B570A7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Respecto a la Recomendación </w:t>
      </w:r>
      <w:r w:rsidRPr="00653063">
        <w:rPr>
          <w:u w:val="single"/>
          <w:lang w:val="es-ES_tradnl" w:eastAsia="es-BO"/>
        </w:rPr>
        <w:t>del Párrafo 6 de las Observaciones Finales</w:t>
      </w:r>
      <w:r w:rsidRPr="00653063">
        <w:rPr>
          <w:lang w:val="es-ES_tradnl" w:eastAsia="es-BO"/>
        </w:rPr>
        <w:t xml:space="preserve"> (CRPD/C/BOL/CO/1), se informa que Bolivia reconoce a las </w:t>
      </w:r>
      <w:proofErr w:type="spellStart"/>
      <w:r w:rsidRPr="00653063">
        <w:rPr>
          <w:lang w:val="es-ES_tradnl" w:eastAsia="es-BO"/>
        </w:rPr>
        <w:t>PcD</w:t>
      </w:r>
      <w:proofErr w:type="spellEnd"/>
      <w:r w:rsidRPr="00653063">
        <w:rPr>
          <w:lang w:val="es-ES_tradnl" w:eastAsia="es-BO"/>
        </w:rPr>
        <w:t xml:space="preserve"> como sujetos titulares y plenos de todos los derechos consagrados en la Constitución Política del Estado (“CPE”)</w:t>
      </w:r>
      <w:r w:rsidRPr="00653063">
        <w:rPr>
          <w:vertAlign w:val="superscript"/>
          <w:lang w:val="es-ES_tradnl" w:eastAsia="es-BO"/>
        </w:rPr>
        <w:footnoteReference w:id="7"/>
      </w:r>
      <w:r w:rsidRPr="00653063">
        <w:rPr>
          <w:lang w:val="es-ES_tradnl" w:eastAsia="es-BO"/>
        </w:rPr>
        <w:t>, Leyes y Tratados Internacionales de Derechos Humanos ratificados por el Estado.</w:t>
      </w:r>
      <w:r w:rsidRPr="00653063">
        <w:rPr>
          <w:vertAlign w:val="superscript"/>
          <w:lang w:val="es-ES_tradnl" w:eastAsia="es-BO"/>
        </w:rPr>
        <w:footnoteReference w:id="8"/>
      </w:r>
      <w:r w:rsidRPr="00653063">
        <w:rPr>
          <w:lang w:val="es-ES_tradnl" w:eastAsia="es-BO"/>
        </w:rPr>
        <w:t xml:space="preserve"> </w:t>
      </w:r>
    </w:p>
    <w:p w14:paraId="2903AAD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Asimismo, la CPE reconoce los principios de inviolabilidad, universalidad, interdependencia, indivisibilidad y progresividad de los derechos humanos, señalando que </w:t>
      </w:r>
      <w:r w:rsidRPr="00653063">
        <w:rPr>
          <w:lang w:val="es-ES_tradnl" w:eastAsia="es-BO"/>
        </w:rPr>
        <w:lastRenderedPageBreak/>
        <w:t>los derechos proclamados en dicha Norma, no se entenderán como negación de otros no enunciados.</w:t>
      </w:r>
      <w:r w:rsidRPr="00653063">
        <w:rPr>
          <w:vertAlign w:val="superscript"/>
          <w:lang w:val="es-ES_tradnl" w:eastAsia="es-BO"/>
        </w:rPr>
        <w:footnoteReference w:id="9"/>
      </w:r>
      <w:r w:rsidRPr="00653063">
        <w:rPr>
          <w:lang w:val="es-ES_tradnl" w:eastAsia="es-BO"/>
        </w:rPr>
        <w:t xml:space="preserve"> </w:t>
      </w:r>
    </w:p>
    <w:p w14:paraId="03A24F4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Por lo que, las </w:t>
      </w:r>
      <w:proofErr w:type="spellStart"/>
      <w:r w:rsidRPr="00653063">
        <w:rPr>
          <w:lang w:val="es-ES_tradnl" w:eastAsia="es-BO"/>
        </w:rPr>
        <w:t>PcD</w:t>
      </w:r>
      <w:proofErr w:type="spellEnd"/>
      <w:r w:rsidRPr="00653063">
        <w:rPr>
          <w:lang w:val="es-ES_tradnl" w:eastAsia="es-BO"/>
        </w:rPr>
        <w:t xml:space="preserve"> gozan de todos los derechos sin excepción alguna y sin distinción ni discriminación</w:t>
      </w:r>
      <w:r w:rsidRPr="00653063">
        <w:rPr>
          <w:vertAlign w:val="superscript"/>
          <w:lang w:val="es-ES_tradnl" w:eastAsia="es-BO"/>
        </w:rPr>
        <w:footnoteReference w:id="10"/>
      </w:r>
      <w:r w:rsidRPr="00653063">
        <w:rPr>
          <w:lang w:val="es-ES_tradnl" w:eastAsia="es-BO"/>
        </w:rPr>
        <w:t xml:space="preserve">, </w:t>
      </w:r>
      <w:proofErr w:type="gramStart"/>
      <w:r w:rsidRPr="00653063">
        <w:rPr>
          <w:lang w:val="es-ES_tradnl" w:eastAsia="es-BO"/>
        </w:rPr>
        <w:t>reconociéndoseles</w:t>
      </w:r>
      <w:proofErr w:type="gramEnd"/>
      <w:r w:rsidRPr="00653063">
        <w:rPr>
          <w:lang w:val="es-ES_tradnl" w:eastAsia="es-BO"/>
        </w:rPr>
        <w:t xml:space="preserve"> además, otros derechos que son exclusivos para ese grupo.</w:t>
      </w:r>
      <w:r w:rsidRPr="00653063">
        <w:rPr>
          <w:vertAlign w:val="superscript"/>
          <w:lang w:val="es-ES_tradnl" w:eastAsia="es-BO"/>
        </w:rPr>
        <w:footnoteReference w:id="11"/>
      </w:r>
      <w:r w:rsidRPr="00653063">
        <w:rPr>
          <w:lang w:val="es-ES_tradnl" w:eastAsia="es-BO"/>
        </w:rPr>
        <w:t xml:space="preserve">  </w:t>
      </w:r>
    </w:p>
    <w:p w14:paraId="707F67C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En el Informe Inicial se brindó amplia información con relación a la normativa legal vigente a favor de las </w:t>
      </w:r>
      <w:proofErr w:type="spellStart"/>
      <w:r w:rsidRPr="00653063">
        <w:rPr>
          <w:lang w:val="es-ES_tradnl" w:eastAsia="es-BO"/>
        </w:rPr>
        <w:t>PcD</w:t>
      </w:r>
      <w:proofErr w:type="spellEnd"/>
      <w:r w:rsidRPr="00653063">
        <w:rPr>
          <w:lang w:val="es-ES_tradnl" w:eastAsia="es-BO"/>
        </w:rPr>
        <w:t>.</w:t>
      </w:r>
    </w:p>
    <w:p w14:paraId="03F7D82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Respecto a la </w:t>
      </w:r>
      <w:r w:rsidRPr="00653063">
        <w:rPr>
          <w:u w:val="single"/>
          <w:lang w:val="es-ES_tradnl" w:eastAsia="es-BO"/>
        </w:rPr>
        <w:t>Recomendación del Párrafo 8</w:t>
      </w:r>
      <w:r w:rsidRPr="00653063">
        <w:rPr>
          <w:lang w:val="es-ES_tradnl" w:eastAsia="es-BO"/>
        </w:rPr>
        <w:t xml:space="preserve">, se informa que desde la implementación del Sistema Único de Salud (2019), el procedimiento de Calificación de Discapacidad desde su implementación (2007) y la emisión de los Certificados e Informes Médicos en el </w:t>
      </w:r>
      <w:proofErr w:type="gramStart"/>
      <w:r w:rsidRPr="00653063">
        <w:rPr>
          <w:lang w:val="es-ES_tradnl" w:eastAsia="es-BO"/>
        </w:rPr>
        <w:t>Sub Sector</w:t>
      </w:r>
      <w:proofErr w:type="gramEnd"/>
      <w:r w:rsidRPr="00653063">
        <w:rPr>
          <w:lang w:val="es-ES_tradnl" w:eastAsia="es-BO"/>
        </w:rPr>
        <w:t xml:space="preserve"> Público son gratuitos.</w:t>
      </w:r>
    </w:p>
    <w:p w14:paraId="4FDC86F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En diciembre de 2022, el Ministerio de Salud y Deportes (“MSD”) aprobó el </w:t>
      </w:r>
      <w:r w:rsidRPr="00653063">
        <w:rPr>
          <w:i/>
          <w:lang w:val="es-ES_tradnl" w:eastAsia="es-BO"/>
        </w:rPr>
        <w:t xml:space="preserve">Manual de Procesos y Procedimiento para la Calificación, Registro y Carnetización de Discapacidad </w:t>
      </w:r>
      <w:r w:rsidRPr="00653063">
        <w:rPr>
          <w:lang w:val="es-ES_tradnl" w:eastAsia="es-BO"/>
        </w:rPr>
        <w:t xml:space="preserve">(Anexo 1), con la finalidad de desburocratizar, actualizar y facilitar dicho procedimiento, destacando que: </w:t>
      </w:r>
    </w:p>
    <w:p w14:paraId="74B064EA" w14:textId="77777777" w:rsidR="00653063" w:rsidRPr="00653063" w:rsidRDefault="00653063" w:rsidP="00B93622">
      <w:pPr>
        <w:pStyle w:val="Bullet1G"/>
        <w:rPr>
          <w:lang w:val="es-ES_tradnl"/>
        </w:rPr>
      </w:pPr>
      <w:r w:rsidRPr="00653063">
        <w:rPr>
          <w:lang w:val="es-ES_tradnl"/>
        </w:rPr>
        <w:t xml:space="preserve">Las Unidades Especializadas Departamentales dependientes de los Gobiernos Autónomos Departamentales (“GAD”) emiten el </w:t>
      </w:r>
      <w:proofErr w:type="gramStart"/>
      <w:r w:rsidRPr="00653063">
        <w:rPr>
          <w:lang w:val="es-ES_tradnl"/>
        </w:rPr>
        <w:t>Carnet</w:t>
      </w:r>
      <w:proofErr w:type="gramEnd"/>
      <w:r w:rsidRPr="00653063">
        <w:rPr>
          <w:lang w:val="es-ES_tradnl"/>
        </w:rPr>
        <w:t xml:space="preserve"> de Discapacidad gratuito, a las personas calificadas con un porcentaje de discapacidad igual o mayor a 25%. </w:t>
      </w:r>
    </w:p>
    <w:p w14:paraId="2E1C4A50" w14:textId="77777777" w:rsidR="00653063" w:rsidRPr="00653063" w:rsidRDefault="00653063" w:rsidP="00B93622">
      <w:pPr>
        <w:pStyle w:val="Bullet1G"/>
        <w:rPr>
          <w:rFonts w:eastAsia="Times New Roman"/>
          <w:lang w:val="es-ES_tradnl" w:eastAsia="es-BO"/>
        </w:rPr>
      </w:pPr>
      <w:r w:rsidRPr="00653063">
        <w:rPr>
          <w:rFonts w:eastAsia="Times New Roman"/>
          <w:lang w:val="es-ES_tradnl" w:eastAsia="es-BO"/>
        </w:rPr>
        <w:t xml:space="preserve">El </w:t>
      </w:r>
      <w:proofErr w:type="gramStart"/>
      <w:r w:rsidRPr="00653063">
        <w:rPr>
          <w:rFonts w:eastAsia="Times New Roman"/>
          <w:lang w:val="es-ES_tradnl" w:eastAsia="es-BO"/>
        </w:rPr>
        <w:t>Carnet</w:t>
      </w:r>
      <w:proofErr w:type="gramEnd"/>
      <w:r w:rsidRPr="00653063">
        <w:rPr>
          <w:rFonts w:eastAsia="Times New Roman"/>
          <w:lang w:val="es-ES_tradnl" w:eastAsia="es-BO"/>
        </w:rPr>
        <w:t xml:space="preserve"> de Discapacidad consigna los siguientes datos: fotografía, código de registro, nombres y apellidos de la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número de Cédula de Identidad, tipo de discapacidad, grado de discapacidad, porcentaje de discapacidad, tiempo de vigencia, huella dactilar y/o firma de la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número telefónico. </w:t>
      </w:r>
    </w:p>
    <w:p w14:paraId="0E5BA8B8" w14:textId="77777777" w:rsidR="00653063" w:rsidRPr="00653063" w:rsidRDefault="00653063" w:rsidP="00B93622">
      <w:pPr>
        <w:pStyle w:val="Bullet1G"/>
        <w:rPr>
          <w:rFonts w:eastAsia="Times New Roman"/>
          <w:lang w:val="es-ES_tradnl" w:eastAsia="es-BO"/>
        </w:rPr>
      </w:pPr>
      <w:r w:rsidRPr="00653063">
        <w:rPr>
          <w:rFonts w:eastAsia="Times New Roman"/>
          <w:lang w:val="es-ES_tradnl" w:eastAsia="es-BO"/>
        </w:rPr>
        <w:t>Se suprimió el Equipo de Referencia Departamental, que realizaba una revisión adicional de datos, para disminuir el proceso burocrático y agilizar tiempos.</w:t>
      </w:r>
    </w:p>
    <w:p w14:paraId="6D646386" w14:textId="77777777" w:rsidR="00653063" w:rsidRPr="00653063" w:rsidRDefault="00653063" w:rsidP="00B93622">
      <w:pPr>
        <w:pStyle w:val="Bullet1G"/>
        <w:rPr>
          <w:rFonts w:eastAsia="Times New Roman"/>
          <w:lang w:val="es-ES_tradnl" w:eastAsia="es-BO"/>
        </w:rPr>
      </w:pPr>
      <w:r w:rsidRPr="00653063">
        <w:rPr>
          <w:rFonts w:eastAsia="Times New Roman"/>
          <w:lang w:val="es-ES_tradnl" w:eastAsia="es-BO"/>
        </w:rPr>
        <w:t>El procedimiento de Calificación, Registro y Carnetización de Discapacidad tiene plazos máximos en el área urbana (6 días hábiles) y en el área rural (8 días hábiles),</w:t>
      </w:r>
    </w:p>
    <w:p w14:paraId="3F4AECDD" w14:textId="77777777" w:rsidR="00653063" w:rsidRPr="00653063" w:rsidRDefault="00653063" w:rsidP="00B93622">
      <w:pPr>
        <w:pStyle w:val="Bullet1G"/>
        <w:rPr>
          <w:rFonts w:eastAsia="Times New Roman"/>
          <w:lang w:val="es-ES_tradnl" w:eastAsia="es-BO"/>
        </w:rPr>
      </w:pPr>
      <w:r w:rsidRPr="00653063">
        <w:rPr>
          <w:rFonts w:eastAsia="Times New Roman"/>
          <w:lang w:val="es-ES_tradnl" w:eastAsia="es-BO"/>
        </w:rPr>
        <w:t xml:space="preserve">El Certificado Médico es emitido por Medicina General del </w:t>
      </w:r>
      <w:proofErr w:type="gramStart"/>
      <w:r w:rsidRPr="00653063">
        <w:rPr>
          <w:rFonts w:eastAsia="Times New Roman"/>
          <w:lang w:val="es-ES_tradnl" w:eastAsia="es-BO"/>
        </w:rPr>
        <w:t>sub sector</w:t>
      </w:r>
      <w:proofErr w:type="gramEnd"/>
      <w:r w:rsidRPr="00653063">
        <w:rPr>
          <w:rFonts w:eastAsia="Times New Roman"/>
          <w:lang w:val="es-ES_tradnl" w:eastAsia="es-BO"/>
        </w:rPr>
        <w:t xml:space="preserve"> público o de la seguridad social a corto plazo.</w:t>
      </w:r>
    </w:p>
    <w:p w14:paraId="61485C7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Mediante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4846 de 28 de diciembre de 2022 e Instructivo</w:t>
      </w:r>
      <w:r w:rsidRPr="00653063">
        <w:rPr>
          <w:rFonts w:eastAsia="Times New Roman"/>
          <w:vertAlign w:val="superscript"/>
          <w:lang w:val="es-ES_tradnl" w:eastAsia="es-BO"/>
        </w:rPr>
        <w:footnoteReference w:id="12"/>
      </w:r>
      <w:r w:rsidRPr="00653063">
        <w:rPr>
          <w:rFonts w:eastAsia="Times New Roman"/>
          <w:lang w:val="es-ES_tradnl" w:eastAsia="es-BO"/>
        </w:rPr>
        <w:t xml:space="preserve"> del MSD, se determinó la vigencia </w:t>
      </w:r>
      <w:r w:rsidRPr="00B93622">
        <w:rPr>
          <w:lang w:val="es-ES_tradnl" w:eastAsia="es-BO"/>
        </w:rPr>
        <w:t>indefinida</w:t>
      </w:r>
      <w:r w:rsidRPr="00653063">
        <w:rPr>
          <w:rFonts w:eastAsia="Times New Roman"/>
          <w:lang w:val="es-ES_tradnl" w:eastAsia="es-BO"/>
        </w:rPr>
        <w:t xml:space="preserve"> del </w:t>
      </w:r>
      <w:proofErr w:type="gramStart"/>
      <w:r w:rsidRPr="00653063">
        <w:rPr>
          <w:rFonts w:eastAsia="Times New Roman"/>
          <w:lang w:val="es-ES_tradnl" w:eastAsia="es-BO"/>
        </w:rPr>
        <w:t>Carnet</w:t>
      </w:r>
      <w:proofErr w:type="gramEnd"/>
      <w:r w:rsidRPr="00653063">
        <w:rPr>
          <w:rFonts w:eastAsia="Times New Roman"/>
          <w:lang w:val="es-ES_tradnl" w:eastAsia="es-BO"/>
        </w:rPr>
        <w:t xml:space="preserve"> de Discapacidad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muy grave.</w:t>
      </w:r>
    </w:p>
    <w:p w14:paraId="66D0F5A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w:t>
      </w:r>
      <w:r w:rsidRPr="00B93622">
        <w:rPr>
          <w:lang w:val="es-ES_tradnl" w:eastAsia="es-BO"/>
        </w:rPr>
        <w:t>MSD</w:t>
      </w:r>
      <w:r w:rsidRPr="00653063">
        <w:rPr>
          <w:rFonts w:eastAsia="Times New Roman"/>
          <w:lang w:val="es-ES_tradnl" w:eastAsia="es-BO"/>
        </w:rPr>
        <w:t xml:space="preserve"> desarrolló y difundió la </w:t>
      </w:r>
      <w:r w:rsidRPr="00653063">
        <w:rPr>
          <w:rFonts w:eastAsia="Times New Roman"/>
          <w:i/>
          <w:lang w:val="es-ES_tradnl" w:eastAsia="es-BO"/>
        </w:rPr>
        <w:t>Propuesta de Documento para la Certificación de Discapacidad</w:t>
      </w:r>
      <w:r w:rsidRPr="00653063">
        <w:rPr>
          <w:rFonts w:eastAsia="Times New Roman"/>
          <w:lang w:val="es-ES_tradnl" w:eastAsia="es-BO"/>
        </w:rPr>
        <w:t xml:space="preserve"> con enfoque social y de derechos humanos, contextualizado a la realidad del país, con los sectores sociales de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5510544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bookmarkStart w:id="7" w:name="_heading=h.2et92p0" w:colFirst="0" w:colLast="0"/>
      <w:bookmarkEnd w:id="7"/>
      <w:r w:rsidRPr="00653063">
        <w:rPr>
          <w:rFonts w:eastAsia="Times New Roman"/>
          <w:lang w:val="es-ES_tradnl" w:eastAsia="es-BO"/>
        </w:rPr>
        <w:t xml:space="preserve">Con relación a las acciones asumidas para el cumplimiento de la </w:t>
      </w:r>
      <w:r w:rsidRPr="00653063">
        <w:rPr>
          <w:rFonts w:eastAsia="Times New Roman"/>
          <w:u w:val="single"/>
          <w:lang w:val="es-ES_tradnl" w:eastAsia="es-BO"/>
        </w:rPr>
        <w:t>Recomendación del Párrafo 10</w:t>
      </w:r>
      <w:r w:rsidRPr="00653063">
        <w:rPr>
          <w:rFonts w:eastAsia="Times New Roman"/>
          <w:lang w:val="es-ES_tradnl" w:eastAsia="es-BO"/>
        </w:rPr>
        <w:t xml:space="preserve">, se informa que el Estado boliviano, mantiene un diálogo abierto y permanente con las organizaciones representativas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para el desarrollo normativo y políticas públicas, claro ejemplo fue la elaboración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223 de 2 de marzo de 2012, General para Personas con Discapacidad (a través de 40 talleres en todo el territorio boliviano).</w:t>
      </w:r>
    </w:p>
    <w:p w14:paraId="72A9FA2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w:t>
      </w:r>
      <w:r w:rsidRPr="00B93622">
        <w:rPr>
          <w:lang w:val="es-ES_tradnl" w:eastAsia="es-BO"/>
        </w:rPr>
        <w:t>aprobó</w:t>
      </w:r>
      <w:r w:rsidRPr="00653063">
        <w:rPr>
          <w:rFonts w:eastAsia="Times New Roman"/>
          <w:lang w:val="es-ES_tradnl" w:eastAsia="es-BO"/>
        </w:rPr>
        <w:t xml:space="preserve"> 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4691 de 30 de marzo de 2022, que constituyó el CONALPEDIS como institución pública desconcentrada dependiente del MJTI encargada de la promoción de normas, políticas y estrategias para el ejercicio de los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fortalecimiento de su institucionalidad. Asimismo, la citada norma, crea el </w:t>
      </w:r>
      <w:r w:rsidRPr="00653063">
        <w:rPr>
          <w:rFonts w:eastAsia="Times New Roman"/>
          <w:i/>
          <w:lang w:val="es-ES_tradnl" w:eastAsia="es-BO"/>
        </w:rPr>
        <w:t xml:space="preserve">Consejo Plurinacional de Personas con Discapacidad </w:t>
      </w:r>
      <w:r w:rsidRPr="00653063">
        <w:rPr>
          <w:rFonts w:eastAsia="Times New Roman"/>
          <w:lang w:val="es-ES_tradnl" w:eastAsia="es-BO"/>
        </w:rPr>
        <w:t xml:space="preserve">(“Consejo”), conformado por el Ministerio de Justicia y Transparencia Institucional; Ministerio de la Presidencia; Ministerio de Salud y Deportes; Ministerio de Economía y Finanzas Públicas; Ministerio de Educación; Ministerio de Trabajo, Empleo y Previsión Social; Ministerio de Obras Públicas, Servicios y Vivienda; Ministerio de Desarrollo Productivo y Economía Plural y 8 miembros de la Confederación </w:t>
      </w:r>
      <w:r w:rsidRPr="00653063">
        <w:rPr>
          <w:rFonts w:eastAsia="Times New Roman"/>
          <w:lang w:val="es-ES_tradnl" w:eastAsia="es-BO"/>
        </w:rPr>
        <w:lastRenderedPageBreak/>
        <w:t xml:space="preserve">Boliviana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(“COBOPDI”). El Consejo es la instancia de representación, coordinación y </w:t>
      </w:r>
      <w:r w:rsidRPr="00AB2EFA">
        <w:rPr>
          <w:lang w:val="es-ES_tradnl" w:eastAsia="es-BO"/>
        </w:rPr>
        <w:t>seguimiento</w:t>
      </w:r>
      <w:r w:rsidRPr="00653063">
        <w:rPr>
          <w:rFonts w:eastAsia="Times New Roman"/>
          <w:lang w:val="es-ES_tradnl" w:eastAsia="es-BO"/>
        </w:rPr>
        <w:t xml:space="preserve"> de la ejecución de políticas y estrategias en favor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conforme a su Reglamento</w:t>
      </w:r>
      <w:r w:rsidRPr="00653063">
        <w:rPr>
          <w:rFonts w:eastAsia="Times New Roman"/>
          <w:vertAlign w:val="superscript"/>
          <w:lang w:val="es-ES_tradnl" w:eastAsia="es-BO"/>
        </w:rPr>
        <w:footnoteReference w:id="13"/>
      </w:r>
      <w:r w:rsidRPr="00653063">
        <w:rPr>
          <w:rFonts w:eastAsia="Times New Roman"/>
          <w:lang w:val="es-ES_tradnl" w:eastAsia="es-BO"/>
        </w:rPr>
        <w:t>, realiza sesiones dirigidas al cumplimiento de sus funciones.</w:t>
      </w:r>
    </w:p>
    <w:p w14:paraId="69BA4C4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A fin de ejecutar funciones de manera inclusiva, el CONALPEDIS trabaja con las organizaciones de </w:t>
      </w:r>
      <w:proofErr w:type="spellStart"/>
      <w:r w:rsidRPr="00653063">
        <w:rPr>
          <w:lang w:val="es-ES_tradnl" w:eastAsia="es-BO"/>
        </w:rPr>
        <w:t>PcD</w:t>
      </w:r>
      <w:proofErr w:type="spellEnd"/>
      <w:r w:rsidRPr="00653063">
        <w:rPr>
          <w:lang w:val="es-ES_tradnl" w:eastAsia="es-BO"/>
        </w:rPr>
        <w:t xml:space="preserve"> a nivel nacional, escuchando sus necesidades y demandas que se plasman en políticas públicas que efectivizan la inclusión social de las </w:t>
      </w:r>
      <w:proofErr w:type="spellStart"/>
      <w:r w:rsidRPr="00653063">
        <w:rPr>
          <w:lang w:val="es-ES_tradnl" w:eastAsia="es-BO"/>
        </w:rPr>
        <w:t>PcD</w:t>
      </w:r>
      <w:proofErr w:type="spellEnd"/>
      <w:r w:rsidRPr="00653063">
        <w:rPr>
          <w:lang w:val="es-ES_tradnl" w:eastAsia="es-BO"/>
        </w:rPr>
        <w:t xml:space="preserve"> en el Estado, a tal efecto, desde la gestión 2022 a noviembre de 2023 sostuvo 251 reuniones con organizaciones nacionales y departamentales. </w:t>
      </w:r>
    </w:p>
    <w:p w14:paraId="35D2F18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De igual manera, en las gestiones 2021 y 2022, registró a 12 </w:t>
      </w:r>
      <w:proofErr w:type="spellStart"/>
      <w:r w:rsidRPr="00653063">
        <w:rPr>
          <w:lang w:val="es-ES_tradnl" w:eastAsia="es-BO"/>
        </w:rPr>
        <w:t>ONGs</w:t>
      </w:r>
      <w:proofErr w:type="spellEnd"/>
      <w:r w:rsidRPr="00653063">
        <w:rPr>
          <w:lang w:val="es-ES_tradnl" w:eastAsia="es-BO"/>
        </w:rPr>
        <w:t xml:space="preserve"> que apoyan y trabajan en favor de las </w:t>
      </w:r>
      <w:proofErr w:type="spellStart"/>
      <w:r w:rsidRPr="00653063">
        <w:rPr>
          <w:lang w:val="es-ES_tradnl" w:eastAsia="es-BO"/>
        </w:rPr>
        <w:t>PcD</w:t>
      </w:r>
      <w:proofErr w:type="spellEnd"/>
      <w:r w:rsidRPr="00653063">
        <w:rPr>
          <w:lang w:val="es-ES_tradnl" w:eastAsia="es-BO"/>
        </w:rPr>
        <w:t>, a través de la planificación de proyectos y coordinación con otras Instituciones Públicas para la aplicación del Desarrollo Inclusivo con Base en la Comunidad.</w:t>
      </w:r>
    </w:p>
    <w:p w14:paraId="1C4CA9D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El CONALPEDIS constituye el Ente Rector en la temática de Discapacidad en el Estado y atiende consultas realizadas por las organizaciones de varones, mujeres y niños con discapacidad y las que representan a las </w:t>
      </w:r>
      <w:proofErr w:type="spellStart"/>
      <w:r w:rsidRPr="00653063">
        <w:rPr>
          <w:lang w:val="es-ES_tradnl" w:eastAsia="es-BO"/>
        </w:rPr>
        <w:t>PcD</w:t>
      </w:r>
      <w:proofErr w:type="spellEnd"/>
      <w:r w:rsidRPr="00653063">
        <w:rPr>
          <w:lang w:val="es-ES_tradnl" w:eastAsia="es-BO"/>
        </w:rPr>
        <w:t xml:space="preserve">, sobre la tramitación y beneficios del Carnet de Discapacidad, exención tributaria para la compra de equipos de rehabilitación; así como, consultas legales en materia laboral, civil, familiar y penal; registrando desde su creación a junio de 2023, 355 consultas de estas organizaciones. </w:t>
      </w:r>
    </w:p>
    <w:p w14:paraId="1EC4EC9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Entre las Instituciones que coadyuvan al monitoreo y cumplimiento de los derechos de las </w:t>
      </w:r>
      <w:proofErr w:type="spellStart"/>
      <w:r w:rsidRPr="00653063">
        <w:rPr>
          <w:lang w:val="es-ES_tradnl" w:eastAsia="es-BO"/>
        </w:rPr>
        <w:t>PcD</w:t>
      </w:r>
      <w:proofErr w:type="spellEnd"/>
      <w:r w:rsidRPr="00653063">
        <w:rPr>
          <w:lang w:val="es-ES_tradnl" w:eastAsia="es-BO"/>
        </w:rPr>
        <w:t>, se tienen:</w:t>
      </w:r>
    </w:p>
    <w:p w14:paraId="3C55B204" w14:textId="77777777" w:rsidR="00653063" w:rsidRPr="00653063" w:rsidRDefault="00653063" w:rsidP="00AB2EFA">
      <w:pPr>
        <w:pStyle w:val="Bullet1G"/>
        <w:rPr>
          <w:lang w:val="es-ES_tradnl"/>
        </w:rPr>
      </w:pPr>
      <w:r w:rsidRPr="00653063">
        <w:rPr>
          <w:b/>
          <w:i/>
          <w:lang w:val="es-ES_tradnl"/>
        </w:rPr>
        <w:t>Unidad Ejecutora del Fondo Nacional de Solidaridad y Equidad (“UE-FNSE”</w:t>
      </w:r>
      <w:r w:rsidRPr="00653063">
        <w:rPr>
          <w:lang w:val="es-ES_tradnl"/>
        </w:rPr>
        <w:t xml:space="preserve">), entidad dependiente del Ministerio de la Presidencia, que define, ejecuta, implementa y monitorea los programas y proyectos aprobados con recursos del FNSE a favor de las </w:t>
      </w:r>
      <w:proofErr w:type="spellStart"/>
      <w:r w:rsidRPr="00653063">
        <w:rPr>
          <w:lang w:val="es-ES_tradnl"/>
        </w:rPr>
        <w:t>PcD</w:t>
      </w:r>
      <w:proofErr w:type="spellEnd"/>
      <w:r w:rsidRPr="00653063">
        <w:rPr>
          <w:lang w:val="es-ES_tradnl"/>
        </w:rPr>
        <w:t>. Desde marzo de 2022, su Dirección General Ejecutiva es ejercida por una persona con discapacidad.</w:t>
      </w:r>
      <w:r w:rsidRPr="00653063">
        <w:rPr>
          <w:vertAlign w:val="superscript"/>
          <w:lang w:val="es-ES_tradnl"/>
        </w:rPr>
        <w:footnoteReference w:id="14"/>
      </w:r>
      <w:r w:rsidRPr="00653063">
        <w:rPr>
          <w:lang w:val="es-ES_tradnl"/>
        </w:rPr>
        <w:t xml:space="preserve"> </w:t>
      </w:r>
    </w:p>
    <w:p w14:paraId="5E94A55E" w14:textId="77777777" w:rsidR="00653063" w:rsidRPr="00653063" w:rsidRDefault="00653063" w:rsidP="00AB2EFA">
      <w:pPr>
        <w:pStyle w:val="Bullet1G"/>
        <w:rPr>
          <w:lang w:val="es-ES_tradnl"/>
        </w:rPr>
      </w:pPr>
      <w:r w:rsidRPr="00653063">
        <w:rPr>
          <w:b/>
          <w:i/>
          <w:lang w:val="es-ES_tradnl"/>
        </w:rPr>
        <w:t>Unidad de Gestión de la Política de Discapacidad del MSD</w:t>
      </w:r>
      <w:r w:rsidRPr="00653063">
        <w:rPr>
          <w:lang w:val="es-ES_tradnl"/>
        </w:rPr>
        <w:t xml:space="preserve">, a cargo del Sistema de Información del Programa de Registro Único Nacional de </w:t>
      </w:r>
      <w:proofErr w:type="spellStart"/>
      <w:r w:rsidRPr="00653063">
        <w:rPr>
          <w:lang w:val="es-ES_tradnl"/>
        </w:rPr>
        <w:t>PcD</w:t>
      </w:r>
      <w:proofErr w:type="spellEnd"/>
      <w:r w:rsidRPr="00653063">
        <w:rPr>
          <w:lang w:val="es-ES_tradnl"/>
        </w:rPr>
        <w:t xml:space="preserve">, cumple funciones de calificación y registro de las </w:t>
      </w:r>
      <w:proofErr w:type="spellStart"/>
      <w:r w:rsidRPr="00653063">
        <w:rPr>
          <w:lang w:val="es-ES_tradnl"/>
        </w:rPr>
        <w:t>PcD</w:t>
      </w:r>
      <w:proofErr w:type="spellEnd"/>
      <w:r w:rsidRPr="00653063">
        <w:rPr>
          <w:lang w:val="es-ES_tradnl"/>
        </w:rPr>
        <w:t>, garantizando la calidad de la información.</w:t>
      </w:r>
    </w:p>
    <w:p w14:paraId="0FE7D0FB" w14:textId="77777777" w:rsidR="00653063" w:rsidRPr="00653063" w:rsidRDefault="00653063" w:rsidP="00AB2EFA">
      <w:pPr>
        <w:pStyle w:val="Bullet1G"/>
        <w:rPr>
          <w:lang w:val="es-ES_tradnl"/>
        </w:rPr>
      </w:pPr>
      <w:r w:rsidRPr="00653063">
        <w:rPr>
          <w:lang w:val="es-ES_tradnl"/>
        </w:rPr>
        <w:t xml:space="preserve">El </w:t>
      </w:r>
      <w:r w:rsidRPr="00653063">
        <w:rPr>
          <w:b/>
          <w:i/>
          <w:lang w:val="es-ES_tradnl"/>
        </w:rPr>
        <w:t>Instituto Boliviano de Ceguera (“IBC”)</w:t>
      </w:r>
      <w:r w:rsidRPr="00653063">
        <w:rPr>
          <w:b/>
          <w:i/>
          <w:vertAlign w:val="superscript"/>
          <w:lang w:val="es-ES_tradnl"/>
        </w:rPr>
        <w:footnoteReference w:id="15"/>
      </w:r>
      <w:r w:rsidRPr="00653063">
        <w:rPr>
          <w:i/>
          <w:lang w:val="es-ES_tradnl"/>
        </w:rPr>
        <w:t>,</w:t>
      </w:r>
      <w:r w:rsidRPr="00653063">
        <w:rPr>
          <w:lang w:val="es-ES_tradnl"/>
        </w:rPr>
        <w:t xml:space="preserve"> bajo tuición del MSD, encargado de la Rehabilitación y Habilitación de personas ciegas para que puedan desarrollar sus potencialidades basados en la igualdad de oportunidades y equiparación de condiciones para una inclusión plena en la sociedad.</w:t>
      </w:r>
    </w:p>
    <w:p w14:paraId="46E7F92B" w14:textId="77777777" w:rsidR="00653063" w:rsidRPr="00653063" w:rsidRDefault="00653063" w:rsidP="00AB2EFA">
      <w:pPr>
        <w:pStyle w:val="Bullet1G"/>
        <w:rPr>
          <w:lang w:val="es-ES_tradnl"/>
        </w:rPr>
      </w:pPr>
      <w:r w:rsidRPr="00653063">
        <w:rPr>
          <w:lang w:val="es-ES_tradnl"/>
        </w:rPr>
        <w:t xml:space="preserve">Por Decreto Supremo </w:t>
      </w:r>
      <w:proofErr w:type="spellStart"/>
      <w:r w:rsidRPr="00653063">
        <w:rPr>
          <w:lang w:val="es-ES_tradnl"/>
        </w:rPr>
        <w:t>N°</w:t>
      </w:r>
      <w:proofErr w:type="spellEnd"/>
      <w:r w:rsidRPr="00653063">
        <w:rPr>
          <w:lang w:val="es-ES_tradnl"/>
        </w:rPr>
        <w:t xml:space="preserve"> 3437 de 20 de diciembre de 2017, se creó la Plataforma Plurinacional </w:t>
      </w:r>
      <w:r w:rsidRPr="00653063">
        <w:rPr>
          <w:i/>
          <w:lang w:val="es-ES_tradnl"/>
        </w:rPr>
        <w:t>“Eustaquio - Moto - Méndez”</w:t>
      </w:r>
      <w:r w:rsidRPr="00653063">
        <w:rPr>
          <w:lang w:val="es-ES_tradnl"/>
        </w:rPr>
        <w:t xml:space="preserve">, bajo dependencia del Ministerio de Trabajo, Empleo y Previsión Social (“MTEPS”) para el seguimiento a la inserción laboral de las </w:t>
      </w:r>
      <w:proofErr w:type="spellStart"/>
      <w:r w:rsidRPr="00653063">
        <w:rPr>
          <w:lang w:val="es-ES_tradnl"/>
        </w:rPr>
        <w:t>PcD</w:t>
      </w:r>
      <w:proofErr w:type="spellEnd"/>
      <w:r w:rsidRPr="00653063">
        <w:rPr>
          <w:lang w:val="es-ES_tradnl"/>
        </w:rPr>
        <w:t xml:space="preserve"> en el sector público y privado; así como, de la madre o el padre, cónyuge, tutora o tutor que se encuentre a cargo de una o más </w:t>
      </w:r>
      <w:proofErr w:type="spellStart"/>
      <w:r w:rsidRPr="00653063">
        <w:rPr>
          <w:lang w:val="es-ES_tradnl"/>
        </w:rPr>
        <w:t>PcD</w:t>
      </w:r>
      <w:proofErr w:type="spellEnd"/>
      <w:r w:rsidRPr="00653063">
        <w:rPr>
          <w:lang w:val="es-ES_tradnl"/>
        </w:rPr>
        <w:t xml:space="preserve"> menores de dieciocho años o con discapacidad grave y muy grave.</w:t>
      </w:r>
    </w:p>
    <w:p w14:paraId="04D5798F" w14:textId="528547B4" w:rsidR="00653063" w:rsidRPr="00653063" w:rsidRDefault="00C068E4" w:rsidP="00C068E4">
      <w:pPr>
        <w:pStyle w:val="H1G"/>
        <w:rPr>
          <w:lang w:val="es-ES_tradnl" w:eastAsia="es-BO"/>
        </w:rPr>
      </w:pPr>
      <w:r>
        <w:rPr>
          <w:lang w:val="es-ES_tradnl" w:eastAsia="es-BO"/>
        </w:rPr>
        <w:tab/>
      </w:r>
      <w:bookmarkStart w:id="8" w:name="_Toc165295135"/>
      <w:r>
        <w:rPr>
          <w:lang w:val="es-ES_tradnl" w:eastAsia="es-BO"/>
        </w:rPr>
        <w:t>B.</w:t>
      </w:r>
      <w:r>
        <w:rPr>
          <w:lang w:val="es-ES_tradnl" w:eastAsia="es-BO"/>
        </w:rPr>
        <w:tab/>
      </w:r>
      <w:r w:rsidR="00653063" w:rsidRPr="00653063">
        <w:rPr>
          <w:lang w:val="es-ES_tradnl" w:eastAsia="es-BO"/>
        </w:rPr>
        <w:t>Derechos específicos de la Convención (Artículos 5 a 30)</w:t>
      </w:r>
      <w:bookmarkEnd w:id="8"/>
    </w:p>
    <w:p w14:paraId="356E18DB" w14:textId="4312F0ED" w:rsidR="00653063" w:rsidRPr="00C068E4" w:rsidRDefault="00553A08" w:rsidP="00553A08">
      <w:pPr>
        <w:pStyle w:val="H23G"/>
        <w:rPr>
          <w:lang w:val="en-US" w:eastAsia="ko-KR" w:bidi="hi-IN"/>
        </w:rPr>
      </w:pPr>
      <w:bookmarkStart w:id="9" w:name="_heading=h.tyjcwt" w:colFirst="0" w:colLast="0"/>
      <w:bookmarkEnd w:id="9"/>
      <w:r>
        <w:rPr>
          <w:lang w:val="en-US" w:eastAsia="ko-KR" w:bidi="hi-IN"/>
        </w:rPr>
        <w:tab/>
      </w:r>
      <w:r>
        <w:rPr>
          <w:lang w:val="en-US" w:eastAsia="ko-KR" w:bidi="hi-IN"/>
        </w:rPr>
        <w:tab/>
        <w:t>a)</w:t>
      </w:r>
      <w:r>
        <w:rPr>
          <w:lang w:val="en-US" w:eastAsia="ko-KR" w:bidi="hi-IN"/>
        </w:rPr>
        <w:tab/>
      </w:r>
      <w:proofErr w:type="spellStart"/>
      <w:r w:rsidR="00653063" w:rsidRPr="00C068E4">
        <w:rPr>
          <w:lang w:val="en-US" w:eastAsia="ko-KR" w:bidi="hi-IN"/>
        </w:rPr>
        <w:t>Igualdad</w:t>
      </w:r>
      <w:proofErr w:type="spellEnd"/>
      <w:r w:rsidR="00653063" w:rsidRPr="00C068E4">
        <w:rPr>
          <w:lang w:val="en-US" w:eastAsia="ko-KR" w:bidi="hi-IN"/>
        </w:rPr>
        <w:t xml:space="preserve"> y No </w:t>
      </w:r>
      <w:proofErr w:type="spellStart"/>
      <w:r w:rsidR="00653063" w:rsidRPr="00C068E4">
        <w:rPr>
          <w:lang w:val="en-US" w:eastAsia="ko-KR" w:bidi="hi-IN"/>
        </w:rPr>
        <w:t>Discriminación</w:t>
      </w:r>
      <w:proofErr w:type="spellEnd"/>
      <w:r w:rsidR="00653063" w:rsidRPr="00C068E4">
        <w:rPr>
          <w:lang w:val="en-US" w:eastAsia="ko-KR" w:bidi="hi-IN"/>
        </w:rPr>
        <w:t xml:space="preserve"> (Artículo 5 y Recomendaciones: 12, 14)</w:t>
      </w:r>
    </w:p>
    <w:p w14:paraId="6360E73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Sobre la </w:t>
      </w:r>
      <w:r w:rsidRPr="00653063">
        <w:rPr>
          <w:u w:val="single"/>
          <w:lang w:val="es-ES_tradnl" w:eastAsia="es-BO"/>
        </w:rPr>
        <w:t>Recomendación del párrafo 12</w:t>
      </w:r>
      <w:r w:rsidRPr="00653063">
        <w:rPr>
          <w:lang w:val="es-ES_tradnl" w:eastAsia="es-BO"/>
        </w:rPr>
        <w:t xml:space="preserve">, respecto a la creación y fortalecimiento de un sistema para la presentación de quejas por discriminación por motivo de discapacidad en todos los Departamentos y en todos los idiomas, incluido la lengua de señas boliviana; se informa que la Ley </w:t>
      </w:r>
      <w:proofErr w:type="spellStart"/>
      <w:r w:rsidRPr="00653063">
        <w:rPr>
          <w:lang w:val="es-ES_tradnl" w:eastAsia="es-BO"/>
        </w:rPr>
        <w:t>N°</w:t>
      </w:r>
      <w:proofErr w:type="spellEnd"/>
      <w:r w:rsidRPr="00653063">
        <w:rPr>
          <w:lang w:val="es-ES_tradnl" w:eastAsia="es-BO"/>
        </w:rPr>
        <w:t xml:space="preserve"> 045 de 08 de octubre de 2010, contra el Racismo y Toda Forma de </w:t>
      </w:r>
      <w:r w:rsidRPr="00653063">
        <w:rPr>
          <w:lang w:val="es-ES_tradnl" w:eastAsia="es-BO"/>
        </w:rPr>
        <w:lastRenderedPageBreak/>
        <w:t>Discriminación</w:t>
      </w:r>
      <w:r w:rsidRPr="00653063">
        <w:rPr>
          <w:vertAlign w:val="superscript"/>
          <w:lang w:val="es-ES_tradnl" w:eastAsia="es-BO"/>
        </w:rPr>
        <w:footnoteReference w:id="16"/>
      </w:r>
      <w:r w:rsidRPr="00653063">
        <w:rPr>
          <w:lang w:val="es-ES_tradnl" w:eastAsia="es-BO"/>
        </w:rPr>
        <w:t xml:space="preserve"> determina las siguientes vías de protección a víctimas de racismo y toda forma de discriminación:</w:t>
      </w:r>
    </w:p>
    <w:p w14:paraId="6018DAEE" w14:textId="0CE375D2" w:rsidR="00653063" w:rsidRPr="00653063" w:rsidRDefault="00C068E4" w:rsidP="00C068E4">
      <w:pPr>
        <w:pStyle w:val="SingleTxtG"/>
        <w:tabs>
          <w:tab w:val="clear" w:pos="1701"/>
        </w:tabs>
        <w:ind w:firstLine="567"/>
        <w:rPr>
          <w:lang w:val="es-ES_tradnl" w:eastAsia="es-BO"/>
        </w:rPr>
      </w:pPr>
      <w:r w:rsidRPr="00C068E4">
        <w:rPr>
          <w:i/>
          <w:lang w:val="es-ES_tradnl" w:eastAsia="es-BO"/>
        </w:rPr>
        <w:t>a)</w:t>
      </w:r>
      <w:r w:rsidRPr="00C068E4">
        <w:rPr>
          <w:i/>
          <w:lang w:val="es-ES_tradnl" w:eastAsia="es-BO"/>
        </w:rPr>
        <w:tab/>
      </w:r>
      <w:r w:rsidR="00653063" w:rsidRPr="00653063">
        <w:rPr>
          <w:i/>
          <w:u w:val="single"/>
          <w:lang w:val="es-ES_tradnl" w:eastAsia="es-BO"/>
        </w:rPr>
        <w:t>Vía administrativa o disciplinaria en Instituciones Públicas.</w:t>
      </w:r>
      <w:r w:rsidR="00653063" w:rsidRPr="00653063">
        <w:rPr>
          <w:lang w:val="es-ES_tradnl" w:eastAsia="es-BO"/>
        </w:rPr>
        <w:t xml:space="preserve"> Constituyen faltas en el ejercicio de la función pública: a) Agresiones verbales fundadas en motivos racistas y/o discriminatorios, b) Denegación de acceso al servicio por motivos racistas y/o discriminatorios y, c) Maltrato físico, psicológico y sexual por motivos racistas y discriminatorios, que no constituya delito; disponiéndose la obligatoriedad de todas las Instituciones Públicas de modificar sus Reglamentos Internos de Personal, Reglamentos Disciplinarios u otros que correspondan, para incluir las faltas descritas, como causal de inicio de proceso interno y motivo de sanción administrativa o disciplinaria. Por cuanto, todo servidor público que cometa actos de discriminación y racismo está sujeto a proceso por la responsabilidad pública.  </w:t>
      </w:r>
    </w:p>
    <w:p w14:paraId="26C77FF8" w14:textId="208ED376" w:rsidR="00653063" w:rsidRPr="00653063" w:rsidRDefault="00C068E4" w:rsidP="00C068E4">
      <w:pPr>
        <w:pStyle w:val="SingleTxtG"/>
        <w:rPr>
          <w:lang w:val="es-ES_tradnl" w:eastAsia="es-BO"/>
        </w:rPr>
      </w:pPr>
      <w:r>
        <w:rPr>
          <w:lang w:val="es-ES_tradnl" w:eastAsia="es-BO"/>
        </w:rPr>
        <w:tab/>
      </w:r>
      <w:r w:rsidR="00653063" w:rsidRPr="00653063">
        <w:rPr>
          <w:lang w:val="es-ES_tradnl" w:eastAsia="es-BO"/>
        </w:rPr>
        <w:t xml:space="preserve">De igual manera, se determinó que todas las instituciones privadas o no estatales, adopten y modifiquen sus Reglamentos Internos, por cuanto, todo hecho de racismo y discriminación que se cometiese en empresas privadas, organizaciones sociales, organizaciones civiles y todo tipo de institucionalidad que tenga reconocimiento estatal, debe ser investigado, procesado y sancionado por instancias internas. </w:t>
      </w:r>
    </w:p>
    <w:p w14:paraId="5FE6AD89" w14:textId="1FDA20F3" w:rsidR="00653063" w:rsidRPr="00653063" w:rsidRDefault="00C068E4" w:rsidP="00C068E4">
      <w:pPr>
        <w:pStyle w:val="SingleTxtG"/>
        <w:rPr>
          <w:lang w:val="es-ES_tradnl" w:eastAsia="es-BO"/>
        </w:rPr>
      </w:pPr>
      <w:r>
        <w:rPr>
          <w:lang w:val="es-ES_tradnl" w:eastAsia="es-BO"/>
        </w:rPr>
        <w:tab/>
      </w:r>
      <w:r w:rsidR="00653063" w:rsidRPr="00653063">
        <w:rPr>
          <w:lang w:val="es-ES_tradnl" w:eastAsia="es-BO"/>
        </w:rPr>
        <w:t>Cabe señalar, que se prohíbe toda restricción de ingreso y colocado de carteles con este propósito, a locales o establecimientos de atención, servicio o entretenimiento abiertos al público, bajo sanción de clausura por tres días la primera vez; de treinta días la segunda y definitiva en la tercera. Salvando aquellas prohibiciones previstas por ley que protejan derechos o para las actividades que no estén dirigidas al público en general por su contenido.</w:t>
      </w:r>
    </w:p>
    <w:p w14:paraId="1B7AD691" w14:textId="62D26C15" w:rsidR="00653063" w:rsidRPr="00653063" w:rsidRDefault="00C068E4" w:rsidP="00C068E4">
      <w:pPr>
        <w:pStyle w:val="SingleTxtG"/>
        <w:rPr>
          <w:lang w:val="es-ES_tradnl" w:eastAsia="es-BO"/>
        </w:rPr>
      </w:pPr>
      <w:r>
        <w:rPr>
          <w:lang w:val="es-ES_tradnl" w:eastAsia="es-BO"/>
        </w:rPr>
        <w:tab/>
      </w:r>
      <w:r w:rsidR="00653063" w:rsidRPr="00653063">
        <w:rPr>
          <w:lang w:val="es-ES_tradnl" w:eastAsia="es-BO"/>
        </w:rPr>
        <w:t xml:space="preserve">Medida aplicada por los Gobiernos Autónomos Municipales (“GAM”) </w:t>
      </w:r>
      <w:proofErr w:type="gramStart"/>
      <w:r w:rsidR="00653063" w:rsidRPr="00653063">
        <w:rPr>
          <w:lang w:val="es-ES_tradnl" w:eastAsia="es-BO"/>
        </w:rPr>
        <w:t>de acuerdo a</w:t>
      </w:r>
      <w:proofErr w:type="gramEnd"/>
      <w:r w:rsidR="00653063" w:rsidRPr="00653063">
        <w:rPr>
          <w:lang w:val="es-ES_tradnl" w:eastAsia="es-BO"/>
        </w:rPr>
        <w:t xml:space="preserve"> reglamentación especial. Asimismo, se declara la obligatoriedad de exhibir carteles en el ingreso de los establecimientos públicos y privados de atención, servicio o entretenimiento abiertos al público, en forma visible el siguiente texto: </w:t>
      </w:r>
      <w:r w:rsidR="00653063" w:rsidRPr="00653063">
        <w:rPr>
          <w:i/>
          <w:lang w:val="es-ES_tradnl" w:eastAsia="es-BO"/>
        </w:rPr>
        <w:t>“Todas las personas son iguales ante la Ley</w:t>
      </w:r>
      <w:r w:rsidR="00653063" w:rsidRPr="00653063">
        <w:rPr>
          <w:lang w:val="es-ES_tradnl" w:eastAsia="es-BO"/>
        </w:rPr>
        <w:t>”. En caso de restringirse ilegalmente el acceso a locales públicos, las personas pueden presentar su denuncia ante los GAM.</w:t>
      </w:r>
    </w:p>
    <w:p w14:paraId="001F286E" w14:textId="181479FD" w:rsidR="00653063" w:rsidRPr="00653063" w:rsidRDefault="00174752" w:rsidP="00A92E7D">
      <w:pPr>
        <w:pStyle w:val="SingleTxtG"/>
        <w:tabs>
          <w:tab w:val="clear" w:pos="1701"/>
        </w:tabs>
        <w:ind w:firstLine="567"/>
        <w:rPr>
          <w:lang w:val="es-ES_tradnl" w:eastAsia="es-BO"/>
        </w:rPr>
      </w:pPr>
      <w:r w:rsidRPr="00174752">
        <w:rPr>
          <w:i/>
          <w:lang w:val="es-ES_tradnl" w:eastAsia="es-BO"/>
        </w:rPr>
        <w:t>b)</w:t>
      </w:r>
      <w:r w:rsidRPr="00174752">
        <w:rPr>
          <w:i/>
          <w:lang w:val="es-ES_tradnl" w:eastAsia="es-BO"/>
        </w:rPr>
        <w:tab/>
      </w:r>
      <w:r w:rsidR="00653063" w:rsidRPr="00653063">
        <w:rPr>
          <w:i/>
          <w:u w:val="single"/>
          <w:lang w:val="es-ES_tradnl" w:eastAsia="es-BO"/>
        </w:rPr>
        <w:t>Vía penal.</w:t>
      </w:r>
      <w:r w:rsidR="00653063" w:rsidRPr="00653063">
        <w:rPr>
          <w:lang w:val="es-ES_tradnl" w:eastAsia="es-BO"/>
        </w:rPr>
        <w:t xml:space="preserve"> El Artículo 23 de la Ley </w:t>
      </w:r>
      <w:proofErr w:type="spellStart"/>
      <w:r w:rsidR="00653063" w:rsidRPr="00653063">
        <w:rPr>
          <w:lang w:val="es-ES_tradnl" w:eastAsia="es-BO"/>
        </w:rPr>
        <w:t>N°</w:t>
      </w:r>
      <w:proofErr w:type="spellEnd"/>
      <w:r w:rsidR="00653063" w:rsidRPr="00653063">
        <w:rPr>
          <w:lang w:val="es-ES_tradnl" w:eastAsia="es-BO"/>
        </w:rPr>
        <w:t xml:space="preserve"> 045 de 08 de octubre de 2010, contra el Racismo y Toda Forma de Discriminación modifica el Título VIII del Libro Segundo del Código Penal (“CP”), bajo la siguiente denominación: </w:t>
      </w:r>
      <w:r w:rsidR="00653063" w:rsidRPr="00653063">
        <w:rPr>
          <w:i/>
          <w:lang w:val="es-ES_tradnl" w:eastAsia="es-BO"/>
        </w:rPr>
        <w:t>“Delitos contra la Dignidad del Ser Humano”,</w:t>
      </w:r>
      <w:r w:rsidR="00653063" w:rsidRPr="00653063">
        <w:rPr>
          <w:lang w:val="es-ES_tradnl" w:eastAsia="es-BO"/>
        </w:rPr>
        <w:t xml:space="preserve"> que tipifica los delitos de Racismo (Artículo 281 bis), Discriminación (Artículo 281 ter.), Difusión e Incitación al Racismo o a la Discriminación (Artículo 281 </w:t>
      </w:r>
      <w:proofErr w:type="spellStart"/>
      <w:r w:rsidR="00653063" w:rsidRPr="00653063">
        <w:rPr>
          <w:lang w:val="es-ES_tradnl" w:eastAsia="es-BO"/>
        </w:rPr>
        <w:t>quater</w:t>
      </w:r>
      <w:proofErr w:type="spellEnd"/>
      <w:r w:rsidR="00653063" w:rsidRPr="00653063">
        <w:rPr>
          <w:lang w:val="es-ES_tradnl" w:eastAsia="es-BO"/>
        </w:rPr>
        <w:t xml:space="preserve">), Organizaciones o Asociaciones Racistas o Discriminatorias (Artículo 281 </w:t>
      </w:r>
      <w:proofErr w:type="spellStart"/>
      <w:r w:rsidR="00653063" w:rsidRPr="00653063">
        <w:rPr>
          <w:lang w:val="es-ES_tradnl" w:eastAsia="es-BO"/>
        </w:rPr>
        <w:t>septieser</w:t>
      </w:r>
      <w:proofErr w:type="spellEnd"/>
      <w:r w:rsidR="00653063" w:rsidRPr="00653063">
        <w:rPr>
          <w:lang w:val="es-ES_tradnl" w:eastAsia="es-BO"/>
        </w:rPr>
        <w:t xml:space="preserve">) e Insultos y otras agresiones verbales por motivos racistas o discriminatorios (Artículo 281 </w:t>
      </w:r>
      <w:proofErr w:type="spellStart"/>
      <w:r w:rsidR="00653063" w:rsidRPr="00653063">
        <w:rPr>
          <w:lang w:val="es-ES_tradnl" w:eastAsia="es-BO"/>
        </w:rPr>
        <w:t>octies</w:t>
      </w:r>
      <w:proofErr w:type="spellEnd"/>
      <w:r w:rsidR="00653063" w:rsidRPr="00653063">
        <w:rPr>
          <w:lang w:val="es-ES_tradnl" w:eastAsia="es-BO"/>
        </w:rPr>
        <w:t>.). Asimismo, el Artículo 21, incorpora en el CP una Agravante General por causa de racismo y/o discriminación (Artículo 40 Bis.).</w:t>
      </w:r>
    </w:p>
    <w:p w14:paraId="3B794C4F" w14:textId="710E1786" w:rsidR="00653063" w:rsidRPr="00653063" w:rsidRDefault="00273515" w:rsidP="00273515">
      <w:pPr>
        <w:pStyle w:val="SingleTxtG"/>
        <w:rPr>
          <w:lang w:val="es-ES_tradnl" w:eastAsia="es-BO"/>
        </w:rPr>
      </w:pPr>
      <w:r>
        <w:rPr>
          <w:lang w:val="es-ES_tradnl" w:eastAsia="es-BO"/>
        </w:rPr>
        <w:tab/>
      </w:r>
      <w:r w:rsidR="00653063" w:rsidRPr="00653063">
        <w:rPr>
          <w:lang w:val="es-ES_tradnl" w:eastAsia="es-BO"/>
        </w:rPr>
        <w:t>Por otro lado, se dispone que la persona que en ejercicio de la función pública conociera hechos de racismo y toda forma de discriminación, debe denunciar ante las autoridades y en caso de no hacerlo es pasible a la sanción dispuesta en el Artículo 178 del CP.</w:t>
      </w:r>
    </w:p>
    <w:p w14:paraId="0FAC2627" w14:textId="351B8A21" w:rsidR="00653063" w:rsidRPr="00653063" w:rsidRDefault="00174752" w:rsidP="00174752">
      <w:pPr>
        <w:pStyle w:val="SingleTxtG"/>
        <w:tabs>
          <w:tab w:val="clear" w:pos="1701"/>
        </w:tabs>
        <w:ind w:firstLine="567"/>
        <w:rPr>
          <w:rFonts w:eastAsia="Times New Roman"/>
          <w:lang w:val="es-ES_tradnl" w:eastAsia="es-BO"/>
        </w:rPr>
      </w:pPr>
      <w:r w:rsidRPr="00174752">
        <w:rPr>
          <w:rFonts w:eastAsia="Times New Roman"/>
          <w:i/>
          <w:lang w:val="es-ES_tradnl" w:eastAsia="es-BO"/>
        </w:rPr>
        <w:t>c)</w:t>
      </w:r>
      <w:r w:rsidRPr="00174752">
        <w:rPr>
          <w:rFonts w:eastAsia="Times New Roman"/>
          <w:i/>
          <w:lang w:val="es-ES_tradnl" w:eastAsia="es-BO"/>
        </w:rPr>
        <w:tab/>
      </w:r>
      <w:r w:rsidR="00653063" w:rsidRPr="00653063">
        <w:rPr>
          <w:rFonts w:eastAsia="Times New Roman"/>
          <w:i/>
          <w:u w:val="single"/>
          <w:lang w:val="es-ES_tradnl" w:eastAsia="es-BO"/>
        </w:rPr>
        <w:t>Vía Constitucional</w:t>
      </w:r>
      <w:r w:rsidR="00653063" w:rsidRPr="00653063">
        <w:rPr>
          <w:rFonts w:eastAsia="Times New Roman"/>
          <w:lang w:val="es-ES_tradnl" w:eastAsia="es-BO"/>
        </w:rPr>
        <w:t xml:space="preserve">. Todos los derechos reconocidos en la CPE (garantías jurisdiccionales y acciones de defensa constitucional) son directamente aplicables y gozan de iguales garantías para su protección. </w:t>
      </w:r>
    </w:p>
    <w:p w14:paraId="75147A1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Es pertinente resaltar que estas instancias de protección a las víctimas de racismo y </w:t>
      </w:r>
      <w:proofErr w:type="gramStart"/>
      <w:r w:rsidRPr="00653063">
        <w:rPr>
          <w:lang w:val="es-ES_tradnl" w:eastAsia="es-BO"/>
        </w:rPr>
        <w:t>discriminación,</w:t>
      </w:r>
      <w:proofErr w:type="gramEnd"/>
      <w:r w:rsidRPr="00653063">
        <w:rPr>
          <w:lang w:val="es-ES_tradnl" w:eastAsia="es-BO"/>
        </w:rPr>
        <w:t xml:space="preserve"> están habilitadas a nivel nacional. </w:t>
      </w:r>
    </w:p>
    <w:p w14:paraId="554C405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Por otro lado, a partir del 03 de mayo de 2022, el CONALPEDIS brindó orientación a 462 personas en cumplimiento al Artículo 3, inciso a) del Decreto Supremo </w:t>
      </w:r>
      <w:proofErr w:type="spellStart"/>
      <w:r w:rsidRPr="00653063">
        <w:rPr>
          <w:lang w:val="es-ES_tradnl" w:eastAsia="es-BO"/>
        </w:rPr>
        <w:t>N°</w:t>
      </w:r>
      <w:proofErr w:type="spellEnd"/>
      <w:r w:rsidRPr="00653063">
        <w:rPr>
          <w:lang w:val="es-ES_tradnl" w:eastAsia="es-BO"/>
        </w:rPr>
        <w:t xml:space="preserve"> 4691 de 30 de marzo de 2022</w:t>
      </w:r>
      <w:r w:rsidRPr="00653063">
        <w:rPr>
          <w:rFonts w:ascii="Cambria" w:eastAsia="Cambria" w:hAnsi="Cambria" w:cs="Cambria"/>
          <w:lang w:val="es-ES_tradnl" w:eastAsia="es-BO"/>
        </w:rPr>
        <w:t xml:space="preserve">, en temas de discriminación y otros, derivándose posteriormente a las Instancias competentes para brindar patrocinio y asistencia legal. </w:t>
      </w:r>
      <w:r w:rsidRPr="00653063">
        <w:rPr>
          <w:lang w:val="es-ES_tradnl" w:eastAsia="es-BO"/>
        </w:rPr>
        <w:t xml:space="preserve"> </w:t>
      </w:r>
    </w:p>
    <w:p w14:paraId="694C753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La </w:t>
      </w:r>
      <w:proofErr w:type="gramStart"/>
      <w:r w:rsidRPr="00653063">
        <w:rPr>
          <w:lang w:val="es-ES_tradnl" w:eastAsia="es-BO"/>
        </w:rPr>
        <w:t>Fiscalía General</w:t>
      </w:r>
      <w:proofErr w:type="gramEnd"/>
      <w:r w:rsidRPr="00653063">
        <w:rPr>
          <w:lang w:val="es-ES_tradnl" w:eastAsia="es-BO"/>
        </w:rPr>
        <w:t xml:space="preserve"> del Estado (“FGE”) a través del enfoque del </w:t>
      </w:r>
      <w:r w:rsidRPr="00653063">
        <w:rPr>
          <w:i/>
          <w:lang w:val="es-ES_tradnl" w:eastAsia="es-BO"/>
        </w:rPr>
        <w:t xml:space="preserve">Modelo de Gestión Fiscal por Resultados, </w:t>
      </w:r>
      <w:r w:rsidRPr="00653063">
        <w:rPr>
          <w:lang w:val="es-ES_tradnl" w:eastAsia="es-BO"/>
        </w:rPr>
        <w:t xml:space="preserve">diseñado para efectivizar y mejorar sus servicios; desde febrero de </w:t>
      </w:r>
      <w:r w:rsidRPr="00653063">
        <w:rPr>
          <w:lang w:val="es-ES_tradnl" w:eastAsia="es-BO"/>
        </w:rPr>
        <w:lastRenderedPageBreak/>
        <w:t xml:space="preserve">2019 implementó progresivamente en ciudades capitales e intermedias: Yacuiba, Bermejo, Riberalta, Guayaramerín, Quillacollo, Sacaba, Montero, Uyuni, Tupiza y en los módulos desconcentrados de Santa Cruz: Tusequis, Plan 3000, Radial 17 </w:t>
      </w:r>
      <w:r w:rsidRPr="00653063">
        <w:rPr>
          <w:i/>
          <w:lang w:val="es-ES_tradnl" w:eastAsia="es-BO"/>
        </w:rPr>
        <w:t>Vi,</w:t>
      </w:r>
      <w:r w:rsidRPr="00653063">
        <w:rPr>
          <w:lang w:val="es-ES_tradnl" w:eastAsia="es-BO"/>
        </w:rPr>
        <w:t xml:space="preserve"> Los Lotes, Pampa de la Isla y Villa 1ro. de mayo, las </w:t>
      </w:r>
      <w:r w:rsidRPr="00653063">
        <w:rPr>
          <w:i/>
          <w:lang w:val="es-ES_tradnl" w:eastAsia="es-BO"/>
        </w:rPr>
        <w:t>Plataformas Integrales de Atención de Casos</w:t>
      </w:r>
      <w:r w:rsidRPr="00653063">
        <w:rPr>
          <w:lang w:val="es-ES_tradnl" w:eastAsia="es-BO"/>
        </w:rPr>
        <w:t>, creadas para la atención, con un servicio ágil con calidad y calidez. Dichas Plataformas mediante el Sistema Informático de Gestión de Casos Penales, permite  realizar consultas sobre el estado actual de procesos, realizar la recepción y digitalización de memoriales, oficios, conminatorias, toma de denuncias verbales con un sistema de grabación de las denuncias y cargado como archivo del expediente electrónico, orientación y derivación de casos no penales mediante redes de derivación a nivel departamental; Interoperabilidad del Sistema Informático “Justicia Libre” con el Registro Público de la Abogacía, Servicio General de Identificación Personal (“SEGIP”) y Policía.</w:t>
      </w:r>
    </w:p>
    <w:p w14:paraId="1D1ED79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cada Plataforma de Atención Integral de Casos cuenta con un Buzón de Quejas, que debe ser verificado por cada </w:t>
      </w:r>
      <w:r w:rsidRPr="006807B0">
        <w:rPr>
          <w:lang w:val="es-ES_tradnl" w:eastAsia="es-BO"/>
        </w:rPr>
        <w:t>Coordinador</w:t>
      </w:r>
      <w:r w:rsidRPr="00653063">
        <w:rPr>
          <w:rFonts w:eastAsia="Times New Roman"/>
          <w:lang w:val="es-ES_tradnl" w:eastAsia="es-BO"/>
        </w:rPr>
        <w:t>/a Operativo para luego establecer acciones de mejora.</w:t>
      </w:r>
    </w:p>
    <w:p w14:paraId="460D1FD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Igualmente, la Fiscalía Departamental de Chuquisaca acordó con el IBC, la disposición de personal capacitado en vía de colaboración y apoyo institucional.</w:t>
      </w:r>
    </w:p>
    <w:p w14:paraId="0FECF74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Así, la </w:t>
      </w:r>
      <w:r w:rsidRPr="006807B0">
        <w:rPr>
          <w:lang w:val="es-ES_tradnl" w:eastAsia="es-BO"/>
        </w:rPr>
        <w:t>Recomendación</w:t>
      </w:r>
      <w:r w:rsidRPr="00653063">
        <w:rPr>
          <w:rFonts w:eastAsia="Times New Roman"/>
          <w:lang w:val="es-ES_tradnl" w:eastAsia="es-BO"/>
        </w:rPr>
        <w:t xml:space="preserve"> fue atendida, contando con un marco institucional y normativo que garantiza la presentación de quejas por discriminación por motivo de discapacidad en todos los Departamentos y en todos los idiomas oficiales. </w:t>
      </w:r>
    </w:p>
    <w:p w14:paraId="1A6542A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Sobre la Recomendación del párrafo 14, respecto al reconocimiento de la denegación de ajustes razonables como forma de </w:t>
      </w:r>
      <w:r w:rsidRPr="006807B0">
        <w:rPr>
          <w:lang w:val="es-ES_tradnl" w:eastAsia="es-BO"/>
        </w:rPr>
        <w:t>discriminación</w:t>
      </w:r>
      <w:r w:rsidRPr="00653063">
        <w:rPr>
          <w:rFonts w:eastAsia="Times New Roman"/>
          <w:lang w:val="es-ES_tradnl" w:eastAsia="es-BO"/>
        </w:rPr>
        <w:t xml:space="preserve"> por motivos de discapacidad, el mismo no fue contemplado en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045 de 08 de octubre de 2010, contra el Racismo y Toda Forma de Discriminación; sin embargo, como se mencionó en párrafos precedentes, la citada norma incorpora un Capítulo de Delitos contra la Dignidad del Ser Humano.</w:t>
      </w:r>
    </w:p>
    <w:p w14:paraId="697D2D8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 esa manera, el Estado boliviano garantiza 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el ejercicio pleno de sus derechos y deberes en igualdad de </w:t>
      </w:r>
      <w:r w:rsidRPr="006807B0">
        <w:rPr>
          <w:lang w:val="es-ES_tradnl" w:eastAsia="es-BO"/>
        </w:rPr>
        <w:t>condiciones</w:t>
      </w:r>
      <w:r w:rsidRPr="00653063">
        <w:rPr>
          <w:rFonts w:eastAsia="Times New Roman"/>
          <w:lang w:val="es-ES_tradnl" w:eastAsia="es-BO"/>
        </w:rPr>
        <w:t>, equiparación de oportunidades y trato preferente bajo un sistema de protección integral, reconociéndoles como plenos sujetos de derecho y titulares de derechos, conforme estipulan los Artículos 14, 70, 71 y 72 de la CPE.</w:t>
      </w:r>
    </w:p>
    <w:p w14:paraId="362C9DE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Además, el Estado prohíbe y sanciona toda forma de discriminación fundada en razón de sexo, color, edad, orientación sexual, identidad de género,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w:t>
      </w:r>
      <w:r w:rsidRPr="00653063">
        <w:rPr>
          <w:rFonts w:eastAsia="Times New Roman"/>
          <w:vertAlign w:val="superscript"/>
          <w:lang w:val="es-ES_tradnl" w:eastAsia="es-BO"/>
        </w:rPr>
        <w:footnoteReference w:id="17"/>
      </w:r>
      <w:r w:rsidRPr="00653063">
        <w:rPr>
          <w:rFonts w:eastAsia="Times New Roman"/>
          <w:lang w:val="es-ES_tradnl" w:eastAsia="es-BO"/>
        </w:rPr>
        <w:t>.</w:t>
      </w:r>
    </w:p>
    <w:p w14:paraId="164F6D6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Es por ello, que se aprobó el </w:t>
      </w:r>
      <w:r w:rsidRPr="00653063">
        <w:rPr>
          <w:rFonts w:eastAsia="Times New Roman"/>
          <w:i/>
          <w:lang w:val="es-ES_tradnl" w:eastAsia="es-BO"/>
        </w:rPr>
        <w:t>“Plan Multisectorial de Desarrollo Integral Para Vivir Bien – Contra el Racismo y Toda Forma de Discriminación 2021-2025”</w:t>
      </w:r>
      <w:r w:rsidRPr="00653063">
        <w:rPr>
          <w:rFonts w:eastAsia="Times New Roman"/>
          <w:vertAlign w:val="superscript"/>
          <w:lang w:val="es-ES_tradnl" w:eastAsia="es-BO"/>
        </w:rPr>
        <w:footnoteReference w:id="18"/>
      </w:r>
      <w:r w:rsidRPr="00653063">
        <w:rPr>
          <w:rFonts w:eastAsia="Times New Roman"/>
          <w:lang w:val="es-ES_tradnl" w:eastAsia="es-BO"/>
        </w:rPr>
        <w:t xml:space="preserve">, elaborado con aportes de actores sociales e instituciones involucrados, contemplando acciones multisectoriales, indicadores, programación física, territorial y financiera orientadas a la prevención y eliminación del racismo y discriminación. La inversión presupuestada para la implementación del referido Plan asciende a 918.985.697 </w:t>
      </w:r>
      <w:proofErr w:type="gramStart"/>
      <w:r w:rsidRPr="00653063">
        <w:rPr>
          <w:rFonts w:eastAsia="Times New Roman"/>
          <w:lang w:val="es-ES_tradnl" w:eastAsia="es-BO"/>
        </w:rPr>
        <w:t>Bolivianos</w:t>
      </w:r>
      <w:proofErr w:type="gramEnd"/>
      <w:r w:rsidRPr="00653063">
        <w:rPr>
          <w:rFonts w:eastAsia="Times New Roman"/>
          <w:lang w:val="es-ES_tradnl" w:eastAsia="es-BO"/>
        </w:rPr>
        <w:t xml:space="preserve"> (133.007.097 Dólares Americanos).</w:t>
      </w:r>
    </w:p>
    <w:p w14:paraId="3A71F67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807B0">
        <w:rPr>
          <w:lang w:val="es-ES_tradnl" w:eastAsia="es-BO"/>
        </w:rPr>
        <w:t>Entre</w:t>
      </w:r>
      <w:r w:rsidRPr="00653063">
        <w:rPr>
          <w:rFonts w:eastAsia="Times New Roman"/>
          <w:lang w:val="es-ES_tradnl" w:eastAsia="es-BO"/>
        </w:rPr>
        <w:t xml:space="preserve"> sus principales resultados a nivel nacional, a octubre de 2023 se tiene: </w:t>
      </w:r>
    </w:p>
    <w:p w14:paraId="410A2AFF" w14:textId="77777777" w:rsidR="00653063" w:rsidRPr="00653063" w:rsidRDefault="00653063" w:rsidP="006807B0">
      <w:pPr>
        <w:pStyle w:val="Bullet1G"/>
        <w:rPr>
          <w:lang w:val="es-ES_tradnl"/>
        </w:rPr>
      </w:pPr>
      <w:r w:rsidRPr="00653063">
        <w:rPr>
          <w:lang w:val="es-ES_tradnl"/>
        </w:rPr>
        <w:t xml:space="preserve">Capacitación a 10.326 servidores públicos en prevención del racismo y discriminación. </w:t>
      </w:r>
    </w:p>
    <w:p w14:paraId="3E205E17" w14:textId="77777777" w:rsidR="00653063" w:rsidRPr="00653063" w:rsidRDefault="00653063" w:rsidP="006807B0">
      <w:pPr>
        <w:pStyle w:val="Bullet1G"/>
        <w:rPr>
          <w:lang w:val="es-ES_tradnl"/>
        </w:rPr>
      </w:pPr>
      <w:r w:rsidRPr="00653063">
        <w:rPr>
          <w:lang w:val="es-ES_tradnl"/>
        </w:rPr>
        <w:t>Registro y seguimiento de 1.038 denuncias por hechos de racismo y discriminación.</w:t>
      </w:r>
    </w:p>
    <w:p w14:paraId="7AC66FF2" w14:textId="77777777" w:rsidR="00653063" w:rsidRPr="00653063" w:rsidRDefault="00653063" w:rsidP="006807B0">
      <w:pPr>
        <w:pStyle w:val="Bullet1G"/>
        <w:rPr>
          <w:lang w:val="es-ES_tradnl"/>
        </w:rPr>
      </w:pPr>
      <w:r w:rsidRPr="00653063">
        <w:rPr>
          <w:lang w:val="es-ES_tradnl"/>
        </w:rPr>
        <w:t xml:space="preserve">Entrega de 84.869 viviendas sociales a personas en situación de alta vulnerabilidad.   </w:t>
      </w:r>
    </w:p>
    <w:p w14:paraId="29C17DB8" w14:textId="77777777" w:rsidR="00653063" w:rsidRPr="00653063" w:rsidRDefault="00653063" w:rsidP="006807B0">
      <w:pPr>
        <w:pStyle w:val="Bullet1G"/>
        <w:rPr>
          <w:lang w:val="es-ES_tradnl"/>
        </w:rPr>
      </w:pPr>
      <w:r w:rsidRPr="00653063">
        <w:rPr>
          <w:lang w:val="es-ES_tradnl"/>
        </w:rPr>
        <w:t xml:space="preserve">Entrega del Bono Juana Azurduy a mujeres madres, equivalente a 120 bolivianos.  </w:t>
      </w:r>
    </w:p>
    <w:p w14:paraId="7F00B769" w14:textId="77777777" w:rsidR="00653063" w:rsidRPr="00653063" w:rsidRDefault="00653063" w:rsidP="006807B0">
      <w:pPr>
        <w:pStyle w:val="Bullet1G"/>
        <w:rPr>
          <w:lang w:val="es-ES_tradnl"/>
        </w:rPr>
      </w:pPr>
      <w:r w:rsidRPr="00653063">
        <w:rPr>
          <w:lang w:val="es-ES_tradnl"/>
        </w:rPr>
        <w:lastRenderedPageBreak/>
        <w:t xml:space="preserve">Subsidio Universal Prenatal de 300 bolivianos para mujeres embarazadas. </w:t>
      </w:r>
    </w:p>
    <w:p w14:paraId="5989207E" w14:textId="77777777" w:rsidR="00653063" w:rsidRPr="00653063" w:rsidRDefault="00653063" w:rsidP="006807B0">
      <w:pPr>
        <w:pStyle w:val="Bullet1G"/>
        <w:rPr>
          <w:lang w:val="es-ES_tradnl"/>
        </w:rPr>
      </w:pPr>
      <w:r w:rsidRPr="00653063">
        <w:rPr>
          <w:lang w:val="es-ES_tradnl"/>
        </w:rPr>
        <w:t xml:space="preserve">Bono Juancito Pinto (200 Bs) para estudiantes de primaria, secundaria y especial para colegios fiscales y de convenio. </w:t>
      </w:r>
    </w:p>
    <w:p w14:paraId="7CB06A9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Asimismo, el Viceministerio de Descolonización y Despatriarcalización a través de la Dirección General de Lucha contra el Racismo y toda forma de Discriminación, realiza </w:t>
      </w:r>
      <w:r w:rsidRPr="00223522">
        <w:rPr>
          <w:rFonts w:eastAsia="Times New Roman"/>
          <w:lang w:val="es-ES_tradnl" w:eastAsia="es-BO"/>
        </w:rPr>
        <w:t>actividades</w:t>
      </w:r>
      <w:r w:rsidRPr="00653063">
        <w:rPr>
          <w:lang w:val="es-ES_tradnl" w:eastAsia="es-BO"/>
        </w:rPr>
        <w:t xml:space="preserve"> de educación y sensibilización a servidores públicos y población en general a nivel nacional. En la gestión 2021 realizó 78 talleres sensibilizando a 7023 personas (2075 de organizaciones sociales y 4948 de instituciones públicas), en la gestión 2022 realizó 50 talleres sensibilizando a 6251 personas, (2920 de organizaciones sociales y 3331 de instituciones públicas) y en la gestión 2023 realizó 37 talleres sensibilizando a 2265 personas, (411 de organizaciones sociales y 1854 de instituciones públicas).</w:t>
      </w:r>
    </w:p>
    <w:p w14:paraId="02151E6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lang w:val="es-ES_tradnl" w:eastAsia="es-HN"/>
        </w:rPr>
        <w:t xml:space="preserve">La Ley </w:t>
      </w:r>
      <w:proofErr w:type="spellStart"/>
      <w:r w:rsidRPr="00653063">
        <w:rPr>
          <w:lang w:val="es-ES_tradnl" w:eastAsia="es-HN"/>
        </w:rPr>
        <w:t>N°</w:t>
      </w:r>
      <w:proofErr w:type="spellEnd"/>
      <w:r w:rsidRPr="00653063">
        <w:rPr>
          <w:lang w:val="es-ES_tradnl" w:eastAsia="es-HN"/>
        </w:rPr>
        <w:t xml:space="preserve"> 223 de 2 de marzo de 2012, General para Personas con Discapacidad incorpora la definición de Ajustes Razonables a objeto de garantizar que las diferentes Instituciones Públicas </w:t>
      </w:r>
      <w:r w:rsidRPr="00223522">
        <w:rPr>
          <w:rFonts w:eastAsia="Times New Roman"/>
          <w:lang w:val="es-ES_tradnl" w:eastAsia="es-BO"/>
        </w:rPr>
        <w:t>encargadas</w:t>
      </w:r>
      <w:r w:rsidRPr="00653063">
        <w:rPr>
          <w:lang w:val="es-ES_tradnl" w:eastAsia="es-HN"/>
        </w:rPr>
        <w:t xml:space="preserve"> de dar cumplimiento a la citada Ley, realicen </w:t>
      </w:r>
      <w:r w:rsidRPr="00653063">
        <w:rPr>
          <w:lang w:val="es-ES_tradnl" w:eastAsia="es-BO"/>
        </w:rPr>
        <w:t xml:space="preserve">las modificaciones, adaptaciones necesarias y adecuadas, que no impongan una carga desproporcionada o indebida, cuando se requiera en un caso particular para garantizar a las </w:t>
      </w:r>
      <w:proofErr w:type="spellStart"/>
      <w:r w:rsidRPr="00653063">
        <w:rPr>
          <w:lang w:val="es-ES_tradnl" w:eastAsia="es-BO"/>
        </w:rPr>
        <w:t>PcD</w:t>
      </w:r>
      <w:proofErr w:type="spellEnd"/>
      <w:r w:rsidRPr="00653063">
        <w:rPr>
          <w:lang w:val="es-ES_tradnl" w:eastAsia="es-BO"/>
        </w:rPr>
        <w:t xml:space="preserve"> el goce o ejercicio en igualdad de condiciones, de los derechos humanos y libertades fundamentales. </w:t>
      </w:r>
    </w:p>
    <w:p w14:paraId="65805A7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lang w:val="es-ES_tradnl" w:eastAsia="es-BO"/>
        </w:rPr>
        <w:t xml:space="preserve">Así, el Artículo 18 de la referida Ley manda al Tribunal Supremo Electoral (“TSE”) realizar los </w:t>
      </w:r>
      <w:r w:rsidRPr="00223522">
        <w:rPr>
          <w:rFonts w:eastAsia="Times New Roman"/>
          <w:lang w:val="es-ES_tradnl" w:eastAsia="es-BO"/>
        </w:rPr>
        <w:t>ajustes</w:t>
      </w:r>
      <w:r w:rsidRPr="00653063">
        <w:rPr>
          <w:lang w:val="es-ES_tradnl" w:eastAsia="es-BO"/>
        </w:rPr>
        <w:t xml:space="preserve"> razonables para que las </w:t>
      </w:r>
      <w:proofErr w:type="spellStart"/>
      <w:r w:rsidRPr="00653063">
        <w:rPr>
          <w:lang w:val="es-ES_tradnl" w:eastAsia="es-BO"/>
        </w:rPr>
        <w:t>PcD</w:t>
      </w:r>
      <w:proofErr w:type="spellEnd"/>
      <w:r w:rsidRPr="00653063">
        <w:rPr>
          <w:lang w:val="es-ES_tradnl" w:eastAsia="es-BO"/>
        </w:rPr>
        <w:t xml:space="preserve"> ejerzan el derecho a sufragar de forma libre y consciente.</w:t>
      </w:r>
    </w:p>
    <w:p w14:paraId="10F6D08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Por otro </w:t>
      </w:r>
      <w:r w:rsidRPr="00223522">
        <w:rPr>
          <w:rFonts w:eastAsia="Times New Roman"/>
          <w:lang w:val="es-ES_tradnl" w:eastAsia="es-BO"/>
        </w:rPr>
        <w:t>lado</w:t>
      </w:r>
      <w:r w:rsidRPr="00653063">
        <w:rPr>
          <w:lang w:val="es-ES_tradnl" w:eastAsia="es-BO"/>
        </w:rPr>
        <w:t xml:space="preserve">, como contribución a las Metas 10.2 y 10.3 de los Objetivos de Desarrollo Sostenible (“ODS”), el Estado aprobó y viene implementando el </w:t>
      </w:r>
      <w:r w:rsidRPr="00653063">
        <w:rPr>
          <w:i/>
          <w:lang w:val="es-ES_tradnl" w:eastAsia="es-BO"/>
        </w:rPr>
        <w:t>Plan de Desarrollo Económico y Social 2021 - 2025</w:t>
      </w:r>
      <w:r w:rsidRPr="00653063">
        <w:rPr>
          <w:lang w:val="es-ES_tradnl" w:eastAsia="es-BO"/>
        </w:rPr>
        <w:t xml:space="preserve"> “</w:t>
      </w:r>
      <w:r w:rsidRPr="00653063">
        <w:rPr>
          <w:i/>
          <w:lang w:val="es-ES_tradnl" w:eastAsia="es-BO"/>
        </w:rPr>
        <w:t xml:space="preserve">Reconstruyendo la Economía para Vivir Bien, Hacia la Industrialización con Sustitución de Importaciones” </w:t>
      </w:r>
      <w:r w:rsidRPr="00653063">
        <w:rPr>
          <w:lang w:val="es-ES_tradnl" w:eastAsia="es-BO"/>
        </w:rPr>
        <w:t>(“PDES”)</w:t>
      </w:r>
      <w:r w:rsidRPr="00653063">
        <w:rPr>
          <w:i/>
          <w:lang w:val="es-ES_tradnl" w:eastAsia="es-BO"/>
        </w:rPr>
        <w:t xml:space="preserve">, </w:t>
      </w:r>
      <w:r w:rsidRPr="00653063">
        <w:rPr>
          <w:lang w:val="es-ES_tradnl" w:eastAsia="es-BO"/>
        </w:rPr>
        <w:t>que toma en cuenta la necesidad de avanzar en los desafíos pendientes relacionados con la profundización de la descolonización, despatriarcalización, el fortalecimiento con calidad del sistema educativo y de la salud, la reforma de la justicia, la innovación en ciencia y tecnología, el comercio justo basado en la diplomacia de los pueblos, cambiando la dependencia del financiamiento externo y las donaciones por mayor ahorro interno, la asignación de los recursos de la cooperación internacional en función de las prioridades del país, entre otros aspectos</w:t>
      </w:r>
      <w:r w:rsidRPr="00653063">
        <w:rPr>
          <w:vertAlign w:val="superscript"/>
          <w:lang w:val="es-ES_tradnl" w:eastAsia="es-BO"/>
        </w:rPr>
        <w:footnoteReference w:id="19"/>
      </w:r>
      <w:r w:rsidRPr="00653063">
        <w:rPr>
          <w:lang w:val="es-ES_tradnl" w:eastAsia="es-BO"/>
        </w:rPr>
        <w:t xml:space="preserve">. Más adelante, se brinda información sobre el Comité Interinstitucional de las Metas del PDES y de Desarrollo Sostenible (“CIMPDS”), instancia técnica responsable del seguimiento y monitoreo para el logro de los resultados y metas del PDES a los ODS. </w:t>
      </w:r>
    </w:p>
    <w:p w14:paraId="76171049" w14:textId="48B17E94" w:rsidR="00653063" w:rsidRPr="00653063" w:rsidRDefault="00553A08" w:rsidP="00553A08">
      <w:pPr>
        <w:pStyle w:val="H23G"/>
        <w:rPr>
          <w:lang w:val="es-ES_tradnl" w:eastAsia="es-BO"/>
        </w:rPr>
      </w:pPr>
      <w:bookmarkStart w:id="10" w:name="_heading=h.3dy6vkm" w:colFirst="0" w:colLast="0"/>
      <w:bookmarkEnd w:id="10"/>
      <w:r>
        <w:rPr>
          <w:lang w:val="es-ES_tradnl" w:eastAsia="es-BO"/>
        </w:rPr>
        <w:tab/>
      </w:r>
      <w:r>
        <w:rPr>
          <w:lang w:val="es-ES_tradnl" w:eastAsia="es-BO"/>
        </w:rPr>
        <w:tab/>
        <w:t>b)</w:t>
      </w:r>
      <w:r>
        <w:rPr>
          <w:lang w:val="es-ES_tradnl" w:eastAsia="es-BO"/>
        </w:rPr>
        <w:tab/>
      </w:r>
      <w:r w:rsidR="00653063" w:rsidRPr="00653063">
        <w:rPr>
          <w:lang w:val="es-ES_tradnl" w:eastAsia="es-BO"/>
        </w:rPr>
        <w:t>Mujeres con Discapacidad (Artículo 6, Recomendación 16)</w:t>
      </w:r>
    </w:p>
    <w:p w14:paraId="2BA0766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Sobre la </w:t>
      </w:r>
      <w:r w:rsidRPr="00653063">
        <w:rPr>
          <w:u w:val="single"/>
          <w:lang w:val="es-ES_tradnl" w:eastAsia="es-BO"/>
        </w:rPr>
        <w:t>Recomendación del Párrafo 16</w:t>
      </w:r>
      <w:r w:rsidRPr="00653063">
        <w:rPr>
          <w:lang w:val="es-ES_tradnl" w:eastAsia="es-BO"/>
        </w:rPr>
        <w:t xml:space="preserve">, respecto a la revisión y reforma del Plan Nacional para la Igualdad de Oportunidades (“PNIO”), se informa que este Plan ya no está vigente y en su lugar, se cuenta con el </w:t>
      </w:r>
      <w:r w:rsidRPr="00653063">
        <w:rPr>
          <w:i/>
          <w:lang w:val="es-ES_tradnl" w:eastAsia="es-BO"/>
        </w:rPr>
        <w:t xml:space="preserve">“Plan Multisectorial de Desarrollo Integral para Vivir Bien de Prevención y Lucha contra la Violencia </w:t>
      </w:r>
      <w:proofErr w:type="gramStart"/>
      <w:r w:rsidRPr="00653063">
        <w:rPr>
          <w:i/>
          <w:lang w:val="es-ES_tradnl" w:eastAsia="es-BO"/>
        </w:rPr>
        <w:t>en Razón de</w:t>
      </w:r>
      <w:proofErr w:type="gramEnd"/>
      <w:r w:rsidRPr="00653063">
        <w:rPr>
          <w:i/>
          <w:lang w:val="es-ES_tradnl" w:eastAsia="es-BO"/>
        </w:rPr>
        <w:t xml:space="preserve"> Género y Generacional PMDI 2021-2025”</w:t>
      </w:r>
      <w:r w:rsidRPr="00653063">
        <w:rPr>
          <w:i/>
          <w:sz w:val="18"/>
          <w:szCs w:val="18"/>
          <w:vertAlign w:val="superscript"/>
          <w:lang w:val="es-ES_tradnl" w:eastAsia="es-BO"/>
        </w:rPr>
        <w:footnoteReference w:id="20"/>
      </w:r>
      <w:r w:rsidRPr="00653063">
        <w:rPr>
          <w:lang w:val="es-ES_tradnl" w:eastAsia="es-BO"/>
        </w:rPr>
        <w:t xml:space="preserve">, que contiene acciones de impacto que se desprenden de cuatro ejes estratégicos: </w:t>
      </w:r>
    </w:p>
    <w:p w14:paraId="45EB57CF" w14:textId="77777777" w:rsidR="00653063" w:rsidRPr="00653063" w:rsidRDefault="00653063" w:rsidP="00553A08">
      <w:pPr>
        <w:pStyle w:val="Bullet1G"/>
        <w:rPr>
          <w:lang w:val="es-ES_tradnl"/>
        </w:rPr>
      </w:pPr>
      <w:r w:rsidRPr="00653063">
        <w:rPr>
          <w:lang w:val="es-ES_tradnl"/>
        </w:rPr>
        <w:t>Implementación de medidas de prevención y atención integral contra las formas de violencia hacia las mujeres,</w:t>
      </w:r>
    </w:p>
    <w:p w14:paraId="70948CD8" w14:textId="77777777" w:rsidR="00653063" w:rsidRPr="00653063" w:rsidRDefault="00653063" w:rsidP="00553A08">
      <w:pPr>
        <w:pStyle w:val="Bullet1G"/>
        <w:rPr>
          <w:lang w:val="es-ES_tradnl"/>
        </w:rPr>
      </w:pPr>
      <w:r w:rsidRPr="00653063">
        <w:rPr>
          <w:lang w:val="es-ES_tradnl"/>
        </w:rPr>
        <w:t>Promoción, socialización y capacitación a servidores públicos, sobre prevención y atención a mujeres en situación de violencia con enfoque de género y despatriarcalización.</w:t>
      </w:r>
    </w:p>
    <w:p w14:paraId="0DEC22D9" w14:textId="77777777" w:rsidR="00653063" w:rsidRPr="00653063" w:rsidRDefault="00653063" w:rsidP="00553A08">
      <w:pPr>
        <w:pStyle w:val="Bullet1G"/>
        <w:rPr>
          <w:lang w:val="es-ES_tradnl"/>
        </w:rPr>
      </w:pPr>
      <w:r w:rsidRPr="00653063">
        <w:rPr>
          <w:lang w:val="es-ES_tradnl"/>
        </w:rPr>
        <w:t>Implementación del Sistema Informático SIPPASE, interoperable con los sistemas de todas las instancias que intervienen en la ruta de atención sobre Violencia por Razón de Género (“VRG”),</w:t>
      </w:r>
    </w:p>
    <w:p w14:paraId="3701935C" w14:textId="77777777" w:rsidR="00653063" w:rsidRPr="00653063" w:rsidRDefault="00653063" w:rsidP="00553A08">
      <w:pPr>
        <w:pStyle w:val="Bullet1G"/>
        <w:rPr>
          <w:lang w:val="es-ES_tradnl"/>
        </w:rPr>
      </w:pPr>
      <w:r w:rsidRPr="00653063">
        <w:rPr>
          <w:lang w:val="es-ES_tradnl"/>
        </w:rPr>
        <w:lastRenderedPageBreak/>
        <w:t>Promoción y socialización de la implementación de programas de acceso al empleo y/o crédito a iniciativas productivas para la autonomía económica e inserción laboral de las mujeres y/o a familiares que fueron víctimas de VRG.</w:t>
      </w:r>
    </w:p>
    <w:p w14:paraId="6ADF8A5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Si </w:t>
      </w:r>
      <w:r w:rsidRPr="005B2CD9">
        <w:rPr>
          <w:lang w:val="es-ES_tradnl" w:eastAsia="es-BO"/>
        </w:rPr>
        <w:t>bien</w:t>
      </w:r>
      <w:r w:rsidRPr="00653063">
        <w:rPr>
          <w:rFonts w:eastAsia="Times New Roman"/>
          <w:lang w:val="es-ES_tradnl" w:eastAsia="es-BO"/>
        </w:rPr>
        <w:t xml:space="preserve"> el Plan no contempla de manera específica a las mujeres con discapacidad; en el marco de la construcción del Modelo de Gestión de Redes - Gestión 2023, se definió la aplicación del enfoque interseccional, que incluye a mujeres con discapacidad, </w:t>
      </w:r>
      <w:proofErr w:type="spellStart"/>
      <w:r w:rsidRPr="00653063">
        <w:rPr>
          <w:rFonts w:eastAsia="Times New Roman"/>
          <w:lang w:val="es-ES_tradnl" w:eastAsia="es-BO"/>
        </w:rPr>
        <w:t>afrobolivianas</w:t>
      </w:r>
      <w:proofErr w:type="spellEnd"/>
      <w:r w:rsidRPr="00653063">
        <w:rPr>
          <w:rFonts w:eastAsia="Times New Roman"/>
          <w:lang w:val="es-ES_tradnl" w:eastAsia="es-BO"/>
        </w:rPr>
        <w:t xml:space="preserve"> y Niñas, Niños y Adolescentes (“NNA”); así como, la pertenencia a un pueblo o nación indígena originario campesina.</w:t>
      </w:r>
    </w:p>
    <w:p w14:paraId="60A6518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Dicho modelo busca efectivizar la articulación y coordinación de todos los niveles del Estado en la lucha y erradicación de la violencia contra las mujeres y NNA, a través de </w:t>
      </w:r>
      <w:r w:rsidRPr="00653063">
        <w:rPr>
          <w:rFonts w:eastAsia="Times New Roman"/>
          <w:i/>
          <w:lang w:val="es-ES_tradnl" w:eastAsia="es-BO"/>
        </w:rPr>
        <w:t>“redes locales”</w:t>
      </w:r>
      <w:r w:rsidRPr="00653063">
        <w:rPr>
          <w:rFonts w:eastAsia="Times New Roman"/>
          <w:lang w:val="es-ES_tradnl" w:eastAsia="es-BO"/>
        </w:rPr>
        <w:t xml:space="preserve"> para servicios públicos y progresivamente para </w:t>
      </w:r>
      <w:r w:rsidRPr="005B2CD9">
        <w:rPr>
          <w:lang w:val="es-ES_tradnl" w:eastAsia="es-BO"/>
        </w:rPr>
        <w:t>servicios</w:t>
      </w:r>
      <w:r w:rsidRPr="00653063">
        <w:rPr>
          <w:rFonts w:eastAsia="Times New Roman"/>
          <w:lang w:val="es-ES_tradnl" w:eastAsia="es-BO"/>
        </w:rPr>
        <w:t xml:space="preserve"> privados y sociales de prevención, atención y protección de mujeres, NNA en situación de violencia, con el objetivo de evitar la fragmentación de la política sectorial, coordinar el ejercicio y competencias de todos los niveles de gobierno, optimizar, organizar e interconectar todos los servicios para fortalecer la institucionalidad del sistema de protección y así garantizar una prestación de servicios oportuna y de calidad a nivel nacional. Cabe informar, que, a junio de 2023, </w:t>
      </w:r>
      <w:bookmarkStart w:id="11" w:name="_Hlk157005406"/>
      <w:r w:rsidRPr="00653063">
        <w:rPr>
          <w:rFonts w:eastAsia="Times New Roman"/>
          <w:lang w:val="es-ES_tradnl" w:eastAsia="es-BO"/>
        </w:rPr>
        <w:t>se evaluó el estado de situación de los servicios municipales de atención y protección a víctimas de violencia en 131 municipios, constatándose la existencia de dificultades y necesidades de dichos gobiernos municipales, y de las y los beneficiarios de sus servicios.</w:t>
      </w:r>
      <w:bookmarkStart w:id="12" w:name="_Hlk152585205"/>
    </w:p>
    <w:bookmarkEnd w:id="11"/>
    <w:p w14:paraId="6094D7E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relación a la revisión de políticas de inclusión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para garantizar el enfoque de género y tomar  como guía el </w:t>
      </w:r>
      <w:r w:rsidRPr="005B2CD9">
        <w:rPr>
          <w:lang w:val="es-ES_tradnl" w:eastAsia="es-BO"/>
        </w:rPr>
        <w:t>Artículo</w:t>
      </w:r>
      <w:r w:rsidRPr="00653063">
        <w:rPr>
          <w:rFonts w:eastAsia="Times New Roman"/>
          <w:lang w:val="es-ES_tradnl" w:eastAsia="es-BO"/>
        </w:rPr>
        <w:t xml:space="preserve"> 6 de la Convención para la implementación de las metas 5.1, 5.2 y 5.5 de los ODS; se informa que, del  2021 al 2023, el CONALPEDIS en atención al mandato del Artículo 3, Inc. d) del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4691, elaboró la Propuesta de la Política Pública Integral de </w:t>
      </w:r>
      <w:r w:rsidRPr="00653063">
        <w:rPr>
          <w:rFonts w:eastAsia="Times New Roman"/>
          <w:i/>
          <w:lang w:val="es-ES_tradnl" w:eastAsia="es-BO"/>
        </w:rPr>
        <w:t>“Rehabilitación Basada en la Comunidad”</w:t>
      </w:r>
      <w:r w:rsidRPr="00653063">
        <w:rPr>
          <w:rFonts w:eastAsia="Times New Roman"/>
          <w:lang w:val="es-ES_tradnl" w:eastAsia="es-BO"/>
        </w:rPr>
        <w:t xml:space="preserve">, como una estrategia para la rehabilitación, la igualdad de oportunidades, la reducción de la pobreza y la integración social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su propia comunidad, priorizando mujeres con discapacidad. </w:t>
      </w:r>
    </w:p>
    <w:bookmarkEnd w:id="12"/>
    <w:p w14:paraId="2A47B00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la </w:t>
      </w:r>
      <w:r w:rsidRPr="005B2CD9">
        <w:rPr>
          <w:lang w:val="es-ES_tradnl" w:eastAsia="es-BO"/>
        </w:rPr>
        <w:t>Asamblea</w:t>
      </w:r>
      <w:r w:rsidRPr="00653063">
        <w:rPr>
          <w:rFonts w:eastAsia="Times New Roman"/>
          <w:lang w:val="es-ES_tradnl" w:eastAsia="es-BO"/>
        </w:rPr>
        <w:t xml:space="preserve"> Legislativa Plurinacional (“ALP”) está en tratamiento el Proyecto de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303/22-23, </w:t>
      </w:r>
      <w:r w:rsidRPr="00653063">
        <w:rPr>
          <w:rFonts w:eastAsia="Times New Roman"/>
          <w:i/>
          <w:lang w:val="es-ES_tradnl" w:eastAsia="es-BO"/>
        </w:rPr>
        <w:t>“Ley para fortalecer los Mecanismos de Prevención, Atención, Protección y Reparación Integral a Mujeres en Situación de Violencia”,</w:t>
      </w:r>
      <w:r w:rsidRPr="00653063">
        <w:rPr>
          <w:rFonts w:eastAsia="Times New Roman"/>
          <w:lang w:val="es-ES_tradnl" w:eastAsia="es-BO"/>
        </w:rPr>
        <w:t xml:space="preserve"> cuyo objeto es fortalecer los mecanismos de prevención, atención, protección y reparación integral a mujeres en situación de violencia, garantizando el acceso a la justicia de manera pronta, oportuna y gratuita, sin discriminación alguna; así como, el procesamiento y la sanción a los agresores, buscando la erradicación de la violencia contra las mujeres en el ámbito público y privado.  </w:t>
      </w:r>
    </w:p>
    <w:p w14:paraId="5D09A8A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w:t>
      </w:r>
      <w:r w:rsidRPr="005B2CD9">
        <w:rPr>
          <w:lang w:val="es-ES_tradnl" w:eastAsia="es-BO"/>
        </w:rPr>
        <w:t>Artículo</w:t>
      </w:r>
      <w:r w:rsidRPr="00653063">
        <w:rPr>
          <w:rFonts w:eastAsia="Times New Roman"/>
          <w:lang w:val="es-ES_tradnl" w:eastAsia="es-BO"/>
        </w:rPr>
        <w:t xml:space="preserve"> 8 del referido Proyecto de Ley, establece que la atención, protección y tutela judicial efectiva son aplicables a: </w:t>
      </w:r>
      <w:r w:rsidRPr="00653063">
        <w:rPr>
          <w:rFonts w:eastAsia="Times New Roman"/>
          <w:i/>
          <w:lang w:val="es-ES_tradnl" w:eastAsia="es-BO"/>
        </w:rPr>
        <w:t>“(…) Madres, padres o tutores de una </w:t>
      </w:r>
      <w:r w:rsidRPr="00653063">
        <w:rPr>
          <w:rFonts w:eastAsia="Times New Roman"/>
          <w:b/>
          <w:i/>
          <w:lang w:val="es-ES_tradnl" w:eastAsia="es-BO"/>
        </w:rPr>
        <w:t>mujer con discapacidad</w:t>
      </w:r>
      <w:r w:rsidRPr="00653063">
        <w:rPr>
          <w:rFonts w:eastAsia="Times New Roman"/>
          <w:i/>
          <w:lang w:val="es-ES_tradnl" w:eastAsia="es-BO"/>
        </w:rPr>
        <w:t> en situación de violencia que no tenga la posibilidad de llevar adelante su proceso de manera autónoma.”</w:t>
      </w:r>
      <w:r w:rsidRPr="00653063">
        <w:rPr>
          <w:rFonts w:eastAsia="Times New Roman"/>
          <w:lang w:val="es-ES_tradnl" w:eastAsia="es-BO"/>
        </w:rPr>
        <w:t xml:space="preserve"> El enfoque de discapacidad está contemplado en el contenido de ese texto normativo.</w:t>
      </w:r>
    </w:p>
    <w:p w14:paraId="01682FD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 igual manera, el MJTI a través del Viceministerio de Igualdad de Oportunidades (“VIO”) viene desarrollando mejoras al </w:t>
      </w:r>
      <w:r w:rsidRPr="005B2CD9">
        <w:rPr>
          <w:lang w:val="es-ES_tradnl" w:eastAsia="es-BO"/>
        </w:rPr>
        <w:t>Sistema</w:t>
      </w:r>
      <w:r w:rsidRPr="00653063">
        <w:rPr>
          <w:rFonts w:eastAsia="Times New Roman"/>
          <w:lang w:val="es-ES_tradnl" w:eastAsia="es-BO"/>
        </w:rPr>
        <w:t xml:space="preserve"> Integral Plurinacional de Prevención, Atención, Sanción, Erradicación de la Violencia contra las Mujeres (“SIPPASE”), diseñándose un módulo del </w:t>
      </w:r>
      <w:r w:rsidRPr="00653063">
        <w:rPr>
          <w:rFonts w:eastAsia="Times New Roman"/>
          <w:i/>
          <w:lang w:val="es-ES_tradnl" w:eastAsia="es-BO"/>
        </w:rPr>
        <w:t>ECOSISTEMA SIPPASE</w:t>
      </w:r>
      <w:r w:rsidRPr="00653063">
        <w:rPr>
          <w:rFonts w:eastAsia="Times New Roman"/>
          <w:lang w:val="es-ES_tradnl" w:eastAsia="es-BO"/>
        </w:rPr>
        <w:t xml:space="preserve"> respecto al Registro Único de Violencia (“RUV”) que responde a un diagnóstico realizado el año 2023 en 131 municipios, permitiendo identificar las condiciones técnicas, operativas y tecnológicas de los servicios legales integrales municipales (“SLIM”), el cual además de facilitar el registro de datos de la denuncia de violencia, se constituirá en un sistema de gestión, con instrumentos específicos de trabajo para los operadores de los “SLIM”; módulo que contempla información de  mujeres con discapacidad y de tipos de discapacidad.</w:t>
      </w:r>
    </w:p>
    <w:p w14:paraId="1111786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w:t>
      </w:r>
      <w:r w:rsidRPr="005B2CD9">
        <w:rPr>
          <w:lang w:val="es-ES_tradnl" w:eastAsia="es-BO"/>
        </w:rPr>
        <w:t>MJTI</w:t>
      </w:r>
      <w:r w:rsidRPr="00653063">
        <w:rPr>
          <w:rFonts w:eastAsia="Times New Roman"/>
          <w:lang w:val="es-ES_tradnl" w:eastAsia="es-BO"/>
        </w:rPr>
        <w:t xml:space="preserve"> en el marco de la Ley </w:t>
      </w:r>
      <w:proofErr w:type="spellStart"/>
      <w:r w:rsidRPr="00653063">
        <w:rPr>
          <w:rFonts w:eastAsia="Times New Roman"/>
          <w:lang w:val="es-ES_tradnl" w:eastAsia="es-BO"/>
        </w:rPr>
        <w:t>Nº</w:t>
      </w:r>
      <w:proofErr w:type="spellEnd"/>
      <w:r w:rsidRPr="00653063">
        <w:rPr>
          <w:rFonts w:eastAsia="Times New Roman"/>
          <w:lang w:val="es-ES_tradnl" w:eastAsia="es-BO"/>
        </w:rPr>
        <w:t xml:space="preserve"> 243 de 28 de mayo de 2012, contra el Acoso y Violencia Política hacia las Mujeres y su Reglamento</w:t>
      </w:r>
      <w:r w:rsidRPr="00653063">
        <w:rPr>
          <w:rFonts w:eastAsia="Times New Roman"/>
          <w:vertAlign w:val="superscript"/>
          <w:lang w:val="es-ES_tradnl" w:eastAsia="es-BO"/>
        </w:rPr>
        <w:footnoteReference w:id="21"/>
      </w:r>
      <w:r w:rsidRPr="00653063">
        <w:rPr>
          <w:rFonts w:eastAsia="Times New Roman"/>
          <w:lang w:val="es-ES_tradnl" w:eastAsia="es-BO"/>
        </w:rPr>
        <w:t xml:space="preserve"> realizó las siguientes acciones:</w:t>
      </w:r>
    </w:p>
    <w:p w14:paraId="7E248451" w14:textId="77777777" w:rsidR="00653063" w:rsidRPr="00653063" w:rsidRDefault="00653063" w:rsidP="005B2CD9">
      <w:pPr>
        <w:pStyle w:val="Bullet1G"/>
        <w:rPr>
          <w:lang w:val="es-ES_tradnl"/>
        </w:rPr>
      </w:pPr>
      <w:r w:rsidRPr="00653063">
        <w:rPr>
          <w:lang w:val="es-ES_tradnl"/>
        </w:rPr>
        <w:lastRenderedPageBreak/>
        <w:t xml:space="preserve">Gestiones para la prohibición de la renuncia de autoridades electas en cumplimiento de los acuerdos de gestión compartida, en el marco de la Ley </w:t>
      </w:r>
      <w:proofErr w:type="spellStart"/>
      <w:r w:rsidRPr="00653063">
        <w:rPr>
          <w:lang w:val="es-ES_tradnl"/>
        </w:rPr>
        <w:t>N°</w:t>
      </w:r>
      <w:proofErr w:type="spellEnd"/>
      <w:r w:rsidRPr="00653063">
        <w:rPr>
          <w:lang w:val="es-ES_tradnl"/>
        </w:rPr>
        <w:t xml:space="preserve"> 018 de 16 de junio de 2010 del Órgano Electoral.</w:t>
      </w:r>
      <w:r w:rsidRPr="00653063">
        <w:rPr>
          <w:vertAlign w:val="superscript"/>
          <w:lang w:val="es-ES_tradnl"/>
        </w:rPr>
        <w:footnoteReference w:id="22"/>
      </w:r>
    </w:p>
    <w:p w14:paraId="59F52317" w14:textId="77777777" w:rsidR="00653063" w:rsidRPr="00653063" w:rsidRDefault="00653063" w:rsidP="005B2CD9">
      <w:pPr>
        <w:pStyle w:val="Bullet1G"/>
        <w:rPr>
          <w:lang w:val="es-ES_tradnl"/>
        </w:rPr>
      </w:pPr>
      <w:r w:rsidRPr="00653063">
        <w:rPr>
          <w:lang w:val="es-ES_tradnl"/>
        </w:rPr>
        <w:t xml:space="preserve">Documento Preliminar del Protocolo de Prevención y Atención de casos de Acoso y Violencia Política, que consolida la institucionalización del Mecanismo de Prevención y Atención Inmediata de Defensa de los Derechos de las Mujeres en Situación de Acoso y Violencia Política. </w:t>
      </w:r>
    </w:p>
    <w:p w14:paraId="2C501960" w14:textId="77777777" w:rsidR="00653063" w:rsidRPr="00653063" w:rsidRDefault="00653063" w:rsidP="005B2CD9">
      <w:pPr>
        <w:pStyle w:val="Bullet1G"/>
        <w:rPr>
          <w:lang w:val="es-ES_tradnl"/>
        </w:rPr>
      </w:pPr>
      <w:r w:rsidRPr="00653063">
        <w:rPr>
          <w:lang w:val="es-ES_tradnl"/>
        </w:rPr>
        <w:t xml:space="preserve">Requerimientos de informes a 336 Concejos Municipales, 10 Asambleas Legislativas Departamentales y 16 Ministerios, a efectos de recabar información respecto a la adecuación normativa de la citada Ley. </w:t>
      </w:r>
    </w:p>
    <w:p w14:paraId="17EA408F" w14:textId="77777777" w:rsidR="00653063" w:rsidRPr="00653063" w:rsidRDefault="00653063" w:rsidP="005B2CD9">
      <w:pPr>
        <w:pStyle w:val="Bullet1G"/>
        <w:rPr>
          <w:lang w:val="es-ES_tradnl"/>
        </w:rPr>
      </w:pPr>
      <w:r w:rsidRPr="00653063">
        <w:rPr>
          <w:lang w:val="es-ES_tradnl"/>
        </w:rPr>
        <w:t>Propuesta de Plan de Trabajo para la Revisión y Seguimiento de procesos penales de Acoso y Violencia Política.</w:t>
      </w:r>
    </w:p>
    <w:p w14:paraId="00AF179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lang w:val="es-ES_tradnl" w:eastAsia="es-BO"/>
        </w:rPr>
      </w:pPr>
      <w:r w:rsidRPr="00653063">
        <w:rPr>
          <w:lang w:val="es-ES_tradnl" w:eastAsia="es-BO"/>
        </w:rPr>
        <w:t xml:space="preserve">Por </w:t>
      </w:r>
      <w:r w:rsidRPr="00BC63D1">
        <w:rPr>
          <w:rFonts w:eastAsia="Times New Roman"/>
          <w:lang w:val="es-ES_tradnl" w:eastAsia="es-BO"/>
        </w:rPr>
        <w:t>otro</w:t>
      </w:r>
      <w:r w:rsidRPr="00653063">
        <w:rPr>
          <w:lang w:val="es-ES_tradnl" w:eastAsia="es-BO"/>
        </w:rPr>
        <w:t xml:space="preserve"> lado, el Consejo de la Magistratura elaboró el </w:t>
      </w:r>
      <w:r w:rsidRPr="00653063">
        <w:rPr>
          <w:i/>
          <w:lang w:val="es-ES_tradnl" w:eastAsia="es-BO"/>
        </w:rPr>
        <w:t>Plan de Implementación de la Política Institucional de Igualdad de Género del Órgano Judicial</w:t>
      </w:r>
      <w:r w:rsidRPr="00653063">
        <w:rPr>
          <w:lang w:val="es-ES_tradnl" w:eastAsia="es-BO"/>
        </w:rPr>
        <w:t xml:space="preserve"> </w:t>
      </w:r>
      <w:r w:rsidRPr="00653063">
        <w:rPr>
          <w:i/>
          <w:lang w:val="es-ES_tradnl" w:eastAsia="es-BO"/>
        </w:rPr>
        <w:t>2021-2025</w:t>
      </w:r>
      <w:r w:rsidRPr="00653063">
        <w:rPr>
          <w:lang w:val="es-ES_tradnl" w:eastAsia="es-BO"/>
        </w:rPr>
        <w:t xml:space="preserve">, que contempla 5 ejes estratégicos y que incluye a las </w:t>
      </w:r>
      <w:proofErr w:type="spellStart"/>
      <w:r w:rsidRPr="00653063">
        <w:rPr>
          <w:lang w:val="es-ES_tradnl" w:eastAsia="es-BO"/>
        </w:rPr>
        <w:t>PcD</w:t>
      </w:r>
      <w:proofErr w:type="spellEnd"/>
      <w:r w:rsidRPr="00653063">
        <w:rPr>
          <w:lang w:val="es-ES_tradnl" w:eastAsia="es-BO"/>
        </w:rPr>
        <w:t>.</w:t>
      </w:r>
    </w:p>
    <w:p w14:paraId="3A00FE9A" w14:textId="12C3B654" w:rsidR="00653063" w:rsidRPr="00653063" w:rsidRDefault="00BC63D1" w:rsidP="00BC63D1">
      <w:pPr>
        <w:pStyle w:val="H23G"/>
        <w:rPr>
          <w:lang w:val="es-ES_tradnl" w:eastAsia="es-BO"/>
        </w:rPr>
      </w:pPr>
      <w:bookmarkStart w:id="13" w:name="_heading=h.1t3h5sf" w:colFirst="0" w:colLast="0"/>
      <w:bookmarkEnd w:id="13"/>
      <w:r w:rsidRPr="00BC63D1">
        <w:rPr>
          <w:b w:val="0"/>
          <w:lang w:val="es-ES_tradnl" w:eastAsia="es-BO"/>
        </w:rPr>
        <w:tab/>
      </w:r>
      <w:r w:rsidRPr="00BC63D1">
        <w:rPr>
          <w:b w:val="0"/>
          <w:lang w:val="es-ES_tradnl" w:eastAsia="es-BO"/>
        </w:rPr>
        <w:tab/>
      </w:r>
      <w:r>
        <w:rPr>
          <w:lang w:val="es-ES_tradnl" w:eastAsia="es-BO"/>
        </w:rPr>
        <w:t>c)</w:t>
      </w:r>
      <w:r>
        <w:rPr>
          <w:lang w:val="es-ES_tradnl" w:eastAsia="es-BO"/>
        </w:rPr>
        <w:tab/>
      </w:r>
      <w:proofErr w:type="gramStart"/>
      <w:r w:rsidR="00653063" w:rsidRPr="00653063">
        <w:rPr>
          <w:lang w:val="es-ES_tradnl" w:eastAsia="es-BO"/>
        </w:rPr>
        <w:t>Niños y niñas</w:t>
      </w:r>
      <w:proofErr w:type="gramEnd"/>
      <w:r w:rsidR="00653063" w:rsidRPr="00653063">
        <w:rPr>
          <w:lang w:val="es-ES_tradnl" w:eastAsia="es-BO"/>
        </w:rPr>
        <w:t xml:space="preserve"> con Discapacidad (Artículo 7, Recomendación 18)</w:t>
      </w:r>
    </w:p>
    <w:p w14:paraId="14549BF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w:t>
      </w:r>
      <w:r w:rsidRPr="00653063">
        <w:rPr>
          <w:rFonts w:eastAsia="Times New Roman"/>
          <w:u w:val="single"/>
          <w:lang w:val="es-ES_tradnl" w:eastAsia="es-BO"/>
        </w:rPr>
        <w:t>Recomendación del Párrafo 18</w:t>
      </w:r>
      <w:r w:rsidRPr="00653063">
        <w:rPr>
          <w:rFonts w:eastAsia="Times New Roman"/>
          <w:lang w:val="es-ES_tradnl" w:eastAsia="es-BO"/>
        </w:rPr>
        <w:t xml:space="preserve">, referente a la adopción de medidas para </w:t>
      </w:r>
      <w:proofErr w:type="spellStart"/>
      <w:r w:rsidRPr="00653063">
        <w:rPr>
          <w:rFonts w:eastAsia="Times New Roman"/>
          <w:lang w:val="es-ES_tradnl" w:eastAsia="es-BO"/>
        </w:rPr>
        <w:t>desinstitucionalizar</w:t>
      </w:r>
      <w:proofErr w:type="spellEnd"/>
      <w:r w:rsidRPr="00653063">
        <w:rPr>
          <w:rFonts w:eastAsia="Times New Roman"/>
          <w:lang w:val="es-ES_tradnl" w:eastAsia="es-BO"/>
        </w:rPr>
        <w:t xml:space="preserve"> a NNA con </w:t>
      </w:r>
      <w:r w:rsidRPr="00BC63D1">
        <w:rPr>
          <w:lang w:val="es-ES_tradnl" w:eastAsia="es-BO"/>
        </w:rPr>
        <w:t>discapacidad</w:t>
      </w:r>
      <w:r w:rsidRPr="00653063">
        <w:rPr>
          <w:rFonts w:eastAsia="Times New Roman"/>
          <w:lang w:val="es-ES_tradnl" w:eastAsia="es-BO"/>
        </w:rPr>
        <w:t xml:space="preserve">, proteger sus derechos a vivir en un entorno familiar, ser incluidos en la comunidad y evitar su abandono; se promulgó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1168 de 12 de abril de 2019</w:t>
      </w:r>
      <w:r w:rsidRPr="00653063">
        <w:rPr>
          <w:rFonts w:eastAsia="Times New Roman"/>
          <w:i/>
          <w:lang w:val="es-ES_tradnl" w:eastAsia="es-BO"/>
        </w:rPr>
        <w:t xml:space="preserve"> “Ley de Abreviación Procesal para Garantizar la Restitución del Derecho Humano a la Familia de las NNA</w:t>
      </w:r>
      <w:r w:rsidRPr="00653063">
        <w:rPr>
          <w:rFonts w:eastAsia="Times New Roman"/>
          <w:lang w:val="es-ES_tradnl" w:eastAsia="es-BO"/>
        </w:rPr>
        <w:t>”, que facilita y agiliza los procedimientos de acogimiento circunstancial, filiación judicial, extinción de autoridad materna o paterna, adopción nacional e internacional, para garantizar la restitución del derecho humano a la familia de las NNA sin cuidado parental y que se encuentren bajo tutela extraordinaria del Estado; reduciendo plazos procesales para definir la situación jurídica de NNA en centros de acogimiento a fin de evitar prolongar la institucionalización.</w:t>
      </w:r>
    </w:p>
    <w:p w14:paraId="6C7BEFD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w:t>
      </w:r>
      <w:r w:rsidRPr="00BC63D1">
        <w:rPr>
          <w:lang w:val="es-ES_tradnl" w:eastAsia="es-BO"/>
        </w:rPr>
        <w:t>gestión</w:t>
      </w:r>
      <w:r w:rsidRPr="00653063">
        <w:rPr>
          <w:rFonts w:eastAsia="Times New Roman"/>
          <w:lang w:val="es-ES_tradnl" w:eastAsia="es-BO"/>
        </w:rPr>
        <w:t xml:space="preserve"> 2021, el MJTI realizó el</w:t>
      </w:r>
      <w:r w:rsidRPr="00653063">
        <w:rPr>
          <w:rFonts w:eastAsia="Times New Roman"/>
          <w:i/>
          <w:lang w:val="es-ES_tradnl" w:eastAsia="es-BO"/>
        </w:rPr>
        <w:t xml:space="preserve"> “Estudio sobre el Estado de Situación de Niñas, Niños y Adolescentes en Acogimiento Institucional” </w:t>
      </w:r>
      <w:r w:rsidRPr="00653063">
        <w:rPr>
          <w:rFonts w:eastAsia="Times New Roman"/>
          <w:iCs/>
          <w:lang w:val="es-ES_tradnl" w:eastAsia="es-BO"/>
        </w:rPr>
        <w:t>para</w:t>
      </w:r>
      <w:r w:rsidRPr="00653063">
        <w:rPr>
          <w:rFonts w:eastAsia="Times New Roman"/>
          <w:lang w:val="es-ES_tradnl" w:eastAsia="es-BO"/>
        </w:rPr>
        <w:t xml:space="preserve"> conocer la realidad de NNA sin cuidado familiar (parental) que se encuentran en 180 Centros de Acogimiento. El Estudio identificó 5678 NNA institucionalizados y reconoció la existencia de avances y desafíos que servirán para contar con una línea base para tomar decisiones y proponer acciones que impliquen cambios significativos en la organización de sistemas de protección, buscando la garantía integral de los derechos de NNA, en especial el derecho a vivir en familia.</w:t>
      </w:r>
    </w:p>
    <w:p w14:paraId="2126E25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 </w:t>
      </w:r>
      <w:r w:rsidRPr="00BC63D1">
        <w:rPr>
          <w:lang w:val="es-ES_tradnl" w:eastAsia="es-BO"/>
        </w:rPr>
        <w:t>base</w:t>
      </w:r>
      <w:r w:rsidRPr="00653063">
        <w:rPr>
          <w:rFonts w:eastAsia="Times New Roman"/>
          <w:lang w:val="es-ES_tradnl" w:eastAsia="es-BO"/>
        </w:rPr>
        <w:t xml:space="preserve"> a los resultados del Estudio mencionado, el mismo año </w:t>
      </w:r>
      <w:proofErr w:type="gramStart"/>
      <w:r w:rsidRPr="00653063">
        <w:rPr>
          <w:rFonts w:eastAsia="Times New Roman"/>
          <w:lang w:val="es-ES_tradnl" w:eastAsia="es-BO"/>
        </w:rPr>
        <w:t>entró en vigencia</w:t>
      </w:r>
      <w:proofErr w:type="gramEnd"/>
      <w:r w:rsidRPr="00653063">
        <w:rPr>
          <w:rFonts w:eastAsia="Times New Roman"/>
          <w:lang w:val="es-ES_tradnl" w:eastAsia="es-BO"/>
        </w:rPr>
        <w:t xml:space="preserve"> el </w:t>
      </w:r>
      <w:r w:rsidRPr="00653063">
        <w:rPr>
          <w:rFonts w:eastAsia="Times New Roman"/>
          <w:i/>
          <w:lang w:val="es-ES_tradnl" w:eastAsia="es-BO"/>
        </w:rPr>
        <w:t xml:space="preserve">“Plan de Emergencia para la restitución del derecho a la familia de NNA sin cuidado familiar” </w:t>
      </w:r>
      <w:r w:rsidRPr="00653063">
        <w:rPr>
          <w:rFonts w:eastAsia="Times New Roman"/>
          <w:lang w:val="es-ES_tradnl" w:eastAsia="es-BO"/>
        </w:rPr>
        <w:t xml:space="preserve">mediante una modalidad alternativa de cuidado familiar en el marco del Interés Superior del Niño. Este Plan contempla siete componentes de acción: 1. Implementación del </w:t>
      </w:r>
      <w:r w:rsidRPr="00653063">
        <w:rPr>
          <w:rFonts w:eastAsia="Times New Roman"/>
          <w:i/>
          <w:lang w:val="es-ES_tradnl" w:eastAsia="es-BO"/>
        </w:rPr>
        <w:t>Registro Único de Adopción Nacional e Internacional</w:t>
      </w:r>
      <w:r w:rsidRPr="00653063">
        <w:rPr>
          <w:rFonts w:eastAsia="Times New Roman"/>
          <w:lang w:val="es-ES_tradnl" w:eastAsia="es-BO"/>
        </w:rPr>
        <w:t>; 2. Coordinación Interinstitucional; 3. Fortalecimiento de Capacidades a Instancias del Sistema de Protección y Formación de Madres y Padres Adoptivos; 4. Atención a NNA en Centros de Acogimiento; 5. Protocolos de Actuación Interdisciplinaria y Estrategia Comunicacional que promueve la prevención del abandono; 6. Fortalecimiento de Capacidades y Restitución del Derecho a Vivir en Familia y, 7. el Sistema de Monitoreo y Generación de Evidencias.</w:t>
      </w:r>
    </w:p>
    <w:p w14:paraId="0E3AFD3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w:t>
      </w:r>
      <w:r w:rsidRPr="00BC63D1">
        <w:rPr>
          <w:lang w:val="es-ES_tradnl" w:eastAsia="es-BO"/>
        </w:rPr>
        <w:t>20</w:t>
      </w:r>
      <w:r w:rsidRPr="00653063">
        <w:rPr>
          <w:rFonts w:eastAsia="Times New Roman"/>
          <w:lang w:val="es-ES_tradnl" w:eastAsia="es-BO"/>
        </w:rPr>
        <w:t xml:space="preserve"> de julio de 2021, en la ciudad de Sucre, se suscribió el Acta de Constitución de la </w:t>
      </w:r>
      <w:r w:rsidRPr="00653063">
        <w:rPr>
          <w:rFonts w:eastAsia="Times New Roman"/>
          <w:i/>
          <w:lang w:val="es-ES_tradnl" w:eastAsia="es-BO"/>
        </w:rPr>
        <w:t xml:space="preserve">“Mesa Nacional para la Restitución del derecho a la familia de Niñas, Niños y Adolescentes sin cuidado familiar en Acogimiento Institucional”. </w:t>
      </w:r>
      <w:r w:rsidRPr="00653063">
        <w:rPr>
          <w:rFonts w:eastAsia="Times New Roman"/>
          <w:lang w:val="es-ES_tradnl" w:eastAsia="es-BO"/>
        </w:rPr>
        <w:t>Espacio de articulación para la implementación de medidas que efectivicen y restituyan el derecho a una familia, integrado por el Ministerio de Justicia y Transparencia Institucional, el Tribunal Supremo de Justicia, el Consejo de la Magistratura y el Tribunal Constitucional Plurinacional. Posteriormente se conformaron Mesas Departamentales en Oruro, Cochabamba, La Paz, Potosí, Chuquisaca, Trinidad y Pando</w:t>
      </w:r>
      <w:r w:rsidRPr="00653063">
        <w:rPr>
          <w:rFonts w:eastAsia="Times New Roman"/>
          <w:i/>
          <w:lang w:val="es-ES_tradnl" w:eastAsia="es-BO"/>
        </w:rPr>
        <w:t>.</w:t>
      </w:r>
    </w:p>
    <w:p w14:paraId="0CAD28B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lastRenderedPageBreak/>
        <w:t xml:space="preserve">Se </w:t>
      </w:r>
      <w:r w:rsidRPr="00BC63D1">
        <w:rPr>
          <w:lang w:val="es-ES_tradnl" w:eastAsia="es-BO"/>
        </w:rPr>
        <w:t>aprobó</w:t>
      </w:r>
      <w:r w:rsidRPr="00653063">
        <w:rPr>
          <w:rFonts w:eastAsia="Times New Roman"/>
          <w:lang w:val="es-ES_tradnl" w:eastAsia="es-BO"/>
        </w:rPr>
        <w:t xml:space="preserve"> los “</w:t>
      </w:r>
      <w:r w:rsidRPr="00653063">
        <w:rPr>
          <w:rFonts w:eastAsia="Times New Roman"/>
          <w:i/>
          <w:lang w:val="es-ES_tradnl" w:eastAsia="es-BO"/>
        </w:rPr>
        <w:t>Lineamientos de los Contenidos Mínimos para el Diseño e Implementación de Cursos Presenciales y/o Virtuales para la Preparación de Madres y Padres Adoptivos”</w:t>
      </w:r>
      <w:r w:rsidRPr="00653063">
        <w:rPr>
          <w:rFonts w:eastAsia="Times New Roman"/>
          <w:i/>
          <w:vertAlign w:val="superscript"/>
          <w:lang w:val="es-ES_tradnl" w:eastAsia="es-BO"/>
        </w:rPr>
        <w:footnoteReference w:id="23"/>
      </w:r>
      <w:r w:rsidRPr="00653063">
        <w:rPr>
          <w:rFonts w:eastAsia="Times New Roman"/>
          <w:lang w:val="es-ES_tradnl" w:eastAsia="es-BO"/>
        </w:rPr>
        <w:t xml:space="preserve"> que el 2022, fueron remitidos a los GAD para su correspondiente implementación. </w:t>
      </w:r>
    </w:p>
    <w:p w14:paraId="3B49BF7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shd w:val="clear" w:color="auto" w:fill="EEEEEE"/>
          <w:lang w:val="es-ES_tradnl" w:eastAsia="es-BO"/>
        </w:rPr>
      </w:pPr>
      <w:r w:rsidRPr="00653063">
        <w:rPr>
          <w:rFonts w:eastAsia="Times New Roman"/>
          <w:lang w:val="es-ES_tradnl" w:eastAsia="es-BO"/>
        </w:rPr>
        <w:t xml:space="preserve">El </w:t>
      </w:r>
      <w:r w:rsidRPr="00BC63D1">
        <w:rPr>
          <w:lang w:val="es-ES_tradnl" w:eastAsia="es-BO"/>
        </w:rPr>
        <w:t>actual</w:t>
      </w:r>
      <w:r w:rsidRPr="00653063">
        <w:rPr>
          <w:rFonts w:eastAsia="Times New Roman"/>
          <w:lang w:val="es-ES_tradnl" w:eastAsia="es-BO"/>
        </w:rPr>
        <w:t xml:space="preserve"> </w:t>
      </w:r>
      <w:r w:rsidRPr="00653063">
        <w:rPr>
          <w:rFonts w:eastAsia="Times New Roman"/>
          <w:i/>
          <w:lang w:val="es-ES_tradnl" w:eastAsia="es-BO"/>
        </w:rPr>
        <w:t xml:space="preserve">Sistema de Información de NNA </w:t>
      </w:r>
      <w:r w:rsidRPr="00653063">
        <w:rPr>
          <w:rFonts w:eastAsia="Times New Roman"/>
          <w:lang w:val="es-ES_tradnl" w:eastAsia="es-BO"/>
        </w:rPr>
        <w:t>registra información de quienes ingresan o se encuentran en centros de acogimiento públicos, privados y mixtos.</w:t>
      </w:r>
      <w:r w:rsidRPr="00653063">
        <w:rPr>
          <w:rFonts w:eastAsia="Times New Roman"/>
          <w:shd w:val="clear" w:color="auto" w:fill="EEEEEE"/>
          <w:lang w:val="es-ES_tradnl" w:eastAsia="es-BO"/>
        </w:rPr>
        <w:t xml:space="preserve"> </w:t>
      </w:r>
    </w:p>
    <w:p w14:paraId="635DBBA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w:t>
      </w:r>
      <w:r w:rsidRPr="00BC63D1">
        <w:rPr>
          <w:lang w:val="es-ES_tradnl" w:eastAsia="es-BO"/>
        </w:rPr>
        <w:t>junio</w:t>
      </w:r>
      <w:r w:rsidRPr="00653063">
        <w:rPr>
          <w:rFonts w:eastAsia="Times New Roman"/>
          <w:lang w:val="es-ES_tradnl" w:eastAsia="es-BO"/>
        </w:rPr>
        <w:t xml:space="preserve"> de 2023, el </w:t>
      </w:r>
      <w:r w:rsidRPr="00653063">
        <w:rPr>
          <w:rFonts w:eastAsia="Times New Roman"/>
          <w:i/>
          <w:lang w:val="es-ES_tradnl" w:eastAsia="es-BO"/>
        </w:rPr>
        <w:t>Consejo</w:t>
      </w:r>
      <w:r w:rsidRPr="00653063">
        <w:rPr>
          <w:rFonts w:eastAsia="Times New Roman"/>
          <w:lang w:val="es-ES_tradnl" w:eastAsia="es-BO"/>
        </w:rPr>
        <w:t xml:space="preserve"> </w:t>
      </w:r>
      <w:r w:rsidRPr="00653063">
        <w:rPr>
          <w:rFonts w:eastAsia="Times New Roman"/>
          <w:i/>
          <w:lang w:val="es-ES_tradnl" w:eastAsia="es-BO"/>
        </w:rPr>
        <w:t>de Coordinación Sectorial e Intersectorial para Temas de la Niña, Niño y Adolescente </w:t>
      </w:r>
      <w:r w:rsidRPr="00653063">
        <w:rPr>
          <w:rFonts w:eastAsia="Times New Roman"/>
          <w:lang w:val="es-ES_tradnl" w:eastAsia="es-BO"/>
        </w:rPr>
        <w:t>aprobó los “</w:t>
      </w:r>
      <w:r w:rsidRPr="00653063">
        <w:rPr>
          <w:rFonts w:eastAsia="Times New Roman"/>
          <w:i/>
          <w:lang w:val="es-ES_tradnl" w:eastAsia="es-BO"/>
        </w:rPr>
        <w:t>Protocolos para la restitución del Derecho NNA a Vivir en Familia"</w:t>
      </w:r>
      <w:r w:rsidRPr="00653063">
        <w:rPr>
          <w:rFonts w:eastAsia="Times New Roman"/>
          <w:i/>
          <w:vertAlign w:val="superscript"/>
          <w:lang w:val="es-ES_tradnl" w:eastAsia="es-BO"/>
        </w:rPr>
        <w:footnoteReference w:id="24"/>
      </w:r>
      <w:r w:rsidRPr="00653063">
        <w:rPr>
          <w:rFonts w:eastAsia="Times New Roman"/>
          <w:lang w:val="es-ES_tradnl" w:eastAsia="es-BO"/>
        </w:rPr>
        <w:t>.</w:t>
      </w:r>
    </w:p>
    <w:p w14:paraId="050348F0" w14:textId="691C5351" w:rsidR="00653063" w:rsidRPr="00653063" w:rsidRDefault="00265868" w:rsidP="00265868">
      <w:pPr>
        <w:pStyle w:val="H23G"/>
        <w:rPr>
          <w:lang w:val="es-ES_tradnl" w:eastAsia="es-BO"/>
        </w:rPr>
      </w:pPr>
      <w:r w:rsidRPr="00265868">
        <w:rPr>
          <w:b w:val="0"/>
          <w:lang w:val="es-ES_tradnl" w:eastAsia="es-BO"/>
        </w:rPr>
        <w:tab/>
      </w:r>
      <w:r w:rsidRPr="00265868">
        <w:rPr>
          <w:b w:val="0"/>
          <w:lang w:val="es-ES_tradnl" w:eastAsia="es-BO"/>
        </w:rPr>
        <w:tab/>
      </w:r>
      <w:r>
        <w:rPr>
          <w:lang w:val="es-ES_tradnl" w:eastAsia="es-BO"/>
        </w:rPr>
        <w:t>d)</w:t>
      </w:r>
      <w:r>
        <w:rPr>
          <w:lang w:val="es-ES_tradnl" w:eastAsia="es-BO"/>
        </w:rPr>
        <w:tab/>
      </w:r>
      <w:r w:rsidR="00653063" w:rsidRPr="00653063">
        <w:rPr>
          <w:lang w:val="es-ES_tradnl" w:eastAsia="es-BO"/>
        </w:rPr>
        <w:t>Toma de conciencia (Artículo 8, Recomendación 20)</w:t>
      </w:r>
    </w:p>
    <w:p w14:paraId="4916521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Recomendación del Párrafo 18 sobre la realización de programas de concientización de los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el MTEPS desarrolla talleres de concientización a servidores públicos y a la sociedad en general, enfatizando la garantía de inamovilidad laboral. </w:t>
      </w:r>
    </w:p>
    <w:p w14:paraId="44F94E3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Igualmente, el MTEPS instaló a nivel nacional, consultorios laborales en plazas, brindando información sobre derechos laborales de las y los trabajadores, informando igualmente a </w:t>
      </w:r>
      <w:proofErr w:type="spellStart"/>
      <w:r w:rsidRPr="00653063">
        <w:rPr>
          <w:rFonts w:eastAsia="Times New Roman"/>
          <w:lang w:val="es-ES_tradnl" w:eastAsia="es-BO"/>
        </w:rPr>
        <w:t>PcD</w:t>
      </w:r>
      <w:proofErr w:type="spellEnd"/>
      <w:r w:rsidRPr="00653063">
        <w:rPr>
          <w:rFonts w:eastAsia="Times New Roman"/>
          <w:lang w:val="es-ES_tradnl" w:eastAsia="es-BO"/>
        </w:rPr>
        <w:t>, sus padres, madres, cónyuges y tutores sobre derechos y garantías reconocidos en la normativa vigente.</w:t>
      </w:r>
      <w:r w:rsidRPr="00653063">
        <w:rPr>
          <w:rFonts w:eastAsia="Times New Roman"/>
          <w:vertAlign w:val="superscript"/>
          <w:lang w:val="es-ES_tradnl" w:eastAsia="es-BO"/>
        </w:rPr>
        <w:footnoteReference w:id="25"/>
      </w:r>
      <w:r w:rsidRPr="00653063">
        <w:rPr>
          <w:rFonts w:eastAsia="Times New Roman"/>
          <w:lang w:val="es-ES_tradnl" w:eastAsia="es-BO"/>
        </w:rPr>
        <w:t xml:space="preserve">  </w:t>
      </w:r>
    </w:p>
    <w:p w14:paraId="5A855FB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el MTEPS elaboró material informativo dirigido a la población en general denominado: </w:t>
      </w:r>
      <w:r w:rsidRPr="00653063">
        <w:rPr>
          <w:rFonts w:eastAsia="Times New Roman"/>
          <w:i/>
          <w:lang w:val="es-ES_tradnl" w:eastAsia="es-BO"/>
        </w:rPr>
        <w:t>“2023 Año de la Juventud hacia el Bicentenario</w:t>
      </w:r>
      <w:r w:rsidRPr="00653063">
        <w:rPr>
          <w:rFonts w:eastAsia="Times New Roman"/>
          <w:lang w:val="es-ES_tradnl" w:eastAsia="es-BO"/>
        </w:rPr>
        <w:t xml:space="preserve">” con información sobre derechos y garantías laborales, incluyendo una sección sobre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de la madre o padre, cónyuge, tutora o tutor que se encuentre a cargo de una o más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menores de dieciocho (18) años o con discapacidad grave y muy grave.</w:t>
      </w:r>
    </w:p>
    <w:p w14:paraId="42991BC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Desde la gestión 2018, el MTEPS y la Escuela de Gestión Pública Plurinacional (“EGPP”) desarrollan capacitaciones para servidoras y servidores públicos, sobre protección de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actualmente, trabajan en el lanzamiento de un diplomado sobre los derechos de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29D46BD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EGPP, realiza actividades de prevención y sensibilización para la erradicación de toda forma de Discriminación e inclusión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además de trato preferente en el marco de la aplicación de la Ley General para Personas con Discapacidad y su Decreto Reglamentario. Durante el periodo de 2016 al 2022, realizó Diplomados, Cursos Especializados y Cursos Cortos, registrando más de 81.128 participantes certificados a la fecha, referidos al abordaje de los Derechos Humanos de forma transversal, Derechos Humanos de la Niñez y Adolescencia con mención en Discapacidad, Inclusión Laboral de </w:t>
      </w:r>
      <w:proofErr w:type="spellStart"/>
      <w:r w:rsidRPr="00653063">
        <w:rPr>
          <w:rFonts w:eastAsia="Times New Roman"/>
          <w:lang w:val="es-ES_tradnl" w:eastAsia="es-BO"/>
        </w:rPr>
        <w:t>PcD</w:t>
      </w:r>
      <w:proofErr w:type="spellEnd"/>
      <w:r w:rsidRPr="00653063">
        <w:rPr>
          <w:rFonts w:eastAsia="Times New Roman"/>
          <w:lang w:val="es-ES_tradnl" w:eastAsia="es-BO"/>
        </w:rPr>
        <w:t>, Prevención del Racismo y toda forma de Discriminación, Prevención de Violencias, Prevención de Trata y Trafico, Prevención de Tortura y Trato Preferente. (Anexo 2)</w:t>
      </w:r>
    </w:p>
    <w:p w14:paraId="445A600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EGPP está desarrollando el diseño curricular del Curso Especializado en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72B12C9B"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Autoridad de Regulación y Fiscalización de Telecomunicaciones y Transporte (“ATT”), implementó el Curso Virtual de </w:t>
      </w:r>
      <w:r w:rsidRPr="00653063">
        <w:rPr>
          <w:rFonts w:eastAsia="Times New Roman"/>
          <w:i/>
          <w:lang w:val="es-ES_tradnl" w:eastAsia="es-BO"/>
        </w:rPr>
        <w:t>"Trastornos de Desarrollo, Comunicación y Autismo”,</w:t>
      </w:r>
      <w:r w:rsidRPr="00653063">
        <w:rPr>
          <w:rFonts w:eastAsia="Times New Roman"/>
          <w:lang w:val="es-ES_tradnl" w:eastAsia="es-BO"/>
        </w:rPr>
        <w:t xml:space="preserve"> con 272 participantes a nivel nacional </w:t>
      </w:r>
      <w:proofErr w:type="gramStart"/>
      <w:r w:rsidRPr="00653063">
        <w:rPr>
          <w:rFonts w:eastAsia="Times New Roman"/>
          <w:lang w:val="es-ES_tradnl" w:eastAsia="es-BO"/>
        </w:rPr>
        <w:t>a objeto de</w:t>
      </w:r>
      <w:proofErr w:type="gramEnd"/>
      <w:r w:rsidRPr="00653063">
        <w:rPr>
          <w:rFonts w:eastAsia="Times New Roman"/>
          <w:lang w:val="es-ES_tradnl" w:eastAsia="es-BO"/>
        </w:rPr>
        <w:t xml:space="preserve"> concientizar a la población en general, sobre la población autista y brindarles un servicio de calidad y con calidez</w:t>
      </w:r>
      <w:r w:rsidRPr="00653063">
        <w:rPr>
          <w:rFonts w:eastAsia="Times New Roman"/>
          <w:sz w:val="18"/>
          <w:vertAlign w:val="superscript"/>
          <w:lang w:val="es-ES_tradnl" w:eastAsia="es-BO"/>
        </w:rPr>
        <w:footnoteReference w:id="26"/>
      </w:r>
      <w:r w:rsidRPr="00653063">
        <w:rPr>
          <w:rFonts w:eastAsia="Times New Roman"/>
          <w:lang w:val="es-ES_tradnl" w:eastAsia="es-BO"/>
        </w:rPr>
        <w:t xml:space="preserve">. </w:t>
      </w:r>
    </w:p>
    <w:p w14:paraId="023302B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Ministerio de Educación realiza campañas de sensibilización masivas dirigidas a la población en general, plantel docente, padres y madres de familia, promoviendo la toma de conciencia para el respeto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su inclusión en la educación regular.</w:t>
      </w:r>
    </w:p>
    <w:p w14:paraId="7751609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viene implementando el: </w:t>
      </w:r>
      <w:r w:rsidRPr="00653063">
        <w:rPr>
          <w:rFonts w:eastAsia="Times New Roman"/>
          <w:i/>
          <w:lang w:val="es-ES_tradnl" w:eastAsia="es-BO"/>
        </w:rPr>
        <w:t>“Programa de Sensibilización para la Comunidad de las Unidades y Centros Educativos”</w:t>
      </w:r>
      <w:r w:rsidRPr="00653063">
        <w:rPr>
          <w:rFonts w:eastAsia="Times New Roman"/>
          <w:lang w:val="es-ES_tradnl" w:eastAsia="es-BO"/>
        </w:rPr>
        <w:t xml:space="preserve"> y el “</w:t>
      </w:r>
      <w:r w:rsidRPr="00653063">
        <w:rPr>
          <w:rFonts w:eastAsia="Times New Roman"/>
          <w:i/>
          <w:lang w:val="es-ES_tradnl" w:eastAsia="es-BO"/>
        </w:rPr>
        <w:t xml:space="preserve">Programa de sensibilización y </w:t>
      </w:r>
      <w:r w:rsidRPr="00653063">
        <w:rPr>
          <w:rFonts w:eastAsia="Times New Roman"/>
          <w:i/>
          <w:lang w:val="es-ES_tradnl" w:eastAsia="es-BO"/>
        </w:rPr>
        <w:lastRenderedPageBreak/>
        <w:t xml:space="preserve">concienciación socio comunitaria a </w:t>
      </w:r>
      <w:proofErr w:type="gramStart"/>
      <w:r w:rsidRPr="00653063">
        <w:rPr>
          <w:rFonts w:eastAsia="Times New Roman"/>
          <w:i/>
          <w:lang w:val="es-ES_tradnl" w:eastAsia="es-BO"/>
        </w:rPr>
        <w:t>maestras y maestros</w:t>
      </w:r>
      <w:proofErr w:type="gramEnd"/>
      <w:r w:rsidRPr="00653063">
        <w:rPr>
          <w:rFonts w:eastAsia="Times New Roman"/>
          <w:i/>
          <w:lang w:val="es-ES_tradnl" w:eastAsia="es-BO"/>
        </w:rPr>
        <w:t>"</w:t>
      </w:r>
      <w:r w:rsidRPr="00653063">
        <w:rPr>
          <w:rFonts w:eastAsia="Times New Roman"/>
          <w:lang w:val="es-ES_tradnl" w:eastAsia="es-BO"/>
        </w:rPr>
        <w:t xml:space="preserve"> cumpliendo los </w:t>
      </w:r>
      <w:r w:rsidRPr="00653063">
        <w:rPr>
          <w:rFonts w:eastAsia="Times New Roman"/>
          <w:i/>
          <w:lang w:val="es-ES_tradnl" w:eastAsia="es-BO"/>
        </w:rPr>
        <w:t>“Lineamientos Curriculares y Metodológicos de Educación Inclusiva del Ámbito de Educación Especial".</w:t>
      </w:r>
    </w:p>
    <w:p w14:paraId="257119C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Los GAD también desarrollan programas de concientización, como el GAD del Beni, que realizó programas de concientización sobre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dirigidos a servidores públicos; impartiendo talleres sobre la igualdad de condiciones y equiparación de oportunidades y, formas de discriminación por motivos de discapacidad, dirigidos a organizaciones sociales, Comité Departamental de Personas con Discapacidad (“CODEPEDIS”), Federaciones y Asociaciones de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457F62D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GAD de Cochabamba, en abril 2023, en coordinación con la asociación </w:t>
      </w:r>
      <w:proofErr w:type="spellStart"/>
      <w:r w:rsidRPr="00653063">
        <w:rPr>
          <w:rFonts w:eastAsia="Times New Roman"/>
          <w:lang w:val="es-ES_tradnl" w:eastAsia="es-BO"/>
        </w:rPr>
        <w:t>Tukuy</w:t>
      </w:r>
      <w:proofErr w:type="spellEnd"/>
      <w:r w:rsidRPr="00653063">
        <w:rPr>
          <w:rFonts w:eastAsia="Times New Roman"/>
          <w:lang w:val="es-ES_tradnl" w:eastAsia="es-BO"/>
        </w:rPr>
        <w:t xml:space="preserve"> Pacha - Discapacidad Bolivia, realizó el Primer Encuentro Departamental de Técnicos de 48 municipios; capacitando a técnicos de Unidades Municipales de Atención a la Discapacidad sobre ejercicio de derechos e inclusión social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
    <w:p w14:paraId="4984765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GAD de Oruro realizó campañas de sensibilización en Unidades Educativas sobre Discapacidad, en coordinación directa con la Asociación de </w:t>
      </w:r>
      <w:proofErr w:type="spellStart"/>
      <w:r w:rsidRPr="00653063">
        <w:rPr>
          <w:rFonts w:eastAsia="Times New Roman"/>
          <w:lang w:val="es-ES_tradnl" w:eastAsia="es-BO"/>
        </w:rPr>
        <w:t>PcD</w:t>
      </w:r>
      <w:proofErr w:type="spellEnd"/>
      <w:r w:rsidRPr="00653063">
        <w:rPr>
          <w:rFonts w:eastAsia="Times New Roman"/>
          <w:lang w:val="es-ES_tradnl" w:eastAsia="es-BO"/>
        </w:rPr>
        <w:t>; así como, talleres de Fortalecimiento y empoderamiento a Asociaciones y Organizaciones.</w:t>
      </w:r>
    </w:p>
    <w:p w14:paraId="664B2ED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CONALPEDIS, imparte permanentemente cursos de capacitación y sensibilización sobre derechos de las mujeres para prevenir la discriminación, maltrato y violencia; capacitando a 1700 servidoras y servidores públicos de la Policía Boliviana respecto a la normativa nacional e internacional sobre discapacidad y el buen trato a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54F59CD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Ministerio de Culturas, Descolonización y Despatriarcalización (“MCDD”) desde la gestión 2021 realizó 20 actividades consistentes en ferias, seminarios y eventos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
    <w:p w14:paraId="79A61D51" w14:textId="77D54E5B" w:rsidR="00653063" w:rsidRPr="00653063" w:rsidRDefault="009255C6" w:rsidP="009255C6">
      <w:pPr>
        <w:pStyle w:val="H23G"/>
        <w:rPr>
          <w:lang w:val="es-ES_tradnl" w:eastAsia="es-BO"/>
        </w:rPr>
      </w:pPr>
      <w:bookmarkStart w:id="14" w:name="_heading=h.4d34og8" w:colFirst="0" w:colLast="0"/>
      <w:bookmarkEnd w:id="14"/>
      <w:r>
        <w:rPr>
          <w:lang w:val="es-ES_tradnl" w:eastAsia="es-BO"/>
        </w:rPr>
        <w:tab/>
      </w:r>
      <w:r>
        <w:rPr>
          <w:lang w:val="es-ES_tradnl" w:eastAsia="es-BO"/>
        </w:rPr>
        <w:tab/>
        <w:t>e)</w:t>
      </w:r>
      <w:r>
        <w:rPr>
          <w:lang w:val="es-ES_tradnl" w:eastAsia="es-BO"/>
        </w:rPr>
        <w:tab/>
      </w:r>
      <w:r w:rsidR="00653063" w:rsidRPr="00653063">
        <w:rPr>
          <w:lang w:val="es-ES_tradnl" w:eastAsia="es-BO"/>
        </w:rPr>
        <w:t>Accesibilidad (Artículo 9, Recomendación 22)</w:t>
      </w:r>
    </w:p>
    <w:p w14:paraId="74661B3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 la recomendación del párrafo 22, relativas a la adopción de planes de accesibilidad; el Ministerio de Obras Públicas, Servicios y Vivienda, a través del Viceministerio de Vivienda y Urbanismo, formuló el Plan Sectorial de Desarrollo Integral Para Vivir Bien Sector Hábitat y Vivienda 2016 - 2020 y 2021 – 2025, que incluye soluciones habitacionales a realizarse cada quinquenio, beneficiando a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2408A60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Empresa Estatal de Transporte por Cable "Mi Teleférico" diseñó, implementó y realizó adecuaciones en la infraestructura para la accesibilidad de </w:t>
      </w:r>
      <w:proofErr w:type="spellStart"/>
      <w:r w:rsidRPr="00653063">
        <w:rPr>
          <w:rFonts w:eastAsia="Times New Roman"/>
          <w:lang w:val="es-ES_tradnl" w:eastAsia="es-BO"/>
        </w:rPr>
        <w:t>PcD</w:t>
      </w:r>
      <w:proofErr w:type="spellEnd"/>
      <w:r w:rsidRPr="00653063">
        <w:rPr>
          <w:rFonts w:eastAsia="Times New Roman"/>
          <w:lang w:val="es-ES_tradnl" w:eastAsia="es-BO"/>
        </w:rPr>
        <w:t>, en las Estaciones y líneas, de La Paz y El Alto y del Teleférico Turístico de Oruro.</w:t>
      </w:r>
    </w:p>
    <w:p w14:paraId="7933A01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Mi Teleférico tiene un total de 107 espacios de integración modal; rampas; 2.421 metros lineales de baldosas </w:t>
      </w:r>
      <w:proofErr w:type="spellStart"/>
      <w:r w:rsidRPr="00653063">
        <w:rPr>
          <w:rFonts w:eastAsia="Times New Roman"/>
          <w:lang w:val="es-ES_tradnl" w:eastAsia="es-BO"/>
        </w:rPr>
        <w:t>podotáctiles</w:t>
      </w:r>
      <w:proofErr w:type="spellEnd"/>
      <w:r w:rsidRPr="00653063">
        <w:rPr>
          <w:rFonts w:eastAsia="Times New Roman"/>
          <w:lang w:val="es-ES_tradnl" w:eastAsia="es-BO"/>
        </w:rPr>
        <w:t xml:space="preserve"> que favorecen a usuarios con discapacidad visual; 64 ascensores; 6 escaleras mecánicas; un salva escaleras (Estación Prado - Línea Celeste); un ascensor de nivel para silla de ruedas (Estación San Jorge Av. Arce- Línea Blanca); pasarelas con ascensores (Línea Morada, Azul, Amarilla, Celeste); señalética en todas las estaciones para </w:t>
      </w:r>
      <w:proofErr w:type="spellStart"/>
      <w:r w:rsidRPr="00653063">
        <w:rPr>
          <w:rFonts w:eastAsia="Times New Roman"/>
          <w:lang w:val="es-ES_tradnl" w:eastAsia="es-BO"/>
        </w:rPr>
        <w:t>PcD</w:t>
      </w:r>
      <w:proofErr w:type="spellEnd"/>
      <w:r w:rsidRPr="00653063">
        <w:rPr>
          <w:rFonts w:eastAsia="Times New Roman"/>
          <w:lang w:val="es-ES_tradnl" w:eastAsia="es-BO"/>
        </w:rPr>
        <w:t>, adultas mayores y mujeres embarazadas y una tarifa solidaria de Bs. 1,50 (que refleja un descuento del 50% en relación a la tarifa regular). Asimismo, el Parque de las Culturas y la Madre Tierra (</w:t>
      </w:r>
      <w:proofErr w:type="spellStart"/>
      <w:r w:rsidRPr="00653063">
        <w:rPr>
          <w:rFonts w:eastAsia="Times New Roman"/>
          <w:lang w:val="es-ES_tradnl" w:eastAsia="es-BO"/>
        </w:rPr>
        <w:t>PCyMT</w:t>
      </w:r>
      <w:proofErr w:type="spellEnd"/>
      <w:r w:rsidRPr="00653063">
        <w:rPr>
          <w:rFonts w:eastAsia="Times New Roman"/>
          <w:lang w:val="es-ES_tradnl" w:eastAsia="es-BO"/>
        </w:rPr>
        <w:t xml:space="preserve">) incluye un diseño e implementación de accesos universales para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6E3EAEB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Las cabinas de Mi Teleférico son ajustables y se reclinan para el acceso a las sillas de ruedas y, al ser un medio aéreo, cuentan con mayor ambientación del aire, constituyéndose en un sistema de transporte más seguro.</w:t>
      </w:r>
    </w:p>
    <w:p w14:paraId="4C2A4ED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w:t>
      </w:r>
      <w:proofErr w:type="spellStart"/>
      <w:r w:rsidRPr="00653063">
        <w:rPr>
          <w:rFonts w:eastAsia="Times New Roman"/>
          <w:lang w:val="es-ES_tradnl" w:eastAsia="es-BO"/>
        </w:rPr>
        <w:t>PCyMT</w:t>
      </w:r>
      <w:proofErr w:type="spellEnd"/>
      <w:r w:rsidRPr="00653063">
        <w:rPr>
          <w:rFonts w:eastAsia="Times New Roman"/>
          <w:lang w:val="es-ES_tradnl" w:eastAsia="es-BO"/>
        </w:rPr>
        <w:t xml:space="preserve"> se diseñó para que niños con discapacidad puedan acceder a los juegos y áreas, por ejemplo, el juego NEO 360, especialmente diseñado para NNA con discapacidad.</w:t>
      </w:r>
    </w:p>
    <w:p w14:paraId="416B24A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Por otro lado, la Operadora del Tren Metropolitano de Cochabamba “Mi Tren” (“Tren Metropolitano”) cuenta con medidas para asegurar la accesibilidad física de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523BC0BE" w14:textId="77777777" w:rsidR="00653063" w:rsidRPr="00653063" w:rsidRDefault="00653063" w:rsidP="009255C6">
      <w:pPr>
        <w:pStyle w:val="Bullet1G"/>
        <w:rPr>
          <w:b/>
          <w:lang w:val="es-ES_tradnl"/>
        </w:rPr>
      </w:pPr>
      <w:r w:rsidRPr="00653063">
        <w:rPr>
          <w:b/>
          <w:lang w:val="es-ES_tradnl"/>
        </w:rPr>
        <w:t xml:space="preserve">Estaciones accesibles: </w:t>
      </w:r>
      <w:r w:rsidRPr="00653063">
        <w:rPr>
          <w:lang w:val="es-ES_tradnl"/>
        </w:rPr>
        <w:t xml:space="preserve">las estaciones fueron diseñadas y construidas teniendo en cuenta las necesidades de </w:t>
      </w:r>
      <w:proofErr w:type="spellStart"/>
      <w:r w:rsidRPr="00653063">
        <w:rPr>
          <w:lang w:val="es-ES_tradnl"/>
        </w:rPr>
        <w:t>PcD</w:t>
      </w:r>
      <w:proofErr w:type="spellEnd"/>
      <w:r w:rsidRPr="00653063">
        <w:rPr>
          <w:lang w:val="es-ES_tradnl"/>
        </w:rPr>
        <w:t>, instalándose rampas, ascensores y escaleras mecánicas para facilitar el acceso a los andenes. (Anexo 3)</w:t>
      </w:r>
    </w:p>
    <w:p w14:paraId="07D007EE" w14:textId="77777777" w:rsidR="00653063" w:rsidRPr="00653063" w:rsidRDefault="00653063" w:rsidP="009255C6">
      <w:pPr>
        <w:pStyle w:val="Bullet1G"/>
        <w:rPr>
          <w:b/>
          <w:lang w:val="es-ES_tradnl"/>
        </w:rPr>
      </w:pPr>
      <w:r w:rsidRPr="00653063">
        <w:rPr>
          <w:b/>
          <w:lang w:val="es-ES_tradnl"/>
        </w:rPr>
        <w:t>Vehículos adaptados:</w:t>
      </w:r>
      <w:r w:rsidRPr="00653063">
        <w:rPr>
          <w:lang w:val="es-ES_tradnl"/>
        </w:rPr>
        <w:t xml:space="preserve"> Los trenes cuentan con espacios reservados para </w:t>
      </w:r>
      <w:proofErr w:type="spellStart"/>
      <w:r w:rsidRPr="00653063">
        <w:rPr>
          <w:lang w:val="es-ES_tradnl"/>
        </w:rPr>
        <w:t>PcD</w:t>
      </w:r>
      <w:proofErr w:type="spellEnd"/>
      <w:r w:rsidRPr="00653063">
        <w:rPr>
          <w:lang w:val="es-ES_tradnl"/>
        </w:rPr>
        <w:t xml:space="preserve">, que incluyen asientos especiales y áreas para sillas de ruedas. Además, se implementaron </w:t>
      </w:r>
      <w:r w:rsidRPr="00653063">
        <w:rPr>
          <w:lang w:val="es-ES_tradnl"/>
        </w:rPr>
        <w:lastRenderedPageBreak/>
        <w:t xml:space="preserve">sistemas de anuncios y señalización visual y auditiva para facilitar la orientación de </w:t>
      </w:r>
      <w:proofErr w:type="spellStart"/>
      <w:r w:rsidRPr="00653063">
        <w:rPr>
          <w:lang w:val="es-ES_tradnl"/>
        </w:rPr>
        <w:t>PcD</w:t>
      </w:r>
      <w:proofErr w:type="spellEnd"/>
      <w:r w:rsidRPr="00653063">
        <w:rPr>
          <w:lang w:val="es-ES_tradnl"/>
        </w:rPr>
        <w:t>. (Anexo 4)</w:t>
      </w:r>
    </w:p>
    <w:p w14:paraId="17B56C0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Agencia de Gobierno Electrónico y Tecnologías de Información y Comunicación (“AGETIC”) desarrolló herramientas como la interoperabilidad, para la mejora de distintos procesos y trámites en beneficio de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135F7DB6" w14:textId="77777777" w:rsidR="00653063" w:rsidRPr="00653063" w:rsidRDefault="00653063" w:rsidP="001A06A1">
      <w:pPr>
        <w:pStyle w:val="SingleTxtG"/>
        <w:numPr>
          <w:ilvl w:val="0"/>
          <w:numId w:val="31"/>
        </w:numPr>
        <w:ind w:left="1701" w:firstLine="0"/>
        <w:rPr>
          <w:lang w:val="es-ES_tradnl" w:eastAsia="es-BO"/>
        </w:rPr>
      </w:pPr>
      <w:r w:rsidRPr="00653063">
        <w:rPr>
          <w:i/>
          <w:lang w:val="es-ES_tradnl" w:eastAsia="es-BO"/>
        </w:rPr>
        <w:t>Plataforma Plurinacional de Información de Personas con Discapacidad "Eustaquio-Moto-Méndez”</w:t>
      </w:r>
      <w:r w:rsidRPr="00653063">
        <w:rPr>
          <w:lang w:val="es-ES_tradnl" w:eastAsia="es-BO"/>
        </w:rPr>
        <w:t xml:space="preserve"> cuyo objetivo es centralizar datos de </w:t>
      </w:r>
      <w:proofErr w:type="spellStart"/>
      <w:r w:rsidRPr="00653063">
        <w:rPr>
          <w:lang w:val="es-ES_tradnl" w:eastAsia="es-BO"/>
        </w:rPr>
        <w:t>PcD</w:t>
      </w:r>
      <w:proofErr w:type="spellEnd"/>
      <w:r w:rsidRPr="00653063">
        <w:rPr>
          <w:lang w:val="es-ES_tradnl" w:eastAsia="es-BO"/>
        </w:rPr>
        <w:t xml:space="preserve"> y generar listados para el pago del Bono Mensual de Bs. 250 para aquellas con discapacidad grave y muy grave. La misma fue creada mediante Decreto Supremo </w:t>
      </w:r>
      <w:proofErr w:type="spellStart"/>
      <w:r w:rsidRPr="00653063">
        <w:rPr>
          <w:lang w:val="es-ES_tradnl" w:eastAsia="es-BO"/>
        </w:rPr>
        <w:t>N°</w:t>
      </w:r>
      <w:proofErr w:type="spellEnd"/>
      <w:r w:rsidRPr="00653063">
        <w:rPr>
          <w:lang w:val="es-ES_tradnl" w:eastAsia="es-BO"/>
        </w:rPr>
        <w:t xml:space="preserve"> 3437 de 20 de diciembre de 2017. </w:t>
      </w:r>
      <w:r w:rsidRPr="00653063">
        <w:rPr>
          <w:vertAlign w:val="superscript"/>
          <w:lang w:val="es-ES_tradnl" w:eastAsia="es-BO"/>
        </w:rPr>
        <w:footnoteReference w:id="27"/>
      </w:r>
    </w:p>
    <w:p w14:paraId="5F5CF8D7" w14:textId="77777777" w:rsidR="00653063" w:rsidRPr="00653063" w:rsidRDefault="00653063" w:rsidP="001A06A1">
      <w:pPr>
        <w:pStyle w:val="SingleTxtG"/>
        <w:numPr>
          <w:ilvl w:val="0"/>
          <w:numId w:val="31"/>
        </w:numPr>
        <w:ind w:left="1701" w:firstLine="0"/>
        <w:rPr>
          <w:lang w:val="es-ES_tradnl" w:eastAsia="es-BO"/>
        </w:rPr>
      </w:pPr>
      <w:r w:rsidRPr="00653063">
        <w:rPr>
          <w:i/>
          <w:lang w:val="es-ES_tradnl" w:eastAsia="es-BO"/>
        </w:rPr>
        <w:t>Sistema para el Pago del “Bono de Indigencia” IBC</w:t>
      </w:r>
      <w:r w:rsidRPr="00653063">
        <w:rPr>
          <w:lang w:val="es-ES_tradnl" w:eastAsia="es-BO"/>
        </w:rPr>
        <w:t>, desarrollado por la AGETIC, que conforme el</w:t>
      </w:r>
      <w:r w:rsidRPr="00653063">
        <w:rPr>
          <w:i/>
          <w:lang w:val="es-ES_tradnl" w:eastAsia="es-BO"/>
        </w:rPr>
        <w:t xml:space="preserve"> </w:t>
      </w:r>
      <w:r w:rsidRPr="00653063">
        <w:rPr>
          <w:lang w:val="es-ES_tradnl" w:eastAsia="es-BO"/>
        </w:rPr>
        <w:t xml:space="preserve">Decreto Supremo </w:t>
      </w:r>
      <w:proofErr w:type="spellStart"/>
      <w:r w:rsidRPr="00653063">
        <w:rPr>
          <w:lang w:val="es-ES_tradnl" w:eastAsia="es-BO"/>
        </w:rPr>
        <w:t>N°</w:t>
      </w:r>
      <w:proofErr w:type="spellEnd"/>
      <w:r w:rsidRPr="00653063">
        <w:rPr>
          <w:lang w:val="es-ES_tradnl" w:eastAsia="es-BO"/>
        </w:rPr>
        <w:t xml:space="preserve"> 4901 de 29 de marzo de 2023, establece una nueva modalidad de pago del Bono Anual de Indigencia a la Comunidad No Vidente de Bolivia a través del Sistema de Gestión Pública (“SIGEP”), evitando filas en el IBC y luego en la entidad bancaria. A la fecha, más de 3000 personas se beneficiaron con el pago directo en sus cuentas bancarias.</w:t>
      </w:r>
    </w:p>
    <w:p w14:paraId="35C57F3E" w14:textId="7820562F" w:rsidR="00653063" w:rsidRPr="00653063" w:rsidRDefault="009255C6" w:rsidP="009255C6">
      <w:pPr>
        <w:pStyle w:val="H23G"/>
        <w:rPr>
          <w:lang w:val="es-ES_tradnl" w:eastAsia="es-BO"/>
        </w:rPr>
      </w:pPr>
      <w:bookmarkStart w:id="15" w:name="_heading=h.2s8eyo1" w:colFirst="0" w:colLast="0"/>
      <w:bookmarkEnd w:id="15"/>
      <w:r>
        <w:rPr>
          <w:lang w:val="es-ES_tradnl" w:eastAsia="es-BO"/>
        </w:rPr>
        <w:tab/>
      </w:r>
      <w:r>
        <w:rPr>
          <w:lang w:val="es-ES_tradnl" w:eastAsia="es-BO"/>
        </w:rPr>
        <w:tab/>
        <w:t>f)</w:t>
      </w:r>
      <w:r>
        <w:rPr>
          <w:lang w:val="es-ES_tradnl" w:eastAsia="es-BO"/>
        </w:rPr>
        <w:tab/>
      </w:r>
      <w:r w:rsidR="00653063" w:rsidRPr="00653063">
        <w:rPr>
          <w:lang w:val="es-ES_tradnl" w:eastAsia="es-BO"/>
        </w:rPr>
        <w:t>Derecho a la vida (Artículo 10, Recomendación 24)</w:t>
      </w:r>
    </w:p>
    <w:p w14:paraId="027CD60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preocupación del Comité sobre casos de infanticidio de recién nacidos con discapacidad, conforme información de la FGE, durante el periodo 2016 a 2022, no existen procesos de investigación por la comisión de este delito, previsto y sancionado por el Artículo 258 del Código Penal, </w:t>
      </w:r>
      <w:r w:rsidRPr="00653063">
        <w:rPr>
          <w:rFonts w:eastAsia="Times New Roman"/>
          <w:u w:val="single"/>
          <w:lang w:val="es-ES_tradnl" w:eastAsia="es-BO"/>
        </w:rPr>
        <w:t>cuyas víctimas sean niños con discapacidad</w:t>
      </w:r>
      <w:r w:rsidRPr="00653063">
        <w:rPr>
          <w:rFonts w:eastAsia="Times New Roman"/>
          <w:lang w:val="es-ES_tradnl" w:eastAsia="es-BO"/>
        </w:rPr>
        <w:t xml:space="preserve">. El derecho a la </w:t>
      </w:r>
      <w:proofErr w:type="gramStart"/>
      <w:r w:rsidRPr="00653063">
        <w:rPr>
          <w:rFonts w:eastAsia="Times New Roman"/>
          <w:lang w:val="es-ES_tradnl" w:eastAsia="es-BO"/>
        </w:rPr>
        <w:t>vida,</w:t>
      </w:r>
      <w:proofErr w:type="gramEnd"/>
      <w:r w:rsidRPr="00653063">
        <w:rPr>
          <w:rFonts w:eastAsia="Times New Roman"/>
          <w:lang w:val="es-ES_tradnl" w:eastAsia="es-BO"/>
        </w:rPr>
        <w:t xml:space="preserve"> se encuentra protegido por la CPE</w:t>
      </w:r>
      <w:r w:rsidRPr="00653063">
        <w:rPr>
          <w:rFonts w:eastAsia="Times New Roman"/>
          <w:vertAlign w:val="superscript"/>
          <w:lang w:val="es-ES_tradnl" w:eastAsia="es-BO"/>
        </w:rPr>
        <w:footnoteReference w:id="28"/>
      </w:r>
      <w:r w:rsidRPr="00653063">
        <w:rPr>
          <w:rFonts w:eastAsia="Times New Roman"/>
          <w:lang w:val="es-ES_tradnl" w:eastAsia="es-BO"/>
        </w:rPr>
        <w:t xml:space="preserve"> y por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548 de 17 de julio de 2014, Código Niña, Niño y Adolescente</w:t>
      </w:r>
      <w:r w:rsidRPr="00653063">
        <w:rPr>
          <w:rFonts w:eastAsia="Times New Roman"/>
          <w:vertAlign w:val="superscript"/>
          <w:lang w:val="es-ES_tradnl" w:eastAsia="es-BO"/>
        </w:rPr>
        <w:footnoteReference w:id="29"/>
      </w:r>
      <w:r w:rsidRPr="00653063">
        <w:rPr>
          <w:rFonts w:eastAsia="Times New Roman"/>
          <w:lang w:val="es-ES_tradnl" w:eastAsia="es-BO"/>
        </w:rPr>
        <w:t xml:space="preserve">. </w:t>
      </w:r>
    </w:p>
    <w:p w14:paraId="46F2196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 la recomendación del párrafo 24, relativa al fortalecimiento de las medidas de protección a los niños con discapacidad y garantizar su derecho a la vida, en cumplimiento al Artículo 3, Inc. c) del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4691 de 30 de marzo de 2022, el CONALPEDIS desarrolla acciones de concientización dirigidas a familias de niños con discapacidad relacionadas al derecho a la vida de las y los niños con discapacidad.</w:t>
      </w:r>
    </w:p>
    <w:p w14:paraId="5022174F" w14:textId="047D770D" w:rsidR="00653063" w:rsidRPr="00653063" w:rsidRDefault="00030AE8" w:rsidP="00030AE8">
      <w:pPr>
        <w:pStyle w:val="H23G"/>
        <w:rPr>
          <w:lang w:val="es-ES_tradnl" w:eastAsia="es-BO"/>
        </w:rPr>
      </w:pPr>
      <w:bookmarkStart w:id="16" w:name="_heading=h.17dp8vu" w:colFirst="0" w:colLast="0"/>
      <w:bookmarkEnd w:id="16"/>
      <w:r>
        <w:rPr>
          <w:lang w:val="es-ES_tradnl" w:eastAsia="es-BO"/>
        </w:rPr>
        <w:tab/>
      </w:r>
      <w:r>
        <w:rPr>
          <w:lang w:val="es-ES_tradnl" w:eastAsia="es-BO"/>
        </w:rPr>
        <w:tab/>
        <w:t>g</w:t>
      </w:r>
      <w:r w:rsidR="00374812">
        <w:rPr>
          <w:lang w:val="es-ES_tradnl" w:eastAsia="es-BO"/>
        </w:rPr>
        <w:t>)</w:t>
      </w:r>
      <w:r w:rsidR="00374812">
        <w:rPr>
          <w:lang w:val="es-ES_tradnl" w:eastAsia="es-BO"/>
        </w:rPr>
        <w:tab/>
      </w:r>
      <w:r w:rsidR="00653063" w:rsidRPr="00653063">
        <w:rPr>
          <w:lang w:val="es-ES_tradnl" w:eastAsia="es-BO"/>
        </w:rPr>
        <w:t>Situaciones de riesgo y emergencias humanitarias (Artículo 11, Recomendación 26)</w:t>
      </w:r>
    </w:p>
    <w:p w14:paraId="5F0EFB3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w:t>
      </w:r>
      <w:r w:rsidRPr="00653063">
        <w:rPr>
          <w:rFonts w:eastAsia="Times New Roman"/>
          <w:u w:val="single"/>
          <w:lang w:val="es-ES_tradnl" w:eastAsia="es-BO"/>
        </w:rPr>
        <w:t>Recomendación del Párrafo 26</w:t>
      </w:r>
      <w:r w:rsidRPr="00653063">
        <w:rPr>
          <w:rFonts w:eastAsia="Times New Roman"/>
          <w:lang w:val="es-ES_tradnl" w:eastAsia="es-BO"/>
        </w:rPr>
        <w:t xml:space="preserve">, concerniente a medidas para la inclusión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las estrategias para la adaptación al cambio climático y la reducción de riesgos de desastres; se cuenta con la Ley </w:t>
      </w:r>
      <w:proofErr w:type="spellStart"/>
      <w:r w:rsidRPr="00653063">
        <w:rPr>
          <w:rFonts w:eastAsia="Times New Roman"/>
          <w:lang w:val="es-ES_tradnl" w:eastAsia="es-BO"/>
        </w:rPr>
        <w:t>Nº</w:t>
      </w:r>
      <w:proofErr w:type="spellEnd"/>
      <w:r w:rsidRPr="00653063">
        <w:rPr>
          <w:rFonts w:eastAsia="Times New Roman"/>
          <w:lang w:val="es-ES_tradnl" w:eastAsia="es-BO"/>
        </w:rPr>
        <w:t xml:space="preserve"> 602 de 14 de noviembre de 2014, de Gestión de Riesgos y su Reglamento</w:t>
      </w:r>
      <w:r w:rsidRPr="00653063">
        <w:rPr>
          <w:rFonts w:eastAsia="Times New Roman"/>
          <w:vertAlign w:val="superscript"/>
          <w:lang w:val="es-ES_tradnl" w:eastAsia="es-BO"/>
        </w:rPr>
        <w:footnoteReference w:id="30"/>
      </w:r>
      <w:r w:rsidRPr="00653063">
        <w:rPr>
          <w:rFonts w:eastAsia="Times New Roman"/>
          <w:lang w:val="es-ES_tradnl" w:eastAsia="es-BO"/>
        </w:rPr>
        <w:t xml:space="preserve"> que buscan definir y fortalecer la intervención estatal para la gestión de riesgos, priorizando la protección de la vida y desarrollando la cultura de la prevención con participación de todos los actores y sectores involucrados, incluidas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la cual proclama la atención prioritaria a poblaciones vulnerables (mujeres gestantes, niñas, niños, adultos mayores, personas en condición de enfermedad </w:t>
      </w:r>
      <w:proofErr w:type="spellStart"/>
      <w:r w:rsidRPr="00653063">
        <w:rPr>
          <w:rFonts w:eastAsia="Times New Roman"/>
          <w:lang w:val="es-ES_tradnl" w:eastAsia="es-BO"/>
        </w:rPr>
        <w:t>inhabilitante</w:t>
      </w:r>
      <w:proofErr w:type="spellEnd"/>
      <w:r w:rsidRPr="00653063">
        <w:rPr>
          <w:rFonts w:eastAsia="Times New Roman"/>
          <w:lang w:val="es-ES_tradnl" w:eastAsia="es-BO"/>
        </w:rPr>
        <w:t xml:space="preserve"> y </w:t>
      </w:r>
      <w:proofErr w:type="spellStart"/>
      <w:r w:rsidRPr="00653063">
        <w:rPr>
          <w:rFonts w:eastAsia="Times New Roman"/>
          <w:lang w:val="es-ES_tradnl" w:eastAsia="es-BO"/>
        </w:rPr>
        <w:t>PcD</w:t>
      </w:r>
      <w:proofErr w:type="spellEnd"/>
      <w:r w:rsidRPr="00653063">
        <w:rPr>
          <w:rFonts w:eastAsia="Times New Roman"/>
          <w:lang w:val="es-ES_tradnl" w:eastAsia="es-BO"/>
        </w:rPr>
        <w:t>)</w:t>
      </w:r>
      <w:r w:rsidRPr="00653063">
        <w:rPr>
          <w:rFonts w:eastAsia="Times New Roman"/>
          <w:vertAlign w:val="superscript"/>
          <w:lang w:val="es-ES_tradnl" w:eastAsia="es-BO"/>
        </w:rPr>
        <w:footnoteReference w:id="31"/>
      </w:r>
      <w:r w:rsidRPr="00653063">
        <w:rPr>
          <w:rFonts w:eastAsia="Times New Roman"/>
          <w:lang w:val="es-ES_tradnl" w:eastAsia="es-BO"/>
        </w:rPr>
        <w:t xml:space="preserve"> garantizando así su protección frente a desastres y/o emergencias.</w:t>
      </w:r>
    </w:p>
    <w:p w14:paraId="2F626D0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Está en funcionamiento el </w:t>
      </w:r>
      <w:r w:rsidRPr="00653063">
        <w:rPr>
          <w:rFonts w:eastAsia="Times New Roman"/>
          <w:i/>
          <w:lang w:val="es-ES_tradnl" w:eastAsia="es-BO"/>
        </w:rPr>
        <w:t>Sistema Integrado de Información y Alerta para la Gestión de Riesgos de Desastres</w:t>
      </w:r>
      <w:r w:rsidRPr="00653063">
        <w:rPr>
          <w:rFonts w:eastAsia="Times New Roman"/>
          <w:lang w:val="es-ES_tradnl" w:eastAsia="es-BO"/>
        </w:rPr>
        <w:t xml:space="preserve"> a cargo del Viceministerio de Defensa Civil, que se constituye en la base de información de amenazas, vulnerabilidades y niveles o escenarios de riesgo, de vigilancia, observación y alerta, de capacidad de respuesta y de parámetros de riesgo al servicio del </w:t>
      </w:r>
      <w:r w:rsidRPr="00653063">
        <w:rPr>
          <w:rFonts w:eastAsia="Times New Roman"/>
          <w:i/>
          <w:lang w:val="es-ES_tradnl" w:eastAsia="es-BO"/>
        </w:rPr>
        <w:t>Sistema Nacional para la Reducción de Riesgos y Atención de Desastres y/o Emergencias</w:t>
      </w:r>
      <w:r w:rsidRPr="00653063">
        <w:rPr>
          <w:rFonts w:eastAsia="Times New Roman"/>
          <w:lang w:val="es-ES_tradnl" w:eastAsia="es-BO"/>
        </w:rPr>
        <w:t xml:space="preserve">, para la toma de decisiones y la administración de la gestión de riesgo. </w:t>
      </w:r>
    </w:p>
    <w:p w14:paraId="5B86DB0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se cuenta con la </w:t>
      </w:r>
      <w:r w:rsidRPr="00653063">
        <w:rPr>
          <w:rFonts w:eastAsia="Times New Roman"/>
          <w:i/>
          <w:lang w:val="es-ES_tradnl" w:eastAsia="es-BO"/>
        </w:rPr>
        <w:t xml:space="preserve">Política Nacional de Gestión de Riesgos </w:t>
      </w:r>
      <w:r w:rsidRPr="00653063">
        <w:rPr>
          <w:rFonts w:eastAsia="Times New Roman"/>
          <w:lang w:val="es-ES_tradnl" w:eastAsia="es-BO"/>
        </w:rPr>
        <w:t>como</w:t>
      </w:r>
      <w:r w:rsidRPr="00653063">
        <w:rPr>
          <w:rFonts w:eastAsia="Times New Roman"/>
          <w:i/>
          <w:lang w:val="es-ES_tradnl" w:eastAsia="es-BO"/>
        </w:rPr>
        <w:t xml:space="preserve"> </w:t>
      </w:r>
      <w:r w:rsidRPr="00653063">
        <w:rPr>
          <w:rFonts w:eastAsia="Times New Roman"/>
          <w:lang w:val="es-ES_tradnl" w:eastAsia="es-BO"/>
        </w:rPr>
        <w:t xml:space="preserve">conjunto de iniciativas, decisiones y acciones del Estado, con el objeto de intervenir los riesgos de </w:t>
      </w:r>
      <w:r w:rsidRPr="00653063">
        <w:rPr>
          <w:rFonts w:eastAsia="Times New Roman"/>
          <w:lang w:val="es-ES_tradnl" w:eastAsia="es-BO"/>
        </w:rPr>
        <w:lastRenderedPageBreak/>
        <w:t xml:space="preserve">desastres presentes o los factores que los puedan desencadenar y un Protocolo para la Emergencia, que incluye y prioriza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
    <w:p w14:paraId="5A23577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El Reglamento de la Ley de Gestión de Riesgos</w:t>
      </w:r>
      <w:r w:rsidRPr="00653063">
        <w:rPr>
          <w:rFonts w:eastAsia="Times New Roman"/>
          <w:vertAlign w:val="superscript"/>
          <w:lang w:val="es-ES_tradnl" w:eastAsia="es-BO"/>
        </w:rPr>
        <w:footnoteReference w:id="32"/>
      </w:r>
      <w:r w:rsidRPr="00653063">
        <w:rPr>
          <w:rFonts w:eastAsia="Times New Roman"/>
          <w:lang w:val="es-ES_tradnl" w:eastAsia="es-BO"/>
        </w:rPr>
        <w:t xml:space="preserve"> establece la asistencia humanitaria con énfasis en los grupos más vulnerables.</w:t>
      </w:r>
    </w:p>
    <w:p w14:paraId="33A5DE0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w:t>
      </w:r>
      <w:r w:rsidRPr="00653063">
        <w:rPr>
          <w:rFonts w:eastAsia="Times New Roman"/>
          <w:i/>
          <w:lang w:val="es-ES_tradnl" w:eastAsia="es-BO"/>
        </w:rPr>
        <w:t>Manual de Funciones del Comité de Operaciones de Emergencia Nacional,</w:t>
      </w:r>
      <w:r w:rsidRPr="00653063">
        <w:rPr>
          <w:rFonts w:eastAsia="Times New Roman"/>
          <w:lang w:val="es-ES_tradnl" w:eastAsia="es-BO"/>
        </w:rPr>
        <w:t xml:space="preserve"> incluye el formulario de Evaluación de Daños y Análisis de Necesidades, la cual, en la casilla 10 de Necesidades de Protección, establece la opción de selección de la población de mayor vulnerabilidad. </w:t>
      </w:r>
    </w:p>
    <w:p w14:paraId="7A15797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El Ministerio de Defensa en coordinación con “</w:t>
      </w:r>
      <w:proofErr w:type="spellStart"/>
      <w:proofErr w:type="gramStart"/>
      <w:r w:rsidRPr="00653063">
        <w:rPr>
          <w:rFonts w:eastAsia="Times New Roman"/>
          <w:lang w:val="es-ES_tradnl" w:eastAsia="es-BO"/>
        </w:rPr>
        <w:t>Handicap</w:t>
      </w:r>
      <w:proofErr w:type="spellEnd"/>
      <w:proofErr w:type="gramEnd"/>
      <w:r w:rsidRPr="00653063">
        <w:rPr>
          <w:rFonts w:eastAsia="Times New Roman"/>
          <w:lang w:val="es-ES_tradnl" w:eastAsia="es-BO"/>
        </w:rPr>
        <w:t xml:space="preserve"> Internacional” elaboró la Guía de Formación sobre la Gestión Inclusiva de Riesgos de Desastres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
    <w:p w14:paraId="6B57FF0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octubre de 2022 se desarrolló el </w:t>
      </w:r>
      <w:r w:rsidRPr="00653063">
        <w:rPr>
          <w:rFonts w:eastAsia="Times New Roman"/>
          <w:i/>
          <w:iCs/>
          <w:lang w:val="es-ES_tradnl" w:eastAsia="es-BO"/>
        </w:rPr>
        <w:t>Foro Regional “Fortalecimiento de la Gestión de Riesgos de Desastres, con Enfoque Inclusivo”</w:t>
      </w:r>
      <w:r w:rsidRPr="00653063">
        <w:rPr>
          <w:rFonts w:eastAsia="Times New Roman"/>
          <w:lang w:val="es-ES_tradnl" w:eastAsia="es-BO"/>
        </w:rPr>
        <w:t xml:space="preserve">, propiciando un intercambio de experiencia y debate entre representantes de organizaciones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actores públicos y sector privado sobre la importancia en cuanto a la participación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la gestión inclusiva de riesgo de desastres y fomentar en las autoridades municipales la elaboración de una estrategia conducente en Gestión de Riesgos de Desastres con enfoque Inclusivo.</w:t>
      </w:r>
    </w:p>
    <w:p w14:paraId="5C110041" w14:textId="44C27841" w:rsidR="00653063" w:rsidRPr="00653063" w:rsidRDefault="00374812" w:rsidP="00374812">
      <w:pPr>
        <w:pStyle w:val="H23G"/>
        <w:rPr>
          <w:lang w:val="es-ES_tradnl" w:eastAsia="es-BO"/>
        </w:rPr>
      </w:pPr>
      <w:bookmarkStart w:id="17" w:name="_heading=h.3rdcrjn" w:colFirst="0" w:colLast="0"/>
      <w:bookmarkEnd w:id="17"/>
      <w:r>
        <w:rPr>
          <w:lang w:val="es-ES_tradnl" w:eastAsia="es-BO"/>
        </w:rPr>
        <w:tab/>
      </w:r>
      <w:r>
        <w:rPr>
          <w:lang w:val="es-ES_tradnl" w:eastAsia="es-BO"/>
        </w:rPr>
        <w:tab/>
        <w:t>h)</w:t>
      </w:r>
      <w:r>
        <w:rPr>
          <w:lang w:val="es-ES_tradnl" w:eastAsia="es-BO"/>
        </w:rPr>
        <w:tab/>
      </w:r>
      <w:r w:rsidR="00653063" w:rsidRPr="00653063">
        <w:rPr>
          <w:lang w:val="es-ES_tradnl" w:eastAsia="es-BO"/>
        </w:rPr>
        <w:t>Igual reconocimiento como persona ante la ley (Artículo 12, Recomendación 28)</w:t>
      </w:r>
    </w:p>
    <w:p w14:paraId="27857BBB"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Recomendación del párrafo 28, sobre la derogación de los regímenes jurídicos que limitan parcial o totalmente la capacidad jurídica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se aclara, que el Código Civil refiere que los </w:t>
      </w:r>
      <w:r w:rsidRPr="00653063">
        <w:rPr>
          <w:rFonts w:eastAsia="Times New Roman"/>
          <w:u w:val="single"/>
          <w:lang w:val="es-ES_tradnl" w:eastAsia="es-BO"/>
        </w:rPr>
        <w:t>interdictos declarados</w:t>
      </w:r>
      <w:r w:rsidRPr="00653063">
        <w:rPr>
          <w:rFonts w:eastAsia="Times New Roman"/>
          <w:lang w:val="es-ES_tradnl" w:eastAsia="es-BO"/>
        </w:rPr>
        <w:t xml:space="preserve"> son Incapaces de Obrar</w:t>
      </w:r>
      <w:r w:rsidRPr="00653063">
        <w:rPr>
          <w:rFonts w:eastAsia="Times New Roman"/>
          <w:vertAlign w:val="superscript"/>
          <w:lang w:val="es-ES_tradnl" w:eastAsia="es-BO"/>
        </w:rPr>
        <w:footnoteReference w:id="33"/>
      </w:r>
      <w:r w:rsidRPr="00653063">
        <w:rPr>
          <w:rFonts w:eastAsia="Times New Roman"/>
          <w:lang w:val="es-ES_tradnl" w:eastAsia="es-BO"/>
        </w:rPr>
        <w:t xml:space="preserve">. </w:t>
      </w:r>
    </w:p>
    <w:p w14:paraId="602D90F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sz w:val="16"/>
          <w:szCs w:val="16"/>
          <w:lang w:val="es-ES_tradnl" w:eastAsia="es-BO"/>
        </w:rPr>
      </w:pPr>
      <w:r w:rsidRPr="00653063">
        <w:rPr>
          <w:rFonts w:eastAsia="Times New Roman"/>
          <w:lang w:val="es-ES_tradnl" w:eastAsia="es-BO"/>
        </w:rPr>
        <w:t xml:space="preserve">La Interdicción, conforme el Código de las Familias y del Proceso Familiar, es el estado de una persona mayor de edad o menor emancipada </w:t>
      </w:r>
      <w:r w:rsidRPr="00653063">
        <w:rPr>
          <w:rFonts w:eastAsia="Times New Roman"/>
          <w:u w:val="single"/>
          <w:lang w:val="es-ES_tradnl" w:eastAsia="es-BO"/>
        </w:rPr>
        <w:t>con Discapacidad Mental o Psíquica</w:t>
      </w:r>
      <w:r w:rsidRPr="00653063">
        <w:rPr>
          <w:rFonts w:eastAsia="Times New Roman"/>
          <w:lang w:val="es-ES_tradnl" w:eastAsia="es-BO"/>
        </w:rPr>
        <w:t xml:space="preserve"> que le impide su cuidado personal y la administración de sus bienes; es declarado judicialmente en base a prueba pericial. Medida asumida por autoridad judicial para proteger los derechos e intereses de </w:t>
      </w:r>
      <w:proofErr w:type="spellStart"/>
      <w:r w:rsidRPr="00653063">
        <w:rPr>
          <w:rFonts w:eastAsia="Times New Roman"/>
          <w:lang w:val="es-ES_tradnl" w:eastAsia="es-BO"/>
        </w:rPr>
        <w:t>PcD</w:t>
      </w:r>
      <w:proofErr w:type="spellEnd"/>
      <w:r w:rsidRPr="00653063">
        <w:rPr>
          <w:rFonts w:eastAsia="Times New Roman"/>
          <w:sz w:val="16"/>
          <w:szCs w:val="16"/>
          <w:lang w:val="es-ES_tradnl" w:eastAsia="es-BO"/>
        </w:rPr>
        <w:t xml:space="preserve">. </w:t>
      </w:r>
    </w:p>
    <w:p w14:paraId="70C9977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aprobó 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3610 de 4 de julio de 2018, que modificó el reglamento para el pago del bono mensual, contemplado en 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3437, en el marco de los derechos a la autonomía personal, capacidad jurídica y vida independiente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intelectual y mental o psíquica, grave y muy grave, mayores de edad, para que realicen el cobro del bono, de manera directa o mediante apoyos personales.</w:t>
      </w:r>
    </w:p>
    <w:p w14:paraId="6968368C" w14:textId="469E2CFA" w:rsidR="00653063" w:rsidRPr="00653063" w:rsidRDefault="00653063" w:rsidP="001A06A1">
      <w:pPr>
        <w:pStyle w:val="H23G"/>
        <w:numPr>
          <w:ilvl w:val="0"/>
          <w:numId w:val="32"/>
        </w:numPr>
        <w:rPr>
          <w:lang w:val="es-ES_tradnl" w:eastAsia="es-BO"/>
        </w:rPr>
      </w:pPr>
      <w:bookmarkStart w:id="18" w:name="_heading=h.26in1rg" w:colFirst="0" w:colLast="0"/>
      <w:bookmarkEnd w:id="18"/>
      <w:r w:rsidRPr="00653063">
        <w:rPr>
          <w:lang w:val="es-ES_tradnl" w:eastAsia="es-BO"/>
        </w:rPr>
        <w:t>Acceso a la justicia (Artículo 13, Recomendaciones: 30, 32, 34)</w:t>
      </w:r>
    </w:p>
    <w:p w14:paraId="792CB39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Con relación a la Recomendación del Párrafo 30, cabe indicar que en cumplimiento al mandato de la CPE</w:t>
      </w:r>
      <w:r w:rsidRPr="00653063">
        <w:rPr>
          <w:rFonts w:eastAsia="Times New Roman"/>
          <w:sz w:val="18"/>
          <w:szCs w:val="18"/>
          <w:vertAlign w:val="superscript"/>
          <w:lang w:val="es-ES_tradnl" w:eastAsia="es-BO"/>
        </w:rPr>
        <w:footnoteReference w:id="34"/>
      </w:r>
      <w:r w:rsidRPr="00653063">
        <w:rPr>
          <w:rFonts w:eastAsia="Times New Roman"/>
          <w:lang w:val="es-ES_tradnl" w:eastAsia="es-BO"/>
        </w:rPr>
        <w:t xml:space="preserve"> y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223 de 2 de marzo de 2012, General Para Personas con Discapacidad</w:t>
      </w:r>
      <w:r w:rsidRPr="00653063">
        <w:rPr>
          <w:rFonts w:eastAsia="Times New Roman"/>
          <w:sz w:val="18"/>
          <w:szCs w:val="18"/>
          <w:vertAlign w:val="superscript"/>
          <w:lang w:val="es-ES_tradnl" w:eastAsia="es-BO"/>
        </w:rPr>
        <w:footnoteReference w:id="35"/>
      </w:r>
      <w:r w:rsidRPr="00653063">
        <w:rPr>
          <w:rFonts w:eastAsia="Times New Roman"/>
          <w:lang w:val="es-ES_tradnl" w:eastAsia="es-BO"/>
        </w:rPr>
        <w:t xml:space="preserve"> todas las personas tienen personalidad y capacidad jurídica con arreglo a las leyes y goza de los derechos reconocidos por la Norma Suprema, en igualdad de condiciones con los demás, para facilitar el desempeño de funciones efectivas como participantes directos e indirectos, incluida la declaración como testigos, en todos los procedimientos judiciales. </w:t>
      </w:r>
    </w:p>
    <w:p w14:paraId="4BA294C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cuenta con el </w:t>
      </w:r>
      <w:r w:rsidRPr="00653063">
        <w:rPr>
          <w:rFonts w:eastAsia="Times New Roman"/>
          <w:i/>
          <w:lang w:val="es-ES_tradnl" w:eastAsia="es-BO"/>
        </w:rPr>
        <w:t xml:space="preserve">Plan de Acceso a la Justicia para las </w:t>
      </w:r>
      <w:proofErr w:type="spellStart"/>
      <w:r w:rsidRPr="00653063">
        <w:rPr>
          <w:rFonts w:eastAsia="Times New Roman"/>
          <w:i/>
          <w:lang w:val="es-ES_tradnl" w:eastAsia="es-BO"/>
        </w:rPr>
        <w:t>PcD</w:t>
      </w:r>
      <w:proofErr w:type="spellEnd"/>
      <w:r w:rsidRPr="00653063">
        <w:rPr>
          <w:rFonts w:eastAsia="Times New Roman"/>
          <w:lang w:val="es-ES_tradnl" w:eastAsia="es-BO"/>
        </w:rPr>
        <w:t>, que promueve el acceso a la justicia, mediante la toma de conciencia de operadores de justicia respecto a las barreras que obstaculizan su participación directa e indirecta, en los procedimientos judiciales, incluyendo la etapa de investigación.</w:t>
      </w:r>
    </w:p>
    <w:p w14:paraId="2E5F0E4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Bajo esa premisa, el Tribunal Supremo de Justicia realiza:</w:t>
      </w:r>
    </w:p>
    <w:p w14:paraId="111AF52C" w14:textId="77777777" w:rsidR="00653063" w:rsidRPr="00653063" w:rsidRDefault="00653063" w:rsidP="00E60F46">
      <w:pPr>
        <w:pStyle w:val="Bullet1G"/>
        <w:rPr>
          <w:lang w:val="es-ES_tradnl"/>
        </w:rPr>
      </w:pPr>
      <w:r w:rsidRPr="00653063">
        <w:rPr>
          <w:lang w:val="es-ES_tradnl"/>
        </w:rPr>
        <w:t xml:space="preserve">Acciones para la mejora en la atención a </w:t>
      </w:r>
      <w:proofErr w:type="spellStart"/>
      <w:r w:rsidRPr="00653063">
        <w:rPr>
          <w:lang w:val="es-ES_tradnl"/>
        </w:rPr>
        <w:t>PcD</w:t>
      </w:r>
      <w:proofErr w:type="spellEnd"/>
      <w:r w:rsidRPr="00653063">
        <w:rPr>
          <w:lang w:val="es-ES_tradnl"/>
        </w:rPr>
        <w:t>, a través de la Escuela de Jueces (“EJE”), instancia que realiza programas de capacitación y actualización en la temática de atención al usuario con calidad y calidez.</w:t>
      </w:r>
    </w:p>
    <w:p w14:paraId="523C52D4" w14:textId="77777777" w:rsidR="00653063" w:rsidRPr="00653063" w:rsidRDefault="00653063" w:rsidP="001104B5">
      <w:pPr>
        <w:pStyle w:val="Bullet1G"/>
        <w:rPr>
          <w:lang w:val="es-ES_tradnl"/>
        </w:rPr>
      </w:pPr>
      <w:r w:rsidRPr="00653063">
        <w:rPr>
          <w:lang w:val="es-ES_tradnl"/>
        </w:rPr>
        <w:lastRenderedPageBreak/>
        <w:t>Gestiones para que los Tribunales y ambientes judiciales tengan estructura adecuada de acceso a tribunales de justicia y a sus dependencias.</w:t>
      </w:r>
    </w:p>
    <w:p w14:paraId="6F42718B" w14:textId="77777777" w:rsidR="00653063" w:rsidRPr="00653063" w:rsidRDefault="00653063" w:rsidP="001104B5">
      <w:pPr>
        <w:pStyle w:val="Bullet1G"/>
        <w:rPr>
          <w:lang w:val="es-ES_tradnl"/>
        </w:rPr>
      </w:pPr>
      <w:r w:rsidRPr="00653063">
        <w:rPr>
          <w:lang w:val="es-ES_tradnl"/>
        </w:rPr>
        <w:t xml:space="preserve">Política comunicacional de acceso a </w:t>
      </w:r>
      <w:proofErr w:type="spellStart"/>
      <w:r w:rsidRPr="00653063">
        <w:rPr>
          <w:lang w:val="es-ES_tradnl"/>
        </w:rPr>
        <w:t>PcD</w:t>
      </w:r>
      <w:proofErr w:type="spellEnd"/>
      <w:r w:rsidRPr="00653063">
        <w:rPr>
          <w:lang w:val="es-ES_tradnl"/>
        </w:rPr>
        <w:t>.</w:t>
      </w:r>
    </w:p>
    <w:p w14:paraId="32AF8B4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Recomendación del Párrafo 32 sobre la implementación de apoyos necesarios para garantizar 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el acceso a la justicia; en cumplimiento al Artículo 38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223 de 02 de marzo de 2012, General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el Artículo 3, Inc. e) del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4691, el CONALPEDIS inició un proceso de coordinación con el Órgano Judicial para asegurar la accesibilidad a instalaciones, información y comunicación, capacitando a las y los operadores de justicia sobre las características de cada tipo de discapacidad y los ajustes razonables que deben tener las instalaciones. </w:t>
      </w:r>
    </w:p>
    <w:p w14:paraId="1C0A711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Desde el año 2014, la infraestructura de las oficinas del Órgano Judicial, cuentan con accesibilidad arquitectónica </w:t>
      </w:r>
      <w:proofErr w:type="gramStart"/>
      <w:r w:rsidRPr="00653063">
        <w:rPr>
          <w:rFonts w:eastAsia="Times New Roman"/>
          <w:lang w:val="es-ES_tradnl" w:eastAsia="es-BO"/>
        </w:rPr>
        <w:t>de acuerdo al</w:t>
      </w:r>
      <w:proofErr w:type="gramEnd"/>
      <w:r w:rsidRPr="00653063">
        <w:rPr>
          <w:rFonts w:eastAsia="Times New Roman"/>
          <w:lang w:val="es-ES_tradnl" w:eastAsia="es-BO"/>
        </w:rPr>
        <w:t xml:space="preserve"> tipo y grado de discapacidad; y, con relación a personas sordas, cuenta con el apoyo de la UE-FNSE, a través de intérpretes en lengua de señas boliviana en procesos judiciales.</w:t>
      </w:r>
    </w:p>
    <w:p w14:paraId="4EF0F64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CONALPEDIS realiza el seguimiento a nivel nacional de condiciones de accesibilidad; y en procesos judiciales que involucren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68AC1F0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Los Servicios Integrales de Justicia Plurinacional dependientes del MJTI, coadyuvan a que sectores vulnerables y de escasos recursos accedan a la justicia a través de sus servicios de orientación y patrocinio legal en áreas civil, familiar y laboral, conciliación extrajudicial y atención psicológica, los cuales cuentan con procedimientos y medidas necesarias para asegurar una información pertinente e </w:t>
      </w:r>
      <w:proofErr w:type="gramStart"/>
      <w:r w:rsidRPr="00653063">
        <w:rPr>
          <w:rFonts w:eastAsia="Times New Roman"/>
          <w:lang w:val="es-ES_tradnl" w:eastAsia="es-BO"/>
        </w:rPr>
        <w:t>idónea</w:t>
      </w:r>
      <w:proofErr w:type="gramEnd"/>
      <w:r w:rsidRPr="00653063">
        <w:rPr>
          <w:rFonts w:eastAsia="Times New Roman"/>
          <w:lang w:val="es-ES_tradnl" w:eastAsia="es-BO"/>
        </w:rPr>
        <w:t xml:space="preserve"> así como una comunicación fluida con estos sectores. Ante el requerimiento del servicio por parte de </w:t>
      </w:r>
      <w:proofErr w:type="spellStart"/>
      <w:r w:rsidRPr="00653063">
        <w:rPr>
          <w:rFonts w:eastAsia="Times New Roman"/>
          <w:lang w:val="es-ES_tradnl" w:eastAsia="es-BO"/>
        </w:rPr>
        <w:t>PcD</w:t>
      </w:r>
      <w:proofErr w:type="spellEnd"/>
      <w:r w:rsidRPr="00653063">
        <w:rPr>
          <w:rFonts w:eastAsia="Times New Roman"/>
          <w:lang w:val="es-ES_tradnl" w:eastAsia="es-BO"/>
        </w:rPr>
        <w:t>, el CONALPEDIS brinda apoyo con el personal especializado para dicha atención.</w:t>
      </w:r>
    </w:p>
    <w:p w14:paraId="4B6E4DF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 fin de brindar una efectiva prestación de servicios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la FGE realizó adecuaciones y mejoras en sus ambientes para el acceso físico a las instalaciones. </w:t>
      </w:r>
    </w:p>
    <w:p w14:paraId="0460CD1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las gestiones 2020 y 2022, para la atención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Auditiva, a través de la EFE y la Dirección de la Unidad de Protección a Víctima y Testigos, se realizó procesos de capacitación en Lengua de Señas a Fiscales de Materia, Asistentes, funcionarios de Plataforma y de la Unidad de Protección a Víctimas y Testigos.</w:t>
      </w:r>
    </w:p>
    <w:p w14:paraId="1D86568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las Fiscalías Departamentales se adecuaron los medios e ingresos, garantizando la seguridad y desplazamiento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Se procedió con la mejora de la señalética, para la identificación de ambientes, y acceso a las áreas de mayor solicitud como es denuncias verbales, recepción y entrega de documentos y a los equipos para el seguimiento de casos. </w:t>
      </w:r>
    </w:p>
    <w:p w14:paraId="3AB9823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Un avance positivo es la implementación del </w:t>
      </w:r>
      <w:r w:rsidRPr="00653063">
        <w:rPr>
          <w:rFonts w:eastAsia="Times New Roman"/>
          <w:i/>
          <w:lang w:val="es-ES_tradnl" w:eastAsia="es-BO"/>
        </w:rPr>
        <w:t>Portafolio Digital del Caso y el Gestor de Solicitudes Electrónicas</w:t>
      </w:r>
      <w:r w:rsidRPr="00653063">
        <w:rPr>
          <w:rFonts w:eastAsia="Times New Roman"/>
          <w:lang w:val="es-ES_tradnl" w:eastAsia="es-BO"/>
        </w:rPr>
        <w:t xml:space="preserve">, en vigencia desde mayo de 2020, a través del cual se puede realizar el seguimiento mediante celulares o computadoras, enviar y recibir notificaciones electrónicas, al amparo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1080 de 11 de julio de 2018,</w:t>
      </w:r>
      <w:r w:rsidRPr="00653063">
        <w:rPr>
          <w:rFonts w:ascii="Libre Franklin Black" w:eastAsia="Libre Franklin Black" w:hAnsi="Libre Franklin Black" w:cs="Libre Franklin Black"/>
          <w:sz w:val="16"/>
          <w:szCs w:val="16"/>
          <w:lang w:val="es-ES_tradnl" w:eastAsia="es-BO"/>
        </w:rPr>
        <w:t xml:space="preserve"> </w:t>
      </w:r>
      <w:r w:rsidRPr="00653063">
        <w:rPr>
          <w:rFonts w:eastAsia="Times New Roman"/>
          <w:lang w:val="es-ES_tradnl" w:eastAsia="es-BO"/>
        </w:rPr>
        <w:t>de Ciudadanía Digital</w:t>
      </w:r>
      <w:r w:rsidRPr="00653063">
        <w:rPr>
          <w:rFonts w:eastAsia="Times New Roman"/>
          <w:sz w:val="18"/>
          <w:szCs w:val="18"/>
          <w:vertAlign w:val="superscript"/>
          <w:lang w:val="es-ES_tradnl" w:eastAsia="es-BO"/>
        </w:rPr>
        <w:footnoteReference w:id="36"/>
      </w:r>
      <w:r w:rsidRPr="00653063">
        <w:rPr>
          <w:rFonts w:eastAsia="Times New Roman"/>
          <w:lang w:val="es-ES_tradnl" w:eastAsia="es-BO"/>
        </w:rPr>
        <w:t xml:space="preserve">. Actualmente, el Ministerio Público, es el referente en cuanto a modernidad, transparencia y acceso a las personas usuarias, teniendo el lema de estar a sólo un clic de distancia. </w:t>
      </w:r>
    </w:p>
    <w:p w14:paraId="42C41C2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2021, el Tribunal Agroambiental elaboró la </w:t>
      </w:r>
      <w:r w:rsidRPr="00653063">
        <w:rPr>
          <w:rFonts w:eastAsia="Times New Roman"/>
          <w:i/>
          <w:lang w:val="es-ES_tradnl" w:eastAsia="es-BO"/>
        </w:rPr>
        <w:t>Guía de Trato amigable a grupos vulnerables en actividades de conciliación</w:t>
      </w:r>
      <w:r w:rsidRPr="00653063">
        <w:rPr>
          <w:rFonts w:eastAsia="Times New Roman"/>
          <w:lang w:val="es-ES_tradnl" w:eastAsia="es-BO"/>
        </w:rPr>
        <w:t xml:space="preserve">”, que incluye a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632E667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Policía Boliviana a través de la Fuerza Especial de Lucha contra el </w:t>
      </w:r>
      <w:proofErr w:type="spellStart"/>
      <w:r w:rsidRPr="00653063">
        <w:rPr>
          <w:rFonts w:eastAsia="Times New Roman"/>
          <w:lang w:val="es-ES_tradnl" w:eastAsia="es-BO"/>
        </w:rPr>
        <w:t>Crímen</w:t>
      </w:r>
      <w:proofErr w:type="spellEnd"/>
      <w:r w:rsidRPr="00653063">
        <w:rPr>
          <w:rFonts w:eastAsia="Times New Roman"/>
          <w:lang w:val="es-ES_tradnl" w:eastAsia="es-BO"/>
        </w:rPr>
        <w:t xml:space="preserve"> (“FELCC”) procedió con:</w:t>
      </w:r>
    </w:p>
    <w:p w14:paraId="4D307D54" w14:textId="77777777" w:rsidR="00653063" w:rsidRPr="00653063" w:rsidRDefault="00653063" w:rsidP="001A06A1">
      <w:pPr>
        <w:pStyle w:val="SingleTxtG"/>
        <w:numPr>
          <w:ilvl w:val="0"/>
          <w:numId w:val="33"/>
        </w:numPr>
        <w:ind w:left="1701" w:firstLine="0"/>
        <w:rPr>
          <w:lang w:val="es-ES_tradnl" w:eastAsia="es-BO"/>
        </w:rPr>
      </w:pPr>
      <w:r w:rsidRPr="00653063">
        <w:rPr>
          <w:lang w:val="es-ES_tradnl" w:eastAsia="es-BO"/>
        </w:rPr>
        <w:t xml:space="preserve">La incorporación de impresoras con sistema braille para realizar denuncias, para una mayor inclusión social en el trabajo de la división de Plataforma, facilitando el acercamiento de </w:t>
      </w:r>
      <w:proofErr w:type="spellStart"/>
      <w:r w:rsidRPr="00653063">
        <w:rPr>
          <w:lang w:val="es-ES_tradnl" w:eastAsia="es-BO"/>
        </w:rPr>
        <w:t>PcD</w:t>
      </w:r>
      <w:proofErr w:type="spellEnd"/>
      <w:r w:rsidRPr="00653063">
        <w:rPr>
          <w:lang w:val="es-ES_tradnl" w:eastAsia="es-BO"/>
        </w:rPr>
        <w:t xml:space="preserve"> al sistema de justicia, estas impresoras escanean el texto convirtiéndolo en una lectura braille.</w:t>
      </w:r>
    </w:p>
    <w:p w14:paraId="5844D54F" w14:textId="77777777" w:rsidR="00653063" w:rsidRPr="00653063" w:rsidRDefault="00653063" w:rsidP="001A06A1">
      <w:pPr>
        <w:pStyle w:val="SingleTxtG"/>
        <w:numPr>
          <w:ilvl w:val="0"/>
          <w:numId w:val="33"/>
        </w:numPr>
        <w:ind w:left="1701" w:firstLine="0"/>
        <w:rPr>
          <w:lang w:val="es-ES_tradnl" w:eastAsia="es-BO"/>
        </w:rPr>
      </w:pPr>
      <w:r w:rsidRPr="00653063">
        <w:rPr>
          <w:lang w:val="es-ES_tradnl" w:eastAsia="es-BO"/>
        </w:rPr>
        <w:t>Incorporación de una sección en la división plataforma, con policías capacitados en lenguaje de señas y sistema braille.</w:t>
      </w:r>
    </w:p>
    <w:p w14:paraId="63B810B6" w14:textId="77777777" w:rsidR="00653063" w:rsidRPr="00653063" w:rsidRDefault="00653063" w:rsidP="001A06A1">
      <w:pPr>
        <w:pStyle w:val="SingleTxtG"/>
        <w:numPr>
          <w:ilvl w:val="0"/>
          <w:numId w:val="33"/>
        </w:numPr>
        <w:ind w:left="1701" w:firstLine="0"/>
        <w:rPr>
          <w:lang w:val="es-ES_tradnl" w:eastAsia="es-BO"/>
        </w:rPr>
      </w:pPr>
      <w:r w:rsidRPr="00653063">
        <w:rPr>
          <w:lang w:val="es-ES_tradnl" w:eastAsia="es-BO"/>
        </w:rPr>
        <w:lastRenderedPageBreak/>
        <w:t xml:space="preserve">Implementación de sillas </w:t>
      </w:r>
      <w:proofErr w:type="spellStart"/>
      <w:r w:rsidRPr="00653063">
        <w:rPr>
          <w:lang w:val="es-ES_tradnl" w:eastAsia="es-BO"/>
        </w:rPr>
        <w:t>salvaescaleras</w:t>
      </w:r>
      <w:proofErr w:type="spellEnd"/>
      <w:r w:rsidRPr="00653063">
        <w:rPr>
          <w:lang w:val="es-ES_tradnl" w:eastAsia="es-BO"/>
        </w:rPr>
        <w:t xml:space="preserve">, plataformas </w:t>
      </w:r>
      <w:proofErr w:type="spellStart"/>
      <w:r w:rsidRPr="00653063">
        <w:rPr>
          <w:lang w:val="es-ES_tradnl" w:eastAsia="es-BO"/>
        </w:rPr>
        <w:t>salvaescaleras</w:t>
      </w:r>
      <w:proofErr w:type="spellEnd"/>
      <w:r w:rsidRPr="00653063">
        <w:rPr>
          <w:lang w:val="es-ES_tradnl" w:eastAsia="es-BO"/>
        </w:rPr>
        <w:t xml:space="preserve">, </w:t>
      </w:r>
      <w:proofErr w:type="spellStart"/>
      <w:r w:rsidRPr="00653063">
        <w:rPr>
          <w:lang w:val="es-ES_tradnl" w:eastAsia="es-BO"/>
        </w:rPr>
        <w:t>salavaescaleras</w:t>
      </w:r>
      <w:proofErr w:type="spellEnd"/>
      <w:r w:rsidRPr="00653063">
        <w:rPr>
          <w:lang w:val="es-ES_tradnl" w:eastAsia="es-BO"/>
        </w:rPr>
        <w:t xml:space="preserve"> portátiles, escaleras convertibles, rampas portátiles, rampas de obra y sillas grúa.</w:t>
      </w:r>
    </w:p>
    <w:p w14:paraId="27660E3B" w14:textId="77777777" w:rsidR="00653063" w:rsidRPr="00653063" w:rsidRDefault="00653063" w:rsidP="001A06A1">
      <w:pPr>
        <w:pStyle w:val="SingleTxtG"/>
        <w:numPr>
          <w:ilvl w:val="0"/>
          <w:numId w:val="33"/>
        </w:numPr>
        <w:ind w:left="1701" w:firstLine="0"/>
        <w:rPr>
          <w:lang w:val="es-ES_tradnl" w:eastAsia="es-BO"/>
        </w:rPr>
      </w:pPr>
      <w:r w:rsidRPr="00653063">
        <w:rPr>
          <w:lang w:val="es-ES_tradnl" w:eastAsia="es-BO"/>
        </w:rPr>
        <w:t>Implementación sistémica de capacitaciones y talleres en sistema braille para funcionarios policiales de la FELCC del departamento de La Paz y todas sus regionales.</w:t>
      </w:r>
    </w:p>
    <w:p w14:paraId="113CA76E" w14:textId="77777777" w:rsidR="00653063" w:rsidRPr="00653063" w:rsidRDefault="00653063" w:rsidP="001A06A1">
      <w:pPr>
        <w:pStyle w:val="SingleTxtG"/>
        <w:numPr>
          <w:ilvl w:val="0"/>
          <w:numId w:val="33"/>
        </w:numPr>
        <w:ind w:left="1701" w:firstLine="0"/>
        <w:rPr>
          <w:lang w:val="es-ES_tradnl" w:eastAsia="es-BO"/>
        </w:rPr>
      </w:pPr>
      <w:r w:rsidRPr="00653063">
        <w:rPr>
          <w:lang w:val="es-ES_tradnl" w:eastAsia="es-BO"/>
        </w:rPr>
        <w:t xml:space="preserve">Implementación de la política por un servicio policial inclusivo de calidad para </w:t>
      </w:r>
      <w:proofErr w:type="spellStart"/>
      <w:r w:rsidRPr="00653063">
        <w:rPr>
          <w:lang w:val="es-ES_tradnl" w:eastAsia="es-BO"/>
        </w:rPr>
        <w:t>PcD</w:t>
      </w:r>
      <w:proofErr w:type="spellEnd"/>
      <w:r w:rsidRPr="00653063">
        <w:rPr>
          <w:lang w:val="es-ES_tradnl" w:eastAsia="es-BO"/>
        </w:rPr>
        <w:t xml:space="preserve"> con las siguientes directrices:</w:t>
      </w:r>
    </w:p>
    <w:p w14:paraId="5EEFF110" w14:textId="77777777" w:rsidR="00653063" w:rsidRPr="00653063" w:rsidRDefault="00653063" w:rsidP="008B7D48">
      <w:pPr>
        <w:pStyle w:val="Bullet1G"/>
        <w:rPr>
          <w:lang w:val="es-ES_tradnl"/>
        </w:rPr>
      </w:pPr>
      <w:r w:rsidRPr="00653063">
        <w:rPr>
          <w:lang w:val="es-ES_tradnl"/>
        </w:rPr>
        <w:t xml:space="preserve">Fomentar en los funcionarios policiales el reconocimiento y respeto de derechos humanos y libertades fundamentales de </w:t>
      </w:r>
      <w:proofErr w:type="spellStart"/>
      <w:r w:rsidRPr="00653063">
        <w:rPr>
          <w:lang w:val="es-ES_tradnl"/>
        </w:rPr>
        <w:t>PcD</w:t>
      </w:r>
      <w:proofErr w:type="spellEnd"/>
      <w:r w:rsidRPr="00653063">
        <w:rPr>
          <w:lang w:val="es-ES_tradnl"/>
        </w:rPr>
        <w:t>.</w:t>
      </w:r>
    </w:p>
    <w:p w14:paraId="35FFE54E" w14:textId="77777777" w:rsidR="00653063" w:rsidRPr="00653063" w:rsidRDefault="00653063" w:rsidP="008B7D48">
      <w:pPr>
        <w:pStyle w:val="Bullet1G"/>
        <w:rPr>
          <w:lang w:val="es-ES_tradnl"/>
        </w:rPr>
      </w:pPr>
      <w:r w:rsidRPr="00653063">
        <w:rPr>
          <w:lang w:val="es-ES_tradnl"/>
        </w:rPr>
        <w:t xml:space="preserve">Promover el buen trato de los policías hacia </w:t>
      </w:r>
      <w:proofErr w:type="spellStart"/>
      <w:r w:rsidRPr="00653063">
        <w:rPr>
          <w:lang w:val="es-ES_tradnl"/>
        </w:rPr>
        <w:t>PcD</w:t>
      </w:r>
      <w:proofErr w:type="spellEnd"/>
      <w:r w:rsidRPr="00653063">
        <w:rPr>
          <w:lang w:val="es-ES_tradnl"/>
        </w:rPr>
        <w:t xml:space="preserve"> desde un enfoque de derechos humanos.</w:t>
      </w:r>
    </w:p>
    <w:p w14:paraId="350CA9CB" w14:textId="77777777" w:rsidR="00653063" w:rsidRPr="00653063" w:rsidRDefault="00653063" w:rsidP="008B7D48">
      <w:pPr>
        <w:pStyle w:val="Bullet1G"/>
        <w:rPr>
          <w:lang w:val="es-ES_tradnl"/>
        </w:rPr>
      </w:pPr>
      <w:r w:rsidRPr="00653063">
        <w:rPr>
          <w:lang w:val="es-ES_tradnl"/>
        </w:rPr>
        <w:t xml:space="preserve">Eliminar toda forma de discriminación hacia </w:t>
      </w:r>
      <w:proofErr w:type="spellStart"/>
      <w:r w:rsidRPr="00653063">
        <w:rPr>
          <w:lang w:val="es-ES_tradnl"/>
        </w:rPr>
        <w:t>PcD</w:t>
      </w:r>
      <w:proofErr w:type="spellEnd"/>
      <w:r w:rsidRPr="00653063">
        <w:rPr>
          <w:lang w:val="es-ES_tradnl"/>
        </w:rPr>
        <w:t xml:space="preserve"> en la interacción policial.</w:t>
      </w:r>
    </w:p>
    <w:p w14:paraId="41DA9D06" w14:textId="77777777" w:rsidR="00653063" w:rsidRPr="00653063" w:rsidRDefault="00653063" w:rsidP="008B7D48">
      <w:pPr>
        <w:pStyle w:val="Bullet1G"/>
        <w:rPr>
          <w:lang w:val="es-ES_tradnl"/>
        </w:rPr>
      </w:pPr>
      <w:r w:rsidRPr="00653063">
        <w:rPr>
          <w:lang w:val="es-ES_tradnl"/>
        </w:rPr>
        <w:t>Crear e implementar estrategias de accesibilidad para</w:t>
      </w:r>
      <w:r w:rsidRPr="00653063">
        <w:rPr>
          <w:sz w:val="28"/>
          <w:szCs w:val="28"/>
          <w:lang w:val="es-ES_tradnl"/>
        </w:rPr>
        <w:t xml:space="preserve"> </w:t>
      </w:r>
      <w:r w:rsidRPr="00653063">
        <w:rPr>
          <w:lang w:val="es-ES_tradnl"/>
        </w:rPr>
        <w:t xml:space="preserve">garantizar el acceso a la justicia de </w:t>
      </w:r>
      <w:proofErr w:type="spellStart"/>
      <w:r w:rsidRPr="00653063">
        <w:rPr>
          <w:lang w:val="es-ES_tradnl"/>
        </w:rPr>
        <w:t>PcD</w:t>
      </w:r>
      <w:proofErr w:type="spellEnd"/>
      <w:r w:rsidRPr="00653063">
        <w:rPr>
          <w:lang w:val="es-ES_tradnl"/>
        </w:rPr>
        <w:t xml:space="preserve"> en igualdad de consideraciones con las demás.</w:t>
      </w:r>
    </w:p>
    <w:p w14:paraId="7AC6C592" w14:textId="77777777" w:rsidR="00653063" w:rsidRPr="00653063" w:rsidRDefault="00653063" w:rsidP="008B7D48">
      <w:pPr>
        <w:pStyle w:val="Bullet1G"/>
        <w:rPr>
          <w:lang w:val="es-ES_tradnl"/>
        </w:rPr>
      </w:pPr>
      <w:r w:rsidRPr="00653063">
        <w:rPr>
          <w:lang w:val="es-ES_tradnl"/>
        </w:rPr>
        <w:t xml:space="preserve">Promover la formación y capacitación del personal policial para prestar un servicio que garantice los derechos humanos de </w:t>
      </w:r>
      <w:proofErr w:type="spellStart"/>
      <w:r w:rsidRPr="00653063">
        <w:rPr>
          <w:lang w:val="es-ES_tradnl"/>
        </w:rPr>
        <w:t>PcD</w:t>
      </w:r>
      <w:proofErr w:type="spellEnd"/>
      <w:r w:rsidRPr="00653063">
        <w:rPr>
          <w:lang w:val="es-ES_tradnl"/>
        </w:rPr>
        <w:t>.</w:t>
      </w:r>
    </w:p>
    <w:p w14:paraId="36965C70" w14:textId="77777777" w:rsidR="00653063" w:rsidRPr="00653063" w:rsidRDefault="00653063" w:rsidP="008B7D48">
      <w:pPr>
        <w:pStyle w:val="Bullet1G"/>
        <w:rPr>
          <w:lang w:val="es-ES_tradnl"/>
        </w:rPr>
      </w:pPr>
      <w:r w:rsidRPr="00653063">
        <w:rPr>
          <w:lang w:val="es-ES_tradnl"/>
        </w:rPr>
        <w:t xml:space="preserve">Fomentar consultas a las organizaciones representativas de </w:t>
      </w:r>
      <w:proofErr w:type="spellStart"/>
      <w:r w:rsidRPr="00653063">
        <w:rPr>
          <w:lang w:val="es-ES_tradnl"/>
        </w:rPr>
        <w:t>PcD</w:t>
      </w:r>
      <w:proofErr w:type="spellEnd"/>
      <w:r w:rsidRPr="00653063">
        <w:rPr>
          <w:lang w:val="es-ES_tradnl"/>
        </w:rPr>
        <w:t xml:space="preserve"> para la adopción de medidas que les atañe en igualdad de condiciones de las demás.</w:t>
      </w:r>
    </w:p>
    <w:p w14:paraId="41650BD4" w14:textId="77777777" w:rsidR="00653063" w:rsidRPr="00653063" w:rsidRDefault="00653063" w:rsidP="008B7D48">
      <w:pPr>
        <w:pStyle w:val="Bullet1G"/>
        <w:rPr>
          <w:lang w:val="es-ES_tradnl"/>
        </w:rPr>
      </w:pPr>
      <w:r w:rsidRPr="00653063">
        <w:rPr>
          <w:lang w:val="es-ES_tradnl"/>
        </w:rPr>
        <w:t>Proporcionar un marco de referencia para la acción, evaluación y rendición de cuentas.</w:t>
      </w:r>
    </w:p>
    <w:p w14:paraId="41B8BBC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Sobre la Recomendación contenida en el Párrafo 34, Bolivia a través de la EJE como entidad académica, especializada y descentralizada, bajo tuición del Tribunal Supremo de Justicia encargada de la formación y especialización de las y los postulantes a la carrera judicial, así como la capacitación integral de las servidoras y los servidores judiciales;</w:t>
      </w:r>
      <w:r w:rsidRPr="00653063">
        <w:rPr>
          <w:rFonts w:eastAsia="Times New Roman"/>
          <w:vertAlign w:val="superscript"/>
          <w:lang w:val="es-ES_tradnl" w:eastAsia="es-BO"/>
        </w:rPr>
        <w:footnoteReference w:id="37"/>
      </w:r>
      <w:r w:rsidRPr="00653063">
        <w:rPr>
          <w:rFonts w:eastAsia="Times New Roman"/>
          <w:lang w:val="es-ES_tradnl" w:eastAsia="es-BO"/>
        </w:rPr>
        <w:t xml:space="preserve"> realiza Cátedras Virtuales, Conferencias, </w:t>
      </w:r>
      <w:proofErr w:type="spellStart"/>
      <w:r w:rsidRPr="00653063">
        <w:rPr>
          <w:rFonts w:eastAsia="Times New Roman"/>
          <w:lang w:val="es-ES_tradnl" w:eastAsia="es-BO"/>
        </w:rPr>
        <w:t>Webinars</w:t>
      </w:r>
      <w:proofErr w:type="spellEnd"/>
      <w:r w:rsidRPr="00653063">
        <w:rPr>
          <w:rFonts w:eastAsia="Times New Roman"/>
          <w:lang w:val="es-ES_tradnl" w:eastAsia="es-BO"/>
        </w:rPr>
        <w:t xml:space="preserve"> Internacionales y Cursos de Formación, que incluyen la temática de los Derechos de Grupos Vulnerables, incluidos de manera transversal, Derechos de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7A6F32A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el Consejo de la Magistratura en coordinación con la Agencia Española de Cooperación Internacional para el Desarrollo (“AECID”) realizó del 24 de abril al 5 de mayo de 2023, el Curso: </w:t>
      </w:r>
      <w:r w:rsidRPr="00653063">
        <w:rPr>
          <w:rFonts w:eastAsia="Times New Roman"/>
          <w:i/>
          <w:lang w:val="es-ES_tradnl" w:eastAsia="es-BO"/>
        </w:rPr>
        <w:t>“Acceso a la Justicia para Personas con Discapacidad: Balance de las Nuevas Legislaciones y Retos Pendientes”</w:t>
      </w:r>
      <w:r w:rsidRPr="00653063">
        <w:rPr>
          <w:rFonts w:eastAsia="Times New Roman"/>
          <w:lang w:val="es-ES_tradnl" w:eastAsia="es-BO"/>
        </w:rPr>
        <w:t xml:space="preserve"> dirigido a servidores públicos del Órgano Judicial.  </w:t>
      </w:r>
    </w:p>
    <w:p w14:paraId="7BB71E0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Del 2021 al 2023, la UNIPOL a través de sus Unidades Académicas de Pregrado “Facultad en Ciencias Policiales- Academia Nacional de Policías” y las Facultades Técnicas Superiores en Ciencias Policiales a nivel nacional (El Alto, Santa Cruz, Cochabamba, Caracollo, Huanuni Potosí, Llallagua, </w:t>
      </w:r>
      <w:proofErr w:type="spellStart"/>
      <w:r w:rsidRPr="00653063">
        <w:rPr>
          <w:rFonts w:eastAsia="Times New Roman"/>
          <w:lang w:val="es-ES_tradnl" w:eastAsia="es-BO"/>
        </w:rPr>
        <w:t>Colquiri</w:t>
      </w:r>
      <w:proofErr w:type="spellEnd"/>
      <w:r w:rsidRPr="00653063">
        <w:rPr>
          <w:rFonts w:eastAsia="Times New Roman"/>
          <w:lang w:val="es-ES_tradnl" w:eastAsia="es-BO"/>
        </w:rPr>
        <w:t>, Riberalta, Gran Chaco, Tarija, Cobija, Sucre) en los nueve Departamentos de Bolivia, viene ejecutando programas académicos que contienen materias sobre Derechos Humanos y Derechos Humanos Aplicados a la Función Policial. Logrando capacitar a 3999 estudiantes. De igual forma, durante la gestión 2022, se logró capacitar a 1055 servidores públicos policiales profesionales dependientes de la Dirección Nacional de Instrucción y Enseñanza – Universidad Policial “</w:t>
      </w:r>
      <w:proofErr w:type="spellStart"/>
      <w:r w:rsidRPr="00653063">
        <w:rPr>
          <w:rFonts w:eastAsia="Times New Roman"/>
          <w:lang w:val="es-ES_tradnl" w:eastAsia="es-BO"/>
        </w:rPr>
        <w:t>Mcal</w:t>
      </w:r>
      <w:proofErr w:type="spellEnd"/>
      <w:r w:rsidRPr="00653063">
        <w:rPr>
          <w:rFonts w:eastAsia="Times New Roman"/>
          <w:lang w:val="es-ES_tradnl" w:eastAsia="es-BO"/>
        </w:rPr>
        <w:t xml:space="preserve">. Antonio José de Sucre” respecto a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223.</w:t>
      </w:r>
    </w:p>
    <w:p w14:paraId="2846528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Dentro de la estructura de la Policía Boliviana se tiene a la Dirección Nacional de Derechos Humanos</w:t>
      </w:r>
      <w:r w:rsidRPr="00653063">
        <w:rPr>
          <w:rFonts w:eastAsia="Times New Roman"/>
          <w:vertAlign w:val="superscript"/>
          <w:lang w:val="es-ES_tradnl" w:eastAsia="es-BO"/>
        </w:rPr>
        <w:footnoteReference w:id="38"/>
      </w:r>
      <w:r w:rsidRPr="00653063">
        <w:rPr>
          <w:rFonts w:eastAsia="Times New Roman"/>
          <w:lang w:val="es-ES_tradnl" w:eastAsia="es-BO"/>
        </w:rPr>
        <w:t xml:space="preserve">, como la instancia encargada de promover, capacitar, difundir, proteger y garantizar el respeto de los derechos humanos. Además, a través del Departamento Nacional de Género, del 2021 al 2022 realizó 81 capacitaciones sobre los derechos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dirigidas 4551 a servidores públicos policiales a nivel nacional.</w:t>
      </w:r>
    </w:p>
    <w:p w14:paraId="239E638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Escuela de Fiscales del Estado (“EFE”) es el organismo técnico académico que tiene la finalidad de planificar, dirigir y desarrollar los procesos de formación y capacitación </w:t>
      </w:r>
      <w:r w:rsidRPr="00653063">
        <w:rPr>
          <w:rFonts w:eastAsia="Times New Roman"/>
          <w:lang w:val="es-ES_tradnl" w:eastAsia="es-BO"/>
        </w:rPr>
        <w:lastRenderedPageBreak/>
        <w:t xml:space="preserve">de Fiscales, servidoras y servidores del Ministerio Público. En ese contexto, la EFE efectuó los siguientes programas de capacitación permanente en las gestiones 2020, 2021 y 2022 </w:t>
      </w:r>
      <w:proofErr w:type="gramStart"/>
      <w:r w:rsidRPr="00653063">
        <w:rPr>
          <w:rFonts w:eastAsia="Times New Roman"/>
          <w:lang w:val="es-ES_tradnl" w:eastAsia="es-BO"/>
        </w:rPr>
        <w:t>en relación a</w:t>
      </w:r>
      <w:proofErr w:type="gramEnd"/>
      <w:r w:rsidRPr="00653063">
        <w:rPr>
          <w:rFonts w:eastAsia="Times New Roman"/>
          <w:lang w:val="es-ES_tradnl" w:eastAsia="es-BO"/>
        </w:rPr>
        <w:t xml:space="preserve">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el Área de Formación Inicial y Permanente: </w:t>
      </w:r>
    </w:p>
    <w:p w14:paraId="02F67B59" w14:textId="77777777" w:rsidR="00653063" w:rsidRPr="00653063" w:rsidRDefault="00653063" w:rsidP="002D099A">
      <w:pPr>
        <w:pStyle w:val="Bullet1G"/>
        <w:rPr>
          <w:lang w:val="es-ES_tradnl"/>
        </w:rPr>
      </w:pPr>
      <w:r w:rsidRPr="00653063">
        <w:rPr>
          <w:lang w:val="es-ES_tradnl"/>
        </w:rPr>
        <w:t>Curso: “Lengua de Señas – Módulo 2”.</w:t>
      </w:r>
    </w:p>
    <w:p w14:paraId="44E6B18A" w14:textId="77777777" w:rsidR="00653063" w:rsidRPr="00653063" w:rsidRDefault="00653063" w:rsidP="002D099A">
      <w:pPr>
        <w:pStyle w:val="Bullet1G"/>
        <w:rPr>
          <w:lang w:val="es-ES_tradnl"/>
        </w:rPr>
      </w:pPr>
      <w:r w:rsidRPr="00653063">
        <w:rPr>
          <w:lang w:val="es-ES_tradnl"/>
        </w:rPr>
        <w:t>Ciclo de Capacitación en Derechos Humanos: “Curso Derechos de las Personas con Discapacidad”.</w:t>
      </w:r>
    </w:p>
    <w:p w14:paraId="6135DB6B" w14:textId="77777777" w:rsidR="00653063" w:rsidRPr="00653063" w:rsidRDefault="00653063" w:rsidP="00F81F7C">
      <w:pPr>
        <w:pStyle w:val="Bullet1G"/>
        <w:rPr>
          <w:lang w:val="es-ES_tradnl"/>
        </w:rPr>
      </w:pPr>
      <w:r w:rsidRPr="00653063">
        <w:rPr>
          <w:lang w:val="es-ES_tradnl"/>
        </w:rPr>
        <w:t>Curso de Enseñanza de la Lengua de Señas Boliviana (Módulos 3 y 4).</w:t>
      </w:r>
    </w:p>
    <w:p w14:paraId="6A2F7202" w14:textId="77777777" w:rsidR="00653063" w:rsidRPr="00653063" w:rsidRDefault="00653063" w:rsidP="00F81F7C">
      <w:pPr>
        <w:pStyle w:val="Bullet1G"/>
        <w:rPr>
          <w:lang w:val="es-ES_tradnl"/>
        </w:rPr>
      </w:pPr>
      <w:r w:rsidRPr="00653063">
        <w:rPr>
          <w:lang w:val="es-ES_tradnl"/>
        </w:rPr>
        <w:t>Módulo: “Los Derechos Humanos en la función Fiscal – Derechos de Poblaciones en Situación de Vulnerabilidad”.</w:t>
      </w:r>
    </w:p>
    <w:p w14:paraId="59EBDA5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De igual manera, en las gestiones 2021 y 2022, la Dirección General de Régimen Penitenciario (“DGRP”) realizó talleres y capacitaciones sobre derechos de Personas Privadas de Libertad: Prevención de la Tortura</w:t>
      </w:r>
      <w:r w:rsidRPr="00653063">
        <w:rPr>
          <w:rFonts w:eastAsia="Times New Roman"/>
          <w:vertAlign w:val="superscript"/>
          <w:lang w:val="es-ES_tradnl" w:eastAsia="es-BO"/>
        </w:rPr>
        <w:footnoteReference w:id="39"/>
      </w:r>
      <w:r w:rsidRPr="00653063">
        <w:rPr>
          <w:rFonts w:eastAsia="Times New Roman"/>
          <w:lang w:val="es-ES_tradnl" w:eastAsia="es-BO"/>
        </w:rPr>
        <w:t>, Delito de Tortura</w:t>
      </w:r>
      <w:r w:rsidRPr="00653063">
        <w:rPr>
          <w:rFonts w:eastAsia="Times New Roman"/>
          <w:vertAlign w:val="superscript"/>
          <w:lang w:val="es-ES_tradnl" w:eastAsia="es-BO"/>
        </w:rPr>
        <w:footnoteReference w:id="40"/>
      </w:r>
      <w:r w:rsidRPr="00653063">
        <w:rPr>
          <w:rFonts w:eastAsia="Times New Roman"/>
          <w:lang w:val="es-ES_tradnl" w:eastAsia="es-BO"/>
        </w:rPr>
        <w:t>, Ley General de Personas Adultas Mayores</w:t>
      </w:r>
      <w:r w:rsidRPr="00653063">
        <w:rPr>
          <w:rFonts w:eastAsia="Times New Roman"/>
          <w:vertAlign w:val="superscript"/>
          <w:lang w:val="es-ES_tradnl" w:eastAsia="es-BO"/>
        </w:rPr>
        <w:footnoteReference w:id="41"/>
      </w:r>
      <w:r w:rsidRPr="00653063">
        <w:rPr>
          <w:rFonts w:eastAsia="Times New Roman"/>
          <w:lang w:val="es-ES_tradnl" w:eastAsia="es-BO"/>
        </w:rPr>
        <w:t>, Derechos Fundamentales y Lucha contra la Discriminación</w:t>
      </w:r>
      <w:r w:rsidRPr="00653063">
        <w:rPr>
          <w:rFonts w:eastAsia="Times New Roman"/>
          <w:vertAlign w:val="superscript"/>
          <w:lang w:val="es-ES_tradnl" w:eastAsia="es-BO"/>
        </w:rPr>
        <w:footnoteReference w:id="42"/>
      </w:r>
      <w:r w:rsidRPr="00653063">
        <w:rPr>
          <w:rFonts w:eastAsia="Times New Roman"/>
          <w:lang w:val="es-ES_tradnl" w:eastAsia="es-BO"/>
        </w:rPr>
        <w:t xml:space="preserve"> y Derechos de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2413BBC3" w14:textId="7D312307" w:rsidR="00653063" w:rsidRPr="00653063" w:rsidRDefault="00F81F7C" w:rsidP="00F81F7C">
      <w:pPr>
        <w:pStyle w:val="H23G"/>
        <w:rPr>
          <w:lang w:val="es-ES_tradnl" w:eastAsia="es-BO"/>
        </w:rPr>
      </w:pPr>
      <w:bookmarkStart w:id="19" w:name="_heading=h.lnxbz9" w:colFirst="0" w:colLast="0"/>
      <w:bookmarkEnd w:id="19"/>
      <w:r>
        <w:rPr>
          <w:lang w:val="es-ES_tradnl" w:eastAsia="es-BO"/>
        </w:rPr>
        <w:tab/>
      </w:r>
      <w:r>
        <w:rPr>
          <w:lang w:val="es-ES_tradnl" w:eastAsia="es-BO"/>
        </w:rPr>
        <w:tab/>
        <w:t>j)</w:t>
      </w:r>
      <w:r w:rsidR="004D525D">
        <w:rPr>
          <w:lang w:val="es-ES_tradnl" w:eastAsia="es-BO"/>
        </w:rPr>
        <w:tab/>
      </w:r>
      <w:r w:rsidR="00653063" w:rsidRPr="00653063">
        <w:rPr>
          <w:lang w:val="es-ES_tradnl" w:eastAsia="es-BO"/>
        </w:rPr>
        <w:t>Libertad y seguridad de la persona (Artículo 14, Recomendaciones: 36, 38).</w:t>
      </w:r>
    </w:p>
    <w:p w14:paraId="1EBA03A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Respecto a la Recomendación 36 dirigida a asegurar las garantías del debido proceso, la CPE</w:t>
      </w:r>
      <w:r w:rsidRPr="00653063">
        <w:rPr>
          <w:rFonts w:eastAsia="Times New Roman"/>
          <w:vertAlign w:val="superscript"/>
          <w:lang w:val="es-ES_tradnl" w:eastAsia="es-BO"/>
        </w:rPr>
        <w:footnoteReference w:id="43"/>
      </w:r>
      <w:r w:rsidRPr="00653063">
        <w:rPr>
          <w:rFonts w:eastAsia="Times New Roman"/>
          <w:lang w:val="es-ES_tradnl" w:eastAsia="es-BO"/>
        </w:rPr>
        <w:t xml:space="preserve"> establece que toda persona será protegida oportuna y efectivamente por jueces y tribunales en el ejercicio de sus derechos e intereses legítimos. El Estado garantiza el derecho al debido proceso, a la defensa y a una justicia plural, pronta, oportuna, gratuita, transparente y sin dilaciones, garantizando así, la protección de derechos en todas las instancias administrativas y judiciales. </w:t>
      </w:r>
    </w:p>
    <w:p w14:paraId="318C6F1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En ese sentido, se establecieron garantías jurisdiccionales y acciones de defensa, toda vez que todos los derechos reconocidos en la CPE son directa e igualitariamente aplicables</w:t>
      </w:r>
      <w:r w:rsidRPr="00653063">
        <w:rPr>
          <w:rFonts w:eastAsia="Times New Roman"/>
          <w:vertAlign w:val="superscript"/>
          <w:lang w:val="es-ES_tradnl" w:eastAsia="es-BO"/>
        </w:rPr>
        <w:footnoteReference w:id="44"/>
      </w:r>
      <w:r w:rsidRPr="00653063">
        <w:rPr>
          <w:rFonts w:eastAsia="Times New Roman"/>
          <w:lang w:val="es-ES_tradnl" w:eastAsia="es-BO"/>
        </w:rPr>
        <w:t xml:space="preserve">. </w:t>
      </w:r>
    </w:p>
    <w:p w14:paraId="2DE6148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Asimismo, la CPE establece que toda persona sometida a cualquier forma de privación de libertad será tratada con el debido respeto a la dignidad humana, estableciéndose además que todas las personas privadas de libertad tienen derecho a comunicarse libremente con su defensor, intérprete, familiares y personas allegadas.</w:t>
      </w:r>
      <w:r w:rsidRPr="00653063">
        <w:rPr>
          <w:rFonts w:eastAsia="Times New Roman"/>
          <w:vertAlign w:val="superscript"/>
          <w:lang w:val="es-ES_tradnl" w:eastAsia="es-BO"/>
        </w:rPr>
        <w:footnoteReference w:id="45"/>
      </w:r>
    </w:p>
    <w:p w14:paraId="175F959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las gestiones 2022 y 2023, la DGRP emitió Instructivos </w:t>
      </w:r>
      <w:proofErr w:type="gramStart"/>
      <w:r w:rsidRPr="00653063">
        <w:rPr>
          <w:rFonts w:eastAsia="Times New Roman"/>
          <w:lang w:val="es-ES_tradnl" w:eastAsia="es-BO"/>
        </w:rPr>
        <w:t>a objeto de</w:t>
      </w:r>
      <w:proofErr w:type="gramEnd"/>
      <w:r w:rsidRPr="00653063">
        <w:rPr>
          <w:rFonts w:eastAsia="Times New Roman"/>
          <w:lang w:val="es-ES_tradnl" w:eastAsia="es-BO"/>
        </w:rPr>
        <w:t>:</w:t>
      </w:r>
    </w:p>
    <w:p w14:paraId="7D884EC1" w14:textId="77777777" w:rsidR="00653063" w:rsidRPr="00653063" w:rsidRDefault="00653063" w:rsidP="004D525D">
      <w:pPr>
        <w:pStyle w:val="Bullet1G"/>
        <w:rPr>
          <w:lang w:val="es-ES_tradnl"/>
        </w:rPr>
      </w:pPr>
      <w:r w:rsidRPr="00653063">
        <w:rPr>
          <w:lang w:val="es-ES_tradnl"/>
        </w:rPr>
        <w:t>Brindar atención prioritaria a los grupos vulnerables, acceso a abogados públicos y realizar talleres de actualización y capacitación.</w:t>
      </w:r>
      <w:r w:rsidRPr="00653063">
        <w:rPr>
          <w:vertAlign w:val="superscript"/>
          <w:lang w:val="es-ES_tradnl"/>
        </w:rPr>
        <w:footnoteReference w:id="46"/>
      </w:r>
    </w:p>
    <w:p w14:paraId="71423DF8" w14:textId="77777777" w:rsidR="00653063" w:rsidRPr="00653063" w:rsidRDefault="00653063" w:rsidP="004D525D">
      <w:pPr>
        <w:pStyle w:val="Bullet1G"/>
        <w:rPr>
          <w:lang w:val="es-ES_tradnl"/>
        </w:rPr>
      </w:pPr>
      <w:r w:rsidRPr="00653063">
        <w:rPr>
          <w:lang w:val="es-ES_tradnl"/>
        </w:rPr>
        <w:t>Cumplir funciones en el marco de la normativa vigente y asumir acciones ante la comisión de cualquier ilícito.</w:t>
      </w:r>
      <w:r w:rsidRPr="00653063">
        <w:rPr>
          <w:vertAlign w:val="superscript"/>
          <w:lang w:val="es-ES_tradnl"/>
        </w:rPr>
        <w:footnoteReference w:id="47"/>
      </w:r>
    </w:p>
    <w:p w14:paraId="155036AD" w14:textId="77777777" w:rsidR="00653063" w:rsidRPr="00653063" w:rsidRDefault="00653063" w:rsidP="004D525D">
      <w:pPr>
        <w:pStyle w:val="Bullet1G"/>
        <w:rPr>
          <w:lang w:val="es-ES_tradnl"/>
        </w:rPr>
      </w:pPr>
      <w:r w:rsidRPr="00653063">
        <w:rPr>
          <w:lang w:val="es-ES_tradnl"/>
        </w:rPr>
        <w:t>Respeto a los derechos fundamentales y garantías constitucionales de la población privada de libertad.</w:t>
      </w:r>
      <w:r w:rsidRPr="00653063">
        <w:rPr>
          <w:vertAlign w:val="superscript"/>
          <w:lang w:val="es-ES_tradnl"/>
        </w:rPr>
        <w:footnoteReference w:id="48"/>
      </w:r>
    </w:p>
    <w:p w14:paraId="414E4DC2" w14:textId="77777777" w:rsidR="00653063" w:rsidRPr="00653063" w:rsidRDefault="00653063" w:rsidP="007B7A44">
      <w:pPr>
        <w:pStyle w:val="Bullet1G"/>
        <w:rPr>
          <w:lang w:val="es-ES_tradnl"/>
        </w:rPr>
      </w:pPr>
      <w:r w:rsidRPr="00653063">
        <w:rPr>
          <w:lang w:val="es-ES_tradnl"/>
        </w:rPr>
        <w:t xml:space="preserve">Respeto, consideración y buen trato a personas de la tercera edad, </w:t>
      </w:r>
      <w:proofErr w:type="spellStart"/>
      <w:r w:rsidRPr="00653063">
        <w:rPr>
          <w:lang w:val="es-ES_tradnl"/>
        </w:rPr>
        <w:t>PcD</w:t>
      </w:r>
      <w:proofErr w:type="spellEnd"/>
      <w:r w:rsidRPr="00653063">
        <w:rPr>
          <w:lang w:val="es-ES_tradnl"/>
        </w:rPr>
        <w:t xml:space="preserve"> y mujeres en etapa de gestación.</w:t>
      </w:r>
      <w:r w:rsidRPr="00653063">
        <w:rPr>
          <w:vertAlign w:val="superscript"/>
          <w:lang w:val="es-ES_tradnl"/>
        </w:rPr>
        <w:footnoteReference w:id="49"/>
      </w:r>
    </w:p>
    <w:p w14:paraId="3BDCF88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cuenta con un </w:t>
      </w:r>
      <w:r w:rsidRPr="00653063">
        <w:rPr>
          <w:rFonts w:eastAsia="Times New Roman"/>
          <w:i/>
          <w:lang w:val="es-ES_tradnl" w:eastAsia="es-BO"/>
        </w:rPr>
        <w:t>Anteproyecto de Ley del Código de Enjuiciamiento Penal</w:t>
      </w:r>
      <w:r w:rsidRPr="00653063">
        <w:rPr>
          <w:rFonts w:eastAsia="Times New Roman"/>
          <w:lang w:val="es-ES_tradnl" w:eastAsia="es-BO"/>
        </w:rPr>
        <w:t xml:space="preserve">, que permitirá garantizar el acceso a la justicia de la población boliviana con un modelo que rompe </w:t>
      </w:r>
      <w:r w:rsidRPr="00653063">
        <w:rPr>
          <w:rFonts w:eastAsia="Times New Roman"/>
          <w:lang w:val="es-ES_tradnl" w:eastAsia="es-BO"/>
        </w:rPr>
        <w:lastRenderedPageBreak/>
        <w:t xml:space="preserve">el esquema de composición de juzgados, crea los Colegios de Jueces y fortalece las Oficinas Gestoras de Procesos. Propuesta normativa que contempla los siguientes ejes: a) Fortalecimiento y profundización de la oralidad, b) Nueva organización judicial, c) Mejora de la capacidad de respuesta del sistema a la víctima, d) Simplificación del procedimiento, e) </w:t>
      </w:r>
      <w:proofErr w:type="spellStart"/>
      <w:r w:rsidRPr="00653063">
        <w:rPr>
          <w:rFonts w:eastAsia="Times New Roman"/>
          <w:lang w:val="es-ES_tradnl" w:eastAsia="es-BO"/>
        </w:rPr>
        <w:t>Desformalización</w:t>
      </w:r>
      <w:proofErr w:type="spellEnd"/>
      <w:r w:rsidRPr="00653063">
        <w:rPr>
          <w:rFonts w:eastAsia="Times New Roman"/>
          <w:lang w:val="es-ES_tradnl" w:eastAsia="es-BO"/>
        </w:rPr>
        <w:t xml:space="preserve"> de la investigación y persecución penal estratégica, y, f) Medidas para revertir abuso de la detención preventiva.</w:t>
      </w:r>
    </w:p>
    <w:p w14:paraId="7D98C35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citada propuesta normativa, aporta al Debido Proceso, toda vez que obedece al diseño constitucional del proceso penal que ordena: juicio oral, publicidad de los procesos, protección de la víctima, respeto a la dignidad de todos los intervinientes, legalidad en la recolección de las pruebas, celeridad en el procedimiento y acceso a la justicia sin discriminación. Igualmente, fortalece la independencia e imparcialidad del Órgano Judicial, debido a que las y los jueces resuelven el asunto sometido a su conocimiento en la misma audiencia, eliminando sombras de duda sobre su actuación. Asimismo, la nueva estructura de organización en Colegios de Jueces, al tratarse de una estructura horizontal, destierra la noción de “jueces inferiores y jueces superiores”, revalorizando la función jurisdiccional ejercida en cualquier causa y en cualquier punto del país. </w:t>
      </w:r>
    </w:p>
    <w:p w14:paraId="32387E7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promulgó el Decreto Presidencial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4461 de 2 de febrero de 2021, de Amnistía e Indulto por razones humanitarias</w:t>
      </w:r>
      <w:r w:rsidRPr="00653063">
        <w:rPr>
          <w:rFonts w:ascii="Bookman Old Style" w:eastAsia="Bookman Old Style" w:hAnsi="Bookman Old Style" w:cs="Bookman Old Style"/>
          <w:lang w:val="es-ES_tradnl" w:eastAsia="es-BO"/>
        </w:rPr>
        <w:t xml:space="preserve"> </w:t>
      </w:r>
      <w:r w:rsidRPr="00653063">
        <w:rPr>
          <w:rFonts w:eastAsia="Times New Roman"/>
          <w:lang w:val="es-ES_tradnl" w:eastAsia="es-BO"/>
        </w:rPr>
        <w:t xml:space="preserve">encontrándose como grupo beneficiario,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grave o muy grave debidamente acreditada.</w:t>
      </w:r>
    </w:p>
    <w:p w14:paraId="0E1E95C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Recomendación del Párrafo 38, no se presentaron casos cuyo internamiento se haya realizado por motivo de discapacidad. </w:t>
      </w:r>
    </w:p>
    <w:p w14:paraId="1E2DC770" w14:textId="60EB83C0" w:rsidR="00653063" w:rsidRPr="00653063" w:rsidRDefault="00472D4C" w:rsidP="00472D4C">
      <w:pPr>
        <w:pStyle w:val="H23G"/>
        <w:rPr>
          <w:lang w:val="es-ES_tradnl" w:eastAsia="es-BO"/>
        </w:rPr>
      </w:pPr>
      <w:bookmarkStart w:id="20" w:name="_heading=h.35nkun2" w:colFirst="0" w:colLast="0"/>
      <w:bookmarkEnd w:id="20"/>
      <w:r>
        <w:rPr>
          <w:lang w:val="es-ES_tradnl" w:eastAsia="es-BO"/>
        </w:rPr>
        <w:tab/>
      </w:r>
      <w:r>
        <w:rPr>
          <w:lang w:val="es-ES_tradnl" w:eastAsia="es-BO"/>
        </w:rPr>
        <w:tab/>
        <w:t>k</w:t>
      </w:r>
      <w:r w:rsidR="001A06A1">
        <w:rPr>
          <w:lang w:val="es-ES_tradnl" w:eastAsia="es-BO"/>
        </w:rPr>
        <w:t>)</w:t>
      </w:r>
      <w:r w:rsidR="001A06A1">
        <w:rPr>
          <w:lang w:val="es-ES_tradnl" w:eastAsia="es-BO"/>
        </w:rPr>
        <w:tab/>
      </w:r>
      <w:r w:rsidR="00653063" w:rsidRPr="00653063">
        <w:rPr>
          <w:lang w:val="es-ES_tradnl" w:eastAsia="es-BO"/>
        </w:rPr>
        <w:t>Protección contra la tortura (Artículo 15, Recomendación 40)</w:t>
      </w:r>
    </w:p>
    <w:p w14:paraId="50BC120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 relación a la Recomendación del Párrafo 40, referente al SEPRET; Bolivia ratificó la </w:t>
      </w:r>
      <w:r w:rsidRPr="00653063">
        <w:rPr>
          <w:rFonts w:eastAsia="Times New Roman"/>
          <w:i/>
          <w:lang w:val="es-ES_tradnl" w:eastAsia="es-BO"/>
        </w:rPr>
        <w:t>Convención contra la Tortura y otros Tratos o Penas Crueles, Inhumanos o Degradantes</w:t>
      </w:r>
      <w:r w:rsidRPr="00653063">
        <w:rPr>
          <w:rFonts w:eastAsia="Times New Roman"/>
          <w:i/>
          <w:vertAlign w:val="superscript"/>
          <w:lang w:val="es-ES_tradnl" w:eastAsia="es-BO"/>
        </w:rPr>
        <w:footnoteReference w:id="50"/>
      </w:r>
      <w:r w:rsidRPr="00653063">
        <w:rPr>
          <w:rFonts w:eastAsia="Times New Roman"/>
          <w:i/>
          <w:lang w:val="es-ES_tradnl" w:eastAsia="es-BO"/>
        </w:rPr>
        <w:t xml:space="preserve"> </w:t>
      </w:r>
      <w:r w:rsidRPr="00653063">
        <w:rPr>
          <w:rFonts w:eastAsia="Times New Roman"/>
          <w:lang w:val="es-ES_tradnl" w:eastAsia="es-BO"/>
        </w:rPr>
        <w:t xml:space="preserve">y el </w:t>
      </w:r>
      <w:r w:rsidRPr="00653063">
        <w:rPr>
          <w:rFonts w:eastAsia="Times New Roman"/>
          <w:i/>
          <w:lang w:val="es-ES_tradnl" w:eastAsia="es-BO"/>
        </w:rPr>
        <w:t>Protocolo Facultativo de la Convención contra la Tortura y otros Tratos o Penas Crueles, Inhumanos o Degradantes (OPCAT)</w:t>
      </w:r>
      <w:r w:rsidRPr="00653063">
        <w:rPr>
          <w:rFonts w:eastAsia="Times New Roman"/>
          <w:i/>
          <w:vertAlign w:val="superscript"/>
          <w:lang w:val="es-ES_tradnl" w:eastAsia="es-BO"/>
        </w:rPr>
        <w:footnoteReference w:id="51"/>
      </w:r>
      <w:r w:rsidRPr="00653063">
        <w:rPr>
          <w:rFonts w:eastAsia="Times New Roman"/>
          <w:lang w:val="es-ES_tradnl" w:eastAsia="es-BO"/>
        </w:rPr>
        <w:t xml:space="preserve"> comprometiéndose al cumplimiento de </w:t>
      </w:r>
      <w:proofErr w:type="gramStart"/>
      <w:r w:rsidRPr="00653063">
        <w:rPr>
          <w:rFonts w:eastAsia="Times New Roman"/>
          <w:lang w:val="es-ES_tradnl" w:eastAsia="es-BO"/>
        </w:rPr>
        <w:t>los mismos</w:t>
      </w:r>
      <w:proofErr w:type="gramEnd"/>
      <w:r w:rsidRPr="00653063">
        <w:rPr>
          <w:rFonts w:eastAsia="Times New Roman"/>
          <w:lang w:val="es-ES_tradnl" w:eastAsia="es-BO"/>
        </w:rPr>
        <w:t xml:space="preserve">. </w:t>
      </w:r>
    </w:p>
    <w:p w14:paraId="031E93F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Ante el cuestionamiento de algunos organismos internacionales respecto a la independencia del entonces Servicio para la Prevención de la Tortura (“SEPRET”)</w:t>
      </w:r>
      <w:r w:rsidRPr="00653063">
        <w:rPr>
          <w:rFonts w:eastAsia="Times New Roman"/>
          <w:vertAlign w:val="superscript"/>
          <w:lang w:val="es-ES_tradnl" w:eastAsia="es-BO"/>
        </w:rPr>
        <w:footnoteReference w:id="52"/>
      </w:r>
      <w:r w:rsidRPr="00653063">
        <w:rPr>
          <w:rFonts w:eastAsia="Times New Roman"/>
          <w:lang w:val="es-ES_tradnl" w:eastAsia="es-BO"/>
        </w:rPr>
        <w:t xml:space="preserve">, se promulgó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1397 de 29 de septiembre de 2021 que designó a la Defensoría del Pueblo como el </w:t>
      </w:r>
      <w:r w:rsidRPr="00653063">
        <w:rPr>
          <w:rFonts w:eastAsia="Times New Roman"/>
          <w:i/>
          <w:lang w:val="es-ES_tradnl" w:eastAsia="es-BO"/>
        </w:rPr>
        <w:t>Mecanismo Nacional de Prevención de la Tortura del Estado Plurinacional de Bolivia</w:t>
      </w:r>
      <w:r w:rsidRPr="00653063">
        <w:rPr>
          <w:rFonts w:eastAsia="Times New Roman"/>
          <w:lang w:val="es-ES_tradnl" w:eastAsia="es-BO"/>
        </w:rPr>
        <w:t xml:space="preserve"> (“MNP-Bolivia”)</w:t>
      </w:r>
      <w:r w:rsidRPr="00653063">
        <w:rPr>
          <w:rFonts w:eastAsia="Times New Roman"/>
          <w:vertAlign w:val="superscript"/>
          <w:lang w:val="es-ES_tradnl" w:eastAsia="es-BO"/>
        </w:rPr>
        <w:footnoteReference w:id="53"/>
      </w:r>
      <w:r w:rsidRPr="00653063">
        <w:rPr>
          <w:rFonts w:eastAsia="Times New Roman"/>
          <w:lang w:val="es-ES_tradnl" w:eastAsia="es-BO"/>
        </w:rPr>
        <w:t xml:space="preserve"> en base a lo dispuesto en la CPE</w:t>
      </w:r>
      <w:r w:rsidRPr="00653063">
        <w:rPr>
          <w:rFonts w:eastAsia="Times New Roman"/>
          <w:vertAlign w:val="superscript"/>
          <w:lang w:val="es-ES_tradnl" w:eastAsia="es-BO"/>
        </w:rPr>
        <w:footnoteReference w:id="54"/>
      </w:r>
      <w:r w:rsidRPr="00653063">
        <w:rPr>
          <w:rFonts w:eastAsia="Times New Roman"/>
          <w:lang w:val="es-ES_tradnl" w:eastAsia="es-BO"/>
        </w:rPr>
        <w:t xml:space="preserve"> que la reconoce como una Institución con autonomía funcional, financiera y administrativa. Por ende, se encuentra garantizada la independencia y funcionalidad de la Defensoría del Pueblo como </w:t>
      </w:r>
      <w:r w:rsidRPr="00653063">
        <w:rPr>
          <w:rFonts w:eastAsia="Times New Roman"/>
          <w:u w:val="single"/>
          <w:lang w:val="es-ES_tradnl" w:eastAsia="es-BO"/>
        </w:rPr>
        <w:t>MNP-Bolivia</w:t>
      </w:r>
      <w:r w:rsidRPr="00653063">
        <w:rPr>
          <w:rFonts w:eastAsia="Times New Roman"/>
          <w:lang w:val="es-ES_tradnl" w:eastAsia="es-BO"/>
        </w:rPr>
        <w:t>.</w:t>
      </w:r>
    </w:p>
    <w:p w14:paraId="231E2AE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El Parágrafo II del Artículo 2 de la citada Ley otorga al Defensor del Pueblo como MNP- Bolivia la atribución de examinar el trato de las personas privadas de libertad con miras a reforzar su protección contra la tortura y otros tratos o penas crueles, inhumanos o degradantes,</w:t>
      </w:r>
      <w:r w:rsidRPr="00653063">
        <w:rPr>
          <w:rFonts w:eastAsia="Times New Roman"/>
          <w:vertAlign w:val="superscript"/>
          <w:lang w:val="es-ES_tradnl" w:eastAsia="es-BO"/>
        </w:rPr>
        <w:t xml:space="preserve"> </w:t>
      </w:r>
      <w:r w:rsidRPr="00653063">
        <w:rPr>
          <w:rFonts w:eastAsia="Times New Roman"/>
          <w:lang w:val="es-ES_tradnl" w:eastAsia="es-BO"/>
        </w:rPr>
        <w:t xml:space="preserve">y cumplir así con la supervisión a la situación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base a su función de visita. Visitas que se extienden a todos los lugares donde existen o pueden existir personas privadas de su libertad y que incluye la supervisión a la situación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institucionalizadas en contra su voluntad, conforme al Artículo 4 del OPCAT. </w:t>
      </w:r>
    </w:p>
    <w:p w14:paraId="0D599F1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el MNP-Bolivia el año 2022 realizó visitas a 4 Centros Psiquiátricos: San Juan de Dios (Cochabamba), Unidad de Salud Mental (La Paz), </w:t>
      </w:r>
      <w:proofErr w:type="spellStart"/>
      <w:r w:rsidRPr="00653063">
        <w:rPr>
          <w:rFonts w:eastAsia="Times New Roman"/>
          <w:lang w:val="es-ES_tradnl" w:eastAsia="es-BO"/>
        </w:rPr>
        <w:t>Intraid</w:t>
      </w:r>
      <w:proofErr w:type="spellEnd"/>
      <w:r w:rsidRPr="00653063">
        <w:rPr>
          <w:rFonts w:eastAsia="Times New Roman"/>
          <w:lang w:val="es-ES_tradnl" w:eastAsia="es-BO"/>
        </w:rPr>
        <w:t xml:space="preserve"> (Tarija) y Hospital Benito </w:t>
      </w:r>
      <w:proofErr w:type="spellStart"/>
      <w:r w:rsidRPr="00653063">
        <w:rPr>
          <w:rFonts w:eastAsia="Times New Roman"/>
          <w:lang w:val="es-ES_tradnl" w:eastAsia="es-BO"/>
        </w:rPr>
        <w:t>Meni</w:t>
      </w:r>
      <w:proofErr w:type="spellEnd"/>
      <w:r w:rsidRPr="00653063">
        <w:rPr>
          <w:rFonts w:eastAsia="Times New Roman"/>
          <w:lang w:val="es-ES_tradnl" w:eastAsia="es-BO"/>
        </w:rPr>
        <w:t xml:space="preserve"> (Santa Cruz); Centros donde existen personas internadas, las cuales presentan deficiencias psicológicas, como ansiedad o depresión, y trastornos mentales más severos, diagnosticados con esquizofrenia, y otros por consumo de sustancias psicoactivas. </w:t>
      </w:r>
    </w:p>
    <w:p w14:paraId="16C2C4AF" w14:textId="40F785AF" w:rsidR="00653063" w:rsidRPr="00653063" w:rsidRDefault="00981311" w:rsidP="00981311">
      <w:pPr>
        <w:pStyle w:val="H23G"/>
        <w:rPr>
          <w:lang w:val="es-ES_tradnl" w:eastAsia="es-BO"/>
        </w:rPr>
      </w:pPr>
      <w:bookmarkStart w:id="21" w:name="_heading=h.1ksv4uv" w:colFirst="0" w:colLast="0"/>
      <w:bookmarkEnd w:id="21"/>
      <w:r>
        <w:rPr>
          <w:lang w:val="es-ES_tradnl" w:eastAsia="es-BO"/>
        </w:rPr>
        <w:lastRenderedPageBreak/>
        <w:tab/>
      </w:r>
      <w:r>
        <w:rPr>
          <w:lang w:val="es-ES_tradnl" w:eastAsia="es-BO"/>
        </w:rPr>
        <w:tab/>
      </w:r>
      <w:r w:rsidR="007675A5">
        <w:rPr>
          <w:lang w:val="es-ES_tradnl" w:eastAsia="es-BO"/>
        </w:rPr>
        <w:t>l)</w:t>
      </w:r>
      <w:r w:rsidR="007675A5">
        <w:rPr>
          <w:lang w:val="es-ES_tradnl" w:eastAsia="es-BO"/>
        </w:rPr>
        <w:tab/>
      </w:r>
      <w:r w:rsidR="00653063" w:rsidRPr="00653063">
        <w:rPr>
          <w:lang w:val="es-ES_tradnl" w:eastAsia="es-BO"/>
        </w:rPr>
        <w:t>Protección contra la explotación, la violencia y el abuso (Artículo 16 y Recomendación 42)</w:t>
      </w:r>
    </w:p>
    <w:p w14:paraId="24150C0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 relación a la Recomendación del Párrafo 42, sobre la modificación a la legislación relativa a la lucha contra la violencia con la incorporación de la perspectiva de discapacidad, género y edad,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548 de 17 de julio de 2014, Código de la Niña, Niño y Adolescente (CNNA) consagra el principio fundamental de la Igualdad y No Discriminación, entendiendo que las NNA son libres e iguales con dignidad y derechos, y no serán discriminados por ninguna causa.</w:t>
      </w:r>
      <w:r w:rsidRPr="00653063">
        <w:rPr>
          <w:rFonts w:eastAsia="Times New Roman"/>
          <w:vertAlign w:val="superscript"/>
          <w:lang w:val="es-ES_tradnl" w:eastAsia="es-BO"/>
        </w:rPr>
        <w:footnoteReference w:id="55"/>
      </w:r>
      <w:r w:rsidRPr="00653063">
        <w:rPr>
          <w:rFonts w:eastAsia="Times New Roman"/>
          <w:lang w:val="es-ES_tradnl" w:eastAsia="es-BO"/>
        </w:rPr>
        <w:t xml:space="preserve"> </w:t>
      </w:r>
    </w:p>
    <w:p w14:paraId="2845583B"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Asimismo, se garantiza su derecho a la integridad personal (física, psicológica y sexual), debiendo protegerlos de cualquier forma de explotación, maltrato, abuso o negligencia que afecten su integridad personal</w:t>
      </w:r>
      <w:r w:rsidRPr="00653063">
        <w:rPr>
          <w:rFonts w:eastAsia="Times New Roman"/>
          <w:vertAlign w:val="superscript"/>
          <w:lang w:val="es-ES_tradnl" w:eastAsia="es-BO"/>
        </w:rPr>
        <w:footnoteReference w:id="56"/>
      </w:r>
      <w:r w:rsidRPr="00653063">
        <w:rPr>
          <w:rFonts w:eastAsia="Times New Roman"/>
          <w:lang w:val="es-ES_tradnl" w:eastAsia="es-BO"/>
        </w:rPr>
        <w:t>; y el derecho al Buen Trato, entendido como una crianza y educación no violenta, basada en el respeto recíproco y la solidaridad, el empleo de métodos no violentos en la crianza, formación, educación y corrección y la prohibición de cualquier tipo de castigo físico, violento o humillante.</w:t>
      </w:r>
      <w:r w:rsidRPr="00653063">
        <w:rPr>
          <w:rFonts w:eastAsia="Times New Roman"/>
          <w:vertAlign w:val="superscript"/>
          <w:lang w:val="es-ES_tradnl" w:eastAsia="es-BO"/>
        </w:rPr>
        <w:footnoteReference w:id="57"/>
      </w:r>
    </w:p>
    <w:p w14:paraId="1DD4ABB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 través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348 de 09 de marzo de 2013, Integral para Garantizar a la Mujer una Vida Libre de Violencia, el Estado boliviano adoptó medidas de carácter legislativo y administrativo sobre protección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contra todas las formas de violencia, incluidos los aspectos relacionados con el género. </w:t>
      </w:r>
    </w:p>
    <w:p w14:paraId="71A082C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b/>
          <w:lang w:val="es-ES_tradnl" w:eastAsia="es-BO"/>
        </w:rPr>
      </w:pPr>
      <w:r w:rsidRPr="00653063">
        <w:rPr>
          <w:rFonts w:eastAsia="Times New Roman"/>
          <w:lang w:val="es-ES_tradnl" w:eastAsia="es-BO"/>
        </w:rPr>
        <w:t xml:space="preserve">Asimismo, el MTEPS desarrolló un Protocolo de Atención a Personas en Situación de Vulnerabilidad, que también contempla a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04B5C80C" w14:textId="1B8D3293" w:rsidR="00653063" w:rsidRPr="00653063" w:rsidRDefault="007675A5" w:rsidP="007675A5">
      <w:pPr>
        <w:pStyle w:val="H23G"/>
        <w:rPr>
          <w:lang w:val="es-ES_tradnl" w:eastAsia="es-BO"/>
        </w:rPr>
      </w:pPr>
      <w:bookmarkStart w:id="22" w:name="_heading=h.44sinio" w:colFirst="0" w:colLast="0"/>
      <w:bookmarkEnd w:id="22"/>
      <w:r>
        <w:rPr>
          <w:lang w:val="es-ES_tradnl" w:eastAsia="es-BO"/>
        </w:rPr>
        <w:tab/>
      </w:r>
      <w:r>
        <w:rPr>
          <w:lang w:val="es-ES_tradnl" w:eastAsia="es-BO"/>
        </w:rPr>
        <w:tab/>
      </w:r>
      <w:r w:rsidR="00DE3C32">
        <w:rPr>
          <w:lang w:val="es-ES_tradnl" w:eastAsia="es-BO"/>
        </w:rPr>
        <w:t>m)</w:t>
      </w:r>
      <w:r w:rsidR="00DE3C32">
        <w:rPr>
          <w:lang w:val="es-ES_tradnl" w:eastAsia="es-BO"/>
        </w:rPr>
        <w:tab/>
      </w:r>
      <w:r w:rsidR="00653063" w:rsidRPr="00653063">
        <w:rPr>
          <w:lang w:val="es-ES_tradnl" w:eastAsia="es-BO"/>
        </w:rPr>
        <w:t>Protección de la integridad personal (Artículo 17, Recomendaciones: 44, 46)</w:t>
      </w:r>
    </w:p>
    <w:p w14:paraId="356531A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Recomendación del Párrafo 44, con relación a abolir la práctica de la esterilización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sin su consentimiento y la adopción de protocolos para asegurar dicho consentimiento, en el Informe Inicial se reportó que conforme la normativa vigente, Bolivia garantiza el derecho a la integridad física y mental</w:t>
      </w:r>
      <w:r w:rsidRPr="00653063">
        <w:rPr>
          <w:rFonts w:eastAsia="Times New Roman"/>
          <w:vertAlign w:val="superscript"/>
          <w:lang w:val="es-ES_tradnl" w:eastAsia="es-BO"/>
        </w:rPr>
        <w:footnoteReference w:id="58"/>
      </w:r>
      <w:r w:rsidRPr="00653063">
        <w:rPr>
          <w:rFonts w:eastAsia="Times New Roman"/>
          <w:lang w:val="es-ES_tradnl" w:eastAsia="es-BO"/>
        </w:rPr>
        <w:t xml:space="preserve"> de </w:t>
      </w:r>
      <w:proofErr w:type="spellStart"/>
      <w:r w:rsidRPr="00653063">
        <w:rPr>
          <w:rFonts w:eastAsia="Times New Roman"/>
          <w:lang w:val="es-ES_tradnl" w:eastAsia="es-BO"/>
        </w:rPr>
        <w:t>PcD</w:t>
      </w:r>
      <w:proofErr w:type="spellEnd"/>
      <w:r w:rsidRPr="00653063">
        <w:rPr>
          <w:rFonts w:eastAsia="Times New Roman"/>
          <w:lang w:val="es-ES_tradnl" w:eastAsia="es-BO"/>
        </w:rPr>
        <w:t>, salvaguardando derechos sexuales y reproductivos contra la esterilización obligatoria o suministro de métodos anticonceptivos obligatorios.</w:t>
      </w:r>
      <w:r w:rsidRPr="00653063">
        <w:rPr>
          <w:rFonts w:eastAsia="Times New Roman"/>
          <w:vertAlign w:val="superscript"/>
          <w:lang w:val="es-ES_tradnl" w:eastAsia="es-BO"/>
        </w:rPr>
        <w:footnoteReference w:id="59"/>
      </w:r>
    </w:p>
    <w:p w14:paraId="40235DB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MSD desarrolló los documentos técnicos normativos: Norma Nacional de Atención Clínica (NNAC) y el Proyecto Nacional de Calidad en Salud (PRONAC) que regulan cualquier procedimiento médico y quirúrgico a través del Consentimiento Informado. </w:t>
      </w:r>
    </w:p>
    <w:p w14:paraId="4761757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348 de 09 de marzo de 2013, Integral para Garantizar a la Mujer una Vida Libre de Violencia establece que la persona que prive a otra de su función reproductiva de forma temporal o permanente sin su consentimiento expreso, voluntario, libre e informado, o de su representante legal en caso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intelectual severa, será sancionada con pena privativa de libertad de cinco a doce años.</w:t>
      </w:r>
      <w:r w:rsidRPr="00653063">
        <w:rPr>
          <w:rFonts w:eastAsia="Times New Roman"/>
          <w:vertAlign w:val="superscript"/>
          <w:lang w:val="es-ES_tradnl" w:eastAsia="es-BO"/>
        </w:rPr>
        <w:footnoteReference w:id="60"/>
      </w:r>
    </w:p>
    <w:p w14:paraId="471E98E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CONALPEDIS viene coordinando con la instancia competente acciones para la modificación de la Ley señalada precedentemente, sobre las sanciones a quienes priven la función reproductiva de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3FBBEBB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b/>
          <w:lang w:val="es-ES_tradnl" w:eastAsia="es-BO"/>
        </w:rPr>
      </w:pPr>
      <w:proofErr w:type="gramStart"/>
      <w:r w:rsidRPr="00653063">
        <w:rPr>
          <w:rFonts w:eastAsia="Times New Roman"/>
          <w:lang w:val="es-ES_tradnl" w:eastAsia="es-BO"/>
        </w:rPr>
        <w:t>En relación a</w:t>
      </w:r>
      <w:proofErr w:type="gramEnd"/>
      <w:r w:rsidRPr="00653063">
        <w:rPr>
          <w:rFonts w:eastAsia="Times New Roman"/>
          <w:lang w:val="es-ES_tradnl" w:eastAsia="es-BO"/>
        </w:rPr>
        <w:t xml:space="preserve"> la Recomendación del párrafo 46, concerniente al proceso de investigación para determinar las responsabilidades en los actos de represión y el uso de la violencia en las manifestaciones sociales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la FGE reportó no tener registro de proceso investigativo por los hechos ocurridos el 14 de diciembre de 2012 y 24 de mayo de 2016 en la ciudad de La Paz, hechos en los que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fueran víctimas. </w:t>
      </w:r>
    </w:p>
    <w:p w14:paraId="3E23EF5D" w14:textId="34077CF7" w:rsidR="00653063" w:rsidRPr="00653063" w:rsidRDefault="00DE3C32" w:rsidP="00DE3C32">
      <w:pPr>
        <w:pStyle w:val="H23G"/>
        <w:rPr>
          <w:lang w:val="es-ES_tradnl" w:eastAsia="es-BO"/>
        </w:rPr>
      </w:pPr>
      <w:bookmarkStart w:id="23" w:name="_heading=h.2jxsxqh" w:colFirst="0" w:colLast="0"/>
      <w:bookmarkEnd w:id="23"/>
      <w:r>
        <w:rPr>
          <w:lang w:val="es-ES_tradnl" w:eastAsia="es-BO"/>
        </w:rPr>
        <w:tab/>
      </w:r>
      <w:r>
        <w:rPr>
          <w:lang w:val="es-ES_tradnl" w:eastAsia="es-BO"/>
        </w:rPr>
        <w:tab/>
      </w:r>
      <w:r w:rsidR="00871357">
        <w:rPr>
          <w:lang w:val="es-ES_tradnl" w:eastAsia="es-BO"/>
        </w:rPr>
        <w:t>n)</w:t>
      </w:r>
      <w:r w:rsidR="00871357">
        <w:rPr>
          <w:lang w:val="es-ES_tradnl" w:eastAsia="es-BO"/>
        </w:rPr>
        <w:tab/>
      </w:r>
      <w:r w:rsidR="00653063" w:rsidRPr="00653063">
        <w:rPr>
          <w:lang w:val="es-ES_tradnl" w:eastAsia="es-BO"/>
        </w:rPr>
        <w:t>Libertad de desplazamiento y nacionalidad (Artículo 18 y Recomendación 48)</w:t>
      </w:r>
    </w:p>
    <w:p w14:paraId="0DB3569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Recomendación del Párrafo 48 de las Observaciones Finales, referente a garantizar 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el derecho al registro y capacitación de los servidores públicos, se </w:t>
      </w:r>
      <w:r w:rsidRPr="00653063">
        <w:rPr>
          <w:rFonts w:eastAsia="Times New Roman"/>
          <w:lang w:val="es-ES_tradnl" w:eastAsia="es-BO"/>
        </w:rPr>
        <w:lastRenderedPageBreak/>
        <w:t>reporta que el Servicio de Registro Cívico (“SERECÍ”), instancia competente de la organización y administración del registro de las personas naturales en Bolivia, promueve periódicamente campañas para registro de recién nacidos en el área urbana y rural del territorio nacional. En la gestión 2022 se realizaron 208.055</w:t>
      </w:r>
      <w:r w:rsidRPr="00653063">
        <w:rPr>
          <w:rFonts w:eastAsia="Times New Roman"/>
          <w:b/>
          <w:lang w:val="es-ES_tradnl" w:eastAsia="es-BO"/>
        </w:rPr>
        <w:t xml:space="preserve"> </w:t>
      </w:r>
      <w:r w:rsidRPr="00653063">
        <w:rPr>
          <w:rFonts w:eastAsia="Times New Roman"/>
          <w:lang w:val="es-ES_tradnl" w:eastAsia="es-BO"/>
        </w:rPr>
        <w:t>registros de nacimiento de 0 a 12 años, entregándose 208.055 certificados de nacimiento gratuitos.</w:t>
      </w:r>
    </w:p>
    <w:p w14:paraId="79A4BA7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Desde la gestión 2013 al 2019 el SERECÍ contaba con Oficiales de Registro Civil para el registro de recién nacidos en los Hospitales y Centros Hospitalarios para Mujeres, con el objetivo de tener “cero bolivianos indocumentados”. En las gestiones 2021 y 2022, realizó 589 campañas para el registro, dirigidas a la población en general, incluidas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adultas mayores, entre otras. Asimismo, realizó 17 campañas dirigidas a </w:t>
      </w:r>
      <w:proofErr w:type="spellStart"/>
      <w:r w:rsidRPr="00653063">
        <w:rPr>
          <w:rFonts w:eastAsia="Times New Roman"/>
          <w:lang w:val="es-ES_tradnl" w:eastAsia="es-BO"/>
        </w:rPr>
        <w:t>PcD</w:t>
      </w:r>
      <w:proofErr w:type="spellEnd"/>
      <w:r w:rsidRPr="00653063">
        <w:rPr>
          <w:rFonts w:eastAsia="Times New Roman"/>
          <w:lang w:val="es-ES_tradnl" w:eastAsia="es-BO"/>
        </w:rPr>
        <w:t>: 3 en Potosí, 1 en Beni y 13 en Pando.</w:t>
      </w:r>
    </w:p>
    <w:p w14:paraId="17CE8EF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Adicionalmente, otorgó gratuitamente 1047 duplicados de Certificados de Nacimiento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Asimismo, en el marco del Plan de Intervención Integral con Pueblos Indígenas Originarios y Campesino y el </w:t>
      </w:r>
      <w:proofErr w:type="spellStart"/>
      <w:r w:rsidRPr="00653063">
        <w:rPr>
          <w:rFonts w:eastAsia="Times New Roman"/>
          <w:lang w:val="es-ES_tradnl" w:eastAsia="es-BO"/>
        </w:rPr>
        <w:t>el</w:t>
      </w:r>
      <w:proofErr w:type="spellEnd"/>
      <w:r w:rsidRPr="00653063">
        <w:rPr>
          <w:rFonts w:eastAsia="Times New Roman"/>
          <w:lang w:val="es-ES_tradnl" w:eastAsia="es-BO"/>
        </w:rPr>
        <w:t xml:space="preserve"> Plan Nacional de Vacunación contra el COVID-19, se realizaron actividades de vacunación de manera conjunta con el Programa Ampliado de Inmunización, con el pago del Bono Juana Azurduy, la entrega de Cédulas de Identidad a través del SEGIP, la entrega de Certificados de Nacimiento a través del SERECÍ y la entrega del subsidio prenatal por intermedio del Servicio de Desarrollo de las Empresas Públicas Productivas (SEDEM)</w:t>
      </w:r>
      <w:r w:rsidRPr="00653063">
        <w:rPr>
          <w:rFonts w:eastAsia="Times New Roman"/>
          <w:sz w:val="24"/>
          <w:szCs w:val="24"/>
          <w:lang w:val="es-BO" w:eastAsia="es-BO"/>
        </w:rPr>
        <w:t>.</w:t>
      </w:r>
    </w:p>
    <w:p w14:paraId="1C04F15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TSE a través del Servicio Intercultural de Fortalecimiento Democrático realizó diálogos de sensibilización dirigidos a los servidores públicos del SERECÍ sobre los derechos políticos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 fin de garantizar el ejercicio integral libre e igualitario de sus derechos.</w:t>
      </w:r>
    </w:p>
    <w:p w14:paraId="6AAAEBE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Además, el SEGIP a través de su </w:t>
      </w:r>
      <w:r w:rsidRPr="00653063">
        <w:rPr>
          <w:rFonts w:eastAsia="Times New Roman"/>
          <w:i/>
          <w:lang w:val="es-ES_tradnl" w:eastAsia="es-BO"/>
        </w:rPr>
        <w:t>“Programa de Cedulación a Domicilio”</w:t>
      </w:r>
      <w:r w:rsidRPr="00653063">
        <w:rPr>
          <w:rFonts w:eastAsia="Times New Roman"/>
          <w:lang w:val="es-ES_tradnl" w:eastAsia="es-BO"/>
        </w:rPr>
        <w:t xml:space="preserve">; acude a los domicilios de las personas que no pueden acudir a oficinas del SEGIP, por razones de salud como en el caso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impedidas de movilizarse por sí mismas, para otorgarles una cédula de identidad con vigencia indefinida para las y los bolivianos a partir de los cincuenta y ocho (58) años y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grave y muy grave. Desde enero a abril de 2021, emitió 75 Cédulas de Identidad en todo el país en el marco del citado Programa.</w:t>
      </w:r>
    </w:p>
    <w:p w14:paraId="51835FE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Además, desde el 2021 hasta el 30 de abril del 2023 emitió 6981 Cédulas de Identidad a nivel nacional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10 Cédulas de Identidad a extranjeros residentes en el país con alguna discapacidad.</w:t>
      </w:r>
    </w:p>
    <w:p w14:paraId="1347653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SEGIP aprobó el Protocolo para la emisión de licencias para conducir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auditiva</w:t>
      </w:r>
      <w:r w:rsidRPr="00653063">
        <w:rPr>
          <w:rFonts w:eastAsia="Times New Roman"/>
          <w:sz w:val="18"/>
          <w:szCs w:val="18"/>
          <w:vertAlign w:val="superscript"/>
          <w:lang w:val="es-ES_tradnl" w:eastAsia="es-BO"/>
        </w:rPr>
        <w:footnoteReference w:id="61"/>
      </w:r>
      <w:r w:rsidRPr="00653063">
        <w:rPr>
          <w:rFonts w:eastAsia="Times New Roman"/>
          <w:lang w:val="es-ES_tradnl" w:eastAsia="es-BO"/>
        </w:rPr>
        <w:t>, garantizando el ejercicio pleno de los derechos y deberes en igualdad de condiciones, equiparación de oportunidades y trato preferente bajo un sistema de protección integral para esta población.</w:t>
      </w:r>
    </w:p>
    <w:p w14:paraId="39430EB4" w14:textId="2E45227A" w:rsidR="00653063" w:rsidRPr="00653063" w:rsidRDefault="006E1189" w:rsidP="006E1189">
      <w:pPr>
        <w:pStyle w:val="H23G"/>
        <w:rPr>
          <w:lang w:val="es-ES_tradnl" w:eastAsia="es-BO"/>
        </w:rPr>
      </w:pPr>
      <w:bookmarkStart w:id="24" w:name="_heading=h.z337ya" w:colFirst="0" w:colLast="0"/>
      <w:bookmarkEnd w:id="24"/>
      <w:r>
        <w:rPr>
          <w:lang w:val="es-ES_tradnl" w:eastAsia="es-BO"/>
        </w:rPr>
        <w:tab/>
      </w:r>
      <w:r>
        <w:rPr>
          <w:lang w:val="es-ES_tradnl" w:eastAsia="es-BO"/>
        </w:rPr>
        <w:tab/>
        <w:t>o)</w:t>
      </w:r>
      <w:r>
        <w:rPr>
          <w:lang w:val="es-ES_tradnl" w:eastAsia="es-BO"/>
        </w:rPr>
        <w:tab/>
      </w:r>
      <w:r w:rsidR="00653063" w:rsidRPr="00653063">
        <w:rPr>
          <w:lang w:val="es-ES_tradnl" w:eastAsia="es-BO"/>
        </w:rPr>
        <w:t>Derecho a vivir de forma independiente y a ser incluido en la comunidad (Artículo 19 y Recomendación 50)</w:t>
      </w:r>
    </w:p>
    <w:p w14:paraId="4BE981F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bookmarkStart w:id="25" w:name="_Hlk152585183"/>
      <w:r w:rsidRPr="00653063">
        <w:rPr>
          <w:rFonts w:eastAsia="Times New Roman"/>
          <w:lang w:val="es-ES_tradnl" w:eastAsia="es-BO"/>
        </w:rPr>
        <w:t xml:space="preserve">Sobre la Recomendación del párrafo 50 del Comité, respecto a servicios de apoyo en la comunidad, contar con recursos humanos calificados y presupuestos suficientes, que permitan 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decidir de manera autónoma dónde vivir y a ser incluidas en la comunidad, cabe comunicar al Comité que el CONALPEDIS, elaboró la Propuesta de </w:t>
      </w:r>
      <w:r w:rsidRPr="00653063">
        <w:rPr>
          <w:rFonts w:eastAsia="Times New Roman"/>
          <w:i/>
          <w:iCs/>
          <w:lang w:val="es-ES_tradnl" w:eastAsia="es-BO"/>
        </w:rPr>
        <w:t>Política Pública Integral de “Rehabilitación Basada en la Comunidad”</w:t>
      </w:r>
      <w:r w:rsidRPr="00653063">
        <w:rPr>
          <w:rFonts w:eastAsia="Times New Roman"/>
          <w:lang w:val="es-ES_tradnl" w:eastAsia="es-BO"/>
        </w:rPr>
        <w:t>, para la inclusión, accesibilidad y participación que contribuyan a la igualdad de oportunidades, equiparación de condiciones para la reducción de la pobreza, desigualdades y eliminación de la discriminación en razón de discapacidad, en el Estado.</w:t>
      </w:r>
    </w:p>
    <w:bookmarkEnd w:id="25"/>
    <w:p w14:paraId="090154D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2016 y 2017, la UE-FNSE implementó el </w:t>
      </w:r>
      <w:r w:rsidRPr="00653063">
        <w:rPr>
          <w:rFonts w:eastAsia="Times New Roman"/>
          <w:i/>
          <w:lang w:val="es-ES_tradnl" w:eastAsia="es-BO"/>
        </w:rPr>
        <w:t>“Programa de Servicio Social de Personas con Discapacidad”; y</w:t>
      </w:r>
      <w:r w:rsidRPr="00653063">
        <w:rPr>
          <w:rFonts w:eastAsia="Times New Roman"/>
          <w:lang w:val="es-ES_tradnl" w:eastAsia="es-BO"/>
        </w:rPr>
        <w:t xml:space="preserve">, el 2018, 2019, 2021 y 2022, el </w:t>
      </w:r>
      <w:r w:rsidRPr="00653063">
        <w:rPr>
          <w:rFonts w:eastAsia="Times New Roman"/>
          <w:i/>
          <w:lang w:val="es-ES_tradnl" w:eastAsia="es-BO"/>
        </w:rPr>
        <w:t>“Programa Nacional de Servicios Sociales y Legales para Personas con Discapacidad”</w:t>
      </w:r>
      <w:r w:rsidRPr="00653063">
        <w:rPr>
          <w:rFonts w:eastAsia="Times New Roman"/>
          <w:lang w:val="es-ES_tradnl" w:eastAsia="es-BO"/>
        </w:rPr>
        <w:t xml:space="preserve"> a nivel nacional, en 50 Oficinas distribuidas en todo el territorio.</w:t>
      </w:r>
    </w:p>
    <w:p w14:paraId="3BECC5D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el Gobierno Autónomo Departamental de Chuquisaca emitió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252/2015 de 21 de mayo de 2015, Ley Departamental de Ayudas Sociales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que tiene </w:t>
      </w:r>
      <w:r w:rsidRPr="00653063">
        <w:rPr>
          <w:rFonts w:eastAsia="Times New Roman"/>
          <w:lang w:val="es-ES_tradnl" w:eastAsia="es-BO"/>
        </w:rPr>
        <w:lastRenderedPageBreak/>
        <w:t xml:space="preserve">por objetivo, proporcionar las ayudas sociales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 través de la otorgación de ayudas técnicas y la promoción de emprendimiento productivos sociales en el Departamento de Chuquisaca, a fin de mejorar la autonomía personal y el desarrollo de una vida independiente de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73A10304" w14:textId="7069ACF2" w:rsidR="00653063" w:rsidRPr="00653063" w:rsidRDefault="0099207C" w:rsidP="0099207C">
      <w:pPr>
        <w:pStyle w:val="H23G"/>
        <w:rPr>
          <w:lang w:val="es-ES_tradnl" w:eastAsia="es-BO"/>
        </w:rPr>
      </w:pPr>
      <w:bookmarkStart w:id="26" w:name="_heading=h.3j2qqm3" w:colFirst="0" w:colLast="0"/>
      <w:bookmarkEnd w:id="26"/>
      <w:r>
        <w:rPr>
          <w:lang w:val="es-ES_tradnl" w:eastAsia="es-BO"/>
        </w:rPr>
        <w:tab/>
      </w:r>
      <w:r>
        <w:rPr>
          <w:lang w:val="es-ES_tradnl" w:eastAsia="es-BO"/>
        </w:rPr>
        <w:tab/>
      </w:r>
      <w:r w:rsidR="00B55C6A">
        <w:rPr>
          <w:lang w:val="es-ES_tradnl" w:eastAsia="es-BO"/>
        </w:rPr>
        <w:t>p)</w:t>
      </w:r>
      <w:r w:rsidR="00B55C6A">
        <w:rPr>
          <w:lang w:val="es-ES_tradnl" w:eastAsia="es-BO"/>
        </w:rPr>
        <w:tab/>
      </w:r>
      <w:r w:rsidR="00653063" w:rsidRPr="00653063">
        <w:rPr>
          <w:lang w:val="es-ES_tradnl" w:eastAsia="es-BO"/>
        </w:rPr>
        <w:t>Libertad de expresión y comunicación y acceso a la información (Artículo 21 y Recomendación 52)</w:t>
      </w:r>
    </w:p>
    <w:p w14:paraId="5644533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Recomendación del párrafo 52 de las Observaciones Finales, con relación al reconocimiento de la lengua de señas boliviana como un idioma oficial, se informa que se cuenta con el Proyecto de Ley 269-21 que reconoce la LSB como Idioma Oficial de la Población con Discapacidades Auditivas, que se encuentra en tratamiento en la ALP. El Proyecto, garantiza la inclusión de la LSB en el Sistema de Educación de Bolivia, fortalece los programas para la inclusión de la población con discapacidades auditivas, promueve programas de titulación y reconocimiento de las competencias de las personas que tienen conocimiento de la LSB, disponibilidad de intérpretes gratuitos de LSB en los niveles de acceso a la justicia, la inclusión de intérpretes para la atención de </w:t>
      </w:r>
      <w:proofErr w:type="spellStart"/>
      <w:r w:rsidRPr="00653063">
        <w:rPr>
          <w:rFonts w:eastAsia="Times New Roman"/>
          <w:lang w:val="es-ES_tradnl" w:eastAsia="es-BO"/>
        </w:rPr>
        <w:t>PcD</w:t>
      </w:r>
      <w:proofErr w:type="spellEnd"/>
      <w:r w:rsidRPr="00653063">
        <w:rPr>
          <w:rFonts w:eastAsia="Times New Roman"/>
          <w:lang w:val="es-ES_tradnl" w:eastAsia="es-BO"/>
        </w:rPr>
        <w:t>, entre otros. (Anexo 5)</w:t>
      </w:r>
    </w:p>
    <w:p w14:paraId="5DD3169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Además, con la promulgación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269 de 02 de agosto de 2012, General de Derechos y Políticas Lingüísticas</w:t>
      </w:r>
      <w:r w:rsidRPr="00653063">
        <w:rPr>
          <w:rFonts w:eastAsia="Times New Roman"/>
          <w:vertAlign w:val="superscript"/>
          <w:lang w:val="es-ES_tradnl" w:eastAsia="es-BO"/>
        </w:rPr>
        <w:footnoteReference w:id="62"/>
      </w:r>
      <w:r w:rsidRPr="00653063">
        <w:rPr>
          <w:rFonts w:eastAsia="Times New Roman"/>
          <w:lang w:val="es-ES_tradnl" w:eastAsia="es-BO"/>
        </w:rPr>
        <w:t xml:space="preserve"> se reconocen como idiomas oficiales el castellano y todos los idiomas de las Naciones y Pueblos Indígena Originario Campesinos. Así también, la citada Ley garantiza la difusión de la realidad pluricultural y plurilingüe en la LSB.</w:t>
      </w:r>
    </w:p>
    <w:p w14:paraId="2E9000B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sujeción al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328 de 14 de octubre de 2009, se incorporó la comunicación en LSB, así como intérpretes de LSB en instituciones públicas y privadas. Asimismo, el Consejo de Lengua de Señas Boliviana (“CLSB”), desarrolla acciones destinadas a afianzar el respeto y ejercicio pleno del derecho a la comunicación, identidad y cultura de personas sordas. En este marco, el 2022, el CLSB elaboró el Plan de Formación de Intérpretes "Especialidad Técnica Interpretación en LSB- Castellano”, que se encuentra en revisión.</w:t>
      </w:r>
    </w:p>
    <w:p w14:paraId="5CF60D4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 través del Sistema Plurinacional de Certificación de Competencias del Ministerio de Educación, se otorga la </w:t>
      </w:r>
      <w:r w:rsidRPr="00653063">
        <w:rPr>
          <w:rFonts w:eastAsia="Times New Roman"/>
          <w:i/>
          <w:lang w:val="es-ES_tradnl" w:eastAsia="es-BO"/>
        </w:rPr>
        <w:t>“Certificación de Expertos en LSB”,</w:t>
      </w:r>
      <w:r w:rsidRPr="00653063">
        <w:rPr>
          <w:rFonts w:eastAsia="Times New Roman"/>
          <w:lang w:val="es-ES_tradnl" w:eastAsia="es-BO"/>
        </w:rPr>
        <w:t xml:space="preserve"> emitiendo a la fecha, 66 certificaciones a personas sordas.</w:t>
      </w:r>
    </w:p>
    <w:p w14:paraId="74396DDB"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El CONALPEDIS coordina con la Federación Boliviana de Sordos para centralizar datos de facilitadores sordos, para que sean parte del proceso de formación de Especialidad Técnica en Interpretación de LSB.</w:t>
      </w:r>
    </w:p>
    <w:p w14:paraId="3E902D2D" w14:textId="27F40258" w:rsidR="00653063" w:rsidRPr="00653063" w:rsidRDefault="00B55C6A" w:rsidP="00B55C6A">
      <w:pPr>
        <w:pStyle w:val="H23G"/>
        <w:rPr>
          <w:lang w:val="es-ES_tradnl" w:eastAsia="es-BO"/>
        </w:rPr>
      </w:pPr>
      <w:bookmarkStart w:id="27" w:name="_heading=h.1y810tw" w:colFirst="0" w:colLast="0"/>
      <w:bookmarkEnd w:id="27"/>
      <w:r>
        <w:rPr>
          <w:lang w:val="es-ES_tradnl" w:eastAsia="es-BO"/>
        </w:rPr>
        <w:tab/>
      </w:r>
      <w:r>
        <w:rPr>
          <w:lang w:val="es-ES_tradnl" w:eastAsia="es-BO"/>
        </w:rPr>
        <w:tab/>
        <w:t>p)</w:t>
      </w:r>
      <w:r>
        <w:rPr>
          <w:lang w:val="es-ES_tradnl" w:eastAsia="es-BO"/>
        </w:rPr>
        <w:tab/>
      </w:r>
      <w:r w:rsidR="00653063" w:rsidRPr="00653063">
        <w:rPr>
          <w:lang w:val="es-ES_tradnl" w:eastAsia="es-BO"/>
        </w:rPr>
        <w:t>Respeto del hogar y la familia (Artículo 23, Recomendación 54)</w:t>
      </w:r>
    </w:p>
    <w:p w14:paraId="7E90203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relación a la Recomendación del párrafo 54, respecto a la derogación de las disposiciones legales que restrinjan el derecho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 contraer matrimonio; se informa que el Artículo 141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603 de 19 de noviembre de 2014, Código de las Familias y del Proceso Familiar, establece los requisitos y el procedimiento para la celebración de un matrimonio, señalando como impedimento para constituir el matrimonio o unión libre, la </w:t>
      </w:r>
      <w:r w:rsidRPr="00653063">
        <w:rPr>
          <w:rFonts w:eastAsia="Times New Roman"/>
          <w:u w:val="single"/>
          <w:lang w:val="es-ES_tradnl" w:eastAsia="es-BO"/>
        </w:rPr>
        <w:t>Interdicción</w:t>
      </w:r>
      <w:r w:rsidRPr="00653063">
        <w:rPr>
          <w:rFonts w:eastAsia="Times New Roman"/>
          <w:lang w:val="es-ES_tradnl" w:eastAsia="es-BO"/>
        </w:rPr>
        <w:t xml:space="preserve">; refiriéndose a la persona declarada judicialmente </w:t>
      </w:r>
      <w:proofErr w:type="spellStart"/>
      <w:r w:rsidRPr="00653063">
        <w:rPr>
          <w:rFonts w:eastAsia="Times New Roman"/>
          <w:lang w:val="es-ES_tradnl" w:eastAsia="es-BO"/>
        </w:rPr>
        <w:t>interdicta</w:t>
      </w:r>
      <w:proofErr w:type="spellEnd"/>
      <w:r w:rsidRPr="00653063">
        <w:rPr>
          <w:rFonts w:eastAsia="Times New Roman"/>
          <w:lang w:val="es-ES_tradnl" w:eastAsia="es-BO"/>
        </w:rPr>
        <w:t xml:space="preserve"> con sentencia ejecutoriada</w:t>
      </w:r>
      <w:r w:rsidRPr="00653063">
        <w:rPr>
          <w:rFonts w:eastAsia="Times New Roman"/>
          <w:vertAlign w:val="superscript"/>
          <w:lang w:val="es-ES_tradnl" w:eastAsia="es-BO"/>
        </w:rPr>
        <w:footnoteReference w:id="63"/>
      </w:r>
      <w:r w:rsidRPr="00653063">
        <w:rPr>
          <w:rFonts w:eastAsia="Times New Roman"/>
          <w:lang w:val="es-ES_tradnl" w:eastAsia="es-BO"/>
        </w:rPr>
        <w:t>.</w:t>
      </w:r>
    </w:p>
    <w:p w14:paraId="277EFA7B"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estado de </w:t>
      </w:r>
      <w:proofErr w:type="gramStart"/>
      <w:r w:rsidRPr="00653063">
        <w:rPr>
          <w:rFonts w:eastAsia="Times New Roman"/>
          <w:lang w:val="es-ES_tradnl" w:eastAsia="es-BO"/>
        </w:rPr>
        <w:t>interdicción,</w:t>
      </w:r>
      <w:proofErr w:type="gramEnd"/>
      <w:r w:rsidRPr="00653063">
        <w:rPr>
          <w:rFonts w:eastAsia="Times New Roman"/>
          <w:lang w:val="es-ES_tradnl" w:eastAsia="es-BO"/>
        </w:rPr>
        <w:t xml:space="preserve"> </w:t>
      </w:r>
      <w:r w:rsidRPr="00653063">
        <w:rPr>
          <w:rFonts w:eastAsia="Times New Roman"/>
          <w:u w:val="single"/>
          <w:lang w:val="es-ES_tradnl" w:eastAsia="es-BO"/>
        </w:rPr>
        <w:t>es declarado judicialmente</w:t>
      </w:r>
      <w:r w:rsidRPr="00653063">
        <w:rPr>
          <w:rFonts w:eastAsia="Times New Roman"/>
          <w:lang w:val="es-ES_tradnl" w:eastAsia="es-BO"/>
        </w:rPr>
        <w:t xml:space="preserve"> basado en prueba pericial, conllevando el nombramiento de un/a tutor/a; condición que puede revocarse cuando se determine pericialmente que cesó la causa de su determinación, a instancia de la misma persona </w:t>
      </w:r>
      <w:proofErr w:type="spellStart"/>
      <w:r w:rsidRPr="00653063">
        <w:rPr>
          <w:rFonts w:eastAsia="Times New Roman"/>
          <w:lang w:val="es-ES_tradnl" w:eastAsia="es-BO"/>
        </w:rPr>
        <w:t>interdicta</w:t>
      </w:r>
      <w:proofErr w:type="spellEnd"/>
      <w:r w:rsidRPr="00653063">
        <w:rPr>
          <w:rFonts w:eastAsia="Times New Roman"/>
          <w:lang w:val="es-ES_tradnl" w:eastAsia="es-BO"/>
        </w:rPr>
        <w:t>, de su tutor/a, o de cualquier pariente, sin límite de grado de parentesco.</w:t>
      </w:r>
    </w:p>
    <w:p w14:paraId="5DAC83C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bookmarkStart w:id="28" w:name="_Hlk157065332"/>
      <w:r w:rsidRPr="00653063">
        <w:rPr>
          <w:rFonts w:eastAsia="Times New Roman"/>
          <w:lang w:val="es-ES_tradnl" w:eastAsia="es-BO"/>
        </w:rPr>
        <w:t xml:space="preserve">El Articulo 5 de la </w:t>
      </w:r>
      <w:bookmarkEnd w:id="28"/>
      <w:r w:rsidRPr="00653063">
        <w:rPr>
          <w:rFonts w:eastAsia="Times New Roman"/>
          <w:lang w:val="es-ES_tradnl" w:eastAsia="es-BO"/>
        </w:rPr>
        <w:t xml:space="preserve">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223 de 2 de marzo de 2023, General para Personas con Discapacidad, establece la definición de </w:t>
      </w:r>
      <w:r w:rsidRPr="00653063">
        <w:rPr>
          <w:rFonts w:eastAsia="Times New Roman"/>
          <w:u w:val="single"/>
          <w:lang w:val="es-ES_tradnl" w:eastAsia="es-BO"/>
        </w:rPr>
        <w:t>Personas con Discapacidad Mental o Psíquica</w:t>
      </w:r>
      <w:r w:rsidRPr="00653063">
        <w:rPr>
          <w:rFonts w:eastAsia="Times New Roman"/>
          <w:lang w:val="es-ES_tradnl" w:eastAsia="es-BO"/>
        </w:rPr>
        <w:t xml:space="preserve">, como: las personas que debido a </w:t>
      </w:r>
      <w:r w:rsidRPr="00653063">
        <w:rPr>
          <w:rFonts w:eastAsia="Times New Roman"/>
          <w:i/>
          <w:lang w:val="es-ES_tradnl" w:eastAsia="es-BO"/>
        </w:rPr>
        <w:t xml:space="preserve">causas biológicas, psicodinámicas o ambientales son afectadas por alteraciones de los procesos cognitivos, lógicos, volitivos, afectivos o psicosociales que se traducen en trastornos del razonamiento, de la personalidad, del </w:t>
      </w:r>
      <w:r w:rsidRPr="00653063">
        <w:rPr>
          <w:rFonts w:eastAsia="Times New Roman"/>
          <w:i/>
          <w:lang w:val="es-ES_tradnl" w:eastAsia="es-BO"/>
        </w:rPr>
        <w:lastRenderedPageBreak/>
        <w:t>comportamiento, del juicio y comprensión de la realidad, que les dificulta adaptarse a ella y a sus particulares condiciones de vida, además de impedirles el desarrollo armónico de relaciones familiares, laborales y sociales, sin tener conciencia de la enfermedad psíquica</w:t>
      </w:r>
      <w:r w:rsidRPr="00653063">
        <w:rPr>
          <w:rFonts w:eastAsia="Times New Roman"/>
          <w:lang w:val="es-ES_tradnl" w:eastAsia="es-BO"/>
        </w:rPr>
        <w:t>.</w:t>
      </w:r>
    </w:p>
    <w:p w14:paraId="1DFB2C1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Conforme la normativa vigente se garantiza a las </w:t>
      </w:r>
      <w:proofErr w:type="spellStart"/>
      <w:r w:rsidRPr="00653063">
        <w:rPr>
          <w:rFonts w:eastAsia="Times New Roman"/>
          <w:lang w:val="es-ES_tradnl" w:eastAsia="es-BO"/>
        </w:rPr>
        <w:t>PcD</w:t>
      </w:r>
      <w:proofErr w:type="spellEnd"/>
      <w:r w:rsidRPr="00653063">
        <w:rPr>
          <w:rFonts w:eastAsia="Times New Roman"/>
          <w:lang w:val="es-ES_tradnl" w:eastAsia="es-BO"/>
        </w:rPr>
        <w:t>, el pleno ejercicio de sus derechos, como el derecho a Constituir una Familia</w:t>
      </w:r>
      <w:r w:rsidRPr="00653063">
        <w:rPr>
          <w:rFonts w:eastAsia="Times New Roman"/>
          <w:vertAlign w:val="superscript"/>
          <w:lang w:val="es-ES_tradnl" w:eastAsia="es-BO"/>
        </w:rPr>
        <w:footnoteReference w:id="64"/>
      </w:r>
      <w:r w:rsidRPr="00653063">
        <w:rPr>
          <w:rFonts w:eastAsia="Times New Roman"/>
          <w:lang w:val="es-ES_tradnl" w:eastAsia="es-BO"/>
        </w:rPr>
        <w:t xml:space="preserve">, existiendo como única limitante a este derecho, el caso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Mental o Psíquica declaradas </w:t>
      </w:r>
      <w:proofErr w:type="spellStart"/>
      <w:r w:rsidRPr="00653063">
        <w:rPr>
          <w:rFonts w:eastAsia="Times New Roman"/>
          <w:lang w:val="es-ES_tradnl" w:eastAsia="es-BO"/>
        </w:rPr>
        <w:t>Interdictas</w:t>
      </w:r>
      <w:proofErr w:type="spellEnd"/>
      <w:r w:rsidRPr="00653063">
        <w:rPr>
          <w:rFonts w:eastAsia="Times New Roman"/>
          <w:lang w:val="es-ES_tradnl" w:eastAsia="es-BO"/>
        </w:rPr>
        <w:t>.</w:t>
      </w:r>
    </w:p>
    <w:p w14:paraId="25F71A7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 relación a los derechos sexuales y reproductivos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éstos se encuentran consagrados y garantizados en el Artículo 32 de la Ley General de Personas con Discapacidad. </w:t>
      </w:r>
    </w:p>
    <w:p w14:paraId="531ABE3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También, se tiene la </w:t>
      </w:r>
      <w:r w:rsidRPr="00653063">
        <w:rPr>
          <w:rFonts w:eastAsia="Times New Roman"/>
          <w:i/>
          <w:lang w:val="es-ES_tradnl" w:eastAsia="es-BO"/>
        </w:rPr>
        <w:t>Norma Técnica de Atención Integral y Guía de Salud Sexual y Salud Reproductiva para Personas con Discapacidad,</w:t>
      </w:r>
      <w:r w:rsidRPr="00653063">
        <w:rPr>
          <w:rFonts w:eastAsia="Times New Roman"/>
          <w:lang w:val="es-ES_tradnl" w:eastAsia="es-BO"/>
        </w:rPr>
        <w:t xml:space="preserve"> que propone acciones para facilitar y fortalecer las intervenciones del personal de salud en la atención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el campo de la salud sexual y reproductiva, además de brindar a sus familias una orientación adecuada en cuanto a la interacción con las usuarias/usuarios desde una mirada integradora.</w:t>
      </w:r>
    </w:p>
    <w:p w14:paraId="719C785D" w14:textId="23333B57" w:rsidR="00653063" w:rsidRPr="00653063" w:rsidRDefault="001E2D8E" w:rsidP="001E2D8E">
      <w:pPr>
        <w:pStyle w:val="H23G"/>
        <w:rPr>
          <w:lang w:val="es-ES_tradnl" w:eastAsia="es-BO"/>
        </w:rPr>
      </w:pPr>
      <w:bookmarkStart w:id="29" w:name="_heading=h.4i7ojhp" w:colFirst="0" w:colLast="0"/>
      <w:bookmarkEnd w:id="29"/>
      <w:r>
        <w:rPr>
          <w:lang w:val="es-ES_tradnl" w:eastAsia="es-BO"/>
        </w:rPr>
        <w:tab/>
      </w:r>
      <w:r>
        <w:rPr>
          <w:lang w:val="es-ES_tradnl" w:eastAsia="es-BO"/>
        </w:rPr>
        <w:tab/>
        <w:t>r)</w:t>
      </w:r>
      <w:r>
        <w:rPr>
          <w:lang w:val="es-ES_tradnl" w:eastAsia="es-BO"/>
        </w:rPr>
        <w:tab/>
      </w:r>
      <w:r w:rsidR="00653063" w:rsidRPr="00653063">
        <w:rPr>
          <w:lang w:val="es-ES_tradnl" w:eastAsia="es-BO"/>
        </w:rPr>
        <w:t>Educación (Artículo 24, Recomendación 56)</w:t>
      </w:r>
    </w:p>
    <w:p w14:paraId="3477803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 la Recomendación del Párrafo 56. a, sobre la adopción de políticas de educación inclusiva, el Estado boliviano aprobó los siguientes </w:t>
      </w:r>
      <w:r w:rsidRPr="00653063">
        <w:rPr>
          <w:rFonts w:eastAsia="Times New Roman"/>
          <w:i/>
          <w:lang w:val="es-ES_tradnl" w:eastAsia="es-BO"/>
        </w:rPr>
        <w:t>“Lineamientos Curriculares de Educación Inclusiva para el Sistema Educativo Plurinacional”</w:t>
      </w:r>
      <w:r w:rsidRPr="00653063">
        <w:rPr>
          <w:rFonts w:eastAsia="Times New Roman"/>
          <w:i/>
          <w:vertAlign w:val="superscript"/>
          <w:lang w:val="es-ES_tradnl" w:eastAsia="es-BO"/>
        </w:rPr>
        <w:footnoteReference w:id="65"/>
      </w:r>
      <w:r w:rsidRPr="00653063">
        <w:rPr>
          <w:rFonts w:eastAsia="Times New Roman"/>
          <w:lang w:val="es-ES_tradnl" w:eastAsia="es-BO"/>
        </w:rPr>
        <w:t xml:space="preserve"> cuyo objetivo es consolidar la </w:t>
      </w:r>
      <w:r w:rsidRPr="00653063">
        <w:rPr>
          <w:rFonts w:eastAsia="Times New Roman"/>
          <w:i/>
          <w:lang w:val="es-ES_tradnl" w:eastAsia="es-BO"/>
        </w:rPr>
        <w:t>“Educación Inclusiva en todo el Sistema Educativo Plurinacional a partir del Ámbito de Educación Especial en beneficio de los estudiantes con discapacidad, estudiantes con dificultades en el aprendizaje y estudiantes con talento extraordinario, donde se establecen 4 principios educativos que se enmarcan en la Ley de la Educación “Avelino Siñani - Elizardo Pérez</w:t>
      </w:r>
      <w:r w:rsidRPr="00653063">
        <w:rPr>
          <w:rFonts w:eastAsia="Times New Roman"/>
          <w:lang w:val="es-ES_tradnl" w:eastAsia="es-BO"/>
        </w:rPr>
        <w:t>"</w:t>
      </w:r>
      <w:r w:rsidRPr="00653063">
        <w:rPr>
          <w:rFonts w:eastAsia="Times New Roman"/>
          <w:vertAlign w:val="superscript"/>
          <w:lang w:val="es-ES_tradnl" w:eastAsia="es-BO"/>
        </w:rPr>
        <w:footnoteReference w:id="66"/>
      </w:r>
      <w:r w:rsidRPr="00653063">
        <w:rPr>
          <w:rFonts w:eastAsia="Times New Roman"/>
          <w:lang w:val="es-ES_tradnl" w:eastAsia="es-BO"/>
        </w:rPr>
        <w:t>:</w:t>
      </w:r>
    </w:p>
    <w:p w14:paraId="5AEC9F92" w14:textId="77777777" w:rsidR="00653063" w:rsidRPr="00653063" w:rsidRDefault="00653063" w:rsidP="001E2D8E">
      <w:pPr>
        <w:pStyle w:val="SingleTxtG"/>
        <w:numPr>
          <w:ilvl w:val="0"/>
          <w:numId w:val="34"/>
        </w:numPr>
        <w:ind w:left="1701" w:firstLine="0"/>
        <w:rPr>
          <w:lang w:val="es-ES_tradnl" w:eastAsia="es-BO"/>
        </w:rPr>
      </w:pPr>
      <w:r w:rsidRPr="00653063">
        <w:rPr>
          <w:i/>
          <w:u w:val="single"/>
          <w:lang w:val="es-ES_tradnl" w:eastAsia="es-BO"/>
        </w:rPr>
        <w:t>Educación en Igualdad de Oportunidades</w:t>
      </w:r>
      <w:r w:rsidRPr="00653063">
        <w:rPr>
          <w:lang w:val="es-ES_tradnl" w:eastAsia="es-BO"/>
        </w:rPr>
        <w:t>: Implica acceso a la educación con calidad, dentro de los Subsistemas del Sistema Educativo Plurinacional, eliminando toda forma de discriminación y exclusión que obstaculicen el acceso y permanencia.</w:t>
      </w:r>
    </w:p>
    <w:p w14:paraId="42B27FE7" w14:textId="77777777" w:rsidR="00653063" w:rsidRPr="00653063" w:rsidRDefault="00653063" w:rsidP="001E2D8E">
      <w:pPr>
        <w:pStyle w:val="SingleTxtG"/>
        <w:numPr>
          <w:ilvl w:val="0"/>
          <w:numId w:val="34"/>
        </w:numPr>
        <w:ind w:left="1701" w:firstLine="0"/>
        <w:rPr>
          <w:lang w:val="es-ES_tradnl" w:eastAsia="es-BO"/>
        </w:rPr>
      </w:pPr>
      <w:r w:rsidRPr="00653063">
        <w:rPr>
          <w:i/>
          <w:u w:val="single"/>
          <w:lang w:val="es-ES_tradnl" w:eastAsia="es-BO"/>
        </w:rPr>
        <w:t>Educación con Equiparación de Condiciones</w:t>
      </w:r>
      <w:r w:rsidRPr="00653063">
        <w:rPr>
          <w:lang w:val="es-ES_tradnl" w:eastAsia="es-BO"/>
        </w:rPr>
        <w:t>: Las Instituciones Educativas de los diferentes Subsistemas, deben contar con condiciones materiales, educativas, mobiliario, equipamiento y otros recursos pertinentes a las características físicas, intelectuales, comunicacionales y personales de estudiantes, además de contar con maestras y maestros formados y actualizados, como mediadores del desarrollo de saberes y conocimientos en el marco educativo, respetando características socioculturales, económicas, familiares y personales de los actores educativos.</w:t>
      </w:r>
    </w:p>
    <w:p w14:paraId="54E18EEB" w14:textId="77777777" w:rsidR="00653063" w:rsidRPr="00653063" w:rsidRDefault="00653063" w:rsidP="001E2D8E">
      <w:pPr>
        <w:pStyle w:val="SingleTxtG"/>
        <w:numPr>
          <w:ilvl w:val="0"/>
          <w:numId w:val="34"/>
        </w:numPr>
        <w:ind w:left="1701" w:firstLine="0"/>
        <w:rPr>
          <w:lang w:val="es-ES_tradnl" w:eastAsia="es-BO"/>
        </w:rPr>
      </w:pPr>
      <w:r w:rsidRPr="00653063">
        <w:rPr>
          <w:i/>
          <w:u w:val="single"/>
          <w:lang w:val="es-ES_tradnl" w:eastAsia="es-BO"/>
        </w:rPr>
        <w:t>Educación Oportuna</w:t>
      </w:r>
      <w:r w:rsidRPr="00653063">
        <w:rPr>
          <w:lang w:val="es-ES_tradnl" w:eastAsia="es-BO"/>
        </w:rPr>
        <w:t>: Respuestas educativas que se desarrollan en tiempo conveniente a los propósitos de la educación inclusiva, en espacios educativos aptos, con procesos educativos adecuados. El principio de oportunidad en el ámbito de Educación Especial se relaciona con procesos de detección temprana de necesidades educativas, con intervenciones en edades tempranas o cuando existen riesgos en el desarrollo integral de cada persona.</w:t>
      </w:r>
    </w:p>
    <w:p w14:paraId="6C34AA94" w14:textId="77777777" w:rsidR="00653063" w:rsidRPr="00653063" w:rsidRDefault="00653063" w:rsidP="001E2D8E">
      <w:pPr>
        <w:pStyle w:val="SingleTxtG"/>
        <w:numPr>
          <w:ilvl w:val="0"/>
          <w:numId w:val="34"/>
        </w:numPr>
        <w:ind w:left="1701" w:firstLine="0"/>
        <w:rPr>
          <w:lang w:val="es-ES_tradnl" w:eastAsia="es-BO"/>
        </w:rPr>
      </w:pPr>
      <w:r w:rsidRPr="00653063">
        <w:rPr>
          <w:i/>
          <w:u w:val="single"/>
          <w:lang w:val="es-ES_tradnl" w:eastAsia="es-BO"/>
        </w:rPr>
        <w:t>Educación Pertinente</w:t>
      </w:r>
      <w:r w:rsidRPr="00653063">
        <w:rPr>
          <w:lang w:val="es-ES_tradnl" w:eastAsia="es-BO"/>
        </w:rPr>
        <w:t>: Responde a las características, potencialidades, expectativas, intereses y necesidades, de estudiantes del Sistema Educativo Plurinacional, respetando el desarrollo integral de su ser, su contexto y sus características personales y socioculturales.</w:t>
      </w:r>
    </w:p>
    <w:p w14:paraId="5C49516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En este entendido, las respuestas educativas para estudiantes con discapacidad responden a sus necesidades, intereses, expectativas y potencialidades educativas, estrictamente ligadas a su vida cotidiana, con el fin de consolidar y lograr su independencia o relativa independencia básica, personal, familiar o social, por lo que, el Sistema Educativo Plurinacional (“SEP”) de Bolivia está en la obligación de brindar respuestas educativas pertinentes y oportunas.</w:t>
      </w:r>
    </w:p>
    <w:p w14:paraId="50E3D14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lastRenderedPageBreak/>
        <w:t xml:space="preserve">Se elaboraron recursos para </w:t>
      </w:r>
      <w:proofErr w:type="gramStart"/>
      <w:r w:rsidRPr="00653063">
        <w:rPr>
          <w:rFonts w:eastAsia="Times New Roman"/>
          <w:lang w:val="es-ES_tradnl" w:eastAsia="es-BO"/>
        </w:rPr>
        <w:t>maestras y maestros</w:t>
      </w:r>
      <w:proofErr w:type="gramEnd"/>
      <w:r w:rsidRPr="00653063">
        <w:rPr>
          <w:rFonts w:eastAsia="Times New Roman"/>
          <w:lang w:val="es-ES_tradnl" w:eastAsia="es-BO"/>
        </w:rPr>
        <w:t xml:space="preserve">, familias y otros actores involucrados, como </w:t>
      </w:r>
      <w:r w:rsidRPr="00653063">
        <w:rPr>
          <w:rFonts w:eastAsia="Times New Roman"/>
          <w:i/>
          <w:lang w:val="es-ES_tradnl" w:eastAsia="es-BO"/>
        </w:rPr>
        <w:t>la Guía de Adaptaciones Curriculares para Estudiantes con Discapacidad Intelectual, Síndrome de Down y Trastorno del Espectro Autista.</w:t>
      </w:r>
    </w:p>
    <w:p w14:paraId="1527DAD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El Ministerio de Educación elaboró, a partir del Ámbito de Educación Especial, textos de aprendizajes, Guías Educativas y para el Aprendizaje del Sistema Braille. Asimismo, mediante Resolución Ministerial 1040/2022 de fecha 22 de noviembre de 2022, se actualizó y complementó los documentos curriculares que orientan la implementación de procesos educativos en igualdad de oportunidades con equiparación de condiciones, que además sean pertinentes y oportunos para estudiantes con discapacidad Visual, Auditiva, Intelectual, Múltiple, Físico Motora, Mental - Psíquica y Trastornos del Espectro Autista.</w:t>
      </w:r>
    </w:p>
    <w:p w14:paraId="576CA27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cuenta con el Programa de </w:t>
      </w:r>
      <w:r w:rsidRPr="00653063">
        <w:rPr>
          <w:rFonts w:eastAsia="Times New Roman"/>
          <w:i/>
          <w:lang w:val="es-ES_tradnl" w:eastAsia="es-BO"/>
        </w:rPr>
        <w:t xml:space="preserve">“Educación </w:t>
      </w:r>
      <w:proofErr w:type="spellStart"/>
      <w:r w:rsidRPr="00653063">
        <w:rPr>
          <w:rFonts w:eastAsia="Times New Roman"/>
          <w:i/>
          <w:lang w:val="es-ES_tradnl" w:eastAsia="es-BO"/>
        </w:rPr>
        <w:t>Sociocomunitaria</w:t>
      </w:r>
      <w:proofErr w:type="spellEnd"/>
      <w:r w:rsidRPr="00653063">
        <w:rPr>
          <w:rFonts w:eastAsia="Times New Roman"/>
          <w:i/>
          <w:lang w:val="es-ES_tradnl" w:eastAsia="es-BO"/>
        </w:rPr>
        <w:t xml:space="preserve"> en casa para personas con discapacidad”, </w:t>
      </w:r>
      <w:r w:rsidRPr="00653063">
        <w:rPr>
          <w:rFonts w:eastAsia="Times New Roman"/>
          <w:lang w:val="es-ES_tradnl" w:eastAsia="es-BO"/>
        </w:rPr>
        <w:t xml:space="preserve">que garantiza el ejercicio del derecho a la educación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grave y muy grave, imposibilitadas de asistir a instituciones educativas del Sistema Educativo Plurinacional.  </w:t>
      </w:r>
    </w:p>
    <w:p w14:paraId="1767AD1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 la Recomendación del Párrafo 56.b sobre la matriculación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el Ministerio de Educación realiza monitoreo y supervisión permanentes a la implementación y aplicación de los documentos técnicos referidos a los </w:t>
      </w:r>
      <w:r w:rsidRPr="00653063">
        <w:rPr>
          <w:rFonts w:eastAsia="Times New Roman"/>
          <w:i/>
          <w:lang w:val="es-ES_tradnl" w:eastAsia="es-BO"/>
        </w:rPr>
        <w:t xml:space="preserve">“Lineamientos Curriculares y Metodológicos de Educación Inclusiva en Educación Especial”, </w:t>
      </w:r>
      <w:r w:rsidRPr="00653063">
        <w:rPr>
          <w:rFonts w:eastAsia="Times New Roman"/>
          <w:lang w:val="es-ES_tradnl" w:eastAsia="es-BO"/>
        </w:rPr>
        <w:t xml:space="preserve">la </w:t>
      </w:r>
      <w:r w:rsidRPr="00653063">
        <w:rPr>
          <w:rFonts w:eastAsia="Times New Roman"/>
          <w:i/>
          <w:lang w:val="es-ES_tradnl" w:eastAsia="es-BO"/>
        </w:rPr>
        <w:t xml:space="preserve">“Guía para el Acompañamiento Familiar a Procesos Educativos Inclusivos, Guía Educativa para Familias y Comunidades de Personas Sordas, Guía Educativa para Familias y Comunidades de Estudiantes Ciegos o Con Baja Visión y Programa “Educación </w:t>
      </w:r>
      <w:proofErr w:type="spellStart"/>
      <w:r w:rsidRPr="00653063">
        <w:rPr>
          <w:rFonts w:eastAsia="Times New Roman"/>
          <w:i/>
          <w:lang w:val="es-ES_tradnl" w:eastAsia="es-BO"/>
        </w:rPr>
        <w:t>Sociocomunitaria</w:t>
      </w:r>
      <w:proofErr w:type="spellEnd"/>
      <w:r w:rsidRPr="00653063">
        <w:rPr>
          <w:rFonts w:eastAsia="Times New Roman"/>
          <w:i/>
          <w:lang w:val="es-ES_tradnl" w:eastAsia="es-BO"/>
        </w:rPr>
        <w:t xml:space="preserve"> en Casa para Personas con Discapacidad";</w:t>
      </w:r>
      <w:r w:rsidRPr="00653063">
        <w:rPr>
          <w:rFonts w:eastAsia="Times New Roman"/>
          <w:lang w:val="es-ES_tradnl" w:eastAsia="es-BO"/>
        </w:rPr>
        <w:t xml:space="preserve"> a fin de garantizar el acceso a la educación inclusiva de estudiantes con discapacidad en el Subsistema de Educación Regular.</w:t>
      </w:r>
    </w:p>
    <w:p w14:paraId="2C4448B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El Ministerio de Educación administra los Sistemas de Información Educativa y de Estadísticas e Indicadores Educativos, conformados por componentes que refieren a los diferentes subsistemas/ámbitos educativos y aspectos de la gestión educativa. Anualmente, se actualiza la estadística de: “Estudiantes Registrados con Discapacidad en Educación Regular"</w:t>
      </w:r>
      <w:r w:rsidRPr="00653063">
        <w:rPr>
          <w:rFonts w:eastAsia="Times New Roman"/>
          <w:vertAlign w:val="superscript"/>
          <w:lang w:val="es-ES_tradnl" w:eastAsia="es-BO"/>
        </w:rPr>
        <w:footnoteReference w:id="67"/>
      </w:r>
      <w:r w:rsidRPr="00653063">
        <w:rPr>
          <w:rFonts w:eastAsia="Times New Roman"/>
          <w:lang w:val="es-ES_tradnl" w:eastAsia="es-BO"/>
        </w:rPr>
        <w:t>, con desagregaciones que llegan a la unidad educativa y cruces según sexo, área geográfica y dependencia. Los datos son recogidos a través del formulario del Registro Único de Estudiantes (RUDE), lo que permite, hacer seguimiento a cada estudiante matriculado, estableciéndose 44 indicadores como parte de la Matriz A de Indicadores Cuantitativos en los ámbitos del acceso, progresión, permanencia y egreso de los estudiantes.</w:t>
      </w:r>
    </w:p>
    <w:p w14:paraId="6625563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Por su parte, se tiene publicado oficialmente el Sistema de Indicadores Educativos para el Ámbito de Educación Especial </w:t>
      </w:r>
      <w:r w:rsidRPr="00653063">
        <w:rPr>
          <w:rFonts w:eastAsia="Times New Roman"/>
          <w:vertAlign w:val="superscript"/>
          <w:lang w:val="es-ES_tradnl" w:eastAsia="es-BO"/>
        </w:rPr>
        <w:footnoteReference w:id="68"/>
      </w:r>
      <w:r w:rsidRPr="00653063">
        <w:rPr>
          <w:rFonts w:eastAsia="Times New Roman"/>
          <w:lang w:val="es-ES_tradnl" w:eastAsia="es-BO"/>
        </w:rPr>
        <w:t>, con una matriz de 79 indicadores organizados según área de atención: discapacidad, dificultades en el aprendizaje y talento extraordinario. Actualmente, la herramienta de recolección de información se encuentra en desarrollo.</w:t>
      </w:r>
    </w:p>
    <w:p w14:paraId="66D918C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 igual manera, en el marco de la Resolución Ministerial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001/2023, la Comisión Nacional y Departamentales de Coordinación de los Subsistemas de Educación Regular y Educación Alternativa y Especial, coordinarán acciones para garantizar el acceso, permanencia y conclusión de estudios de las y los estudiantes con discapacidad, dificultades en el aprendizaje y talento extraordinario. </w:t>
      </w:r>
    </w:p>
    <w:p w14:paraId="6A9ABF7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 la Recomendación del Párrafo 56.c sobre la formación de docentes en educación inclusiva a todo nivel, en lengua de señas, braille y otros formatos, el Estado boliviano a través del Ministerio de Educación realizó capacitación a </w:t>
      </w:r>
      <w:proofErr w:type="gramStart"/>
      <w:r w:rsidRPr="00653063">
        <w:rPr>
          <w:rFonts w:eastAsia="Times New Roman"/>
          <w:lang w:val="es-ES_tradnl" w:eastAsia="es-BO"/>
        </w:rPr>
        <w:t>maestras y maestros</w:t>
      </w:r>
      <w:proofErr w:type="gramEnd"/>
      <w:r w:rsidRPr="00653063">
        <w:rPr>
          <w:rFonts w:eastAsia="Times New Roman"/>
          <w:lang w:val="es-ES_tradnl" w:eastAsia="es-BO"/>
        </w:rPr>
        <w:t xml:space="preserve"> de Educación Regular en </w:t>
      </w:r>
      <w:proofErr w:type="spellStart"/>
      <w:r w:rsidRPr="00653063">
        <w:rPr>
          <w:rFonts w:eastAsia="Times New Roman"/>
          <w:lang w:val="es-ES_tradnl" w:eastAsia="es-BO"/>
        </w:rPr>
        <w:t>Braile</w:t>
      </w:r>
      <w:proofErr w:type="spellEnd"/>
      <w:r w:rsidRPr="00653063">
        <w:rPr>
          <w:rFonts w:eastAsia="Times New Roman"/>
          <w:lang w:val="es-ES_tradnl" w:eastAsia="es-BO"/>
        </w:rPr>
        <w:t xml:space="preserve"> y Lengua de Señas Boliviana y otros. Así también, en las gestiones 2022 a 2023 priorizó la actualización de los contenidos curriculares; en los Planes y Programas de Formación General y de Especialidades "Lineamientos Curriculares para la Formación de </w:t>
      </w:r>
      <w:proofErr w:type="gramStart"/>
      <w:r w:rsidRPr="00653063">
        <w:rPr>
          <w:rFonts w:eastAsia="Times New Roman"/>
          <w:lang w:val="es-ES_tradnl" w:eastAsia="es-BO"/>
        </w:rPr>
        <w:t>Maestras y Maestros</w:t>
      </w:r>
      <w:proofErr w:type="gramEnd"/>
      <w:r w:rsidRPr="00653063">
        <w:rPr>
          <w:rFonts w:eastAsia="Times New Roman"/>
          <w:lang w:val="es-ES_tradnl" w:eastAsia="es-BO"/>
        </w:rPr>
        <w:t xml:space="preserve"> 2023”, planteando una formación integral que favorece la educación inclusiva, y desde la siguiente estructura de Formación de Maestras y Maestros:</w:t>
      </w:r>
    </w:p>
    <w:p w14:paraId="594CA0C9" w14:textId="77777777" w:rsidR="00653063" w:rsidRPr="00653063" w:rsidRDefault="00653063" w:rsidP="00E44C47">
      <w:pPr>
        <w:pStyle w:val="SingleTxtG"/>
        <w:numPr>
          <w:ilvl w:val="0"/>
          <w:numId w:val="35"/>
        </w:numPr>
        <w:ind w:left="1701" w:firstLine="0"/>
        <w:rPr>
          <w:lang w:val="es-ES_tradnl" w:eastAsia="es-BO"/>
        </w:rPr>
      </w:pPr>
      <w:r w:rsidRPr="00653063">
        <w:rPr>
          <w:lang w:val="es-ES_tradnl" w:eastAsia="es-BO"/>
        </w:rPr>
        <w:t xml:space="preserve">Formación </w:t>
      </w:r>
      <w:proofErr w:type="spellStart"/>
      <w:r w:rsidRPr="00653063">
        <w:rPr>
          <w:lang w:val="es-ES_tradnl" w:eastAsia="es-BO"/>
        </w:rPr>
        <w:t>Postgradual</w:t>
      </w:r>
      <w:proofErr w:type="spellEnd"/>
      <w:r w:rsidRPr="00653063">
        <w:rPr>
          <w:lang w:val="es-ES_tradnl" w:eastAsia="es-BO"/>
        </w:rPr>
        <w:t xml:space="preserve">, atendida desde la Universidad Pedagógica con sede en la ciudad de Sucre y con Centros de Formación </w:t>
      </w:r>
      <w:proofErr w:type="spellStart"/>
      <w:r w:rsidRPr="00653063">
        <w:rPr>
          <w:lang w:val="es-ES_tradnl" w:eastAsia="es-BO"/>
        </w:rPr>
        <w:t>Postgradual</w:t>
      </w:r>
      <w:proofErr w:type="spellEnd"/>
      <w:r w:rsidRPr="00653063">
        <w:rPr>
          <w:lang w:val="es-ES_tradnl" w:eastAsia="es-BO"/>
        </w:rPr>
        <w:t xml:space="preserve"> (CFP) en cada </w:t>
      </w:r>
      <w:r w:rsidRPr="00653063">
        <w:rPr>
          <w:lang w:val="es-ES_tradnl" w:eastAsia="es-BO"/>
        </w:rPr>
        <w:lastRenderedPageBreak/>
        <w:t>Departamento con programas de Diplomado, Especialidad, Maestría y Doctorado para docentes del SEP.</w:t>
      </w:r>
    </w:p>
    <w:p w14:paraId="6BC12140" w14:textId="77777777" w:rsidR="00653063" w:rsidRPr="00653063" w:rsidRDefault="00653063" w:rsidP="00E44C47">
      <w:pPr>
        <w:pStyle w:val="SingleTxtG"/>
        <w:numPr>
          <w:ilvl w:val="0"/>
          <w:numId w:val="35"/>
        </w:numPr>
        <w:ind w:left="1701" w:firstLine="0"/>
        <w:rPr>
          <w:rFonts w:eastAsia="Times New Roman"/>
          <w:lang w:val="es-ES_tradnl" w:eastAsia="es-BO"/>
        </w:rPr>
      </w:pPr>
      <w:r w:rsidRPr="00E44C47">
        <w:rPr>
          <w:lang w:val="es-ES_tradnl" w:eastAsia="es-BO"/>
        </w:rPr>
        <w:t>Formación</w:t>
      </w:r>
      <w:r w:rsidRPr="00653063">
        <w:rPr>
          <w:rFonts w:eastAsia="Times New Roman"/>
          <w:lang w:val="es-ES_tradnl" w:eastAsia="es-BO"/>
        </w:rPr>
        <w:t>, atendida por la Unidad Especializada de Formación Continua (“UNEFCO”) con sede central en la ciudad de Tarija y sedes departamentales a nivel nacional.</w:t>
      </w:r>
    </w:p>
    <w:p w14:paraId="6B25731B" w14:textId="77777777" w:rsidR="00653063" w:rsidRPr="00653063" w:rsidRDefault="00653063" w:rsidP="00E44C47">
      <w:pPr>
        <w:pStyle w:val="SingleTxtG"/>
        <w:numPr>
          <w:ilvl w:val="0"/>
          <w:numId w:val="35"/>
        </w:numPr>
        <w:ind w:left="1701" w:firstLine="0"/>
        <w:rPr>
          <w:rFonts w:eastAsia="Times New Roman"/>
          <w:lang w:val="es-ES_tradnl" w:eastAsia="es-BO"/>
        </w:rPr>
      </w:pPr>
      <w:r w:rsidRPr="00E44C47">
        <w:rPr>
          <w:lang w:val="es-ES_tradnl" w:eastAsia="es-BO"/>
        </w:rPr>
        <w:t>Formación</w:t>
      </w:r>
      <w:r w:rsidRPr="00653063">
        <w:rPr>
          <w:rFonts w:eastAsia="Times New Roman"/>
          <w:lang w:val="es-ES_tradnl" w:eastAsia="es-BO"/>
        </w:rPr>
        <w:t xml:space="preserve"> Inicial, atendida desde las Escuelas Superiores de Formación de Maestros y Unidades Académicas dispersas en todo el territorio nacional que suman un total de 47 instituciones.</w:t>
      </w:r>
    </w:p>
    <w:p w14:paraId="0B1B6E6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con el fin de consolidar la educación inclusiva, se garantiza el acceso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 las Escuelas Superiores de Formación de Maestros.</w:t>
      </w:r>
    </w:p>
    <w:p w14:paraId="5085D87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Universidad Pedagógica, encargada de la capacitación y formación en temáticas de Educación Especial, para </w:t>
      </w:r>
      <w:proofErr w:type="gramStart"/>
      <w:r w:rsidRPr="00653063">
        <w:rPr>
          <w:rFonts w:eastAsia="Times New Roman"/>
          <w:lang w:val="es-ES_tradnl" w:eastAsia="es-BO"/>
        </w:rPr>
        <w:t>maestras y maestros</w:t>
      </w:r>
      <w:proofErr w:type="gramEnd"/>
      <w:r w:rsidRPr="00653063">
        <w:rPr>
          <w:rFonts w:eastAsia="Times New Roman"/>
          <w:lang w:val="es-ES_tradnl" w:eastAsia="es-BO"/>
        </w:rPr>
        <w:t xml:space="preserve"> del Subsistema de Educación Regular, Alternativa y Especial, realizó 2965 diplomados y maestrías en las temáticas: LSB y Sistema de Lectura y Escritura </w:t>
      </w:r>
      <w:proofErr w:type="spellStart"/>
      <w:r w:rsidRPr="00653063">
        <w:rPr>
          <w:rFonts w:eastAsia="Times New Roman"/>
          <w:lang w:val="es-ES_tradnl" w:eastAsia="es-BO"/>
        </w:rPr>
        <w:t>Braile</w:t>
      </w:r>
      <w:proofErr w:type="spellEnd"/>
      <w:r w:rsidRPr="00653063">
        <w:rPr>
          <w:rFonts w:eastAsia="Times New Roman"/>
          <w:lang w:val="es-ES_tradnl" w:eastAsia="es-BO"/>
        </w:rPr>
        <w:t xml:space="preserve"> y su Aplicación Educativa MODAU DAD (Diplomados), Educación Inclusiva con Menciones en Discapacidad Auditiva, Intelectual y Visual (Maestrías).</w:t>
      </w:r>
    </w:p>
    <w:p w14:paraId="5FBC200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UNEFCO del 2011 al 2021 incorporó en su oferta académica Ciclos/Cursos para el fortalecimiento de maestras y maestros del Sistema Educativo Plurinacional, bajo la siguiente nominación: Educación inclusiva, Educación especial braille, </w:t>
      </w:r>
      <w:proofErr w:type="spellStart"/>
      <w:r w:rsidRPr="00653063">
        <w:rPr>
          <w:rFonts w:eastAsia="Times New Roman"/>
          <w:lang w:val="es-ES_tradnl" w:eastAsia="es-BO"/>
        </w:rPr>
        <w:t>TICs</w:t>
      </w:r>
      <w:proofErr w:type="spellEnd"/>
      <w:r w:rsidRPr="00653063">
        <w:rPr>
          <w:rFonts w:eastAsia="Times New Roman"/>
          <w:lang w:val="es-ES_tradnl" w:eastAsia="es-BO"/>
        </w:rPr>
        <w:t xml:space="preserve"> para educación especial, Adaptaciones curriculares, Diseños curriculares en educación alternativa y especial, Entorno virtual de aprendizaje para educación especial (EDMODO - MOODLE - CLASSRROM) y Uso y manejo de la plataforma educativa del Ministerio de Educación - educación especial.</w:t>
      </w:r>
    </w:p>
    <w:p w14:paraId="65FBA75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la gestión 2023 se inició la formación de Maestras en la Especialidad de Educación Inclusiva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
    <w:p w14:paraId="47AA116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habilitó la Modalidad B3 “Postulantes con Discapacidad” para el Proceso de Admisión de Postulantes a las Escuelas Superiores de </w:t>
      </w:r>
      <w:proofErr w:type="gramStart"/>
      <w:r w:rsidRPr="00653063">
        <w:rPr>
          <w:rFonts w:eastAsia="Times New Roman"/>
          <w:lang w:val="es-ES_tradnl" w:eastAsia="es-BO"/>
        </w:rPr>
        <w:t>Maestras y Maestros</w:t>
      </w:r>
      <w:proofErr w:type="gramEnd"/>
      <w:r w:rsidRPr="00653063">
        <w:rPr>
          <w:rFonts w:eastAsia="Times New Roman"/>
          <w:lang w:val="es-ES_tradnl" w:eastAsia="es-BO"/>
        </w:rPr>
        <w:t xml:space="preserve"> y Unidades Académicas (“ESFM/UA”), admitiéndose en la gestión 2022, 56 postulantes.</w:t>
      </w:r>
    </w:p>
    <w:p w14:paraId="525D717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con el fin de promover la Educación Inclusiva, se acompaña el proceso formativo de estudiantes con Discapacidad en las ESFM/UA con docentes intérpretes. </w:t>
      </w:r>
    </w:p>
    <w:p w14:paraId="613A6D3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En respuesta al Párrafo 56.d,</w:t>
      </w:r>
      <w:r w:rsidRPr="00653063">
        <w:rPr>
          <w:rFonts w:eastAsia="Times New Roman"/>
          <w:u w:val="single"/>
          <w:lang w:val="es-ES_tradnl" w:eastAsia="es-BO"/>
        </w:rPr>
        <w:t xml:space="preserve"> </w:t>
      </w:r>
      <w:r w:rsidRPr="00653063">
        <w:rPr>
          <w:rFonts w:eastAsia="Times New Roman"/>
          <w:lang w:val="es-ES_tradnl" w:eastAsia="es-BO"/>
        </w:rPr>
        <w:t xml:space="preserve">con relación a los ajustes razonables en las escuelas y otras instituciones de aprendizaje, el Ministerio de Educación en el marco de la Unidad de Proyectos Especiales, ha coordinado proyectos para que las Entidades Territoriales Autónomas, incorporen aspectos de accesibilidad que permitan la circulación de personas con limitaciones eventuales o permanentes. </w:t>
      </w:r>
    </w:p>
    <w:p w14:paraId="0C20790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Ministerio de Educación emitió la Resolución Ministerial 410/2016 de </w:t>
      </w:r>
      <w:r w:rsidRPr="00653063">
        <w:rPr>
          <w:rFonts w:eastAsia="Times New Roman"/>
          <w:i/>
          <w:lang w:val="es-ES_tradnl" w:eastAsia="es-BO"/>
        </w:rPr>
        <w:t>“Accesibilidad y Eliminación de Barreras Arquitectónicas en Instituciones Educativas del Sistema Educativo Plurinacional”,</w:t>
      </w:r>
      <w:r w:rsidRPr="00653063">
        <w:rPr>
          <w:rFonts w:eastAsia="Times New Roman"/>
          <w:lang w:val="es-ES_tradnl" w:eastAsia="es-BO"/>
        </w:rPr>
        <w:t xml:space="preserve"> para eliminar progresivamente las barreras arquitectónicas en la infraestructura de instituciones educativas del país. La infraestructura, equipamiento y mantenimiento de Instituciones Educativas, a partir de la Ley de la Educación “Avelino Siñani - Elizardo Pérez” es responsabilidad de los GAM, por ende, el Ministerio de Educación coordina con ellos, para que los proyectos de construcción de infraestructura educativa incorporen aspectos de accesibilidad para personas con limitaciones eventuales o permanentes. </w:t>
      </w:r>
    </w:p>
    <w:p w14:paraId="6D1943D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Mediante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4449 de 13 de enero de 2021 se declaró el “</w:t>
      </w:r>
      <w:r w:rsidRPr="00653063">
        <w:rPr>
          <w:rFonts w:eastAsia="Times New Roman"/>
          <w:i/>
          <w:lang w:val="es-ES_tradnl" w:eastAsia="es-BO"/>
        </w:rPr>
        <w:t xml:space="preserve">2021, Año por la Recuperación del Derecho a la Educación” </w:t>
      </w:r>
      <w:r w:rsidRPr="00653063">
        <w:rPr>
          <w:rFonts w:eastAsia="Times New Roman"/>
          <w:lang w:val="es-ES_tradnl" w:eastAsia="es-BO"/>
        </w:rPr>
        <w:t xml:space="preserve">reafirmando la importancia de la educación para garantizar la protección de los demás derechos. </w:t>
      </w:r>
    </w:p>
    <w:p w14:paraId="28A2667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Del 2013 al presente, el IBC promovió e impulsó políticas de educación inclusiva de calidad en las personas invidentes afiliadas; desarrollando los Servicios Integrales de Rehabilitación y Habilitación de Personas Ciegas en los diferentes Centros de Rehabilitación dependientes del IBC, la dotación de material tiflotécnico, el convenio del ingreso libre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diferentes Universidades del país, la capacitación en sistema Braille, Estenografía, </w:t>
      </w:r>
      <w:proofErr w:type="spellStart"/>
      <w:r w:rsidRPr="00653063">
        <w:rPr>
          <w:rFonts w:eastAsia="Times New Roman"/>
          <w:lang w:val="es-ES_tradnl" w:eastAsia="es-BO"/>
        </w:rPr>
        <w:lastRenderedPageBreak/>
        <w:t>Musicografía</w:t>
      </w:r>
      <w:proofErr w:type="spellEnd"/>
      <w:r w:rsidRPr="00653063">
        <w:rPr>
          <w:rFonts w:eastAsia="Times New Roman"/>
          <w:lang w:val="es-ES_tradnl" w:eastAsia="es-BO"/>
        </w:rPr>
        <w:t>, Abaco. Además, brinda apoyo educativo, conforme normativa interna del IBC y normativa legal vigente, a través de las Direcciones Departamentales del IBC</w:t>
      </w:r>
    </w:p>
    <w:p w14:paraId="41DDBB6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declara del 1 al 7 de julio de cada año, la </w:t>
      </w:r>
      <w:r w:rsidRPr="00653063">
        <w:rPr>
          <w:rFonts w:eastAsia="Times New Roman"/>
          <w:i/>
          <w:lang w:val="es-ES_tradnl" w:eastAsia="es-BO"/>
        </w:rPr>
        <w:t>“Semana Nacional de las Personas Ciegas o con Discapacidad Visual”</w:t>
      </w:r>
      <w:r w:rsidRPr="00653063">
        <w:rPr>
          <w:rFonts w:eastAsia="Times New Roman"/>
          <w:i/>
          <w:vertAlign w:val="superscript"/>
          <w:lang w:val="es-ES_tradnl" w:eastAsia="es-BO"/>
        </w:rPr>
        <w:footnoteReference w:id="69"/>
      </w:r>
      <w:r w:rsidRPr="00653063">
        <w:rPr>
          <w:rFonts w:eastAsia="Times New Roman"/>
          <w:lang w:val="es-ES_tradnl" w:eastAsia="es-BO"/>
        </w:rPr>
        <w:t>, siendo que el Estado implementa actos culturales, artísticos, deportivos y sociales, a fin de promover la igualdad de condiciones, equiparación de oportunidades y el goce pleno de derechos de personas ciegas o con discapacidad visual.</w:t>
      </w:r>
    </w:p>
    <w:p w14:paraId="329A484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En respuesta al Párrafo 56.e y la Meta 4.5 de los ODS, la educación en Bolivia está sustentada en la interculturalidad, plurilingüismo, inclusión e igualdad de oportunidades; es por ello, que el Estado, a través del Ministerio de Educación elaboró materiales y documentos que viabilizan, orientan y fortalecen la atención educativa a estudiantes con Discapacidad:</w:t>
      </w:r>
    </w:p>
    <w:p w14:paraId="36A8E2CB" w14:textId="77777777" w:rsidR="00653063" w:rsidRPr="00653063" w:rsidRDefault="00653063" w:rsidP="00E44C47">
      <w:pPr>
        <w:pStyle w:val="Bullet1G"/>
        <w:rPr>
          <w:lang w:val="es-ES_tradnl"/>
        </w:rPr>
      </w:pPr>
      <w:r w:rsidRPr="00653063">
        <w:rPr>
          <w:lang w:val="es-ES_tradnl"/>
        </w:rPr>
        <w:t xml:space="preserve">Lineamientos curriculares de Educación Inclusiva para el Sistema Educativo Plurinacional. (Anexo 6) </w:t>
      </w:r>
    </w:p>
    <w:p w14:paraId="08114AC2" w14:textId="77777777" w:rsidR="00653063" w:rsidRPr="00653063" w:rsidRDefault="00653063" w:rsidP="00E44C47">
      <w:pPr>
        <w:pStyle w:val="Bullet1G"/>
        <w:rPr>
          <w:lang w:val="es-ES_tradnl"/>
        </w:rPr>
      </w:pPr>
      <w:r w:rsidRPr="00653063">
        <w:rPr>
          <w:lang w:val="es-ES_tradnl"/>
        </w:rPr>
        <w:t>Guía curricular para la atención educativa a estudiantes con Discapacidad Intelectual. (Anexo 7)</w:t>
      </w:r>
    </w:p>
    <w:p w14:paraId="1A6DB31F" w14:textId="77777777" w:rsidR="00653063" w:rsidRPr="00653063" w:rsidRDefault="00653063" w:rsidP="00E44C47">
      <w:pPr>
        <w:pStyle w:val="Bullet1G"/>
        <w:rPr>
          <w:lang w:val="es-ES_tradnl"/>
        </w:rPr>
      </w:pPr>
      <w:r w:rsidRPr="00653063">
        <w:rPr>
          <w:lang w:val="es-ES_tradnl"/>
        </w:rPr>
        <w:t>Guías para la Atención Educativa de Estudiantes con Discapacidad Visual. (Anexo 8)</w:t>
      </w:r>
    </w:p>
    <w:p w14:paraId="7D7D5A0A" w14:textId="77777777" w:rsidR="00653063" w:rsidRPr="00653063" w:rsidRDefault="00653063" w:rsidP="00E44C47">
      <w:pPr>
        <w:pStyle w:val="Bullet1G"/>
        <w:rPr>
          <w:lang w:val="es-ES_tradnl"/>
        </w:rPr>
      </w:pPr>
      <w:r w:rsidRPr="00653063">
        <w:rPr>
          <w:lang w:val="es-ES_tradnl"/>
        </w:rPr>
        <w:t>Currículo específico para la atención educativa de estudiantes con Discapacidad Auditiva. (Anexo 9)</w:t>
      </w:r>
    </w:p>
    <w:p w14:paraId="4CF43129" w14:textId="77777777" w:rsidR="00653063" w:rsidRPr="00653063" w:rsidRDefault="00653063" w:rsidP="00E44C47">
      <w:pPr>
        <w:pStyle w:val="Bullet1G"/>
        <w:rPr>
          <w:lang w:val="es-ES_tradnl"/>
        </w:rPr>
      </w:pPr>
      <w:r w:rsidRPr="00653063">
        <w:rPr>
          <w:lang w:val="es-ES_tradnl"/>
        </w:rPr>
        <w:t>Currículo específico para la atención educativa de estudiantes con Discapacidad Visual. (Anexo 10)</w:t>
      </w:r>
    </w:p>
    <w:p w14:paraId="4F0ED1BA" w14:textId="77777777" w:rsidR="00653063" w:rsidRPr="00653063" w:rsidRDefault="00653063" w:rsidP="00E44C47">
      <w:pPr>
        <w:pStyle w:val="Bullet1G"/>
        <w:rPr>
          <w:lang w:val="es-ES_tradnl"/>
        </w:rPr>
      </w:pPr>
      <w:r w:rsidRPr="00653063">
        <w:rPr>
          <w:lang w:val="es-ES_tradnl"/>
        </w:rPr>
        <w:t>Programa de atención a estudiantes con Discapacidad Física Motora en el Sistema Educativo Plurinacional. (Anexo 11)</w:t>
      </w:r>
    </w:p>
    <w:p w14:paraId="0690B2A0" w14:textId="77777777" w:rsidR="00653063" w:rsidRPr="00653063" w:rsidRDefault="00653063" w:rsidP="00E44C47">
      <w:pPr>
        <w:pStyle w:val="Bullet1G"/>
        <w:rPr>
          <w:lang w:val="es-ES_tradnl"/>
        </w:rPr>
      </w:pPr>
      <w:r w:rsidRPr="00653063">
        <w:rPr>
          <w:lang w:val="es-ES_tradnl"/>
        </w:rPr>
        <w:t xml:space="preserve">Programa “Educación </w:t>
      </w:r>
      <w:proofErr w:type="spellStart"/>
      <w:r w:rsidRPr="00653063">
        <w:rPr>
          <w:lang w:val="es-ES_tradnl"/>
        </w:rPr>
        <w:t>Sociocomunitaria</w:t>
      </w:r>
      <w:proofErr w:type="spellEnd"/>
      <w:r w:rsidRPr="00653063">
        <w:rPr>
          <w:lang w:val="es-ES_tradnl"/>
        </w:rPr>
        <w:t xml:space="preserve"> en casa para personas con Discapacidad grave y muy grave”. (Anexo 12)</w:t>
      </w:r>
    </w:p>
    <w:p w14:paraId="782166BC" w14:textId="77777777" w:rsidR="00653063" w:rsidRPr="00653063" w:rsidRDefault="00653063" w:rsidP="00E44C47">
      <w:pPr>
        <w:pStyle w:val="Bullet1G"/>
        <w:rPr>
          <w:lang w:val="es-ES_tradnl"/>
        </w:rPr>
      </w:pPr>
      <w:r w:rsidRPr="00653063">
        <w:rPr>
          <w:lang w:val="es-ES_tradnl"/>
        </w:rPr>
        <w:t>Lineamientos curriculares y metodológicos de Formación Técnica Tecnológica Productiva para personas con Discapacidad en Centro de Educación Especial. (Anexo 13)</w:t>
      </w:r>
    </w:p>
    <w:p w14:paraId="346F267F" w14:textId="77777777" w:rsidR="00653063" w:rsidRPr="00653063" w:rsidRDefault="00653063" w:rsidP="00E44C47">
      <w:pPr>
        <w:pStyle w:val="Bullet1G"/>
        <w:rPr>
          <w:lang w:val="es-ES_tradnl"/>
        </w:rPr>
      </w:pPr>
      <w:r w:rsidRPr="00653063">
        <w:rPr>
          <w:lang w:val="es-ES_tradnl"/>
        </w:rPr>
        <w:t>Programas de atención educativa a estudiantes con Dificultades en el Aprendizaje. (Anexo 14)</w:t>
      </w:r>
    </w:p>
    <w:p w14:paraId="272494B4" w14:textId="77777777" w:rsidR="00653063" w:rsidRPr="00653063" w:rsidRDefault="00653063" w:rsidP="00E44C47">
      <w:pPr>
        <w:pStyle w:val="Bullet1G"/>
        <w:rPr>
          <w:lang w:val="es-ES_tradnl"/>
        </w:rPr>
      </w:pPr>
      <w:r w:rsidRPr="00653063">
        <w:rPr>
          <w:lang w:val="es-ES_tradnl"/>
        </w:rPr>
        <w:t>Programa de atención integral a estudiantes con Talento Extraordinario en el Sistema Educativo Plurinacional. (Anexo 15)</w:t>
      </w:r>
    </w:p>
    <w:p w14:paraId="41698A91" w14:textId="77777777" w:rsidR="00653063" w:rsidRPr="00653063" w:rsidRDefault="00653063" w:rsidP="00E44C47">
      <w:pPr>
        <w:pStyle w:val="Bullet1G"/>
        <w:rPr>
          <w:lang w:val="es-ES_tradnl"/>
        </w:rPr>
      </w:pPr>
      <w:r w:rsidRPr="00653063">
        <w:rPr>
          <w:lang w:val="es-ES_tradnl"/>
        </w:rPr>
        <w:t>Lineamientos educativos para atención de estudiantes con Discapacidad Mental o Psíquica. (Anexo 16)</w:t>
      </w:r>
    </w:p>
    <w:p w14:paraId="08F5B9F7" w14:textId="77777777" w:rsidR="00653063" w:rsidRPr="00653063" w:rsidRDefault="00653063" w:rsidP="00E44C47">
      <w:pPr>
        <w:pStyle w:val="Bullet1G"/>
        <w:rPr>
          <w:lang w:val="es-ES_tradnl"/>
        </w:rPr>
      </w:pPr>
      <w:r w:rsidRPr="00653063">
        <w:rPr>
          <w:lang w:val="es-ES_tradnl"/>
        </w:rPr>
        <w:t>Programa educativo para estudiantes con condición o Trastornos del Espectro Autista. (Anexo 17)</w:t>
      </w:r>
    </w:p>
    <w:p w14:paraId="55EBF1AD" w14:textId="77777777" w:rsidR="00653063" w:rsidRPr="00653063" w:rsidRDefault="00653063" w:rsidP="00E44C47">
      <w:pPr>
        <w:pStyle w:val="Bullet1G"/>
        <w:rPr>
          <w:lang w:val="es-ES_tradnl"/>
        </w:rPr>
      </w:pPr>
      <w:r w:rsidRPr="00653063">
        <w:rPr>
          <w:lang w:val="es-ES_tradnl"/>
        </w:rPr>
        <w:t>Formato de informe psicopedagógico integral o multidisciplinario.</w:t>
      </w:r>
    </w:p>
    <w:p w14:paraId="57A3557C" w14:textId="77777777" w:rsidR="00653063" w:rsidRPr="00653063" w:rsidRDefault="00653063" w:rsidP="00E44C47">
      <w:pPr>
        <w:pStyle w:val="Bullet1G"/>
        <w:rPr>
          <w:lang w:val="es-ES_tradnl"/>
        </w:rPr>
      </w:pPr>
      <w:r w:rsidRPr="00653063">
        <w:rPr>
          <w:lang w:val="es-ES_tradnl"/>
        </w:rPr>
        <w:t xml:space="preserve">Guía de Adaptaciones curriculares para estudiantes con Discapacidad Intelectual, Síndrome de Down y Trastorno del Espectro Autista </w:t>
      </w:r>
    </w:p>
    <w:p w14:paraId="30135582" w14:textId="77777777" w:rsidR="00653063" w:rsidRPr="00653063" w:rsidRDefault="00653063" w:rsidP="00E44C47">
      <w:pPr>
        <w:pStyle w:val="Bullet1G"/>
        <w:rPr>
          <w:lang w:val="es-ES_tradnl"/>
        </w:rPr>
      </w:pPr>
      <w:r w:rsidRPr="00653063">
        <w:rPr>
          <w:lang w:val="es-ES_tradnl"/>
        </w:rPr>
        <w:t>Guía para el Aprendizaje del Sistema Braille.</w:t>
      </w:r>
    </w:p>
    <w:p w14:paraId="70C41F6F" w14:textId="77777777" w:rsidR="00653063" w:rsidRPr="00653063" w:rsidRDefault="00653063" w:rsidP="00E44C47">
      <w:pPr>
        <w:pStyle w:val="Bullet1G"/>
        <w:rPr>
          <w:lang w:val="es-ES_tradnl"/>
        </w:rPr>
      </w:pPr>
      <w:r w:rsidRPr="00653063">
        <w:rPr>
          <w:lang w:val="es-ES_tradnl"/>
        </w:rPr>
        <w:t>Guía de observación detección de signos de riesgo de dificultades en el aprendizaje.</w:t>
      </w:r>
    </w:p>
    <w:p w14:paraId="2EF6E2E8" w14:textId="77777777" w:rsidR="00653063" w:rsidRPr="00653063" w:rsidRDefault="00653063" w:rsidP="00E44C47">
      <w:pPr>
        <w:pStyle w:val="Bullet1G"/>
        <w:rPr>
          <w:lang w:val="es-ES_tradnl"/>
        </w:rPr>
      </w:pPr>
      <w:r w:rsidRPr="00653063">
        <w:rPr>
          <w:lang w:val="es-ES_tradnl"/>
        </w:rPr>
        <w:t>Tres textos del área de matemáticas, (1ro., 2do. y 3ro de secundaria comunitaria productiva), impresos en sistema braille, cada uno dividido en tres volúmenes, de los cuales al presente se viene distribuyendo el texto de matemática de 1ro. de secundaria.</w:t>
      </w:r>
    </w:p>
    <w:p w14:paraId="506BA23E" w14:textId="77777777" w:rsidR="00653063" w:rsidRPr="00653063" w:rsidRDefault="00653063" w:rsidP="00E44C47">
      <w:pPr>
        <w:pStyle w:val="Bullet1G"/>
        <w:rPr>
          <w:lang w:val="es-ES_tradnl"/>
        </w:rPr>
      </w:pPr>
      <w:r w:rsidRPr="00653063">
        <w:rPr>
          <w:lang w:val="es-ES_tradnl"/>
        </w:rPr>
        <w:t>Un documento de trabajo editado en sistema braille que sintetiza contenidos relacionados a la prevención de violencia y discriminación para todo el Sistema Educativo Plurinacional, que tiene el propósito de promover el acceso a la comunicación en diferentes formatos.</w:t>
      </w:r>
    </w:p>
    <w:p w14:paraId="4C3BF4B2" w14:textId="77777777" w:rsidR="00653063" w:rsidRPr="00653063" w:rsidRDefault="00653063" w:rsidP="00E44C47">
      <w:pPr>
        <w:pStyle w:val="Bullet1G"/>
        <w:rPr>
          <w:lang w:val="es-ES_tradnl"/>
        </w:rPr>
      </w:pPr>
      <w:r w:rsidRPr="00653063">
        <w:rPr>
          <w:lang w:val="es-ES_tradnl"/>
        </w:rPr>
        <w:lastRenderedPageBreak/>
        <w:t>Guía de Concreción para las Modalidades Educativas.</w:t>
      </w:r>
    </w:p>
    <w:p w14:paraId="33273824" w14:textId="77777777" w:rsidR="00653063" w:rsidRPr="00653063" w:rsidRDefault="00653063" w:rsidP="00E44C47">
      <w:pPr>
        <w:pStyle w:val="Bullet1G"/>
        <w:rPr>
          <w:lang w:val="es-ES_tradnl"/>
        </w:rPr>
      </w:pPr>
      <w:r w:rsidRPr="00653063">
        <w:rPr>
          <w:lang w:val="es-ES_tradnl"/>
        </w:rPr>
        <w:t xml:space="preserve">Reglamento para la evaluación de procesos educativos para estudiantes con Discapacidad (Resolución Ministerial </w:t>
      </w:r>
      <w:proofErr w:type="spellStart"/>
      <w:r w:rsidRPr="00653063">
        <w:rPr>
          <w:lang w:val="es-ES_tradnl"/>
        </w:rPr>
        <w:t>N°</w:t>
      </w:r>
      <w:proofErr w:type="spellEnd"/>
      <w:r w:rsidRPr="00653063">
        <w:rPr>
          <w:lang w:val="es-ES_tradnl"/>
        </w:rPr>
        <w:t xml:space="preserve"> 806/2021). (Anexo 18)</w:t>
      </w:r>
    </w:p>
    <w:p w14:paraId="02A19100" w14:textId="77777777" w:rsidR="00653063" w:rsidRPr="00653063" w:rsidRDefault="00653063" w:rsidP="00E44C47">
      <w:pPr>
        <w:pStyle w:val="Bullet1G"/>
        <w:rPr>
          <w:lang w:val="es-ES_tradnl"/>
        </w:rPr>
      </w:pPr>
      <w:r w:rsidRPr="00653063">
        <w:rPr>
          <w:lang w:val="es-ES_tradnl"/>
        </w:rPr>
        <w:t>Difusiones de himnos de los nueve departamentos de Bolivia, en Lengua de Señas Boliviana.</w:t>
      </w:r>
    </w:p>
    <w:p w14:paraId="0B447143" w14:textId="77777777" w:rsidR="00653063" w:rsidRPr="00653063" w:rsidRDefault="00653063" w:rsidP="00E44C47">
      <w:pPr>
        <w:pStyle w:val="Bullet1G"/>
        <w:rPr>
          <w:lang w:val="es-ES_tradnl"/>
        </w:rPr>
      </w:pPr>
      <w:r w:rsidRPr="00653063">
        <w:rPr>
          <w:lang w:val="es-ES_tradnl"/>
        </w:rPr>
        <w:t xml:space="preserve">Reglamento del Programa de Atención Integral a Estudiantes con Talento Extraordinario en el SEP (Resolución Ministerial </w:t>
      </w:r>
      <w:proofErr w:type="spellStart"/>
      <w:r w:rsidRPr="00653063">
        <w:rPr>
          <w:lang w:val="es-ES_tradnl"/>
        </w:rPr>
        <w:t>N°</w:t>
      </w:r>
      <w:proofErr w:type="spellEnd"/>
      <w:r w:rsidRPr="00653063">
        <w:rPr>
          <w:lang w:val="es-ES_tradnl"/>
        </w:rPr>
        <w:t xml:space="preserve"> 0795/2021). (Anexo 19)</w:t>
      </w:r>
    </w:p>
    <w:p w14:paraId="5BB9DD06" w14:textId="77777777" w:rsidR="00653063" w:rsidRPr="00653063" w:rsidRDefault="00653063" w:rsidP="00E44C47">
      <w:pPr>
        <w:pStyle w:val="Bullet1G"/>
        <w:rPr>
          <w:lang w:val="es-ES_tradnl"/>
        </w:rPr>
      </w:pPr>
      <w:r w:rsidRPr="00653063">
        <w:rPr>
          <w:lang w:val="es-ES_tradnl"/>
        </w:rPr>
        <w:t>Programa de atención integral a estudiantes con talento extraordinario en el sistema educativo plurinacional.</w:t>
      </w:r>
    </w:p>
    <w:p w14:paraId="04611D2B" w14:textId="77777777" w:rsidR="00653063" w:rsidRPr="00653063" w:rsidRDefault="00653063" w:rsidP="00E44C47">
      <w:pPr>
        <w:pStyle w:val="Bullet1G"/>
        <w:rPr>
          <w:lang w:val="es-ES_tradnl"/>
        </w:rPr>
      </w:pPr>
      <w:r w:rsidRPr="00653063">
        <w:rPr>
          <w:lang w:val="es-ES_tradnl"/>
        </w:rPr>
        <w:t>Guías de detección general y específica.</w:t>
      </w:r>
    </w:p>
    <w:p w14:paraId="1CA8B7B1" w14:textId="77777777" w:rsidR="00653063" w:rsidRPr="00653063" w:rsidRDefault="00653063" w:rsidP="00E44C47">
      <w:pPr>
        <w:pStyle w:val="Bullet1G"/>
        <w:rPr>
          <w:lang w:val="es-ES_tradnl"/>
        </w:rPr>
      </w:pPr>
      <w:r w:rsidRPr="00653063">
        <w:rPr>
          <w:lang w:val="es-ES_tradnl"/>
        </w:rPr>
        <w:t>Formato de informe psicopedagógico integral.</w:t>
      </w:r>
    </w:p>
    <w:p w14:paraId="0F9BB634" w14:textId="77777777" w:rsidR="00653063" w:rsidRPr="00653063" w:rsidRDefault="00653063" w:rsidP="00E44C47">
      <w:pPr>
        <w:pStyle w:val="Bullet1G"/>
        <w:rPr>
          <w:lang w:val="es-ES_tradnl"/>
        </w:rPr>
      </w:pPr>
      <w:r w:rsidRPr="00653063">
        <w:rPr>
          <w:lang w:val="es-ES_tradnl"/>
        </w:rPr>
        <w:t>Orientación para padres y madres de familia para detectar posibles estudiantes con talento extraordinario.</w:t>
      </w:r>
    </w:p>
    <w:p w14:paraId="63A9A581" w14:textId="77777777" w:rsidR="00653063" w:rsidRPr="00653063" w:rsidRDefault="00653063" w:rsidP="00E44C47">
      <w:pPr>
        <w:pStyle w:val="Bullet1G"/>
        <w:rPr>
          <w:lang w:val="es-ES_tradnl"/>
        </w:rPr>
      </w:pPr>
      <w:r w:rsidRPr="00653063">
        <w:rPr>
          <w:lang w:val="es-ES_tradnl"/>
        </w:rPr>
        <w:t>Formulario en línea para detección de estudiantes con potencialidades productivas y habilidades extraordinarias.</w:t>
      </w:r>
    </w:p>
    <w:p w14:paraId="7E3F440A" w14:textId="77777777" w:rsidR="00653063" w:rsidRPr="00653063" w:rsidRDefault="00653063" w:rsidP="00E44C47">
      <w:pPr>
        <w:pStyle w:val="Bullet1G"/>
        <w:rPr>
          <w:lang w:val="es-ES_tradnl"/>
        </w:rPr>
      </w:pPr>
      <w:r w:rsidRPr="00653063">
        <w:rPr>
          <w:lang w:val="es-ES_tradnl"/>
        </w:rPr>
        <w:t>Orientaciones psicopedagógicas para el/la estudiante “área de talento extraordinario” ámbito de educación especial.</w:t>
      </w:r>
    </w:p>
    <w:p w14:paraId="5C222F57" w14:textId="77777777" w:rsidR="00653063" w:rsidRPr="00653063" w:rsidRDefault="00653063" w:rsidP="00E44C47">
      <w:pPr>
        <w:pStyle w:val="Bullet1G"/>
        <w:rPr>
          <w:lang w:val="es-ES_tradnl"/>
        </w:rPr>
      </w:pPr>
      <w:r w:rsidRPr="00653063">
        <w:rPr>
          <w:lang w:val="es-ES_tradnl"/>
        </w:rPr>
        <w:t>Ingreso libre de bachilleres con algún tipo de discapacidad, a las diferentes universidades que conforman el Sistema de la Universidad Boliviana.</w:t>
      </w:r>
    </w:p>
    <w:p w14:paraId="6F204C53" w14:textId="01C443FF" w:rsidR="00653063" w:rsidRPr="00653063" w:rsidRDefault="00E44C47" w:rsidP="00E44C47">
      <w:pPr>
        <w:pStyle w:val="H23G"/>
        <w:rPr>
          <w:lang w:val="es-ES_tradnl" w:eastAsia="es-BO"/>
        </w:rPr>
      </w:pPr>
      <w:bookmarkStart w:id="30" w:name="_heading=h.2xcytpi" w:colFirst="0" w:colLast="0"/>
      <w:bookmarkEnd w:id="30"/>
      <w:r>
        <w:rPr>
          <w:lang w:val="es-ES_tradnl" w:eastAsia="es-BO"/>
        </w:rPr>
        <w:tab/>
      </w:r>
      <w:r>
        <w:rPr>
          <w:lang w:val="es-ES_tradnl" w:eastAsia="es-BO"/>
        </w:rPr>
        <w:tab/>
        <w:t>s)</w:t>
      </w:r>
      <w:r>
        <w:rPr>
          <w:lang w:val="es-ES_tradnl" w:eastAsia="es-BO"/>
        </w:rPr>
        <w:tab/>
      </w:r>
      <w:r w:rsidR="00653063" w:rsidRPr="00653063">
        <w:rPr>
          <w:lang w:val="es-ES_tradnl" w:eastAsia="es-BO"/>
        </w:rPr>
        <w:t>Salud (Artículo 25, Recomendación 58)</w:t>
      </w:r>
    </w:p>
    <w:p w14:paraId="0675908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al Párrafo 58.a sobre la implementación de una estrategia de accesibilidad a instalaciones y mobiliario médico, la accesibilidad a instalaciones se encuentra establecida mediante las </w:t>
      </w:r>
      <w:r w:rsidRPr="00653063">
        <w:rPr>
          <w:rFonts w:eastAsia="Times New Roman"/>
          <w:i/>
          <w:lang w:val="es-ES_tradnl" w:eastAsia="es-BO"/>
        </w:rPr>
        <w:t xml:space="preserve">Normas de Caracterización de Establecimientos de Salud de I y II Nivel, </w:t>
      </w:r>
      <w:r w:rsidRPr="00653063">
        <w:rPr>
          <w:rFonts w:eastAsia="Times New Roman"/>
          <w:lang w:val="es-ES_tradnl" w:eastAsia="es-BO"/>
        </w:rPr>
        <w:t>que uniforma las características físicas y funcionales de los establecimientos de salud I y II (infraestructura, equipamiento, medicamentos, insumos médicos y equipo de salud).</w:t>
      </w:r>
    </w:p>
    <w:p w14:paraId="49459BA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Además, el MOPSV elaboró la </w:t>
      </w:r>
      <w:r w:rsidRPr="00653063">
        <w:rPr>
          <w:rFonts w:eastAsia="Times New Roman"/>
          <w:i/>
          <w:lang w:val="es-ES_tradnl" w:eastAsia="es-BO"/>
        </w:rPr>
        <w:t>Guía Nacional 17 Normas Bolivianas “Accesibilidad de las Personas con Discapacidad al Medio Físico”</w:t>
      </w:r>
      <w:r w:rsidRPr="00653063">
        <w:rPr>
          <w:rFonts w:eastAsia="Times New Roman"/>
          <w:lang w:val="es-ES_tradnl" w:eastAsia="es-BO"/>
        </w:rPr>
        <w:t xml:space="preserve"> que establece características arquitectónicas para facilitar el acceso, tránsito, uso y permanencia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diferentes establecimientos.</w:t>
      </w:r>
    </w:p>
    <w:p w14:paraId="469A966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al Párrafo 58.b, sobre campañas de capacitación y promoción de los derechos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 profesionales y personal de la salud, en la gestión 2021 se publicó la </w:t>
      </w:r>
      <w:r w:rsidRPr="00653063">
        <w:rPr>
          <w:rFonts w:eastAsia="Times New Roman"/>
          <w:i/>
          <w:lang w:val="es-ES_tradnl" w:eastAsia="es-BO"/>
        </w:rPr>
        <w:t xml:space="preserve">Guía del Buen Trato a la Persona con Discapacidad en los Servicios de Salud, </w:t>
      </w:r>
      <w:r w:rsidRPr="00653063">
        <w:rPr>
          <w:rFonts w:eastAsia="Times New Roman"/>
          <w:lang w:val="es-ES_tradnl" w:eastAsia="es-BO"/>
        </w:rPr>
        <w:t xml:space="preserve">que busca mejorar las relaciones interpersonales, establecer ambientes de comunicación y de diálogo saludable contribuyendo a mejorar los servicios de salud para </w:t>
      </w:r>
      <w:proofErr w:type="spellStart"/>
      <w:r w:rsidRPr="00653063">
        <w:rPr>
          <w:rFonts w:eastAsia="Times New Roman"/>
          <w:lang w:val="es-ES_tradnl" w:eastAsia="es-BO"/>
        </w:rPr>
        <w:t>PcD</w:t>
      </w:r>
      <w:proofErr w:type="spellEnd"/>
      <w:r w:rsidRPr="00653063">
        <w:rPr>
          <w:rFonts w:eastAsia="Times New Roman"/>
          <w:lang w:val="es-ES_tradnl" w:eastAsia="es-BO"/>
        </w:rPr>
        <w:t>;</w:t>
      </w:r>
      <w:r w:rsidRPr="00653063">
        <w:rPr>
          <w:rFonts w:eastAsia="Times New Roman"/>
          <w:i/>
          <w:lang w:val="es-ES_tradnl" w:eastAsia="es-BO"/>
        </w:rPr>
        <w:t xml:space="preserve"> </w:t>
      </w:r>
      <w:r w:rsidRPr="00653063">
        <w:rPr>
          <w:rFonts w:eastAsia="Times New Roman"/>
          <w:lang w:val="es-ES_tradnl" w:eastAsia="es-BO"/>
        </w:rPr>
        <w:t>la Guía fue socializada, logrando la capacitación de profesionales de 854 Establecimientos de Salud. (Anexo 20)</w:t>
      </w:r>
    </w:p>
    <w:p w14:paraId="4DD65FD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MSD elaboró el </w:t>
      </w:r>
      <w:r w:rsidRPr="00653063">
        <w:rPr>
          <w:rFonts w:eastAsia="Times New Roman"/>
          <w:i/>
          <w:lang w:val="es-ES_tradnl" w:eastAsia="es-BO"/>
        </w:rPr>
        <w:t xml:space="preserve">Rotafolio: Salud Sexual y Reproductiva para </w:t>
      </w:r>
      <w:proofErr w:type="spellStart"/>
      <w:r w:rsidRPr="00653063">
        <w:rPr>
          <w:rFonts w:eastAsia="Times New Roman"/>
          <w:i/>
          <w:lang w:val="es-ES_tradnl" w:eastAsia="es-BO"/>
        </w:rPr>
        <w:t>PcD</w:t>
      </w:r>
      <w:proofErr w:type="spellEnd"/>
      <w:r w:rsidRPr="00653063">
        <w:rPr>
          <w:rFonts w:eastAsia="Times New Roman"/>
          <w:i/>
          <w:lang w:val="es-ES_tradnl" w:eastAsia="es-BO"/>
        </w:rPr>
        <w:t xml:space="preserve"> </w:t>
      </w:r>
      <w:r w:rsidRPr="00653063">
        <w:rPr>
          <w:rFonts w:eastAsia="Times New Roman"/>
          <w:lang w:val="es-ES_tradnl" w:eastAsia="es-BO"/>
        </w:rPr>
        <w:t xml:space="preserve">que menciona la normativa vigente, preceptos básicos sobre la salud sexual y reproductiva, asesoría genética, cuadro de elegibilidad de métodos anticonceptivos </w:t>
      </w:r>
      <w:proofErr w:type="gramStart"/>
      <w:r w:rsidRPr="00653063">
        <w:rPr>
          <w:rFonts w:eastAsia="Times New Roman"/>
          <w:lang w:val="es-ES_tradnl" w:eastAsia="es-BO"/>
        </w:rPr>
        <w:t>de acuerdo al</w:t>
      </w:r>
      <w:proofErr w:type="gramEnd"/>
      <w:r w:rsidRPr="00653063">
        <w:rPr>
          <w:rFonts w:eastAsia="Times New Roman"/>
          <w:lang w:val="es-ES_tradnl" w:eastAsia="es-BO"/>
        </w:rPr>
        <w:t xml:space="preserve"> tipo de discapacidad, métodos anticonceptivos, procedimiento ante una situación de violación conforme la Sentencia Constitucional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0206/2014. (Anexo 21)</w:t>
      </w:r>
    </w:p>
    <w:p w14:paraId="1BE0E3D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2023 se incluyó la temática de </w:t>
      </w:r>
      <w:r w:rsidRPr="00653063">
        <w:rPr>
          <w:rFonts w:eastAsia="Times New Roman"/>
          <w:i/>
          <w:lang w:val="es-ES_tradnl" w:eastAsia="es-BO"/>
        </w:rPr>
        <w:t>Discapacidad</w:t>
      </w:r>
      <w:r w:rsidRPr="00653063">
        <w:rPr>
          <w:rFonts w:eastAsia="Times New Roman"/>
          <w:lang w:val="es-ES_tradnl" w:eastAsia="es-BO"/>
        </w:rPr>
        <w:t xml:space="preserve"> en el libro </w:t>
      </w:r>
      <w:r w:rsidRPr="00653063">
        <w:rPr>
          <w:rFonts w:eastAsia="Times New Roman"/>
          <w:i/>
          <w:lang w:val="es-ES_tradnl" w:eastAsia="es-BO"/>
        </w:rPr>
        <w:t xml:space="preserve">Centinela de Salud en el Capítulo VII, </w:t>
      </w:r>
      <w:r w:rsidRPr="00653063">
        <w:rPr>
          <w:rFonts w:eastAsia="Times New Roman"/>
          <w:lang w:val="es-ES_tradnl" w:eastAsia="es-BO"/>
        </w:rPr>
        <w:t>documento</w:t>
      </w:r>
      <w:r w:rsidRPr="00653063">
        <w:rPr>
          <w:rFonts w:eastAsia="Times New Roman"/>
          <w:i/>
          <w:lang w:val="es-ES_tradnl" w:eastAsia="es-BO"/>
        </w:rPr>
        <w:t xml:space="preserve"> </w:t>
      </w:r>
      <w:r w:rsidRPr="00653063">
        <w:rPr>
          <w:rFonts w:eastAsia="Times New Roman"/>
          <w:lang w:val="es-ES_tradnl" w:eastAsia="es-BO"/>
        </w:rPr>
        <w:t>dirigido a conscriptos que realizan el Servicio Militar Obligatorio.</w:t>
      </w:r>
    </w:p>
    <w:p w14:paraId="0E07292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al Párrafo 58.c, referente a la asignación de recursos humanos y materiales para una efectiva universalización en la cobertura de servicios de salud, a través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1152 de 20 de febrero de 2019, del Sistema Único de Salud se universalizó la atención en salud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ampliándose la cartera mínima de servicios </w:t>
      </w:r>
      <w:proofErr w:type="gramStart"/>
      <w:r w:rsidRPr="00653063">
        <w:rPr>
          <w:rFonts w:eastAsia="Times New Roman"/>
          <w:lang w:val="es-ES_tradnl" w:eastAsia="es-BO"/>
        </w:rPr>
        <w:t>de acuerdo a</w:t>
      </w:r>
      <w:proofErr w:type="gramEnd"/>
      <w:r w:rsidRPr="00653063">
        <w:rPr>
          <w:rFonts w:eastAsia="Times New Roman"/>
          <w:lang w:val="es-ES_tradnl" w:eastAsia="es-BO"/>
        </w:rPr>
        <w:t xml:space="preserve"> la capacidad resolutiva de los establecimientos de salud de acuerdo al Nivel de Atención. Asimismo, dicha Ley determina que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deben recibir atención preferente en la prestación de servicios y trámites administrativos por parte de los servicios públicos de salud. </w:t>
      </w:r>
    </w:p>
    <w:p w14:paraId="0E6F2BE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lastRenderedPageBreak/>
        <w:t>El 2015, el MSD implementó el Proyecto de Detección Temprana e Intervención Temprana de la Deficiencia Auditiva en niños menores de 5 años en el Municipio de El Alto para realizar un diagnóstico precoz y la aplicación de medidas preventivas y correctivas de hipoacusias y otras patologías, además de la atención a neonatos en los establecimientos de salud. Realizando del año 2016 al 2018, 4413 atenciones del Gabinete de Audiología.</w:t>
      </w:r>
    </w:p>
    <w:p w14:paraId="24DAC8E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Gobierno Autónomo Departamental de Cochabamba brindó apoyo en las campañas de calificación y carnetización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los municipios de Sacaba y Punata, beneficiando un total de 1706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
    <w:p w14:paraId="382D1CDC" w14:textId="4A13A9C7" w:rsidR="00653063" w:rsidRPr="00653063" w:rsidRDefault="004016FE" w:rsidP="004016FE">
      <w:pPr>
        <w:pStyle w:val="H23G"/>
        <w:rPr>
          <w:lang w:val="es-ES_tradnl" w:eastAsia="es-BO"/>
        </w:rPr>
      </w:pPr>
      <w:bookmarkStart w:id="31" w:name="_heading=h.1ci93xb" w:colFirst="0" w:colLast="0"/>
      <w:bookmarkEnd w:id="31"/>
      <w:r>
        <w:rPr>
          <w:lang w:val="es-ES_tradnl" w:eastAsia="es-BO"/>
        </w:rPr>
        <w:tab/>
      </w:r>
      <w:r>
        <w:rPr>
          <w:lang w:val="es-ES_tradnl" w:eastAsia="es-BO"/>
        </w:rPr>
        <w:tab/>
        <w:t>t)</w:t>
      </w:r>
      <w:r>
        <w:rPr>
          <w:lang w:val="es-ES_tradnl" w:eastAsia="es-BO"/>
        </w:rPr>
        <w:tab/>
      </w:r>
      <w:r w:rsidR="00653063" w:rsidRPr="00653063">
        <w:rPr>
          <w:lang w:val="es-ES_tradnl" w:eastAsia="es-BO"/>
        </w:rPr>
        <w:t>Habilitación y rehabilitación (Artículo 26, Recomendación 60)</w:t>
      </w:r>
    </w:p>
    <w:p w14:paraId="1422BC9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 relación a la Recomendación del Párrafo 60, sobre la adopción de una estrategia de desarrollo inclusivo y rehabilitación con enfoque comunitario, los Entes Gestores de Salud, como entidades descentralizadas que otorgan prestaciones de salud en el seguro social obligatorio de corto plazo, durante las gestiones 2016-2022, implementaron diferentes acciones y estrategias de Desarrollo Inclusivo, generando avances significativos en la atención de los servicios de rehabilitación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en la promoción del desarrollo inclusivo; destacando las siguientes acciones en el periodo 2016-2020:</w:t>
      </w:r>
    </w:p>
    <w:p w14:paraId="4DE59A3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Seguro Social Universitario:</w:t>
      </w:r>
    </w:p>
    <w:p w14:paraId="258DCB15" w14:textId="77777777" w:rsidR="00653063" w:rsidRPr="00653063" w:rsidRDefault="00653063" w:rsidP="004016FE">
      <w:pPr>
        <w:pStyle w:val="Bullet1G"/>
        <w:rPr>
          <w:lang w:val="es-ES_tradnl"/>
        </w:rPr>
      </w:pPr>
      <w:r w:rsidRPr="00653063">
        <w:rPr>
          <w:lang w:val="es-ES_tradnl"/>
        </w:rPr>
        <w:t xml:space="preserve">Creación de brigadas móviles y atención a domicilio </w:t>
      </w:r>
      <w:proofErr w:type="gramStart"/>
      <w:r w:rsidRPr="00653063">
        <w:rPr>
          <w:lang w:val="es-ES_tradnl"/>
        </w:rPr>
        <w:t>de acuerdo a</w:t>
      </w:r>
      <w:proofErr w:type="gramEnd"/>
      <w:r w:rsidRPr="00653063">
        <w:rPr>
          <w:lang w:val="es-ES_tradnl"/>
        </w:rPr>
        <w:t xml:space="preserve"> requerimiento de asegurados y beneficiarios.</w:t>
      </w:r>
    </w:p>
    <w:p w14:paraId="6EA2E2C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Caja de Salud de Caminos:</w:t>
      </w:r>
    </w:p>
    <w:p w14:paraId="16A51BB1" w14:textId="77777777" w:rsidR="00653063" w:rsidRPr="00653063" w:rsidRDefault="00653063" w:rsidP="004016FE">
      <w:pPr>
        <w:pStyle w:val="Bullet1G"/>
        <w:rPr>
          <w:lang w:val="es-ES_tradnl"/>
        </w:rPr>
      </w:pPr>
      <w:r w:rsidRPr="00653063">
        <w:rPr>
          <w:lang w:val="es-ES_tradnl"/>
        </w:rPr>
        <w:t xml:space="preserve">Ampliación de la cobertura de los servicios de rehabilitación, destacándose que todos los centros de salud cuentan con un área de rehabilitación y fisioterapia, asegurando que las </w:t>
      </w:r>
      <w:proofErr w:type="spellStart"/>
      <w:r w:rsidRPr="00653063">
        <w:rPr>
          <w:lang w:val="es-ES_tradnl"/>
        </w:rPr>
        <w:t>PcD</w:t>
      </w:r>
      <w:proofErr w:type="spellEnd"/>
      <w:r w:rsidRPr="00653063">
        <w:rPr>
          <w:lang w:val="es-ES_tradnl"/>
        </w:rPr>
        <w:t xml:space="preserve"> tengan acceso equitativo en todos los Departamentos.</w:t>
      </w:r>
    </w:p>
    <w:p w14:paraId="57240255" w14:textId="77777777" w:rsidR="00653063" w:rsidRPr="00653063" w:rsidRDefault="00653063" w:rsidP="004016FE">
      <w:pPr>
        <w:pStyle w:val="Bullet1G"/>
        <w:rPr>
          <w:lang w:val="es-ES_tradnl"/>
        </w:rPr>
      </w:pPr>
      <w:r w:rsidRPr="00653063">
        <w:rPr>
          <w:lang w:val="es-ES_tradnl"/>
        </w:rPr>
        <w:t>Mejora de infraestructura de centros de rehabilitación para proporcionar espacios adecuados y equipados para la atención de pacientes con discapacidad.</w:t>
      </w:r>
    </w:p>
    <w:p w14:paraId="1B7A5717" w14:textId="77777777" w:rsidR="00653063" w:rsidRPr="00653063" w:rsidRDefault="00653063" w:rsidP="004016FE">
      <w:pPr>
        <w:pStyle w:val="Bullet1G"/>
        <w:rPr>
          <w:lang w:val="es-ES_tradnl"/>
        </w:rPr>
      </w:pPr>
      <w:r w:rsidRPr="00653063">
        <w:rPr>
          <w:lang w:val="es-ES_tradnl"/>
        </w:rPr>
        <w:t xml:space="preserve">Capacitación continua al personal médico y terapéutico, para mejorar las habilidades y conocimientos en la atención de pacientes con discapacidad; así como, en la aplicación de técnicas y terapias actualizadas. Curso Online sobre </w:t>
      </w:r>
      <w:r w:rsidRPr="00653063">
        <w:rPr>
          <w:i/>
          <w:lang w:val="es-ES_tradnl"/>
        </w:rPr>
        <w:t>“Calidad y Humanización de la Asistencia Sanitaria</w:t>
      </w:r>
      <w:r w:rsidRPr="00653063">
        <w:rPr>
          <w:lang w:val="es-ES_tradnl"/>
        </w:rPr>
        <w:t xml:space="preserve">” realizado con el apoyo de la Organización Iberoamericana de Seguridad Social y la AECID. </w:t>
      </w:r>
    </w:p>
    <w:p w14:paraId="3F6BC986" w14:textId="77777777" w:rsidR="00653063" w:rsidRPr="00653063" w:rsidRDefault="00653063" w:rsidP="004016FE">
      <w:pPr>
        <w:pStyle w:val="Bullet1G"/>
        <w:rPr>
          <w:lang w:val="es-ES_tradnl"/>
        </w:rPr>
      </w:pPr>
      <w:r w:rsidRPr="00653063">
        <w:rPr>
          <w:lang w:val="es-ES_tradnl"/>
        </w:rPr>
        <w:t xml:space="preserve">Desarrollo de campañas de sensibilización y concientización dirigidas a la sociedad, para promover la inclusión y la eliminación de barreras físicas y sociales que limitan la participación de </w:t>
      </w:r>
      <w:proofErr w:type="spellStart"/>
      <w:r w:rsidRPr="00653063">
        <w:rPr>
          <w:lang w:val="es-ES_tradnl"/>
        </w:rPr>
        <w:t>PcD</w:t>
      </w:r>
      <w:proofErr w:type="spellEnd"/>
      <w:r w:rsidRPr="00653063">
        <w:rPr>
          <w:lang w:val="es-ES_tradnl"/>
        </w:rPr>
        <w:t>.</w:t>
      </w:r>
    </w:p>
    <w:p w14:paraId="251EEE0D" w14:textId="77777777" w:rsidR="00653063" w:rsidRPr="00653063" w:rsidRDefault="00653063" w:rsidP="004016FE">
      <w:pPr>
        <w:pStyle w:val="Bullet1G"/>
        <w:rPr>
          <w:lang w:val="es-ES_tradnl"/>
        </w:rPr>
      </w:pPr>
      <w:r w:rsidRPr="00653063">
        <w:rPr>
          <w:lang w:val="es-ES_tradnl"/>
        </w:rPr>
        <w:t xml:space="preserve">Promoción de entornos accesibles en centros de atención de salud y otros espacios públicos, garantizando la eliminación de barreras arquitectónicas con la participación de las </w:t>
      </w:r>
      <w:proofErr w:type="spellStart"/>
      <w:r w:rsidRPr="00653063">
        <w:rPr>
          <w:lang w:val="es-ES_tradnl"/>
        </w:rPr>
        <w:t>PcD</w:t>
      </w:r>
      <w:proofErr w:type="spellEnd"/>
      <w:r w:rsidRPr="00653063">
        <w:rPr>
          <w:lang w:val="es-ES_tradnl"/>
        </w:rPr>
        <w:t>.</w:t>
      </w:r>
    </w:p>
    <w:p w14:paraId="2E9F306E" w14:textId="77777777" w:rsidR="00653063" w:rsidRPr="00653063" w:rsidRDefault="00653063" w:rsidP="004016FE">
      <w:pPr>
        <w:pStyle w:val="Bullet1G"/>
        <w:rPr>
          <w:lang w:val="es-ES_tradnl"/>
        </w:rPr>
      </w:pPr>
      <w:r w:rsidRPr="00653063">
        <w:rPr>
          <w:lang w:val="es-ES_tradnl"/>
        </w:rPr>
        <w:t xml:space="preserve">Alianzas con organizaciones y entidades relacionadas con la temática de discapacidad, para generar sinergias y promover acciones conjuntas que impulsen el desarrollo inclusivo de </w:t>
      </w:r>
      <w:proofErr w:type="spellStart"/>
      <w:r w:rsidRPr="00653063">
        <w:rPr>
          <w:lang w:val="es-ES_tradnl"/>
        </w:rPr>
        <w:t>PcD</w:t>
      </w:r>
      <w:proofErr w:type="spellEnd"/>
      <w:r w:rsidRPr="00653063">
        <w:rPr>
          <w:lang w:val="es-ES_tradnl"/>
        </w:rPr>
        <w:t>.</w:t>
      </w:r>
    </w:p>
    <w:p w14:paraId="2C11BF48" w14:textId="77777777" w:rsidR="00653063" w:rsidRPr="00653063" w:rsidRDefault="00653063" w:rsidP="004016FE">
      <w:pPr>
        <w:pStyle w:val="Bullet1G"/>
        <w:rPr>
          <w:lang w:val="es-ES_tradnl"/>
        </w:rPr>
      </w:pPr>
      <w:r w:rsidRPr="00653063">
        <w:rPr>
          <w:lang w:val="es-ES_tradnl"/>
        </w:rPr>
        <w:t xml:space="preserve">Desarrollo e implementación de políticas y programas orientados a fomentar la inclusión laboral de </w:t>
      </w:r>
      <w:proofErr w:type="spellStart"/>
      <w:r w:rsidRPr="00653063">
        <w:rPr>
          <w:lang w:val="es-ES_tradnl"/>
        </w:rPr>
        <w:t>PcD</w:t>
      </w:r>
      <w:proofErr w:type="spellEnd"/>
      <w:r w:rsidRPr="00653063">
        <w:rPr>
          <w:lang w:val="es-ES_tradnl"/>
        </w:rPr>
        <w:t>, brindando oportunidades de empleo y promoviendo un entorno laboral inclusivo y respetuoso.</w:t>
      </w:r>
    </w:p>
    <w:p w14:paraId="29D6375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Seguro Social Universitario Sucre:</w:t>
      </w:r>
    </w:p>
    <w:p w14:paraId="58E314F5" w14:textId="77777777" w:rsidR="00653063" w:rsidRPr="00653063" w:rsidRDefault="00653063" w:rsidP="004016FE">
      <w:pPr>
        <w:pStyle w:val="Bullet1G"/>
        <w:rPr>
          <w:lang w:val="es-ES_tradnl"/>
        </w:rPr>
      </w:pPr>
      <w:bookmarkStart w:id="32" w:name="bookmark=id.3whwml4" w:colFirst="0" w:colLast="0"/>
      <w:bookmarkEnd w:id="32"/>
      <w:r w:rsidRPr="00653063">
        <w:rPr>
          <w:lang w:val="es-ES_tradnl"/>
        </w:rPr>
        <w:t>Firma de convenio interinstitucional con el Instituto Psicopedagógico “</w:t>
      </w:r>
      <w:r w:rsidRPr="00653063">
        <w:rPr>
          <w:i/>
          <w:lang w:val="es-ES_tradnl"/>
        </w:rPr>
        <w:t>Ciudad Joven San Juan de Dios"</w:t>
      </w:r>
      <w:r w:rsidRPr="00653063">
        <w:rPr>
          <w:lang w:val="es-ES_tradnl"/>
        </w:rPr>
        <w:t xml:space="preserve">, para otorgar atención médica especializada a </w:t>
      </w:r>
      <w:proofErr w:type="spellStart"/>
      <w:r w:rsidRPr="00653063">
        <w:rPr>
          <w:lang w:val="es-ES_tradnl"/>
        </w:rPr>
        <w:t>PcD</w:t>
      </w:r>
      <w:proofErr w:type="spellEnd"/>
      <w:r w:rsidRPr="00653063">
        <w:rPr>
          <w:lang w:val="es-ES_tradnl"/>
        </w:rPr>
        <w:t xml:space="preserve"> hasta los 15 años, institución donde son valorados y reciben preparación en estimulación temprana, neurología pediátrica y todo lo que incluye la cartera de servicios, para luego ser incluidos en instituciones educativas para personas con o sin discapacidad (Personas con síndrome de Down, autismo, retraso leve o moderado). </w:t>
      </w:r>
    </w:p>
    <w:p w14:paraId="1AA7E2EF" w14:textId="77777777" w:rsidR="00653063" w:rsidRPr="00653063" w:rsidRDefault="00653063" w:rsidP="004016FE">
      <w:pPr>
        <w:pStyle w:val="Bullet1G"/>
        <w:rPr>
          <w:rFonts w:eastAsia="Times New Roman"/>
          <w:lang w:val="es-ES_tradnl" w:eastAsia="es-BO"/>
        </w:rPr>
      </w:pPr>
      <w:r w:rsidRPr="00653063">
        <w:rPr>
          <w:rFonts w:eastAsia="Times New Roman"/>
          <w:lang w:val="es-ES_tradnl" w:eastAsia="es-BO"/>
        </w:rPr>
        <w:t>Firma de contratos administrativos para atención en la especialidad de fonoaudiología, servicio de fisioterapia en Hospital y domicilio.</w:t>
      </w:r>
    </w:p>
    <w:p w14:paraId="35B99BD4" w14:textId="77777777" w:rsidR="00653063" w:rsidRPr="00653063" w:rsidRDefault="00653063" w:rsidP="004016FE">
      <w:pPr>
        <w:pStyle w:val="Bullet1G"/>
        <w:rPr>
          <w:rFonts w:eastAsia="Times New Roman"/>
          <w:lang w:val="es-ES_tradnl" w:eastAsia="es-BO"/>
        </w:rPr>
      </w:pPr>
      <w:r w:rsidRPr="00653063">
        <w:rPr>
          <w:rFonts w:eastAsia="Times New Roman"/>
          <w:lang w:val="es-ES_tradnl" w:eastAsia="es-BO"/>
        </w:rPr>
        <w:lastRenderedPageBreak/>
        <w:t xml:space="preserve">Afiliación Vitalicia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 diferentes edades y diferentes discapacidades (motora e intelectual), quienes </w:t>
      </w:r>
      <w:r w:rsidRPr="004016FE">
        <w:rPr>
          <w:lang w:val="es-ES_tradnl"/>
        </w:rPr>
        <w:t>fueron</w:t>
      </w:r>
      <w:r w:rsidRPr="00653063">
        <w:rPr>
          <w:rFonts w:eastAsia="Times New Roman"/>
          <w:lang w:val="es-ES_tradnl" w:eastAsia="es-BO"/>
        </w:rPr>
        <w:t xml:space="preserve"> valorados y calificados por el SEDES, contando con la certificación y </w:t>
      </w:r>
      <w:proofErr w:type="gramStart"/>
      <w:r w:rsidRPr="00653063">
        <w:rPr>
          <w:rFonts w:eastAsia="Times New Roman"/>
          <w:lang w:val="es-ES_tradnl" w:eastAsia="es-BO"/>
        </w:rPr>
        <w:t>carnet</w:t>
      </w:r>
      <w:proofErr w:type="gramEnd"/>
      <w:r w:rsidRPr="00653063">
        <w:rPr>
          <w:rFonts w:eastAsia="Times New Roman"/>
          <w:lang w:val="es-ES_tradnl" w:eastAsia="es-BO"/>
        </w:rPr>
        <w:t xml:space="preserve"> de discapacidad respectivo. </w:t>
      </w:r>
    </w:p>
    <w:p w14:paraId="2C9BE5EA" w14:textId="77777777" w:rsidR="00653063" w:rsidRPr="00653063" w:rsidRDefault="00653063" w:rsidP="004016FE">
      <w:pPr>
        <w:pStyle w:val="Bullet1G"/>
        <w:rPr>
          <w:rFonts w:eastAsia="Times New Roman"/>
          <w:lang w:val="es-ES_tradnl" w:eastAsia="es-BO"/>
        </w:rPr>
      </w:pPr>
      <w:r w:rsidRPr="00653063">
        <w:rPr>
          <w:rFonts w:eastAsia="Times New Roman"/>
          <w:lang w:val="es-ES_tradnl" w:eastAsia="es-BO"/>
        </w:rPr>
        <w:t xml:space="preserve">Atención médica a domicilio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Motora a través del equipo de la brigada médica </w:t>
      </w:r>
      <w:proofErr w:type="gramStart"/>
      <w:r w:rsidRPr="00653063">
        <w:rPr>
          <w:rFonts w:eastAsia="Times New Roman"/>
          <w:lang w:val="es-ES_tradnl" w:eastAsia="es-BO"/>
        </w:rPr>
        <w:t>de acuerdo a</w:t>
      </w:r>
      <w:proofErr w:type="gramEnd"/>
      <w:r w:rsidRPr="00653063">
        <w:rPr>
          <w:rFonts w:eastAsia="Times New Roman"/>
          <w:lang w:val="es-ES_tradnl" w:eastAsia="es-BO"/>
        </w:rPr>
        <w:t xml:space="preserve"> requerimiento o </w:t>
      </w:r>
      <w:r w:rsidRPr="004016FE">
        <w:rPr>
          <w:lang w:val="es-ES_tradnl"/>
        </w:rPr>
        <w:t>programación</w:t>
      </w:r>
      <w:r w:rsidRPr="00653063">
        <w:rPr>
          <w:rFonts w:eastAsia="Times New Roman"/>
          <w:lang w:val="es-ES_tradnl" w:eastAsia="es-BO"/>
        </w:rPr>
        <w:t>, considerando enfermedades de base (diabetes, Hipertensión, etc.) durante la Pandemia por el COVID-19.</w:t>
      </w:r>
    </w:p>
    <w:p w14:paraId="73D009F0" w14:textId="77777777" w:rsidR="00653063" w:rsidRPr="00653063" w:rsidRDefault="00653063" w:rsidP="004016FE">
      <w:pPr>
        <w:pStyle w:val="Bullet1G"/>
        <w:rPr>
          <w:rFonts w:eastAsia="Times New Roman"/>
          <w:lang w:val="es-ES_tradnl" w:eastAsia="es-BO"/>
        </w:rPr>
      </w:pPr>
      <w:r w:rsidRPr="004016FE">
        <w:rPr>
          <w:lang w:val="es-ES_tradnl"/>
        </w:rPr>
        <w:t>Suministro</w:t>
      </w:r>
      <w:r w:rsidRPr="00653063">
        <w:rPr>
          <w:rFonts w:eastAsia="Times New Roman"/>
          <w:lang w:val="es-ES_tradnl" w:eastAsia="es-BO"/>
        </w:rPr>
        <w:t xml:space="preserve"> de la vacuna </w:t>
      </w:r>
      <w:proofErr w:type="gramStart"/>
      <w:r w:rsidRPr="00653063">
        <w:rPr>
          <w:rFonts w:eastAsia="Times New Roman"/>
          <w:lang w:val="es-ES_tradnl" w:eastAsia="es-BO"/>
        </w:rPr>
        <w:t>Anti COVID</w:t>
      </w:r>
      <w:proofErr w:type="gramEnd"/>
      <w:r w:rsidRPr="00653063">
        <w:rPr>
          <w:rFonts w:eastAsia="Times New Roman"/>
          <w:lang w:val="es-ES_tradnl" w:eastAsia="es-BO"/>
        </w:rPr>
        <w:t xml:space="preserve">- 19 con prioridad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(física - intelectual), personas con enfermedades de base y personas adultas mayores, conforme cronogramas de acuerdo a provisión de vacunas por parte del MSD; además de visitas a domicilio (brigadas móviles) para la aplicación de la vacuna.</w:t>
      </w:r>
    </w:p>
    <w:p w14:paraId="0F1A246B" w14:textId="77777777" w:rsidR="00653063" w:rsidRPr="00653063" w:rsidRDefault="00653063" w:rsidP="004016FE">
      <w:pPr>
        <w:pStyle w:val="Bullet1G"/>
        <w:rPr>
          <w:rFonts w:eastAsia="Times New Roman"/>
          <w:lang w:val="es-ES_tradnl" w:eastAsia="es-BO"/>
        </w:rPr>
      </w:pPr>
      <w:r w:rsidRPr="00653063">
        <w:rPr>
          <w:rFonts w:eastAsia="Times New Roman"/>
          <w:lang w:val="es-ES_tradnl" w:eastAsia="es-BO"/>
        </w:rPr>
        <w:t xml:space="preserve">El Hospital del Seguro Social Universitario de Sucre, cuenta con infraestructura adecuada para la movilización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r w:rsidRPr="004016FE">
        <w:rPr>
          <w:lang w:val="es-ES_tradnl"/>
        </w:rPr>
        <w:t>física</w:t>
      </w:r>
      <w:r w:rsidRPr="00653063">
        <w:rPr>
          <w:rFonts w:eastAsia="Times New Roman"/>
          <w:lang w:val="es-ES_tradnl" w:eastAsia="es-BO"/>
        </w:rPr>
        <w:t>, disponiendo ascensores, rampas, sanitario de uso exclusivo y adecuado en la planta baja y primer piso.</w:t>
      </w:r>
    </w:p>
    <w:p w14:paraId="78F3C375" w14:textId="77777777" w:rsidR="00653063" w:rsidRPr="00653063" w:rsidRDefault="00653063" w:rsidP="004016FE">
      <w:pPr>
        <w:pStyle w:val="Bullet1G"/>
        <w:rPr>
          <w:rFonts w:eastAsia="Times New Roman"/>
          <w:lang w:val="es-ES_tradnl" w:eastAsia="es-BO"/>
        </w:rPr>
      </w:pPr>
      <w:r w:rsidRPr="00653063">
        <w:rPr>
          <w:rFonts w:eastAsia="Times New Roman"/>
          <w:lang w:val="es-ES_tradnl" w:eastAsia="es-BO"/>
        </w:rPr>
        <w:t xml:space="preserve">Capacitación y sensibilización constante al personal de salud sobre: </w:t>
      </w:r>
      <w:r w:rsidRPr="00653063">
        <w:rPr>
          <w:rFonts w:eastAsia="Times New Roman"/>
          <w:i/>
          <w:lang w:val="es-ES_tradnl" w:eastAsia="es-BO"/>
        </w:rPr>
        <w:t>Calidad de atención en salud, Habilidades interpersonales para trabajadores de salud, auto liderazgo vocacional en pandemia para trabajadores en salud.</w:t>
      </w:r>
    </w:p>
    <w:p w14:paraId="662CB2B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Caja de Salud de la Banca Privada:</w:t>
      </w:r>
    </w:p>
    <w:p w14:paraId="705156AB" w14:textId="77777777" w:rsidR="00653063" w:rsidRPr="00653063" w:rsidRDefault="00653063" w:rsidP="00823B1C">
      <w:pPr>
        <w:pStyle w:val="Bullet1G"/>
        <w:rPr>
          <w:lang w:val="es-ES_tradnl"/>
        </w:rPr>
      </w:pPr>
      <w:r w:rsidRPr="00653063">
        <w:rPr>
          <w:lang w:val="es-ES_tradnl"/>
        </w:rPr>
        <w:t>Valoraciones médicas para la evaluación de puesto de trabajo, realizado por profesionales en Medicina del Trabajo, promoviendo la rehabilitación profesional (o) readaptación laboral (o) rehabilitación para el trabajo, siendo un proceso continuo y coordinado bajo un enfoque integral, en el que se proporcionan medios (especialmente orientación profesional, formación profesional y colocación selectiva), para que los asegurados en general y particularmente los que presentan discapacidad, puedan obtener y conservar un empleo adecuado a sus capacidades reales.</w:t>
      </w:r>
    </w:p>
    <w:p w14:paraId="7B76DFE5" w14:textId="77777777" w:rsidR="00653063" w:rsidRPr="00653063" w:rsidRDefault="00653063" w:rsidP="00823B1C">
      <w:pPr>
        <w:pStyle w:val="Bullet1G"/>
        <w:rPr>
          <w:lang w:val="es-ES_tradnl"/>
        </w:rPr>
      </w:pPr>
      <w:r w:rsidRPr="00653063">
        <w:rPr>
          <w:lang w:val="es-ES_tradnl"/>
        </w:rPr>
        <w:t>Atención permanente y supervisada en todos los servicios a los asegurados que presenten una discapacidad (previa valoración y declaración de invalidez), atención dirigida a mejorar su calidad de vida.</w:t>
      </w:r>
    </w:p>
    <w:p w14:paraId="130012D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Seguro Social Universitario Cochabamba:</w:t>
      </w:r>
    </w:p>
    <w:p w14:paraId="752B4A19" w14:textId="77777777" w:rsidR="00653063" w:rsidRPr="00653063" w:rsidRDefault="00653063" w:rsidP="00823B1C">
      <w:pPr>
        <w:pStyle w:val="Bullet1G"/>
        <w:rPr>
          <w:lang w:val="es-ES_tradnl"/>
        </w:rPr>
      </w:pPr>
      <w:r w:rsidRPr="00653063">
        <w:rPr>
          <w:lang w:val="es-ES_tradnl"/>
        </w:rPr>
        <w:t xml:space="preserve">Cuenta con un </w:t>
      </w:r>
      <w:r w:rsidRPr="00653063">
        <w:rPr>
          <w:i/>
          <w:lang w:val="es-ES_tradnl"/>
        </w:rPr>
        <w:t xml:space="preserve">Servicio de Medicina Física y Rehabilitación </w:t>
      </w:r>
      <w:r w:rsidRPr="00653063">
        <w:rPr>
          <w:lang w:val="es-ES_tradnl"/>
        </w:rPr>
        <w:t xml:space="preserve">con los ambientes adecuados y el personal profesional suficiente para la atención a </w:t>
      </w:r>
      <w:proofErr w:type="spellStart"/>
      <w:r w:rsidRPr="00653063">
        <w:rPr>
          <w:lang w:val="es-ES_tradnl"/>
        </w:rPr>
        <w:t>PcD</w:t>
      </w:r>
      <w:proofErr w:type="spellEnd"/>
      <w:r w:rsidRPr="00653063">
        <w:rPr>
          <w:lang w:val="es-ES_tradnl"/>
        </w:rPr>
        <w:t xml:space="preserve">. </w:t>
      </w:r>
    </w:p>
    <w:p w14:paraId="18C68916" w14:textId="77777777" w:rsidR="00653063" w:rsidRPr="00653063" w:rsidRDefault="00653063" w:rsidP="00823B1C">
      <w:pPr>
        <w:pStyle w:val="Bullet1G"/>
        <w:rPr>
          <w:lang w:val="es-ES_tradnl"/>
        </w:rPr>
      </w:pPr>
      <w:r w:rsidRPr="00653063">
        <w:rPr>
          <w:lang w:val="es-ES_tradnl"/>
        </w:rPr>
        <w:t>Firma de convenio con el Centro de Neuro Rehabilitación Avanzada Luz y Esperanza, para la atención de pacientes con discapacidad.</w:t>
      </w:r>
    </w:p>
    <w:p w14:paraId="0E7B798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Caja de Salud CORDES:</w:t>
      </w:r>
    </w:p>
    <w:p w14:paraId="0E129E1D" w14:textId="77777777" w:rsidR="00653063" w:rsidRPr="00653063" w:rsidRDefault="00653063" w:rsidP="00823B1C">
      <w:pPr>
        <w:pStyle w:val="Bullet1G"/>
        <w:rPr>
          <w:lang w:val="es-ES_tradnl"/>
        </w:rPr>
      </w:pPr>
      <w:r w:rsidRPr="00653063">
        <w:rPr>
          <w:lang w:val="es-ES_tradnl"/>
        </w:rPr>
        <w:t xml:space="preserve">Respecto al Examen Pre Ocupacional, se prioriza la valoración por Medicina del Trabajo de asegurados con discapacidad, para su posterior registro en el Sistema y Carnetización. </w:t>
      </w:r>
    </w:p>
    <w:p w14:paraId="7B4876CE" w14:textId="77777777" w:rsidR="00653063" w:rsidRPr="00653063" w:rsidRDefault="00653063" w:rsidP="00823B1C">
      <w:pPr>
        <w:pStyle w:val="Bullet1G"/>
        <w:rPr>
          <w:lang w:val="es-ES_tradnl"/>
        </w:rPr>
      </w:pPr>
      <w:r w:rsidRPr="00653063">
        <w:rPr>
          <w:lang w:val="es-ES_tradnl"/>
        </w:rPr>
        <w:t>Prioridad en la atención de Consulta Externa y otras especialidades.</w:t>
      </w:r>
    </w:p>
    <w:p w14:paraId="2602A67D" w14:textId="77777777" w:rsidR="00653063" w:rsidRPr="00653063" w:rsidRDefault="00653063" w:rsidP="00823B1C">
      <w:pPr>
        <w:pStyle w:val="Bullet1G"/>
        <w:rPr>
          <w:lang w:val="es-ES_tradnl"/>
        </w:rPr>
      </w:pPr>
      <w:r w:rsidRPr="00653063">
        <w:rPr>
          <w:lang w:val="es-ES_tradnl"/>
        </w:rPr>
        <w:t xml:space="preserve">Tratamiento de fisioterapia, </w:t>
      </w:r>
      <w:proofErr w:type="gramStart"/>
      <w:r w:rsidRPr="00653063">
        <w:rPr>
          <w:lang w:val="es-ES_tradnl"/>
        </w:rPr>
        <w:t>de acuerdo a</w:t>
      </w:r>
      <w:proofErr w:type="gramEnd"/>
      <w:r w:rsidRPr="00653063">
        <w:rPr>
          <w:lang w:val="es-ES_tradnl"/>
        </w:rPr>
        <w:t xml:space="preserve"> patología e indicación del médico tratante.</w:t>
      </w:r>
    </w:p>
    <w:p w14:paraId="4EB9C162" w14:textId="77777777" w:rsidR="00653063" w:rsidRPr="00653063" w:rsidRDefault="00653063" w:rsidP="00823B1C">
      <w:pPr>
        <w:pStyle w:val="Bullet1G"/>
        <w:rPr>
          <w:lang w:val="es-ES_tradnl"/>
        </w:rPr>
      </w:pPr>
      <w:r w:rsidRPr="00653063">
        <w:rPr>
          <w:lang w:val="es-ES_tradnl"/>
        </w:rPr>
        <w:t>Valoración con Medicina del Trabajo para el diagnóstico definitivo y posterior elaboración del Resumen Médico Ocupacional y la Historia Socio Laboral, para que el Asegurado acceda a la Renta por Invalidez Laboral.</w:t>
      </w:r>
    </w:p>
    <w:p w14:paraId="473C9A61" w14:textId="77777777" w:rsidR="00653063" w:rsidRPr="00653063" w:rsidRDefault="00653063" w:rsidP="00823B1C">
      <w:pPr>
        <w:pStyle w:val="Bullet1G"/>
        <w:rPr>
          <w:lang w:val="es-ES_tradnl"/>
        </w:rPr>
      </w:pPr>
      <w:proofErr w:type="gramStart"/>
      <w:r w:rsidRPr="00653063">
        <w:rPr>
          <w:lang w:val="es-ES_tradnl"/>
        </w:rPr>
        <w:t>De acuerdo a</w:t>
      </w:r>
      <w:proofErr w:type="gramEnd"/>
      <w:r w:rsidRPr="00653063">
        <w:rPr>
          <w:lang w:val="es-ES_tradnl"/>
        </w:rPr>
        <w:t xml:space="preserve"> la patología de la Persona con Discapacidad, realiza la compra de servicios de subespecialidad y especialidad: Cardiología, Nefrología, Urología, Otorrinolaringología, Traumatología y Oftalmología.</w:t>
      </w:r>
    </w:p>
    <w:p w14:paraId="145B103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Caja Bancaria Estatal de Salud:</w:t>
      </w:r>
    </w:p>
    <w:p w14:paraId="2348358C" w14:textId="77777777" w:rsidR="00653063" w:rsidRPr="00653063" w:rsidRDefault="00653063" w:rsidP="008E5A46">
      <w:pPr>
        <w:pStyle w:val="Bullet1G"/>
        <w:rPr>
          <w:lang w:val="es-ES_tradnl"/>
        </w:rPr>
      </w:pPr>
      <w:r w:rsidRPr="00653063">
        <w:rPr>
          <w:lang w:val="es-ES_tradnl"/>
        </w:rPr>
        <w:t xml:space="preserve">Fortalecimiento del Servicio de Medicina Física y Rehabilitación para: Consultorio médico de Fisiatría, Área de electroterapia con 9 camillas de atención, Área de tratamiento de columna cervical y hombro con 3 espacios, Área de </w:t>
      </w:r>
      <w:proofErr w:type="spellStart"/>
      <w:r w:rsidRPr="00653063">
        <w:rPr>
          <w:lang w:val="es-ES_tradnl"/>
        </w:rPr>
        <w:t>Tecarterapia</w:t>
      </w:r>
      <w:proofErr w:type="spellEnd"/>
      <w:r w:rsidRPr="00653063">
        <w:rPr>
          <w:lang w:val="es-ES_tradnl"/>
        </w:rPr>
        <w:t xml:space="preserve"> y ondas de choque con 2 camillas de tratamiento, Área hidroterapia con 3 tanques de tratamiento para miembros superiores e inferiores, Área de kinesioterapia (gimnasio) </w:t>
      </w:r>
      <w:r w:rsidRPr="00653063">
        <w:rPr>
          <w:lang w:val="es-ES_tradnl"/>
        </w:rPr>
        <w:lastRenderedPageBreak/>
        <w:t xml:space="preserve">con equipos básicos de tratamiento, Área de láser de alta potencia con 1 camilla de tratamiento, Área de pediatría con colchonetas y equipo adecuado para este grupo </w:t>
      </w:r>
      <w:proofErr w:type="spellStart"/>
      <w:r w:rsidRPr="00653063">
        <w:rPr>
          <w:lang w:val="es-ES_tradnl"/>
        </w:rPr>
        <w:t>etareo</w:t>
      </w:r>
      <w:proofErr w:type="spellEnd"/>
      <w:r w:rsidRPr="00653063">
        <w:rPr>
          <w:lang w:val="es-ES_tradnl"/>
        </w:rPr>
        <w:t>, Área de Terapia Ocupacional, Área de Fonoaudiología, Área para el funcionamiento del Club del Adulto Mayor.</w:t>
      </w:r>
    </w:p>
    <w:p w14:paraId="243AF3AF" w14:textId="77777777" w:rsidR="00653063" w:rsidRPr="00653063" w:rsidRDefault="00653063" w:rsidP="00392E09">
      <w:pPr>
        <w:pStyle w:val="Bullet1G"/>
        <w:rPr>
          <w:lang w:val="es-ES_tradnl"/>
        </w:rPr>
      </w:pPr>
      <w:r w:rsidRPr="00653063">
        <w:rPr>
          <w:lang w:val="es-ES_tradnl"/>
        </w:rPr>
        <w:t xml:space="preserve">Cuenta con profesionales calificados para la correspondiente atención médica a </w:t>
      </w:r>
      <w:proofErr w:type="spellStart"/>
      <w:r w:rsidRPr="00653063">
        <w:rPr>
          <w:lang w:val="es-ES_tradnl"/>
        </w:rPr>
        <w:t>PcD</w:t>
      </w:r>
      <w:proofErr w:type="spellEnd"/>
      <w:r w:rsidRPr="00653063">
        <w:rPr>
          <w:lang w:val="es-ES_tradnl"/>
        </w:rPr>
        <w:t>.</w:t>
      </w:r>
    </w:p>
    <w:p w14:paraId="04A3406B" w14:textId="77777777" w:rsidR="00653063" w:rsidRPr="00653063" w:rsidRDefault="00653063" w:rsidP="00392E09">
      <w:pPr>
        <w:pStyle w:val="Bullet1G"/>
        <w:rPr>
          <w:lang w:val="es-ES_tradnl"/>
        </w:rPr>
      </w:pPr>
      <w:r w:rsidRPr="00653063">
        <w:rPr>
          <w:lang w:val="es-ES_tradnl"/>
        </w:rPr>
        <w:t>Tiene ambientes para Fisioterapia para Niños con Discapacidad.</w:t>
      </w:r>
    </w:p>
    <w:p w14:paraId="05EAF30F" w14:textId="77777777" w:rsidR="00653063" w:rsidRPr="00653063" w:rsidRDefault="00653063" w:rsidP="00392E09">
      <w:pPr>
        <w:pStyle w:val="Bullet1G"/>
        <w:rPr>
          <w:lang w:val="es-ES_tradnl"/>
        </w:rPr>
      </w:pPr>
      <w:r w:rsidRPr="00653063">
        <w:rPr>
          <w:lang w:val="es-ES_tradnl"/>
        </w:rPr>
        <w:t>Realizó campañas de prevención y promoción a personas con riesgo de discapacidad.</w:t>
      </w:r>
    </w:p>
    <w:p w14:paraId="217B440B" w14:textId="77777777" w:rsidR="00653063" w:rsidRPr="00653063" w:rsidRDefault="00653063" w:rsidP="00392E09">
      <w:pPr>
        <w:pStyle w:val="Bullet1G"/>
        <w:rPr>
          <w:lang w:val="es-ES_tradnl"/>
        </w:rPr>
      </w:pPr>
      <w:r w:rsidRPr="00653063">
        <w:rPr>
          <w:lang w:val="es-ES_tradnl"/>
        </w:rPr>
        <w:t>Realizó campañas de detección precoz de alteraciones del Neurodesarrollo.</w:t>
      </w:r>
    </w:p>
    <w:p w14:paraId="10EE1950" w14:textId="77777777" w:rsidR="00653063" w:rsidRPr="00653063" w:rsidRDefault="00653063" w:rsidP="00392E09">
      <w:pPr>
        <w:pStyle w:val="Bullet1G"/>
        <w:rPr>
          <w:lang w:val="es-ES_tradnl"/>
        </w:rPr>
      </w:pPr>
      <w:r w:rsidRPr="00653063">
        <w:rPr>
          <w:lang w:val="es-ES_tradnl"/>
        </w:rPr>
        <w:t>El Servicio de Medicina Física y Rehabilitación realiza estrategias de desarrollo inclusivo con las siguientes áreas: Fisioterapia, Terapia ocupacional, Fonoaudiología, a través de acciones de interacción social que favorece y fortalece la inclusión social de niños atípicos con niños neurotípicos y adultos mayores con alto riesgo de discapacidad, favoreciendo el envejecimiento activo.</w:t>
      </w:r>
    </w:p>
    <w:p w14:paraId="5A6BD09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Mediante el Artículo 3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1152 de 20 de febrero de 2019, se incluyen servicios de especialidad (medicina física y Rehabilitación), así como terapéuticos (fisioterapia y kinesiología, fonoaudiología, terapia ocupacional y psicología), los cuales se encuentran disponibles para todos los establecimientos en todos los niveles de atención, </w:t>
      </w:r>
      <w:proofErr w:type="gramStart"/>
      <w:r w:rsidRPr="00653063">
        <w:rPr>
          <w:rFonts w:eastAsia="Times New Roman"/>
          <w:lang w:val="es-ES_tradnl" w:eastAsia="es-BO"/>
        </w:rPr>
        <w:t>de acuerdo a</w:t>
      </w:r>
      <w:proofErr w:type="gramEnd"/>
      <w:r w:rsidRPr="00653063">
        <w:rPr>
          <w:rFonts w:eastAsia="Times New Roman"/>
          <w:lang w:val="es-ES_tradnl" w:eastAsia="es-BO"/>
        </w:rPr>
        <w:t xml:space="preserve"> la capacidad resolutiva, para toda la población en general con énfasis a grupos vulnerables, entre los cuales se encuentran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14FDE9C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desde 2011 se fortaleció los establecimientos que contaban con servicios de rehabilitación en las cabeceras de los departamentos y en 2013, en el marco del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0445, se firmaron convenios entre los GAM, GAD, UE-FNSE y el MSD, coadyuvando en la implementación de 30 centros/servicios de rehabilitación a nivel Nacional, en su mayoría, en municipios del área rural, y brindan atención desde establecimientos de Primer o Segundo Nivel de Atención en Salud. (Anexo 22)</w:t>
      </w:r>
    </w:p>
    <w:p w14:paraId="20B3215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Del 2013 a abril de 2023, el número de atenciones de rehabilitación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 nivel nacional alcanzaron a 993.794. (Anexo 23)</w:t>
      </w:r>
    </w:p>
    <w:p w14:paraId="51D279C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La Unidad de Gestión de la Política de Discapacidad, mediante los Servicios y/o Centros de Rehabilitación realiza actividades e intervenciones específicas de:</w:t>
      </w:r>
    </w:p>
    <w:p w14:paraId="3DFFDE58" w14:textId="77777777" w:rsidR="00653063" w:rsidRPr="00653063" w:rsidRDefault="00653063" w:rsidP="00FD6609">
      <w:pPr>
        <w:pStyle w:val="SingleTxtG"/>
        <w:numPr>
          <w:ilvl w:val="0"/>
          <w:numId w:val="42"/>
        </w:numPr>
        <w:ind w:left="1701" w:firstLine="0"/>
        <w:rPr>
          <w:lang w:val="es-ES_tradnl" w:eastAsia="es-BO"/>
        </w:rPr>
      </w:pPr>
      <w:r w:rsidRPr="00653063">
        <w:rPr>
          <w:b/>
          <w:lang w:val="es-ES_tradnl" w:eastAsia="es-BO"/>
        </w:rPr>
        <w:t xml:space="preserve">Prevención primaria: </w:t>
      </w:r>
      <w:r w:rsidRPr="00653063">
        <w:rPr>
          <w:lang w:val="es-ES_tradnl" w:eastAsia="es-BO"/>
        </w:rPr>
        <w:t>Dirigida a la población en general evitando las discapacidades prevenibles como los accidentes de tránsito o laborales entre otros con acciones tendientes a reducir la aparición de las deficiencias.</w:t>
      </w:r>
    </w:p>
    <w:p w14:paraId="1C01A120" w14:textId="77777777" w:rsidR="00653063" w:rsidRPr="00653063" w:rsidRDefault="00653063" w:rsidP="00FD6609">
      <w:pPr>
        <w:pStyle w:val="SingleTxtG"/>
        <w:numPr>
          <w:ilvl w:val="0"/>
          <w:numId w:val="42"/>
        </w:numPr>
        <w:ind w:left="1701" w:firstLine="0"/>
        <w:rPr>
          <w:lang w:val="es-ES_tradnl" w:eastAsia="es-BO"/>
        </w:rPr>
      </w:pPr>
      <w:r w:rsidRPr="00653063">
        <w:rPr>
          <w:b/>
          <w:lang w:val="es-ES_tradnl" w:eastAsia="es-BO"/>
        </w:rPr>
        <w:t xml:space="preserve">Prevención secundaria: </w:t>
      </w:r>
      <w:r w:rsidRPr="00653063">
        <w:rPr>
          <w:lang w:val="es-ES_tradnl" w:eastAsia="es-BO"/>
        </w:rPr>
        <w:t>Destinadas a disminuir secuelas por enfermedad, con manejo y tratamiento adecuado, mediante la detección precoz e intervención médica oportuna.</w:t>
      </w:r>
    </w:p>
    <w:p w14:paraId="058F0339" w14:textId="77777777" w:rsidR="00653063" w:rsidRPr="00653063" w:rsidRDefault="00653063" w:rsidP="00FD6609">
      <w:pPr>
        <w:pStyle w:val="SingleTxtG"/>
        <w:numPr>
          <w:ilvl w:val="0"/>
          <w:numId w:val="42"/>
        </w:numPr>
        <w:ind w:left="1701" w:firstLine="0"/>
        <w:rPr>
          <w:lang w:val="es-ES_tradnl" w:eastAsia="es-BO"/>
        </w:rPr>
      </w:pPr>
      <w:r w:rsidRPr="00653063">
        <w:rPr>
          <w:b/>
          <w:lang w:val="es-ES_tradnl" w:eastAsia="es-BO"/>
        </w:rPr>
        <w:t xml:space="preserve">Prevención terciaria: </w:t>
      </w:r>
      <w:r w:rsidRPr="00653063">
        <w:rPr>
          <w:lang w:val="es-ES_tradnl" w:eastAsia="es-BO"/>
        </w:rPr>
        <w:t>Evitan, que las patologías crónicas puedan dejar secuelas permanentes e incapacitantes, por lo que el personal de salud atiende la patología de base generando calidad de vida que permita incorporación social con igualdad de condiciones.</w:t>
      </w:r>
    </w:p>
    <w:p w14:paraId="48BEFAE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Asimismo, la Unidad de Gestión de la Política de Discapacidad desde 2008 ha entregado dispositivos y tecnologías de apoyo (ayudas técnicas) preventivas y facilitadoras como sillas de rueda, bastones y muletas, previa valoración socioeconómica por trabajo social de los SEDES.</w:t>
      </w:r>
    </w:p>
    <w:p w14:paraId="276E81FB"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2022, el MSD elaboró el documento </w:t>
      </w:r>
      <w:r w:rsidRPr="00653063">
        <w:rPr>
          <w:rFonts w:eastAsia="Times New Roman"/>
          <w:i/>
          <w:lang w:val="es-ES_tradnl" w:eastAsia="es-BO"/>
        </w:rPr>
        <w:t xml:space="preserve">“Situación de la Rehabilitación y de la Capacidad de Tecnologías de Apoyo en el Estado Plurinacional de Bolivia” </w:t>
      </w:r>
      <w:r w:rsidRPr="00653063">
        <w:rPr>
          <w:rFonts w:eastAsia="Times New Roman"/>
          <w:lang w:val="es-ES_tradnl" w:eastAsia="es-BO"/>
        </w:rPr>
        <w:t>con el propósito de mostrar la condición de la Rehabilitación y de las Tecnologías de Apoyo en el país</w:t>
      </w:r>
    </w:p>
    <w:p w14:paraId="41D4157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total de dispositivos y tecnologías de apoyo (ayudas técnicas) entregadas a PCD a nivel nacional (del 2008 a abril del 2023) es de </w:t>
      </w:r>
      <w:r w:rsidRPr="00653063">
        <w:rPr>
          <w:rFonts w:eastAsia="Times New Roman"/>
          <w:u w:val="single"/>
          <w:lang w:val="es-ES_tradnl" w:eastAsia="es-BO"/>
        </w:rPr>
        <w:t>2.100</w:t>
      </w:r>
      <w:r w:rsidRPr="00653063">
        <w:rPr>
          <w:rFonts w:eastAsia="Times New Roman"/>
          <w:lang w:val="es-ES_tradnl" w:eastAsia="es-BO"/>
        </w:rPr>
        <w:t>. (Anexo 24)</w:t>
      </w:r>
    </w:p>
    <w:p w14:paraId="6730879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el MSD realizó talleres de capacitación dirigidos a 60 profesionales, (entre médicos generales con diplomado en atención Integral a la Persona con Discapacidad, médicos de MI SALUD, médicos del SAFCI, médicos del Programa Juana Azurduy, algunos </w:t>
      </w:r>
      <w:r w:rsidRPr="00653063">
        <w:rPr>
          <w:rFonts w:eastAsia="Times New Roman"/>
          <w:lang w:val="es-ES_tradnl" w:eastAsia="es-BO"/>
        </w:rPr>
        <w:lastRenderedPageBreak/>
        <w:t>responsables de Discapacidad y representantes de los Municipios) en gestores de la Rehabilitación Basada en la Comunidad (RBC); y 32 profesionales en fisioterapia y kinesiología para la atención a la Persona con Discapacidad, en los 17 Centros de rehabilitación a nivel nacional.</w:t>
      </w:r>
    </w:p>
    <w:p w14:paraId="2F13757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2022, el MSD en coordinación con la OMS realizó el documento de investigación </w:t>
      </w:r>
      <w:r w:rsidRPr="00653063">
        <w:rPr>
          <w:rFonts w:eastAsia="Times New Roman"/>
          <w:i/>
          <w:lang w:val="es-ES_tradnl" w:eastAsia="es-BO"/>
        </w:rPr>
        <w:t>“Diagnóstico Situacional de la Rehabilitación y Tecnologías de apoyo en el Estado Plurinacional de Bolivia”,</w:t>
      </w:r>
      <w:r w:rsidRPr="00653063">
        <w:rPr>
          <w:rFonts w:eastAsia="Times New Roman"/>
          <w:lang w:val="es-ES_tradnl" w:eastAsia="es-BO"/>
        </w:rPr>
        <w:t xml:space="preserve"> aprobado con Resolución Ministerial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0357, mediante el cual se pretende desarrollar oportunidades de acción y generar estrategias de apoyo y protección de la población, particularmente a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29D5982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Ministerio de la Presidencia a través de la Unidad de Proyectos Especiales implementó proyectos especiales en el ámbito municipal, regional y social en apoyo a las políticas públicas y las gestiones asumidas por el Presidente del Estado en beneficio de la población con discapacidad, ejecutando 5 Proyectos: Centro de Educación Sonrisas (Cochabamba), Centro de Educación Especial Juan Evo Morales </w:t>
      </w:r>
      <w:proofErr w:type="spellStart"/>
      <w:r w:rsidRPr="00653063">
        <w:rPr>
          <w:rFonts w:eastAsia="Times New Roman"/>
          <w:lang w:val="es-ES_tradnl" w:eastAsia="es-BO"/>
        </w:rPr>
        <w:t>Ayma</w:t>
      </w:r>
      <w:proofErr w:type="spellEnd"/>
      <w:r w:rsidRPr="00653063">
        <w:rPr>
          <w:rFonts w:eastAsia="Times New Roman"/>
          <w:lang w:val="es-ES_tradnl" w:eastAsia="es-BO"/>
        </w:rPr>
        <w:t xml:space="preserve"> (Potosí), Centro de Educación Especial Fátima Méndez Ribera-Portachuelo (Santa Cruz), Centro Integral de Rehabilitación Infantil Warnes (Santa Cruz) y Centro de Educación Especial Vida y Esperanza Huanuni (Oruro) y, 4 proyectos en proceso de ejecución y en contratación: Centro de Educación Especial-Municipio de Oruro (Oruro), Centro de Educación Especial Bartolina Sisa “A” Chayanta (Potosí), Centro de Educación Especial Niño Jesús (Tarija) y Centro de Educación Especial </w:t>
      </w:r>
      <w:proofErr w:type="spellStart"/>
      <w:r w:rsidRPr="00653063">
        <w:rPr>
          <w:rFonts w:eastAsia="Times New Roman"/>
          <w:lang w:val="es-ES_tradnl" w:eastAsia="es-BO"/>
        </w:rPr>
        <w:t>Ghislain</w:t>
      </w:r>
      <w:proofErr w:type="spellEnd"/>
      <w:r w:rsidRPr="00653063">
        <w:rPr>
          <w:rFonts w:eastAsia="Times New Roman"/>
          <w:lang w:val="es-ES_tradnl" w:eastAsia="es-BO"/>
        </w:rPr>
        <w:t xml:space="preserve"> </w:t>
      </w:r>
      <w:proofErr w:type="spellStart"/>
      <w:r w:rsidRPr="00653063">
        <w:rPr>
          <w:rFonts w:eastAsia="Times New Roman"/>
          <w:lang w:val="es-ES_tradnl" w:eastAsia="es-BO"/>
        </w:rPr>
        <w:t>Dube</w:t>
      </w:r>
      <w:proofErr w:type="spellEnd"/>
      <w:r w:rsidRPr="00653063">
        <w:rPr>
          <w:rFonts w:eastAsia="Times New Roman"/>
          <w:lang w:val="es-ES_tradnl" w:eastAsia="es-BO"/>
        </w:rPr>
        <w:t xml:space="preserve"> (Oruro). (Anexo 25)</w:t>
      </w:r>
    </w:p>
    <w:p w14:paraId="09974C5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Paralelamente, el Comité Departamental de la Persona con Discapacidad de La Paz (“CODEPEDIS LP”) desarrolló y viene ejecutando desde el año 2018 al presente, el Programa “</w:t>
      </w:r>
      <w:r w:rsidRPr="00653063">
        <w:rPr>
          <w:rFonts w:eastAsia="Times New Roman"/>
          <w:i/>
          <w:lang w:val="es-ES_tradnl" w:eastAsia="es-BO"/>
        </w:rPr>
        <w:t>Implementación de Estrategias para Mejorar la Calidad de Vida Integral de las Personas con Discapacidad</w:t>
      </w:r>
      <w:r w:rsidRPr="00653063">
        <w:rPr>
          <w:rFonts w:eastAsia="Times New Roman"/>
          <w:lang w:val="es-ES_tradnl" w:eastAsia="es-BO"/>
        </w:rPr>
        <w:t>”,</w:t>
      </w:r>
      <w:r w:rsidRPr="00653063">
        <w:rPr>
          <w:rFonts w:eastAsia="Times New Roman"/>
          <w:b/>
          <w:lang w:val="es-ES_tradnl" w:eastAsia="es-BO"/>
        </w:rPr>
        <w:t xml:space="preserve"> </w:t>
      </w:r>
      <w:r w:rsidRPr="00653063">
        <w:rPr>
          <w:rFonts w:eastAsia="Times New Roman"/>
          <w:lang w:val="es-ES_tradnl" w:eastAsia="es-BO"/>
        </w:rPr>
        <w:t xml:space="preserve">ante la necesidad de responder a la problemática en la que viven las </w:t>
      </w:r>
      <w:proofErr w:type="spellStart"/>
      <w:r w:rsidRPr="00653063">
        <w:rPr>
          <w:rFonts w:eastAsia="Times New Roman"/>
          <w:lang w:val="es-ES_tradnl" w:eastAsia="es-BO"/>
        </w:rPr>
        <w:t>PcD</w:t>
      </w:r>
      <w:proofErr w:type="spellEnd"/>
      <w:r w:rsidRPr="00653063">
        <w:rPr>
          <w:rFonts w:eastAsia="Times New Roman"/>
          <w:lang w:val="es-ES_tradnl" w:eastAsia="es-BO"/>
        </w:rPr>
        <w:t>, focalizándose en Provincias y Municipios.</w:t>
      </w:r>
    </w:p>
    <w:p w14:paraId="1EF1DA0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referido Programa busca que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se organicen y cuenten con la personalidad jurídica, para implementar el enfoque de la Rehabilitación Basada en la Comunidad (RBC) como estrategia de desarrollo comunal que permita la equiparación de oportunidades, la reducción de la pobreza, su inclusión socioeconómica y de su familia y mejora en la calidad de vida. Del 2018 al 2022, el CODEPEDIS LP socializó el programa en 38 Municipios del Departamento de La Paz, logrando capacitar a 3.500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1DB0CD5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el Departamento de Pando, se cuenta con dos Centros de rehabilitación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los municipios de Cobija y el Porvenir, con cobertura de servicios gratuitos en rehabilitación y con profesionales idóneos en atención con calidad y calidez. </w:t>
      </w:r>
    </w:p>
    <w:p w14:paraId="1384288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Gobierno Autónomo Departamental de Oruro en coordinación con la Federación Departamental de Personas con Discapacidad, organizaciones y asociaciones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el GAM de Oruro, estableció el Centro de Rehabilitación “</w:t>
      </w:r>
      <w:proofErr w:type="spellStart"/>
      <w:r w:rsidRPr="00653063">
        <w:rPr>
          <w:rFonts w:eastAsia="Times New Roman"/>
          <w:lang w:val="es-ES_tradnl" w:eastAsia="es-BO"/>
        </w:rPr>
        <w:t>Rumy</w:t>
      </w:r>
      <w:proofErr w:type="spellEnd"/>
      <w:r w:rsidRPr="00653063">
        <w:rPr>
          <w:rFonts w:eastAsia="Times New Roman"/>
          <w:lang w:val="es-ES_tradnl" w:eastAsia="es-BO"/>
        </w:rPr>
        <w:t xml:space="preserve"> Campana” para atención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Fisioterapia, Termoterapia, Hidroterapia, Mecanoterapia, Audiometría y Estimulación Temprana. Existiendo también Centros de Rehabilitación en los Municipios de Challapata, Huanuni y Caracollo. </w:t>
      </w:r>
    </w:p>
    <w:p w14:paraId="5F27FE83" w14:textId="7ABADFEA" w:rsidR="00653063" w:rsidRPr="00653063" w:rsidRDefault="000C6238" w:rsidP="000C6238">
      <w:pPr>
        <w:pStyle w:val="H23G"/>
        <w:rPr>
          <w:lang w:val="es-ES_tradnl" w:eastAsia="es-BO"/>
        </w:rPr>
      </w:pPr>
      <w:r>
        <w:rPr>
          <w:lang w:val="es-ES_tradnl" w:eastAsia="es-BO"/>
        </w:rPr>
        <w:tab/>
      </w:r>
      <w:r>
        <w:rPr>
          <w:lang w:val="es-ES_tradnl" w:eastAsia="es-BO"/>
        </w:rPr>
        <w:tab/>
        <w:t>u)</w:t>
      </w:r>
      <w:r>
        <w:rPr>
          <w:lang w:val="es-ES_tradnl" w:eastAsia="es-BO"/>
        </w:rPr>
        <w:tab/>
      </w:r>
      <w:r w:rsidR="00653063" w:rsidRPr="00653063">
        <w:rPr>
          <w:lang w:val="es-ES_tradnl" w:eastAsia="es-BO"/>
        </w:rPr>
        <w:t>Trabajo y Empleo (Artículo 27, Recomendación 62)</w:t>
      </w:r>
    </w:p>
    <w:p w14:paraId="0BB015B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Respecto a la Recomendación del párrafo 62 sobre la adopción de una política de empleo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que garantice el acceso al empleo, con el propósito de garantizar los derechos laborales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el acceso a una fuente laboral estable; el MTEPS elaboró un Anteproyecto de Ley que modifica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977 de 26 de septiembre de 2017, que contempla los siguientes aspectos: 1) La emisión de reportes por parte de las instituciones del sector público y las empresas o establecimientos laborales del sector privado al MTEPS, demostrando el cumplimiento de inserción laboral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los porcentajes establecidos por Ley, 2) Un procedimiento de verificación del cumplimiento a la inserción laboral obligatoria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madre o padre, cónyuge, tutora o tutor que se encuentre a cargo de una o más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menores de dieciocho (18) años o con discapacidad grave y muy grave, y 3) sanciones generadas en caso de incumplimiento.</w:t>
      </w:r>
    </w:p>
    <w:p w14:paraId="6DAC15A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lastRenderedPageBreak/>
        <w:t xml:space="preserve">De manera concurrente y continua, el MTEPS remite misivas a las instituciones públicas y privadas respecto al cumplimento obligatorio de la inserción laboral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del 4% y 2 % conforme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977 y el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3437 de 20 de diciembre de 2017. </w:t>
      </w:r>
    </w:p>
    <w:p w14:paraId="1282948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se cuenta con el Programa de Apoyo al Empleo (PAE II) que promueve la reactivación económica de las medianas y pequeñas empresas, además de fomentar la inserción laboral. El referido Programa dispone un apoyo económico a través del pago de un estipendio (salario mínimo nacional) durante tres meses para el beneficiario en general y de seis meses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Como parte de la inserción con el mencionado Programa, del 2018 al 2022 se benefició a 23.954 personas, dentro de los cuales se encuentran: 571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54 Tutores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
    <w:p w14:paraId="30C8DCF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la gestión 2022, el MTEPS y el Sistema Plurinacional de Certificación de Competencias dependiente del Ministerio de Educación trabajaron en el desarrollo del autoempleo y la capacitación, emitiendo la Certificación de Competencias a un grupo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la ciudad de Cochabamba, en base a saberes previos y capacitación específica, lo cual les permite trabajar en un emprendimiento en cualquier instancia. </w:t>
      </w:r>
    </w:p>
    <w:p w14:paraId="7E7C304E" w14:textId="0B889CA4" w:rsidR="00653063" w:rsidRPr="00653063" w:rsidRDefault="000C6238" w:rsidP="000C6238">
      <w:pPr>
        <w:pStyle w:val="H23G"/>
        <w:rPr>
          <w:lang w:val="es-ES_tradnl" w:eastAsia="es-BO"/>
        </w:rPr>
      </w:pPr>
      <w:bookmarkStart w:id="33" w:name="_heading=h.2bn6wsx" w:colFirst="0" w:colLast="0"/>
      <w:bookmarkEnd w:id="33"/>
      <w:r>
        <w:rPr>
          <w:lang w:val="es-ES_tradnl" w:eastAsia="es-BO"/>
        </w:rPr>
        <w:tab/>
      </w:r>
      <w:r>
        <w:rPr>
          <w:lang w:val="es-ES_tradnl" w:eastAsia="es-BO"/>
        </w:rPr>
        <w:tab/>
        <w:t>v)</w:t>
      </w:r>
      <w:r>
        <w:rPr>
          <w:lang w:val="es-ES_tradnl" w:eastAsia="es-BO"/>
        </w:rPr>
        <w:tab/>
      </w:r>
      <w:r w:rsidR="00653063" w:rsidRPr="00653063">
        <w:rPr>
          <w:lang w:val="es-ES_tradnl" w:eastAsia="es-BO"/>
        </w:rPr>
        <w:t>Nivel de vida adecuado y protección social (Artículo 28, Recomendación 64)</w:t>
      </w:r>
    </w:p>
    <w:p w14:paraId="6B05ED1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Sobre la Recomendación del párrafo 64 respecto a garantizar el nivel de vida adecuado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sus familias, se comunica que mediante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977 de 26 de septiembre de 2017, se efectivizó la inserción laboral (en un porcentaje no menor al 4% del personal) en los sectores público y privado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madre o padre, cónyuge, tutora o tutor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menores de 18 años o con discapacidad grave y muy grave (garantizando su inamovilidad laboral). Desde el 2018 se otorga un Bono mensual de 250 Bs. 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Grave y Muy Grave, pago que es cubierto por el Tesoro General de la Nación (TGN) a través del Fondo Nacional de Solidaridad y Equidad y los GAM.  </w:t>
      </w:r>
    </w:p>
    <w:p w14:paraId="79E7037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A continuación, se detalla la asignación de recursos para el precitado bono por el nivel central del Estado y los GAM desde el 2018 al 2023:</w:t>
      </w:r>
    </w:p>
    <w:p w14:paraId="6D3E55C4" w14:textId="7C90C90F" w:rsidR="00653063" w:rsidRPr="00653063" w:rsidRDefault="00BB15B8" w:rsidP="00BB15B8">
      <w:pPr>
        <w:pStyle w:val="H23G"/>
        <w:rPr>
          <w:lang w:val="es-ES_tradnl" w:eastAsia="es-BO"/>
        </w:rPr>
      </w:pPr>
      <w:r>
        <w:rPr>
          <w:lang w:val="es-ES_tradnl" w:eastAsia="es-BO"/>
        </w:rPr>
        <w:tab/>
      </w:r>
      <w:r>
        <w:rPr>
          <w:lang w:val="es-ES_tradnl" w:eastAsia="es-BO"/>
        </w:rPr>
        <w:tab/>
      </w:r>
      <w:r w:rsidR="00653063" w:rsidRPr="00653063">
        <w:rPr>
          <w:lang w:val="es-ES_tradnl" w:eastAsia="es-BO"/>
        </w:rPr>
        <w:t>ASIGNACIÓN DE PRESUPUESTO PARA El BONO MENSUAL PARA PCD GRAVE Y MUY GRAVE</w:t>
      </w:r>
    </w:p>
    <w:p w14:paraId="0B6D3073" w14:textId="77777777" w:rsidR="00653063" w:rsidRPr="00653063" w:rsidRDefault="00653063" w:rsidP="00653063">
      <w:pPr>
        <w:widowControl w:val="0"/>
        <w:pBdr>
          <w:top w:val="nil"/>
          <w:left w:val="nil"/>
          <w:bottom w:val="nil"/>
          <w:right w:val="nil"/>
          <w:between w:val="nil"/>
        </w:pBdr>
        <w:spacing w:line="240" w:lineRule="auto"/>
        <w:jc w:val="center"/>
        <w:rPr>
          <w:rFonts w:eastAsia="Times New Roman"/>
          <w:b/>
          <w:lang w:val="es-ES_tradnl" w:eastAsia="es-BO"/>
        </w:rPr>
      </w:pPr>
      <w:r w:rsidRPr="00653063">
        <w:rPr>
          <w:rFonts w:eastAsia="Times New Roman"/>
          <w:b/>
          <w:lang w:val="es-ES_tradnl" w:eastAsia="es-BO"/>
        </w:rPr>
        <w:t>(Expresado en bolivianos)</w:t>
      </w:r>
    </w:p>
    <w:p w14:paraId="76E86325" w14:textId="77777777" w:rsidR="00653063" w:rsidRPr="00653063" w:rsidRDefault="00653063" w:rsidP="00653063">
      <w:pPr>
        <w:spacing w:line="240" w:lineRule="auto"/>
        <w:jc w:val="both"/>
        <w:rPr>
          <w:rFonts w:eastAsia="Times New Roman"/>
          <w:sz w:val="8"/>
          <w:szCs w:val="8"/>
          <w:lang w:val="es-ES_tradnl" w:eastAsia="es-BO"/>
        </w:rPr>
      </w:pPr>
    </w:p>
    <w:tbl>
      <w:tblPr>
        <w:tblW w:w="7370" w:type="dxa"/>
        <w:tblInd w:w="1134" w:type="dxa"/>
        <w:tblLayout w:type="fixed"/>
        <w:tblCellMar>
          <w:left w:w="0" w:type="dxa"/>
          <w:right w:w="0" w:type="dxa"/>
        </w:tblCellMar>
        <w:tblLook w:val="0400" w:firstRow="0" w:lastRow="0" w:firstColumn="0" w:lastColumn="0" w:noHBand="0" w:noVBand="1"/>
      </w:tblPr>
      <w:tblGrid>
        <w:gridCol w:w="1105"/>
        <w:gridCol w:w="1673"/>
        <w:gridCol w:w="2075"/>
        <w:gridCol w:w="2517"/>
      </w:tblGrid>
      <w:tr w:rsidR="00BB15B8" w:rsidRPr="00BB15B8" w14:paraId="1301D78A" w14:textId="77777777" w:rsidTr="00BB15B8">
        <w:trPr>
          <w:tblHeader/>
        </w:trPr>
        <w:tc>
          <w:tcPr>
            <w:tcW w:w="872" w:type="dxa"/>
            <w:tcBorders>
              <w:top w:val="single" w:sz="4" w:space="0" w:color="auto"/>
              <w:bottom w:val="single" w:sz="12" w:space="0" w:color="auto"/>
            </w:tcBorders>
            <w:shd w:val="clear" w:color="auto" w:fill="auto"/>
            <w:vAlign w:val="bottom"/>
          </w:tcPr>
          <w:p w14:paraId="4C308B8F" w14:textId="77777777" w:rsidR="00653063" w:rsidRPr="00BB15B8" w:rsidRDefault="00653063" w:rsidP="00BB15B8">
            <w:pPr>
              <w:spacing w:before="80" w:after="80" w:line="200" w:lineRule="exact"/>
              <w:rPr>
                <w:rFonts w:eastAsia="Times New Roman"/>
                <w:i/>
                <w:sz w:val="16"/>
                <w:lang w:val="es-ES_tradnl" w:eastAsia="es-BO"/>
              </w:rPr>
            </w:pPr>
            <w:r w:rsidRPr="00BB15B8">
              <w:rPr>
                <w:rFonts w:eastAsia="Times New Roman"/>
                <w:i/>
                <w:sz w:val="16"/>
                <w:lang w:val="es-ES_tradnl" w:eastAsia="es-BO"/>
              </w:rPr>
              <w:t xml:space="preserve">Gestión </w:t>
            </w:r>
          </w:p>
        </w:tc>
        <w:tc>
          <w:tcPr>
            <w:tcW w:w="1319" w:type="dxa"/>
            <w:tcBorders>
              <w:top w:val="single" w:sz="4" w:space="0" w:color="auto"/>
              <w:bottom w:val="single" w:sz="12" w:space="0" w:color="auto"/>
            </w:tcBorders>
            <w:shd w:val="clear" w:color="auto" w:fill="auto"/>
            <w:vAlign w:val="bottom"/>
          </w:tcPr>
          <w:p w14:paraId="7D66D65F" w14:textId="77777777" w:rsidR="00653063" w:rsidRPr="00BB15B8" w:rsidRDefault="00653063" w:rsidP="00BB15B8">
            <w:pPr>
              <w:spacing w:before="80" w:after="80" w:line="200" w:lineRule="exact"/>
              <w:jc w:val="right"/>
              <w:rPr>
                <w:rFonts w:eastAsia="Times New Roman"/>
                <w:i/>
                <w:sz w:val="16"/>
                <w:lang w:val="es-ES_tradnl" w:eastAsia="es-BO"/>
              </w:rPr>
            </w:pPr>
            <w:r w:rsidRPr="00BB15B8">
              <w:rPr>
                <w:rFonts w:eastAsia="Times New Roman"/>
                <w:i/>
                <w:sz w:val="16"/>
                <w:lang w:val="es-ES_tradnl" w:eastAsia="es-BO"/>
              </w:rPr>
              <w:t>Aporte TGN</w:t>
            </w:r>
          </w:p>
        </w:tc>
        <w:tc>
          <w:tcPr>
            <w:tcW w:w="1636" w:type="dxa"/>
            <w:tcBorders>
              <w:top w:val="single" w:sz="4" w:space="0" w:color="auto"/>
              <w:bottom w:val="single" w:sz="12" w:space="0" w:color="auto"/>
            </w:tcBorders>
            <w:shd w:val="clear" w:color="auto" w:fill="auto"/>
            <w:vAlign w:val="bottom"/>
          </w:tcPr>
          <w:p w14:paraId="6D3AEA27" w14:textId="77777777" w:rsidR="00653063" w:rsidRPr="00BB15B8" w:rsidRDefault="00653063" w:rsidP="00BB15B8">
            <w:pPr>
              <w:spacing w:before="80" w:after="80" w:line="200" w:lineRule="exact"/>
              <w:jc w:val="right"/>
              <w:rPr>
                <w:rFonts w:eastAsia="Times New Roman"/>
                <w:i/>
                <w:sz w:val="16"/>
                <w:lang w:val="es-ES_tradnl" w:eastAsia="es-BO"/>
              </w:rPr>
            </w:pPr>
            <w:r w:rsidRPr="00BB15B8">
              <w:rPr>
                <w:rFonts w:eastAsia="Times New Roman"/>
                <w:i/>
                <w:sz w:val="16"/>
                <w:lang w:val="es-ES_tradnl" w:eastAsia="es-BO"/>
              </w:rPr>
              <w:t>Aporte GAM</w:t>
            </w:r>
          </w:p>
        </w:tc>
        <w:tc>
          <w:tcPr>
            <w:tcW w:w="1985" w:type="dxa"/>
            <w:tcBorders>
              <w:top w:val="single" w:sz="4" w:space="0" w:color="auto"/>
              <w:bottom w:val="single" w:sz="12" w:space="0" w:color="auto"/>
            </w:tcBorders>
            <w:shd w:val="clear" w:color="auto" w:fill="auto"/>
            <w:vAlign w:val="bottom"/>
          </w:tcPr>
          <w:p w14:paraId="0835CCE3" w14:textId="77777777" w:rsidR="00653063" w:rsidRPr="00BB15B8" w:rsidRDefault="00653063" w:rsidP="00BB15B8">
            <w:pPr>
              <w:spacing w:before="80" w:after="80" w:line="200" w:lineRule="exact"/>
              <w:jc w:val="right"/>
              <w:rPr>
                <w:rFonts w:eastAsia="Times New Roman"/>
                <w:i/>
                <w:sz w:val="16"/>
                <w:lang w:val="es-ES_tradnl" w:eastAsia="es-BO"/>
              </w:rPr>
            </w:pPr>
            <w:proofErr w:type="gramStart"/>
            <w:r w:rsidRPr="00BB15B8">
              <w:rPr>
                <w:rFonts w:eastAsia="Times New Roman"/>
                <w:i/>
                <w:sz w:val="16"/>
                <w:lang w:val="es-ES_tradnl" w:eastAsia="es-BO"/>
              </w:rPr>
              <w:t>Total</w:t>
            </w:r>
            <w:proofErr w:type="gramEnd"/>
            <w:r w:rsidRPr="00BB15B8">
              <w:rPr>
                <w:rFonts w:eastAsia="Times New Roman"/>
                <w:i/>
                <w:sz w:val="16"/>
                <w:lang w:val="es-ES_tradnl" w:eastAsia="es-BO"/>
              </w:rPr>
              <w:t xml:space="preserve"> Aporte Bono</w:t>
            </w:r>
          </w:p>
        </w:tc>
      </w:tr>
      <w:tr w:rsidR="00BB15B8" w:rsidRPr="00BB15B8" w14:paraId="1FACB2A1" w14:textId="77777777" w:rsidTr="00BB15B8">
        <w:tc>
          <w:tcPr>
            <w:tcW w:w="872" w:type="dxa"/>
            <w:tcBorders>
              <w:top w:val="single" w:sz="12" w:space="0" w:color="auto"/>
            </w:tcBorders>
            <w:shd w:val="clear" w:color="auto" w:fill="auto"/>
          </w:tcPr>
          <w:p w14:paraId="48B69004" w14:textId="77777777" w:rsidR="00653063" w:rsidRPr="00BB15B8" w:rsidRDefault="00653063" w:rsidP="00BB15B8">
            <w:pPr>
              <w:spacing w:before="40" w:after="40" w:line="220" w:lineRule="exact"/>
              <w:rPr>
                <w:rFonts w:eastAsia="Times New Roman"/>
                <w:b/>
                <w:sz w:val="18"/>
                <w:lang w:val="es-ES_tradnl" w:eastAsia="es-BO"/>
              </w:rPr>
            </w:pPr>
            <w:r w:rsidRPr="00BB15B8">
              <w:rPr>
                <w:rFonts w:eastAsia="Times New Roman"/>
                <w:b/>
                <w:sz w:val="18"/>
                <w:lang w:val="es-ES_tradnl" w:eastAsia="es-BO"/>
              </w:rPr>
              <w:t>2018</w:t>
            </w:r>
          </w:p>
        </w:tc>
        <w:tc>
          <w:tcPr>
            <w:tcW w:w="1319" w:type="dxa"/>
            <w:tcBorders>
              <w:top w:val="single" w:sz="12" w:space="0" w:color="auto"/>
            </w:tcBorders>
            <w:shd w:val="clear" w:color="auto" w:fill="auto"/>
            <w:vAlign w:val="bottom"/>
          </w:tcPr>
          <w:p w14:paraId="1EBFBCDA"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15.000.000</w:t>
            </w:r>
          </w:p>
        </w:tc>
        <w:tc>
          <w:tcPr>
            <w:tcW w:w="1636" w:type="dxa"/>
            <w:tcBorders>
              <w:top w:val="single" w:sz="12" w:space="0" w:color="auto"/>
            </w:tcBorders>
            <w:shd w:val="clear" w:color="auto" w:fill="auto"/>
            <w:vAlign w:val="bottom"/>
          </w:tcPr>
          <w:p w14:paraId="3CBCB10A"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131.817.000</w:t>
            </w:r>
          </w:p>
        </w:tc>
        <w:tc>
          <w:tcPr>
            <w:tcW w:w="1985" w:type="dxa"/>
            <w:tcBorders>
              <w:top w:val="single" w:sz="12" w:space="0" w:color="auto"/>
            </w:tcBorders>
            <w:shd w:val="clear" w:color="auto" w:fill="auto"/>
            <w:vAlign w:val="bottom"/>
          </w:tcPr>
          <w:p w14:paraId="2DE0AF2A"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146.817.000</w:t>
            </w:r>
          </w:p>
        </w:tc>
      </w:tr>
      <w:tr w:rsidR="00653063" w:rsidRPr="00BB15B8" w14:paraId="5C49ABFA" w14:textId="77777777" w:rsidTr="00BB15B8">
        <w:tc>
          <w:tcPr>
            <w:tcW w:w="872" w:type="dxa"/>
            <w:shd w:val="clear" w:color="auto" w:fill="auto"/>
          </w:tcPr>
          <w:p w14:paraId="3F4D9232" w14:textId="77777777" w:rsidR="00653063" w:rsidRPr="00BB15B8" w:rsidRDefault="00653063" w:rsidP="00BB15B8">
            <w:pPr>
              <w:spacing w:before="40" w:after="40" w:line="220" w:lineRule="exact"/>
              <w:rPr>
                <w:rFonts w:eastAsia="Times New Roman"/>
                <w:b/>
                <w:sz w:val="18"/>
                <w:lang w:val="es-ES_tradnl" w:eastAsia="es-BO"/>
              </w:rPr>
            </w:pPr>
            <w:r w:rsidRPr="00BB15B8">
              <w:rPr>
                <w:rFonts w:eastAsia="Times New Roman"/>
                <w:b/>
                <w:sz w:val="18"/>
                <w:lang w:val="es-ES_tradnl" w:eastAsia="es-BO"/>
              </w:rPr>
              <w:t>2019</w:t>
            </w:r>
          </w:p>
        </w:tc>
        <w:tc>
          <w:tcPr>
            <w:tcW w:w="1319" w:type="dxa"/>
            <w:shd w:val="clear" w:color="auto" w:fill="auto"/>
            <w:vAlign w:val="bottom"/>
          </w:tcPr>
          <w:p w14:paraId="1DEE5B7D"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15.000.000</w:t>
            </w:r>
          </w:p>
        </w:tc>
        <w:tc>
          <w:tcPr>
            <w:tcW w:w="1636" w:type="dxa"/>
            <w:shd w:val="clear" w:color="auto" w:fill="auto"/>
            <w:vAlign w:val="bottom"/>
          </w:tcPr>
          <w:p w14:paraId="5C387D49"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122.268.000</w:t>
            </w:r>
          </w:p>
        </w:tc>
        <w:tc>
          <w:tcPr>
            <w:tcW w:w="1985" w:type="dxa"/>
            <w:shd w:val="clear" w:color="auto" w:fill="auto"/>
            <w:vAlign w:val="bottom"/>
          </w:tcPr>
          <w:p w14:paraId="7E2B402B"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137.268.000</w:t>
            </w:r>
          </w:p>
        </w:tc>
      </w:tr>
      <w:tr w:rsidR="00653063" w:rsidRPr="00BB15B8" w14:paraId="540EFE03" w14:textId="77777777" w:rsidTr="00BB15B8">
        <w:tc>
          <w:tcPr>
            <w:tcW w:w="872" w:type="dxa"/>
            <w:shd w:val="clear" w:color="auto" w:fill="auto"/>
          </w:tcPr>
          <w:p w14:paraId="1157877D" w14:textId="77777777" w:rsidR="00653063" w:rsidRPr="00BB15B8" w:rsidRDefault="00653063" w:rsidP="00BB15B8">
            <w:pPr>
              <w:spacing w:before="40" w:after="40" w:line="220" w:lineRule="exact"/>
              <w:rPr>
                <w:rFonts w:eastAsia="Times New Roman"/>
                <w:b/>
                <w:sz w:val="18"/>
                <w:lang w:val="es-ES_tradnl" w:eastAsia="es-BO"/>
              </w:rPr>
            </w:pPr>
            <w:r w:rsidRPr="00BB15B8">
              <w:rPr>
                <w:rFonts w:eastAsia="Times New Roman"/>
                <w:b/>
                <w:sz w:val="18"/>
                <w:lang w:val="es-ES_tradnl" w:eastAsia="es-BO"/>
              </w:rPr>
              <w:t>2020</w:t>
            </w:r>
          </w:p>
        </w:tc>
        <w:tc>
          <w:tcPr>
            <w:tcW w:w="1319" w:type="dxa"/>
            <w:shd w:val="clear" w:color="auto" w:fill="auto"/>
            <w:vAlign w:val="bottom"/>
          </w:tcPr>
          <w:p w14:paraId="65F58EF0"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15.000.000</w:t>
            </w:r>
          </w:p>
        </w:tc>
        <w:tc>
          <w:tcPr>
            <w:tcW w:w="1636" w:type="dxa"/>
            <w:shd w:val="clear" w:color="auto" w:fill="auto"/>
            <w:vAlign w:val="bottom"/>
          </w:tcPr>
          <w:p w14:paraId="187986CD"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135.523.000</w:t>
            </w:r>
          </w:p>
        </w:tc>
        <w:tc>
          <w:tcPr>
            <w:tcW w:w="1985" w:type="dxa"/>
            <w:shd w:val="clear" w:color="auto" w:fill="auto"/>
            <w:vAlign w:val="bottom"/>
          </w:tcPr>
          <w:p w14:paraId="09351262"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150.523.000</w:t>
            </w:r>
          </w:p>
        </w:tc>
      </w:tr>
      <w:tr w:rsidR="00653063" w:rsidRPr="00BB15B8" w14:paraId="472CF11E" w14:textId="77777777" w:rsidTr="00BB15B8">
        <w:tc>
          <w:tcPr>
            <w:tcW w:w="872" w:type="dxa"/>
            <w:shd w:val="clear" w:color="auto" w:fill="auto"/>
          </w:tcPr>
          <w:p w14:paraId="5E338CB5" w14:textId="77777777" w:rsidR="00653063" w:rsidRPr="00BB15B8" w:rsidRDefault="00653063" w:rsidP="00BB15B8">
            <w:pPr>
              <w:spacing w:before="40" w:after="40" w:line="220" w:lineRule="exact"/>
              <w:rPr>
                <w:rFonts w:eastAsia="Times New Roman"/>
                <w:b/>
                <w:sz w:val="18"/>
                <w:lang w:val="es-ES_tradnl" w:eastAsia="es-BO"/>
              </w:rPr>
            </w:pPr>
            <w:r w:rsidRPr="00BB15B8">
              <w:rPr>
                <w:rFonts w:eastAsia="Times New Roman"/>
                <w:b/>
                <w:sz w:val="18"/>
                <w:lang w:val="es-ES_tradnl" w:eastAsia="es-BO"/>
              </w:rPr>
              <w:t>2021</w:t>
            </w:r>
          </w:p>
        </w:tc>
        <w:tc>
          <w:tcPr>
            <w:tcW w:w="1319" w:type="dxa"/>
            <w:shd w:val="clear" w:color="auto" w:fill="auto"/>
            <w:vAlign w:val="bottom"/>
          </w:tcPr>
          <w:p w14:paraId="7AA9F0DD"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15.000.000</w:t>
            </w:r>
          </w:p>
        </w:tc>
        <w:tc>
          <w:tcPr>
            <w:tcW w:w="1636" w:type="dxa"/>
            <w:shd w:val="clear" w:color="auto" w:fill="auto"/>
            <w:vAlign w:val="bottom"/>
          </w:tcPr>
          <w:p w14:paraId="648A4AD0"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138.683.250</w:t>
            </w:r>
          </w:p>
        </w:tc>
        <w:tc>
          <w:tcPr>
            <w:tcW w:w="1985" w:type="dxa"/>
            <w:shd w:val="clear" w:color="auto" w:fill="auto"/>
            <w:vAlign w:val="bottom"/>
          </w:tcPr>
          <w:p w14:paraId="28650992"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153.683.250</w:t>
            </w:r>
          </w:p>
        </w:tc>
      </w:tr>
      <w:tr w:rsidR="00BB15B8" w:rsidRPr="00BB15B8" w14:paraId="232A97BD" w14:textId="77777777" w:rsidTr="00BB15B8">
        <w:tc>
          <w:tcPr>
            <w:tcW w:w="872" w:type="dxa"/>
            <w:tcBorders>
              <w:bottom w:val="single" w:sz="12" w:space="0" w:color="auto"/>
            </w:tcBorders>
            <w:shd w:val="clear" w:color="auto" w:fill="auto"/>
          </w:tcPr>
          <w:p w14:paraId="222AE5E4" w14:textId="77777777" w:rsidR="00653063" w:rsidRPr="00BB15B8" w:rsidRDefault="00653063" w:rsidP="00BB15B8">
            <w:pPr>
              <w:spacing w:before="40" w:after="40" w:line="220" w:lineRule="exact"/>
              <w:rPr>
                <w:rFonts w:eastAsia="Times New Roman"/>
                <w:b/>
                <w:sz w:val="18"/>
                <w:lang w:val="es-ES_tradnl" w:eastAsia="es-BO"/>
              </w:rPr>
            </w:pPr>
            <w:r w:rsidRPr="00BB15B8">
              <w:rPr>
                <w:rFonts w:eastAsia="Times New Roman"/>
                <w:b/>
                <w:sz w:val="18"/>
                <w:lang w:val="es-ES_tradnl" w:eastAsia="es-BO"/>
              </w:rPr>
              <w:t>2022</w:t>
            </w:r>
          </w:p>
        </w:tc>
        <w:tc>
          <w:tcPr>
            <w:tcW w:w="1319" w:type="dxa"/>
            <w:tcBorders>
              <w:bottom w:val="single" w:sz="12" w:space="0" w:color="auto"/>
            </w:tcBorders>
            <w:shd w:val="clear" w:color="auto" w:fill="auto"/>
            <w:vAlign w:val="bottom"/>
          </w:tcPr>
          <w:p w14:paraId="62C21512"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15.000.000</w:t>
            </w:r>
          </w:p>
        </w:tc>
        <w:tc>
          <w:tcPr>
            <w:tcW w:w="1636" w:type="dxa"/>
            <w:tcBorders>
              <w:bottom w:val="single" w:sz="12" w:space="0" w:color="auto"/>
            </w:tcBorders>
            <w:shd w:val="clear" w:color="auto" w:fill="auto"/>
            <w:vAlign w:val="bottom"/>
          </w:tcPr>
          <w:p w14:paraId="4AAF4B0D"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142.383.750</w:t>
            </w:r>
          </w:p>
        </w:tc>
        <w:tc>
          <w:tcPr>
            <w:tcW w:w="1985" w:type="dxa"/>
            <w:tcBorders>
              <w:bottom w:val="single" w:sz="12" w:space="0" w:color="auto"/>
            </w:tcBorders>
            <w:shd w:val="clear" w:color="auto" w:fill="auto"/>
            <w:vAlign w:val="bottom"/>
          </w:tcPr>
          <w:p w14:paraId="41DF00B3"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157.383.750</w:t>
            </w:r>
          </w:p>
        </w:tc>
      </w:tr>
    </w:tbl>
    <w:p w14:paraId="340BF6CB" w14:textId="77777777" w:rsidR="00653063" w:rsidRPr="00653063" w:rsidRDefault="00653063" w:rsidP="00BB15B8">
      <w:pPr>
        <w:pStyle w:val="SingleTxtG"/>
        <w:rPr>
          <w:lang w:val="es-ES_tradnl" w:eastAsia="es-BO"/>
        </w:rPr>
      </w:pPr>
      <w:r w:rsidRPr="00653063">
        <w:rPr>
          <w:lang w:val="es-ES_tradnl" w:eastAsia="es-BO"/>
        </w:rPr>
        <w:t xml:space="preserve">Fuente: VPCF/DGPGP/UET </w:t>
      </w:r>
    </w:p>
    <w:p w14:paraId="1DF9B2C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sz w:val="24"/>
          <w:szCs w:val="24"/>
          <w:lang w:val="es-ES_tradnl" w:eastAsia="es-BO"/>
        </w:rPr>
      </w:pPr>
      <w:r w:rsidRPr="00653063">
        <w:rPr>
          <w:rFonts w:eastAsia="Times New Roman"/>
          <w:lang w:val="es-ES_tradnl" w:eastAsia="es-BO"/>
        </w:rPr>
        <w:t xml:space="preserve">Además, mediante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22942 de 11 de octubre de 1991, se </w:t>
      </w:r>
      <w:proofErr w:type="gramStart"/>
      <w:r w:rsidRPr="00653063">
        <w:rPr>
          <w:rFonts w:eastAsia="Times New Roman"/>
          <w:lang w:val="es-ES_tradnl" w:eastAsia="es-BO"/>
        </w:rPr>
        <w:t>dispuso</w:t>
      </w:r>
      <w:proofErr w:type="gramEnd"/>
      <w:r w:rsidRPr="00653063">
        <w:rPr>
          <w:rFonts w:eastAsia="Times New Roman"/>
          <w:lang w:val="es-ES_tradnl" w:eastAsia="es-BO"/>
        </w:rPr>
        <w:t xml:space="preserve"> otorgar a la comunidad no vidente un bono anual, que inicialmente fue de Bs. 235,- (Doscientos Treinta y Cinco 00/100 bolivianos) por persona.  Posteriormente, en base a los acuerdos suscritos y velando por el bienestar de dicho sector, fue incrementado gradualmente, hasta llegar al importe anual actual de Bs. 7.070.- (Siete Mil Setenta 00/100 bolivianos), beneficiando a 6.511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visual. Programa con un costo de Bs. 46.032.770.- (Cuarenta y Seis Millones Treinta y Dos Mil Setecientos Setenta y Siete 00/100 bolivianos) para la gestión 2022. El bono es financiado íntegramente con recursos del TGN, bajo el siguiente detalle:</w:t>
      </w:r>
    </w:p>
    <w:p w14:paraId="73C7964E" w14:textId="77777777" w:rsidR="00BB15B8" w:rsidRDefault="00BB15B8">
      <w:pPr>
        <w:spacing w:line="240" w:lineRule="auto"/>
        <w:rPr>
          <w:b/>
          <w:lang w:val="es-ES_tradnl" w:eastAsia="es-BO"/>
        </w:rPr>
      </w:pPr>
      <w:r>
        <w:rPr>
          <w:lang w:val="es-ES_tradnl" w:eastAsia="es-BO"/>
        </w:rPr>
        <w:br w:type="page"/>
      </w:r>
    </w:p>
    <w:p w14:paraId="5F0F52E9" w14:textId="313906D3" w:rsidR="00653063" w:rsidRPr="00653063" w:rsidRDefault="00BB15B8" w:rsidP="00BB15B8">
      <w:pPr>
        <w:pStyle w:val="H23G"/>
        <w:rPr>
          <w:lang w:val="es-ES_tradnl" w:eastAsia="es-BO"/>
        </w:rPr>
      </w:pPr>
      <w:r>
        <w:rPr>
          <w:lang w:val="es-ES_tradnl" w:eastAsia="es-BO"/>
        </w:rPr>
        <w:lastRenderedPageBreak/>
        <w:tab/>
      </w:r>
      <w:r>
        <w:rPr>
          <w:lang w:val="es-ES_tradnl" w:eastAsia="es-BO"/>
        </w:rPr>
        <w:tab/>
      </w:r>
      <w:r w:rsidR="00653063" w:rsidRPr="00653063">
        <w:rPr>
          <w:lang w:val="es-ES_tradnl" w:eastAsia="es-BO"/>
        </w:rPr>
        <w:t>ASIGNACIÓN DE PRESUPUESTO PARA El BONO INDIGENCIA PARA PERSONAS CON DISCAPACIDAD VISUAL</w:t>
      </w:r>
    </w:p>
    <w:p w14:paraId="69EC9E5E" w14:textId="6610E549" w:rsidR="00653063" w:rsidRPr="00653063" w:rsidRDefault="00BB15B8" w:rsidP="00BB15B8">
      <w:pPr>
        <w:pStyle w:val="H23G"/>
        <w:rPr>
          <w:lang w:val="es-ES_tradnl" w:eastAsia="es-BO"/>
        </w:rPr>
      </w:pPr>
      <w:r>
        <w:rPr>
          <w:lang w:val="es-ES_tradnl" w:eastAsia="es-BO"/>
        </w:rPr>
        <w:tab/>
      </w:r>
      <w:r>
        <w:rPr>
          <w:lang w:val="es-ES_tradnl" w:eastAsia="es-BO"/>
        </w:rPr>
        <w:tab/>
      </w:r>
      <w:r w:rsidR="00653063" w:rsidRPr="00653063">
        <w:rPr>
          <w:lang w:val="es-ES_tradnl" w:eastAsia="es-BO"/>
        </w:rPr>
        <w:t>(Expresado en bolivianos)</w:t>
      </w:r>
    </w:p>
    <w:p w14:paraId="3584614D" w14:textId="77777777" w:rsidR="00653063" w:rsidRPr="00653063" w:rsidRDefault="00653063" w:rsidP="00653063">
      <w:pPr>
        <w:spacing w:line="240" w:lineRule="auto"/>
        <w:jc w:val="both"/>
        <w:rPr>
          <w:rFonts w:eastAsia="Times New Roman"/>
          <w:lang w:val="es-ES_tradnl" w:eastAsia="es-BO"/>
        </w:rPr>
      </w:pPr>
    </w:p>
    <w:tbl>
      <w:tblPr>
        <w:tblW w:w="7370" w:type="dxa"/>
        <w:tblInd w:w="1134" w:type="dxa"/>
        <w:tblLayout w:type="fixed"/>
        <w:tblCellMar>
          <w:left w:w="0" w:type="dxa"/>
          <w:right w:w="0" w:type="dxa"/>
        </w:tblCellMar>
        <w:tblLook w:val="0400" w:firstRow="0" w:lastRow="0" w:firstColumn="0" w:lastColumn="0" w:noHBand="0" w:noVBand="1"/>
      </w:tblPr>
      <w:tblGrid>
        <w:gridCol w:w="1259"/>
        <w:gridCol w:w="2221"/>
        <w:gridCol w:w="1638"/>
        <w:gridCol w:w="2252"/>
      </w:tblGrid>
      <w:tr w:rsidR="00BB15B8" w:rsidRPr="00BB15B8" w14:paraId="7B4CD33F" w14:textId="77777777" w:rsidTr="00BB15B8">
        <w:trPr>
          <w:tblHeader/>
        </w:trPr>
        <w:tc>
          <w:tcPr>
            <w:tcW w:w="872" w:type="dxa"/>
            <w:tcBorders>
              <w:top w:val="single" w:sz="4" w:space="0" w:color="auto"/>
              <w:bottom w:val="single" w:sz="12" w:space="0" w:color="auto"/>
            </w:tcBorders>
            <w:shd w:val="clear" w:color="auto" w:fill="auto"/>
            <w:vAlign w:val="bottom"/>
          </w:tcPr>
          <w:p w14:paraId="3295A90E" w14:textId="77777777" w:rsidR="00653063" w:rsidRPr="00BB15B8" w:rsidRDefault="00653063" w:rsidP="00BB15B8">
            <w:pPr>
              <w:spacing w:before="80" w:after="80" w:line="200" w:lineRule="exact"/>
              <w:rPr>
                <w:rFonts w:eastAsia="Times New Roman"/>
                <w:i/>
                <w:sz w:val="16"/>
                <w:lang w:val="es-ES_tradnl" w:eastAsia="es-BO"/>
              </w:rPr>
            </w:pPr>
            <w:r w:rsidRPr="00BB15B8">
              <w:rPr>
                <w:rFonts w:eastAsia="Times New Roman"/>
                <w:i/>
                <w:sz w:val="16"/>
                <w:lang w:val="es-ES_tradnl" w:eastAsia="es-BO"/>
              </w:rPr>
              <w:t>Gestión</w:t>
            </w:r>
          </w:p>
        </w:tc>
        <w:tc>
          <w:tcPr>
            <w:tcW w:w="1538" w:type="dxa"/>
            <w:tcBorders>
              <w:top w:val="single" w:sz="4" w:space="0" w:color="auto"/>
              <w:bottom w:val="single" w:sz="12" w:space="0" w:color="auto"/>
            </w:tcBorders>
            <w:shd w:val="clear" w:color="auto" w:fill="auto"/>
            <w:vAlign w:val="bottom"/>
          </w:tcPr>
          <w:p w14:paraId="32834F02" w14:textId="77777777" w:rsidR="00653063" w:rsidRPr="00BB15B8" w:rsidRDefault="00653063" w:rsidP="00BB15B8">
            <w:pPr>
              <w:spacing w:before="80" w:after="80" w:line="200" w:lineRule="exact"/>
              <w:jc w:val="right"/>
              <w:rPr>
                <w:rFonts w:eastAsia="Times New Roman"/>
                <w:i/>
                <w:sz w:val="16"/>
                <w:lang w:val="es-ES_tradnl" w:eastAsia="es-BO"/>
              </w:rPr>
            </w:pPr>
            <w:proofErr w:type="spellStart"/>
            <w:r w:rsidRPr="00BB15B8">
              <w:rPr>
                <w:rFonts w:eastAsia="Times New Roman"/>
                <w:i/>
                <w:sz w:val="16"/>
                <w:lang w:val="es-ES_tradnl" w:eastAsia="es-BO"/>
              </w:rPr>
              <w:t>N°</w:t>
            </w:r>
            <w:proofErr w:type="spellEnd"/>
            <w:r w:rsidRPr="00BB15B8">
              <w:rPr>
                <w:rFonts w:eastAsia="Times New Roman"/>
                <w:i/>
                <w:sz w:val="16"/>
                <w:lang w:val="es-ES_tradnl" w:eastAsia="es-BO"/>
              </w:rPr>
              <w:t xml:space="preserve"> de Beneficiarios</w:t>
            </w:r>
          </w:p>
        </w:tc>
        <w:tc>
          <w:tcPr>
            <w:tcW w:w="1134" w:type="dxa"/>
            <w:tcBorders>
              <w:top w:val="single" w:sz="4" w:space="0" w:color="auto"/>
              <w:bottom w:val="single" w:sz="12" w:space="0" w:color="auto"/>
            </w:tcBorders>
            <w:shd w:val="clear" w:color="auto" w:fill="auto"/>
            <w:vAlign w:val="bottom"/>
          </w:tcPr>
          <w:p w14:paraId="727AE028" w14:textId="77777777" w:rsidR="00653063" w:rsidRPr="00BB15B8" w:rsidRDefault="00653063" w:rsidP="00BB15B8">
            <w:pPr>
              <w:spacing w:before="80" w:after="80" w:line="200" w:lineRule="exact"/>
              <w:jc w:val="right"/>
              <w:rPr>
                <w:rFonts w:eastAsia="Times New Roman"/>
                <w:i/>
                <w:sz w:val="16"/>
                <w:lang w:val="es-ES_tradnl" w:eastAsia="es-BO"/>
              </w:rPr>
            </w:pPr>
            <w:r w:rsidRPr="00BB15B8">
              <w:rPr>
                <w:rFonts w:eastAsia="Times New Roman"/>
                <w:i/>
                <w:sz w:val="16"/>
                <w:lang w:val="es-ES_tradnl" w:eastAsia="es-BO"/>
              </w:rPr>
              <w:t>Bono de Indigencia</w:t>
            </w:r>
          </w:p>
        </w:tc>
        <w:tc>
          <w:tcPr>
            <w:tcW w:w="1559" w:type="dxa"/>
            <w:tcBorders>
              <w:top w:val="single" w:sz="4" w:space="0" w:color="auto"/>
              <w:bottom w:val="single" w:sz="12" w:space="0" w:color="auto"/>
            </w:tcBorders>
            <w:shd w:val="clear" w:color="auto" w:fill="auto"/>
            <w:vAlign w:val="bottom"/>
          </w:tcPr>
          <w:p w14:paraId="6EF655F7" w14:textId="77777777" w:rsidR="00653063" w:rsidRPr="00BB15B8" w:rsidRDefault="00653063" w:rsidP="00BB15B8">
            <w:pPr>
              <w:spacing w:before="80" w:after="80" w:line="200" w:lineRule="exact"/>
              <w:jc w:val="right"/>
              <w:rPr>
                <w:rFonts w:eastAsia="Times New Roman"/>
                <w:i/>
                <w:sz w:val="16"/>
                <w:lang w:val="es-ES_tradnl" w:eastAsia="es-BO"/>
              </w:rPr>
            </w:pPr>
            <w:r w:rsidRPr="00BB15B8">
              <w:rPr>
                <w:rFonts w:eastAsia="Times New Roman"/>
                <w:i/>
                <w:sz w:val="16"/>
                <w:lang w:val="es-ES_tradnl" w:eastAsia="es-BO"/>
              </w:rPr>
              <w:t>Importe Anual</w:t>
            </w:r>
          </w:p>
        </w:tc>
      </w:tr>
      <w:tr w:rsidR="00BB15B8" w:rsidRPr="00BB15B8" w14:paraId="10C4E3EC" w14:textId="77777777" w:rsidTr="00BB15B8">
        <w:tc>
          <w:tcPr>
            <w:tcW w:w="872" w:type="dxa"/>
            <w:tcBorders>
              <w:top w:val="single" w:sz="12" w:space="0" w:color="auto"/>
            </w:tcBorders>
            <w:shd w:val="clear" w:color="auto" w:fill="auto"/>
          </w:tcPr>
          <w:p w14:paraId="4D511517" w14:textId="77777777" w:rsidR="00653063" w:rsidRPr="00BB15B8" w:rsidRDefault="00653063" w:rsidP="00BB15B8">
            <w:pPr>
              <w:spacing w:before="40" w:after="40" w:line="220" w:lineRule="exact"/>
              <w:rPr>
                <w:rFonts w:eastAsia="Times New Roman"/>
                <w:sz w:val="18"/>
                <w:lang w:val="es-ES_tradnl" w:eastAsia="es-BO"/>
              </w:rPr>
            </w:pPr>
            <w:r w:rsidRPr="00BB15B8">
              <w:rPr>
                <w:rFonts w:eastAsia="Times New Roman"/>
                <w:sz w:val="18"/>
                <w:lang w:val="es-ES_tradnl" w:eastAsia="es-BO"/>
              </w:rPr>
              <w:t>2016</w:t>
            </w:r>
          </w:p>
        </w:tc>
        <w:tc>
          <w:tcPr>
            <w:tcW w:w="1538" w:type="dxa"/>
            <w:tcBorders>
              <w:top w:val="single" w:sz="12" w:space="0" w:color="auto"/>
            </w:tcBorders>
            <w:shd w:val="clear" w:color="auto" w:fill="auto"/>
            <w:vAlign w:val="bottom"/>
          </w:tcPr>
          <w:p w14:paraId="3AA30147"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5.288</w:t>
            </w:r>
          </w:p>
        </w:tc>
        <w:tc>
          <w:tcPr>
            <w:tcW w:w="1134" w:type="dxa"/>
            <w:tcBorders>
              <w:top w:val="single" w:sz="12" w:space="0" w:color="auto"/>
            </w:tcBorders>
            <w:shd w:val="clear" w:color="auto" w:fill="auto"/>
            <w:vAlign w:val="bottom"/>
          </w:tcPr>
          <w:p w14:paraId="1A74C62E"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6036</w:t>
            </w:r>
          </w:p>
        </w:tc>
        <w:tc>
          <w:tcPr>
            <w:tcW w:w="1559" w:type="dxa"/>
            <w:tcBorders>
              <w:top w:val="single" w:sz="12" w:space="0" w:color="auto"/>
            </w:tcBorders>
            <w:shd w:val="clear" w:color="auto" w:fill="auto"/>
            <w:vAlign w:val="bottom"/>
          </w:tcPr>
          <w:p w14:paraId="0CE38DD5"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31.918 368</w:t>
            </w:r>
          </w:p>
        </w:tc>
      </w:tr>
      <w:tr w:rsidR="00653063" w:rsidRPr="00BB15B8" w14:paraId="28D391F9" w14:textId="77777777" w:rsidTr="00BB15B8">
        <w:tc>
          <w:tcPr>
            <w:tcW w:w="872" w:type="dxa"/>
            <w:shd w:val="clear" w:color="auto" w:fill="auto"/>
          </w:tcPr>
          <w:p w14:paraId="6C688968" w14:textId="77777777" w:rsidR="00653063" w:rsidRPr="00BB15B8" w:rsidRDefault="00653063" w:rsidP="00BB15B8">
            <w:pPr>
              <w:spacing w:before="40" w:after="40" w:line="220" w:lineRule="exact"/>
              <w:rPr>
                <w:rFonts w:eastAsia="Times New Roman"/>
                <w:sz w:val="18"/>
                <w:lang w:val="es-ES_tradnl" w:eastAsia="es-BO"/>
              </w:rPr>
            </w:pPr>
            <w:r w:rsidRPr="00BB15B8">
              <w:rPr>
                <w:rFonts w:eastAsia="Times New Roman"/>
                <w:sz w:val="18"/>
                <w:lang w:val="es-ES_tradnl" w:eastAsia="es-BO"/>
              </w:rPr>
              <w:t>2017</w:t>
            </w:r>
          </w:p>
        </w:tc>
        <w:tc>
          <w:tcPr>
            <w:tcW w:w="1538" w:type="dxa"/>
            <w:shd w:val="clear" w:color="auto" w:fill="auto"/>
            <w:vAlign w:val="bottom"/>
          </w:tcPr>
          <w:p w14:paraId="016C4F39"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5.474</w:t>
            </w:r>
          </w:p>
        </w:tc>
        <w:tc>
          <w:tcPr>
            <w:tcW w:w="1134" w:type="dxa"/>
            <w:shd w:val="clear" w:color="auto" w:fill="auto"/>
            <w:vAlign w:val="bottom"/>
          </w:tcPr>
          <w:p w14:paraId="3327FBAD"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6 338</w:t>
            </w:r>
          </w:p>
        </w:tc>
        <w:tc>
          <w:tcPr>
            <w:tcW w:w="1559" w:type="dxa"/>
            <w:shd w:val="clear" w:color="auto" w:fill="auto"/>
            <w:vAlign w:val="bottom"/>
          </w:tcPr>
          <w:p w14:paraId="1FEED7A5"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34 694 212</w:t>
            </w:r>
          </w:p>
        </w:tc>
      </w:tr>
      <w:tr w:rsidR="00653063" w:rsidRPr="00BB15B8" w14:paraId="2B2B5B95" w14:textId="77777777" w:rsidTr="00BB15B8">
        <w:tc>
          <w:tcPr>
            <w:tcW w:w="872" w:type="dxa"/>
            <w:shd w:val="clear" w:color="auto" w:fill="auto"/>
          </w:tcPr>
          <w:p w14:paraId="5793C20E" w14:textId="77777777" w:rsidR="00653063" w:rsidRPr="00BB15B8" w:rsidRDefault="00653063" w:rsidP="00BB15B8">
            <w:pPr>
              <w:spacing w:before="40" w:after="40" w:line="220" w:lineRule="exact"/>
              <w:rPr>
                <w:rFonts w:eastAsia="Times New Roman"/>
                <w:sz w:val="18"/>
                <w:lang w:val="es-ES_tradnl" w:eastAsia="es-BO"/>
              </w:rPr>
            </w:pPr>
            <w:r w:rsidRPr="00BB15B8">
              <w:rPr>
                <w:rFonts w:eastAsia="Times New Roman"/>
                <w:sz w:val="18"/>
                <w:lang w:val="es-ES_tradnl" w:eastAsia="es-BO"/>
              </w:rPr>
              <w:t>2018</w:t>
            </w:r>
          </w:p>
        </w:tc>
        <w:tc>
          <w:tcPr>
            <w:tcW w:w="1538" w:type="dxa"/>
            <w:shd w:val="clear" w:color="auto" w:fill="auto"/>
            <w:vAlign w:val="bottom"/>
          </w:tcPr>
          <w:p w14:paraId="5A8864F2"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5.772</w:t>
            </w:r>
          </w:p>
        </w:tc>
        <w:tc>
          <w:tcPr>
            <w:tcW w:w="1134" w:type="dxa"/>
            <w:shd w:val="clear" w:color="auto" w:fill="auto"/>
            <w:vAlign w:val="bottom"/>
          </w:tcPr>
          <w:p w14:paraId="3D956F95"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6.550</w:t>
            </w:r>
          </w:p>
        </w:tc>
        <w:tc>
          <w:tcPr>
            <w:tcW w:w="1559" w:type="dxa"/>
            <w:shd w:val="clear" w:color="auto" w:fill="auto"/>
            <w:vAlign w:val="bottom"/>
          </w:tcPr>
          <w:p w14:paraId="28E66E8A"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37 806.600</w:t>
            </w:r>
          </w:p>
        </w:tc>
      </w:tr>
      <w:tr w:rsidR="00653063" w:rsidRPr="00BB15B8" w14:paraId="4E095A57" w14:textId="77777777" w:rsidTr="00BB15B8">
        <w:tc>
          <w:tcPr>
            <w:tcW w:w="872" w:type="dxa"/>
            <w:shd w:val="clear" w:color="auto" w:fill="auto"/>
          </w:tcPr>
          <w:p w14:paraId="3965267D" w14:textId="77777777" w:rsidR="00653063" w:rsidRPr="00BB15B8" w:rsidRDefault="00653063" w:rsidP="00BB15B8">
            <w:pPr>
              <w:spacing w:before="40" w:after="40" w:line="220" w:lineRule="exact"/>
              <w:rPr>
                <w:rFonts w:eastAsia="Times New Roman"/>
                <w:sz w:val="18"/>
                <w:lang w:val="es-ES_tradnl" w:eastAsia="es-BO"/>
              </w:rPr>
            </w:pPr>
            <w:r w:rsidRPr="00BB15B8">
              <w:rPr>
                <w:rFonts w:eastAsia="Times New Roman"/>
                <w:sz w:val="18"/>
                <w:lang w:val="es-ES_tradnl" w:eastAsia="es-BO"/>
              </w:rPr>
              <w:t>2019</w:t>
            </w:r>
          </w:p>
        </w:tc>
        <w:tc>
          <w:tcPr>
            <w:tcW w:w="1538" w:type="dxa"/>
            <w:shd w:val="clear" w:color="auto" w:fill="auto"/>
            <w:vAlign w:val="bottom"/>
          </w:tcPr>
          <w:p w14:paraId="78826E8F"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6.089</w:t>
            </w:r>
          </w:p>
        </w:tc>
        <w:tc>
          <w:tcPr>
            <w:tcW w:w="1134" w:type="dxa"/>
            <w:shd w:val="clear" w:color="auto" w:fill="auto"/>
            <w:vAlign w:val="bottom"/>
          </w:tcPr>
          <w:p w14:paraId="3ED86C65"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6.878</w:t>
            </w:r>
          </w:p>
        </w:tc>
        <w:tc>
          <w:tcPr>
            <w:tcW w:w="1559" w:type="dxa"/>
            <w:shd w:val="clear" w:color="auto" w:fill="auto"/>
            <w:vAlign w:val="bottom"/>
          </w:tcPr>
          <w:p w14:paraId="0FC32FB1"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41 880.142</w:t>
            </w:r>
          </w:p>
        </w:tc>
      </w:tr>
      <w:tr w:rsidR="00653063" w:rsidRPr="00BB15B8" w14:paraId="56E97B4D" w14:textId="77777777" w:rsidTr="00BB15B8">
        <w:tc>
          <w:tcPr>
            <w:tcW w:w="872" w:type="dxa"/>
            <w:shd w:val="clear" w:color="auto" w:fill="auto"/>
          </w:tcPr>
          <w:p w14:paraId="57DB888E" w14:textId="77777777" w:rsidR="00653063" w:rsidRPr="00BB15B8" w:rsidRDefault="00653063" w:rsidP="00BB15B8">
            <w:pPr>
              <w:spacing w:before="40" w:after="40" w:line="220" w:lineRule="exact"/>
              <w:rPr>
                <w:rFonts w:eastAsia="Times New Roman"/>
                <w:sz w:val="18"/>
                <w:lang w:val="es-ES_tradnl" w:eastAsia="es-BO"/>
              </w:rPr>
            </w:pPr>
            <w:r w:rsidRPr="00BB15B8">
              <w:rPr>
                <w:rFonts w:eastAsia="Times New Roman"/>
                <w:sz w:val="18"/>
                <w:lang w:val="es-ES_tradnl" w:eastAsia="es-BO"/>
              </w:rPr>
              <w:t>2020</w:t>
            </w:r>
          </w:p>
        </w:tc>
        <w:tc>
          <w:tcPr>
            <w:tcW w:w="1538" w:type="dxa"/>
            <w:shd w:val="clear" w:color="auto" w:fill="auto"/>
            <w:vAlign w:val="bottom"/>
          </w:tcPr>
          <w:p w14:paraId="1C129E55"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6.275</w:t>
            </w:r>
          </w:p>
        </w:tc>
        <w:tc>
          <w:tcPr>
            <w:tcW w:w="1134" w:type="dxa"/>
            <w:shd w:val="clear" w:color="auto" w:fill="auto"/>
            <w:vAlign w:val="bottom"/>
          </w:tcPr>
          <w:p w14:paraId="1150E831"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7.000</w:t>
            </w:r>
          </w:p>
        </w:tc>
        <w:tc>
          <w:tcPr>
            <w:tcW w:w="1559" w:type="dxa"/>
            <w:shd w:val="clear" w:color="auto" w:fill="auto"/>
            <w:vAlign w:val="bottom"/>
          </w:tcPr>
          <w:p w14:paraId="67E853F3"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43.925 000</w:t>
            </w:r>
          </w:p>
        </w:tc>
      </w:tr>
      <w:tr w:rsidR="00653063" w:rsidRPr="00BB15B8" w14:paraId="40CA9B92" w14:textId="77777777" w:rsidTr="00BB15B8">
        <w:tc>
          <w:tcPr>
            <w:tcW w:w="872" w:type="dxa"/>
            <w:shd w:val="clear" w:color="auto" w:fill="auto"/>
          </w:tcPr>
          <w:p w14:paraId="562C13A3" w14:textId="77777777" w:rsidR="00653063" w:rsidRPr="00BB15B8" w:rsidRDefault="00653063" w:rsidP="00BB15B8">
            <w:pPr>
              <w:spacing w:before="40" w:after="40" w:line="220" w:lineRule="exact"/>
              <w:rPr>
                <w:rFonts w:eastAsia="Times New Roman"/>
                <w:sz w:val="18"/>
                <w:lang w:val="es-ES_tradnl" w:eastAsia="es-BO"/>
              </w:rPr>
            </w:pPr>
            <w:r w:rsidRPr="00BB15B8">
              <w:rPr>
                <w:rFonts w:eastAsia="Times New Roman"/>
                <w:sz w:val="18"/>
                <w:lang w:val="es-ES_tradnl" w:eastAsia="es-BO"/>
              </w:rPr>
              <w:t>2021</w:t>
            </w:r>
          </w:p>
        </w:tc>
        <w:tc>
          <w:tcPr>
            <w:tcW w:w="1538" w:type="dxa"/>
            <w:shd w:val="clear" w:color="auto" w:fill="auto"/>
            <w:vAlign w:val="bottom"/>
          </w:tcPr>
          <w:p w14:paraId="73FA25CF"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6.342</w:t>
            </w:r>
          </w:p>
        </w:tc>
        <w:tc>
          <w:tcPr>
            <w:tcW w:w="1134" w:type="dxa"/>
            <w:shd w:val="clear" w:color="auto" w:fill="auto"/>
            <w:vAlign w:val="bottom"/>
          </w:tcPr>
          <w:p w14:paraId="5E896EFB"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7.000</w:t>
            </w:r>
          </w:p>
        </w:tc>
        <w:tc>
          <w:tcPr>
            <w:tcW w:w="1559" w:type="dxa"/>
            <w:shd w:val="clear" w:color="auto" w:fill="auto"/>
            <w:vAlign w:val="bottom"/>
          </w:tcPr>
          <w:p w14:paraId="59738BE4"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44 394.000</w:t>
            </w:r>
          </w:p>
        </w:tc>
      </w:tr>
      <w:tr w:rsidR="00BB15B8" w:rsidRPr="00BB15B8" w14:paraId="3230CD9E" w14:textId="77777777" w:rsidTr="00BB15B8">
        <w:tc>
          <w:tcPr>
            <w:tcW w:w="872" w:type="dxa"/>
            <w:tcBorders>
              <w:bottom w:val="single" w:sz="12" w:space="0" w:color="auto"/>
            </w:tcBorders>
            <w:shd w:val="clear" w:color="auto" w:fill="auto"/>
          </w:tcPr>
          <w:p w14:paraId="37BEFF8A" w14:textId="77777777" w:rsidR="00653063" w:rsidRPr="00BB15B8" w:rsidRDefault="00653063" w:rsidP="00BB15B8">
            <w:pPr>
              <w:spacing w:before="40" w:after="40" w:line="220" w:lineRule="exact"/>
              <w:rPr>
                <w:rFonts w:eastAsia="Times New Roman"/>
                <w:sz w:val="18"/>
                <w:lang w:val="es-ES_tradnl" w:eastAsia="es-BO"/>
              </w:rPr>
            </w:pPr>
            <w:r w:rsidRPr="00BB15B8">
              <w:rPr>
                <w:rFonts w:eastAsia="Times New Roman"/>
                <w:sz w:val="18"/>
                <w:lang w:val="es-ES_tradnl" w:eastAsia="es-BO"/>
              </w:rPr>
              <w:t>2022</w:t>
            </w:r>
          </w:p>
        </w:tc>
        <w:tc>
          <w:tcPr>
            <w:tcW w:w="1538" w:type="dxa"/>
            <w:tcBorders>
              <w:bottom w:val="single" w:sz="12" w:space="0" w:color="auto"/>
            </w:tcBorders>
            <w:shd w:val="clear" w:color="auto" w:fill="auto"/>
            <w:vAlign w:val="bottom"/>
          </w:tcPr>
          <w:p w14:paraId="355E2042"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6.511</w:t>
            </w:r>
          </w:p>
        </w:tc>
        <w:tc>
          <w:tcPr>
            <w:tcW w:w="1134" w:type="dxa"/>
            <w:tcBorders>
              <w:bottom w:val="single" w:sz="12" w:space="0" w:color="auto"/>
            </w:tcBorders>
            <w:shd w:val="clear" w:color="auto" w:fill="auto"/>
            <w:vAlign w:val="bottom"/>
          </w:tcPr>
          <w:p w14:paraId="7708569F"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7.070</w:t>
            </w:r>
          </w:p>
        </w:tc>
        <w:tc>
          <w:tcPr>
            <w:tcW w:w="1559" w:type="dxa"/>
            <w:tcBorders>
              <w:bottom w:val="single" w:sz="12" w:space="0" w:color="auto"/>
            </w:tcBorders>
            <w:shd w:val="clear" w:color="auto" w:fill="auto"/>
            <w:vAlign w:val="bottom"/>
          </w:tcPr>
          <w:p w14:paraId="15EFF904" w14:textId="77777777" w:rsidR="00653063" w:rsidRPr="00BB15B8" w:rsidRDefault="00653063" w:rsidP="00BB15B8">
            <w:pPr>
              <w:spacing w:before="40" w:after="40" w:line="220" w:lineRule="exact"/>
              <w:jc w:val="right"/>
              <w:rPr>
                <w:rFonts w:eastAsia="Times New Roman"/>
                <w:sz w:val="18"/>
                <w:lang w:val="es-ES_tradnl" w:eastAsia="es-BO"/>
              </w:rPr>
            </w:pPr>
            <w:r w:rsidRPr="00BB15B8">
              <w:rPr>
                <w:rFonts w:eastAsia="Times New Roman"/>
                <w:sz w:val="18"/>
                <w:lang w:val="es-ES_tradnl" w:eastAsia="es-BO"/>
              </w:rPr>
              <w:t>46.032.770</w:t>
            </w:r>
          </w:p>
        </w:tc>
      </w:tr>
    </w:tbl>
    <w:p w14:paraId="154D04F6" w14:textId="77777777" w:rsidR="00653063" w:rsidRPr="00653063" w:rsidRDefault="00653063" w:rsidP="00BB15B8">
      <w:pPr>
        <w:pStyle w:val="SingleTxtG"/>
        <w:rPr>
          <w:lang w:val="es-ES_tradnl" w:eastAsia="es-BO"/>
        </w:rPr>
      </w:pPr>
      <w:r w:rsidRPr="00653063">
        <w:rPr>
          <w:lang w:val="es-ES_tradnl" w:eastAsia="es-BO"/>
        </w:rPr>
        <w:t>Fuente: VPCF/DGPGP/USS</w:t>
      </w:r>
    </w:p>
    <w:p w14:paraId="6A4DD4E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Bolivia viene implementando distintos Programas/Proyectos de Vivienda Social en beneficio de las familias bolivianas con necesidades de vivienda (teniendo prioridad las </w:t>
      </w:r>
      <w:proofErr w:type="spellStart"/>
      <w:r w:rsidRPr="00653063">
        <w:rPr>
          <w:rFonts w:eastAsia="Times New Roman"/>
          <w:lang w:val="es-ES_tradnl" w:eastAsia="es-BO"/>
        </w:rPr>
        <w:t>PcD</w:t>
      </w:r>
      <w:proofErr w:type="spellEnd"/>
      <w:r w:rsidRPr="00653063">
        <w:rPr>
          <w:rFonts w:eastAsia="Times New Roman"/>
          <w:lang w:val="es-ES_tradnl" w:eastAsia="es-BO"/>
        </w:rPr>
        <w:t>), para mejorar las condiciones de habitabilidad y coadyuvar a mejorar su calidad de vida:</w:t>
      </w:r>
    </w:p>
    <w:p w14:paraId="7EFF0BBE" w14:textId="77777777" w:rsidR="00653063" w:rsidRPr="00653063" w:rsidRDefault="00653063" w:rsidP="00BB15B8">
      <w:pPr>
        <w:pStyle w:val="Bullet1G"/>
        <w:rPr>
          <w:lang w:val="es-ES_tradnl"/>
        </w:rPr>
      </w:pPr>
      <w:r w:rsidRPr="00653063">
        <w:rPr>
          <w:i/>
          <w:lang w:val="es-ES_tradnl"/>
        </w:rPr>
        <w:t>Programa y/o Proyecto de Vivienda Cualitativa</w:t>
      </w:r>
      <w:r w:rsidRPr="00653063">
        <w:rPr>
          <w:lang w:val="es-ES_tradnl"/>
        </w:rPr>
        <w:t xml:space="preserve">, ejecutado en viviendas existentes para mejorarlas y/o ampliarlas o renovarlas; generando condiciones de habitabilidad y calidad de vida para los beneficiarios, en atención al déficit de vivienda cualitativa. </w:t>
      </w:r>
    </w:p>
    <w:p w14:paraId="5655E802" w14:textId="77777777" w:rsidR="00653063" w:rsidRPr="00653063" w:rsidRDefault="00653063" w:rsidP="00BB15B8">
      <w:pPr>
        <w:pStyle w:val="Bullet1G"/>
        <w:rPr>
          <w:lang w:val="es-ES_tradnl"/>
        </w:rPr>
      </w:pPr>
      <w:r w:rsidRPr="00653063">
        <w:rPr>
          <w:i/>
          <w:lang w:val="es-ES_tradnl"/>
        </w:rPr>
        <w:t>Programa y/o Proyecto de Vivienda Nueva</w:t>
      </w:r>
      <w:r w:rsidRPr="00653063">
        <w:rPr>
          <w:lang w:val="es-ES_tradnl"/>
        </w:rPr>
        <w:t xml:space="preserve"> (vigente desde el 13 de febrero de 2019), dirigido a familias que carecen de vivienda propia, pero cuentan con terreno propio. El Estado a través de la AEVIVIENDA, dota materiales de construcción en subsidio, asistencia, técnica y hace seguimiento a la edificación de las viviendas.</w:t>
      </w:r>
    </w:p>
    <w:p w14:paraId="310359F1" w14:textId="77777777" w:rsidR="00653063" w:rsidRPr="00653063" w:rsidRDefault="00653063" w:rsidP="00BB15B8">
      <w:pPr>
        <w:pStyle w:val="Bullet1G"/>
        <w:rPr>
          <w:lang w:val="es-ES_tradnl"/>
        </w:rPr>
      </w:pPr>
      <w:r w:rsidRPr="00653063">
        <w:rPr>
          <w:i/>
          <w:lang w:val="es-ES_tradnl"/>
        </w:rPr>
        <w:t>Programa de Vivienda para la Atención de Desastres y/o Emergencias</w:t>
      </w:r>
      <w:r w:rsidRPr="00653063">
        <w:rPr>
          <w:lang w:val="es-ES_tradnl"/>
        </w:rPr>
        <w:t>, es la ejecución de proyectos de vivienda social para reponer la única casa de las familias que fueron afectadas por un desastre y/o emergencia.</w:t>
      </w:r>
    </w:p>
    <w:p w14:paraId="1BEE099D" w14:textId="77777777" w:rsidR="00653063" w:rsidRPr="00653063" w:rsidRDefault="00653063" w:rsidP="00BB15B8">
      <w:pPr>
        <w:pStyle w:val="Bullet1G"/>
        <w:rPr>
          <w:lang w:val="es-ES_tradnl"/>
        </w:rPr>
      </w:pPr>
      <w:r w:rsidRPr="00653063">
        <w:rPr>
          <w:i/>
          <w:lang w:val="es-ES_tradnl"/>
        </w:rPr>
        <w:t>Programa de Atención Extraordinaria</w:t>
      </w:r>
      <w:r w:rsidRPr="00653063">
        <w:rPr>
          <w:lang w:val="es-ES_tradnl"/>
        </w:rPr>
        <w:t xml:space="preserve">, dirigido a familias de escasos recursos y grupos en situación de riesgo, por algunas de las siguientes condiciones: Condición de la familia (número de miembros de la familia, existencia de </w:t>
      </w:r>
      <w:proofErr w:type="spellStart"/>
      <w:r w:rsidRPr="00653063">
        <w:rPr>
          <w:lang w:val="es-ES_tradnl"/>
        </w:rPr>
        <w:t>PcD</w:t>
      </w:r>
      <w:proofErr w:type="spellEnd"/>
      <w:r w:rsidRPr="00653063">
        <w:rPr>
          <w:lang w:val="es-ES_tradnl"/>
        </w:rPr>
        <w:t xml:space="preserve">, adultos mayores o miembros de la familia con enfermedades terminales); y condición de la vivienda (no tener vivienda, inhabitabilidad de la vivienda o pérdida de </w:t>
      </w:r>
      <w:proofErr w:type="gramStart"/>
      <w:r w:rsidRPr="00653063">
        <w:rPr>
          <w:lang w:val="es-ES_tradnl"/>
        </w:rPr>
        <w:t>la misma</w:t>
      </w:r>
      <w:proofErr w:type="gramEnd"/>
      <w:r w:rsidRPr="00653063">
        <w:rPr>
          <w:lang w:val="es-ES_tradnl"/>
        </w:rPr>
        <w:t xml:space="preserve"> por causa de fuerza mayor o caso fortuito sin declaratoria de desastre y/o emergencia).</w:t>
      </w:r>
    </w:p>
    <w:p w14:paraId="3D43CA29" w14:textId="77777777" w:rsidR="00653063" w:rsidRPr="00653063" w:rsidRDefault="00653063" w:rsidP="00BB15B8">
      <w:pPr>
        <w:pStyle w:val="Bullet1G"/>
        <w:rPr>
          <w:lang w:val="es-ES_tradnl"/>
        </w:rPr>
      </w:pPr>
      <w:r w:rsidRPr="00653063">
        <w:rPr>
          <w:i/>
          <w:lang w:val="es-ES_tradnl"/>
        </w:rPr>
        <w:t>Programa de Comunidades Urbanas</w:t>
      </w:r>
      <w:r w:rsidRPr="00653063">
        <w:rPr>
          <w:lang w:val="es-ES_tradnl"/>
        </w:rPr>
        <w:t xml:space="preserve">, que consiste en la ejecución de proyectos a iniciativa </w:t>
      </w:r>
      <w:proofErr w:type="gramStart"/>
      <w:r w:rsidRPr="00653063">
        <w:rPr>
          <w:lang w:val="es-ES_tradnl"/>
        </w:rPr>
        <w:t>de  AEVIVIENDA</w:t>
      </w:r>
      <w:proofErr w:type="gramEnd"/>
      <w:r w:rsidRPr="00653063">
        <w:rPr>
          <w:lang w:val="es-ES_tradnl"/>
        </w:rPr>
        <w:t xml:space="preserve"> para la construcción integral de soluciones habitacionales unifamiliares o multifamiliares, en áreas urbanas destinadas a la venta al contado o crédito</w:t>
      </w:r>
    </w:p>
    <w:p w14:paraId="212CE64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Bolivia, se trabaja en beneficio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contribuyendo en la mejora de sus condiciones de habitabilidad de vivienda y coadyuvando en la mejora de su calidad de vida, con la ejecución de los programas/proyectos de viviendas sociales adecuadas a nivel nacional. </w:t>
      </w:r>
    </w:p>
    <w:p w14:paraId="5FB1343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Es así </w:t>
      </w:r>
      <w:proofErr w:type="gramStart"/>
      <w:r w:rsidRPr="00653063">
        <w:rPr>
          <w:rFonts w:eastAsia="Times New Roman"/>
          <w:lang w:val="es-ES_tradnl" w:eastAsia="es-BO"/>
        </w:rPr>
        <w:t>que</w:t>
      </w:r>
      <w:proofErr w:type="gramEnd"/>
      <w:r w:rsidRPr="00653063">
        <w:rPr>
          <w:rFonts w:eastAsia="Times New Roman"/>
          <w:lang w:val="es-ES_tradnl" w:eastAsia="es-BO"/>
        </w:rPr>
        <w:t xml:space="preserve">, del 2015 al 2022, la AEVIVIENDA realizó la atención a solicitudes de dotación y/o construcción de vivienda sociales impetradas por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con los Programas y/o Proyectos de Vivienda Social, es decir que se ejecutó la dotación de 5.763 soluciones habitacionales. (Anexo 26) </w:t>
      </w:r>
    </w:p>
    <w:p w14:paraId="06F0B72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Conforme se mencionó en el párrafo 263 del Informe Inicial del Estado, sobre los descuentos de las tarifas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la ATT realiza la verificación permanente del cumplimiento de dicho beneficio acorde a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165 de 16 de agosto de 2012, General de Transporte</w:t>
      </w:r>
      <w:r w:rsidRPr="00653063">
        <w:rPr>
          <w:rFonts w:ascii="Verdana" w:eastAsia="Verdana" w:hAnsi="Verdana" w:cs="Verdana"/>
          <w:lang w:val="es-ES_tradnl" w:eastAsia="es-BO"/>
        </w:rPr>
        <w:t xml:space="preserve"> </w:t>
      </w:r>
      <w:r w:rsidRPr="00653063">
        <w:rPr>
          <w:rFonts w:eastAsia="Times New Roman"/>
          <w:lang w:val="es-ES_tradnl" w:eastAsia="es-BO"/>
        </w:rPr>
        <w:t xml:space="preserve">y la Resolución Ministerial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266</w:t>
      </w:r>
      <w:r w:rsidRPr="00653063">
        <w:rPr>
          <w:rFonts w:eastAsia="Times New Roman"/>
          <w:vertAlign w:val="superscript"/>
          <w:lang w:val="es-ES_tradnl" w:eastAsia="es-BO"/>
        </w:rPr>
        <w:footnoteReference w:id="70"/>
      </w:r>
      <w:r w:rsidRPr="00653063">
        <w:rPr>
          <w:rFonts w:eastAsia="Times New Roman"/>
          <w:lang w:val="es-ES_tradnl" w:eastAsia="es-BO"/>
        </w:rPr>
        <w:t>.</w:t>
      </w:r>
    </w:p>
    <w:p w14:paraId="4DC800A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lastRenderedPageBreak/>
        <w:t xml:space="preserve">Asimismo, la ATT brinda asistencia a </w:t>
      </w:r>
      <w:proofErr w:type="spellStart"/>
      <w:r w:rsidRPr="00653063">
        <w:rPr>
          <w:rFonts w:eastAsia="Times New Roman"/>
          <w:lang w:val="es-ES_tradnl" w:eastAsia="es-BO"/>
        </w:rPr>
        <w:t>PcD</w:t>
      </w:r>
      <w:proofErr w:type="spellEnd"/>
      <w:r w:rsidRPr="00653063">
        <w:rPr>
          <w:rFonts w:eastAsia="Times New Roman"/>
          <w:lang w:val="es-ES_tradnl" w:eastAsia="es-BO"/>
        </w:rPr>
        <w:t>, en resguardo de sus derechos como usuarios del servicio de transporte departamental de pasajeros. Así, durante la gestión 2022 y 2023 registró 97 facilitaciones.</w:t>
      </w:r>
    </w:p>
    <w:p w14:paraId="5F73086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 igual manera, la ATT desarrolla operativos de control y fiscalización, a fin de precautelar los derechos de los usuarios en general y en particular a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73ECB00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Resolución Administrativa Regulatoria R.A.R. 354/2021 de 7 de noviembre de 2021 establece la tarifa solidaria en el Servicio Móvil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w:t>
      </w:r>
      <w:proofErr w:type="gramStart"/>
      <w:r w:rsidRPr="00653063">
        <w:rPr>
          <w:rFonts w:eastAsia="Times New Roman"/>
          <w:lang w:val="es-ES_tradnl" w:eastAsia="es-BO"/>
        </w:rPr>
        <w:t>de acuerdo al</w:t>
      </w:r>
      <w:proofErr w:type="gramEnd"/>
      <w:r w:rsidRPr="00653063">
        <w:rPr>
          <w:rFonts w:eastAsia="Times New Roman"/>
          <w:lang w:val="es-ES_tradnl" w:eastAsia="es-BO"/>
        </w:rPr>
        <w:t xml:space="preserve"> siguiente detalle:</w:t>
      </w:r>
    </w:p>
    <w:p w14:paraId="3F4CB66D" w14:textId="77777777" w:rsidR="00653063" w:rsidRPr="00653063" w:rsidRDefault="00653063" w:rsidP="00653063">
      <w:pPr>
        <w:widowControl w:val="0"/>
        <w:pBdr>
          <w:top w:val="nil"/>
          <w:left w:val="nil"/>
          <w:bottom w:val="nil"/>
          <w:right w:val="nil"/>
          <w:between w:val="nil"/>
        </w:pBdr>
        <w:spacing w:line="240" w:lineRule="auto"/>
        <w:jc w:val="both"/>
        <w:rPr>
          <w:rFonts w:eastAsia="Times New Roman"/>
          <w:lang w:val="es-ES_tradnl" w:eastAsia="es-BO"/>
        </w:rPr>
      </w:pPr>
    </w:p>
    <w:tbl>
      <w:tblPr>
        <w:tblW w:w="7370" w:type="dxa"/>
        <w:tblInd w:w="1134" w:type="dxa"/>
        <w:tblLayout w:type="fixed"/>
        <w:tblCellMar>
          <w:left w:w="0" w:type="dxa"/>
          <w:right w:w="0" w:type="dxa"/>
        </w:tblCellMar>
        <w:tblLook w:val="0400" w:firstRow="0" w:lastRow="0" w:firstColumn="0" w:lastColumn="0" w:noHBand="0" w:noVBand="1"/>
      </w:tblPr>
      <w:tblGrid>
        <w:gridCol w:w="2457"/>
        <w:gridCol w:w="2552"/>
        <w:gridCol w:w="2361"/>
      </w:tblGrid>
      <w:tr w:rsidR="00BB15B8" w:rsidRPr="00BB15B8" w14:paraId="57CBD81D" w14:textId="77777777" w:rsidTr="00BB15B8">
        <w:trPr>
          <w:tblHeader/>
        </w:trPr>
        <w:tc>
          <w:tcPr>
            <w:tcW w:w="1985" w:type="dxa"/>
            <w:tcBorders>
              <w:top w:val="single" w:sz="4" w:space="0" w:color="auto"/>
              <w:bottom w:val="single" w:sz="12" w:space="0" w:color="auto"/>
            </w:tcBorders>
            <w:shd w:val="clear" w:color="auto" w:fill="auto"/>
            <w:vAlign w:val="bottom"/>
          </w:tcPr>
          <w:p w14:paraId="7CFF3947" w14:textId="77777777" w:rsidR="00653063" w:rsidRPr="00BB15B8" w:rsidRDefault="00653063" w:rsidP="00BB15B8">
            <w:pPr>
              <w:pBdr>
                <w:top w:val="nil"/>
                <w:left w:val="nil"/>
                <w:bottom w:val="nil"/>
                <w:right w:val="nil"/>
                <w:between w:val="nil"/>
              </w:pBdr>
              <w:spacing w:before="80" w:after="80" w:line="200" w:lineRule="exact"/>
              <w:rPr>
                <w:rFonts w:eastAsia="Times New Roman"/>
                <w:i/>
                <w:sz w:val="16"/>
                <w:szCs w:val="18"/>
                <w:lang w:val="es-ES_tradnl" w:eastAsia="es-BO"/>
              </w:rPr>
            </w:pPr>
            <w:r w:rsidRPr="00BB15B8">
              <w:rPr>
                <w:rFonts w:eastAsia="Times New Roman"/>
                <w:i/>
                <w:sz w:val="16"/>
                <w:szCs w:val="18"/>
                <w:lang w:val="es-ES_tradnl" w:eastAsia="es-BO"/>
              </w:rPr>
              <w:t>SERVICIO MÓVIL</w:t>
            </w:r>
          </w:p>
        </w:tc>
        <w:tc>
          <w:tcPr>
            <w:tcW w:w="2062" w:type="dxa"/>
            <w:tcBorders>
              <w:top w:val="single" w:sz="4" w:space="0" w:color="auto"/>
              <w:bottom w:val="single" w:sz="12" w:space="0" w:color="auto"/>
            </w:tcBorders>
            <w:shd w:val="clear" w:color="auto" w:fill="auto"/>
            <w:vAlign w:val="bottom"/>
          </w:tcPr>
          <w:p w14:paraId="66455625" w14:textId="77777777" w:rsidR="00653063" w:rsidRPr="00BB15B8" w:rsidRDefault="00653063" w:rsidP="00BB15B8">
            <w:pPr>
              <w:pBdr>
                <w:top w:val="nil"/>
                <w:left w:val="nil"/>
                <w:bottom w:val="nil"/>
                <w:right w:val="nil"/>
                <w:between w:val="nil"/>
              </w:pBdr>
              <w:spacing w:before="80" w:after="80" w:line="200" w:lineRule="exact"/>
              <w:jc w:val="right"/>
              <w:rPr>
                <w:rFonts w:eastAsia="Times New Roman"/>
                <w:i/>
                <w:sz w:val="16"/>
                <w:szCs w:val="18"/>
                <w:lang w:val="es-ES_tradnl" w:eastAsia="es-BO"/>
              </w:rPr>
            </w:pPr>
            <w:r w:rsidRPr="00BB15B8">
              <w:rPr>
                <w:rFonts w:eastAsia="Times New Roman"/>
                <w:i/>
                <w:sz w:val="16"/>
                <w:szCs w:val="18"/>
                <w:lang w:val="es-ES_tradnl" w:eastAsia="es-BO"/>
              </w:rPr>
              <w:t>TARIFA SOLIDARIA</w:t>
            </w:r>
          </w:p>
        </w:tc>
        <w:tc>
          <w:tcPr>
            <w:tcW w:w="1907" w:type="dxa"/>
            <w:tcBorders>
              <w:top w:val="single" w:sz="4" w:space="0" w:color="auto"/>
              <w:bottom w:val="single" w:sz="12" w:space="0" w:color="auto"/>
            </w:tcBorders>
            <w:shd w:val="clear" w:color="auto" w:fill="auto"/>
            <w:vAlign w:val="bottom"/>
          </w:tcPr>
          <w:p w14:paraId="0D06C54D" w14:textId="77777777" w:rsidR="00653063" w:rsidRPr="00BB15B8" w:rsidRDefault="00653063" w:rsidP="00BB15B8">
            <w:pPr>
              <w:pBdr>
                <w:top w:val="nil"/>
                <w:left w:val="nil"/>
                <w:bottom w:val="nil"/>
                <w:right w:val="nil"/>
                <w:between w:val="nil"/>
              </w:pBdr>
              <w:spacing w:before="80" w:after="80" w:line="200" w:lineRule="exact"/>
              <w:jc w:val="right"/>
              <w:rPr>
                <w:rFonts w:eastAsia="Times New Roman"/>
                <w:i/>
                <w:sz w:val="16"/>
                <w:szCs w:val="18"/>
                <w:lang w:val="es-ES_tradnl" w:eastAsia="es-BO"/>
              </w:rPr>
            </w:pPr>
            <w:r w:rsidRPr="00BB15B8">
              <w:rPr>
                <w:rFonts w:eastAsia="Times New Roman"/>
                <w:i/>
                <w:sz w:val="16"/>
                <w:szCs w:val="18"/>
                <w:lang w:val="es-ES_tradnl" w:eastAsia="es-BO"/>
              </w:rPr>
              <w:t>TARIFA REGULAR</w:t>
            </w:r>
          </w:p>
        </w:tc>
      </w:tr>
      <w:tr w:rsidR="00653063" w:rsidRPr="00BB15B8" w14:paraId="74B4A62F" w14:textId="77777777" w:rsidTr="00BB15B8">
        <w:tc>
          <w:tcPr>
            <w:tcW w:w="1985" w:type="dxa"/>
            <w:tcBorders>
              <w:top w:val="single" w:sz="12" w:space="0" w:color="auto"/>
            </w:tcBorders>
            <w:shd w:val="clear" w:color="auto" w:fill="auto"/>
          </w:tcPr>
          <w:p w14:paraId="422EB2C4" w14:textId="77777777" w:rsidR="00653063" w:rsidRPr="00BB15B8" w:rsidRDefault="00653063" w:rsidP="00BB15B8">
            <w:pPr>
              <w:pBdr>
                <w:top w:val="nil"/>
                <w:left w:val="nil"/>
                <w:bottom w:val="nil"/>
                <w:right w:val="nil"/>
                <w:between w:val="nil"/>
              </w:pBdr>
              <w:spacing w:before="40" w:after="40" w:line="220" w:lineRule="exact"/>
              <w:rPr>
                <w:rFonts w:eastAsia="Times New Roman"/>
                <w:sz w:val="18"/>
                <w:szCs w:val="18"/>
                <w:lang w:val="es-ES_tradnl" w:eastAsia="es-BO"/>
              </w:rPr>
            </w:pPr>
            <w:r w:rsidRPr="00BB15B8">
              <w:rPr>
                <w:rFonts w:eastAsia="Times New Roman"/>
                <w:sz w:val="18"/>
                <w:szCs w:val="18"/>
                <w:lang w:val="es-ES_tradnl" w:eastAsia="es-BO"/>
              </w:rPr>
              <w:t>Llamada de voz</w:t>
            </w:r>
          </w:p>
        </w:tc>
        <w:tc>
          <w:tcPr>
            <w:tcW w:w="2062" w:type="dxa"/>
            <w:tcBorders>
              <w:top w:val="single" w:sz="12" w:space="0" w:color="auto"/>
            </w:tcBorders>
            <w:shd w:val="clear" w:color="auto" w:fill="auto"/>
            <w:vAlign w:val="bottom"/>
          </w:tcPr>
          <w:p w14:paraId="148CE811" w14:textId="77777777" w:rsidR="00653063" w:rsidRPr="00BB15B8" w:rsidRDefault="00653063" w:rsidP="00BB15B8">
            <w:pPr>
              <w:pBdr>
                <w:top w:val="nil"/>
                <w:left w:val="nil"/>
                <w:bottom w:val="nil"/>
                <w:right w:val="nil"/>
                <w:between w:val="nil"/>
              </w:pBdr>
              <w:spacing w:before="40" w:after="40" w:line="220" w:lineRule="exact"/>
              <w:jc w:val="right"/>
              <w:rPr>
                <w:rFonts w:eastAsia="Times New Roman"/>
                <w:sz w:val="18"/>
                <w:szCs w:val="18"/>
                <w:lang w:val="es-ES_tradnl" w:eastAsia="es-BO"/>
              </w:rPr>
            </w:pPr>
            <w:r w:rsidRPr="00BB15B8">
              <w:rPr>
                <w:rFonts w:eastAsia="Times New Roman"/>
                <w:sz w:val="18"/>
                <w:szCs w:val="18"/>
                <w:lang w:val="es-ES_tradnl" w:eastAsia="es-BO"/>
              </w:rPr>
              <w:t>(0,50 Bs./min)</w:t>
            </w:r>
          </w:p>
        </w:tc>
        <w:tc>
          <w:tcPr>
            <w:tcW w:w="1907" w:type="dxa"/>
            <w:tcBorders>
              <w:top w:val="single" w:sz="12" w:space="0" w:color="auto"/>
            </w:tcBorders>
            <w:shd w:val="clear" w:color="auto" w:fill="auto"/>
            <w:vAlign w:val="bottom"/>
          </w:tcPr>
          <w:p w14:paraId="7CAF8600" w14:textId="77777777" w:rsidR="00653063" w:rsidRPr="00BB15B8" w:rsidRDefault="00653063" w:rsidP="00BB15B8">
            <w:pPr>
              <w:pBdr>
                <w:top w:val="nil"/>
                <w:left w:val="nil"/>
                <w:bottom w:val="nil"/>
                <w:right w:val="nil"/>
                <w:between w:val="nil"/>
              </w:pBdr>
              <w:spacing w:before="40" w:after="40" w:line="220" w:lineRule="exact"/>
              <w:jc w:val="right"/>
              <w:rPr>
                <w:rFonts w:eastAsia="Times New Roman"/>
                <w:sz w:val="18"/>
                <w:szCs w:val="18"/>
                <w:lang w:val="es-ES_tradnl" w:eastAsia="es-BO"/>
              </w:rPr>
            </w:pPr>
            <w:r w:rsidRPr="00BB15B8">
              <w:rPr>
                <w:rFonts w:eastAsia="Times New Roman"/>
                <w:sz w:val="18"/>
                <w:szCs w:val="18"/>
                <w:lang w:val="es-ES_tradnl" w:eastAsia="es-BO"/>
              </w:rPr>
              <w:t>(1,59 Bs./min)</w:t>
            </w:r>
          </w:p>
        </w:tc>
      </w:tr>
      <w:tr w:rsidR="00653063" w:rsidRPr="00BB15B8" w14:paraId="0379D890" w14:textId="77777777" w:rsidTr="00BB15B8">
        <w:tc>
          <w:tcPr>
            <w:tcW w:w="1985" w:type="dxa"/>
            <w:shd w:val="clear" w:color="auto" w:fill="auto"/>
          </w:tcPr>
          <w:p w14:paraId="51584066" w14:textId="77777777" w:rsidR="00653063" w:rsidRPr="00BB15B8" w:rsidRDefault="00653063" w:rsidP="00BB15B8">
            <w:pPr>
              <w:pBdr>
                <w:top w:val="nil"/>
                <w:left w:val="nil"/>
                <w:bottom w:val="nil"/>
                <w:right w:val="nil"/>
                <w:between w:val="nil"/>
              </w:pBdr>
              <w:spacing w:before="40" w:after="40" w:line="220" w:lineRule="exact"/>
              <w:rPr>
                <w:rFonts w:eastAsia="Times New Roman"/>
                <w:sz w:val="18"/>
                <w:szCs w:val="18"/>
                <w:lang w:val="es-ES_tradnl" w:eastAsia="es-BO"/>
              </w:rPr>
            </w:pPr>
            <w:r w:rsidRPr="00BB15B8">
              <w:rPr>
                <w:rFonts w:eastAsia="Times New Roman"/>
                <w:sz w:val="18"/>
                <w:szCs w:val="18"/>
                <w:lang w:val="es-ES_tradnl" w:eastAsia="es-BO"/>
              </w:rPr>
              <w:t>Mensajes de texto SMS</w:t>
            </w:r>
          </w:p>
        </w:tc>
        <w:tc>
          <w:tcPr>
            <w:tcW w:w="2062" w:type="dxa"/>
            <w:shd w:val="clear" w:color="auto" w:fill="auto"/>
            <w:vAlign w:val="bottom"/>
          </w:tcPr>
          <w:p w14:paraId="41AB757A" w14:textId="77777777" w:rsidR="00653063" w:rsidRPr="00BB15B8" w:rsidRDefault="00653063" w:rsidP="00BB15B8">
            <w:pPr>
              <w:pBdr>
                <w:top w:val="nil"/>
                <w:left w:val="nil"/>
                <w:bottom w:val="nil"/>
                <w:right w:val="nil"/>
                <w:between w:val="nil"/>
              </w:pBdr>
              <w:spacing w:before="40" w:after="40" w:line="220" w:lineRule="exact"/>
              <w:jc w:val="right"/>
              <w:rPr>
                <w:rFonts w:eastAsia="Times New Roman"/>
                <w:sz w:val="18"/>
                <w:szCs w:val="18"/>
                <w:lang w:val="es-ES_tradnl" w:eastAsia="es-BO"/>
              </w:rPr>
            </w:pPr>
            <w:r w:rsidRPr="00BB15B8">
              <w:rPr>
                <w:rFonts w:eastAsia="Times New Roman"/>
                <w:sz w:val="18"/>
                <w:szCs w:val="18"/>
                <w:lang w:val="es-ES_tradnl" w:eastAsia="es-BO"/>
              </w:rPr>
              <w:t>(0,12 Bs./mensaje)</w:t>
            </w:r>
          </w:p>
        </w:tc>
        <w:tc>
          <w:tcPr>
            <w:tcW w:w="1907" w:type="dxa"/>
            <w:shd w:val="clear" w:color="auto" w:fill="auto"/>
            <w:vAlign w:val="bottom"/>
          </w:tcPr>
          <w:p w14:paraId="69C69CCA" w14:textId="77777777" w:rsidR="00653063" w:rsidRPr="00BB15B8" w:rsidRDefault="00653063" w:rsidP="00BB15B8">
            <w:pPr>
              <w:pBdr>
                <w:top w:val="nil"/>
                <w:left w:val="nil"/>
                <w:bottom w:val="nil"/>
                <w:right w:val="nil"/>
                <w:between w:val="nil"/>
              </w:pBdr>
              <w:spacing w:before="40" w:after="40" w:line="220" w:lineRule="exact"/>
              <w:jc w:val="right"/>
              <w:rPr>
                <w:rFonts w:eastAsia="Times New Roman"/>
                <w:sz w:val="18"/>
                <w:szCs w:val="18"/>
                <w:lang w:val="es-ES_tradnl" w:eastAsia="es-BO"/>
              </w:rPr>
            </w:pPr>
            <w:r w:rsidRPr="00BB15B8">
              <w:rPr>
                <w:rFonts w:eastAsia="Times New Roman"/>
                <w:sz w:val="18"/>
                <w:szCs w:val="18"/>
                <w:lang w:val="es-ES_tradnl" w:eastAsia="es-BO"/>
              </w:rPr>
              <w:t>(0,20 Bs./mensaje)</w:t>
            </w:r>
          </w:p>
        </w:tc>
      </w:tr>
      <w:tr w:rsidR="00653063" w:rsidRPr="00BB15B8" w14:paraId="6EFFC6C8" w14:textId="77777777" w:rsidTr="00BB15B8">
        <w:tc>
          <w:tcPr>
            <w:tcW w:w="1985" w:type="dxa"/>
            <w:tcBorders>
              <w:bottom w:val="single" w:sz="12" w:space="0" w:color="auto"/>
            </w:tcBorders>
            <w:shd w:val="clear" w:color="auto" w:fill="auto"/>
          </w:tcPr>
          <w:p w14:paraId="7475C45B" w14:textId="77777777" w:rsidR="00653063" w:rsidRPr="00BB15B8" w:rsidRDefault="00653063" w:rsidP="00BB15B8">
            <w:pPr>
              <w:pBdr>
                <w:top w:val="nil"/>
                <w:left w:val="nil"/>
                <w:bottom w:val="nil"/>
                <w:right w:val="nil"/>
                <w:between w:val="nil"/>
              </w:pBdr>
              <w:spacing w:before="40" w:after="40" w:line="220" w:lineRule="exact"/>
              <w:rPr>
                <w:rFonts w:eastAsia="Times New Roman"/>
                <w:sz w:val="18"/>
                <w:szCs w:val="18"/>
                <w:lang w:val="es-ES_tradnl" w:eastAsia="es-BO"/>
              </w:rPr>
            </w:pPr>
            <w:r w:rsidRPr="00BB15B8">
              <w:rPr>
                <w:rFonts w:eastAsia="Times New Roman"/>
                <w:sz w:val="18"/>
                <w:szCs w:val="18"/>
                <w:lang w:val="es-ES_tradnl" w:eastAsia="es-BO"/>
              </w:rPr>
              <w:t>Navegación en Internet</w:t>
            </w:r>
          </w:p>
        </w:tc>
        <w:tc>
          <w:tcPr>
            <w:tcW w:w="2062" w:type="dxa"/>
            <w:tcBorders>
              <w:bottom w:val="single" w:sz="12" w:space="0" w:color="auto"/>
            </w:tcBorders>
            <w:shd w:val="clear" w:color="auto" w:fill="auto"/>
            <w:vAlign w:val="bottom"/>
          </w:tcPr>
          <w:p w14:paraId="64FAD22A" w14:textId="77777777" w:rsidR="00653063" w:rsidRPr="00BB15B8" w:rsidRDefault="00653063" w:rsidP="00BB15B8">
            <w:pPr>
              <w:pBdr>
                <w:top w:val="nil"/>
                <w:left w:val="nil"/>
                <w:bottom w:val="nil"/>
                <w:right w:val="nil"/>
                <w:between w:val="nil"/>
              </w:pBdr>
              <w:spacing w:before="40" w:after="40" w:line="220" w:lineRule="exact"/>
              <w:jc w:val="right"/>
              <w:rPr>
                <w:rFonts w:eastAsia="Times New Roman"/>
                <w:sz w:val="18"/>
                <w:szCs w:val="18"/>
                <w:lang w:val="es-ES_tradnl" w:eastAsia="es-BO"/>
              </w:rPr>
            </w:pPr>
            <w:r w:rsidRPr="00BB15B8">
              <w:rPr>
                <w:rFonts w:eastAsia="Times New Roman"/>
                <w:sz w:val="18"/>
                <w:szCs w:val="18"/>
                <w:lang w:val="es-ES_tradnl" w:eastAsia="es-BO"/>
              </w:rPr>
              <w:t>(0,008 Bs./</w:t>
            </w:r>
            <w:proofErr w:type="spellStart"/>
            <w:r w:rsidRPr="00BB15B8">
              <w:rPr>
                <w:rFonts w:eastAsia="Times New Roman"/>
                <w:sz w:val="18"/>
                <w:szCs w:val="18"/>
                <w:lang w:val="es-ES_tradnl" w:eastAsia="es-BO"/>
              </w:rPr>
              <w:t>MByte</w:t>
            </w:r>
            <w:proofErr w:type="spellEnd"/>
            <w:r w:rsidRPr="00BB15B8">
              <w:rPr>
                <w:rFonts w:eastAsia="Times New Roman"/>
                <w:sz w:val="18"/>
                <w:szCs w:val="18"/>
                <w:lang w:val="es-ES_tradnl" w:eastAsia="es-BO"/>
              </w:rPr>
              <w:t>)</w:t>
            </w:r>
          </w:p>
        </w:tc>
        <w:tc>
          <w:tcPr>
            <w:tcW w:w="1907" w:type="dxa"/>
            <w:tcBorders>
              <w:bottom w:val="single" w:sz="12" w:space="0" w:color="auto"/>
            </w:tcBorders>
            <w:shd w:val="clear" w:color="auto" w:fill="auto"/>
            <w:vAlign w:val="bottom"/>
          </w:tcPr>
          <w:p w14:paraId="055D7FE2" w14:textId="77777777" w:rsidR="00653063" w:rsidRPr="00BB15B8" w:rsidRDefault="00653063" w:rsidP="00BB15B8">
            <w:pPr>
              <w:pBdr>
                <w:top w:val="nil"/>
                <w:left w:val="nil"/>
                <w:bottom w:val="nil"/>
                <w:right w:val="nil"/>
                <w:between w:val="nil"/>
              </w:pBdr>
              <w:spacing w:before="40" w:after="40" w:line="220" w:lineRule="exact"/>
              <w:jc w:val="right"/>
              <w:rPr>
                <w:rFonts w:eastAsia="Times New Roman"/>
                <w:sz w:val="18"/>
                <w:szCs w:val="18"/>
                <w:lang w:val="es-ES_tradnl" w:eastAsia="es-BO"/>
              </w:rPr>
            </w:pPr>
            <w:r w:rsidRPr="00BB15B8">
              <w:rPr>
                <w:rFonts w:eastAsia="Times New Roman"/>
                <w:sz w:val="18"/>
                <w:szCs w:val="18"/>
                <w:lang w:val="es-ES_tradnl" w:eastAsia="es-BO"/>
              </w:rPr>
              <w:t>(0,14 Bs./</w:t>
            </w:r>
            <w:proofErr w:type="spellStart"/>
            <w:r w:rsidRPr="00BB15B8">
              <w:rPr>
                <w:rFonts w:eastAsia="Times New Roman"/>
                <w:sz w:val="18"/>
                <w:szCs w:val="18"/>
                <w:lang w:val="es-ES_tradnl" w:eastAsia="es-BO"/>
              </w:rPr>
              <w:t>MByte</w:t>
            </w:r>
            <w:proofErr w:type="spellEnd"/>
            <w:r w:rsidRPr="00BB15B8">
              <w:rPr>
                <w:rFonts w:eastAsia="Times New Roman"/>
                <w:sz w:val="18"/>
                <w:szCs w:val="18"/>
                <w:lang w:val="es-ES_tradnl" w:eastAsia="es-BO"/>
              </w:rPr>
              <w:t>)</w:t>
            </w:r>
          </w:p>
        </w:tc>
      </w:tr>
    </w:tbl>
    <w:p w14:paraId="6579E402" w14:textId="77777777" w:rsidR="00653063" w:rsidRPr="00653063" w:rsidRDefault="00653063" w:rsidP="00BB15B8">
      <w:pPr>
        <w:pStyle w:val="SingleTxtG"/>
        <w:rPr>
          <w:lang w:val="es-ES_tradnl" w:eastAsia="es-BO"/>
        </w:rPr>
      </w:pPr>
      <w:r w:rsidRPr="00653063">
        <w:rPr>
          <w:lang w:val="es-ES_tradnl" w:eastAsia="es-BO"/>
        </w:rPr>
        <w:t>Fuente: ATT - 2023</w:t>
      </w:r>
    </w:p>
    <w:p w14:paraId="2DAE63A3"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En la presente gestión, la ATT trabaja en la "Sistematización de la Tarifa Solidaria", que simplificará el proceso de registro a este tipo de Tarifa a través del desarrollo funcional del servicio web para el intercambio de información con el MSD, el IBC, la AGETIC y los operadores de telecomunicaciones. Actividad que busca incrementar la población de beneficiarios, permitiendo a los Operadores verificar los datos del solicitante, validando la información del certificado de discapacidad en línea y en tiempo real.</w:t>
      </w:r>
    </w:p>
    <w:p w14:paraId="75A8A47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Por otro lado, la Autoridad de Supervisión del Sistema Financiero (ASFI) emitió la Resolución ASFI 536/2016 de fecha 27 de julio de 2016</w:t>
      </w:r>
      <w:r w:rsidRPr="00653063">
        <w:rPr>
          <w:rFonts w:eastAsia="Times New Roman"/>
          <w:sz w:val="18"/>
          <w:szCs w:val="18"/>
          <w:vertAlign w:val="superscript"/>
          <w:lang w:val="es-ES_tradnl" w:eastAsia="es-BO"/>
        </w:rPr>
        <w:footnoteReference w:id="71"/>
      </w:r>
      <w:r w:rsidRPr="00653063">
        <w:rPr>
          <w:rFonts w:eastAsia="Times New Roman"/>
          <w:lang w:val="es-ES_tradnl" w:eastAsia="es-BO"/>
        </w:rPr>
        <w:t xml:space="preserve">, que aprueba y puso en vigencia el Reglamento para Operaciones de Crédito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destinado a viabilizar el acceso al crédito, en condiciones de igualdad de oportunidades. Estableciendo, además, que la política de crédito de la entidad supervisada debe establecer explícitamente los mecanismos que viabilicen el acceso a los servicios financieros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igualdad de oportunidades, incluyendo los beneficios y ventajas que estime convenientes para la adecuada atención de las solicitudes de crédito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así como de sus cónyuges, padres, madres o tutores. En ese contexto, al 30 de abril de 2023, la Catera de Crédito dirigida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alcanza a USD. 29.58 MM, equivalente a 3.855 operaciones.</w:t>
      </w:r>
    </w:p>
    <w:p w14:paraId="63EB10D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Mi Teleférico</w:t>
      </w:r>
      <w:r w:rsidRPr="00653063">
        <w:rPr>
          <w:rFonts w:eastAsia="Times New Roman"/>
          <w:sz w:val="18"/>
          <w:szCs w:val="18"/>
          <w:vertAlign w:val="superscript"/>
          <w:lang w:val="es-ES_tradnl" w:eastAsia="es-BO"/>
        </w:rPr>
        <w:footnoteReference w:id="72"/>
      </w:r>
      <w:r w:rsidRPr="00653063">
        <w:rPr>
          <w:rFonts w:eastAsia="Times New Roman"/>
          <w:lang w:val="es-ES_tradnl" w:eastAsia="es-BO"/>
        </w:rPr>
        <w:t xml:space="preserve"> brinda un trato preferencial a las </w:t>
      </w:r>
      <w:proofErr w:type="spellStart"/>
      <w:r w:rsidRPr="00653063">
        <w:rPr>
          <w:rFonts w:eastAsia="Times New Roman"/>
          <w:lang w:val="es-ES_tradnl" w:eastAsia="es-BO"/>
        </w:rPr>
        <w:t>PcD</w:t>
      </w:r>
      <w:proofErr w:type="spellEnd"/>
      <w:r w:rsidRPr="00653063">
        <w:rPr>
          <w:rFonts w:eastAsia="Times New Roman"/>
          <w:lang w:val="es-ES_tradnl" w:eastAsia="es-BO"/>
        </w:rPr>
        <w:t>, quienes pueden acceder a la tarifa solidaria (50% menor a la tarifa común) en el uso del teleférico, promoviendo y contribuyendo a una vida digna. Mi Teleférico brinda una atención diferenciada y personalizada a los usuarios con discapacidad a fin de cuidar su seguridad desde su ingreso a la Estación.</w:t>
      </w:r>
    </w:p>
    <w:p w14:paraId="1C868F4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Desde la inauguración de la primera Línea de Teleférico (mayo 2014) a mayo 2023,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se han beneficiado con más de 3.12 millones de pases y un ahorro de más de Bs. 4.69 millones de bolivianos.</w:t>
      </w:r>
    </w:p>
    <w:p w14:paraId="61433CA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Tren Metropolitano brinda una tarifa preferencial de Bs. 2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para el servicio de transporte en las Líneas Roja y Verde que se manejan actualmente.</w:t>
      </w:r>
    </w:p>
    <w:p w14:paraId="07C4136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Paralelamente, el 2021, el Gobierno Autónomo Departamental de La Paz a través del CODEPEDIS LP entregó 1.793 kits de alimentos de ración seca a las Asociaciones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del Departamento de La Paz consistentes en arroz, fideo, azúcar y aceite.</w:t>
      </w:r>
    </w:p>
    <w:p w14:paraId="03851C7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Así también, gestionó ayudas alimentarias para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 escasos recursos, con la entrega de canastas alimentarias, distribuidos a nivel nacional a través del Fondo Nacional de Solidaridad y Equidad (FNSE) a todas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registradas en el Sistema del Programa de Información del Registro Único Nacional de la Persona con Discapacidad.</w:t>
      </w:r>
    </w:p>
    <w:p w14:paraId="7412A88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Gobierno Autónomo Departamental de Pando a través del Comité Departamental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(CODEPEDIS), realiza la coordinación para la valoración y la extensión del </w:t>
      </w:r>
      <w:proofErr w:type="gramStart"/>
      <w:r w:rsidRPr="00653063">
        <w:rPr>
          <w:rFonts w:eastAsia="Times New Roman"/>
          <w:lang w:val="es-ES_tradnl" w:eastAsia="es-BO"/>
        </w:rPr>
        <w:t>carnet</w:t>
      </w:r>
      <w:proofErr w:type="gramEnd"/>
      <w:r w:rsidRPr="00653063">
        <w:rPr>
          <w:rFonts w:eastAsia="Times New Roman"/>
          <w:lang w:val="es-ES_tradnl" w:eastAsia="es-BO"/>
        </w:rPr>
        <w:t xml:space="preserve"> </w:t>
      </w:r>
      <w:r w:rsidRPr="00653063">
        <w:rPr>
          <w:rFonts w:eastAsia="Times New Roman"/>
          <w:lang w:val="es-ES_tradnl" w:eastAsia="es-BO"/>
        </w:rPr>
        <w:lastRenderedPageBreak/>
        <w:t xml:space="preserve">de discapacidad y coadyuva en la búsqueda de personas con bajos recursos económicos, también en el seguimiento y el apoyo jurídico y social 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sus familias. Asimismo, cumple con la contratación de </w:t>
      </w:r>
      <w:proofErr w:type="spellStart"/>
      <w:r w:rsidRPr="00653063">
        <w:rPr>
          <w:rFonts w:eastAsia="Times New Roman"/>
          <w:lang w:val="es-ES_tradnl" w:eastAsia="es-BO"/>
        </w:rPr>
        <w:t>PcD</w:t>
      </w:r>
      <w:proofErr w:type="spellEnd"/>
      <w:r w:rsidRPr="00653063">
        <w:rPr>
          <w:rFonts w:eastAsia="Times New Roman"/>
          <w:lang w:val="es-ES_tradnl" w:eastAsia="es-BO"/>
        </w:rPr>
        <w:t>. Y realiza la entrega de apoyos ortopédicos como sillas de ruedas, bastones y otros, en los 15 Municipios del Departamento Pando.</w:t>
      </w:r>
    </w:p>
    <w:p w14:paraId="28B1F5F1" w14:textId="0470BD94" w:rsidR="00653063" w:rsidRPr="00653063" w:rsidRDefault="00BB15B8" w:rsidP="00BB15B8">
      <w:pPr>
        <w:pStyle w:val="H23G"/>
        <w:rPr>
          <w:lang w:val="es-ES_tradnl" w:eastAsia="es-BO"/>
        </w:rPr>
      </w:pPr>
      <w:bookmarkStart w:id="34" w:name="_heading=h.qsh70q" w:colFirst="0" w:colLast="0"/>
      <w:bookmarkEnd w:id="34"/>
      <w:r>
        <w:rPr>
          <w:lang w:val="es-ES_tradnl" w:eastAsia="es-BO"/>
        </w:rPr>
        <w:tab/>
      </w:r>
      <w:r>
        <w:rPr>
          <w:lang w:val="es-ES_tradnl" w:eastAsia="es-BO"/>
        </w:rPr>
        <w:tab/>
        <w:t>w)</w:t>
      </w:r>
      <w:r>
        <w:rPr>
          <w:lang w:val="es-ES_tradnl" w:eastAsia="es-BO"/>
        </w:rPr>
        <w:tab/>
      </w:r>
      <w:r w:rsidR="00653063" w:rsidRPr="00653063">
        <w:rPr>
          <w:lang w:val="es-ES_tradnl" w:eastAsia="es-BO"/>
        </w:rPr>
        <w:t>Participación en la vida política y pública (Artículo 29, Recomendación 66)</w:t>
      </w:r>
    </w:p>
    <w:p w14:paraId="5E69A5A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Sobre la Recomendación del Párrafo 66 respecto a la derogación de disposiciones que limitan el derecho a votar por motivo de capacidad jurídica y la adopción de medidas legislativas para garantizar que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sean registradas en el padrón electoral y ejerzan su derecho al voto, y como se mencionó en el Informe Inicial (CRPD/C/BOL/A) la CPE garantiza a los ciudadanos sin discriminación, los derechos políticos y la posibilidad de gozar de ellos en igualdad de condiciones con las demás.</w:t>
      </w:r>
    </w:p>
    <w:p w14:paraId="01A773E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De acuerdo, al Artículo 4 de la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026 de 30 de junio de 2010, de Régimen Electoral se garantiza los derechos políticos en equivalencia de condiciones entre hombres y mujeres, consistentes en: La concurrencia como electoras y electores y elegibles en procesos electorales, mediante sufragio universal, así como la concurrencia como electoras y electores en los referendos y revocatorias de mandato, mediante sufragio universal.</w:t>
      </w:r>
    </w:p>
    <w:p w14:paraId="18E9518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La Sala Plena del TSE aprobó el Padrón Electoral Biométrico</w:t>
      </w:r>
      <w:r w:rsidRPr="00653063">
        <w:rPr>
          <w:rFonts w:eastAsia="Times New Roman"/>
          <w:sz w:val="18"/>
          <w:szCs w:val="18"/>
          <w:vertAlign w:val="superscript"/>
          <w:lang w:val="es-ES_tradnl" w:eastAsia="es-BO"/>
        </w:rPr>
        <w:footnoteReference w:id="73"/>
      </w:r>
      <w:r w:rsidRPr="00653063">
        <w:rPr>
          <w:rFonts w:eastAsia="Times New Roman"/>
          <w:i/>
          <w:lang w:val="es-ES_tradnl" w:eastAsia="es-BO"/>
        </w:rPr>
        <w:t xml:space="preserve"> </w:t>
      </w:r>
      <w:r w:rsidRPr="00653063">
        <w:rPr>
          <w:rFonts w:eastAsia="Times New Roman"/>
          <w:lang w:val="es-ES_tradnl" w:eastAsia="es-BO"/>
        </w:rPr>
        <w:t>cuyo Sistema de Registro Biométrico permite el</w:t>
      </w:r>
      <w:r w:rsidRPr="00653063">
        <w:rPr>
          <w:rFonts w:eastAsia="Times New Roman"/>
          <w:b/>
          <w:i/>
          <w:lang w:val="es-ES_tradnl" w:eastAsia="es-BO"/>
        </w:rPr>
        <w:t xml:space="preserve"> </w:t>
      </w:r>
      <w:r w:rsidRPr="00653063">
        <w:rPr>
          <w:rFonts w:eastAsia="Times New Roman"/>
          <w:lang w:val="es-ES_tradnl" w:eastAsia="es-BO"/>
        </w:rPr>
        <w:t>empadronamiento de todas las bolivianas, bolivianos y  extranjeros que cumplan los requisitos para ejercer el derecho al voto, que no están registradas, la actualización de los datos de las personas registradas, la asignación del recinto electoral al elector o electora y, la generación de reportes estadísticos de la información registrada, estableciendo como único requisito para el registro, la presentación de la Cédula de Identidad vigente en territorio nacional o el pasaporte o cédula de identidad vigente en el exterior.</w:t>
      </w:r>
      <w:r w:rsidRPr="00653063">
        <w:rPr>
          <w:rFonts w:eastAsia="Times New Roman"/>
          <w:b/>
          <w:lang w:val="es-ES_tradnl" w:eastAsia="es-BO"/>
        </w:rPr>
        <w:t xml:space="preserve"> </w:t>
      </w:r>
    </w:p>
    <w:p w14:paraId="7EA82798" w14:textId="5105FC99" w:rsidR="00653063" w:rsidRPr="00653063" w:rsidRDefault="00BB15B8" w:rsidP="00BB15B8">
      <w:pPr>
        <w:pStyle w:val="H23G"/>
        <w:rPr>
          <w:lang w:val="es-ES_tradnl" w:eastAsia="es-BO"/>
        </w:rPr>
      </w:pPr>
      <w:bookmarkStart w:id="35" w:name="_heading=h.3as4poj" w:colFirst="0" w:colLast="0"/>
      <w:bookmarkEnd w:id="35"/>
      <w:r>
        <w:rPr>
          <w:lang w:val="es-ES_tradnl" w:eastAsia="es-BO"/>
        </w:rPr>
        <w:tab/>
      </w:r>
      <w:r>
        <w:rPr>
          <w:lang w:val="es-ES_tradnl" w:eastAsia="es-BO"/>
        </w:rPr>
        <w:tab/>
        <w:t>x)</w:t>
      </w:r>
      <w:r>
        <w:rPr>
          <w:lang w:val="es-ES_tradnl" w:eastAsia="es-BO"/>
        </w:rPr>
        <w:tab/>
      </w:r>
      <w:r w:rsidR="00653063" w:rsidRPr="00653063">
        <w:rPr>
          <w:lang w:val="es-ES_tradnl" w:eastAsia="es-BO"/>
        </w:rPr>
        <w:t>Participación en la vida cultural, las actividades recreativas, el esparcimiento y el deporte (Artículo 30; y recomendaciones 68)</w:t>
      </w:r>
    </w:p>
    <w:p w14:paraId="75ABD41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respuesta a la Recomendación del Párrafo 68.a, respecto al fomento de la práctica de deportes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se informa que el MSD a través del Viceministerio de Deportes, encamina políticas que fomentan el acceso al deporte, la cultura física y la recreación, en sus niveles preventivo, recreativo, formativo y competitivo con especial atención a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447F1977"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año 2021, realizó cursos de capacitación virtual, con temáticas enfocadas a cuatro discapacidades (física- motora, visual, auditiva e intelectual), permitiendo a profesionales en el área de educación física, entrenadores, y padres de familia, contar con herramientas y estrategias adecuadas para promover la actividad física y deportiva en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y fortalecer la práctica deportiva como inclusión social.</w:t>
      </w:r>
    </w:p>
    <w:p w14:paraId="44A2F86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También, se realizaron las I Jornadas Nacionales de Actividad Física y Deporte para </w:t>
      </w:r>
      <w:proofErr w:type="spellStart"/>
      <w:r w:rsidRPr="00653063">
        <w:rPr>
          <w:rFonts w:eastAsia="Times New Roman"/>
          <w:lang w:val="es-ES_tradnl" w:eastAsia="es-BO"/>
        </w:rPr>
        <w:t>PcD</w:t>
      </w:r>
      <w:proofErr w:type="spellEnd"/>
      <w:r w:rsidRPr="00653063">
        <w:rPr>
          <w:rFonts w:eastAsia="Times New Roman"/>
          <w:lang w:val="es-ES_tradnl" w:eastAsia="es-BO"/>
        </w:rPr>
        <w:t>, desarrolladas en los departamentos de Oruro, Beni y Chuquisaca con las siguientes temáticas: Paradigmas sobre la discapacidad, Discapacidad y habilidades ocultas, Discapacidad intelectual y el triatlón, Discapacidad visual y el deporte adaptado, Discapacidad auditiva y el bádminton y Charlas motivacionales y de superación personal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73FB1D7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ascii="Calibri" w:eastAsia="Calibri" w:hAnsi="Calibri"/>
          <w:sz w:val="24"/>
          <w:szCs w:val="24"/>
          <w:lang w:val="es-ES_tradnl" w:eastAsia="es-BO"/>
        </w:rPr>
      </w:pPr>
      <w:r w:rsidRPr="00653063">
        <w:rPr>
          <w:rFonts w:eastAsia="Times New Roman"/>
          <w:lang w:val="es-ES_tradnl" w:eastAsia="es-BO"/>
        </w:rPr>
        <w:t>En la gestión 2022, el MSD en coordinación con el Comité Paralímpico Boliviano y Olimpiadas Especiales Bolivia desarrolló las </w:t>
      </w:r>
      <w:r w:rsidRPr="00653063">
        <w:rPr>
          <w:rFonts w:eastAsia="Times New Roman"/>
          <w:i/>
          <w:lang w:val="es-ES_tradnl" w:eastAsia="es-BO"/>
        </w:rPr>
        <w:t>Jornadas Nacionales de Capacitación en Actividad Física y Deportes para Personas con Discapacidad </w:t>
      </w:r>
      <w:r w:rsidRPr="00653063">
        <w:rPr>
          <w:rFonts w:eastAsia="Times New Roman"/>
          <w:lang w:val="es-ES_tradnl" w:eastAsia="es-BO"/>
        </w:rPr>
        <w:t xml:space="preserve">con carácter formativo de sensibilización y capacitación dirigidas a este sector social, gestionándose espacios de intercambio de conocimientos y experiencias con instituciones que trabajan en temas de deporte con </w:t>
      </w:r>
      <w:proofErr w:type="spellStart"/>
      <w:r w:rsidRPr="00653063">
        <w:rPr>
          <w:rFonts w:eastAsia="Times New Roman"/>
          <w:lang w:val="es-ES_tradnl" w:eastAsia="es-BO"/>
        </w:rPr>
        <w:t>PcD</w:t>
      </w:r>
      <w:proofErr w:type="spellEnd"/>
      <w:r w:rsidRPr="00653063">
        <w:rPr>
          <w:rFonts w:eastAsia="Times New Roman"/>
          <w:lang w:val="es-ES_tradnl" w:eastAsia="es-BO"/>
        </w:rPr>
        <w:t>. Actividad dirigida a maestros de educación física, maestros de educación alternativa, profesionales y estudiantes del área con las siguientes temáticas: Discapacidades visual, auditiva, física-motora, intelectual, deporte, entrenamiento y competición. Y la entrega de indumentaria deportiva a los participantes.</w:t>
      </w:r>
    </w:p>
    <w:p w14:paraId="17D39E1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u w:val="single"/>
          <w:lang w:val="es-ES_tradnl" w:eastAsia="es-BO"/>
        </w:rPr>
      </w:pPr>
      <w:r w:rsidRPr="00653063">
        <w:rPr>
          <w:rFonts w:eastAsia="Times New Roman"/>
          <w:lang w:val="es-ES_tradnl" w:eastAsia="es-BO"/>
        </w:rPr>
        <w:lastRenderedPageBreak/>
        <w:t xml:space="preserve">Adicionalmente, el Gobierno Autónomo Departamental de Oruro junto a las organizaciones deportivas departamentales y municipales y asociaciones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realizan torneos deportivos ligados a esparcimiento y recreación competitiva para promover la inclusión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que practican distintas disciplinas deportivas. </w:t>
      </w:r>
    </w:p>
    <w:p w14:paraId="52CF72CF"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b/>
          <w:lang w:val="es-ES_tradnl" w:eastAsia="es-BO"/>
        </w:rPr>
      </w:pPr>
      <w:r w:rsidRPr="00653063">
        <w:rPr>
          <w:rFonts w:eastAsia="Times New Roman"/>
          <w:lang w:val="es-ES_tradnl" w:eastAsia="es-BO"/>
        </w:rPr>
        <w:t>Respecto a la Recomendación del Párrafo 68.b, sobre planes de accesibilidad, con indicadores y plazos concretos, en sitios de valor histórico y patrimonial, sitios turísticos e instalaciones donde se desarrollan actividades culturales y recreativas;</w:t>
      </w:r>
      <w:r w:rsidRPr="00653063">
        <w:rPr>
          <w:rFonts w:eastAsia="Times New Roman"/>
          <w:b/>
          <w:i/>
          <w:lang w:val="es-ES_tradnl" w:eastAsia="es-BO"/>
        </w:rPr>
        <w:t xml:space="preserve"> </w:t>
      </w:r>
      <w:r w:rsidRPr="00653063">
        <w:rPr>
          <w:rFonts w:eastAsia="Times New Roman"/>
          <w:lang w:val="es-ES_tradnl" w:eastAsia="es-BO"/>
        </w:rPr>
        <w:t xml:space="preserve">se informa que el MCDD tiene bajo tuición la promoción, conservación, fomento y custodia del patrimonio cultural y de los bienes culturales a nivel nacional: Casa Alba, Repositorio, Museo Nacional de Arqueología, Centro Cultural la Sombrerería, Centro Sinfónico Nacional y </w:t>
      </w:r>
      <w:proofErr w:type="spellStart"/>
      <w:r w:rsidRPr="00653063">
        <w:rPr>
          <w:rFonts w:eastAsia="Times New Roman"/>
          <w:lang w:val="es-ES_tradnl" w:eastAsia="es-BO"/>
        </w:rPr>
        <w:t>Tiwanaku</w:t>
      </w:r>
      <w:proofErr w:type="spellEnd"/>
      <w:r w:rsidRPr="00653063">
        <w:rPr>
          <w:rFonts w:eastAsia="Times New Roman"/>
          <w:lang w:val="es-ES_tradnl" w:eastAsia="es-BO"/>
        </w:rPr>
        <w:t xml:space="preserve">; viene elaborando el Proyecto de </w:t>
      </w:r>
      <w:r w:rsidRPr="00653063">
        <w:rPr>
          <w:rFonts w:eastAsia="Times New Roman"/>
          <w:i/>
          <w:lang w:val="es-ES_tradnl" w:eastAsia="es-BO"/>
        </w:rPr>
        <w:t>“Ampliación, Restauración y Equipamiento del MUNARQ”</w:t>
      </w:r>
      <w:r w:rsidRPr="00653063">
        <w:rPr>
          <w:rFonts w:eastAsia="Times New Roman"/>
          <w:lang w:val="es-ES_tradnl" w:eastAsia="es-BO"/>
        </w:rPr>
        <w:t xml:space="preserve"> que considera el aspecto de accesibilidad en el marco de la Convención y la Ley General para Personas con Discapacidad. El Centro La Sombrerería cuenta con accesibilidad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como: rampas, ascensores, accesos abiertos.</w:t>
      </w:r>
    </w:p>
    <w:p w14:paraId="3AA68DD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Viceministerio de Patrimonio e Industrias Culturas y Creativas, viene desarrollando la Ficha de Registro de Espacios Culturales Estatales que reflejará información sobre los Centros Culturales, localización, especialidades de gestión cultural, características de la infraestructura, espacios, capacidad, accesibilidad para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rampas de acceso, ascensores, señalética, audioguía, personal capacitado y otros.  </w:t>
      </w:r>
    </w:p>
    <w:p w14:paraId="4C11682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Se cuenta con la </w:t>
      </w:r>
      <w:r w:rsidRPr="00653063">
        <w:rPr>
          <w:rFonts w:eastAsia="Times New Roman"/>
          <w:i/>
          <w:lang w:val="es-ES_tradnl" w:eastAsia="es-BO"/>
        </w:rPr>
        <w:t>Guía Nacional 17 Normas Bolivianas “Accesibilidad de las Personas con Discapacidad al Medio Físico”</w:t>
      </w:r>
      <w:r w:rsidRPr="00653063">
        <w:rPr>
          <w:rFonts w:eastAsia="Times New Roman"/>
          <w:i/>
          <w:vertAlign w:val="superscript"/>
          <w:lang w:val="es-ES_tradnl" w:eastAsia="es-BO"/>
        </w:rPr>
        <w:footnoteReference w:id="74"/>
      </w:r>
      <w:r w:rsidRPr="00653063">
        <w:rPr>
          <w:rFonts w:eastAsia="Times New Roman"/>
          <w:lang w:val="es-ES_tradnl" w:eastAsia="es-BO"/>
        </w:rPr>
        <w:t xml:space="preserve"> con las que se pretende:</w:t>
      </w:r>
    </w:p>
    <w:p w14:paraId="44C7092E" w14:textId="77777777" w:rsidR="00653063" w:rsidRPr="00BB15B8" w:rsidRDefault="00653063" w:rsidP="00BB15B8">
      <w:pPr>
        <w:pStyle w:val="Bullet1G"/>
        <w:rPr>
          <w:i/>
          <w:iCs/>
          <w:lang w:val="es-ES_tradnl"/>
        </w:rPr>
      </w:pPr>
      <w:r w:rsidRPr="00BB15B8">
        <w:rPr>
          <w:i/>
          <w:iCs/>
          <w:lang w:val="es-ES_tradnl"/>
        </w:rPr>
        <w:t>“Identificar las barreras físicas, arquitectónicas, urbanas y de construcción para las personas con discapacidad en edificios de uso público y propiedad privada, áreas urbanas, viviendas y vías de circulación existentes.</w:t>
      </w:r>
    </w:p>
    <w:p w14:paraId="22B811F0" w14:textId="77777777" w:rsidR="00653063" w:rsidRPr="00BB15B8" w:rsidRDefault="00653063" w:rsidP="00BB15B8">
      <w:pPr>
        <w:pStyle w:val="Bullet1G"/>
        <w:rPr>
          <w:i/>
          <w:iCs/>
          <w:lang w:val="es-ES_tradnl"/>
        </w:rPr>
      </w:pPr>
      <w:r w:rsidRPr="00BB15B8">
        <w:rPr>
          <w:i/>
          <w:iCs/>
          <w:lang w:val="es-ES_tradnl"/>
        </w:rPr>
        <w:t>Establecer medidas de orientación, educación, promoción e investigación sobre la supresión de barreras físicas, arquitectónicas y urbanas.</w:t>
      </w:r>
    </w:p>
    <w:p w14:paraId="0A94F111" w14:textId="77777777" w:rsidR="00653063" w:rsidRPr="00BB15B8" w:rsidRDefault="00653063" w:rsidP="00BB15B8">
      <w:pPr>
        <w:pStyle w:val="Bullet1G"/>
        <w:rPr>
          <w:i/>
          <w:iCs/>
          <w:lang w:val="es-ES_tradnl"/>
        </w:rPr>
      </w:pPr>
      <w:r w:rsidRPr="00BB15B8">
        <w:rPr>
          <w:i/>
          <w:iCs/>
          <w:lang w:val="es-ES_tradnl"/>
        </w:rPr>
        <w:t>Proponer directrices técnicas básicas para que los municipios puedan elaborar y/o complementar su propia normativa."</w:t>
      </w:r>
    </w:p>
    <w:p w14:paraId="48FE9C49"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En el marco de la referida Guía se realizará un proceso de actualización y adecuación a los criterios que comprenden los espacios culturales, de patrimonio, museos, centros de interpretación y otros que contemplan actividades </w:t>
      </w:r>
      <w:proofErr w:type="gramStart"/>
      <w:r w:rsidRPr="00653063">
        <w:rPr>
          <w:rFonts w:eastAsia="Times New Roman"/>
          <w:lang w:val="es-ES_tradnl" w:eastAsia="es-BO"/>
        </w:rPr>
        <w:t>artístico culturales</w:t>
      </w:r>
      <w:proofErr w:type="gramEnd"/>
      <w:r w:rsidRPr="00653063">
        <w:rPr>
          <w:rFonts w:eastAsia="Times New Roman"/>
          <w:lang w:val="es-ES_tradnl" w:eastAsia="es-BO"/>
        </w:rPr>
        <w:t>.</w:t>
      </w:r>
    </w:p>
    <w:p w14:paraId="27DAF89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El Viceministerio de Turismo dependiente del Ministerio de Desarrollo Productivo y Economía Plural (“</w:t>
      </w:r>
      <w:proofErr w:type="spellStart"/>
      <w:r w:rsidRPr="00653063">
        <w:rPr>
          <w:rFonts w:eastAsia="Times New Roman"/>
          <w:lang w:val="es-ES_tradnl" w:eastAsia="es-BO"/>
        </w:rPr>
        <w:t>MDPyEP</w:t>
      </w:r>
      <w:proofErr w:type="spellEnd"/>
      <w:r w:rsidRPr="00653063">
        <w:rPr>
          <w:rFonts w:eastAsia="Times New Roman"/>
          <w:lang w:val="es-ES_tradnl" w:eastAsia="es-BO"/>
        </w:rPr>
        <w:t xml:space="preserve">”) trabajará en políticas sectoriales en favor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base a programas integrales, talleres de capacitación de manera conjunta entre actores de GAM, Gobernaciones y sectores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para la elaboración de una agenda de corto y largo plazo, a fin de: </w:t>
      </w:r>
    </w:p>
    <w:p w14:paraId="2362AC36" w14:textId="77777777" w:rsidR="00653063" w:rsidRPr="00653063" w:rsidRDefault="00653063" w:rsidP="00BB15B8">
      <w:pPr>
        <w:pStyle w:val="Bullet1G"/>
        <w:rPr>
          <w:lang w:val="es-ES_tradnl"/>
        </w:rPr>
      </w:pPr>
      <w:r w:rsidRPr="00653063">
        <w:rPr>
          <w:lang w:val="es-ES_tradnl"/>
        </w:rPr>
        <w:t>Adaptación de la Oferta turística existente y creación de nuevos servicios para turismo inclusivo.</w:t>
      </w:r>
    </w:p>
    <w:p w14:paraId="1B755149" w14:textId="77777777" w:rsidR="00653063" w:rsidRPr="00653063" w:rsidRDefault="00653063" w:rsidP="00BB15B8">
      <w:pPr>
        <w:pStyle w:val="Bullet1G"/>
        <w:rPr>
          <w:lang w:val="es-ES_tradnl"/>
        </w:rPr>
      </w:pPr>
      <w:r w:rsidRPr="00653063">
        <w:rPr>
          <w:lang w:val="es-ES_tradnl"/>
        </w:rPr>
        <w:t>Formación de los profesionales del sector turístico.</w:t>
      </w:r>
    </w:p>
    <w:p w14:paraId="7EBC23CC" w14:textId="77777777" w:rsidR="00653063" w:rsidRPr="00653063" w:rsidRDefault="00653063" w:rsidP="00BB15B8">
      <w:pPr>
        <w:pStyle w:val="Bullet1G"/>
        <w:rPr>
          <w:lang w:val="es-ES_tradnl"/>
        </w:rPr>
      </w:pPr>
      <w:r w:rsidRPr="00653063">
        <w:rPr>
          <w:lang w:val="es-ES_tradnl"/>
        </w:rPr>
        <w:t>Plan de Comunicación de la oferta turística accesible.</w:t>
      </w:r>
    </w:p>
    <w:p w14:paraId="12B657DA" w14:textId="77777777" w:rsidR="00653063" w:rsidRPr="00653063" w:rsidRDefault="00653063" w:rsidP="00BB15B8">
      <w:pPr>
        <w:pStyle w:val="Bullet1G"/>
        <w:rPr>
          <w:lang w:val="es-ES_tradnl"/>
        </w:rPr>
      </w:pPr>
      <w:r w:rsidRPr="00653063">
        <w:rPr>
          <w:lang w:val="es-ES_tradnl"/>
        </w:rPr>
        <w:t xml:space="preserve">Creación de un plan de gestión, mantenimiento y mejora continua de accesibilidad para el sector turístico. Además, se prevé el diseño de indicadores que permitan medir los resultados para la aplicación de la estrategia de accesibilidad, así como la competitividad y diferenciación del destino gracias a la accesibilidad y acogida de las </w:t>
      </w:r>
      <w:proofErr w:type="spellStart"/>
      <w:r w:rsidRPr="00653063">
        <w:rPr>
          <w:lang w:val="es-ES_tradnl"/>
        </w:rPr>
        <w:t>PcD</w:t>
      </w:r>
      <w:proofErr w:type="spellEnd"/>
      <w:r w:rsidRPr="00653063">
        <w:rPr>
          <w:lang w:val="es-ES_tradnl"/>
        </w:rPr>
        <w:t xml:space="preserve"> y otra población con necesidades diversas.</w:t>
      </w:r>
    </w:p>
    <w:p w14:paraId="6F234B58"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Además, de octubre a noviembre de 2023, el </w:t>
      </w:r>
      <w:proofErr w:type="spellStart"/>
      <w:r w:rsidRPr="00653063">
        <w:rPr>
          <w:rFonts w:eastAsia="Times New Roman"/>
          <w:lang w:val="es-ES_tradnl" w:eastAsia="es-BO"/>
        </w:rPr>
        <w:t>MCDyD</w:t>
      </w:r>
      <w:proofErr w:type="spellEnd"/>
      <w:r w:rsidRPr="00653063">
        <w:rPr>
          <w:rFonts w:eastAsia="Times New Roman"/>
          <w:lang w:val="es-ES_tradnl" w:eastAsia="es-BO"/>
        </w:rPr>
        <w:t xml:space="preserve"> implementó la actividad “Nuestros Artistas No Videntes” con la finalidad de respaldar y fortalecer su labor artística y cultural, a través de actividades artísticas en 8 ciudades de Bolivia: Tarija, Cochabamba, Oruro, Potosí, El Alto, La Paz, Santa Cruz y Beni, en coordinación con organizaciones como la </w:t>
      </w:r>
      <w:r w:rsidRPr="00653063">
        <w:rPr>
          <w:rFonts w:eastAsia="Times New Roman"/>
          <w:i/>
          <w:lang w:val="es-ES_tradnl" w:eastAsia="es-BO"/>
        </w:rPr>
        <w:t>Federación Nacional de Ciegos de Bolivia</w:t>
      </w:r>
      <w:r w:rsidRPr="00653063">
        <w:rPr>
          <w:rFonts w:eastAsia="Times New Roman"/>
          <w:lang w:val="es-ES_tradnl" w:eastAsia="es-BO"/>
        </w:rPr>
        <w:t>.</w:t>
      </w:r>
    </w:p>
    <w:p w14:paraId="19D4DEE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lastRenderedPageBreak/>
        <w:t xml:space="preserve">Asimismo, se realizaron conciertos, con el reconocimiento efectivo del servicio artístico correspondiente y la entrega de credenciales a Artistas con Discapacidad Visual desde el </w:t>
      </w:r>
      <w:proofErr w:type="spellStart"/>
      <w:r w:rsidRPr="00653063">
        <w:rPr>
          <w:rFonts w:eastAsia="Times New Roman"/>
          <w:lang w:val="es-ES_tradnl" w:eastAsia="es-BO"/>
        </w:rPr>
        <w:t>MCDyD</w:t>
      </w:r>
      <w:proofErr w:type="spellEnd"/>
      <w:r w:rsidRPr="00653063">
        <w:rPr>
          <w:rFonts w:eastAsia="Times New Roman"/>
          <w:lang w:val="es-ES_tradnl" w:eastAsia="es-BO"/>
        </w:rPr>
        <w:t xml:space="preserve"> en diferentes espacios culturales.</w:t>
      </w:r>
    </w:p>
    <w:p w14:paraId="6E277BD1"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año 2022, el Museo de Etnografía y Folklore, dependiente de la Fundación Cultural del Banco Central de Bolivia, ha iniciado un proceso experimental que incorporaba recursos museográficos en la exposición de la gestión 2022 </w:t>
      </w:r>
      <w:r w:rsidRPr="00653063">
        <w:rPr>
          <w:rFonts w:eastAsia="Times New Roman"/>
          <w:i/>
          <w:lang w:val="es-ES_tradnl" w:eastAsia="es-BO"/>
        </w:rPr>
        <w:t>“</w:t>
      </w:r>
      <w:proofErr w:type="spellStart"/>
      <w:r w:rsidRPr="00653063">
        <w:rPr>
          <w:rFonts w:eastAsia="Times New Roman"/>
          <w:i/>
          <w:lang w:val="es-ES_tradnl" w:eastAsia="es-BO"/>
        </w:rPr>
        <w:t>Uyway</w:t>
      </w:r>
      <w:proofErr w:type="spellEnd"/>
      <w:r w:rsidRPr="00653063">
        <w:rPr>
          <w:rFonts w:eastAsia="Times New Roman"/>
          <w:i/>
          <w:lang w:val="es-ES_tradnl" w:eastAsia="es-BO"/>
        </w:rPr>
        <w:t xml:space="preserve"> </w:t>
      </w:r>
      <w:proofErr w:type="spellStart"/>
      <w:r w:rsidRPr="00653063">
        <w:rPr>
          <w:rFonts w:eastAsia="Times New Roman"/>
          <w:i/>
          <w:lang w:val="es-ES_tradnl" w:eastAsia="es-BO"/>
        </w:rPr>
        <w:t>uywaña</w:t>
      </w:r>
      <w:proofErr w:type="spellEnd"/>
      <w:r w:rsidRPr="00653063">
        <w:rPr>
          <w:rFonts w:eastAsia="Times New Roman"/>
          <w:i/>
          <w:lang w:val="es-ES_tradnl" w:eastAsia="es-BO"/>
        </w:rPr>
        <w:t>, Crianza mutua para la vida"</w:t>
      </w:r>
      <w:r w:rsidRPr="00653063">
        <w:rPr>
          <w:rFonts w:eastAsia="Times New Roman"/>
          <w:lang w:val="es-ES_tradnl" w:eastAsia="es-BO"/>
        </w:rPr>
        <w:t xml:space="preserve"> con la visita de personas no videntes. Los recursos museográficos se convirtieron en elementos táctiles para que puedan ser tocados por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visual dando excelentes resultados en cuanto a experiencia sensorial. Esta experiencia se socializará con las instancias correspondientes </w:t>
      </w:r>
      <w:proofErr w:type="gramStart"/>
      <w:r w:rsidRPr="00653063">
        <w:rPr>
          <w:rFonts w:eastAsia="Times New Roman"/>
          <w:lang w:val="es-ES_tradnl" w:eastAsia="es-BO"/>
        </w:rPr>
        <w:t>a objeto de</w:t>
      </w:r>
      <w:proofErr w:type="gramEnd"/>
      <w:r w:rsidRPr="00653063">
        <w:rPr>
          <w:rFonts w:eastAsia="Times New Roman"/>
          <w:lang w:val="es-ES_tradnl" w:eastAsia="es-BO"/>
        </w:rPr>
        <w:t xml:space="preserve"> generar sensibilización y atención a recursos que propongan una mayor inclusión, en actividades culturales y artísticas, por parte de la población con discapacidad</w:t>
      </w:r>
    </w:p>
    <w:p w14:paraId="757108CE"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 relación a la Recomendación del Párrafo 68.c, por Ley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1137 de 26 de diciembre de 2018, Bolivia ratificó el Tratado de Marrakech. En cumplimiento al referido Tratado, el </w:t>
      </w:r>
      <w:proofErr w:type="spellStart"/>
      <w:r w:rsidRPr="00653063">
        <w:rPr>
          <w:rFonts w:eastAsia="Times New Roman"/>
          <w:lang w:val="es-ES_tradnl" w:eastAsia="es-BO"/>
        </w:rPr>
        <w:t>MDPyEP</w:t>
      </w:r>
      <w:proofErr w:type="spellEnd"/>
      <w:r w:rsidRPr="00653063">
        <w:rPr>
          <w:rFonts w:eastAsia="Times New Roman"/>
          <w:lang w:val="es-ES_tradnl" w:eastAsia="es-BO"/>
        </w:rPr>
        <w:t xml:space="preserve"> a través del Servicio Nacional de Propiedad Intelectual conformó una Comisión para la elaboración de la Ley de Propiedad Intelectual, que incluirá un capítulo respecto al Tratado de Marrakech, misma que se encuentra en proceso de estructuración.</w:t>
      </w:r>
    </w:p>
    <w:p w14:paraId="234C9314" w14:textId="77777777" w:rsidR="00503CC0" w:rsidRDefault="00503CC0">
      <w:pPr>
        <w:spacing w:line="240" w:lineRule="auto"/>
        <w:rPr>
          <w:b/>
          <w:sz w:val="28"/>
          <w:lang w:val="es-ES_tradnl" w:eastAsia="es-BO"/>
        </w:rPr>
      </w:pPr>
      <w:bookmarkStart w:id="36" w:name="_heading=h.1pxezwc" w:colFirst="0" w:colLast="0"/>
      <w:bookmarkEnd w:id="36"/>
    </w:p>
    <w:p w14:paraId="0A50E983" w14:textId="77777777" w:rsidR="00B10408" w:rsidRDefault="00B10408">
      <w:pPr>
        <w:spacing w:line="240" w:lineRule="auto"/>
        <w:rPr>
          <w:b/>
          <w:sz w:val="28"/>
          <w:lang w:val="es-ES_tradnl" w:eastAsia="es-BO"/>
        </w:rPr>
        <w:sectPr w:rsidR="00B10408"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pPr>
    </w:p>
    <w:p w14:paraId="1C5B2C6B" w14:textId="15B4F94D" w:rsidR="00653063" w:rsidRPr="00653063" w:rsidRDefault="00150604" w:rsidP="00BB15B8">
      <w:pPr>
        <w:pStyle w:val="HChG"/>
        <w:rPr>
          <w:lang w:val="es-ES_tradnl" w:eastAsia="es-BO"/>
        </w:rPr>
      </w:pPr>
      <w:r>
        <w:rPr>
          <w:lang w:val="es-ES_tradnl" w:eastAsia="es-BO"/>
        </w:rPr>
        <w:lastRenderedPageBreak/>
        <w:tab/>
      </w:r>
      <w:bookmarkStart w:id="37" w:name="_Toc165295136"/>
      <w:r>
        <w:rPr>
          <w:lang w:val="es-ES_tradnl" w:eastAsia="es-BO"/>
        </w:rPr>
        <w:t>C.</w:t>
      </w:r>
      <w:r>
        <w:rPr>
          <w:lang w:val="es-ES_tradnl" w:eastAsia="es-BO"/>
        </w:rPr>
        <w:tab/>
      </w:r>
      <w:r w:rsidR="00653063" w:rsidRPr="00653063">
        <w:rPr>
          <w:lang w:val="es-ES_tradnl" w:eastAsia="es-BO"/>
        </w:rPr>
        <w:t>Obligaciones específicas (Artículos 31 a 33)</w:t>
      </w:r>
      <w:bookmarkEnd w:id="37"/>
    </w:p>
    <w:p w14:paraId="22557F8C" w14:textId="71DAADDF" w:rsidR="00653063" w:rsidRPr="00653063" w:rsidRDefault="00653063" w:rsidP="00150604">
      <w:pPr>
        <w:pStyle w:val="H23G"/>
        <w:rPr>
          <w:lang w:val="es-ES_tradnl" w:eastAsia="es-BO"/>
        </w:rPr>
      </w:pPr>
      <w:bookmarkStart w:id="38" w:name="_heading=h.49x2ik5" w:colFirst="0" w:colLast="0"/>
      <w:bookmarkEnd w:id="38"/>
      <w:r w:rsidRPr="00653063">
        <w:rPr>
          <w:lang w:val="es-ES_tradnl" w:eastAsia="es-BO"/>
        </w:rPr>
        <w:tab/>
      </w:r>
      <w:r w:rsidR="00150604">
        <w:rPr>
          <w:lang w:val="es-ES_tradnl" w:eastAsia="es-BO"/>
        </w:rPr>
        <w:tab/>
        <w:t>a)</w:t>
      </w:r>
      <w:r w:rsidR="00150604">
        <w:rPr>
          <w:lang w:val="es-ES_tradnl" w:eastAsia="es-BO"/>
        </w:rPr>
        <w:tab/>
      </w:r>
      <w:r w:rsidRPr="00653063">
        <w:rPr>
          <w:lang w:val="es-ES_tradnl" w:eastAsia="es-BO"/>
        </w:rPr>
        <w:t>Recopilación de datos y estadísticas (artículo 31, Recomendación 70)</w:t>
      </w:r>
    </w:p>
    <w:p w14:paraId="4B35E01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Con relación a la recomendación del Párrafo 70 que refiere a la recopilación y actualización de datos estadísticos, conforme el Censo Población y Vivienda de 2012, Bolivia tiene una población de 10.059.852 habitantes.</w:t>
      </w:r>
      <w:r w:rsidRPr="00653063">
        <w:rPr>
          <w:rFonts w:eastAsia="Times New Roman"/>
          <w:vertAlign w:val="superscript"/>
          <w:lang w:val="es-ES_tradnl" w:eastAsia="es-BO"/>
        </w:rPr>
        <w:footnoteReference w:id="75"/>
      </w:r>
      <w:r w:rsidRPr="00653063">
        <w:rPr>
          <w:rFonts w:eastAsia="Times New Roman"/>
          <w:lang w:val="es-ES_tradnl" w:eastAsia="es-BO"/>
        </w:rPr>
        <w:t xml:space="preserve"> Los resultados del Censo, permitieron obtener información a nivel de municipios, de personas que declararon tener alguna dificultad permanente: </w:t>
      </w:r>
    </w:p>
    <w:p w14:paraId="62FCE51E" w14:textId="7A7C78D2" w:rsidR="00653063" w:rsidRPr="00653063" w:rsidRDefault="007537D9" w:rsidP="007537D9">
      <w:pPr>
        <w:pStyle w:val="H23G"/>
        <w:rPr>
          <w:lang w:val="es-ES_tradnl" w:eastAsia="es-BO"/>
        </w:rPr>
      </w:pPr>
      <w:r>
        <w:rPr>
          <w:lang w:val="es-ES_tradnl" w:eastAsia="es-BO"/>
        </w:rPr>
        <w:tab/>
      </w:r>
      <w:r>
        <w:rPr>
          <w:lang w:val="es-ES_tradnl" w:eastAsia="es-BO"/>
        </w:rPr>
        <w:tab/>
      </w:r>
      <w:r w:rsidR="00653063" w:rsidRPr="00653063">
        <w:rPr>
          <w:lang w:val="es-ES_tradnl" w:eastAsia="es-BO"/>
        </w:rPr>
        <w:t>Bolivia: Personas con Alguna Dificultad Permanente y Tipo de Dificultad, según Departamento y Municipio (En número):</w:t>
      </w:r>
    </w:p>
    <w:tbl>
      <w:tblPr>
        <w:tblW w:w="12049" w:type="dxa"/>
        <w:tblInd w:w="1134" w:type="dxa"/>
        <w:tblLayout w:type="fixed"/>
        <w:tblCellMar>
          <w:left w:w="0" w:type="dxa"/>
          <w:right w:w="0" w:type="dxa"/>
        </w:tblCellMar>
        <w:tblLook w:val="0400" w:firstRow="0" w:lastRow="0" w:firstColumn="0" w:lastColumn="0" w:noHBand="0" w:noVBand="1"/>
      </w:tblPr>
      <w:tblGrid>
        <w:gridCol w:w="1134"/>
        <w:gridCol w:w="567"/>
        <w:gridCol w:w="1276"/>
        <w:gridCol w:w="851"/>
        <w:gridCol w:w="850"/>
        <w:gridCol w:w="1418"/>
        <w:gridCol w:w="1275"/>
        <w:gridCol w:w="1276"/>
        <w:gridCol w:w="1418"/>
        <w:gridCol w:w="1134"/>
        <w:gridCol w:w="850"/>
      </w:tblGrid>
      <w:tr w:rsidR="007537D9" w:rsidRPr="007537D9" w14:paraId="52D30760" w14:textId="77777777" w:rsidTr="0093139E">
        <w:trPr>
          <w:tblHeader/>
        </w:trPr>
        <w:tc>
          <w:tcPr>
            <w:tcW w:w="1134" w:type="dxa"/>
            <w:vMerge w:val="restart"/>
            <w:tcBorders>
              <w:top w:val="single" w:sz="4" w:space="0" w:color="auto"/>
              <w:bottom w:val="single" w:sz="12" w:space="0" w:color="auto"/>
            </w:tcBorders>
            <w:shd w:val="clear" w:color="auto" w:fill="auto"/>
            <w:vAlign w:val="bottom"/>
          </w:tcPr>
          <w:p w14:paraId="4E2C520E" w14:textId="77777777" w:rsidR="00653063" w:rsidRPr="007537D9" w:rsidRDefault="00653063" w:rsidP="007537D9">
            <w:pPr>
              <w:spacing w:before="80" w:after="80" w:line="200" w:lineRule="exact"/>
              <w:rPr>
                <w:rFonts w:eastAsia="Times New Roman"/>
                <w:i/>
                <w:sz w:val="16"/>
                <w:szCs w:val="16"/>
                <w:lang w:val="es-ES_tradnl" w:eastAsia="es-BO"/>
              </w:rPr>
            </w:pPr>
            <w:r w:rsidRPr="007537D9">
              <w:rPr>
                <w:rFonts w:eastAsia="Times New Roman"/>
                <w:i/>
                <w:sz w:val="16"/>
                <w:szCs w:val="16"/>
                <w:lang w:val="es-ES_tradnl" w:eastAsia="es-BO"/>
              </w:rPr>
              <w:t>DEPARTAMENTO, PROVINCIA Y MUNICIPIO</w:t>
            </w:r>
          </w:p>
        </w:tc>
        <w:tc>
          <w:tcPr>
            <w:tcW w:w="567" w:type="dxa"/>
            <w:vMerge w:val="restart"/>
            <w:tcBorders>
              <w:top w:val="single" w:sz="4" w:space="0" w:color="auto"/>
              <w:bottom w:val="single" w:sz="12" w:space="0" w:color="auto"/>
            </w:tcBorders>
            <w:shd w:val="clear" w:color="auto" w:fill="auto"/>
            <w:vAlign w:val="bottom"/>
          </w:tcPr>
          <w:p w14:paraId="1554AF97" w14:textId="77777777" w:rsidR="00653063" w:rsidRPr="007537D9" w:rsidRDefault="00653063" w:rsidP="007537D9">
            <w:pPr>
              <w:spacing w:before="80" w:after="80" w:line="200" w:lineRule="exact"/>
              <w:jc w:val="right"/>
              <w:rPr>
                <w:rFonts w:eastAsia="Times New Roman"/>
                <w:i/>
                <w:sz w:val="16"/>
                <w:szCs w:val="16"/>
                <w:lang w:val="es-ES_tradnl" w:eastAsia="es-BO"/>
              </w:rPr>
            </w:pPr>
            <w:r w:rsidRPr="007537D9">
              <w:rPr>
                <w:rFonts w:eastAsia="Times New Roman"/>
                <w:i/>
                <w:sz w:val="16"/>
                <w:szCs w:val="16"/>
                <w:lang w:val="es-ES_tradnl" w:eastAsia="es-BO"/>
              </w:rPr>
              <w:t>TOTAL</w:t>
            </w:r>
          </w:p>
        </w:tc>
        <w:tc>
          <w:tcPr>
            <w:tcW w:w="2127" w:type="dxa"/>
            <w:gridSpan w:val="2"/>
            <w:tcBorders>
              <w:top w:val="single" w:sz="4" w:space="0" w:color="auto"/>
              <w:bottom w:val="single" w:sz="12" w:space="0" w:color="auto"/>
            </w:tcBorders>
            <w:shd w:val="clear" w:color="auto" w:fill="auto"/>
            <w:vAlign w:val="bottom"/>
          </w:tcPr>
          <w:p w14:paraId="6CE0F8C9" w14:textId="77777777" w:rsidR="00653063" w:rsidRPr="007537D9" w:rsidRDefault="00653063" w:rsidP="007537D9">
            <w:pPr>
              <w:spacing w:before="80" w:after="80" w:line="200" w:lineRule="exact"/>
              <w:jc w:val="right"/>
              <w:rPr>
                <w:rFonts w:eastAsia="Times New Roman"/>
                <w:i/>
                <w:sz w:val="16"/>
                <w:szCs w:val="16"/>
                <w:lang w:val="es-ES_tradnl" w:eastAsia="es-BO"/>
              </w:rPr>
            </w:pPr>
            <w:r w:rsidRPr="007537D9">
              <w:rPr>
                <w:rFonts w:eastAsia="Times New Roman"/>
                <w:i/>
                <w:sz w:val="16"/>
                <w:szCs w:val="16"/>
                <w:lang w:val="es-ES_tradnl" w:eastAsia="es-BO"/>
              </w:rPr>
              <w:t>PERSONAS CON ALGUNA DIFICULTAD</w:t>
            </w:r>
          </w:p>
        </w:tc>
        <w:tc>
          <w:tcPr>
            <w:tcW w:w="850" w:type="dxa"/>
            <w:vMerge w:val="restart"/>
            <w:tcBorders>
              <w:top w:val="single" w:sz="4" w:space="0" w:color="auto"/>
              <w:bottom w:val="single" w:sz="12" w:space="0" w:color="auto"/>
            </w:tcBorders>
            <w:shd w:val="clear" w:color="auto" w:fill="auto"/>
            <w:vAlign w:val="bottom"/>
          </w:tcPr>
          <w:p w14:paraId="0DB53B6C" w14:textId="77777777" w:rsidR="00653063" w:rsidRPr="007537D9" w:rsidRDefault="00653063" w:rsidP="007537D9">
            <w:pPr>
              <w:spacing w:before="80" w:after="80" w:line="200" w:lineRule="exact"/>
              <w:jc w:val="right"/>
              <w:rPr>
                <w:rFonts w:eastAsia="Times New Roman"/>
                <w:i/>
                <w:sz w:val="16"/>
                <w:szCs w:val="16"/>
                <w:lang w:val="es-ES_tradnl" w:eastAsia="es-BO"/>
              </w:rPr>
            </w:pPr>
            <w:r w:rsidRPr="007537D9">
              <w:rPr>
                <w:rFonts w:eastAsia="Times New Roman"/>
                <w:i/>
                <w:sz w:val="16"/>
                <w:szCs w:val="16"/>
                <w:lang w:val="es-ES_tradnl" w:eastAsia="es-BO"/>
              </w:rPr>
              <w:t>TOTAL</w:t>
            </w:r>
          </w:p>
        </w:tc>
        <w:tc>
          <w:tcPr>
            <w:tcW w:w="7371" w:type="dxa"/>
            <w:gridSpan w:val="6"/>
            <w:tcBorders>
              <w:top w:val="single" w:sz="4" w:space="0" w:color="auto"/>
              <w:bottom w:val="single" w:sz="12" w:space="0" w:color="auto"/>
            </w:tcBorders>
            <w:shd w:val="clear" w:color="auto" w:fill="auto"/>
            <w:vAlign w:val="bottom"/>
          </w:tcPr>
          <w:p w14:paraId="7CB55035" w14:textId="77777777" w:rsidR="00653063" w:rsidRPr="007537D9" w:rsidRDefault="00653063" w:rsidP="007537D9">
            <w:pPr>
              <w:spacing w:before="80" w:after="80" w:line="200" w:lineRule="exact"/>
              <w:jc w:val="right"/>
              <w:rPr>
                <w:rFonts w:eastAsia="Times New Roman"/>
                <w:i/>
                <w:sz w:val="16"/>
                <w:szCs w:val="16"/>
                <w:lang w:val="es-ES_tradnl" w:eastAsia="es-BO"/>
              </w:rPr>
            </w:pPr>
            <w:r w:rsidRPr="007537D9">
              <w:rPr>
                <w:rFonts w:eastAsia="Times New Roman"/>
                <w:i/>
                <w:sz w:val="16"/>
                <w:szCs w:val="16"/>
                <w:lang w:val="es-ES_tradnl" w:eastAsia="es-BO"/>
              </w:rPr>
              <w:t>TIPO DE DIFICULTAD</w:t>
            </w:r>
          </w:p>
        </w:tc>
      </w:tr>
      <w:tr w:rsidR="00B10408" w:rsidRPr="007537D9" w14:paraId="0343B4A6" w14:textId="77777777" w:rsidTr="0093139E">
        <w:trPr>
          <w:tblHeader/>
        </w:trPr>
        <w:tc>
          <w:tcPr>
            <w:tcW w:w="1134" w:type="dxa"/>
            <w:vMerge/>
            <w:tcBorders>
              <w:top w:val="single" w:sz="12" w:space="0" w:color="auto"/>
            </w:tcBorders>
            <w:shd w:val="clear" w:color="auto" w:fill="auto"/>
            <w:vAlign w:val="bottom"/>
          </w:tcPr>
          <w:p w14:paraId="04CECD1D" w14:textId="77777777" w:rsidR="00653063" w:rsidRPr="007537D9" w:rsidRDefault="00653063" w:rsidP="007537D9">
            <w:pPr>
              <w:pBdr>
                <w:top w:val="nil"/>
                <w:left w:val="nil"/>
                <w:bottom w:val="nil"/>
                <w:right w:val="nil"/>
                <w:between w:val="nil"/>
              </w:pBdr>
              <w:spacing w:before="40" w:after="40" w:line="220" w:lineRule="exact"/>
              <w:rPr>
                <w:rFonts w:eastAsia="Times New Roman"/>
                <w:b/>
                <w:sz w:val="18"/>
                <w:szCs w:val="16"/>
                <w:lang w:val="es-ES_tradnl" w:eastAsia="es-BO"/>
              </w:rPr>
            </w:pPr>
          </w:p>
        </w:tc>
        <w:tc>
          <w:tcPr>
            <w:tcW w:w="567" w:type="dxa"/>
            <w:vMerge/>
            <w:tcBorders>
              <w:top w:val="single" w:sz="12" w:space="0" w:color="auto"/>
            </w:tcBorders>
            <w:shd w:val="clear" w:color="auto" w:fill="auto"/>
            <w:vAlign w:val="bottom"/>
          </w:tcPr>
          <w:p w14:paraId="0C9F7FD8" w14:textId="77777777" w:rsidR="00653063" w:rsidRPr="007537D9" w:rsidRDefault="00653063" w:rsidP="007537D9">
            <w:pPr>
              <w:pBdr>
                <w:top w:val="nil"/>
                <w:left w:val="nil"/>
                <w:bottom w:val="nil"/>
                <w:right w:val="nil"/>
                <w:between w:val="nil"/>
              </w:pBdr>
              <w:spacing w:before="40" w:after="40" w:line="220" w:lineRule="exact"/>
              <w:jc w:val="right"/>
              <w:rPr>
                <w:rFonts w:eastAsia="Times New Roman"/>
                <w:b/>
                <w:sz w:val="18"/>
                <w:szCs w:val="16"/>
                <w:lang w:val="es-ES_tradnl" w:eastAsia="es-BO"/>
              </w:rPr>
            </w:pPr>
          </w:p>
        </w:tc>
        <w:tc>
          <w:tcPr>
            <w:tcW w:w="1276" w:type="dxa"/>
            <w:tcBorders>
              <w:top w:val="single" w:sz="12" w:space="0" w:color="auto"/>
            </w:tcBorders>
            <w:shd w:val="clear" w:color="auto" w:fill="auto"/>
            <w:vAlign w:val="bottom"/>
          </w:tcPr>
          <w:p w14:paraId="5DF83EAF"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Mujer</w:t>
            </w:r>
          </w:p>
        </w:tc>
        <w:tc>
          <w:tcPr>
            <w:tcW w:w="851" w:type="dxa"/>
            <w:tcBorders>
              <w:top w:val="single" w:sz="12" w:space="0" w:color="auto"/>
            </w:tcBorders>
            <w:shd w:val="clear" w:color="auto" w:fill="auto"/>
            <w:vAlign w:val="bottom"/>
          </w:tcPr>
          <w:p w14:paraId="1789A8C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Hombre</w:t>
            </w:r>
          </w:p>
        </w:tc>
        <w:tc>
          <w:tcPr>
            <w:tcW w:w="850" w:type="dxa"/>
            <w:vMerge/>
            <w:tcBorders>
              <w:top w:val="single" w:sz="12" w:space="0" w:color="auto"/>
            </w:tcBorders>
            <w:shd w:val="clear" w:color="auto" w:fill="auto"/>
            <w:vAlign w:val="bottom"/>
          </w:tcPr>
          <w:p w14:paraId="171C8EAC" w14:textId="77777777" w:rsidR="00653063" w:rsidRPr="007537D9" w:rsidRDefault="00653063" w:rsidP="007537D9">
            <w:pPr>
              <w:pBdr>
                <w:top w:val="nil"/>
                <w:left w:val="nil"/>
                <w:bottom w:val="nil"/>
                <w:right w:val="nil"/>
                <w:between w:val="nil"/>
              </w:pBdr>
              <w:spacing w:before="40" w:after="40" w:line="220" w:lineRule="exact"/>
              <w:jc w:val="right"/>
              <w:rPr>
                <w:rFonts w:eastAsia="Times New Roman"/>
                <w:b/>
                <w:sz w:val="18"/>
                <w:szCs w:val="16"/>
                <w:lang w:val="es-ES_tradnl" w:eastAsia="es-BO"/>
              </w:rPr>
            </w:pPr>
          </w:p>
        </w:tc>
        <w:tc>
          <w:tcPr>
            <w:tcW w:w="1418" w:type="dxa"/>
            <w:tcBorders>
              <w:top w:val="single" w:sz="12" w:space="0" w:color="auto"/>
            </w:tcBorders>
            <w:shd w:val="clear" w:color="auto" w:fill="auto"/>
            <w:vAlign w:val="bottom"/>
          </w:tcPr>
          <w:p w14:paraId="3D9A0EB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Ver, aún si usa anteojos o lentes</w:t>
            </w:r>
          </w:p>
        </w:tc>
        <w:tc>
          <w:tcPr>
            <w:tcW w:w="1275" w:type="dxa"/>
            <w:tcBorders>
              <w:top w:val="single" w:sz="12" w:space="0" w:color="auto"/>
            </w:tcBorders>
            <w:shd w:val="clear" w:color="auto" w:fill="auto"/>
            <w:vAlign w:val="bottom"/>
          </w:tcPr>
          <w:p w14:paraId="5A32443C"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Oír, aún si usa audífonos</w:t>
            </w:r>
          </w:p>
        </w:tc>
        <w:tc>
          <w:tcPr>
            <w:tcW w:w="1276" w:type="dxa"/>
            <w:tcBorders>
              <w:top w:val="single" w:sz="12" w:space="0" w:color="auto"/>
            </w:tcBorders>
            <w:shd w:val="clear" w:color="auto" w:fill="auto"/>
            <w:vAlign w:val="bottom"/>
          </w:tcPr>
          <w:p w14:paraId="5570AAE1"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Hablar, comunicarse o conversar</w:t>
            </w:r>
          </w:p>
        </w:tc>
        <w:tc>
          <w:tcPr>
            <w:tcW w:w="1418" w:type="dxa"/>
            <w:tcBorders>
              <w:top w:val="single" w:sz="12" w:space="0" w:color="auto"/>
            </w:tcBorders>
            <w:shd w:val="clear" w:color="auto" w:fill="auto"/>
            <w:vAlign w:val="bottom"/>
          </w:tcPr>
          <w:p w14:paraId="5E5867F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Caminar o subir escalones</w:t>
            </w:r>
          </w:p>
        </w:tc>
        <w:tc>
          <w:tcPr>
            <w:tcW w:w="1134" w:type="dxa"/>
            <w:tcBorders>
              <w:top w:val="single" w:sz="12" w:space="0" w:color="auto"/>
            </w:tcBorders>
            <w:shd w:val="clear" w:color="auto" w:fill="auto"/>
            <w:vAlign w:val="bottom"/>
          </w:tcPr>
          <w:p w14:paraId="0099034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Recordar o concentrarse</w:t>
            </w:r>
          </w:p>
        </w:tc>
        <w:tc>
          <w:tcPr>
            <w:tcW w:w="850" w:type="dxa"/>
            <w:tcBorders>
              <w:top w:val="single" w:sz="12" w:space="0" w:color="auto"/>
            </w:tcBorders>
            <w:shd w:val="clear" w:color="auto" w:fill="auto"/>
            <w:vAlign w:val="bottom"/>
          </w:tcPr>
          <w:p w14:paraId="091EF25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Sin especificar</w:t>
            </w:r>
          </w:p>
        </w:tc>
      </w:tr>
      <w:tr w:rsidR="00B10408" w:rsidRPr="007537D9" w14:paraId="372A0A58" w14:textId="77777777" w:rsidTr="0093139E">
        <w:tc>
          <w:tcPr>
            <w:tcW w:w="1134" w:type="dxa"/>
            <w:shd w:val="clear" w:color="auto" w:fill="auto"/>
          </w:tcPr>
          <w:p w14:paraId="5775F665"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BOLIVIA</w:t>
            </w:r>
          </w:p>
        </w:tc>
        <w:tc>
          <w:tcPr>
            <w:tcW w:w="567" w:type="dxa"/>
            <w:shd w:val="clear" w:color="auto" w:fill="auto"/>
            <w:vAlign w:val="bottom"/>
          </w:tcPr>
          <w:p w14:paraId="637A57B9"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342.929</w:t>
            </w:r>
          </w:p>
        </w:tc>
        <w:tc>
          <w:tcPr>
            <w:tcW w:w="1276" w:type="dxa"/>
            <w:shd w:val="clear" w:color="auto" w:fill="auto"/>
            <w:vAlign w:val="bottom"/>
          </w:tcPr>
          <w:p w14:paraId="678430E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174.683</w:t>
            </w:r>
          </w:p>
        </w:tc>
        <w:tc>
          <w:tcPr>
            <w:tcW w:w="851" w:type="dxa"/>
            <w:shd w:val="clear" w:color="auto" w:fill="auto"/>
            <w:vAlign w:val="bottom"/>
          </w:tcPr>
          <w:p w14:paraId="55548F1E"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168.246</w:t>
            </w:r>
          </w:p>
        </w:tc>
        <w:tc>
          <w:tcPr>
            <w:tcW w:w="850" w:type="dxa"/>
            <w:shd w:val="clear" w:color="auto" w:fill="auto"/>
            <w:vAlign w:val="bottom"/>
          </w:tcPr>
          <w:p w14:paraId="2803482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398.284</w:t>
            </w:r>
          </w:p>
        </w:tc>
        <w:tc>
          <w:tcPr>
            <w:tcW w:w="1418" w:type="dxa"/>
            <w:shd w:val="clear" w:color="auto" w:fill="auto"/>
            <w:vAlign w:val="bottom"/>
          </w:tcPr>
          <w:p w14:paraId="20F3698B"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188.036</w:t>
            </w:r>
          </w:p>
        </w:tc>
        <w:tc>
          <w:tcPr>
            <w:tcW w:w="1275" w:type="dxa"/>
            <w:shd w:val="clear" w:color="auto" w:fill="auto"/>
            <w:vAlign w:val="bottom"/>
          </w:tcPr>
          <w:p w14:paraId="3524B28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59.454</w:t>
            </w:r>
          </w:p>
        </w:tc>
        <w:tc>
          <w:tcPr>
            <w:tcW w:w="1276" w:type="dxa"/>
            <w:shd w:val="clear" w:color="auto" w:fill="auto"/>
            <w:vAlign w:val="bottom"/>
          </w:tcPr>
          <w:p w14:paraId="5BE1548F"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37.452</w:t>
            </w:r>
          </w:p>
        </w:tc>
        <w:tc>
          <w:tcPr>
            <w:tcW w:w="1418" w:type="dxa"/>
            <w:shd w:val="clear" w:color="auto" w:fill="auto"/>
            <w:vAlign w:val="bottom"/>
          </w:tcPr>
          <w:p w14:paraId="6E75CD49"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68.073</w:t>
            </w:r>
          </w:p>
        </w:tc>
        <w:tc>
          <w:tcPr>
            <w:tcW w:w="1134" w:type="dxa"/>
            <w:shd w:val="clear" w:color="auto" w:fill="auto"/>
            <w:vAlign w:val="bottom"/>
          </w:tcPr>
          <w:p w14:paraId="38515378"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29.550</w:t>
            </w:r>
          </w:p>
        </w:tc>
        <w:tc>
          <w:tcPr>
            <w:tcW w:w="850" w:type="dxa"/>
            <w:shd w:val="clear" w:color="auto" w:fill="auto"/>
            <w:vAlign w:val="bottom"/>
          </w:tcPr>
          <w:p w14:paraId="22FBF671"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15.719</w:t>
            </w:r>
          </w:p>
        </w:tc>
      </w:tr>
      <w:tr w:rsidR="008F78D3" w:rsidRPr="007537D9" w14:paraId="5CB60853" w14:textId="77777777" w:rsidTr="0093139E">
        <w:tc>
          <w:tcPr>
            <w:tcW w:w="1134" w:type="dxa"/>
            <w:shd w:val="clear" w:color="auto" w:fill="auto"/>
          </w:tcPr>
          <w:p w14:paraId="62DB9BC5"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CHUQUISACA</w:t>
            </w:r>
          </w:p>
        </w:tc>
        <w:tc>
          <w:tcPr>
            <w:tcW w:w="567" w:type="dxa"/>
            <w:shd w:val="clear" w:color="auto" w:fill="auto"/>
            <w:vAlign w:val="bottom"/>
          </w:tcPr>
          <w:p w14:paraId="1DF3D18D"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21.260</w:t>
            </w:r>
          </w:p>
        </w:tc>
        <w:tc>
          <w:tcPr>
            <w:tcW w:w="1276" w:type="dxa"/>
            <w:shd w:val="clear" w:color="auto" w:fill="auto"/>
            <w:vAlign w:val="bottom"/>
          </w:tcPr>
          <w:p w14:paraId="2DBAC0CD"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11.125</w:t>
            </w:r>
          </w:p>
        </w:tc>
        <w:tc>
          <w:tcPr>
            <w:tcW w:w="851" w:type="dxa"/>
            <w:shd w:val="clear" w:color="auto" w:fill="auto"/>
            <w:vAlign w:val="bottom"/>
          </w:tcPr>
          <w:p w14:paraId="7083434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10.135</w:t>
            </w:r>
          </w:p>
        </w:tc>
        <w:tc>
          <w:tcPr>
            <w:tcW w:w="850" w:type="dxa"/>
            <w:shd w:val="clear" w:color="auto" w:fill="auto"/>
            <w:vAlign w:val="bottom"/>
          </w:tcPr>
          <w:p w14:paraId="76B7D2BA"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25.074</w:t>
            </w:r>
          </w:p>
        </w:tc>
        <w:tc>
          <w:tcPr>
            <w:tcW w:w="1418" w:type="dxa"/>
            <w:shd w:val="clear" w:color="auto" w:fill="auto"/>
            <w:vAlign w:val="bottom"/>
          </w:tcPr>
          <w:p w14:paraId="051C19BE"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8.842</w:t>
            </w:r>
          </w:p>
        </w:tc>
        <w:tc>
          <w:tcPr>
            <w:tcW w:w="1275" w:type="dxa"/>
            <w:shd w:val="clear" w:color="auto" w:fill="auto"/>
            <w:vAlign w:val="bottom"/>
          </w:tcPr>
          <w:p w14:paraId="22143E5B"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4.659</w:t>
            </w:r>
          </w:p>
        </w:tc>
        <w:tc>
          <w:tcPr>
            <w:tcW w:w="1276" w:type="dxa"/>
            <w:shd w:val="clear" w:color="auto" w:fill="auto"/>
            <w:vAlign w:val="bottom"/>
          </w:tcPr>
          <w:p w14:paraId="7DA8E29A"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3.663</w:t>
            </w:r>
          </w:p>
        </w:tc>
        <w:tc>
          <w:tcPr>
            <w:tcW w:w="1418" w:type="dxa"/>
            <w:shd w:val="clear" w:color="auto" w:fill="auto"/>
            <w:vAlign w:val="bottom"/>
          </w:tcPr>
          <w:p w14:paraId="530A1AF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4.266</w:t>
            </w:r>
          </w:p>
        </w:tc>
        <w:tc>
          <w:tcPr>
            <w:tcW w:w="1134" w:type="dxa"/>
            <w:shd w:val="clear" w:color="auto" w:fill="auto"/>
            <w:vAlign w:val="bottom"/>
          </w:tcPr>
          <w:p w14:paraId="45B95AA9"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2.130</w:t>
            </w:r>
          </w:p>
        </w:tc>
        <w:tc>
          <w:tcPr>
            <w:tcW w:w="850" w:type="dxa"/>
            <w:shd w:val="clear" w:color="auto" w:fill="auto"/>
            <w:vAlign w:val="bottom"/>
          </w:tcPr>
          <w:p w14:paraId="72D7D291"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1.514</w:t>
            </w:r>
          </w:p>
        </w:tc>
      </w:tr>
      <w:tr w:rsidR="008F78D3" w:rsidRPr="007537D9" w14:paraId="6677CC46" w14:textId="77777777" w:rsidTr="0093139E">
        <w:tc>
          <w:tcPr>
            <w:tcW w:w="1134" w:type="dxa"/>
            <w:shd w:val="clear" w:color="auto" w:fill="auto"/>
          </w:tcPr>
          <w:p w14:paraId="4E6A3789"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LA PAZ</w:t>
            </w:r>
          </w:p>
        </w:tc>
        <w:tc>
          <w:tcPr>
            <w:tcW w:w="567" w:type="dxa"/>
            <w:shd w:val="clear" w:color="auto" w:fill="auto"/>
            <w:vAlign w:val="bottom"/>
          </w:tcPr>
          <w:p w14:paraId="5BE16560"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108.859</w:t>
            </w:r>
          </w:p>
        </w:tc>
        <w:tc>
          <w:tcPr>
            <w:tcW w:w="1276" w:type="dxa"/>
            <w:shd w:val="clear" w:color="auto" w:fill="auto"/>
            <w:vAlign w:val="bottom"/>
          </w:tcPr>
          <w:p w14:paraId="70FAEF36"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54.546</w:t>
            </w:r>
          </w:p>
        </w:tc>
        <w:tc>
          <w:tcPr>
            <w:tcW w:w="851" w:type="dxa"/>
            <w:shd w:val="clear" w:color="auto" w:fill="auto"/>
            <w:vAlign w:val="bottom"/>
          </w:tcPr>
          <w:p w14:paraId="65B7D49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54.313</w:t>
            </w:r>
          </w:p>
        </w:tc>
        <w:tc>
          <w:tcPr>
            <w:tcW w:w="850" w:type="dxa"/>
            <w:shd w:val="clear" w:color="auto" w:fill="auto"/>
            <w:vAlign w:val="bottom"/>
          </w:tcPr>
          <w:p w14:paraId="5862928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125.382</w:t>
            </w:r>
          </w:p>
        </w:tc>
        <w:tc>
          <w:tcPr>
            <w:tcW w:w="1418" w:type="dxa"/>
            <w:shd w:val="clear" w:color="auto" w:fill="auto"/>
            <w:vAlign w:val="bottom"/>
          </w:tcPr>
          <w:p w14:paraId="589BDBF8"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63.217</w:t>
            </w:r>
          </w:p>
        </w:tc>
        <w:tc>
          <w:tcPr>
            <w:tcW w:w="1275" w:type="dxa"/>
            <w:shd w:val="clear" w:color="auto" w:fill="auto"/>
            <w:vAlign w:val="bottom"/>
          </w:tcPr>
          <w:p w14:paraId="6E52A942"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18.689</w:t>
            </w:r>
          </w:p>
        </w:tc>
        <w:tc>
          <w:tcPr>
            <w:tcW w:w="1276" w:type="dxa"/>
            <w:shd w:val="clear" w:color="auto" w:fill="auto"/>
            <w:vAlign w:val="bottom"/>
          </w:tcPr>
          <w:p w14:paraId="743445F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9.053</w:t>
            </w:r>
          </w:p>
        </w:tc>
        <w:tc>
          <w:tcPr>
            <w:tcW w:w="1418" w:type="dxa"/>
            <w:shd w:val="clear" w:color="auto" w:fill="auto"/>
            <w:vAlign w:val="bottom"/>
          </w:tcPr>
          <w:p w14:paraId="146CA0F2"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21.890</w:t>
            </w:r>
          </w:p>
        </w:tc>
        <w:tc>
          <w:tcPr>
            <w:tcW w:w="1134" w:type="dxa"/>
            <w:shd w:val="clear" w:color="auto" w:fill="auto"/>
            <w:vAlign w:val="bottom"/>
          </w:tcPr>
          <w:p w14:paraId="26672EC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8.777</w:t>
            </w:r>
          </w:p>
        </w:tc>
        <w:tc>
          <w:tcPr>
            <w:tcW w:w="850" w:type="dxa"/>
            <w:shd w:val="clear" w:color="auto" w:fill="auto"/>
            <w:vAlign w:val="bottom"/>
          </w:tcPr>
          <w:p w14:paraId="5F7A00A6"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3.756</w:t>
            </w:r>
          </w:p>
        </w:tc>
      </w:tr>
      <w:tr w:rsidR="008F78D3" w:rsidRPr="007537D9" w14:paraId="2D17AEDB" w14:textId="77777777" w:rsidTr="0093139E">
        <w:tc>
          <w:tcPr>
            <w:tcW w:w="1134" w:type="dxa"/>
            <w:shd w:val="clear" w:color="auto" w:fill="auto"/>
          </w:tcPr>
          <w:p w14:paraId="1CE48FD2"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COCHABAMBA</w:t>
            </w:r>
          </w:p>
        </w:tc>
        <w:tc>
          <w:tcPr>
            <w:tcW w:w="567" w:type="dxa"/>
            <w:shd w:val="clear" w:color="auto" w:fill="auto"/>
            <w:vAlign w:val="bottom"/>
          </w:tcPr>
          <w:p w14:paraId="076E1E78"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54.502</w:t>
            </w:r>
          </w:p>
        </w:tc>
        <w:tc>
          <w:tcPr>
            <w:tcW w:w="1276" w:type="dxa"/>
            <w:shd w:val="clear" w:color="auto" w:fill="auto"/>
            <w:vAlign w:val="bottom"/>
          </w:tcPr>
          <w:p w14:paraId="2693976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28.022</w:t>
            </w:r>
          </w:p>
        </w:tc>
        <w:tc>
          <w:tcPr>
            <w:tcW w:w="851" w:type="dxa"/>
            <w:shd w:val="clear" w:color="auto" w:fill="auto"/>
            <w:vAlign w:val="bottom"/>
          </w:tcPr>
          <w:p w14:paraId="0723C13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26.480</w:t>
            </w:r>
          </w:p>
        </w:tc>
        <w:tc>
          <w:tcPr>
            <w:tcW w:w="850" w:type="dxa"/>
            <w:shd w:val="clear" w:color="auto" w:fill="auto"/>
            <w:vAlign w:val="bottom"/>
          </w:tcPr>
          <w:p w14:paraId="01B7B49F"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63.343</w:t>
            </w:r>
          </w:p>
        </w:tc>
        <w:tc>
          <w:tcPr>
            <w:tcW w:w="1418" w:type="dxa"/>
            <w:shd w:val="clear" w:color="auto" w:fill="auto"/>
            <w:vAlign w:val="bottom"/>
          </w:tcPr>
          <w:p w14:paraId="7F98EB3C"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28.903</w:t>
            </w:r>
          </w:p>
        </w:tc>
        <w:tc>
          <w:tcPr>
            <w:tcW w:w="1275" w:type="dxa"/>
            <w:shd w:val="clear" w:color="auto" w:fill="auto"/>
            <w:vAlign w:val="bottom"/>
          </w:tcPr>
          <w:p w14:paraId="288554D6"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10.068</w:t>
            </w:r>
          </w:p>
        </w:tc>
        <w:tc>
          <w:tcPr>
            <w:tcW w:w="1276" w:type="dxa"/>
            <w:shd w:val="clear" w:color="auto" w:fill="auto"/>
            <w:vAlign w:val="bottom"/>
          </w:tcPr>
          <w:p w14:paraId="1E145FD9"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5.632</w:t>
            </w:r>
          </w:p>
        </w:tc>
        <w:tc>
          <w:tcPr>
            <w:tcW w:w="1418" w:type="dxa"/>
            <w:shd w:val="clear" w:color="auto" w:fill="auto"/>
            <w:vAlign w:val="bottom"/>
          </w:tcPr>
          <w:p w14:paraId="0EADD3F6"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11.696</w:t>
            </w:r>
          </w:p>
        </w:tc>
        <w:tc>
          <w:tcPr>
            <w:tcW w:w="1134" w:type="dxa"/>
            <w:shd w:val="clear" w:color="auto" w:fill="auto"/>
            <w:vAlign w:val="bottom"/>
          </w:tcPr>
          <w:p w14:paraId="3DA94CD3"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5.317</w:t>
            </w:r>
          </w:p>
        </w:tc>
        <w:tc>
          <w:tcPr>
            <w:tcW w:w="850" w:type="dxa"/>
            <w:shd w:val="clear" w:color="auto" w:fill="auto"/>
            <w:vAlign w:val="bottom"/>
          </w:tcPr>
          <w:p w14:paraId="22F506EE"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1.727</w:t>
            </w:r>
          </w:p>
        </w:tc>
      </w:tr>
      <w:tr w:rsidR="008F78D3" w:rsidRPr="007537D9" w14:paraId="54C506D0" w14:textId="77777777" w:rsidTr="0093139E">
        <w:tc>
          <w:tcPr>
            <w:tcW w:w="1134" w:type="dxa"/>
            <w:shd w:val="clear" w:color="auto" w:fill="auto"/>
          </w:tcPr>
          <w:p w14:paraId="009BCB99"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ORURO</w:t>
            </w:r>
          </w:p>
        </w:tc>
        <w:tc>
          <w:tcPr>
            <w:tcW w:w="567" w:type="dxa"/>
            <w:shd w:val="clear" w:color="auto" w:fill="auto"/>
            <w:vAlign w:val="bottom"/>
          </w:tcPr>
          <w:p w14:paraId="73DE5D5C"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18.638</w:t>
            </w:r>
          </w:p>
        </w:tc>
        <w:tc>
          <w:tcPr>
            <w:tcW w:w="1276" w:type="dxa"/>
            <w:shd w:val="clear" w:color="auto" w:fill="auto"/>
            <w:vAlign w:val="bottom"/>
          </w:tcPr>
          <w:p w14:paraId="34B075C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9.351</w:t>
            </w:r>
          </w:p>
        </w:tc>
        <w:tc>
          <w:tcPr>
            <w:tcW w:w="851" w:type="dxa"/>
            <w:shd w:val="clear" w:color="auto" w:fill="auto"/>
            <w:vAlign w:val="bottom"/>
          </w:tcPr>
          <w:p w14:paraId="70A3332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9.287</w:t>
            </w:r>
          </w:p>
        </w:tc>
        <w:tc>
          <w:tcPr>
            <w:tcW w:w="850" w:type="dxa"/>
            <w:shd w:val="clear" w:color="auto" w:fill="auto"/>
            <w:vAlign w:val="bottom"/>
          </w:tcPr>
          <w:p w14:paraId="3FED38AD"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21.733</w:t>
            </w:r>
          </w:p>
        </w:tc>
        <w:tc>
          <w:tcPr>
            <w:tcW w:w="1418" w:type="dxa"/>
            <w:shd w:val="clear" w:color="auto" w:fill="auto"/>
            <w:vAlign w:val="bottom"/>
          </w:tcPr>
          <w:p w14:paraId="0AA42DFA"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10.989</w:t>
            </w:r>
          </w:p>
        </w:tc>
        <w:tc>
          <w:tcPr>
            <w:tcW w:w="1275" w:type="dxa"/>
            <w:shd w:val="clear" w:color="auto" w:fill="auto"/>
            <w:vAlign w:val="bottom"/>
          </w:tcPr>
          <w:p w14:paraId="57847D3A"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3.613</w:t>
            </w:r>
          </w:p>
        </w:tc>
        <w:tc>
          <w:tcPr>
            <w:tcW w:w="1276" w:type="dxa"/>
            <w:shd w:val="clear" w:color="auto" w:fill="auto"/>
            <w:vAlign w:val="bottom"/>
          </w:tcPr>
          <w:p w14:paraId="10C4F6C3"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1.428</w:t>
            </w:r>
          </w:p>
        </w:tc>
        <w:tc>
          <w:tcPr>
            <w:tcW w:w="1418" w:type="dxa"/>
            <w:shd w:val="clear" w:color="auto" w:fill="auto"/>
            <w:vAlign w:val="bottom"/>
          </w:tcPr>
          <w:p w14:paraId="6F3B3E66"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3.405</w:t>
            </w:r>
          </w:p>
        </w:tc>
        <w:tc>
          <w:tcPr>
            <w:tcW w:w="1134" w:type="dxa"/>
            <w:shd w:val="clear" w:color="auto" w:fill="auto"/>
            <w:vAlign w:val="bottom"/>
          </w:tcPr>
          <w:p w14:paraId="4ED5CBA9"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1.301</w:t>
            </w:r>
          </w:p>
        </w:tc>
        <w:tc>
          <w:tcPr>
            <w:tcW w:w="850" w:type="dxa"/>
            <w:shd w:val="clear" w:color="auto" w:fill="auto"/>
            <w:vAlign w:val="bottom"/>
          </w:tcPr>
          <w:p w14:paraId="7AF2EEED"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997</w:t>
            </w:r>
          </w:p>
        </w:tc>
      </w:tr>
      <w:tr w:rsidR="008F78D3" w:rsidRPr="007537D9" w14:paraId="24E06CEB" w14:textId="77777777" w:rsidTr="0093139E">
        <w:tc>
          <w:tcPr>
            <w:tcW w:w="1134" w:type="dxa"/>
            <w:shd w:val="clear" w:color="auto" w:fill="auto"/>
          </w:tcPr>
          <w:p w14:paraId="25A33833"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POTOSÍ</w:t>
            </w:r>
          </w:p>
        </w:tc>
        <w:tc>
          <w:tcPr>
            <w:tcW w:w="567" w:type="dxa"/>
            <w:shd w:val="clear" w:color="auto" w:fill="auto"/>
            <w:vAlign w:val="bottom"/>
          </w:tcPr>
          <w:p w14:paraId="01AFBFD1"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25.571</w:t>
            </w:r>
          </w:p>
        </w:tc>
        <w:tc>
          <w:tcPr>
            <w:tcW w:w="1276" w:type="dxa"/>
            <w:shd w:val="clear" w:color="auto" w:fill="auto"/>
            <w:vAlign w:val="bottom"/>
          </w:tcPr>
          <w:p w14:paraId="4E5E6CBF"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13.012</w:t>
            </w:r>
          </w:p>
        </w:tc>
        <w:tc>
          <w:tcPr>
            <w:tcW w:w="851" w:type="dxa"/>
            <w:shd w:val="clear" w:color="auto" w:fill="auto"/>
            <w:vAlign w:val="bottom"/>
          </w:tcPr>
          <w:p w14:paraId="177EC198"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12.559</w:t>
            </w:r>
          </w:p>
        </w:tc>
        <w:tc>
          <w:tcPr>
            <w:tcW w:w="850" w:type="dxa"/>
            <w:shd w:val="clear" w:color="auto" w:fill="auto"/>
            <w:vAlign w:val="bottom"/>
          </w:tcPr>
          <w:p w14:paraId="74D5A56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29.768</w:t>
            </w:r>
          </w:p>
        </w:tc>
        <w:tc>
          <w:tcPr>
            <w:tcW w:w="1418" w:type="dxa"/>
            <w:shd w:val="clear" w:color="auto" w:fill="auto"/>
            <w:vAlign w:val="bottom"/>
          </w:tcPr>
          <w:p w14:paraId="433761AB"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11.551</w:t>
            </w:r>
          </w:p>
        </w:tc>
        <w:tc>
          <w:tcPr>
            <w:tcW w:w="1275" w:type="dxa"/>
            <w:shd w:val="clear" w:color="auto" w:fill="auto"/>
            <w:vAlign w:val="bottom"/>
          </w:tcPr>
          <w:p w14:paraId="3EAAC3B3"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5.672</w:t>
            </w:r>
          </w:p>
        </w:tc>
        <w:tc>
          <w:tcPr>
            <w:tcW w:w="1276" w:type="dxa"/>
            <w:shd w:val="clear" w:color="auto" w:fill="auto"/>
            <w:vAlign w:val="bottom"/>
          </w:tcPr>
          <w:p w14:paraId="3822770E"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2.721</w:t>
            </w:r>
          </w:p>
        </w:tc>
        <w:tc>
          <w:tcPr>
            <w:tcW w:w="1418" w:type="dxa"/>
            <w:shd w:val="clear" w:color="auto" w:fill="auto"/>
            <w:vAlign w:val="bottom"/>
          </w:tcPr>
          <w:p w14:paraId="1D3E237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5.303</w:t>
            </w:r>
          </w:p>
        </w:tc>
        <w:tc>
          <w:tcPr>
            <w:tcW w:w="1134" w:type="dxa"/>
            <w:shd w:val="clear" w:color="auto" w:fill="auto"/>
            <w:vAlign w:val="bottom"/>
          </w:tcPr>
          <w:p w14:paraId="73E240DF"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2.178</w:t>
            </w:r>
          </w:p>
        </w:tc>
        <w:tc>
          <w:tcPr>
            <w:tcW w:w="850" w:type="dxa"/>
            <w:shd w:val="clear" w:color="auto" w:fill="auto"/>
            <w:vAlign w:val="bottom"/>
          </w:tcPr>
          <w:p w14:paraId="49DFAC43"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2.343</w:t>
            </w:r>
          </w:p>
        </w:tc>
      </w:tr>
      <w:tr w:rsidR="008F78D3" w:rsidRPr="007537D9" w14:paraId="66451131" w14:textId="77777777" w:rsidTr="0093139E">
        <w:tc>
          <w:tcPr>
            <w:tcW w:w="1134" w:type="dxa"/>
            <w:shd w:val="clear" w:color="auto" w:fill="auto"/>
          </w:tcPr>
          <w:p w14:paraId="50BF4066"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TARIJA</w:t>
            </w:r>
          </w:p>
        </w:tc>
        <w:tc>
          <w:tcPr>
            <w:tcW w:w="567" w:type="dxa"/>
            <w:shd w:val="clear" w:color="auto" w:fill="auto"/>
            <w:vAlign w:val="bottom"/>
          </w:tcPr>
          <w:p w14:paraId="54165867"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18.212</w:t>
            </w:r>
          </w:p>
        </w:tc>
        <w:tc>
          <w:tcPr>
            <w:tcW w:w="1276" w:type="dxa"/>
            <w:shd w:val="clear" w:color="auto" w:fill="auto"/>
            <w:vAlign w:val="bottom"/>
          </w:tcPr>
          <w:p w14:paraId="784A4EF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9.528</w:t>
            </w:r>
          </w:p>
        </w:tc>
        <w:tc>
          <w:tcPr>
            <w:tcW w:w="851" w:type="dxa"/>
            <w:shd w:val="clear" w:color="auto" w:fill="auto"/>
            <w:vAlign w:val="bottom"/>
          </w:tcPr>
          <w:p w14:paraId="55C45AFB"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8.684</w:t>
            </w:r>
          </w:p>
        </w:tc>
        <w:tc>
          <w:tcPr>
            <w:tcW w:w="850" w:type="dxa"/>
            <w:shd w:val="clear" w:color="auto" w:fill="auto"/>
            <w:vAlign w:val="bottom"/>
          </w:tcPr>
          <w:p w14:paraId="68E335C2"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21.410</w:t>
            </w:r>
          </w:p>
        </w:tc>
        <w:tc>
          <w:tcPr>
            <w:tcW w:w="1418" w:type="dxa"/>
            <w:shd w:val="clear" w:color="auto" w:fill="auto"/>
            <w:vAlign w:val="bottom"/>
          </w:tcPr>
          <w:p w14:paraId="6F9246DD"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8.970</w:t>
            </w:r>
          </w:p>
        </w:tc>
        <w:tc>
          <w:tcPr>
            <w:tcW w:w="1275" w:type="dxa"/>
            <w:shd w:val="clear" w:color="auto" w:fill="auto"/>
            <w:vAlign w:val="bottom"/>
          </w:tcPr>
          <w:p w14:paraId="59B581FF"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3.501</w:t>
            </w:r>
          </w:p>
        </w:tc>
        <w:tc>
          <w:tcPr>
            <w:tcW w:w="1276" w:type="dxa"/>
            <w:shd w:val="clear" w:color="auto" w:fill="auto"/>
            <w:vAlign w:val="bottom"/>
          </w:tcPr>
          <w:p w14:paraId="2348FB4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2.619</w:t>
            </w:r>
          </w:p>
        </w:tc>
        <w:tc>
          <w:tcPr>
            <w:tcW w:w="1418" w:type="dxa"/>
            <w:shd w:val="clear" w:color="auto" w:fill="auto"/>
            <w:vAlign w:val="bottom"/>
          </w:tcPr>
          <w:p w14:paraId="41DC1B32"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3.425</w:t>
            </w:r>
          </w:p>
        </w:tc>
        <w:tc>
          <w:tcPr>
            <w:tcW w:w="1134" w:type="dxa"/>
            <w:shd w:val="clear" w:color="auto" w:fill="auto"/>
            <w:vAlign w:val="bottom"/>
          </w:tcPr>
          <w:p w14:paraId="340C2F8C"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1.773</w:t>
            </w:r>
          </w:p>
        </w:tc>
        <w:tc>
          <w:tcPr>
            <w:tcW w:w="850" w:type="dxa"/>
            <w:shd w:val="clear" w:color="auto" w:fill="auto"/>
            <w:vAlign w:val="bottom"/>
          </w:tcPr>
          <w:p w14:paraId="5288D44B"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1.122</w:t>
            </w:r>
          </w:p>
        </w:tc>
      </w:tr>
      <w:tr w:rsidR="008F78D3" w:rsidRPr="007537D9" w14:paraId="75059353" w14:textId="77777777" w:rsidTr="0093139E">
        <w:tc>
          <w:tcPr>
            <w:tcW w:w="1134" w:type="dxa"/>
            <w:shd w:val="clear" w:color="auto" w:fill="auto"/>
          </w:tcPr>
          <w:p w14:paraId="02B17DBD"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SANTA CRUZ</w:t>
            </w:r>
          </w:p>
        </w:tc>
        <w:tc>
          <w:tcPr>
            <w:tcW w:w="567" w:type="dxa"/>
            <w:shd w:val="clear" w:color="auto" w:fill="auto"/>
            <w:vAlign w:val="bottom"/>
          </w:tcPr>
          <w:p w14:paraId="6E317594"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80.703</w:t>
            </w:r>
          </w:p>
        </w:tc>
        <w:tc>
          <w:tcPr>
            <w:tcW w:w="1276" w:type="dxa"/>
            <w:shd w:val="clear" w:color="auto" w:fill="auto"/>
            <w:vAlign w:val="bottom"/>
          </w:tcPr>
          <w:p w14:paraId="7A78984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41.727</w:t>
            </w:r>
          </w:p>
        </w:tc>
        <w:tc>
          <w:tcPr>
            <w:tcW w:w="851" w:type="dxa"/>
            <w:shd w:val="clear" w:color="auto" w:fill="auto"/>
            <w:vAlign w:val="bottom"/>
          </w:tcPr>
          <w:p w14:paraId="7F76500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38.976</w:t>
            </w:r>
          </w:p>
        </w:tc>
        <w:tc>
          <w:tcPr>
            <w:tcW w:w="850" w:type="dxa"/>
            <w:shd w:val="clear" w:color="auto" w:fill="auto"/>
            <w:vAlign w:val="bottom"/>
          </w:tcPr>
          <w:p w14:paraId="78E908F6"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94.013</w:t>
            </w:r>
          </w:p>
        </w:tc>
        <w:tc>
          <w:tcPr>
            <w:tcW w:w="1418" w:type="dxa"/>
            <w:shd w:val="clear" w:color="auto" w:fill="auto"/>
            <w:vAlign w:val="bottom"/>
          </w:tcPr>
          <w:p w14:paraId="1F09BF4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47.510</w:t>
            </w:r>
          </w:p>
        </w:tc>
        <w:tc>
          <w:tcPr>
            <w:tcW w:w="1275" w:type="dxa"/>
            <w:shd w:val="clear" w:color="auto" w:fill="auto"/>
            <w:vAlign w:val="bottom"/>
          </w:tcPr>
          <w:p w14:paraId="53FBCEA6"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11.181</w:t>
            </w:r>
          </w:p>
        </w:tc>
        <w:tc>
          <w:tcPr>
            <w:tcW w:w="1276" w:type="dxa"/>
            <w:shd w:val="clear" w:color="auto" w:fill="auto"/>
            <w:vAlign w:val="bottom"/>
          </w:tcPr>
          <w:p w14:paraId="7E33978F"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10.276</w:t>
            </w:r>
          </w:p>
        </w:tc>
        <w:tc>
          <w:tcPr>
            <w:tcW w:w="1418" w:type="dxa"/>
            <w:shd w:val="clear" w:color="auto" w:fill="auto"/>
            <w:vAlign w:val="bottom"/>
          </w:tcPr>
          <w:p w14:paraId="1C4A405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15.110</w:t>
            </w:r>
          </w:p>
        </w:tc>
        <w:tc>
          <w:tcPr>
            <w:tcW w:w="1134" w:type="dxa"/>
            <w:shd w:val="clear" w:color="auto" w:fill="auto"/>
            <w:vAlign w:val="bottom"/>
          </w:tcPr>
          <w:p w14:paraId="6791FE2C"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7.083</w:t>
            </w:r>
          </w:p>
        </w:tc>
        <w:tc>
          <w:tcPr>
            <w:tcW w:w="850" w:type="dxa"/>
            <w:shd w:val="clear" w:color="auto" w:fill="auto"/>
            <w:vAlign w:val="bottom"/>
          </w:tcPr>
          <w:p w14:paraId="66D0D84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2.853</w:t>
            </w:r>
          </w:p>
        </w:tc>
      </w:tr>
      <w:tr w:rsidR="008F78D3" w:rsidRPr="007537D9" w14:paraId="466C01DC" w14:textId="77777777" w:rsidTr="0093139E">
        <w:tc>
          <w:tcPr>
            <w:tcW w:w="1134" w:type="dxa"/>
            <w:shd w:val="clear" w:color="auto" w:fill="auto"/>
          </w:tcPr>
          <w:p w14:paraId="71F1C332"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BENI</w:t>
            </w:r>
          </w:p>
        </w:tc>
        <w:tc>
          <w:tcPr>
            <w:tcW w:w="567" w:type="dxa"/>
            <w:shd w:val="clear" w:color="auto" w:fill="auto"/>
            <w:vAlign w:val="bottom"/>
          </w:tcPr>
          <w:p w14:paraId="62DA52AB"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12.437</w:t>
            </w:r>
          </w:p>
        </w:tc>
        <w:tc>
          <w:tcPr>
            <w:tcW w:w="1276" w:type="dxa"/>
            <w:shd w:val="clear" w:color="auto" w:fill="auto"/>
            <w:vAlign w:val="bottom"/>
          </w:tcPr>
          <w:p w14:paraId="6CA24D8C"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6.106</w:t>
            </w:r>
          </w:p>
        </w:tc>
        <w:tc>
          <w:tcPr>
            <w:tcW w:w="851" w:type="dxa"/>
            <w:shd w:val="clear" w:color="auto" w:fill="auto"/>
            <w:vAlign w:val="bottom"/>
          </w:tcPr>
          <w:p w14:paraId="2985F57D"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6.331</w:t>
            </w:r>
          </w:p>
        </w:tc>
        <w:tc>
          <w:tcPr>
            <w:tcW w:w="850" w:type="dxa"/>
            <w:shd w:val="clear" w:color="auto" w:fill="auto"/>
            <w:vAlign w:val="bottom"/>
          </w:tcPr>
          <w:p w14:paraId="1327792E"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14.521</w:t>
            </w:r>
          </w:p>
        </w:tc>
        <w:tc>
          <w:tcPr>
            <w:tcW w:w="1418" w:type="dxa"/>
            <w:shd w:val="clear" w:color="auto" w:fill="auto"/>
            <w:vAlign w:val="bottom"/>
          </w:tcPr>
          <w:p w14:paraId="6C609919"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6.486</w:t>
            </w:r>
          </w:p>
        </w:tc>
        <w:tc>
          <w:tcPr>
            <w:tcW w:w="1275" w:type="dxa"/>
            <w:shd w:val="clear" w:color="auto" w:fill="auto"/>
            <w:vAlign w:val="bottom"/>
          </w:tcPr>
          <w:p w14:paraId="50DE478C"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1.807</w:t>
            </w:r>
          </w:p>
        </w:tc>
        <w:tc>
          <w:tcPr>
            <w:tcW w:w="1276" w:type="dxa"/>
            <w:shd w:val="clear" w:color="auto" w:fill="auto"/>
            <w:vAlign w:val="bottom"/>
          </w:tcPr>
          <w:p w14:paraId="7A6B9C4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1.725</w:t>
            </w:r>
          </w:p>
        </w:tc>
        <w:tc>
          <w:tcPr>
            <w:tcW w:w="1418" w:type="dxa"/>
            <w:shd w:val="clear" w:color="auto" w:fill="auto"/>
            <w:vAlign w:val="bottom"/>
          </w:tcPr>
          <w:p w14:paraId="0D562DA7"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2.606</w:t>
            </w:r>
          </w:p>
        </w:tc>
        <w:tc>
          <w:tcPr>
            <w:tcW w:w="1134" w:type="dxa"/>
            <w:shd w:val="clear" w:color="auto" w:fill="auto"/>
            <w:vAlign w:val="bottom"/>
          </w:tcPr>
          <w:p w14:paraId="3E221072"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835</w:t>
            </w:r>
          </w:p>
        </w:tc>
        <w:tc>
          <w:tcPr>
            <w:tcW w:w="850" w:type="dxa"/>
            <w:shd w:val="clear" w:color="auto" w:fill="auto"/>
            <w:vAlign w:val="bottom"/>
          </w:tcPr>
          <w:p w14:paraId="3BDDC8C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1.062</w:t>
            </w:r>
          </w:p>
        </w:tc>
      </w:tr>
      <w:tr w:rsidR="008F78D3" w:rsidRPr="007537D9" w14:paraId="3173DA36" w14:textId="77777777" w:rsidTr="0093139E">
        <w:tc>
          <w:tcPr>
            <w:tcW w:w="1134" w:type="dxa"/>
            <w:tcBorders>
              <w:bottom w:val="single" w:sz="12" w:space="0" w:color="auto"/>
            </w:tcBorders>
            <w:shd w:val="clear" w:color="auto" w:fill="auto"/>
          </w:tcPr>
          <w:p w14:paraId="38903C06" w14:textId="77777777" w:rsidR="00653063" w:rsidRPr="001D015E" w:rsidRDefault="00653063" w:rsidP="007537D9">
            <w:pPr>
              <w:spacing w:before="40" w:after="40" w:line="220" w:lineRule="exact"/>
              <w:rPr>
                <w:rFonts w:eastAsia="Times New Roman"/>
                <w:b/>
                <w:sz w:val="16"/>
                <w:szCs w:val="16"/>
                <w:lang w:val="es-ES_tradnl" w:eastAsia="es-BO"/>
              </w:rPr>
            </w:pPr>
            <w:r w:rsidRPr="001D015E">
              <w:rPr>
                <w:rFonts w:eastAsia="Times New Roman"/>
                <w:b/>
                <w:sz w:val="16"/>
                <w:szCs w:val="16"/>
                <w:lang w:val="es-ES_tradnl" w:eastAsia="es-BO"/>
              </w:rPr>
              <w:t>PANDO</w:t>
            </w:r>
          </w:p>
        </w:tc>
        <w:tc>
          <w:tcPr>
            <w:tcW w:w="567" w:type="dxa"/>
            <w:tcBorders>
              <w:bottom w:val="single" w:sz="12" w:space="0" w:color="auto"/>
            </w:tcBorders>
            <w:shd w:val="clear" w:color="auto" w:fill="auto"/>
            <w:vAlign w:val="bottom"/>
          </w:tcPr>
          <w:p w14:paraId="105B89A0" w14:textId="77777777" w:rsidR="00653063" w:rsidRPr="0093139E" w:rsidRDefault="00653063" w:rsidP="007537D9">
            <w:pPr>
              <w:spacing w:before="40" w:after="40" w:line="220" w:lineRule="exact"/>
              <w:jc w:val="right"/>
              <w:rPr>
                <w:rFonts w:eastAsia="Times New Roman"/>
                <w:b/>
                <w:sz w:val="16"/>
                <w:szCs w:val="16"/>
                <w:lang w:val="es-ES_tradnl" w:eastAsia="es-BO"/>
              </w:rPr>
            </w:pPr>
            <w:r w:rsidRPr="0093139E">
              <w:rPr>
                <w:rFonts w:eastAsia="Times New Roman"/>
                <w:b/>
                <w:sz w:val="16"/>
                <w:szCs w:val="16"/>
                <w:lang w:val="es-ES_tradnl" w:eastAsia="es-BO"/>
              </w:rPr>
              <w:t>2.747</w:t>
            </w:r>
          </w:p>
        </w:tc>
        <w:tc>
          <w:tcPr>
            <w:tcW w:w="1276" w:type="dxa"/>
            <w:tcBorders>
              <w:bottom w:val="single" w:sz="12" w:space="0" w:color="auto"/>
            </w:tcBorders>
            <w:shd w:val="clear" w:color="auto" w:fill="auto"/>
            <w:vAlign w:val="bottom"/>
          </w:tcPr>
          <w:p w14:paraId="22BB71A1"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1.266</w:t>
            </w:r>
          </w:p>
        </w:tc>
        <w:tc>
          <w:tcPr>
            <w:tcW w:w="851" w:type="dxa"/>
            <w:tcBorders>
              <w:bottom w:val="single" w:sz="12" w:space="0" w:color="auto"/>
            </w:tcBorders>
            <w:shd w:val="clear" w:color="auto" w:fill="auto"/>
            <w:vAlign w:val="bottom"/>
          </w:tcPr>
          <w:p w14:paraId="0C02F14D"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1.481</w:t>
            </w:r>
          </w:p>
        </w:tc>
        <w:tc>
          <w:tcPr>
            <w:tcW w:w="850" w:type="dxa"/>
            <w:tcBorders>
              <w:bottom w:val="single" w:sz="12" w:space="0" w:color="auto"/>
            </w:tcBorders>
            <w:shd w:val="clear" w:color="auto" w:fill="auto"/>
            <w:vAlign w:val="bottom"/>
          </w:tcPr>
          <w:p w14:paraId="67EFD935"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3.040</w:t>
            </w:r>
          </w:p>
        </w:tc>
        <w:tc>
          <w:tcPr>
            <w:tcW w:w="1418" w:type="dxa"/>
            <w:tcBorders>
              <w:bottom w:val="single" w:sz="12" w:space="0" w:color="auto"/>
            </w:tcBorders>
            <w:shd w:val="clear" w:color="auto" w:fill="auto"/>
            <w:vAlign w:val="bottom"/>
          </w:tcPr>
          <w:p w14:paraId="776CB5F8"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1.568</w:t>
            </w:r>
          </w:p>
        </w:tc>
        <w:tc>
          <w:tcPr>
            <w:tcW w:w="1275" w:type="dxa"/>
            <w:tcBorders>
              <w:bottom w:val="single" w:sz="12" w:space="0" w:color="auto"/>
            </w:tcBorders>
            <w:shd w:val="clear" w:color="auto" w:fill="auto"/>
            <w:vAlign w:val="bottom"/>
          </w:tcPr>
          <w:p w14:paraId="208DE4A1"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264</w:t>
            </w:r>
          </w:p>
        </w:tc>
        <w:tc>
          <w:tcPr>
            <w:tcW w:w="1276" w:type="dxa"/>
            <w:tcBorders>
              <w:bottom w:val="single" w:sz="12" w:space="0" w:color="auto"/>
            </w:tcBorders>
            <w:shd w:val="clear" w:color="auto" w:fill="auto"/>
            <w:vAlign w:val="bottom"/>
          </w:tcPr>
          <w:p w14:paraId="7E88BFF0"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335</w:t>
            </w:r>
          </w:p>
        </w:tc>
        <w:tc>
          <w:tcPr>
            <w:tcW w:w="1418" w:type="dxa"/>
            <w:tcBorders>
              <w:bottom w:val="single" w:sz="12" w:space="0" w:color="auto"/>
            </w:tcBorders>
            <w:shd w:val="clear" w:color="auto" w:fill="auto"/>
            <w:vAlign w:val="bottom"/>
          </w:tcPr>
          <w:p w14:paraId="5F385704"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372</w:t>
            </w:r>
          </w:p>
        </w:tc>
        <w:tc>
          <w:tcPr>
            <w:tcW w:w="1134" w:type="dxa"/>
            <w:tcBorders>
              <w:bottom w:val="single" w:sz="12" w:space="0" w:color="auto"/>
            </w:tcBorders>
            <w:shd w:val="clear" w:color="auto" w:fill="auto"/>
            <w:vAlign w:val="bottom"/>
          </w:tcPr>
          <w:p w14:paraId="0F6F25F9"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156</w:t>
            </w:r>
          </w:p>
        </w:tc>
        <w:tc>
          <w:tcPr>
            <w:tcW w:w="850" w:type="dxa"/>
            <w:tcBorders>
              <w:bottom w:val="single" w:sz="12" w:space="0" w:color="auto"/>
            </w:tcBorders>
            <w:shd w:val="clear" w:color="auto" w:fill="auto"/>
            <w:vAlign w:val="bottom"/>
          </w:tcPr>
          <w:p w14:paraId="36107C0D" w14:textId="77777777" w:rsidR="00653063" w:rsidRPr="007537D9" w:rsidRDefault="00653063" w:rsidP="007537D9">
            <w:pPr>
              <w:spacing w:before="40" w:after="40" w:line="220" w:lineRule="exact"/>
              <w:jc w:val="right"/>
              <w:rPr>
                <w:rFonts w:eastAsia="Times New Roman"/>
                <w:b/>
                <w:sz w:val="18"/>
                <w:szCs w:val="16"/>
                <w:lang w:val="es-ES_tradnl" w:eastAsia="es-BO"/>
              </w:rPr>
            </w:pPr>
            <w:r w:rsidRPr="007537D9">
              <w:rPr>
                <w:rFonts w:eastAsia="Times New Roman"/>
                <w:b/>
                <w:sz w:val="18"/>
                <w:szCs w:val="16"/>
                <w:lang w:val="es-ES_tradnl" w:eastAsia="es-BO"/>
              </w:rPr>
              <w:t>345</w:t>
            </w:r>
          </w:p>
        </w:tc>
      </w:tr>
    </w:tbl>
    <w:p w14:paraId="172A123B" w14:textId="77777777" w:rsidR="00256143" w:rsidRDefault="00653063" w:rsidP="003E0B56">
      <w:pPr>
        <w:pStyle w:val="SingleTxtG"/>
        <w:rPr>
          <w:lang w:val="es-ES_tradnl" w:eastAsia="es-BO"/>
        </w:rPr>
      </w:pPr>
      <w:r w:rsidRPr="00653063">
        <w:rPr>
          <w:lang w:val="es-ES_tradnl" w:eastAsia="es-BO"/>
        </w:rPr>
        <w:t>Fuente: INE – Censo 2012</w:t>
      </w:r>
    </w:p>
    <w:p w14:paraId="38E6858B" w14:textId="77777777" w:rsidR="008F78D3" w:rsidRDefault="008F78D3" w:rsidP="003E0B56">
      <w:pPr>
        <w:pStyle w:val="SingleTxtG"/>
        <w:rPr>
          <w:lang w:val="es-ES_tradnl" w:eastAsia="es-BO"/>
        </w:rPr>
      </w:pPr>
    </w:p>
    <w:p w14:paraId="0AB8E1B1" w14:textId="77777777" w:rsidR="009911C5" w:rsidRDefault="009911C5" w:rsidP="003E0B56">
      <w:pPr>
        <w:pStyle w:val="SingleTxtG"/>
        <w:rPr>
          <w:lang w:val="es-ES_tradnl" w:eastAsia="es-BO"/>
        </w:rPr>
      </w:pPr>
    </w:p>
    <w:p w14:paraId="536FBD14" w14:textId="77777777" w:rsidR="009911C5" w:rsidRDefault="009911C5" w:rsidP="003E0B56">
      <w:pPr>
        <w:pStyle w:val="SingleTxtG"/>
        <w:rPr>
          <w:lang w:val="es-ES_tradnl" w:eastAsia="es-BO"/>
        </w:rPr>
        <w:sectPr w:rsidR="009911C5" w:rsidSect="002A7EF2">
          <w:headerReference w:type="even" r:id="rId17"/>
          <w:headerReference w:type="default" r:id="rId18"/>
          <w:footerReference w:type="even" r:id="rId19"/>
          <w:footerReference w:type="default" r:id="rId20"/>
          <w:pgSz w:w="16838" w:h="11906" w:orient="landscape" w:code="9"/>
          <w:pgMar w:top="1134" w:right="1417" w:bottom="1134" w:left="1134" w:header="567" w:footer="567" w:gutter="0"/>
          <w:cols w:space="708"/>
          <w:docGrid w:linePitch="360"/>
        </w:sectPr>
      </w:pPr>
    </w:p>
    <w:p w14:paraId="55DFDADF" w14:textId="6ED05FAE" w:rsidR="00653063" w:rsidRPr="00653063" w:rsidRDefault="00F96BF9" w:rsidP="00F96BF9">
      <w:pPr>
        <w:pStyle w:val="H23G"/>
        <w:rPr>
          <w:lang w:val="es-ES_tradnl" w:eastAsia="es-BO"/>
        </w:rPr>
      </w:pPr>
      <w:r>
        <w:rPr>
          <w:lang w:val="es-ES_tradnl" w:eastAsia="es-BO"/>
        </w:rPr>
        <w:lastRenderedPageBreak/>
        <w:tab/>
      </w:r>
      <w:r>
        <w:rPr>
          <w:lang w:val="es-ES_tradnl" w:eastAsia="es-BO"/>
        </w:rPr>
        <w:tab/>
      </w:r>
      <w:r w:rsidR="00653063" w:rsidRPr="00653063">
        <w:rPr>
          <w:lang w:val="es-ES_tradnl" w:eastAsia="es-BO"/>
        </w:rPr>
        <w:t>Bolivia: Viviendas Particulares con Ocupantes Presentes por Personas con o sin Alguna Dificultad Permanente, según Departamento y Municipio (En número):</w:t>
      </w:r>
    </w:p>
    <w:p w14:paraId="07DC8E62" w14:textId="77777777" w:rsidR="00653063" w:rsidRPr="00653063" w:rsidRDefault="00653063" w:rsidP="00653063">
      <w:pPr>
        <w:pBdr>
          <w:top w:val="nil"/>
          <w:left w:val="nil"/>
          <w:bottom w:val="nil"/>
          <w:right w:val="nil"/>
          <w:between w:val="nil"/>
        </w:pBdr>
        <w:spacing w:line="240" w:lineRule="auto"/>
        <w:ind w:left="360"/>
        <w:jc w:val="center"/>
        <w:rPr>
          <w:rFonts w:eastAsia="Times New Roman"/>
          <w:b/>
          <w:sz w:val="16"/>
          <w:szCs w:val="16"/>
          <w:lang w:val="es-ES_tradnl" w:eastAsia="es-BO"/>
        </w:rPr>
      </w:pPr>
    </w:p>
    <w:tbl>
      <w:tblPr>
        <w:tblW w:w="7370" w:type="dxa"/>
        <w:tblInd w:w="1134" w:type="dxa"/>
        <w:tblLayout w:type="fixed"/>
        <w:tblCellMar>
          <w:left w:w="0" w:type="dxa"/>
          <w:right w:w="0" w:type="dxa"/>
        </w:tblCellMar>
        <w:tblLook w:val="0400" w:firstRow="0" w:lastRow="0" w:firstColumn="0" w:lastColumn="0" w:noHBand="0" w:noVBand="1"/>
      </w:tblPr>
      <w:tblGrid>
        <w:gridCol w:w="2865"/>
        <w:gridCol w:w="1501"/>
        <w:gridCol w:w="1502"/>
        <w:gridCol w:w="1502"/>
      </w:tblGrid>
      <w:tr w:rsidR="00677967" w:rsidRPr="00677967" w14:paraId="7B5DE543" w14:textId="77777777" w:rsidTr="00677967">
        <w:trPr>
          <w:tblHeader/>
        </w:trPr>
        <w:tc>
          <w:tcPr>
            <w:tcW w:w="2938" w:type="dxa"/>
            <w:tcBorders>
              <w:top w:val="single" w:sz="4" w:space="0" w:color="auto"/>
              <w:bottom w:val="single" w:sz="12" w:space="0" w:color="auto"/>
            </w:tcBorders>
            <w:shd w:val="clear" w:color="auto" w:fill="auto"/>
            <w:vAlign w:val="bottom"/>
          </w:tcPr>
          <w:p w14:paraId="334EF243" w14:textId="77777777" w:rsidR="00653063" w:rsidRPr="00677967" w:rsidRDefault="00653063" w:rsidP="00677967">
            <w:pPr>
              <w:spacing w:before="80" w:after="80" w:line="200" w:lineRule="exact"/>
              <w:rPr>
                <w:rFonts w:eastAsia="Times New Roman"/>
                <w:i/>
                <w:sz w:val="16"/>
                <w:szCs w:val="16"/>
                <w:lang w:val="es-ES_tradnl" w:eastAsia="es-BO"/>
              </w:rPr>
            </w:pPr>
            <w:r w:rsidRPr="00677967">
              <w:rPr>
                <w:rFonts w:eastAsia="Times New Roman"/>
                <w:i/>
                <w:sz w:val="16"/>
                <w:szCs w:val="16"/>
                <w:lang w:val="es-ES_tradnl" w:eastAsia="es-BO"/>
              </w:rPr>
              <w:t>DEPARTAMENTO, PROVINCIA Y MUNICIPIO</w:t>
            </w:r>
          </w:p>
        </w:tc>
        <w:tc>
          <w:tcPr>
            <w:tcW w:w="1540" w:type="dxa"/>
            <w:tcBorders>
              <w:top w:val="single" w:sz="4" w:space="0" w:color="auto"/>
              <w:bottom w:val="single" w:sz="12" w:space="0" w:color="auto"/>
            </w:tcBorders>
            <w:shd w:val="clear" w:color="auto" w:fill="auto"/>
            <w:vAlign w:val="bottom"/>
          </w:tcPr>
          <w:p w14:paraId="76B0B1B4" w14:textId="77777777" w:rsidR="00653063" w:rsidRPr="00677967" w:rsidRDefault="00653063" w:rsidP="00677967">
            <w:pPr>
              <w:spacing w:before="80" w:after="80" w:line="200" w:lineRule="exact"/>
              <w:jc w:val="right"/>
              <w:rPr>
                <w:rFonts w:eastAsia="Times New Roman"/>
                <w:i/>
                <w:sz w:val="16"/>
                <w:szCs w:val="16"/>
                <w:lang w:val="es-ES_tradnl" w:eastAsia="es-BO"/>
              </w:rPr>
            </w:pPr>
            <w:r w:rsidRPr="00677967">
              <w:rPr>
                <w:rFonts w:eastAsia="Times New Roman"/>
                <w:i/>
                <w:sz w:val="16"/>
                <w:szCs w:val="16"/>
                <w:lang w:val="es-ES_tradnl" w:eastAsia="es-BO"/>
              </w:rPr>
              <w:t>TOTAL</w:t>
            </w:r>
          </w:p>
        </w:tc>
        <w:tc>
          <w:tcPr>
            <w:tcW w:w="1541" w:type="dxa"/>
            <w:tcBorders>
              <w:top w:val="single" w:sz="4" w:space="0" w:color="auto"/>
              <w:bottom w:val="single" w:sz="12" w:space="0" w:color="auto"/>
            </w:tcBorders>
            <w:shd w:val="clear" w:color="auto" w:fill="auto"/>
            <w:vAlign w:val="bottom"/>
          </w:tcPr>
          <w:p w14:paraId="739E3D86" w14:textId="77777777" w:rsidR="00653063" w:rsidRPr="00677967" w:rsidRDefault="00653063" w:rsidP="00677967">
            <w:pPr>
              <w:spacing w:before="80" w:after="80" w:line="200" w:lineRule="exact"/>
              <w:jc w:val="right"/>
              <w:rPr>
                <w:rFonts w:eastAsia="Times New Roman"/>
                <w:i/>
                <w:sz w:val="16"/>
                <w:szCs w:val="16"/>
                <w:lang w:val="es-ES_tradnl" w:eastAsia="es-BO"/>
              </w:rPr>
            </w:pPr>
            <w:r w:rsidRPr="00677967">
              <w:rPr>
                <w:rFonts w:eastAsia="Times New Roman"/>
                <w:i/>
                <w:sz w:val="16"/>
                <w:szCs w:val="16"/>
                <w:lang w:val="es-ES_tradnl" w:eastAsia="es-BO"/>
              </w:rPr>
              <w:t>CON ALGUNA DIFICULTAD PERMANENTE</w:t>
            </w:r>
          </w:p>
        </w:tc>
        <w:tc>
          <w:tcPr>
            <w:tcW w:w="1541" w:type="dxa"/>
            <w:tcBorders>
              <w:top w:val="single" w:sz="4" w:space="0" w:color="auto"/>
              <w:bottom w:val="single" w:sz="12" w:space="0" w:color="auto"/>
            </w:tcBorders>
            <w:shd w:val="clear" w:color="auto" w:fill="auto"/>
            <w:vAlign w:val="bottom"/>
          </w:tcPr>
          <w:p w14:paraId="18AB36B1" w14:textId="77777777" w:rsidR="00653063" w:rsidRPr="00677967" w:rsidRDefault="00653063" w:rsidP="00677967">
            <w:pPr>
              <w:spacing w:before="80" w:after="80" w:line="200" w:lineRule="exact"/>
              <w:jc w:val="right"/>
              <w:rPr>
                <w:rFonts w:eastAsia="Times New Roman"/>
                <w:i/>
                <w:sz w:val="16"/>
                <w:szCs w:val="16"/>
                <w:lang w:val="es-ES_tradnl" w:eastAsia="es-BO"/>
              </w:rPr>
            </w:pPr>
            <w:r w:rsidRPr="00677967">
              <w:rPr>
                <w:rFonts w:eastAsia="Times New Roman"/>
                <w:i/>
                <w:sz w:val="16"/>
                <w:szCs w:val="16"/>
                <w:lang w:val="es-ES_tradnl" w:eastAsia="es-BO"/>
              </w:rPr>
              <w:t>SIN DIFICULTAD PERMANENTE</w:t>
            </w:r>
          </w:p>
        </w:tc>
      </w:tr>
      <w:tr w:rsidR="00677967" w:rsidRPr="00677967" w14:paraId="1C7487CD" w14:textId="77777777" w:rsidTr="00677967">
        <w:tc>
          <w:tcPr>
            <w:tcW w:w="2938" w:type="dxa"/>
            <w:tcBorders>
              <w:top w:val="single" w:sz="12" w:space="0" w:color="auto"/>
            </w:tcBorders>
            <w:shd w:val="clear" w:color="auto" w:fill="auto"/>
          </w:tcPr>
          <w:p w14:paraId="5C3127AF"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BOLIVIA</w:t>
            </w:r>
          </w:p>
        </w:tc>
        <w:tc>
          <w:tcPr>
            <w:tcW w:w="1540" w:type="dxa"/>
            <w:tcBorders>
              <w:top w:val="single" w:sz="12" w:space="0" w:color="auto"/>
            </w:tcBorders>
            <w:shd w:val="clear" w:color="auto" w:fill="auto"/>
            <w:vAlign w:val="bottom"/>
          </w:tcPr>
          <w:p w14:paraId="64CC5796"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2.803.982</w:t>
            </w:r>
          </w:p>
        </w:tc>
        <w:tc>
          <w:tcPr>
            <w:tcW w:w="1541" w:type="dxa"/>
            <w:tcBorders>
              <w:top w:val="single" w:sz="12" w:space="0" w:color="auto"/>
            </w:tcBorders>
            <w:shd w:val="clear" w:color="auto" w:fill="auto"/>
            <w:vAlign w:val="bottom"/>
          </w:tcPr>
          <w:p w14:paraId="0E490EBB"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287.667</w:t>
            </w:r>
          </w:p>
        </w:tc>
        <w:tc>
          <w:tcPr>
            <w:tcW w:w="1541" w:type="dxa"/>
            <w:tcBorders>
              <w:top w:val="single" w:sz="12" w:space="0" w:color="auto"/>
            </w:tcBorders>
            <w:shd w:val="clear" w:color="auto" w:fill="auto"/>
            <w:vAlign w:val="bottom"/>
          </w:tcPr>
          <w:p w14:paraId="23C6CB5E"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2.516.315</w:t>
            </w:r>
          </w:p>
        </w:tc>
      </w:tr>
      <w:tr w:rsidR="00677967" w:rsidRPr="00677967" w14:paraId="29EF1129" w14:textId="77777777" w:rsidTr="00677967">
        <w:tc>
          <w:tcPr>
            <w:tcW w:w="2938" w:type="dxa"/>
            <w:shd w:val="clear" w:color="auto" w:fill="auto"/>
          </w:tcPr>
          <w:p w14:paraId="3D8A9538"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CHUQUISACA</w:t>
            </w:r>
          </w:p>
        </w:tc>
        <w:tc>
          <w:tcPr>
            <w:tcW w:w="1540" w:type="dxa"/>
            <w:shd w:val="clear" w:color="auto" w:fill="auto"/>
            <w:vAlign w:val="bottom"/>
          </w:tcPr>
          <w:p w14:paraId="088B65B5"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150.202</w:t>
            </w:r>
          </w:p>
        </w:tc>
        <w:tc>
          <w:tcPr>
            <w:tcW w:w="1541" w:type="dxa"/>
            <w:shd w:val="clear" w:color="auto" w:fill="auto"/>
            <w:vAlign w:val="bottom"/>
          </w:tcPr>
          <w:p w14:paraId="66C9747E"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17.659</w:t>
            </w:r>
          </w:p>
        </w:tc>
        <w:tc>
          <w:tcPr>
            <w:tcW w:w="1541" w:type="dxa"/>
            <w:shd w:val="clear" w:color="auto" w:fill="auto"/>
            <w:vAlign w:val="bottom"/>
          </w:tcPr>
          <w:p w14:paraId="5986F843"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132.543</w:t>
            </w:r>
          </w:p>
        </w:tc>
      </w:tr>
      <w:tr w:rsidR="00677967" w:rsidRPr="00677967" w14:paraId="75EA6177" w14:textId="77777777" w:rsidTr="00677967">
        <w:tc>
          <w:tcPr>
            <w:tcW w:w="2938" w:type="dxa"/>
            <w:shd w:val="clear" w:color="auto" w:fill="auto"/>
          </w:tcPr>
          <w:p w14:paraId="53721E2C" w14:textId="77777777" w:rsidR="00653063" w:rsidRPr="00677967" w:rsidRDefault="00653063" w:rsidP="00677967">
            <w:pPr>
              <w:spacing w:before="40" w:after="40" w:line="220" w:lineRule="exact"/>
              <w:rPr>
                <w:rFonts w:eastAsia="Times New Roman"/>
                <w:b/>
                <w:sz w:val="18"/>
                <w:szCs w:val="16"/>
                <w:u w:val="single"/>
                <w:lang w:val="es-ES_tradnl" w:eastAsia="es-BO"/>
              </w:rPr>
            </w:pPr>
            <w:r w:rsidRPr="00677967">
              <w:rPr>
                <w:rFonts w:eastAsia="Times New Roman"/>
                <w:b/>
                <w:sz w:val="18"/>
                <w:szCs w:val="16"/>
                <w:u w:val="single"/>
                <w:lang w:val="es-ES_tradnl" w:eastAsia="es-BO"/>
              </w:rPr>
              <w:t>LA PAZ</w:t>
            </w:r>
          </w:p>
        </w:tc>
        <w:tc>
          <w:tcPr>
            <w:tcW w:w="1540" w:type="dxa"/>
            <w:shd w:val="clear" w:color="auto" w:fill="auto"/>
            <w:vAlign w:val="bottom"/>
          </w:tcPr>
          <w:p w14:paraId="5BFC5460" w14:textId="77777777" w:rsidR="00653063" w:rsidRPr="00677967" w:rsidRDefault="00653063" w:rsidP="00677967">
            <w:pPr>
              <w:spacing w:before="40" w:after="40" w:line="220" w:lineRule="exact"/>
              <w:jc w:val="right"/>
              <w:rPr>
                <w:rFonts w:eastAsia="Times New Roman"/>
                <w:b/>
                <w:sz w:val="18"/>
                <w:szCs w:val="16"/>
                <w:u w:val="single"/>
                <w:lang w:val="es-ES_tradnl" w:eastAsia="es-BO"/>
              </w:rPr>
            </w:pPr>
            <w:r w:rsidRPr="00677967">
              <w:rPr>
                <w:rFonts w:eastAsia="Times New Roman"/>
                <w:b/>
                <w:sz w:val="18"/>
                <w:szCs w:val="16"/>
                <w:u w:val="single"/>
                <w:lang w:val="es-ES_tradnl" w:eastAsia="es-BO"/>
              </w:rPr>
              <w:t>852.573</w:t>
            </w:r>
          </w:p>
        </w:tc>
        <w:tc>
          <w:tcPr>
            <w:tcW w:w="1541" w:type="dxa"/>
            <w:shd w:val="clear" w:color="auto" w:fill="auto"/>
            <w:vAlign w:val="bottom"/>
          </w:tcPr>
          <w:p w14:paraId="7A3DD145" w14:textId="77777777" w:rsidR="00653063" w:rsidRPr="00677967" w:rsidRDefault="00653063" w:rsidP="00677967">
            <w:pPr>
              <w:spacing w:before="40" w:after="40" w:line="220" w:lineRule="exact"/>
              <w:jc w:val="right"/>
              <w:rPr>
                <w:rFonts w:eastAsia="Times New Roman"/>
                <w:b/>
                <w:sz w:val="18"/>
                <w:szCs w:val="16"/>
                <w:u w:val="single"/>
                <w:lang w:val="es-ES_tradnl" w:eastAsia="es-BO"/>
              </w:rPr>
            </w:pPr>
            <w:r w:rsidRPr="00677967">
              <w:rPr>
                <w:rFonts w:eastAsia="Times New Roman"/>
                <w:b/>
                <w:sz w:val="18"/>
                <w:szCs w:val="16"/>
                <w:u w:val="single"/>
                <w:lang w:val="es-ES_tradnl" w:eastAsia="es-BO"/>
              </w:rPr>
              <w:t>90.513</w:t>
            </w:r>
          </w:p>
        </w:tc>
        <w:tc>
          <w:tcPr>
            <w:tcW w:w="1541" w:type="dxa"/>
            <w:shd w:val="clear" w:color="auto" w:fill="auto"/>
            <w:vAlign w:val="bottom"/>
          </w:tcPr>
          <w:p w14:paraId="30924193" w14:textId="77777777" w:rsidR="00653063" w:rsidRPr="00677967" w:rsidRDefault="00653063" w:rsidP="00677967">
            <w:pPr>
              <w:spacing w:before="40" w:after="40" w:line="220" w:lineRule="exact"/>
              <w:jc w:val="right"/>
              <w:rPr>
                <w:rFonts w:eastAsia="Times New Roman"/>
                <w:b/>
                <w:sz w:val="18"/>
                <w:szCs w:val="16"/>
                <w:u w:val="single"/>
                <w:lang w:val="es-ES_tradnl" w:eastAsia="es-BO"/>
              </w:rPr>
            </w:pPr>
            <w:r w:rsidRPr="00677967">
              <w:rPr>
                <w:rFonts w:eastAsia="Times New Roman"/>
                <w:b/>
                <w:sz w:val="18"/>
                <w:szCs w:val="16"/>
                <w:u w:val="single"/>
                <w:lang w:val="es-ES_tradnl" w:eastAsia="es-BO"/>
              </w:rPr>
              <w:t>762.060</w:t>
            </w:r>
          </w:p>
        </w:tc>
      </w:tr>
      <w:tr w:rsidR="00677967" w:rsidRPr="00677967" w14:paraId="3580A0BC" w14:textId="77777777" w:rsidTr="00677967">
        <w:tc>
          <w:tcPr>
            <w:tcW w:w="2938" w:type="dxa"/>
            <w:shd w:val="clear" w:color="auto" w:fill="auto"/>
          </w:tcPr>
          <w:p w14:paraId="3BAA13DB"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COCHABAMBA</w:t>
            </w:r>
          </w:p>
        </w:tc>
        <w:tc>
          <w:tcPr>
            <w:tcW w:w="1540" w:type="dxa"/>
            <w:shd w:val="clear" w:color="auto" w:fill="auto"/>
            <w:vAlign w:val="bottom"/>
          </w:tcPr>
          <w:p w14:paraId="06C89BB1"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516.608</w:t>
            </w:r>
          </w:p>
        </w:tc>
        <w:tc>
          <w:tcPr>
            <w:tcW w:w="1541" w:type="dxa"/>
            <w:shd w:val="clear" w:color="auto" w:fill="auto"/>
            <w:vAlign w:val="bottom"/>
          </w:tcPr>
          <w:p w14:paraId="590994B0"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46.287</w:t>
            </w:r>
          </w:p>
        </w:tc>
        <w:tc>
          <w:tcPr>
            <w:tcW w:w="1541" w:type="dxa"/>
            <w:shd w:val="clear" w:color="auto" w:fill="auto"/>
            <w:vAlign w:val="bottom"/>
          </w:tcPr>
          <w:p w14:paraId="5F9A1767"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470.321</w:t>
            </w:r>
          </w:p>
        </w:tc>
      </w:tr>
      <w:tr w:rsidR="00677967" w:rsidRPr="00677967" w14:paraId="7A2A3580" w14:textId="77777777" w:rsidTr="00677967">
        <w:tc>
          <w:tcPr>
            <w:tcW w:w="2938" w:type="dxa"/>
            <w:shd w:val="clear" w:color="auto" w:fill="auto"/>
          </w:tcPr>
          <w:p w14:paraId="22A32FBB"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ORURO</w:t>
            </w:r>
          </w:p>
        </w:tc>
        <w:tc>
          <w:tcPr>
            <w:tcW w:w="1540" w:type="dxa"/>
            <w:shd w:val="clear" w:color="auto" w:fill="auto"/>
            <w:vAlign w:val="bottom"/>
          </w:tcPr>
          <w:p w14:paraId="696ACDD5"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152.061</w:t>
            </w:r>
          </w:p>
        </w:tc>
        <w:tc>
          <w:tcPr>
            <w:tcW w:w="1541" w:type="dxa"/>
            <w:shd w:val="clear" w:color="auto" w:fill="auto"/>
            <w:vAlign w:val="bottom"/>
          </w:tcPr>
          <w:p w14:paraId="4167475C"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15.629</w:t>
            </w:r>
          </w:p>
        </w:tc>
        <w:tc>
          <w:tcPr>
            <w:tcW w:w="1541" w:type="dxa"/>
            <w:shd w:val="clear" w:color="auto" w:fill="auto"/>
            <w:vAlign w:val="bottom"/>
          </w:tcPr>
          <w:p w14:paraId="32296C3D"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136.432</w:t>
            </w:r>
          </w:p>
        </w:tc>
      </w:tr>
      <w:tr w:rsidR="00677967" w:rsidRPr="00677967" w14:paraId="73AC9905" w14:textId="77777777" w:rsidTr="00677967">
        <w:tc>
          <w:tcPr>
            <w:tcW w:w="2938" w:type="dxa"/>
            <w:shd w:val="clear" w:color="auto" w:fill="auto"/>
          </w:tcPr>
          <w:p w14:paraId="40536B6F"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POTOSÍ</w:t>
            </w:r>
          </w:p>
        </w:tc>
        <w:tc>
          <w:tcPr>
            <w:tcW w:w="1540" w:type="dxa"/>
            <w:shd w:val="clear" w:color="auto" w:fill="auto"/>
            <w:vAlign w:val="bottom"/>
          </w:tcPr>
          <w:p w14:paraId="5B4D4595"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242.181</w:t>
            </w:r>
          </w:p>
        </w:tc>
        <w:tc>
          <w:tcPr>
            <w:tcW w:w="1541" w:type="dxa"/>
            <w:shd w:val="clear" w:color="auto" w:fill="auto"/>
            <w:vAlign w:val="bottom"/>
          </w:tcPr>
          <w:p w14:paraId="3E73512D"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22.260</w:t>
            </w:r>
          </w:p>
        </w:tc>
        <w:tc>
          <w:tcPr>
            <w:tcW w:w="1541" w:type="dxa"/>
            <w:shd w:val="clear" w:color="auto" w:fill="auto"/>
            <w:vAlign w:val="bottom"/>
          </w:tcPr>
          <w:p w14:paraId="68FE0256"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219.921</w:t>
            </w:r>
          </w:p>
        </w:tc>
      </w:tr>
      <w:tr w:rsidR="00677967" w:rsidRPr="00677967" w14:paraId="01005445" w14:textId="77777777" w:rsidTr="00677967">
        <w:tc>
          <w:tcPr>
            <w:tcW w:w="2938" w:type="dxa"/>
            <w:shd w:val="clear" w:color="auto" w:fill="auto"/>
          </w:tcPr>
          <w:p w14:paraId="3F7757B7"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TARIJA</w:t>
            </w:r>
          </w:p>
        </w:tc>
        <w:tc>
          <w:tcPr>
            <w:tcW w:w="1540" w:type="dxa"/>
            <w:shd w:val="clear" w:color="auto" w:fill="auto"/>
            <w:vAlign w:val="bottom"/>
          </w:tcPr>
          <w:p w14:paraId="606CEDE8"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126.248</w:t>
            </w:r>
          </w:p>
        </w:tc>
        <w:tc>
          <w:tcPr>
            <w:tcW w:w="1541" w:type="dxa"/>
            <w:shd w:val="clear" w:color="auto" w:fill="auto"/>
            <w:vAlign w:val="bottom"/>
          </w:tcPr>
          <w:p w14:paraId="4DEFC2BC"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15.147</w:t>
            </w:r>
          </w:p>
        </w:tc>
        <w:tc>
          <w:tcPr>
            <w:tcW w:w="1541" w:type="dxa"/>
            <w:shd w:val="clear" w:color="auto" w:fill="auto"/>
            <w:vAlign w:val="bottom"/>
          </w:tcPr>
          <w:p w14:paraId="020E7DE4"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111.101</w:t>
            </w:r>
          </w:p>
        </w:tc>
      </w:tr>
      <w:tr w:rsidR="00677967" w:rsidRPr="00677967" w14:paraId="2515C8B0" w14:textId="77777777" w:rsidTr="00677967">
        <w:tc>
          <w:tcPr>
            <w:tcW w:w="2938" w:type="dxa"/>
            <w:shd w:val="clear" w:color="auto" w:fill="auto"/>
          </w:tcPr>
          <w:p w14:paraId="04AD96A4"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SANTA CRUZ</w:t>
            </w:r>
          </w:p>
        </w:tc>
        <w:tc>
          <w:tcPr>
            <w:tcW w:w="1540" w:type="dxa"/>
            <w:shd w:val="clear" w:color="auto" w:fill="auto"/>
            <w:vAlign w:val="bottom"/>
          </w:tcPr>
          <w:p w14:paraId="1278C533"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644.854</w:t>
            </w:r>
          </w:p>
        </w:tc>
        <w:tc>
          <w:tcPr>
            <w:tcW w:w="1541" w:type="dxa"/>
            <w:shd w:val="clear" w:color="auto" w:fill="auto"/>
            <w:vAlign w:val="bottom"/>
          </w:tcPr>
          <w:p w14:paraId="3E320203"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67.357</w:t>
            </w:r>
          </w:p>
        </w:tc>
        <w:tc>
          <w:tcPr>
            <w:tcW w:w="1541" w:type="dxa"/>
            <w:shd w:val="clear" w:color="auto" w:fill="auto"/>
            <w:vAlign w:val="bottom"/>
          </w:tcPr>
          <w:p w14:paraId="1F83F9E0"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577.497</w:t>
            </w:r>
          </w:p>
        </w:tc>
      </w:tr>
      <w:tr w:rsidR="00677967" w:rsidRPr="00677967" w14:paraId="5238DB60" w14:textId="77777777" w:rsidTr="00677967">
        <w:tc>
          <w:tcPr>
            <w:tcW w:w="2938" w:type="dxa"/>
            <w:shd w:val="clear" w:color="auto" w:fill="auto"/>
          </w:tcPr>
          <w:p w14:paraId="4FC0D843"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BENI</w:t>
            </w:r>
          </w:p>
        </w:tc>
        <w:tc>
          <w:tcPr>
            <w:tcW w:w="1540" w:type="dxa"/>
            <w:shd w:val="clear" w:color="auto" w:fill="auto"/>
            <w:vAlign w:val="bottom"/>
          </w:tcPr>
          <w:p w14:paraId="34355164"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93.890</w:t>
            </w:r>
          </w:p>
        </w:tc>
        <w:tc>
          <w:tcPr>
            <w:tcW w:w="1541" w:type="dxa"/>
            <w:shd w:val="clear" w:color="auto" w:fill="auto"/>
            <w:vAlign w:val="bottom"/>
          </w:tcPr>
          <w:p w14:paraId="7C803501"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10.454</w:t>
            </w:r>
          </w:p>
        </w:tc>
        <w:tc>
          <w:tcPr>
            <w:tcW w:w="1541" w:type="dxa"/>
            <w:shd w:val="clear" w:color="auto" w:fill="auto"/>
            <w:vAlign w:val="bottom"/>
          </w:tcPr>
          <w:p w14:paraId="5D7E52BC"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83.436</w:t>
            </w:r>
          </w:p>
        </w:tc>
      </w:tr>
      <w:tr w:rsidR="00677967" w:rsidRPr="00677967" w14:paraId="7B894D30" w14:textId="77777777" w:rsidTr="00677967">
        <w:tc>
          <w:tcPr>
            <w:tcW w:w="2938" w:type="dxa"/>
            <w:tcBorders>
              <w:bottom w:val="single" w:sz="12" w:space="0" w:color="auto"/>
            </w:tcBorders>
            <w:shd w:val="clear" w:color="auto" w:fill="auto"/>
          </w:tcPr>
          <w:p w14:paraId="6A44CCFC" w14:textId="77777777" w:rsidR="00653063" w:rsidRPr="00677967" w:rsidRDefault="00653063" w:rsidP="00677967">
            <w:pPr>
              <w:spacing w:before="40" w:after="40" w:line="220" w:lineRule="exact"/>
              <w:rPr>
                <w:rFonts w:eastAsia="Times New Roman"/>
                <w:b/>
                <w:sz w:val="18"/>
                <w:szCs w:val="16"/>
                <w:lang w:val="es-ES_tradnl" w:eastAsia="es-BO"/>
              </w:rPr>
            </w:pPr>
            <w:r w:rsidRPr="00677967">
              <w:rPr>
                <w:rFonts w:eastAsia="Times New Roman"/>
                <w:b/>
                <w:sz w:val="18"/>
                <w:szCs w:val="16"/>
                <w:lang w:val="es-ES_tradnl" w:eastAsia="es-BO"/>
              </w:rPr>
              <w:t>PANDO</w:t>
            </w:r>
          </w:p>
        </w:tc>
        <w:tc>
          <w:tcPr>
            <w:tcW w:w="1540" w:type="dxa"/>
            <w:tcBorders>
              <w:bottom w:val="single" w:sz="12" w:space="0" w:color="auto"/>
            </w:tcBorders>
            <w:shd w:val="clear" w:color="auto" w:fill="auto"/>
            <w:vAlign w:val="bottom"/>
          </w:tcPr>
          <w:p w14:paraId="6C78DAF4"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25.365</w:t>
            </w:r>
          </w:p>
        </w:tc>
        <w:tc>
          <w:tcPr>
            <w:tcW w:w="1541" w:type="dxa"/>
            <w:tcBorders>
              <w:bottom w:val="single" w:sz="12" w:space="0" w:color="auto"/>
            </w:tcBorders>
            <w:shd w:val="clear" w:color="auto" w:fill="auto"/>
            <w:vAlign w:val="bottom"/>
          </w:tcPr>
          <w:p w14:paraId="7374A2B2"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2.361</w:t>
            </w:r>
          </w:p>
        </w:tc>
        <w:tc>
          <w:tcPr>
            <w:tcW w:w="1541" w:type="dxa"/>
            <w:tcBorders>
              <w:bottom w:val="single" w:sz="12" w:space="0" w:color="auto"/>
            </w:tcBorders>
            <w:shd w:val="clear" w:color="auto" w:fill="auto"/>
            <w:vAlign w:val="bottom"/>
          </w:tcPr>
          <w:p w14:paraId="5C9281C5" w14:textId="77777777" w:rsidR="00653063" w:rsidRPr="00677967" w:rsidRDefault="00653063" w:rsidP="00677967">
            <w:pPr>
              <w:spacing w:before="40" w:after="40" w:line="220" w:lineRule="exact"/>
              <w:jc w:val="right"/>
              <w:rPr>
                <w:rFonts w:eastAsia="Times New Roman"/>
                <w:b/>
                <w:sz w:val="18"/>
                <w:szCs w:val="16"/>
                <w:lang w:val="es-ES_tradnl" w:eastAsia="es-BO"/>
              </w:rPr>
            </w:pPr>
            <w:r w:rsidRPr="00677967">
              <w:rPr>
                <w:rFonts w:eastAsia="Times New Roman"/>
                <w:b/>
                <w:sz w:val="18"/>
                <w:szCs w:val="16"/>
                <w:lang w:val="es-ES_tradnl" w:eastAsia="es-BO"/>
              </w:rPr>
              <w:t>23.004</w:t>
            </w:r>
          </w:p>
        </w:tc>
      </w:tr>
    </w:tbl>
    <w:p w14:paraId="5D63167C" w14:textId="77777777" w:rsidR="00653063" w:rsidRPr="00653063" w:rsidRDefault="00653063" w:rsidP="00677967">
      <w:pPr>
        <w:pStyle w:val="SingleTxtG"/>
        <w:rPr>
          <w:lang w:val="es-ES_tradnl" w:eastAsia="es-BO"/>
        </w:rPr>
      </w:pPr>
      <w:r w:rsidRPr="00653063">
        <w:rPr>
          <w:lang w:val="es-ES_tradnl" w:eastAsia="es-BO"/>
        </w:rPr>
        <w:t>Fuente: INE – Censo 2012</w:t>
      </w:r>
    </w:p>
    <w:p w14:paraId="039096C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próximo Censo de Población y Vivienda se realizará el 23 de marzo de 2024, permitirá obtener y recopilar, características habitacionales de los hogares y datos demográficos, económicos y sociales relativos a todos los habitantes de un país en un momento determinado. </w:t>
      </w:r>
    </w:p>
    <w:p w14:paraId="5A886CBC"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2022 se conformó un </w:t>
      </w:r>
      <w:r w:rsidRPr="00653063">
        <w:rPr>
          <w:rFonts w:eastAsia="Times New Roman"/>
          <w:i/>
          <w:lang w:val="es-ES_tradnl" w:eastAsia="es-BO"/>
        </w:rPr>
        <w:t xml:space="preserve">Comité Técnico Interinstitucional </w:t>
      </w:r>
      <w:r w:rsidRPr="00653063">
        <w:rPr>
          <w:rFonts w:eastAsia="Times New Roman"/>
          <w:lang w:val="es-ES_tradnl" w:eastAsia="es-BO"/>
        </w:rPr>
        <w:t xml:space="preserve">integrado por el INE, MJTI, MSD, Ministerio de Educación y el CONALPEDIS, </w:t>
      </w:r>
      <w:proofErr w:type="gramStart"/>
      <w:r w:rsidRPr="00653063">
        <w:rPr>
          <w:rFonts w:eastAsia="Times New Roman"/>
          <w:lang w:val="es-ES_tradnl" w:eastAsia="es-BO"/>
        </w:rPr>
        <w:t>a objeto de</w:t>
      </w:r>
      <w:proofErr w:type="gramEnd"/>
      <w:r w:rsidRPr="00653063">
        <w:rPr>
          <w:rFonts w:eastAsia="Times New Roman"/>
          <w:lang w:val="es-ES_tradnl" w:eastAsia="es-BO"/>
        </w:rPr>
        <w:t xml:space="preserve"> analizar y definir la Metodología de la Pregunta incorporada para el Censo 2024, con relación al acápite de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705A0E86"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bookmarkStart w:id="39" w:name="_heading=h.2p2csry" w:colFirst="0" w:colLast="0"/>
      <w:bookmarkEnd w:id="39"/>
      <w:r w:rsidRPr="00653063">
        <w:rPr>
          <w:rFonts w:eastAsia="Times New Roman"/>
          <w:lang w:val="es-ES_tradnl" w:eastAsia="es-BO"/>
        </w:rPr>
        <w:t xml:space="preserve">El Sistema de Información para el Registro Único Nacional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(SIPRUNPCD) proporciona datos sociodemográficos referentes a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registradas del proceso de calificación de la discapacidad desglosados por Grupo </w:t>
      </w:r>
      <w:proofErr w:type="spellStart"/>
      <w:r w:rsidRPr="00653063">
        <w:rPr>
          <w:rFonts w:eastAsia="Times New Roman"/>
          <w:lang w:val="es-ES_tradnl" w:eastAsia="es-BO"/>
        </w:rPr>
        <w:t>Etáreo</w:t>
      </w:r>
      <w:proofErr w:type="spellEnd"/>
      <w:r w:rsidRPr="00653063">
        <w:rPr>
          <w:rFonts w:eastAsia="Times New Roman"/>
          <w:lang w:val="es-ES_tradnl" w:eastAsia="es-BO"/>
        </w:rPr>
        <w:t>, por Sexo, por Tipo de Discapacidad, por Identificación con algún pueblo Indígena Originario, distribución por Departamentos, entre otros. (Anexo 27)</w:t>
      </w:r>
    </w:p>
    <w:p w14:paraId="00E8D7E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Por otro lado, el IBC realiza un registro de personas ciegas afiliadas, contando a la fecha con un total de 6.813 personas afiliadas. </w:t>
      </w:r>
    </w:p>
    <w:p w14:paraId="63394489" w14:textId="7D14A2FA" w:rsidR="00653063" w:rsidRPr="00653063" w:rsidRDefault="00AE16CA" w:rsidP="00AE16CA">
      <w:pPr>
        <w:pStyle w:val="H23G"/>
        <w:rPr>
          <w:lang w:val="es-ES_tradnl" w:eastAsia="es-BO"/>
        </w:rPr>
      </w:pPr>
      <w:bookmarkStart w:id="40" w:name="_heading=h.147n2zr" w:colFirst="0" w:colLast="0"/>
      <w:bookmarkEnd w:id="40"/>
      <w:r w:rsidRPr="00AE16CA">
        <w:rPr>
          <w:b w:val="0"/>
          <w:lang w:val="es-ES_tradnl" w:eastAsia="es-BO"/>
        </w:rPr>
        <w:tab/>
      </w:r>
      <w:r w:rsidRPr="00AE16CA">
        <w:rPr>
          <w:b w:val="0"/>
          <w:lang w:val="es-ES_tradnl" w:eastAsia="es-BO"/>
        </w:rPr>
        <w:tab/>
      </w:r>
      <w:r>
        <w:rPr>
          <w:lang w:val="es-ES_tradnl" w:eastAsia="es-BO"/>
        </w:rPr>
        <w:t>b)</w:t>
      </w:r>
      <w:r>
        <w:rPr>
          <w:lang w:val="es-ES_tradnl" w:eastAsia="es-BO"/>
        </w:rPr>
        <w:tab/>
      </w:r>
      <w:r w:rsidR="00653063" w:rsidRPr="00653063">
        <w:rPr>
          <w:lang w:val="es-ES_tradnl" w:eastAsia="es-BO"/>
        </w:rPr>
        <w:t>Cooperación internacional (Artículo 32, Recomendación 72)</w:t>
      </w:r>
    </w:p>
    <w:p w14:paraId="59588AD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Con relación a la recomendación del Párrafo 72 de las Observaciones Finales, sobre la transversalización de los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la implementación y el monitoreo de la Agenda 2030 y los ODS a nivel nacional, el Estado boliviano asumió el compromiso de avanzar hacia el cumplimiento de la Agenda 2030 y sus ODS aprobados en 2015 por la Asamblea General de Naciones Unidas, en línea con los objetivos nacionales sustentados en la redistribución del ingreso y la reducción de la desigualdad; la generación de oportunidades económicas y empleo digno; un Estado con más justicia y seguridad, menos corrupción y burocracia, y; el desarrollo con respeto a la Madre Tierra. </w:t>
      </w:r>
    </w:p>
    <w:p w14:paraId="4A14971D"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bookmarkStart w:id="41" w:name="_heading=h.3o7alnk" w:colFirst="0" w:colLast="0"/>
      <w:bookmarkEnd w:id="41"/>
      <w:r w:rsidRPr="00653063">
        <w:rPr>
          <w:rFonts w:eastAsia="Times New Roman"/>
          <w:lang w:val="es-ES_tradnl" w:eastAsia="es-BO"/>
        </w:rPr>
        <w:t xml:space="preserve">Así, mediante Resolución </w:t>
      </w:r>
      <w:proofErr w:type="spellStart"/>
      <w:r w:rsidRPr="00653063">
        <w:rPr>
          <w:rFonts w:eastAsia="Times New Roman"/>
          <w:lang w:val="es-ES_tradnl" w:eastAsia="es-BO"/>
        </w:rPr>
        <w:t>Multiministerial</w:t>
      </w:r>
      <w:proofErr w:type="spellEnd"/>
      <w:r w:rsidRPr="00653063">
        <w:rPr>
          <w:rFonts w:eastAsia="Times New Roman"/>
          <w:lang w:val="es-ES_tradnl" w:eastAsia="es-BO"/>
        </w:rPr>
        <w:t xml:space="preserve">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001 de 30 de octubre de 2017 (Anexo 28) se creó el CIMPDS, conformado por los Ministerios de:  Planificación del Desarrollo Economía y Finanzas Públicas, Salud y Deportes, Educación, Justicia y Transparencia Institucional, Medio Ambiente y Agua y Desarrollo Rural y Tierras. Bajo la dirección del Ministerio de Planificación del Desarrollo y la coordinación técnica de la Unidad de Análisis de Políticas Sociales y Económicas (UDAPE) y el Instituto Nacional de Estadística (INE). </w:t>
      </w:r>
    </w:p>
    <w:p w14:paraId="03D95425"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El CIMPDS emitió el Primer </w:t>
      </w:r>
      <w:r w:rsidRPr="00653063">
        <w:rPr>
          <w:rFonts w:eastAsia="Times New Roman"/>
          <w:i/>
          <w:lang w:val="es-ES_tradnl" w:eastAsia="es-BO"/>
        </w:rPr>
        <w:t xml:space="preserve">“Informe Nacional Voluntario de Bolivia 2021” </w:t>
      </w:r>
      <w:r w:rsidRPr="00653063">
        <w:rPr>
          <w:rFonts w:eastAsia="Times New Roman"/>
          <w:lang w:val="es-ES_tradnl" w:eastAsia="es-BO"/>
        </w:rPr>
        <w:t xml:space="preserve">(Anexo 29) que reporta información cuantitativa disponible de los indicadores definidos por las comisiones técnicas organizadas en el marco del CIMPDS e importantes avances y logros alcanzados en la implementación nacional de los ODS en el período comprendido entre 2016 </w:t>
      </w:r>
      <w:r w:rsidRPr="00653063">
        <w:rPr>
          <w:rFonts w:eastAsia="Times New Roman"/>
          <w:lang w:val="es-ES_tradnl" w:eastAsia="es-BO"/>
        </w:rPr>
        <w:lastRenderedPageBreak/>
        <w:t>y octubre de 2019, la vinculación de los ODS a la Agenda Patriótica 2025 y al Plan de Desarrollo Económico y Social.</w:t>
      </w:r>
    </w:p>
    <w:p w14:paraId="4D5A8422"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los objetivos, metas e indicadores establecidos en la Agenda 2030 y los ODS, son monitoreados por el CONALPEDIS, como ente de defensa de los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dependiente del MJTI, y conforme al Decreto Supremo </w:t>
      </w:r>
      <w:proofErr w:type="spellStart"/>
      <w:r w:rsidRPr="00653063">
        <w:rPr>
          <w:rFonts w:eastAsia="Times New Roman"/>
          <w:lang w:val="es-ES_tradnl" w:eastAsia="es-BO"/>
        </w:rPr>
        <w:t>N°</w:t>
      </w:r>
      <w:proofErr w:type="spellEnd"/>
      <w:r w:rsidRPr="00653063">
        <w:rPr>
          <w:rFonts w:eastAsia="Times New Roman"/>
          <w:lang w:val="es-ES_tradnl" w:eastAsia="es-BO"/>
        </w:rPr>
        <w:t xml:space="preserve"> 4691, tiene las siguientes funciones:</w:t>
      </w:r>
    </w:p>
    <w:p w14:paraId="27D982A7" w14:textId="29C4E7A8" w:rsidR="00653063" w:rsidRPr="00653063" w:rsidRDefault="00653063" w:rsidP="00AE16CA">
      <w:pPr>
        <w:pStyle w:val="SingleTxtG"/>
        <w:numPr>
          <w:ilvl w:val="1"/>
          <w:numId w:val="44"/>
        </w:numPr>
        <w:ind w:left="1701" w:firstLine="0"/>
        <w:rPr>
          <w:lang w:val="es-ES_tradnl" w:eastAsia="es-BO"/>
        </w:rPr>
      </w:pPr>
      <w:r w:rsidRPr="00653063">
        <w:rPr>
          <w:lang w:val="es-ES_tradnl" w:eastAsia="es-BO"/>
        </w:rPr>
        <w:t xml:space="preserve">Brindar orientación a las personas con discapacidad para el ejercicio pleno de sus derechos; </w:t>
      </w:r>
    </w:p>
    <w:p w14:paraId="5E760EBE" w14:textId="01F7D1E1" w:rsidR="00653063" w:rsidRPr="00653063" w:rsidRDefault="00653063" w:rsidP="00AE16CA">
      <w:pPr>
        <w:pStyle w:val="SingleTxtG"/>
        <w:numPr>
          <w:ilvl w:val="1"/>
          <w:numId w:val="44"/>
        </w:numPr>
        <w:ind w:left="1701" w:firstLine="0"/>
        <w:rPr>
          <w:lang w:val="es-ES_tradnl" w:eastAsia="es-BO"/>
        </w:rPr>
      </w:pPr>
      <w:r w:rsidRPr="00653063">
        <w:rPr>
          <w:lang w:val="es-ES_tradnl" w:eastAsia="es-BO"/>
        </w:rPr>
        <w:t xml:space="preserve">Promover normas, políticas y estrategias para el ejercicio de los derechos de las personas con discapacidad; </w:t>
      </w:r>
    </w:p>
    <w:p w14:paraId="72207333" w14:textId="1B3B60E9" w:rsidR="00653063" w:rsidRPr="00653063" w:rsidRDefault="00653063" w:rsidP="00AE16CA">
      <w:pPr>
        <w:pStyle w:val="SingleTxtG"/>
        <w:numPr>
          <w:ilvl w:val="1"/>
          <w:numId w:val="44"/>
        </w:numPr>
        <w:ind w:left="1701" w:firstLine="0"/>
        <w:rPr>
          <w:lang w:val="es-ES_tradnl" w:eastAsia="es-BO"/>
        </w:rPr>
      </w:pPr>
      <w:r w:rsidRPr="00653063">
        <w:rPr>
          <w:lang w:val="es-ES_tradnl" w:eastAsia="es-BO"/>
        </w:rPr>
        <w:t>Promover y fomentar el enfoque de discapacidad bajo un modelo social de derechos en el marco de una cultura de la dignidad, respeto de las personas con discapacidad a través de programas de campañas de sensibilización y concientización con un enfoque de inclusión social;</w:t>
      </w:r>
    </w:p>
    <w:p w14:paraId="61F0661C" w14:textId="500178A7" w:rsidR="00653063" w:rsidRPr="00653063" w:rsidRDefault="00653063" w:rsidP="00AE16CA">
      <w:pPr>
        <w:pStyle w:val="SingleTxtG"/>
        <w:numPr>
          <w:ilvl w:val="1"/>
          <w:numId w:val="44"/>
        </w:numPr>
        <w:ind w:left="1701" w:firstLine="0"/>
        <w:rPr>
          <w:lang w:val="es-ES_tradnl" w:eastAsia="es-BO"/>
        </w:rPr>
      </w:pPr>
      <w:r w:rsidRPr="00653063">
        <w:rPr>
          <w:lang w:val="es-ES_tradnl" w:eastAsia="es-BO"/>
        </w:rPr>
        <w:t xml:space="preserve">Elaborar e implementar la estrategia de Rehabilitación basada en la Comunidad o Desarrollo Inclusivo con base comunitaria; </w:t>
      </w:r>
    </w:p>
    <w:p w14:paraId="5E8A204E" w14:textId="637E7D60" w:rsidR="00653063" w:rsidRPr="00653063" w:rsidRDefault="00653063" w:rsidP="00AE16CA">
      <w:pPr>
        <w:pStyle w:val="SingleTxtG"/>
        <w:numPr>
          <w:ilvl w:val="1"/>
          <w:numId w:val="44"/>
        </w:numPr>
        <w:ind w:left="1701" w:firstLine="0"/>
        <w:rPr>
          <w:lang w:val="es-ES_tradnl" w:eastAsia="es-BO"/>
        </w:rPr>
      </w:pPr>
      <w:r w:rsidRPr="00653063">
        <w:rPr>
          <w:lang w:val="es-ES_tradnl" w:eastAsia="es-BO"/>
        </w:rPr>
        <w:t xml:space="preserve">Promover y coordinar con otras instituciones del Estado la mejora y/o incremento de la infraestructura física de instalaciones públicas y los recursos técnicos, materiales y humanos necesarios para la atención de la población con discapacidad; </w:t>
      </w:r>
    </w:p>
    <w:p w14:paraId="74062BE5" w14:textId="069CBC7F" w:rsidR="00653063" w:rsidRPr="00653063" w:rsidRDefault="00653063" w:rsidP="00AE16CA">
      <w:pPr>
        <w:pStyle w:val="SingleTxtG"/>
        <w:numPr>
          <w:ilvl w:val="1"/>
          <w:numId w:val="44"/>
        </w:numPr>
        <w:ind w:left="1701" w:firstLine="0"/>
        <w:rPr>
          <w:lang w:val="es-ES_tradnl" w:eastAsia="es-BO"/>
        </w:rPr>
      </w:pPr>
      <w:bookmarkStart w:id="42" w:name="_heading=h.23ckvvd" w:colFirst="0" w:colLast="0"/>
      <w:bookmarkEnd w:id="42"/>
      <w:r w:rsidRPr="00653063">
        <w:rPr>
          <w:lang w:val="es-ES_tradnl" w:eastAsia="es-BO"/>
        </w:rPr>
        <w:t>Ejecutar otras funciones inherentes que el sean asignadas por el Ministerio de Justicia y Transparencia Institucional en el marco de sus atribuciones.</w:t>
      </w:r>
    </w:p>
    <w:p w14:paraId="3CB566C4" w14:textId="2E6F1C86" w:rsidR="00653063" w:rsidRPr="00653063" w:rsidRDefault="00CB186D" w:rsidP="00CB186D">
      <w:pPr>
        <w:pStyle w:val="H23G"/>
        <w:rPr>
          <w:lang w:val="es-ES_tradnl" w:eastAsia="es-BO"/>
        </w:rPr>
      </w:pPr>
      <w:bookmarkStart w:id="43" w:name="_heading=h.ihv636" w:colFirst="0" w:colLast="0"/>
      <w:bookmarkEnd w:id="43"/>
      <w:r w:rsidRPr="00CB186D">
        <w:rPr>
          <w:b w:val="0"/>
          <w:lang w:val="es-ES_tradnl" w:eastAsia="es-BO"/>
        </w:rPr>
        <w:tab/>
      </w:r>
      <w:r w:rsidRPr="00CB186D">
        <w:rPr>
          <w:b w:val="0"/>
          <w:lang w:val="es-ES_tradnl" w:eastAsia="es-BO"/>
        </w:rPr>
        <w:tab/>
      </w:r>
      <w:r>
        <w:rPr>
          <w:lang w:val="es-ES_tradnl" w:eastAsia="es-BO"/>
        </w:rPr>
        <w:t>c)</w:t>
      </w:r>
      <w:r>
        <w:rPr>
          <w:lang w:val="es-ES_tradnl" w:eastAsia="es-BO"/>
        </w:rPr>
        <w:tab/>
      </w:r>
      <w:r w:rsidR="00653063" w:rsidRPr="00653063">
        <w:rPr>
          <w:lang w:val="es-ES_tradnl" w:eastAsia="es-BO"/>
        </w:rPr>
        <w:t>Aplicación y seguimiento nacionales (Artículo 33, Recomendaciones 74 y 76)</w:t>
      </w:r>
    </w:p>
    <w:p w14:paraId="6F2E9BD0"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Respecto a la Recomendación contenida en el Párrafo 74, sobre la asignación de recursos suficientes a la Defensoría del Pueblo para el desempeño adecuado de sus funciones en la temática, el Estado boliviano a través del Ministerio de Economía y Finanzas Públicas realizó la asignación de recursos a la Defensoría del Pueblo, incrementándose en más de Bs. 1,95 MM respecto a la gestión 2021, que representa un incremento del 5,4%, conforme el siguiente cuadro:</w:t>
      </w:r>
    </w:p>
    <w:p w14:paraId="17CA11FB" w14:textId="30DAC531" w:rsidR="00653063" w:rsidRPr="00653063" w:rsidRDefault="00653063" w:rsidP="00D42DA3">
      <w:pPr>
        <w:pStyle w:val="H23G"/>
        <w:jc w:val="center"/>
        <w:rPr>
          <w:lang w:val="es-ES_tradnl" w:eastAsia="es-BO"/>
        </w:rPr>
      </w:pPr>
      <w:r w:rsidRPr="00653063">
        <w:rPr>
          <w:lang w:val="es-ES_tradnl" w:eastAsia="es-BO"/>
        </w:rPr>
        <w:t>Defensoría del Pueblo</w:t>
      </w:r>
      <w:r w:rsidR="00CB186D">
        <w:rPr>
          <w:lang w:val="es-ES_tradnl" w:eastAsia="es-BO"/>
        </w:rPr>
        <w:br/>
      </w:r>
      <w:r w:rsidR="00CB186D">
        <w:rPr>
          <w:lang w:val="es-ES_tradnl" w:eastAsia="es-BO"/>
        </w:rPr>
        <w:tab/>
      </w:r>
      <w:r w:rsidRPr="00653063">
        <w:rPr>
          <w:lang w:val="es-ES_tradnl" w:eastAsia="es-BO"/>
        </w:rPr>
        <w:t>Presupuesto Asignado Gestiones 2021-2023</w:t>
      </w:r>
    </w:p>
    <w:p w14:paraId="3E207C03" w14:textId="77777777" w:rsidR="00653063" w:rsidRPr="00653063" w:rsidRDefault="00653063" w:rsidP="00653063">
      <w:pPr>
        <w:widowControl w:val="0"/>
        <w:pBdr>
          <w:top w:val="nil"/>
          <w:left w:val="nil"/>
          <w:bottom w:val="nil"/>
          <w:right w:val="nil"/>
          <w:between w:val="nil"/>
        </w:pBdr>
        <w:spacing w:line="240" w:lineRule="auto"/>
        <w:jc w:val="center"/>
        <w:rPr>
          <w:rFonts w:eastAsia="Times New Roman"/>
          <w:lang w:val="es-ES_tradnl" w:eastAsia="es-BO"/>
        </w:rPr>
      </w:pPr>
      <w:r w:rsidRPr="00653063">
        <w:rPr>
          <w:rFonts w:eastAsia="Times New Roman"/>
          <w:lang w:val="es-ES_tradnl" w:eastAsia="es-BO"/>
        </w:rPr>
        <w:t>(En bolivianos)</w:t>
      </w:r>
    </w:p>
    <w:tbl>
      <w:tblPr>
        <w:tblW w:w="7370" w:type="dxa"/>
        <w:tblInd w:w="1134" w:type="dxa"/>
        <w:tblLayout w:type="fixed"/>
        <w:tblCellMar>
          <w:left w:w="0" w:type="dxa"/>
          <w:right w:w="0" w:type="dxa"/>
        </w:tblCellMar>
        <w:tblLook w:val="0400" w:firstRow="0" w:lastRow="0" w:firstColumn="0" w:lastColumn="0" w:noHBand="0" w:noVBand="1"/>
      </w:tblPr>
      <w:tblGrid>
        <w:gridCol w:w="2570"/>
        <w:gridCol w:w="1488"/>
        <w:gridCol w:w="1611"/>
        <w:gridCol w:w="1701"/>
      </w:tblGrid>
      <w:tr w:rsidR="00D42DA3" w:rsidRPr="00D42DA3" w14:paraId="45131069" w14:textId="77777777" w:rsidTr="00D42DA3">
        <w:trPr>
          <w:tblHeader/>
        </w:trPr>
        <w:tc>
          <w:tcPr>
            <w:tcW w:w="1928" w:type="dxa"/>
            <w:tcBorders>
              <w:top w:val="single" w:sz="4" w:space="0" w:color="auto"/>
              <w:bottom w:val="single" w:sz="12" w:space="0" w:color="auto"/>
            </w:tcBorders>
            <w:shd w:val="clear" w:color="auto" w:fill="auto"/>
            <w:vAlign w:val="bottom"/>
          </w:tcPr>
          <w:p w14:paraId="7F4250E8" w14:textId="77777777" w:rsidR="00653063" w:rsidRPr="00D42DA3" w:rsidRDefault="00653063" w:rsidP="00D42DA3">
            <w:pPr>
              <w:pBdr>
                <w:top w:val="nil"/>
                <w:left w:val="nil"/>
                <w:bottom w:val="nil"/>
                <w:right w:val="nil"/>
                <w:between w:val="nil"/>
              </w:pBdr>
              <w:spacing w:before="80" w:after="80" w:line="200" w:lineRule="exact"/>
              <w:rPr>
                <w:rFonts w:eastAsia="Times New Roman"/>
                <w:i/>
                <w:sz w:val="16"/>
                <w:lang w:val="es-ES_tradnl" w:eastAsia="es-BO"/>
              </w:rPr>
            </w:pPr>
            <w:r w:rsidRPr="00D42DA3">
              <w:rPr>
                <w:rFonts w:eastAsia="Times New Roman"/>
                <w:i/>
                <w:sz w:val="16"/>
                <w:lang w:val="es-ES_tradnl" w:eastAsia="es-BO"/>
              </w:rPr>
              <w:t>DETALLE</w:t>
            </w:r>
          </w:p>
        </w:tc>
        <w:tc>
          <w:tcPr>
            <w:tcW w:w="1116" w:type="dxa"/>
            <w:tcBorders>
              <w:top w:val="single" w:sz="4" w:space="0" w:color="auto"/>
              <w:bottom w:val="single" w:sz="12" w:space="0" w:color="auto"/>
            </w:tcBorders>
            <w:shd w:val="clear" w:color="auto" w:fill="auto"/>
            <w:vAlign w:val="bottom"/>
          </w:tcPr>
          <w:p w14:paraId="2E26E1F9" w14:textId="77777777" w:rsidR="00653063" w:rsidRPr="00D42DA3" w:rsidRDefault="00653063" w:rsidP="00D42DA3">
            <w:pPr>
              <w:pBdr>
                <w:top w:val="nil"/>
                <w:left w:val="nil"/>
                <w:bottom w:val="nil"/>
                <w:right w:val="nil"/>
                <w:between w:val="nil"/>
              </w:pBdr>
              <w:spacing w:before="80" w:after="80" w:line="200" w:lineRule="exact"/>
              <w:jc w:val="right"/>
              <w:rPr>
                <w:rFonts w:eastAsia="Times New Roman"/>
                <w:i/>
                <w:sz w:val="16"/>
                <w:lang w:val="es-ES_tradnl" w:eastAsia="es-BO"/>
              </w:rPr>
            </w:pPr>
            <w:r w:rsidRPr="00D42DA3">
              <w:rPr>
                <w:rFonts w:eastAsia="Times New Roman"/>
                <w:i/>
                <w:sz w:val="16"/>
                <w:lang w:val="es-ES_tradnl" w:eastAsia="es-BO"/>
              </w:rPr>
              <w:t>2021</w:t>
            </w:r>
          </w:p>
        </w:tc>
        <w:tc>
          <w:tcPr>
            <w:tcW w:w="1208" w:type="dxa"/>
            <w:tcBorders>
              <w:top w:val="single" w:sz="4" w:space="0" w:color="auto"/>
              <w:bottom w:val="single" w:sz="12" w:space="0" w:color="auto"/>
            </w:tcBorders>
            <w:shd w:val="clear" w:color="auto" w:fill="auto"/>
            <w:vAlign w:val="bottom"/>
          </w:tcPr>
          <w:p w14:paraId="24B7D384" w14:textId="77777777" w:rsidR="00653063" w:rsidRPr="00D42DA3" w:rsidRDefault="00653063" w:rsidP="00D42DA3">
            <w:pPr>
              <w:pBdr>
                <w:top w:val="nil"/>
                <w:left w:val="nil"/>
                <w:bottom w:val="nil"/>
                <w:right w:val="nil"/>
                <w:between w:val="nil"/>
              </w:pBdr>
              <w:spacing w:before="80" w:after="80" w:line="200" w:lineRule="exact"/>
              <w:jc w:val="right"/>
              <w:rPr>
                <w:rFonts w:eastAsia="Times New Roman"/>
                <w:i/>
                <w:sz w:val="16"/>
                <w:lang w:val="es-ES_tradnl" w:eastAsia="es-BO"/>
              </w:rPr>
            </w:pPr>
            <w:r w:rsidRPr="00D42DA3">
              <w:rPr>
                <w:rFonts w:eastAsia="Times New Roman"/>
                <w:i/>
                <w:sz w:val="16"/>
                <w:lang w:val="es-ES_tradnl" w:eastAsia="es-BO"/>
              </w:rPr>
              <w:t>2022</w:t>
            </w:r>
          </w:p>
        </w:tc>
        <w:tc>
          <w:tcPr>
            <w:tcW w:w="1276" w:type="dxa"/>
            <w:tcBorders>
              <w:top w:val="single" w:sz="4" w:space="0" w:color="auto"/>
              <w:bottom w:val="single" w:sz="12" w:space="0" w:color="auto"/>
            </w:tcBorders>
            <w:shd w:val="clear" w:color="auto" w:fill="auto"/>
            <w:vAlign w:val="bottom"/>
          </w:tcPr>
          <w:p w14:paraId="3B3A426D" w14:textId="77777777" w:rsidR="00653063" w:rsidRPr="00D42DA3" w:rsidRDefault="00653063" w:rsidP="00D42DA3">
            <w:pPr>
              <w:pBdr>
                <w:top w:val="nil"/>
                <w:left w:val="nil"/>
                <w:bottom w:val="nil"/>
                <w:right w:val="nil"/>
                <w:between w:val="nil"/>
              </w:pBdr>
              <w:spacing w:before="80" w:after="80" w:line="200" w:lineRule="exact"/>
              <w:jc w:val="right"/>
              <w:rPr>
                <w:rFonts w:eastAsia="Times New Roman"/>
                <w:i/>
                <w:sz w:val="16"/>
                <w:lang w:val="es-ES_tradnl" w:eastAsia="es-BO"/>
              </w:rPr>
            </w:pPr>
            <w:r w:rsidRPr="00D42DA3">
              <w:rPr>
                <w:rFonts w:eastAsia="Times New Roman"/>
                <w:i/>
                <w:sz w:val="16"/>
                <w:lang w:val="es-ES_tradnl" w:eastAsia="es-BO"/>
              </w:rPr>
              <w:t>2023</w:t>
            </w:r>
          </w:p>
        </w:tc>
      </w:tr>
      <w:tr w:rsidR="00D42DA3" w:rsidRPr="00D42DA3" w14:paraId="074206B0" w14:textId="77777777" w:rsidTr="00D42DA3">
        <w:tc>
          <w:tcPr>
            <w:tcW w:w="1928" w:type="dxa"/>
            <w:tcBorders>
              <w:top w:val="single" w:sz="12" w:space="0" w:color="auto"/>
            </w:tcBorders>
            <w:shd w:val="clear" w:color="auto" w:fill="auto"/>
          </w:tcPr>
          <w:p w14:paraId="07696A8F" w14:textId="77777777" w:rsidR="00653063" w:rsidRPr="00D42DA3" w:rsidRDefault="00653063" w:rsidP="00D42DA3">
            <w:pPr>
              <w:pBdr>
                <w:top w:val="nil"/>
                <w:left w:val="nil"/>
                <w:bottom w:val="nil"/>
                <w:right w:val="nil"/>
                <w:between w:val="nil"/>
              </w:pBdr>
              <w:spacing w:before="40" w:after="40" w:line="220" w:lineRule="exact"/>
              <w:rPr>
                <w:rFonts w:eastAsia="Times New Roman"/>
                <w:sz w:val="18"/>
                <w:lang w:val="es-ES_tradnl" w:eastAsia="es-BO"/>
              </w:rPr>
            </w:pPr>
            <w:r w:rsidRPr="00D42DA3">
              <w:rPr>
                <w:rFonts w:eastAsia="Times New Roman"/>
                <w:sz w:val="18"/>
                <w:lang w:val="es-ES_tradnl" w:eastAsia="es-BO"/>
              </w:rPr>
              <w:t>Presupuesto Inicial</w:t>
            </w:r>
          </w:p>
        </w:tc>
        <w:tc>
          <w:tcPr>
            <w:tcW w:w="1116" w:type="dxa"/>
            <w:tcBorders>
              <w:top w:val="single" w:sz="12" w:space="0" w:color="auto"/>
            </w:tcBorders>
            <w:shd w:val="clear" w:color="auto" w:fill="auto"/>
            <w:vAlign w:val="bottom"/>
          </w:tcPr>
          <w:p w14:paraId="72299E54" w14:textId="77777777" w:rsidR="00653063" w:rsidRPr="00D42DA3" w:rsidRDefault="00653063" w:rsidP="00D42DA3">
            <w:pPr>
              <w:pBdr>
                <w:top w:val="nil"/>
                <w:left w:val="nil"/>
                <w:bottom w:val="nil"/>
                <w:right w:val="nil"/>
                <w:between w:val="nil"/>
              </w:pBdr>
              <w:spacing w:before="40" w:after="40" w:line="220" w:lineRule="exact"/>
              <w:jc w:val="right"/>
              <w:rPr>
                <w:rFonts w:eastAsia="Times New Roman"/>
                <w:sz w:val="18"/>
                <w:lang w:val="es-ES_tradnl" w:eastAsia="es-BO"/>
              </w:rPr>
            </w:pPr>
            <w:r w:rsidRPr="00D42DA3">
              <w:rPr>
                <w:rFonts w:eastAsia="Times New Roman"/>
                <w:sz w:val="18"/>
                <w:lang w:val="es-ES_tradnl" w:eastAsia="es-BO"/>
              </w:rPr>
              <w:t>36.044,016</w:t>
            </w:r>
          </w:p>
        </w:tc>
        <w:tc>
          <w:tcPr>
            <w:tcW w:w="1208" w:type="dxa"/>
            <w:tcBorders>
              <w:top w:val="single" w:sz="12" w:space="0" w:color="auto"/>
            </w:tcBorders>
            <w:shd w:val="clear" w:color="auto" w:fill="auto"/>
            <w:vAlign w:val="bottom"/>
          </w:tcPr>
          <w:p w14:paraId="41ABE710" w14:textId="77777777" w:rsidR="00653063" w:rsidRPr="00D42DA3" w:rsidRDefault="00653063" w:rsidP="00D42DA3">
            <w:pPr>
              <w:pBdr>
                <w:top w:val="nil"/>
                <w:left w:val="nil"/>
                <w:bottom w:val="nil"/>
                <w:right w:val="nil"/>
                <w:between w:val="nil"/>
              </w:pBdr>
              <w:spacing w:before="40" w:after="40" w:line="220" w:lineRule="exact"/>
              <w:jc w:val="right"/>
              <w:rPr>
                <w:rFonts w:eastAsia="Times New Roman"/>
                <w:sz w:val="18"/>
                <w:lang w:val="es-ES_tradnl" w:eastAsia="es-BO"/>
              </w:rPr>
            </w:pPr>
            <w:r w:rsidRPr="00D42DA3">
              <w:rPr>
                <w:rFonts w:eastAsia="Times New Roman"/>
                <w:sz w:val="18"/>
                <w:lang w:val="es-ES_tradnl" w:eastAsia="es-BO"/>
              </w:rPr>
              <w:t>37.988.818</w:t>
            </w:r>
          </w:p>
        </w:tc>
        <w:tc>
          <w:tcPr>
            <w:tcW w:w="1276" w:type="dxa"/>
            <w:tcBorders>
              <w:top w:val="single" w:sz="12" w:space="0" w:color="auto"/>
            </w:tcBorders>
            <w:shd w:val="clear" w:color="auto" w:fill="auto"/>
            <w:vAlign w:val="bottom"/>
          </w:tcPr>
          <w:p w14:paraId="7ACC360A" w14:textId="77777777" w:rsidR="00653063" w:rsidRPr="00D42DA3" w:rsidRDefault="00653063" w:rsidP="00D42DA3">
            <w:pPr>
              <w:pBdr>
                <w:top w:val="nil"/>
                <w:left w:val="nil"/>
                <w:bottom w:val="nil"/>
                <w:right w:val="nil"/>
                <w:between w:val="nil"/>
              </w:pBdr>
              <w:spacing w:before="40" w:after="40" w:line="220" w:lineRule="exact"/>
              <w:jc w:val="right"/>
              <w:rPr>
                <w:rFonts w:eastAsia="Times New Roman"/>
                <w:sz w:val="18"/>
                <w:lang w:val="es-ES_tradnl" w:eastAsia="es-BO"/>
              </w:rPr>
            </w:pPr>
            <w:r w:rsidRPr="00D42DA3">
              <w:rPr>
                <w:rFonts w:eastAsia="Times New Roman"/>
                <w:sz w:val="18"/>
                <w:lang w:val="es-ES_tradnl" w:eastAsia="es-BO"/>
              </w:rPr>
              <w:t>37.988.818</w:t>
            </w:r>
          </w:p>
        </w:tc>
      </w:tr>
      <w:tr w:rsidR="00D42DA3" w:rsidRPr="00D42DA3" w14:paraId="6AC1A8C4" w14:textId="77777777" w:rsidTr="00D42DA3">
        <w:tc>
          <w:tcPr>
            <w:tcW w:w="1928" w:type="dxa"/>
            <w:tcBorders>
              <w:bottom w:val="single" w:sz="12" w:space="0" w:color="auto"/>
            </w:tcBorders>
            <w:shd w:val="clear" w:color="auto" w:fill="auto"/>
          </w:tcPr>
          <w:p w14:paraId="0B073487" w14:textId="77777777" w:rsidR="00653063" w:rsidRPr="00D42DA3" w:rsidRDefault="00653063" w:rsidP="00D42DA3">
            <w:pPr>
              <w:pBdr>
                <w:top w:val="nil"/>
                <w:left w:val="nil"/>
                <w:bottom w:val="nil"/>
                <w:right w:val="nil"/>
                <w:between w:val="nil"/>
              </w:pBdr>
              <w:spacing w:before="40" w:after="40" w:line="220" w:lineRule="exact"/>
              <w:rPr>
                <w:rFonts w:eastAsia="Times New Roman"/>
                <w:sz w:val="18"/>
                <w:lang w:val="es-ES_tradnl" w:eastAsia="es-BO"/>
              </w:rPr>
            </w:pPr>
          </w:p>
        </w:tc>
        <w:tc>
          <w:tcPr>
            <w:tcW w:w="1116" w:type="dxa"/>
            <w:tcBorders>
              <w:bottom w:val="single" w:sz="12" w:space="0" w:color="auto"/>
            </w:tcBorders>
            <w:shd w:val="clear" w:color="auto" w:fill="auto"/>
            <w:vAlign w:val="bottom"/>
          </w:tcPr>
          <w:p w14:paraId="2E76E76D" w14:textId="77777777" w:rsidR="00653063" w:rsidRPr="00D42DA3" w:rsidRDefault="00653063" w:rsidP="00D42DA3">
            <w:pPr>
              <w:pBdr>
                <w:top w:val="nil"/>
                <w:left w:val="nil"/>
                <w:bottom w:val="nil"/>
                <w:right w:val="nil"/>
                <w:between w:val="nil"/>
              </w:pBdr>
              <w:spacing w:before="40" w:after="40" w:line="220" w:lineRule="exact"/>
              <w:jc w:val="right"/>
              <w:rPr>
                <w:rFonts w:eastAsia="Times New Roman"/>
                <w:sz w:val="18"/>
                <w:lang w:val="es-ES_tradnl" w:eastAsia="es-BO"/>
              </w:rPr>
            </w:pPr>
          </w:p>
        </w:tc>
        <w:tc>
          <w:tcPr>
            <w:tcW w:w="1208" w:type="dxa"/>
            <w:tcBorders>
              <w:bottom w:val="single" w:sz="12" w:space="0" w:color="auto"/>
            </w:tcBorders>
            <w:shd w:val="clear" w:color="auto" w:fill="auto"/>
            <w:vAlign w:val="bottom"/>
          </w:tcPr>
          <w:p w14:paraId="229905E9" w14:textId="77777777" w:rsidR="00653063" w:rsidRPr="00D42DA3" w:rsidRDefault="00653063" w:rsidP="00D42DA3">
            <w:pPr>
              <w:pBdr>
                <w:top w:val="nil"/>
                <w:left w:val="nil"/>
                <w:bottom w:val="nil"/>
                <w:right w:val="nil"/>
                <w:between w:val="nil"/>
              </w:pBdr>
              <w:spacing w:before="40" w:after="40" w:line="220" w:lineRule="exact"/>
              <w:jc w:val="right"/>
              <w:rPr>
                <w:rFonts w:eastAsia="Times New Roman"/>
                <w:sz w:val="18"/>
                <w:lang w:val="es-ES_tradnl" w:eastAsia="es-BO"/>
              </w:rPr>
            </w:pPr>
          </w:p>
        </w:tc>
        <w:tc>
          <w:tcPr>
            <w:tcW w:w="1276" w:type="dxa"/>
            <w:tcBorders>
              <w:bottom w:val="single" w:sz="12" w:space="0" w:color="auto"/>
            </w:tcBorders>
            <w:shd w:val="clear" w:color="auto" w:fill="auto"/>
            <w:vAlign w:val="bottom"/>
          </w:tcPr>
          <w:p w14:paraId="63846FCB" w14:textId="77777777" w:rsidR="00653063" w:rsidRPr="00D42DA3" w:rsidRDefault="00653063" w:rsidP="00D42DA3">
            <w:pPr>
              <w:pBdr>
                <w:top w:val="nil"/>
                <w:left w:val="nil"/>
                <w:bottom w:val="nil"/>
                <w:right w:val="nil"/>
                <w:between w:val="nil"/>
              </w:pBdr>
              <w:spacing w:before="40" w:after="40" w:line="220" w:lineRule="exact"/>
              <w:jc w:val="right"/>
              <w:rPr>
                <w:rFonts w:eastAsia="Times New Roman"/>
                <w:sz w:val="18"/>
                <w:lang w:val="es-ES_tradnl" w:eastAsia="es-BO"/>
              </w:rPr>
            </w:pPr>
          </w:p>
        </w:tc>
      </w:tr>
    </w:tbl>
    <w:p w14:paraId="2274683B" w14:textId="5D12CDC5" w:rsidR="00653063" w:rsidRPr="00653063" w:rsidRDefault="00653063" w:rsidP="00D42DA3">
      <w:pPr>
        <w:pStyle w:val="SingleTxtG"/>
        <w:rPr>
          <w:lang w:val="es-ES_tradnl" w:eastAsia="es-BO"/>
        </w:rPr>
      </w:pPr>
      <w:r w:rsidRPr="00653063">
        <w:rPr>
          <w:lang w:val="es-ES_tradnl" w:eastAsia="es-BO"/>
        </w:rPr>
        <w:t>Fuente: SIGEP</w:t>
      </w:r>
    </w:p>
    <w:p w14:paraId="3F301254"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La Defensoría del Pueblo realiza acciones vinculadas a los derechos humanos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por su </w:t>
      </w:r>
      <w:r w:rsidRPr="00653063">
        <w:rPr>
          <w:rFonts w:eastAsia="Times New Roman"/>
          <w:i/>
          <w:lang w:val="es-ES_tradnl" w:eastAsia="es-BO"/>
        </w:rPr>
        <w:t>Unidad de Poblaciones en Situación de Vulnerabilidad</w:t>
      </w:r>
      <w:r w:rsidRPr="00653063">
        <w:rPr>
          <w:rFonts w:eastAsia="Times New Roman"/>
          <w:lang w:val="es-ES_tradnl" w:eastAsia="es-BO"/>
        </w:rPr>
        <w:t xml:space="preserve"> dependiente de la </w:t>
      </w:r>
      <w:proofErr w:type="spellStart"/>
      <w:r w:rsidRPr="00653063">
        <w:rPr>
          <w:rFonts w:eastAsia="Times New Roman"/>
          <w:i/>
          <w:lang w:val="es-ES_tradnl" w:eastAsia="es-BO"/>
        </w:rPr>
        <w:t>Adjuntoría</w:t>
      </w:r>
      <w:proofErr w:type="spellEnd"/>
      <w:r w:rsidRPr="00653063">
        <w:rPr>
          <w:rFonts w:eastAsia="Times New Roman"/>
          <w:i/>
          <w:lang w:val="es-ES_tradnl" w:eastAsia="es-BO"/>
        </w:rPr>
        <w:t xml:space="preserve"> para la Vigencia y Ejercicio de los Derechos Humanos de Niño, Niña y Adolescente, Mujeres y Poblaciones en Situación de Vulnerabilidad</w:t>
      </w:r>
      <w:r w:rsidRPr="00653063">
        <w:rPr>
          <w:rFonts w:eastAsia="Times New Roman"/>
          <w:lang w:val="es-ES_tradnl" w:eastAsia="es-BO"/>
        </w:rPr>
        <w:t xml:space="preserve">. </w:t>
      </w:r>
    </w:p>
    <w:p w14:paraId="40E0D3AA"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Finalmente, sobre la Recomendación contenida en el Párrafo 76 respecto a la inclusión de organizaciones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se informa que el Estado boliviano a través del CONALPEDIS, mantiene un diálogo abierto y permanente con las organizaciones representativas de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lo que corresponde al desarrollo normativo y políticas públicas a favor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cumplimiento a la normativa vigente y las Recomendaciones emergentes de los mecanismos universales y regionales de derechos humanos, sobre todo en la materia de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0021E31B" w14:textId="77777777" w:rsidR="00653063" w:rsidRPr="00653063" w:rsidRDefault="00653063" w:rsidP="001A06A1">
      <w:pPr>
        <w:pStyle w:val="SingleTxtG"/>
        <w:numPr>
          <w:ilvl w:val="0"/>
          <w:numId w:val="29"/>
        </w:numPr>
        <w:suppressAutoHyphens/>
        <w:kinsoku w:val="0"/>
        <w:overflowPunct w:val="0"/>
        <w:autoSpaceDE w:val="0"/>
        <w:autoSpaceDN w:val="0"/>
        <w:adjustRightInd w:val="0"/>
        <w:snapToGrid w:val="0"/>
        <w:ind w:left="1134" w:firstLine="0"/>
        <w:rPr>
          <w:rFonts w:eastAsia="Times New Roman"/>
          <w:lang w:val="es-ES_tradnl" w:eastAsia="es-BO"/>
        </w:rPr>
      </w:pPr>
      <w:r w:rsidRPr="00653063">
        <w:rPr>
          <w:rFonts w:eastAsia="Times New Roman"/>
          <w:lang w:val="es-ES_tradnl" w:eastAsia="es-BO"/>
        </w:rPr>
        <w:t xml:space="preserve">Asimismo, el 29 de mayo del año 2018 la Defensoría del Pueblo suscribió un Acta de Trabajo Conjunto con las Federaciones Nacionales de Personas con Discapacidad (Federación Nacional de Ciegos de Bolivia, Federación Boliviana de Sordos, Federación </w:t>
      </w:r>
      <w:r w:rsidRPr="00653063">
        <w:rPr>
          <w:rFonts w:eastAsia="Times New Roman"/>
          <w:lang w:val="es-ES_tradnl" w:eastAsia="es-BO"/>
        </w:rPr>
        <w:lastRenderedPageBreak/>
        <w:t xml:space="preserve">Boliviana de Personas con Discapacidad Física, Federación Boliviana de Personas con Discapacidad Intelectual, Federación Boliviana de Discapacidad Psíquica), acordándose trabajar de manera conjunta y coordinada por la vigencia, ejercicio, defensa y cumplimiento de los derechos de las </w:t>
      </w:r>
      <w:proofErr w:type="spellStart"/>
      <w:r w:rsidRPr="00653063">
        <w:rPr>
          <w:rFonts w:eastAsia="Times New Roman"/>
          <w:lang w:val="es-ES_tradnl" w:eastAsia="es-BO"/>
        </w:rPr>
        <w:t>PcD</w:t>
      </w:r>
      <w:proofErr w:type="spellEnd"/>
      <w:r w:rsidRPr="00653063">
        <w:rPr>
          <w:rFonts w:eastAsia="Times New Roman"/>
          <w:lang w:val="es-ES_tradnl" w:eastAsia="es-BO"/>
        </w:rPr>
        <w:t xml:space="preserve"> en Bolivia, a la luz de la Convención y normativa vigente en función a cinco ejes de trabajo, destacándose el Seguimiento y monitoreo al cumplimiento de la Convención. Y que todas las acciones defensoriales desarrolladas por la Defensoría del Pueblo son coordinadas y validadas con las organizaciones de </w:t>
      </w:r>
      <w:proofErr w:type="spellStart"/>
      <w:r w:rsidRPr="00653063">
        <w:rPr>
          <w:rFonts w:eastAsia="Times New Roman"/>
          <w:lang w:val="es-ES_tradnl" w:eastAsia="es-BO"/>
        </w:rPr>
        <w:t>PcD</w:t>
      </w:r>
      <w:proofErr w:type="spellEnd"/>
      <w:r w:rsidRPr="00653063">
        <w:rPr>
          <w:rFonts w:eastAsia="Times New Roman"/>
          <w:lang w:val="es-ES_tradnl" w:eastAsia="es-BO"/>
        </w:rPr>
        <w:t>.</w:t>
      </w:r>
    </w:p>
    <w:p w14:paraId="5CDE02E0" w14:textId="12B25E0F" w:rsidR="00381C24" w:rsidRPr="009C710B" w:rsidRDefault="009C710B" w:rsidP="009C710B">
      <w:pPr>
        <w:pStyle w:val="SingleTxtG"/>
        <w:suppressAutoHyphens/>
        <w:spacing w:before="240" w:after="0"/>
        <w:jc w:val="center"/>
        <w:rPr>
          <w:u w:val="single"/>
        </w:rPr>
      </w:pPr>
      <w:r>
        <w:rPr>
          <w:u w:val="single"/>
        </w:rPr>
        <w:tab/>
      </w:r>
      <w:r>
        <w:rPr>
          <w:u w:val="single"/>
        </w:rPr>
        <w:tab/>
      </w:r>
      <w:r>
        <w:rPr>
          <w:u w:val="single"/>
        </w:rPr>
        <w:tab/>
      </w:r>
    </w:p>
    <w:sectPr w:rsidR="00381C24" w:rsidRPr="009C710B" w:rsidSect="00603A63">
      <w:headerReference w:type="even" r:id="rId21"/>
      <w:headerReference w:type="default" r:id="rId22"/>
      <w:footerReference w:type="even" r:id="rId23"/>
      <w:footerReference w:type="default" r:id="rId24"/>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038DF" w14:textId="77777777" w:rsidR="00CB242B" w:rsidRDefault="009B7907">
      <w:r>
        <w:separator/>
      </w:r>
    </w:p>
  </w:endnote>
  <w:endnote w:type="continuationSeparator" w:id="0">
    <w:p w14:paraId="290DB8D9" w14:textId="77777777" w:rsidR="00CB242B" w:rsidRDefault="009B7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新細明體;Times New Roman">
    <w:panose1 w:val="00000000000000000000"/>
    <w:charset w:val="81"/>
    <w:family w:val="roman"/>
    <w:notTrueType/>
    <w:pitch w:val="default"/>
  </w:font>
  <w:font w:name="Libre Franklin Black">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996B0" w14:textId="77777777" w:rsidR="001A4396" w:rsidRPr="001A4396" w:rsidRDefault="009B7907"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52DD2">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756F3" w14:textId="77777777" w:rsidR="001A4396" w:rsidRPr="001A4396" w:rsidRDefault="009B7907"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874BF">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6302C" w14:textId="74E7C2CA" w:rsidR="002D4172" w:rsidRPr="00053EA6" w:rsidRDefault="009B7907" w:rsidP="00521DC1">
    <w:pPr>
      <w:pStyle w:val="Footer"/>
      <w:rPr>
        <w:noProof/>
        <w:sz w:val="20"/>
        <w:lang w:val="fr-FR" w:eastAsia="fr-FR"/>
      </w:rPr>
    </w:pPr>
    <w:r w:rsidRPr="00053EA6">
      <w:rPr>
        <w:sz w:val="20"/>
      </w:rPr>
      <w:t>GE.</w:t>
    </w:r>
    <w:r w:rsidR="0081222A">
      <w:rPr>
        <w:sz w:val="20"/>
      </w:rPr>
      <w:t>24-</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26CA9" w14:paraId="686776B9" w14:textId="77777777" w:rsidTr="00303190">
      <w:tc>
        <w:tcPr>
          <w:tcW w:w="1848" w:type="dxa"/>
          <w:vAlign w:val="bottom"/>
          <w:hideMark/>
        </w:tcPr>
        <w:p w14:paraId="74E30809" w14:textId="77777777" w:rsidR="002D4172" w:rsidRPr="00754B77" w:rsidRDefault="009B7907"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eastAsia="zh-CN"/>
            </w:rPr>
            <w:drawing>
              <wp:inline distT="0" distB="0" distL="0" distR="0" wp14:anchorId="66736EE6" wp14:editId="7572528E">
                <wp:extent cx="1076400" cy="230400"/>
                <wp:effectExtent l="0" t="0" r="0" b="0"/>
                <wp:docPr id="16" name="Picture 16"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44B82B71"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64428DE4" w14:textId="77777777" w:rsidR="00A86F80" w:rsidRPr="002A02C6" w:rsidRDefault="00A86F80" w:rsidP="008122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B1C6E" w14:textId="5F5F9D58" w:rsidR="002A7EF2" w:rsidRPr="002A7EF2" w:rsidRDefault="002A7EF2" w:rsidP="002A7EF2">
    <w:pPr>
      <w:pStyle w:val="Footer"/>
    </w:pPr>
    <w:r>
      <w:rPr>
        <w:noProof/>
      </w:rPr>
      <mc:AlternateContent>
        <mc:Choice Requires="wps">
          <w:drawing>
            <wp:anchor distT="0" distB="0" distL="114300" distR="114300" simplePos="0" relativeHeight="251674624" behindDoc="0" locked="0" layoutInCell="1" allowOverlap="1" wp14:anchorId="722430DA" wp14:editId="1D9D7B80">
              <wp:simplePos x="0" y="0"/>
              <wp:positionH relativeFrom="margin">
                <wp:posOffset>-431800</wp:posOffset>
              </wp:positionH>
              <wp:positionV relativeFrom="margin">
                <wp:posOffset>0</wp:posOffset>
              </wp:positionV>
              <wp:extent cx="215900" cy="612013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9C891D3" w14:textId="77777777" w:rsidR="002A7EF2" w:rsidRPr="001A4396" w:rsidRDefault="002A7EF2" w:rsidP="002A7EF2">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40</w:t>
                          </w:r>
                          <w:r w:rsidRPr="001A4396">
                            <w:rPr>
                              <w:b/>
                              <w:sz w:val="18"/>
                            </w:rPr>
                            <w:fldChar w:fldCharType="end"/>
                          </w:r>
                          <w:r>
                            <w:rPr>
                              <w:b/>
                              <w:sz w:val="18"/>
                            </w:rPr>
                            <w:tab/>
                          </w:r>
                        </w:p>
                        <w:p w14:paraId="1EBCD2E7" w14:textId="77777777" w:rsidR="002A7EF2" w:rsidRDefault="002A7E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22430DA" id="_x0000_t202" coordsize="21600,21600" o:spt="202" path="m,l,21600r21600,l21600,xe">
              <v:stroke joinstyle="miter"/>
              <v:path gradientshapeok="t" o:connecttype="rect"/>
            </v:shapetype>
            <v:shape id="Text Box 11" o:spid="_x0000_s1028" type="#_x0000_t202" style="position:absolute;margin-left:-34pt;margin-top:0;width:17pt;height:481.9pt;z-index:2516746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9C891D3" w14:textId="77777777" w:rsidR="002A7EF2" w:rsidRPr="001A4396" w:rsidRDefault="002A7EF2" w:rsidP="002A7EF2">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40</w:t>
                    </w:r>
                    <w:r w:rsidRPr="001A4396">
                      <w:rPr>
                        <w:b/>
                        <w:sz w:val="18"/>
                      </w:rPr>
                      <w:fldChar w:fldCharType="end"/>
                    </w:r>
                    <w:r>
                      <w:rPr>
                        <w:b/>
                        <w:sz w:val="18"/>
                      </w:rPr>
                      <w:tab/>
                    </w:r>
                  </w:p>
                  <w:p w14:paraId="1EBCD2E7" w14:textId="77777777" w:rsidR="002A7EF2" w:rsidRDefault="002A7EF2"/>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A9288" w14:textId="4CD5B112" w:rsidR="002A7EF2" w:rsidRPr="002A7EF2" w:rsidRDefault="002A7EF2" w:rsidP="002A7EF2">
    <w:pPr>
      <w:pStyle w:val="Footer"/>
    </w:pPr>
    <w:r>
      <w:rPr>
        <w:noProof/>
      </w:rPr>
      <mc:AlternateContent>
        <mc:Choice Requires="wps">
          <w:drawing>
            <wp:anchor distT="0" distB="0" distL="114300" distR="114300" simplePos="0" relativeHeight="251668480" behindDoc="0" locked="0" layoutInCell="1" allowOverlap="1" wp14:anchorId="3CF6CE24" wp14:editId="65FEEB21">
              <wp:simplePos x="0" y="0"/>
              <wp:positionH relativeFrom="margin">
                <wp:posOffset>-431800</wp:posOffset>
              </wp:positionH>
              <wp:positionV relativeFrom="margin">
                <wp:posOffset>0</wp:posOffset>
              </wp:positionV>
              <wp:extent cx="215900" cy="6120130"/>
              <wp:effectExtent l="0" t="0" r="0" b="0"/>
              <wp:wrapNone/>
              <wp:docPr id="9" name="Text Box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5959EE6" w14:textId="77777777" w:rsidR="002A7EF2" w:rsidRPr="001A4396" w:rsidRDefault="002A7EF2" w:rsidP="002A7EF2">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39</w:t>
                          </w:r>
                          <w:r w:rsidRPr="001A4396">
                            <w:rPr>
                              <w:b/>
                              <w:sz w:val="18"/>
                            </w:rPr>
                            <w:fldChar w:fldCharType="end"/>
                          </w:r>
                        </w:p>
                        <w:p w14:paraId="290F4415" w14:textId="77777777" w:rsidR="002A7EF2" w:rsidRDefault="002A7E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CF6CE24" id="_x0000_t202" coordsize="21600,21600" o:spt="202" path="m,l,21600r21600,l21600,xe">
              <v:stroke joinstyle="miter"/>
              <v:path gradientshapeok="t" o:connecttype="rect"/>
            </v:shapetype>
            <v:shape id="Text Box 9" o:spid="_x0000_s1029" type="#_x0000_t202" style="position:absolute;margin-left:-34pt;margin-top:0;width:17pt;height:481.9pt;z-index:25166848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45959EE6" w14:textId="77777777" w:rsidR="002A7EF2" w:rsidRPr="001A4396" w:rsidRDefault="002A7EF2" w:rsidP="002A7EF2">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39</w:t>
                    </w:r>
                    <w:r w:rsidRPr="001A4396">
                      <w:rPr>
                        <w:b/>
                        <w:sz w:val="18"/>
                      </w:rPr>
                      <w:fldChar w:fldCharType="end"/>
                    </w:r>
                  </w:p>
                  <w:p w14:paraId="290F4415" w14:textId="77777777" w:rsidR="002A7EF2" w:rsidRDefault="002A7EF2"/>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A7287" w14:textId="420DE986" w:rsidR="00603A63" w:rsidRPr="00EB6BF5" w:rsidRDefault="00603A63" w:rsidP="00603A63">
    <w:pPr>
      <w:pStyle w:val="Footer"/>
      <w:tabs>
        <w:tab w:val="right" w:pos="9638"/>
      </w:tabs>
      <w:rPr>
        <w:bCs/>
        <w:szCs w:val="16"/>
      </w:rPr>
    </w:pPr>
    <w:r>
      <w:rPr>
        <w:b/>
        <w:sz w:val="18"/>
      </w:rPr>
      <w:fldChar w:fldCharType="begin"/>
    </w:r>
    <w:r>
      <w:rPr>
        <w:b/>
        <w:sz w:val="18"/>
      </w:rPr>
      <w:instrText xml:space="preserve"> PAGE  \* MERGEFORMAT </w:instrText>
    </w:r>
    <w:r>
      <w:rPr>
        <w:b/>
        <w:sz w:val="18"/>
      </w:rPr>
      <w:fldChar w:fldCharType="separate"/>
    </w:r>
    <w:r>
      <w:rPr>
        <w:b/>
        <w:noProof/>
        <w:sz w:val="18"/>
      </w:rPr>
      <w:t>41</w:t>
    </w:r>
    <w:r>
      <w:rPr>
        <w:b/>
        <w:sz w:val="18"/>
      </w:rPr>
      <w:fldChar w:fldCharType="end"/>
    </w:r>
    <w:r w:rsidR="00F96BF9">
      <w:rPr>
        <w:b/>
        <w:sz w:val="18"/>
      </w:rPr>
      <w:tab/>
    </w:r>
    <w:r w:rsidR="00EB6BF5">
      <w:rPr>
        <w:bCs/>
        <w:szCs w:val="16"/>
      </w:rPr>
      <w:t>GE.24-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E9DDE" w14:textId="72E60DF1" w:rsidR="00603A63" w:rsidRPr="00603A63" w:rsidRDefault="00EB6BF5" w:rsidP="00EB6BF5">
    <w:pPr>
      <w:pStyle w:val="Footer"/>
      <w:tabs>
        <w:tab w:val="right" w:pos="9638"/>
      </w:tabs>
      <w:jc w:val="right"/>
      <w:rPr>
        <w:sz w:val="18"/>
      </w:rPr>
    </w:pPr>
    <w:r w:rsidRPr="00677967">
      <w:rPr>
        <w:bCs/>
        <w:szCs w:val="16"/>
      </w:rPr>
      <w:t>GE.24-</w:t>
    </w:r>
    <w:r>
      <w:rPr>
        <w:b/>
        <w:sz w:val="18"/>
      </w:rPr>
      <w:tab/>
    </w:r>
    <w:r w:rsidR="00603A63">
      <w:rPr>
        <w:b/>
        <w:sz w:val="18"/>
      </w:rPr>
      <w:fldChar w:fldCharType="begin"/>
    </w:r>
    <w:r w:rsidR="00603A63">
      <w:rPr>
        <w:b/>
        <w:sz w:val="18"/>
      </w:rPr>
      <w:instrText xml:space="preserve"> PAGE  \* MERGEFORMAT </w:instrText>
    </w:r>
    <w:r w:rsidR="00603A63">
      <w:rPr>
        <w:b/>
        <w:sz w:val="18"/>
      </w:rPr>
      <w:fldChar w:fldCharType="separate"/>
    </w:r>
    <w:r w:rsidR="00603A63">
      <w:rPr>
        <w:b/>
        <w:noProof/>
        <w:sz w:val="18"/>
      </w:rPr>
      <w:t>40</w:t>
    </w:r>
    <w:r w:rsidR="00603A63">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B98FD" w14:textId="77777777" w:rsidR="00CB242B" w:rsidRPr="001075E9" w:rsidRDefault="009B7907" w:rsidP="001075E9">
      <w:pPr>
        <w:tabs>
          <w:tab w:val="right" w:pos="2155"/>
        </w:tabs>
        <w:spacing w:after="80" w:line="240" w:lineRule="auto"/>
        <w:ind w:left="680"/>
        <w:rPr>
          <w:u w:val="single"/>
        </w:rPr>
      </w:pPr>
      <w:r>
        <w:rPr>
          <w:u w:val="single"/>
        </w:rPr>
        <w:tab/>
      </w:r>
    </w:p>
  </w:footnote>
  <w:footnote w:type="continuationSeparator" w:id="0">
    <w:p w14:paraId="4EBA03C4" w14:textId="77777777" w:rsidR="00CB242B" w:rsidRDefault="009B7907" w:rsidP="00407B78">
      <w:pPr>
        <w:tabs>
          <w:tab w:val="right" w:pos="2155"/>
        </w:tabs>
        <w:spacing w:after="80"/>
        <w:ind w:left="680"/>
        <w:rPr>
          <w:u w:val="single"/>
        </w:rPr>
      </w:pPr>
      <w:r>
        <w:rPr>
          <w:u w:val="single"/>
        </w:rPr>
        <w:tab/>
      </w:r>
    </w:p>
  </w:footnote>
  <w:footnote w:id="1">
    <w:p w14:paraId="3DD60C18" w14:textId="77777777" w:rsidR="00203C19" w:rsidRPr="00D90F98" w:rsidRDefault="009B7907" w:rsidP="00203C19">
      <w:pPr>
        <w:pStyle w:val="FootnoteText"/>
      </w:pPr>
      <w:r>
        <w:tab/>
      </w:r>
      <w:r w:rsidRPr="00575534">
        <w:rPr>
          <w:rStyle w:val="FootnoteReference"/>
          <w:sz w:val="20"/>
          <w:vertAlign w:val="baseline"/>
        </w:rPr>
        <w:t>*</w:t>
      </w:r>
      <w:r>
        <w:tab/>
      </w:r>
      <w:r w:rsidRPr="00D90F98">
        <w:t>El presente documento se publica sin haber sido objeto de revisión editorial oficial.</w:t>
      </w:r>
    </w:p>
  </w:footnote>
  <w:footnote w:id="2">
    <w:p w14:paraId="67A56C9B" w14:textId="6BA07375" w:rsidR="00653063" w:rsidRPr="002B79BC" w:rsidRDefault="002B79BC" w:rsidP="002B79BC">
      <w:pPr>
        <w:pStyle w:val="FootnoteText"/>
        <w:rPr>
          <w:rFonts w:eastAsia="Times New Roman"/>
          <w:color w:val="000000"/>
          <w:szCs w:val="18"/>
        </w:rPr>
      </w:pPr>
      <w:r>
        <w:rPr>
          <w:rFonts w:eastAsia="Times New Roman"/>
          <w:color w:val="000000"/>
          <w:szCs w:val="18"/>
        </w:rPr>
        <w:tab/>
      </w:r>
      <w:r w:rsidR="00653063" w:rsidRPr="002B79BC">
        <w:rPr>
          <w:szCs w:val="18"/>
          <w:vertAlign w:val="superscript"/>
        </w:rPr>
        <w:footnoteRef/>
      </w:r>
      <w:r>
        <w:rPr>
          <w:rFonts w:eastAsia="Times New Roman"/>
          <w:color w:val="000000"/>
          <w:szCs w:val="18"/>
        </w:rPr>
        <w:tab/>
      </w:r>
      <w:hyperlink r:id="rId1">
        <w:r w:rsidR="00653063" w:rsidRPr="002B79BC">
          <w:rPr>
            <w:rFonts w:eastAsia="Times New Roman"/>
            <w:color w:val="000000"/>
            <w:szCs w:val="18"/>
          </w:rPr>
          <w:t xml:space="preserve">Directrices sobre la Presentación de Informes Periódicos al Comité sobre los Derechos de las Personas con Discapacidad, </w:t>
        </w:r>
        <w:r>
          <w:rPr>
            <w:rFonts w:eastAsia="Times New Roman"/>
            <w:color w:val="000000"/>
            <w:szCs w:val="18"/>
          </w:rPr>
          <w:tab/>
        </w:r>
        <w:r>
          <w:rPr>
            <w:rFonts w:eastAsia="Times New Roman"/>
            <w:color w:val="000000"/>
            <w:szCs w:val="18"/>
          </w:rPr>
          <w:tab/>
        </w:r>
        <w:r w:rsidR="00653063" w:rsidRPr="002B79BC">
          <w:rPr>
            <w:rFonts w:eastAsia="Times New Roman"/>
            <w:color w:val="000000"/>
            <w:szCs w:val="18"/>
          </w:rPr>
          <w:t>CRPD/C/2/3 (Ginebra, 2016).</w:t>
        </w:r>
      </w:hyperlink>
    </w:p>
  </w:footnote>
  <w:footnote w:id="3">
    <w:p w14:paraId="50446A12" w14:textId="3F848D9C" w:rsidR="00653063" w:rsidRPr="002B79BC" w:rsidRDefault="002B79BC" w:rsidP="002B79BC">
      <w:pPr>
        <w:pStyle w:val="FootnoteText"/>
        <w:suppressAutoHyphens/>
        <w:kinsoku w:val="0"/>
        <w:overflowPunct w:val="0"/>
        <w:autoSpaceDE w:val="0"/>
        <w:autoSpaceDN w:val="0"/>
        <w:adjustRightInd w:val="0"/>
        <w:snapToGrid w:val="0"/>
        <w:rPr>
          <w:rFonts w:eastAsia="Times New Roman"/>
          <w:color w:val="000000"/>
          <w:szCs w:val="18"/>
        </w:rPr>
      </w:pPr>
      <w:r>
        <w:rPr>
          <w:rFonts w:eastAsia="Times New Roman"/>
          <w:color w:val="000000"/>
          <w:szCs w:val="18"/>
        </w:rPr>
        <w:tab/>
      </w:r>
      <w:r w:rsidR="00653063" w:rsidRPr="002B79BC">
        <w:rPr>
          <w:szCs w:val="18"/>
          <w:vertAlign w:val="superscript"/>
        </w:rPr>
        <w:footnoteRef/>
      </w:r>
      <w:r>
        <w:rPr>
          <w:rFonts w:eastAsia="Times New Roman"/>
          <w:color w:val="000000"/>
          <w:szCs w:val="18"/>
        </w:rPr>
        <w:tab/>
      </w:r>
      <w:hyperlink r:id="rId2">
        <w:r w:rsidR="00653063" w:rsidRPr="002B79BC">
          <w:rPr>
            <w:rFonts w:eastAsia="Times New Roman"/>
            <w:color w:val="000000"/>
            <w:szCs w:val="18"/>
          </w:rPr>
          <w:t xml:space="preserve">Observaciones finales al Informe Inicial de </w:t>
        </w:r>
      </w:hyperlink>
      <w:r w:rsidR="00653063" w:rsidRPr="002B79BC">
        <w:rPr>
          <w:rFonts w:eastAsia="Times New Roman"/>
          <w:color w:val="000000"/>
          <w:szCs w:val="18"/>
        </w:rPr>
        <w:t>Bolivia (CRPD/C/BOL/CO/1)</w:t>
      </w:r>
    </w:p>
  </w:footnote>
  <w:footnote w:id="4">
    <w:p w14:paraId="6BA626BA" w14:textId="43DAF3BD" w:rsidR="00653063" w:rsidRPr="002B79BC" w:rsidRDefault="002B79BC" w:rsidP="002B79BC">
      <w:pPr>
        <w:pStyle w:val="FootnoteText"/>
        <w:rPr>
          <w:rFonts w:eastAsia="Times New Roman"/>
          <w:color w:val="000000"/>
          <w:szCs w:val="18"/>
        </w:rPr>
      </w:pPr>
      <w:r>
        <w:rPr>
          <w:rFonts w:eastAsia="Times New Roman"/>
          <w:color w:val="000000"/>
          <w:szCs w:val="18"/>
        </w:rPr>
        <w:tab/>
      </w:r>
      <w:r w:rsidR="00653063" w:rsidRPr="002B79BC">
        <w:rPr>
          <w:szCs w:val="18"/>
          <w:vertAlign w:val="superscript"/>
        </w:rPr>
        <w:footnoteRef/>
      </w:r>
      <w:r>
        <w:rPr>
          <w:rFonts w:eastAsia="Times New Roman"/>
          <w:color w:val="000000"/>
          <w:szCs w:val="18"/>
        </w:rPr>
        <w:tab/>
      </w:r>
      <w:hyperlink r:id="rId3">
        <w:r w:rsidR="00653063" w:rsidRPr="002B79BC">
          <w:rPr>
            <w:rFonts w:eastAsia="Times New Roman"/>
            <w:color w:val="000000"/>
            <w:szCs w:val="18"/>
          </w:rPr>
          <w:t xml:space="preserve">Decreto Supremo </w:t>
        </w:r>
        <w:proofErr w:type="spellStart"/>
        <w:r w:rsidR="00653063" w:rsidRPr="002B79BC">
          <w:rPr>
            <w:rFonts w:eastAsia="Times New Roman"/>
            <w:color w:val="000000"/>
            <w:szCs w:val="18"/>
          </w:rPr>
          <w:t>N°</w:t>
        </w:r>
        <w:proofErr w:type="spellEnd"/>
        <w:r w:rsidR="00653063" w:rsidRPr="002B79BC">
          <w:rPr>
            <w:rFonts w:eastAsia="Times New Roman"/>
            <w:color w:val="000000"/>
            <w:szCs w:val="18"/>
          </w:rPr>
          <w:t xml:space="preserve"> 4816 de 26 de octubre de 2022</w:t>
        </w:r>
      </w:hyperlink>
      <w:r w:rsidR="00653063" w:rsidRPr="002B79BC">
        <w:rPr>
          <w:rFonts w:eastAsia="Times New Roman"/>
          <w:color w:val="000000"/>
          <w:szCs w:val="18"/>
        </w:rPr>
        <w:t>.</w:t>
      </w:r>
    </w:p>
  </w:footnote>
  <w:footnote w:id="5">
    <w:p w14:paraId="6028A6E1" w14:textId="4FCA1D37" w:rsidR="00653063" w:rsidRPr="002B79BC" w:rsidRDefault="002B79BC" w:rsidP="002B79BC">
      <w:pPr>
        <w:pStyle w:val="FootnoteText"/>
        <w:rPr>
          <w:rFonts w:eastAsia="Times New Roman"/>
          <w:color w:val="000000"/>
          <w:szCs w:val="18"/>
        </w:rPr>
      </w:pPr>
      <w:r>
        <w:rPr>
          <w:rFonts w:eastAsia="Times New Roman"/>
          <w:color w:val="000000"/>
          <w:szCs w:val="18"/>
        </w:rPr>
        <w:tab/>
      </w:r>
      <w:r w:rsidR="00653063" w:rsidRPr="002B79BC">
        <w:rPr>
          <w:szCs w:val="18"/>
          <w:vertAlign w:val="superscript"/>
        </w:rPr>
        <w:footnoteRef/>
      </w:r>
      <w:r>
        <w:rPr>
          <w:rFonts w:eastAsia="Times New Roman"/>
          <w:color w:val="000000"/>
          <w:szCs w:val="18"/>
        </w:rPr>
        <w:tab/>
      </w:r>
      <w:r w:rsidR="00653063" w:rsidRPr="002B79BC">
        <w:rPr>
          <w:rFonts w:eastAsia="Times New Roman"/>
          <w:color w:val="000000"/>
          <w:szCs w:val="18"/>
        </w:rPr>
        <w:t>Ibidem.</w:t>
      </w:r>
    </w:p>
  </w:footnote>
  <w:footnote w:id="6">
    <w:p w14:paraId="1296E294" w14:textId="2DC51556" w:rsidR="00653063" w:rsidRPr="002B79BC" w:rsidRDefault="002B79BC" w:rsidP="002B79BC">
      <w:pPr>
        <w:pStyle w:val="FootnoteText"/>
        <w:rPr>
          <w:rFonts w:eastAsia="Times New Roman"/>
          <w:color w:val="000000"/>
          <w:szCs w:val="18"/>
        </w:rPr>
      </w:pPr>
      <w:r>
        <w:rPr>
          <w:rFonts w:eastAsia="Times New Roman"/>
          <w:color w:val="000000"/>
          <w:szCs w:val="18"/>
        </w:rPr>
        <w:tab/>
      </w:r>
      <w:r w:rsidR="00653063" w:rsidRPr="002B79BC">
        <w:rPr>
          <w:szCs w:val="18"/>
          <w:vertAlign w:val="superscript"/>
        </w:rPr>
        <w:footnoteRef/>
      </w:r>
      <w:r>
        <w:rPr>
          <w:rFonts w:eastAsia="Times New Roman"/>
          <w:color w:val="000000"/>
          <w:szCs w:val="18"/>
        </w:rPr>
        <w:tab/>
      </w:r>
      <w:r w:rsidR="00653063" w:rsidRPr="002B79BC">
        <w:rPr>
          <w:rFonts w:eastAsia="Times New Roman"/>
          <w:color w:val="000000"/>
          <w:szCs w:val="18"/>
        </w:rPr>
        <w:t>Ibidem.</w:t>
      </w:r>
    </w:p>
  </w:footnote>
  <w:footnote w:id="7">
    <w:p w14:paraId="417EFD44" w14:textId="5C12F2B6" w:rsidR="00653063" w:rsidRPr="002B79BC" w:rsidRDefault="002B79BC" w:rsidP="002B79BC">
      <w:pPr>
        <w:pStyle w:val="FootnoteText"/>
        <w:rPr>
          <w:rFonts w:eastAsia="Times New Roman"/>
          <w:color w:val="000000"/>
          <w:szCs w:val="18"/>
        </w:rPr>
      </w:pPr>
      <w:r>
        <w:rPr>
          <w:rFonts w:eastAsia="Times New Roman"/>
          <w:color w:val="000000"/>
          <w:szCs w:val="18"/>
        </w:rPr>
        <w:tab/>
      </w:r>
      <w:r w:rsidR="00653063" w:rsidRPr="002B79BC">
        <w:rPr>
          <w:szCs w:val="18"/>
          <w:vertAlign w:val="superscript"/>
        </w:rPr>
        <w:footnoteRef/>
      </w:r>
      <w:r>
        <w:rPr>
          <w:rFonts w:eastAsia="Times New Roman"/>
          <w:color w:val="000000"/>
          <w:szCs w:val="18"/>
        </w:rPr>
        <w:tab/>
      </w:r>
      <w:r w:rsidR="00653063" w:rsidRPr="002B79BC">
        <w:rPr>
          <w:rFonts w:eastAsia="Times New Roman"/>
          <w:color w:val="000000"/>
          <w:szCs w:val="18"/>
        </w:rPr>
        <w:t>Artículo 14, I, CPE</w:t>
      </w:r>
    </w:p>
  </w:footnote>
  <w:footnote w:id="8">
    <w:p w14:paraId="3FC6E7B4" w14:textId="38580AAE" w:rsidR="00653063" w:rsidRPr="002B79BC" w:rsidRDefault="002B79BC" w:rsidP="002B79BC">
      <w:pPr>
        <w:pStyle w:val="FootnoteText"/>
        <w:rPr>
          <w:rFonts w:eastAsia="Times New Roman"/>
          <w:color w:val="000000"/>
          <w:szCs w:val="18"/>
        </w:rPr>
      </w:pPr>
      <w:r>
        <w:rPr>
          <w:rFonts w:eastAsia="Times New Roman"/>
          <w:color w:val="000000"/>
          <w:szCs w:val="18"/>
        </w:rPr>
        <w:tab/>
      </w:r>
      <w:r w:rsidR="00653063" w:rsidRPr="002B79BC">
        <w:rPr>
          <w:szCs w:val="18"/>
          <w:vertAlign w:val="superscript"/>
        </w:rPr>
        <w:footnoteRef/>
      </w:r>
      <w:r>
        <w:rPr>
          <w:rFonts w:eastAsia="Times New Roman"/>
          <w:color w:val="000000"/>
          <w:szCs w:val="18"/>
        </w:rPr>
        <w:tab/>
      </w:r>
      <w:r w:rsidR="00653063" w:rsidRPr="002B79BC">
        <w:rPr>
          <w:rFonts w:eastAsia="Times New Roman"/>
          <w:color w:val="000000"/>
          <w:szCs w:val="18"/>
        </w:rPr>
        <w:t>Artículo 14, III, CPE.</w:t>
      </w:r>
    </w:p>
  </w:footnote>
  <w:footnote w:id="9">
    <w:p w14:paraId="4CB3C19A" w14:textId="4200CD1A" w:rsidR="00653063" w:rsidRPr="00AB2EFA" w:rsidRDefault="00AB2EFA"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AB2EFA">
        <w:rPr>
          <w:sz w:val="18"/>
          <w:szCs w:val="18"/>
          <w:vertAlign w:val="superscript"/>
        </w:rPr>
        <w:footnoteRef/>
      </w:r>
      <w:r w:rsidRPr="00AB2EFA">
        <w:rPr>
          <w:rFonts w:eastAsia="Times New Roman"/>
          <w:color w:val="000000"/>
          <w:sz w:val="18"/>
          <w:szCs w:val="18"/>
        </w:rPr>
        <w:tab/>
      </w:r>
      <w:r w:rsidR="00653063" w:rsidRPr="00AB2EFA">
        <w:rPr>
          <w:rFonts w:eastAsia="Times New Roman"/>
          <w:color w:val="000000"/>
          <w:sz w:val="18"/>
          <w:szCs w:val="18"/>
        </w:rPr>
        <w:t>Artículo 13, I y II, CPE.</w:t>
      </w:r>
    </w:p>
  </w:footnote>
  <w:footnote w:id="10">
    <w:p w14:paraId="2717094A" w14:textId="6EB89D55" w:rsidR="00653063" w:rsidRPr="00AB2EFA" w:rsidRDefault="00AB2EFA" w:rsidP="00AB2EFA">
      <w:pPr>
        <w:pStyle w:val="FootnoteText"/>
        <w:rPr>
          <w:rFonts w:eastAsia="Times New Roman"/>
          <w:color w:val="000000"/>
          <w:szCs w:val="18"/>
        </w:rPr>
      </w:pPr>
      <w:r w:rsidRPr="00AB2EFA">
        <w:rPr>
          <w:rFonts w:eastAsia="Times New Roman"/>
          <w:color w:val="000000"/>
          <w:szCs w:val="18"/>
        </w:rPr>
        <w:tab/>
      </w:r>
      <w:r w:rsidR="00653063" w:rsidRPr="00AB2EFA">
        <w:rPr>
          <w:szCs w:val="18"/>
          <w:vertAlign w:val="superscript"/>
        </w:rPr>
        <w:footnoteRef/>
      </w:r>
      <w:r w:rsidRPr="00AB2EFA">
        <w:rPr>
          <w:rFonts w:eastAsia="Times New Roman"/>
          <w:color w:val="000000"/>
          <w:szCs w:val="18"/>
        </w:rPr>
        <w:tab/>
      </w:r>
      <w:r w:rsidR="00653063" w:rsidRPr="00AB2EFA">
        <w:rPr>
          <w:rFonts w:eastAsia="Times New Roman"/>
          <w:color w:val="000000"/>
          <w:szCs w:val="18"/>
        </w:rPr>
        <w:t>Artículo 14, I y II, CPE.</w:t>
      </w:r>
    </w:p>
  </w:footnote>
  <w:footnote w:id="11">
    <w:p w14:paraId="39CC1547" w14:textId="608771E4" w:rsidR="00653063" w:rsidRPr="00AB2EFA" w:rsidRDefault="00AB2EFA" w:rsidP="00AB2EFA">
      <w:pPr>
        <w:pStyle w:val="FootnoteText"/>
        <w:rPr>
          <w:rFonts w:eastAsia="Times New Roman"/>
          <w:color w:val="000000"/>
          <w:szCs w:val="18"/>
        </w:rPr>
      </w:pPr>
      <w:r w:rsidRPr="00AB2EFA">
        <w:rPr>
          <w:rFonts w:eastAsia="Times New Roman"/>
          <w:color w:val="000000"/>
          <w:szCs w:val="18"/>
        </w:rPr>
        <w:tab/>
      </w:r>
      <w:r w:rsidR="00653063" w:rsidRPr="00AB2EFA">
        <w:rPr>
          <w:szCs w:val="18"/>
          <w:vertAlign w:val="superscript"/>
        </w:rPr>
        <w:footnoteRef/>
      </w:r>
      <w:r w:rsidRPr="00AB2EFA">
        <w:rPr>
          <w:rFonts w:eastAsia="Times New Roman"/>
          <w:color w:val="000000"/>
          <w:szCs w:val="18"/>
        </w:rPr>
        <w:tab/>
      </w:r>
      <w:r w:rsidR="00653063" w:rsidRPr="00AB2EFA">
        <w:rPr>
          <w:rFonts w:eastAsia="Times New Roman"/>
          <w:color w:val="000000"/>
          <w:szCs w:val="18"/>
        </w:rPr>
        <w:t>Artículo 70, CPE.</w:t>
      </w:r>
    </w:p>
  </w:footnote>
  <w:footnote w:id="12">
    <w:p w14:paraId="655923E0" w14:textId="02B4C265" w:rsidR="00653063" w:rsidRDefault="00AB2EFA" w:rsidP="00AB2EFA">
      <w:pPr>
        <w:pStyle w:val="FootnoteText"/>
        <w:rPr>
          <w:rFonts w:eastAsia="Times New Roman"/>
          <w:color w:val="000000"/>
          <w:szCs w:val="18"/>
        </w:rPr>
      </w:pPr>
      <w:r w:rsidRPr="00AB2EFA">
        <w:rPr>
          <w:rFonts w:eastAsia="Times New Roman"/>
          <w:color w:val="000000"/>
          <w:szCs w:val="18"/>
        </w:rPr>
        <w:tab/>
      </w:r>
      <w:r w:rsidR="00653063" w:rsidRPr="00AB2EFA">
        <w:rPr>
          <w:szCs w:val="18"/>
          <w:vertAlign w:val="superscript"/>
        </w:rPr>
        <w:footnoteRef/>
      </w:r>
      <w:r w:rsidRPr="00AB2EFA">
        <w:rPr>
          <w:rFonts w:eastAsia="Times New Roman"/>
          <w:color w:val="000000"/>
          <w:szCs w:val="18"/>
        </w:rPr>
        <w:tab/>
      </w:r>
      <w:proofErr w:type="spellStart"/>
      <w:r w:rsidR="00653063" w:rsidRPr="00AB2EFA">
        <w:rPr>
          <w:rFonts w:eastAsia="Times New Roman"/>
          <w:color w:val="000000"/>
          <w:szCs w:val="18"/>
        </w:rPr>
        <w:t>MSyD</w:t>
      </w:r>
      <w:proofErr w:type="spellEnd"/>
      <w:r w:rsidR="00653063" w:rsidRPr="00AB2EFA">
        <w:rPr>
          <w:rFonts w:eastAsia="Times New Roman"/>
          <w:color w:val="000000"/>
          <w:szCs w:val="18"/>
        </w:rPr>
        <w:t>/VGSS/GRSS/UGPD/IN/16/2022 de 23 de noviembre de 2022 emitido por el MSD.</w:t>
      </w:r>
    </w:p>
  </w:footnote>
  <w:footnote w:id="13">
    <w:p w14:paraId="27C23579" w14:textId="7294F1D1" w:rsidR="00653063" w:rsidRPr="00C068E4" w:rsidRDefault="00C068E4" w:rsidP="00C068E4">
      <w:pPr>
        <w:pBdr>
          <w:top w:val="nil"/>
          <w:left w:val="nil"/>
          <w:bottom w:val="nil"/>
          <w:right w:val="nil"/>
          <w:between w:val="nil"/>
        </w:pBdr>
        <w:tabs>
          <w:tab w:val="right" w:pos="1021"/>
        </w:tabs>
        <w:spacing w:line="220" w:lineRule="auto"/>
        <w:ind w:left="1134" w:right="1134" w:hanging="1134"/>
        <w:rPr>
          <w:rFonts w:eastAsia="Times New Roman"/>
          <w:b/>
          <w:sz w:val="18"/>
          <w:szCs w:val="18"/>
        </w:rPr>
      </w:pPr>
      <w:r>
        <w:rPr>
          <w:rFonts w:eastAsia="Times New Roman"/>
          <w:sz w:val="18"/>
          <w:szCs w:val="18"/>
        </w:rPr>
        <w:tab/>
      </w:r>
      <w:r w:rsidR="00653063" w:rsidRPr="00C068E4">
        <w:rPr>
          <w:sz w:val="18"/>
          <w:szCs w:val="18"/>
          <w:vertAlign w:val="superscript"/>
        </w:rPr>
        <w:footnoteRef/>
      </w:r>
      <w:r>
        <w:rPr>
          <w:rFonts w:eastAsia="Times New Roman"/>
          <w:sz w:val="18"/>
          <w:szCs w:val="18"/>
        </w:rPr>
        <w:tab/>
      </w:r>
      <w:r w:rsidR="00653063" w:rsidRPr="00C068E4">
        <w:rPr>
          <w:rFonts w:eastAsia="Times New Roman"/>
          <w:sz w:val="18"/>
          <w:szCs w:val="18"/>
        </w:rPr>
        <w:t>Reglamento de funcionamiento del Consejo Plurinacional de Personas con Discapacidad aprobado mediante Resolución Ministerial MJTI-GDAJ-RM-Z-59-2022 de 05 de septiembre de 2022.</w:t>
      </w:r>
    </w:p>
  </w:footnote>
  <w:footnote w:id="14">
    <w:p w14:paraId="608A286A" w14:textId="47D134EC" w:rsidR="00653063" w:rsidRPr="00C068E4" w:rsidRDefault="00C068E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C068E4">
        <w:rPr>
          <w:sz w:val="18"/>
          <w:szCs w:val="18"/>
          <w:vertAlign w:val="superscript"/>
        </w:rPr>
        <w:footnoteRef/>
      </w:r>
      <w:r>
        <w:rPr>
          <w:rFonts w:eastAsia="Times New Roman"/>
          <w:color w:val="000000"/>
          <w:sz w:val="18"/>
          <w:szCs w:val="18"/>
        </w:rPr>
        <w:tab/>
      </w:r>
      <w:r w:rsidR="00653063" w:rsidRPr="00C068E4">
        <w:rPr>
          <w:rFonts w:eastAsia="Times New Roman"/>
          <w:color w:val="000000"/>
          <w:sz w:val="18"/>
          <w:szCs w:val="18"/>
        </w:rPr>
        <w:t xml:space="preserve">Expresidente la Federación Departamental de </w:t>
      </w:r>
      <w:proofErr w:type="spellStart"/>
      <w:r w:rsidR="00653063" w:rsidRPr="00C068E4">
        <w:rPr>
          <w:rFonts w:eastAsia="Times New Roman"/>
          <w:color w:val="000000"/>
          <w:sz w:val="18"/>
          <w:szCs w:val="18"/>
        </w:rPr>
        <w:t>PcD</w:t>
      </w:r>
      <w:proofErr w:type="spellEnd"/>
      <w:r w:rsidR="00653063" w:rsidRPr="00C068E4">
        <w:rPr>
          <w:rFonts w:eastAsia="Times New Roman"/>
          <w:color w:val="000000"/>
          <w:sz w:val="18"/>
          <w:szCs w:val="18"/>
        </w:rPr>
        <w:t xml:space="preserve"> de Potosí.</w:t>
      </w:r>
    </w:p>
  </w:footnote>
  <w:footnote w:id="15">
    <w:p w14:paraId="2F3D52F6" w14:textId="394F20AC" w:rsidR="00653063" w:rsidRPr="00C068E4" w:rsidRDefault="00C068E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C068E4">
        <w:rPr>
          <w:sz w:val="18"/>
          <w:szCs w:val="18"/>
          <w:vertAlign w:val="superscript"/>
        </w:rPr>
        <w:footnoteRef/>
      </w:r>
      <w:r>
        <w:rPr>
          <w:rFonts w:eastAsia="Times New Roman"/>
          <w:color w:val="000000"/>
          <w:sz w:val="18"/>
          <w:szCs w:val="18"/>
        </w:rPr>
        <w:tab/>
      </w:r>
      <w:r w:rsidR="00653063" w:rsidRPr="00C068E4">
        <w:rPr>
          <w:rFonts w:eastAsia="Times New Roman"/>
          <w:color w:val="000000"/>
          <w:sz w:val="18"/>
          <w:szCs w:val="18"/>
        </w:rPr>
        <w:t xml:space="preserve">Creado por Ley de 22 de enero de 1957 y reglamentado por Decreto Supremo </w:t>
      </w:r>
      <w:proofErr w:type="spellStart"/>
      <w:r w:rsidR="00653063" w:rsidRPr="00C068E4">
        <w:rPr>
          <w:rFonts w:eastAsia="Times New Roman"/>
          <w:color w:val="000000"/>
          <w:sz w:val="18"/>
          <w:szCs w:val="18"/>
        </w:rPr>
        <w:t>N°</w:t>
      </w:r>
      <w:proofErr w:type="spellEnd"/>
      <w:r w:rsidR="00653063" w:rsidRPr="00C068E4">
        <w:rPr>
          <w:rFonts w:eastAsia="Times New Roman"/>
          <w:color w:val="000000"/>
          <w:sz w:val="18"/>
          <w:szCs w:val="18"/>
        </w:rPr>
        <w:t xml:space="preserve"> 08083 del 28 de agosto de 1967.</w:t>
      </w:r>
    </w:p>
  </w:footnote>
  <w:footnote w:id="16">
    <w:p w14:paraId="5EA462C9" w14:textId="6229AD12" w:rsidR="00653063" w:rsidRDefault="003F721F" w:rsidP="00653063">
      <w:pPr>
        <w:pBdr>
          <w:top w:val="nil"/>
          <w:left w:val="nil"/>
          <w:bottom w:val="nil"/>
          <w:right w:val="nil"/>
          <w:between w:val="nil"/>
        </w:pBdr>
        <w:tabs>
          <w:tab w:val="right" w:pos="1021"/>
        </w:tabs>
        <w:spacing w:line="220" w:lineRule="auto"/>
        <w:ind w:left="1134" w:right="-93" w:hanging="1134"/>
        <w:rPr>
          <w:rFonts w:eastAsia="Times New Roman"/>
          <w:color w:val="000000"/>
          <w:sz w:val="16"/>
          <w:szCs w:val="16"/>
        </w:rPr>
      </w:pPr>
      <w:r>
        <w:rPr>
          <w:rFonts w:eastAsia="Times New Roman"/>
          <w:color w:val="000000"/>
          <w:sz w:val="18"/>
          <w:szCs w:val="18"/>
        </w:rPr>
        <w:tab/>
      </w:r>
      <w:r w:rsidR="00653063" w:rsidRPr="00C068E4">
        <w:rPr>
          <w:sz w:val="18"/>
          <w:szCs w:val="18"/>
          <w:vertAlign w:val="superscript"/>
        </w:rPr>
        <w:footnoteRef/>
      </w:r>
      <w:r>
        <w:rPr>
          <w:rFonts w:eastAsia="Times New Roman"/>
          <w:color w:val="000000"/>
          <w:sz w:val="18"/>
          <w:szCs w:val="18"/>
        </w:rPr>
        <w:tab/>
      </w:r>
      <w:r w:rsidR="00653063" w:rsidRPr="00C068E4">
        <w:rPr>
          <w:rFonts w:eastAsia="Times New Roman"/>
          <w:color w:val="000000"/>
          <w:sz w:val="18"/>
          <w:szCs w:val="18"/>
        </w:rPr>
        <w:t>Artículos 12 al 24.</w:t>
      </w:r>
    </w:p>
  </w:footnote>
  <w:footnote w:id="17">
    <w:p w14:paraId="636E946E" w14:textId="124E174A" w:rsidR="00653063" w:rsidRPr="006807B0" w:rsidRDefault="006807B0" w:rsidP="006807B0">
      <w:pPr>
        <w:pBdr>
          <w:top w:val="nil"/>
          <w:left w:val="nil"/>
          <w:bottom w:val="nil"/>
          <w:right w:val="nil"/>
          <w:between w:val="nil"/>
        </w:pBdr>
        <w:tabs>
          <w:tab w:val="right" w:pos="1021"/>
          <w:tab w:val="right" w:pos="709"/>
        </w:tabs>
        <w:spacing w:line="220" w:lineRule="auto"/>
        <w:ind w:left="1134" w:right="-93" w:hanging="1134"/>
        <w:jc w:val="both"/>
        <w:rPr>
          <w:rFonts w:eastAsia="Times New Roman"/>
          <w:color w:val="000000"/>
          <w:sz w:val="18"/>
          <w:szCs w:val="18"/>
        </w:rPr>
      </w:pPr>
      <w:r>
        <w:rPr>
          <w:rFonts w:eastAsia="Times New Roman"/>
          <w:color w:val="000000"/>
          <w:sz w:val="18"/>
          <w:szCs w:val="18"/>
        </w:rPr>
        <w:tab/>
      </w:r>
      <w:r w:rsidR="00653063" w:rsidRPr="006807B0">
        <w:rPr>
          <w:sz w:val="18"/>
          <w:szCs w:val="18"/>
          <w:vertAlign w:val="superscript"/>
        </w:rPr>
        <w:footnoteRef/>
      </w:r>
      <w:r>
        <w:rPr>
          <w:rFonts w:eastAsia="Times New Roman"/>
          <w:color w:val="000000"/>
          <w:sz w:val="18"/>
          <w:szCs w:val="18"/>
        </w:rPr>
        <w:tab/>
      </w:r>
      <w:r w:rsidR="00653063" w:rsidRPr="006807B0">
        <w:rPr>
          <w:rFonts w:eastAsia="Times New Roman"/>
          <w:color w:val="000000"/>
          <w:sz w:val="18"/>
          <w:szCs w:val="18"/>
        </w:rPr>
        <w:t>Artículo 14, II, CPE.</w:t>
      </w:r>
    </w:p>
  </w:footnote>
  <w:footnote w:id="18">
    <w:p w14:paraId="244130E1" w14:textId="5A922C58" w:rsidR="00653063" w:rsidRPr="006807B0" w:rsidRDefault="006807B0" w:rsidP="00653063">
      <w:pPr>
        <w:pBdr>
          <w:top w:val="nil"/>
          <w:left w:val="nil"/>
          <w:bottom w:val="nil"/>
          <w:right w:val="nil"/>
          <w:between w:val="nil"/>
        </w:pBdr>
        <w:tabs>
          <w:tab w:val="right" w:pos="1021"/>
          <w:tab w:val="right" w:pos="709"/>
        </w:tabs>
        <w:spacing w:line="220" w:lineRule="auto"/>
        <w:ind w:left="1134" w:right="-93" w:hanging="1134"/>
        <w:jc w:val="both"/>
        <w:rPr>
          <w:rFonts w:eastAsia="Times New Roman"/>
          <w:color w:val="000000"/>
          <w:sz w:val="18"/>
          <w:szCs w:val="18"/>
        </w:rPr>
      </w:pPr>
      <w:r>
        <w:rPr>
          <w:rFonts w:eastAsia="Times New Roman"/>
          <w:color w:val="000000"/>
          <w:sz w:val="18"/>
          <w:szCs w:val="18"/>
        </w:rPr>
        <w:tab/>
      </w:r>
      <w:r w:rsidR="00653063" w:rsidRPr="006807B0">
        <w:rPr>
          <w:sz w:val="18"/>
          <w:szCs w:val="18"/>
          <w:vertAlign w:val="superscript"/>
        </w:rPr>
        <w:footnoteRef/>
      </w:r>
      <w:r>
        <w:rPr>
          <w:rFonts w:eastAsia="Times New Roman"/>
          <w:color w:val="000000"/>
          <w:sz w:val="18"/>
          <w:szCs w:val="18"/>
        </w:rPr>
        <w:tab/>
      </w:r>
      <w:r w:rsidR="00653063" w:rsidRPr="006807B0">
        <w:rPr>
          <w:rFonts w:eastAsia="Times New Roman"/>
          <w:color w:val="000000"/>
          <w:sz w:val="18"/>
          <w:szCs w:val="18"/>
        </w:rPr>
        <w:t xml:space="preserve">Aprobado por Resolución C.N. </w:t>
      </w:r>
      <w:proofErr w:type="spellStart"/>
      <w:r w:rsidR="00653063" w:rsidRPr="006807B0">
        <w:rPr>
          <w:rFonts w:eastAsia="Times New Roman"/>
          <w:color w:val="000000"/>
          <w:sz w:val="18"/>
          <w:szCs w:val="18"/>
        </w:rPr>
        <w:t>N°</w:t>
      </w:r>
      <w:proofErr w:type="spellEnd"/>
      <w:r w:rsidR="00653063" w:rsidRPr="006807B0">
        <w:rPr>
          <w:rFonts w:eastAsia="Times New Roman"/>
          <w:color w:val="000000"/>
          <w:sz w:val="18"/>
          <w:szCs w:val="18"/>
        </w:rPr>
        <w:t xml:space="preserve"> 001/2022 de 8 de marzo de 2022 (Comité Nacional contra el Racismo y Toda Forma de Discriminación).</w:t>
      </w:r>
    </w:p>
  </w:footnote>
  <w:footnote w:id="19">
    <w:p w14:paraId="73FCF74F" w14:textId="257453CC" w:rsidR="00653063" w:rsidRPr="00553A08" w:rsidRDefault="00553A08"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553A08">
        <w:rPr>
          <w:sz w:val="18"/>
          <w:szCs w:val="18"/>
          <w:vertAlign w:val="superscript"/>
        </w:rPr>
        <w:footnoteRef/>
      </w:r>
      <w:r>
        <w:rPr>
          <w:rFonts w:eastAsia="Times New Roman"/>
          <w:color w:val="000000"/>
          <w:sz w:val="18"/>
          <w:szCs w:val="18"/>
        </w:rPr>
        <w:tab/>
      </w:r>
      <w:r w:rsidR="00653063" w:rsidRPr="00553A08">
        <w:rPr>
          <w:rFonts w:eastAsia="Times New Roman"/>
          <w:color w:val="000000"/>
          <w:sz w:val="18"/>
          <w:szCs w:val="18"/>
        </w:rPr>
        <w:t xml:space="preserve">Ley </w:t>
      </w:r>
      <w:proofErr w:type="spellStart"/>
      <w:r w:rsidR="00653063" w:rsidRPr="00553A08">
        <w:rPr>
          <w:rFonts w:eastAsia="Times New Roman"/>
          <w:color w:val="000000"/>
          <w:sz w:val="18"/>
          <w:szCs w:val="18"/>
        </w:rPr>
        <w:t>N°</w:t>
      </w:r>
      <w:proofErr w:type="spellEnd"/>
      <w:r w:rsidR="00653063" w:rsidRPr="00553A08">
        <w:rPr>
          <w:rFonts w:eastAsia="Times New Roman"/>
          <w:color w:val="000000"/>
          <w:sz w:val="18"/>
          <w:szCs w:val="18"/>
        </w:rPr>
        <w:t xml:space="preserve"> 1407 de 9 de noviembre de 2021.</w:t>
      </w:r>
    </w:p>
  </w:footnote>
  <w:footnote w:id="20">
    <w:p w14:paraId="4AA88E28" w14:textId="7839A4A6" w:rsidR="00653063" w:rsidRDefault="00553A08" w:rsidP="00553A08">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Pr>
          <w:rFonts w:eastAsia="Times New Roman"/>
          <w:color w:val="000000"/>
          <w:sz w:val="18"/>
          <w:szCs w:val="18"/>
        </w:rPr>
        <w:tab/>
      </w:r>
      <w:r w:rsidR="00653063" w:rsidRPr="00553A08">
        <w:rPr>
          <w:sz w:val="18"/>
          <w:szCs w:val="18"/>
          <w:vertAlign w:val="superscript"/>
        </w:rPr>
        <w:footnoteRef/>
      </w:r>
      <w:r>
        <w:rPr>
          <w:rFonts w:eastAsia="Times New Roman"/>
          <w:color w:val="000000"/>
          <w:sz w:val="18"/>
          <w:szCs w:val="18"/>
        </w:rPr>
        <w:tab/>
      </w:r>
      <w:r w:rsidR="00653063" w:rsidRPr="00553A08">
        <w:rPr>
          <w:rFonts w:eastAsia="Times New Roman"/>
          <w:color w:val="000000"/>
          <w:sz w:val="18"/>
          <w:szCs w:val="18"/>
        </w:rPr>
        <w:t>Aprobado mediante Resolución Ministerial MJTI-DGAJ-RM-7-23-2023 de 13 de febrero de 2023, emitido por el MJTI.</w:t>
      </w:r>
    </w:p>
  </w:footnote>
  <w:footnote w:id="21">
    <w:p w14:paraId="3F626322" w14:textId="3C24D325" w:rsidR="00653063" w:rsidRPr="005B2CD9" w:rsidRDefault="005B2CD9"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5B2CD9">
        <w:rPr>
          <w:sz w:val="18"/>
          <w:szCs w:val="18"/>
          <w:vertAlign w:val="superscript"/>
        </w:rPr>
        <w:footnoteRef/>
      </w:r>
      <w:r>
        <w:rPr>
          <w:rFonts w:eastAsia="Times New Roman"/>
          <w:color w:val="000000"/>
          <w:sz w:val="18"/>
          <w:szCs w:val="18"/>
        </w:rPr>
        <w:tab/>
      </w:r>
      <w:r w:rsidR="00653063" w:rsidRPr="005B2CD9">
        <w:rPr>
          <w:rFonts w:eastAsia="Times New Roman"/>
          <w:color w:val="000000"/>
          <w:sz w:val="18"/>
          <w:szCs w:val="18"/>
        </w:rPr>
        <w:t xml:space="preserve">Aprobado mediante Decreto Supremo </w:t>
      </w:r>
      <w:proofErr w:type="spellStart"/>
      <w:r w:rsidR="00653063" w:rsidRPr="005B2CD9">
        <w:rPr>
          <w:rFonts w:eastAsia="Times New Roman"/>
          <w:color w:val="000000"/>
          <w:sz w:val="18"/>
          <w:szCs w:val="18"/>
        </w:rPr>
        <w:t>Nº</w:t>
      </w:r>
      <w:proofErr w:type="spellEnd"/>
      <w:r w:rsidR="00653063" w:rsidRPr="005B2CD9">
        <w:rPr>
          <w:rFonts w:eastAsia="Times New Roman"/>
          <w:color w:val="000000"/>
          <w:sz w:val="18"/>
          <w:szCs w:val="18"/>
        </w:rPr>
        <w:t xml:space="preserve"> 2935 de 05 de octubre de 2016.</w:t>
      </w:r>
    </w:p>
  </w:footnote>
  <w:footnote w:id="22">
    <w:p w14:paraId="3C81D795" w14:textId="5BA7D50B" w:rsidR="00653063" w:rsidRPr="002F736E" w:rsidRDefault="002F736E"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2F736E">
        <w:rPr>
          <w:sz w:val="18"/>
          <w:szCs w:val="18"/>
          <w:vertAlign w:val="superscript"/>
        </w:rPr>
        <w:footnoteRef/>
      </w:r>
      <w:r>
        <w:rPr>
          <w:rFonts w:eastAsia="Times New Roman"/>
          <w:color w:val="000000"/>
          <w:sz w:val="18"/>
          <w:szCs w:val="18"/>
        </w:rPr>
        <w:tab/>
      </w:r>
      <w:r w:rsidR="00653063" w:rsidRPr="002F736E">
        <w:rPr>
          <w:rFonts w:eastAsia="Times New Roman"/>
          <w:color w:val="000000"/>
          <w:sz w:val="18"/>
          <w:szCs w:val="18"/>
        </w:rPr>
        <w:t>Artículos 5,17, 19, 23.2.</w:t>
      </w:r>
    </w:p>
  </w:footnote>
  <w:footnote w:id="23">
    <w:p w14:paraId="5C384CDD" w14:textId="11E5B38E" w:rsidR="00653063" w:rsidRPr="00AA7ADB" w:rsidRDefault="00AA7ADB" w:rsidP="00EC3AB4">
      <w:pPr>
        <w:pBdr>
          <w:top w:val="nil"/>
          <w:left w:val="nil"/>
          <w:bottom w:val="nil"/>
          <w:right w:val="nil"/>
          <w:between w:val="nil"/>
        </w:pBdr>
        <w:tabs>
          <w:tab w:val="right" w:pos="851"/>
          <w:tab w:val="right" w:pos="1021"/>
          <w:tab w:val="right" w:pos="284"/>
          <w:tab w:val="left" w:pos="708"/>
        </w:tabs>
        <w:spacing w:line="220" w:lineRule="auto"/>
        <w:ind w:left="1134" w:right="49" w:hanging="1134"/>
        <w:jc w:val="both"/>
        <w:rPr>
          <w:rFonts w:eastAsia="Times New Roman"/>
          <w:color w:val="000000"/>
          <w:sz w:val="18"/>
          <w:szCs w:val="18"/>
        </w:rPr>
      </w:pPr>
      <w:r>
        <w:rPr>
          <w:rFonts w:eastAsia="Times New Roman"/>
          <w:color w:val="000000"/>
          <w:sz w:val="18"/>
          <w:szCs w:val="18"/>
        </w:rPr>
        <w:tab/>
      </w:r>
      <w:r w:rsidR="00EC3AB4">
        <w:rPr>
          <w:rFonts w:eastAsia="Times New Roman"/>
          <w:color w:val="000000"/>
          <w:sz w:val="18"/>
          <w:szCs w:val="18"/>
        </w:rPr>
        <w:tab/>
      </w:r>
      <w:r w:rsidR="00653063" w:rsidRPr="00AA7ADB">
        <w:rPr>
          <w:sz w:val="18"/>
          <w:szCs w:val="18"/>
          <w:vertAlign w:val="superscript"/>
        </w:rPr>
        <w:footnoteRef/>
      </w:r>
      <w:r>
        <w:rPr>
          <w:rFonts w:eastAsia="Times New Roman"/>
          <w:color w:val="000000"/>
          <w:sz w:val="18"/>
          <w:szCs w:val="18"/>
        </w:rPr>
        <w:tab/>
      </w:r>
      <w:r w:rsidR="00653063" w:rsidRPr="00AA7ADB">
        <w:rPr>
          <w:rFonts w:eastAsia="Times New Roman"/>
          <w:color w:val="000000"/>
          <w:sz w:val="18"/>
          <w:szCs w:val="18"/>
        </w:rPr>
        <w:t>Resolución Ministerial MJTI-DGAJ-RM-Z-6-2022 de 19 de mayo de 2022. Disposición Transitoria Única de la Ley N°1371 de 29 de abril de 2021.</w:t>
      </w:r>
    </w:p>
  </w:footnote>
  <w:footnote w:id="24">
    <w:p w14:paraId="76E99D0A" w14:textId="5843D2AD" w:rsidR="00653063" w:rsidRPr="00AA7ADB" w:rsidRDefault="00EC3AB4" w:rsidP="00653063">
      <w:pPr>
        <w:pBdr>
          <w:top w:val="nil"/>
          <w:left w:val="nil"/>
          <w:bottom w:val="nil"/>
          <w:right w:val="nil"/>
          <w:between w:val="nil"/>
        </w:pBdr>
        <w:tabs>
          <w:tab w:val="right" w:pos="1021"/>
          <w:tab w:val="right" w:pos="851"/>
        </w:tabs>
        <w:spacing w:line="220" w:lineRule="auto"/>
        <w:ind w:left="1134" w:right="49" w:hanging="1134"/>
        <w:jc w:val="both"/>
        <w:rPr>
          <w:rFonts w:eastAsia="Times New Roman"/>
          <w:color w:val="000000"/>
          <w:sz w:val="18"/>
          <w:szCs w:val="18"/>
        </w:rPr>
      </w:pPr>
      <w:r>
        <w:rPr>
          <w:rFonts w:eastAsia="Times New Roman"/>
          <w:color w:val="000000"/>
          <w:sz w:val="18"/>
          <w:szCs w:val="18"/>
        </w:rPr>
        <w:tab/>
      </w:r>
      <w:r w:rsidR="00653063" w:rsidRPr="00AA7ADB">
        <w:rPr>
          <w:sz w:val="18"/>
          <w:szCs w:val="18"/>
          <w:vertAlign w:val="superscript"/>
        </w:rPr>
        <w:footnoteRef/>
      </w:r>
      <w:r>
        <w:rPr>
          <w:rFonts w:eastAsia="Times New Roman"/>
          <w:color w:val="000000"/>
          <w:sz w:val="18"/>
          <w:szCs w:val="18"/>
        </w:rPr>
        <w:tab/>
      </w:r>
      <w:r w:rsidR="00653063" w:rsidRPr="00AA7ADB">
        <w:rPr>
          <w:rFonts w:eastAsia="Times New Roman"/>
          <w:color w:val="000000"/>
          <w:sz w:val="18"/>
          <w:szCs w:val="18"/>
        </w:rPr>
        <w:t xml:space="preserve">Resolución Ministerial MJTI-DGAJ-RM-Z-103-2023 de 21 de julio de 2023 del MJTI. </w:t>
      </w:r>
    </w:p>
  </w:footnote>
  <w:footnote w:id="25">
    <w:p w14:paraId="7B3A71E7" w14:textId="32DCE630" w:rsidR="00653063" w:rsidRPr="00AA7ADB" w:rsidRDefault="00EC3AB4" w:rsidP="00653063">
      <w:pPr>
        <w:pBdr>
          <w:top w:val="nil"/>
          <w:left w:val="nil"/>
          <w:bottom w:val="nil"/>
          <w:right w:val="nil"/>
          <w:between w:val="nil"/>
        </w:pBdr>
        <w:tabs>
          <w:tab w:val="right" w:pos="1021"/>
          <w:tab w:val="left" w:pos="708"/>
        </w:tabs>
        <w:spacing w:line="220" w:lineRule="auto"/>
        <w:ind w:left="1134" w:right="-93" w:hanging="1134"/>
        <w:jc w:val="both"/>
        <w:rPr>
          <w:rFonts w:eastAsia="Times New Roman"/>
          <w:color w:val="000000"/>
          <w:sz w:val="18"/>
          <w:szCs w:val="18"/>
        </w:rPr>
      </w:pPr>
      <w:r>
        <w:rPr>
          <w:rFonts w:eastAsia="Times New Roman"/>
          <w:color w:val="000000"/>
          <w:sz w:val="18"/>
          <w:szCs w:val="18"/>
        </w:rPr>
        <w:tab/>
      </w:r>
      <w:r w:rsidR="00653063" w:rsidRPr="00AA7ADB">
        <w:rPr>
          <w:sz w:val="18"/>
          <w:szCs w:val="18"/>
          <w:vertAlign w:val="superscript"/>
        </w:rPr>
        <w:footnoteRef/>
      </w:r>
      <w:r>
        <w:rPr>
          <w:rFonts w:eastAsia="Times New Roman"/>
          <w:color w:val="000000"/>
          <w:sz w:val="18"/>
          <w:szCs w:val="18"/>
        </w:rPr>
        <w:tab/>
      </w:r>
      <w:r w:rsidR="00653063" w:rsidRPr="00AA7ADB">
        <w:rPr>
          <w:rFonts w:eastAsia="Times New Roman"/>
          <w:color w:val="000000"/>
          <w:sz w:val="18"/>
          <w:szCs w:val="18"/>
        </w:rPr>
        <w:t xml:space="preserve">CPE, Ley </w:t>
      </w:r>
      <w:proofErr w:type="spellStart"/>
      <w:r w:rsidR="00653063" w:rsidRPr="00AA7ADB">
        <w:rPr>
          <w:rFonts w:eastAsia="Times New Roman"/>
          <w:color w:val="000000"/>
          <w:sz w:val="18"/>
          <w:szCs w:val="18"/>
        </w:rPr>
        <w:t>N°</w:t>
      </w:r>
      <w:proofErr w:type="spellEnd"/>
      <w:r w:rsidR="00653063" w:rsidRPr="00AA7ADB">
        <w:rPr>
          <w:rFonts w:eastAsia="Times New Roman"/>
          <w:color w:val="000000"/>
          <w:sz w:val="18"/>
          <w:szCs w:val="18"/>
        </w:rPr>
        <w:t xml:space="preserve"> 223 de 02 de marzo de 2012 y Ley </w:t>
      </w:r>
      <w:proofErr w:type="spellStart"/>
      <w:r w:rsidR="00653063" w:rsidRPr="00AA7ADB">
        <w:rPr>
          <w:rFonts w:eastAsia="Times New Roman"/>
          <w:color w:val="000000"/>
          <w:sz w:val="18"/>
          <w:szCs w:val="18"/>
        </w:rPr>
        <w:t>N°</w:t>
      </w:r>
      <w:proofErr w:type="spellEnd"/>
      <w:r w:rsidR="00653063" w:rsidRPr="00AA7ADB">
        <w:rPr>
          <w:rFonts w:eastAsia="Times New Roman"/>
          <w:color w:val="000000"/>
          <w:sz w:val="18"/>
          <w:szCs w:val="18"/>
        </w:rPr>
        <w:t xml:space="preserve"> 977 de 26 de septiembre de 2017.</w:t>
      </w:r>
    </w:p>
  </w:footnote>
  <w:footnote w:id="26">
    <w:p w14:paraId="0C30B311" w14:textId="4C3CBF31" w:rsidR="00653063" w:rsidRPr="005D0631" w:rsidRDefault="00EC3AB4" w:rsidP="00653063">
      <w:pPr>
        <w:pStyle w:val="FootnoteText"/>
        <w:rPr>
          <w:lang w:val="en-US"/>
        </w:rPr>
      </w:pPr>
      <w:r>
        <w:rPr>
          <w:szCs w:val="18"/>
          <w:lang w:val="en-US"/>
        </w:rPr>
        <w:tab/>
      </w:r>
      <w:r w:rsidR="00653063" w:rsidRPr="00AA7ADB">
        <w:rPr>
          <w:rStyle w:val="FootnoteReference"/>
          <w:szCs w:val="18"/>
        </w:rPr>
        <w:footnoteRef/>
      </w:r>
      <w:r>
        <w:rPr>
          <w:szCs w:val="18"/>
          <w:lang w:val="en-US"/>
        </w:rPr>
        <w:tab/>
      </w:r>
      <w:r w:rsidR="00653063" w:rsidRPr="00AA7ADB">
        <w:rPr>
          <w:szCs w:val="18"/>
          <w:lang w:val="en-US"/>
        </w:rPr>
        <w:t xml:space="preserve">Sitio Web: </w:t>
      </w:r>
      <w:hyperlink r:id="rId4" w:history="1">
        <w:r w:rsidR="00653063" w:rsidRPr="00AA7ADB">
          <w:rPr>
            <w:rStyle w:val="Hyperlink"/>
            <w:rFonts w:eastAsia="Times New Roman"/>
            <w:szCs w:val="18"/>
            <w:highlight w:val="white"/>
            <w:lang w:val="en-US"/>
          </w:rPr>
          <w:t>https://despega.att.gob.bo/courses.html</w:t>
        </w:r>
      </w:hyperlink>
      <w:r w:rsidR="00653063" w:rsidRPr="005D0631">
        <w:rPr>
          <w:rFonts w:eastAsia="Times New Roman"/>
          <w:sz w:val="20"/>
          <w:lang w:val="en-US"/>
        </w:rPr>
        <w:t xml:space="preserve"> </w:t>
      </w:r>
    </w:p>
  </w:footnote>
  <w:footnote w:id="27">
    <w:p w14:paraId="4352484D" w14:textId="153D05CE" w:rsidR="00653063" w:rsidRPr="00374812" w:rsidRDefault="00374812" w:rsidP="00374812">
      <w:pPr>
        <w:pBdr>
          <w:top w:val="nil"/>
          <w:left w:val="nil"/>
          <w:bottom w:val="nil"/>
          <w:right w:val="nil"/>
          <w:between w:val="nil"/>
        </w:pBdr>
        <w:tabs>
          <w:tab w:val="right" w:pos="1021"/>
        </w:tabs>
        <w:spacing w:line="220" w:lineRule="auto"/>
        <w:ind w:left="1134" w:right="1134" w:hanging="1134"/>
        <w:rPr>
          <w:rFonts w:eastAsia="Times New Roman"/>
          <w:b/>
          <w:color w:val="000000"/>
          <w:sz w:val="18"/>
          <w:szCs w:val="18"/>
        </w:rPr>
      </w:pPr>
      <w:r>
        <w:rPr>
          <w:rFonts w:eastAsia="Times New Roman"/>
          <w:b/>
          <w:color w:val="000000"/>
          <w:sz w:val="18"/>
          <w:szCs w:val="18"/>
        </w:rPr>
        <w:tab/>
      </w:r>
      <w:r w:rsidR="00653063" w:rsidRPr="00374812">
        <w:rPr>
          <w:sz w:val="18"/>
          <w:szCs w:val="18"/>
          <w:vertAlign w:val="superscript"/>
        </w:rPr>
        <w:footnoteRef/>
      </w:r>
      <w:r>
        <w:rPr>
          <w:rFonts w:eastAsia="Times New Roman"/>
          <w:b/>
          <w:color w:val="000000"/>
          <w:sz w:val="18"/>
          <w:szCs w:val="18"/>
        </w:rPr>
        <w:tab/>
      </w:r>
      <w:r w:rsidR="00653063" w:rsidRPr="00374812">
        <w:rPr>
          <w:rFonts w:eastAsia="Times New Roman"/>
          <w:bCs/>
          <w:color w:val="000000"/>
          <w:sz w:val="18"/>
          <w:szCs w:val="18"/>
        </w:rPr>
        <w:t>Artículo 6 del</w:t>
      </w:r>
      <w:r w:rsidR="00653063" w:rsidRPr="00374812">
        <w:rPr>
          <w:rFonts w:eastAsia="Times New Roman"/>
          <w:b/>
          <w:color w:val="000000"/>
          <w:sz w:val="18"/>
          <w:szCs w:val="18"/>
        </w:rPr>
        <w:t xml:space="preserve"> </w:t>
      </w:r>
      <w:r w:rsidR="00653063" w:rsidRPr="00374812">
        <w:rPr>
          <w:rFonts w:eastAsia="Times New Roman"/>
          <w:color w:val="000000"/>
          <w:sz w:val="18"/>
          <w:szCs w:val="18"/>
        </w:rPr>
        <w:t xml:space="preserve">Decreto Supremo </w:t>
      </w:r>
      <w:proofErr w:type="spellStart"/>
      <w:r w:rsidR="00653063" w:rsidRPr="00374812">
        <w:rPr>
          <w:rFonts w:eastAsia="Times New Roman"/>
          <w:color w:val="000000"/>
          <w:sz w:val="18"/>
          <w:szCs w:val="18"/>
        </w:rPr>
        <w:t>N°</w:t>
      </w:r>
      <w:proofErr w:type="spellEnd"/>
      <w:r w:rsidR="00653063" w:rsidRPr="00374812">
        <w:rPr>
          <w:rFonts w:eastAsia="Times New Roman"/>
          <w:color w:val="000000"/>
          <w:sz w:val="18"/>
          <w:szCs w:val="18"/>
        </w:rPr>
        <w:t xml:space="preserve"> 3437 de 20 de diciembre de 2017.</w:t>
      </w:r>
    </w:p>
  </w:footnote>
  <w:footnote w:id="28">
    <w:p w14:paraId="46AC837F" w14:textId="36CDAB99" w:rsidR="00653063" w:rsidRPr="00374812" w:rsidRDefault="00374812"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374812">
        <w:rPr>
          <w:sz w:val="18"/>
          <w:szCs w:val="18"/>
          <w:vertAlign w:val="superscript"/>
        </w:rPr>
        <w:footnoteRef/>
      </w:r>
      <w:r>
        <w:rPr>
          <w:rFonts w:eastAsia="Times New Roman"/>
          <w:color w:val="000000"/>
          <w:sz w:val="18"/>
          <w:szCs w:val="18"/>
        </w:rPr>
        <w:tab/>
      </w:r>
      <w:r w:rsidR="00653063" w:rsidRPr="00374812">
        <w:rPr>
          <w:rFonts w:eastAsia="Times New Roman"/>
          <w:color w:val="000000"/>
          <w:sz w:val="18"/>
          <w:szCs w:val="18"/>
        </w:rPr>
        <w:t>Artículos 15 (I) y 58 de la CPE.</w:t>
      </w:r>
    </w:p>
  </w:footnote>
  <w:footnote w:id="29">
    <w:p w14:paraId="633D6A96" w14:textId="0DAAB729" w:rsidR="00653063" w:rsidRPr="00374812" w:rsidRDefault="00374812"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374812">
        <w:rPr>
          <w:sz w:val="18"/>
          <w:szCs w:val="18"/>
          <w:vertAlign w:val="superscript"/>
        </w:rPr>
        <w:footnoteRef/>
      </w:r>
      <w:r>
        <w:rPr>
          <w:rFonts w:eastAsia="Times New Roman"/>
          <w:color w:val="000000"/>
          <w:sz w:val="18"/>
          <w:szCs w:val="18"/>
        </w:rPr>
        <w:tab/>
      </w:r>
      <w:r w:rsidR="00653063" w:rsidRPr="00374812">
        <w:rPr>
          <w:rFonts w:eastAsia="Times New Roman"/>
          <w:color w:val="000000"/>
          <w:sz w:val="18"/>
          <w:szCs w:val="18"/>
        </w:rPr>
        <w:t xml:space="preserve">Artículo 16 de la Ley </w:t>
      </w:r>
      <w:proofErr w:type="spellStart"/>
      <w:r w:rsidR="00653063" w:rsidRPr="00374812">
        <w:rPr>
          <w:rFonts w:eastAsia="Times New Roman"/>
          <w:color w:val="000000"/>
          <w:sz w:val="18"/>
          <w:szCs w:val="18"/>
        </w:rPr>
        <w:t>N°</w:t>
      </w:r>
      <w:proofErr w:type="spellEnd"/>
      <w:r w:rsidR="00653063" w:rsidRPr="00374812">
        <w:rPr>
          <w:rFonts w:eastAsia="Times New Roman"/>
          <w:color w:val="000000"/>
          <w:sz w:val="18"/>
          <w:szCs w:val="18"/>
        </w:rPr>
        <w:t xml:space="preserve"> 548 de 17 de julio de 2014.</w:t>
      </w:r>
    </w:p>
  </w:footnote>
  <w:footnote w:id="30">
    <w:p w14:paraId="462EF953" w14:textId="088C99D7" w:rsidR="00653063" w:rsidRPr="00374812" w:rsidRDefault="00374812"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374812">
        <w:rPr>
          <w:sz w:val="18"/>
          <w:szCs w:val="18"/>
          <w:vertAlign w:val="superscript"/>
        </w:rPr>
        <w:footnoteRef/>
      </w:r>
      <w:r>
        <w:rPr>
          <w:rFonts w:eastAsia="Times New Roman"/>
          <w:color w:val="000000"/>
          <w:sz w:val="18"/>
          <w:szCs w:val="18"/>
        </w:rPr>
        <w:tab/>
      </w:r>
      <w:r w:rsidR="00653063" w:rsidRPr="00374812">
        <w:rPr>
          <w:rFonts w:eastAsia="Times New Roman"/>
          <w:color w:val="000000"/>
          <w:sz w:val="18"/>
          <w:szCs w:val="18"/>
        </w:rPr>
        <w:t xml:space="preserve">Decreto Supremo </w:t>
      </w:r>
      <w:proofErr w:type="spellStart"/>
      <w:r w:rsidR="00653063" w:rsidRPr="00374812">
        <w:rPr>
          <w:rFonts w:eastAsia="Times New Roman"/>
          <w:color w:val="000000"/>
          <w:sz w:val="18"/>
          <w:szCs w:val="18"/>
        </w:rPr>
        <w:t>Nº</w:t>
      </w:r>
      <w:proofErr w:type="spellEnd"/>
      <w:r w:rsidR="00653063" w:rsidRPr="00374812">
        <w:rPr>
          <w:rFonts w:eastAsia="Times New Roman"/>
          <w:color w:val="000000"/>
          <w:sz w:val="18"/>
          <w:szCs w:val="18"/>
        </w:rPr>
        <w:t xml:space="preserve"> 2342 de 29 de abril de 2015.</w:t>
      </w:r>
    </w:p>
  </w:footnote>
  <w:footnote w:id="31">
    <w:p w14:paraId="131FB029" w14:textId="41A773B2" w:rsidR="00653063" w:rsidRPr="00793769" w:rsidRDefault="00374812"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Pr>
          <w:rFonts w:eastAsia="Times New Roman"/>
          <w:color w:val="000000"/>
          <w:sz w:val="18"/>
          <w:szCs w:val="18"/>
        </w:rPr>
        <w:tab/>
      </w:r>
      <w:r w:rsidR="00653063" w:rsidRPr="00374812">
        <w:rPr>
          <w:sz w:val="18"/>
          <w:szCs w:val="18"/>
          <w:vertAlign w:val="superscript"/>
        </w:rPr>
        <w:footnoteRef/>
      </w:r>
      <w:r>
        <w:rPr>
          <w:rFonts w:eastAsia="Times New Roman"/>
          <w:color w:val="000000"/>
          <w:sz w:val="18"/>
          <w:szCs w:val="18"/>
        </w:rPr>
        <w:tab/>
      </w:r>
      <w:r w:rsidR="00653063" w:rsidRPr="00374812">
        <w:rPr>
          <w:rFonts w:eastAsia="Times New Roman"/>
          <w:color w:val="000000"/>
          <w:sz w:val="18"/>
          <w:szCs w:val="18"/>
        </w:rPr>
        <w:t xml:space="preserve">Artículo 5, (7) de la Ley </w:t>
      </w:r>
      <w:proofErr w:type="spellStart"/>
      <w:r w:rsidR="00653063" w:rsidRPr="00374812">
        <w:rPr>
          <w:rFonts w:eastAsia="Times New Roman"/>
          <w:color w:val="000000"/>
          <w:sz w:val="18"/>
          <w:szCs w:val="18"/>
        </w:rPr>
        <w:t>N°</w:t>
      </w:r>
      <w:proofErr w:type="spellEnd"/>
      <w:r w:rsidR="00653063" w:rsidRPr="00374812">
        <w:rPr>
          <w:rFonts w:eastAsia="Times New Roman"/>
          <w:color w:val="000000"/>
          <w:sz w:val="18"/>
          <w:szCs w:val="18"/>
        </w:rPr>
        <w:t xml:space="preserve"> 602 de 14 de noviembre de 2014.</w:t>
      </w:r>
    </w:p>
  </w:footnote>
  <w:footnote w:id="32">
    <w:p w14:paraId="41B5C18D" w14:textId="2C2952FF" w:rsidR="00653063" w:rsidRPr="001104B5" w:rsidRDefault="007732EA"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1104B5">
        <w:rPr>
          <w:sz w:val="18"/>
          <w:szCs w:val="18"/>
          <w:vertAlign w:val="superscript"/>
        </w:rPr>
        <w:footnoteRef/>
      </w:r>
      <w:r>
        <w:rPr>
          <w:rFonts w:eastAsia="Times New Roman"/>
          <w:color w:val="000000"/>
          <w:sz w:val="18"/>
          <w:szCs w:val="18"/>
        </w:rPr>
        <w:tab/>
      </w:r>
      <w:r w:rsidR="00653063" w:rsidRPr="001104B5">
        <w:rPr>
          <w:rFonts w:eastAsia="Times New Roman"/>
          <w:color w:val="000000"/>
          <w:sz w:val="18"/>
          <w:szCs w:val="18"/>
        </w:rPr>
        <w:t xml:space="preserve">Artículo 32, V, h) del Decreto Supremo </w:t>
      </w:r>
      <w:proofErr w:type="spellStart"/>
      <w:r w:rsidR="00653063" w:rsidRPr="001104B5">
        <w:rPr>
          <w:rFonts w:eastAsia="Times New Roman"/>
          <w:color w:val="000000"/>
          <w:sz w:val="18"/>
          <w:szCs w:val="18"/>
        </w:rPr>
        <w:t>Nº</w:t>
      </w:r>
      <w:proofErr w:type="spellEnd"/>
      <w:r w:rsidR="00653063" w:rsidRPr="001104B5">
        <w:rPr>
          <w:rFonts w:eastAsia="Times New Roman"/>
          <w:color w:val="000000"/>
          <w:sz w:val="18"/>
          <w:szCs w:val="18"/>
        </w:rPr>
        <w:t xml:space="preserve"> 2342 de 29 de abril de 2015.</w:t>
      </w:r>
    </w:p>
  </w:footnote>
  <w:footnote w:id="33">
    <w:p w14:paraId="74CF21F3" w14:textId="5FF8FA28" w:rsidR="00653063" w:rsidRPr="001104B5" w:rsidRDefault="007732EA"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1104B5">
        <w:rPr>
          <w:sz w:val="18"/>
          <w:szCs w:val="18"/>
          <w:vertAlign w:val="superscript"/>
        </w:rPr>
        <w:footnoteRef/>
      </w:r>
      <w:r>
        <w:rPr>
          <w:rFonts w:eastAsia="Times New Roman"/>
          <w:color w:val="000000"/>
          <w:sz w:val="18"/>
          <w:szCs w:val="18"/>
        </w:rPr>
        <w:tab/>
      </w:r>
      <w:r w:rsidR="00653063" w:rsidRPr="001104B5">
        <w:rPr>
          <w:rFonts w:eastAsia="Times New Roman"/>
          <w:color w:val="000000"/>
          <w:sz w:val="18"/>
          <w:szCs w:val="18"/>
        </w:rPr>
        <w:t>Artículo 5 del Código Civil Boliviano.</w:t>
      </w:r>
    </w:p>
  </w:footnote>
  <w:footnote w:id="34">
    <w:p w14:paraId="49565E6A" w14:textId="63AD68CF" w:rsidR="00653063" w:rsidRPr="001104B5" w:rsidRDefault="007732EA"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1104B5">
        <w:rPr>
          <w:sz w:val="18"/>
          <w:szCs w:val="18"/>
          <w:vertAlign w:val="superscript"/>
        </w:rPr>
        <w:footnoteRef/>
      </w:r>
      <w:r>
        <w:rPr>
          <w:rFonts w:eastAsia="Times New Roman"/>
          <w:color w:val="000000"/>
          <w:sz w:val="18"/>
          <w:szCs w:val="18"/>
        </w:rPr>
        <w:tab/>
      </w:r>
      <w:r w:rsidR="00653063" w:rsidRPr="001104B5">
        <w:rPr>
          <w:rFonts w:eastAsia="Times New Roman"/>
          <w:color w:val="000000"/>
          <w:sz w:val="18"/>
          <w:szCs w:val="18"/>
        </w:rPr>
        <w:t xml:space="preserve">Artículo 14, I de la CPE. </w:t>
      </w:r>
    </w:p>
  </w:footnote>
  <w:footnote w:id="35">
    <w:p w14:paraId="1170DB28" w14:textId="3AF3284C" w:rsidR="00653063" w:rsidRDefault="007732EA"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1104B5">
        <w:rPr>
          <w:sz w:val="18"/>
          <w:szCs w:val="18"/>
          <w:vertAlign w:val="superscript"/>
        </w:rPr>
        <w:footnoteRef/>
      </w:r>
      <w:r>
        <w:rPr>
          <w:rFonts w:eastAsia="Times New Roman"/>
          <w:color w:val="000000"/>
          <w:sz w:val="18"/>
          <w:szCs w:val="18"/>
        </w:rPr>
        <w:tab/>
      </w:r>
      <w:r w:rsidR="00653063" w:rsidRPr="001104B5">
        <w:rPr>
          <w:rFonts w:eastAsia="Times New Roman"/>
          <w:color w:val="000000"/>
          <w:sz w:val="18"/>
          <w:szCs w:val="18"/>
        </w:rPr>
        <w:t xml:space="preserve">Artículo 38 de la Ley </w:t>
      </w:r>
      <w:proofErr w:type="spellStart"/>
      <w:r w:rsidR="00653063" w:rsidRPr="001104B5">
        <w:rPr>
          <w:rFonts w:eastAsia="Times New Roman"/>
          <w:color w:val="000000"/>
          <w:sz w:val="18"/>
          <w:szCs w:val="18"/>
        </w:rPr>
        <w:t>N°</w:t>
      </w:r>
      <w:proofErr w:type="spellEnd"/>
      <w:r w:rsidR="00653063" w:rsidRPr="001104B5">
        <w:rPr>
          <w:rFonts w:eastAsia="Times New Roman"/>
          <w:color w:val="000000"/>
          <w:sz w:val="18"/>
          <w:szCs w:val="18"/>
        </w:rPr>
        <w:t xml:space="preserve"> 223 de 2 de marzo de 2012.</w:t>
      </w:r>
    </w:p>
  </w:footnote>
  <w:footnote w:id="36">
    <w:p w14:paraId="31944E6C" w14:textId="77777777" w:rsidR="00653063" w:rsidRDefault="00653063" w:rsidP="00653063">
      <w:pPr>
        <w:pBdr>
          <w:top w:val="nil"/>
          <w:left w:val="nil"/>
          <w:bottom w:val="nil"/>
          <w:right w:val="nil"/>
          <w:between w:val="nil"/>
        </w:pBdr>
        <w:tabs>
          <w:tab w:val="right" w:pos="1021"/>
        </w:tabs>
        <w:spacing w:line="220" w:lineRule="auto"/>
        <w:ind w:right="1134"/>
        <w:rPr>
          <w:rFonts w:eastAsia="Times New Roman"/>
          <w:color w:val="000000"/>
          <w:sz w:val="18"/>
          <w:szCs w:val="18"/>
        </w:rPr>
      </w:pPr>
    </w:p>
  </w:footnote>
  <w:footnote w:id="37">
    <w:p w14:paraId="21914440" w14:textId="6A138B31" w:rsidR="00653063" w:rsidRPr="008B7D48" w:rsidRDefault="008B7D48" w:rsidP="00653063">
      <w:pPr>
        <w:pBdr>
          <w:top w:val="nil"/>
          <w:left w:val="nil"/>
          <w:bottom w:val="nil"/>
          <w:right w:val="nil"/>
          <w:between w:val="nil"/>
        </w:pBdr>
        <w:tabs>
          <w:tab w:val="right" w:pos="1021"/>
        </w:tabs>
        <w:spacing w:line="220" w:lineRule="auto"/>
        <w:ind w:left="1134" w:right="49" w:hanging="1134"/>
        <w:rPr>
          <w:rFonts w:eastAsia="Times New Roman"/>
          <w:color w:val="000000"/>
          <w:sz w:val="18"/>
          <w:szCs w:val="18"/>
        </w:rPr>
      </w:pPr>
      <w:r>
        <w:rPr>
          <w:rFonts w:eastAsia="Times New Roman"/>
          <w:color w:val="000000"/>
          <w:sz w:val="18"/>
          <w:szCs w:val="18"/>
        </w:rPr>
        <w:tab/>
      </w:r>
      <w:r w:rsidR="00653063" w:rsidRPr="008B7D48">
        <w:rPr>
          <w:sz w:val="18"/>
          <w:szCs w:val="18"/>
          <w:vertAlign w:val="superscript"/>
        </w:rPr>
        <w:footnoteRef/>
      </w:r>
      <w:r>
        <w:rPr>
          <w:rFonts w:eastAsia="Times New Roman"/>
          <w:color w:val="000000"/>
          <w:sz w:val="18"/>
          <w:szCs w:val="18"/>
        </w:rPr>
        <w:tab/>
      </w:r>
      <w:r w:rsidR="00653063" w:rsidRPr="008B7D48">
        <w:rPr>
          <w:rFonts w:eastAsia="Times New Roman"/>
          <w:color w:val="000000"/>
          <w:sz w:val="18"/>
          <w:szCs w:val="18"/>
        </w:rPr>
        <w:t xml:space="preserve">Artículo 2 del Reglamento General de la EJE. </w:t>
      </w:r>
    </w:p>
  </w:footnote>
  <w:footnote w:id="38">
    <w:p w14:paraId="5CF41BDF" w14:textId="59176427" w:rsidR="00653063" w:rsidRPr="00793769" w:rsidRDefault="008B7D48" w:rsidP="00653063">
      <w:pPr>
        <w:pBdr>
          <w:top w:val="nil"/>
          <w:left w:val="nil"/>
          <w:bottom w:val="nil"/>
          <w:right w:val="nil"/>
          <w:between w:val="nil"/>
        </w:pBdr>
        <w:tabs>
          <w:tab w:val="right" w:pos="1021"/>
        </w:tabs>
        <w:spacing w:line="220" w:lineRule="auto"/>
        <w:ind w:left="1134" w:right="49" w:hanging="1134"/>
        <w:jc w:val="both"/>
        <w:rPr>
          <w:rFonts w:eastAsia="Times New Roman"/>
          <w:color w:val="000000"/>
          <w:sz w:val="16"/>
          <w:szCs w:val="16"/>
        </w:rPr>
      </w:pPr>
      <w:r>
        <w:rPr>
          <w:rFonts w:eastAsia="Times New Roman"/>
          <w:color w:val="000000"/>
          <w:sz w:val="18"/>
          <w:szCs w:val="18"/>
        </w:rPr>
        <w:tab/>
      </w:r>
      <w:r w:rsidR="00653063" w:rsidRPr="008B7D48">
        <w:rPr>
          <w:sz w:val="18"/>
          <w:szCs w:val="18"/>
          <w:vertAlign w:val="superscript"/>
        </w:rPr>
        <w:footnoteRef/>
      </w:r>
      <w:r>
        <w:rPr>
          <w:rFonts w:eastAsia="Times New Roman"/>
          <w:color w:val="000000"/>
          <w:sz w:val="18"/>
          <w:szCs w:val="18"/>
        </w:rPr>
        <w:tab/>
      </w:r>
      <w:r w:rsidR="00653063" w:rsidRPr="008B7D48">
        <w:rPr>
          <w:rFonts w:eastAsia="Times New Roman"/>
          <w:color w:val="000000"/>
          <w:sz w:val="18"/>
          <w:szCs w:val="18"/>
        </w:rPr>
        <w:t xml:space="preserve">Creada mediante Resolución Administrativa </w:t>
      </w:r>
      <w:proofErr w:type="spellStart"/>
      <w:r w:rsidR="00653063" w:rsidRPr="008B7D48">
        <w:rPr>
          <w:rFonts w:eastAsia="Times New Roman"/>
          <w:color w:val="000000"/>
          <w:sz w:val="18"/>
          <w:szCs w:val="18"/>
        </w:rPr>
        <w:t>N°</w:t>
      </w:r>
      <w:proofErr w:type="spellEnd"/>
      <w:r w:rsidR="00653063" w:rsidRPr="008B7D48">
        <w:rPr>
          <w:rFonts w:eastAsia="Times New Roman"/>
          <w:color w:val="000000"/>
          <w:sz w:val="18"/>
          <w:szCs w:val="18"/>
        </w:rPr>
        <w:t xml:space="preserve"> 133/04 de 23 de abril de 2004 del Comando General de la Policía Boliviana.</w:t>
      </w:r>
    </w:p>
  </w:footnote>
  <w:footnote w:id="39">
    <w:p w14:paraId="1BDE24F0" w14:textId="267B14D6" w:rsidR="00653063" w:rsidRPr="007B7A44" w:rsidRDefault="007B7A4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Realizado el 12 de noviembre de 2021.</w:t>
      </w:r>
    </w:p>
  </w:footnote>
  <w:footnote w:id="40">
    <w:p w14:paraId="343BC662" w14:textId="2E1F424D" w:rsidR="00653063" w:rsidRPr="007B7A44" w:rsidRDefault="007B7A4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Realizado el 15 de noviembre de 2022.</w:t>
      </w:r>
    </w:p>
  </w:footnote>
  <w:footnote w:id="41">
    <w:p w14:paraId="7436641B" w14:textId="7BE56252" w:rsidR="00653063" w:rsidRPr="007B7A44" w:rsidRDefault="007B7A4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Realizado el 10 de septiembre de 2022.</w:t>
      </w:r>
    </w:p>
  </w:footnote>
  <w:footnote w:id="42">
    <w:p w14:paraId="65AB5D16" w14:textId="4FA15A71" w:rsidR="00653063" w:rsidRPr="007B7A44" w:rsidRDefault="007B7A4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Realizados el 7 de diciembre de 2022.</w:t>
      </w:r>
    </w:p>
  </w:footnote>
  <w:footnote w:id="43">
    <w:p w14:paraId="7A1F09CD" w14:textId="6F1C00EB" w:rsidR="00653063" w:rsidRPr="007B7A44" w:rsidRDefault="007B7A4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Artículo 115, I y II de la CPE.</w:t>
      </w:r>
    </w:p>
  </w:footnote>
  <w:footnote w:id="44">
    <w:p w14:paraId="13C8047F" w14:textId="5EDDE700" w:rsidR="00653063" w:rsidRPr="007B7A44" w:rsidRDefault="007B7A44"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Artículo 109, I de la CPE.</w:t>
      </w:r>
    </w:p>
  </w:footnote>
  <w:footnote w:id="45">
    <w:p w14:paraId="7B613BE6" w14:textId="0CBA549B" w:rsidR="00653063" w:rsidRPr="007B7A44" w:rsidRDefault="007B7A44" w:rsidP="00653063">
      <w:pPr>
        <w:pBdr>
          <w:top w:val="nil"/>
          <w:left w:val="nil"/>
          <w:bottom w:val="nil"/>
          <w:right w:val="nil"/>
          <w:between w:val="nil"/>
        </w:pBdr>
        <w:tabs>
          <w:tab w:val="right" w:pos="1021"/>
        </w:tabs>
        <w:spacing w:line="220" w:lineRule="auto"/>
        <w:ind w:left="1134" w:right="1134" w:hanging="1134"/>
        <w:jc w:val="both"/>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Artículo 73, I y II de la CPE.</w:t>
      </w:r>
    </w:p>
  </w:footnote>
  <w:footnote w:id="46">
    <w:p w14:paraId="5C43D67F" w14:textId="0A0D3FFC" w:rsidR="00653063" w:rsidRPr="007B7A44" w:rsidRDefault="007B7A44" w:rsidP="007B7A44">
      <w:pPr>
        <w:pBdr>
          <w:top w:val="nil"/>
          <w:left w:val="nil"/>
          <w:bottom w:val="nil"/>
          <w:right w:val="nil"/>
          <w:between w:val="nil"/>
        </w:pBdr>
        <w:tabs>
          <w:tab w:val="right" w:pos="1021"/>
          <w:tab w:val="left" w:pos="708"/>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 xml:space="preserve">Instructivos MG-DGRP </w:t>
      </w:r>
      <w:proofErr w:type="spellStart"/>
      <w:r w:rsidR="00653063" w:rsidRPr="007B7A44">
        <w:rPr>
          <w:rFonts w:eastAsia="Times New Roman"/>
          <w:color w:val="000000"/>
          <w:sz w:val="18"/>
          <w:szCs w:val="18"/>
        </w:rPr>
        <w:t>N°</w:t>
      </w:r>
      <w:proofErr w:type="spellEnd"/>
      <w:r w:rsidR="00653063" w:rsidRPr="007B7A44">
        <w:rPr>
          <w:rFonts w:eastAsia="Times New Roman"/>
          <w:color w:val="000000"/>
          <w:sz w:val="18"/>
          <w:szCs w:val="18"/>
        </w:rPr>
        <w:t xml:space="preserve"> 019/2022 de 14 de abril de 2022 y MG-DGRP-A.L.C. </w:t>
      </w:r>
      <w:proofErr w:type="spellStart"/>
      <w:r w:rsidR="00653063" w:rsidRPr="007B7A44">
        <w:rPr>
          <w:rFonts w:eastAsia="Times New Roman"/>
          <w:color w:val="000000"/>
          <w:sz w:val="18"/>
          <w:szCs w:val="18"/>
        </w:rPr>
        <w:t>N°</w:t>
      </w:r>
      <w:proofErr w:type="spellEnd"/>
      <w:r w:rsidR="00653063" w:rsidRPr="007B7A44">
        <w:rPr>
          <w:rFonts w:eastAsia="Times New Roman"/>
          <w:color w:val="000000"/>
          <w:sz w:val="18"/>
          <w:szCs w:val="18"/>
        </w:rPr>
        <w:t xml:space="preserve"> 036/2023 de 30 de mayo de 2023 dirigidos a </w:t>
      </w:r>
      <w:proofErr w:type="gramStart"/>
      <w:r w:rsidR="00653063" w:rsidRPr="007B7A44">
        <w:rPr>
          <w:rFonts w:eastAsia="Times New Roman"/>
          <w:color w:val="000000"/>
          <w:sz w:val="18"/>
          <w:szCs w:val="18"/>
        </w:rPr>
        <w:t>Directores</w:t>
      </w:r>
      <w:proofErr w:type="gramEnd"/>
      <w:r w:rsidR="00653063" w:rsidRPr="007B7A44">
        <w:rPr>
          <w:rFonts w:eastAsia="Times New Roman"/>
          <w:color w:val="000000"/>
          <w:sz w:val="18"/>
          <w:szCs w:val="18"/>
        </w:rPr>
        <w:t xml:space="preserve"> Departamentales y Directores de Recintos Penitenciarios.</w:t>
      </w:r>
    </w:p>
  </w:footnote>
  <w:footnote w:id="47">
    <w:p w14:paraId="3188AE5D" w14:textId="626132A6" w:rsidR="00653063" w:rsidRPr="007B7A44" w:rsidRDefault="007B7A44" w:rsidP="007B7A44">
      <w:pPr>
        <w:pBdr>
          <w:top w:val="nil"/>
          <w:left w:val="nil"/>
          <w:bottom w:val="nil"/>
          <w:right w:val="nil"/>
          <w:between w:val="nil"/>
        </w:pBdr>
        <w:tabs>
          <w:tab w:val="right" w:pos="1021"/>
          <w:tab w:val="left" w:pos="708"/>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 xml:space="preserve">Instructivo MG-DGRP-A.L.C. </w:t>
      </w:r>
      <w:proofErr w:type="spellStart"/>
      <w:r w:rsidR="00653063" w:rsidRPr="007B7A44">
        <w:rPr>
          <w:rFonts w:eastAsia="Times New Roman"/>
          <w:color w:val="000000"/>
          <w:sz w:val="18"/>
          <w:szCs w:val="18"/>
        </w:rPr>
        <w:t>N°</w:t>
      </w:r>
      <w:proofErr w:type="spellEnd"/>
      <w:r w:rsidR="00653063" w:rsidRPr="007B7A44">
        <w:rPr>
          <w:rFonts w:eastAsia="Times New Roman"/>
          <w:color w:val="000000"/>
          <w:sz w:val="18"/>
          <w:szCs w:val="18"/>
        </w:rPr>
        <w:t xml:space="preserve"> 013/2023 de 27 de marzo de 2023 dirigido a </w:t>
      </w:r>
      <w:proofErr w:type="gramStart"/>
      <w:r w:rsidR="00653063" w:rsidRPr="007B7A44">
        <w:rPr>
          <w:rFonts w:eastAsia="Times New Roman"/>
          <w:color w:val="000000"/>
          <w:sz w:val="18"/>
          <w:szCs w:val="18"/>
        </w:rPr>
        <w:t>Directores</w:t>
      </w:r>
      <w:proofErr w:type="gramEnd"/>
      <w:r w:rsidR="00653063" w:rsidRPr="007B7A44">
        <w:rPr>
          <w:rFonts w:eastAsia="Times New Roman"/>
          <w:color w:val="000000"/>
          <w:sz w:val="18"/>
          <w:szCs w:val="18"/>
        </w:rPr>
        <w:t xml:space="preserve"> Departamentales y Directores de Recintos Penitenciarios.</w:t>
      </w:r>
    </w:p>
  </w:footnote>
  <w:footnote w:id="48">
    <w:p w14:paraId="6395F2A9" w14:textId="569E6729" w:rsidR="00653063" w:rsidRPr="007B7A44" w:rsidRDefault="00637174" w:rsidP="00637174">
      <w:pPr>
        <w:pBdr>
          <w:top w:val="nil"/>
          <w:left w:val="nil"/>
          <w:bottom w:val="nil"/>
          <w:right w:val="nil"/>
          <w:between w:val="nil"/>
        </w:pBdr>
        <w:tabs>
          <w:tab w:val="right" w:pos="1021"/>
          <w:tab w:val="left" w:pos="708"/>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sidR="00653063" w:rsidRPr="007B7A44">
        <w:rPr>
          <w:rFonts w:eastAsia="Times New Roman"/>
          <w:color w:val="000000"/>
          <w:sz w:val="18"/>
          <w:szCs w:val="18"/>
        </w:rPr>
        <w:t xml:space="preserve">Instructivo MG-DGRP-A.L.C. </w:t>
      </w:r>
      <w:proofErr w:type="spellStart"/>
      <w:r w:rsidR="00653063" w:rsidRPr="007B7A44">
        <w:rPr>
          <w:rFonts w:eastAsia="Times New Roman"/>
          <w:color w:val="000000"/>
          <w:sz w:val="18"/>
          <w:szCs w:val="18"/>
        </w:rPr>
        <w:t>N°</w:t>
      </w:r>
      <w:proofErr w:type="spellEnd"/>
      <w:r w:rsidR="00653063" w:rsidRPr="007B7A44">
        <w:rPr>
          <w:rFonts w:eastAsia="Times New Roman"/>
          <w:color w:val="000000"/>
          <w:sz w:val="18"/>
          <w:szCs w:val="18"/>
        </w:rPr>
        <w:t xml:space="preserve"> 025/2023 de 21 de abril de 2023 dirigido a </w:t>
      </w:r>
      <w:proofErr w:type="gramStart"/>
      <w:r w:rsidR="00653063" w:rsidRPr="007B7A44">
        <w:rPr>
          <w:rFonts w:eastAsia="Times New Roman"/>
          <w:color w:val="000000"/>
          <w:sz w:val="18"/>
          <w:szCs w:val="18"/>
        </w:rPr>
        <w:t>Directores</w:t>
      </w:r>
      <w:proofErr w:type="gramEnd"/>
      <w:r w:rsidR="00653063" w:rsidRPr="007B7A44">
        <w:rPr>
          <w:rFonts w:eastAsia="Times New Roman"/>
          <w:color w:val="000000"/>
          <w:sz w:val="18"/>
          <w:szCs w:val="18"/>
        </w:rPr>
        <w:t xml:space="preserve"> Departamentales y Directores de Recintos Penitenciarios.</w:t>
      </w:r>
    </w:p>
  </w:footnote>
  <w:footnote w:id="49">
    <w:p w14:paraId="0A8B252C" w14:textId="1A7B4EAB" w:rsidR="00653063" w:rsidRPr="00793769" w:rsidRDefault="00637174" w:rsidP="00637174">
      <w:pPr>
        <w:pBdr>
          <w:top w:val="nil"/>
          <w:left w:val="nil"/>
          <w:bottom w:val="nil"/>
          <w:right w:val="nil"/>
          <w:between w:val="nil"/>
        </w:pBdr>
        <w:tabs>
          <w:tab w:val="left" w:pos="708"/>
          <w:tab w:val="right" w:pos="1021"/>
          <w:tab w:val="right" w:pos="851"/>
        </w:tabs>
        <w:spacing w:line="220" w:lineRule="auto"/>
        <w:ind w:left="1134" w:right="1134" w:hanging="1134"/>
        <w:rPr>
          <w:rFonts w:eastAsia="Times New Roman"/>
          <w:color w:val="000000"/>
          <w:sz w:val="18"/>
          <w:szCs w:val="18"/>
        </w:rPr>
      </w:pPr>
      <w:r>
        <w:rPr>
          <w:rFonts w:eastAsia="Times New Roman"/>
          <w:color w:val="000000"/>
          <w:sz w:val="18"/>
          <w:szCs w:val="18"/>
        </w:rPr>
        <w:tab/>
      </w:r>
      <w:r>
        <w:rPr>
          <w:rFonts w:eastAsia="Times New Roman"/>
          <w:color w:val="000000"/>
          <w:sz w:val="18"/>
          <w:szCs w:val="18"/>
        </w:rPr>
        <w:tab/>
      </w:r>
      <w:r w:rsidR="00653063" w:rsidRPr="007B7A44">
        <w:rPr>
          <w:sz w:val="18"/>
          <w:szCs w:val="18"/>
          <w:vertAlign w:val="superscript"/>
        </w:rPr>
        <w:footnoteRef/>
      </w:r>
      <w:r>
        <w:rPr>
          <w:rFonts w:eastAsia="Times New Roman"/>
          <w:color w:val="000000"/>
          <w:sz w:val="18"/>
          <w:szCs w:val="18"/>
        </w:rPr>
        <w:tab/>
      </w:r>
      <w:r>
        <w:rPr>
          <w:rFonts w:eastAsia="Times New Roman"/>
          <w:color w:val="000000"/>
          <w:sz w:val="18"/>
          <w:szCs w:val="18"/>
        </w:rPr>
        <w:tab/>
      </w:r>
      <w:proofErr w:type="spellStart"/>
      <w:r w:rsidR="00653063" w:rsidRPr="007B7A44">
        <w:rPr>
          <w:rFonts w:eastAsia="Times New Roman"/>
          <w:color w:val="000000"/>
          <w:sz w:val="18"/>
          <w:szCs w:val="18"/>
        </w:rPr>
        <w:t>Memorandums</w:t>
      </w:r>
      <w:proofErr w:type="spellEnd"/>
      <w:r w:rsidR="00653063" w:rsidRPr="007B7A44">
        <w:rPr>
          <w:rFonts w:eastAsia="Times New Roman"/>
          <w:color w:val="000000"/>
          <w:sz w:val="18"/>
          <w:szCs w:val="18"/>
        </w:rPr>
        <w:t xml:space="preserve"> Circulares </w:t>
      </w:r>
      <w:proofErr w:type="spellStart"/>
      <w:r w:rsidR="00653063" w:rsidRPr="007B7A44">
        <w:rPr>
          <w:rFonts w:eastAsia="Times New Roman"/>
          <w:color w:val="000000"/>
          <w:sz w:val="18"/>
          <w:szCs w:val="18"/>
        </w:rPr>
        <w:t>N°</w:t>
      </w:r>
      <w:proofErr w:type="spellEnd"/>
      <w:r w:rsidR="00653063" w:rsidRPr="007B7A44">
        <w:rPr>
          <w:rFonts w:eastAsia="Times New Roman"/>
          <w:color w:val="000000"/>
          <w:sz w:val="18"/>
          <w:szCs w:val="18"/>
        </w:rPr>
        <w:t xml:space="preserve"> 002/2022 de 10 de enero de 2022 y </w:t>
      </w:r>
      <w:proofErr w:type="spellStart"/>
      <w:r w:rsidR="00653063" w:rsidRPr="007B7A44">
        <w:rPr>
          <w:rFonts w:eastAsia="Times New Roman"/>
          <w:color w:val="000000"/>
          <w:sz w:val="18"/>
          <w:szCs w:val="18"/>
        </w:rPr>
        <w:t>N°</w:t>
      </w:r>
      <w:proofErr w:type="spellEnd"/>
      <w:r w:rsidR="00653063" w:rsidRPr="007B7A44">
        <w:rPr>
          <w:rFonts w:eastAsia="Times New Roman"/>
          <w:color w:val="000000"/>
          <w:sz w:val="18"/>
          <w:szCs w:val="18"/>
        </w:rPr>
        <w:t xml:space="preserve"> 05/2023 de 16 de marzo de 2023 dirigidos a </w:t>
      </w:r>
      <w:proofErr w:type="gramStart"/>
      <w:r w:rsidR="00653063" w:rsidRPr="007B7A44">
        <w:rPr>
          <w:rFonts w:eastAsia="Times New Roman"/>
          <w:color w:val="000000"/>
          <w:sz w:val="18"/>
          <w:szCs w:val="18"/>
        </w:rPr>
        <w:t>Directores</w:t>
      </w:r>
      <w:proofErr w:type="gramEnd"/>
      <w:r w:rsidR="00653063" w:rsidRPr="007B7A44">
        <w:rPr>
          <w:rFonts w:eastAsia="Times New Roman"/>
          <w:color w:val="000000"/>
          <w:sz w:val="18"/>
          <w:szCs w:val="18"/>
        </w:rPr>
        <w:t xml:space="preserve"> de Recintos Penitenciarios.</w:t>
      </w:r>
      <w:r w:rsidR="00653063" w:rsidRPr="00793769">
        <w:rPr>
          <w:rFonts w:eastAsia="Times New Roman"/>
          <w:color w:val="000000"/>
          <w:sz w:val="18"/>
          <w:szCs w:val="18"/>
        </w:rPr>
        <w:t xml:space="preserve">  </w:t>
      </w:r>
    </w:p>
  </w:footnote>
  <w:footnote w:id="50">
    <w:p w14:paraId="171DD26B" w14:textId="77777777" w:rsidR="00653063" w:rsidRPr="00655287" w:rsidRDefault="00653063"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sidRPr="00793769">
        <w:rPr>
          <w:sz w:val="16"/>
          <w:szCs w:val="16"/>
          <w:vertAlign w:val="superscript"/>
        </w:rPr>
        <w:footnoteRef/>
      </w:r>
      <w:r w:rsidRPr="00793769">
        <w:rPr>
          <w:rFonts w:eastAsia="Times New Roman"/>
          <w:color w:val="000000"/>
          <w:sz w:val="16"/>
          <w:szCs w:val="16"/>
        </w:rPr>
        <w:t xml:space="preserve"> Ratificado mediante Ley </w:t>
      </w:r>
      <w:proofErr w:type="spellStart"/>
      <w:r w:rsidRPr="00793769">
        <w:rPr>
          <w:rFonts w:eastAsia="Times New Roman"/>
          <w:color w:val="000000"/>
          <w:sz w:val="16"/>
          <w:szCs w:val="16"/>
        </w:rPr>
        <w:t>N°</w:t>
      </w:r>
      <w:proofErr w:type="spellEnd"/>
      <w:r w:rsidRPr="00793769">
        <w:rPr>
          <w:rFonts w:eastAsia="Times New Roman"/>
          <w:color w:val="000000"/>
          <w:sz w:val="16"/>
          <w:szCs w:val="16"/>
        </w:rPr>
        <w:t xml:space="preserve"> 1939 de 10 de febrero de 1999.</w:t>
      </w:r>
    </w:p>
  </w:footnote>
  <w:footnote w:id="51">
    <w:p w14:paraId="6E1E06A5" w14:textId="77777777" w:rsidR="00653063" w:rsidRPr="00655287" w:rsidRDefault="00653063"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sidRPr="00655287">
        <w:rPr>
          <w:sz w:val="16"/>
          <w:szCs w:val="16"/>
          <w:vertAlign w:val="superscript"/>
        </w:rPr>
        <w:footnoteRef/>
      </w:r>
      <w:r w:rsidRPr="00655287">
        <w:rPr>
          <w:rFonts w:eastAsia="Times New Roman"/>
          <w:color w:val="000000"/>
          <w:sz w:val="16"/>
          <w:szCs w:val="16"/>
        </w:rPr>
        <w:t xml:space="preserve"> Ratificado mediante Ley </w:t>
      </w:r>
      <w:proofErr w:type="spellStart"/>
      <w:r w:rsidRPr="00655287">
        <w:rPr>
          <w:rFonts w:eastAsia="Times New Roman"/>
          <w:color w:val="000000"/>
          <w:sz w:val="16"/>
          <w:szCs w:val="16"/>
        </w:rPr>
        <w:t>N°</w:t>
      </w:r>
      <w:proofErr w:type="spellEnd"/>
      <w:r w:rsidRPr="00655287">
        <w:rPr>
          <w:rFonts w:eastAsia="Times New Roman"/>
          <w:color w:val="000000"/>
          <w:sz w:val="16"/>
          <w:szCs w:val="16"/>
        </w:rPr>
        <w:t xml:space="preserve"> 3298 de 12 de diciembre de 2005.</w:t>
      </w:r>
    </w:p>
  </w:footnote>
  <w:footnote w:id="52">
    <w:p w14:paraId="10F1D57D" w14:textId="77777777" w:rsidR="00653063" w:rsidRPr="00655287" w:rsidRDefault="00653063" w:rsidP="00653063">
      <w:pPr>
        <w:pBdr>
          <w:top w:val="nil"/>
          <w:left w:val="nil"/>
          <w:bottom w:val="nil"/>
          <w:right w:val="nil"/>
          <w:between w:val="nil"/>
        </w:pBdr>
        <w:tabs>
          <w:tab w:val="right" w:pos="1021"/>
          <w:tab w:val="left" w:pos="708"/>
        </w:tabs>
        <w:spacing w:line="220" w:lineRule="auto"/>
        <w:ind w:left="142" w:right="-93" w:hanging="142"/>
        <w:jc w:val="both"/>
        <w:rPr>
          <w:rFonts w:eastAsia="Times New Roman"/>
          <w:color w:val="000000"/>
          <w:sz w:val="16"/>
          <w:szCs w:val="16"/>
        </w:rPr>
      </w:pPr>
      <w:r w:rsidRPr="00655287">
        <w:rPr>
          <w:sz w:val="16"/>
          <w:szCs w:val="16"/>
          <w:vertAlign w:val="superscript"/>
        </w:rPr>
        <w:footnoteRef/>
      </w:r>
      <w:r w:rsidRPr="00655287">
        <w:rPr>
          <w:rFonts w:eastAsia="Times New Roman"/>
          <w:color w:val="000000"/>
          <w:sz w:val="16"/>
          <w:szCs w:val="16"/>
        </w:rPr>
        <w:t xml:space="preserve"> Ley </w:t>
      </w:r>
      <w:proofErr w:type="spellStart"/>
      <w:r w:rsidRPr="00655287">
        <w:rPr>
          <w:rFonts w:eastAsia="Times New Roman"/>
          <w:color w:val="000000"/>
          <w:sz w:val="16"/>
          <w:szCs w:val="16"/>
        </w:rPr>
        <w:t>N°</w:t>
      </w:r>
      <w:proofErr w:type="spellEnd"/>
      <w:r w:rsidRPr="00655287">
        <w:rPr>
          <w:rFonts w:eastAsia="Times New Roman"/>
          <w:color w:val="000000"/>
          <w:sz w:val="16"/>
          <w:szCs w:val="16"/>
        </w:rPr>
        <w:t xml:space="preserve"> 474 de 30 de diciembre de 2013 cuya estructura y atribuciones fueron establecidas por Decreto Supremo </w:t>
      </w:r>
      <w:proofErr w:type="spellStart"/>
      <w:r w:rsidRPr="00655287">
        <w:rPr>
          <w:rFonts w:eastAsia="Times New Roman"/>
          <w:color w:val="000000"/>
          <w:sz w:val="16"/>
          <w:szCs w:val="16"/>
        </w:rPr>
        <w:t>N°</w:t>
      </w:r>
      <w:proofErr w:type="spellEnd"/>
      <w:r w:rsidRPr="00655287">
        <w:rPr>
          <w:rFonts w:eastAsia="Times New Roman"/>
          <w:color w:val="000000"/>
          <w:sz w:val="16"/>
          <w:szCs w:val="16"/>
        </w:rPr>
        <w:t xml:space="preserve"> 2082 de 21 de agosto de 2014. Instancia que funcionó del 1 de julio de 2016 y concluyó el 30 de octubre de 2021</w:t>
      </w:r>
    </w:p>
  </w:footnote>
  <w:footnote w:id="53">
    <w:p w14:paraId="2897E578" w14:textId="77777777" w:rsidR="00653063" w:rsidRPr="00655287" w:rsidRDefault="00653063"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sidRPr="00655287">
        <w:rPr>
          <w:sz w:val="16"/>
          <w:szCs w:val="16"/>
          <w:vertAlign w:val="superscript"/>
        </w:rPr>
        <w:footnoteRef/>
      </w:r>
      <w:r w:rsidRPr="00655287">
        <w:rPr>
          <w:rFonts w:eastAsia="Times New Roman"/>
          <w:color w:val="000000"/>
          <w:sz w:val="16"/>
          <w:szCs w:val="16"/>
        </w:rPr>
        <w:t xml:space="preserve"> Artículo 2, I, Ley </w:t>
      </w:r>
      <w:proofErr w:type="spellStart"/>
      <w:r w:rsidRPr="00655287">
        <w:rPr>
          <w:rFonts w:eastAsia="Times New Roman"/>
          <w:color w:val="000000"/>
          <w:sz w:val="16"/>
          <w:szCs w:val="16"/>
        </w:rPr>
        <w:t>N°</w:t>
      </w:r>
      <w:proofErr w:type="spellEnd"/>
      <w:r w:rsidRPr="00655287">
        <w:rPr>
          <w:rFonts w:eastAsia="Times New Roman"/>
          <w:color w:val="000000"/>
          <w:sz w:val="16"/>
          <w:szCs w:val="16"/>
        </w:rPr>
        <w:t xml:space="preserve"> 1397 de 29 de septiembre de 2021.</w:t>
      </w:r>
    </w:p>
  </w:footnote>
  <w:footnote w:id="54">
    <w:p w14:paraId="664AE3E4" w14:textId="77777777" w:rsidR="00653063" w:rsidRPr="00655287" w:rsidRDefault="00653063"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sidRPr="00655287">
        <w:rPr>
          <w:sz w:val="16"/>
          <w:szCs w:val="16"/>
          <w:vertAlign w:val="superscript"/>
        </w:rPr>
        <w:footnoteRef/>
      </w:r>
      <w:r w:rsidRPr="00655287">
        <w:rPr>
          <w:rFonts w:eastAsia="Times New Roman"/>
          <w:color w:val="000000"/>
          <w:sz w:val="16"/>
          <w:szCs w:val="16"/>
        </w:rPr>
        <w:t xml:space="preserve"> Artículo 218, III, CPE.</w:t>
      </w:r>
    </w:p>
  </w:footnote>
  <w:footnote w:id="55">
    <w:p w14:paraId="62157D9D" w14:textId="474523BD" w:rsidR="00653063" w:rsidRPr="00871357" w:rsidRDefault="0087135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871357">
        <w:rPr>
          <w:sz w:val="18"/>
          <w:szCs w:val="18"/>
          <w:vertAlign w:val="superscript"/>
        </w:rPr>
        <w:footnoteRef/>
      </w:r>
      <w:r>
        <w:rPr>
          <w:rFonts w:eastAsia="Times New Roman"/>
          <w:color w:val="000000"/>
          <w:sz w:val="18"/>
          <w:szCs w:val="18"/>
        </w:rPr>
        <w:tab/>
      </w:r>
      <w:r w:rsidR="00653063" w:rsidRPr="00871357">
        <w:rPr>
          <w:rFonts w:eastAsia="Times New Roman"/>
          <w:color w:val="000000"/>
          <w:sz w:val="18"/>
          <w:szCs w:val="18"/>
        </w:rPr>
        <w:t xml:space="preserve">Artículo 12, Ley </w:t>
      </w:r>
      <w:proofErr w:type="spellStart"/>
      <w:r w:rsidR="00653063" w:rsidRPr="00871357">
        <w:rPr>
          <w:rFonts w:eastAsia="Times New Roman"/>
          <w:color w:val="000000"/>
          <w:sz w:val="18"/>
          <w:szCs w:val="18"/>
        </w:rPr>
        <w:t>N°</w:t>
      </w:r>
      <w:proofErr w:type="spellEnd"/>
      <w:r w:rsidR="00653063" w:rsidRPr="00871357">
        <w:rPr>
          <w:rFonts w:eastAsia="Times New Roman"/>
          <w:color w:val="000000"/>
          <w:sz w:val="18"/>
          <w:szCs w:val="18"/>
        </w:rPr>
        <w:t xml:space="preserve"> 548.</w:t>
      </w:r>
    </w:p>
  </w:footnote>
  <w:footnote w:id="56">
    <w:p w14:paraId="6D80DD6E" w14:textId="2C3D67AE" w:rsidR="00653063" w:rsidRPr="00871357" w:rsidRDefault="0087135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871357">
        <w:rPr>
          <w:sz w:val="18"/>
          <w:szCs w:val="18"/>
          <w:vertAlign w:val="superscript"/>
        </w:rPr>
        <w:footnoteRef/>
      </w:r>
      <w:r>
        <w:rPr>
          <w:rFonts w:eastAsia="Times New Roman"/>
          <w:color w:val="000000"/>
          <w:sz w:val="18"/>
          <w:szCs w:val="18"/>
        </w:rPr>
        <w:tab/>
      </w:r>
      <w:r w:rsidR="00653063" w:rsidRPr="00871357">
        <w:rPr>
          <w:rFonts w:eastAsia="Times New Roman"/>
          <w:color w:val="000000"/>
          <w:sz w:val="18"/>
          <w:szCs w:val="18"/>
        </w:rPr>
        <w:t xml:space="preserve">Artículo 145, Ley </w:t>
      </w:r>
      <w:proofErr w:type="spellStart"/>
      <w:r w:rsidR="00653063" w:rsidRPr="00871357">
        <w:rPr>
          <w:rFonts w:eastAsia="Times New Roman"/>
          <w:color w:val="000000"/>
          <w:sz w:val="18"/>
          <w:szCs w:val="18"/>
        </w:rPr>
        <w:t>N°</w:t>
      </w:r>
      <w:proofErr w:type="spellEnd"/>
      <w:r w:rsidR="00653063" w:rsidRPr="00871357">
        <w:rPr>
          <w:rFonts w:eastAsia="Times New Roman"/>
          <w:color w:val="000000"/>
          <w:sz w:val="18"/>
          <w:szCs w:val="18"/>
        </w:rPr>
        <w:t xml:space="preserve"> 548.</w:t>
      </w:r>
    </w:p>
  </w:footnote>
  <w:footnote w:id="57">
    <w:p w14:paraId="03BBA64C" w14:textId="2BA74382" w:rsidR="00653063" w:rsidRPr="00871357" w:rsidRDefault="0087135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871357">
        <w:rPr>
          <w:sz w:val="18"/>
          <w:szCs w:val="18"/>
          <w:vertAlign w:val="superscript"/>
        </w:rPr>
        <w:footnoteRef/>
      </w:r>
      <w:r>
        <w:rPr>
          <w:rFonts w:eastAsia="Times New Roman"/>
          <w:color w:val="000000"/>
          <w:sz w:val="18"/>
          <w:szCs w:val="18"/>
        </w:rPr>
        <w:tab/>
      </w:r>
      <w:r w:rsidR="00653063" w:rsidRPr="00871357">
        <w:rPr>
          <w:rFonts w:eastAsia="Times New Roman"/>
          <w:color w:val="000000"/>
          <w:sz w:val="18"/>
          <w:szCs w:val="18"/>
        </w:rPr>
        <w:t xml:space="preserve">Artículo 146, Ley </w:t>
      </w:r>
      <w:proofErr w:type="spellStart"/>
      <w:r w:rsidR="00653063" w:rsidRPr="00871357">
        <w:rPr>
          <w:rFonts w:eastAsia="Times New Roman"/>
          <w:color w:val="000000"/>
          <w:sz w:val="18"/>
          <w:szCs w:val="18"/>
        </w:rPr>
        <w:t>N°</w:t>
      </w:r>
      <w:proofErr w:type="spellEnd"/>
      <w:r w:rsidR="00653063" w:rsidRPr="00871357">
        <w:rPr>
          <w:rFonts w:eastAsia="Times New Roman"/>
          <w:color w:val="000000"/>
          <w:sz w:val="18"/>
          <w:szCs w:val="18"/>
        </w:rPr>
        <w:t xml:space="preserve"> 548.</w:t>
      </w:r>
    </w:p>
  </w:footnote>
  <w:footnote w:id="58">
    <w:p w14:paraId="50E76349" w14:textId="1993575B" w:rsidR="00653063" w:rsidRPr="00871357" w:rsidRDefault="0087135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871357">
        <w:rPr>
          <w:sz w:val="18"/>
          <w:szCs w:val="18"/>
          <w:vertAlign w:val="superscript"/>
        </w:rPr>
        <w:footnoteRef/>
      </w:r>
      <w:r>
        <w:rPr>
          <w:rFonts w:eastAsia="Times New Roman"/>
          <w:color w:val="000000"/>
          <w:sz w:val="18"/>
          <w:szCs w:val="18"/>
        </w:rPr>
        <w:tab/>
      </w:r>
      <w:r w:rsidR="00653063" w:rsidRPr="00871357">
        <w:rPr>
          <w:rFonts w:eastAsia="Times New Roman"/>
          <w:color w:val="000000"/>
          <w:sz w:val="18"/>
          <w:szCs w:val="18"/>
        </w:rPr>
        <w:t xml:space="preserve">Artículo 15, I, CPE y Artículo 19, I, Ley </w:t>
      </w:r>
      <w:proofErr w:type="spellStart"/>
      <w:r w:rsidR="00653063" w:rsidRPr="00871357">
        <w:rPr>
          <w:rFonts w:eastAsia="Times New Roman"/>
          <w:color w:val="000000"/>
          <w:sz w:val="18"/>
          <w:szCs w:val="18"/>
        </w:rPr>
        <w:t>N°</w:t>
      </w:r>
      <w:proofErr w:type="spellEnd"/>
      <w:r w:rsidR="00653063" w:rsidRPr="00871357">
        <w:rPr>
          <w:rFonts w:eastAsia="Times New Roman"/>
          <w:color w:val="000000"/>
          <w:sz w:val="18"/>
          <w:szCs w:val="18"/>
        </w:rPr>
        <w:t xml:space="preserve"> 223 de 2 de marzo de 2012.</w:t>
      </w:r>
    </w:p>
  </w:footnote>
  <w:footnote w:id="59">
    <w:p w14:paraId="57D8D1C4" w14:textId="192B19E3" w:rsidR="00653063" w:rsidRPr="00871357" w:rsidRDefault="0087135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871357">
        <w:rPr>
          <w:sz w:val="18"/>
          <w:szCs w:val="18"/>
          <w:vertAlign w:val="superscript"/>
        </w:rPr>
        <w:footnoteRef/>
      </w:r>
      <w:r>
        <w:rPr>
          <w:rFonts w:eastAsia="Times New Roman"/>
          <w:color w:val="000000"/>
          <w:sz w:val="18"/>
          <w:szCs w:val="18"/>
        </w:rPr>
        <w:tab/>
      </w:r>
      <w:r w:rsidR="00653063" w:rsidRPr="00871357">
        <w:rPr>
          <w:rFonts w:eastAsia="Times New Roman"/>
          <w:color w:val="000000"/>
          <w:sz w:val="18"/>
          <w:szCs w:val="18"/>
        </w:rPr>
        <w:t xml:space="preserve">Artículo 32, VI, Ley </w:t>
      </w:r>
      <w:proofErr w:type="spellStart"/>
      <w:r w:rsidR="00653063" w:rsidRPr="00871357">
        <w:rPr>
          <w:rFonts w:eastAsia="Times New Roman"/>
          <w:color w:val="000000"/>
          <w:sz w:val="18"/>
          <w:szCs w:val="18"/>
        </w:rPr>
        <w:t>N°</w:t>
      </w:r>
      <w:proofErr w:type="spellEnd"/>
      <w:r w:rsidR="00653063" w:rsidRPr="00871357">
        <w:rPr>
          <w:rFonts w:eastAsia="Times New Roman"/>
          <w:color w:val="000000"/>
          <w:sz w:val="18"/>
          <w:szCs w:val="18"/>
        </w:rPr>
        <w:t xml:space="preserve"> 223 de 2 de marzo de 2012.</w:t>
      </w:r>
    </w:p>
  </w:footnote>
  <w:footnote w:id="60">
    <w:p w14:paraId="33F43BC6" w14:textId="7A954F3F" w:rsidR="00653063" w:rsidRPr="00655287" w:rsidRDefault="0087135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Pr>
          <w:rFonts w:eastAsia="Times New Roman"/>
          <w:color w:val="000000"/>
          <w:sz w:val="18"/>
          <w:szCs w:val="18"/>
        </w:rPr>
        <w:tab/>
      </w:r>
      <w:r w:rsidR="00653063" w:rsidRPr="00871357">
        <w:rPr>
          <w:sz w:val="18"/>
          <w:szCs w:val="18"/>
          <w:vertAlign w:val="superscript"/>
        </w:rPr>
        <w:footnoteRef/>
      </w:r>
      <w:r>
        <w:rPr>
          <w:rFonts w:eastAsia="Times New Roman"/>
          <w:color w:val="000000"/>
          <w:sz w:val="18"/>
          <w:szCs w:val="18"/>
        </w:rPr>
        <w:tab/>
      </w:r>
      <w:r w:rsidR="00653063" w:rsidRPr="00871357">
        <w:rPr>
          <w:rFonts w:eastAsia="Times New Roman"/>
          <w:color w:val="000000"/>
          <w:sz w:val="18"/>
          <w:szCs w:val="18"/>
        </w:rPr>
        <w:t xml:space="preserve">Artículo 271, Ley </w:t>
      </w:r>
      <w:proofErr w:type="spellStart"/>
      <w:r w:rsidR="00653063" w:rsidRPr="00871357">
        <w:rPr>
          <w:rFonts w:eastAsia="Times New Roman"/>
          <w:color w:val="000000"/>
          <w:sz w:val="18"/>
          <w:szCs w:val="18"/>
        </w:rPr>
        <w:t>N°</w:t>
      </w:r>
      <w:proofErr w:type="spellEnd"/>
      <w:r w:rsidR="00653063" w:rsidRPr="00871357">
        <w:rPr>
          <w:rFonts w:eastAsia="Times New Roman"/>
          <w:color w:val="000000"/>
          <w:sz w:val="18"/>
          <w:szCs w:val="18"/>
        </w:rPr>
        <w:t xml:space="preserve"> 348 de 09 de marzo de 2013.</w:t>
      </w:r>
    </w:p>
  </w:footnote>
  <w:footnote w:id="61">
    <w:p w14:paraId="3BA5E02A" w14:textId="077785B1" w:rsidR="00653063" w:rsidRPr="0099207C" w:rsidRDefault="0099207C"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99207C">
        <w:rPr>
          <w:sz w:val="18"/>
          <w:szCs w:val="18"/>
          <w:vertAlign w:val="superscript"/>
        </w:rPr>
        <w:footnoteRef/>
      </w:r>
      <w:r>
        <w:rPr>
          <w:rFonts w:eastAsia="Times New Roman"/>
          <w:color w:val="000000"/>
          <w:sz w:val="18"/>
          <w:szCs w:val="18"/>
        </w:rPr>
        <w:tab/>
      </w:r>
      <w:r w:rsidR="00653063" w:rsidRPr="0099207C">
        <w:rPr>
          <w:rFonts w:eastAsia="Times New Roman"/>
          <w:color w:val="000000"/>
          <w:sz w:val="18"/>
          <w:szCs w:val="18"/>
        </w:rPr>
        <w:t>Resolución Administrativa SEGIP/DGE/N°729/2019 de fecha 10 de julio de 2019.</w:t>
      </w:r>
    </w:p>
  </w:footnote>
  <w:footnote w:id="62">
    <w:p w14:paraId="65957ECD" w14:textId="381AC214" w:rsidR="00653063" w:rsidRPr="00B55C6A" w:rsidRDefault="00B55C6A"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B55C6A">
        <w:rPr>
          <w:sz w:val="18"/>
          <w:szCs w:val="18"/>
          <w:vertAlign w:val="superscript"/>
        </w:rPr>
        <w:footnoteRef/>
      </w:r>
      <w:r>
        <w:rPr>
          <w:rFonts w:eastAsia="Times New Roman"/>
          <w:color w:val="000000"/>
          <w:sz w:val="18"/>
          <w:szCs w:val="18"/>
        </w:rPr>
        <w:tab/>
      </w:r>
      <w:r w:rsidR="00653063" w:rsidRPr="00B55C6A">
        <w:rPr>
          <w:rFonts w:eastAsia="Times New Roman"/>
          <w:color w:val="000000"/>
          <w:sz w:val="18"/>
          <w:szCs w:val="18"/>
        </w:rPr>
        <w:t xml:space="preserve">Artículo 8 de La Ley </w:t>
      </w:r>
      <w:proofErr w:type="spellStart"/>
      <w:r w:rsidR="00653063" w:rsidRPr="00B55C6A">
        <w:rPr>
          <w:rFonts w:eastAsia="Times New Roman"/>
          <w:color w:val="000000"/>
          <w:sz w:val="18"/>
          <w:szCs w:val="18"/>
        </w:rPr>
        <w:t>N°</w:t>
      </w:r>
      <w:proofErr w:type="spellEnd"/>
      <w:r w:rsidR="00653063" w:rsidRPr="00B55C6A">
        <w:rPr>
          <w:rFonts w:eastAsia="Times New Roman"/>
          <w:color w:val="000000"/>
          <w:sz w:val="18"/>
          <w:szCs w:val="18"/>
        </w:rPr>
        <w:t xml:space="preserve"> 269 de 02 de agosto de 2012.</w:t>
      </w:r>
    </w:p>
  </w:footnote>
  <w:footnote w:id="63">
    <w:p w14:paraId="332E6C9E" w14:textId="6A219DD9" w:rsidR="00653063" w:rsidRPr="00394FFB" w:rsidRDefault="00B55C6A"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Pr>
          <w:rFonts w:eastAsia="Times New Roman"/>
          <w:color w:val="000000"/>
          <w:sz w:val="18"/>
          <w:szCs w:val="18"/>
        </w:rPr>
        <w:tab/>
      </w:r>
      <w:r w:rsidR="00653063" w:rsidRPr="00B55C6A">
        <w:rPr>
          <w:sz w:val="18"/>
          <w:szCs w:val="18"/>
          <w:vertAlign w:val="superscript"/>
        </w:rPr>
        <w:footnoteRef/>
      </w:r>
      <w:r>
        <w:rPr>
          <w:rFonts w:eastAsia="Times New Roman"/>
          <w:color w:val="000000"/>
          <w:sz w:val="18"/>
          <w:szCs w:val="18"/>
        </w:rPr>
        <w:tab/>
      </w:r>
      <w:r w:rsidR="00653063" w:rsidRPr="00B55C6A">
        <w:rPr>
          <w:rFonts w:eastAsia="Times New Roman"/>
          <w:color w:val="000000"/>
          <w:sz w:val="18"/>
          <w:szCs w:val="18"/>
        </w:rPr>
        <w:t xml:space="preserve">Artículo 59, Parágrafo I de la Ley </w:t>
      </w:r>
      <w:proofErr w:type="spellStart"/>
      <w:r w:rsidR="00653063" w:rsidRPr="00B55C6A">
        <w:rPr>
          <w:rFonts w:eastAsia="Times New Roman"/>
          <w:color w:val="000000"/>
          <w:sz w:val="18"/>
          <w:szCs w:val="18"/>
        </w:rPr>
        <w:t>N°</w:t>
      </w:r>
      <w:proofErr w:type="spellEnd"/>
      <w:r w:rsidR="00653063" w:rsidRPr="00B55C6A">
        <w:rPr>
          <w:rFonts w:eastAsia="Times New Roman"/>
          <w:color w:val="000000"/>
          <w:sz w:val="18"/>
          <w:szCs w:val="18"/>
        </w:rPr>
        <w:t xml:space="preserve"> 603 de 19 de noviembre de 2014.</w:t>
      </w:r>
    </w:p>
  </w:footnote>
  <w:footnote w:id="64">
    <w:p w14:paraId="1709C3B1" w14:textId="4F8EEF3D" w:rsidR="00653063" w:rsidRPr="00E44C47" w:rsidRDefault="00E44C4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E44C47">
        <w:rPr>
          <w:sz w:val="18"/>
          <w:szCs w:val="18"/>
          <w:vertAlign w:val="superscript"/>
        </w:rPr>
        <w:footnoteRef/>
      </w:r>
      <w:r>
        <w:rPr>
          <w:rFonts w:eastAsia="Times New Roman"/>
          <w:color w:val="000000"/>
          <w:sz w:val="18"/>
          <w:szCs w:val="18"/>
        </w:rPr>
        <w:tab/>
      </w:r>
      <w:r w:rsidR="00653063" w:rsidRPr="00E44C47">
        <w:rPr>
          <w:rFonts w:eastAsia="Times New Roman"/>
          <w:color w:val="000000"/>
          <w:sz w:val="18"/>
          <w:szCs w:val="18"/>
        </w:rPr>
        <w:t xml:space="preserve">Artículo 8, Ley </w:t>
      </w:r>
      <w:proofErr w:type="spellStart"/>
      <w:r w:rsidR="00653063" w:rsidRPr="00E44C47">
        <w:rPr>
          <w:rFonts w:eastAsia="Times New Roman"/>
          <w:color w:val="000000"/>
          <w:sz w:val="18"/>
          <w:szCs w:val="18"/>
        </w:rPr>
        <w:t>N°</w:t>
      </w:r>
      <w:proofErr w:type="spellEnd"/>
      <w:r w:rsidR="00653063" w:rsidRPr="00E44C47">
        <w:rPr>
          <w:rFonts w:eastAsia="Times New Roman"/>
          <w:color w:val="000000"/>
          <w:sz w:val="18"/>
          <w:szCs w:val="18"/>
        </w:rPr>
        <w:t xml:space="preserve"> 223 de 2 de marzo de 2012.</w:t>
      </w:r>
    </w:p>
  </w:footnote>
  <w:footnote w:id="65">
    <w:p w14:paraId="6CA50C0E" w14:textId="5A7E704A" w:rsidR="00653063" w:rsidRPr="00E44C47" w:rsidRDefault="00E44C4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E44C47">
        <w:rPr>
          <w:sz w:val="18"/>
          <w:szCs w:val="18"/>
          <w:vertAlign w:val="superscript"/>
        </w:rPr>
        <w:footnoteRef/>
      </w:r>
      <w:r>
        <w:rPr>
          <w:rFonts w:eastAsia="Times New Roman"/>
          <w:color w:val="000000"/>
          <w:sz w:val="18"/>
          <w:szCs w:val="18"/>
        </w:rPr>
        <w:tab/>
      </w:r>
      <w:r w:rsidR="00653063" w:rsidRPr="00E44C47">
        <w:rPr>
          <w:rFonts w:eastAsia="Times New Roman"/>
          <w:color w:val="000000"/>
          <w:sz w:val="18"/>
          <w:szCs w:val="18"/>
        </w:rPr>
        <w:t>Resolución Ministerial 1040/2022 de 22 de noviembre de 2022.</w:t>
      </w:r>
    </w:p>
  </w:footnote>
  <w:footnote w:id="66">
    <w:p w14:paraId="12CC5C1E" w14:textId="7ADE9A1C" w:rsidR="00653063" w:rsidRDefault="00E44C4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E44C47">
        <w:rPr>
          <w:sz w:val="18"/>
          <w:szCs w:val="18"/>
          <w:vertAlign w:val="superscript"/>
        </w:rPr>
        <w:footnoteRef/>
      </w:r>
      <w:r>
        <w:rPr>
          <w:rFonts w:eastAsia="Times New Roman"/>
          <w:color w:val="000000"/>
          <w:sz w:val="18"/>
          <w:szCs w:val="18"/>
        </w:rPr>
        <w:tab/>
      </w:r>
      <w:r w:rsidR="00653063" w:rsidRPr="00E44C47">
        <w:rPr>
          <w:rFonts w:eastAsia="Times New Roman"/>
          <w:color w:val="000000"/>
          <w:sz w:val="18"/>
          <w:szCs w:val="18"/>
        </w:rPr>
        <w:t xml:space="preserve">Ley </w:t>
      </w:r>
      <w:proofErr w:type="spellStart"/>
      <w:r w:rsidR="00653063" w:rsidRPr="00E44C47">
        <w:rPr>
          <w:rFonts w:eastAsia="Times New Roman"/>
          <w:color w:val="000000"/>
          <w:sz w:val="18"/>
          <w:szCs w:val="18"/>
        </w:rPr>
        <w:t>N°</w:t>
      </w:r>
      <w:proofErr w:type="spellEnd"/>
      <w:r w:rsidR="00653063" w:rsidRPr="00E44C47">
        <w:rPr>
          <w:rFonts w:eastAsia="Times New Roman"/>
          <w:color w:val="000000"/>
          <w:sz w:val="18"/>
          <w:szCs w:val="18"/>
        </w:rPr>
        <w:t xml:space="preserve"> 070 de 20 de diciembre de 2010.</w:t>
      </w:r>
    </w:p>
  </w:footnote>
  <w:footnote w:id="67">
    <w:p w14:paraId="44F69515" w14:textId="77777777" w:rsidR="00653063" w:rsidRPr="00655287" w:rsidRDefault="00653063" w:rsidP="00653063">
      <w:pPr>
        <w:jc w:val="both"/>
        <w:rPr>
          <w:rFonts w:eastAsia="Times New Roman"/>
          <w:sz w:val="16"/>
          <w:szCs w:val="16"/>
        </w:rPr>
      </w:pPr>
      <w:r w:rsidRPr="00655287">
        <w:rPr>
          <w:sz w:val="16"/>
          <w:szCs w:val="16"/>
          <w:vertAlign w:val="superscript"/>
        </w:rPr>
        <w:footnoteRef/>
      </w:r>
      <w:r w:rsidRPr="00655287">
        <w:rPr>
          <w:rFonts w:eastAsia="Times New Roman"/>
          <w:sz w:val="16"/>
          <w:szCs w:val="16"/>
        </w:rPr>
        <w:t xml:space="preserve"> Sitio Web del Ministerio de Educación: </w:t>
      </w:r>
      <w:hyperlink r:id="rId5">
        <w:r w:rsidRPr="00655287">
          <w:rPr>
            <w:rFonts w:eastAsia="Times New Roman"/>
            <w:color w:val="0000FF"/>
            <w:sz w:val="16"/>
            <w:szCs w:val="16"/>
            <w:u w:val="single"/>
          </w:rPr>
          <w:t>https://seie.minedu.gob.bo/reportes/estadisticas/grupo1/discapacidad</w:t>
        </w:r>
      </w:hyperlink>
    </w:p>
  </w:footnote>
  <w:footnote w:id="68">
    <w:p w14:paraId="42C22A95" w14:textId="77777777" w:rsidR="00653063" w:rsidRDefault="00653063" w:rsidP="00653063">
      <w:pPr>
        <w:widowControl w:val="0"/>
        <w:pBdr>
          <w:top w:val="nil"/>
          <w:left w:val="nil"/>
          <w:bottom w:val="nil"/>
          <w:right w:val="nil"/>
          <w:between w:val="nil"/>
        </w:pBdr>
        <w:tabs>
          <w:tab w:val="left" w:pos="120"/>
        </w:tabs>
        <w:jc w:val="both"/>
        <w:rPr>
          <w:rFonts w:eastAsia="Times New Roman"/>
          <w:color w:val="000000"/>
          <w:sz w:val="16"/>
          <w:szCs w:val="16"/>
        </w:rPr>
      </w:pPr>
      <w:r w:rsidRPr="00655287">
        <w:rPr>
          <w:sz w:val="16"/>
          <w:szCs w:val="16"/>
          <w:vertAlign w:val="superscript"/>
        </w:rPr>
        <w:footnoteRef/>
      </w:r>
      <w:r w:rsidRPr="00655287">
        <w:rPr>
          <w:rFonts w:eastAsia="Times New Roman"/>
          <w:color w:val="000000"/>
          <w:sz w:val="16"/>
          <w:szCs w:val="16"/>
        </w:rPr>
        <w:t xml:space="preserve"> Ver: “Sistema de</w:t>
      </w:r>
      <w:r>
        <w:rPr>
          <w:rFonts w:eastAsia="Times New Roman"/>
          <w:color w:val="000000"/>
          <w:sz w:val="16"/>
          <w:szCs w:val="16"/>
        </w:rPr>
        <w:t xml:space="preserve"> Indicadores Educativos - Volumen 2”: </w:t>
      </w:r>
      <w:hyperlink r:id="rId6">
        <w:r>
          <w:rPr>
            <w:rFonts w:eastAsia="Times New Roman"/>
            <w:color w:val="0000FF"/>
            <w:sz w:val="16"/>
            <w:szCs w:val="16"/>
            <w:u w:val="single"/>
          </w:rPr>
          <w:t xml:space="preserve">https://seie.minedu.gob.bo/pdfs/indicadores </w:t>
        </w:r>
        <w:proofErr w:type="spellStart"/>
        <w:r>
          <w:rPr>
            <w:rFonts w:eastAsia="Times New Roman"/>
            <w:color w:val="0000FF"/>
            <w:sz w:val="16"/>
            <w:szCs w:val="16"/>
            <w:u w:val="single"/>
          </w:rPr>
          <w:t>vol</w:t>
        </w:r>
        <w:proofErr w:type="spellEnd"/>
        <w:r>
          <w:rPr>
            <w:rFonts w:eastAsia="Times New Roman"/>
            <w:color w:val="0000FF"/>
            <w:sz w:val="16"/>
            <w:szCs w:val="16"/>
            <w:u w:val="single"/>
          </w:rPr>
          <w:t xml:space="preserve"> 2.pdf</w:t>
        </w:r>
      </w:hyperlink>
    </w:p>
  </w:footnote>
  <w:footnote w:id="69">
    <w:p w14:paraId="2DE87BCF" w14:textId="2F525FCB" w:rsidR="00653063" w:rsidRPr="00E44C47" w:rsidRDefault="00E44C4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E44C47">
        <w:rPr>
          <w:sz w:val="18"/>
          <w:szCs w:val="18"/>
          <w:vertAlign w:val="superscript"/>
        </w:rPr>
        <w:footnoteRef/>
      </w:r>
      <w:r>
        <w:rPr>
          <w:rFonts w:eastAsia="Times New Roman"/>
          <w:color w:val="000000"/>
          <w:sz w:val="18"/>
          <w:szCs w:val="18"/>
        </w:rPr>
        <w:tab/>
      </w:r>
      <w:r w:rsidR="00653063" w:rsidRPr="00E44C47">
        <w:rPr>
          <w:rFonts w:eastAsia="Times New Roman"/>
          <w:color w:val="000000"/>
          <w:sz w:val="18"/>
          <w:szCs w:val="18"/>
        </w:rPr>
        <w:t xml:space="preserve">Ley </w:t>
      </w:r>
      <w:proofErr w:type="spellStart"/>
      <w:r w:rsidR="00653063" w:rsidRPr="00E44C47">
        <w:rPr>
          <w:rFonts w:eastAsia="Times New Roman"/>
          <w:color w:val="000000"/>
          <w:sz w:val="18"/>
          <w:szCs w:val="18"/>
        </w:rPr>
        <w:t>N°</w:t>
      </w:r>
      <w:proofErr w:type="spellEnd"/>
      <w:r w:rsidR="00653063" w:rsidRPr="00E44C47">
        <w:rPr>
          <w:rFonts w:eastAsia="Times New Roman"/>
          <w:color w:val="000000"/>
          <w:sz w:val="18"/>
          <w:szCs w:val="18"/>
        </w:rPr>
        <w:t xml:space="preserve"> 1238 de 3 de octubre de 2019.</w:t>
      </w:r>
    </w:p>
  </w:footnote>
  <w:footnote w:id="70">
    <w:p w14:paraId="4AE27A55" w14:textId="22729332" w:rsidR="00653063" w:rsidRPr="00BB15B8" w:rsidRDefault="00BB15B8" w:rsidP="00653063">
      <w:pPr>
        <w:pBdr>
          <w:top w:val="nil"/>
          <w:left w:val="nil"/>
          <w:bottom w:val="nil"/>
          <w:right w:val="nil"/>
          <w:between w:val="nil"/>
        </w:pBdr>
        <w:tabs>
          <w:tab w:val="right" w:pos="1021"/>
          <w:tab w:val="left" w:pos="708"/>
        </w:tabs>
        <w:spacing w:line="220" w:lineRule="auto"/>
        <w:ind w:left="142" w:right="49" w:hanging="142"/>
        <w:jc w:val="both"/>
        <w:rPr>
          <w:rFonts w:eastAsia="Times New Roman"/>
          <w:color w:val="000000"/>
          <w:sz w:val="18"/>
          <w:szCs w:val="18"/>
        </w:rPr>
      </w:pPr>
      <w:r>
        <w:rPr>
          <w:rFonts w:eastAsia="Times New Roman"/>
          <w:color w:val="000000"/>
          <w:sz w:val="18"/>
          <w:szCs w:val="18"/>
        </w:rPr>
        <w:tab/>
      </w:r>
      <w:r>
        <w:rPr>
          <w:rFonts w:eastAsia="Times New Roman"/>
          <w:color w:val="000000"/>
          <w:sz w:val="18"/>
          <w:szCs w:val="18"/>
        </w:rPr>
        <w:tab/>
      </w:r>
      <w:r w:rsidR="00653063" w:rsidRPr="00BB15B8">
        <w:rPr>
          <w:sz w:val="18"/>
          <w:szCs w:val="18"/>
          <w:vertAlign w:val="superscript"/>
        </w:rPr>
        <w:footnoteRef/>
      </w:r>
      <w:r>
        <w:rPr>
          <w:rFonts w:eastAsia="Times New Roman"/>
          <w:color w:val="000000"/>
          <w:sz w:val="18"/>
          <w:szCs w:val="18"/>
        </w:rPr>
        <w:tab/>
      </w:r>
      <w:r w:rsidR="00653063" w:rsidRPr="00BB15B8">
        <w:rPr>
          <w:rFonts w:eastAsia="Times New Roman"/>
          <w:color w:val="000000"/>
          <w:sz w:val="18"/>
          <w:szCs w:val="18"/>
        </w:rPr>
        <w:t xml:space="preserve">Resolución Ministerial </w:t>
      </w:r>
      <w:proofErr w:type="spellStart"/>
      <w:r w:rsidR="00653063" w:rsidRPr="00BB15B8">
        <w:rPr>
          <w:rFonts w:eastAsia="Times New Roman"/>
          <w:color w:val="000000"/>
          <w:sz w:val="18"/>
          <w:szCs w:val="18"/>
        </w:rPr>
        <w:t>N°</w:t>
      </w:r>
      <w:proofErr w:type="spellEnd"/>
      <w:r w:rsidR="00653063" w:rsidRPr="00BB15B8">
        <w:rPr>
          <w:rFonts w:eastAsia="Times New Roman"/>
          <w:color w:val="000000"/>
          <w:sz w:val="18"/>
          <w:szCs w:val="18"/>
        </w:rPr>
        <w:t xml:space="preserve"> 266 de 14 de agosto de 2017 del MOPSV (Artículo 48, inciso m).</w:t>
      </w:r>
    </w:p>
  </w:footnote>
  <w:footnote w:id="71">
    <w:p w14:paraId="6D7BE951" w14:textId="7D092D02" w:rsidR="00653063" w:rsidRPr="00BB15B8" w:rsidRDefault="00BB15B8"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BB15B8">
        <w:rPr>
          <w:sz w:val="18"/>
          <w:szCs w:val="18"/>
          <w:vertAlign w:val="superscript"/>
        </w:rPr>
        <w:footnoteRef/>
      </w:r>
      <w:r>
        <w:rPr>
          <w:rFonts w:eastAsia="Times New Roman"/>
          <w:color w:val="000000"/>
          <w:sz w:val="18"/>
          <w:szCs w:val="18"/>
        </w:rPr>
        <w:tab/>
      </w:r>
      <w:r w:rsidR="00653063" w:rsidRPr="00BB15B8">
        <w:rPr>
          <w:rFonts w:eastAsia="Times New Roman"/>
          <w:color w:val="000000"/>
          <w:sz w:val="18"/>
          <w:szCs w:val="18"/>
        </w:rPr>
        <w:t xml:space="preserve">Artículo 25, Ley </w:t>
      </w:r>
      <w:proofErr w:type="spellStart"/>
      <w:r w:rsidR="00653063" w:rsidRPr="00BB15B8">
        <w:rPr>
          <w:rFonts w:eastAsia="Times New Roman"/>
          <w:color w:val="000000"/>
          <w:sz w:val="18"/>
          <w:szCs w:val="18"/>
        </w:rPr>
        <w:t>N°</w:t>
      </w:r>
      <w:proofErr w:type="spellEnd"/>
      <w:r w:rsidR="00653063" w:rsidRPr="00BB15B8">
        <w:rPr>
          <w:rFonts w:eastAsia="Times New Roman"/>
          <w:color w:val="000000"/>
          <w:sz w:val="18"/>
          <w:szCs w:val="18"/>
        </w:rPr>
        <w:t xml:space="preserve"> 223 de 2 de marzo de 2012.</w:t>
      </w:r>
    </w:p>
  </w:footnote>
  <w:footnote w:id="72">
    <w:p w14:paraId="45B2AB7B" w14:textId="06F8993B" w:rsidR="00653063" w:rsidRPr="00167741" w:rsidRDefault="00BB15B8"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6"/>
          <w:szCs w:val="16"/>
        </w:rPr>
      </w:pPr>
      <w:r>
        <w:rPr>
          <w:rFonts w:eastAsia="Times New Roman"/>
          <w:color w:val="000000"/>
          <w:sz w:val="18"/>
          <w:szCs w:val="18"/>
        </w:rPr>
        <w:tab/>
      </w:r>
      <w:r w:rsidR="00653063" w:rsidRPr="00BB15B8">
        <w:rPr>
          <w:sz w:val="18"/>
          <w:szCs w:val="18"/>
          <w:vertAlign w:val="superscript"/>
        </w:rPr>
        <w:footnoteRef/>
      </w:r>
      <w:r>
        <w:rPr>
          <w:rFonts w:eastAsia="Times New Roman"/>
          <w:color w:val="000000"/>
          <w:sz w:val="18"/>
          <w:szCs w:val="18"/>
        </w:rPr>
        <w:tab/>
      </w:r>
      <w:r w:rsidR="00653063" w:rsidRPr="00BB15B8">
        <w:rPr>
          <w:rFonts w:eastAsia="Times New Roman"/>
          <w:color w:val="000000"/>
          <w:sz w:val="18"/>
          <w:szCs w:val="18"/>
        </w:rPr>
        <w:t xml:space="preserve">Reglamento de Uso del Teleférico para </w:t>
      </w:r>
      <w:proofErr w:type="spellStart"/>
      <w:r w:rsidR="00653063" w:rsidRPr="00BB15B8">
        <w:rPr>
          <w:rFonts w:eastAsia="Times New Roman"/>
          <w:color w:val="000000"/>
          <w:sz w:val="18"/>
          <w:szCs w:val="18"/>
        </w:rPr>
        <w:t>PcD</w:t>
      </w:r>
      <w:proofErr w:type="spellEnd"/>
      <w:r w:rsidR="00653063" w:rsidRPr="00BB15B8">
        <w:rPr>
          <w:rFonts w:eastAsia="Times New Roman"/>
          <w:color w:val="000000"/>
          <w:sz w:val="18"/>
          <w:szCs w:val="18"/>
        </w:rPr>
        <w:t>.</w:t>
      </w:r>
    </w:p>
  </w:footnote>
  <w:footnote w:id="73">
    <w:p w14:paraId="72696C9D" w14:textId="77777777" w:rsidR="00653063" w:rsidRDefault="00653063"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sidRPr="00167741">
        <w:rPr>
          <w:sz w:val="16"/>
          <w:szCs w:val="16"/>
          <w:vertAlign w:val="superscript"/>
        </w:rPr>
        <w:footnoteRef/>
      </w:r>
      <w:r w:rsidRPr="00167741">
        <w:rPr>
          <w:rFonts w:eastAsia="Times New Roman"/>
          <w:color w:val="000000"/>
          <w:sz w:val="16"/>
          <w:szCs w:val="16"/>
        </w:rPr>
        <w:t xml:space="preserve"> Aprobado mediante Resolución TSE-RSP-ADM </w:t>
      </w:r>
      <w:proofErr w:type="spellStart"/>
      <w:r w:rsidRPr="00167741">
        <w:rPr>
          <w:rFonts w:eastAsia="Times New Roman"/>
          <w:color w:val="000000"/>
          <w:sz w:val="16"/>
          <w:szCs w:val="16"/>
        </w:rPr>
        <w:t>N°</w:t>
      </w:r>
      <w:proofErr w:type="spellEnd"/>
      <w:r w:rsidRPr="00167741">
        <w:rPr>
          <w:rFonts w:eastAsia="Times New Roman"/>
          <w:color w:val="000000"/>
          <w:sz w:val="16"/>
          <w:szCs w:val="16"/>
        </w:rPr>
        <w:t xml:space="preserve"> 0235/2019 de 24 de mayo de 2019 (Artículos 15 y 16).</w:t>
      </w:r>
    </w:p>
  </w:footnote>
  <w:footnote w:id="74">
    <w:p w14:paraId="5178C88F" w14:textId="19E5D411" w:rsidR="00653063" w:rsidRPr="00BB15B8" w:rsidRDefault="00BB15B8" w:rsidP="00653063">
      <w:pPr>
        <w:pBdr>
          <w:top w:val="nil"/>
          <w:left w:val="nil"/>
          <w:bottom w:val="nil"/>
          <w:right w:val="nil"/>
          <w:between w:val="nil"/>
        </w:pBdr>
        <w:tabs>
          <w:tab w:val="right" w:pos="1021"/>
        </w:tabs>
        <w:spacing w:line="220" w:lineRule="auto"/>
        <w:ind w:left="1134" w:right="-93" w:hanging="1134"/>
        <w:rPr>
          <w:rFonts w:eastAsia="Times New Roman"/>
          <w:color w:val="000000"/>
          <w:sz w:val="18"/>
          <w:szCs w:val="18"/>
        </w:rPr>
      </w:pPr>
      <w:r>
        <w:rPr>
          <w:rFonts w:eastAsia="Times New Roman"/>
          <w:color w:val="000000"/>
          <w:sz w:val="18"/>
          <w:szCs w:val="18"/>
        </w:rPr>
        <w:tab/>
      </w:r>
      <w:r w:rsidR="00653063" w:rsidRPr="00BB15B8">
        <w:rPr>
          <w:sz w:val="18"/>
          <w:szCs w:val="18"/>
          <w:vertAlign w:val="superscript"/>
        </w:rPr>
        <w:footnoteRef/>
      </w:r>
      <w:r>
        <w:rPr>
          <w:rFonts w:eastAsia="Times New Roman"/>
          <w:color w:val="000000"/>
          <w:sz w:val="18"/>
          <w:szCs w:val="18"/>
        </w:rPr>
        <w:tab/>
      </w:r>
      <w:r w:rsidR="00653063" w:rsidRPr="00BB15B8">
        <w:rPr>
          <w:rFonts w:eastAsia="Times New Roman"/>
          <w:color w:val="000000"/>
          <w:sz w:val="18"/>
          <w:szCs w:val="18"/>
        </w:rPr>
        <w:t xml:space="preserve">Aprobado mediante Resolución Ministerial </w:t>
      </w:r>
      <w:proofErr w:type="spellStart"/>
      <w:r w:rsidR="00653063" w:rsidRPr="00BB15B8">
        <w:rPr>
          <w:rFonts w:eastAsia="Times New Roman"/>
          <w:color w:val="000000"/>
          <w:sz w:val="18"/>
          <w:szCs w:val="18"/>
        </w:rPr>
        <w:t>Nº</w:t>
      </w:r>
      <w:proofErr w:type="spellEnd"/>
      <w:r w:rsidR="00653063" w:rsidRPr="00BB15B8">
        <w:rPr>
          <w:rFonts w:eastAsia="Times New Roman"/>
          <w:color w:val="000000"/>
          <w:sz w:val="18"/>
          <w:szCs w:val="18"/>
        </w:rPr>
        <w:t xml:space="preserve"> 077 de 28 de marzo de 2014 del MOPSV.</w:t>
      </w:r>
    </w:p>
  </w:footnote>
  <w:footnote w:id="75">
    <w:p w14:paraId="21B2E3CD" w14:textId="044FDE45" w:rsidR="00653063" w:rsidRPr="00E62667" w:rsidRDefault="00E62667" w:rsidP="00653063">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00653063" w:rsidRPr="00E62667">
        <w:rPr>
          <w:sz w:val="18"/>
          <w:szCs w:val="18"/>
          <w:vertAlign w:val="superscript"/>
        </w:rPr>
        <w:footnoteRef/>
      </w:r>
      <w:r>
        <w:rPr>
          <w:rFonts w:eastAsia="Times New Roman"/>
          <w:color w:val="000000"/>
          <w:sz w:val="18"/>
          <w:szCs w:val="18"/>
        </w:rPr>
        <w:tab/>
      </w:r>
      <w:r w:rsidR="00653063" w:rsidRPr="00E62667">
        <w:rPr>
          <w:rFonts w:eastAsia="Times New Roman"/>
          <w:color w:val="000000"/>
          <w:sz w:val="18"/>
          <w:szCs w:val="18"/>
        </w:rPr>
        <w:t xml:space="preserve">Decreto Supremo </w:t>
      </w:r>
      <w:proofErr w:type="spellStart"/>
      <w:r w:rsidR="00653063" w:rsidRPr="00E62667">
        <w:rPr>
          <w:rFonts w:eastAsia="Times New Roman"/>
          <w:color w:val="000000"/>
          <w:sz w:val="18"/>
          <w:szCs w:val="18"/>
        </w:rPr>
        <w:t>N°</w:t>
      </w:r>
      <w:proofErr w:type="spellEnd"/>
      <w:r w:rsidR="00653063" w:rsidRPr="00E62667">
        <w:rPr>
          <w:rFonts w:eastAsia="Times New Roman"/>
          <w:color w:val="000000"/>
          <w:sz w:val="18"/>
          <w:szCs w:val="18"/>
        </w:rPr>
        <w:t xml:space="preserve"> 2078 de 13 de agosto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A60A1" w14:textId="77777777" w:rsidR="001A4396" w:rsidRPr="001A4396" w:rsidRDefault="00053EA6">
    <w:pPr>
      <w:pStyle w:val="Header"/>
    </w:pPr>
    <w:r>
      <w:t>CRPD/C/BOL/2-4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04C89" w14:textId="77777777" w:rsidR="001A4396" w:rsidRPr="00935A0B" w:rsidRDefault="00053EA6" w:rsidP="00935A0B">
    <w:pPr>
      <w:pStyle w:val="Header"/>
      <w:jc w:val="right"/>
      <w:rPr>
        <w:u w:val="double"/>
      </w:rPr>
    </w:pPr>
    <w:r>
      <w:t>CRPD/C/BOL/2-4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2B70F" w14:textId="77777777" w:rsidR="00A711FB" w:rsidRDefault="00A711FB" w:rsidP="00A711FB">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4985" w14:textId="6DF95C3B" w:rsidR="002A7EF2" w:rsidRPr="002A7EF2" w:rsidRDefault="002A7EF2" w:rsidP="002A7EF2">
    <w:r>
      <w:rPr>
        <w:noProof/>
      </w:rPr>
      <mc:AlternateContent>
        <mc:Choice Requires="wps">
          <w:drawing>
            <wp:anchor distT="0" distB="0" distL="114300" distR="114300" simplePos="0" relativeHeight="251671552" behindDoc="0" locked="0" layoutInCell="1" allowOverlap="1" wp14:anchorId="125447D6" wp14:editId="60F4C073">
              <wp:simplePos x="0" y="0"/>
              <wp:positionH relativeFrom="page">
                <wp:posOffset>9935845</wp:posOffset>
              </wp:positionH>
              <wp:positionV relativeFrom="margin">
                <wp:posOffset>0</wp:posOffset>
              </wp:positionV>
              <wp:extent cx="215900" cy="612013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EBBB1B4" w14:textId="77777777" w:rsidR="002A7EF2" w:rsidRPr="001A4396" w:rsidRDefault="002A7EF2" w:rsidP="002A7EF2">
                          <w:pPr>
                            <w:pStyle w:val="Header"/>
                          </w:pPr>
                          <w:r>
                            <w:t>CRPD/C/BOL/2-4</w:t>
                          </w:r>
                        </w:p>
                        <w:p w14:paraId="10FADB08" w14:textId="77777777" w:rsidR="002A7EF2" w:rsidRDefault="002A7E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25447D6" id="_x0000_t202" coordsize="21600,21600" o:spt="202" path="m,l,21600r21600,l21600,xe">
              <v:stroke joinstyle="miter"/>
              <v:path gradientshapeok="t" o:connecttype="rect"/>
            </v:shapetype>
            <v:shape id="Text Box 10" o:spid="_x0000_s1026" type="#_x0000_t202" style="position:absolute;margin-left:782.35pt;margin-top:0;width:17pt;height:481.9pt;z-index:25167155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2EBBB1B4" w14:textId="77777777" w:rsidR="002A7EF2" w:rsidRPr="001A4396" w:rsidRDefault="002A7EF2" w:rsidP="002A7EF2">
                    <w:pPr>
                      <w:pStyle w:val="Header"/>
                    </w:pPr>
                    <w:r>
                      <w:t>CRPD/C/BOL/2-4</w:t>
                    </w:r>
                  </w:p>
                  <w:p w14:paraId="10FADB08" w14:textId="77777777" w:rsidR="002A7EF2" w:rsidRDefault="002A7EF2"/>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5069E" w14:textId="3D98EC77" w:rsidR="002A7EF2" w:rsidRPr="002A7EF2" w:rsidRDefault="002A7EF2" w:rsidP="002A7EF2">
    <w:r>
      <w:rPr>
        <w:noProof/>
      </w:rPr>
      <mc:AlternateContent>
        <mc:Choice Requires="wps">
          <w:drawing>
            <wp:anchor distT="0" distB="0" distL="114300" distR="114300" simplePos="0" relativeHeight="251665408" behindDoc="0" locked="0" layoutInCell="1" allowOverlap="1" wp14:anchorId="2EB472B7" wp14:editId="5BD0DCB4">
              <wp:simplePos x="0" y="0"/>
              <wp:positionH relativeFrom="page">
                <wp:posOffset>9935845</wp:posOffset>
              </wp:positionH>
              <wp:positionV relativeFrom="margin">
                <wp:posOffset>0</wp:posOffset>
              </wp:positionV>
              <wp:extent cx="215900" cy="612013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41EDA20" w14:textId="77777777" w:rsidR="002A7EF2" w:rsidRPr="00935A0B" w:rsidRDefault="002A7EF2" w:rsidP="002A7EF2">
                          <w:pPr>
                            <w:pStyle w:val="Header"/>
                            <w:jc w:val="right"/>
                            <w:rPr>
                              <w:u w:val="double"/>
                            </w:rPr>
                          </w:pPr>
                          <w:r>
                            <w:t>CRPD/C/BOL/2-4</w:t>
                          </w:r>
                        </w:p>
                        <w:p w14:paraId="1809C609" w14:textId="77777777" w:rsidR="002A7EF2" w:rsidRDefault="002A7EF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EB472B7" id="_x0000_t202" coordsize="21600,21600" o:spt="202" path="m,l,21600r21600,l21600,xe">
              <v:stroke joinstyle="miter"/>
              <v:path gradientshapeok="t" o:connecttype="rect"/>
            </v:shapetype>
            <v:shape id="Text Box 8" o:spid="_x0000_s1027" type="#_x0000_t202" style="position:absolute;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241EDA20" w14:textId="77777777" w:rsidR="002A7EF2" w:rsidRPr="00935A0B" w:rsidRDefault="002A7EF2" w:rsidP="002A7EF2">
                    <w:pPr>
                      <w:pStyle w:val="Header"/>
                      <w:jc w:val="right"/>
                      <w:rPr>
                        <w:u w:val="double"/>
                      </w:rPr>
                    </w:pPr>
                    <w:r>
                      <w:t>CRPD/C/BOL/2-4</w:t>
                    </w:r>
                  </w:p>
                  <w:p w14:paraId="1809C609" w14:textId="77777777" w:rsidR="002A7EF2" w:rsidRDefault="002A7EF2"/>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3986" w14:textId="5DEEAA9B" w:rsidR="00603A63" w:rsidRPr="00603A63" w:rsidRDefault="00603A63" w:rsidP="00F96BF9">
    <w:pPr>
      <w:pStyle w:val="Header"/>
    </w:pPr>
    <w:fldSimple w:instr=" TITLE  \* MERGEFORMAT ">
      <w:r>
        <w:t>CRPD/C/BOL/2-4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966E1" w14:textId="385E790C" w:rsidR="00603A63" w:rsidRPr="00603A63" w:rsidRDefault="00603A63" w:rsidP="00EB6BF5">
    <w:pPr>
      <w:pStyle w:val="Header"/>
      <w:jc w:val="right"/>
    </w:pPr>
    <w:fldSimple w:instr=" TITLE  \* MERGEFORMAT ">
      <w:r>
        <w:t>CRPD/C/BOL/2-4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0A3B88"/>
    <w:multiLevelType w:val="multilevel"/>
    <w:tmpl w:val="402C22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A6508FF"/>
    <w:multiLevelType w:val="multilevel"/>
    <w:tmpl w:val="793A23AE"/>
    <w:lvl w:ilvl="0">
      <w:start w:val="1"/>
      <w:numFmt w:val="bullet"/>
      <w:lvlText w:val="•"/>
      <w:lvlJc w:val="left"/>
      <w:pPr>
        <w:ind w:left="0" w:firstLine="0"/>
      </w:pPr>
      <w:rPr>
        <w:rFonts w:ascii="Arial" w:eastAsia="Arial" w:hAnsi="Arial" w:cs="Arial"/>
        <w:b w:val="0"/>
        <w:i/>
        <w:smallCaps w:val="0"/>
        <w:strike w:val="0"/>
        <w:color w:val="000000"/>
        <w:sz w:val="21"/>
        <w:szCs w:val="21"/>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0D954887"/>
    <w:multiLevelType w:val="hybridMultilevel"/>
    <w:tmpl w:val="5A48E46A"/>
    <w:lvl w:ilvl="0" w:tplc="9F145F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E60AB4C" w:tentative="1">
      <w:start w:val="1"/>
      <w:numFmt w:val="lowerLetter"/>
      <w:lvlText w:val="%2."/>
      <w:lvlJc w:val="left"/>
      <w:pPr>
        <w:tabs>
          <w:tab w:val="num" w:pos="1440"/>
        </w:tabs>
        <w:ind w:left="1440" w:hanging="360"/>
      </w:pPr>
    </w:lvl>
    <w:lvl w:ilvl="2" w:tplc="2280D640" w:tentative="1">
      <w:start w:val="1"/>
      <w:numFmt w:val="lowerRoman"/>
      <w:lvlText w:val="%3."/>
      <w:lvlJc w:val="right"/>
      <w:pPr>
        <w:tabs>
          <w:tab w:val="num" w:pos="2160"/>
        </w:tabs>
        <w:ind w:left="2160" w:hanging="180"/>
      </w:pPr>
    </w:lvl>
    <w:lvl w:ilvl="3" w:tplc="CEB81C56" w:tentative="1">
      <w:start w:val="1"/>
      <w:numFmt w:val="decimal"/>
      <w:lvlText w:val="%4."/>
      <w:lvlJc w:val="left"/>
      <w:pPr>
        <w:tabs>
          <w:tab w:val="num" w:pos="2880"/>
        </w:tabs>
        <w:ind w:left="2880" w:hanging="360"/>
      </w:pPr>
    </w:lvl>
    <w:lvl w:ilvl="4" w:tplc="818C4A14" w:tentative="1">
      <w:start w:val="1"/>
      <w:numFmt w:val="lowerLetter"/>
      <w:lvlText w:val="%5."/>
      <w:lvlJc w:val="left"/>
      <w:pPr>
        <w:tabs>
          <w:tab w:val="num" w:pos="3600"/>
        </w:tabs>
        <w:ind w:left="3600" w:hanging="360"/>
      </w:pPr>
    </w:lvl>
    <w:lvl w:ilvl="5" w:tplc="6CF2E82A" w:tentative="1">
      <w:start w:val="1"/>
      <w:numFmt w:val="lowerRoman"/>
      <w:lvlText w:val="%6."/>
      <w:lvlJc w:val="right"/>
      <w:pPr>
        <w:tabs>
          <w:tab w:val="num" w:pos="4320"/>
        </w:tabs>
        <w:ind w:left="4320" w:hanging="180"/>
      </w:pPr>
    </w:lvl>
    <w:lvl w:ilvl="6" w:tplc="1A7200A0" w:tentative="1">
      <w:start w:val="1"/>
      <w:numFmt w:val="decimal"/>
      <w:lvlText w:val="%7."/>
      <w:lvlJc w:val="left"/>
      <w:pPr>
        <w:tabs>
          <w:tab w:val="num" w:pos="5040"/>
        </w:tabs>
        <w:ind w:left="5040" w:hanging="360"/>
      </w:pPr>
    </w:lvl>
    <w:lvl w:ilvl="7" w:tplc="732E1FB6" w:tentative="1">
      <w:start w:val="1"/>
      <w:numFmt w:val="lowerLetter"/>
      <w:lvlText w:val="%8."/>
      <w:lvlJc w:val="left"/>
      <w:pPr>
        <w:tabs>
          <w:tab w:val="num" w:pos="5760"/>
        </w:tabs>
        <w:ind w:left="5760" w:hanging="360"/>
      </w:pPr>
    </w:lvl>
    <w:lvl w:ilvl="8" w:tplc="10F60B4E" w:tentative="1">
      <w:start w:val="1"/>
      <w:numFmt w:val="lowerRoman"/>
      <w:lvlText w:val="%9."/>
      <w:lvlJc w:val="right"/>
      <w:pPr>
        <w:tabs>
          <w:tab w:val="num" w:pos="6480"/>
        </w:tabs>
        <w:ind w:left="6480" w:hanging="180"/>
      </w:pPr>
    </w:lvl>
  </w:abstractNum>
  <w:abstractNum w:abstractNumId="13" w15:restartNumberingAfterBreak="0">
    <w:nsid w:val="10EB3F9C"/>
    <w:multiLevelType w:val="hybridMultilevel"/>
    <w:tmpl w:val="BAF869FA"/>
    <w:lvl w:ilvl="0" w:tplc="FFFFFFFF">
      <w:start w:val="1"/>
      <w:numFmt w:val="lowerLetter"/>
      <w:lvlText w:val="%1)"/>
      <w:lvlJc w:val="left"/>
      <w:pPr>
        <w:ind w:left="1854" w:hanging="360"/>
      </w:pPr>
    </w:lvl>
    <w:lvl w:ilvl="1" w:tplc="08090017">
      <w:start w:val="1"/>
      <w:numFmt w:val="lowerLetter"/>
      <w:lvlText w:val="%2)"/>
      <w:lvlJc w:val="left"/>
      <w:pPr>
        <w:ind w:left="185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9767E30"/>
    <w:multiLevelType w:val="multilevel"/>
    <w:tmpl w:val="91BA01E2"/>
    <w:lvl w:ilvl="0">
      <w:numFmt w:val="bullet"/>
      <w:lvlText w:val="-"/>
      <w:lvlJc w:val="left"/>
      <w:pPr>
        <w:ind w:left="0" w:firstLine="0"/>
      </w:pPr>
      <w:rPr>
        <w:rFonts w:ascii="Times New Roman" w:eastAsia="Times New Roman" w:hAnsi="Times New Roman" w:cs="Times New Roman"/>
        <w:b/>
        <w:i w:val="0"/>
        <w:smallCaps w:val="0"/>
        <w:strike w:val="0"/>
        <w:color w:val="000000"/>
        <w:sz w:val="20"/>
        <w:szCs w:val="20"/>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1D895918"/>
    <w:multiLevelType w:val="hybridMultilevel"/>
    <w:tmpl w:val="4FCCC2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9A90576"/>
    <w:multiLevelType w:val="multilevel"/>
    <w:tmpl w:val="4D90018E"/>
    <w:lvl w:ilvl="0">
      <w:start w:val="1"/>
      <w:numFmt w:val="lowerLetter"/>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BA80BF3"/>
    <w:multiLevelType w:val="hybridMultilevel"/>
    <w:tmpl w:val="733077F6"/>
    <w:lvl w:ilvl="0" w:tplc="C11608F8">
      <w:start w:val="1"/>
      <w:numFmt w:val="lowerRoman"/>
      <w:lvlText w:val="%1)"/>
      <w:lvlJc w:val="left"/>
      <w:pPr>
        <w:ind w:left="1850" w:hanging="72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8" w15:restartNumberingAfterBreak="0">
    <w:nsid w:val="32C616C4"/>
    <w:multiLevelType w:val="hybridMultilevel"/>
    <w:tmpl w:val="145670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A7743B"/>
    <w:multiLevelType w:val="hybridMultilevel"/>
    <w:tmpl w:val="165289D8"/>
    <w:lvl w:ilvl="0" w:tplc="3C305CEA">
      <w:start w:val="1"/>
      <w:numFmt w:val="bullet"/>
      <w:pStyle w:val="Bullet2G"/>
      <w:lvlText w:val="•"/>
      <w:lvlJc w:val="left"/>
      <w:pPr>
        <w:tabs>
          <w:tab w:val="num" w:pos="2268"/>
        </w:tabs>
        <w:ind w:left="2268" w:hanging="170"/>
      </w:pPr>
      <w:rPr>
        <w:rFonts w:ascii="Times New Roman" w:hAnsi="Times New Roman" w:cs="Times New Roman" w:hint="default"/>
      </w:rPr>
    </w:lvl>
    <w:lvl w:ilvl="1" w:tplc="18084EC2" w:tentative="1">
      <w:start w:val="1"/>
      <w:numFmt w:val="bullet"/>
      <w:lvlText w:val="o"/>
      <w:lvlJc w:val="left"/>
      <w:pPr>
        <w:tabs>
          <w:tab w:val="num" w:pos="1440"/>
        </w:tabs>
        <w:ind w:left="1440" w:hanging="360"/>
      </w:pPr>
      <w:rPr>
        <w:rFonts w:ascii="Courier New" w:hAnsi="Courier New" w:hint="default"/>
      </w:rPr>
    </w:lvl>
    <w:lvl w:ilvl="2" w:tplc="BF442F5E" w:tentative="1">
      <w:start w:val="1"/>
      <w:numFmt w:val="bullet"/>
      <w:lvlText w:val=""/>
      <w:lvlJc w:val="left"/>
      <w:pPr>
        <w:tabs>
          <w:tab w:val="num" w:pos="2160"/>
        </w:tabs>
        <w:ind w:left="2160" w:hanging="360"/>
      </w:pPr>
      <w:rPr>
        <w:rFonts w:ascii="Wingdings" w:hAnsi="Wingdings" w:hint="default"/>
      </w:rPr>
    </w:lvl>
    <w:lvl w:ilvl="3" w:tplc="99D62816" w:tentative="1">
      <w:start w:val="1"/>
      <w:numFmt w:val="bullet"/>
      <w:lvlText w:val=""/>
      <w:lvlJc w:val="left"/>
      <w:pPr>
        <w:tabs>
          <w:tab w:val="num" w:pos="2880"/>
        </w:tabs>
        <w:ind w:left="2880" w:hanging="360"/>
      </w:pPr>
      <w:rPr>
        <w:rFonts w:ascii="Symbol" w:hAnsi="Symbol" w:hint="default"/>
      </w:rPr>
    </w:lvl>
    <w:lvl w:ilvl="4" w:tplc="2B30148A" w:tentative="1">
      <w:start w:val="1"/>
      <w:numFmt w:val="bullet"/>
      <w:lvlText w:val="o"/>
      <w:lvlJc w:val="left"/>
      <w:pPr>
        <w:tabs>
          <w:tab w:val="num" w:pos="3600"/>
        </w:tabs>
        <w:ind w:left="3600" w:hanging="360"/>
      </w:pPr>
      <w:rPr>
        <w:rFonts w:ascii="Courier New" w:hAnsi="Courier New" w:hint="default"/>
      </w:rPr>
    </w:lvl>
    <w:lvl w:ilvl="5" w:tplc="4D30A756" w:tentative="1">
      <w:start w:val="1"/>
      <w:numFmt w:val="bullet"/>
      <w:lvlText w:val=""/>
      <w:lvlJc w:val="left"/>
      <w:pPr>
        <w:tabs>
          <w:tab w:val="num" w:pos="4320"/>
        </w:tabs>
        <w:ind w:left="4320" w:hanging="360"/>
      </w:pPr>
      <w:rPr>
        <w:rFonts w:ascii="Wingdings" w:hAnsi="Wingdings" w:hint="default"/>
      </w:rPr>
    </w:lvl>
    <w:lvl w:ilvl="6" w:tplc="290614BA" w:tentative="1">
      <w:start w:val="1"/>
      <w:numFmt w:val="bullet"/>
      <w:lvlText w:val=""/>
      <w:lvlJc w:val="left"/>
      <w:pPr>
        <w:tabs>
          <w:tab w:val="num" w:pos="5040"/>
        </w:tabs>
        <w:ind w:left="5040" w:hanging="360"/>
      </w:pPr>
      <w:rPr>
        <w:rFonts w:ascii="Symbol" w:hAnsi="Symbol" w:hint="default"/>
      </w:rPr>
    </w:lvl>
    <w:lvl w:ilvl="7" w:tplc="6EAC2D20" w:tentative="1">
      <w:start w:val="1"/>
      <w:numFmt w:val="bullet"/>
      <w:lvlText w:val="o"/>
      <w:lvlJc w:val="left"/>
      <w:pPr>
        <w:tabs>
          <w:tab w:val="num" w:pos="5760"/>
        </w:tabs>
        <w:ind w:left="5760" w:hanging="360"/>
      </w:pPr>
      <w:rPr>
        <w:rFonts w:ascii="Courier New" w:hAnsi="Courier New" w:hint="default"/>
      </w:rPr>
    </w:lvl>
    <w:lvl w:ilvl="8" w:tplc="867E1BD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CC3CE8"/>
    <w:multiLevelType w:val="multilevel"/>
    <w:tmpl w:val="A4E091EA"/>
    <w:lvl w:ilvl="0">
      <w:start w:val="1"/>
      <w:numFmt w:val="decimal"/>
      <w:lvlText w:val="%1."/>
      <w:lvlJc w:val="left"/>
      <w:pPr>
        <w:ind w:left="0" w:firstLine="0"/>
      </w:pPr>
      <w:rPr>
        <w:rFonts w:ascii="Times New Roman" w:eastAsia="Times New Roman" w:hAnsi="Times New Roman" w:cs="Times New Roman"/>
        <w:b/>
        <w:i w:val="0"/>
        <w:smallCaps w:val="0"/>
        <w:strike w:val="0"/>
        <w:color w:val="000000"/>
        <w:sz w:val="20"/>
        <w:szCs w:val="20"/>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3C990623"/>
    <w:multiLevelType w:val="hybridMultilevel"/>
    <w:tmpl w:val="3AAC6CD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18B088B"/>
    <w:multiLevelType w:val="hybridMultilevel"/>
    <w:tmpl w:val="D870CE26"/>
    <w:lvl w:ilvl="0" w:tplc="5998A0A8">
      <w:start w:val="4"/>
      <w:numFmt w:val="lowerLetter"/>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8BC62F1"/>
    <w:multiLevelType w:val="multilevel"/>
    <w:tmpl w:val="2B5237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635C1F"/>
    <w:multiLevelType w:val="multilevel"/>
    <w:tmpl w:val="E5B63E98"/>
    <w:lvl w:ilvl="0">
      <w:start w:val="1"/>
      <w:numFmt w:val="decimal"/>
      <w:lvlText w:val="%1."/>
      <w:lvlJc w:val="left"/>
      <w:pPr>
        <w:ind w:left="502" w:hanging="360"/>
      </w:pPr>
      <w:rPr>
        <w:rFonts w:ascii="Times New Roman" w:eastAsia="Times New Roman" w:hAnsi="Times New Roman" w:cs="Times New Roman"/>
        <w:b w:val="0"/>
        <w:i w:val="0"/>
        <w:strike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17B0427"/>
    <w:multiLevelType w:val="multilevel"/>
    <w:tmpl w:val="10723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46B398A"/>
    <w:multiLevelType w:val="hybridMultilevel"/>
    <w:tmpl w:val="3A74035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69A5E3B"/>
    <w:multiLevelType w:val="multilevel"/>
    <w:tmpl w:val="B2A02B02"/>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73122FD"/>
    <w:multiLevelType w:val="multilevel"/>
    <w:tmpl w:val="14B82198"/>
    <w:lvl w:ilvl="0">
      <w:start w:val="1"/>
      <w:numFmt w:val="upperLetter"/>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30" w15:restartNumberingAfterBreak="0">
    <w:nsid w:val="6AFD3DE4"/>
    <w:multiLevelType w:val="hybridMultilevel"/>
    <w:tmpl w:val="569E52D4"/>
    <w:lvl w:ilvl="0" w:tplc="FAAE735E">
      <w:start w:val="1"/>
      <w:numFmt w:val="bullet"/>
      <w:pStyle w:val="Bullet1G"/>
      <w:lvlText w:val="•"/>
      <w:lvlJc w:val="left"/>
      <w:pPr>
        <w:tabs>
          <w:tab w:val="num" w:pos="1701"/>
        </w:tabs>
        <w:ind w:left="1701" w:hanging="170"/>
      </w:pPr>
      <w:rPr>
        <w:rFonts w:ascii="Times New Roman" w:hAnsi="Times New Roman" w:cs="Times New Roman" w:hint="default"/>
      </w:rPr>
    </w:lvl>
    <w:lvl w:ilvl="1" w:tplc="4B9864C2" w:tentative="1">
      <w:start w:val="1"/>
      <w:numFmt w:val="bullet"/>
      <w:lvlText w:val="o"/>
      <w:lvlJc w:val="left"/>
      <w:pPr>
        <w:tabs>
          <w:tab w:val="num" w:pos="1440"/>
        </w:tabs>
        <w:ind w:left="1440" w:hanging="360"/>
      </w:pPr>
      <w:rPr>
        <w:rFonts w:ascii="Courier New" w:hAnsi="Courier New" w:hint="default"/>
      </w:rPr>
    </w:lvl>
    <w:lvl w:ilvl="2" w:tplc="DBDC0E88" w:tentative="1">
      <w:start w:val="1"/>
      <w:numFmt w:val="bullet"/>
      <w:lvlText w:val=""/>
      <w:lvlJc w:val="left"/>
      <w:pPr>
        <w:tabs>
          <w:tab w:val="num" w:pos="2160"/>
        </w:tabs>
        <w:ind w:left="2160" w:hanging="360"/>
      </w:pPr>
      <w:rPr>
        <w:rFonts w:ascii="Wingdings" w:hAnsi="Wingdings" w:hint="default"/>
      </w:rPr>
    </w:lvl>
    <w:lvl w:ilvl="3" w:tplc="F7B437F2" w:tentative="1">
      <w:start w:val="1"/>
      <w:numFmt w:val="bullet"/>
      <w:lvlText w:val=""/>
      <w:lvlJc w:val="left"/>
      <w:pPr>
        <w:tabs>
          <w:tab w:val="num" w:pos="2880"/>
        </w:tabs>
        <w:ind w:left="2880" w:hanging="360"/>
      </w:pPr>
      <w:rPr>
        <w:rFonts w:ascii="Symbol" w:hAnsi="Symbol" w:hint="default"/>
      </w:rPr>
    </w:lvl>
    <w:lvl w:ilvl="4" w:tplc="A2809A7A" w:tentative="1">
      <w:start w:val="1"/>
      <w:numFmt w:val="bullet"/>
      <w:lvlText w:val="o"/>
      <w:lvlJc w:val="left"/>
      <w:pPr>
        <w:tabs>
          <w:tab w:val="num" w:pos="3600"/>
        </w:tabs>
        <w:ind w:left="3600" w:hanging="360"/>
      </w:pPr>
      <w:rPr>
        <w:rFonts w:ascii="Courier New" w:hAnsi="Courier New" w:hint="default"/>
      </w:rPr>
    </w:lvl>
    <w:lvl w:ilvl="5" w:tplc="ADE49228" w:tentative="1">
      <w:start w:val="1"/>
      <w:numFmt w:val="bullet"/>
      <w:lvlText w:val=""/>
      <w:lvlJc w:val="left"/>
      <w:pPr>
        <w:tabs>
          <w:tab w:val="num" w:pos="4320"/>
        </w:tabs>
        <w:ind w:left="4320" w:hanging="360"/>
      </w:pPr>
      <w:rPr>
        <w:rFonts w:ascii="Wingdings" w:hAnsi="Wingdings" w:hint="default"/>
      </w:rPr>
    </w:lvl>
    <w:lvl w:ilvl="6" w:tplc="9E4A0CCE" w:tentative="1">
      <w:start w:val="1"/>
      <w:numFmt w:val="bullet"/>
      <w:lvlText w:val=""/>
      <w:lvlJc w:val="left"/>
      <w:pPr>
        <w:tabs>
          <w:tab w:val="num" w:pos="5040"/>
        </w:tabs>
        <w:ind w:left="5040" w:hanging="360"/>
      </w:pPr>
      <w:rPr>
        <w:rFonts w:ascii="Symbol" w:hAnsi="Symbol" w:hint="default"/>
      </w:rPr>
    </w:lvl>
    <w:lvl w:ilvl="7" w:tplc="BE149A0E" w:tentative="1">
      <w:start w:val="1"/>
      <w:numFmt w:val="bullet"/>
      <w:lvlText w:val="o"/>
      <w:lvlJc w:val="left"/>
      <w:pPr>
        <w:tabs>
          <w:tab w:val="num" w:pos="5760"/>
        </w:tabs>
        <w:ind w:left="5760" w:hanging="360"/>
      </w:pPr>
      <w:rPr>
        <w:rFonts w:ascii="Courier New" w:hAnsi="Courier New" w:hint="default"/>
      </w:rPr>
    </w:lvl>
    <w:lvl w:ilvl="8" w:tplc="A176C28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3303D91"/>
    <w:multiLevelType w:val="multilevel"/>
    <w:tmpl w:val="6CD46B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3566A9F"/>
    <w:multiLevelType w:val="hybridMultilevel"/>
    <w:tmpl w:val="2E828F66"/>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A96266C"/>
    <w:multiLevelType w:val="multilevel"/>
    <w:tmpl w:val="53B0D7FA"/>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BFC3E0A"/>
    <w:multiLevelType w:val="multilevel"/>
    <w:tmpl w:val="AAFE4E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7FF53430"/>
    <w:multiLevelType w:val="hybridMultilevel"/>
    <w:tmpl w:val="8C6C78F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48324160">
    <w:abstractNumId w:val="34"/>
  </w:num>
  <w:num w:numId="2" w16cid:durableId="2038506607">
    <w:abstractNumId w:val="31"/>
  </w:num>
  <w:num w:numId="3" w16cid:durableId="339505120">
    <w:abstractNumId w:val="25"/>
  </w:num>
  <w:num w:numId="4" w16cid:durableId="2081512517">
    <w:abstractNumId w:val="30"/>
  </w:num>
  <w:num w:numId="5" w16cid:durableId="1499690322">
    <w:abstractNumId w:val="19"/>
  </w:num>
  <w:num w:numId="6" w16cid:durableId="697513652">
    <w:abstractNumId w:val="9"/>
  </w:num>
  <w:num w:numId="7" w16cid:durableId="276833110">
    <w:abstractNumId w:val="7"/>
  </w:num>
  <w:num w:numId="8" w16cid:durableId="942146823">
    <w:abstractNumId w:val="6"/>
  </w:num>
  <w:num w:numId="9" w16cid:durableId="745302441">
    <w:abstractNumId w:val="5"/>
  </w:num>
  <w:num w:numId="10" w16cid:durableId="1174026251">
    <w:abstractNumId w:val="4"/>
  </w:num>
  <w:num w:numId="11" w16cid:durableId="1613632129">
    <w:abstractNumId w:val="8"/>
  </w:num>
  <w:num w:numId="12" w16cid:durableId="1644311279">
    <w:abstractNumId w:val="3"/>
  </w:num>
  <w:num w:numId="13" w16cid:durableId="1510752551">
    <w:abstractNumId w:val="2"/>
  </w:num>
  <w:num w:numId="14" w16cid:durableId="1059013373">
    <w:abstractNumId w:val="1"/>
  </w:num>
  <w:num w:numId="15" w16cid:durableId="288247067">
    <w:abstractNumId w:val="0"/>
  </w:num>
  <w:num w:numId="16" w16cid:durableId="319430481">
    <w:abstractNumId w:val="12"/>
  </w:num>
  <w:num w:numId="17" w16cid:durableId="1830170744">
    <w:abstractNumId w:val="35"/>
  </w:num>
  <w:num w:numId="18" w16cid:durableId="542325575">
    <w:abstractNumId w:val="23"/>
  </w:num>
  <w:num w:numId="19" w16cid:durableId="1539010890">
    <w:abstractNumId w:val="10"/>
  </w:num>
  <w:num w:numId="20" w16cid:durableId="1800807002">
    <w:abstractNumId w:val="28"/>
  </w:num>
  <w:num w:numId="21" w16cid:durableId="158158745">
    <w:abstractNumId w:val="14"/>
  </w:num>
  <w:num w:numId="22" w16cid:durableId="1619335910">
    <w:abstractNumId w:val="20"/>
  </w:num>
  <w:num w:numId="23" w16cid:durableId="759762009">
    <w:abstractNumId w:val="26"/>
  </w:num>
  <w:num w:numId="24" w16cid:durableId="1496453270">
    <w:abstractNumId w:val="32"/>
  </w:num>
  <w:num w:numId="25" w16cid:durableId="1340279512">
    <w:abstractNumId w:val="29"/>
  </w:num>
  <w:num w:numId="26" w16cid:durableId="243103888">
    <w:abstractNumId w:val="36"/>
  </w:num>
  <w:num w:numId="27" w16cid:durableId="156849039">
    <w:abstractNumId w:val="16"/>
  </w:num>
  <w:num w:numId="28" w16cid:durableId="1231500862">
    <w:abstractNumId w:val="11"/>
  </w:num>
  <w:num w:numId="29" w16cid:durableId="1526283028">
    <w:abstractNumId w:val="24"/>
  </w:num>
  <w:num w:numId="30" w16cid:durableId="704330286">
    <w:abstractNumId w:val="22"/>
  </w:num>
  <w:num w:numId="31" w16cid:durableId="1515221951">
    <w:abstractNumId w:val="18"/>
  </w:num>
  <w:num w:numId="32" w16cid:durableId="275795685">
    <w:abstractNumId w:val="17"/>
  </w:num>
  <w:num w:numId="33" w16cid:durableId="1396589188">
    <w:abstractNumId w:val="37"/>
  </w:num>
  <w:num w:numId="34" w16cid:durableId="1338770123">
    <w:abstractNumId w:val="27"/>
  </w:num>
  <w:num w:numId="35" w16cid:durableId="365984252">
    <w:abstractNumId w:val="15"/>
  </w:num>
  <w:num w:numId="36" w16cid:durableId="512496283">
    <w:abstractNumId w:val="30"/>
  </w:num>
  <w:num w:numId="37" w16cid:durableId="1686176511">
    <w:abstractNumId w:val="30"/>
  </w:num>
  <w:num w:numId="38" w16cid:durableId="563108653">
    <w:abstractNumId w:val="30"/>
  </w:num>
  <w:num w:numId="39" w16cid:durableId="25106110">
    <w:abstractNumId w:val="30"/>
  </w:num>
  <w:num w:numId="40" w16cid:durableId="1384015852">
    <w:abstractNumId w:val="30"/>
  </w:num>
  <w:num w:numId="41" w16cid:durableId="196742869">
    <w:abstractNumId w:val="30"/>
  </w:num>
  <w:num w:numId="42" w16cid:durableId="574977308">
    <w:abstractNumId w:val="33"/>
  </w:num>
  <w:num w:numId="43" w16cid:durableId="1688098732">
    <w:abstractNumId w:val="21"/>
  </w:num>
  <w:num w:numId="44" w16cid:durableId="2076396674">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7A1A"/>
    <w:rsid w:val="00030AE8"/>
    <w:rsid w:val="00033EE1"/>
    <w:rsid w:val="00042B72"/>
    <w:rsid w:val="00050AFC"/>
    <w:rsid w:val="00053EA6"/>
    <w:rsid w:val="000558BD"/>
    <w:rsid w:val="00063EE4"/>
    <w:rsid w:val="000B57E7"/>
    <w:rsid w:val="000B6373"/>
    <w:rsid w:val="000C6238"/>
    <w:rsid w:val="000D3664"/>
    <w:rsid w:val="000F09DF"/>
    <w:rsid w:val="000F49CB"/>
    <w:rsid w:val="000F61B2"/>
    <w:rsid w:val="001075E9"/>
    <w:rsid w:val="001104B5"/>
    <w:rsid w:val="00150604"/>
    <w:rsid w:val="00174752"/>
    <w:rsid w:val="00180183"/>
    <w:rsid w:val="0018024D"/>
    <w:rsid w:val="0018649F"/>
    <w:rsid w:val="00196389"/>
    <w:rsid w:val="001A06A1"/>
    <w:rsid w:val="001A4396"/>
    <w:rsid w:val="001B3EF6"/>
    <w:rsid w:val="001C7A89"/>
    <w:rsid w:val="001D015E"/>
    <w:rsid w:val="001E085F"/>
    <w:rsid w:val="001E2D8E"/>
    <w:rsid w:val="00203C19"/>
    <w:rsid w:val="00223522"/>
    <w:rsid w:val="00226CA9"/>
    <w:rsid w:val="00256143"/>
    <w:rsid w:val="00265868"/>
    <w:rsid w:val="00273515"/>
    <w:rsid w:val="002A02C6"/>
    <w:rsid w:val="002A2EFC"/>
    <w:rsid w:val="002A7EF2"/>
    <w:rsid w:val="002B5B94"/>
    <w:rsid w:val="002B79BC"/>
    <w:rsid w:val="002C0E18"/>
    <w:rsid w:val="002D099A"/>
    <w:rsid w:val="002D4172"/>
    <w:rsid w:val="002D5AAC"/>
    <w:rsid w:val="002E15CE"/>
    <w:rsid w:val="002F405F"/>
    <w:rsid w:val="002F736E"/>
    <w:rsid w:val="00301299"/>
    <w:rsid w:val="00302CC1"/>
    <w:rsid w:val="00307FB6"/>
    <w:rsid w:val="00317339"/>
    <w:rsid w:val="00322004"/>
    <w:rsid w:val="003402C2"/>
    <w:rsid w:val="00356166"/>
    <w:rsid w:val="00374812"/>
    <w:rsid w:val="00376E4E"/>
    <w:rsid w:val="00381C24"/>
    <w:rsid w:val="00392E09"/>
    <w:rsid w:val="003958D0"/>
    <w:rsid w:val="003A3CE4"/>
    <w:rsid w:val="003B00E5"/>
    <w:rsid w:val="003D3526"/>
    <w:rsid w:val="003E0332"/>
    <w:rsid w:val="003E0B56"/>
    <w:rsid w:val="003F43D1"/>
    <w:rsid w:val="003F6FF0"/>
    <w:rsid w:val="003F721F"/>
    <w:rsid w:val="004016FE"/>
    <w:rsid w:val="00407B78"/>
    <w:rsid w:val="00424203"/>
    <w:rsid w:val="0044363C"/>
    <w:rsid w:val="004452DE"/>
    <w:rsid w:val="00454E07"/>
    <w:rsid w:val="00472D4C"/>
    <w:rsid w:val="004B6CC2"/>
    <w:rsid w:val="004D1828"/>
    <w:rsid w:val="004D525D"/>
    <w:rsid w:val="0050108D"/>
    <w:rsid w:val="00503CC0"/>
    <w:rsid w:val="00513081"/>
    <w:rsid w:val="005172CB"/>
    <w:rsid w:val="00517901"/>
    <w:rsid w:val="00521DC1"/>
    <w:rsid w:val="00526683"/>
    <w:rsid w:val="00553A08"/>
    <w:rsid w:val="0056061D"/>
    <w:rsid w:val="005709E0"/>
    <w:rsid w:val="00572E19"/>
    <w:rsid w:val="00575534"/>
    <w:rsid w:val="005961C8"/>
    <w:rsid w:val="005B2CD9"/>
    <w:rsid w:val="005D7914"/>
    <w:rsid w:val="005F0B42"/>
    <w:rsid w:val="00603A63"/>
    <w:rsid w:val="00615628"/>
    <w:rsid w:val="00621949"/>
    <w:rsid w:val="00637174"/>
    <w:rsid w:val="00653063"/>
    <w:rsid w:val="006551F6"/>
    <w:rsid w:val="00660281"/>
    <w:rsid w:val="00662C3D"/>
    <w:rsid w:val="00677967"/>
    <w:rsid w:val="006807B0"/>
    <w:rsid w:val="00681A10"/>
    <w:rsid w:val="006C2031"/>
    <w:rsid w:val="006D317E"/>
    <w:rsid w:val="006D461A"/>
    <w:rsid w:val="006E1189"/>
    <w:rsid w:val="006F35EE"/>
    <w:rsid w:val="007021FF"/>
    <w:rsid w:val="00712895"/>
    <w:rsid w:val="00717B7E"/>
    <w:rsid w:val="007537D9"/>
    <w:rsid w:val="00754B77"/>
    <w:rsid w:val="00757357"/>
    <w:rsid w:val="007675A5"/>
    <w:rsid w:val="007732EA"/>
    <w:rsid w:val="007809B3"/>
    <w:rsid w:val="007A5702"/>
    <w:rsid w:val="007B7A44"/>
    <w:rsid w:val="007C0676"/>
    <w:rsid w:val="007C333F"/>
    <w:rsid w:val="007D4347"/>
    <w:rsid w:val="007E072F"/>
    <w:rsid w:val="007F3E32"/>
    <w:rsid w:val="00805D1C"/>
    <w:rsid w:val="0081222A"/>
    <w:rsid w:val="00820A30"/>
    <w:rsid w:val="00823B1C"/>
    <w:rsid w:val="00825F8D"/>
    <w:rsid w:val="00834B71"/>
    <w:rsid w:val="00841CBA"/>
    <w:rsid w:val="0086445C"/>
    <w:rsid w:val="00871357"/>
    <w:rsid w:val="00894693"/>
    <w:rsid w:val="008A08D7"/>
    <w:rsid w:val="008B6909"/>
    <w:rsid w:val="008B7D48"/>
    <w:rsid w:val="008E5A46"/>
    <w:rsid w:val="008F78D3"/>
    <w:rsid w:val="009063C3"/>
    <w:rsid w:val="00906890"/>
    <w:rsid w:val="00911BE4"/>
    <w:rsid w:val="00915B51"/>
    <w:rsid w:val="009255C6"/>
    <w:rsid w:val="0093139E"/>
    <w:rsid w:val="00935508"/>
    <w:rsid w:val="00935A0B"/>
    <w:rsid w:val="00951972"/>
    <w:rsid w:val="00953B31"/>
    <w:rsid w:val="009608F3"/>
    <w:rsid w:val="00976D7B"/>
    <w:rsid w:val="00981311"/>
    <w:rsid w:val="009874BF"/>
    <w:rsid w:val="009911C5"/>
    <w:rsid w:val="0099207C"/>
    <w:rsid w:val="009B7907"/>
    <w:rsid w:val="009C710B"/>
    <w:rsid w:val="00A32382"/>
    <w:rsid w:val="00A44B2D"/>
    <w:rsid w:val="00A711FB"/>
    <w:rsid w:val="00A84021"/>
    <w:rsid w:val="00A86F80"/>
    <w:rsid w:val="00A90C2B"/>
    <w:rsid w:val="00A917B3"/>
    <w:rsid w:val="00A92E7D"/>
    <w:rsid w:val="00AA7ADB"/>
    <w:rsid w:val="00AB2EFA"/>
    <w:rsid w:val="00AB4B51"/>
    <w:rsid w:val="00AE16CA"/>
    <w:rsid w:val="00AE1FED"/>
    <w:rsid w:val="00AE5F3B"/>
    <w:rsid w:val="00B10408"/>
    <w:rsid w:val="00B10CC7"/>
    <w:rsid w:val="00B539E7"/>
    <w:rsid w:val="00B55C6A"/>
    <w:rsid w:val="00B563EB"/>
    <w:rsid w:val="00B6011E"/>
    <w:rsid w:val="00B62458"/>
    <w:rsid w:val="00B80A93"/>
    <w:rsid w:val="00B93622"/>
    <w:rsid w:val="00BB15B8"/>
    <w:rsid w:val="00BC63D1"/>
    <w:rsid w:val="00BD33EE"/>
    <w:rsid w:val="00BF2E5C"/>
    <w:rsid w:val="00C068E4"/>
    <w:rsid w:val="00C10126"/>
    <w:rsid w:val="00C106D6"/>
    <w:rsid w:val="00C1070A"/>
    <w:rsid w:val="00C60F0C"/>
    <w:rsid w:val="00C805C9"/>
    <w:rsid w:val="00C92939"/>
    <w:rsid w:val="00CA1679"/>
    <w:rsid w:val="00CB151C"/>
    <w:rsid w:val="00CB186D"/>
    <w:rsid w:val="00CB242B"/>
    <w:rsid w:val="00CC0427"/>
    <w:rsid w:val="00CC3501"/>
    <w:rsid w:val="00CE5A1A"/>
    <w:rsid w:val="00CF55F6"/>
    <w:rsid w:val="00D04407"/>
    <w:rsid w:val="00D33D63"/>
    <w:rsid w:val="00D42DA3"/>
    <w:rsid w:val="00D46FF5"/>
    <w:rsid w:val="00D4778E"/>
    <w:rsid w:val="00D65EF3"/>
    <w:rsid w:val="00D7481B"/>
    <w:rsid w:val="00D82740"/>
    <w:rsid w:val="00D90138"/>
    <w:rsid w:val="00D90F98"/>
    <w:rsid w:val="00DC5CAF"/>
    <w:rsid w:val="00DE3C32"/>
    <w:rsid w:val="00E31CF9"/>
    <w:rsid w:val="00E44C47"/>
    <w:rsid w:val="00E52DD2"/>
    <w:rsid w:val="00E56EE3"/>
    <w:rsid w:val="00E60F46"/>
    <w:rsid w:val="00E62667"/>
    <w:rsid w:val="00E739DD"/>
    <w:rsid w:val="00E73F76"/>
    <w:rsid w:val="00E850A8"/>
    <w:rsid w:val="00E86371"/>
    <w:rsid w:val="00EA2C9F"/>
    <w:rsid w:val="00EB6BF5"/>
    <w:rsid w:val="00EC3AB4"/>
    <w:rsid w:val="00ED0BDA"/>
    <w:rsid w:val="00ED3749"/>
    <w:rsid w:val="00EE7654"/>
    <w:rsid w:val="00EF1360"/>
    <w:rsid w:val="00EF3220"/>
    <w:rsid w:val="00F34577"/>
    <w:rsid w:val="00F37BF0"/>
    <w:rsid w:val="00F43810"/>
    <w:rsid w:val="00F63772"/>
    <w:rsid w:val="00F76A49"/>
    <w:rsid w:val="00F81F7C"/>
    <w:rsid w:val="00F9377E"/>
    <w:rsid w:val="00F94155"/>
    <w:rsid w:val="00F96BF9"/>
    <w:rsid w:val="00FA6BE0"/>
    <w:rsid w:val="00FD234F"/>
    <w:rsid w:val="00FD2EF7"/>
    <w:rsid w:val="00FD6609"/>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DFF0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semiHidden/>
    <w:qFormat/>
    <w:rsid w:val="00D7481B"/>
    <w:pPr>
      <w:keepNext/>
      <w:outlineLvl w:val="1"/>
    </w:pPr>
    <w:rPr>
      <w:rFonts w:cs="Arial"/>
      <w:bCs/>
      <w:iCs/>
      <w:szCs w:val="28"/>
    </w:rPr>
  </w:style>
  <w:style w:type="paragraph" w:styleId="Heading3">
    <w:name w:val="heading 3"/>
    <w:basedOn w:val="Normal"/>
    <w:next w:val="Normal"/>
    <w:uiPriority w:val="9"/>
    <w:semiHidden/>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qFormat/>
    <w:rsid w:val="00D7481B"/>
    <w:pPr>
      <w:keepNext/>
      <w:spacing w:before="240" w:after="60"/>
      <w:outlineLvl w:val="3"/>
    </w:pPr>
    <w:rPr>
      <w:b/>
      <w:bCs/>
      <w:sz w:val="28"/>
      <w:szCs w:val="28"/>
    </w:rPr>
  </w:style>
  <w:style w:type="paragraph" w:styleId="Heading5">
    <w:name w:val="heading 5"/>
    <w:basedOn w:val="Normal"/>
    <w:next w:val="Normal"/>
    <w:uiPriority w:val="9"/>
    <w:semiHidden/>
    <w:qFormat/>
    <w:rsid w:val="00D7481B"/>
    <w:pPr>
      <w:spacing w:before="240" w:after="60"/>
      <w:outlineLvl w:val="4"/>
    </w:pPr>
    <w:rPr>
      <w:b/>
      <w:bCs/>
      <w:i/>
      <w:iCs/>
      <w:sz w:val="26"/>
      <w:szCs w:val="26"/>
    </w:rPr>
  </w:style>
  <w:style w:type="paragraph" w:styleId="Heading6">
    <w:name w:val="heading 6"/>
    <w:basedOn w:val="Normal"/>
    <w:next w:val="Normal"/>
    <w:uiPriority w:val="9"/>
    <w:semiHidden/>
    <w:qFormat/>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uiPriority w:val="99"/>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uiPriority w:val="99"/>
    <w:rsid w:val="00D7481B"/>
    <w:rPr>
      <w:color w:val="0000FF"/>
      <w:u w:val="none"/>
    </w:rPr>
  </w:style>
  <w:style w:type="character" w:styleId="FollowedHyperlink">
    <w:name w:val="FollowedHyperlink"/>
    <w:uiPriority w:val="99"/>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1"/>
      </w:numPr>
    </w:pPr>
  </w:style>
  <w:style w:type="paragraph" w:styleId="ListNumber2">
    <w:name w:val="List Number 2"/>
    <w:basedOn w:val="Normal"/>
    <w:semiHidden/>
    <w:rsid w:val="00D7481B"/>
    <w:pPr>
      <w:numPr>
        <w:numId w:val="12"/>
      </w:numPr>
    </w:pPr>
  </w:style>
  <w:style w:type="paragraph" w:styleId="ListNumber3">
    <w:name w:val="List Number 3"/>
    <w:basedOn w:val="Normal"/>
    <w:semiHidden/>
    <w:rsid w:val="00D7481B"/>
    <w:pPr>
      <w:numPr>
        <w:numId w:val="13"/>
      </w:numPr>
    </w:pPr>
  </w:style>
  <w:style w:type="paragraph" w:styleId="ListNumber4">
    <w:name w:val="List Number 4"/>
    <w:basedOn w:val="Normal"/>
    <w:semiHidden/>
    <w:rsid w:val="00D7481B"/>
    <w:pPr>
      <w:numPr>
        <w:numId w:val="14"/>
      </w:numPr>
    </w:pPr>
  </w:style>
  <w:style w:type="paragraph" w:styleId="ListNumber5">
    <w:name w:val="List Number 5"/>
    <w:basedOn w:val="Normal"/>
    <w:semiHidden/>
    <w:rsid w:val="00D7481B"/>
    <w:pPr>
      <w:numPr>
        <w:numId w:val="15"/>
      </w:numPr>
    </w:pPr>
  </w:style>
  <w:style w:type="paragraph" w:styleId="ListBullet">
    <w:name w:val="List Bullet"/>
    <w:basedOn w:val="Normal"/>
    <w:semiHidden/>
    <w:rsid w:val="00D7481B"/>
    <w:pPr>
      <w:numPr>
        <w:numId w:val="6"/>
      </w:numPr>
    </w:pPr>
  </w:style>
  <w:style w:type="paragraph" w:styleId="ListBullet2">
    <w:name w:val="List Bullet 2"/>
    <w:basedOn w:val="Normal"/>
    <w:semiHidden/>
    <w:rsid w:val="00D7481B"/>
    <w:pPr>
      <w:numPr>
        <w:numId w:val="7"/>
      </w:numPr>
    </w:pPr>
  </w:style>
  <w:style w:type="paragraph" w:styleId="ListBullet3">
    <w:name w:val="List Bullet 3"/>
    <w:basedOn w:val="Normal"/>
    <w:semiHidden/>
    <w:rsid w:val="00D7481B"/>
    <w:pPr>
      <w:numPr>
        <w:numId w:val="8"/>
      </w:numPr>
    </w:pPr>
  </w:style>
  <w:style w:type="paragraph" w:styleId="ListBullet4">
    <w:name w:val="List Bullet 4"/>
    <w:basedOn w:val="Normal"/>
    <w:semiHidden/>
    <w:rsid w:val="00D7481B"/>
    <w:pPr>
      <w:numPr>
        <w:numId w:val="9"/>
      </w:numPr>
    </w:pPr>
  </w:style>
  <w:style w:type="paragraph" w:styleId="ListBullet5">
    <w:name w:val="List Bullet 5"/>
    <w:basedOn w:val="Normal"/>
    <w:semiHidden/>
    <w:rsid w:val="00D7481B"/>
    <w:pPr>
      <w:numPr>
        <w:numId w:val="10"/>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uiPriority w:val="99"/>
    <w:qFormat/>
    <w:rsid w:val="00D7481B"/>
    <w:rPr>
      <w:b/>
      <w:sz w:val="18"/>
    </w:rPr>
  </w:style>
  <w:style w:type="character" w:styleId="EndnoteReference">
    <w:name w:val="endnote reference"/>
    <w:aliases w:val="1_G"/>
    <w:uiPriority w:val="99"/>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uiPriority w:val="11"/>
    <w:qFormat/>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uiPriority w:val="22"/>
    <w:qFormat/>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link w:val="EndnoteTextChar"/>
    <w:uiPriority w:val="99"/>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uiPriority w:val="10"/>
    <w:qFormat/>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uiPriority w:val="9"/>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17B7E"/>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table" w:customStyle="1" w:styleId="TableNormal1">
    <w:name w:val="Table Normal1"/>
    <w:rsid w:val="009B7907"/>
    <w:rPr>
      <w:rFonts w:ascii="Calibri" w:eastAsia="Calibri" w:hAnsi="Calibri" w:cs="Calibri"/>
      <w:sz w:val="24"/>
      <w:szCs w:val="24"/>
      <w:lang w:val="es-ES" w:eastAsia="es-BO"/>
    </w:rPr>
    <w:tblPr>
      <w:tblCellMar>
        <w:top w:w="0" w:type="dxa"/>
        <w:left w:w="0" w:type="dxa"/>
        <w:bottom w:w="0" w:type="dxa"/>
        <w:right w:w="0" w:type="dxa"/>
      </w:tblCellMar>
    </w:tblPr>
  </w:style>
  <w:style w:type="character" w:customStyle="1" w:styleId="ListParagraphChar">
    <w:name w:val="List Paragraph Char"/>
    <w:aliases w:val="titulo 5 Char,Superíndice Char,GRÁFICO Char,BULLET Liste Char,Fundamentacion Char,Number List 1 Char,Dot pt Char,No Spacing1 Char,List Paragraph Char Char Char Char,Indicator Text Char,Numbered Para 1 Char,Bullet 1 Char,lp1 Char"/>
    <w:link w:val="ListParagraph"/>
    <w:uiPriority w:val="34"/>
    <w:qFormat/>
    <w:locked/>
    <w:rsid w:val="009B7907"/>
    <w:rPr>
      <w:rFonts w:ascii="Verdana" w:hAnsi="Verdana"/>
      <w:sz w:val="16"/>
      <w:szCs w:val="16"/>
      <w:lang w:val="es-ES" w:eastAsia="es-ES"/>
    </w:rPr>
  </w:style>
  <w:style w:type="paragraph" w:styleId="ListParagraph">
    <w:name w:val="List Paragraph"/>
    <w:aliases w:val="titulo 5,Superíndice,GRÁFICO,BULLET Liste,Fundamentacion,Number List 1,Dot pt,No Spacing1,List Paragraph Char Char Char,Indicator Text,Numbered Para 1,Colorful List - Accent 11,Bullet 1,F5 List Paragraph,Bullet Points,lp1"/>
    <w:basedOn w:val="Normal"/>
    <w:link w:val="ListParagraphChar"/>
    <w:uiPriority w:val="34"/>
    <w:qFormat/>
    <w:rsid w:val="009B7907"/>
    <w:pPr>
      <w:spacing w:line="240" w:lineRule="auto"/>
      <w:ind w:left="720"/>
      <w:contextualSpacing/>
    </w:pPr>
    <w:rPr>
      <w:rFonts w:ascii="Verdana" w:eastAsia="Times New Roman" w:hAnsi="Verdana"/>
      <w:sz w:val="16"/>
      <w:szCs w:val="16"/>
    </w:rPr>
  </w:style>
  <w:style w:type="character" w:customStyle="1" w:styleId="HeaderChar">
    <w:name w:val="Header Char"/>
    <w:aliases w:val="6_G Char"/>
    <w:basedOn w:val="DefaultParagraphFont"/>
    <w:link w:val="Header"/>
    <w:uiPriority w:val="99"/>
    <w:rsid w:val="009B7907"/>
    <w:rPr>
      <w:rFonts w:eastAsiaTheme="minorEastAsia"/>
      <w:b/>
      <w:sz w:val="18"/>
      <w:lang w:val="es-ES" w:eastAsia="es-ES"/>
    </w:rPr>
  </w:style>
  <w:style w:type="character" w:customStyle="1" w:styleId="FooterChar">
    <w:name w:val="Footer Char"/>
    <w:aliases w:val="3_G Char"/>
    <w:basedOn w:val="DefaultParagraphFont"/>
    <w:link w:val="Footer"/>
    <w:uiPriority w:val="99"/>
    <w:rsid w:val="009B7907"/>
    <w:rPr>
      <w:rFonts w:eastAsiaTheme="minorEastAsia"/>
      <w:sz w:val="16"/>
      <w:lang w:val="es-ES" w:eastAsia="es-ES"/>
    </w:rPr>
  </w:style>
  <w:style w:type="character" w:customStyle="1" w:styleId="markedcontent">
    <w:name w:val="markedcontent"/>
    <w:basedOn w:val="DefaultParagraphFont"/>
    <w:rsid w:val="009B7907"/>
  </w:style>
  <w:style w:type="character" w:customStyle="1" w:styleId="Heading2Char">
    <w:name w:val="Heading 2 Char"/>
    <w:basedOn w:val="DefaultParagraphFont"/>
    <w:link w:val="Heading2"/>
    <w:uiPriority w:val="9"/>
    <w:semiHidden/>
    <w:rsid w:val="009B7907"/>
    <w:rPr>
      <w:rFonts w:eastAsiaTheme="minorEastAsia" w:cs="Arial"/>
      <w:bCs/>
      <w:iCs/>
      <w:szCs w:val="28"/>
      <w:lang w:val="es-ES" w:eastAsia="es-ES"/>
    </w:rPr>
  </w:style>
  <w:style w:type="paragraph" w:customStyle="1" w:styleId="msonormal0">
    <w:name w:val="msonormal"/>
    <w:basedOn w:val="Normal"/>
    <w:uiPriority w:val="99"/>
    <w:rsid w:val="009B7907"/>
    <w:pPr>
      <w:spacing w:before="100" w:beforeAutospacing="1" w:after="100" w:afterAutospacing="1" w:line="240" w:lineRule="auto"/>
    </w:pPr>
    <w:rPr>
      <w:rFonts w:eastAsia="Times New Roman"/>
      <w:sz w:val="24"/>
      <w:szCs w:val="24"/>
      <w:lang w:val="es-BO" w:eastAsia="es-BO"/>
    </w:rPr>
  </w:style>
  <w:style w:type="paragraph" w:styleId="TOC2">
    <w:name w:val="toc 2"/>
    <w:basedOn w:val="Normal"/>
    <w:next w:val="Normal"/>
    <w:autoRedefine/>
    <w:uiPriority w:val="39"/>
    <w:unhideWhenUsed/>
    <w:rsid w:val="009B7907"/>
    <w:pPr>
      <w:spacing w:after="100"/>
      <w:ind w:left="200"/>
    </w:pPr>
  </w:style>
  <w:style w:type="character" w:customStyle="1" w:styleId="FootnoteTextChar">
    <w:name w:val="Footnote Text Char"/>
    <w:aliases w:val="5_G Char"/>
    <w:basedOn w:val="DefaultParagraphFont"/>
    <w:link w:val="FootnoteText"/>
    <w:locked/>
    <w:rsid w:val="009B7907"/>
    <w:rPr>
      <w:rFonts w:eastAsiaTheme="minorEastAsia"/>
      <w:sz w:val="18"/>
      <w:lang w:val="es-ES" w:eastAsia="es-ES"/>
    </w:rPr>
  </w:style>
  <w:style w:type="character" w:customStyle="1" w:styleId="TextonotapieCar1">
    <w:name w:val="Texto nota pie Car1"/>
    <w:aliases w:val="5_G Car1"/>
    <w:basedOn w:val="DefaultParagraphFont"/>
    <w:uiPriority w:val="99"/>
    <w:semiHidden/>
    <w:rsid w:val="009B7907"/>
    <w:rPr>
      <w:rFonts w:ascii="Calibri" w:eastAsia="Calibri" w:hAnsi="Calibri" w:cs="Times New Roman"/>
      <w:sz w:val="20"/>
      <w:szCs w:val="20"/>
      <w:lang w:val="es-ES_tradnl"/>
    </w:rPr>
  </w:style>
  <w:style w:type="paragraph" w:styleId="CommentText">
    <w:name w:val="annotation text"/>
    <w:basedOn w:val="Normal"/>
    <w:link w:val="CommentTextChar"/>
    <w:uiPriority w:val="99"/>
    <w:semiHidden/>
    <w:unhideWhenUsed/>
    <w:rsid w:val="009B7907"/>
    <w:pPr>
      <w:spacing w:line="240" w:lineRule="auto"/>
    </w:pPr>
  </w:style>
  <w:style w:type="character" w:customStyle="1" w:styleId="CommentTextChar">
    <w:name w:val="Comment Text Char"/>
    <w:basedOn w:val="DefaultParagraphFont"/>
    <w:link w:val="CommentText"/>
    <w:uiPriority w:val="99"/>
    <w:semiHidden/>
    <w:rsid w:val="009B7907"/>
    <w:rPr>
      <w:rFonts w:eastAsiaTheme="minorEastAsia"/>
      <w:lang w:val="es-ES" w:eastAsia="es-ES"/>
    </w:rPr>
  </w:style>
  <w:style w:type="character" w:customStyle="1" w:styleId="EndnoteTextChar">
    <w:name w:val="Endnote Text Char"/>
    <w:aliases w:val="2_G Char"/>
    <w:basedOn w:val="DefaultParagraphFont"/>
    <w:link w:val="EndnoteText"/>
    <w:uiPriority w:val="99"/>
    <w:rsid w:val="009B7907"/>
    <w:rPr>
      <w:rFonts w:eastAsiaTheme="minorEastAsia"/>
      <w:sz w:val="18"/>
      <w:lang w:val="es-ES" w:eastAsia="es-ES"/>
    </w:rPr>
  </w:style>
  <w:style w:type="paragraph" w:styleId="CommentSubject">
    <w:name w:val="annotation subject"/>
    <w:basedOn w:val="CommentText"/>
    <w:next w:val="CommentText"/>
    <w:link w:val="CommentSubjectChar"/>
    <w:uiPriority w:val="99"/>
    <w:semiHidden/>
    <w:unhideWhenUsed/>
    <w:rsid w:val="009B7907"/>
    <w:rPr>
      <w:b/>
      <w:bCs/>
    </w:rPr>
  </w:style>
  <w:style w:type="character" w:customStyle="1" w:styleId="CommentSubjectChar">
    <w:name w:val="Comment Subject Char"/>
    <w:basedOn w:val="CommentTextChar"/>
    <w:link w:val="CommentSubject"/>
    <w:uiPriority w:val="99"/>
    <w:semiHidden/>
    <w:rsid w:val="009B7907"/>
    <w:rPr>
      <w:rFonts w:eastAsiaTheme="minorEastAsia"/>
      <w:b/>
      <w:bCs/>
      <w:lang w:val="es-ES" w:eastAsia="es-ES"/>
    </w:rPr>
  </w:style>
  <w:style w:type="character" w:customStyle="1" w:styleId="Otro">
    <w:name w:val="Otro_"/>
    <w:basedOn w:val="DefaultParagraphFont"/>
    <w:link w:val="Otro0"/>
    <w:locked/>
    <w:rsid w:val="009B7907"/>
    <w:rPr>
      <w:rFonts w:ascii="Arial" w:eastAsia="Arial" w:hAnsi="Arial" w:cs="Arial"/>
      <w:sz w:val="19"/>
      <w:szCs w:val="19"/>
      <w:shd w:val="clear" w:color="auto" w:fill="FFFFFF"/>
    </w:rPr>
  </w:style>
  <w:style w:type="paragraph" w:customStyle="1" w:styleId="Otro0">
    <w:name w:val="Otro"/>
    <w:basedOn w:val="Normal"/>
    <w:link w:val="Otro"/>
    <w:rsid w:val="009B7907"/>
    <w:pPr>
      <w:widowControl w:val="0"/>
      <w:shd w:val="clear" w:color="auto" w:fill="FFFFFF"/>
      <w:spacing w:after="120" w:line="240" w:lineRule="auto"/>
    </w:pPr>
    <w:rPr>
      <w:rFonts w:ascii="Arial" w:eastAsia="Arial" w:hAnsi="Arial" w:cs="Arial"/>
      <w:sz w:val="19"/>
      <w:szCs w:val="19"/>
      <w:lang w:val="fr-FR" w:eastAsia="fr-FR"/>
    </w:rPr>
  </w:style>
  <w:style w:type="character" w:customStyle="1" w:styleId="Leyendadelatabla">
    <w:name w:val="Leyenda de la tabla_"/>
    <w:basedOn w:val="DefaultParagraphFont"/>
    <w:link w:val="Leyendadelatabla0"/>
    <w:locked/>
    <w:rsid w:val="009B7907"/>
    <w:rPr>
      <w:rFonts w:ascii="Arial" w:eastAsia="Arial" w:hAnsi="Arial" w:cs="Arial"/>
      <w:i/>
      <w:iCs/>
      <w:sz w:val="17"/>
      <w:szCs w:val="17"/>
      <w:shd w:val="clear" w:color="auto" w:fill="FFFFFF"/>
    </w:rPr>
  </w:style>
  <w:style w:type="paragraph" w:customStyle="1" w:styleId="Leyendadelatabla0">
    <w:name w:val="Leyenda de la tabla"/>
    <w:basedOn w:val="Normal"/>
    <w:link w:val="Leyendadelatabla"/>
    <w:rsid w:val="009B7907"/>
    <w:pPr>
      <w:widowControl w:val="0"/>
      <w:shd w:val="clear" w:color="auto" w:fill="FFFFFF"/>
      <w:spacing w:line="240" w:lineRule="auto"/>
    </w:pPr>
    <w:rPr>
      <w:rFonts w:ascii="Arial" w:eastAsia="Arial" w:hAnsi="Arial" w:cs="Arial"/>
      <w:i/>
      <w:iCs/>
      <w:sz w:val="17"/>
      <w:szCs w:val="17"/>
      <w:lang w:val="fr-FR" w:eastAsia="fr-FR"/>
    </w:rPr>
  </w:style>
  <w:style w:type="character" w:customStyle="1" w:styleId="Cuerpodeltexto">
    <w:name w:val="Cuerpo del texto_"/>
    <w:basedOn w:val="DefaultParagraphFont"/>
    <w:link w:val="Cuerpodeltexto0"/>
    <w:locked/>
    <w:rsid w:val="009B7907"/>
    <w:rPr>
      <w:rFonts w:ascii="Bookman Old Style" w:eastAsia="Bookman Old Style" w:hAnsi="Bookman Old Style" w:cs="Bookman Old Style"/>
      <w:shd w:val="clear" w:color="auto" w:fill="FFFFFF"/>
    </w:rPr>
  </w:style>
  <w:style w:type="paragraph" w:customStyle="1" w:styleId="Cuerpodeltexto0">
    <w:name w:val="Cuerpo del texto"/>
    <w:basedOn w:val="Normal"/>
    <w:link w:val="Cuerpodeltexto"/>
    <w:rsid w:val="009B7907"/>
    <w:pPr>
      <w:widowControl w:val="0"/>
      <w:shd w:val="clear" w:color="auto" w:fill="FFFFFF"/>
      <w:spacing w:after="280" w:line="261" w:lineRule="auto"/>
    </w:pPr>
    <w:rPr>
      <w:rFonts w:ascii="Bookman Old Style" w:eastAsia="Bookman Old Style" w:hAnsi="Bookman Old Style" w:cs="Bookman Old Style"/>
      <w:lang w:val="fr-FR" w:eastAsia="fr-FR"/>
    </w:rPr>
  </w:style>
  <w:style w:type="character" w:customStyle="1" w:styleId="Cuerpodeltexto2">
    <w:name w:val="Cuerpo del texto (2)_"/>
    <w:basedOn w:val="DefaultParagraphFont"/>
    <w:link w:val="Cuerpodeltexto20"/>
    <w:locked/>
    <w:rsid w:val="009B7907"/>
    <w:rPr>
      <w:rFonts w:ascii="Franklin Gothic Heavy" w:eastAsia="Franklin Gothic Heavy" w:hAnsi="Franklin Gothic Heavy" w:cs="Franklin Gothic Heavy"/>
      <w:sz w:val="28"/>
      <w:szCs w:val="28"/>
      <w:shd w:val="clear" w:color="auto" w:fill="FFFFFF"/>
    </w:rPr>
  </w:style>
  <w:style w:type="paragraph" w:customStyle="1" w:styleId="Cuerpodeltexto20">
    <w:name w:val="Cuerpo del texto (2)"/>
    <w:basedOn w:val="Normal"/>
    <w:link w:val="Cuerpodeltexto2"/>
    <w:rsid w:val="009B7907"/>
    <w:pPr>
      <w:widowControl w:val="0"/>
      <w:shd w:val="clear" w:color="auto" w:fill="FFFFFF"/>
      <w:spacing w:before="600" w:line="0" w:lineRule="atLeast"/>
      <w:jc w:val="right"/>
    </w:pPr>
    <w:rPr>
      <w:rFonts w:ascii="Franklin Gothic Heavy" w:eastAsia="Franklin Gothic Heavy" w:hAnsi="Franklin Gothic Heavy" w:cs="Franklin Gothic Heavy"/>
      <w:sz w:val="28"/>
      <w:szCs w:val="28"/>
      <w:lang w:val="fr-FR" w:eastAsia="fr-FR"/>
    </w:rPr>
  </w:style>
  <w:style w:type="character" w:customStyle="1" w:styleId="Leyendadelatabla2">
    <w:name w:val="Leyenda de la tabla (2)_"/>
    <w:basedOn w:val="DefaultParagraphFont"/>
    <w:link w:val="Leyendadelatabla20"/>
    <w:locked/>
    <w:rsid w:val="009B7907"/>
    <w:rPr>
      <w:rFonts w:ascii="Calibri" w:eastAsia="Calibri" w:hAnsi="Calibri" w:cs="Calibri"/>
      <w:sz w:val="21"/>
      <w:szCs w:val="21"/>
      <w:shd w:val="clear" w:color="auto" w:fill="FFFFFF"/>
    </w:rPr>
  </w:style>
  <w:style w:type="paragraph" w:customStyle="1" w:styleId="Leyendadelatabla20">
    <w:name w:val="Leyenda de la tabla (2)"/>
    <w:basedOn w:val="Normal"/>
    <w:link w:val="Leyendadelatabla2"/>
    <w:rsid w:val="009B7907"/>
    <w:pPr>
      <w:widowControl w:val="0"/>
      <w:shd w:val="clear" w:color="auto" w:fill="FFFFFF"/>
      <w:spacing w:line="269" w:lineRule="exact"/>
      <w:jc w:val="center"/>
    </w:pPr>
    <w:rPr>
      <w:rFonts w:ascii="Calibri" w:eastAsia="Calibri" w:hAnsi="Calibri" w:cs="Calibri"/>
      <w:sz w:val="21"/>
      <w:szCs w:val="21"/>
      <w:lang w:val="fr-FR" w:eastAsia="fr-FR"/>
    </w:rPr>
  </w:style>
  <w:style w:type="character" w:customStyle="1" w:styleId="Cuerpodeltexto6">
    <w:name w:val="Cuerpo del texto (6)_"/>
    <w:basedOn w:val="DefaultParagraphFont"/>
    <w:link w:val="Cuerpodeltexto60"/>
    <w:locked/>
    <w:rsid w:val="009B7907"/>
    <w:rPr>
      <w:rFonts w:ascii="Segoe UI" w:eastAsia="Segoe UI" w:hAnsi="Segoe UI" w:cs="Segoe UI"/>
      <w:sz w:val="16"/>
      <w:szCs w:val="16"/>
      <w:shd w:val="clear" w:color="auto" w:fill="FFFFFF"/>
    </w:rPr>
  </w:style>
  <w:style w:type="paragraph" w:customStyle="1" w:styleId="Cuerpodeltexto60">
    <w:name w:val="Cuerpo del texto (6)"/>
    <w:basedOn w:val="Normal"/>
    <w:link w:val="Cuerpodeltexto6"/>
    <w:rsid w:val="009B7907"/>
    <w:pPr>
      <w:widowControl w:val="0"/>
      <w:shd w:val="clear" w:color="auto" w:fill="FFFFFF"/>
      <w:spacing w:before="300" w:after="300" w:line="0" w:lineRule="atLeast"/>
    </w:pPr>
    <w:rPr>
      <w:rFonts w:ascii="Segoe UI" w:eastAsia="Segoe UI" w:hAnsi="Segoe UI" w:cs="Segoe UI"/>
      <w:sz w:val="16"/>
      <w:szCs w:val="16"/>
      <w:lang w:val="fr-FR" w:eastAsia="fr-FR"/>
    </w:rPr>
  </w:style>
  <w:style w:type="character" w:customStyle="1" w:styleId="Ttulo14">
    <w:name w:val="Título #14_"/>
    <w:basedOn w:val="DefaultParagraphFont"/>
    <w:link w:val="Ttulo140"/>
    <w:locked/>
    <w:rsid w:val="009B7907"/>
    <w:rPr>
      <w:rFonts w:ascii="Arial" w:eastAsia="Arial" w:hAnsi="Arial" w:cs="Arial"/>
      <w:b/>
      <w:bCs/>
      <w:shd w:val="clear" w:color="auto" w:fill="FFFFFF"/>
    </w:rPr>
  </w:style>
  <w:style w:type="paragraph" w:customStyle="1" w:styleId="Ttulo140">
    <w:name w:val="Título #14"/>
    <w:basedOn w:val="Normal"/>
    <w:link w:val="Ttulo14"/>
    <w:rsid w:val="009B7907"/>
    <w:pPr>
      <w:widowControl w:val="0"/>
      <w:shd w:val="clear" w:color="auto" w:fill="FFFFFF"/>
      <w:spacing w:before="300" w:after="300" w:line="0" w:lineRule="atLeast"/>
      <w:jc w:val="both"/>
    </w:pPr>
    <w:rPr>
      <w:rFonts w:ascii="Arial" w:eastAsia="Arial" w:hAnsi="Arial" w:cs="Arial"/>
      <w:b/>
      <w:bCs/>
      <w:lang w:val="fr-FR" w:eastAsia="fr-FR"/>
    </w:rPr>
  </w:style>
  <w:style w:type="paragraph" w:customStyle="1" w:styleId="xl68">
    <w:name w:val="xl68"/>
    <w:basedOn w:val="Normal"/>
    <w:uiPriority w:val="99"/>
    <w:rsid w:val="009B7907"/>
    <w:pPr>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69">
    <w:name w:val="xl69"/>
    <w:basedOn w:val="Normal"/>
    <w:uiPriority w:val="99"/>
    <w:rsid w:val="009B7907"/>
    <w:pPr>
      <w:shd w:val="clear" w:color="auto" w:fill="FFFFFF"/>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0">
    <w:name w:val="xl70"/>
    <w:basedOn w:val="Normal"/>
    <w:uiPriority w:val="99"/>
    <w:rsid w:val="009B7907"/>
    <w:pPr>
      <w:shd w:val="clear" w:color="auto" w:fill="FFFFFF"/>
      <w:spacing w:before="100" w:beforeAutospacing="1" w:after="100" w:afterAutospacing="1" w:line="240" w:lineRule="auto"/>
    </w:pPr>
    <w:rPr>
      <w:rFonts w:ascii="Arial" w:eastAsia="Times New Roman" w:hAnsi="Arial" w:cs="Arial"/>
      <w:b/>
      <w:bCs/>
      <w:color w:val="17223D"/>
      <w:lang w:val="es-BO" w:eastAsia="es-BO"/>
    </w:rPr>
  </w:style>
  <w:style w:type="paragraph" w:customStyle="1" w:styleId="xl71">
    <w:name w:val="xl71"/>
    <w:basedOn w:val="Normal"/>
    <w:uiPriority w:val="99"/>
    <w:rsid w:val="009B7907"/>
    <w:pPr>
      <w:shd w:val="clear" w:color="auto" w:fill="FFFFFF"/>
      <w:spacing w:before="100" w:beforeAutospacing="1" w:after="100" w:afterAutospacing="1" w:line="240" w:lineRule="auto"/>
    </w:pPr>
    <w:rPr>
      <w:rFonts w:ascii="Arial" w:eastAsia="Times New Roman" w:hAnsi="Arial" w:cs="Arial"/>
      <w:b/>
      <w:bCs/>
      <w:color w:val="17223D"/>
      <w:lang w:val="es-BO" w:eastAsia="es-BO"/>
    </w:rPr>
  </w:style>
  <w:style w:type="paragraph" w:customStyle="1" w:styleId="xl72">
    <w:name w:val="xl72"/>
    <w:basedOn w:val="Normal"/>
    <w:uiPriority w:val="99"/>
    <w:rsid w:val="009B7907"/>
    <w:pPr>
      <w:pBdr>
        <w:left w:val="single" w:sz="4" w:space="0" w:color="FFFFFF"/>
        <w:bottom w:val="single" w:sz="4" w:space="0" w:color="FFFFFF"/>
        <w:right w:val="single" w:sz="4" w:space="0" w:color="FFFFFF"/>
      </w:pBdr>
      <w:shd w:val="clear" w:color="auto" w:fill="FFFFFF"/>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3">
    <w:name w:val="xl73"/>
    <w:basedOn w:val="Normal"/>
    <w:uiPriority w:val="99"/>
    <w:rsid w:val="009B7907"/>
    <w:pPr>
      <w:pBdr>
        <w:left w:val="single" w:sz="4" w:space="7" w:color="000000"/>
        <w:right w:val="single" w:sz="4" w:space="0" w:color="000000"/>
      </w:pBdr>
      <w:shd w:val="clear" w:color="auto" w:fill="44618C"/>
      <w:spacing w:before="100" w:beforeAutospacing="1" w:after="100" w:afterAutospacing="1" w:line="240" w:lineRule="auto"/>
      <w:ind w:firstLineChars="100" w:firstLine="100"/>
    </w:pPr>
    <w:rPr>
      <w:rFonts w:ascii="Arial" w:eastAsia="Times New Roman" w:hAnsi="Arial" w:cs="Arial"/>
      <w:b/>
      <w:bCs/>
      <w:color w:val="FFFFFF"/>
      <w:sz w:val="18"/>
      <w:szCs w:val="18"/>
      <w:lang w:val="es-BO" w:eastAsia="es-BO"/>
    </w:rPr>
  </w:style>
  <w:style w:type="paragraph" w:customStyle="1" w:styleId="xl74">
    <w:name w:val="xl74"/>
    <w:basedOn w:val="Normal"/>
    <w:uiPriority w:val="99"/>
    <w:rsid w:val="009B7907"/>
    <w:pPr>
      <w:pBdr>
        <w:left w:val="single" w:sz="4" w:space="0" w:color="000000"/>
        <w:right w:val="single" w:sz="4" w:space="0" w:color="000000"/>
      </w:pBdr>
      <w:shd w:val="clear" w:color="auto" w:fill="44618C"/>
      <w:spacing w:before="100" w:beforeAutospacing="1" w:after="100" w:afterAutospacing="1" w:line="240" w:lineRule="auto"/>
      <w:jc w:val="right"/>
    </w:pPr>
    <w:rPr>
      <w:rFonts w:ascii="Arial" w:eastAsia="Times New Roman" w:hAnsi="Arial" w:cs="Arial"/>
      <w:b/>
      <w:bCs/>
      <w:color w:val="FFFFFF"/>
      <w:sz w:val="18"/>
      <w:szCs w:val="18"/>
      <w:lang w:val="es-BO" w:eastAsia="es-BO"/>
    </w:rPr>
  </w:style>
  <w:style w:type="paragraph" w:customStyle="1" w:styleId="xl75">
    <w:name w:val="xl75"/>
    <w:basedOn w:val="Normal"/>
    <w:uiPriority w:val="99"/>
    <w:rsid w:val="009B7907"/>
    <w:pPr>
      <w:pBdr>
        <w:left w:val="single" w:sz="4" w:space="0" w:color="000000"/>
        <w:right w:val="single" w:sz="4" w:space="0" w:color="000000"/>
      </w:pBdr>
      <w:shd w:val="clear" w:color="auto" w:fill="FFFFFF"/>
      <w:spacing w:before="100" w:beforeAutospacing="1" w:after="100" w:afterAutospacing="1" w:line="240" w:lineRule="auto"/>
      <w:jc w:val="right"/>
    </w:pPr>
    <w:rPr>
      <w:rFonts w:ascii="Arial" w:eastAsia="Times New Roman" w:hAnsi="Arial" w:cs="Arial"/>
      <w:b/>
      <w:bCs/>
      <w:sz w:val="18"/>
      <w:szCs w:val="18"/>
      <w:lang w:val="es-BO" w:eastAsia="es-BO"/>
    </w:rPr>
  </w:style>
  <w:style w:type="paragraph" w:customStyle="1" w:styleId="xl76">
    <w:name w:val="xl76"/>
    <w:basedOn w:val="Normal"/>
    <w:uiPriority w:val="99"/>
    <w:rsid w:val="009B7907"/>
    <w:pPr>
      <w:pBdr>
        <w:left w:val="single" w:sz="4" w:space="14" w:color="000000"/>
        <w:right w:val="single" w:sz="4" w:space="0" w:color="000000"/>
      </w:pBdr>
      <w:shd w:val="clear" w:color="auto" w:fill="C5D9F1"/>
      <w:spacing w:before="100" w:beforeAutospacing="1" w:after="100" w:afterAutospacing="1" w:line="240" w:lineRule="auto"/>
      <w:ind w:firstLineChars="200" w:firstLine="200"/>
    </w:pPr>
    <w:rPr>
      <w:rFonts w:ascii="Arial" w:eastAsia="Times New Roman" w:hAnsi="Arial" w:cs="Arial"/>
      <w:b/>
      <w:bCs/>
      <w:sz w:val="18"/>
      <w:szCs w:val="18"/>
      <w:lang w:val="es-BO" w:eastAsia="es-BO"/>
    </w:rPr>
  </w:style>
  <w:style w:type="paragraph" w:customStyle="1" w:styleId="xl77">
    <w:name w:val="xl77"/>
    <w:basedOn w:val="Normal"/>
    <w:uiPriority w:val="99"/>
    <w:rsid w:val="009B7907"/>
    <w:pPr>
      <w:pBdr>
        <w:left w:val="single" w:sz="4" w:space="0" w:color="000000"/>
        <w:right w:val="single" w:sz="4" w:space="0" w:color="000000"/>
      </w:pBdr>
      <w:shd w:val="clear" w:color="auto" w:fill="C5D9F1"/>
      <w:spacing w:before="100" w:beforeAutospacing="1" w:after="100" w:afterAutospacing="1" w:line="240" w:lineRule="auto"/>
      <w:jc w:val="right"/>
    </w:pPr>
    <w:rPr>
      <w:rFonts w:ascii="Arial" w:eastAsia="Times New Roman" w:hAnsi="Arial" w:cs="Arial"/>
      <w:b/>
      <w:bCs/>
      <w:sz w:val="18"/>
      <w:szCs w:val="18"/>
      <w:lang w:val="es-BO" w:eastAsia="es-BO"/>
    </w:rPr>
  </w:style>
  <w:style w:type="paragraph" w:customStyle="1" w:styleId="xl78">
    <w:name w:val="xl78"/>
    <w:basedOn w:val="Normal"/>
    <w:uiPriority w:val="99"/>
    <w:rsid w:val="009B7907"/>
    <w:pPr>
      <w:pBdr>
        <w:left w:val="single" w:sz="4" w:space="20" w:color="000000"/>
        <w:right w:val="single" w:sz="4" w:space="0" w:color="000000"/>
      </w:pBdr>
      <w:shd w:val="clear" w:color="auto" w:fill="FFFFFF"/>
      <w:spacing w:before="100" w:beforeAutospacing="1" w:after="100" w:afterAutospacing="1" w:line="240" w:lineRule="auto"/>
      <w:ind w:firstLineChars="300" w:firstLine="300"/>
    </w:pPr>
    <w:rPr>
      <w:rFonts w:ascii="Arial" w:eastAsia="Times New Roman" w:hAnsi="Arial" w:cs="Arial"/>
      <w:b/>
      <w:bCs/>
      <w:sz w:val="18"/>
      <w:szCs w:val="18"/>
      <w:lang w:val="es-BO" w:eastAsia="es-BO"/>
    </w:rPr>
  </w:style>
  <w:style w:type="paragraph" w:customStyle="1" w:styleId="xl79">
    <w:name w:val="xl79"/>
    <w:basedOn w:val="Normal"/>
    <w:uiPriority w:val="99"/>
    <w:rsid w:val="009B7907"/>
    <w:pPr>
      <w:pBdr>
        <w:left w:val="single" w:sz="4" w:space="27" w:color="000000"/>
        <w:right w:val="single" w:sz="4" w:space="0" w:color="000000"/>
      </w:pBdr>
      <w:shd w:val="clear" w:color="auto" w:fill="FFFFFF"/>
      <w:spacing w:before="100" w:beforeAutospacing="1" w:after="100" w:afterAutospacing="1" w:line="240" w:lineRule="auto"/>
      <w:ind w:firstLineChars="400" w:firstLine="400"/>
    </w:pPr>
    <w:rPr>
      <w:rFonts w:ascii="Arial" w:eastAsia="Times New Roman" w:hAnsi="Arial" w:cs="Arial"/>
      <w:sz w:val="18"/>
      <w:szCs w:val="18"/>
      <w:lang w:val="es-BO" w:eastAsia="es-BO"/>
    </w:rPr>
  </w:style>
  <w:style w:type="paragraph" w:customStyle="1" w:styleId="xl80">
    <w:name w:val="xl80"/>
    <w:basedOn w:val="Normal"/>
    <w:uiPriority w:val="99"/>
    <w:rsid w:val="009B7907"/>
    <w:pPr>
      <w:pBdr>
        <w:left w:val="single" w:sz="4" w:space="0" w:color="000000"/>
        <w:right w:val="single" w:sz="4" w:space="0" w:color="000000"/>
      </w:pBdr>
      <w:shd w:val="clear" w:color="auto" w:fill="FFFFFF"/>
      <w:spacing w:before="100" w:beforeAutospacing="1" w:after="100" w:afterAutospacing="1" w:line="240" w:lineRule="auto"/>
      <w:jc w:val="right"/>
    </w:pPr>
    <w:rPr>
      <w:rFonts w:ascii="Arial" w:eastAsia="Times New Roman" w:hAnsi="Arial" w:cs="Arial"/>
      <w:sz w:val="18"/>
      <w:szCs w:val="18"/>
      <w:lang w:val="es-BO" w:eastAsia="es-BO"/>
    </w:rPr>
  </w:style>
  <w:style w:type="paragraph" w:customStyle="1" w:styleId="xl81">
    <w:name w:val="xl81"/>
    <w:basedOn w:val="Normal"/>
    <w:uiPriority w:val="99"/>
    <w:rsid w:val="009B7907"/>
    <w:pPr>
      <w:pBdr>
        <w:left w:val="single" w:sz="4" w:space="20" w:color="000000"/>
        <w:right w:val="single" w:sz="4" w:space="0" w:color="000000"/>
      </w:pBdr>
      <w:shd w:val="clear" w:color="auto" w:fill="FFFFFF"/>
      <w:spacing w:before="100" w:beforeAutospacing="1" w:after="100" w:afterAutospacing="1" w:line="240" w:lineRule="auto"/>
      <w:ind w:firstLineChars="300" w:firstLine="300"/>
    </w:pPr>
    <w:rPr>
      <w:rFonts w:ascii="Arial" w:eastAsia="Times New Roman" w:hAnsi="Arial" w:cs="Arial"/>
      <w:b/>
      <w:bCs/>
      <w:sz w:val="18"/>
      <w:szCs w:val="18"/>
      <w:lang w:val="es-BO" w:eastAsia="es-BO"/>
    </w:rPr>
  </w:style>
  <w:style w:type="paragraph" w:customStyle="1" w:styleId="xl82">
    <w:name w:val="xl82"/>
    <w:basedOn w:val="Normal"/>
    <w:uiPriority w:val="99"/>
    <w:rsid w:val="009B7907"/>
    <w:pPr>
      <w:pBdr>
        <w:left w:val="single" w:sz="4" w:space="27" w:color="000000"/>
        <w:bottom w:val="single" w:sz="4" w:space="0" w:color="000000"/>
        <w:right w:val="single" w:sz="4" w:space="0" w:color="000000"/>
      </w:pBdr>
      <w:shd w:val="clear" w:color="auto" w:fill="FFFFFF"/>
      <w:spacing w:before="100" w:beforeAutospacing="1" w:after="100" w:afterAutospacing="1" w:line="240" w:lineRule="auto"/>
      <w:ind w:firstLineChars="400" w:firstLine="400"/>
    </w:pPr>
    <w:rPr>
      <w:rFonts w:ascii="Arial" w:eastAsia="Times New Roman" w:hAnsi="Arial" w:cs="Arial"/>
      <w:sz w:val="18"/>
      <w:szCs w:val="18"/>
      <w:lang w:val="es-BO" w:eastAsia="es-BO"/>
    </w:rPr>
  </w:style>
  <w:style w:type="paragraph" w:customStyle="1" w:styleId="xl83">
    <w:name w:val="xl83"/>
    <w:basedOn w:val="Normal"/>
    <w:uiPriority w:val="99"/>
    <w:rsid w:val="009B7907"/>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Arial" w:eastAsia="Times New Roman" w:hAnsi="Arial" w:cs="Arial"/>
      <w:sz w:val="18"/>
      <w:szCs w:val="18"/>
      <w:lang w:val="es-BO" w:eastAsia="es-BO"/>
    </w:rPr>
  </w:style>
  <w:style w:type="paragraph" w:customStyle="1" w:styleId="xl84">
    <w:name w:val="xl84"/>
    <w:basedOn w:val="Normal"/>
    <w:uiPriority w:val="99"/>
    <w:rsid w:val="009B7907"/>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85">
    <w:name w:val="xl85"/>
    <w:basedOn w:val="Normal"/>
    <w:uiPriority w:val="99"/>
    <w:rsid w:val="009B7907"/>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86">
    <w:name w:val="xl86"/>
    <w:basedOn w:val="Normal"/>
    <w:uiPriority w:val="99"/>
    <w:rsid w:val="009B7907"/>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87">
    <w:name w:val="xl87"/>
    <w:basedOn w:val="Normal"/>
    <w:uiPriority w:val="99"/>
    <w:rsid w:val="009B7907"/>
    <w:pPr>
      <w:pBdr>
        <w:left w:val="single" w:sz="4" w:space="7" w:color="000000"/>
        <w:right w:val="single" w:sz="4" w:space="0" w:color="000000"/>
      </w:pBdr>
      <w:shd w:val="clear" w:color="auto" w:fill="FFFFFF"/>
      <w:spacing w:before="100" w:beforeAutospacing="1" w:after="100" w:afterAutospacing="1" w:line="240" w:lineRule="auto"/>
      <w:ind w:firstLineChars="100" w:firstLine="100"/>
    </w:pPr>
    <w:rPr>
      <w:rFonts w:ascii="Arial" w:eastAsia="Times New Roman" w:hAnsi="Arial" w:cs="Arial"/>
      <w:b/>
      <w:bCs/>
      <w:color w:val="FFFFFF"/>
      <w:sz w:val="18"/>
      <w:szCs w:val="18"/>
      <w:lang w:val="es-BO" w:eastAsia="es-BO"/>
    </w:rPr>
  </w:style>
  <w:style w:type="paragraph" w:customStyle="1" w:styleId="xl88">
    <w:name w:val="xl88"/>
    <w:basedOn w:val="Normal"/>
    <w:uiPriority w:val="99"/>
    <w:rsid w:val="009B7907"/>
    <w:pPr>
      <w:pBdr>
        <w:left w:val="single" w:sz="4" w:space="0" w:color="000000"/>
        <w:right w:val="single" w:sz="4" w:space="0" w:color="000000"/>
      </w:pBdr>
      <w:shd w:val="clear" w:color="auto" w:fill="FFFFFF"/>
      <w:spacing w:before="100" w:beforeAutospacing="1" w:after="100" w:afterAutospacing="1" w:line="240" w:lineRule="auto"/>
      <w:jc w:val="right"/>
    </w:pPr>
    <w:rPr>
      <w:rFonts w:ascii="Arial" w:eastAsia="Times New Roman" w:hAnsi="Arial" w:cs="Arial"/>
      <w:b/>
      <w:bCs/>
      <w:color w:val="FFFFFF"/>
      <w:sz w:val="18"/>
      <w:szCs w:val="18"/>
      <w:lang w:val="es-BO" w:eastAsia="es-BO"/>
    </w:rPr>
  </w:style>
  <w:style w:type="paragraph" w:customStyle="1" w:styleId="xl89">
    <w:name w:val="xl89"/>
    <w:basedOn w:val="Normal"/>
    <w:uiPriority w:val="99"/>
    <w:rsid w:val="009B7907"/>
    <w:pPr>
      <w:pBdr>
        <w:top w:val="single" w:sz="4" w:space="0" w:color="FFFFFF"/>
        <w:right w:val="single" w:sz="4" w:space="0" w:color="000000"/>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0">
    <w:name w:val="xl90"/>
    <w:basedOn w:val="Normal"/>
    <w:uiPriority w:val="99"/>
    <w:rsid w:val="009B7907"/>
    <w:pPr>
      <w:pBdr>
        <w:top w:val="single" w:sz="4" w:space="0" w:color="FFFFFF"/>
        <w:left w:val="single" w:sz="4" w:space="0" w:color="000000"/>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1">
    <w:name w:val="xl91"/>
    <w:basedOn w:val="Normal"/>
    <w:uiPriority w:val="99"/>
    <w:rsid w:val="009B7907"/>
    <w:pPr>
      <w:pBdr>
        <w:top w:val="single" w:sz="4" w:space="0" w:color="FFFFFF"/>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2">
    <w:name w:val="xl92"/>
    <w:basedOn w:val="Normal"/>
    <w:uiPriority w:val="99"/>
    <w:rsid w:val="009B7907"/>
    <w:pPr>
      <w:pBdr>
        <w:top w:val="single" w:sz="4" w:space="0" w:color="FFFFFF"/>
        <w:left w:val="single" w:sz="4" w:space="0" w:color="FFFFFF"/>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3">
    <w:name w:val="xl93"/>
    <w:basedOn w:val="Normal"/>
    <w:uiPriority w:val="99"/>
    <w:rsid w:val="009B7907"/>
    <w:pPr>
      <w:pBdr>
        <w:top w:val="single" w:sz="4" w:space="0" w:color="FFFFFF"/>
        <w:left w:val="single" w:sz="4" w:space="0" w:color="FFFFFF"/>
        <w:right w:val="single" w:sz="4" w:space="0" w:color="FFFFFF"/>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4">
    <w:name w:val="xl94"/>
    <w:basedOn w:val="Normal"/>
    <w:uiPriority w:val="99"/>
    <w:rsid w:val="009B7907"/>
    <w:pPr>
      <w:pBdr>
        <w:left w:val="single" w:sz="4" w:space="0" w:color="000000"/>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5">
    <w:name w:val="xl95"/>
    <w:basedOn w:val="Normal"/>
    <w:uiPriority w:val="99"/>
    <w:rsid w:val="009B7907"/>
    <w:pPr>
      <w:shd w:val="clear" w:color="auto" w:fill="FFFFFF"/>
      <w:spacing w:before="100" w:beforeAutospacing="1" w:after="100" w:afterAutospacing="1" w:line="240" w:lineRule="auto"/>
    </w:pPr>
    <w:rPr>
      <w:rFonts w:ascii="Arial" w:eastAsia="Times New Roman" w:hAnsi="Arial" w:cs="Arial"/>
      <w:b/>
      <w:bCs/>
      <w:color w:val="17223D"/>
      <w:lang w:val="es-BO" w:eastAsia="es-BO"/>
    </w:rPr>
  </w:style>
  <w:style w:type="paragraph" w:customStyle="1" w:styleId="xl96">
    <w:name w:val="xl96"/>
    <w:basedOn w:val="Normal"/>
    <w:uiPriority w:val="99"/>
    <w:rsid w:val="009B7907"/>
    <w:pPr>
      <w:pBdr>
        <w:left w:val="single" w:sz="4" w:space="0" w:color="FFFFFF"/>
        <w:right w:val="single" w:sz="4" w:space="0" w:color="FFFFFF"/>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7">
    <w:name w:val="xl97"/>
    <w:basedOn w:val="Normal"/>
    <w:uiPriority w:val="99"/>
    <w:rsid w:val="009B7907"/>
    <w:pPr>
      <w:pBdr>
        <w:right w:val="single" w:sz="4" w:space="0" w:color="000000"/>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8">
    <w:name w:val="xl98"/>
    <w:basedOn w:val="Normal"/>
    <w:uiPriority w:val="99"/>
    <w:rsid w:val="009B7907"/>
    <w:pPr>
      <w:pBdr>
        <w:left w:val="single" w:sz="4" w:space="0" w:color="000000"/>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99">
    <w:name w:val="xl99"/>
    <w:basedOn w:val="Normal"/>
    <w:uiPriority w:val="99"/>
    <w:rsid w:val="009B7907"/>
    <w:pPr>
      <w:pBdr>
        <w:right w:val="single" w:sz="4" w:space="0" w:color="000000"/>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100">
    <w:name w:val="xl100"/>
    <w:basedOn w:val="Normal"/>
    <w:uiPriority w:val="99"/>
    <w:rsid w:val="009B7907"/>
    <w:pPr>
      <w:pBdr>
        <w:left w:val="single" w:sz="4" w:space="0" w:color="000000"/>
        <w:right w:val="single" w:sz="4" w:space="0" w:color="000000"/>
      </w:pBdr>
      <w:shd w:val="clear" w:color="auto" w:fill="17223D"/>
      <w:spacing w:before="100" w:beforeAutospacing="1" w:after="100" w:afterAutospacing="1" w:line="240" w:lineRule="auto"/>
      <w:jc w:val="center"/>
    </w:pPr>
    <w:rPr>
      <w:rFonts w:ascii="Arial" w:eastAsia="Times New Roman" w:hAnsi="Arial" w:cs="Arial"/>
      <w:b/>
      <w:bCs/>
      <w:color w:val="FFFFFF"/>
      <w:sz w:val="18"/>
      <w:szCs w:val="18"/>
      <w:lang w:val="es-BO" w:eastAsia="es-BO"/>
    </w:rPr>
  </w:style>
  <w:style w:type="paragraph" w:customStyle="1" w:styleId="xl65">
    <w:name w:val="xl65"/>
    <w:basedOn w:val="Normal"/>
    <w:uiPriority w:val="99"/>
    <w:rsid w:val="009B7907"/>
    <w:pPr>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66">
    <w:name w:val="xl66"/>
    <w:basedOn w:val="Normal"/>
    <w:uiPriority w:val="99"/>
    <w:rsid w:val="009B7907"/>
    <w:pPr>
      <w:pBdr>
        <w:left w:val="single" w:sz="4" w:space="0" w:color="FFFFFF"/>
        <w:right w:val="single" w:sz="4" w:space="0" w:color="FFFFFF"/>
      </w:pBdr>
      <w:shd w:val="clear" w:color="auto" w:fill="17223D"/>
      <w:spacing w:before="100" w:beforeAutospacing="1" w:after="100" w:afterAutospacing="1" w:line="240" w:lineRule="auto"/>
      <w:jc w:val="center"/>
    </w:pPr>
    <w:rPr>
      <w:rFonts w:ascii="Arial" w:eastAsia="Times New Roman" w:hAnsi="Arial" w:cs="Arial"/>
      <w:b/>
      <w:bCs/>
      <w:color w:val="FFFFFF"/>
      <w:lang w:val="es-BO" w:eastAsia="es-BO"/>
    </w:rPr>
  </w:style>
  <w:style w:type="paragraph" w:customStyle="1" w:styleId="xl67">
    <w:name w:val="xl67"/>
    <w:basedOn w:val="Normal"/>
    <w:uiPriority w:val="99"/>
    <w:rsid w:val="009B7907"/>
    <w:pPr>
      <w:pBdr>
        <w:left w:val="single" w:sz="4" w:space="0" w:color="FFFFFF"/>
        <w:right w:val="single" w:sz="4" w:space="0" w:color="FFFFFF"/>
      </w:pBdr>
      <w:shd w:val="clear" w:color="auto" w:fill="17223D"/>
      <w:spacing w:before="100" w:beforeAutospacing="1" w:after="100" w:afterAutospacing="1" w:line="240" w:lineRule="auto"/>
      <w:jc w:val="center"/>
    </w:pPr>
    <w:rPr>
      <w:rFonts w:ascii="Arial" w:eastAsia="Times New Roman" w:hAnsi="Arial" w:cs="Arial"/>
      <w:b/>
      <w:bCs/>
      <w:color w:val="FFFFFF"/>
      <w:lang w:val="es-BO" w:eastAsia="es-BO"/>
    </w:rPr>
  </w:style>
  <w:style w:type="character" w:customStyle="1" w:styleId="Leyendadelatabla3">
    <w:name w:val="Leyenda de la tabla (3)_"/>
    <w:basedOn w:val="DefaultParagraphFont"/>
    <w:link w:val="Leyendadelatabla30"/>
    <w:locked/>
    <w:rsid w:val="009B7907"/>
    <w:rPr>
      <w:rFonts w:ascii="Candara" w:eastAsia="Candara" w:hAnsi="Candara" w:cs="Candara"/>
      <w:b/>
      <w:bCs/>
      <w:sz w:val="16"/>
      <w:szCs w:val="16"/>
      <w:shd w:val="clear" w:color="auto" w:fill="FFFFFF"/>
    </w:rPr>
  </w:style>
  <w:style w:type="paragraph" w:customStyle="1" w:styleId="Leyendadelatabla30">
    <w:name w:val="Leyenda de la tabla (3)"/>
    <w:basedOn w:val="Normal"/>
    <w:link w:val="Leyendadelatabla3"/>
    <w:rsid w:val="009B7907"/>
    <w:pPr>
      <w:widowControl w:val="0"/>
      <w:shd w:val="clear" w:color="auto" w:fill="FFFFFF"/>
      <w:spacing w:line="230" w:lineRule="exact"/>
      <w:jc w:val="center"/>
    </w:pPr>
    <w:rPr>
      <w:rFonts w:ascii="Candara" w:eastAsia="Candara" w:hAnsi="Candara" w:cs="Candara"/>
      <w:b/>
      <w:bCs/>
      <w:sz w:val="16"/>
      <w:szCs w:val="16"/>
      <w:lang w:val="fr-FR" w:eastAsia="fr-FR"/>
    </w:rPr>
  </w:style>
  <w:style w:type="character" w:customStyle="1" w:styleId="Leyendadelatabla4">
    <w:name w:val="Leyenda de la tabla (4)_"/>
    <w:basedOn w:val="DefaultParagraphFont"/>
    <w:link w:val="Leyendadelatabla40"/>
    <w:locked/>
    <w:rsid w:val="009B7907"/>
    <w:rPr>
      <w:rFonts w:ascii="Arial" w:eastAsia="Arial" w:hAnsi="Arial" w:cs="Arial"/>
      <w:sz w:val="18"/>
      <w:szCs w:val="18"/>
      <w:shd w:val="clear" w:color="auto" w:fill="FFFFFF"/>
    </w:rPr>
  </w:style>
  <w:style w:type="paragraph" w:customStyle="1" w:styleId="Leyendadelatabla40">
    <w:name w:val="Leyenda de la tabla (4)"/>
    <w:basedOn w:val="Normal"/>
    <w:link w:val="Leyendadelatabla4"/>
    <w:rsid w:val="009B7907"/>
    <w:pPr>
      <w:widowControl w:val="0"/>
      <w:shd w:val="clear" w:color="auto" w:fill="FFFFFF"/>
      <w:spacing w:line="0" w:lineRule="atLeast"/>
      <w:jc w:val="center"/>
    </w:pPr>
    <w:rPr>
      <w:rFonts w:ascii="Arial" w:eastAsia="Arial" w:hAnsi="Arial" w:cs="Arial"/>
      <w:sz w:val="18"/>
      <w:szCs w:val="18"/>
      <w:lang w:val="fr-FR" w:eastAsia="fr-FR"/>
    </w:rPr>
  </w:style>
  <w:style w:type="character" w:customStyle="1" w:styleId="Leyendadelatabla5">
    <w:name w:val="Leyenda de la tabla (5)_"/>
    <w:basedOn w:val="DefaultParagraphFont"/>
    <w:link w:val="Leyendadelatabla50"/>
    <w:locked/>
    <w:rsid w:val="009B7907"/>
    <w:rPr>
      <w:rFonts w:ascii="Arial" w:eastAsia="Arial" w:hAnsi="Arial" w:cs="Arial"/>
      <w:sz w:val="14"/>
      <w:szCs w:val="14"/>
      <w:shd w:val="clear" w:color="auto" w:fill="FFFFFF"/>
    </w:rPr>
  </w:style>
  <w:style w:type="paragraph" w:customStyle="1" w:styleId="Leyendadelatabla50">
    <w:name w:val="Leyenda de la tabla (5)"/>
    <w:basedOn w:val="Normal"/>
    <w:link w:val="Leyendadelatabla5"/>
    <w:rsid w:val="009B7907"/>
    <w:pPr>
      <w:widowControl w:val="0"/>
      <w:shd w:val="clear" w:color="auto" w:fill="FFFFFF"/>
      <w:spacing w:line="206" w:lineRule="exact"/>
    </w:pPr>
    <w:rPr>
      <w:rFonts w:ascii="Arial" w:eastAsia="Arial" w:hAnsi="Arial" w:cs="Arial"/>
      <w:sz w:val="14"/>
      <w:szCs w:val="14"/>
      <w:lang w:val="fr-FR" w:eastAsia="fr-FR"/>
    </w:rPr>
  </w:style>
  <w:style w:type="character" w:customStyle="1" w:styleId="Cuerpodeltexto4">
    <w:name w:val="Cuerpo del texto (4)_"/>
    <w:basedOn w:val="DefaultParagraphFont"/>
    <w:link w:val="Cuerpodeltexto40"/>
    <w:locked/>
    <w:rsid w:val="009B7907"/>
    <w:rPr>
      <w:rFonts w:ascii="Arial" w:eastAsia="Arial" w:hAnsi="Arial" w:cs="Arial"/>
      <w:sz w:val="18"/>
      <w:szCs w:val="18"/>
      <w:shd w:val="clear" w:color="auto" w:fill="FFFFFF"/>
    </w:rPr>
  </w:style>
  <w:style w:type="paragraph" w:customStyle="1" w:styleId="Cuerpodeltexto40">
    <w:name w:val="Cuerpo del texto (4)"/>
    <w:basedOn w:val="Normal"/>
    <w:link w:val="Cuerpodeltexto4"/>
    <w:rsid w:val="009B7907"/>
    <w:pPr>
      <w:widowControl w:val="0"/>
      <w:shd w:val="clear" w:color="auto" w:fill="FFFFFF"/>
      <w:spacing w:line="264" w:lineRule="exact"/>
      <w:ind w:hanging="500"/>
      <w:jc w:val="both"/>
    </w:pPr>
    <w:rPr>
      <w:rFonts w:ascii="Arial" w:eastAsia="Arial" w:hAnsi="Arial" w:cs="Arial"/>
      <w:sz w:val="18"/>
      <w:szCs w:val="18"/>
      <w:lang w:val="fr-FR" w:eastAsia="fr-FR"/>
    </w:rPr>
  </w:style>
  <w:style w:type="character" w:customStyle="1" w:styleId="Notaalpie">
    <w:name w:val="Nota al pie_"/>
    <w:basedOn w:val="DefaultParagraphFont"/>
    <w:link w:val="Notaalpie0"/>
    <w:locked/>
    <w:rsid w:val="009B7907"/>
    <w:rPr>
      <w:shd w:val="clear" w:color="auto" w:fill="FFFFFF"/>
    </w:rPr>
  </w:style>
  <w:style w:type="paragraph" w:customStyle="1" w:styleId="Notaalpie0">
    <w:name w:val="Nota al pie"/>
    <w:basedOn w:val="Normal"/>
    <w:link w:val="Notaalpie"/>
    <w:rsid w:val="009B7907"/>
    <w:pPr>
      <w:widowControl w:val="0"/>
      <w:shd w:val="clear" w:color="auto" w:fill="FFFFFF"/>
      <w:spacing w:line="0" w:lineRule="atLeast"/>
      <w:jc w:val="both"/>
    </w:pPr>
    <w:rPr>
      <w:rFonts w:eastAsia="Times New Roman"/>
      <w:lang w:val="fr-FR" w:eastAsia="fr-FR"/>
    </w:rPr>
  </w:style>
  <w:style w:type="character" w:customStyle="1" w:styleId="Cuerpodeltexto11">
    <w:name w:val="Cuerpo del texto (11)_"/>
    <w:basedOn w:val="DefaultParagraphFont"/>
    <w:link w:val="Cuerpodeltexto110"/>
    <w:locked/>
    <w:rsid w:val="009B7907"/>
    <w:rPr>
      <w:rFonts w:ascii="Arial" w:eastAsia="Arial" w:hAnsi="Arial" w:cs="Arial"/>
      <w:i/>
      <w:iCs/>
      <w:sz w:val="21"/>
      <w:szCs w:val="21"/>
      <w:shd w:val="clear" w:color="auto" w:fill="FFFFFF"/>
    </w:rPr>
  </w:style>
  <w:style w:type="paragraph" w:customStyle="1" w:styleId="Cuerpodeltexto110">
    <w:name w:val="Cuerpo del texto (11)"/>
    <w:basedOn w:val="Normal"/>
    <w:link w:val="Cuerpodeltexto11"/>
    <w:rsid w:val="009B7907"/>
    <w:pPr>
      <w:widowControl w:val="0"/>
      <w:shd w:val="clear" w:color="auto" w:fill="FFFFFF"/>
      <w:spacing w:before="180" w:after="180" w:line="254" w:lineRule="exact"/>
      <w:ind w:hanging="380"/>
      <w:jc w:val="both"/>
    </w:pPr>
    <w:rPr>
      <w:rFonts w:ascii="Arial" w:eastAsia="Arial" w:hAnsi="Arial" w:cs="Arial"/>
      <w:i/>
      <w:iCs/>
      <w:sz w:val="21"/>
      <w:szCs w:val="21"/>
      <w:lang w:val="fr-FR" w:eastAsia="fr-FR"/>
    </w:rPr>
  </w:style>
  <w:style w:type="character" w:customStyle="1" w:styleId="Leyendadelaimagen2Exact">
    <w:name w:val="Leyenda de la imagen (2) Exact"/>
    <w:basedOn w:val="DefaultParagraphFont"/>
    <w:link w:val="Leyendadelaimagen2"/>
    <w:locked/>
    <w:rsid w:val="009B7907"/>
    <w:rPr>
      <w:rFonts w:ascii="Franklin Gothic Heavy" w:eastAsia="Franklin Gothic Heavy" w:hAnsi="Franklin Gothic Heavy" w:cs="Franklin Gothic Heavy"/>
      <w:sz w:val="14"/>
      <w:szCs w:val="14"/>
      <w:shd w:val="clear" w:color="auto" w:fill="FFFFFF"/>
    </w:rPr>
  </w:style>
  <w:style w:type="paragraph" w:customStyle="1" w:styleId="Leyendadelaimagen2">
    <w:name w:val="Leyenda de la imagen (2)"/>
    <w:basedOn w:val="Normal"/>
    <w:link w:val="Leyendadelaimagen2Exact"/>
    <w:rsid w:val="009B7907"/>
    <w:pPr>
      <w:widowControl w:val="0"/>
      <w:shd w:val="clear" w:color="auto" w:fill="FFFFFF"/>
      <w:spacing w:line="0" w:lineRule="atLeast"/>
    </w:pPr>
    <w:rPr>
      <w:rFonts w:ascii="Franklin Gothic Heavy" w:eastAsia="Franklin Gothic Heavy" w:hAnsi="Franklin Gothic Heavy" w:cs="Franklin Gothic Heavy"/>
      <w:sz w:val="14"/>
      <w:szCs w:val="14"/>
      <w:lang w:val="fr-FR" w:eastAsia="fr-FR"/>
    </w:rPr>
  </w:style>
  <w:style w:type="character" w:customStyle="1" w:styleId="Leyendadelaimagen3Exact">
    <w:name w:val="Leyenda de la imagen (3) Exact"/>
    <w:basedOn w:val="DefaultParagraphFont"/>
    <w:link w:val="Leyendadelaimagen3"/>
    <w:locked/>
    <w:rsid w:val="009B7907"/>
    <w:rPr>
      <w:rFonts w:ascii="Franklin Gothic Heavy" w:eastAsia="Franklin Gothic Heavy" w:hAnsi="Franklin Gothic Heavy" w:cs="Franklin Gothic Heavy"/>
      <w:sz w:val="28"/>
      <w:szCs w:val="28"/>
      <w:shd w:val="clear" w:color="auto" w:fill="FFFFFF"/>
    </w:rPr>
  </w:style>
  <w:style w:type="paragraph" w:customStyle="1" w:styleId="Leyendadelaimagen3">
    <w:name w:val="Leyenda de la imagen (3)"/>
    <w:basedOn w:val="Normal"/>
    <w:link w:val="Leyendadelaimagen3Exact"/>
    <w:rsid w:val="009B7907"/>
    <w:pPr>
      <w:widowControl w:val="0"/>
      <w:shd w:val="clear" w:color="auto" w:fill="FFFFFF"/>
      <w:spacing w:line="0" w:lineRule="atLeast"/>
    </w:pPr>
    <w:rPr>
      <w:rFonts w:ascii="Franklin Gothic Heavy" w:eastAsia="Franklin Gothic Heavy" w:hAnsi="Franklin Gothic Heavy" w:cs="Franklin Gothic Heavy"/>
      <w:sz w:val="28"/>
      <w:szCs w:val="28"/>
      <w:lang w:val="fr-FR" w:eastAsia="fr-FR"/>
    </w:rPr>
  </w:style>
  <w:style w:type="character" w:customStyle="1" w:styleId="Cuerpodeltexto8">
    <w:name w:val="Cuerpo del texto (8)_"/>
    <w:basedOn w:val="DefaultParagraphFont"/>
    <w:link w:val="Cuerpodeltexto80"/>
    <w:locked/>
    <w:rsid w:val="009B7907"/>
    <w:rPr>
      <w:b/>
      <w:bCs/>
      <w:spacing w:val="-10"/>
      <w:sz w:val="19"/>
      <w:szCs w:val="19"/>
      <w:shd w:val="clear" w:color="auto" w:fill="FFFFFF"/>
    </w:rPr>
  </w:style>
  <w:style w:type="paragraph" w:customStyle="1" w:styleId="Cuerpodeltexto80">
    <w:name w:val="Cuerpo del texto (8)"/>
    <w:basedOn w:val="Normal"/>
    <w:link w:val="Cuerpodeltexto8"/>
    <w:rsid w:val="009B7907"/>
    <w:pPr>
      <w:widowControl w:val="0"/>
      <w:shd w:val="clear" w:color="auto" w:fill="FFFFFF"/>
      <w:spacing w:before="360" w:after="360" w:line="192" w:lineRule="exact"/>
    </w:pPr>
    <w:rPr>
      <w:rFonts w:eastAsia="Times New Roman"/>
      <w:b/>
      <w:bCs/>
      <w:spacing w:val="-10"/>
      <w:sz w:val="19"/>
      <w:szCs w:val="19"/>
      <w:lang w:val="fr-FR" w:eastAsia="fr-FR"/>
    </w:rPr>
  </w:style>
  <w:style w:type="character" w:customStyle="1" w:styleId="Ttulo6Exact">
    <w:name w:val="Título #6 Exact"/>
    <w:basedOn w:val="DefaultParagraphFont"/>
    <w:link w:val="Ttulo6"/>
    <w:locked/>
    <w:rsid w:val="009B7907"/>
    <w:rPr>
      <w:sz w:val="38"/>
      <w:szCs w:val="38"/>
      <w:shd w:val="clear" w:color="auto" w:fill="FFFFFF"/>
    </w:rPr>
  </w:style>
  <w:style w:type="paragraph" w:customStyle="1" w:styleId="Ttulo6">
    <w:name w:val="Título #6"/>
    <w:basedOn w:val="Normal"/>
    <w:link w:val="Ttulo6Exact"/>
    <w:rsid w:val="009B7907"/>
    <w:pPr>
      <w:widowControl w:val="0"/>
      <w:shd w:val="clear" w:color="auto" w:fill="FFFFFF"/>
      <w:spacing w:line="0" w:lineRule="atLeast"/>
      <w:outlineLvl w:val="5"/>
    </w:pPr>
    <w:rPr>
      <w:rFonts w:eastAsia="Times New Roman"/>
      <w:sz w:val="38"/>
      <w:szCs w:val="38"/>
      <w:lang w:val="fr-FR" w:eastAsia="fr-FR"/>
    </w:rPr>
  </w:style>
  <w:style w:type="character" w:customStyle="1" w:styleId="Cuerpodeltexto17">
    <w:name w:val="Cuerpo del texto (17)_"/>
    <w:basedOn w:val="DefaultParagraphFont"/>
    <w:link w:val="Cuerpodeltexto170"/>
    <w:locked/>
    <w:rsid w:val="009B7907"/>
    <w:rPr>
      <w:rFonts w:ascii="Arial" w:eastAsia="Arial" w:hAnsi="Arial" w:cs="Arial"/>
      <w:sz w:val="10"/>
      <w:szCs w:val="10"/>
      <w:shd w:val="clear" w:color="auto" w:fill="FFFFFF"/>
    </w:rPr>
  </w:style>
  <w:style w:type="paragraph" w:customStyle="1" w:styleId="Cuerpodeltexto170">
    <w:name w:val="Cuerpo del texto (17)"/>
    <w:basedOn w:val="Normal"/>
    <w:link w:val="Cuerpodeltexto17"/>
    <w:rsid w:val="009B7907"/>
    <w:pPr>
      <w:widowControl w:val="0"/>
      <w:shd w:val="clear" w:color="auto" w:fill="FFFFFF"/>
      <w:spacing w:line="149" w:lineRule="exact"/>
      <w:jc w:val="both"/>
    </w:pPr>
    <w:rPr>
      <w:rFonts w:ascii="Arial" w:eastAsia="Arial" w:hAnsi="Arial" w:cs="Arial"/>
      <w:sz w:val="10"/>
      <w:szCs w:val="10"/>
      <w:lang w:val="fr-FR" w:eastAsia="fr-FR"/>
    </w:rPr>
  </w:style>
  <w:style w:type="character" w:customStyle="1" w:styleId="Cuerpodeltexto19Exact">
    <w:name w:val="Cuerpo del texto (19) Exact"/>
    <w:basedOn w:val="DefaultParagraphFont"/>
    <w:link w:val="Cuerpodeltexto19"/>
    <w:locked/>
    <w:rsid w:val="009B7907"/>
    <w:rPr>
      <w:i/>
      <w:iCs/>
      <w:sz w:val="74"/>
      <w:szCs w:val="74"/>
      <w:shd w:val="clear" w:color="auto" w:fill="FFFFFF"/>
    </w:rPr>
  </w:style>
  <w:style w:type="paragraph" w:customStyle="1" w:styleId="Cuerpodeltexto19">
    <w:name w:val="Cuerpo del texto (19)"/>
    <w:basedOn w:val="Normal"/>
    <w:link w:val="Cuerpodeltexto19Exact"/>
    <w:rsid w:val="009B7907"/>
    <w:pPr>
      <w:widowControl w:val="0"/>
      <w:shd w:val="clear" w:color="auto" w:fill="FFFFFF"/>
      <w:spacing w:line="0" w:lineRule="atLeast"/>
    </w:pPr>
    <w:rPr>
      <w:rFonts w:eastAsia="Times New Roman"/>
      <w:i/>
      <w:iCs/>
      <w:sz w:val="74"/>
      <w:szCs w:val="74"/>
      <w:lang w:val="fr-FR" w:eastAsia="fr-FR"/>
    </w:rPr>
  </w:style>
  <w:style w:type="character" w:customStyle="1" w:styleId="Ttulo2Exact">
    <w:name w:val="Título #2 Exact"/>
    <w:basedOn w:val="DefaultParagraphFont"/>
    <w:link w:val="Ttulo2"/>
    <w:locked/>
    <w:rsid w:val="009B7907"/>
    <w:rPr>
      <w:sz w:val="74"/>
      <w:szCs w:val="74"/>
      <w:shd w:val="clear" w:color="auto" w:fill="FFFFFF"/>
    </w:rPr>
  </w:style>
  <w:style w:type="paragraph" w:customStyle="1" w:styleId="Ttulo2">
    <w:name w:val="Título #2"/>
    <w:basedOn w:val="Normal"/>
    <w:link w:val="Ttulo2Exact"/>
    <w:rsid w:val="009B7907"/>
    <w:pPr>
      <w:widowControl w:val="0"/>
      <w:shd w:val="clear" w:color="auto" w:fill="FFFFFF"/>
      <w:spacing w:line="0" w:lineRule="atLeast"/>
      <w:outlineLvl w:val="1"/>
    </w:pPr>
    <w:rPr>
      <w:rFonts w:eastAsia="Times New Roman"/>
      <w:sz w:val="74"/>
      <w:szCs w:val="74"/>
      <w:lang w:val="fr-FR" w:eastAsia="fr-FR"/>
    </w:rPr>
  </w:style>
  <w:style w:type="character" w:customStyle="1" w:styleId="Cuerpodeltexto9">
    <w:name w:val="Cuerpo del texto (9)_"/>
    <w:basedOn w:val="DefaultParagraphFont"/>
    <w:link w:val="Cuerpodeltexto90"/>
    <w:locked/>
    <w:rsid w:val="009B7907"/>
    <w:rPr>
      <w:rFonts w:ascii="Arial" w:eastAsia="Arial" w:hAnsi="Arial" w:cs="Arial"/>
      <w:sz w:val="21"/>
      <w:szCs w:val="21"/>
      <w:shd w:val="clear" w:color="auto" w:fill="FFFFFF"/>
    </w:rPr>
  </w:style>
  <w:style w:type="paragraph" w:customStyle="1" w:styleId="Cuerpodeltexto90">
    <w:name w:val="Cuerpo del texto (9)"/>
    <w:basedOn w:val="Normal"/>
    <w:link w:val="Cuerpodeltexto9"/>
    <w:rsid w:val="009B7907"/>
    <w:pPr>
      <w:widowControl w:val="0"/>
      <w:shd w:val="clear" w:color="auto" w:fill="FFFFFF"/>
      <w:spacing w:line="245" w:lineRule="exact"/>
      <w:ind w:hanging="300"/>
      <w:jc w:val="both"/>
    </w:pPr>
    <w:rPr>
      <w:rFonts w:ascii="Arial" w:eastAsia="Arial" w:hAnsi="Arial" w:cs="Arial"/>
      <w:sz w:val="21"/>
      <w:szCs w:val="21"/>
      <w:lang w:val="fr-FR" w:eastAsia="fr-FR"/>
    </w:rPr>
  </w:style>
  <w:style w:type="character" w:customStyle="1" w:styleId="Cuerpodeltexto5">
    <w:name w:val="Cuerpo del texto (5)_"/>
    <w:basedOn w:val="DefaultParagraphFont"/>
    <w:link w:val="Cuerpodeltexto50"/>
    <w:locked/>
    <w:rsid w:val="009B7907"/>
    <w:rPr>
      <w:rFonts w:ascii="Century Gothic" w:eastAsia="Century Gothic" w:hAnsi="Century Gothic" w:cs="Century Gothic"/>
      <w:sz w:val="17"/>
      <w:szCs w:val="17"/>
      <w:shd w:val="clear" w:color="auto" w:fill="FFFFFF"/>
    </w:rPr>
  </w:style>
  <w:style w:type="paragraph" w:customStyle="1" w:styleId="Cuerpodeltexto50">
    <w:name w:val="Cuerpo del texto (5)"/>
    <w:basedOn w:val="Normal"/>
    <w:link w:val="Cuerpodeltexto5"/>
    <w:rsid w:val="009B7907"/>
    <w:pPr>
      <w:widowControl w:val="0"/>
      <w:shd w:val="clear" w:color="auto" w:fill="FFFFFF"/>
      <w:spacing w:line="216" w:lineRule="exact"/>
      <w:jc w:val="both"/>
    </w:pPr>
    <w:rPr>
      <w:rFonts w:ascii="Century Gothic" w:eastAsia="Century Gothic" w:hAnsi="Century Gothic" w:cs="Century Gothic"/>
      <w:sz w:val="17"/>
      <w:szCs w:val="17"/>
      <w:lang w:val="fr-FR" w:eastAsia="fr-FR"/>
    </w:rPr>
  </w:style>
  <w:style w:type="character" w:customStyle="1" w:styleId="Cuerpodeltexto18">
    <w:name w:val="Cuerpo del texto (18)_"/>
    <w:basedOn w:val="DefaultParagraphFont"/>
    <w:link w:val="Cuerpodeltexto180"/>
    <w:locked/>
    <w:rsid w:val="009B7907"/>
    <w:rPr>
      <w:rFonts w:ascii="Tahoma" w:eastAsia="Tahoma" w:hAnsi="Tahoma" w:cs="Tahoma"/>
      <w:b/>
      <w:bCs/>
      <w:sz w:val="19"/>
      <w:szCs w:val="19"/>
      <w:shd w:val="clear" w:color="auto" w:fill="FFFFFF"/>
    </w:rPr>
  </w:style>
  <w:style w:type="paragraph" w:customStyle="1" w:styleId="Cuerpodeltexto180">
    <w:name w:val="Cuerpo del texto (18)"/>
    <w:basedOn w:val="Normal"/>
    <w:link w:val="Cuerpodeltexto18"/>
    <w:rsid w:val="009B7907"/>
    <w:pPr>
      <w:widowControl w:val="0"/>
      <w:shd w:val="clear" w:color="auto" w:fill="FFFFFF"/>
      <w:spacing w:before="180" w:line="226" w:lineRule="exact"/>
      <w:ind w:hanging="560"/>
      <w:jc w:val="both"/>
    </w:pPr>
    <w:rPr>
      <w:rFonts w:ascii="Tahoma" w:eastAsia="Tahoma" w:hAnsi="Tahoma" w:cs="Tahoma"/>
      <w:b/>
      <w:bCs/>
      <w:sz w:val="19"/>
      <w:szCs w:val="19"/>
      <w:lang w:val="fr-FR" w:eastAsia="fr-FR"/>
    </w:rPr>
  </w:style>
  <w:style w:type="character" w:customStyle="1" w:styleId="Cuerpodeltexto13">
    <w:name w:val="Cuerpo del texto (13)_"/>
    <w:basedOn w:val="DefaultParagraphFont"/>
    <w:link w:val="Cuerpodeltexto130"/>
    <w:locked/>
    <w:rsid w:val="009B7907"/>
    <w:rPr>
      <w:sz w:val="11"/>
      <w:szCs w:val="11"/>
      <w:shd w:val="clear" w:color="auto" w:fill="FFFFFF"/>
    </w:rPr>
  </w:style>
  <w:style w:type="paragraph" w:customStyle="1" w:styleId="Cuerpodeltexto130">
    <w:name w:val="Cuerpo del texto (13)"/>
    <w:basedOn w:val="Normal"/>
    <w:link w:val="Cuerpodeltexto13"/>
    <w:rsid w:val="009B7907"/>
    <w:pPr>
      <w:widowControl w:val="0"/>
      <w:shd w:val="clear" w:color="auto" w:fill="FFFFFF"/>
      <w:spacing w:line="144" w:lineRule="exact"/>
      <w:jc w:val="both"/>
    </w:pPr>
    <w:rPr>
      <w:rFonts w:eastAsia="Times New Roman"/>
      <w:sz w:val="11"/>
      <w:szCs w:val="11"/>
      <w:lang w:val="fr-FR" w:eastAsia="fr-FR"/>
    </w:rPr>
  </w:style>
  <w:style w:type="character" w:customStyle="1" w:styleId="Cuerpodeltexto7">
    <w:name w:val="Cuerpo del texto (7)_"/>
    <w:basedOn w:val="DefaultParagraphFont"/>
    <w:link w:val="Cuerpodeltexto70"/>
    <w:locked/>
    <w:rsid w:val="009B7907"/>
    <w:rPr>
      <w:rFonts w:ascii="Arial" w:eastAsia="Arial" w:hAnsi="Arial" w:cs="Arial"/>
      <w:sz w:val="19"/>
      <w:szCs w:val="19"/>
      <w:shd w:val="clear" w:color="auto" w:fill="FFFFFF"/>
    </w:rPr>
  </w:style>
  <w:style w:type="paragraph" w:customStyle="1" w:styleId="Cuerpodeltexto70">
    <w:name w:val="Cuerpo del texto (7)"/>
    <w:basedOn w:val="Normal"/>
    <w:link w:val="Cuerpodeltexto7"/>
    <w:rsid w:val="009B7907"/>
    <w:pPr>
      <w:widowControl w:val="0"/>
      <w:shd w:val="clear" w:color="auto" w:fill="FFFFFF"/>
      <w:spacing w:before="600" w:after="480" w:line="0" w:lineRule="atLeast"/>
      <w:ind w:hanging="400"/>
      <w:jc w:val="both"/>
    </w:pPr>
    <w:rPr>
      <w:rFonts w:ascii="Arial" w:eastAsia="Arial" w:hAnsi="Arial" w:cs="Arial"/>
      <w:sz w:val="19"/>
      <w:szCs w:val="19"/>
      <w:lang w:val="fr-FR" w:eastAsia="fr-FR"/>
    </w:rPr>
  </w:style>
  <w:style w:type="character" w:styleId="CommentReference">
    <w:name w:val="annotation reference"/>
    <w:basedOn w:val="DefaultParagraphFont"/>
    <w:uiPriority w:val="99"/>
    <w:semiHidden/>
    <w:unhideWhenUsed/>
    <w:rsid w:val="009B7907"/>
    <w:rPr>
      <w:sz w:val="16"/>
      <w:szCs w:val="16"/>
    </w:rPr>
  </w:style>
  <w:style w:type="character" w:customStyle="1" w:styleId="Cuerpodeltexto2Calibri">
    <w:name w:val="Cuerpo del texto (2) + Calibri"/>
    <w:aliases w:val="9,5 pto,Cuerpo del texto (2) + 7,Cuerpo del texto (2) + 5,10 pto"/>
    <w:basedOn w:val="Encabezamientoopiedepgina"/>
    <w:rsid w:val="009B7907"/>
    <w:rPr>
      <w:rFonts w:ascii="Candara" w:eastAsia="Candara" w:hAnsi="Candara" w:cs="Candara" w:hint="default"/>
      <w:b w:val="0"/>
      <w:bCs w:val="0"/>
      <w:i w:val="0"/>
      <w:iCs w:val="0"/>
      <w:smallCaps w:val="0"/>
      <w:strike w:val="0"/>
      <w:dstrike w:val="0"/>
      <w:color w:val="FFFFFF"/>
      <w:spacing w:val="0"/>
      <w:w w:val="100"/>
      <w:position w:val="0"/>
      <w:sz w:val="21"/>
      <w:szCs w:val="21"/>
      <w:u w:val="none"/>
      <w:effect w:val="none"/>
      <w:lang w:val="es-ES" w:eastAsia="es-ES" w:bidi="es-ES"/>
    </w:rPr>
  </w:style>
  <w:style w:type="character" w:customStyle="1" w:styleId="Cuerpodeltexto2Exact">
    <w:name w:val="Cuerpo del texto (2) Exact"/>
    <w:basedOn w:val="Cuerpodeltexto2"/>
    <w:rsid w:val="009B7907"/>
    <w:rPr>
      <w:rFonts w:ascii="Calibri" w:eastAsia="Calibri" w:hAnsi="Calibri" w:cs="Calibri"/>
      <w:b w:val="0"/>
      <w:bCs w:val="0"/>
      <w:i w:val="0"/>
      <w:iCs w:val="0"/>
      <w:smallCaps w:val="0"/>
      <w:strike w:val="0"/>
      <w:dstrike w:val="0"/>
      <w:sz w:val="20"/>
      <w:szCs w:val="20"/>
      <w:u w:val="none"/>
      <w:effect w:val="none"/>
      <w:shd w:val="clear" w:color="auto" w:fill="FFFFFF"/>
    </w:rPr>
  </w:style>
  <w:style w:type="character" w:customStyle="1" w:styleId="LeyendadelatablaExact">
    <w:name w:val="Leyenda de la tabla Exact"/>
    <w:basedOn w:val="DefaultParagraphFont"/>
    <w:rsid w:val="009B7907"/>
    <w:rPr>
      <w:rFonts w:ascii="Calibri" w:eastAsia="Calibri" w:hAnsi="Calibri" w:cs="Calibri" w:hint="default"/>
      <w:b/>
      <w:bCs/>
      <w:i w:val="0"/>
      <w:iCs w:val="0"/>
      <w:smallCaps w:val="0"/>
      <w:strike w:val="0"/>
      <w:dstrike w:val="0"/>
      <w:sz w:val="21"/>
      <w:szCs w:val="21"/>
      <w:u w:val="none"/>
      <w:effect w:val="none"/>
    </w:rPr>
  </w:style>
  <w:style w:type="character" w:customStyle="1" w:styleId="Cuerpodeltexto3">
    <w:name w:val="Cuerpo del texto (3)"/>
    <w:basedOn w:val="DefaultParagraphFont"/>
    <w:rsid w:val="009B7907"/>
    <w:rPr>
      <w:rFonts w:ascii="Segoe UI" w:eastAsia="Segoe UI" w:hAnsi="Segoe UI" w:cs="Segoe UI" w:hint="default"/>
      <w:b/>
      <w:bCs/>
      <w:i w:val="0"/>
      <w:iCs w:val="0"/>
      <w:smallCaps w:val="0"/>
      <w:color w:val="000000"/>
      <w:spacing w:val="0"/>
      <w:w w:val="100"/>
      <w:position w:val="0"/>
      <w:sz w:val="16"/>
      <w:szCs w:val="16"/>
      <w:u w:val="single"/>
      <w:lang w:val="es-ES" w:eastAsia="es-ES" w:bidi="es-ES"/>
    </w:rPr>
  </w:style>
  <w:style w:type="character" w:customStyle="1" w:styleId="Cuerpodeltexto4Exact">
    <w:name w:val="Cuerpo del texto (4) Exact"/>
    <w:basedOn w:val="DefaultParagraphFont"/>
    <w:rsid w:val="009B7907"/>
    <w:rPr>
      <w:rFonts w:ascii="Arial Narrow" w:eastAsia="Arial Narrow" w:hAnsi="Arial Narrow" w:cs="Arial Narrow" w:hint="default"/>
      <w:b/>
      <w:bCs/>
      <w:i w:val="0"/>
      <w:iCs w:val="0"/>
      <w:smallCaps w:val="0"/>
      <w:strike w:val="0"/>
      <w:dstrike w:val="0"/>
      <w:spacing w:val="0"/>
      <w:sz w:val="13"/>
      <w:szCs w:val="13"/>
      <w:u w:val="none"/>
      <w:effect w:val="none"/>
    </w:rPr>
  </w:style>
  <w:style w:type="character" w:customStyle="1" w:styleId="Cuerpodeltexto2Arial">
    <w:name w:val="Cuerpo del texto (2) + Arial"/>
    <w:aliases w:val="Negrita"/>
    <w:basedOn w:val="Cuerpodeltexto8"/>
    <w:rsid w:val="009B7907"/>
    <w:rPr>
      <w:rFonts w:ascii="Bookman Old Style" w:eastAsia="Bookman Old Style" w:hAnsi="Bookman Old Style" w:cs="Bookman Old Style"/>
      <w:b/>
      <w:bCs/>
      <w:i/>
      <w:iCs/>
      <w:smallCaps w:val="0"/>
      <w:strike w:val="0"/>
      <w:dstrike w:val="0"/>
      <w:color w:val="000000"/>
      <w:spacing w:val="0"/>
      <w:w w:val="100"/>
      <w:position w:val="0"/>
      <w:sz w:val="22"/>
      <w:szCs w:val="22"/>
      <w:u w:val="none"/>
      <w:effect w:val="none"/>
      <w:shd w:val="clear" w:color="auto" w:fill="FFFFFF"/>
      <w:lang w:val="es-ES" w:eastAsia="es-ES" w:bidi="es-ES"/>
    </w:rPr>
  </w:style>
  <w:style w:type="character" w:customStyle="1" w:styleId="Cuerpodeltexto30">
    <w:name w:val="Cuerpo del texto (3)_"/>
    <w:basedOn w:val="DefaultParagraphFont"/>
    <w:rsid w:val="009B7907"/>
    <w:rPr>
      <w:rFonts w:ascii="Arial" w:eastAsia="Arial" w:hAnsi="Arial" w:cs="Arial" w:hint="default"/>
      <w:b/>
      <w:bCs/>
      <w:i w:val="0"/>
      <w:iCs w:val="0"/>
      <w:smallCaps w:val="0"/>
      <w:strike w:val="0"/>
      <w:dstrike w:val="0"/>
      <w:sz w:val="20"/>
      <w:szCs w:val="20"/>
      <w:u w:val="none"/>
      <w:effect w:val="none"/>
    </w:rPr>
  </w:style>
  <w:style w:type="character" w:customStyle="1" w:styleId="Cuerpodeltexto3ArialNarrow">
    <w:name w:val="Cuerpo del texto (3) + Arial Narrow"/>
    <w:aliases w:val="Sin negrita"/>
    <w:basedOn w:val="Cuerpodeltexto2"/>
    <w:rsid w:val="009B7907"/>
    <w:rPr>
      <w:rFonts w:ascii="Arial" w:eastAsia="Arial" w:hAnsi="Arial" w:cs="Arial"/>
      <w:b/>
      <w:bCs/>
      <w:i w:val="0"/>
      <w:iCs w:val="0"/>
      <w:smallCaps w:val="0"/>
      <w:strike w:val="0"/>
      <w:dstrike w:val="0"/>
      <w:color w:val="000000"/>
      <w:spacing w:val="0"/>
      <w:w w:val="100"/>
      <w:position w:val="0"/>
      <w:sz w:val="18"/>
      <w:szCs w:val="18"/>
      <w:u w:val="none"/>
      <w:effect w:val="none"/>
      <w:shd w:val="clear" w:color="auto" w:fill="FFFFFF"/>
      <w:lang w:val="es-ES" w:eastAsia="es-ES" w:bidi="es-ES"/>
    </w:rPr>
  </w:style>
  <w:style w:type="character" w:customStyle="1" w:styleId="Encabezamientoopiedepgina">
    <w:name w:val="Encabezamiento o pie de página_"/>
    <w:basedOn w:val="DefaultParagraphFont"/>
    <w:rsid w:val="009B7907"/>
    <w:rPr>
      <w:rFonts w:ascii="Georgia" w:eastAsia="Georgia" w:hAnsi="Georgia" w:cs="Georgia" w:hint="default"/>
      <w:b w:val="0"/>
      <w:bCs w:val="0"/>
      <w:i w:val="0"/>
      <w:iCs w:val="0"/>
      <w:smallCaps w:val="0"/>
      <w:strike w:val="0"/>
      <w:dstrike w:val="0"/>
      <w:sz w:val="11"/>
      <w:szCs w:val="11"/>
      <w:u w:val="none"/>
      <w:effect w:val="none"/>
    </w:rPr>
  </w:style>
  <w:style w:type="character" w:customStyle="1" w:styleId="Encabezamientoopiedepgina0">
    <w:name w:val="Encabezamiento o pie de página"/>
    <w:basedOn w:val="Encabezamientoopiedepgina"/>
    <w:rsid w:val="009B7907"/>
    <w:rPr>
      <w:rFonts w:ascii="Georgia" w:eastAsia="Georgia" w:hAnsi="Georgia" w:cs="Georgia" w:hint="default"/>
      <w:b w:val="0"/>
      <w:bCs w:val="0"/>
      <w:i w:val="0"/>
      <w:iCs w:val="0"/>
      <w:smallCaps w:val="0"/>
      <w:strike w:val="0"/>
      <w:dstrike w:val="0"/>
      <w:color w:val="000000"/>
      <w:spacing w:val="0"/>
      <w:w w:val="100"/>
      <w:position w:val="0"/>
      <w:sz w:val="11"/>
      <w:szCs w:val="11"/>
      <w:u w:val="none"/>
      <w:effect w:val="none"/>
      <w:lang w:val="es-ES" w:eastAsia="es-ES" w:bidi="es-ES"/>
    </w:rPr>
  </w:style>
  <w:style w:type="character" w:customStyle="1" w:styleId="EncabezamientoopiedepginaVerdana">
    <w:name w:val="Encabezamiento o pie de página + Verdana"/>
    <w:aliases w:val="4 pto,Cursiva,Espaciado 0 pto"/>
    <w:basedOn w:val="Cuerpodeltexto2"/>
    <w:rsid w:val="009B7907"/>
    <w:rPr>
      <w:rFonts w:ascii="Times New Roman" w:eastAsia="Times New Roman" w:hAnsi="Times New Roman" w:cs="Times New Roman"/>
      <w:b/>
      <w:bCs/>
      <w:i w:val="0"/>
      <w:iCs w:val="0"/>
      <w:smallCaps w:val="0"/>
      <w:strike w:val="0"/>
      <w:dstrike w:val="0"/>
      <w:color w:val="000000"/>
      <w:spacing w:val="10"/>
      <w:w w:val="100"/>
      <w:position w:val="0"/>
      <w:sz w:val="18"/>
      <w:szCs w:val="18"/>
      <w:u w:val="none"/>
      <w:effect w:val="none"/>
      <w:shd w:val="clear" w:color="auto" w:fill="FFFFFF"/>
      <w:lang w:val="es-ES" w:eastAsia="es-ES" w:bidi="es-ES"/>
    </w:rPr>
  </w:style>
  <w:style w:type="character" w:customStyle="1" w:styleId="EncabezamientoopiedepginaVersales">
    <w:name w:val="Encabezamiento o pie de página + Versales"/>
    <w:basedOn w:val="Encabezamientoopiedepgina"/>
    <w:rsid w:val="009B7907"/>
    <w:rPr>
      <w:rFonts w:ascii="Georgia" w:eastAsia="Georgia" w:hAnsi="Georgia" w:cs="Georgia" w:hint="default"/>
      <w:b w:val="0"/>
      <w:bCs w:val="0"/>
      <w:i w:val="0"/>
      <w:iCs w:val="0"/>
      <w:smallCaps/>
      <w:strike w:val="0"/>
      <w:dstrike w:val="0"/>
      <w:color w:val="000000"/>
      <w:spacing w:val="0"/>
      <w:w w:val="100"/>
      <w:position w:val="0"/>
      <w:sz w:val="11"/>
      <w:szCs w:val="11"/>
      <w:u w:val="none"/>
      <w:effect w:val="none"/>
      <w:lang w:val="es-ES" w:eastAsia="es-ES" w:bidi="es-ES"/>
    </w:rPr>
  </w:style>
  <w:style w:type="character" w:customStyle="1" w:styleId="Cuerpodeltexto2Cursiva">
    <w:name w:val="Cuerpo del texto (2) + Cursiva"/>
    <w:basedOn w:val="Cuerpodeltexto2"/>
    <w:rsid w:val="009B7907"/>
    <w:rPr>
      <w:rFonts w:ascii="Calibri" w:eastAsia="Calibri" w:hAnsi="Calibri" w:cs="Calibri"/>
      <w:b w:val="0"/>
      <w:bCs w:val="0"/>
      <w:i/>
      <w:iCs/>
      <w:smallCaps w:val="0"/>
      <w:strike w:val="0"/>
      <w:dstrike w:val="0"/>
      <w:color w:val="000000"/>
      <w:spacing w:val="0"/>
      <w:w w:val="100"/>
      <w:position w:val="0"/>
      <w:sz w:val="24"/>
      <w:szCs w:val="24"/>
      <w:u w:val="none"/>
      <w:effect w:val="none"/>
      <w:shd w:val="clear" w:color="auto" w:fill="FFFFFF"/>
      <w:lang w:val="es-ES" w:eastAsia="es-ES" w:bidi="es-ES"/>
    </w:rPr>
  </w:style>
  <w:style w:type="character" w:customStyle="1" w:styleId="Leyendadelatabla3Exact">
    <w:name w:val="Leyenda de la tabla (3) Exact"/>
    <w:basedOn w:val="DefaultParagraphFont"/>
    <w:rsid w:val="009B7907"/>
    <w:rPr>
      <w:rFonts w:ascii="Candara" w:eastAsia="Candara" w:hAnsi="Candara" w:cs="Candara" w:hint="default"/>
      <w:b/>
      <w:bCs/>
      <w:i w:val="0"/>
      <w:iCs w:val="0"/>
      <w:smallCaps w:val="0"/>
      <w:strike w:val="0"/>
      <w:dstrike w:val="0"/>
      <w:sz w:val="16"/>
      <w:szCs w:val="16"/>
      <w:u w:val="none"/>
      <w:effect w:val="none"/>
    </w:rPr>
  </w:style>
  <w:style w:type="character" w:customStyle="1" w:styleId="Leyendadelatabla4Exact">
    <w:name w:val="Leyenda de la tabla (4) Exact"/>
    <w:basedOn w:val="DefaultParagraphFont"/>
    <w:rsid w:val="009B7907"/>
    <w:rPr>
      <w:rFonts w:ascii="Arial" w:eastAsia="Arial" w:hAnsi="Arial" w:cs="Arial" w:hint="default"/>
      <w:b w:val="0"/>
      <w:bCs w:val="0"/>
      <w:i w:val="0"/>
      <w:iCs w:val="0"/>
      <w:smallCaps w:val="0"/>
      <w:strike w:val="0"/>
      <w:dstrike w:val="0"/>
      <w:sz w:val="18"/>
      <w:szCs w:val="18"/>
      <w:u w:val="none"/>
      <w:effect w:val="none"/>
    </w:rPr>
  </w:style>
  <w:style w:type="character" w:customStyle="1" w:styleId="Leyendadelatabla5Exact">
    <w:name w:val="Leyenda de la tabla (5) Exact"/>
    <w:basedOn w:val="DefaultParagraphFont"/>
    <w:rsid w:val="009B7907"/>
    <w:rPr>
      <w:rFonts w:ascii="Arial" w:eastAsia="Arial" w:hAnsi="Arial" w:cs="Arial" w:hint="default"/>
      <w:b w:val="0"/>
      <w:bCs w:val="0"/>
      <w:i w:val="0"/>
      <w:iCs w:val="0"/>
      <w:smallCaps w:val="0"/>
      <w:strike w:val="0"/>
      <w:dstrike w:val="0"/>
      <w:sz w:val="14"/>
      <w:szCs w:val="14"/>
      <w:u w:val="none"/>
      <w:effect w:val="none"/>
    </w:rPr>
  </w:style>
  <w:style w:type="character" w:customStyle="1" w:styleId="Cuerpodeltexto1110pto">
    <w:name w:val="Cuerpo del texto (11) + 10 pto"/>
    <w:aliases w:val="Sin cursiva"/>
    <w:basedOn w:val="Cuerpodeltexto8"/>
    <w:rsid w:val="009B7907"/>
    <w:rPr>
      <w:rFonts w:ascii="Bookman Old Style" w:eastAsia="Bookman Old Style" w:hAnsi="Bookman Old Style" w:cs="Bookman Old Style"/>
      <w:b w:val="0"/>
      <w:bCs w:val="0"/>
      <w:i/>
      <w:iCs/>
      <w:smallCaps w:val="0"/>
      <w:strike w:val="0"/>
      <w:dstrike w:val="0"/>
      <w:color w:val="000000"/>
      <w:spacing w:val="0"/>
      <w:w w:val="100"/>
      <w:position w:val="0"/>
      <w:sz w:val="22"/>
      <w:szCs w:val="22"/>
      <w:u w:val="none"/>
      <w:effect w:val="none"/>
      <w:shd w:val="clear" w:color="auto" w:fill="FFFFFF"/>
      <w:lang w:val="es-ES" w:eastAsia="es-ES" w:bidi="es-ES"/>
    </w:rPr>
  </w:style>
  <w:style w:type="character" w:customStyle="1" w:styleId="Leyendadelaimagen2VersalesExact">
    <w:name w:val="Leyenda de la imagen (2) + Versales Exact"/>
    <w:basedOn w:val="Leyendadelaimagen2Exact"/>
    <w:rsid w:val="009B7907"/>
    <w:rPr>
      <w:rFonts w:ascii="Franklin Gothic Heavy" w:eastAsia="Franklin Gothic Heavy" w:hAnsi="Franklin Gothic Heavy" w:cs="Franklin Gothic Heavy"/>
      <w:smallCaps/>
      <w:color w:val="000000"/>
      <w:w w:val="100"/>
      <w:position w:val="0"/>
      <w:sz w:val="14"/>
      <w:szCs w:val="14"/>
      <w:shd w:val="clear" w:color="auto" w:fill="FFFFFF"/>
      <w:lang w:val="es-ES" w:eastAsia="es-ES" w:bidi="es-ES"/>
    </w:rPr>
  </w:style>
  <w:style w:type="character" w:customStyle="1" w:styleId="Cuerpodeltexto8Exact">
    <w:name w:val="Cuerpo del texto (8) Exact"/>
    <w:basedOn w:val="DefaultParagraphFont"/>
    <w:rsid w:val="009B7907"/>
    <w:rPr>
      <w:rFonts w:ascii="Times New Roman" w:eastAsia="Times New Roman" w:hAnsi="Times New Roman" w:cs="Times New Roman" w:hint="default"/>
      <w:b/>
      <w:bCs/>
      <w:i w:val="0"/>
      <w:iCs w:val="0"/>
      <w:smallCaps w:val="0"/>
      <w:strike w:val="0"/>
      <w:dstrike w:val="0"/>
      <w:spacing w:val="-10"/>
      <w:sz w:val="19"/>
      <w:szCs w:val="19"/>
      <w:u w:val="none"/>
      <w:effect w:val="none"/>
    </w:rPr>
  </w:style>
  <w:style w:type="character" w:customStyle="1" w:styleId="Cuerpodeltexto17Exact">
    <w:name w:val="Cuerpo del texto (17) Exact"/>
    <w:basedOn w:val="DefaultParagraphFont"/>
    <w:rsid w:val="009B7907"/>
    <w:rPr>
      <w:rFonts w:ascii="Arial" w:eastAsia="Arial" w:hAnsi="Arial" w:cs="Arial" w:hint="default"/>
      <w:b w:val="0"/>
      <w:bCs w:val="0"/>
      <w:i w:val="0"/>
      <w:iCs w:val="0"/>
      <w:smallCaps w:val="0"/>
      <w:strike w:val="0"/>
      <w:dstrike w:val="0"/>
      <w:sz w:val="10"/>
      <w:szCs w:val="10"/>
      <w:u w:val="none"/>
      <w:effect w:val="none"/>
    </w:rPr>
  </w:style>
  <w:style w:type="character" w:customStyle="1" w:styleId="Cuerpodeltexto9Negrita">
    <w:name w:val="Cuerpo del texto (9) + Negrita"/>
    <w:basedOn w:val="Cuerpodeltexto9"/>
    <w:rsid w:val="009B7907"/>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Cursiva">
    <w:name w:val="Cuerpo del texto (9) + Cursiva"/>
    <w:basedOn w:val="Cuerpodeltexto9"/>
    <w:rsid w:val="009B7907"/>
    <w:rPr>
      <w:rFonts w:ascii="Arial" w:eastAsia="Arial" w:hAnsi="Arial" w:cs="Arial"/>
      <w:b w:val="0"/>
      <w:bCs w:val="0"/>
      <w:i/>
      <w:iCs/>
      <w:smallCaps w:val="0"/>
      <w:strike w:val="0"/>
      <w:dstrike w:val="0"/>
      <w:color w:val="000000"/>
      <w:spacing w:val="0"/>
      <w:w w:val="100"/>
      <w:position w:val="0"/>
      <w:sz w:val="21"/>
      <w:szCs w:val="21"/>
      <w:u w:val="none"/>
      <w:effect w:val="none"/>
      <w:shd w:val="clear" w:color="auto" w:fill="FFFFFF"/>
      <w:lang w:val="es-ES" w:eastAsia="es-ES" w:bidi="es-ES"/>
    </w:rPr>
  </w:style>
  <w:style w:type="character" w:customStyle="1" w:styleId="Cuerpodeltexto2Tahoma">
    <w:name w:val="Cuerpo del texto (2) + Tahoma"/>
    <w:aliases w:val="7 pto"/>
    <w:basedOn w:val="Cuerpodeltexto2"/>
    <w:rsid w:val="009B7907"/>
    <w:rPr>
      <w:rFonts w:ascii="Tahoma" w:eastAsia="Tahoma" w:hAnsi="Tahoma" w:cs="Tahoma"/>
      <w:b w:val="0"/>
      <w:bCs w:val="0"/>
      <w:i w:val="0"/>
      <w:iCs w:val="0"/>
      <w:smallCaps w:val="0"/>
      <w:strike w:val="0"/>
      <w:dstrike w:val="0"/>
      <w:color w:val="000000"/>
      <w:spacing w:val="0"/>
      <w:w w:val="100"/>
      <w:position w:val="0"/>
      <w:sz w:val="14"/>
      <w:szCs w:val="14"/>
      <w:u w:val="none"/>
      <w:effect w:val="none"/>
      <w:shd w:val="clear" w:color="auto" w:fill="FFFFFF"/>
      <w:lang w:val="es-ES" w:eastAsia="es-ES" w:bidi="es-ES"/>
    </w:rPr>
  </w:style>
  <w:style w:type="character" w:customStyle="1" w:styleId="Cuerpodeltexto6Exact">
    <w:name w:val="Cuerpo del texto (6) Exact"/>
    <w:basedOn w:val="DefaultParagraphFont"/>
    <w:rsid w:val="009B7907"/>
    <w:rPr>
      <w:rFonts w:ascii="Century Gothic" w:eastAsia="Century Gothic" w:hAnsi="Century Gothic" w:cs="Century Gothic" w:hint="default"/>
      <w:b w:val="0"/>
      <w:bCs w:val="0"/>
      <w:i/>
      <w:iCs/>
      <w:smallCaps w:val="0"/>
      <w:strike w:val="0"/>
      <w:dstrike w:val="0"/>
      <w:sz w:val="20"/>
      <w:szCs w:val="20"/>
      <w:u w:val="none"/>
      <w:effect w:val="none"/>
    </w:rPr>
  </w:style>
  <w:style w:type="character" w:customStyle="1" w:styleId="Cuerpodeltexto6SincursivaExact">
    <w:name w:val="Cuerpo del texto (6) + Sin cursiva Exact"/>
    <w:basedOn w:val="Cuerpodeltexto6"/>
    <w:rsid w:val="009B7907"/>
    <w:rPr>
      <w:rFonts w:ascii="Century Gothic" w:eastAsia="Century Gothic" w:hAnsi="Century Gothic" w:cs="Century Gothic"/>
      <w:b w:val="0"/>
      <w:bCs w:val="0"/>
      <w:i/>
      <w:iCs/>
      <w:smallCaps w:val="0"/>
      <w:strike w:val="0"/>
      <w:dstrike w:val="0"/>
      <w:sz w:val="20"/>
      <w:szCs w:val="20"/>
      <w:u w:val="none"/>
      <w:effect w:val="none"/>
      <w:shd w:val="clear" w:color="auto" w:fill="FFFFFF"/>
    </w:rPr>
  </w:style>
  <w:style w:type="character" w:customStyle="1" w:styleId="Cuerpodeltexto2Negrita">
    <w:name w:val="Cuerpo del texto (2) + Negrita"/>
    <w:basedOn w:val="Cuerpodeltexto2"/>
    <w:rsid w:val="009B7907"/>
    <w:rPr>
      <w:rFonts w:ascii="Century Gothic" w:eastAsia="Century Gothic" w:hAnsi="Century Gothic" w:cs="Century Gothic"/>
      <w:b/>
      <w:bCs/>
      <w:i w:val="0"/>
      <w:iCs w:val="0"/>
      <w:smallCaps w:val="0"/>
      <w:strike w:val="0"/>
      <w:dstrike w:val="0"/>
      <w:color w:val="000000"/>
      <w:spacing w:val="0"/>
      <w:w w:val="100"/>
      <w:position w:val="0"/>
      <w:sz w:val="20"/>
      <w:szCs w:val="20"/>
      <w:u w:val="none"/>
      <w:effect w:val="none"/>
      <w:shd w:val="clear" w:color="auto" w:fill="FFFFFF"/>
      <w:lang w:val="es-ES" w:eastAsia="es-ES" w:bidi="es-ES"/>
    </w:rPr>
  </w:style>
  <w:style w:type="character" w:customStyle="1" w:styleId="Cuerpodeltexto5Exact">
    <w:name w:val="Cuerpo del texto (5) Exact"/>
    <w:basedOn w:val="Cuerpodeltexto5"/>
    <w:rsid w:val="009B7907"/>
    <w:rPr>
      <w:rFonts w:ascii="Century Gothic" w:eastAsia="Century Gothic" w:hAnsi="Century Gothic" w:cs="Century Gothic"/>
      <w:color w:val="000000"/>
      <w:spacing w:val="0"/>
      <w:w w:val="100"/>
      <w:position w:val="0"/>
      <w:sz w:val="17"/>
      <w:szCs w:val="17"/>
      <w:shd w:val="clear" w:color="auto" w:fill="FFFFFF"/>
      <w:lang w:val="es-ES" w:eastAsia="es-ES" w:bidi="es-ES"/>
    </w:rPr>
  </w:style>
  <w:style w:type="character" w:customStyle="1" w:styleId="Cuerpodeltexto18Exact">
    <w:name w:val="Cuerpo del texto (18) Exact"/>
    <w:basedOn w:val="DefaultParagraphFont"/>
    <w:rsid w:val="009B7907"/>
    <w:rPr>
      <w:rFonts w:ascii="Tahoma" w:eastAsia="Tahoma" w:hAnsi="Tahoma" w:cs="Tahoma" w:hint="default"/>
      <w:b/>
      <w:bCs/>
      <w:i w:val="0"/>
      <w:iCs w:val="0"/>
      <w:smallCaps w:val="0"/>
      <w:strike w:val="0"/>
      <w:dstrike w:val="0"/>
      <w:sz w:val="19"/>
      <w:szCs w:val="19"/>
      <w:u w:val="none"/>
      <w:effect w:val="none"/>
    </w:rPr>
  </w:style>
  <w:style w:type="character" w:customStyle="1" w:styleId="Cuerpodeltexto13Exact">
    <w:name w:val="Cuerpo del texto (13) Exact"/>
    <w:basedOn w:val="DefaultParagraphFont"/>
    <w:rsid w:val="009B7907"/>
    <w:rPr>
      <w:rFonts w:ascii="Times New Roman" w:eastAsia="Times New Roman" w:hAnsi="Times New Roman" w:cs="Times New Roman" w:hint="default"/>
      <w:b w:val="0"/>
      <w:bCs w:val="0"/>
      <w:i w:val="0"/>
      <w:iCs w:val="0"/>
      <w:smallCaps w:val="0"/>
      <w:strike w:val="0"/>
      <w:dstrike w:val="0"/>
      <w:sz w:val="11"/>
      <w:szCs w:val="11"/>
      <w:u w:val="none"/>
      <w:effect w:val="none"/>
    </w:rPr>
  </w:style>
  <w:style w:type="character" w:customStyle="1" w:styleId="Cuerpodeltexto13ArialNarrow">
    <w:name w:val="Cuerpo del texto (13) + Arial Narrow"/>
    <w:aliases w:val="6,5 pto Exact"/>
    <w:basedOn w:val="Cuerpodeltexto13"/>
    <w:rsid w:val="009B7907"/>
    <w:rPr>
      <w:rFonts w:ascii="Arial Narrow" w:eastAsia="Arial Narrow" w:hAnsi="Arial Narrow" w:cs="Arial Narrow"/>
      <w:sz w:val="13"/>
      <w:szCs w:val="13"/>
      <w:shd w:val="clear" w:color="auto" w:fill="FFFFFF"/>
    </w:rPr>
  </w:style>
  <w:style w:type="character" w:customStyle="1" w:styleId="Cuerpodeltexto7Exact">
    <w:name w:val="Cuerpo del texto (7) Exact"/>
    <w:basedOn w:val="DefaultParagraphFont"/>
    <w:rsid w:val="009B7907"/>
    <w:rPr>
      <w:rFonts w:ascii="Arial" w:eastAsia="Arial" w:hAnsi="Arial" w:cs="Arial" w:hint="default"/>
      <w:b w:val="0"/>
      <w:bCs w:val="0"/>
      <w:i w:val="0"/>
      <w:iCs w:val="0"/>
      <w:smallCaps w:val="0"/>
      <w:strike w:val="0"/>
      <w:dstrike w:val="0"/>
      <w:sz w:val="19"/>
      <w:szCs w:val="19"/>
      <w:u w:val="none"/>
      <w:effect w:val="none"/>
    </w:rPr>
  </w:style>
  <w:style w:type="character" w:customStyle="1" w:styleId="Cuerpodeltexto3Sincursiva">
    <w:name w:val="Cuerpo del texto (3) + Sin cursiva"/>
    <w:rsid w:val="009B7907"/>
    <w:rPr>
      <w:rFonts w:ascii="Arial" w:eastAsia="Arial" w:hAnsi="Arial" w:cs="Arial" w:hint="default"/>
      <w:i/>
      <w:iCs/>
      <w:spacing w:val="0"/>
      <w:sz w:val="23"/>
      <w:szCs w:val="23"/>
      <w:shd w:val="clear" w:color="auto" w:fill="FFFFFF"/>
    </w:rPr>
  </w:style>
  <w:style w:type="character" w:styleId="UnresolvedMention">
    <w:name w:val="Unresolved Mention"/>
    <w:basedOn w:val="DefaultParagraphFont"/>
    <w:uiPriority w:val="99"/>
    <w:semiHidden/>
    <w:unhideWhenUsed/>
    <w:rsid w:val="009B7907"/>
    <w:rPr>
      <w:color w:val="605E5C"/>
      <w:shd w:val="clear" w:color="auto" w:fill="E1DFDD"/>
    </w:rPr>
  </w:style>
  <w:style w:type="paragraph" w:styleId="TOCHeading">
    <w:name w:val="TOC Heading"/>
    <w:basedOn w:val="Heading1"/>
    <w:next w:val="Normal"/>
    <w:uiPriority w:val="39"/>
    <w:unhideWhenUsed/>
    <w:qFormat/>
    <w:rsid w:val="00653063"/>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53063"/>
    <w:pPr>
      <w:spacing w:after="100"/>
    </w:pPr>
  </w:style>
  <w:style w:type="numbering" w:customStyle="1" w:styleId="NoList1">
    <w:name w:val="No List1"/>
    <w:next w:val="NoList"/>
    <w:uiPriority w:val="99"/>
    <w:semiHidden/>
    <w:unhideWhenUsed/>
    <w:rsid w:val="00653063"/>
  </w:style>
  <w:style w:type="table" w:customStyle="1" w:styleId="TableGrid10">
    <w:name w:val="Table Grid1"/>
    <w:basedOn w:val="TableNormal"/>
    <w:next w:val="TableGrid"/>
    <w:uiPriority w:val="39"/>
    <w:rsid w:val="00653063"/>
    <w:rPr>
      <w:rFonts w:ascii="Calibri" w:eastAsia="Calibri" w:hAnsi="Calibri" w:cs="Calibri"/>
      <w:sz w:val="24"/>
      <w:szCs w:val="24"/>
      <w:lang w:val="es-ES" w:eastAsia="es-B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7C0676"/>
    <w:rPr>
      <w:rFonts w:eastAsiaTheme="minorEastAsia"/>
      <w:lang w:val="es-ES" w:eastAsia="es-ES"/>
    </w:rPr>
  </w:style>
  <w:style w:type="paragraph" w:styleId="TOC3">
    <w:name w:val="toc 3"/>
    <w:basedOn w:val="Normal"/>
    <w:next w:val="Normal"/>
    <w:autoRedefine/>
    <w:uiPriority w:val="39"/>
    <w:unhideWhenUsed/>
    <w:rsid w:val="00E739DD"/>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zotero.org/google-docs/?xr67Gl" TargetMode="External"/><Relationship Id="rId2" Type="http://schemas.openxmlformats.org/officeDocument/2006/relationships/hyperlink" Target="https://www.zotero.org/google-docs/?iVXNmt" TargetMode="External"/><Relationship Id="rId1" Type="http://schemas.openxmlformats.org/officeDocument/2006/relationships/hyperlink" Target="https://www.zotero.org/google-docs/?Nu6zhB" TargetMode="External"/><Relationship Id="rId6" Type="http://schemas.openxmlformats.org/officeDocument/2006/relationships/hyperlink" Target="https://seie.minedu.gob.bo/pdfs/indicadores_vol_2.pdf" TargetMode="External"/><Relationship Id="rId5" Type="http://schemas.openxmlformats.org/officeDocument/2006/relationships/hyperlink" Target="https://seie.minedu.gob.bo/reportes/estadisticas/grupo1/discapacidad" TargetMode="External"/><Relationship Id="rId4" Type="http://schemas.openxmlformats.org/officeDocument/2006/relationships/hyperlink" Target="https://despega.att.gob.bo/courses.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2024-04-09T19:49:40+00:00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931A6-E4F7-4671-B73A-FF7AC811E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5CCBD8-3097-4DAC-BF21-244DA23B0043}">
  <ds:schemaRefs>
    <ds:schemaRef ds:uri="http://schemas.microsoft.com/sharepoint/v3/contenttype/forms"/>
  </ds:schemaRefs>
</ds:datastoreItem>
</file>

<file path=customXml/itemProps3.xml><?xml version="1.0" encoding="utf-8"?>
<ds:datastoreItem xmlns:ds="http://schemas.openxmlformats.org/officeDocument/2006/customXml" ds:itemID="{B1F4FCF6-98AE-45F7-9308-D2B93C0D2B62}">
  <ds:schemaRefs>
    <ds:schemaRef ds:uri="http://purl.org/dc/elements/1.1/"/>
    <ds:schemaRef ds:uri="http://schemas.microsoft.com/office/infopath/2007/PartnerControls"/>
    <ds:schemaRef ds:uri="http://schemas.openxmlformats.org/package/2006/metadata/core-properties"/>
    <ds:schemaRef ds:uri="http://purl.org/dc/terms/"/>
    <ds:schemaRef ds:uri="11a6fe0c-d8de-4390-afb3-d9c7c54181f0"/>
    <ds:schemaRef ds:uri="http://schemas.microsoft.com/office/2006/documentManagement/types"/>
    <ds:schemaRef ds:uri="c43d6523-f909-4250-bbe1-6bcdc0c7194c"/>
    <ds:schemaRef ds:uri="http://schemas.microsoft.com/office/2006/metadata/properties"/>
    <ds:schemaRef ds:uri="985ec44e-1bab-4c0b-9df0-6ba128686fc9"/>
    <ds:schemaRef ds:uri="http://www.w3.org/XML/1998/namespace"/>
    <ds:schemaRef ds:uri="http://purl.org/dc/dcmitype/"/>
  </ds:schemaRefs>
</ds:datastoreItem>
</file>

<file path=customXml/itemProps4.xml><?xml version="1.0" encoding="utf-8"?>
<ds:datastoreItem xmlns:ds="http://schemas.openxmlformats.org/officeDocument/2006/customXml" ds:itemID="{740D08B4-F0F6-4427-A5F6-19C322F4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19741</Words>
  <Characters>112525</Characters>
  <Application>Microsoft Office Word</Application>
  <DocSecurity>0</DocSecurity>
  <Lines>937</Lines>
  <Paragraphs>264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CRPD/C/BOL/2-4</vt:lpstr>
      <vt:lpstr/>
      <vt:lpstr>CAT/C/XXX/Y</vt:lpstr>
    </vt:vector>
  </TitlesOfParts>
  <Company>DCM</Company>
  <LinksUpToDate>false</LinksUpToDate>
  <CharactersWithSpaces>132002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CRPD/C/BOL/2-4</dc:title>
  <dc:creator>Robert OUKO</dc:creator>
  <cp:lastModifiedBy>Robert OUKO</cp:lastModifiedBy>
  <cp:revision>2</cp:revision>
  <cp:lastPrinted>2013-10-24T10:25:00Z</cp:lastPrinted>
  <dcterms:created xsi:type="dcterms:W3CDTF">2024-04-29T13:12:00Z</dcterms:created>
  <dcterms:modified xsi:type="dcterms:W3CDTF">2024-04-29T13:12:00Z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18 de diciembre de 2023</vt:lpwstr>
  </property>
  <property fmtid="{D5CDD505-2E9C-101B-9397-08002B2CF9AE}" pid="12" name="Date-Generated">
    <vt:filetime>2023-12-21T07:41:19Z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273800</vt:r8>
  </property>
  <property fmtid="{D5CDD505-2E9C-101B-9397-08002B2CF9AE}" pid="23" name="Org">
    <vt:lpwstr>OHCHR</vt:lpwstr>
  </property>
  <property fmtid="{D5CDD505-2E9C-101B-9397-08002B2CF9AE}" pid="24" name="prep">
    <vt:lpwstr>a los informes periódicos segundo a cuarto combinados del Estado Plurinacional de Bolivia</vt:lpwstr>
  </property>
  <property fmtid="{D5CDD505-2E9C-101B-9397-08002B2CF9AE}" pid="25" name="preps">
    <vt:lpwstr>informes periódicos segundo a cuarto combinados del Estado Plurinacional de Bolivia</vt:lpwstr>
  </property>
  <property fmtid="{D5CDD505-2E9C-101B-9397-08002B2CF9AE}" pid="26" name="prepw">
    <vt:lpwstr>a los informes periódicos segundo a cuarto combinados</vt:lpwstr>
  </property>
  <property fmtid="{D5CDD505-2E9C-101B-9397-08002B2CF9AE}" pid="27" name="prepwc">
    <vt:lpwstr>Informes periódicos segundo a cuarto combinados </vt:lpwstr>
  </property>
  <property fmtid="{D5CDD505-2E9C-101B-9397-08002B2CF9AE}" pid="28" name="prepws">
    <vt:lpwstr>informes periódicos segundo a cuarto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C/BOL/2-4</vt:lpwstr>
  </property>
  <property fmtid="{D5CDD505-2E9C-101B-9397-08002B2CF9AE}" pid="33" name="symh">
    <vt:lpwstr>CRPD/C/BOL/2-4</vt:lpwstr>
  </property>
  <property fmtid="{D5CDD505-2E9C-101B-9397-08002B2CF9AE}" pid="34" name="Title">
    <vt:lpwstr>CRPD/C/BOL/2-4</vt:lpwstr>
  </property>
  <property fmtid="{D5CDD505-2E9C-101B-9397-08002B2CF9AE}" pid="35" name="tlang">
    <vt:lpwstr/>
  </property>
  <property fmtid="{D5CDD505-2E9C-101B-9397-08002B2CF9AE}" pid="36" name="virs">
    <vt:lpwstr>Árabe, español, francés y inglés únicamente</vt:lpwstr>
  </property>
</Properties>
</file>