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FFB64B" w14:textId="1AD2A0EA" w:rsidR="00DB3E24" w:rsidRPr="00C12931" w:rsidRDefault="00DB3E24" w:rsidP="00967D45">
      <w:pPr>
        <w:ind w:left="426" w:hanging="426"/>
        <w:jc w:val="both"/>
        <w:rPr>
          <w:rFonts w:ascii="Calibri" w:hAnsi="Calibri" w:cs="Arial Hebrew Scholar"/>
          <w:szCs w:val="22"/>
        </w:rPr>
      </w:pPr>
    </w:p>
    <w:p w14:paraId="3866D770" w14:textId="6EF8A514" w:rsidR="00DB3E24" w:rsidRPr="00C12931" w:rsidRDefault="00DB3E24" w:rsidP="00967D45">
      <w:pPr>
        <w:ind w:left="426" w:hanging="426"/>
        <w:jc w:val="both"/>
        <w:rPr>
          <w:rFonts w:ascii="Calibri" w:hAnsi="Calibri" w:cs="Arial Hebrew Scholar"/>
          <w:szCs w:val="22"/>
        </w:rPr>
      </w:pPr>
    </w:p>
    <w:p w14:paraId="5C63C6D1" w14:textId="77777777" w:rsidR="00222E66" w:rsidRPr="00C12931" w:rsidRDefault="00222E66" w:rsidP="00967D45">
      <w:pPr>
        <w:pStyle w:val="NormalWeb"/>
        <w:spacing w:before="0" w:beforeAutospacing="0" w:after="0" w:afterAutospacing="0"/>
        <w:ind w:left="426" w:hanging="426"/>
        <w:jc w:val="both"/>
        <w:rPr>
          <w:rFonts w:ascii="Calibri" w:hAnsi="Calibri" w:cs="Arial Hebrew Scholar"/>
          <w:color w:val="000000"/>
          <w:szCs w:val="22"/>
        </w:rPr>
      </w:pPr>
    </w:p>
    <w:p w14:paraId="7ACF25AD" w14:textId="734F593E" w:rsidR="00DD7FE6" w:rsidRPr="00C12931" w:rsidRDefault="00DD7FE6" w:rsidP="00967D45">
      <w:pPr>
        <w:pStyle w:val="NormalWeb"/>
        <w:spacing w:before="0" w:beforeAutospacing="0" w:after="0" w:afterAutospacing="0"/>
        <w:ind w:left="426" w:hanging="426"/>
        <w:jc w:val="both"/>
        <w:rPr>
          <w:rFonts w:ascii="Calibri" w:hAnsi="Calibri" w:cs="Arial Hebrew Scholar"/>
          <w:color w:val="000000"/>
          <w:szCs w:val="22"/>
        </w:rPr>
      </w:pPr>
    </w:p>
    <w:p w14:paraId="77E5514F" w14:textId="77777777" w:rsidR="00DD7FE6" w:rsidRPr="00C12931" w:rsidRDefault="00DD7FE6" w:rsidP="00967D45">
      <w:pPr>
        <w:pStyle w:val="NormalWeb"/>
        <w:spacing w:before="0" w:beforeAutospacing="0" w:after="0" w:afterAutospacing="0"/>
        <w:ind w:left="426" w:hanging="426"/>
        <w:jc w:val="both"/>
        <w:rPr>
          <w:rFonts w:ascii="Calibri" w:hAnsi="Calibri" w:cs="Arial Hebrew Scholar"/>
          <w:color w:val="000000"/>
          <w:szCs w:val="22"/>
        </w:rPr>
      </w:pPr>
    </w:p>
    <w:p w14:paraId="336D4075" w14:textId="60D7B12C" w:rsidR="00DD7FE6" w:rsidRDefault="00DD7FE6" w:rsidP="00967D45">
      <w:pPr>
        <w:pStyle w:val="NormalWeb"/>
        <w:spacing w:before="0" w:beforeAutospacing="0" w:after="0" w:afterAutospacing="0"/>
        <w:ind w:left="426" w:hanging="426"/>
        <w:jc w:val="both"/>
        <w:rPr>
          <w:rFonts w:ascii="Calibri" w:hAnsi="Calibri" w:cs="Arial Hebrew Scholar"/>
          <w:color w:val="000000"/>
          <w:szCs w:val="22"/>
        </w:rPr>
      </w:pPr>
    </w:p>
    <w:p w14:paraId="4DB4C57E" w14:textId="2B094AD1" w:rsidR="0090633A" w:rsidRDefault="0090633A" w:rsidP="00967D45">
      <w:pPr>
        <w:pStyle w:val="NormalWeb"/>
        <w:spacing w:before="0" w:beforeAutospacing="0" w:after="0" w:afterAutospacing="0"/>
        <w:ind w:left="426" w:hanging="426"/>
        <w:jc w:val="both"/>
        <w:rPr>
          <w:rFonts w:ascii="Calibri" w:hAnsi="Calibri" w:cs="Arial Hebrew Scholar"/>
          <w:color w:val="000000"/>
          <w:szCs w:val="22"/>
        </w:rPr>
      </w:pPr>
    </w:p>
    <w:p w14:paraId="1E87F7D0" w14:textId="613AAFC4" w:rsidR="0090633A" w:rsidRDefault="0090633A" w:rsidP="00967D45">
      <w:pPr>
        <w:pStyle w:val="NormalWeb"/>
        <w:spacing w:before="0" w:beforeAutospacing="0" w:after="0" w:afterAutospacing="0"/>
        <w:ind w:left="426" w:hanging="426"/>
        <w:jc w:val="both"/>
        <w:rPr>
          <w:rFonts w:ascii="Calibri" w:hAnsi="Calibri" w:cs="Arial Hebrew Scholar"/>
          <w:color w:val="000000"/>
          <w:szCs w:val="22"/>
        </w:rPr>
      </w:pPr>
    </w:p>
    <w:p w14:paraId="2375DDCD" w14:textId="77777777" w:rsidR="0090633A" w:rsidRPr="00C12931" w:rsidRDefault="0090633A" w:rsidP="00967D45">
      <w:pPr>
        <w:pStyle w:val="NormalWeb"/>
        <w:spacing w:before="0" w:beforeAutospacing="0" w:after="0" w:afterAutospacing="0"/>
        <w:ind w:left="426" w:hanging="426"/>
        <w:jc w:val="both"/>
        <w:rPr>
          <w:rFonts w:ascii="Calibri" w:hAnsi="Calibri" w:cs="Arial Hebrew Scholar"/>
          <w:color w:val="000000"/>
          <w:szCs w:val="22"/>
        </w:rPr>
      </w:pPr>
    </w:p>
    <w:p w14:paraId="69B939CF" w14:textId="77777777" w:rsidR="008C58C9" w:rsidRPr="00C12931" w:rsidRDefault="008C58C9" w:rsidP="00967D45">
      <w:pPr>
        <w:pStyle w:val="NormalWeb"/>
        <w:spacing w:before="0" w:beforeAutospacing="0" w:after="0" w:afterAutospacing="0"/>
        <w:ind w:left="426" w:hanging="426"/>
        <w:jc w:val="both"/>
        <w:rPr>
          <w:rFonts w:ascii="Calibri" w:hAnsi="Calibri" w:cs="Arial Hebrew Scholar"/>
          <w:color w:val="000000"/>
          <w:szCs w:val="22"/>
        </w:rPr>
      </w:pPr>
    </w:p>
    <w:p w14:paraId="0E9D450B" w14:textId="77777777" w:rsidR="000B6156" w:rsidRPr="002D3DC8" w:rsidRDefault="00F33438" w:rsidP="00967D45">
      <w:pPr>
        <w:ind w:left="426" w:hanging="426"/>
        <w:jc w:val="both"/>
        <w:rPr>
          <w:rFonts w:eastAsia="Arial" w:cs="Arial"/>
          <w:b/>
          <w:bCs/>
          <w:spacing w:val="-1"/>
          <w:sz w:val="36"/>
          <w:szCs w:val="36"/>
        </w:rPr>
      </w:pPr>
      <w:r w:rsidRPr="002D3DC8">
        <w:rPr>
          <w:rFonts w:eastAsia="Arial" w:cs="Arial"/>
          <w:b/>
          <w:bCs/>
          <w:spacing w:val="-1"/>
          <w:sz w:val="36"/>
          <w:szCs w:val="36"/>
        </w:rPr>
        <w:t xml:space="preserve">Submission to the </w:t>
      </w:r>
      <w:r w:rsidR="00130119" w:rsidRPr="002D3DC8">
        <w:rPr>
          <w:rFonts w:eastAsia="Arial" w:cs="Arial"/>
          <w:b/>
          <w:bCs/>
          <w:spacing w:val="-1"/>
          <w:sz w:val="36"/>
          <w:szCs w:val="36"/>
        </w:rPr>
        <w:t xml:space="preserve">UN Committee on the </w:t>
      </w:r>
    </w:p>
    <w:p w14:paraId="15F027B2" w14:textId="211A4BAA" w:rsidR="004D515E" w:rsidRPr="002D3DC8" w:rsidRDefault="00130119" w:rsidP="00967D45">
      <w:pPr>
        <w:ind w:left="426" w:hanging="426"/>
        <w:jc w:val="both"/>
        <w:rPr>
          <w:rFonts w:eastAsia="Arial" w:cs="Arial"/>
          <w:b/>
          <w:bCs/>
          <w:spacing w:val="-1"/>
          <w:sz w:val="36"/>
          <w:szCs w:val="36"/>
        </w:rPr>
      </w:pPr>
      <w:r w:rsidRPr="002D3DC8">
        <w:rPr>
          <w:rFonts w:eastAsia="Arial" w:cs="Arial"/>
          <w:b/>
          <w:bCs/>
          <w:spacing w:val="-1"/>
          <w:sz w:val="36"/>
          <w:szCs w:val="36"/>
        </w:rPr>
        <w:t>Elimination of Discrimination against Women:</w:t>
      </w:r>
    </w:p>
    <w:p w14:paraId="692857F4" w14:textId="54D041A5" w:rsidR="002D3DC8" w:rsidRPr="002D3DC8" w:rsidRDefault="002D3DC8" w:rsidP="00967D45">
      <w:pPr>
        <w:ind w:left="426" w:hanging="426"/>
        <w:jc w:val="both"/>
        <w:rPr>
          <w:rFonts w:eastAsia="Arial" w:cs="Arial"/>
          <w:b/>
          <w:bCs/>
          <w:spacing w:val="-1"/>
          <w:sz w:val="36"/>
          <w:szCs w:val="36"/>
        </w:rPr>
      </w:pPr>
      <w:r w:rsidRPr="002D3DC8">
        <w:rPr>
          <w:rFonts w:eastAsia="Arial" w:cs="Arial"/>
          <w:b/>
          <w:bCs/>
          <w:spacing w:val="-1"/>
          <w:sz w:val="36"/>
          <w:szCs w:val="36"/>
        </w:rPr>
        <w:t>Review of Canada at 89th Session (Oct</w:t>
      </w:r>
      <w:r>
        <w:rPr>
          <w:rFonts w:eastAsia="Arial" w:cs="Arial"/>
          <w:b/>
          <w:bCs/>
          <w:spacing w:val="-1"/>
          <w:sz w:val="36"/>
          <w:szCs w:val="36"/>
        </w:rPr>
        <w:t>ober</w:t>
      </w:r>
      <w:r w:rsidRPr="002D3DC8">
        <w:rPr>
          <w:rFonts w:eastAsia="Arial" w:cs="Arial"/>
          <w:b/>
          <w:bCs/>
          <w:spacing w:val="-1"/>
          <w:sz w:val="36"/>
          <w:szCs w:val="36"/>
        </w:rPr>
        <w:t xml:space="preserve"> </w:t>
      </w:r>
      <w:r>
        <w:rPr>
          <w:rFonts w:eastAsia="Arial" w:cs="Arial"/>
          <w:b/>
          <w:bCs/>
          <w:spacing w:val="-1"/>
          <w:sz w:val="36"/>
          <w:szCs w:val="36"/>
        </w:rPr>
        <w:t xml:space="preserve">7-25, </w:t>
      </w:r>
      <w:r w:rsidRPr="002D3DC8">
        <w:rPr>
          <w:rFonts w:eastAsia="Arial" w:cs="Arial"/>
          <w:b/>
          <w:bCs/>
          <w:spacing w:val="-1"/>
          <w:sz w:val="36"/>
          <w:szCs w:val="36"/>
        </w:rPr>
        <w:t>2024)</w:t>
      </w:r>
    </w:p>
    <w:p w14:paraId="148F4789" w14:textId="468369C2" w:rsidR="000B6156" w:rsidRPr="0062543B" w:rsidRDefault="000B6156" w:rsidP="00967D45">
      <w:pPr>
        <w:ind w:left="426" w:hanging="426"/>
        <w:jc w:val="both"/>
        <w:rPr>
          <w:rFonts w:eastAsia="Arial" w:cs="Arial"/>
          <w:b/>
          <w:bCs/>
          <w:spacing w:val="-1"/>
          <w:sz w:val="20"/>
          <w:szCs w:val="20"/>
        </w:rPr>
      </w:pPr>
    </w:p>
    <w:p w14:paraId="6B97C472" w14:textId="4510A02F" w:rsidR="00130119" w:rsidRPr="00130119" w:rsidRDefault="00130119" w:rsidP="00967D45">
      <w:pPr>
        <w:ind w:left="426" w:hanging="426"/>
        <w:jc w:val="both"/>
        <w:rPr>
          <w:rFonts w:ascii="Times New Roman" w:hAnsi="Times New Roman"/>
          <w:sz w:val="24"/>
        </w:rPr>
      </w:pPr>
    </w:p>
    <w:p w14:paraId="2D4D5D59" w14:textId="77777777" w:rsidR="00130119" w:rsidRDefault="00130119" w:rsidP="00967D45">
      <w:pPr>
        <w:ind w:left="426" w:right="316" w:hanging="426"/>
        <w:jc w:val="both"/>
        <w:rPr>
          <w:rFonts w:eastAsia="Arial" w:cs="Arial"/>
          <w:b/>
          <w:bCs/>
          <w:spacing w:val="-1"/>
          <w:sz w:val="36"/>
          <w:szCs w:val="36"/>
        </w:rPr>
      </w:pPr>
    </w:p>
    <w:p w14:paraId="48F72F3F" w14:textId="77777777" w:rsidR="00D702E0" w:rsidRPr="00D702E0" w:rsidRDefault="00D702E0" w:rsidP="00967D45">
      <w:pPr>
        <w:ind w:left="426" w:right="316" w:hanging="426"/>
        <w:jc w:val="both"/>
        <w:rPr>
          <w:rFonts w:eastAsia="Arial" w:cs="Arial"/>
          <w:b/>
          <w:bCs/>
          <w:spacing w:val="-1"/>
          <w:sz w:val="24"/>
        </w:rPr>
      </w:pPr>
    </w:p>
    <w:p w14:paraId="1BA924B6" w14:textId="77777777" w:rsidR="0090633A" w:rsidRDefault="0090633A" w:rsidP="00967D45">
      <w:pPr>
        <w:ind w:left="426" w:right="316" w:hanging="426"/>
        <w:jc w:val="both"/>
        <w:rPr>
          <w:rFonts w:eastAsia="Calibri" w:cs="Arial"/>
          <w:b/>
          <w:sz w:val="24"/>
        </w:rPr>
      </w:pPr>
    </w:p>
    <w:p w14:paraId="5BC3C918" w14:textId="77777777" w:rsidR="0090633A" w:rsidRDefault="0090633A" w:rsidP="00967D45">
      <w:pPr>
        <w:ind w:left="426" w:right="316" w:hanging="426"/>
        <w:jc w:val="both"/>
        <w:rPr>
          <w:rFonts w:eastAsia="Calibri" w:cs="Arial"/>
          <w:b/>
          <w:sz w:val="24"/>
        </w:rPr>
      </w:pPr>
    </w:p>
    <w:p w14:paraId="74138D5B" w14:textId="77777777" w:rsidR="0090633A" w:rsidRDefault="0090633A" w:rsidP="00967D45">
      <w:pPr>
        <w:ind w:left="426" w:right="316" w:hanging="426"/>
        <w:jc w:val="both"/>
        <w:rPr>
          <w:rFonts w:eastAsia="Calibri" w:cs="Arial"/>
          <w:b/>
          <w:sz w:val="24"/>
        </w:rPr>
      </w:pPr>
    </w:p>
    <w:p w14:paraId="0B6A97BB" w14:textId="77777777" w:rsidR="0090633A" w:rsidRDefault="0090633A" w:rsidP="00967D45">
      <w:pPr>
        <w:ind w:left="426" w:right="316" w:hanging="426"/>
        <w:jc w:val="both"/>
        <w:rPr>
          <w:rFonts w:eastAsia="Calibri" w:cs="Arial"/>
          <w:b/>
          <w:sz w:val="24"/>
        </w:rPr>
      </w:pPr>
    </w:p>
    <w:p w14:paraId="1027C9F8" w14:textId="77777777" w:rsidR="002838B5" w:rsidRDefault="002838B5" w:rsidP="00967D45">
      <w:pPr>
        <w:ind w:left="426" w:right="316" w:hanging="426"/>
        <w:jc w:val="both"/>
        <w:rPr>
          <w:rFonts w:eastAsia="Calibri" w:cs="Arial"/>
          <w:b/>
          <w:sz w:val="24"/>
        </w:rPr>
      </w:pPr>
    </w:p>
    <w:p w14:paraId="6C3C23D7" w14:textId="77777777" w:rsidR="002838B5" w:rsidRDefault="002838B5" w:rsidP="00967D45">
      <w:pPr>
        <w:ind w:left="426" w:right="316" w:hanging="426"/>
        <w:jc w:val="both"/>
        <w:rPr>
          <w:rFonts w:eastAsia="Calibri" w:cs="Arial"/>
          <w:b/>
          <w:sz w:val="24"/>
        </w:rPr>
      </w:pPr>
    </w:p>
    <w:p w14:paraId="2F23B89A" w14:textId="77777777" w:rsidR="002838B5" w:rsidRDefault="002838B5" w:rsidP="00967D45">
      <w:pPr>
        <w:ind w:left="426" w:right="316" w:hanging="426"/>
        <w:jc w:val="both"/>
        <w:rPr>
          <w:rFonts w:eastAsia="Calibri" w:cs="Arial"/>
          <w:b/>
          <w:sz w:val="24"/>
        </w:rPr>
      </w:pPr>
    </w:p>
    <w:p w14:paraId="54BD3AFF" w14:textId="77777777" w:rsidR="0090633A" w:rsidRDefault="0090633A" w:rsidP="00967D45">
      <w:pPr>
        <w:ind w:left="426" w:right="316" w:hanging="426"/>
        <w:jc w:val="both"/>
        <w:rPr>
          <w:rFonts w:eastAsia="Calibri" w:cs="Arial"/>
          <w:b/>
          <w:sz w:val="24"/>
        </w:rPr>
      </w:pPr>
    </w:p>
    <w:p w14:paraId="16F9EB42" w14:textId="37B1389D" w:rsidR="0090633A" w:rsidRDefault="00405262" w:rsidP="00967D45">
      <w:pPr>
        <w:ind w:left="426" w:right="316" w:hanging="426"/>
        <w:jc w:val="both"/>
        <w:rPr>
          <w:rFonts w:eastAsia="Calibri" w:cs="Arial"/>
          <w:b/>
          <w:sz w:val="24"/>
        </w:rPr>
      </w:pPr>
      <w:r>
        <w:rPr>
          <w:rFonts w:eastAsia="Calibri" w:cs="Arial"/>
          <w:b/>
          <w:sz w:val="24"/>
        </w:rPr>
        <w:t>September 2024</w:t>
      </w:r>
    </w:p>
    <w:p w14:paraId="28518994" w14:textId="77777777" w:rsidR="002838B5" w:rsidRDefault="002838B5" w:rsidP="00967D45">
      <w:pPr>
        <w:ind w:left="426" w:right="316" w:hanging="426"/>
        <w:jc w:val="both"/>
        <w:rPr>
          <w:rFonts w:eastAsia="Calibri" w:cs="Arial"/>
          <w:b/>
          <w:sz w:val="24"/>
        </w:rPr>
      </w:pPr>
    </w:p>
    <w:p w14:paraId="345EC41B" w14:textId="77777777" w:rsidR="002838B5" w:rsidRDefault="002838B5" w:rsidP="00967D45">
      <w:pPr>
        <w:ind w:left="426" w:right="316" w:hanging="426"/>
        <w:jc w:val="both"/>
        <w:rPr>
          <w:rFonts w:eastAsia="Calibri" w:cs="Arial"/>
          <w:b/>
          <w:sz w:val="24"/>
        </w:rPr>
      </w:pPr>
      <w:r>
        <w:rPr>
          <w:rFonts w:eastAsia="Calibri" w:cs="Arial"/>
          <w:b/>
          <w:sz w:val="24"/>
        </w:rPr>
        <w:t>HIV Legal Network</w:t>
      </w:r>
    </w:p>
    <w:p w14:paraId="65840186" w14:textId="6B5D74DA" w:rsidR="002838B5" w:rsidRDefault="00000000" w:rsidP="00967D45">
      <w:pPr>
        <w:ind w:left="426" w:right="316" w:hanging="426"/>
        <w:jc w:val="both"/>
        <w:rPr>
          <w:rFonts w:eastAsia="Calibri" w:cs="Arial"/>
          <w:b/>
          <w:sz w:val="24"/>
        </w:rPr>
      </w:pPr>
      <w:hyperlink r:id="rId11" w:history="1">
        <w:r w:rsidR="002838B5" w:rsidRPr="001554F9">
          <w:rPr>
            <w:rStyle w:val="Hyperlink"/>
            <w:rFonts w:eastAsia="Calibri" w:cs="Arial"/>
            <w:b/>
            <w:sz w:val="24"/>
          </w:rPr>
          <w:t>www.hivlegalnetwork.ca</w:t>
        </w:r>
      </w:hyperlink>
    </w:p>
    <w:p w14:paraId="5BDFDC74" w14:textId="77777777" w:rsidR="002838B5" w:rsidRDefault="002838B5" w:rsidP="00967D45">
      <w:pPr>
        <w:ind w:left="426" w:right="316" w:hanging="426"/>
        <w:jc w:val="both"/>
        <w:rPr>
          <w:rFonts w:eastAsia="Calibri" w:cs="Arial"/>
          <w:b/>
          <w:sz w:val="24"/>
        </w:rPr>
      </w:pPr>
    </w:p>
    <w:p w14:paraId="02108C77" w14:textId="59EB4839" w:rsidR="002838B5" w:rsidRDefault="002838B5" w:rsidP="00967D45">
      <w:pPr>
        <w:ind w:left="426" w:right="316" w:hanging="426"/>
        <w:jc w:val="both"/>
        <w:rPr>
          <w:rFonts w:eastAsia="Calibri" w:cs="Arial"/>
          <w:b/>
          <w:sz w:val="24"/>
        </w:rPr>
      </w:pPr>
      <w:r>
        <w:rPr>
          <w:rFonts w:eastAsia="Calibri" w:cs="Arial"/>
          <w:b/>
          <w:sz w:val="24"/>
        </w:rPr>
        <w:t>Canadian Drug Policy Coalition</w:t>
      </w:r>
    </w:p>
    <w:p w14:paraId="594176ED" w14:textId="45C99519" w:rsidR="002838B5" w:rsidRDefault="00000000" w:rsidP="00967D45">
      <w:pPr>
        <w:ind w:left="426" w:right="316" w:hanging="426"/>
        <w:jc w:val="both"/>
        <w:rPr>
          <w:rFonts w:eastAsia="Calibri" w:cs="Arial"/>
          <w:b/>
          <w:sz w:val="24"/>
        </w:rPr>
      </w:pPr>
      <w:hyperlink r:id="rId12" w:history="1">
        <w:r w:rsidR="002838B5" w:rsidRPr="001554F9">
          <w:rPr>
            <w:rStyle w:val="Hyperlink"/>
            <w:rFonts w:eastAsia="Calibri" w:cs="Arial"/>
            <w:b/>
            <w:sz w:val="24"/>
          </w:rPr>
          <w:t>www.drugpolicy.ca</w:t>
        </w:r>
      </w:hyperlink>
      <w:r w:rsidR="002838B5">
        <w:rPr>
          <w:rFonts w:eastAsia="Calibri" w:cs="Arial"/>
          <w:b/>
          <w:sz w:val="24"/>
        </w:rPr>
        <w:t xml:space="preserve"> </w:t>
      </w:r>
    </w:p>
    <w:p w14:paraId="2F55C7BA" w14:textId="77777777" w:rsidR="0090633A" w:rsidRDefault="0090633A" w:rsidP="00967D45">
      <w:pPr>
        <w:ind w:left="426" w:right="316" w:hanging="426"/>
        <w:jc w:val="both"/>
        <w:rPr>
          <w:rFonts w:eastAsia="Calibri" w:cs="Arial"/>
          <w:b/>
          <w:sz w:val="24"/>
        </w:rPr>
      </w:pPr>
    </w:p>
    <w:p w14:paraId="0A5FE507" w14:textId="2E40DB13" w:rsidR="004D515E" w:rsidRPr="0062543B" w:rsidRDefault="004D515E" w:rsidP="00967D45">
      <w:pPr>
        <w:ind w:left="426" w:hanging="426"/>
        <w:jc w:val="both"/>
        <w:rPr>
          <w:rFonts w:ascii="Calibri" w:hAnsi="Calibri" w:cs="Arial Hebrew Scholar"/>
          <w:b/>
          <w:szCs w:val="22"/>
        </w:rPr>
        <w:sectPr w:rsidR="004D515E" w:rsidRPr="0062543B" w:rsidSect="00495FFD">
          <w:footerReference w:type="even" r:id="rId13"/>
          <w:footerReference w:type="default" r:id="rId14"/>
          <w:headerReference w:type="first" r:id="rId15"/>
          <w:footerReference w:type="first" r:id="rId16"/>
          <w:endnotePr>
            <w:numFmt w:val="decimal"/>
          </w:endnotePr>
          <w:pgSz w:w="12240" w:h="15840"/>
          <w:pgMar w:top="1440" w:right="1440" w:bottom="1701" w:left="1440" w:header="709" w:footer="567" w:gutter="0"/>
          <w:pgNumType w:start="0"/>
          <w:cols w:space="708"/>
          <w:titlePg/>
          <w:docGrid w:linePitch="360"/>
        </w:sectPr>
      </w:pPr>
    </w:p>
    <w:p w14:paraId="6C06C0D7" w14:textId="0E928984" w:rsidR="00BE5991" w:rsidRPr="00C23A93" w:rsidRDefault="0012584F" w:rsidP="00967D45">
      <w:pPr>
        <w:pStyle w:val="Heading1"/>
        <w:numPr>
          <w:ilvl w:val="0"/>
          <w:numId w:val="0"/>
        </w:numPr>
        <w:ind w:left="426" w:hanging="426"/>
        <w:jc w:val="both"/>
        <w:rPr>
          <w:sz w:val="32"/>
          <w:szCs w:val="32"/>
        </w:rPr>
      </w:pPr>
      <w:bookmarkStart w:id="0" w:name="_Toc482796059"/>
      <w:r w:rsidRPr="00C23A93">
        <w:rPr>
          <w:sz w:val="32"/>
          <w:szCs w:val="32"/>
        </w:rPr>
        <w:lastRenderedPageBreak/>
        <w:t>INTRODUCTION</w:t>
      </w:r>
      <w:bookmarkEnd w:id="0"/>
    </w:p>
    <w:p w14:paraId="7458A281" w14:textId="77777777" w:rsidR="0094588B" w:rsidRPr="00CD6EEA" w:rsidRDefault="0094588B" w:rsidP="00967D45">
      <w:pPr>
        <w:ind w:left="426" w:hanging="426"/>
        <w:jc w:val="both"/>
        <w:rPr>
          <w:rFonts w:cs="Arial"/>
          <w:sz w:val="10"/>
          <w:szCs w:val="10"/>
        </w:rPr>
      </w:pPr>
    </w:p>
    <w:p w14:paraId="03CFE3D1" w14:textId="2A0B87F3" w:rsidR="00BB4551" w:rsidRPr="00CD6130" w:rsidRDefault="009350D3" w:rsidP="00967D45">
      <w:pPr>
        <w:pStyle w:val="ListParagraph"/>
        <w:numPr>
          <w:ilvl w:val="0"/>
          <w:numId w:val="21"/>
        </w:numPr>
        <w:ind w:left="426" w:hanging="426"/>
        <w:jc w:val="both"/>
        <w:rPr>
          <w:szCs w:val="22"/>
        </w:rPr>
      </w:pPr>
      <w:r>
        <w:rPr>
          <w:szCs w:val="22"/>
        </w:rPr>
        <w:t>T</w:t>
      </w:r>
      <w:r w:rsidRPr="0062543B">
        <w:rPr>
          <w:szCs w:val="22"/>
        </w:rPr>
        <w:t>he HIV Legal Network</w:t>
      </w:r>
      <w:r w:rsidR="005018C7">
        <w:rPr>
          <w:szCs w:val="22"/>
        </w:rPr>
        <w:t xml:space="preserve"> (Legal Network)</w:t>
      </w:r>
      <w:r w:rsidR="00857F61">
        <w:rPr>
          <w:szCs w:val="22"/>
        </w:rPr>
        <w:t xml:space="preserve"> and the Canadian Drug Policy Coalition (CDPC)</w:t>
      </w:r>
      <w:r w:rsidRPr="0062543B">
        <w:rPr>
          <w:szCs w:val="22"/>
        </w:rPr>
        <w:t xml:space="preserve"> </w:t>
      </w:r>
      <w:r>
        <w:rPr>
          <w:szCs w:val="22"/>
        </w:rPr>
        <w:t xml:space="preserve">make this submission </w:t>
      </w:r>
      <w:r w:rsidR="00BB4551" w:rsidRPr="00BB4551">
        <w:rPr>
          <w:szCs w:val="22"/>
        </w:rPr>
        <w:t>to the Committee on the Elimination of Discrimination against Women (</w:t>
      </w:r>
      <w:r w:rsidR="005018C7">
        <w:rPr>
          <w:szCs w:val="22"/>
        </w:rPr>
        <w:t xml:space="preserve">CEDAW </w:t>
      </w:r>
      <w:r w:rsidR="00BB4551" w:rsidRPr="00BB4551">
        <w:rPr>
          <w:szCs w:val="22"/>
        </w:rPr>
        <w:t xml:space="preserve">Committee) in advance of its review of the periodic report of Canada, held during its </w:t>
      </w:r>
      <w:r w:rsidR="005018C7" w:rsidRPr="005018C7">
        <w:rPr>
          <w:szCs w:val="22"/>
        </w:rPr>
        <w:t>89th Session (October 7-25, 2024</w:t>
      </w:r>
      <w:r w:rsidR="005018C7">
        <w:rPr>
          <w:szCs w:val="22"/>
        </w:rPr>
        <w:t>)</w:t>
      </w:r>
      <w:r w:rsidR="00BB4551" w:rsidRPr="00CD6130">
        <w:rPr>
          <w:szCs w:val="22"/>
        </w:rPr>
        <w:t>.</w:t>
      </w:r>
    </w:p>
    <w:p w14:paraId="596380BF" w14:textId="77777777" w:rsidR="00BB4551" w:rsidRPr="00BB4551" w:rsidRDefault="00BB4551" w:rsidP="00967D45">
      <w:pPr>
        <w:pStyle w:val="ListParagraph"/>
        <w:ind w:left="426" w:hanging="426"/>
        <w:jc w:val="both"/>
        <w:rPr>
          <w:szCs w:val="22"/>
        </w:rPr>
      </w:pPr>
    </w:p>
    <w:p w14:paraId="77AF5DCF" w14:textId="7D0F557A" w:rsidR="00BA685D" w:rsidRDefault="00BB4551" w:rsidP="00967D45">
      <w:pPr>
        <w:pStyle w:val="ListParagraph"/>
        <w:numPr>
          <w:ilvl w:val="0"/>
          <w:numId w:val="21"/>
        </w:numPr>
        <w:ind w:left="426" w:hanging="426"/>
        <w:jc w:val="both"/>
        <w:rPr>
          <w:szCs w:val="22"/>
        </w:rPr>
      </w:pPr>
      <w:r w:rsidRPr="00EC469A">
        <w:rPr>
          <w:szCs w:val="22"/>
        </w:rPr>
        <w:t xml:space="preserve">The Legal Network </w:t>
      </w:r>
      <w:r w:rsidR="00577E78" w:rsidRPr="00EC469A">
        <w:rPr>
          <w:szCs w:val="22"/>
        </w:rPr>
        <w:t xml:space="preserve">is a health justice organization that works to promote the human rights of people living with HIV or AIDS and other populations disproportionately affected by HIV, punitive laws and policies, and criminalization, in Canada and internationally. </w:t>
      </w:r>
      <w:bookmarkStart w:id="1" w:name="_Toc482796062"/>
    </w:p>
    <w:p w14:paraId="69BB604C" w14:textId="77777777" w:rsidR="00F50113" w:rsidRPr="00F50113" w:rsidRDefault="00F50113" w:rsidP="00967D45">
      <w:pPr>
        <w:ind w:left="426" w:hanging="426"/>
        <w:jc w:val="both"/>
        <w:rPr>
          <w:szCs w:val="22"/>
        </w:rPr>
      </w:pPr>
    </w:p>
    <w:p w14:paraId="408D8E17" w14:textId="4498B9E1" w:rsidR="002E45D0" w:rsidRDefault="002838B5" w:rsidP="00967D45">
      <w:pPr>
        <w:pStyle w:val="ListParagraph"/>
        <w:numPr>
          <w:ilvl w:val="0"/>
          <w:numId w:val="21"/>
        </w:numPr>
        <w:ind w:left="426" w:hanging="426"/>
        <w:jc w:val="both"/>
        <w:rPr>
          <w:szCs w:val="22"/>
        </w:rPr>
      </w:pPr>
      <w:r w:rsidRPr="00EC469A">
        <w:rPr>
          <w:szCs w:val="22"/>
        </w:rPr>
        <w:t xml:space="preserve">CDPC </w:t>
      </w:r>
      <w:r w:rsidR="0040606D" w:rsidRPr="00EC469A">
        <w:rPr>
          <w:szCs w:val="22"/>
        </w:rPr>
        <w:t xml:space="preserve">is a national, non-partisan organization working to advance drug policy grounded in </w:t>
      </w:r>
      <w:r w:rsidR="00690475">
        <w:rPr>
          <w:szCs w:val="22"/>
        </w:rPr>
        <w:t xml:space="preserve">evidence, </w:t>
      </w:r>
      <w:r w:rsidR="0040606D" w:rsidRPr="00EC469A">
        <w:rPr>
          <w:szCs w:val="22"/>
        </w:rPr>
        <w:t xml:space="preserve">public health and human rights in Canada. </w:t>
      </w:r>
    </w:p>
    <w:p w14:paraId="4F5761C3" w14:textId="77777777" w:rsidR="00F50113" w:rsidRPr="00F50113" w:rsidRDefault="00F50113" w:rsidP="00967D45">
      <w:pPr>
        <w:ind w:left="426" w:hanging="426"/>
        <w:jc w:val="both"/>
        <w:rPr>
          <w:szCs w:val="22"/>
        </w:rPr>
      </w:pPr>
    </w:p>
    <w:p w14:paraId="3B943A4E" w14:textId="1979CD62" w:rsidR="002E45D0" w:rsidRDefault="00C346E6" w:rsidP="00967D45">
      <w:pPr>
        <w:pStyle w:val="ListParagraph"/>
        <w:numPr>
          <w:ilvl w:val="0"/>
          <w:numId w:val="21"/>
        </w:numPr>
        <w:ind w:left="426" w:hanging="426"/>
        <w:jc w:val="both"/>
        <w:rPr>
          <w:szCs w:val="22"/>
        </w:rPr>
      </w:pPr>
      <w:r>
        <w:rPr>
          <w:szCs w:val="22"/>
        </w:rPr>
        <w:t>In this submission</w:t>
      </w:r>
      <w:r w:rsidR="002E45D0" w:rsidRPr="002E45D0">
        <w:rPr>
          <w:szCs w:val="22"/>
        </w:rPr>
        <w:t xml:space="preserve">, we wish to highlight priority concerns regarding inadequate implementation of </w:t>
      </w:r>
      <w:r w:rsidR="00515325">
        <w:rPr>
          <w:szCs w:val="22"/>
        </w:rPr>
        <w:t xml:space="preserve">the </w:t>
      </w:r>
      <w:r w:rsidR="00515325" w:rsidRPr="00163E9E">
        <w:rPr>
          <w:i/>
          <w:iCs/>
          <w:szCs w:val="22"/>
        </w:rPr>
        <w:t xml:space="preserve">Convention on the Elimination of All Forms of Discrimination </w:t>
      </w:r>
      <w:r w:rsidR="005D3286">
        <w:rPr>
          <w:i/>
          <w:iCs/>
          <w:szCs w:val="22"/>
        </w:rPr>
        <w:t>A</w:t>
      </w:r>
      <w:r w:rsidR="00515325" w:rsidRPr="00163E9E">
        <w:rPr>
          <w:i/>
          <w:iCs/>
          <w:szCs w:val="22"/>
        </w:rPr>
        <w:t>gainst Women</w:t>
      </w:r>
      <w:r w:rsidR="00515325" w:rsidRPr="00515325">
        <w:rPr>
          <w:szCs w:val="22"/>
        </w:rPr>
        <w:t xml:space="preserve"> </w:t>
      </w:r>
      <w:r w:rsidR="00515325">
        <w:rPr>
          <w:szCs w:val="22"/>
        </w:rPr>
        <w:t>(</w:t>
      </w:r>
      <w:r w:rsidR="002E45D0" w:rsidRPr="002E45D0">
        <w:rPr>
          <w:szCs w:val="22"/>
        </w:rPr>
        <w:t>CEDAW</w:t>
      </w:r>
      <w:r w:rsidR="00515325">
        <w:rPr>
          <w:szCs w:val="22"/>
        </w:rPr>
        <w:t>)</w:t>
      </w:r>
      <w:r w:rsidR="002E45D0" w:rsidRPr="002E45D0">
        <w:rPr>
          <w:szCs w:val="22"/>
        </w:rPr>
        <w:t xml:space="preserve"> for women and gender minorities who use drugs. We are particularly concerned with insufficient protections against gender-based violence (GBV), as well as other violations of the human rights to health, safety, and protection from discrimination</w:t>
      </w:r>
      <w:r w:rsidR="00515325">
        <w:rPr>
          <w:szCs w:val="22"/>
        </w:rPr>
        <w:t xml:space="preserve"> (</w:t>
      </w:r>
      <w:r w:rsidR="00A94678">
        <w:rPr>
          <w:szCs w:val="22"/>
        </w:rPr>
        <w:t xml:space="preserve">notably </w:t>
      </w:r>
      <w:r w:rsidR="00515325">
        <w:rPr>
          <w:szCs w:val="22"/>
        </w:rPr>
        <w:t xml:space="preserve">Articles </w:t>
      </w:r>
      <w:r w:rsidR="00A94678">
        <w:rPr>
          <w:szCs w:val="22"/>
        </w:rPr>
        <w:t>2</w:t>
      </w:r>
      <w:r w:rsidR="002E45D0" w:rsidRPr="002E45D0">
        <w:rPr>
          <w:szCs w:val="22"/>
        </w:rPr>
        <w:t xml:space="preserve">, </w:t>
      </w:r>
      <w:r w:rsidR="00A94678">
        <w:rPr>
          <w:szCs w:val="22"/>
        </w:rPr>
        <w:t>3</w:t>
      </w:r>
      <w:r w:rsidR="0093378E">
        <w:rPr>
          <w:szCs w:val="22"/>
        </w:rPr>
        <w:t xml:space="preserve">, </w:t>
      </w:r>
      <w:r w:rsidR="00D374E0">
        <w:rPr>
          <w:szCs w:val="22"/>
        </w:rPr>
        <w:t>and 12 of CEDAW)</w:t>
      </w:r>
      <w:r w:rsidR="00A94678">
        <w:rPr>
          <w:szCs w:val="22"/>
        </w:rPr>
        <w:t xml:space="preserve"> </w:t>
      </w:r>
      <w:r w:rsidR="002E45D0" w:rsidRPr="002E45D0">
        <w:rPr>
          <w:szCs w:val="22"/>
        </w:rPr>
        <w:t xml:space="preserve">for women and gender minorities who experience multiple, intersecting forms of oppression.  </w:t>
      </w:r>
    </w:p>
    <w:p w14:paraId="4D7C668F" w14:textId="77777777" w:rsidR="00211480" w:rsidRPr="00211480" w:rsidRDefault="00211480" w:rsidP="00967D45">
      <w:pPr>
        <w:pStyle w:val="ListParagraph"/>
        <w:ind w:left="426" w:hanging="426"/>
        <w:rPr>
          <w:szCs w:val="22"/>
        </w:rPr>
      </w:pPr>
    </w:p>
    <w:p w14:paraId="756890B4" w14:textId="77777777" w:rsidR="009B1084" w:rsidRPr="009B1084" w:rsidRDefault="009B1084" w:rsidP="00967D45">
      <w:pPr>
        <w:ind w:left="426" w:hanging="426"/>
        <w:rPr>
          <w:lang w:val="en-US" w:eastAsia="ar-SA"/>
        </w:rPr>
      </w:pPr>
    </w:p>
    <w:bookmarkEnd w:id="1"/>
    <w:p w14:paraId="10880B53" w14:textId="7A74D2BA" w:rsidR="00211480" w:rsidRPr="00E226DF" w:rsidRDefault="00211480" w:rsidP="00967D45">
      <w:pPr>
        <w:pStyle w:val="Heading1"/>
        <w:numPr>
          <w:ilvl w:val="0"/>
          <w:numId w:val="0"/>
        </w:numPr>
        <w:ind w:left="426" w:hanging="426"/>
        <w:jc w:val="both"/>
        <w:rPr>
          <w:sz w:val="32"/>
          <w:szCs w:val="32"/>
          <w:lang w:val="en-CA"/>
        </w:rPr>
      </w:pPr>
      <w:r w:rsidRPr="00E226DF">
        <w:rPr>
          <w:sz w:val="32"/>
          <w:szCs w:val="32"/>
          <w:lang w:val="en-CA"/>
        </w:rPr>
        <w:t>background</w:t>
      </w:r>
    </w:p>
    <w:p w14:paraId="4E2733C9" w14:textId="54F622F2" w:rsidR="00211480" w:rsidRPr="00211480" w:rsidRDefault="00211480" w:rsidP="00967D45">
      <w:pPr>
        <w:pStyle w:val="ListParagraph"/>
        <w:ind w:left="426" w:hanging="426"/>
        <w:jc w:val="both"/>
        <w:rPr>
          <w:szCs w:val="22"/>
        </w:rPr>
      </w:pPr>
    </w:p>
    <w:p w14:paraId="6904C926" w14:textId="796847D2" w:rsidR="00211480" w:rsidRPr="00211480" w:rsidRDefault="00211480" w:rsidP="00967D45">
      <w:pPr>
        <w:pStyle w:val="ListParagraph"/>
        <w:numPr>
          <w:ilvl w:val="0"/>
          <w:numId w:val="21"/>
        </w:numPr>
        <w:ind w:left="426" w:hanging="426"/>
        <w:jc w:val="both"/>
        <w:rPr>
          <w:szCs w:val="22"/>
        </w:rPr>
      </w:pPr>
      <w:r w:rsidRPr="00211480">
        <w:rPr>
          <w:szCs w:val="22"/>
        </w:rPr>
        <w:t>The Canadian government has acknowledged the need to implement enhanced health and safety initiatives for women, girls and gender</w:t>
      </w:r>
      <w:r w:rsidR="001D1AED">
        <w:rPr>
          <w:szCs w:val="22"/>
        </w:rPr>
        <w:t>-</w:t>
      </w:r>
      <w:r w:rsidRPr="00211480">
        <w:rPr>
          <w:szCs w:val="22"/>
        </w:rPr>
        <w:t>diverse people, who historically and contemporaneously experience elevated rates of ill health and unmet safety needs. To this end, Canada has made some advancements in how it conceptualizes and addresses health and safety for people who are marginalized at the intersections of their socioeconomic background, race, ethnicity, cultural background, and/or ability. However, women and gender minorities who use illegal drugs, and who are involved in the illegal drug trade, continue to experience extreme discrimination</w:t>
      </w:r>
      <w:r w:rsidR="00A42F27">
        <w:rPr>
          <w:szCs w:val="22"/>
        </w:rPr>
        <w:t xml:space="preserve"> </w:t>
      </w:r>
      <w:r w:rsidR="00A42F27" w:rsidRPr="00A42F27">
        <w:rPr>
          <w:szCs w:val="22"/>
          <w:lang w:val="en-CA"/>
        </w:rPr>
        <w:t>—</w:t>
      </w:r>
      <w:r w:rsidR="00A42F27">
        <w:rPr>
          <w:szCs w:val="22"/>
        </w:rPr>
        <w:t xml:space="preserve"> </w:t>
      </w:r>
      <w:r w:rsidRPr="00211480">
        <w:rPr>
          <w:szCs w:val="22"/>
        </w:rPr>
        <w:t xml:space="preserve">compounded for women and gender minorities who experience intersecting oppressions due to their race, ethnicity, cultural background, socioeconomic status, and ability. </w:t>
      </w:r>
    </w:p>
    <w:p w14:paraId="77A5A997" w14:textId="77777777" w:rsidR="00211480" w:rsidRPr="00211480" w:rsidRDefault="00211480" w:rsidP="00967D45">
      <w:pPr>
        <w:pStyle w:val="ListParagraph"/>
        <w:ind w:left="426" w:hanging="426"/>
        <w:jc w:val="both"/>
        <w:rPr>
          <w:szCs w:val="22"/>
        </w:rPr>
      </w:pPr>
    </w:p>
    <w:p w14:paraId="4D00EC00" w14:textId="77777777" w:rsidR="00F50113" w:rsidRDefault="00163E9E" w:rsidP="00967D45">
      <w:pPr>
        <w:pStyle w:val="ListParagraph"/>
        <w:numPr>
          <w:ilvl w:val="0"/>
          <w:numId w:val="21"/>
        </w:numPr>
        <w:ind w:left="426" w:hanging="426"/>
        <w:jc w:val="both"/>
        <w:rPr>
          <w:szCs w:val="22"/>
        </w:rPr>
      </w:pPr>
      <w:r w:rsidRPr="00211480">
        <w:rPr>
          <w:szCs w:val="22"/>
        </w:rPr>
        <w:t xml:space="preserve">Women and gender minorities who use illegal drugs have been systematically dehumanized by well over a century of criminal-legal responses to drug use and the cultural attitudes that flow from these responses </w:t>
      </w:r>
      <w:r w:rsidRPr="0011316D">
        <w:rPr>
          <w:szCs w:val="22"/>
          <w:lang w:val="en-CA"/>
        </w:rPr>
        <w:t xml:space="preserve">— </w:t>
      </w:r>
      <w:r w:rsidRPr="00211480">
        <w:rPr>
          <w:szCs w:val="22"/>
        </w:rPr>
        <w:t xml:space="preserve">so much so that they are routinely excluded from basic conceptions of personhood. For example, the belief that women and gender minorities who use drugs lack rationality and self-control manifests in discriminatory housing, shelter, employment, and child apprehension policies. It is still taken for granted that caregivers who use drugs are automatically a risk to themselves and their children. Because drug-related stigma is naturalized in nearly every domain of social activity, it has been rendered invisible. </w:t>
      </w:r>
    </w:p>
    <w:p w14:paraId="376A96AA" w14:textId="77777777" w:rsidR="00F50113" w:rsidRPr="00F50113" w:rsidRDefault="00F50113" w:rsidP="00967D45">
      <w:pPr>
        <w:pStyle w:val="ListParagraph"/>
        <w:ind w:left="426" w:hanging="426"/>
        <w:rPr>
          <w:b/>
          <w:bCs/>
          <w:szCs w:val="22"/>
        </w:rPr>
      </w:pPr>
    </w:p>
    <w:p w14:paraId="418C691B" w14:textId="4F978E4A" w:rsidR="00211480" w:rsidRPr="00163E9E" w:rsidRDefault="00163E9E" w:rsidP="00967D45">
      <w:pPr>
        <w:pStyle w:val="ListParagraph"/>
        <w:ind w:left="426"/>
        <w:jc w:val="both"/>
        <w:rPr>
          <w:szCs w:val="22"/>
        </w:rPr>
      </w:pPr>
      <w:r w:rsidRPr="00163E9E">
        <w:rPr>
          <w:b/>
          <w:bCs/>
          <w:szCs w:val="22"/>
        </w:rPr>
        <w:t>Our primary purpose with this submission is to illuminate how the human rights of women and gender minorities who use drugs remain obscured, deprioritized, or overlooked by the Canadian government even as its understanding of gender-based health and safety is evolving</w:t>
      </w:r>
      <w:r w:rsidRPr="00211480">
        <w:rPr>
          <w:szCs w:val="22"/>
        </w:rPr>
        <w:t>.</w:t>
      </w:r>
    </w:p>
    <w:p w14:paraId="2604BB09" w14:textId="5E80E409" w:rsidR="00211480" w:rsidRPr="00E226DF" w:rsidRDefault="00211480" w:rsidP="00F02050">
      <w:pPr>
        <w:pStyle w:val="Heading1"/>
        <w:numPr>
          <w:ilvl w:val="0"/>
          <w:numId w:val="0"/>
        </w:numPr>
        <w:jc w:val="both"/>
        <w:rPr>
          <w:sz w:val="32"/>
          <w:szCs w:val="32"/>
          <w:lang w:val="en-CA"/>
        </w:rPr>
      </w:pPr>
      <w:r w:rsidRPr="00E226DF">
        <w:rPr>
          <w:sz w:val="32"/>
          <w:szCs w:val="32"/>
        </w:rPr>
        <w:lastRenderedPageBreak/>
        <w:t xml:space="preserve">Working Definitions of Health and Safety </w:t>
      </w:r>
    </w:p>
    <w:p w14:paraId="1E225432" w14:textId="77777777" w:rsidR="00211480" w:rsidRPr="00211480" w:rsidRDefault="00211480" w:rsidP="00967D45">
      <w:pPr>
        <w:pStyle w:val="ListParagraph"/>
        <w:ind w:left="426" w:hanging="426"/>
        <w:jc w:val="both"/>
        <w:rPr>
          <w:szCs w:val="22"/>
          <w:lang w:val="en-CA"/>
        </w:rPr>
      </w:pPr>
    </w:p>
    <w:p w14:paraId="50FA8E8B" w14:textId="1F78112D" w:rsidR="00211480" w:rsidRPr="00211480" w:rsidRDefault="00211480" w:rsidP="00967D45">
      <w:pPr>
        <w:pStyle w:val="ListParagraph"/>
        <w:numPr>
          <w:ilvl w:val="0"/>
          <w:numId w:val="21"/>
        </w:numPr>
        <w:ind w:left="426" w:hanging="426"/>
        <w:jc w:val="both"/>
        <w:rPr>
          <w:szCs w:val="22"/>
        </w:rPr>
      </w:pPr>
      <w:r w:rsidRPr="00211480">
        <w:rPr>
          <w:szCs w:val="22"/>
        </w:rPr>
        <w:t>“Health” is characterized by more than the mere absence of physical illness, disease, or disablement. It is a multi-faceted state of mental, emotional, physical, and communal well-being. Health outcomes are also shaped by socio-cultural, political, and economic factors through complex causal pathways. Therefore, we adopt a broad and holistic definition of health that encompasses multiple outcome measures</w:t>
      </w:r>
      <w:r w:rsidR="00E42EB9">
        <w:rPr>
          <w:szCs w:val="22"/>
        </w:rPr>
        <w:t xml:space="preserve">, and </w:t>
      </w:r>
      <w:r w:rsidR="00E42EB9" w:rsidRPr="00211480">
        <w:rPr>
          <w:szCs w:val="22"/>
        </w:rPr>
        <w:t>will describe how specific policies, programs, practices, laws, and regulations at every level of Canadian government preclude women and gender minorities who use drugs from access to the very conditions required to pursue health</w:t>
      </w:r>
      <w:r w:rsidRPr="00211480">
        <w:rPr>
          <w:szCs w:val="22"/>
        </w:rPr>
        <w:t xml:space="preserve">. We do so to incorporate considerations of how legislative and regulatory environments promote or undermine health for individuals and communities. </w:t>
      </w:r>
    </w:p>
    <w:p w14:paraId="373B533F" w14:textId="01A78206" w:rsidR="00211480" w:rsidRPr="00211480" w:rsidRDefault="00211480" w:rsidP="00967D45">
      <w:pPr>
        <w:pStyle w:val="ListParagraph"/>
        <w:ind w:left="426" w:hanging="426"/>
        <w:jc w:val="both"/>
        <w:rPr>
          <w:szCs w:val="22"/>
        </w:rPr>
      </w:pPr>
    </w:p>
    <w:p w14:paraId="79F56F2D" w14:textId="009DECD7" w:rsidR="00211480" w:rsidRPr="00211480" w:rsidRDefault="00211480" w:rsidP="00967D45">
      <w:pPr>
        <w:pStyle w:val="ListParagraph"/>
        <w:numPr>
          <w:ilvl w:val="0"/>
          <w:numId w:val="21"/>
        </w:numPr>
        <w:ind w:left="426" w:hanging="426"/>
        <w:jc w:val="both"/>
        <w:rPr>
          <w:szCs w:val="22"/>
        </w:rPr>
      </w:pPr>
      <w:r w:rsidRPr="00211480">
        <w:rPr>
          <w:szCs w:val="22"/>
        </w:rPr>
        <w:t>Similarly, we view “safety” as more than the absence of mental, emotional, and bodily harm or the threat of harm. A robust and comprehensive definition of safety denotes objective and perceived security in every domain of social activity. To be “safe” is to trust that one can meet their material needs for food, shelter, and other requirements for sustaining life; can readily access a range of interpersonal supports to improve their objective and perceived security; can seek meaningful recourse when they experience mental, emotional, and bodily harm or the threat of harm; and can enjoy the benefits of full civic, economic, and political participation. One’s experience of safety is therefore heavily contingent on the legislative and regulatory environments, and the presence of policies, programs, practices, laws, and regulations designed to promote objective and perceived security. With this submission, we discuss how women and gender minorities are routinely excluded from accessing the conditions required to pursue</w:t>
      </w:r>
      <w:r w:rsidR="00192B53">
        <w:rPr>
          <w:szCs w:val="22"/>
        </w:rPr>
        <w:t xml:space="preserve"> health and</w:t>
      </w:r>
      <w:r w:rsidRPr="00211480">
        <w:rPr>
          <w:szCs w:val="22"/>
        </w:rPr>
        <w:t xml:space="preserve"> safety. </w:t>
      </w:r>
    </w:p>
    <w:p w14:paraId="57B702A3" w14:textId="1233C712" w:rsidR="00211480" w:rsidRPr="00211480" w:rsidRDefault="00211480" w:rsidP="00967D45">
      <w:pPr>
        <w:pStyle w:val="ListParagraph"/>
        <w:ind w:left="426" w:hanging="426"/>
        <w:jc w:val="both"/>
        <w:rPr>
          <w:szCs w:val="22"/>
        </w:rPr>
      </w:pPr>
    </w:p>
    <w:p w14:paraId="3E05B8D2" w14:textId="77777777" w:rsidR="00211480" w:rsidRPr="00211480" w:rsidRDefault="00211480" w:rsidP="00495BA7">
      <w:pPr>
        <w:rPr>
          <w:lang w:eastAsia="ar-SA"/>
        </w:rPr>
      </w:pPr>
    </w:p>
    <w:p w14:paraId="1B27E355" w14:textId="77777777" w:rsidR="00F2363C" w:rsidRPr="00E226DF" w:rsidRDefault="00F2363C" w:rsidP="00967D45">
      <w:pPr>
        <w:pStyle w:val="Heading1"/>
        <w:numPr>
          <w:ilvl w:val="0"/>
          <w:numId w:val="0"/>
        </w:numPr>
        <w:ind w:left="426" w:hanging="426"/>
        <w:jc w:val="both"/>
        <w:rPr>
          <w:sz w:val="32"/>
          <w:szCs w:val="32"/>
          <w:lang w:val="en-CA"/>
        </w:rPr>
      </w:pPr>
      <w:r w:rsidRPr="00E226DF">
        <w:rPr>
          <w:sz w:val="32"/>
          <w:szCs w:val="32"/>
          <w:lang w:val="en-CA"/>
        </w:rPr>
        <w:t>women WHO USE DRUGS AND GENDER-BASED VIOLENCE</w:t>
      </w:r>
    </w:p>
    <w:p w14:paraId="64490480" w14:textId="77777777" w:rsidR="00F2363C" w:rsidRPr="006E514E" w:rsidRDefault="00F2363C" w:rsidP="00967D45">
      <w:pPr>
        <w:ind w:left="426" w:hanging="426"/>
        <w:jc w:val="both"/>
        <w:rPr>
          <w:lang w:eastAsia="ar-SA"/>
        </w:rPr>
      </w:pPr>
      <w:r w:rsidRPr="006E514E">
        <w:rPr>
          <w:noProof/>
          <w:lang w:eastAsia="ar-SA"/>
        </w:rPr>
        <mc:AlternateContent>
          <mc:Choice Requires="wps">
            <w:drawing>
              <wp:anchor distT="45720" distB="45720" distL="114300" distR="114300" simplePos="0" relativeHeight="251658241" behindDoc="0" locked="0" layoutInCell="1" allowOverlap="1" wp14:anchorId="59879709" wp14:editId="41BA21F7">
                <wp:simplePos x="0" y="0"/>
                <wp:positionH relativeFrom="margin">
                  <wp:align>left</wp:align>
                </wp:positionH>
                <wp:positionV relativeFrom="paragraph">
                  <wp:posOffset>231140</wp:posOffset>
                </wp:positionV>
                <wp:extent cx="6140450" cy="1404620"/>
                <wp:effectExtent l="0" t="0" r="12700" b="24130"/>
                <wp:wrapSquare wrapText="bothSides"/>
                <wp:docPr id="1508352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0450" cy="1404620"/>
                        </a:xfrm>
                        <a:prstGeom prst="rect">
                          <a:avLst/>
                        </a:prstGeom>
                        <a:solidFill>
                          <a:schemeClr val="accent3">
                            <a:lumMod val="20000"/>
                            <a:lumOff val="80000"/>
                          </a:schemeClr>
                        </a:solidFill>
                        <a:ln w="9525">
                          <a:solidFill>
                            <a:srgbClr val="000000"/>
                          </a:solidFill>
                          <a:miter lim="800000"/>
                          <a:headEnd/>
                          <a:tailEnd/>
                        </a:ln>
                      </wps:spPr>
                      <wps:txbx>
                        <w:txbxContent>
                          <w:p w14:paraId="3FFD39F1" w14:textId="77777777" w:rsidR="00F2363C" w:rsidRPr="004A4E95" w:rsidRDefault="00F2363C" w:rsidP="00F2363C">
                            <w:pPr>
                              <w:shd w:val="clear" w:color="auto" w:fill="EAF1DD" w:themeFill="accent3" w:themeFillTint="33"/>
                              <w:spacing w:line="276" w:lineRule="auto"/>
                              <w:rPr>
                                <w:rFonts w:eastAsia="Arial" w:cs="Arial"/>
                                <w:i/>
                                <w:szCs w:val="22"/>
                              </w:rPr>
                            </w:pPr>
                            <w:r>
                              <w:rPr>
                                <w:rFonts w:eastAsia="Arial" w:cs="Arial"/>
                                <w:spacing w:val="3"/>
                                <w:szCs w:val="22"/>
                              </w:rPr>
                              <w:t>In the CEDAW Committee’s LOI</w:t>
                            </w:r>
                            <w:r w:rsidRPr="004A4E95">
                              <w:rPr>
                                <w:rFonts w:eastAsia="Arial" w:cs="Arial"/>
                                <w:szCs w:val="22"/>
                              </w:rPr>
                              <w:t>, t</w:t>
                            </w:r>
                            <w:r w:rsidRPr="004A4E95">
                              <w:rPr>
                                <w:rFonts w:eastAsia="Arial" w:cs="Arial"/>
                                <w:spacing w:val="1"/>
                                <w:szCs w:val="22"/>
                              </w:rPr>
                              <w:t>h</w:t>
                            </w:r>
                            <w:r w:rsidRPr="004A4E95">
                              <w:rPr>
                                <w:rFonts w:eastAsia="Arial" w:cs="Arial"/>
                                <w:szCs w:val="22"/>
                              </w:rPr>
                              <w:t>e</w:t>
                            </w:r>
                            <w:r w:rsidRPr="004A4E95">
                              <w:rPr>
                                <w:rFonts w:eastAsia="Arial" w:cs="Arial"/>
                                <w:spacing w:val="-5"/>
                                <w:szCs w:val="22"/>
                              </w:rPr>
                              <w:t xml:space="preserve"> </w:t>
                            </w:r>
                            <w:r w:rsidRPr="004A4E95">
                              <w:rPr>
                                <w:rFonts w:eastAsia="Arial" w:cs="Arial"/>
                                <w:szCs w:val="22"/>
                              </w:rPr>
                              <w:t>C</w:t>
                            </w:r>
                            <w:r w:rsidRPr="004A4E95">
                              <w:rPr>
                                <w:rFonts w:eastAsia="Arial" w:cs="Arial"/>
                                <w:spacing w:val="1"/>
                                <w:szCs w:val="22"/>
                              </w:rPr>
                              <w:t>omm</w:t>
                            </w:r>
                            <w:r w:rsidRPr="004A4E95">
                              <w:rPr>
                                <w:rFonts w:eastAsia="Arial" w:cs="Arial"/>
                                <w:szCs w:val="22"/>
                              </w:rPr>
                              <w:t>i</w:t>
                            </w:r>
                            <w:r w:rsidRPr="004A4E95">
                              <w:rPr>
                                <w:rFonts w:eastAsia="Arial" w:cs="Arial"/>
                                <w:spacing w:val="1"/>
                                <w:szCs w:val="22"/>
                              </w:rPr>
                              <w:t>tt</w:t>
                            </w:r>
                            <w:r w:rsidRPr="004A4E95">
                              <w:rPr>
                                <w:rFonts w:eastAsia="Arial" w:cs="Arial"/>
                                <w:szCs w:val="22"/>
                              </w:rPr>
                              <w:t>ee</w:t>
                            </w:r>
                            <w:r w:rsidRPr="004A4E95">
                              <w:rPr>
                                <w:rFonts w:eastAsia="Arial" w:cs="Arial"/>
                                <w:spacing w:val="-11"/>
                                <w:szCs w:val="22"/>
                              </w:rPr>
                              <w:t xml:space="preserve"> </w:t>
                            </w:r>
                            <w:r w:rsidRPr="004A4E95">
                              <w:rPr>
                                <w:rFonts w:eastAsia="Arial" w:cs="Arial"/>
                                <w:szCs w:val="22"/>
                              </w:rPr>
                              <w:t>as</w:t>
                            </w:r>
                            <w:r w:rsidRPr="004A4E95">
                              <w:rPr>
                                <w:rFonts w:eastAsia="Arial" w:cs="Arial"/>
                                <w:spacing w:val="2"/>
                                <w:szCs w:val="22"/>
                              </w:rPr>
                              <w:t>k</w:t>
                            </w:r>
                            <w:r>
                              <w:rPr>
                                <w:rFonts w:eastAsia="Arial" w:cs="Arial"/>
                                <w:szCs w:val="22"/>
                              </w:rPr>
                              <w:t>ed</w:t>
                            </w:r>
                            <w:r w:rsidRPr="004A4E95">
                              <w:rPr>
                                <w:rFonts w:eastAsia="Arial" w:cs="Arial"/>
                                <w:szCs w:val="22"/>
                              </w:rPr>
                              <w:t xml:space="preserve"> of Canada:</w:t>
                            </w:r>
                          </w:p>
                          <w:p w14:paraId="70A4ABDD" w14:textId="77777777" w:rsidR="00F2363C" w:rsidRPr="008F2A8E" w:rsidRDefault="00F2363C" w:rsidP="00F2363C">
                            <w:pPr>
                              <w:shd w:val="clear" w:color="auto" w:fill="EAF1DD" w:themeFill="accent3" w:themeFillTint="33"/>
                              <w:spacing w:line="276" w:lineRule="auto"/>
                              <w:rPr>
                                <w:rFonts w:eastAsia="Arial" w:cs="Arial"/>
                                <w:iCs/>
                                <w:szCs w:val="22"/>
                              </w:rPr>
                            </w:pPr>
                          </w:p>
                          <w:p w14:paraId="78622AE7" w14:textId="77777777" w:rsidR="00F2363C" w:rsidRDefault="00F2363C" w:rsidP="00F2363C">
                            <w:pPr>
                              <w:shd w:val="clear" w:color="auto" w:fill="EAF1DD" w:themeFill="accent3" w:themeFillTint="33"/>
                              <w:spacing w:line="276" w:lineRule="auto"/>
                              <w:rPr>
                                <w:rFonts w:eastAsia="Arial" w:cs="Arial"/>
                                <w:iCs/>
                                <w:szCs w:val="22"/>
                              </w:rPr>
                            </w:pPr>
                            <w:r w:rsidRPr="008F2A8E">
                              <w:rPr>
                                <w:rFonts w:eastAsia="Arial" w:cs="Arial"/>
                                <w:iCs/>
                                <w:szCs w:val="22"/>
                              </w:rPr>
                              <w:t>12.</w:t>
                            </w:r>
                            <w:r w:rsidRPr="008F2A8E">
                              <w:rPr>
                                <w:rFonts w:eastAsia="Arial" w:cs="Arial"/>
                                <w:iCs/>
                                <w:szCs w:val="22"/>
                              </w:rPr>
                              <w:tab/>
                            </w:r>
                            <w:r>
                              <w:rPr>
                                <w:rFonts w:eastAsia="Arial" w:cs="Arial"/>
                                <w:iCs/>
                                <w:szCs w:val="22"/>
                              </w:rPr>
                              <w:t>…</w:t>
                            </w:r>
                            <w:r w:rsidRPr="008F2A8E">
                              <w:rPr>
                                <w:rFonts w:eastAsia="Arial" w:cs="Arial"/>
                                <w:iCs/>
                                <w:szCs w:val="22"/>
                              </w:rPr>
                              <w:t xml:space="preserve"> Please provide information on the implementation of the </w:t>
                            </w:r>
                            <w:r w:rsidRPr="004A4E95">
                              <w:rPr>
                                <w:rFonts w:eastAsia="Arial" w:cs="Arial"/>
                                <w:b/>
                                <w:bCs/>
                                <w:iCs/>
                                <w:szCs w:val="22"/>
                              </w:rPr>
                              <w:t xml:space="preserve">strategy to combat gender-based violence, including its main objectives, the financial and human resources allocated for its implementation </w:t>
                            </w:r>
                            <w:r w:rsidRPr="008F2A8E">
                              <w:rPr>
                                <w:rFonts w:eastAsia="Arial" w:cs="Arial"/>
                                <w:iCs/>
                                <w:szCs w:val="22"/>
                              </w:rPr>
                              <w:t xml:space="preserve">and whether a monitoring mechanism will be put into place. </w:t>
                            </w:r>
                          </w:p>
                          <w:p w14:paraId="6914D63A" w14:textId="77777777" w:rsidR="00F2363C" w:rsidRPr="004A4E95" w:rsidRDefault="00F2363C" w:rsidP="00F2363C">
                            <w:pPr>
                              <w:shd w:val="clear" w:color="auto" w:fill="EAF1DD" w:themeFill="accent3" w:themeFillTint="33"/>
                              <w:spacing w:line="276" w:lineRule="auto"/>
                              <w:rPr>
                                <w:iCs/>
                                <w:szCs w:val="22"/>
                                <w:lang w:eastAsia="ar-SA"/>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9879709" id="_x0000_t202" coordsize="21600,21600" o:spt="202" path="m,l,21600r21600,l21600,xe">
                <v:stroke joinstyle="miter"/>
                <v:path gradientshapeok="t" o:connecttype="rect"/>
              </v:shapetype>
              <v:shape id="Text Box 2" o:spid="_x0000_s1026" type="#_x0000_t202" style="position:absolute;left:0;text-align:left;margin-left:0;margin-top:18.2pt;width:483.5pt;height:110.6pt;z-index:251658241;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" fillcolor="#eaf1dd [662]">
                <v:textbox style="mso-fit-shape-to-text:t">
                  <w:txbxContent>
                    <w:p w14:paraId="3FFD39F1" w14:textId="77777777" w:rsidR="00F2363C" w:rsidRPr="004A4E95" w:rsidRDefault="00F2363C" w:rsidP="00F2363C">
                      <w:pPr>
                        <w:shd w:val="clear" w:color="auto" w:fill="EAF1DD" w:themeFill="accent3" w:themeFillTint="33"/>
                        <w:spacing w:line="276" w:lineRule="auto"/>
                        <w:rPr>
                          <w:rFonts w:eastAsia="Arial" w:cs="Arial"/>
                          <w:i/>
                          <w:szCs w:val="22"/>
                        </w:rPr>
                      </w:pPr>
                      <w:r>
                        <w:rPr>
                          <w:rFonts w:eastAsia="Arial" w:cs="Arial"/>
                          <w:spacing w:val="3"/>
                          <w:szCs w:val="22"/>
                        </w:rPr>
                        <w:t>In the CEDAW Committee’s LOI</w:t>
                      </w:r>
                      <w:r w:rsidRPr="004A4E95">
                        <w:rPr>
                          <w:rFonts w:eastAsia="Arial" w:cs="Arial"/>
                          <w:szCs w:val="22"/>
                        </w:rPr>
                        <w:t>, t</w:t>
                      </w:r>
                      <w:r w:rsidRPr="004A4E95">
                        <w:rPr>
                          <w:rFonts w:eastAsia="Arial" w:cs="Arial"/>
                          <w:spacing w:val="1"/>
                          <w:szCs w:val="22"/>
                        </w:rPr>
                        <w:t>h</w:t>
                      </w:r>
                      <w:r w:rsidRPr="004A4E95">
                        <w:rPr>
                          <w:rFonts w:eastAsia="Arial" w:cs="Arial"/>
                          <w:szCs w:val="22"/>
                        </w:rPr>
                        <w:t>e</w:t>
                      </w:r>
                      <w:r w:rsidRPr="004A4E95">
                        <w:rPr>
                          <w:rFonts w:eastAsia="Arial" w:cs="Arial"/>
                          <w:spacing w:val="-5"/>
                          <w:szCs w:val="22"/>
                        </w:rPr>
                        <w:t xml:space="preserve"> </w:t>
                      </w:r>
                      <w:r w:rsidRPr="004A4E95">
                        <w:rPr>
                          <w:rFonts w:eastAsia="Arial" w:cs="Arial"/>
                          <w:szCs w:val="22"/>
                        </w:rPr>
                        <w:t>C</w:t>
                      </w:r>
                      <w:r w:rsidRPr="004A4E95">
                        <w:rPr>
                          <w:rFonts w:eastAsia="Arial" w:cs="Arial"/>
                          <w:spacing w:val="1"/>
                          <w:szCs w:val="22"/>
                        </w:rPr>
                        <w:t>omm</w:t>
                      </w:r>
                      <w:r w:rsidRPr="004A4E95">
                        <w:rPr>
                          <w:rFonts w:eastAsia="Arial" w:cs="Arial"/>
                          <w:szCs w:val="22"/>
                        </w:rPr>
                        <w:t>i</w:t>
                      </w:r>
                      <w:r w:rsidRPr="004A4E95">
                        <w:rPr>
                          <w:rFonts w:eastAsia="Arial" w:cs="Arial"/>
                          <w:spacing w:val="1"/>
                          <w:szCs w:val="22"/>
                        </w:rPr>
                        <w:t>tt</w:t>
                      </w:r>
                      <w:r w:rsidRPr="004A4E95">
                        <w:rPr>
                          <w:rFonts w:eastAsia="Arial" w:cs="Arial"/>
                          <w:szCs w:val="22"/>
                        </w:rPr>
                        <w:t>ee</w:t>
                      </w:r>
                      <w:r w:rsidRPr="004A4E95">
                        <w:rPr>
                          <w:rFonts w:eastAsia="Arial" w:cs="Arial"/>
                          <w:spacing w:val="-11"/>
                          <w:szCs w:val="22"/>
                        </w:rPr>
                        <w:t xml:space="preserve"> </w:t>
                      </w:r>
                      <w:r w:rsidRPr="004A4E95">
                        <w:rPr>
                          <w:rFonts w:eastAsia="Arial" w:cs="Arial"/>
                          <w:szCs w:val="22"/>
                        </w:rPr>
                        <w:t>as</w:t>
                      </w:r>
                      <w:r w:rsidRPr="004A4E95">
                        <w:rPr>
                          <w:rFonts w:eastAsia="Arial" w:cs="Arial"/>
                          <w:spacing w:val="2"/>
                          <w:szCs w:val="22"/>
                        </w:rPr>
                        <w:t>k</w:t>
                      </w:r>
                      <w:r>
                        <w:rPr>
                          <w:rFonts w:eastAsia="Arial" w:cs="Arial"/>
                          <w:szCs w:val="22"/>
                        </w:rPr>
                        <w:t>ed</w:t>
                      </w:r>
                      <w:r w:rsidRPr="004A4E95">
                        <w:rPr>
                          <w:rFonts w:eastAsia="Arial" w:cs="Arial"/>
                          <w:szCs w:val="22"/>
                        </w:rPr>
                        <w:t xml:space="preserve"> of Canada:</w:t>
                      </w:r>
                    </w:p>
                    <w:p w14:paraId="70A4ABDD" w14:textId="77777777" w:rsidR="00F2363C" w:rsidRPr="008F2A8E" w:rsidRDefault="00F2363C" w:rsidP="00F2363C">
                      <w:pPr>
                        <w:shd w:val="clear" w:color="auto" w:fill="EAF1DD" w:themeFill="accent3" w:themeFillTint="33"/>
                        <w:spacing w:line="276" w:lineRule="auto"/>
                        <w:rPr>
                          <w:rFonts w:eastAsia="Arial" w:cs="Arial"/>
                          <w:iCs/>
                          <w:szCs w:val="22"/>
                        </w:rPr>
                      </w:pPr>
                    </w:p>
                    <w:p w14:paraId="78622AE7" w14:textId="77777777" w:rsidR="00F2363C" w:rsidRDefault="00F2363C" w:rsidP="00F2363C">
                      <w:pPr>
                        <w:shd w:val="clear" w:color="auto" w:fill="EAF1DD" w:themeFill="accent3" w:themeFillTint="33"/>
                        <w:spacing w:line="276" w:lineRule="auto"/>
                        <w:rPr>
                          <w:rFonts w:eastAsia="Arial" w:cs="Arial"/>
                          <w:iCs/>
                          <w:szCs w:val="22"/>
                        </w:rPr>
                      </w:pPr>
                      <w:r w:rsidRPr="008F2A8E">
                        <w:rPr>
                          <w:rFonts w:eastAsia="Arial" w:cs="Arial"/>
                          <w:iCs/>
                          <w:szCs w:val="22"/>
                        </w:rPr>
                        <w:t>12.</w:t>
                      </w:r>
                      <w:r w:rsidRPr="008F2A8E">
                        <w:rPr>
                          <w:rFonts w:eastAsia="Arial" w:cs="Arial"/>
                          <w:iCs/>
                          <w:szCs w:val="22"/>
                        </w:rPr>
                        <w:tab/>
                      </w:r>
                      <w:r>
                        <w:rPr>
                          <w:rFonts w:eastAsia="Arial" w:cs="Arial"/>
                          <w:iCs/>
                          <w:szCs w:val="22"/>
                        </w:rPr>
                        <w:t>…</w:t>
                      </w:r>
                      <w:r w:rsidRPr="008F2A8E">
                        <w:rPr>
                          <w:rFonts w:eastAsia="Arial" w:cs="Arial"/>
                          <w:iCs/>
                          <w:szCs w:val="22"/>
                        </w:rPr>
                        <w:t xml:space="preserve"> Please provide information on the implementation of the </w:t>
                      </w:r>
                      <w:r w:rsidRPr="004A4E95">
                        <w:rPr>
                          <w:rFonts w:eastAsia="Arial" w:cs="Arial"/>
                          <w:b/>
                          <w:bCs/>
                          <w:iCs/>
                          <w:szCs w:val="22"/>
                        </w:rPr>
                        <w:t xml:space="preserve">strategy to combat gender-based violence, including its main objectives, the financial and human resources allocated for its implementation </w:t>
                      </w:r>
                      <w:r w:rsidRPr="008F2A8E">
                        <w:rPr>
                          <w:rFonts w:eastAsia="Arial" w:cs="Arial"/>
                          <w:iCs/>
                          <w:szCs w:val="22"/>
                        </w:rPr>
                        <w:t xml:space="preserve">and whether a monitoring mechanism will be put into place. </w:t>
                      </w:r>
                    </w:p>
                    <w:p w14:paraId="6914D63A" w14:textId="77777777" w:rsidR="00F2363C" w:rsidRPr="004A4E95" w:rsidRDefault="00F2363C" w:rsidP="00F2363C">
                      <w:pPr>
                        <w:shd w:val="clear" w:color="auto" w:fill="EAF1DD" w:themeFill="accent3" w:themeFillTint="33"/>
                        <w:spacing w:line="276" w:lineRule="auto"/>
                        <w:rPr>
                          <w:iCs/>
                          <w:szCs w:val="22"/>
                          <w:lang w:eastAsia="ar-SA"/>
                        </w:rPr>
                      </w:pPr>
                    </w:p>
                  </w:txbxContent>
                </v:textbox>
                <w10:wrap type="square" anchorx="margin"/>
              </v:shape>
            </w:pict>
          </mc:Fallback>
        </mc:AlternateContent>
      </w:r>
    </w:p>
    <w:p w14:paraId="603E8D6C" w14:textId="77777777" w:rsidR="00F2363C" w:rsidRPr="006E514E" w:rsidRDefault="00F2363C" w:rsidP="00967D45">
      <w:pPr>
        <w:ind w:left="426" w:hanging="426"/>
        <w:rPr>
          <w:szCs w:val="22"/>
        </w:rPr>
      </w:pPr>
    </w:p>
    <w:p w14:paraId="5AC449CA" w14:textId="1B70E352" w:rsidR="00857F61" w:rsidRPr="008675C9" w:rsidRDefault="00F2363C" w:rsidP="00967D45">
      <w:pPr>
        <w:pStyle w:val="ListParagraph"/>
        <w:numPr>
          <w:ilvl w:val="0"/>
          <w:numId w:val="21"/>
        </w:numPr>
        <w:ind w:left="426" w:hanging="426"/>
        <w:jc w:val="both"/>
        <w:rPr>
          <w:szCs w:val="22"/>
          <w:lang w:val="en-CA"/>
        </w:rPr>
      </w:pPr>
      <w:r w:rsidRPr="006E514E">
        <w:rPr>
          <w:szCs w:val="22"/>
          <w:lang w:val="en-CA"/>
        </w:rPr>
        <w:t>Violence against women (VAW) is among the “most pervasive health risks to women and gender-diverse people” in Canada,</w:t>
      </w:r>
      <w:r w:rsidR="00857F61" w:rsidRPr="006E514E">
        <w:rPr>
          <w:rStyle w:val="FootnoteReference"/>
          <w:szCs w:val="22"/>
          <w:lang w:val="en-CA"/>
        </w:rPr>
        <w:footnoteReference w:id="2"/>
      </w:r>
      <w:r w:rsidR="00857F61" w:rsidRPr="006E514E">
        <w:rPr>
          <w:szCs w:val="22"/>
          <w:lang w:val="en-CA"/>
        </w:rPr>
        <w:t xml:space="preserve"> and since 2019, the country has seen increasing rates of femicides</w:t>
      </w:r>
      <w:bookmarkStart w:id="2" w:name="_Ref175914869"/>
      <w:r w:rsidR="00857F61" w:rsidRPr="006E514E">
        <w:rPr>
          <w:rStyle w:val="FootnoteReference"/>
          <w:szCs w:val="22"/>
          <w:lang w:val="en-CA"/>
        </w:rPr>
        <w:footnoteReference w:id="3"/>
      </w:r>
      <w:bookmarkEnd w:id="2"/>
      <w:r w:rsidR="00857F61" w:rsidRPr="006E514E">
        <w:rPr>
          <w:szCs w:val="22"/>
          <w:lang w:val="en-CA"/>
        </w:rPr>
        <w:t xml:space="preserve"> </w:t>
      </w:r>
      <w:r w:rsidR="00857F61" w:rsidRPr="006E514E">
        <w:rPr>
          <w:lang w:val="en-CA"/>
        </w:rPr>
        <w:t>—</w:t>
      </w:r>
      <w:r w:rsidR="00857F61" w:rsidRPr="006E514E">
        <w:rPr>
          <w:szCs w:val="22"/>
          <w:lang w:val="en-CA"/>
        </w:rPr>
        <w:t xml:space="preserve"> borne disproportionately by certain populations, including </w:t>
      </w:r>
      <w:r w:rsidR="00857F61" w:rsidRPr="008675C9">
        <w:rPr>
          <w:szCs w:val="22"/>
          <w:lang w:val="en-CA"/>
        </w:rPr>
        <w:t xml:space="preserve">women who use </w:t>
      </w:r>
      <w:r w:rsidR="00857F61" w:rsidRPr="008675C9">
        <w:rPr>
          <w:szCs w:val="22"/>
          <w:lang w:val="en-CA"/>
        </w:rPr>
        <w:lastRenderedPageBreak/>
        <w:t>drugs</w:t>
      </w:r>
      <w:bookmarkStart w:id="3" w:name="_Ref175915185"/>
      <w:r w:rsidR="00857F61" w:rsidRPr="008675C9">
        <w:rPr>
          <w:rStyle w:val="FootnoteReference"/>
          <w:szCs w:val="22"/>
          <w:lang w:val="en-CA"/>
        </w:rPr>
        <w:footnoteReference w:id="4"/>
      </w:r>
      <w:bookmarkEnd w:id="3"/>
      <w:r w:rsidR="000440D7">
        <w:rPr>
          <w:szCs w:val="22"/>
          <w:lang w:val="en-CA"/>
        </w:rPr>
        <w:t xml:space="preserve"> and </w:t>
      </w:r>
      <w:r w:rsidR="000440D7" w:rsidRPr="006E514E">
        <w:rPr>
          <w:szCs w:val="22"/>
          <w:lang w:val="en-CA"/>
        </w:rPr>
        <w:t>Indigenous women</w:t>
      </w:r>
      <w:r w:rsidR="000440D7">
        <w:rPr>
          <w:szCs w:val="22"/>
          <w:lang w:val="en-CA"/>
        </w:rPr>
        <w:t>.</w:t>
      </w:r>
      <w:r w:rsidR="000440D7" w:rsidRPr="006E514E">
        <w:rPr>
          <w:rStyle w:val="FootnoteReference"/>
          <w:szCs w:val="22"/>
          <w:lang w:val="en-CA"/>
        </w:rPr>
        <w:footnoteReference w:id="5"/>
      </w:r>
      <w:r w:rsidR="00857F61" w:rsidRPr="008675C9">
        <w:rPr>
          <w:szCs w:val="22"/>
          <w:lang w:val="en-CA"/>
        </w:rPr>
        <w:t xml:space="preserve"> This is in the context of an unprecedented overdose crisis in Canada that has claimed</w:t>
      </w:r>
      <w:r w:rsidR="00857F61">
        <w:rPr>
          <w:szCs w:val="22"/>
          <w:lang w:val="en-CA"/>
        </w:rPr>
        <w:t xml:space="preserve"> a</w:t>
      </w:r>
      <w:r w:rsidR="00857F61" w:rsidRPr="008675C9">
        <w:rPr>
          <w:szCs w:val="22"/>
          <w:lang w:val="en-CA"/>
        </w:rPr>
        <w:t>lmost 45,000 lives since 2016,</w:t>
      </w:r>
      <w:r w:rsidR="00857F61" w:rsidRPr="008675C9">
        <w:rPr>
          <w:rStyle w:val="FootnoteReference"/>
          <w:szCs w:val="22"/>
          <w:lang w:val="en-CA"/>
        </w:rPr>
        <w:footnoteReference w:id="6"/>
      </w:r>
      <w:r w:rsidR="00857F61" w:rsidRPr="008675C9">
        <w:rPr>
          <w:szCs w:val="22"/>
          <w:lang w:val="en-CA"/>
        </w:rPr>
        <w:t xml:space="preserve"> with Indigenous women particularly affected.</w:t>
      </w:r>
      <w:r w:rsidR="00857F61" w:rsidRPr="008675C9">
        <w:rPr>
          <w:rStyle w:val="FootnoteReference"/>
          <w:szCs w:val="22"/>
          <w:lang w:val="en-CA"/>
        </w:rPr>
        <w:footnoteReference w:id="7"/>
      </w:r>
      <w:r w:rsidR="00857F61" w:rsidRPr="008675C9">
        <w:rPr>
          <w:szCs w:val="22"/>
        </w:rPr>
        <w:t xml:space="preserve"> </w:t>
      </w:r>
    </w:p>
    <w:p w14:paraId="374FB741" w14:textId="77777777" w:rsidR="00857F61" w:rsidRPr="006E514E" w:rsidRDefault="00857F61" w:rsidP="00967D45">
      <w:pPr>
        <w:pStyle w:val="ListParagraph"/>
        <w:ind w:left="426" w:hanging="426"/>
        <w:jc w:val="both"/>
        <w:rPr>
          <w:szCs w:val="22"/>
          <w:lang w:val="en-CA"/>
        </w:rPr>
      </w:pPr>
    </w:p>
    <w:p w14:paraId="08360F89" w14:textId="77777777" w:rsidR="00857F61" w:rsidRDefault="00857F61" w:rsidP="00967D45">
      <w:pPr>
        <w:pStyle w:val="ListParagraph"/>
        <w:numPr>
          <w:ilvl w:val="0"/>
          <w:numId w:val="21"/>
        </w:numPr>
        <w:ind w:left="426" w:hanging="426"/>
        <w:jc w:val="both"/>
        <w:rPr>
          <w:szCs w:val="22"/>
          <w:lang w:val="en-CA"/>
        </w:rPr>
      </w:pPr>
      <w:r>
        <w:rPr>
          <w:szCs w:val="22"/>
          <w:lang w:val="en-CA"/>
        </w:rPr>
        <w:t>Despite</w:t>
      </w:r>
      <w:r w:rsidRPr="006E514E">
        <w:rPr>
          <w:szCs w:val="22"/>
          <w:lang w:val="en-CA"/>
        </w:rPr>
        <w:t xml:space="preserve"> increasing recognition of the need to provide shelter and supports to women who use drugs,</w:t>
      </w:r>
      <w:r w:rsidRPr="006E514E">
        <w:rPr>
          <w:rStyle w:val="FootnoteReference"/>
          <w:szCs w:val="22"/>
          <w:lang w:val="en-CA"/>
        </w:rPr>
        <w:footnoteReference w:id="8"/>
      </w:r>
      <w:r>
        <w:rPr>
          <w:szCs w:val="22"/>
          <w:lang w:val="en-CA"/>
        </w:rPr>
        <w:t xml:space="preserve"> several</w:t>
      </w:r>
      <w:r w:rsidRPr="006E514E">
        <w:rPr>
          <w:szCs w:val="22"/>
          <w:lang w:val="en-CA"/>
        </w:rPr>
        <w:t xml:space="preserve"> provinces </w:t>
      </w:r>
      <w:r>
        <w:rPr>
          <w:szCs w:val="22"/>
          <w:lang w:val="en-CA"/>
        </w:rPr>
        <w:t xml:space="preserve">continue to </w:t>
      </w:r>
      <w:r w:rsidRPr="006E514E">
        <w:rPr>
          <w:szCs w:val="22"/>
          <w:lang w:val="en-CA"/>
        </w:rPr>
        <w:t>mandate zero-tolerance among their shelters or link drug use to dangerous behaviour.</w:t>
      </w:r>
      <w:r w:rsidRPr="006E514E">
        <w:rPr>
          <w:rStyle w:val="FootnoteReference"/>
          <w:szCs w:val="22"/>
          <w:lang w:val="en-CA"/>
        </w:rPr>
        <w:footnoteReference w:id="9"/>
      </w:r>
      <w:r w:rsidRPr="006E514E">
        <w:rPr>
          <w:szCs w:val="22"/>
          <w:lang w:val="en-CA"/>
        </w:rPr>
        <w:t xml:space="preserve"> </w:t>
      </w:r>
      <w:r>
        <w:rPr>
          <w:szCs w:val="22"/>
          <w:lang w:val="en-CA"/>
        </w:rPr>
        <w:t>As a result, women</w:t>
      </w:r>
      <w:r w:rsidRPr="006E514E">
        <w:rPr>
          <w:szCs w:val="22"/>
          <w:lang w:val="en-CA"/>
        </w:rPr>
        <w:t xml:space="preserve"> are</w:t>
      </w:r>
      <w:r>
        <w:rPr>
          <w:szCs w:val="22"/>
          <w:lang w:val="en-CA"/>
        </w:rPr>
        <w:t xml:space="preserve"> often</w:t>
      </w:r>
      <w:r w:rsidRPr="006E514E">
        <w:rPr>
          <w:szCs w:val="22"/>
          <w:lang w:val="en-CA"/>
        </w:rPr>
        <w:t xml:space="preserve"> barred from admission if they are noticeably intoxicated or are forced to leave for h</w:t>
      </w:r>
      <w:r>
        <w:rPr>
          <w:szCs w:val="22"/>
          <w:lang w:val="en-CA"/>
        </w:rPr>
        <w:t>av</w:t>
      </w:r>
      <w:r w:rsidRPr="006E514E">
        <w:rPr>
          <w:szCs w:val="22"/>
          <w:lang w:val="en-CA"/>
        </w:rPr>
        <w:t>ing or using drugs.</w:t>
      </w:r>
      <w:bookmarkStart w:id="4" w:name="_Ref175915049"/>
      <w:r w:rsidRPr="006E514E">
        <w:rPr>
          <w:rStyle w:val="FootnoteReference"/>
          <w:szCs w:val="22"/>
          <w:lang w:val="en-CA"/>
        </w:rPr>
        <w:footnoteReference w:id="10"/>
      </w:r>
      <w:bookmarkEnd w:id="4"/>
      <w:r w:rsidRPr="006E514E">
        <w:rPr>
          <w:szCs w:val="22"/>
          <w:lang w:val="en-CA"/>
        </w:rPr>
        <w:t xml:space="preserve"> </w:t>
      </w:r>
      <w:r>
        <w:rPr>
          <w:szCs w:val="22"/>
          <w:lang w:val="en-CA"/>
        </w:rPr>
        <w:t>A</w:t>
      </w:r>
      <w:r w:rsidRPr="006E514E">
        <w:rPr>
          <w:szCs w:val="22"/>
          <w:lang w:val="en-CA"/>
        </w:rPr>
        <w:t xml:space="preserve"> 2021 national survey found that, among 500 women and gender diverse people, those who used drugs were barred from shelters at a rate that was three times higher than those who did not.</w:t>
      </w:r>
      <w:r w:rsidRPr="006E514E">
        <w:rPr>
          <w:rStyle w:val="FootnoteReference"/>
          <w:szCs w:val="22"/>
          <w:lang w:val="en-CA"/>
        </w:rPr>
        <w:footnoteReference w:id="11"/>
      </w:r>
      <w:r>
        <w:rPr>
          <w:szCs w:val="22"/>
          <w:lang w:val="en-CA"/>
        </w:rPr>
        <w:t xml:space="preserve"> </w:t>
      </w:r>
    </w:p>
    <w:p w14:paraId="1CFEA2DC" w14:textId="77777777" w:rsidR="00857F61" w:rsidRPr="00664173" w:rsidRDefault="00857F61" w:rsidP="00967D45">
      <w:pPr>
        <w:pStyle w:val="ListParagraph"/>
        <w:ind w:left="426" w:hanging="426"/>
        <w:rPr>
          <w:szCs w:val="22"/>
        </w:rPr>
      </w:pPr>
    </w:p>
    <w:p w14:paraId="6FBA8C37" w14:textId="77777777" w:rsidR="00857F61" w:rsidRPr="00A95898" w:rsidRDefault="00857F61" w:rsidP="00967D45">
      <w:pPr>
        <w:pStyle w:val="ListParagraph"/>
        <w:numPr>
          <w:ilvl w:val="0"/>
          <w:numId w:val="21"/>
        </w:numPr>
        <w:ind w:left="426" w:hanging="426"/>
        <w:jc w:val="both"/>
        <w:rPr>
          <w:szCs w:val="22"/>
          <w:lang w:val="en-CA"/>
        </w:rPr>
      </w:pPr>
      <w:r w:rsidRPr="00846DCC">
        <w:rPr>
          <w:szCs w:val="22"/>
        </w:rPr>
        <w:t>Unsurprisingly, most shelters do not meet the needs of women who use drugs.</w:t>
      </w:r>
      <w:r w:rsidRPr="006E514E">
        <w:rPr>
          <w:rStyle w:val="FootnoteReference"/>
          <w:szCs w:val="22"/>
          <w:lang w:val="en-CA"/>
        </w:rPr>
        <w:footnoteReference w:id="12"/>
      </w:r>
      <w:r w:rsidRPr="00846DCC">
        <w:rPr>
          <w:szCs w:val="22"/>
        </w:rPr>
        <w:t xml:space="preserve"> In a survey of 203 low-barrier women’s shelters, 79% of shelters reported that it was a “major challenge” to serve women who use drugs.</w:t>
      </w:r>
      <w:r w:rsidRPr="006E514E">
        <w:rPr>
          <w:rStyle w:val="FootnoteReference"/>
          <w:szCs w:val="22"/>
          <w:lang w:val="en-CA"/>
        </w:rPr>
        <w:footnoteReference w:id="13"/>
      </w:r>
      <w:r w:rsidRPr="00846DCC">
        <w:rPr>
          <w:szCs w:val="22"/>
        </w:rPr>
        <w:t xml:space="preserve"> Consequently, women are dying in shelters.</w:t>
      </w:r>
      <w:r w:rsidRPr="006E514E">
        <w:rPr>
          <w:rStyle w:val="FootnoteReference"/>
          <w:szCs w:val="22"/>
          <w:lang w:val="en-CA"/>
        </w:rPr>
        <w:footnoteReference w:id="14"/>
      </w:r>
    </w:p>
    <w:p w14:paraId="196A5EE9" w14:textId="77777777" w:rsidR="00A95898" w:rsidRPr="00A95898" w:rsidRDefault="00A95898" w:rsidP="00967D45">
      <w:pPr>
        <w:pStyle w:val="ListParagraph"/>
        <w:ind w:left="426" w:hanging="426"/>
        <w:rPr>
          <w:szCs w:val="22"/>
          <w:lang w:val="en-CA"/>
        </w:rPr>
      </w:pPr>
    </w:p>
    <w:p w14:paraId="3DE4FAED" w14:textId="77777777" w:rsidR="006637B6" w:rsidRPr="006637B6" w:rsidRDefault="008D0380" w:rsidP="00967D45">
      <w:pPr>
        <w:pStyle w:val="ListParagraph"/>
        <w:numPr>
          <w:ilvl w:val="0"/>
          <w:numId w:val="21"/>
        </w:numPr>
        <w:ind w:left="426" w:hanging="426"/>
        <w:jc w:val="both"/>
        <w:rPr>
          <w:szCs w:val="22"/>
          <w:lang w:val="en-CA"/>
        </w:rPr>
      </w:pPr>
      <w:r w:rsidRPr="00A95898">
        <w:rPr>
          <w:rFonts w:cs="Brandon Grotesque"/>
        </w:rPr>
        <w:t xml:space="preserve">Similarly, there </w:t>
      </w:r>
      <w:r w:rsidR="00D6566D" w:rsidRPr="00A95898">
        <w:rPr>
          <w:rFonts w:cs="Brandon Grotesque"/>
        </w:rPr>
        <w:t xml:space="preserve">remains inadequate access to </w:t>
      </w:r>
      <w:r w:rsidR="005C74A1" w:rsidRPr="00A95898">
        <w:rPr>
          <w:rFonts w:cs="Brandon Grotesque"/>
        </w:rPr>
        <w:t>s</w:t>
      </w:r>
      <w:r w:rsidR="00857F61" w:rsidRPr="00A95898">
        <w:rPr>
          <w:rFonts w:cs="Brandon Grotesque"/>
        </w:rPr>
        <w:t>upervised consumption services (SCS)</w:t>
      </w:r>
      <w:r w:rsidR="005C74A1" w:rsidRPr="00A95898">
        <w:rPr>
          <w:rFonts w:cs="Brandon Grotesque"/>
        </w:rPr>
        <w:t xml:space="preserve"> </w:t>
      </w:r>
      <w:r w:rsidR="00204BB1" w:rsidRPr="00A95898">
        <w:rPr>
          <w:rFonts w:cs="Brandon Grotesque"/>
        </w:rPr>
        <w:t xml:space="preserve">in Canada </w:t>
      </w:r>
      <w:r w:rsidR="005C74A1" w:rsidRPr="00A95898">
        <w:rPr>
          <w:rFonts w:eastAsia="Calibri"/>
        </w:rPr>
        <w:t xml:space="preserve">— </w:t>
      </w:r>
      <w:r w:rsidR="005C74A1" w:rsidRPr="00A95898">
        <w:rPr>
          <w:rFonts w:cs="Brandon Grotesque"/>
        </w:rPr>
        <w:t>particularly gender-sensitive and culturally appropriate SCS.</w:t>
      </w:r>
      <w:r w:rsidR="005C74A1" w:rsidRPr="2738C79F">
        <w:rPr>
          <w:rStyle w:val="FootnoteReference"/>
          <w:rFonts w:asciiTheme="minorHAnsi" w:hAnsiTheme="minorHAnsi" w:cs="Brandon Grotesque"/>
        </w:rPr>
        <w:footnoteReference w:id="15"/>
      </w:r>
      <w:r w:rsidR="005C74A1" w:rsidRPr="00A95898">
        <w:rPr>
          <w:rFonts w:cs="Brandon Grotesque"/>
        </w:rPr>
        <w:t xml:space="preserve"> SCS</w:t>
      </w:r>
      <w:r w:rsidR="00857F61" w:rsidRPr="00A95898">
        <w:rPr>
          <w:rFonts w:cs="Brandon Grotesque"/>
        </w:rPr>
        <w:t xml:space="preserve"> provid</w:t>
      </w:r>
      <w:r w:rsidR="005C74A1" w:rsidRPr="00A95898">
        <w:rPr>
          <w:rFonts w:cs="Brandon Grotesque"/>
        </w:rPr>
        <w:t>e</w:t>
      </w:r>
      <w:r w:rsidR="00857F61" w:rsidRPr="00A95898">
        <w:rPr>
          <w:rFonts w:cs="Brandon Grotesque"/>
        </w:rPr>
        <w:t xml:space="preserve"> a safe, hygienic environment where people can use drugs with sterile equipment under the supervision of trained staff</w:t>
      </w:r>
      <w:r w:rsidRPr="00A95898">
        <w:rPr>
          <w:rFonts w:cs="Brandon Grotesque"/>
        </w:rPr>
        <w:t xml:space="preserve"> or volunteers</w:t>
      </w:r>
      <w:r w:rsidR="00857F61" w:rsidRPr="00A95898">
        <w:rPr>
          <w:rFonts w:cs="Brandon Grotesque"/>
        </w:rPr>
        <w:t xml:space="preserve"> to prevent HIV and hepatitis C (HCV)</w:t>
      </w:r>
      <w:r w:rsidRPr="00A95898">
        <w:rPr>
          <w:rFonts w:cs="Brandon Grotesque"/>
        </w:rPr>
        <w:t xml:space="preserve"> transmission</w:t>
      </w:r>
      <w:r w:rsidR="00857F61" w:rsidRPr="00A95898">
        <w:rPr>
          <w:rFonts w:cs="Brandon Grotesque"/>
        </w:rPr>
        <w:t xml:space="preserve"> and overdose deaths </w:t>
      </w:r>
      <w:r w:rsidR="005C74A1" w:rsidRPr="00A95898">
        <w:rPr>
          <w:rFonts w:cs="Brandon Grotesque"/>
        </w:rPr>
        <w:t xml:space="preserve">and </w:t>
      </w:r>
      <w:r w:rsidR="00857F61" w:rsidRPr="00A95898">
        <w:rPr>
          <w:rFonts w:cs="Brandon Grotesque"/>
        </w:rPr>
        <w:t xml:space="preserve">have been one key measure to address Canada’s ongoing </w:t>
      </w:r>
      <w:r w:rsidR="000F5787">
        <w:rPr>
          <w:rFonts w:cs="Brandon Grotesque"/>
        </w:rPr>
        <w:t xml:space="preserve">unregulated </w:t>
      </w:r>
      <w:r w:rsidR="005C74A1" w:rsidRPr="00A95898">
        <w:rPr>
          <w:rFonts w:cs="Brandon Grotesque"/>
        </w:rPr>
        <w:t xml:space="preserve">drug </w:t>
      </w:r>
      <w:r w:rsidR="00857F61" w:rsidRPr="00A95898">
        <w:rPr>
          <w:rFonts w:cs="Brandon Grotesque"/>
        </w:rPr>
        <w:t>crisis. SCS can also provide a refuge from various forms of violence that women may experience on the street</w:t>
      </w:r>
      <w:r w:rsidR="00857F61" w:rsidRPr="2738C79F">
        <w:rPr>
          <w:rStyle w:val="FootnoteReference"/>
          <w:rFonts w:asciiTheme="minorHAnsi" w:hAnsiTheme="minorHAnsi" w:cs="Brandon Grotesque"/>
        </w:rPr>
        <w:footnoteReference w:id="16"/>
      </w:r>
      <w:r w:rsidR="00857F61" w:rsidRPr="00A95898">
        <w:rPr>
          <w:rFonts w:cs="Brandon Grotesque"/>
        </w:rPr>
        <w:t xml:space="preserve"> and have been found to disrupt certain social structures such as gender power dynamics, enabling women to assert agency over </w:t>
      </w:r>
      <w:r w:rsidR="00B716A3">
        <w:rPr>
          <w:rFonts w:cs="Brandon Grotesque"/>
        </w:rPr>
        <w:t xml:space="preserve">their </w:t>
      </w:r>
      <w:r w:rsidR="00857F61" w:rsidRPr="00A95898">
        <w:rPr>
          <w:rFonts w:cs="Brandon Grotesque"/>
        </w:rPr>
        <w:t>drug use</w:t>
      </w:r>
      <w:r w:rsidR="00D91E6B">
        <w:rPr>
          <w:rFonts w:cs="Brandon Grotesque"/>
        </w:rPr>
        <w:t xml:space="preserve"> </w:t>
      </w:r>
      <w:r w:rsidR="00857F61" w:rsidRPr="00A95898">
        <w:rPr>
          <w:rFonts w:cs="Brandon Grotesque"/>
        </w:rPr>
        <w:t>practices.</w:t>
      </w:r>
      <w:r w:rsidR="00857F61" w:rsidRPr="2738C79F">
        <w:rPr>
          <w:rStyle w:val="FootnoteReference"/>
          <w:rFonts w:asciiTheme="minorHAnsi" w:hAnsiTheme="minorHAnsi" w:cs="Brandon Grotesque"/>
        </w:rPr>
        <w:footnoteReference w:id="17"/>
      </w:r>
      <w:r w:rsidR="006637B6">
        <w:rPr>
          <w:rFonts w:cs="Brandon Grotesque"/>
        </w:rPr>
        <w:t xml:space="preserve"> </w:t>
      </w:r>
    </w:p>
    <w:p w14:paraId="33EBA786" w14:textId="6092B71D" w:rsidR="0012727B" w:rsidRPr="006637B6" w:rsidRDefault="00857F61" w:rsidP="006637B6">
      <w:pPr>
        <w:jc w:val="both"/>
        <w:rPr>
          <w:szCs w:val="22"/>
        </w:rPr>
      </w:pPr>
      <w:r w:rsidRPr="006637B6">
        <w:rPr>
          <w:rFonts w:cs="Brandon Grotesque"/>
        </w:rPr>
        <w:t xml:space="preserve"> </w:t>
      </w:r>
      <w:r w:rsidR="006637B6" w:rsidRPr="006637B6">
        <w:rPr>
          <w:rFonts w:cs="Brandon Grotesque"/>
        </w:rPr>
        <w:t xml:space="preserve"> </w:t>
      </w:r>
    </w:p>
    <w:p w14:paraId="7A541933" w14:textId="70D2976C" w:rsidR="00F51804" w:rsidRPr="009E3652" w:rsidRDefault="00E2251C" w:rsidP="00967D45">
      <w:pPr>
        <w:pStyle w:val="ListParagraph"/>
        <w:numPr>
          <w:ilvl w:val="0"/>
          <w:numId w:val="21"/>
        </w:numPr>
        <w:ind w:left="426" w:hanging="426"/>
        <w:jc w:val="both"/>
        <w:rPr>
          <w:szCs w:val="22"/>
        </w:rPr>
      </w:pPr>
      <w:proofErr w:type="gramStart"/>
      <w:r>
        <w:lastRenderedPageBreak/>
        <w:t>In particular,</w:t>
      </w:r>
      <w:r w:rsidR="00F51804">
        <w:t xml:space="preserve"> </w:t>
      </w:r>
      <w:r w:rsidR="00B716A3" w:rsidRPr="00EC07BA">
        <w:t>gender</w:t>
      </w:r>
      <w:proofErr w:type="gramEnd"/>
      <w:r w:rsidR="00B716A3" w:rsidRPr="00EC07BA">
        <w:t xml:space="preserve">-specific </w:t>
      </w:r>
      <w:r w:rsidR="0048127F" w:rsidRPr="00EC07BA">
        <w:t xml:space="preserve">SCS can </w:t>
      </w:r>
      <w:r w:rsidR="000A7D5B" w:rsidRPr="00053E3C">
        <w:t xml:space="preserve">connect </w:t>
      </w:r>
      <w:r w:rsidR="000A7D5B">
        <w:rPr>
          <w:rFonts w:eastAsia="Times New Roman"/>
        </w:rPr>
        <w:t>women who use drugs</w:t>
      </w:r>
      <w:r w:rsidR="000A7D5B" w:rsidRPr="00053E3C">
        <w:t xml:space="preserve"> to resources</w:t>
      </w:r>
      <w:r w:rsidR="000A7D5B" w:rsidRPr="00EC07BA">
        <w:t xml:space="preserve"> including women’s shelters and programming for domestic and sexual violence prevention.</w:t>
      </w:r>
    </w:p>
    <w:p w14:paraId="70940A17" w14:textId="77777777" w:rsidR="00F51804" w:rsidRPr="0048127F" w:rsidRDefault="00F51804" w:rsidP="00967D45">
      <w:pPr>
        <w:pStyle w:val="ListParagraph"/>
        <w:ind w:left="426" w:hanging="426"/>
        <w:jc w:val="both"/>
        <w:rPr>
          <w:szCs w:val="22"/>
        </w:rPr>
      </w:pPr>
    </w:p>
    <w:p w14:paraId="560E1DF2" w14:textId="592236D9" w:rsidR="005032E7" w:rsidRPr="005032E7" w:rsidRDefault="0048127F" w:rsidP="00967D45">
      <w:pPr>
        <w:pStyle w:val="ListParagraph"/>
        <w:numPr>
          <w:ilvl w:val="0"/>
          <w:numId w:val="21"/>
        </w:numPr>
        <w:ind w:left="426" w:hanging="426"/>
        <w:jc w:val="both"/>
        <w:rPr>
          <w:szCs w:val="22"/>
        </w:rPr>
      </w:pPr>
      <w:r w:rsidRPr="00EC07BA">
        <w:t xml:space="preserve">There are two SCS sites in Canada offering gender-specific services for women, and such services should be made more widely available. Women who rely on intimate partners for assisted injection are at </w:t>
      </w:r>
      <w:r w:rsidRPr="0012727B">
        <w:rPr>
          <w:rFonts w:eastAsia="Times New Roman"/>
        </w:rPr>
        <w:t>greater risk</w:t>
      </w:r>
      <w:r w:rsidRPr="00EC07BA">
        <w:t xml:space="preserve"> of intimate partner violence.</w:t>
      </w:r>
      <w:r w:rsidR="0012727B">
        <w:rPr>
          <w:rStyle w:val="FootnoteReference"/>
          <w:color w:val="467886"/>
          <w:u w:val="single"/>
        </w:rPr>
        <w:footnoteReference w:id="18"/>
      </w:r>
      <w:r w:rsidRPr="00EC07BA">
        <w:t xml:space="preserve"> Young women who inject drugs in Vancouver’s Downtown Eastside are </w:t>
      </w:r>
      <w:r w:rsidRPr="008820B0">
        <w:rPr>
          <w:rFonts w:eastAsia="Times New Roman"/>
        </w:rPr>
        <w:t>54 times</w:t>
      </w:r>
      <w:r w:rsidRPr="00EC07BA">
        <w:t xml:space="preserve"> more likely to die prematurely, often by violence, compared to people in Canada who do not inject drugs, and at least 4 times more likely to die prematurely than young men who inject drugs from the same region.</w:t>
      </w:r>
      <w:r w:rsidR="008820B0">
        <w:rPr>
          <w:rStyle w:val="FootnoteReference"/>
        </w:rPr>
        <w:footnoteReference w:id="19"/>
      </w:r>
    </w:p>
    <w:p w14:paraId="39E21306" w14:textId="5F296B77" w:rsidR="005C74A1" w:rsidRPr="000A7D5B" w:rsidRDefault="005C74A1" w:rsidP="00967D45">
      <w:pPr>
        <w:pStyle w:val="ListParagraph"/>
        <w:ind w:left="426" w:hanging="426"/>
        <w:jc w:val="both"/>
        <w:rPr>
          <w:szCs w:val="22"/>
        </w:rPr>
      </w:pPr>
    </w:p>
    <w:p w14:paraId="7BE53C15" w14:textId="4136A149" w:rsidR="00857F61" w:rsidRPr="00FB2FD1" w:rsidRDefault="00857F61" w:rsidP="00967D45">
      <w:pPr>
        <w:pStyle w:val="ListParagraph"/>
        <w:numPr>
          <w:ilvl w:val="0"/>
          <w:numId w:val="21"/>
        </w:numPr>
        <w:ind w:left="426" w:hanging="426"/>
        <w:jc w:val="both"/>
        <w:rPr>
          <w:szCs w:val="22"/>
        </w:rPr>
      </w:pPr>
      <w:r w:rsidRPr="00FB2FD1">
        <w:rPr>
          <w:szCs w:val="22"/>
        </w:rPr>
        <w:t xml:space="preserve">A major barrier to accessing </w:t>
      </w:r>
      <w:r>
        <w:rPr>
          <w:szCs w:val="22"/>
        </w:rPr>
        <w:t xml:space="preserve">both </w:t>
      </w:r>
      <w:r w:rsidRPr="00FB2FD1">
        <w:rPr>
          <w:szCs w:val="22"/>
        </w:rPr>
        <w:t>shelter</w:t>
      </w:r>
      <w:r>
        <w:rPr>
          <w:szCs w:val="22"/>
        </w:rPr>
        <w:t xml:space="preserve"> and SCS</w:t>
      </w:r>
      <w:r w:rsidRPr="00FB2FD1">
        <w:rPr>
          <w:szCs w:val="22"/>
        </w:rPr>
        <w:t xml:space="preserve"> for women who use drugs is the criminalization of people who use drugs, which fuels stigma towards drug use and prevents women from seeking or obtaining protection.</w:t>
      </w:r>
      <w:r w:rsidRPr="00FB2FD1">
        <w:t xml:space="preserve"> </w:t>
      </w:r>
      <w:r w:rsidRPr="00FB2FD1">
        <w:rPr>
          <w:szCs w:val="22"/>
        </w:rPr>
        <w:t xml:space="preserve">Blanket bans on substance use in shelters are justified on discriminatory and unfounded beliefs that people who use drugs are inherently dangerous to shelter staff, other shelter participants, and children, or on the perceived need to minimize criminal liability for </w:t>
      </w:r>
      <w:r>
        <w:rPr>
          <w:szCs w:val="22"/>
        </w:rPr>
        <w:t>permitting prohibited drugs on site</w:t>
      </w:r>
      <w:r w:rsidRPr="00FB2FD1">
        <w:rPr>
          <w:szCs w:val="22"/>
        </w:rPr>
        <w:t>.</w:t>
      </w:r>
      <w:r w:rsidRPr="00FB2FD1">
        <w:rPr>
          <w:rStyle w:val="FootnoteReference"/>
          <w:szCs w:val="22"/>
        </w:rPr>
        <w:footnoteReference w:id="20"/>
      </w:r>
      <w:r w:rsidRPr="00C22D6C">
        <w:t xml:space="preserve"> </w:t>
      </w:r>
      <w:r w:rsidRPr="00C22D6C">
        <w:rPr>
          <w:szCs w:val="22"/>
        </w:rPr>
        <w:t>Criminalization</w:t>
      </w:r>
      <w:r>
        <w:rPr>
          <w:szCs w:val="22"/>
        </w:rPr>
        <w:t xml:space="preserve"> also</w:t>
      </w:r>
      <w:r w:rsidRPr="00C22D6C">
        <w:rPr>
          <w:szCs w:val="22"/>
        </w:rPr>
        <w:t xml:space="preserve"> </w:t>
      </w:r>
      <w:r>
        <w:rPr>
          <w:szCs w:val="22"/>
        </w:rPr>
        <w:t xml:space="preserve">hinders the scale-up of SCS while </w:t>
      </w:r>
      <w:r w:rsidRPr="00C22D6C">
        <w:rPr>
          <w:szCs w:val="22"/>
        </w:rPr>
        <w:t>deter</w:t>
      </w:r>
      <w:r>
        <w:rPr>
          <w:szCs w:val="22"/>
        </w:rPr>
        <w:t>ring</w:t>
      </w:r>
      <w:r w:rsidRPr="00C22D6C">
        <w:rPr>
          <w:szCs w:val="22"/>
        </w:rPr>
        <w:t xml:space="preserve"> people from vital health services</w:t>
      </w:r>
      <w:r>
        <w:rPr>
          <w:szCs w:val="22"/>
        </w:rPr>
        <w:t xml:space="preserve"> </w:t>
      </w:r>
      <w:r w:rsidRPr="00C22D6C">
        <w:rPr>
          <w:szCs w:val="22"/>
        </w:rPr>
        <w:t>and forc</w:t>
      </w:r>
      <w:r>
        <w:rPr>
          <w:szCs w:val="22"/>
        </w:rPr>
        <w:t>ing</w:t>
      </w:r>
      <w:r w:rsidRPr="00C22D6C">
        <w:rPr>
          <w:szCs w:val="22"/>
        </w:rPr>
        <w:t xml:space="preserve"> people who use drugs to </w:t>
      </w:r>
      <w:r w:rsidR="0015311B">
        <w:rPr>
          <w:szCs w:val="22"/>
        </w:rPr>
        <w:t>acquire drugs</w:t>
      </w:r>
      <w:r w:rsidR="0015311B" w:rsidRPr="00C22D6C">
        <w:rPr>
          <w:szCs w:val="22"/>
        </w:rPr>
        <w:t xml:space="preserve"> </w:t>
      </w:r>
      <w:r w:rsidR="0015311B">
        <w:rPr>
          <w:szCs w:val="22"/>
        </w:rPr>
        <w:t>from</w:t>
      </w:r>
      <w:r w:rsidR="0015311B" w:rsidRPr="00C22D6C">
        <w:rPr>
          <w:szCs w:val="22"/>
        </w:rPr>
        <w:t xml:space="preserve"> </w:t>
      </w:r>
      <w:r w:rsidRPr="00C22D6C">
        <w:rPr>
          <w:szCs w:val="22"/>
        </w:rPr>
        <w:t>an unregulated market.</w:t>
      </w:r>
    </w:p>
    <w:p w14:paraId="243EE8EB" w14:textId="77777777" w:rsidR="00857F61" w:rsidRPr="009A70EB" w:rsidRDefault="00857F61" w:rsidP="00967D45">
      <w:pPr>
        <w:ind w:left="426" w:hanging="426"/>
        <w:jc w:val="both"/>
        <w:rPr>
          <w:szCs w:val="22"/>
        </w:rPr>
      </w:pPr>
    </w:p>
    <w:p w14:paraId="50FB974A" w14:textId="77777777" w:rsidR="00EB64DF" w:rsidRDefault="00857F61" w:rsidP="00967D45">
      <w:pPr>
        <w:pStyle w:val="ListParagraph"/>
        <w:numPr>
          <w:ilvl w:val="0"/>
          <w:numId w:val="21"/>
        </w:numPr>
        <w:ind w:left="426" w:hanging="426"/>
        <w:jc w:val="both"/>
        <w:rPr>
          <w:szCs w:val="22"/>
        </w:rPr>
      </w:pPr>
      <w:r w:rsidRPr="00CA71F9">
        <w:rPr>
          <w:szCs w:val="22"/>
        </w:rPr>
        <w:t xml:space="preserve">Following </w:t>
      </w:r>
      <w:r>
        <w:rPr>
          <w:szCs w:val="22"/>
        </w:rPr>
        <w:t>her</w:t>
      </w:r>
      <w:r w:rsidRPr="00CA71F9">
        <w:rPr>
          <w:szCs w:val="22"/>
        </w:rPr>
        <w:t xml:space="preserve"> 2018 visit to Canada, the Special Rapporteur on VAW</w:t>
      </w:r>
      <w:r>
        <w:rPr>
          <w:szCs w:val="22"/>
        </w:rPr>
        <w:t xml:space="preserve"> </w:t>
      </w:r>
      <w:r w:rsidRPr="00CA71F9">
        <w:rPr>
          <w:szCs w:val="22"/>
        </w:rPr>
        <w:t>called on Canada to establish an adequate number of, and sustainabl</w:t>
      </w:r>
      <w:r>
        <w:rPr>
          <w:szCs w:val="22"/>
        </w:rPr>
        <w:t>y</w:t>
      </w:r>
      <w:r w:rsidRPr="00CA71F9">
        <w:rPr>
          <w:szCs w:val="22"/>
        </w:rPr>
        <w:t xml:space="preserve"> fund, shelters and services for women fleeing violence, considering the needs of women belonging to vulnerable groups. At the time, there were 553 </w:t>
      </w:r>
      <w:r>
        <w:rPr>
          <w:szCs w:val="22"/>
        </w:rPr>
        <w:t xml:space="preserve">VAW </w:t>
      </w:r>
      <w:r w:rsidRPr="00CA71F9">
        <w:rPr>
          <w:szCs w:val="22"/>
        </w:rPr>
        <w:t>shelters, which the Special Rapporteur concluded was insufficient. The Special Rapporteur also called on Canada to ensure that women are not criminalized when they seek protection.</w:t>
      </w:r>
      <w:r w:rsidRPr="006E514E">
        <w:rPr>
          <w:rStyle w:val="FootnoteReference"/>
          <w:szCs w:val="22"/>
          <w:lang w:val="en-CA"/>
        </w:rPr>
        <w:footnoteReference w:id="21"/>
      </w:r>
      <w:r w:rsidRPr="00CA71F9">
        <w:rPr>
          <w:szCs w:val="22"/>
        </w:rPr>
        <w:t xml:space="preserve"> </w:t>
      </w:r>
      <w:r>
        <w:rPr>
          <w:szCs w:val="22"/>
        </w:rPr>
        <w:t>A</w:t>
      </w:r>
      <w:r w:rsidRPr="00CA71F9">
        <w:rPr>
          <w:szCs w:val="22"/>
        </w:rPr>
        <w:t xml:space="preserve">s of 2020-2021, there </w:t>
      </w:r>
      <w:r>
        <w:rPr>
          <w:szCs w:val="22"/>
        </w:rPr>
        <w:t>a</w:t>
      </w:r>
      <w:r w:rsidRPr="00CA71F9">
        <w:rPr>
          <w:szCs w:val="22"/>
        </w:rPr>
        <w:t>re only 557 shelters</w:t>
      </w:r>
      <w:r>
        <w:rPr>
          <w:szCs w:val="22"/>
        </w:rPr>
        <w:t>,</w:t>
      </w:r>
      <w:r w:rsidRPr="00CA71F9">
        <w:rPr>
          <w:szCs w:val="22"/>
        </w:rPr>
        <w:t xml:space="preserve"> </w:t>
      </w:r>
      <w:r>
        <w:rPr>
          <w:szCs w:val="22"/>
        </w:rPr>
        <w:t>with</w:t>
      </w:r>
      <w:r w:rsidRPr="00CA71F9">
        <w:rPr>
          <w:szCs w:val="22"/>
        </w:rPr>
        <w:t xml:space="preserve"> hundreds of people turned away from shelters each day, </w:t>
      </w:r>
      <w:r>
        <w:rPr>
          <w:szCs w:val="22"/>
        </w:rPr>
        <w:t>and</w:t>
      </w:r>
      <w:r w:rsidRPr="00CA71F9">
        <w:rPr>
          <w:szCs w:val="22"/>
        </w:rPr>
        <w:t xml:space="preserve"> about three in ten returning to the home in which their abuser live</w:t>
      </w:r>
      <w:r>
        <w:rPr>
          <w:szCs w:val="22"/>
        </w:rPr>
        <w:t>s</w:t>
      </w:r>
      <w:r w:rsidRPr="00CA71F9">
        <w:rPr>
          <w:szCs w:val="22"/>
        </w:rPr>
        <w:t>.</w:t>
      </w:r>
      <w:r w:rsidRPr="006E514E">
        <w:rPr>
          <w:rStyle w:val="FootnoteReference"/>
          <w:szCs w:val="22"/>
          <w:lang w:val="en-CA"/>
        </w:rPr>
        <w:footnoteReference w:id="22"/>
      </w:r>
      <w:r w:rsidRPr="00CA71F9">
        <w:rPr>
          <w:szCs w:val="22"/>
        </w:rPr>
        <w:t xml:space="preserve"> </w:t>
      </w:r>
    </w:p>
    <w:p w14:paraId="5EE7C13B" w14:textId="77777777" w:rsidR="00EB64DF" w:rsidRPr="00EB64DF" w:rsidRDefault="00EB64DF" w:rsidP="00EB64DF">
      <w:pPr>
        <w:pStyle w:val="ListParagraph"/>
        <w:rPr>
          <w:szCs w:val="22"/>
        </w:rPr>
      </w:pPr>
    </w:p>
    <w:p w14:paraId="7E6C14A1" w14:textId="79B28740" w:rsidR="00F2363C" w:rsidRPr="00BF1212" w:rsidRDefault="000B2E37" w:rsidP="00967D45">
      <w:pPr>
        <w:pStyle w:val="ListParagraph"/>
        <w:numPr>
          <w:ilvl w:val="0"/>
          <w:numId w:val="21"/>
        </w:numPr>
        <w:ind w:left="426" w:hanging="426"/>
        <w:jc w:val="both"/>
        <w:rPr>
          <w:szCs w:val="22"/>
        </w:rPr>
      </w:pPr>
      <w:r w:rsidRPr="00BF1212">
        <w:rPr>
          <w:szCs w:val="22"/>
        </w:rPr>
        <w:t>Failing to provide shelter and SCS to women who use drugs represents a clear violation of the Convention.</w:t>
      </w:r>
      <w:r w:rsidR="00857F61" w:rsidRPr="00BF1212">
        <w:rPr>
          <w:szCs w:val="22"/>
        </w:rPr>
        <w:t xml:space="preserve"> During its 2016 review of Canada, the CEDAW Committee </w:t>
      </w:r>
      <w:r w:rsidR="00857F61" w:rsidRPr="2738C79F">
        <w:t xml:space="preserve">expressed its concern with “the significant legislative and administrative barriers women face to access supervised consumption services” </w:t>
      </w:r>
      <w:r w:rsidR="00857F61">
        <w:t xml:space="preserve">and </w:t>
      </w:r>
      <w:r w:rsidR="00857F61" w:rsidRPr="00BF1212">
        <w:rPr>
          <w:szCs w:val="22"/>
        </w:rPr>
        <w:t>recommended that Canada “reduce the gap in health service delivery related to women’s drug use, by scaling-up and ensuring access to culturally appropriate harm reduction services.”</w:t>
      </w:r>
      <w:r w:rsidR="00857F61" w:rsidRPr="006E514E">
        <w:rPr>
          <w:rStyle w:val="FootnoteReference"/>
          <w:szCs w:val="22"/>
          <w:lang w:val="en-CA"/>
        </w:rPr>
        <w:footnoteReference w:id="23"/>
      </w:r>
      <w:r w:rsidR="00857F61" w:rsidRPr="00BF1212">
        <w:rPr>
          <w:szCs w:val="22"/>
          <w:lang w:val="en-CA"/>
        </w:rPr>
        <w:t xml:space="preserve"> Moreover</w:t>
      </w:r>
      <w:r w:rsidR="00857F61" w:rsidRPr="00BF1212">
        <w:rPr>
          <w:szCs w:val="22"/>
        </w:rPr>
        <w:t>, the CEDAW Committee has previously concluded that States Parties had breached their Convention obligations because they did not have sufficiently accessible VAW shelters,</w:t>
      </w:r>
      <w:r w:rsidR="00857F61" w:rsidRPr="006E514E">
        <w:rPr>
          <w:rStyle w:val="FootnoteReference"/>
          <w:szCs w:val="22"/>
          <w:lang w:val="en-CA"/>
        </w:rPr>
        <w:footnoteReference w:id="24"/>
      </w:r>
      <w:r w:rsidR="00857F61" w:rsidRPr="00BF1212">
        <w:rPr>
          <w:szCs w:val="22"/>
        </w:rPr>
        <w:t xml:space="preserve"> including for women who use drugs.</w:t>
      </w:r>
      <w:r w:rsidR="00857F61" w:rsidRPr="006E514E">
        <w:rPr>
          <w:rStyle w:val="FootnoteReference"/>
          <w:szCs w:val="22"/>
          <w:lang w:val="en-CA"/>
        </w:rPr>
        <w:footnoteReference w:id="25"/>
      </w:r>
      <w:r w:rsidR="00857F61" w:rsidRPr="00BF1212">
        <w:rPr>
          <w:szCs w:val="22"/>
        </w:rPr>
        <w:t xml:space="preserve"> </w:t>
      </w:r>
    </w:p>
    <w:p w14:paraId="136053AF" w14:textId="77777777" w:rsidR="00F2363C" w:rsidRPr="006E514E" w:rsidRDefault="00F2363C" w:rsidP="00967D45">
      <w:pPr>
        <w:ind w:left="426" w:hanging="426"/>
        <w:jc w:val="both"/>
        <w:rPr>
          <w:rFonts w:cs="Arial"/>
          <w:szCs w:val="22"/>
        </w:rPr>
      </w:pPr>
    </w:p>
    <w:p w14:paraId="71772954" w14:textId="77777777" w:rsidR="00F2363C" w:rsidRPr="006E514E" w:rsidRDefault="00F2363C" w:rsidP="00967D45">
      <w:pPr>
        <w:pStyle w:val="ListParagraph"/>
        <w:ind w:left="426" w:hanging="426"/>
        <w:jc w:val="both"/>
        <w:rPr>
          <w:b/>
          <w:sz w:val="24"/>
          <w:lang w:val="en-CA"/>
        </w:rPr>
      </w:pPr>
    </w:p>
    <w:p w14:paraId="037963AC" w14:textId="19106931" w:rsidR="00F2363C" w:rsidRPr="006E514E" w:rsidRDefault="00BD220F" w:rsidP="00967D45">
      <w:pPr>
        <w:ind w:left="426" w:right="-20" w:hanging="426"/>
        <w:jc w:val="both"/>
        <w:rPr>
          <w:rFonts w:eastAsia="Arial" w:cs="Arial"/>
        </w:rPr>
      </w:pPr>
      <w:r>
        <w:rPr>
          <w:rFonts w:eastAsia="Arial" w:cs="Arial"/>
          <w:b/>
          <w:bCs/>
          <w:spacing w:val="-1"/>
        </w:rPr>
        <w:lastRenderedPageBreak/>
        <w:t>CANADA</w:t>
      </w:r>
      <w:r w:rsidR="00F2363C" w:rsidRPr="006E514E">
        <w:rPr>
          <w:rFonts w:eastAsia="Arial" w:cs="Arial"/>
          <w:b/>
          <w:bCs/>
          <w:spacing w:val="-1"/>
        </w:rPr>
        <w:t xml:space="preserve"> MUST:</w:t>
      </w:r>
    </w:p>
    <w:p w14:paraId="62F15D2D" w14:textId="77777777" w:rsidR="00F2363C" w:rsidRPr="006E514E" w:rsidRDefault="00F2363C" w:rsidP="00967D45">
      <w:pPr>
        <w:ind w:left="426" w:hanging="426"/>
        <w:jc w:val="both"/>
        <w:rPr>
          <w:sz w:val="13"/>
          <w:szCs w:val="13"/>
        </w:rPr>
      </w:pPr>
    </w:p>
    <w:p w14:paraId="6090812E" w14:textId="77777777" w:rsidR="00F2363C" w:rsidRPr="006E514E" w:rsidRDefault="00F2363C" w:rsidP="00967D45">
      <w:pPr>
        <w:ind w:left="426" w:hanging="426"/>
        <w:jc w:val="both"/>
        <w:rPr>
          <w:sz w:val="16"/>
          <w:szCs w:val="16"/>
        </w:rPr>
      </w:pPr>
    </w:p>
    <w:p w14:paraId="22B8A8E4" w14:textId="41ABD16C" w:rsidR="00F2363C" w:rsidRDefault="00343BE1" w:rsidP="00967D45">
      <w:pPr>
        <w:pStyle w:val="ListParagraph"/>
        <w:numPr>
          <w:ilvl w:val="0"/>
          <w:numId w:val="32"/>
        </w:numPr>
        <w:tabs>
          <w:tab w:val="left" w:pos="840"/>
        </w:tabs>
        <w:ind w:left="426" w:right="181" w:hanging="426"/>
        <w:jc w:val="both"/>
        <w:rPr>
          <w:rFonts w:eastAsia="Arial"/>
          <w:b/>
          <w:bCs/>
          <w:lang w:val="en-CA"/>
        </w:rPr>
      </w:pPr>
      <w:r>
        <w:rPr>
          <w:rFonts w:eastAsia="Arial"/>
          <w:b/>
          <w:bCs/>
          <w:lang w:val="en-CA"/>
        </w:rPr>
        <w:t>I</w:t>
      </w:r>
      <w:r w:rsidR="00F2363C" w:rsidRPr="00465801">
        <w:rPr>
          <w:rFonts w:eastAsia="Arial"/>
          <w:b/>
          <w:bCs/>
          <w:lang w:val="en-CA"/>
        </w:rPr>
        <w:t xml:space="preserve">ncrease funding to </w:t>
      </w:r>
      <w:r w:rsidR="00F2363C">
        <w:rPr>
          <w:rFonts w:eastAsia="Arial"/>
          <w:b/>
          <w:bCs/>
          <w:lang w:val="en-CA"/>
        </w:rPr>
        <w:t xml:space="preserve">all </w:t>
      </w:r>
      <w:r w:rsidR="00F2363C" w:rsidRPr="00465801">
        <w:rPr>
          <w:rFonts w:eastAsia="Arial"/>
          <w:b/>
          <w:bCs/>
          <w:lang w:val="en-CA"/>
        </w:rPr>
        <w:t xml:space="preserve">shelters for women fleeing </w:t>
      </w:r>
      <w:proofErr w:type="gramStart"/>
      <w:r w:rsidR="00F2363C" w:rsidRPr="00465801">
        <w:rPr>
          <w:rFonts w:eastAsia="Arial"/>
          <w:b/>
          <w:bCs/>
          <w:lang w:val="en-CA"/>
        </w:rPr>
        <w:t>violence;</w:t>
      </w:r>
      <w:proofErr w:type="gramEnd"/>
      <w:r w:rsidR="00F2363C" w:rsidRPr="00465801">
        <w:rPr>
          <w:rFonts w:eastAsia="Arial"/>
          <w:b/>
          <w:bCs/>
          <w:lang w:val="en-CA"/>
        </w:rPr>
        <w:t xml:space="preserve"> </w:t>
      </w:r>
    </w:p>
    <w:p w14:paraId="2133EAE0" w14:textId="77777777" w:rsidR="00F2363C" w:rsidRPr="00465801" w:rsidRDefault="00F2363C" w:rsidP="00967D45">
      <w:pPr>
        <w:pStyle w:val="ListParagraph"/>
        <w:tabs>
          <w:tab w:val="left" w:pos="840"/>
        </w:tabs>
        <w:ind w:left="426" w:right="181" w:hanging="426"/>
        <w:jc w:val="both"/>
        <w:rPr>
          <w:rFonts w:eastAsia="Arial"/>
          <w:b/>
          <w:bCs/>
          <w:lang w:val="en-CA"/>
        </w:rPr>
      </w:pPr>
    </w:p>
    <w:p w14:paraId="5FC6681E" w14:textId="19E162B3" w:rsidR="00F2363C" w:rsidRPr="00465801" w:rsidRDefault="00343BE1" w:rsidP="00967D45">
      <w:pPr>
        <w:pStyle w:val="ListParagraph"/>
        <w:numPr>
          <w:ilvl w:val="0"/>
          <w:numId w:val="32"/>
        </w:numPr>
        <w:tabs>
          <w:tab w:val="left" w:pos="840"/>
        </w:tabs>
        <w:ind w:left="426" w:right="181" w:hanging="426"/>
        <w:jc w:val="both"/>
        <w:rPr>
          <w:rFonts w:eastAsia="Arial"/>
          <w:b/>
          <w:bCs/>
          <w:lang w:val="en-CA"/>
        </w:rPr>
      </w:pPr>
      <w:r>
        <w:rPr>
          <w:rFonts w:eastAsia="Arial"/>
          <w:b/>
          <w:bCs/>
          <w:lang w:val="en-CA"/>
        </w:rPr>
        <w:t>E</w:t>
      </w:r>
      <w:r w:rsidR="00F2363C" w:rsidRPr="00465801">
        <w:rPr>
          <w:rFonts w:eastAsia="Arial"/>
          <w:b/>
          <w:bCs/>
          <w:lang w:val="en-CA"/>
        </w:rPr>
        <w:t xml:space="preserve">nsure that women are not barred from shelters on the basis of drug </w:t>
      </w:r>
      <w:proofErr w:type="gramStart"/>
      <w:r w:rsidR="00F2363C" w:rsidRPr="00465801">
        <w:rPr>
          <w:rFonts w:eastAsia="Arial"/>
          <w:b/>
          <w:bCs/>
          <w:lang w:val="en-CA"/>
        </w:rPr>
        <w:t>use;</w:t>
      </w:r>
      <w:proofErr w:type="gramEnd"/>
      <w:r w:rsidR="00F2363C" w:rsidRPr="00465801">
        <w:rPr>
          <w:rFonts w:eastAsia="Arial"/>
          <w:b/>
          <w:bCs/>
          <w:lang w:val="en-CA"/>
        </w:rPr>
        <w:t xml:space="preserve"> </w:t>
      </w:r>
    </w:p>
    <w:p w14:paraId="59953172" w14:textId="77777777" w:rsidR="00F2363C" w:rsidRDefault="00F2363C" w:rsidP="00967D45">
      <w:pPr>
        <w:pStyle w:val="ListParagraph"/>
        <w:tabs>
          <w:tab w:val="left" w:pos="840"/>
        </w:tabs>
        <w:ind w:left="426" w:right="181" w:hanging="426"/>
        <w:jc w:val="both"/>
        <w:rPr>
          <w:rFonts w:eastAsia="Arial"/>
          <w:b/>
          <w:bCs/>
          <w:lang w:val="en-CA"/>
        </w:rPr>
      </w:pPr>
    </w:p>
    <w:p w14:paraId="4B96C77E" w14:textId="2FA39904" w:rsidR="00F2363C" w:rsidRPr="00465801" w:rsidRDefault="00343BE1" w:rsidP="00967D45">
      <w:pPr>
        <w:pStyle w:val="ListParagraph"/>
        <w:numPr>
          <w:ilvl w:val="0"/>
          <w:numId w:val="32"/>
        </w:numPr>
        <w:tabs>
          <w:tab w:val="left" w:pos="840"/>
        </w:tabs>
        <w:ind w:left="426" w:right="181" w:hanging="426"/>
        <w:jc w:val="both"/>
        <w:rPr>
          <w:rFonts w:eastAsia="Arial"/>
          <w:b/>
          <w:bCs/>
          <w:lang w:val="en-CA"/>
        </w:rPr>
      </w:pPr>
      <w:r>
        <w:rPr>
          <w:rFonts w:eastAsia="Arial"/>
          <w:b/>
          <w:bCs/>
          <w:lang w:val="en-CA"/>
        </w:rPr>
        <w:t>R</w:t>
      </w:r>
      <w:r w:rsidR="00F2363C" w:rsidRPr="00465801">
        <w:rPr>
          <w:rFonts w:eastAsia="Arial"/>
          <w:b/>
          <w:bCs/>
          <w:lang w:val="en-CA"/>
        </w:rPr>
        <w:t>educe</w:t>
      </w:r>
      <w:r w:rsidR="00F2363C" w:rsidRPr="00465801">
        <w:rPr>
          <w:rFonts w:eastAsia="Arial"/>
          <w:b/>
          <w:bCs/>
          <w:spacing w:val="-2"/>
          <w:lang w:val="en-CA"/>
        </w:rPr>
        <w:t xml:space="preserve"> </w:t>
      </w:r>
      <w:r w:rsidR="00F2363C" w:rsidRPr="00465801">
        <w:rPr>
          <w:rFonts w:eastAsia="Arial"/>
          <w:b/>
          <w:bCs/>
          <w:spacing w:val="1"/>
          <w:lang w:val="en-CA"/>
        </w:rPr>
        <w:t>t</w:t>
      </w:r>
      <w:r w:rsidR="00F2363C" w:rsidRPr="00465801">
        <w:rPr>
          <w:rFonts w:eastAsia="Arial"/>
          <w:b/>
          <w:bCs/>
          <w:lang w:val="en-CA"/>
        </w:rPr>
        <w:t>he</w:t>
      </w:r>
      <w:r w:rsidR="00F2363C" w:rsidRPr="00465801">
        <w:rPr>
          <w:rFonts w:eastAsia="Arial"/>
          <w:b/>
          <w:bCs/>
          <w:spacing w:val="1"/>
          <w:lang w:val="en-CA"/>
        </w:rPr>
        <w:t xml:space="preserve"> </w:t>
      </w:r>
      <w:r w:rsidR="00F2363C" w:rsidRPr="00465801">
        <w:rPr>
          <w:rFonts w:eastAsia="Arial"/>
          <w:b/>
          <w:bCs/>
          <w:lang w:val="en-CA"/>
        </w:rPr>
        <w:t>ga</w:t>
      </w:r>
      <w:r w:rsidR="00F2363C" w:rsidRPr="00465801">
        <w:rPr>
          <w:rFonts w:eastAsia="Arial"/>
          <w:b/>
          <w:bCs/>
          <w:spacing w:val="-3"/>
          <w:lang w:val="en-CA"/>
        </w:rPr>
        <w:t>p</w:t>
      </w:r>
      <w:r w:rsidR="00F2363C" w:rsidRPr="00465801">
        <w:rPr>
          <w:rFonts w:eastAsia="Arial"/>
          <w:b/>
          <w:bCs/>
          <w:lang w:val="en-CA"/>
        </w:rPr>
        <w:t>s</w:t>
      </w:r>
      <w:r w:rsidR="00F2363C" w:rsidRPr="00465801">
        <w:rPr>
          <w:rFonts w:eastAsia="Arial"/>
          <w:b/>
          <w:bCs/>
          <w:spacing w:val="-2"/>
          <w:lang w:val="en-CA"/>
        </w:rPr>
        <w:t xml:space="preserve"> </w:t>
      </w:r>
      <w:r w:rsidR="00F2363C" w:rsidRPr="00465801">
        <w:rPr>
          <w:rFonts w:eastAsia="Arial"/>
          <w:b/>
          <w:bCs/>
          <w:spacing w:val="1"/>
          <w:lang w:val="en-CA"/>
        </w:rPr>
        <w:t>i</w:t>
      </w:r>
      <w:r w:rsidR="00F2363C" w:rsidRPr="00465801">
        <w:rPr>
          <w:rFonts w:eastAsia="Arial"/>
          <w:b/>
          <w:bCs/>
          <w:lang w:val="en-CA"/>
        </w:rPr>
        <w:t>n</w:t>
      </w:r>
      <w:r w:rsidR="00F2363C" w:rsidRPr="00465801">
        <w:rPr>
          <w:rFonts w:eastAsia="Arial"/>
          <w:b/>
          <w:bCs/>
          <w:spacing w:val="-2"/>
          <w:lang w:val="en-CA"/>
        </w:rPr>
        <w:t xml:space="preserve"> </w:t>
      </w:r>
      <w:r w:rsidR="00F2363C" w:rsidRPr="00465801">
        <w:rPr>
          <w:rFonts w:eastAsia="Arial"/>
          <w:b/>
          <w:bCs/>
          <w:lang w:val="en-CA"/>
        </w:rPr>
        <w:t>hea</w:t>
      </w:r>
      <w:r w:rsidR="00F2363C" w:rsidRPr="00465801">
        <w:rPr>
          <w:rFonts w:eastAsia="Arial"/>
          <w:b/>
          <w:bCs/>
          <w:spacing w:val="-1"/>
          <w:lang w:val="en-CA"/>
        </w:rPr>
        <w:t>l</w:t>
      </w:r>
      <w:r w:rsidR="00F2363C" w:rsidRPr="00465801">
        <w:rPr>
          <w:rFonts w:eastAsia="Arial"/>
          <w:b/>
          <w:bCs/>
          <w:spacing w:val="1"/>
          <w:lang w:val="en-CA"/>
        </w:rPr>
        <w:t>t</w:t>
      </w:r>
      <w:r w:rsidR="00F2363C" w:rsidRPr="00465801">
        <w:rPr>
          <w:rFonts w:eastAsia="Arial"/>
          <w:b/>
          <w:bCs/>
          <w:lang w:val="en-CA"/>
        </w:rPr>
        <w:t>h</w:t>
      </w:r>
      <w:r w:rsidR="00F2363C" w:rsidRPr="00465801">
        <w:rPr>
          <w:rFonts w:eastAsia="Arial"/>
          <w:b/>
          <w:bCs/>
          <w:spacing w:val="1"/>
          <w:lang w:val="en-CA"/>
        </w:rPr>
        <w:t xml:space="preserve"> </w:t>
      </w:r>
      <w:r w:rsidR="00F2363C" w:rsidRPr="00465801">
        <w:rPr>
          <w:rFonts w:eastAsia="Arial"/>
          <w:b/>
          <w:bCs/>
          <w:lang w:val="en-CA"/>
        </w:rPr>
        <w:t>ser</w:t>
      </w:r>
      <w:r w:rsidR="00F2363C" w:rsidRPr="00465801">
        <w:rPr>
          <w:rFonts w:eastAsia="Arial"/>
          <w:b/>
          <w:bCs/>
          <w:spacing w:val="-3"/>
          <w:lang w:val="en-CA"/>
        </w:rPr>
        <w:t>v</w:t>
      </w:r>
      <w:r w:rsidR="00F2363C" w:rsidRPr="00465801">
        <w:rPr>
          <w:rFonts w:eastAsia="Arial"/>
          <w:b/>
          <w:bCs/>
          <w:spacing w:val="1"/>
          <w:lang w:val="en-CA"/>
        </w:rPr>
        <w:t>i</w:t>
      </w:r>
      <w:r w:rsidR="00F2363C" w:rsidRPr="00465801">
        <w:rPr>
          <w:rFonts w:eastAsia="Arial"/>
          <w:b/>
          <w:bCs/>
          <w:lang w:val="en-CA"/>
        </w:rPr>
        <w:t>ce</w:t>
      </w:r>
      <w:r w:rsidR="00F2363C" w:rsidRPr="00465801">
        <w:rPr>
          <w:rFonts w:eastAsia="Arial"/>
          <w:b/>
          <w:bCs/>
          <w:spacing w:val="-2"/>
          <w:lang w:val="en-CA"/>
        </w:rPr>
        <w:t xml:space="preserve"> </w:t>
      </w:r>
      <w:r w:rsidR="00F2363C" w:rsidRPr="00465801">
        <w:rPr>
          <w:rFonts w:eastAsia="Arial"/>
          <w:b/>
          <w:bCs/>
          <w:lang w:val="en-CA"/>
        </w:rPr>
        <w:t>de</w:t>
      </w:r>
      <w:r w:rsidR="00F2363C" w:rsidRPr="00465801">
        <w:rPr>
          <w:rFonts w:eastAsia="Arial"/>
          <w:b/>
          <w:bCs/>
          <w:spacing w:val="-1"/>
          <w:lang w:val="en-CA"/>
        </w:rPr>
        <w:t>l</w:t>
      </w:r>
      <w:r w:rsidR="00F2363C" w:rsidRPr="00465801">
        <w:rPr>
          <w:rFonts w:eastAsia="Arial"/>
          <w:b/>
          <w:bCs/>
          <w:spacing w:val="1"/>
          <w:lang w:val="en-CA"/>
        </w:rPr>
        <w:t>i</w:t>
      </w:r>
      <w:r w:rsidR="00F2363C" w:rsidRPr="00465801">
        <w:rPr>
          <w:rFonts w:eastAsia="Arial"/>
          <w:b/>
          <w:bCs/>
          <w:spacing w:val="-3"/>
          <w:lang w:val="en-CA"/>
        </w:rPr>
        <w:t>v</w:t>
      </w:r>
      <w:r w:rsidR="00F2363C" w:rsidRPr="00465801">
        <w:rPr>
          <w:rFonts w:eastAsia="Arial"/>
          <w:b/>
          <w:bCs/>
          <w:lang w:val="en-CA"/>
        </w:rPr>
        <w:t>e</w:t>
      </w:r>
      <w:r w:rsidR="00F2363C" w:rsidRPr="00465801">
        <w:rPr>
          <w:rFonts w:eastAsia="Arial"/>
          <w:b/>
          <w:bCs/>
          <w:spacing w:val="3"/>
          <w:lang w:val="en-CA"/>
        </w:rPr>
        <w:t>r</w:t>
      </w:r>
      <w:r w:rsidR="00F2363C" w:rsidRPr="00465801">
        <w:rPr>
          <w:rFonts w:eastAsia="Arial"/>
          <w:b/>
          <w:bCs/>
          <w:lang w:val="en-CA"/>
        </w:rPr>
        <w:t>y</w:t>
      </w:r>
      <w:r w:rsidR="00F2363C" w:rsidRPr="00465801">
        <w:rPr>
          <w:rFonts w:eastAsia="Arial"/>
          <w:b/>
          <w:bCs/>
          <w:spacing w:val="-2"/>
          <w:lang w:val="en-CA"/>
        </w:rPr>
        <w:t xml:space="preserve"> </w:t>
      </w:r>
      <w:r w:rsidR="00F2363C" w:rsidRPr="00465801">
        <w:rPr>
          <w:rFonts w:eastAsia="Arial"/>
          <w:b/>
          <w:bCs/>
          <w:lang w:val="en-CA"/>
        </w:rPr>
        <w:t>re</w:t>
      </w:r>
      <w:r w:rsidR="00F2363C" w:rsidRPr="00465801">
        <w:rPr>
          <w:rFonts w:eastAsia="Arial"/>
          <w:b/>
          <w:bCs/>
          <w:spacing w:val="1"/>
          <w:lang w:val="en-CA"/>
        </w:rPr>
        <w:t>l</w:t>
      </w:r>
      <w:r w:rsidR="00F2363C" w:rsidRPr="00465801">
        <w:rPr>
          <w:rFonts w:eastAsia="Arial"/>
          <w:b/>
          <w:bCs/>
          <w:spacing w:val="-3"/>
          <w:lang w:val="en-CA"/>
        </w:rPr>
        <w:t>a</w:t>
      </w:r>
      <w:r w:rsidR="00F2363C" w:rsidRPr="00465801">
        <w:rPr>
          <w:rFonts w:eastAsia="Arial"/>
          <w:b/>
          <w:bCs/>
          <w:spacing w:val="1"/>
          <w:lang w:val="en-CA"/>
        </w:rPr>
        <w:t>t</w:t>
      </w:r>
      <w:r w:rsidR="00F2363C" w:rsidRPr="00465801">
        <w:rPr>
          <w:rFonts w:eastAsia="Arial"/>
          <w:b/>
          <w:bCs/>
          <w:lang w:val="en-CA"/>
        </w:rPr>
        <w:t>ed</w:t>
      </w:r>
      <w:r w:rsidR="00F2363C" w:rsidRPr="00465801">
        <w:rPr>
          <w:rFonts w:eastAsia="Arial"/>
          <w:b/>
          <w:bCs/>
          <w:spacing w:val="-2"/>
          <w:lang w:val="en-CA"/>
        </w:rPr>
        <w:t xml:space="preserve"> </w:t>
      </w:r>
      <w:r w:rsidR="00F2363C" w:rsidRPr="00465801">
        <w:rPr>
          <w:rFonts w:eastAsia="Arial"/>
          <w:b/>
          <w:bCs/>
          <w:spacing w:val="1"/>
          <w:lang w:val="en-CA"/>
        </w:rPr>
        <w:t>t</w:t>
      </w:r>
      <w:r w:rsidR="00F2363C" w:rsidRPr="00465801">
        <w:rPr>
          <w:rFonts w:eastAsia="Arial"/>
          <w:b/>
          <w:bCs/>
          <w:lang w:val="en-CA"/>
        </w:rPr>
        <w:t>o</w:t>
      </w:r>
      <w:r w:rsidR="00F2363C" w:rsidRPr="00465801">
        <w:rPr>
          <w:rFonts w:eastAsia="Arial"/>
          <w:b/>
          <w:bCs/>
          <w:spacing w:val="1"/>
          <w:lang w:val="en-CA"/>
        </w:rPr>
        <w:t xml:space="preserve"> </w:t>
      </w:r>
      <w:r w:rsidR="00F2363C" w:rsidRPr="00465801">
        <w:rPr>
          <w:rFonts w:eastAsia="Arial"/>
          <w:b/>
          <w:bCs/>
          <w:spacing w:val="-3"/>
          <w:lang w:val="en-CA"/>
        </w:rPr>
        <w:t>d</w:t>
      </w:r>
      <w:r w:rsidR="00F2363C" w:rsidRPr="00465801">
        <w:rPr>
          <w:rFonts w:eastAsia="Arial"/>
          <w:b/>
          <w:bCs/>
          <w:lang w:val="en-CA"/>
        </w:rPr>
        <w:t>rug</w:t>
      </w:r>
      <w:r w:rsidR="00F2363C" w:rsidRPr="00465801">
        <w:rPr>
          <w:rFonts w:eastAsia="Arial"/>
          <w:b/>
          <w:bCs/>
          <w:spacing w:val="1"/>
          <w:lang w:val="en-CA"/>
        </w:rPr>
        <w:t xml:space="preserve"> </w:t>
      </w:r>
      <w:r w:rsidR="00F2363C" w:rsidRPr="00465801">
        <w:rPr>
          <w:rFonts w:eastAsia="Arial"/>
          <w:b/>
          <w:bCs/>
          <w:lang w:val="en-CA"/>
        </w:rPr>
        <w:t>us</w:t>
      </w:r>
      <w:r w:rsidR="00F2363C" w:rsidRPr="00465801">
        <w:rPr>
          <w:rFonts w:eastAsia="Arial"/>
          <w:b/>
          <w:bCs/>
          <w:spacing w:val="-3"/>
          <w:lang w:val="en-CA"/>
        </w:rPr>
        <w:t>e</w:t>
      </w:r>
      <w:r w:rsidR="00F2363C" w:rsidRPr="00465801">
        <w:rPr>
          <w:rFonts w:eastAsia="Arial"/>
          <w:b/>
          <w:bCs/>
          <w:spacing w:val="2"/>
          <w:lang w:val="en-CA"/>
        </w:rPr>
        <w:t xml:space="preserve"> b</w:t>
      </w:r>
      <w:r w:rsidR="00F2363C" w:rsidRPr="00465801">
        <w:rPr>
          <w:rFonts w:eastAsia="Arial"/>
          <w:b/>
          <w:bCs/>
          <w:lang w:val="en-CA"/>
        </w:rPr>
        <w:t>y</w:t>
      </w:r>
      <w:r w:rsidR="00F2363C" w:rsidRPr="00465801">
        <w:rPr>
          <w:rFonts w:eastAsia="Arial"/>
          <w:b/>
          <w:bCs/>
          <w:spacing w:val="-4"/>
          <w:lang w:val="en-CA"/>
        </w:rPr>
        <w:t xml:space="preserve"> funding, </w:t>
      </w:r>
      <w:r w:rsidR="00F2363C" w:rsidRPr="00465801">
        <w:rPr>
          <w:rFonts w:eastAsia="Arial"/>
          <w:b/>
          <w:bCs/>
          <w:lang w:val="en-CA"/>
        </w:rPr>
        <w:t>sca</w:t>
      </w:r>
      <w:r w:rsidR="00F2363C" w:rsidRPr="00465801">
        <w:rPr>
          <w:rFonts w:eastAsia="Arial"/>
          <w:b/>
          <w:bCs/>
          <w:spacing w:val="1"/>
          <w:lang w:val="en-CA"/>
        </w:rPr>
        <w:t>li</w:t>
      </w:r>
      <w:r w:rsidR="00F2363C" w:rsidRPr="00465801">
        <w:rPr>
          <w:rFonts w:eastAsia="Arial"/>
          <w:b/>
          <w:bCs/>
          <w:lang w:val="en-CA"/>
        </w:rPr>
        <w:t>ng-up</w:t>
      </w:r>
      <w:r w:rsidR="00F2363C">
        <w:rPr>
          <w:rFonts w:eastAsia="Arial"/>
          <w:b/>
          <w:bCs/>
          <w:lang w:val="en-CA"/>
        </w:rPr>
        <w:t>,</w:t>
      </w:r>
      <w:r w:rsidR="00F2363C" w:rsidRPr="00465801">
        <w:rPr>
          <w:rFonts w:eastAsia="Arial"/>
          <w:b/>
          <w:bCs/>
          <w:spacing w:val="-2"/>
          <w:lang w:val="en-CA"/>
        </w:rPr>
        <w:t xml:space="preserve"> </w:t>
      </w:r>
      <w:r w:rsidR="00F2363C" w:rsidRPr="00465801">
        <w:rPr>
          <w:rFonts w:eastAsia="Arial"/>
          <w:b/>
          <w:bCs/>
          <w:lang w:val="en-CA"/>
        </w:rPr>
        <w:t>and</w:t>
      </w:r>
      <w:r w:rsidR="00F2363C" w:rsidRPr="00465801">
        <w:rPr>
          <w:rFonts w:eastAsia="Arial"/>
          <w:b/>
          <w:bCs/>
          <w:spacing w:val="1"/>
          <w:lang w:val="en-CA"/>
        </w:rPr>
        <w:t xml:space="preserve"> </w:t>
      </w:r>
      <w:r w:rsidR="00F2363C" w:rsidRPr="00465801">
        <w:rPr>
          <w:rFonts w:eastAsia="Arial"/>
          <w:b/>
          <w:bCs/>
          <w:lang w:val="en-CA"/>
        </w:rPr>
        <w:t>ens</w:t>
      </w:r>
      <w:r w:rsidR="00F2363C" w:rsidRPr="00465801">
        <w:rPr>
          <w:rFonts w:eastAsia="Arial"/>
          <w:b/>
          <w:bCs/>
          <w:spacing w:val="-3"/>
          <w:lang w:val="en-CA"/>
        </w:rPr>
        <w:t>u</w:t>
      </w:r>
      <w:r w:rsidR="00F2363C" w:rsidRPr="00465801">
        <w:rPr>
          <w:rFonts w:eastAsia="Arial"/>
          <w:b/>
          <w:bCs/>
          <w:lang w:val="en-CA"/>
        </w:rPr>
        <w:t>r</w:t>
      </w:r>
      <w:r w:rsidR="00F2363C" w:rsidRPr="00465801">
        <w:rPr>
          <w:rFonts w:eastAsia="Arial"/>
          <w:b/>
          <w:bCs/>
          <w:spacing w:val="1"/>
          <w:lang w:val="en-CA"/>
        </w:rPr>
        <w:t>i</w:t>
      </w:r>
      <w:r w:rsidR="00F2363C" w:rsidRPr="00465801">
        <w:rPr>
          <w:rFonts w:eastAsia="Arial"/>
          <w:b/>
          <w:bCs/>
          <w:lang w:val="en-CA"/>
        </w:rPr>
        <w:t>ng</w:t>
      </w:r>
      <w:r w:rsidR="00F2363C" w:rsidRPr="00465801">
        <w:rPr>
          <w:rFonts w:eastAsia="Arial"/>
          <w:b/>
          <w:bCs/>
          <w:spacing w:val="1"/>
          <w:lang w:val="en-CA"/>
        </w:rPr>
        <w:t xml:space="preserve"> </w:t>
      </w:r>
      <w:r w:rsidR="00F2363C" w:rsidRPr="00465801">
        <w:rPr>
          <w:rFonts w:eastAsia="Arial"/>
          <w:b/>
          <w:bCs/>
          <w:lang w:val="en-CA"/>
        </w:rPr>
        <w:t>access</w:t>
      </w:r>
      <w:r w:rsidR="00F2363C" w:rsidRPr="00465801">
        <w:rPr>
          <w:rFonts w:eastAsia="Arial"/>
          <w:b/>
          <w:bCs/>
          <w:spacing w:val="-2"/>
          <w:lang w:val="en-CA"/>
        </w:rPr>
        <w:t xml:space="preserve"> </w:t>
      </w:r>
      <w:r w:rsidR="00F2363C" w:rsidRPr="00465801">
        <w:rPr>
          <w:rFonts w:eastAsia="Arial"/>
          <w:b/>
          <w:bCs/>
          <w:spacing w:val="1"/>
          <w:lang w:val="en-CA"/>
        </w:rPr>
        <w:t>t</w:t>
      </w:r>
      <w:r w:rsidR="00F2363C" w:rsidRPr="00465801">
        <w:rPr>
          <w:rFonts w:eastAsia="Arial"/>
          <w:b/>
          <w:bCs/>
          <w:lang w:val="en-CA"/>
        </w:rPr>
        <w:t>o gender-sensitive and</w:t>
      </w:r>
      <w:r w:rsidR="00F2363C" w:rsidRPr="00465801">
        <w:rPr>
          <w:rFonts w:eastAsia="Arial"/>
          <w:b/>
          <w:bCs/>
          <w:spacing w:val="-2"/>
          <w:lang w:val="en-CA"/>
        </w:rPr>
        <w:t xml:space="preserve"> </w:t>
      </w:r>
      <w:r w:rsidR="00F2363C" w:rsidRPr="00465801">
        <w:rPr>
          <w:rFonts w:eastAsia="Arial"/>
          <w:b/>
          <w:bCs/>
          <w:lang w:val="en-CA"/>
        </w:rPr>
        <w:t>c</w:t>
      </w:r>
      <w:r w:rsidR="00F2363C" w:rsidRPr="00465801">
        <w:rPr>
          <w:rFonts w:eastAsia="Arial"/>
          <w:b/>
          <w:bCs/>
          <w:spacing w:val="-3"/>
          <w:lang w:val="en-CA"/>
        </w:rPr>
        <w:t>u</w:t>
      </w:r>
      <w:r w:rsidR="00F2363C" w:rsidRPr="00465801">
        <w:rPr>
          <w:rFonts w:eastAsia="Arial"/>
          <w:b/>
          <w:bCs/>
          <w:spacing w:val="1"/>
          <w:lang w:val="en-CA"/>
        </w:rPr>
        <w:t>lt</w:t>
      </w:r>
      <w:r w:rsidR="00F2363C" w:rsidRPr="00465801">
        <w:rPr>
          <w:rFonts w:eastAsia="Arial"/>
          <w:b/>
          <w:bCs/>
          <w:lang w:val="en-CA"/>
        </w:rPr>
        <w:t>ur</w:t>
      </w:r>
      <w:r w:rsidR="00F2363C" w:rsidRPr="00465801">
        <w:rPr>
          <w:rFonts w:eastAsia="Arial"/>
          <w:b/>
          <w:bCs/>
          <w:spacing w:val="-3"/>
          <w:lang w:val="en-CA"/>
        </w:rPr>
        <w:t>a</w:t>
      </w:r>
      <w:r w:rsidR="00F2363C" w:rsidRPr="00465801">
        <w:rPr>
          <w:rFonts w:eastAsia="Arial"/>
          <w:b/>
          <w:bCs/>
          <w:spacing w:val="1"/>
          <w:lang w:val="en-CA"/>
        </w:rPr>
        <w:t>l</w:t>
      </w:r>
      <w:r w:rsidR="00F2363C" w:rsidRPr="00465801">
        <w:rPr>
          <w:rFonts w:eastAsia="Arial"/>
          <w:b/>
          <w:bCs/>
          <w:spacing w:val="-1"/>
          <w:lang w:val="en-CA"/>
        </w:rPr>
        <w:t>l</w:t>
      </w:r>
      <w:r w:rsidR="00F2363C" w:rsidRPr="00465801">
        <w:rPr>
          <w:rFonts w:eastAsia="Arial"/>
          <w:b/>
          <w:bCs/>
          <w:lang w:val="en-CA"/>
        </w:rPr>
        <w:t>y appropr</w:t>
      </w:r>
      <w:r w:rsidR="00F2363C" w:rsidRPr="00465801">
        <w:rPr>
          <w:rFonts w:eastAsia="Arial"/>
          <w:b/>
          <w:bCs/>
          <w:spacing w:val="1"/>
          <w:lang w:val="en-CA"/>
        </w:rPr>
        <w:t>i</w:t>
      </w:r>
      <w:r w:rsidR="00F2363C" w:rsidRPr="00465801">
        <w:rPr>
          <w:rFonts w:eastAsia="Arial"/>
          <w:b/>
          <w:bCs/>
          <w:spacing w:val="-3"/>
          <w:lang w:val="en-CA"/>
        </w:rPr>
        <w:t>a</w:t>
      </w:r>
      <w:r w:rsidR="00F2363C" w:rsidRPr="00465801">
        <w:rPr>
          <w:rFonts w:eastAsia="Arial"/>
          <w:b/>
          <w:bCs/>
          <w:spacing w:val="1"/>
          <w:lang w:val="en-CA"/>
        </w:rPr>
        <w:t>t</w:t>
      </w:r>
      <w:r w:rsidR="00F2363C" w:rsidRPr="00465801">
        <w:rPr>
          <w:rFonts w:eastAsia="Arial"/>
          <w:b/>
          <w:bCs/>
          <w:lang w:val="en-CA"/>
        </w:rPr>
        <w:t>e</w:t>
      </w:r>
      <w:r w:rsidR="00F2363C" w:rsidRPr="00465801">
        <w:rPr>
          <w:rFonts w:eastAsia="Arial"/>
          <w:b/>
          <w:bCs/>
          <w:spacing w:val="1"/>
          <w:lang w:val="en-CA"/>
        </w:rPr>
        <w:t xml:space="preserve"> </w:t>
      </w:r>
      <w:r w:rsidR="00F2363C" w:rsidRPr="00465801">
        <w:rPr>
          <w:rFonts w:eastAsia="Arial"/>
          <w:b/>
          <w:bCs/>
          <w:lang w:val="en-CA"/>
        </w:rPr>
        <w:t>h</w:t>
      </w:r>
      <w:r w:rsidR="00F2363C" w:rsidRPr="00465801">
        <w:rPr>
          <w:rFonts w:eastAsia="Arial"/>
          <w:b/>
          <w:bCs/>
          <w:spacing w:val="-3"/>
          <w:lang w:val="en-CA"/>
        </w:rPr>
        <w:t>a</w:t>
      </w:r>
      <w:r w:rsidR="00F2363C" w:rsidRPr="00465801">
        <w:rPr>
          <w:rFonts w:eastAsia="Arial"/>
          <w:b/>
          <w:bCs/>
          <w:lang w:val="en-CA"/>
        </w:rPr>
        <w:t>rm</w:t>
      </w:r>
      <w:r w:rsidR="00F2363C" w:rsidRPr="00465801">
        <w:rPr>
          <w:rFonts w:eastAsia="Arial"/>
          <w:b/>
          <w:bCs/>
          <w:spacing w:val="-1"/>
          <w:lang w:val="en-CA"/>
        </w:rPr>
        <w:t xml:space="preserve"> </w:t>
      </w:r>
      <w:r w:rsidR="00F2363C" w:rsidRPr="00465801">
        <w:rPr>
          <w:rFonts w:eastAsia="Arial"/>
          <w:b/>
          <w:bCs/>
          <w:lang w:val="en-CA"/>
        </w:rPr>
        <w:t>red</w:t>
      </w:r>
      <w:r w:rsidR="00F2363C" w:rsidRPr="00465801">
        <w:rPr>
          <w:rFonts w:eastAsia="Arial"/>
          <w:b/>
          <w:bCs/>
          <w:spacing w:val="-3"/>
          <w:lang w:val="en-CA"/>
        </w:rPr>
        <w:t>u</w:t>
      </w:r>
      <w:r w:rsidR="00F2363C" w:rsidRPr="00465801">
        <w:rPr>
          <w:rFonts w:eastAsia="Arial"/>
          <w:b/>
          <w:bCs/>
          <w:lang w:val="en-CA"/>
        </w:rPr>
        <w:t>c</w:t>
      </w:r>
      <w:r w:rsidR="00F2363C" w:rsidRPr="00465801">
        <w:rPr>
          <w:rFonts w:eastAsia="Arial"/>
          <w:b/>
          <w:bCs/>
          <w:spacing w:val="1"/>
          <w:lang w:val="en-CA"/>
        </w:rPr>
        <w:t>ti</w:t>
      </w:r>
      <w:r w:rsidR="00F2363C" w:rsidRPr="00465801">
        <w:rPr>
          <w:rFonts w:eastAsia="Arial"/>
          <w:b/>
          <w:bCs/>
          <w:lang w:val="en-CA"/>
        </w:rPr>
        <w:t>on</w:t>
      </w:r>
      <w:r w:rsidR="00F2363C" w:rsidRPr="00465801">
        <w:rPr>
          <w:rFonts w:eastAsia="Arial"/>
          <w:b/>
          <w:bCs/>
          <w:spacing w:val="-2"/>
          <w:lang w:val="en-CA"/>
        </w:rPr>
        <w:t xml:space="preserve"> </w:t>
      </w:r>
      <w:r w:rsidR="00F2363C" w:rsidRPr="00465801">
        <w:rPr>
          <w:rFonts w:eastAsia="Arial"/>
          <w:b/>
          <w:bCs/>
          <w:lang w:val="en-CA"/>
        </w:rPr>
        <w:t>ser</w:t>
      </w:r>
      <w:r w:rsidR="00F2363C" w:rsidRPr="00465801">
        <w:rPr>
          <w:rFonts w:eastAsia="Arial"/>
          <w:b/>
          <w:bCs/>
          <w:spacing w:val="-3"/>
          <w:lang w:val="en-CA"/>
        </w:rPr>
        <w:t>v</w:t>
      </w:r>
      <w:r w:rsidR="00F2363C" w:rsidRPr="00465801">
        <w:rPr>
          <w:rFonts w:eastAsia="Arial"/>
          <w:b/>
          <w:bCs/>
          <w:spacing w:val="1"/>
          <w:lang w:val="en-CA"/>
        </w:rPr>
        <w:t>i</w:t>
      </w:r>
      <w:r w:rsidR="00F2363C" w:rsidRPr="00465801">
        <w:rPr>
          <w:rFonts w:eastAsia="Arial"/>
          <w:b/>
          <w:bCs/>
          <w:lang w:val="en-CA"/>
        </w:rPr>
        <w:t xml:space="preserve">ces, including </w:t>
      </w:r>
      <w:r w:rsidR="00204BB1">
        <w:rPr>
          <w:rFonts w:eastAsia="Arial"/>
          <w:b/>
          <w:bCs/>
          <w:lang w:val="en-CA"/>
        </w:rPr>
        <w:t xml:space="preserve">supervised consumption services, and services </w:t>
      </w:r>
      <w:r w:rsidR="00F2363C" w:rsidRPr="00465801">
        <w:rPr>
          <w:rFonts w:eastAsia="Arial"/>
          <w:b/>
          <w:bCs/>
          <w:lang w:val="en-CA"/>
        </w:rPr>
        <w:t xml:space="preserve">in </w:t>
      </w:r>
      <w:proofErr w:type="gramStart"/>
      <w:r w:rsidR="00F2363C" w:rsidRPr="00465801">
        <w:rPr>
          <w:rFonts w:eastAsia="Arial"/>
          <w:b/>
          <w:bCs/>
          <w:lang w:val="en-CA"/>
        </w:rPr>
        <w:t>shelters;</w:t>
      </w:r>
      <w:proofErr w:type="gramEnd"/>
      <w:r w:rsidR="00F2363C" w:rsidRPr="00465801">
        <w:rPr>
          <w:rFonts w:eastAsia="Arial"/>
          <w:b/>
          <w:bCs/>
          <w:lang w:val="en-CA"/>
        </w:rPr>
        <w:t xml:space="preserve">  </w:t>
      </w:r>
    </w:p>
    <w:p w14:paraId="727007E2" w14:textId="77777777" w:rsidR="00F2363C" w:rsidRPr="00465801" w:rsidRDefault="00F2363C" w:rsidP="00967D45">
      <w:pPr>
        <w:pStyle w:val="ListParagraph"/>
        <w:tabs>
          <w:tab w:val="left" w:pos="840"/>
        </w:tabs>
        <w:ind w:left="426" w:right="181" w:hanging="426"/>
        <w:jc w:val="both"/>
        <w:rPr>
          <w:rFonts w:eastAsia="Arial"/>
          <w:b/>
          <w:bCs/>
          <w:lang w:val="en-CA"/>
        </w:rPr>
      </w:pPr>
    </w:p>
    <w:p w14:paraId="4EEB6482" w14:textId="3FB7ED7E" w:rsidR="00F2363C" w:rsidRPr="00465801" w:rsidRDefault="00343BE1" w:rsidP="00967D45">
      <w:pPr>
        <w:pStyle w:val="ListParagraph"/>
        <w:numPr>
          <w:ilvl w:val="0"/>
          <w:numId w:val="32"/>
        </w:numPr>
        <w:tabs>
          <w:tab w:val="left" w:pos="840"/>
        </w:tabs>
        <w:ind w:left="426" w:right="181" w:hanging="426"/>
        <w:jc w:val="both"/>
        <w:rPr>
          <w:rFonts w:eastAsia="Arial"/>
          <w:b/>
          <w:bCs/>
          <w:lang w:val="en-CA"/>
        </w:rPr>
      </w:pPr>
      <w:r>
        <w:rPr>
          <w:rFonts w:eastAsia="Arial"/>
          <w:b/>
          <w:bCs/>
          <w:lang w:val="en-CA"/>
        </w:rPr>
        <w:t>D</w:t>
      </w:r>
      <w:r w:rsidR="00F2363C" w:rsidRPr="00465801">
        <w:rPr>
          <w:rFonts w:eastAsia="Arial"/>
          <w:b/>
          <w:bCs/>
          <w:lang w:val="en-CA"/>
        </w:rPr>
        <w:t>ecriminalize the possession of all drugs for personal use and the sharing or selling of drugs for subsistence, to support personal drug use costs, or to provide a safer supply</w:t>
      </w:r>
      <w:r w:rsidR="00F2363C" w:rsidRPr="004439D2">
        <w:rPr>
          <w:rFonts w:eastAsia="Arial"/>
          <w:b/>
          <w:bCs/>
          <w:lang w:val="en-CA"/>
        </w:rPr>
        <w:t xml:space="preserve"> </w:t>
      </w:r>
      <w:r w:rsidR="004439D2" w:rsidRPr="004439D2">
        <w:rPr>
          <w:rFonts w:eastAsia="Calibri"/>
          <w:b/>
          <w:bCs/>
        </w:rPr>
        <w:t>and</w:t>
      </w:r>
      <w:r w:rsidR="004439D2">
        <w:rPr>
          <w:rFonts w:eastAsia="Calibri"/>
        </w:rPr>
        <w:t xml:space="preserve"> </w:t>
      </w:r>
      <w:r w:rsidR="00F2363C" w:rsidRPr="00465801">
        <w:rPr>
          <w:rFonts w:eastAsia="Arial"/>
          <w:b/>
          <w:bCs/>
        </w:rPr>
        <w:t xml:space="preserve">ensuring </w:t>
      </w:r>
      <w:r w:rsidR="00F2363C" w:rsidRPr="00465801">
        <w:rPr>
          <w:rFonts w:eastAsia="Arial"/>
          <w:b/>
          <w:bCs/>
          <w:spacing w:val="1"/>
        </w:rPr>
        <w:t>t</w:t>
      </w:r>
      <w:r w:rsidR="00F2363C" w:rsidRPr="00465801">
        <w:rPr>
          <w:rFonts w:eastAsia="Arial"/>
          <w:b/>
          <w:bCs/>
        </w:rPr>
        <w:t>he</w:t>
      </w:r>
      <w:r w:rsidR="00F2363C" w:rsidRPr="00465801">
        <w:rPr>
          <w:rFonts w:eastAsia="Arial"/>
          <w:b/>
          <w:bCs/>
          <w:spacing w:val="-2"/>
        </w:rPr>
        <w:t xml:space="preserve"> meaningful </w:t>
      </w:r>
      <w:r w:rsidR="00F2363C" w:rsidRPr="00465801">
        <w:rPr>
          <w:rFonts w:eastAsia="Arial"/>
          <w:b/>
          <w:bCs/>
          <w:spacing w:val="1"/>
        </w:rPr>
        <w:t>i</w:t>
      </w:r>
      <w:r w:rsidR="00F2363C" w:rsidRPr="00465801">
        <w:rPr>
          <w:rFonts w:eastAsia="Arial"/>
          <w:b/>
          <w:bCs/>
        </w:rPr>
        <w:t>n</w:t>
      </w:r>
      <w:r w:rsidR="00F2363C" w:rsidRPr="00465801">
        <w:rPr>
          <w:rFonts w:eastAsia="Arial"/>
          <w:b/>
          <w:bCs/>
          <w:spacing w:val="-3"/>
        </w:rPr>
        <w:t>v</w:t>
      </w:r>
      <w:r w:rsidR="00F2363C" w:rsidRPr="00465801">
        <w:rPr>
          <w:rFonts w:eastAsia="Arial"/>
          <w:b/>
          <w:bCs/>
        </w:rPr>
        <w:t>o</w:t>
      </w:r>
      <w:r w:rsidR="00F2363C" w:rsidRPr="00465801">
        <w:rPr>
          <w:rFonts w:eastAsia="Arial"/>
          <w:b/>
          <w:bCs/>
          <w:spacing w:val="1"/>
        </w:rPr>
        <w:t>l</w:t>
      </w:r>
      <w:r w:rsidR="00F2363C" w:rsidRPr="00465801">
        <w:rPr>
          <w:rFonts w:eastAsia="Arial"/>
          <w:b/>
          <w:bCs/>
          <w:spacing w:val="-3"/>
        </w:rPr>
        <w:t>v</w:t>
      </w:r>
      <w:r w:rsidR="00F2363C" w:rsidRPr="00465801">
        <w:rPr>
          <w:rFonts w:eastAsia="Arial"/>
          <w:b/>
          <w:bCs/>
        </w:rPr>
        <w:t>ement</w:t>
      </w:r>
      <w:r w:rsidR="00F2363C" w:rsidRPr="00465801">
        <w:rPr>
          <w:rFonts w:eastAsia="Arial"/>
          <w:b/>
          <w:bCs/>
          <w:spacing w:val="2"/>
        </w:rPr>
        <w:t xml:space="preserve"> </w:t>
      </w:r>
      <w:r w:rsidR="00F2363C" w:rsidRPr="00465801">
        <w:rPr>
          <w:rFonts w:eastAsia="Arial"/>
          <w:b/>
          <w:bCs/>
          <w:spacing w:val="-3"/>
        </w:rPr>
        <w:t>o</w:t>
      </w:r>
      <w:r w:rsidR="00F2363C" w:rsidRPr="00465801">
        <w:rPr>
          <w:rFonts w:eastAsia="Arial"/>
          <w:b/>
          <w:bCs/>
        </w:rPr>
        <w:t>f</w:t>
      </w:r>
      <w:r w:rsidR="00F2363C" w:rsidRPr="00465801">
        <w:rPr>
          <w:rFonts w:eastAsia="Arial"/>
          <w:b/>
          <w:bCs/>
          <w:spacing w:val="2"/>
        </w:rPr>
        <w:t xml:space="preserve"> </w:t>
      </w:r>
      <w:r w:rsidR="00F2363C" w:rsidRPr="00465801">
        <w:rPr>
          <w:rFonts w:eastAsia="Arial"/>
          <w:b/>
          <w:bCs/>
        </w:rPr>
        <w:t>peop</w:t>
      </w:r>
      <w:r w:rsidR="00F2363C" w:rsidRPr="00465801">
        <w:rPr>
          <w:rFonts w:eastAsia="Arial"/>
          <w:b/>
          <w:bCs/>
          <w:spacing w:val="1"/>
        </w:rPr>
        <w:t>l</w:t>
      </w:r>
      <w:r w:rsidR="00F2363C" w:rsidRPr="00465801">
        <w:rPr>
          <w:rFonts w:eastAsia="Arial"/>
          <w:b/>
          <w:bCs/>
        </w:rPr>
        <w:t>e</w:t>
      </w:r>
      <w:r w:rsidR="00F2363C" w:rsidRPr="00465801">
        <w:rPr>
          <w:rFonts w:eastAsia="Arial"/>
          <w:b/>
          <w:bCs/>
          <w:spacing w:val="-6"/>
        </w:rPr>
        <w:t xml:space="preserve"> </w:t>
      </w:r>
      <w:r w:rsidR="00F2363C" w:rsidRPr="00465801">
        <w:rPr>
          <w:rFonts w:eastAsia="Arial"/>
          <w:b/>
          <w:bCs/>
          <w:spacing w:val="3"/>
        </w:rPr>
        <w:t>w</w:t>
      </w:r>
      <w:r w:rsidR="00F2363C" w:rsidRPr="00465801">
        <w:rPr>
          <w:rFonts w:eastAsia="Arial"/>
          <w:b/>
          <w:bCs/>
        </w:rPr>
        <w:t>ho</w:t>
      </w:r>
      <w:r w:rsidR="00F2363C" w:rsidRPr="00465801">
        <w:rPr>
          <w:rFonts w:eastAsia="Arial"/>
          <w:b/>
          <w:bCs/>
          <w:spacing w:val="1"/>
        </w:rPr>
        <w:t xml:space="preserve"> </w:t>
      </w:r>
      <w:r w:rsidR="00F2363C" w:rsidRPr="00465801">
        <w:rPr>
          <w:rFonts w:eastAsia="Arial"/>
          <w:b/>
          <w:bCs/>
        </w:rPr>
        <w:t>use</w:t>
      </w:r>
      <w:r w:rsidR="00F2363C" w:rsidRPr="00465801">
        <w:rPr>
          <w:rFonts w:eastAsia="Arial"/>
          <w:b/>
          <w:bCs/>
          <w:spacing w:val="-2"/>
        </w:rPr>
        <w:t xml:space="preserve"> </w:t>
      </w:r>
      <w:r w:rsidR="00F2363C" w:rsidRPr="00465801">
        <w:rPr>
          <w:rFonts w:eastAsia="Arial"/>
          <w:b/>
          <w:bCs/>
        </w:rPr>
        <w:t>drugs</w:t>
      </w:r>
      <w:r w:rsidR="00F2363C">
        <w:rPr>
          <w:rFonts w:eastAsia="Arial"/>
          <w:b/>
          <w:bCs/>
        </w:rPr>
        <w:t>.</w:t>
      </w:r>
    </w:p>
    <w:p w14:paraId="52642E2B" w14:textId="77777777" w:rsidR="00675A87" w:rsidRDefault="00675A87" w:rsidP="00967D45">
      <w:pPr>
        <w:pStyle w:val="Heading1"/>
        <w:numPr>
          <w:ilvl w:val="0"/>
          <w:numId w:val="0"/>
        </w:numPr>
        <w:ind w:left="426" w:hanging="426"/>
        <w:jc w:val="both"/>
        <w:rPr>
          <w:sz w:val="32"/>
          <w:szCs w:val="32"/>
        </w:rPr>
      </w:pPr>
    </w:p>
    <w:p w14:paraId="148E0E2D" w14:textId="77777777" w:rsidR="00E2251C" w:rsidRPr="007F5190" w:rsidRDefault="00E2251C" w:rsidP="00967D45">
      <w:pPr>
        <w:ind w:left="426" w:hanging="426"/>
        <w:rPr>
          <w:lang w:val="en-US" w:eastAsia="ar-SA"/>
        </w:rPr>
      </w:pPr>
    </w:p>
    <w:p w14:paraId="1F874B3B" w14:textId="72F737E3" w:rsidR="00675A87" w:rsidRPr="006E514E" w:rsidRDefault="00E2251C" w:rsidP="00967D45">
      <w:pPr>
        <w:pStyle w:val="Heading1"/>
        <w:numPr>
          <w:ilvl w:val="0"/>
          <w:numId w:val="0"/>
        </w:numPr>
        <w:jc w:val="both"/>
        <w:rPr>
          <w:sz w:val="32"/>
          <w:szCs w:val="32"/>
          <w:lang w:val="en-CA"/>
        </w:rPr>
      </w:pPr>
      <w:r w:rsidRPr="00E2251C">
        <w:rPr>
          <w:sz w:val="32"/>
          <w:szCs w:val="32"/>
        </w:rPr>
        <w:t>programmes to combat HIV and other sexually transmitted infections</w:t>
      </w:r>
    </w:p>
    <w:p w14:paraId="245DD214" w14:textId="18826BCE" w:rsidR="00675A87" w:rsidRPr="006E514E" w:rsidRDefault="00E2251C" w:rsidP="00967D45">
      <w:pPr>
        <w:ind w:left="426" w:hanging="426"/>
        <w:jc w:val="both"/>
        <w:rPr>
          <w:rFonts w:eastAsia="Calibri"/>
          <w:sz w:val="10"/>
          <w:szCs w:val="10"/>
          <w:lang w:eastAsia="ar-SA"/>
        </w:rPr>
      </w:pPr>
      <w:r w:rsidRPr="006E514E">
        <w:rPr>
          <w:noProof/>
        </w:rPr>
        <mc:AlternateContent>
          <mc:Choice Requires="wps">
            <w:drawing>
              <wp:anchor distT="45720" distB="45720" distL="114300" distR="114300" simplePos="0" relativeHeight="251658242" behindDoc="0" locked="0" layoutInCell="1" allowOverlap="1" wp14:anchorId="10495B41" wp14:editId="5E6E725C">
                <wp:simplePos x="0" y="0"/>
                <wp:positionH relativeFrom="margin">
                  <wp:align>left</wp:align>
                </wp:positionH>
                <wp:positionV relativeFrom="paragraph">
                  <wp:posOffset>237490</wp:posOffset>
                </wp:positionV>
                <wp:extent cx="6413500" cy="1404620"/>
                <wp:effectExtent l="0" t="0" r="25400" b="28575"/>
                <wp:wrapSquare wrapText="bothSides"/>
                <wp:docPr id="1646896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0" cy="1404620"/>
                        </a:xfrm>
                        <a:prstGeom prst="rect">
                          <a:avLst/>
                        </a:prstGeom>
                        <a:solidFill>
                          <a:schemeClr val="accent1">
                            <a:lumMod val="20000"/>
                            <a:lumOff val="80000"/>
                          </a:schemeClr>
                        </a:solidFill>
                        <a:ln w="9525">
                          <a:solidFill>
                            <a:srgbClr val="000000"/>
                          </a:solidFill>
                          <a:miter lim="800000"/>
                          <a:headEnd/>
                          <a:tailEnd/>
                        </a:ln>
                      </wps:spPr>
                      <wps:txbx>
                        <w:txbxContent>
                          <w:p w14:paraId="35C99E84" w14:textId="77777777" w:rsidR="00675A87" w:rsidRDefault="00675A87" w:rsidP="00675A87">
                            <w:pPr>
                              <w:shd w:val="clear" w:color="auto" w:fill="DBE5F1" w:themeFill="accent1" w:themeFillTint="33"/>
                              <w:spacing w:line="276" w:lineRule="auto"/>
                            </w:pPr>
                            <w:r>
                              <w:rPr>
                                <w:rFonts w:eastAsia="Arial" w:cs="Arial"/>
                                <w:spacing w:val="3"/>
                                <w:szCs w:val="22"/>
                              </w:rPr>
                              <w:t>In the LOI</w:t>
                            </w:r>
                            <w:r>
                              <w:t>, the CEDAW Committee asked of Canada:</w:t>
                            </w:r>
                          </w:p>
                          <w:p w14:paraId="12D2F477" w14:textId="77777777" w:rsidR="00675A87" w:rsidRDefault="00675A87" w:rsidP="00675A87">
                            <w:pPr>
                              <w:shd w:val="clear" w:color="auto" w:fill="DBE5F1" w:themeFill="accent1" w:themeFillTint="33"/>
                              <w:spacing w:line="276" w:lineRule="auto"/>
                            </w:pPr>
                          </w:p>
                          <w:p w14:paraId="41F929C9" w14:textId="77777777" w:rsidR="00675A87" w:rsidRDefault="00675A87" w:rsidP="00675A87">
                            <w:pPr>
                              <w:shd w:val="clear" w:color="auto" w:fill="DBE5F1" w:themeFill="accent1" w:themeFillTint="33"/>
                              <w:spacing w:line="276" w:lineRule="auto"/>
                            </w:pPr>
                            <w:r>
                              <w:t>22. …</w:t>
                            </w:r>
                            <w:r w:rsidRPr="00640189">
                              <w:t xml:space="preserve"> Please also indicate whether a </w:t>
                            </w:r>
                            <w:r w:rsidRPr="00B304A5">
                              <w:rPr>
                                <w:b/>
                                <w:bCs/>
                              </w:rPr>
                              <w:t>gender perspective has been integrated into the existing programmes to combat HIV and other sexually transmitted infections</w:t>
                            </w:r>
                            <w:r w:rsidRPr="00640189">
                              <w:t>.</w:t>
                            </w:r>
                          </w:p>
                          <w:p w14:paraId="0EC4D279" w14:textId="77777777" w:rsidR="00675A87" w:rsidRDefault="00675A87" w:rsidP="00675A87">
                            <w:pPr>
                              <w:shd w:val="clear" w:color="auto" w:fill="DBE5F1" w:themeFill="accent1" w:themeFillTint="33"/>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495B41" id="_x0000_s1027" type="#_x0000_t202" style="position:absolute;left:0;text-align:left;margin-left:0;margin-top:18.7pt;width:505pt;height:110.6pt;z-index:25165824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" fillcolor="#dbe5f1 [660]">
                <v:textbox style="mso-fit-shape-to-text:t">
                  <w:txbxContent>
                    <w:p w14:paraId="35C99E84" w14:textId="77777777" w:rsidR="00675A87" w:rsidRDefault="00675A87" w:rsidP="00675A87">
                      <w:pPr>
                        <w:shd w:val="clear" w:color="auto" w:fill="DBE5F1" w:themeFill="accent1" w:themeFillTint="33"/>
                        <w:spacing w:line="276" w:lineRule="auto"/>
                      </w:pPr>
                      <w:r>
                        <w:rPr>
                          <w:rFonts w:eastAsia="Arial" w:cs="Arial"/>
                          <w:spacing w:val="3"/>
                          <w:szCs w:val="22"/>
                        </w:rPr>
                        <w:t>In the LOI</w:t>
                      </w:r>
                      <w:r>
                        <w:t>, the CEDAW Committee asked of Canada:</w:t>
                      </w:r>
                    </w:p>
                    <w:p w14:paraId="12D2F477" w14:textId="77777777" w:rsidR="00675A87" w:rsidRDefault="00675A87" w:rsidP="00675A87">
                      <w:pPr>
                        <w:shd w:val="clear" w:color="auto" w:fill="DBE5F1" w:themeFill="accent1" w:themeFillTint="33"/>
                        <w:spacing w:line="276" w:lineRule="auto"/>
                      </w:pPr>
                    </w:p>
                    <w:p w14:paraId="41F929C9" w14:textId="77777777" w:rsidR="00675A87" w:rsidRDefault="00675A87" w:rsidP="00675A87">
                      <w:pPr>
                        <w:shd w:val="clear" w:color="auto" w:fill="DBE5F1" w:themeFill="accent1" w:themeFillTint="33"/>
                        <w:spacing w:line="276" w:lineRule="auto"/>
                      </w:pPr>
                      <w:r>
                        <w:t>22. …</w:t>
                      </w:r>
                      <w:r w:rsidRPr="00640189">
                        <w:t xml:space="preserve"> Please also indicate whether a </w:t>
                      </w:r>
                      <w:r w:rsidRPr="00B304A5">
                        <w:rPr>
                          <w:b/>
                          <w:bCs/>
                        </w:rPr>
                        <w:t>gender perspective has been integrated into the existing programmes to combat HIV and other sexually transmitted infections</w:t>
                      </w:r>
                      <w:r w:rsidRPr="00640189">
                        <w:t>.</w:t>
                      </w:r>
                    </w:p>
                    <w:p w14:paraId="0EC4D279" w14:textId="77777777" w:rsidR="00675A87" w:rsidRDefault="00675A87" w:rsidP="00675A87">
                      <w:pPr>
                        <w:shd w:val="clear" w:color="auto" w:fill="DBE5F1" w:themeFill="accent1" w:themeFillTint="33"/>
                      </w:pPr>
                    </w:p>
                  </w:txbxContent>
                </v:textbox>
                <w10:wrap type="square" anchorx="margin"/>
              </v:shape>
            </w:pict>
          </mc:Fallback>
        </mc:AlternateContent>
      </w:r>
    </w:p>
    <w:p w14:paraId="3E511338" w14:textId="77777777" w:rsidR="00675A87" w:rsidRPr="006E514E" w:rsidRDefault="00675A87" w:rsidP="00967D45">
      <w:pPr>
        <w:ind w:left="426" w:right="-20" w:hanging="426"/>
        <w:jc w:val="both"/>
        <w:rPr>
          <w:rFonts w:eastAsia="Arial" w:cs="Arial"/>
          <w:b/>
          <w:bCs/>
          <w:spacing w:val="-1"/>
        </w:rPr>
      </w:pPr>
    </w:p>
    <w:p w14:paraId="7965A6EF" w14:textId="1A57B53C" w:rsidR="000440D7" w:rsidRPr="00EC07BA" w:rsidRDefault="00EC07BA" w:rsidP="00AF57D8">
      <w:pPr>
        <w:pStyle w:val="ListParagraph"/>
        <w:numPr>
          <w:ilvl w:val="0"/>
          <w:numId w:val="21"/>
        </w:numPr>
        <w:ind w:left="426" w:hanging="426"/>
        <w:jc w:val="both"/>
      </w:pPr>
      <w:r w:rsidRPr="00093353">
        <w:t>Women and gender minorities who use drugs experience poorer health outcomes compared to other women and to men who use drugs. One clear indicator of poorer health outcomes and the need for expanded gender-specific programming is the disproportionately high rates of HIV transmission among women who inject drugs</w:t>
      </w:r>
      <w:r w:rsidR="000440D7">
        <w:t>.</w:t>
      </w:r>
    </w:p>
    <w:p w14:paraId="53610415" w14:textId="77777777" w:rsidR="00EC07BA" w:rsidRPr="00EC07BA" w:rsidRDefault="00EC07BA" w:rsidP="00967D45">
      <w:pPr>
        <w:pStyle w:val="ListParagraph"/>
        <w:ind w:left="426" w:hanging="426"/>
        <w:jc w:val="both"/>
        <w:rPr>
          <w:b/>
          <w:bCs/>
        </w:rPr>
      </w:pPr>
    </w:p>
    <w:p w14:paraId="19EA9E6E" w14:textId="5C815B85" w:rsidR="00EC07BA" w:rsidRPr="00594759" w:rsidRDefault="00EC07BA" w:rsidP="00967D45">
      <w:pPr>
        <w:pStyle w:val="ListParagraph"/>
        <w:numPr>
          <w:ilvl w:val="0"/>
          <w:numId w:val="21"/>
        </w:numPr>
        <w:ind w:left="426" w:hanging="426"/>
        <w:jc w:val="both"/>
        <w:rPr>
          <w:rFonts w:eastAsia="Times New Roman"/>
          <w:color w:val="2E2E2E"/>
        </w:rPr>
      </w:pPr>
      <w:r w:rsidRPr="00EC07BA">
        <w:rPr>
          <w:rFonts w:eastAsia="Times New Roman"/>
        </w:rPr>
        <w:t xml:space="preserve">In 2022, there were 1,833 </w:t>
      </w:r>
      <w:r w:rsidRPr="005D23A4">
        <w:rPr>
          <w:rFonts w:eastAsia="Times New Roman"/>
        </w:rPr>
        <w:t>new HIV diagnoses</w:t>
      </w:r>
      <w:r w:rsidRPr="00EC07BA">
        <w:rPr>
          <w:rFonts w:eastAsia="Times New Roman"/>
        </w:rPr>
        <w:t xml:space="preserve"> in Canada, a 24.9% annual increase compared to 2021.</w:t>
      </w:r>
      <w:r w:rsidR="000A7D5B">
        <w:rPr>
          <w:rStyle w:val="FootnoteReference"/>
          <w:rFonts w:eastAsia="Times New Roman"/>
        </w:rPr>
        <w:footnoteReference w:id="26"/>
      </w:r>
      <w:r w:rsidRPr="00EC07BA">
        <w:rPr>
          <w:rFonts w:eastAsia="Times New Roman"/>
        </w:rPr>
        <w:t xml:space="preserve"> Among women, 36.1% of new HIV diagnoses were linked to injection drug use.</w:t>
      </w:r>
      <w:r w:rsidR="005D23A4">
        <w:rPr>
          <w:rStyle w:val="FootnoteReference"/>
          <w:rFonts w:eastAsia="Times New Roman"/>
        </w:rPr>
        <w:footnoteReference w:id="27"/>
      </w:r>
      <w:r w:rsidRPr="00EC07BA">
        <w:rPr>
          <w:rFonts w:eastAsia="Times New Roman"/>
        </w:rPr>
        <w:t xml:space="preserve"> Comparatively, among men, 13.1% of new HIV diagnoses were linked to injection drug use and 4.9% were linked to male-to-male sexual contact combined with injection drug use.</w:t>
      </w:r>
      <w:r w:rsidR="005D23A4">
        <w:rPr>
          <w:rStyle w:val="FootnoteReference"/>
          <w:rFonts w:eastAsia="Times New Roman"/>
        </w:rPr>
        <w:footnoteReference w:id="28"/>
      </w:r>
      <w:r w:rsidRPr="00EC07BA">
        <w:rPr>
          <w:rFonts w:eastAsia="Times New Roman"/>
        </w:rPr>
        <w:t xml:space="preserve"> Women who inject drugs are also starkly overrepresented among women who are newly diagnosed with HIV at the regional level in Canada. For example, in 2021, the </w:t>
      </w:r>
      <w:r w:rsidR="005D23A4" w:rsidRPr="00053E3C">
        <w:t>province of Manitoba</w:t>
      </w:r>
      <w:r w:rsidRPr="00EC07BA">
        <w:rPr>
          <w:rFonts w:eastAsia="Times New Roman"/>
        </w:rPr>
        <w:t xml:space="preserve"> was the only Canadian province that did not meet any of the previous UNAIDS 90-90-90 treatment targets.</w:t>
      </w:r>
      <w:r w:rsidR="005D23A4">
        <w:rPr>
          <w:rStyle w:val="FootnoteReference"/>
          <w:rFonts w:eastAsia="Times New Roman"/>
        </w:rPr>
        <w:footnoteReference w:id="29"/>
      </w:r>
      <w:r w:rsidRPr="00EC07BA">
        <w:rPr>
          <w:rFonts w:eastAsia="Times New Roman"/>
        </w:rPr>
        <w:t xml:space="preserve"> From 2018 to 2021, 44.8% of new HIV diagnoses in Manitoba were </w:t>
      </w:r>
      <w:r w:rsidRPr="00EC07BA">
        <w:rPr>
          <w:rFonts w:eastAsia="Times New Roman"/>
        </w:rPr>
        <w:lastRenderedPageBreak/>
        <w:t>among women; a higher proportion than the national rate of 30%.</w:t>
      </w:r>
      <w:r w:rsidR="005D23A4">
        <w:rPr>
          <w:rStyle w:val="FootnoteReference"/>
          <w:rFonts w:eastAsia="Times New Roman"/>
        </w:rPr>
        <w:footnoteReference w:id="30"/>
      </w:r>
      <w:r w:rsidRPr="00EC07BA">
        <w:rPr>
          <w:rFonts w:eastAsia="Times New Roman"/>
        </w:rPr>
        <w:t xml:space="preserve"> 71.8% of women newly diagnosed with HIV in Manitoba reported injection drug use.</w:t>
      </w:r>
      <w:r w:rsidR="005D23A4">
        <w:rPr>
          <w:rStyle w:val="FootnoteReference"/>
          <w:rFonts w:eastAsia="Times New Roman"/>
        </w:rPr>
        <w:footnoteReference w:id="31"/>
      </w:r>
      <w:r w:rsidRPr="00EC07BA">
        <w:rPr>
          <w:rFonts w:eastAsia="Times New Roman"/>
        </w:rPr>
        <w:t xml:space="preserve"> Across the country, new clusters of HIV diagnoses are </w:t>
      </w:r>
      <w:r w:rsidR="005D23A4" w:rsidRPr="00053E3C">
        <w:t>being driven</w:t>
      </w:r>
      <w:r w:rsidRPr="00EC07BA">
        <w:rPr>
          <w:rFonts w:eastAsia="Times New Roman"/>
        </w:rPr>
        <w:t xml:space="preserve"> by women who inject drugs who also have a high overlapping burden of homelessness and mental health conditions.</w:t>
      </w:r>
      <w:r w:rsidR="005D23A4">
        <w:rPr>
          <w:rStyle w:val="FootnoteReference"/>
          <w:rFonts w:eastAsia="Times New Roman"/>
        </w:rPr>
        <w:footnoteReference w:id="32"/>
      </w:r>
      <w:r w:rsidRPr="00EC07BA">
        <w:rPr>
          <w:rFonts w:eastAsia="Times New Roman"/>
        </w:rPr>
        <w:t xml:space="preserve"> </w:t>
      </w:r>
    </w:p>
    <w:p w14:paraId="29A6C01F" w14:textId="77777777" w:rsidR="009323D9" w:rsidRPr="00594759" w:rsidRDefault="009323D9" w:rsidP="00967D45">
      <w:pPr>
        <w:pStyle w:val="ListParagraph"/>
        <w:ind w:left="426" w:hanging="426"/>
        <w:jc w:val="both"/>
        <w:rPr>
          <w:rFonts w:eastAsia="Times New Roman"/>
          <w:color w:val="2E2E2E"/>
        </w:rPr>
      </w:pPr>
    </w:p>
    <w:p w14:paraId="1245A499" w14:textId="77F0761E" w:rsidR="009323D9" w:rsidRPr="00594759" w:rsidRDefault="009323D9" w:rsidP="00967D45">
      <w:pPr>
        <w:pStyle w:val="ListParagraph"/>
        <w:numPr>
          <w:ilvl w:val="0"/>
          <w:numId w:val="21"/>
        </w:numPr>
        <w:ind w:left="426" w:hanging="426"/>
        <w:jc w:val="both"/>
        <w:rPr>
          <w:color w:val="2E2E2E"/>
        </w:rPr>
      </w:pPr>
      <w:r w:rsidRPr="00EC07BA">
        <w:t xml:space="preserve">There are also significant regional disparities in health outcomes among women and gender minorities who use drugs in Canada. For instance, rates of virologic suppression among HIV-positive people are </w:t>
      </w:r>
      <w:r w:rsidR="00870805" w:rsidRPr="00053E3C">
        <w:t>lower</w:t>
      </w:r>
      <w:r w:rsidRPr="00EC07BA">
        <w:t xml:space="preserve"> in rural areas compared to major urban </w:t>
      </w:r>
      <w:proofErr w:type="spellStart"/>
      <w:r w:rsidRPr="00EC07BA">
        <w:t>centres</w:t>
      </w:r>
      <w:proofErr w:type="spellEnd"/>
      <w:r w:rsidRPr="00EC07BA">
        <w:t>.</w:t>
      </w:r>
      <w:r w:rsidR="005D23A4">
        <w:rPr>
          <w:rStyle w:val="FootnoteReference"/>
        </w:rPr>
        <w:footnoteReference w:id="33"/>
      </w:r>
      <w:r w:rsidRPr="00EC07BA">
        <w:t xml:space="preserve"> These disparities are linked to inequities in access to healthcare and harm reduction services, including sterile drug use equipment and supervised consumption services (SCS), for people in remote, rural, and northern communities. Urban settings tend to have greater access to harm reduction services because geographic distance, lack of transportation, a shortage of trained healthcare providers, and lack of anonymity act as barriers for people living outside of them. There are also longer wait times in rural regions for referrals to care. </w:t>
      </w:r>
    </w:p>
    <w:p w14:paraId="58CCA10D" w14:textId="77777777" w:rsidR="00EC07BA" w:rsidRPr="00EC07BA" w:rsidRDefault="00EC07BA" w:rsidP="00967D45">
      <w:pPr>
        <w:pStyle w:val="ListParagraph"/>
        <w:ind w:left="426" w:hanging="426"/>
        <w:jc w:val="both"/>
      </w:pPr>
    </w:p>
    <w:p w14:paraId="3D4B4750" w14:textId="3C9EC442" w:rsidR="00EC07BA" w:rsidRPr="00EC07BA" w:rsidRDefault="00EC07BA" w:rsidP="00967D45">
      <w:pPr>
        <w:pStyle w:val="ListParagraph"/>
        <w:numPr>
          <w:ilvl w:val="0"/>
          <w:numId w:val="21"/>
        </w:numPr>
        <w:ind w:left="426" w:hanging="426"/>
        <w:jc w:val="both"/>
      </w:pPr>
      <w:r w:rsidRPr="00EC07BA">
        <w:t xml:space="preserve">High rates of HIV, as well as poorer clinical outcomes after diagnosis, among women who use drugs can be traced to policy and legislative environments that penalize drug use. First, enforcement-based approaches to drug control are associated with increased risk behaviours. For instance, women who use drugs report frequent </w:t>
      </w:r>
      <w:r w:rsidR="00870805" w:rsidRPr="00053E3C">
        <w:t>harassment</w:t>
      </w:r>
      <w:r w:rsidRPr="00EC07BA">
        <w:t xml:space="preserve"> and confiscation of drug equipment by police,</w:t>
      </w:r>
      <w:r w:rsidR="00870805">
        <w:rPr>
          <w:rStyle w:val="FootnoteReference"/>
        </w:rPr>
        <w:footnoteReference w:id="34"/>
      </w:r>
      <w:r w:rsidRPr="00EC07BA">
        <w:t xml:space="preserve"> which in turn fuels rushed and unsanitary injections and </w:t>
      </w:r>
      <w:r w:rsidR="00C334A9">
        <w:t>equipment</w:t>
      </w:r>
      <w:r w:rsidR="00870805" w:rsidRPr="00053E3C">
        <w:t xml:space="preserve"> sharing</w:t>
      </w:r>
      <w:r w:rsidRPr="00EC07BA">
        <w:t>.</w:t>
      </w:r>
      <w:r w:rsidR="00870805">
        <w:rPr>
          <w:rStyle w:val="FootnoteReference"/>
        </w:rPr>
        <w:footnoteReference w:id="35"/>
      </w:r>
      <w:r w:rsidRPr="00EC07BA">
        <w:t xml:space="preserve"> Simultaneously, drug-related stigma is associated with decreased progression through the cascade of evidence-based HIV care. A culture of fear and mistrust of police, social service workers, and medical personnel amongst women who use drugs leads to low uptake of health and social services. Women report that experiences of sexism often intersect with other forms of discrimination to create significant barriers to accessing </w:t>
      </w:r>
      <w:r w:rsidR="00870805" w:rsidRPr="00053E3C">
        <w:t>HIV treatment.</w:t>
      </w:r>
      <w:r w:rsidR="00870805" w:rsidRPr="00D849E4">
        <w:rPr>
          <w:rStyle w:val="FootnoteReference"/>
          <w:rFonts w:eastAsia="Times New Roman"/>
          <w:color w:val="auto"/>
        </w:rPr>
        <w:footnoteReference w:id="36"/>
      </w:r>
      <w:r w:rsidRPr="00D849E4">
        <w:rPr>
          <w:color w:val="auto"/>
        </w:rPr>
        <w:t xml:space="preserve">  </w:t>
      </w:r>
    </w:p>
    <w:p w14:paraId="0BFBAEDE" w14:textId="77777777" w:rsidR="00EC07BA" w:rsidRPr="00EC07BA" w:rsidRDefault="00EC07BA" w:rsidP="00967D45">
      <w:pPr>
        <w:pStyle w:val="ListParagraph"/>
        <w:ind w:left="426" w:hanging="426"/>
        <w:jc w:val="both"/>
      </w:pPr>
    </w:p>
    <w:p w14:paraId="51703637" w14:textId="206A467C" w:rsidR="00EC07BA" w:rsidRPr="00EC07BA" w:rsidRDefault="00EC07BA" w:rsidP="00967D45">
      <w:pPr>
        <w:pStyle w:val="ListParagraph"/>
        <w:numPr>
          <w:ilvl w:val="0"/>
          <w:numId w:val="21"/>
        </w:numPr>
        <w:ind w:left="426" w:hanging="426"/>
        <w:jc w:val="both"/>
      </w:pPr>
      <w:r w:rsidRPr="00EC07BA">
        <w:t xml:space="preserve">Rates of HIV and other </w:t>
      </w:r>
      <w:r w:rsidR="00165FC3">
        <w:t>infections</w:t>
      </w:r>
      <w:r w:rsidRPr="00EC07BA">
        <w:t xml:space="preserve"> are particularly pronounced among women who require assistance with drug injection. Women who inject drugs are </w:t>
      </w:r>
      <w:r w:rsidR="00870805" w:rsidRPr="00053E3C">
        <w:t>more than twice as likely</w:t>
      </w:r>
      <w:r w:rsidRPr="00EC07BA">
        <w:t xml:space="preserve"> to require assistance with injection compared to men.</w:t>
      </w:r>
      <w:r w:rsidR="00870805">
        <w:rPr>
          <w:rStyle w:val="FootnoteReference"/>
        </w:rPr>
        <w:footnoteReference w:id="37"/>
      </w:r>
      <w:r w:rsidRPr="00EC07BA">
        <w:t xml:space="preserve"> Among women who require assistance, they are </w:t>
      </w:r>
      <w:r w:rsidR="00870805" w:rsidRPr="00053E3C">
        <w:t>approximately twice as likely</w:t>
      </w:r>
      <w:r w:rsidRPr="00EC07BA">
        <w:t xml:space="preserve"> to contract HIV compared to </w:t>
      </w:r>
      <w:r w:rsidRPr="00053E3C">
        <w:rPr>
          <w:color w:val="auto"/>
        </w:rPr>
        <w:t>women who do not require assistance.</w:t>
      </w:r>
      <w:r w:rsidR="00870805" w:rsidRPr="00053E3C">
        <w:rPr>
          <w:rStyle w:val="FootnoteReference"/>
          <w:color w:val="auto"/>
        </w:rPr>
        <w:footnoteReference w:id="38"/>
      </w:r>
      <w:r w:rsidRPr="00053E3C">
        <w:rPr>
          <w:color w:val="auto"/>
        </w:rPr>
        <w:t xml:space="preserve"> This is because those who provide assistance with injecting often use the same </w:t>
      </w:r>
      <w:r w:rsidRPr="00053E3C">
        <w:rPr>
          <w:color w:val="auto"/>
        </w:rPr>
        <w:lastRenderedPageBreak/>
        <w:t xml:space="preserve">syringe between two </w:t>
      </w:r>
      <w:r w:rsidR="00870805" w:rsidRPr="00053E3C">
        <w:t>individuals.</w:t>
      </w:r>
      <w:r w:rsidR="00870805">
        <w:rPr>
          <w:rStyle w:val="FootnoteReference"/>
          <w:rFonts w:eastAsia="Times New Roman"/>
        </w:rPr>
        <w:footnoteReference w:id="39"/>
      </w:r>
      <w:r w:rsidRPr="00EC07BA">
        <w:rPr>
          <w:color w:val="222222"/>
        </w:rPr>
        <w:t xml:space="preserve"> </w:t>
      </w:r>
      <w:r w:rsidRPr="00EC07BA">
        <w:t xml:space="preserve">Women who cannot self-administer injections </w:t>
      </w:r>
      <w:r w:rsidR="00870805" w:rsidRPr="00053E3C">
        <w:t>commonly report</w:t>
      </w:r>
      <w:r w:rsidRPr="00EC07BA">
        <w:t xml:space="preserve"> consuming drugs via injection equipment that has already been used,</w:t>
      </w:r>
      <w:r w:rsidR="00870805">
        <w:rPr>
          <w:rStyle w:val="FootnoteReference"/>
        </w:rPr>
        <w:footnoteReference w:id="40"/>
      </w:r>
      <w:r w:rsidRPr="00EC07BA">
        <w:t xml:space="preserve"> some of which may be attributed to </w:t>
      </w:r>
      <w:r w:rsidR="00870805" w:rsidRPr="00053E3C">
        <w:t>gendered power dynamics</w:t>
      </w:r>
      <w:r w:rsidRPr="00EC07BA">
        <w:t xml:space="preserve"> within heterosexual partnerships.</w:t>
      </w:r>
      <w:r w:rsidR="00870805">
        <w:rPr>
          <w:rStyle w:val="FootnoteReference"/>
        </w:rPr>
        <w:footnoteReference w:id="41"/>
      </w:r>
      <w:r w:rsidRPr="00EC07BA">
        <w:t xml:space="preserve"> </w:t>
      </w:r>
    </w:p>
    <w:p w14:paraId="58DCC554" w14:textId="77777777" w:rsidR="00EC07BA" w:rsidRPr="00EC07BA" w:rsidRDefault="00EC07BA" w:rsidP="00967D45">
      <w:pPr>
        <w:pStyle w:val="ListParagraph"/>
        <w:ind w:left="426" w:hanging="426"/>
        <w:jc w:val="both"/>
      </w:pPr>
    </w:p>
    <w:p w14:paraId="288B1031" w14:textId="5A8451B7" w:rsidR="00EC07BA" w:rsidRPr="00EC07BA" w:rsidRDefault="00093353" w:rsidP="00967D45">
      <w:pPr>
        <w:jc w:val="both"/>
        <w:rPr>
          <w:b/>
          <w:bCs/>
        </w:rPr>
      </w:pPr>
      <w:r w:rsidRPr="00EC07BA">
        <w:rPr>
          <w:b/>
          <w:bCs/>
        </w:rPr>
        <w:t>Sterile Drug Use Equipment Distribution</w:t>
      </w:r>
      <w:r>
        <w:rPr>
          <w:b/>
          <w:bCs/>
        </w:rPr>
        <w:t>,</w:t>
      </w:r>
      <w:r w:rsidRPr="00EC07BA">
        <w:rPr>
          <w:b/>
          <w:bCs/>
        </w:rPr>
        <w:t xml:space="preserve"> </w:t>
      </w:r>
      <w:r w:rsidR="00EC07BA" w:rsidRPr="00EC07BA">
        <w:rPr>
          <w:b/>
          <w:bCs/>
        </w:rPr>
        <w:t>Supervised Consumption Services, and Decriminalization</w:t>
      </w:r>
    </w:p>
    <w:p w14:paraId="79F8F81F" w14:textId="77777777" w:rsidR="00EC07BA" w:rsidRPr="00EC07BA" w:rsidRDefault="00EC07BA" w:rsidP="00967D45">
      <w:pPr>
        <w:pStyle w:val="ListParagraph"/>
        <w:ind w:left="426" w:hanging="426"/>
        <w:jc w:val="both"/>
      </w:pPr>
    </w:p>
    <w:p w14:paraId="5F53B2AC" w14:textId="08B4C453" w:rsidR="00EC07BA" w:rsidRPr="00EC07BA" w:rsidRDefault="00EC07BA" w:rsidP="00967D45">
      <w:pPr>
        <w:pStyle w:val="ListParagraph"/>
        <w:numPr>
          <w:ilvl w:val="0"/>
          <w:numId w:val="21"/>
        </w:numPr>
        <w:ind w:left="426" w:hanging="426"/>
        <w:jc w:val="both"/>
      </w:pPr>
      <w:r w:rsidRPr="00EC07BA">
        <w:t xml:space="preserve">Higher rates of new HIV </w:t>
      </w:r>
      <w:proofErr w:type="gramStart"/>
      <w:r w:rsidRPr="00EC07BA">
        <w:t>diagnoses</w:t>
      </w:r>
      <w:proofErr w:type="gramEnd"/>
      <w:r w:rsidRPr="00EC07BA">
        <w:t xml:space="preserve"> due to injection drug use among women point to a need for greater access to sterile drug use equipment, SCS, assisted injection services</w:t>
      </w:r>
      <w:r w:rsidR="0050691C">
        <w:t>,</w:t>
      </w:r>
      <w:r w:rsidRPr="00EC07BA">
        <w:t xml:space="preserve"> and harm reduction programs for women and girls who use drugs. </w:t>
      </w:r>
    </w:p>
    <w:p w14:paraId="28FA629A" w14:textId="77777777" w:rsidR="00EC07BA" w:rsidRPr="00EC07BA" w:rsidRDefault="00EC07BA" w:rsidP="00967D45">
      <w:pPr>
        <w:pStyle w:val="ListParagraph"/>
        <w:ind w:left="426" w:hanging="426"/>
        <w:jc w:val="both"/>
      </w:pPr>
      <w:r w:rsidRPr="00EC07BA">
        <w:t xml:space="preserve"> </w:t>
      </w:r>
    </w:p>
    <w:p w14:paraId="4480D843" w14:textId="0C5DE5FC" w:rsidR="00F03CE1" w:rsidRDefault="004C31B4" w:rsidP="00967D45">
      <w:pPr>
        <w:pStyle w:val="ListParagraph"/>
        <w:numPr>
          <w:ilvl w:val="0"/>
          <w:numId w:val="21"/>
        </w:numPr>
        <w:ind w:left="426" w:hanging="426"/>
        <w:jc w:val="both"/>
      </w:pPr>
      <w:r>
        <w:t>With respect to sterile drug use equipment, t</w:t>
      </w:r>
      <w:r w:rsidR="00DA5603" w:rsidRPr="00EC07BA">
        <w:t xml:space="preserve">he provinces and territories, which are responsible for healthcare service delivery, do not provide equal or consistent access. </w:t>
      </w:r>
      <w:r w:rsidR="00BE52CE">
        <w:t>The Saskatchewan</w:t>
      </w:r>
      <w:r w:rsidR="0021687C" w:rsidRPr="00053E3C">
        <w:t xml:space="preserve"> government</w:t>
      </w:r>
      <w:r w:rsidR="00DA5603" w:rsidRPr="00EC07BA">
        <w:t xml:space="preserve"> has withdrawn its funding and support for sterile smoking equipment </w:t>
      </w:r>
      <w:r>
        <w:t>and</w:t>
      </w:r>
      <w:r w:rsidR="00DA5603" w:rsidRPr="00EC07BA">
        <w:t xml:space="preserve"> introduced excessive limitations on distribution of sterile injection supplies.</w:t>
      </w:r>
      <w:r w:rsidR="0021687C">
        <w:rPr>
          <w:rStyle w:val="FootnoteReference"/>
        </w:rPr>
        <w:footnoteReference w:id="42"/>
      </w:r>
      <w:r w:rsidR="00DA5603" w:rsidRPr="00EC07BA">
        <w:t xml:space="preserve"> These policy changes create significant barriers to accessing sterile equipment. </w:t>
      </w:r>
      <w:r>
        <w:t>Yet, l</w:t>
      </w:r>
      <w:r w:rsidR="00DA5603" w:rsidRPr="00EC07BA">
        <w:t xml:space="preserve">ack of access to sterile smoking equipment in Saskatchewan </w:t>
      </w:r>
      <w:r w:rsidR="0021687C" w:rsidRPr="00053E3C">
        <w:t>has led to increases</w:t>
      </w:r>
      <w:r w:rsidR="00DA5603" w:rsidRPr="00EC07BA">
        <w:t xml:space="preserve"> in injection drug use, which pose greater risk of HIV transmission.</w:t>
      </w:r>
      <w:r w:rsidR="0021687C">
        <w:rPr>
          <w:rStyle w:val="FootnoteReference"/>
        </w:rPr>
        <w:footnoteReference w:id="43"/>
      </w:r>
      <w:r w:rsidR="00DA5603" w:rsidRPr="00EC07BA">
        <w:t xml:space="preserve"> Significantly restricted </w:t>
      </w:r>
      <w:r w:rsidR="000A15B6">
        <w:t>or</w:t>
      </w:r>
      <w:r w:rsidR="00DA5603" w:rsidRPr="00EC07BA">
        <w:t xml:space="preserve"> eliminated access </w:t>
      </w:r>
      <w:r w:rsidR="000A15B6">
        <w:t>to sterile drug use equipment</w:t>
      </w:r>
      <w:r w:rsidR="00DA5603" w:rsidRPr="00EC07BA">
        <w:t xml:space="preserve">, results in a greater likelihood of transmission of bloodborne infections. Notably, Saskatchewan has the </w:t>
      </w:r>
      <w:r w:rsidR="0021687C" w:rsidRPr="00053E3C">
        <w:t>highest rate</w:t>
      </w:r>
      <w:r w:rsidR="00DA5603" w:rsidRPr="00EC07BA">
        <w:t xml:space="preserve"> of new HIV diagnoses in </w:t>
      </w:r>
      <w:r w:rsidR="00C3302C">
        <w:t>Canada</w:t>
      </w:r>
      <w:r w:rsidR="00DA5603" w:rsidRPr="00EC07BA">
        <w:t xml:space="preserve"> at 19 per 100,000 population, more than </w:t>
      </w:r>
      <w:r w:rsidR="008E10F5">
        <w:t>four</w:t>
      </w:r>
      <w:r w:rsidR="00DA5603" w:rsidRPr="00EC07BA">
        <w:t xml:space="preserve"> times the national rate.</w:t>
      </w:r>
      <w:r w:rsidR="0021687C">
        <w:rPr>
          <w:rStyle w:val="FootnoteReference"/>
        </w:rPr>
        <w:footnoteReference w:id="44"/>
      </w:r>
      <w:r w:rsidR="00DA5603" w:rsidRPr="00EC07BA">
        <w:t xml:space="preserve"> Other provinces and territories also </w:t>
      </w:r>
      <w:r w:rsidR="004861F9">
        <w:t>have</w:t>
      </w:r>
      <w:r w:rsidR="00DA5603" w:rsidRPr="00EC07BA">
        <w:t xml:space="preserve"> inconsistent access to harm reduction equipment, leading to harms which are exacerbated for women who use drugs. </w:t>
      </w:r>
      <w:r w:rsidR="004861F9">
        <w:t xml:space="preserve">The Ontario </w:t>
      </w:r>
      <w:r w:rsidR="00DA5603" w:rsidRPr="00EC07BA">
        <w:t xml:space="preserve">government has indicated its intention to </w:t>
      </w:r>
      <w:r w:rsidR="0021687C" w:rsidRPr="00053E3C">
        <w:t xml:space="preserve">prohibit </w:t>
      </w:r>
      <w:r w:rsidR="00DA5603" w:rsidRPr="00EC07BA">
        <w:t xml:space="preserve">sterile drug use equipment at provincially funded </w:t>
      </w:r>
      <w:r w:rsidR="00A7451F">
        <w:t>“</w:t>
      </w:r>
      <w:r w:rsidR="00DA5603" w:rsidRPr="00EC07BA">
        <w:t>health hubs.</w:t>
      </w:r>
      <w:r w:rsidR="008E10F5">
        <w:t>”</w:t>
      </w:r>
      <w:r w:rsidR="0021687C">
        <w:rPr>
          <w:rStyle w:val="FootnoteReference"/>
        </w:rPr>
        <w:footnoteReference w:id="45"/>
      </w:r>
      <w:r w:rsidR="00DA5603" w:rsidRPr="00EC07BA">
        <w:t xml:space="preserve"> In B</w:t>
      </w:r>
      <w:r w:rsidR="008E10F5">
        <w:t>.</w:t>
      </w:r>
      <w:r w:rsidR="00DA5603" w:rsidRPr="00EC07BA">
        <w:t>C</w:t>
      </w:r>
      <w:r w:rsidR="008E10F5">
        <w:t>.</w:t>
      </w:r>
      <w:r w:rsidR="00DA5603" w:rsidRPr="00EC07BA">
        <w:t xml:space="preserve">, </w:t>
      </w:r>
      <w:r w:rsidR="008E10F5">
        <w:t xml:space="preserve">the </w:t>
      </w:r>
      <w:r w:rsidR="00DA5603" w:rsidRPr="00EC07BA">
        <w:t xml:space="preserve">Premier has </w:t>
      </w:r>
      <w:r w:rsidR="0021687C" w:rsidRPr="00053E3C">
        <w:t>ordered a review</w:t>
      </w:r>
      <w:r w:rsidR="00DA5603" w:rsidRPr="00EC07BA">
        <w:t xml:space="preserve"> of a harm reduction program that dispenses free sterile equipment,</w:t>
      </w:r>
      <w:r w:rsidR="0021687C">
        <w:rPr>
          <w:rStyle w:val="FootnoteReference"/>
        </w:rPr>
        <w:footnoteReference w:id="46"/>
      </w:r>
      <w:r w:rsidR="00DA5603" w:rsidRPr="00EC07BA">
        <w:t xml:space="preserve"> eliciting grave concerns such programs may be cancelled or rolled back. </w:t>
      </w:r>
    </w:p>
    <w:p w14:paraId="719379CA" w14:textId="77777777" w:rsidR="00DA5603" w:rsidRDefault="00DA5603" w:rsidP="00967D45">
      <w:pPr>
        <w:pStyle w:val="ListParagraph"/>
        <w:ind w:left="426" w:hanging="426"/>
        <w:jc w:val="both"/>
      </w:pPr>
    </w:p>
    <w:p w14:paraId="28A579ED" w14:textId="69286861" w:rsidR="00EC07BA" w:rsidRPr="00EC07BA" w:rsidRDefault="0050691C" w:rsidP="00967D45">
      <w:pPr>
        <w:pStyle w:val="ListParagraph"/>
        <w:numPr>
          <w:ilvl w:val="0"/>
          <w:numId w:val="21"/>
        </w:numPr>
        <w:ind w:left="426" w:hanging="426"/>
        <w:jc w:val="both"/>
      </w:pPr>
      <w:r>
        <w:t xml:space="preserve">As discussed, </w:t>
      </w:r>
      <w:r w:rsidR="00EC07BA" w:rsidRPr="00EC07BA">
        <w:t>SCS are low-barrier facilities where people can receive sterile drug use equipment, consume pre-obtained drugs</w:t>
      </w:r>
      <w:r>
        <w:t>,</w:t>
      </w:r>
      <w:r w:rsidR="00EC07BA" w:rsidRPr="00EC07BA">
        <w:t xml:space="preserve"> and receive lifesaving emergency response in case of drug poisoning or overdose. </w:t>
      </w:r>
      <w:r w:rsidR="000C6C0B" w:rsidRPr="00EC07BA">
        <w:t xml:space="preserve">In most cases, SCS require approval via a formal exemption under the federal </w:t>
      </w:r>
      <w:r w:rsidR="000C6C0B" w:rsidRPr="00EC07BA">
        <w:rPr>
          <w:i/>
          <w:iCs/>
        </w:rPr>
        <w:t>Controlled Drugs and Substances Act</w:t>
      </w:r>
      <w:r w:rsidR="00EA7406">
        <w:t xml:space="preserve"> allowing people to consume criminalized substances in a site without threat of criminal prosecution,</w:t>
      </w:r>
      <w:r w:rsidR="00B33E05">
        <w:rPr>
          <w:rStyle w:val="FootnoteReference"/>
        </w:rPr>
        <w:footnoteReference w:id="47"/>
      </w:r>
      <w:r w:rsidR="000C6C0B" w:rsidRPr="00EC07BA">
        <w:t xml:space="preserve"> </w:t>
      </w:r>
      <w:r w:rsidR="00B33E05">
        <w:t xml:space="preserve">although </w:t>
      </w:r>
      <w:r w:rsidR="000C6C0B" w:rsidRPr="00EC07BA">
        <w:t>healthcare is administered at the provincial/territorial level.</w:t>
      </w:r>
    </w:p>
    <w:p w14:paraId="6F43339D" w14:textId="77777777" w:rsidR="00EC07BA" w:rsidRPr="00EC07BA" w:rsidRDefault="00EC07BA" w:rsidP="00967D45">
      <w:pPr>
        <w:pStyle w:val="ListParagraph"/>
        <w:ind w:left="426" w:hanging="426"/>
        <w:jc w:val="both"/>
      </w:pPr>
    </w:p>
    <w:p w14:paraId="002008EC" w14:textId="13EF2432" w:rsidR="00EC07BA" w:rsidRDefault="00EC07BA" w:rsidP="00967D45">
      <w:pPr>
        <w:pStyle w:val="ListParagraph"/>
        <w:numPr>
          <w:ilvl w:val="0"/>
          <w:numId w:val="21"/>
        </w:numPr>
        <w:ind w:left="426" w:hanging="426"/>
        <w:jc w:val="both"/>
      </w:pPr>
      <w:r w:rsidRPr="00EC07BA">
        <w:t xml:space="preserve">SCS that allow for assisted injection are particularly important for </w:t>
      </w:r>
      <w:r w:rsidR="00284040">
        <w:t xml:space="preserve">HIV and </w:t>
      </w:r>
      <w:r w:rsidR="004A086A">
        <w:t>STI</w:t>
      </w:r>
      <w:r w:rsidR="00284040">
        <w:t xml:space="preserve"> </w:t>
      </w:r>
      <w:r w:rsidRPr="00EC07BA">
        <w:t xml:space="preserve">prevention </w:t>
      </w:r>
      <w:r w:rsidRPr="00EC07BA">
        <w:lastRenderedPageBreak/>
        <w:t xml:space="preserve">among women. Although </w:t>
      </w:r>
      <w:r w:rsidR="0091494E" w:rsidRPr="00053E3C">
        <w:t>29 of 39</w:t>
      </w:r>
      <w:r w:rsidRPr="00EC07BA">
        <w:t xml:space="preserve"> federally approved SCS allow for peer-assisted injection, </w:t>
      </w:r>
      <w:r w:rsidR="0050691C">
        <w:t xml:space="preserve">these sites </w:t>
      </w:r>
      <w:r w:rsidRPr="00EC07BA">
        <w:t>do not authorize assisted injection by a healthcare provider.</w:t>
      </w:r>
      <w:r w:rsidR="0091494E">
        <w:rPr>
          <w:rStyle w:val="FootnoteReference"/>
        </w:rPr>
        <w:footnoteReference w:id="48"/>
      </w:r>
      <w:r w:rsidRPr="00EC07BA">
        <w:t xml:space="preserve"> Assisted injection by peers and healthcare providers are a form of gender-sensitive harm reduction programming that could reduce </w:t>
      </w:r>
      <w:r w:rsidR="004A086A">
        <w:t xml:space="preserve">the risk of </w:t>
      </w:r>
      <w:r w:rsidRPr="00EC07BA">
        <w:t xml:space="preserve">HIV among women who inject drugs and should be expanded in SCS. Low-barrier distribution of sterile injection equipment, along with peer-based education on safer use practices, must be expanded to minimize the risk of </w:t>
      </w:r>
      <w:r w:rsidR="004C5B4F">
        <w:t>infection transmission</w:t>
      </w:r>
      <w:r w:rsidRPr="00EC07BA">
        <w:t>.</w:t>
      </w:r>
    </w:p>
    <w:p w14:paraId="3C9B557A" w14:textId="77777777" w:rsidR="007A4404" w:rsidRDefault="007A4404" w:rsidP="00967D45">
      <w:pPr>
        <w:pStyle w:val="ListParagraph"/>
        <w:ind w:left="426" w:hanging="426"/>
      </w:pPr>
    </w:p>
    <w:p w14:paraId="0B7193FC" w14:textId="290E337F" w:rsidR="007A4404" w:rsidRPr="00EC07BA" w:rsidRDefault="007A4404" w:rsidP="00967D45">
      <w:pPr>
        <w:pStyle w:val="ListParagraph"/>
        <w:numPr>
          <w:ilvl w:val="0"/>
          <w:numId w:val="21"/>
        </w:numPr>
        <w:ind w:left="426" w:hanging="426"/>
        <w:jc w:val="both"/>
      </w:pPr>
      <w:r w:rsidRPr="00EC07BA">
        <w:t xml:space="preserve">There are </w:t>
      </w:r>
      <w:r w:rsidR="0091494E" w:rsidRPr="00053E3C">
        <w:t>four decades</w:t>
      </w:r>
      <w:r w:rsidRPr="00EC07BA">
        <w:t xml:space="preserve"> of well-established evidence demonstrating the benefits of harm reduction services, including reduced rates of HIV transmission and other bloodborne infections.</w:t>
      </w:r>
      <w:r w:rsidR="0091494E">
        <w:rPr>
          <w:rStyle w:val="FootnoteReference"/>
        </w:rPr>
        <w:footnoteReference w:id="49"/>
      </w:r>
      <w:r w:rsidRPr="00EC07BA">
        <w:t xml:space="preserve"> A </w:t>
      </w:r>
      <w:r w:rsidRPr="00FB4E0E">
        <w:rPr>
          <w:rFonts w:eastAsia="Times New Roman"/>
        </w:rPr>
        <w:t>recent resolution</w:t>
      </w:r>
      <w:r w:rsidRPr="00EC07BA">
        <w:t xml:space="preserve"> passed at the 67</w:t>
      </w:r>
      <w:r w:rsidRPr="00EC07BA">
        <w:rPr>
          <w:vertAlign w:val="superscript"/>
        </w:rPr>
        <w:t>th</w:t>
      </w:r>
      <w:r w:rsidRPr="00EC07BA">
        <w:t xml:space="preserve"> </w:t>
      </w:r>
      <w:r w:rsidR="00382C06">
        <w:t>UN</w:t>
      </w:r>
      <w:r w:rsidRPr="00EC07BA">
        <w:t xml:space="preserve"> Commission on Narcotic Drugs directed member states to pursue harm reduction measures,</w:t>
      </w:r>
      <w:r w:rsidR="0091494E">
        <w:rPr>
          <w:rStyle w:val="FootnoteReference"/>
        </w:rPr>
        <w:footnoteReference w:id="50"/>
      </w:r>
      <w:r w:rsidRPr="00EC07BA">
        <w:t xml:space="preserve"> while the </w:t>
      </w:r>
      <w:r w:rsidR="00FF0735" w:rsidRPr="00053E3C">
        <w:t>UN Global AIDS Strategy 2021-2026</w:t>
      </w:r>
      <w:r w:rsidRPr="00EC07BA">
        <w:t xml:space="preserve"> identified scaling up harm reduction and needle distribution programs and removing any </w:t>
      </w:r>
      <w:r w:rsidR="002033FA">
        <w:t xml:space="preserve">associated </w:t>
      </w:r>
      <w:r w:rsidRPr="00EC07BA">
        <w:t>legal, regulatory or financial barriers as a key priority area.</w:t>
      </w:r>
      <w:r w:rsidR="0091494E">
        <w:rPr>
          <w:rStyle w:val="FootnoteReference"/>
        </w:rPr>
        <w:footnoteReference w:id="51"/>
      </w:r>
      <w:r w:rsidRPr="00EC07BA">
        <w:t xml:space="preserve"> </w:t>
      </w:r>
      <w:r>
        <w:t xml:space="preserve">Additionally, as noted above, </w:t>
      </w:r>
      <w:r w:rsidRPr="00E15054">
        <w:rPr>
          <w:szCs w:val="22"/>
        </w:rPr>
        <w:t>the CEDAW Committee</w:t>
      </w:r>
      <w:r w:rsidR="00C01B25">
        <w:rPr>
          <w:szCs w:val="22"/>
        </w:rPr>
        <w:t xml:space="preserve"> has previously</w:t>
      </w:r>
      <w:r w:rsidRPr="00E15054">
        <w:rPr>
          <w:szCs w:val="22"/>
        </w:rPr>
        <w:t xml:space="preserve"> </w:t>
      </w:r>
      <w:r w:rsidRPr="2738C79F">
        <w:t xml:space="preserve">expressed its concern with “the significant legislative and administrative barriers women face to access supervised consumption services” </w:t>
      </w:r>
      <w:r>
        <w:t xml:space="preserve">and </w:t>
      </w:r>
      <w:r w:rsidRPr="00E15054">
        <w:rPr>
          <w:szCs w:val="22"/>
        </w:rPr>
        <w:t>recommended that Canada “reduce the gap in health service delivery related to women’s drug use, by scaling-up and ensuring access to culturally appropriate harm reduction services.”</w:t>
      </w:r>
      <w:r w:rsidRPr="006E514E">
        <w:rPr>
          <w:rStyle w:val="FootnoteReference"/>
          <w:szCs w:val="22"/>
          <w:lang w:val="en-CA"/>
        </w:rPr>
        <w:footnoteReference w:id="52"/>
      </w:r>
      <w:r>
        <w:rPr>
          <w:szCs w:val="22"/>
          <w:lang w:val="en-CA"/>
        </w:rPr>
        <w:t xml:space="preserve"> </w:t>
      </w:r>
      <w:r w:rsidRPr="00EC07BA">
        <w:t xml:space="preserve">The Government of Canada’s </w:t>
      </w:r>
      <w:r>
        <w:t xml:space="preserve">own </w:t>
      </w:r>
      <w:r w:rsidR="00FF0735" w:rsidRPr="00ED261F">
        <w:t>Sexually Transmitted and Blood-Borne Infections (STBBI) Action Plan 2024-2031</w:t>
      </w:r>
      <w:r w:rsidRPr="00EC07BA">
        <w:t xml:space="preserve"> indicates that access to sterile drug use equipment is critical to STBBI prevention and has committed the federal government to investing in community-based harm reduction programs and supporting the establishment of SCS.</w:t>
      </w:r>
      <w:r w:rsidR="00FF0735">
        <w:rPr>
          <w:rStyle w:val="FootnoteReference"/>
        </w:rPr>
        <w:footnoteReference w:id="53"/>
      </w:r>
      <w:r w:rsidRPr="00EC07BA">
        <w:t xml:space="preserve"> </w:t>
      </w:r>
    </w:p>
    <w:p w14:paraId="1F46E5E4" w14:textId="77777777" w:rsidR="007A4404" w:rsidRPr="00EC07BA" w:rsidRDefault="007A4404" w:rsidP="00967D45">
      <w:pPr>
        <w:pStyle w:val="ListParagraph"/>
        <w:ind w:left="426" w:hanging="426"/>
        <w:jc w:val="both"/>
      </w:pPr>
    </w:p>
    <w:p w14:paraId="3F9BC3E0" w14:textId="5EF0680A" w:rsidR="007A4404" w:rsidRPr="00EC07BA" w:rsidRDefault="007A4404" w:rsidP="00967D45">
      <w:pPr>
        <w:pStyle w:val="ListParagraph"/>
        <w:numPr>
          <w:ilvl w:val="0"/>
          <w:numId w:val="21"/>
        </w:numPr>
        <w:ind w:left="426" w:hanging="426"/>
        <w:jc w:val="both"/>
      </w:pPr>
      <w:r w:rsidRPr="00EC07BA">
        <w:t xml:space="preserve">Despite this, political leaders in Canada have increasingly spread misinformation and harmful claims about </w:t>
      </w:r>
      <w:r w:rsidR="00AF0143">
        <w:t xml:space="preserve">harm </w:t>
      </w:r>
      <w:r w:rsidR="001A655A">
        <w:t>reduction programs and services</w:t>
      </w:r>
      <w:r w:rsidRPr="00EC07BA">
        <w:t xml:space="preserve">. For example, </w:t>
      </w:r>
      <w:r w:rsidR="00375C74">
        <w:t>the</w:t>
      </w:r>
      <w:r w:rsidRPr="00EC07BA">
        <w:t xml:space="preserve"> </w:t>
      </w:r>
      <w:r w:rsidR="001A655A">
        <w:t xml:space="preserve">current </w:t>
      </w:r>
      <w:r w:rsidRPr="00EC07BA">
        <w:t xml:space="preserve">leader of the </w:t>
      </w:r>
      <w:r w:rsidR="009029D7">
        <w:t>federal opposition has</w:t>
      </w:r>
      <w:r w:rsidRPr="00EC07BA">
        <w:t xml:space="preserve"> described SCS as “</w:t>
      </w:r>
      <w:r w:rsidR="00FF0735" w:rsidRPr="00053E3C">
        <w:t>drug dens</w:t>
      </w:r>
      <w:r w:rsidRPr="00EC07BA">
        <w:t xml:space="preserve">” and vowed to shut down these essential services if </w:t>
      </w:r>
      <w:r w:rsidR="00964CB9">
        <w:t>he</w:t>
      </w:r>
      <w:r w:rsidRPr="00EC07BA">
        <w:t xml:space="preserve"> forms government in 2025.</w:t>
      </w:r>
      <w:r w:rsidR="00FF0735">
        <w:rPr>
          <w:rStyle w:val="FootnoteReference"/>
        </w:rPr>
        <w:footnoteReference w:id="54"/>
      </w:r>
      <w:r w:rsidRPr="00EC07BA">
        <w:t xml:space="preserve"> </w:t>
      </w:r>
      <w:r w:rsidR="00FF0735" w:rsidRPr="00053E3C">
        <w:t>Ontario's premier</w:t>
      </w:r>
      <w:r w:rsidRPr="00EC07BA">
        <w:t xml:space="preserve"> has</w:t>
      </w:r>
      <w:r w:rsidR="009029D7">
        <w:t xml:space="preserve"> </w:t>
      </w:r>
      <w:r w:rsidRPr="00EC07BA">
        <w:t>described SCS as “the worst thing that could ever happen to a community”</w:t>
      </w:r>
      <w:r w:rsidR="003F51A8">
        <w:t>.</w:t>
      </w:r>
      <w:r w:rsidR="00FF0735">
        <w:rPr>
          <w:rStyle w:val="FootnoteReference"/>
        </w:rPr>
        <w:footnoteReference w:id="55"/>
      </w:r>
    </w:p>
    <w:p w14:paraId="1009FAC9" w14:textId="5A9C4CCC" w:rsidR="00EC07BA" w:rsidRPr="00EC07BA" w:rsidRDefault="00EC07BA" w:rsidP="00967D45">
      <w:pPr>
        <w:pStyle w:val="ListParagraph"/>
        <w:ind w:left="426" w:hanging="426"/>
        <w:jc w:val="both"/>
      </w:pPr>
      <w:r w:rsidRPr="00EC07BA">
        <w:t xml:space="preserve"> </w:t>
      </w:r>
    </w:p>
    <w:p w14:paraId="69E6A578" w14:textId="04720507" w:rsidR="00EC07BA" w:rsidRPr="00EC07BA" w:rsidRDefault="00EC07BA" w:rsidP="00967D45">
      <w:pPr>
        <w:pStyle w:val="ListParagraph"/>
        <w:numPr>
          <w:ilvl w:val="0"/>
          <w:numId w:val="21"/>
        </w:numPr>
        <w:ind w:left="426" w:hanging="426"/>
        <w:jc w:val="both"/>
      </w:pPr>
      <w:r w:rsidRPr="00EC07BA">
        <w:t xml:space="preserve">Decriminalization of drug use and possession would </w:t>
      </w:r>
      <w:r w:rsidR="00841096">
        <w:t xml:space="preserve">also </w:t>
      </w:r>
      <w:r w:rsidRPr="00EC07BA">
        <w:t>help support safer drug use practices, access to harm reduction programs</w:t>
      </w:r>
      <w:r w:rsidR="00BE3D71">
        <w:t>,</w:t>
      </w:r>
      <w:r w:rsidRPr="00EC07BA">
        <w:t xml:space="preserve"> </w:t>
      </w:r>
      <w:r w:rsidR="00BE3D71">
        <w:t xml:space="preserve">HIV prevention, </w:t>
      </w:r>
      <w:r w:rsidRPr="00EC07BA">
        <w:t>and reduction of overdose among women who use drugs. Canada’s</w:t>
      </w:r>
      <w:r w:rsidR="00FF0735" w:rsidRPr="003962B6">
        <w:t xml:space="preserve"> STBBI Action Plan 2024-2031</w:t>
      </w:r>
      <w:r w:rsidRPr="00EC07BA">
        <w:t xml:space="preserve"> commits the federal government to divert individuals away from the criminal justice system for drug possession </w:t>
      </w:r>
      <w:r w:rsidRPr="00EC07BA">
        <w:lastRenderedPageBreak/>
        <w:t>charges through alternatives to prosecution,</w:t>
      </w:r>
      <w:r w:rsidR="00FF0735">
        <w:rPr>
          <w:rStyle w:val="FootnoteReference"/>
        </w:rPr>
        <w:footnoteReference w:id="56"/>
      </w:r>
      <w:r w:rsidRPr="00EC07BA">
        <w:t xml:space="preserve"> while </w:t>
      </w:r>
      <w:r w:rsidR="00F75EFF">
        <w:t>a</w:t>
      </w:r>
      <w:r w:rsidRPr="00EC07BA">
        <w:t xml:space="preserve"> </w:t>
      </w:r>
      <w:r w:rsidR="00F75EFF">
        <w:t xml:space="preserve">2021 </w:t>
      </w:r>
      <w:r w:rsidRPr="00EC07BA">
        <w:t xml:space="preserve">Federal Expert Task Force on Substance Use </w:t>
      </w:r>
      <w:r w:rsidR="00CF7766" w:rsidRPr="00053E3C">
        <w:t>recommended</w:t>
      </w:r>
      <w:r w:rsidRPr="00EC07BA">
        <w:t xml:space="preserve"> decriminaliz</w:t>
      </w:r>
      <w:r w:rsidR="00F75EFF">
        <w:t>ing</w:t>
      </w:r>
      <w:r w:rsidRPr="00EC07BA">
        <w:t xml:space="preserve"> simple drug possession.</w:t>
      </w:r>
      <w:r w:rsidR="00FF0735">
        <w:rPr>
          <w:rStyle w:val="FootnoteReference"/>
        </w:rPr>
        <w:footnoteReference w:id="57"/>
      </w:r>
      <w:r w:rsidRPr="00EC07BA">
        <w:t xml:space="preserve"> </w:t>
      </w:r>
    </w:p>
    <w:p w14:paraId="5066CC20" w14:textId="77777777" w:rsidR="00EC07BA" w:rsidRPr="00EC07BA" w:rsidRDefault="00EC07BA" w:rsidP="00967D45">
      <w:pPr>
        <w:pStyle w:val="ListParagraph"/>
        <w:ind w:left="426" w:hanging="426"/>
        <w:jc w:val="both"/>
      </w:pPr>
    </w:p>
    <w:p w14:paraId="4BBEBCB7" w14:textId="4D9C0778" w:rsidR="00EC07BA" w:rsidRPr="00EC07BA" w:rsidRDefault="0030286F" w:rsidP="00967D45">
      <w:pPr>
        <w:pStyle w:val="ListParagraph"/>
        <w:numPr>
          <w:ilvl w:val="0"/>
          <w:numId w:val="21"/>
        </w:numPr>
        <w:ind w:left="426" w:hanging="426"/>
        <w:jc w:val="both"/>
      </w:pPr>
      <w:r>
        <w:t xml:space="preserve">Despite this, </w:t>
      </w:r>
      <w:r w:rsidR="00C72356">
        <w:t xml:space="preserve">simple drug possession remains a crime in Canada, </w:t>
      </w:r>
      <w:r w:rsidR="00CF7766" w:rsidRPr="00053E3C">
        <w:t>deterring</w:t>
      </w:r>
      <w:r w:rsidR="00C72356">
        <w:t xml:space="preserve"> </w:t>
      </w:r>
      <w:r w:rsidR="00EC07BA" w:rsidRPr="00EC07BA">
        <w:t xml:space="preserve">women who use drugs </w:t>
      </w:r>
      <w:r w:rsidR="00F75EFF">
        <w:t>(including those who</w:t>
      </w:r>
      <w:r w:rsidR="00EC07BA" w:rsidRPr="00EC07BA">
        <w:t xml:space="preserve"> are primary caregivers for children</w:t>
      </w:r>
      <w:r w:rsidR="00F75EFF">
        <w:t>)</w:t>
      </w:r>
      <w:r w:rsidR="00EC07BA" w:rsidRPr="00EC07BA">
        <w:t xml:space="preserve"> </w:t>
      </w:r>
      <w:r w:rsidR="00C72356">
        <w:t xml:space="preserve">from utilizing </w:t>
      </w:r>
      <w:r w:rsidR="00EC07BA" w:rsidRPr="00EC07BA">
        <w:t>SCS</w:t>
      </w:r>
      <w:r w:rsidR="00643649">
        <w:t xml:space="preserve"> and other health services</w:t>
      </w:r>
      <w:r w:rsidR="00EC07BA" w:rsidRPr="00EC07BA">
        <w:t>.</w:t>
      </w:r>
      <w:r w:rsidR="00CF7766">
        <w:rPr>
          <w:rStyle w:val="FootnoteReference"/>
        </w:rPr>
        <w:footnoteReference w:id="58"/>
      </w:r>
      <w:r w:rsidR="00EC07BA" w:rsidRPr="00EC07BA">
        <w:t xml:space="preserve"> The criminalization of drugs, discriminatory surveillance of people who use or are perceived to be using drugs, and a deterministic conflation of parental drug use with child abuse and neglect </w:t>
      </w:r>
      <w:r w:rsidR="00CF7766" w:rsidRPr="00053E3C">
        <w:t>have resulted in</w:t>
      </w:r>
      <w:r w:rsidR="00EC07BA" w:rsidRPr="00EC07BA">
        <w:t xml:space="preserve"> real or possible perceived loss of child custody or family reunification.</w:t>
      </w:r>
      <w:r w:rsidR="00CF7766">
        <w:rPr>
          <w:rStyle w:val="FootnoteReference"/>
        </w:rPr>
        <w:footnoteReference w:id="59"/>
      </w:r>
      <w:r w:rsidR="00EC07BA" w:rsidRPr="00EC07BA">
        <w:t xml:space="preserve"> SCS and other harm reduction services can function as a site of </w:t>
      </w:r>
      <w:r w:rsidR="00CF7766" w:rsidRPr="00053E3C">
        <w:t>surveillance</w:t>
      </w:r>
      <w:r w:rsidR="00EC07BA" w:rsidRPr="00EC07BA">
        <w:t xml:space="preserve"> for mothers who use drugs, whereby access to these services can create a greater risk for child apprehension, particularly for mothers who are poor, racialized</w:t>
      </w:r>
      <w:r w:rsidR="005B3857">
        <w:t>,</w:t>
      </w:r>
      <w:r w:rsidR="00EC07BA" w:rsidRPr="00EC07BA">
        <w:t xml:space="preserve"> and gender diverse.</w:t>
      </w:r>
      <w:r w:rsidR="00CF7766">
        <w:rPr>
          <w:rStyle w:val="FootnoteReference"/>
        </w:rPr>
        <w:footnoteReference w:id="60"/>
      </w:r>
      <w:r w:rsidR="00EC07BA" w:rsidRPr="00EC07BA">
        <w:t xml:space="preserve"> Further, the pain, grief and trauma of experiencing child apprehension can cause women to </w:t>
      </w:r>
      <w:r w:rsidR="00CF7766" w:rsidRPr="00964B78">
        <w:t>initiate or intensify drug use</w:t>
      </w:r>
      <w:r w:rsidR="00EC07BA" w:rsidRPr="00EC07BA">
        <w:t xml:space="preserve"> or engage in unsafe drug use practices such as injecting alone or rushing injections.</w:t>
      </w:r>
      <w:r w:rsidR="00CF7766">
        <w:rPr>
          <w:rStyle w:val="FootnoteReference"/>
        </w:rPr>
        <w:footnoteReference w:id="61"/>
      </w:r>
      <w:r w:rsidR="00EC07BA" w:rsidRPr="00EC07BA">
        <w:t xml:space="preserve"> All of these factors increase risk of overdose and other drug-related harms.</w:t>
      </w:r>
    </w:p>
    <w:p w14:paraId="0589099A" w14:textId="1B927600" w:rsidR="00BD220F" w:rsidRDefault="00BD220F" w:rsidP="00A51FF2">
      <w:pPr>
        <w:jc w:val="both"/>
      </w:pPr>
    </w:p>
    <w:p w14:paraId="39DA1A80" w14:textId="77777777" w:rsidR="00A51FF2" w:rsidRDefault="00A51FF2" w:rsidP="00A51FF2">
      <w:pPr>
        <w:jc w:val="both"/>
      </w:pPr>
    </w:p>
    <w:p w14:paraId="317C1B1A" w14:textId="0C68B9DD" w:rsidR="00A80226" w:rsidRPr="000116F8" w:rsidRDefault="000440D7" w:rsidP="00967D45">
      <w:pPr>
        <w:jc w:val="both"/>
        <w:rPr>
          <w:b/>
          <w:bCs/>
        </w:rPr>
      </w:pPr>
      <w:r w:rsidRPr="00955F7D">
        <w:rPr>
          <w:b/>
          <w:bCs/>
        </w:rPr>
        <w:t xml:space="preserve">As one part of a wider strategy to address </w:t>
      </w:r>
      <w:r w:rsidR="006D181A">
        <w:rPr>
          <w:b/>
          <w:bCs/>
        </w:rPr>
        <w:t xml:space="preserve">the unmet health and safety needs </w:t>
      </w:r>
      <w:r w:rsidRPr="00955F7D">
        <w:rPr>
          <w:b/>
          <w:bCs/>
        </w:rPr>
        <w:t xml:space="preserve">among women who use drugs, </w:t>
      </w:r>
      <w:r w:rsidR="00865C37">
        <w:rPr>
          <w:b/>
          <w:bCs/>
        </w:rPr>
        <w:t>CANADA MUST</w:t>
      </w:r>
      <w:r w:rsidR="00A80226" w:rsidRPr="000116F8">
        <w:rPr>
          <w:b/>
          <w:bCs/>
        </w:rPr>
        <w:t>:</w:t>
      </w:r>
    </w:p>
    <w:p w14:paraId="661B64B2" w14:textId="77777777" w:rsidR="00A80226" w:rsidRPr="000116F8" w:rsidRDefault="00A80226" w:rsidP="00967D45">
      <w:pPr>
        <w:ind w:left="426" w:hanging="426"/>
        <w:jc w:val="both"/>
        <w:rPr>
          <w:b/>
          <w:bCs/>
        </w:rPr>
      </w:pPr>
    </w:p>
    <w:p w14:paraId="45054DE6" w14:textId="51A6C77F" w:rsidR="006D181A" w:rsidRPr="00053E3C" w:rsidRDefault="00343BE1" w:rsidP="00967D45">
      <w:pPr>
        <w:pStyle w:val="ListParagraph"/>
        <w:numPr>
          <w:ilvl w:val="0"/>
          <w:numId w:val="47"/>
        </w:numPr>
        <w:ind w:left="426" w:hanging="426"/>
        <w:jc w:val="both"/>
        <w:rPr>
          <w:b/>
          <w:bCs/>
        </w:rPr>
      </w:pPr>
      <w:r>
        <w:rPr>
          <w:b/>
          <w:bCs/>
        </w:rPr>
        <w:t>E</w:t>
      </w:r>
      <w:r w:rsidR="000440D7" w:rsidRPr="000116F8">
        <w:rPr>
          <w:b/>
          <w:bCs/>
        </w:rPr>
        <w:t xml:space="preserve">xpand access </w:t>
      </w:r>
      <w:r w:rsidR="00865C37">
        <w:rPr>
          <w:b/>
          <w:bCs/>
        </w:rPr>
        <w:t xml:space="preserve">consistently throughout the country </w:t>
      </w:r>
      <w:r w:rsidR="000440D7" w:rsidRPr="00053E3C">
        <w:rPr>
          <w:b/>
          <w:bCs/>
        </w:rPr>
        <w:t>to harm reduction programs including supervised consumption services and sterile drug use equipment distribution programs</w:t>
      </w:r>
      <w:r w:rsidR="00865C37">
        <w:rPr>
          <w:b/>
          <w:bCs/>
        </w:rPr>
        <w:t xml:space="preserve"> </w:t>
      </w:r>
      <w:r w:rsidR="00865C37" w:rsidRPr="009359F2">
        <w:rPr>
          <w:b/>
          <w:bCs/>
        </w:rPr>
        <w:t xml:space="preserve">designed to account for the specific needs of women and gender </w:t>
      </w:r>
      <w:proofErr w:type="gramStart"/>
      <w:r w:rsidR="00865C37" w:rsidRPr="009359F2">
        <w:rPr>
          <w:b/>
          <w:bCs/>
        </w:rPr>
        <w:t>minorities</w:t>
      </w:r>
      <w:r w:rsidR="006D181A">
        <w:rPr>
          <w:b/>
          <w:bCs/>
        </w:rPr>
        <w:t>;</w:t>
      </w:r>
      <w:proofErr w:type="gramEnd"/>
    </w:p>
    <w:p w14:paraId="06A21DC6" w14:textId="2E165EB7" w:rsidR="000116F8" w:rsidRPr="000116F8" w:rsidRDefault="000116F8" w:rsidP="00967D45">
      <w:pPr>
        <w:ind w:left="426" w:hanging="426"/>
        <w:jc w:val="both"/>
        <w:rPr>
          <w:b/>
          <w:bCs/>
        </w:rPr>
      </w:pPr>
    </w:p>
    <w:p w14:paraId="79D1DFD9" w14:textId="692C6BEB" w:rsidR="004A2132" w:rsidRPr="000116F8" w:rsidRDefault="00343BE1" w:rsidP="00967D45">
      <w:pPr>
        <w:pStyle w:val="ListParagraph"/>
        <w:numPr>
          <w:ilvl w:val="0"/>
          <w:numId w:val="47"/>
        </w:numPr>
        <w:ind w:left="426" w:hanging="426"/>
        <w:jc w:val="both"/>
        <w:rPr>
          <w:b/>
          <w:bCs/>
        </w:rPr>
      </w:pPr>
      <w:r>
        <w:rPr>
          <w:b/>
          <w:bCs/>
        </w:rPr>
        <w:t>I</w:t>
      </w:r>
      <w:r w:rsidR="000440D7" w:rsidRPr="000116F8">
        <w:rPr>
          <w:b/>
          <w:bCs/>
        </w:rPr>
        <w:t xml:space="preserve">mplement nationwide drug decriminalization. </w:t>
      </w:r>
    </w:p>
    <w:p w14:paraId="298AD079" w14:textId="2EB61B6E" w:rsidR="0070061B" w:rsidRPr="005C74A1" w:rsidRDefault="0070061B" w:rsidP="00A51FF2">
      <w:pPr>
        <w:pStyle w:val="Heading1"/>
        <w:numPr>
          <w:ilvl w:val="0"/>
          <w:numId w:val="0"/>
        </w:numPr>
        <w:jc w:val="both"/>
        <w:rPr>
          <w:rFonts w:eastAsia="Calibri"/>
          <w:sz w:val="10"/>
          <w:szCs w:val="10"/>
        </w:rPr>
      </w:pPr>
      <w:r w:rsidRPr="007F5CAA">
        <w:rPr>
          <w:noProof/>
        </w:rPr>
        <w:lastRenderedPageBreak/>
        <mc:AlternateContent>
          <mc:Choice Requires="wps">
            <w:drawing>
              <wp:anchor distT="45720" distB="45720" distL="114300" distR="114300" simplePos="0" relativeHeight="251658240" behindDoc="0" locked="0" layoutInCell="1" allowOverlap="1" wp14:anchorId="12F6D30F" wp14:editId="7E50FC9F">
                <wp:simplePos x="0" y="0"/>
                <wp:positionH relativeFrom="margin">
                  <wp:align>left</wp:align>
                </wp:positionH>
                <wp:positionV relativeFrom="paragraph">
                  <wp:posOffset>419100</wp:posOffset>
                </wp:positionV>
                <wp:extent cx="6413500" cy="1404620"/>
                <wp:effectExtent l="0" t="0" r="25400" b="10795"/>
                <wp:wrapSquare wrapText="bothSides"/>
                <wp:docPr id="19920126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0" cy="1404620"/>
                        </a:xfrm>
                        <a:prstGeom prst="rect">
                          <a:avLst/>
                        </a:prstGeom>
                        <a:solidFill>
                          <a:schemeClr val="accent1">
                            <a:lumMod val="20000"/>
                            <a:lumOff val="80000"/>
                          </a:schemeClr>
                        </a:solidFill>
                        <a:ln w="9525">
                          <a:solidFill>
                            <a:srgbClr val="000000"/>
                          </a:solidFill>
                          <a:miter lim="800000"/>
                          <a:headEnd/>
                          <a:tailEnd/>
                        </a:ln>
                      </wps:spPr>
                      <wps:txbx>
                        <w:txbxContent>
                          <w:p w14:paraId="4C95CA1A" w14:textId="0724A194" w:rsidR="0070061B" w:rsidRDefault="0070061B" w:rsidP="002B6636">
                            <w:pPr>
                              <w:shd w:val="clear" w:color="auto" w:fill="DBE5F1" w:themeFill="accent1" w:themeFillTint="33"/>
                              <w:spacing w:line="276" w:lineRule="auto"/>
                            </w:pPr>
                            <w:r>
                              <w:rPr>
                                <w:rFonts w:eastAsia="Arial" w:cs="Arial"/>
                                <w:spacing w:val="3"/>
                                <w:szCs w:val="22"/>
                              </w:rPr>
                              <w:t>In the CEDAW Committee’s “</w:t>
                            </w:r>
                            <w:r w:rsidRPr="00586978">
                              <w:rPr>
                                <w:rFonts w:eastAsia="Arial" w:cs="Arial"/>
                                <w:spacing w:val="3"/>
                                <w:szCs w:val="22"/>
                              </w:rPr>
                              <w:t>List of issues and questions prior to the submission of the tenth periodic report of Canada</w:t>
                            </w:r>
                            <w:r>
                              <w:rPr>
                                <w:rFonts w:eastAsia="Arial" w:cs="Arial"/>
                                <w:spacing w:val="3"/>
                                <w:szCs w:val="22"/>
                              </w:rPr>
                              <w:t>,”</w:t>
                            </w:r>
                            <w:r>
                              <w:t xml:space="preserve"> the Committee ask</w:t>
                            </w:r>
                            <w:r w:rsidR="00393849">
                              <w:t>ed</w:t>
                            </w:r>
                            <w:r>
                              <w:t xml:space="preserve"> of Canada:</w:t>
                            </w:r>
                          </w:p>
                          <w:p w14:paraId="2977252F" w14:textId="77777777" w:rsidR="0070061B" w:rsidRDefault="0070061B" w:rsidP="002B6636">
                            <w:pPr>
                              <w:shd w:val="clear" w:color="auto" w:fill="DBE5F1" w:themeFill="accent1" w:themeFillTint="33"/>
                              <w:spacing w:line="276" w:lineRule="auto"/>
                            </w:pPr>
                          </w:p>
                          <w:p w14:paraId="7FF312FC" w14:textId="68CD3B1A" w:rsidR="0070061B" w:rsidRDefault="0070061B" w:rsidP="002B6636">
                            <w:pPr>
                              <w:shd w:val="clear" w:color="auto" w:fill="DBE5F1" w:themeFill="accent1" w:themeFillTint="33"/>
                              <w:spacing w:line="276" w:lineRule="auto"/>
                            </w:pPr>
                            <w:r>
                              <w:t>22.</w:t>
                            </w:r>
                            <w:r>
                              <w:tab/>
                              <w:t xml:space="preserve">… </w:t>
                            </w:r>
                            <w:r w:rsidRPr="00773B45">
                              <w:t>Please indicate the HIV infection rate among women and girls</w:t>
                            </w:r>
                            <w:r w:rsidR="00393849">
                              <w:t>….</w:t>
                            </w:r>
                            <w:r w:rsidRPr="00773B45">
                              <w:t xml:space="preserve"> Please also indicate </w:t>
                            </w:r>
                            <w:r w:rsidRPr="00773B45">
                              <w:rPr>
                                <w:b/>
                                <w:bCs/>
                              </w:rPr>
                              <w:t>whether a gender perspective has been integrated into the existing programmes to combat HIV and other sexually transmitted infections</w:t>
                            </w:r>
                            <w:r>
                              <w:t>.</w:t>
                            </w:r>
                          </w:p>
                          <w:p w14:paraId="5FAC5988" w14:textId="77777777" w:rsidR="0070061B" w:rsidRDefault="0070061B" w:rsidP="002B6636">
                            <w:pPr>
                              <w:shd w:val="clear" w:color="auto" w:fill="DBE5F1" w:themeFill="accent1" w:themeFillTint="33"/>
                              <w:spacing w:line="276" w:lineRule="auto"/>
                            </w:pPr>
                          </w:p>
                          <w:p w14:paraId="1D2BD4BE" w14:textId="7F376D36" w:rsidR="0070061B" w:rsidRDefault="0070061B" w:rsidP="0026087C">
                            <w:pPr>
                              <w:shd w:val="clear" w:color="auto" w:fill="DBE5F1" w:themeFill="accent1" w:themeFillTint="33"/>
                              <w:spacing w:line="276" w:lineRule="auto"/>
                            </w:pPr>
                            <w:r>
                              <w:t xml:space="preserve">23. </w:t>
                            </w:r>
                            <w:r>
                              <w:tab/>
                              <w:t xml:space="preserve">Please provide updated information and data on the human rights situation of women facing intersectional discrimination, including women and girls with disabilities, Canadian women and girls of African descent, indigenous, migrant, refugee, asylum-seeking, lesbian, bisexual and transgender women and girls and intersex persons…. </w:t>
                            </w:r>
                            <w:r w:rsidRPr="009D5F22">
                              <w:rPr>
                                <w:b/>
                                <w:bCs/>
                              </w:rPr>
                              <w:t>Please provide information on the situation and conditions of women in detention, in particular indigenous women</w:t>
                            </w:r>
                            <w:r>
                              <w:t>.</w:t>
                            </w:r>
                          </w:p>
                          <w:p w14:paraId="404D6BC7" w14:textId="77777777" w:rsidR="00E00FCE" w:rsidRDefault="00E00FCE" w:rsidP="0026087C">
                            <w:pPr>
                              <w:shd w:val="clear" w:color="auto" w:fill="DBE5F1" w:themeFill="accent1" w:themeFillTint="33"/>
                              <w:spacing w:line="276" w:lineRule="auto"/>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2F6D30F" id="_x0000_s1028" type="#_x0000_t202" style="position:absolute;left:0;text-align:left;margin-left:0;margin-top:33pt;width:505pt;height:110.6pt;z-index:25165824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" fillcolor="#dbe5f1 [660]">
                <v:textbox style="mso-fit-shape-to-text:t">
                  <w:txbxContent>
                    <w:p w14:paraId="4C95CA1A" w14:textId="0724A194" w:rsidR="0070061B" w:rsidRDefault="0070061B" w:rsidP="002B6636">
                      <w:pPr>
                        <w:shd w:val="clear" w:color="auto" w:fill="DBE5F1" w:themeFill="accent1" w:themeFillTint="33"/>
                        <w:spacing w:line="276" w:lineRule="auto"/>
                      </w:pPr>
                      <w:r>
                        <w:rPr>
                          <w:rFonts w:eastAsia="Arial" w:cs="Arial"/>
                          <w:spacing w:val="3"/>
                          <w:szCs w:val="22"/>
                        </w:rPr>
                        <w:t>In the CEDAW Committee’s “</w:t>
                      </w:r>
                      <w:r w:rsidRPr="00586978">
                        <w:rPr>
                          <w:rFonts w:eastAsia="Arial" w:cs="Arial"/>
                          <w:spacing w:val="3"/>
                          <w:szCs w:val="22"/>
                        </w:rPr>
                        <w:t>List of issues and questions prior to the submission of the tenth periodic report of Canada</w:t>
                      </w:r>
                      <w:r>
                        <w:rPr>
                          <w:rFonts w:eastAsia="Arial" w:cs="Arial"/>
                          <w:spacing w:val="3"/>
                          <w:szCs w:val="22"/>
                        </w:rPr>
                        <w:t>,”</w:t>
                      </w:r>
                      <w:r>
                        <w:t xml:space="preserve"> the Committee ask</w:t>
                      </w:r>
                      <w:r w:rsidR="00393849">
                        <w:t>ed</w:t>
                      </w:r>
                      <w:r>
                        <w:t xml:space="preserve"> of Canada:</w:t>
                      </w:r>
                    </w:p>
                    <w:p w14:paraId="2977252F" w14:textId="77777777" w:rsidR="0070061B" w:rsidRDefault="0070061B" w:rsidP="002B6636">
                      <w:pPr>
                        <w:shd w:val="clear" w:color="auto" w:fill="DBE5F1" w:themeFill="accent1" w:themeFillTint="33"/>
                        <w:spacing w:line="276" w:lineRule="auto"/>
                      </w:pPr>
                    </w:p>
                    <w:p w14:paraId="7FF312FC" w14:textId="68CD3B1A" w:rsidR="0070061B" w:rsidRDefault="0070061B" w:rsidP="002B6636">
                      <w:pPr>
                        <w:shd w:val="clear" w:color="auto" w:fill="DBE5F1" w:themeFill="accent1" w:themeFillTint="33"/>
                        <w:spacing w:line="276" w:lineRule="auto"/>
                      </w:pPr>
                      <w:r>
                        <w:t>22.</w:t>
                      </w:r>
                      <w:r>
                        <w:tab/>
                        <w:t xml:space="preserve">… </w:t>
                      </w:r>
                      <w:r w:rsidRPr="00773B45">
                        <w:t>Please indicate the HIV infection rate among women and girls</w:t>
                      </w:r>
                      <w:r w:rsidR="00393849">
                        <w:t>….</w:t>
                      </w:r>
                      <w:r w:rsidRPr="00773B45">
                        <w:t xml:space="preserve"> Please also indicate </w:t>
                      </w:r>
                      <w:r w:rsidRPr="00773B45">
                        <w:rPr>
                          <w:b/>
                          <w:bCs/>
                        </w:rPr>
                        <w:t>whether a gender perspective has been integrated into the existing programmes to combat HIV and other sexually transmitted infections</w:t>
                      </w:r>
                      <w:r>
                        <w:t>.</w:t>
                      </w:r>
                    </w:p>
                    <w:p w14:paraId="5FAC5988" w14:textId="77777777" w:rsidR="0070061B" w:rsidRDefault="0070061B" w:rsidP="002B6636">
                      <w:pPr>
                        <w:shd w:val="clear" w:color="auto" w:fill="DBE5F1" w:themeFill="accent1" w:themeFillTint="33"/>
                        <w:spacing w:line="276" w:lineRule="auto"/>
                      </w:pPr>
                    </w:p>
                    <w:p w14:paraId="1D2BD4BE" w14:textId="7F376D36" w:rsidR="0070061B" w:rsidRDefault="0070061B" w:rsidP="0026087C">
                      <w:pPr>
                        <w:shd w:val="clear" w:color="auto" w:fill="DBE5F1" w:themeFill="accent1" w:themeFillTint="33"/>
                        <w:spacing w:line="276" w:lineRule="auto"/>
                      </w:pPr>
                      <w:r>
                        <w:t xml:space="preserve">23. </w:t>
                      </w:r>
                      <w:r>
                        <w:tab/>
                        <w:t xml:space="preserve">Please provide updated information and data on the human rights situation of women facing intersectional discrimination, including women and girls with disabilities, Canadian women and girls of African descent, indigenous, migrant, refugee, asylum-seeking, lesbian, bisexual and transgender women and girls and intersex persons…. </w:t>
                      </w:r>
                      <w:r w:rsidRPr="009D5F22">
                        <w:rPr>
                          <w:b/>
                          <w:bCs/>
                        </w:rPr>
                        <w:t>Please provide information on the situation and conditions of women in detention, in particular indigenous women</w:t>
                      </w:r>
                      <w:r>
                        <w:t>.</w:t>
                      </w:r>
                    </w:p>
                    <w:p w14:paraId="404D6BC7" w14:textId="77777777" w:rsidR="00E00FCE" w:rsidRDefault="00E00FCE" w:rsidP="0026087C">
                      <w:pPr>
                        <w:shd w:val="clear" w:color="auto" w:fill="DBE5F1" w:themeFill="accent1" w:themeFillTint="33"/>
                        <w:spacing w:line="276" w:lineRule="auto"/>
                      </w:pPr>
                    </w:p>
                  </w:txbxContent>
                </v:textbox>
                <w10:wrap type="square" anchorx="margin"/>
              </v:shape>
            </w:pict>
          </mc:Fallback>
        </mc:AlternateContent>
      </w:r>
      <w:r w:rsidRPr="005C74A1">
        <w:rPr>
          <w:sz w:val="32"/>
          <w:szCs w:val="32"/>
        </w:rPr>
        <w:t xml:space="preserve">DISADVANTAGED GROUPS OF women </w:t>
      </w:r>
    </w:p>
    <w:p w14:paraId="0D010D0E" w14:textId="77777777" w:rsidR="0070061B" w:rsidRDefault="0070061B" w:rsidP="00967D45">
      <w:pPr>
        <w:ind w:left="426" w:right="-20" w:hanging="426"/>
        <w:jc w:val="both"/>
        <w:rPr>
          <w:rFonts w:eastAsia="Arial" w:cs="Arial"/>
          <w:b/>
          <w:bCs/>
          <w:spacing w:val="-1"/>
        </w:rPr>
      </w:pPr>
    </w:p>
    <w:p w14:paraId="640BDF18" w14:textId="77777777" w:rsidR="005C74A1" w:rsidRPr="008D787E" w:rsidRDefault="005C74A1" w:rsidP="00967D45">
      <w:pPr>
        <w:pStyle w:val="ListParagraph"/>
        <w:numPr>
          <w:ilvl w:val="0"/>
          <w:numId w:val="21"/>
        </w:numPr>
        <w:ind w:left="426" w:hanging="426"/>
        <w:jc w:val="both"/>
        <w:rPr>
          <w:szCs w:val="22"/>
        </w:rPr>
      </w:pPr>
      <w:r w:rsidRPr="008D787E">
        <w:rPr>
          <w:szCs w:val="22"/>
        </w:rPr>
        <w:t>The ongoing impacts of colonialism</w:t>
      </w:r>
      <w:r>
        <w:rPr>
          <w:szCs w:val="22"/>
        </w:rPr>
        <w:t xml:space="preserve"> and</w:t>
      </w:r>
      <w:r w:rsidRPr="00DA335A">
        <w:t xml:space="preserve"> </w:t>
      </w:r>
      <w:r>
        <w:rPr>
          <w:szCs w:val="22"/>
        </w:rPr>
        <w:t xml:space="preserve">a </w:t>
      </w:r>
      <w:r w:rsidRPr="00DA335A">
        <w:rPr>
          <w:szCs w:val="22"/>
        </w:rPr>
        <w:t xml:space="preserve">legacy of racist </w:t>
      </w:r>
      <w:r>
        <w:rPr>
          <w:szCs w:val="22"/>
        </w:rPr>
        <w:t xml:space="preserve">criminal law and </w:t>
      </w:r>
      <w:r w:rsidRPr="00DA335A">
        <w:rPr>
          <w:szCs w:val="22"/>
        </w:rPr>
        <w:t>law enforcement practices has</w:t>
      </w:r>
      <w:r>
        <w:rPr>
          <w:szCs w:val="22"/>
        </w:rPr>
        <w:t xml:space="preserve"> resulted in the mass incarceration of </w:t>
      </w:r>
      <w:r w:rsidRPr="008D787E">
        <w:rPr>
          <w:szCs w:val="22"/>
        </w:rPr>
        <w:t>Indigenous, Black, and other racialized communities in Canada.</w:t>
      </w:r>
      <w:bookmarkStart w:id="5" w:name="_Ref163979133"/>
      <w:r w:rsidRPr="008D787E">
        <w:rPr>
          <w:rStyle w:val="FootnoteReference"/>
          <w:szCs w:val="22"/>
        </w:rPr>
        <w:footnoteReference w:id="62"/>
      </w:r>
      <w:bookmarkEnd w:id="5"/>
      <w:r w:rsidRPr="008D787E">
        <w:rPr>
          <w:szCs w:val="22"/>
        </w:rPr>
        <w:t xml:space="preserve"> In particular, </w:t>
      </w:r>
      <w:r w:rsidRPr="008D787E">
        <w:rPr>
          <w:szCs w:val="22"/>
          <w:lang w:val="en-CA"/>
        </w:rPr>
        <w:t xml:space="preserve">Indigenous and Black women are disproportionately </w:t>
      </w:r>
      <w:r>
        <w:rPr>
          <w:szCs w:val="22"/>
          <w:lang w:val="en-CA"/>
        </w:rPr>
        <w:t>affected</w:t>
      </w:r>
      <w:r w:rsidRPr="008D787E">
        <w:rPr>
          <w:szCs w:val="22"/>
          <w:lang w:val="en-CA"/>
        </w:rPr>
        <w:t xml:space="preserve">. </w:t>
      </w:r>
      <w:r w:rsidRPr="008D787E">
        <w:rPr>
          <w:szCs w:val="22"/>
        </w:rPr>
        <w:t>Indigenous women account for about half of all women in federal prisons</w:t>
      </w:r>
      <w:r>
        <w:rPr>
          <w:szCs w:val="22"/>
        </w:rPr>
        <w:t xml:space="preserve"> (where people serve sentences of 2+ years)</w:t>
      </w:r>
      <w:r w:rsidRPr="008D787E">
        <w:rPr>
          <w:szCs w:val="22"/>
        </w:rPr>
        <w:t>, while representing roughly 4% of Canada’s adult female population,</w:t>
      </w:r>
      <w:r w:rsidRPr="008D787E">
        <w:rPr>
          <w:rStyle w:val="FootnoteReference"/>
          <w:szCs w:val="22"/>
        </w:rPr>
        <w:footnoteReference w:id="63"/>
      </w:r>
      <w:r w:rsidRPr="008D787E">
        <w:rPr>
          <w:szCs w:val="22"/>
        </w:rPr>
        <w:t xml:space="preserve"> and Black women account for </w:t>
      </w:r>
      <w:r>
        <w:rPr>
          <w:szCs w:val="22"/>
        </w:rPr>
        <w:t>(</w:t>
      </w:r>
      <w:r w:rsidRPr="008D787E">
        <w:rPr>
          <w:szCs w:val="22"/>
        </w:rPr>
        <w:t>on average</w:t>
      </w:r>
      <w:r>
        <w:rPr>
          <w:szCs w:val="22"/>
        </w:rPr>
        <w:t>)</w:t>
      </w:r>
      <w:r w:rsidRPr="008D787E">
        <w:rPr>
          <w:szCs w:val="22"/>
        </w:rPr>
        <w:t xml:space="preserve"> 6% of all women in federal prisons, while representing approximately 3% of Canada’s female adult population.</w:t>
      </w:r>
      <w:r w:rsidRPr="008D787E">
        <w:rPr>
          <w:rStyle w:val="FootnoteReference"/>
          <w:szCs w:val="22"/>
        </w:rPr>
        <w:footnoteReference w:id="64"/>
      </w:r>
      <w:r w:rsidRPr="008D787E">
        <w:rPr>
          <w:szCs w:val="22"/>
        </w:rPr>
        <w:t xml:space="preserve"> This overrepresentation is also mirrored </w:t>
      </w:r>
      <w:r>
        <w:rPr>
          <w:szCs w:val="22"/>
        </w:rPr>
        <w:t>in</w:t>
      </w:r>
      <w:r w:rsidRPr="008D787E">
        <w:rPr>
          <w:szCs w:val="22"/>
        </w:rPr>
        <w:t xml:space="preserve"> provincial and territorial </w:t>
      </w:r>
      <w:r>
        <w:rPr>
          <w:szCs w:val="22"/>
        </w:rPr>
        <w:t>prisons</w:t>
      </w:r>
      <w:r w:rsidRPr="008D787E">
        <w:rPr>
          <w:szCs w:val="22"/>
        </w:rPr>
        <w:t>.</w:t>
      </w:r>
      <w:bookmarkStart w:id="6" w:name="_Ref163836383"/>
      <w:r w:rsidRPr="008D787E">
        <w:rPr>
          <w:rStyle w:val="FootnoteReference"/>
          <w:szCs w:val="22"/>
        </w:rPr>
        <w:footnoteReference w:id="65"/>
      </w:r>
      <w:bookmarkEnd w:id="6"/>
      <w:r w:rsidRPr="008D787E">
        <w:rPr>
          <w:szCs w:val="22"/>
        </w:rPr>
        <w:t xml:space="preserve"> </w:t>
      </w:r>
    </w:p>
    <w:p w14:paraId="367A93C1" w14:textId="77777777" w:rsidR="005C74A1" w:rsidRPr="008D787E" w:rsidRDefault="005C74A1" w:rsidP="00967D45">
      <w:pPr>
        <w:pStyle w:val="ListParagraph"/>
        <w:ind w:left="426" w:hanging="426"/>
        <w:rPr>
          <w:szCs w:val="22"/>
        </w:rPr>
      </w:pPr>
    </w:p>
    <w:p w14:paraId="1E4F1F17" w14:textId="07A156BE" w:rsidR="005C74A1" w:rsidRPr="00343BE1" w:rsidRDefault="005C74A1" w:rsidP="00967D45">
      <w:pPr>
        <w:pStyle w:val="BodyText"/>
        <w:numPr>
          <w:ilvl w:val="0"/>
          <w:numId w:val="21"/>
        </w:numPr>
        <w:spacing w:after="0"/>
        <w:ind w:left="426" w:right="113" w:hanging="426"/>
        <w:jc w:val="both"/>
        <w:rPr>
          <w:rFonts w:cs="Arial"/>
          <w:szCs w:val="22"/>
        </w:rPr>
      </w:pPr>
      <w:r w:rsidRPr="00A25FC3">
        <w:rPr>
          <w:rFonts w:cs="Arial"/>
          <w:szCs w:val="22"/>
        </w:rPr>
        <w:t xml:space="preserve">In recent decades, there has also been a substantial increase in the proportion of women </w:t>
      </w:r>
      <w:r>
        <w:rPr>
          <w:rFonts w:cs="Arial"/>
          <w:szCs w:val="22"/>
        </w:rPr>
        <w:t>who are</w:t>
      </w:r>
      <w:r w:rsidRPr="00A25FC3">
        <w:rPr>
          <w:rFonts w:cs="Arial"/>
          <w:szCs w:val="22"/>
        </w:rPr>
        <w:t xml:space="preserve"> </w:t>
      </w:r>
      <w:r>
        <w:rPr>
          <w:rFonts w:cs="Arial"/>
          <w:szCs w:val="22"/>
        </w:rPr>
        <w:t xml:space="preserve">federally incarcerated </w:t>
      </w:r>
      <w:r w:rsidRPr="00A25FC3">
        <w:rPr>
          <w:rFonts w:cs="Arial"/>
          <w:szCs w:val="22"/>
        </w:rPr>
        <w:t>for a drug offence. Whereas only 16% of federally incarcerated women were serving sentences for drug offences in 1981,</w:t>
      </w:r>
      <w:r w:rsidRPr="008D787E">
        <w:rPr>
          <w:rStyle w:val="FootnoteReference"/>
          <w:rFonts w:cs="Arial"/>
          <w:szCs w:val="22"/>
        </w:rPr>
        <w:footnoteReference w:id="66"/>
      </w:r>
      <w:r w:rsidRPr="00A25FC3">
        <w:rPr>
          <w:rFonts w:cs="Arial"/>
          <w:szCs w:val="22"/>
        </w:rPr>
        <w:t xml:space="preserve"> this increased to 28% </w:t>
      </w:r>
      <w:r>
        <w:rPr>
          <w:rFonts w:cs="Arial"/>
          <w:szCs w:val="22"/>
        </w:rPr>
        <w:t xml:space="preserve">in </w:t>
      </w:r>
      <w:r w:rsidRPr="00A25FC3">
        <w:rPr>
          <w:rFonts w:cs="Arial"/>
          <w:szCs w:val="22"/>
        </w:rPr>
        <w:t>2021-2022</w:t>
      </w:r>
      <w:r>
        <w:rPr>
          <w:rFonts w:cs="Arial"/>
          <w:szCs w:val="22"/>
        </w:rPr>
        <w:t xml:space="preserve">; in comparison, </w:t>
      </w:r>
      <w:r w:rsidRPr="00A25FC3">
        <w:rPr>
          <w:rFonts w:cs="Arial"/>
          <w:szCs w:val="22"/>
        </w:rPr>
        <w:t xml:space="preserve">14% </w:t>
      </w:r>
      <w:r>
        <w:rPr>
          <w:rFonts w:cs="Arial"/>
          <w:szCs w:val="22"/>
        </w:rPr>
        <w:t>of federally incarcerated men in 2021-2022 were serving sentences for drug offences</w:t>
      </w:r>
      <w:r w:rsidRPr="00A25FC3">
        <w:rPr>
          <w:rFonts w:cs="Arial"/>
          <w:szCs w:val="22"/>
        </w:rPr>
        <w:t>.</w:t>
      </w:r>
      <w:r w:rsidRPr="008D787E">
        <w:rPr>
          <w:rStyle w:val="FootnoteReference"/>
          <w:rFonts w:cs="Arial"/>
          <w:szCs w:val="22"/>
        </w:rPr>
        <w:footnoteReference w:id="67"/>
      </w:r>
      <w:r w:rsidRPr="00A25FC3">
        <w:rPr>
          <w:rFonts w:cs="Arial"/>
          <w:spacing w:val="33"/>
          <w:position w:val="7"/>
          <w:szCs w:val="22"/>
        </w:rPr>
        <w:t xml:space="preserve"> </w:t>
      </w:r>
      <w:r w:rsidRPr="00A25FC3">
        <w:rPr>
          <w:rFonts w:cs="Arial"/>
          <w:szCs w:val="22"/>
        </w:rPr>
        <w:t>As</w:t>
      </w:r>
      <w:r w:rsidRPr="00A25FC3">
        <w:rPr>
          <w:rFonts w:cs="Arial"/>
          <w:spacing w:val="-3"/>
          <w:szCs w:val="22"/>
        </w:rPr>
        <w:t xml:space="preserve"> </w:t>
      </w:r>
      <w:r w:rsidRPr="00A25FC3">
        <w:rPr>
          <w:rFonts w:cs="Arial"/>
          <w:szCs w:val="22"/>
        </w:rPr>
        <w:t xml:space="preserve">the Correctional Investigator (Canada’s ombudsperson for federal prisons) </w:t>
      </w:r>
      <w:r>
        <w:rPr>
          <w:rFonts w:cs="Arial"/>
          <w:szCs w:val="22"/>
        </w:rPr>
        <w:t xml:space="preserve">has </w:t>
      </w:r>
      <w:r w:rsidRPr="00A25FC3">
        <w:rPr>
          <w:rFonts w:cs="Arial"/>
          <w:szCs w:val="22"/>
        </w:rPr>
        <w:t>noted, federally sentenced women are twice as likely to be serving</w:t>
      </w:r>
      <w:r w:rsidRPr="00A25FC3">
        <w:rPr>
          <w:rFonts w:cs="Arial"/>
          <w:spacing w:val="-4"/>
          <w:szCs w:val="22"/>
        </w:rPr>
        <w:t xml:space="preserve"> </w:t>
      </w:r>
      <w:r w:rsidRPr="00A25FC3">
        <w:rPr>
          <w:rFonts w:cs="Arial"/>
          <w:szCs w:val="22"/>
        </w:rPr>
        <w:t>a</w:t>
      </w:r>
      <w:r w:rsidRPr="00A25FC3">
        <w:rPr>
          <w:rFonts w:cs="Arial"/>
          <w:spacing w:val="-5"/>
          <w:szCs w:val="22"/>
        </w:rPr>
        <w:t xml:space="preserve"> </w:t>
      </w:r>
      <w:r w:rsidRPr="00A25FC3">
        <w:rPr>
          <w:rFonts w:cs="Arial"/>
          <w:szCs w:val="22"/>
        </w:rPr>
        <w:t>sentence</w:t>
      </w:r>
      <w:r w:rsidRPr="00A25FC3">
        <w:rPr>
          <w:rFonts w:cs="Arial"/>
          <w:spacing w:val="-4"/>
          <w:szCs w:val="22"/>
        </w:rPr>
        <w:t xml:space="preserve"> </w:t>
      </w:r>
      <w:r w:rsidRPr="00A25FC3">
        <w:rPr>
          <w:rFonts w:cs="Arial"/>
          <w:szCs w:val="22"/>
        </w:rPr>
        <w:t>for</w:t>
      </w:r>
      <w:r w:rsidRPr="00A25FC3">
        <w:rPr>
          <w:rFonts w:cs="Arial"/>
          <w:spacing w:val="-4"/>
          <w:szCs w:val="22"/>
        </w:rPr>
        <w:t xml:space="preserve"> </w:t>
      </w:r>
      <w:r w:rsidRPr="00A25FC3">
        <w:rPr>
          <w:rFonts w:cs="Arial"/>
          <w:szCs w:val="22"/>
        </w:rPr>
        <w:t>drug-</w:t>
      </w:r>
      <w:r>
        <w:rPr>
          <w:rFonts w:cs="Arial"/>
          <w:szCs w:val="22"/>
        </w:rPr>
        <w:t>related</w:t>
      </w:r>
      <w:r w:rsidRPr="00A25FC3">
        <w:rPr>
          <w:rFonts w:cs="Arial"/>
          <w:spacing w:val="-5"/>
          <w:szCs w:val="22"/>
        </w:rPr>
        <w:t xml:space="preserve"> </w:t>
      </w:r>
      <w:r w:rsidRPr="00A25FC3">
        <w:rPr>
          <w:rFonts w:cs="Arial"/>
          <w:szCs w:val="22"/>
        </w:rPr>
        <w:t>offences</w:t>
      </w:r>
      <w:r w:rsidRPr="00A25FC3">
        <w:rPr>
          <w:rFonts w:cs="Arial"/>
          <w:spacing w:val="-4"/>
          <w:szCs w:val="22"/>
        </w:rPr>
        <w:t xml:space="preserve"> </w:t>
      </w:r>
      <w:r w:rsidRPr="00A25FC3">
        <w:rPr>
          <w:rFonts w:cs="Arial"/>
          <w:szCs w:val="22"/>
        </w:rPr>
        <w:t>as</w:t>
      </w:r>
      <w:r w:rsidRPr="00A25FC3">
        <w:rPr>
          <w:rFonts w:cs="Arial"/>
          <w:spacing w:val="-5"/>
          <w:szCs w:val="22"/>
        </w:rPr>
        <w:t xml:space="preserve"> </w:t>
      </w:r>
      <w:r w:rsidRPr="00A25FC3">
        <w:rPr>
          <w:rFonts w:cs="Arial"/>
          <w:szCs w:val="22"/>
        </w:rPr>
        <w:t>their</w:t>
      </w:r>
      <w:r w:rsidRPr="00A25FC3">
        <w:rPr>
          <w:rFonts w:cs="Arial"/>
          <w:spacing w:val="-4"/>
          <w:szCs w:val="22"/>
        </w:rPr>
        <w:t xml:space="preserve"> </w:t>
      </w:r>
      <w:r w:rsidRPr="00A25FC3">
        <w:rPr>
          <w:rFonts w:cs="Arial"/>
          <w:szCs w:val="22"/>
        </w:rPr>
        <w:t>male</w:t>
      </w:r>
      <w:r w:rsidRPr="00A25FC3">
        <w:rPr>
          <w:rFonts w:cs="Arial"/>
          <w:spacing w:val="-4"/>
          <w:szCs w:val="22"/>
        </w:rPr>
        <w:t xml:space="preserve"> </w:t>
      </w:r>
      <w:r w:rsidRPr="00A25FC3">
        <w:rPr>
          <w:rFonts w:cs="Arial"/>
          <w:szCs w:val="22"/>
        </w:rPr>
        <w:t>counterparts,</w:t>
      </w:r>
      <w:r w:rsidRPr="00A25FC3">
        <w:rPr>
          <w:rFonts w:cs="Arial"/>
          <w:spacing w:val="-5"/>
          <w:szCs w:val="22"/>
        </w:rPr>
        <w:t xml:space="preserve"> </w:t>
      </w:r>
      <w:r w:rsidRPr="00A25FC3">
        <w:rPr>
          <w:rFonts w:cs="Arial"/>
          <w:szCs w:val="22"/>
        </w:rPr>
        <w:t>while</w:t>
      </w:r>
      <w:r w:rsidRPr="00A25FC3">
        <w:rPr>
          <w:rFonts w:cs="Arial"/>
          <w:spacing w:val="-4"/>
          <w:szCs w:val="22"/>
        </w:rPr>
        <w:t xml:space="preserve"> </w:t>
      </w:r>
      <w:r w:rsidRPr="00A25FC3">
        <w:rPr>
          <w:rFonts w:cs="Arial"/>
          <w:szCs w:val="22"/>
        </w:rPr>
        <w:t>Black women are more likely than white women to be in prison for that reason.</w:t>
      </w:r>
      <w:r w:rsidRPr="008D787E">
        <w:rPr>
          <w:rStyle w:val="FootnoteReference"/>
          <w:rFonts w:cs="Arial"/>
          <w:szCs w:val="22"/>
        </w:rPr>
        <w:footnoteReference w:id="68"/>
      </w:r>
      <w:r w:rsidRPr="00A25FC3">
        <w:rPr>
          <w:rFonts w:cs="Arial"/>
          <w:szCs w:val="22"/>
        </w:rPr>
        <w:t xml:space="preserve"> </w:t>
      </w:r>
      <w:r>
        <w:rPr>
          <w:rFonts w:cs="Arial"/>
        </w:rPr>
        <w:t xml:space="preserve">Acknowledging </w:t>
      </w:r>
      <w:r>
        <w:rPr>
          <w:rFonts w:cs="Arial"/>
        </w:rPr>
        <w:lastRenderedPageBreak/>
        <w:t xml:space="preserve">this troubling reality, </w:t>
      </w:r>
      <w:r w:rsidRPr="0072696F">
        <w:rPr>
          <w:rFonts w:cs="Arial"/>
        </w:rPr>
        <w:t xml:space="preserve">the CEDAW Committee </w:t>
      </w:r>
      <w:r>
        <w:rPr>
          <w:rFonts w:cs="Arial"/>
        </w:rPr>
        <w:t xml:space="preserve">has previously </w:t>
      </w:r>
      <w:r w:rsidRPr="0072696F">
        <w:rPr>
          <w:rFonts w:cs="Arial"/>
        </w:rPr>
        <w:t>expressed its concern with the “excessive use of incarceration as a drug-control measure against women</w:t>
      </w:r>
      <w:r w:rsidRPr="2738C79F">
        <w:t>.</w:t>
      </w:r>
      <w:r w:rsidRPr="2738C79F">
        <w:rPr>
          <w:rStyle w:val="FootnoteReference"/>
        </w:rPr>
        <w:footnoteReference w:id="69"/>
      </w:r>
    </w:p>
    <w:p w14:paraId="5542F302" w14:textId="77777777" w:rsidR="00343BE1" w:rsidRPr="00967D45" w:rsidRDefault="00343BE1" w:rsidP="00343BE1">
      <w:pPr>
        <w:pStyle w:val="BodyText"/>
        <w:spacing w:after="0"/>
        <w:ind w:right="113"/>
        <w:jc w:val="both"/>
        <w:rPr>
          <w:rFonts w:cs="Arial"/>
          <w:szCs w:val="22"/>
        </w:rPr>
      </w:pPr>
    </w:p>
    <w:p w14:paraId="302DDB27" w14:textId="693122E2" w:rsidR="005C74A1" w:rsidRPr="00343BE1" w:rsidRDefault="005C74A1" w:rsidP="00967D45">
      <w:pPr>
        <w:pStyle w:val="BodyText"/>
        <w:numPr>
          <w:ilvl w:val="0"/>
          <w:numId w:val="21"/>
        </w:numPr>
        <w:spacing w:after="0"/>
        <w:ind w:left="426" w:right="113" w:hanging="426"/>
        <w:jc w:val="both"/>
        <w:rPr>
          <w:rFonts w:cs="Arial"/>
          <w:szCs w:val="22"/>
        </w:rPr>
      </w:pPr>
      <w:r>
        <w:t>Significant numbers of prisoners also use drugs. In a national survey conducted by the federal correctional</w:t>
      </w:r>
      <w:r>
        <w:rPr>
          <w:spacing w:val="-5"/>
        </w:rPr>
        <w:t xml:space="preserve"> </w:t>
      </w:r>
      <w:r>
        <w:t>service</w:t>
      </w:r>
      <w:r>
        <w:rPr>
          <w:spacing w:val="-4"/>
        </w:rPr>
        <w:t xml:space="preserve"> </w:t>
      </w:r>
      <w:r>
        <w:t>(Correctional</w:t>
      </w:r>
      <w:r>
        <w:rPr>
          <w:spacing w:val="-4"/>
        </w:rPr>
        <w:t xml:space="preserve"> </w:t>
      </w:r>
      <w:r>
        <w:t>Service</w:t>
      </w:r>
      <w:r>
        <w:rPr>
          <w:spacing w:val="-4"/>
        </w:rPr>
        <w:t xml:space="preserve"> </w:t>
      </w:r>
      <w:r>
        <w:t>Canada),</w:t>
      </w:r>
      <w:r>
        <w:rPr>
          <w:spacing w:val="-4"/>
        </w:rPr>
        <w:t xml:space="preserve"> </w:t>
      </w:r>
      <w:r>
        <w:t>34%</w:t>
      </w:r>
      <w:r>
        <w:rPr>
          <w:spacing w:val="-4"/>
        </w:rPr>
        <w:t xml:space="preserve"> </w:t>
      </w:r>
      <w:r>
        <w:t>of</w:t>
      </w:r>
      <w:r>
        <w:rPr>
          <w:spacing w:val="-4"/>
        </w:rPr>
        <w:t xml:space="preserve"> </w:t>
      </w:r>
      <w:r>
        <w:t>men</w:t>
      </w:r>
      <w:r>
        <w:rPr>
          <w:spacing w:val="-4"/>
        </w:rPr>
        <w:t xml:space="preserve"> </w:t>
      </w:r>
      <w:r>
        <w:t>and</w:t>
      </w:r>
      <w:r>
        <w:rPr>
          <w:spacing w:val="-4"/>
        </w:rPr>
        <w:t xml:space="preserve"> </w:t>
      </w:r>
      <w:r>
        <w:t>25%</w:t>
      </w:r>
      <w:r>
        <w:rPr>
          <w:spacing w:val="-4"/>
        </w:rPr>
        <w:t xml:space="preserve"> </w:t>
      </w:r>
      <w:r>
        <w:t>of</w:t>
      </w:r>
      <w:r>
        <w:rPr>
          <w:spacing w:val="-4"/>
        </w:rPr>
        <w:t xml:space="preserve"> </w:t>
      </w:r>
      <w:r>
        <w:t>women</w:t>
      </w:r>
      <w:r>
        <w:rPr>
          <w:spacing w:val="-3"/>
        </w:rPr>
        <w:t xml:space="preserve"> </w:t>
      </w:r>
      <w:r>
        <w:t>reported using non-injection drugs during the</w:t>
      </w:r>
      <w:r>
        <w:rPr>
          <w:spacing w:val="-1"/>
        </w:rPr>
        <w:t xml:space="preserve"> </w:t>
      </w:r>
      <w:r>
        <w:t>past six</w:t>
      </w:r>
      <w:r>
        <w:rPr>
          <w:spacing w:val="-1"/>
        </w:rPr>
        <w:t xml:space="preserve"> </w:t>
      </w:r>
      <w:r>
        <w:t>months in prison, while 17% of men and 14% of women reported injecting drugs.</w:t>
      </w:r>
      <w:r>
        <w:rPr>
          <w:rStyle w:val="FootnoteReference"/>
        </w:rPr>
        <w:footnoteReference w:id="70"/>
      </w:r>
      <w:r>
        <w:rPr>
          <w:spacing w:val="34"/>
          <w:position w:val="7"/>
          <w:sz w:val="14"/>
        </w:rPr>
        <w:t xml:space="preserve"> </w:t>
      </w:r>
      <w:r>
        <w:t xml:space="preserve">Other studies have revealed high rates of syringe-sharing among people who </w:t>
      </w:r>
      <w:r w:rsidRPr="00BC4E24">
        <w:rPr>
          <w:rFonts w:cs="Arial"/>
        </w:rPr>
        <w:t>use drugs in Canada’s prisons, due to the lack of sterile injection equipment</w:t>
      </w:r>
      <w:r w:rsidR="00C43D9F">
        <w:rPr>
          <w:rFonts w:cs="Arial"/>
        </w:rPr>
        <w:t xml:space="preserve"> in prisons</w:t>
      </w:r>
      <w:r w:rsidRPr="00BC4E24">
        <w:rPr>
          <w:rFonts w:cs="Arial"/>
        </w:rPr>
        <w:t>.</w:t>
      </w:r>
      <w:r w:rsidRPr="00BC4E24">
        <w:rPr>
          <w:rStyle w:val="FootnoteReference"/>
          <w:rFonts w:cs="Arial"/>
        </w:rPr>
        <w:footnoteReference w:id="71"/>
      </w:r>
      <w:r w:rsidRPr="00BC4E24">
        <w:rPr>
          <w:rFonts w:cs="Arial"/>
          <w:spacing w:val="34"/>
          <w:position w:val="7"/>
          <w:sz w:val="14"/>
        </w:rPr>
        <w:t xml:space="preserve"> </w:t>
      </w:r>
      <w:r w:rsidRPr="00BC4E24">
        <w:rPr>
          <w:rFonts w:cs="Arial"/>
        </w:rPr>
        <w:t>An increasing number of people in prison are also dying from preventable overdoses.</w:t>
      </w:r>
      <w:r w:rsidRPr="00BC4E24">
        <w:rPr>
          <w:rStyle w:val="FootnoteReference"/>
          <w:rFonts w:eastAsia="Hiragino Kaku Gothic Pro W3" w:cs="Arial"/>
        </w:rPr>
        <w:footnoteReference w:id="72"/>
      </w:r>
      <w:r w:rsidRPr="00BC4E24">
        <w:rPr>
          <w:rFonts w:cs="Arial"/>
        </w:rPr>
        <w:t xml:space="preserve"> </w:t>
      </w:r>
    </w:p>
    <w:p w14:paraId="11755C3C" w14:textId="77777777" w:rsidR="00343BE1" w:rsidRPr="00967D45" w:rsidRDefault="00343BE1" w:rsidP="00343BE1">
      <w:pPr>
        <w:pStyle w:val="BodyText"/>
        <w:spacing w:after="0"/>
        <w:ind w:right="113"/>
        <w:jc w:val="both"/>
        <w:rPr>
          <w:rFonts w:cs="Arial"/>
          <w:szCs w:val="22"/>
        </w:rPr>
      </w:pPr>
    </w:p>
    <w:p w14:paraId="46423175" w14:textId="5CBC9123" w:rsidR="005C74A1" w:rsidRPr="00967D45" w:rsidRDefault="005C74A1" w:rsidP="00967D45">
      <w:pPr>
        <w:pStyle w:val="BodyText"/>
        <w:numPr>
          <w:ilvl w:val="0"/>
          <w:numId w:val="21"/>
        </w:numPr>
        <w:spacing w:after="0"/>
        <w:ind w:left="426" w:right="113" w:hanging="426"/>
        <w:jc w:val="both"/>
        <w:rPr>
          <w:rFonts w:cs="Arial"/>
          <w:szCs w:val="22"/>
        </w:rPr>
      </w:pPr>
      <w:r>
        <w:t>Unsurprisingly, research shows that the incarceration of people who inject drugs is a factor driving Canada’s HIV and HCV epidemics</w:t>
      </w:r>
      <w:r w:rsidRPr="00B417AC">
        <w:t>.</w:t>
      </w:r>
      <w:r w:rsidRPr="00B417AC">
        <w:rPr>
          <w:rStyle w:val="FootnoteReference"/>
          <w:rFonts w:cs="Arial"/>
        </w:rPr>
        <w:footnoteReference w:id="73"/>
      </w:r>
      <w:r w:rsidRPr="00A44714">
        <w:rPr>
          <w:szCs w:val="22"/>
        </w:rPr>
        <w:t xml:space="preserve"> </w:t>
      </w:r>
      <w:r w:rsidRPr="00B417AC">
        <w:t>In prison, the risk of STBBI transmission increases, as people are barred from necessary health and harm reduction services</w:t>
      </w:r>
      <w:r>
        <w:t xml:space="preserve">, leading </w:t>
      </w:r>
      <w:r w:rsidRPr="00B417AC">
        <w:t>to higher rates of HIV and HCV in prison compared to the</w:t>
      </w:r>
      <w:r w:rsidR="00AB08CF">
        <w:t xml:space="preserve"> broader</w:t>
      </w:r>
      <w:r w:rsidRPr="00B417AC">
        <w:t xml:space="preserve"> community</w:t>
      </w:r>
      <w:r>
        <w:t>.</w:t>
      </w:r>
      <w:r w:rsidRPr="00B417AC">
        <w:t xml:space="preserve"> A 2016 study indicated that about 30% of women (compared to 15% of men) in provincial prisons are living with HCV, and 1–9% of women (compared to 1–2% of men) are living with HIV.</w:t>
      </w:r>
      <w:r w:rsidRPr="00B417AC">
        <w:rPr>
          <w:rStyle w:val="FootnoteReference"/>
          <w:rFonts w:cs="Arial"/>
        </w:rPr>
        <w:footnoteReference w:id="74"/>
      </w:r>
      <w:r w:rsidRPr="00B417AC">
        <w:t xml:space="preserve"> </w:t>
      </w:r>
      <w:r>
        <w:t>Similarly, a</w:t>
      </w:r>
      <w:r w:rsidRPr="009C0499">
        <w:t xml:space="preserve"> larger proportion of </w:t>
      </w:r>
      <w:r>
        <w:t>women than men in federal prisons are living with HIV and HCV,</w:t>
      </w:r>
      <w:r>
        <w:rPr>
          <w:rStyle w:val="FootnoteReference"/>
        </w:rPr>
        <w:footnoteReference w:id="75"/>
      </w:r>
      <w:r>
        <w:t xml:space="preserve"> with highest reported prevalence amongst f</w:t>
      </w:r>
      <w:r w:rsidRPr="00B417AC">
        <w:t>ederally incarcerated Indigenous women.</w:t>
      </w:r>
      <w:r w:rsidRPr="00B417AC">
        <w:rPr>
          <w:rStyle w:val="FootnoteReference"/>
          <w:rFonts w:cs="Arial"/>
        </w:rPr>
        <w:footnoteReference w:id="76"/>
      </w:r>
      <w:r w:rsidRPr="00B417AC">
        <w:t xml:space="preserve"> </w:t>
      </w:r>
    </w:p>
    <w:p w14:paraId="2024025C" w14:textId="77777777" w:rsidR="00343BE1" w:rsidRPr="00343BE1" w:rsidRDefault="00343BE1" w:rsidP="00343BE1">
      <w:pPr>
        <w:pStyle w:val="BodyText"/>
        <w:spacing w:after="0"/>
        <w:ind w:left="426" w:right="113"/>
        <w:jc w:val="both"/>
        <w:rPr>
          <w:rFonts w:cs="Arial"/>
          <w:szCs w:val="22"/>
        </w:rPr>
      </w:pPr>
    </w:p>
    <w:p w14:paraId="0E341BE3" w14:textId="5F8C3040" w:rsidR="005C74A1" w:rsidRPr="00967D45" w:rsidRDefault="005C74A1" w:rsidP="00967D45">
      <w:pPr>
        <w:pStyle w:val="BodyText"/>
        <w:numPr>
          <w:ilvl w:val="0"/>
          <w:numId w:val="21"/>
        </w:numPr>
        <w:spacing w:after="0"/>
        <w:ind w:left="426" w:right="113" w:hanging="426"/>
        <w:jc w:val="both"/>
        <w:rPr>
          <w:rFonts w:cs="Arial"/>
          <w:szCs w:val="22"/>
        </w:rPr>
      </w:pPr>
      <w:r>
        <w:t xml:space="preserve">Despite this, Canada </w:t>
      </w:r>
      <w:r w:rsidRPr="0072696F">
        <w:rPr>
          <w:rFonts w:cs="Arial"/>
        </w:rPr>
        <w:t>does not provide prisoners with access to key harm reduction measures,</w:t>
      </w:r>
      <w:r w:rsidRPr="0072696F">
        <w:rPr>
          <w:rStyle w:val="FootnoteReference"/>
          <w:rFonts w:cs="Arial"/>
        </w:rPr>
        <w:footnoteReference w:id="77"/>
      </w:r>
      <w:r w:rsidRPr="0072696F">
        <w:rPr>
          <w:rFonts w:cs="Arial"/>
        </w:rPr>
        <w:t xml:space="preserve"> violating their rights to health, equality, and non-discrimination. </w:t>
      </w:r>
      <w:r>
        <w:t xml:space="preserve">As the </w:t>
      </w:r>
      <w:r>
        <w:rPr>
          <w:i/>
          <w:iCs/>
        </w:rPr>
        <w:t>UN</w:t>
      </w:r>
      <w:r w:rsidRPr="0072696F">
        <w:rPr>
          <w:i/>
          <w:iCs/>
        </w:rPr>
        <w:t xml:space="preserve"> Standard Minimum Rules for the Treatment of Prisoners</w:t>
      </w:r>
      <w:r>
        <w:t xml:space="preserve"> (Nelson Mandela Rules) and </w:t>
      </w:r>
      <w:r w:rsidRPr="0072696F">
        <w:rPr>
          <w:iCs/>
          <w:szCs w:val="22"/>
        </w:rPr>
        <w:t xml:space="preserve">the </w:t>
      </w:r>
      <w:r>
        <w:rPr>
          <w:i/>
          <w:szCs w:val="22"/>
        </w:rPr>
        <w:t>UN</w:t>
      </w:r>
      <w:r w:rsidRPr="0072696F">
        <w:rPr>
          <w:i/>
          <w:spacing w:val="-3"/>
          <w:szCs w:val="22"/>
        </w:rPr>
        <w:t xml:space="preserve"> </w:t>
      </w:r>
      <w:r w:rsidRPr="0072696F">
        <w:rPr>
          <w:i/>
          <w:szCs w:val="22"/>
        </w:rPr>
        <w:t>Rules</w:t>
      </w:r>
      <w:r w:rsidRPr="0072696F">
        <w:rPr>
          <w:i/>
          <w:spacing w:val="-3"/>
          <w:szCs w:val="22"/>
        </w:rPr>
        <w:t xml:space="preserve"> </w:t>
      </w:r>
      <w:r w:rsidRPr="0072696F">
        <w:rPr>
          <w:i/>
          <w:szCs w:val="22"/>
        </w:rPr>
        <w:t>for</w:t>
      </w:r>
      <w:r w:rsidRPr="0072696F">
        <w:rPr>
          <w:i/>
          <w:spacing w:val="-3"/>
          <w:szCs w:val="22"/>
        </w:rPr>
        <w:t xml:space="preserve"> </w:t>
      </w:r>
      <w:r w:rsidRPr="0072696F">
        <w:rPr>
          <w:i/>
          <w:szCs w:val="22"/>
        </w:rPr>
        <w:t>the</w:t>
      </w:r>
      <w:r w:rsidRPr="0072696F">
        <w:rPr>
          <w:i/>
          <w:spacing w:val="-3"/>
          <w:szCs w:val="22"/>
        </w:rPr>
        <w:t xml:space="preserve"> </w:t>
      </w:r>
      <w:r w:rsidRPr="0072696F">
        <w:rPr>
          <w:i/>
          <w:szCs w:val="22"/>
        </w:rPr>
        <w:t>Treatment</w:t>
      </w:r>
      <w:r w:rsidRPr="0072696F">
        <w:rPr>
          <w:i/>
          <w:spacing w:val="-3"/>
          <w:szCs w:val="22"/>
        </w:rPr>
        <w:t xml:space="preserve"> </w:t>
      </w:r>
      <w:r w:rsidRPr="0072696F">
        <w:rPr>
          <w:i/>
          <w:szCs w:val="22"/>
        </w:rPr>
        <w:t>of</w:t>
      </w:r>
      <w:r w:rsidRPr="0072696F">
        <w:rPr>
          <w:i/>
          <w:spacing w:val="-3"/>
          <w:szCs w:val="22"/>
        </w:rPr>
        <w:t xml:space="preserve"> </w:t>
      </w:r>
      <w:r w:rsidRPr="0072696F">
        <w:rPr>
          <w:i/>
          <w:szCs w:val="22"/>
        </w:rPr>
        <w:t>Women</w:t>
      </w:r>
      <w:r w:rsidRPr="0072696F">
        <w:rPr>
          <w:i/>
          <w:spacing w:val="-4"/>
          <w:szCs w:val="22"/>
        </w:rPr>
        <w:t xml:space="preserve"> </w:t>
      </w:r>
      <w:r w:rsidRPr="0072696F">
        <w:rPr>
          <w:i/>
          <w:szCs w:val="22"/>
        </w:rPr>
        <w:t>Prisoners</w:t>
      </w:r>
      <w:r w:rsidRPr="0072696F">
        <w:rPr>
          <w:i/>
          <w:spacing w:val="-3"/>
          <w:szCs w:val="22"/>
        </w:rPr>
        <w:t xml:space="preserve"> </w:t>
      </w:r>
      <w:r w:rsidRPr="0072696F">
        <w:rPr>
          <w:i/>
          <w:szCs w:val="22"/>
        </w:rPr>
        <w:t>and</w:t>
      </w:r>
      <w:r w:rsidRPr="0072696F">
        <w:rPr>
          <w:i/>
          <w:spacing w:val="-3"/>
          <w:szCs w:val="22"/>
        </w:rPr>
        <w:t xml:space="preserve"> </w:t>
      </w:r>
      <w:r w:rsidRPr="0072696F">
        <w:rPr>
          <w:i/>
          <w:szCs w:val="22"/>
        </w:rPr>
        <w:t>Non-custodial</w:t>
      </w:r>
      <w:r w:rsidRPr="0072696F">
        <w:rPr>
          <w:i/>
          <w:spacing w:val="-3"/>
          <w:szCs w:val="22"/>
        </w:rPr>
        <w:t xml:space="preserve"> </w:t>
      </w:r>
      <w:r w:rsidRPr="0072696F">
        <w:rPr>
          <w:i/>
          <w:szCs w:val="22"/>
        </w:rPr>
        <w:t>Measures</w:t>
      </w:r>
      <w:r w:rsidRPr="0072696F">
        <w:rPr>
          <w:i/>
          <w:spacing w:val="-3"/>
          <w:szCs w:val="22"/>
        </w:rPr>
        <w:t xml:space="preserve"> </w:t>
      </w:r>
      <w:r w:rsidRPr="0072696F">
        <w:rPr>
          <w:i/>
          <w:szCs w:val="22"/>
        </w:rPr>
        <w:t>for Women Offenders</w:t>
      </w:r>
      <w:r w:rsidRPr="0072696F">
        <w:rPr>
          <w:szCs w:val="22"/>
        </w:rPr>
        <w:t xml:space="preserve"> recommend, incarcerated women </w:t>
      </w:r>
      <w:r>
        <w:t>must enjoy the same standards of healthcare</w:t>
      </w:r>
      <w:r w:rsidRPr="0072696F">
        <w:rPr>
          <w:spacing w:val="-3"/>
        </w:rPr>
        <w:t xml:space="preserve"> </w:t>
      </w:r>
      <w:r>
        <w:t>that</w:t>
      </w:r>
      <w:r w:rsidRPr="0072696F">
        <w:rPr>
          <w:spacing w:val="-3"/>
        </w:rPr>
        <w:t xml:space="preserve"> </w:t>
      </w:r>
      <w:r>
        <w:t>are</w:t>
      </w:r>
      <w:r w:rsidRPr="0072696F">
        <w:rPr>
          <w:spacing w:val="-3"/>
        </w:rPr>
        <w:t xml:space="preserve"> </w:t>
      </w:r>
      <w:r>
        <w:t>available</w:t>
      </w:r>
      <w:r w:rsidRPr="0072696F">
        <w:rPr>
          <w:spacing w:val="-4"/>
        </w:rPr>
        <w:t xml:space="preserve"> </w:t>
      </w:r>
      <w:r>
        <w:t>in</w:t>
      </w:r>
      <w:r w:rsidRPr="0072696F">
        <w:rPr>
          <w:spacing w:val="-3"/>
        </w:rPr>
        <w:t xml:space="preserve"> </w:t>
      </w:r>
      <w:r>
        <w:t>the</w:t>
      </w:r>
      <w:r w:rsidRPr="0072696F">
        <w:rPr>
          <w:spacing w:val="-3"/>
        </w:rPr>
        <w:t xml:space="preserve"> </w:t>
      </w:r>
      <w:r>
        <w:t>community,</w:t>
      </w:r>
      <w:r>
        <w:rPr>
          <w:rStyle w:val="FootnoteReference"/>
        </w:rPr>
        <w:footnoteReference w:id="78"/>
      </w:r>
      <w:r w:rsidRPr="0072696F">
        <w:rPr>
          <w:spacing w:val="19"/>
          <w:position w:val="7"/>
          <w:sz w:val="14"/>
        </w:rPr>
        <w:t xml:space="preserve"> </w:t>
      </w:r>
      <w:r>
        <w:t>including</w:t>
      </w:r>
      <w:r w:rsidRPr="0072696F">
        <w:rPr>
          <w:spacing w:val="-3"/>
        </w:rPr>
        <w:t xml:space="preserve"> </w:t>
      </w:r>
      <w:r w:rsidRPr="0072696F">
        <w:rPr>
          <w:szCs w:val="22"/>
        </w:rPr>
        <w:t>access to gender-specific healthcare.</w:t>
      </w:r>
      <w:r w:rsidRPr="001A03EB">
        <w:rPr>
          <w:rStyle w:val="FootnoteReference"/>
          <w:szCs w:val="22"/>
        </w:rPr>
        <w:footnoteReference w:id="79"/>
      </w:r>
      <w:r w:rsidRPr="0072696F">
        <w:rPr>
          <w:spacing w:val="40"/>
          <w:position w:val="7"/>
          <w:szCs w:val="22"/>
        </w:rPr>
        <w:t xml:space="preserve"> </w:t>
      </w:r>
      <w:r w:rsidRPr="0072696F">
        <w:rPr>
          <w:rFonts w:cs="Arial"/>
          <w:szCs w:val="22"/>
        </w:rPr>
        <w:t xml:space="preserve">This </w:t>
      </w:r>
      <w:r w:rsidRPr="0072696F">
        <w:rPr>
          <w:rFonts w:cs="Arial"/>
          <w:szCs w:val="22"/>
        </w:rPr>
        <w:lastRenderedPageBreak/>
        <w:t xml:space="preserve">includes </w:t>
      </w:r>
      <w:r>
        <w:t>key</w:t>
      </w:r>
      <w:r w:rsidRPr="0072696F">
        <w:rPr>
          <w:spacing w:val="-3"/>
        </w:rPr>
        <w:t xml:space="preserve"> </w:t>
      </w:r>
      <w:r>
        <w:t>interventions</w:t>
      </w:r>
      <w:r w:rsidRPr="0072696F">
        <w:rPr>
          <w:spacing w:val="-2"/>
        </w:rPr>
        <w:t xml:space="preserve"> </w:t>
      </w:r>
      <w:r>
        <w:t>recommended</w:t>
      </w:r>
      <w:r w:rsidRPr="0072696F">
        <w:rPr>
          <w:spacing w:val="-2"/>
        </w:rPr>
        <w:t xml:space="preserve"> </w:t>
      </w:r>
      <w:r>
        <w:t>by</w:t>
      </w:r>
      <w:r w:rsidRPr="0072696F">
        <w:rPr>
          <w:spacing w:val="-2"/>
        </w:rPr>
        <w:t xml:space="preserve"> </w:t>
      </w:r>
      <w:r>
        <w:t xml:space="preserve">the UNODC, UNAIDS, and WHO such as sterile needle and syringe programs, safer sex supplies, </w:t>
      </w:r>
      <w:bookmarkStart w:id="8" w:name="_Hlk175915013"/>
      <w:r w:rsidRPr="0072696F">
        <w:rPr>
          <w:rFonts w:eastAsia="Arial"/>
        </w:rPr>
        <w:t>p</w:t>
      </w:r>
      <w:r w:rsidRPr="0072696F">
        <w:rPr>
          <w:rFonts w:eastAsia="Arial"/>
          <w:spacing w:val="1"/>
        </w:rPr>
        <w:t>r</w:t>
      </w:r>
      <w:r w:rsidRPr="0072696F">
        <w:rPr>
          <w:rFonts w:eastAsia="Arial"/>
          <w:spacing w:val="-3"/>
        </w:rPr>
        <w:t>o</w:t>
      </w:r>
      <w:r w:rsidRPr="0072696F">
        <w:rPr>
          <w:rFonts w:eastAsia="Arial"/>
        </w:rPr>
        <w:t>g</w:t>
      </w:r>
      <w:r w:rsidRPr="0072696F">
        <w:rPr>
          <w:rFonts w:eastAsia="Arial"/>
          <w:spacing w:val="1"/>
        </w:rPr>
        <w:t>r</w:t>
      </w:r>
      <w:r w:rsidRPr="0072696F">
        <w:rPr>
          <w:rFonts w:eastAsia="Arial"/>
        </w:rPr>
        <w:t>a</w:t>
      </w:r>
      <w:r w:rsidRPr="0072696F">
        <w:rPr>
          <w:rFonts w:eastAsia="Arial"/>
          <w:spacing w:val="1"/>
        </w:rPr>
        <w:t>m</w:t>
      </w:r>
      <w:r w:rsidRPr="0072696F">
        <w:rPr>
          <w:rFonts w:eastAsia="Arial"/>
        </w:rPr>
        <w:t>s</w:t>
      </w:r>
      <w:r w:rsidRPr="0072696F">
        <w:rPr>
          <w:rFonts w:eastAsia="Arial"/>
          <w:spacing w:val="-1"/>
        </w:rPr>
        <w:t xml:space="preserve"> </w:t>
      </w:r>
      <w:r w:rsidRPr="0072696F">
        <w:rPr>
          <w:rFonts w:eastAsia="Arial"/>
          <w:spacing w:val="1"/>
        </w:rPr>
        <w:t>t</w:t>
      </w:r>
      <w:r w:rsidRPr="0072696F">
        <w:rPr>
          <w:rFonts w:eastAsia="Arial"/>
        </w:rPr>
        <w:t>o</w:t>
      </w:r>
      <w:r w:rsidRPr="0072696F">
        <w:rPr>
          <w:rFonts w:eastAsia="Arial"/>
          <w:spacing w:val="-2"/>
        </w:rPr>
        <w:t xml:space="preserve"> </w:t>
      </w:r>
      <w:r w:rsidRPr="0072696F">
        <w:rPr>
          <w:rFonts w:eastAsia="Arial"/>
        </w:rPr>
        <w:t>add</w:t>
      </w:r>
      <w:r w:rsidRPr="0072696F">
        <w:rPr>
          <w:rFonts w:eastAsia="Arial"/>
          <w:spacing w:val="1"/>
        </w:rPr>
        <w:t>r</w:t>
      </w:r>
      <w:r w:rsidRPr="0072696F">
        <w:rPr>
          <w:rFonts w:eastAsia="Arial"/>
          <w:spacing w:val="-3"/>
        </w:rPr>
        <w:t>e</w:t>
      </w:r>
      <w:r w:rsidRPr="0072696F">
        <w:rPr>
          <w:rFonts w:eastAsia="Arial"/>
        </w:rPr>
        <w:t>ss</w:t>
      </w:r>
      <w:r w:rsidRPr="0072696F">
        <w:rPr>
          <w:rFonts w:eastAsia="Arial"/>
          <w:spacing w:val="-1"/>
        </w:rPr>
        <w:t xml:space="preserve"> </w:t>
      </w:r>
      <w:r w:rsidRPr="0072696F">
        <w:rPr>
          <w:rFonts w:eastAsia="Arial"/>
          <w:spacing w:val="1"/>
        </w:rPr>
        <w:t>t</w:t>
      </w:r>
      <w:r w:rsidRPr="0072696F">
        <w:rPr>
          <w:rFonts w:eastAsia="Arial"/>
        </w:rPr>
        <w:t>a</w:t>
      </w:r>
      <w:r w:rsidRPr="0072696F">
        <w:rPr>
          <w:rFonts w:eastAsia="Arial"/>
          <w:spacing w:val="-1"/>
        </w:rPr>
        <w:t>tt</w:t>
      </w:r>
      <w:r w:rsidRPr="0072696F">
        <w:rPr>
          <w:rFonts w:eastAsia="Arial"/>
        </w:rPr>
        <w:t>oo</w:t>
      </w:r>
      <w:r w:rsidRPr="0072696F">
        <w:rPr>
          <w:rFonts w:eastAsia="Arial"/>
          <w:spacing w:val="-1"/>
        </w:rPr>
        <w:t>i</w:t>
      </w:r>
      <w:r w:rsidRPr="0072696F">
        <w:rPr>
          <w:rFonts w:eastAsia="Arial"/>
        </w:rPr>
        <w:t>n</w:t>
      </w:r>
      <w:r w:rsidRPr="0072696F">
        <w:rPr>
          <w:rFonts w:eastAsia="Arial"/>
          <w:spacing w:val="2"/>
        </w:rPr>
        <w:t>g</w:t>
      </w:r>
      <w:r w:rsidRPr="0072696F">
        <w:rPr>
          <w:rFonts w:eastAsia="Arial"/>
        </w:rPr>
        <w:t>, p</w:t>
      </w:r>
      <w:r w:rsidRPr="0072696F">
        <w:rPr>
          <w:rFonts w:eastAsia="Arial"/>
          <w:spacing w:val="-1"/>
        </w:rPr>
        <w:t>i</w:t>
      </w:r>
      <w:r w:rsidRPr="0072696F">
        <w:rPr>
          <w:rFonts w:eastAsia="Arial"/>
        </w:rPr>
        <w:t>e</w:t>
      </w:r>
      <w:r w:rsidRPr="0072696F">
        <w:rPr>
          <w:rFonts w:eastAsia="Arial"/>
          <w:spacing w:val="1"/>
        </w:rPr>
        <w:t>r</w:t>
      </w:r>
      <w:r w:rsidRPr="0072696F">
        <w:rPr>
          <w:rFonts w:eastAsia="Arial"/>
        </w:rPr>
        <w:t>c</w:t>
      </w:r>
      <w:r w:rsidRPr="0072696F">
        <w:rPr>
          <w:rFonts w:eastAsia="Arial"/>
          <w:spacing w:val="-1"/>
        </w:rPr>
        <w:t>i</w:t>
      </w:r>
      <w:r w:rsidRPr="0072696F">
        <w:rPr>
          <w:rFonts w:eastAsia="Arial"/>
          <w:spacing w:val="-3"/>
        </w:rPr>
        <w:t>n</w:t>
      </w:r>
      <w:r w:rsidRPr="0072696F">
        <w:rPr>
          <w:rFonts w:eastAsia="Arial"/>
        </w:rPr>
        <w:t>g</w:t>
      </w:r>
      <w:r w:rsidRPr="0072696F">
        <w:rPr>
          <w:rFonts w:eastAsia="Arial"/>
          <w:spacing w:val="3"/>
        </w:rPr>
        <w:t xml:space="preserve"> </w:t>
      </w:r>
      <w:r w:rsidRPr="0072696F">
        <w:rPr>
          <w:rFonts w:eastAsia="Arial"/>
        </w:rPr>
        <w:t>and</w:t>
      </w:r>
      <w:r w:rsidRPr="0072696F">
        <w:rPr>
          <w:rFonts w:eastAsia="Arial"/>
          <w:spacing w:val="-2"/>
        </w:rPr>
        <w:t xml:space="preserve"> </w:t>
      </w:r>
      <w:r w:rsidRPr="0072696F">
        <w:rPr>
          <w:rFonts w:eastAsia="Arial"/>
        </w:rPr>
        <w:t>o</w:t>
      </w:r>
      <w:r w:rsidRPr="0072696F">
        <w:rPr>
          <w:rFonts w:eastAsia="Arial"/>
          <w:spacing w:val="1"/>
        </w:rPr>
        <w:t>t</w:t>
      </w:r>
      <w:r w:rsidRPr="0072696F">
        <w:rPr>
          <w:rFonts w:eastAsia="Arial"/>
        </w:rPr>
        <w:t>h</w:t>
      </w:r>
      <w:r w:rsidRPr="0072696F">
        <w:rPr>
          <w:rFonts w:eastAsia="Arial"/>
          <w:spacing w:val="-3"/>
        </w:rPr>
        <w:t>e</w:t>
      </w:r>
      <w:r w:rsidRPr="0072696F">
        <w:rPr>
          <w:rFonts w:eastAsia="Arial"/>
        </w:rPr>
        <w:t>r</w:t>
      </w:r>
      <w:r w:rsidRPr="0072696F">
        <w:rPr>
          <w:rFonts w:eastAsia="Arial"/>
          <w:spacing w:val="-3"/>
        </w:rPr>
        <w:t xml:space="preserve"> </w:t>
      </w:r>
      <w:r w:rsidRPr="0072696F">
        <w:rPr>
          <w:rFonts w:eastAsia="Arial"/>
          <w:spacing w:val="3"/>
        </w:rPr>
        <w:t>f</w:t>
      </w:r>
      <w:r w:rsidRPr="0072696F">
        <w:rPr>
          <w:rFonts w:eastAsia="Arial"/>
          <w:spacing w:val="-3"/>
        </w:rPr>
        <w:t>o</w:t>
      </w:r>
      <w:r w:rsidRPr="0072696F">
        <w:rPr>
          <w:rFonts w:eastAsia="Arial"/>
          <w:spacing w:val="1"/>
        </w:rPr>
        <w:t>rm</w:t>
      </w:r>
      <w:r w:rsidRPr="0072696F">
        <w:rPr>
          <w:rFonts w:eastAsia="Arial"/>
        </w:rPr>
        <w:t>s</w:t>
      </w:r>
      <w:r w:rsidRPr="0072696F">
        <w:rPr>
          <w:rFonts w:eastAsia="Arial"/>
          <w:spacing w:val="-1"/>
        </w:rPr>
        <w:t xml:space="preserve"> </w:t>
      </w:r>
      <w:r w:rsidRPr="0072696F">
        <w:rPr>
          <w:rFonts w:eastAsia="Arial"/>
          <w:spacing w:val="-3"/>
        </w:rPr>
        <w:t>o</w:t>
      </w:r>
      <w:r w:rsidRPr="0072696F">
        <w:rPr>
          <w:rFonts w:eastAsia="Arial"/>
        </w:rPr>
        <w:t>f</w:t>
      </w:r>
      <w:r w:rsidRPr="0072696F">
        <w:rPr>
          <w:rFonts w:eastAsia="Arial"/>
          <w:spacing w:val="2"/>
        </w:rPr>
        <w:t xml:space="preserve"> </w:t>
      </w:r>
      <w:r w:rsidRPr="0072696F">
        <w:rPr>
          <w:rFonts w:eastAsia="Arial"/>
          <w:spacing w:val="-2"/>
        </w:rPr>
        <w:t>s</w:t>
      </w:r>
      <w:r w:rsidRPr="0072696F">
        <w:rPr>
          <w:rFonts w:eastAsia="Arial"/>
          <w:spacing w:val="2"/>
        </w:rPr>
        <w:t>k</w:t>
      </w:r>
      <w:r w:rsidRPr="0072696F">
        <w:rPr>
          <w:rFonts w:eastAsia="Arial"/>
          <w:spacing w:val="-1"/>
        </w:rPr>
        <w:t>i</w:t>
      </w:r>
      <w:r w:rsidRPr="0072696F">
        <w:rPr>
          <w:rFonts w:eastAsia="Arial"/>
        </w:rPr>
        <w:t>n pene</w:t>
      </w:r>
      <w:r w:rsidRPr="0072696F">
        <w:rPr>
          <w:rFonts w:eastAsia="Arial"/>
          <w:spacing w:val="1"/>
        </w:rPr>
        <w:t>tr</w:t>
      </w:r>
      <w:r w:rsidRPr="0072696F">
        <w:rPr>
          <w:rFonts w:eastAsia="Arial"/>
          <w:spacing w:val="-3"/>
        </w:rPr>
        <w:t>a</w:t>
      </w:r>
      <w:r w:rsidRPr="0072696F">
        <w:rPr>
          <w:rFonts w:eastAsia="Arial"/>
          <w:spacing w:val="1"/>
        </w:rPr>
        <w:t>t</w:t>
      </w:r>
      <w:r w:rsidRPr="0072696F">
        <w:rPr>
          <w:rFonts w:eastAsia="Arial"/>
          <w:spacing w:val="-1"/>
        </w:rPr>
        <w:t>i</w:t>
      </w:r>
      <w:r w:rsidRPr="0072696F">
        <w:rPr>
          <w:rFonts w:eastAsia="Arial"/>
        </w:rPr>
        <w:t>on,</w:t>
      </w:r>
      <w:r w:rsidRPr="0072696F">
        <w:rPr>
          <w:rFonts w:eastAsia="Arial"/>
          <w:spacing w:val="2"/>
        </w:rPr>
        <w:t xml:space="preserve"> </w:t>
      </w:r>
      <w:bookmarkEnd w:id="8"/>
      <w:r w:rsidRPr="0072696F">
        <w:rPr>
          <w:rFonts w:eastAsia="Arial"/>
          <w:spacing w:val="-1"/>
        </w:rPr>
        <w:t>H</w:t>
      </w:r>
      <w:r w:rsidRPr="0072696F">
        <w:rPr>
          <w:rFonts w:eastAsia="Arial"/>
          <w:spacing w:val="1"/>
        </w:rPr>
        <w:t>I</w:t>
      </w:r>
      <w:r w:rsidRPr="0072696F">
        <w:rPr>
          <w:rFonts w:eastAsia="Arial"/>
        </w:rPr>
        <w:t>V</w:t>
      </w:r>
      <w:r w:rsidRPr="0072696F">
        <w:rPr>
          <w:rFonts w:eastAsia="Arial"/>
          <w:spacing w:val="-2"/>
        </w:rPr>
        <w:t xml:space="preserve"> </w:t>
      </w:r>
      <w:r w:rsidRPr="0072696F">
        <w:rPr>
          <w:rFonts w:eastAsia="Arial"/>
          <w:spacing w:val="-1"/>
        </w:rPr>
        <w:t>t</w:t>
      </w:r>
      <w:r w:rsidRPr="0072696F">
        <w:rPr>
          <w:rFonts w:eastAsia="Arial"/>
          <w:spacing w:val="1"/>
        </w:rPr>
        <w:t>r</w:t>
      </w:r>
      <w:r w:rsidRPr="0072696F">
        <w:rPr>
          <w:rFonts w:eastAsia="Arial"/>
          <w:spacing w:val="-3"/>
        </w:rPr>
        <w:t>e</w:t>
      </w:r>
      <w:r w:rsidRPr="0072696F">
        <w:rPr>
          <w:rFonts w:eastAsia="Arial"/>
        </w:rPr>
        <w:t>a</w:t>
      </w:r>
      <w:r w:rsidRPr="0072696F">
        <w:rPr>
          <w:rFonts w:eastAsia="Arial"/>
          <w:spacing w:val="1"/>
        </w:rPr>
        <w:t>tm</w:t>
      </w:r>
      <w:r w:rsidRPr="0072696F">
        <w:rPr>
          <w:rFonts w:eastAsia="Arial"/>
        </w:rPr>
        <w:t>e</w:t>
      </w:r>
      <w:r w:rsidRPr="0072696F">
        <w:rPr>
          <w:rFonts w:eastAsia="Arial"/>
          <w:spacing w:val="-3"/>
        </w:rPr>
        <w:t>n</w:t>
      </w:r>
      <w:r w:rsidRPr="0072696F">
        <w:rPr>
          <w:rFonts w:eastAsia="Arial"/>
          <w:spacing w:val="1"/>
        </w:rPr>
        <w:t>t</w:t>
      </w:r>
      <w:r w:rsidRPr="0072696F">
        <w:rPr>
          <w:rFonts w:eastAsia="Arial"/>
        </w:rPr>
        <w:t>, ca</w:t>
      </w:r>
      <w:r w:rsidRPr="0072696F">
        <w:rPr>
          <w:rFonts w:eastAsia="Arial"/>
          <w:spacing w:val="1"/>
        </w:rPr>
        <w:t>r</w:t>
      </w:r>
      <w:r w:rsidRPr="0072696F">
        <w:rPr>
          <w:rFonts w:eastAsia="Arial"/>
        </w:rPr>
        <w:t>e</w:t>
      </w:r>
      <w:r w:rsidRPr="0072696F">
        <w:rPr>
          <w:rFonts w:eastAsia="Arial"/>
          <w:spacing w:val="-2"/>
        </w:rPr>
        <w:t xml:space="preserve"> </w:t>
      </w:r>
      <w:r w:rsidRPr="0072696F">
        <w:rPr>
          <w:rFonts w:eastAsia="Arial"/>
        </w:rPr>
        <w:t>and</w:t>
      </w:r>
      <w:r w:rsidRPr="0072696F">
        <w:rPr>
          <w:rFonts w:eastAsia="Arial"/>
          <w:spacing w:val="-2"/>
        </w:rPr>
        <w:t xml:space="preserve"> </w:t>
      </w:r>
      <w:r w:rsidRPr="0072696F">
        <w:rPr>
          <w:rFonts w:eastAsia="Arial"/>
        </w:rPr>
        <w:t>suppo</w:t>
      </w:r>
      <w:r w:rsidRPr="0072696F">
        <w:rPr>
          <w:rFonts w:eastAsia="Arial"/>
          <w:spacing w:val="-2"/>
        </w:rPr>
        <w:t>r</w:t>
      </w:r>
      <w:r w:rsidRPr="0072696F">
        <w:rPr>
          <w:rFonts w:eastAsia="Arial"/>
          <w:spacing w:val="-1"/>
        </w:rPr>
        <w:t>t,</w:t>
      </w:r>
      <w:r>
        <w:t xml:space="preserve"> and opioid agonist therapy (OAT</w:t>
      </w:r>
      <w:r w:rsidRPr="0072696F">
        <w:rPr>
          <w:szCs w:val="22"/>
        </w:rPr>
        <w:t>).</w:t>
      </w:r>
      <w:r w:rsidRPr="001A03EB">
        <w:rPr>
          <w:rStyle w:val="FootnoteReference"/>
          <w:szCs w:val="22"/>
        </w:rPr>
        <w:footnoteReference w:id="80"/>
      </w:r>
      <w:r w:rsidRPr="0072696F">
        <w:rPr>
          <w:szCs w:val="22"/>
        </w:rPr>
        <w:t xml:space="preserve"> </w:t>
      </w:r>
      <w:r w:rsidRPr="0072696F">
        <w:rPr>
          <w:rFonts w:cs="Arial"/>
        </w:rPr>
        <w:t xml:space="preserve">During its 2016 review of Canada, the CEDAW Committee expressed its concern with </w:t>
      </w:r>
      <w:r w:rsidRPr="0072696F">
        <w:rPr>
          <w:rFonts w:cs="Arial"/>
          <w:szCs w:val="22"/>
        </w:rPr>
        <w:t>“</w:t>
      </w:r>
      <w:r w:rsidRPr="0072696F">
        <w:rPr>
          <w:rFonts w:cs="Arial"/>
        </w:rPr>
        <w:t>high rates of HIV/AIDS among female inmates</w:t>
      </w:r>
      <w:r w:rsidRPr="00F47493">
        <w:rPr>
          <w:szCs w:val="22"/>
        </w:rPr>
        <w:t xml:space="preserve">” </w:t>
      </w:r>
      <w:r w:rsidRPr="2738C79F">
        <w:t>and recommended that Canada “expand care, treatment</w:t>
      </w:r>
      <w:r>
        <w:t>,</w:t>
      </w:r>
      <w:r w:rsidRPr="2738C79F">
        <w:t xml:space="preserve"> and support services to women in detention living with or vulnerable to HIV/AIDS, including by implementing prison-based needle and syringe programmes, opioid substitution therapy, condoms and other safer sex supplies.”</w:t>
      </w:r>
      <w:r w:rsidRPr="2738C79F">
        <w:rPr>
          <w:rStyle w:val="FootnoteReference"/>
        </w:rPr>
        <w:footnoteReference w:id="81"/>
      </w:r>
    </w:p>
    <w:p w14:paraId="5C4905F9" w14:textId="77777777" w:rsidR="00343BE1" w:rsidRPr="00343BE1" w:rsidRDefault="00343BE1" w:rsidP="00343BE1">
      <w:pPr>
        <w:pStyle w:val="BodyText"/>
        <w:spacing w:after="0"/>
        <w:ind w:left="426" w:right="113"/>
        <w:jc w:val="both"/>
      </w:pPr>
    </w:p>
    <w:p w14:paraId="2E371CB5" w14:textId="713368D1" w:rsidR="005C74A1" w:rsidRDefault="005C74A1" w:rsidP="00967D45">
      <w:pPr>
        <w:pStyle w:val="BodyText"/>
        <w:numPr>
          <w:ilvl w:val="0"/>
          <w:numId w:val="21"/>
        </w:numPr>
        <w:spacing w:after="0"/>
        <w:ind w:left="426" w:right="113" w:hanging="426"/>
        <w:jc w:val="both"/>
      </w:pPr>
      <w:r w:rsidRPr="00F47493">
        <w:rPr>
          <w:lang w:val="en-US"/>
        </w:rPr>
        <w:t xml:space="preserve">With respect to OAT, </w:t>
      </w:r>
      <w:r>
        <w:t>WHO guidelines state that OAT should be available to people in prison and equivalent to community options</w:t>
      </w:r>
      <w:r w:rsidRPr="00BA3D95">
        <w:t>.</w:t>
      </w:r>
      <w:r w:rsidRPr="00BA3D95">
        <w:rPr>
          <w:rStyle w:val="FootnoteReference"/>
        </w:rPr>
        <w:footnoteReference w:id="82"/>
      </w:r>
      <w:r w:rsidRPr="00BA3D95">
        <w:rPr>
          <w:spacing w:val="35"/>
          <w:position w:val="7"/>
          <w:sz w:val="14"/>
        </w:rPr>
        <w:t xml:space="preserve"> </w:t>
      </w:r>
      <w:r w:rsidRPr="00BA3D95">
        <w:t>While access to OAT has improved in some</w:t>
      </w:r>
      <w:r>
        <w:t xml:space="preserve"> Canadian</w:t>
      </w:r>
      <w:r w:rsidRPr="00BA3D95">
        <w:t xml:space="preserve"> jurisdictions, federal and provincial prisoners continue to experience </w:t>
      </w:r>
      <w:r>
        <w:t xml:space="preserve">significant </w:t>
      </w:r>
      <w:r w:rsidRPr="00BA3D95">
        <w:t>barriers</w:t>
      </w:r>
      <w:r>
        <w:t xml:space="preserve">. </w:t>
      </w:r>
      <w:r w:rsidRPr="00BA3D95">
        <w:t xml:space="preserve">Several provincial </w:t>
      </w:r>
      <w:r>
        <w:t>a</w:t>
      </w:r>
      <w:r w:rsidRPr="00BA3D95">
        <w:t xml:space="preserve">nd territorial prisons still do not offer </w:t>
      </w:r>
      <w:r>
        <w:t xml:space="preserve">OAT </w:t>
      </w:r>
      <w:r w:rsidRPr="00BA3D95">
        <w:t>or impose severe</w:t>
      </w:r>
      <w:r w:rsidRPr="00BA3D95">
        <w:rPr>
          <w:spacing w:val="-3"/>
        </w:rPr>
        <w:t xml:space="preserve"> </w:t>
      </w:r>
      <w:r w:rsidRPr="00BA3D95">
        <w:t>restrictions</w:t>
      </w:r>
      <w:r w:rsidRPr="00BA3D95">
        <w:rPr>
          <w:spacing w:val="-3"/>
        </w:rPr>
        <w:t xml:space="preserve"> </w:t>
      </w:r>
      <w:r w:rsidRPr="00BA3D95">
        <w:t>on</w:t>
      </w:r>
      <w:r w:rsidRPr="00BA3D95">
        <w:rPr>
          <w:spacing w:val="-3"/>
        </w:rPr>
        <w:t xml:space="preserve"> </w:t>
      </w:r>
      <w:r w:rsidRPr="00BA3D95">
        <w:t>access,</w:t>
      </w:r>
      <w:r w:rsidRPr="00BA3D95">
        <w:rPr>
          <w:spacing w:val="18"/>
          <w:position w:val="7"/>
          <w:sz w:val="14"/>
        </w:rPr>
        <w:t xml:space="preserve"> </w:t>
      </w:r>
      <w:r w:rsidRPr="00BA3D95">
        <w:t>resulting</w:t>
      </w:r>
      <w:r w:rsidRPr="00BA3D95">
        <w:rPr>
          <w:spacing w:val="-3"/>
        </w:rPr>
        <w:t xml:space="preserve"> </w:t>
      </w:r>
      <w:r w:rsidRPr="00BA3D95">
        <w:t>in</w:t>
      </w:r>
      <w:r w:rsidRPr="00BA3D95">
        <w:rPr>
          <w:spacing w:val="-3"/>
        </w:rPr>
        <w:t xml:space="preserve"> </w:t>
      </w:r>
      <w:r w:rsidRPr="00BA3D95">
        <w:t>acute</w:t>
      </w:r>
      <w:r w:rsidRPr="00BA3D95">
        <w:rPr>
          <w:spacing w:val="-4"/>
        </w:rPr>
        <w:t xml:space="preserve"> </w:t>
      </w:r>
      <w:r w:rsidRPr="00BA3D95">
        <w:t>withdrawal</w:t>
      </w:r>
      <w:r w:rsidRPr="00BA3D95">
        <w:rPr>
          <w:spacing w:val="-3"/>
        </w:rPr>
        <w:t xml:space="preserve"> </w:t>
      </w:r>
      <w:r w:rsidRPr="00BA3D95">
        <w:t>among</w:t>
      </w:r>
      <w:r w:rsidRPr="00BA3D95">
        <w:rPr>
          <w:spacing w:val="-3"/>
        </w:rPr>
        <w:t xml:space="preserve"> </w:t>
      </w:r>
      <w:r>
        <w:t>prisoners</w:t>
      </w:r>
      <w:r w:rsidRPr="00BA3D95">
        <w:rPr>
          <w:spacing w:val="-3"/>
        </w:rPr>
        <w:t xml:space="preserve"> </w:t>
      </w:r>
      <w:r>
        <w:t>and</w:t>
      </w:r>
      <w:r w:rsidRPr="00BA3D95">
        <w:rPr>
          <w:spacing w:val="-3"/>
        </w:rPr>
        <w:t xml:space="preserve"> </w:t>
      </w:r>
      <w:r>
        <w:t>an increased risk of overdose.</w:t>
      </w:r>
      <w:r>
        <w:rPr>
          <w:rStyle w:val="FootnoteReference"/>
        </w:rPr>
        <w:footnoteReference w:id="83"/>
      </w:r>
      <w:r w:rsidRPr="00BA3D95">
        <w:t xml:space="preserve"> </w:t>
      </w:r>
      <w:r>
        <w:t xml:space="preserve">Among those jurisdictions that do initiate OAT, </w:t>
      </w:r>
      <w:r w:rsidRPr="00BA3D95">
        <w:t>long waitlists and inappropriate medication terminations</w:t>
      </w:r>
      <w:r>
        <w:t xml:space="preserve"> persist</w:t>
      </w:r>
      <w:r w:rsidRPr="00BA3D95">
        <w:t>.</w:t>
      </w:r>
      <w:r w:rsidRPr="00BA3D95">
        <w:rPr>
          <w:rStyle w:val="FootnoteReference"/>
        </w:rPr>
        <w:footnoteReference w:id="84"/>
      </w:r>
      <w:r w:rsidRPr="00BA3D95">
        <w:rPr>
          <w:spacing w:val="38"/>
          <w:position w:val="7"/>
          <w:sz w:val="14"/>
        </w:rPr>
        <w:t xml:space="preserve"> </w:t>
      </w:r>
    </w:p>
    <w:p w14:paraId="07262933" w14:textId="77777777" w:rsidR="00343BE1" w:rsidRDefault="00343BE1" w:rsidP="00343BE1">
      <w:pPr>
        <w:pStyle w:val="BodyText"/>
        <w:spacing w:after="0"/>
        <w:ind w:left="426" w:right="113"/>
        <w:jc w:val="both"/>
      </w:pPr>
    </w:p>
    <w:p w14:paraId="135514AA" w14:textId="7876F872" w:rsidR="005C74A1" w:rsidRDefault="00967D45" w:rsidP="00967D45">
      <w:pPr>
        <w:pStyle w:val="BodyText"/>
        <w:numPr>
          <w:ilvl w:val="0"/>
          <w:numId w:val="21"/>
        </w:numPr>
        <w:spacing w:after="0"/>
        <w:ind w:left="426" w:right="113" w:hanging="426"/>
        <w:jc w:val="both"/>
      </w:pPr>
      <w:r>
        <w:t xml:space="preserve">Access </w:t>
      </w:r>
      <w:r w:rsidR="005C74A1">
        <w:t>to sterile drug equipment in prison is also extraordinarily limited. To date, only 12 out of 43 federal prisons have a “Prison</w:t>
      </w:r>
      <w:r w:rsidR="005C74A1" w:rsidRPr="00BA3D95">
        <w:rPr>
          <w:spacing w:val="-4"/>
        </w:rPr>
        <w:t xml:space="preserve"> </w:t>
      </w:r>
      <w:r w:rsidR="005C74A1">
        <w:t>Needle</w:t>
      </w:r>
      <w:r w:rsidR="005C74A1" w:rsidRPr="00BA3D95">
        <w:rPr>
          <w:spacing w:val="-4"/>
        </w:rPr>
        <w:t xml:space="preserve"> </w:t>
      </w:r>
      <w:r w:rsidR="005C74A1">
        <w:t>Exchange</w:t>
      </w:r>
      <w:r w:rsidR="005C74A1" w:rsidRPr="00BA3D95">
        <w:rPr>
          <w:spacing w:val="-4"/>
        </w:rPr>
        <w:t xml:space="preserve"> </w:t>
      </w:r>
      <w:r w:rsidR="005C74A1">
        <w:t>Program”</w:t>
      </w:r>
      <w:r w:rsidR="005C74A1" w:rsidRPr="00BA3D95">
        <w:rPr>
          <w:spacing w:val="-3"/>
        </w:rPr>
        <w:t xml:space="preserve"> </w:t>
      </w:r>
      <w:r w:rsidR="005C74A1">
        <w:t xml:space="preserve">(PNEP) and no provincial or </w:t>
      </w:r>
      <w:r w:rsidR="005C74A1" w:rsidRPr="006274A3">
        <w:t>territorial prison</w:t>
      </w:r>
      <w:r w:rsidR="005C74A1">
        <w:t>s</w:t>
      </w:r>
      <w:r w:rsidR="005C74A1" w:rsidRPr="006274A3">
        <w:t xml:space="preserve"> in Canada </w:t>
      </w:r>
      <w:r w:rsidR="005C74A1">
        <w:t>distribute</w:t>
      </w:r>
      <w:r w:rsidR="005C74A1" w:rsidRPr="006274A3">
        <w:t xml:space="preserve"> </w:t>
      </w:r>
      <w:r w:rsidR="005C74A1">
        <w:t>sterile drug equipment</w:t>
      </w:r>
      <w:r w:rsidR="005C74A1" w:rsidRPr="006274A3">
        <w:t>.</w:t>
      </w:r>
      <w:r w:rsidR="005C74A1">
        <w:t xml:space="preserve"> The program, which requires p</w:t>
      </w:r>
      <w:r w:rsidR="005C74A1" w:rsidRPr="00826988">
        <w:t>articipants to keep their kits visible when not in use and to show the kits to correctional officers during daily visual inspections</w:t>
      </w:r>
      <w:r w:rsidR="005C74A1">
        <w:t>,</w:t>
      </w:r>
      <w:r w:rsidR="005C74A1" w:rsidRPr="00826988">
        <w:t xml:space="preserve"> </w:t>
      </w:r>
      <w:r w:rsidR="005C74A1">
        <w:t>is not in keeping with public health principles or professionally accepted standards for such programs. Most fundamentally, the PNEP violates prisoners’ confidentiality without reasonable justification, and participation is contingent on the approval of both prison health staff and security staff.</w:t>
      </w:r>
      <w:r w:rsidR="005C74A1">
        <w:rPr>
          <w:rStyle w:val="FootnoteReference"/>
        </w:rPr>
        <w:footnoteReference w:id="85"/>
      </w:r>
      <w:r w:rsidR="005C74A1" w:rsidRPr="00BA3D95">
        <w:rPr>
          <w:spacing w:val="32"/>
          <w:position w:val="7"/>
          <w:sz w:val="14"/>
        </w:rPr>
        <w:t xml:space="preserve"> </w:t>
      </w:r>
      <w:r w:rsidR="005C74A1">
        <w:t>As the Correctional Investigator</w:t>
      </w:r>
      <w:r w:rsidR="005C74A1" w:rsidRPr="00BA3D95">
        <w:rPr>
          <w:spacing w:val="-4"/>
        </w:rPr>
        <w:t xml:space="preserve"> </w:t>
      </w:r>
      <w:r w:rsidR="005C74A1">
        <w:t>has</w:t>
      </w:r>
      <w:r w:rsidR="005C74A1" w:rsidRPr="00BA3D95">
        <w:rPr>
          <w:spacing w:val="-3"/>
        </w:rPr>
        <w:t xml:space="preserve"> </w:t>
      </w:r>
      <w:r w:rsidR="005C74A1">
        <w:t>observed,</w:t>
      </w:r>
      <w:r w:rsidR="005C74A1" w:rsidRPr="00BA3D95">
        <w:rPr>
          <w:spacing w:val="-3"/>
        </w:rPr>
        <w:t xml:space="preserve"> </w:t>
      </w:r>
      <w:r w:rsidR="005C74A1">
        <w:t>“Too</w:t>
      </w:r>
      <w:r w:rsidR="005C74A1" w:rsidRPr="00BA3D95">
        <w:rPr>
          <w:spacing w:val="-3"/>
        </w:rPr>
        <w:t xml:space="preserve"> </w:t>
      </w:r>
      <w:r w:rsidR="005C74A1">
        <w:t>much</w:t>
      </w:r>
      <w:r w:rsidR="005C74A1" w:rsidRPr="00BA3D95">
        <w:rPr>
          <w:spacing w:val="-3"/>
        </w:rPr>
        <w:t xml:space="preserve"> </w:t>
      </w:r>
      <w:r w:rsidR="005C74A1">
        <w:t>of</w:t>
      </w:r>
      <w:r w:rsidR="005C74A1" w:rsidRPr="00BA3D95">
        <w:rPr>
          <w:spacing w:val="-3"/>
        </w:rPr>
        <w:t xml:space="preserve"> </w:t>
      </w:r>
      <w:r w:rsidR="005C74A1">
        <w:t>what</w:t>
      </w:r>
      <w:r w:rsidR="005C74A1" w:rsidRPr="00BA3D95">
        <w:rPr>
          <w:spacing w:val="-3"/>
        </w:rPr>
        <w:t xml:space="preserve"> </w:t>
      </w:r>
      <w:r w:rsidR="005C74A1">
        <w:t>should</w:t>
      </w:r>
      <w:r w:rsidR="005C74A1" w:rsidRPr="00BA3D95">
        <w:rPr>
          <w:spacing w:val="-3"/>
        </w:rPr>
        <w:t xml:space="preserve"> </w:t>
      </w:r>
      <w:r w:rsidR="005C74A1">
        <w:t>be</w:t>
      </w:r>
      <w:r w:rsidR="005C74A1" w:rsidRPr="00BA3D95">
        <w:rPr>
          <w:spacing w:val="-3"/>
        </w:rPr>
        <w:t xml:space="preserve"> </w:t>
      </w:r>
      <w:r w:rsidR="005C74A1">
        <w:t>an</w:t>
      </w:r>
      <w:r w:rsidR="005C74A1" w:rsidRPr="00BA3D95">
        <w:rPr>
          <w:spacing w:val="-3"/>
        </w:rPr>
        <w:t xml:space="preserve"> </w:t>
      </w:r>
      <w:r w:rsidR="005C74A1">
        <w:t>exclusively</w:t>
      </w:r>
      <w:r w:rsidR="005C74A1" w:rsidRPr="00BA3D95">
        <w:rPr>
          <w:spacing w:val="-3"/>
        </w:rPr>
        <w:t xml:space="preserve"> </w:t>
      </w:r>
      <w:r w:rsidR="005C74A1">
        <w:t>health</w:t>
      </w:r>
      <w:r w:rsidR="005C74A1" w:rsidRPr="00BA3D95">
        <w:rPr>
          <w:spacing w:val="-3"/>
        </w:rPr>
        <w:t xml:space="preserve"> </w:t>
      </w:r>
      <w:r w:rsidR="005C74A1">
        <w:t>and harm reduction program has been shaped by security concerns,” leading merely a handful of individuals to enrol in the program.</w:t>
      </w:r>
      <w:r w:rsidR="005C74A1">
        <w:rPr>
          <w:rStyle w:val="FootnoteReference"/>
        </w:rPr>
        <w:footnoteReference w:id="86"/>
      </w:r>
      <w:r w:rsidR="005C74A1" w:rsidRPr="00BA3D95">
        <w:rPr>
          <w:spacing w:val="23"/>
          <w:position w:val="7"/>
          <w:sz w:val="14"/>
        </w:rPr>
        <w:t xml:space="preserve"> </w:t>
      </w:r>
      <w:r w:rsidR="005C74A1" w:rsidRPr="006274A3">
        <w:t xml:space="preserve">The Correctional Investigator consequently </w:t>
      </w:r>
      <w:r w:rsidR="005C74A1" w:rsidRPr="006274A3">
        <w:lastRenderedPageBreak/>
        <w:t>recommended that program criteria be “significantly revamped to encourage participation … with a view to full national implementation.</w:t>
      </w:r>
      <w:r w:rsidR="005C74A1">
        <w:t>”</w:t>
      </w:r>
      <w:r w:rsidR="005C74A1" w:rsidRPr="006274A3">
        <w:rPr>
          <w:rStyle w:val="FootnoteReference"/>
        </w:rPr>
        <w:footnoteReference w:id="87"/>
      </w:r>
    </w:p>
    <w:p w14:paraId="42067581" w14:textId="77777777" w:rsidR="005C74A1" w:rsidRDefault="005C74A1" w:rsidP="00967D45">
      <w:pPr>
        <w:pStyle w:val="ListParagraph"/>
        <w:ind w:left="426" w:hanging="426"/>
      </w:pPr>
    </w:p>
    <w:p w14:paraId="0CD6B51A" w14:textId="11CC0C89" w:rsidR="005C74A1" w:rsidRPr="00C02A00" w:rsidRDefault="005C74A1" w:rsidP="00967D45">
      <w:pPr>
        <w:pStyle w:val="BodyText"/>
        <w:numPr>
          <w:ilvl w:val="0"/>
          <w:numId w:val="21"/>
        </w:numPr>
        <w:spacing w:after="0"/>
        <w:ind w:left="426" w:right="113" w:hanging="426"/>
        <w:jc w:val="both"/>
      </w:pPr>
      <w:r>
        <w:t xml:space="preserve">With respect to overdose prevention, </w:t>
      </w:r>
      <w:r w:rsidR="00741B5B">
        <w:t>SCS</w:t>
      </w:r>
      <w:r>
        <w:t xml:space="preserve"> currently operate in four federal prisons, where</w:t>
      </w:r>
      <w:r w:rsidRPr="001307AA">
        <w:t xml:space="preserve"> prisoners can access </w:t>
      </w:r>
      <w:r>
        <w:t xml:space="preserve">sterile equipment </w:t>
      </w:r>
      <w:r w:rsidRPr="001307AA">
        <w:t xml:space="preserve">to consume </w:t>
      </w:r>
      <w:r>
        <w:t>drugs; no such services exist in provincial or territorial prisons</w:t>
      </w:r>
      <w:r w:rsidRPr="001307AA">
        <w:t xml:space="preserve">. </w:t>
      </w:r>
      <w:r>
        <w:t>Naloxone, a</w:t>
      </w:r>
      <w:r w:rsidR="00AB4207">
        <w:t xml:space="preserve"> </w:t>
      </w:r>
      <w:r>
        <w:t xml:space="preserve">medication </w:t>
      </w:r>
      <w:r w:rsidRPr="00397B92">
        <w:t>used to reverse</w:t>
      </w:r>
      <w:r>
        <w:t xml:space="preserve"> opioid overdoses</w:t>
      </w:r>
      <w:r w:rsidR="00AB4207">
        <w:t>,</w:t>
      </w:r>
      <w:r>
        <w:t xml:space="preserve"> is available without prescription in the community, </w:t>
      </w:r>
      <w:r w:rsidR="008D3274">
        <w:t xml:space="preserve">but </w:t>
      </w:r>
      <w:r>
        <w:t>is only accessible to prison staff. I</w:t>
      </w:r>
      <w:r w:rsidRPr="00B9701D">
        <w:t>ncarcerated individuals do not have direct access to naloxone in any jurisdiction</w:t>
      </w:r>
      <w:r>
        <w:t>, requiring</w:t>
      </w:r>
      <w:r w:rsidRPr="00B9701D">
        <w:t xml:space="preserve"> </w:t>
      </w:r>
      <w:r>
        <w:t>those who</w:t>
      </w:r>
      <w:r w:rsidRPr="00B9701D">
        <w:t xml:space="preserve"> witness an overdose</w:t>
      </w:r>
      <w:r>
        <w:t xml:space="preserve"> to </w:t>
      </w:r>
      <w:r w:rsidRPr="00B9701D">
        <w:t>alert staff,</w:t>
      </w:r>
      <w:r>
        <w:t xml:space="preserve"> thus</w:t>
      </w:r>
      <w:r w:rsidRPr="00B9701D">
        <w:t xml:space="preserve"> causing a delay</w:t>
      </w:r>
      <w:r>
        <w:t xml:space="preserve"> in response</w:t>
      </w:r>
      <w:r w:rsidRPr="00F822F0">
        <w:rPr>
          <w:rFonts w:cs="Arial"/>
          <w:szCs w:val="22"/>
        </w:rPr>
        <w:t>.</w:t>
      </w:r>
      <w:r w:rsidRPr="00F822F0">
        <w:rPr>
          <w:rStyle w:val="FootnoteReference"/>
          <w:rFonts w:cs="Arial"/>
          <w:szCs w:val="22"/>
        </w:rPr>
        <w:footnoteReference w:id="88"/>
      </w:r>
      <w:r w:rsidRPr="00F822F0">
        <w:rPr>
          <w:rFonts w:cs="Arial"/>
          <w:szCs w:val="22"/>
        </w:rPr>
        <w:t xml:space="preserve"> </w:t>
      </w:r>
      <w:r>
        <w:rPr>
          <w:rFonts w:cs="Arial"/>
          <w:szCs w:val="22"/>
        </w:rPr>
        <w:t>Only one province (Nova Scotia) permits</w:t>
      </w:r>
      <w:r w:rsidRPr="00F822F0">
        <w:rPr>
          <w:rFonts w:cs="Arial"/>
          <w:szCs w:val="22"/>
        </w:rPr>
        <w:t xml:space="preserve"> individuals on safe</w:t>
      </w:r>
      <w:r w:rsidR="004F4335">
        <w:rPr>
          <w:rFonts w:cs="Arial"/>
          <w:szCs w:val="22"/>
        </w:rPr>
        <w:t>r</w:t>
      </w:r>
      <w:r w:rsidRPr="00F822F0">
        <w:rPr>
          <w:rFonts w:cs="Arial"/>
          <w:szCs w:val="22"/>
        </w:rPr>
        <w:t xml:space="preserve"> supply</w:t>
      </w:r>
      <w:r w:rsidR="008D3274">
        <w:rPr>
          <w:rFonts w:cs="Arial"/>
          <w:szCs w:val="22"/>
        </w:rPr>
        <w:t xml:space="preserve"> (prescribed alternatives</w:t>
      </w:r>
      <w:r w:rsidR="000B3DBC">
        <w:rPr>
          <w:rFonts w:cs="Arial"/>
          <w:szCs w:val="22"/>
        </w:rPr>
        <w:t xml:space="preserve"> to toxic unregulated drugs)</w:t>
      </w:r>
      <w:r w:rsidRPr="00F822F0">
        <w:rPr>
          <w:rFonts w:cs="Arial"/>
          <w:szCs w:val="22"/>
        </w:rPr>
        <w:t xml:space="preserve"> in the community to maintain their safe</w:t>
      </w:r>
      <w:r w:rsidR="004F4335">
        <w:rPr>
          <w:rFonts w:cs="Arial"/>
          <w:szCs w:val="22"/>
        </w:rPr>
        <w:t>r</w:t>
      </w:r>
      <w:r w:rsidRPr="00F822F0">
        <w:rPr>
          <w:rFonts w:cs="Arial"/>
          <w:szCs w:val="22"/>
        </w:rPr>
        <w:t xml:space="preserve"> supply prescriptions in prisons. As Canada’s Correctional Investigator noted in 2023, “That there is a need for more access to a wider range of harm reduction measures behind bars</w:t>
      </w:r>
      <w:r w:rsidRPr="00E62497">
        <w:t xml:space="preserve"> now seems beyond doubt or dispute.”</w:t>
      </w:r>
      <w:r>
        <w:rPr>
          <w:rStyle w:val="FootnoteReference"/>
        </w:rPr>
        <w:footnoteReference w:id="89"/>
      </w:r>
      <w:r w:rsidRPr="00E62497">
        <w:t xml:space="preserve"> </w:t>
      </w:r>
    </w:p>
    <w:p w14:paraId="23EE54C1" w14:textId="77777777" w:rsidR="005C74A1" w:rsidRDefault="005C74A1" w:rsidP="00967D45">
      <w:pPr>
        <w:ind w:left="426" w:hanging="426"/>
      </w:pPr>
    </w:p>
    <w:p w14:paraId="09362D55" w14:textId="0F048702" w:rsidR="005C74A1" w:rsidRDefault="005C74A1" w:rsidP="00343BE1">
      <w:pPr>
        <w:ind w:right="-20"/>
        <w:jc w:val="both"/>
        <w:rPr>
          <w:rFonts w:eastAsia="Arial" w:cs="Arial"/>
        </w:rPr>
      </w:pPr>
      <w:r>
        <w:rPr>
          <w:rFonts w:eastAsia="Arial" w:cs="Arial"/>
          <w:b/>
          <w:bCs/>
          <w:spacing w:val="-1"/>
        </w:rPr>
        <w:t>I</w:t>
      </w:r>
      <w:r w:rsidRPr="00D25D22">
        <w:rPr>
          <w:rFonts w:eastAsia="Arial" w:cs="Arial"/>
          <w:b/>
          <w:bCs/>
          <w:spacing w:val="-1"/>
        </w:rPr>
        <w:t xml:space="preserve">n </w:t>
      </w:r>
      <w:r>
        <w:rPr>
          <w:rFonts w:eastAsia="Arial" w:cs="Arial"/>
          <w:b/>
          <w:bCs/>
          <w:spacing w:val="-1"/>
        </w:rPr>
        <w:t xml:space="preserve">meaningful </w:t>
      </w:r>
      <w:r w:rsidRPr="00D25D22">
        <w:rPr>
          <w:rFonts w:eastAsia="Arial" w:cs="Arial"/>
          <w:b/>
          <w:bCs/>
          <w:spacing w:val="-1"/>
        </w:rPr>
        <w:t>consultation with prisoner groups, Indigenous organizations, and community health organizations</w:t>
      </w:r>
      <w:r>
        <w:rPr>
          <w:rFonts w:eastAsia="Arial" w:cs="Arial"/>
          <w:b/>
          <w:bCs/>
          <w:spacing w:val="-1"/>
        </w:rPr>
        <w:t>,</w:t>
      </w:r>
      <w:r w:rsidRPr="00D25D22">
        <w:rPr>
          <w:rFonts w:eastAsia="Arial" w:cs="Arial"/>
          <w:b/>
          <w:bCs/>
          <w:spacing w:val="-1"/>
        </w:rPr>
        <w:t xml:space="preserve"> </w:t>
      </w:r>
      <w:r w:rsidR="001063E9">
        <w:rPr>
          <w:rFonts w:eastAsia="Arial" w:cs="Arial"/>
          <w:b/>
          <w:bCs/>
          <w:spacing w:val="-1"/>
        </w:rPr>
        <w:t>CANADA</w:t>
      </w:r>
      <w:r>
        <w:rPr>
          <w:rFonts w:eastAsia="Arial" w:cs="Arial"/>
          <w:b/>
          <w:bCs/>
          <w:spacing w:val="-1"/>
        </w:rPr>
        <w:t xml:space="preserve"> MUST:</w:t>
      </w:r>
    </w:p>
    <w:p w14:paraId="7E75D8B6" w14:textId="77777777" w:rsidR="005C74A1" w:rsidRDefault="005C74A1" w:rsidP="00967D45">
      <w:pPr>
        <w:ind w:left="426" w:hanging="426"/>
        <w:jc w:val="both"/>
        <w:rPr>
          <w:sz w:val="13"/>
          <w:szCs w:val="13"/>
        </w:rPr>
      </w:pPr>
    </w:p>
    <w:p w14:paraId="0A07BF39" w14:textId="4EFE3547" w:rsidR="005C74A1" w:rsidRPr="005576DA" w:rsidRDefault="00343BE1" w:rsidP="00967D45">
      <w:pPr>
        <w:pStyle w:val="ListParagraph"/>
        <w:numPr>
          <w:ilvl w:val="0"/>
          <w:numId w:val="32"/>
        </w:numPr>
        <w:tabs>
          <w:tab w:val="left" w:pos="800"/>
        </w:tabs>
        <w:ind w:left="426" w:right="196" w:hanging="426"/>
        <w:jc w:val="both"/>
        <w:rPr>
          <w:rFonts w:eastAsia="Arial"/>
        </w:rPr>
      </w:pPr>
      <w:r>
        <w:rPr>
          <w:rFonts w:eastAsia="Arial"/>
          <w:b/>
          <w:bCs/>
        </w:rPr>
        <w:t>E</w:t>
      </w:r>
      <w:r w:rsidR="005C74A1" w:rsidRPr="0062543B">
        <w:rPr>
          <w:rFonts w:eastAsia="Arial"/>
          <w:b/>
          <w:bCs/>
        </w:rPr>
        <w:t>xpand</w:t>
      </w:r>
      <w:r w:rsidR="005C74A1" w:rsidRPr="0062543B">
        <w:rPr>
          <w:rFonts w:eastAsia="Arial"/>
          <w:b/>
          <w:bCs/>
          <w:spacing w:val="1"/>
        </w:rPr>
        <w:t xml:space="preserve"> </w:t>
      </w:r>
      <w:r w:rsidR="005C74A1" w:rsidRPr="0062543B">
        <w:rPr>
          <w:rFonts w:eastAsia="Arial"/>
          <w:b/>
          <w:bCs/>
        </w:rPr>
        <w:t>e</w:t>
      </w:r>
      <w:r w:rsidR="005C74A1" w:rsidRPr="0062543B">
        <w:rPr>
          <w:rFonts w:eastAsia="Arial"/>
          <w:b/>
          <w:bCs/>
          <w:spacing w:val="-3"/>
        </w:rPr>
        <w:t>v</w:t>
      </w:r>
      <w:r w:rsidR="005C74A1" w:rsidRPr="0062543B">
        <w:rPr>
          <w:rFonts w:eastAsia="Arial"/>
          <w:b/>
          <w:bCs/>
          <w:spacing w:val="1"/>
        </w:rPr>
        <w:t>i</w:t>
      </w:r>
      <w:r w:rsidR="005C74A1" w:rsidRPr="0062543B">
        <w:rPr>
          <w:rFonts w:eastAsia="Arial"/>
          <w:b/>
          <w:bCs/>
        </w:rPr>
        <w:t>dence</w:t>
      </w:r>
      <w:r w:rsidR="005C74A1" w:rsidRPr="0062543B">
        <w:rPr>
          <w:rFonts w:eastAsia="Arial"/>
          <w:b/>
          <w:bCs/>
          <w:spacing w:val="1"/>
        </w:rPr>
        <w:t>-</w:t>
      </w:r>
      <w:r w:rsidR="005C74A1" w:rsidRPr="0062543B">
        <w:rPr>
          <w:rFonts w:eastAsia="Arial"/>
          <w:b/>
          <w:bCs/>
        </w:rPr>
        <w:t>bas</w:t>
      </w:r>
      <w:r w:rsidR="005C74A1" w:rsidRPr="0062543B">
        <w:rPr>
          <w:rFonts w:eastAsia="Arial"/>
          <w:b/>
          <w:bCs/>
          <w:spacing w:val="-3"/>
        </w:rPr>
        <w:t>e</w:t>
      </w:r>
      <w:r w:rsidR="005C74A1" w:rsidRPr="0062543B">
        <w:rPr>
          <w:rFonts w:eastAsia="Arial"/>
          <w:b/>
          <w:bCs/>
        </w:rPr>
        <w:t>d</w:t>
      </w:r>
      <w:r w:rsidR="005C74A1" w:rsidRPr="0062543B">
        <w:rPr>
          <w:rFonts w:eastAsia="Arial"/>
          <w:b/>
          <w:bCs/>
          <w:spacing w:val="1"/>
        </w:rPr>
        <w:t xml:space="preserve"> </w:t>
      </w:r>
      <w:r w:rsidR="005C74A1" w:rsidRPr="0062543B">
        <w:rPr>
          <w:rFonts w:eastAsia="Arial"/>
          <w:b/>
          <w:bCs/>
        </w:rPr>
        <w:t>a</w:t>
      </w:r>
      <w:r w:rsidR="005C74A1" w:rsidRPr="0062543B">
        <w:rPr>
          <w:rFonts w:eastAsia="Arial"/>
          <w:b/>
          <w:bCs/>
          <w:spacing w:val="-1"/>
        </w:rPr>
        <w:t>l</w:t>
      </w:r>
      <w:r w:rsidR="005C74A1" w:rsidRPr="0062543B">
        <w:rPr>
          <w:rFonts w:eastAsia="Arial"/>
          <w:b/>
          <w:bCs/>
          <w:spacing w:val="1"/>
        </w:rPr>
        <w:t>t</w:t>
      </w:r>
      <w:r w:rsidR="005C74A1" w:rsidRPr="0062543B">
        <w:rPr>
          <w:rFonts w:eastAsia="Arial"/>
          <w:b/>
          <w:bCs/>
        </w:rPr>
        <w:t>erna</w:t>
      </w:r>
      <w:r w:rsidR="005C74A1" w:rsidRPr="0062543B">
        <w:rPr>
          <w:rFonts w:eastAsia="Arial"/>
          <w:b/>
          <w:bCs/>
          <w:spacing w:val="-2"/>
        </w:rPr>
        <w:t>t</w:t>
      </w:r>
      <w:r w:rsidR="005C74A1" w:rsidRPr="0062543B">
        <w:rPr>
          <w:rFonts w:eastAsia="Arial"/>
          <w:b/>
          <w:bCs/>
          <w:spacing w:val="1"/>
        </w:rPr>
        <w:t>i</w:t>
      </w:r>
      <w:r w:rsidR="005C74A1" w:rsidRPr="0062543B">
        <w:rPr>
          <w:rFonts w:eastAsia="Arial"/>
          <w:b/>
          <w:bCs/>
          <w:spacing w:val="-3"/>
        </w:rPr>
        <w:t>v</w:t>
      </w:r>
      <w:r w:rsidR="005C74A1" w:rsidRPr="0062543B">
        <w:rPr>
          <w:rFonts w:eastAsia="Arial"/>
          <w:b/>
          <w:bCs/>
        </w:rPr>
        <w:t>es</w:t>
      </w:r>
      <w:r w:rsidR="005C74A1" w:rsidRPr="0062543B">
        <w:rPr>
          <w:rFonts w:eastAsia="Arial"/>
          <w:b/>
          <w:bCs/>
          <w:spacing w:val="1"/>
        </w:rPr>
        <w:t xml:space="preserve"> t</w:t>
      </w:r>
      <w:r w:rsidR="005C74A1" w:rsidRPr="0062543B">
        <w:rPr>
          <w:rFonts w:eastAsia="Arial"/>
          <w:b/>
          <w:bCs/>
        </w:rPr>
        <w:t>o</w:t>
      </w:r>
      <w:r w:rsidR="005C74A1" w:rsidRPr="0062543B">
        <w:rPr>
          <w:rFonts w:eastAsia="Arial"/>
          <w:b/>
          <w:bCs/>
          <w:spacing w:val="-2"/>
        </w:rPr>
        <w:t xml:space="preserve"> </w:t>
      </w:r>
      <w:r w:rsidR="005C74A1" w:rsidRPr="0062543B">
        <w:rPr>
          <w:rFonts w:eastAsia="Arial"/>
          <w:b/>
          <w:bCs/>
          <w:spacing w:val="1"/>
        </w:rPr>
        <w:t>i</w:t>
      </w:r>
      <w:r w:rsidR="005C74A1" w:rsidRPr="0062543B">
        <w:rPr>
          <w:rFonts w:eastAsia="Arial"/>
          <w:b/>
          <w:bCs/>
        </w:rPr>
        <w:t>ncar</w:t>
      </w:r>
      <w:r w:rsidR="005C74A1" w:rsidRPr="0062543B">
        <w:rPr>
          <w:rFonts w:eastAsia="Arial"/>
          <w:b/>
          <w:bCs/>
          <w:spacing w:val="-3"/>
        </w:rPr>
        <w:t>c</w:t>
      </w:r>
      <w:r w:rsidR="005C74A1" w:rsidRPr="0062543B">
        <w:rPr>
          <w:rFonts w:eastAsia="Arial"/>
          <w:b/>
          <w:bCs/>
        </w:rPr>
        <w:t>era</w:t>
      </w:r>
      <w:r w:rsidR="005C74A1" w:rsidRPr="0062543B">
        <w:rPr>
          <w:rFonts w:eastAsia="Arial"/>
          <w:b/>
          <w:bCs/>
          <w:spacing w:val="1"/>
        </w:rPr>
        <w:t>ti</w:t>
      </w:r>
      <w:r w:rsidR="005C74A1" w:rsidRPr="0062543B">
        <w:rPr>
          <w:rFonts w:eastAsia="Arial"/>
          <w:b/>
          <w:bCs/>
        </w:rPr>
        <w:t>on</w:t>
      </w:r>
      <w:r w:rsidR="005C74A1" w:rsidRPr="0062543B">
        <w:rPr>
          <w:rFonts w:eastAsia="Arial"/>
          <w:b/>
          <w:bCs/>
          <w:spacing w:val="-2"/>
        </w:rPr>
        <w:t xml:space="preserve"> </w:t>
      </w:r>
      <w:r w:rsidR="005C74A1" w:rsidRPr="0062543B">
        <w:rPr>
          <w:rFonts w:eastAsia="Arial"/>
          <w:b/>
          <w:bCs/>
          <w:spacing w:val="1"/>
        </w:rPr>
        <w:t>f</w:t>
      </w:r>
      <w:r w:rsidR="005C74A1" w:rsidRPr="0062543B">
        <w:rPr>
          <w:rFonts w:eastAsia="Arial"/>
          <w:b/>
          <w:bCs/>
          <w:spacing w:val="-3"/>
        </w:rPr>
        <w:t>o</w:t>
      </w:r>
      <w:r w:rsidR="005C74A1" w:rsidRPr="0062543B">
        <w:rPr>
          <w:rFonts w:eastAsia="Arial"/>
          <w:b/>
          <w:bCs/>
        </w:rPr>
        <w:t>r</w:t>
      </w:r>
      <w:r w:rsidR="005C74A1" w:rsidRPr="0062543B">
        <w:rPr>
          <w:rFonts w:eastAsia="Arial"/>
          <w:b/>
          <w:bCs/>
          <w:spacing w:val="2"/>
        </w:rPr>
        <w:t xml:space="preserve"> </w:t>
      </w:r>
      <w:r w:rsidR="005C74A1" w:rsidRPr="0062543B">
        <w:rPr>
          <w:rFonts w:eastAsia="Arial"/>
          <w:b/>
          <w:bCs/>
        </w:rPr>
        <w:t>peo</w:t>
      </w:r>
      <w:r w:rsidR="005C74A1" w:rsidRPr="0062543B">
        <w:rPr>
          <w:rFonts w:eastAsia="Arial"/>
          <w:b/>
          <w:bCs/>
          <w:spacing w:val="-3"/>
        </w:rPr>
        <w:t>p</w:t>
      </w:r>
      <w:r w:rsidR="005C74A1" w:rsidRPr="0062543B">
        <w:rPr>
          <w:rFonts w:eastAsia="Arial"/>
          <w:b/>
          <w:bCs/>
          <w:spacing w:val="1"/>
        </w:rPr>
        <w:t>l</w:t>
      </w:r>
      <w:r w:rsidR="005C74A1" w:rsidRPr="0062543B">
        <w:rPr>
          <w:rFonts w:eastAsia="Arial"/>
          <w:b/>
          <w:bCs/>
        </w:rPr>
        <w:t>e</w:t>
      </w:r>
      <w:r w:rsidR="005C74A1" w:rsidRPr="0062543B">
        <w:rPr>
          <w:rFonts w:eastAsia="Arial"/>
          <w:b/>
          <w:bCs/>
          <w:spacing w:val="-4"/>
        </w:rPr>
        <w:t xml:space="preserve"> </w:t>
      </w:r>
      <w:r w:rsidR="005C74A1" w:rsidRPr="0062543B">
        <w:rPr>
          <w:rFonts w:eastAsia="Arial"/>
          <w:b/>
          <w:bCs/>
          <w:spacing w:val="3"/>
        </w:rPr>
        <w:t>w</w:t>
      </w:r>
      <w:r w:rsidR="005C74A1" w:rsidRPr="0062543B">
        <w:rPr>
          <w:rFonts w:eastAsia="Arial"/>
          <w:b/>
          <w:bCs/>
        </w:rPr>
        <w:t>ho</w:t>
      </w:r>
      <w:r w:rsidR="005C74A1" w:rsidRPr="0062543B">
        <w:rPr>
          <w:rFonts w:eastAsia="Arial"/>
          <w:b/>
          <w:bCs/>
          <w:spacing w:val="-4"/>
        </w:rPr>
        <w:t xml:space="preserve"> </w:t>
      </w:r>
      <w:r w:rsidR="005C74A1" w:rsidRPr="0062543B">
        <w:rPr>
          <w:rFonts w:eastAsia="Arial"/>
          <w:b/>
          <w:bCs/>
        </w:rPr>
        <w:t>use</w:t>
      </w:r>
      <w:r w:rsidR="005C74A1" w:rsidRPr="0062543B">
        <w:rPr>
          <w:rFonts w:eastAsia="Arial"/>
          <w:b/>
          <w:bCs/>
          <w:spacing w:val="1"/>
        </w:rPr>
        <w:t xml:space="preserve"> </w:t>
      </w:r>
      <w:r w:rsidR="005C74A1" w:rsidRPr="0062543B">
        <w:rPr>
          <w:rFonts w:eastAsia="Arial"/>
          <w:b/>
          <w:bCs/>
        </w:rPr>
        <w:t xml:space="preserve">drugs, </w:t>
      </w:r>
      <w:r w:rsidR="005C74A1" w:rsidRPr="0062543B">
        <w:rPr>
          <w:rFonts w:eastAsia="Arial"/>
          <w:b/>
          <w:bCs/>
          <w:spacing w:val="1"/>
        </w:rPr>
        <w:t>t</w:t>
      </w:r>
      <w:r w:rsidR="005C74A1" w:rsidRPr="0062543B">
        <w:rPr>
          <w:rFonts w:eastAsia="Arial"/>
          <w:b/>
          <w:bCs/>
        </w:rPr>
        <w:t>ak</w:t>
      </w:r>
      <w:r w:rsidR="005C74A1" w:rsidRPr="0062543B">
        <w:rPr>
          <w:rFonts w:eastAsia="Arial"/>
          <w:b/>
          <w:bCs/>
          <w:spacing w:val="1"/>
        </w:rPr>
        <w:t>i</w:t>
      </w:r>
      <w:r w:rsidR="005C74A1" w:rsidRPr="0062543B">
        <w:rPr>
          <w:rFonts w:eastAsia="Arial"/>
          <w:b/>
          <w:bCs/>
        </w:rPr>
        <w:t>ng</w:t>
      </w:r>
      <w:r w:rsidR="005C74A1" w:rsidRPr="0062543B">
        <w:rPr>
          <w:rFonts w:eastAsia="Arial"/>
          <w:b/>
          <w:bCs/>
          <w:spacing w:val="-2"/>
        </w:rPr>
        <w:t xml:space="preserve"> </w:t>
      </w:r>
      <w:r w:rsidR="005C74A1" w:rsidRPr="0062543B">
        <w:rPr>
          <w:rFonts w:eastAsia="Arial"/>
          <w:b/>
          <w:bCs/>
          <w:spacing w:val="1"/>
        </w:rPr>
        <w:t>i</w:t>
      </w:r>
      <w:r w:rsidR="005C74A1" w:rsidRPr="0062543B">
        <w:rPr>
          <w:rFonts w:eastAsia="Arial"/>
          <w:b/>
          <w:bCs/>
          <w:spacing w:val="-3"/>
        </w:rPr>
        <w:t>n</w:t>
      </w:r>
      <w:r w:rsidR="005C74A1" w:rsidRPr="0062543B">
        <w:rPr>
          <w:rFonts w:eastAsia="Arial"/>
          <w:b/>
          <w:bCs/>
          <w:spacing w:val="1"/>
        </w:rPr>
        <w:t>t</w:t>
      </w:r>
      <w:r w:rsidR="005C74A1" w:rsidRPr="0062543B">
        <w:rPr>
          <w:rFonts w:eastAsia="Arial"/>
          <w:b/>
          <w:bCs/>
        </w:rPr>
        <w:t>o</w:t>
      </w:r>
      <w:r w:rsidR="005C74A1" w:rsidRPr="0062543B">
        <w:rPr>
          <w:rFonts w:eastAsia="Arial"/>
          <w:b/>
          <w:bCs/>
          <w:spacing w:val="1"/>
        </w:rPr>
        <w:t xml:space="preserve"> </w:t>
      </w:r>
      <w:r w:rsidR="005C74A1" w:rsidRPr="0062543B">
        <w:rPr>
          <w:rFonts w:eastAsia="Arial"/>
          <w:b/>
          <w:bCs/>
        </w:rPr>
        <w:t>accou</w:t>
      </w:r>
      <w:r w:rsidR="005C74A1" w:rsidRPr="0062543B">
        <w:rPr>
          <w:rFonts w:eastAsia="Arial"/>
          <w:b/>
          <w:bCs/>
          <w:spacing w:val="-3"/>
        </w:rPr>
        <w:t>n</w:t>
      </w:r>
      <w:r w:rsidR="005C74A1" w:rsidRPr="0062543B">
        <w:rPr>
          <w:rFonts w:eastAsia="Arial"/>
          <w:b/>
          <w:bCs/>
        </w:rPr>
        <w:t xml:space="preserve">t </w:t>
      </w:r>
      <w:r w:rsidR="005C74A1" w:rsidRPr="0062543B">
        <w:rPr>
          <w:rFonts w:eastAsia="Arial"/>
          <w:b/>
          <w:bCs/>
          <w:spacing w:val="1"/>
        </w:rPr>
        <w:t>t</w:t>
      </w:r>
      <w:r w:rsidR="005C74A1" w:rsidRPr="0062543B">
        <w:rPr>
          <w:rFonts w:eastAsia="Arial"/>
          <w:b/>
          <w:bCs/>
        </w:rPr>
        <w:t>he</w:t>
      </w:r>
      <w:r w:rsidR="005C74A1" w:rsidRPr="0062543B">
        <w:rPr>
          <w:rFonts w:eastAsia="Arial"/>
          <w:b/>
          <w:bCs/>
          <w:spacing w:val="-2"/>
        </w:rPr>
        <w:t xml:space="preserve"> </w:t>
      </w:r>
      <w:r w:rsidR="005C74A1" w:rsidRPr="0062543B">
        <w:rPr>
          <w:rFonts w:eastAsia="Arial"/>
          <w:b/>
          <w:bCs/>
        </w:rPr>
        <w:t>need</w:t>
      </w:r>
      <w:r w:rsidR="005C74A1" w:rsidRPr="0062543B">
        <w:rPr>
          <w:rFonts w:eastAsia="Arial"/>
          <w:b/>
          <w:bCs/>
          <w:spacing w:val="-2"/>
        </w:rPr>
        <w:t xml:space="preserve"> </w:t>
      </w:r>
      <w:r w:rsidR="005C74A1" w:rsidRPr="0062543B">
        <w:rPr>
          <w:rFonts w:eastAsia="Arial"/>
          <w:b/>
          <w:bCs/>
          <w:spacing w:val="1"/>
        </w:rPr>
        <w:t>f</w:t>
      </w:r>
      <w:r w:rsidR="005C74A1" w:rsidRPr="0062543B">
        <w:rPr>
          <w:rFonts w:eastAsia="Arial"/>
          <w:b/>
          <w:bCs/>
        </w:rPr>
        <w:t>or</w:t>
      </w:r>
      <w:r w:rsidR="005C74A1" w:rsidRPr="0062543B">
        <w:rPr>
          <w:rFonts w:eastAsia="Arial"/>
          <w:b/>
          <w:bCs/>
          <w:spacing w:val="2"/>
        </w:rPr>
        <w:t xml:space="preserve"> </w:t>
      </w:r>
      <w:r w:rsidR="005C74A1">
        <w:rPr>
          <w:rFonts w:eastAsia="Arial"/>
          <w:b/>
          <w:bCs/>
          <w:spacing w:val="2"/>
        </w:rPr>
        <w:t xml:space="preserve">gender-sensitive and </w:t>
      </w:r>
      <w:r w:rsidR="005C74A1" w:rsidRPr="0062543B">
        <w:rPr>
          <w:rFonts w:eastAsia="Arial"/>
          <w:b/>
          <w:bCs/>
        </w:rPr>
        <w:t>c</w:t>
      </w:r>
      <w:r w:rsidR="005C74A1" w:rsidRPr="0062543B">
        <w:rPr>
          <w:rFonts w:eastAsia="Arial"/>
          <w:b/>
          <w:bCs/>
          <w:spacing w:val="-3"/>
        </w:rPr>
        <w:t>u</w:t>
      </w:r>
      <w:r w:rsidR="005C74A1" w:rsidRPr="0062543B">
        <w:rPr>
          <w:rFonts w:eastAsia="Arial"/>
          <w:b/>
          <w:bCs/>
          <w:spacing w:val="1"/>
        </w:rPr>
        <w:t>lt</w:t>
      </w:r>
      <w:r w:rsidR="005C74A1" w:rsidRPr="0062543B">
        <w:rPr>
          <w:rFonts w:eastAsia="Arial"/>
          <w:b/>
          <w:bCs/>
          <w:spacing w:val="-3"/>
        </w:rPr>
        <w:t>u</w:t>
      </w:r>
      <w:r w:rsidR="005C74A1" w:rsidRPr="0062543B">
        <w:rPr>
          <w:rFonts w:eastAsia="Arial"/>
          <w:b/>
          <w:bCs/>
        </w:rPr>
        <w:t>ra</w:t>
      </w:r>
      <w:r w:rsidR="005C74A1" w:rsidRPr="0062543B">
        <w:rPr>
          <w:rFonts w:eastAsia="Arial"/>
          <w:b/>
          <w:bCs/>
          <w:spacing w:val="-1"/>
        </w:rPr>
        <w:t>l</w:t>
      </w:r>
      <w:r w:rsidR="005C74A1" w:rsidRPr="0062543B">
        <w:rPr>
          <w:rFonts w:eastAsia="Arial"/>
          <w:b/>
          <w:bCs/>
          <w:spacing w:val="1"/>
        </w:rPr>
        <w:t>l</w:t>
      </w:r>
      <w:r w:rsidR="005C74A1" w:rsidRPr="0062543B">
        <w:rPr>
          <w:rFonts w:eastAsia="Arial"/>
          <w:b/>
          <w:bCs/>
        </w:rPr>
        <w:t>y</w:t>
      </w:r>
      <w:r w:rsidR="005C74A1" w:rsidRPr="0062543B">
        <w:rPr>
          <w:rFonts w:eastAsia="Arial"/>
          <w:b/>
          <w:bCs/>
          <w:spacing w:val="-4"/>
        </w:rPr>
        <w:t xml:space="preserve"> </w:t>
      </w:r>
      <w:r w:rsidR="005C74A1" w:rsidRPr="0062543B">
        <w:rPr>
          <w:rFonts w:eastAsia="Arial"/>
          <w:b/>
          <w:bCs/>
        </w:rPr>
        <w:t>ap</w:t>
      </w:r>
      <w:r w:rsidR="005C74A1" w:rsidRPr="0062543B">
        <w:rPr>
          <w:rFonts w:eastAsia="Arial"/>
          <w:b/>
          <w:bCs/>
          <w:spacing w:val="2"/>
        </w:rPr>
        <w:t>p</w:t>
      </w:r>
      <w:r w:rsidR="005C74A1" w:rsidRPr="0062543B">
        <w:rPr>
          <w:rFonts w:eastAsia="Arial"/>
          <w:b/>
          <w:bCs/>
        </w:rPr>
        <w:t>ropr</w:t>
      </w:r>
      <w:r w:rsidR="005C74A1" w:rsidRPr="0062543B">
        <w:rPr>
          <w:rFonts w:eastAsia="Arial"/>
          <w:b/>
          <w:bCs/>
          <w:spacing w:val="1"/>
        </w:rPr>
        <w:t>i</w:t>
      </w:r>
      <w:r w:rsidR="005C74A1" w:rsidRPr="0062543B">
        <w:rPr>
          <w:rFonts w:eastAsia="Arial"/>
          <w:b/>
          <w:bCs/>
          <w:spacing w:val="-3"/>
        </w:rPr>
        <w:t>a</w:t>
      </w:r>
      <w:r w:rsidR="005C74A1" w:rsidRPr="0062543B">
        <w:rPr>
          <w:rFonts w:eastAsia="Arial"/>
          <w:b/>
          <w:bCs/>
          <w:spacing w:val="1"/>
        </w:rPr>
        <w:t>t</w:t>
      </w:r>
      <w:r w:rsidR="005C74A1" w:rsidRPr="0062543B">
        <w:rPr>
          <w:rFonts w:eastAsia="Arial"/>
          <w:b/>
          <w:bCs/>
        </w:rPr>
        <w:t>e</w:t>
      </w:r>
      <w:r w:rsidR="005C74A1" w:rsidRPr="0062543B">
        <w:rPr>
          <w:rFonts w:eastAsia="Arial"/>
          <w:b/>
          <w:bCs/>
          <w:spacing w:val="1"/>
        </w:rPr>
        <w:t xml:space="preserve"> </w:t>
      </w:r>
      <w:r w:rsidR="005C74A1" w:rsidRPr="0062543B">
        <w:rPr>
          <w:rFonts w:eastAsia="Arial"/>
          <w:b/>
          <w:bCs/>
        </w:rPr>
        <w:t>c</w:t>
      </w:r>
      <w:r w:rsidR="005C74A1" w:rsidRPr="0062543B">
        <w:rPr>
          <w:rFonts w:eastAsia="Arial"/>
          <w:b/>
          <w:bCs/>
          <w:spacing w:val="-3"/>
        </w:rPr>
        <w:t>a</w:t>
      </w:r>
      <w:r w:rsidR="005C74A1" w:rsidRPr="0062543B">
        <w:rPr>
          <w:rFonts w:eastAsia="Arial"/>
          <w:b/>
          <w:bCs/>
        </w:rPr>
        <w:t>re</w:t>
      </w:r>
      <w:r w:rsidR="005C74A1" w:rsidRPr="0062543B">
        <w:rPr>
          <w:rFonts w:eastAsia="Arial"/>
          <w:b/>
          <w:bCs/>
          <w:spacing w:val="-2"/>
        </w:rPr>
        <w:t xml:space="preserve"> </w:t>
      </w:r>
      <w:r w:rsidR="005C74A1" w:rsidRPr="0062543B">
        <w:rPr>
          <w:rFonts w:eastAsia="Arial"/>
          <w:b/>
          <w:bCs/>
          <w:spacing w:val="1"/>
        </w:rPr>
        <w:t>f</w:t>
      </w:r>
      <w:r w:rsidR="005C74A1" w:rsidRPr="0062543B">
        <w:rPr>
          <w:rFonts w:eastAsia="Arial"/>
          <w:b/>
          <w:bCs/>
        </w:rPr>
        <w:t>or</w:t>
      </w:r>
      <w:r w:rsidR="005C74A1" w:rsidRPr="0062543B">
        <w:rPr>
          <w:rFonts w:eastAsia="Arial"/>
          <w:b/>
          <w:bCs/>
          <w:spacing w:val="-6"/>
        </w:rPr>
        <w:t xml:space="preserve"> </w:t>
      </w:r>
      <w:r w:rsidR="005C74A1" w:rsidRPr="0062543B">
        <w:rPr>
          <w:rFonts w:eastAsia="Arial"/>
          <w:b/>
          <w:bCs/>
          <w:spacing w:val="3"/>
        </w:rPr>
        <w:t>w</w:t>
      </w:r>
      <w:r w:rsidR="005C74A1" w:rsidRPr="0062543B">
        <w:rPr>
          <w:rFonts w:eastAsia="Arial"/>
          <w:b/>
          <w:bCs/>
        </w:rPr>
        <w:t>ome</w:t>
      </w:r>
      <w:r w:rsidR="005C74A1">
        <w:rPr>
          <w:rFonts w:eastAsia="Arial"/>
          <w:b/>
          <w:bCs/>
          <w:spacing w:val="-3"/>
        </w:rPr>
        <w:t xml:space="preserve">n and gender-diverse </w:t>
      </w:r>
      <w:proofErr w:type="gramStart"/>
      <w:r w:rsidR="005C74A1">
        <w:rPr>
          <w:rFonts w:eastAsia="Arial"/>
          <w:b/>
          <w:bCs/>
          <w:spacing w:val="-3"/>
        </w:rPr>
        <w:t>people</w:t>
      </w:r>
      <w:r w:rsidR="005C74A1" w:rsidRPr="0062543B">
        <w:rPr>
          <w:rFonts w:eastAsia="Arial"/>
          <w:b/>
          <w:bCs/>
        </w:rPr>
        <w:t>;</w:t>
      </w:r>
      <w:proofErr w:type="gramEnd"/>
    </w:p>
    <w:p w14:paraId="663F9FFB" w14:textId="77777777" w:rsidR="005C74A1" w:rsidRPr="005576DA" w:rsidRDefault="005C74A1" w:rsidP="00967D45">
      <w:pPr>
        <w:pStyle w:val="ListParagraph"/>
        <w:tabs>
          <w:tab w:val="left" w:pos="800"/>
        </w:tabs>
        <w:ind w:left="426" w:right="196" w:hanging="426"/>
        <w:jc w:val="both"/>
        <w:rPr>
          <w:rFonts w:eastAsia="Arial"/>
        </w:rPr>
      </w:pPr>
    </w:p>
    <w:p w14:paraId="31E95BD1" w14:textId="2CA0C246" w:rsidR="005C74A1" w:rsidRPr="005576DA" w:rsidRDefault="00343BE1" w:rsidP="00967D45">
      <w:pPr>
        <w:pStyle w:val="ListParagraph"/>
        <w:numPr>
          <w:ilvl w:val="0"/>
          <w:numId w:val="32"/>
        </w:numPr>
        <w:tabs>
          <w:tab w:val="left" w:pos="800"/>
        </w:tabs>
        <w:ind w:left="426" w:right="196" w:hanging="426"/>
        <w:jc w:val="both"/>
        <w:rPr>
          <w:rFonts w:eastAsia="Arial"/>
        </w:rPr>
      </w:pPr>
      <w:r>
        <w:rPr>
          <w:rFonts w:eastAsia="Arial"/>
          <w:b/>
          <w:bCs/>
          <w:spacing w:val="1"/>
        </w:rPr>
        <w:t>I</w:t>
      </w:r>
      <w:r w:rsidR="005C74A1" w:rsidRPr="005576DA">
        <w:rPr>
          <w:rFonts w:eastAsia="Arial"/>
          <w:b/>
          <w:bCs/>
        </w:rPr>
        <w:t>m</w:t>
      </w:r>
      <w:r w:rsidR="005C74A1" w:rsidRPr="005576DA">
        <w:rPr>
          <w:rFonts w:eastAsia="Arial"/>
          <w:b/>
          <w:bCs/>
          <w:spacing w:val="-3"/>
        </w:rPr>
        <w:t>p</w:t>
      </w:r>
      <w:r w:rsidR="005C74A1" w:rsidRPr="005576DA">
        <w:rPr>
          <w:rFonts w:eastAsia="Arial"/>
          <w:b/>
          <w:bCs/>
          <w:spacing w:val="1"/>
        </w:rPr>
        <w:t>l</w:t>
      </w:r>
      <w:r w:rsidR="005C74A1" w:rsidRPr="005576DA">
        <w:rPr>
          <w:rFonts w:eastAsia="Arial"/>
          <w:b/>
          <w:bCs/>
        </w:rPr>
        <w:t>eme</w:t>
      </w:r>
      <w:r w:rsidR="005C74A1" w:rsidRPr="005576DA">
        <w:rPr>
          <w:rFonts w:eastAsia="Arial"/>
          <w:b/>
          <w:bCs/>
          <w:spacing w:val="-3"/>
        </w:rPr>
        <w:t>n</w:t>
      </w:r>
      <w:r w:rsidR="005C74A1" w:rsidRPr="005576DA">
        <w:rPr>
          <w:rFonts w:eastAsia="Arial"/>
          <w:b/>
          <w:bCs/>
        </w:rPr>
        <w:t xml:space="preserve">t </w:t>
      </w:r>
      <w:r w:rsidR="005C74A1">
        <w:rPr>
          <w:rFonts w:eastAsia="Arial"/>
          <w:b/>
          <w:bCs/>
        </w:rPr>
        <w:t xml:space="preserve">or remove barriers to </w:t>
      </w:r>
      <w:r w:rsidR="005C74A1" w:rsidRPr="005576DA">
        <w:rPr>
          <w:rFonts w:eastAsia="Arial"/>
          <w:b/>
          <w:bCs/>
        </w:rPr>
        <w:t>key</w:t>
      </w:r>
      <w:r w:rsidR="005C74A1" w:rsidRPr="005576DA">
        <w:rPr>
          <w:rFonts w:eastAsia="Arial"/>
          <w:b/>
          <w:bCs/>
          <w:spacing w:val="-4"/>
        </w:rPr>
        <w:t xml:space="preserve"> </w:t>
      </w:r>
      <w:r w:rsidR="005C74A1" w:rsidRPr="005576DA">
        <w:rPr>
          <w:rFonts w:eastAsia="Arial"/>
          <w:b/>
          <w:bCs/>
        </w:rPr>
        <w:t>hea</w:t>
      </w:r>
      <w:r w:rsidR="005C74A1" w:rsidRPr="005576DA">
        <w:rPr>
          <w:rFonts w:eastAsia="Arial"/>
          <w:b/>
          <w:bCs/>
          <w:spacing w:val="1"/>
        </w:rPr>
        <w:t>lt</w:t>
      </w:r>
      <w:r w:rsidR="005C74A1" w:rsidRPr="005576DA">
        <w:rPr>
          <w:rFonts w:eastAsia="Arial"/>
          <w:b/>
          <w:bCs/>
        </w:rPr>
        <w:t>h</w:t>
      </w:r>
      <w:r w:rsidR="005C74A1" w:rsidRPr="005576DA">
        <w:rPr>
          <w:rFonts w:eastAsia="Arial"/>
          <w:b/>
          <w:bCs/>
          <w:spacing w:val="1"/>
        </w:rPr>
        <w:t xml:space="preserve"> </w:t>
      </w:r>
      <w:r w:rsidR="005C74A1" w:rsidRPr="005576DA">
        <w:rPr>
          <w:rFonts w:eastAsia="Arial"/>
          <w:b/>
          <w:bCs/>
          <w:spacing w:val="-3"/>
        </w:rPr>
        <w:t>a</w:t>
      </w:r>
      <w:r w:rsidR="005C74A1" w:rsidRPr="005576DA">
        <w:rPr>
          <w:rFonts w:eastAsia="Arial"/>
          <w:b/>
          <w:bCs/>
        </w:rPr>
        <w:t>nd</w:t>
      </w:r>
      <w:r w:rsidR="005C74A1" w:rsidRPr="005576DA">
        <w:rPr>
          <w:rFonts w:eastAsia="Arial"/>
          <w:b/>
          <w:bCs/>
          <w:spacing w:val="1"/>
        </w:rPr>
        <w:t xml:space="preserve"> </w:t>
      </w:r>
      <w:r w:rsidR="005C74A1" w:rsidRPr="005576DA">
        <w:rPr>
          <w:rFonts w:eastAsia="Arial"/>
          <w:b/>
          <w:bCs/>
        </w:rPr>
        <w:t>harm</w:t>
      </w:r>
      <w:r w:rsidR="005C74A1" w:rsidRPr="005576DA">
        <w:rPr>
          <w:rFonts w:eastAsia="Arial"/>
          <w:b/>
          <w:bCs/>
          <w:spacing w:val="-1"/>
        </w:rPr>
        <w:t xml:space="preserve"> </w:t>
      </w:r>
      <w:r w:rsidR="005C74A1" w:rsidRPr="005576DA">
        <w:rPr>
          <w:rFonts w:eastAsia="Arial"/>
          <w:b/>
          <w:bCs/>
        </w:rPr>
        <w:t>redu</w:t>
      </w:r>
      <w:r w:rsidR="005C74A1" w:rsidRPr="005576DA">
        <w:rPr>
          <w:rFonts w:eastAsia="Arial"/>
          <w:b/>
          <w:bCs/>
          <w:spacing w:val="-3"/>
        </w:rPr>
        <w:t>c</w:t>
      </w:r>
      <w:r w:rsidR="005C74A1" w:rsidRPr="005576DA">
        <w:rPr>
          <w:rFonts w:eastAsia="Arial"/>
          <w:b/>
          <w:bCs/>
          <w:spacing w:val="1"/>
        </w:rPr>
        <w:t>ti</w:t>
      </w:r>
      <w:r w:rsidR="005C74A1" w:rsidRPr="005576DA">
        <w:rPr>
          <w:rFonts w:eastAsia="Arial"/>
          <w:b/>
          <w:bCs/>
        </w:rPr>
        <w:t>on</w:t>
      </w:r>
      <w:r w:rsidR="005C74A1" w:rsidRPr="005576DA">
        <w:rPr>
          <w:rFonts w:eastAsia="Arial"/>
          <w:b/>
          <w:bCs/>
          <w:spacing w:val="-2"/>
        </w:rPr>
        <w:t xml:space="preserve"> </w:t>
      </w:r>
      <w:r w:rsidR="005C74A1" w:rsidRPr="005576DA">
        <w:rPr>
          <w:rFonts w:eastAsia="Arial"/>
          <w:b/>
          <w:bCs/>
        </w:rPr>
        <w:t>me</w:t>
      </w:r>
      <w:r w:rsidR="005C74A1" w:rsidRPr="005576DA">
        <w:rPr>
          <w:rFonts w:eastAsia="Arial"/>
          <w:b/>
          <w:bCs/>
          <w:spacing w:val="-3"/>
        </w:rPr>
        <w:t>a</w:t>
      </w:r>
      <w:r w:rsidR="005C74A1" w:rsidRPr="005576DA">
        <w:rPr>
          <w:rFonts w:eastAsia="Arial"/>
          <w:b/>
          <w:bCs/>
        </w:rPr>
        <w:t>sures</w:t>
      </w:r>
      <w:r w:rsidR="005C74A1" w:rsidRPr="005576DA">
        <w:rPr>
          <w:rFonts w:eastAsia="Arial"/>
          <w:b/>
          <w:bCs/>
          <w:spacing w:val="1"/>
        </w:rPr>
        <w:t xml:space="preserve"> i</w:t>
      </w:r>
      <w:r w:rsidR="005C74A1" w:rsidRPr="005576DA">
        <w:rPr>
          <w:rFonts w:eastAsia="Arial"/>
          <w:b/>
          <w:bCs/>
        </w:rPr>
        <w:t>n</w:t>
      </w:r>
      <w:r w:rsidR="005C74A1" w:rsidRPr="005576DA">
        <w:rPr>
          <w:rFonts w:eastAsia="Arial"/>
          <w:b/>
          <w:bCs/>
          <w:spacing w:val="-2"/>
        </w:rPr>
        <w:t xml:space="preserve"> </w:t>
      </w:r>
      <w:r w:rsidR="005C74A1" w:rsidRPr="005576DA">
        <w:rPr>
          <w:rFonts w:eastAsia="Arial"/>
          <w:b/>
          <w:bCs/>
          <w:spacing w:val="-3"/>
        </w:rPr>
        <w:t>a</w:t>
      </w:r>
      <w:r w:rsidR="005C74A1" w:rsidRPr="005576DA">
        <w:rPr>
          <w:rFonts w:eastAsia="Arial"/>
          <w:b/>
          <w:bCs/>
          <w:spacing w:val="1"/>
        </w:rPr>
        <w:t>l</w:t>
      </w:r>
      <w:r w:rsidR="005C74A1" w:rsidRPr="005576DA">
        <w:rPr>
          <w:rFonts w:eastAsia="Arial"/>
          <w:b/>
          <w:bCs/>
        </w:rPr>
        <w:t>l pr</w:t>
      </w:r>
      <w:r w:rsidR="005C74A1" w:rsidRPr="005576DA">
        <w:rPr>
          <w:rFonts w:eastAsia="Arial"/>
          <w:b/>
          <w:bCs/>
          <w:spacing w:val="1"/>
        </w:rPr>
        <w:t>i</w:t>
      </w:r>
      <w:r w:rsidR="005C74A1" w:rsidRPr="005576DA">
        <w:rPr>
          <w:rFonts w:eastAsia="Arial"/>
          <w:b/>
          <w:bCs/>
        </w:rPr>
        <w:t>sons and</w:t>
      </w:r>
      <w:r w:rsidR="005C74A1">
        <w:rPr>
          <w:rFonts w:eastAsia="Arial"/>
          <w:b/>
          <w:bCs/>
        </w:rPr>
        <w:t xml:space="preserve"> other</w:t>
      </w:r>
      <w:r w:rsidR="005C74A1" w:rsidRPr="005576DA">
        <w:rPr>
          <w:rFonts w:eastAsia="Arial"/>
          <w:b/>
          <w:bCs/>
        </w:rPr>
        <w:t xml:space="preserve"> places of detention, </w:t>
      </w:r>
      <w:r w:rsidR="005C74A1" w:rsidRPr="005576DA">
        <w:rPr>
          <w:rFonts w:eastAsia="Arial"/>
          <w:b/>
          <w:bCs/>
          <w:spacing w:val="1"/>
        </w:rPr>
        <w:t>i</w:t>
      </w:r>
      <w:r w:rsidR="005C74A1" w:rsidRPr="005576DA">
        <w:rPr>
          <w:rFonts w:eastAsia="Arial"/>
          <w:b/>
          <w:bCs/>
        </w:rPr>
        <w:t>nc</w:t>
      </w:r>
      <w:r w:rsidR="005C74A1" w:rsidRPr="005576DA">
        <w:rPr>
          <w:rFonts w:eastAsia="Arial"/>
          <w:b/>
          <w:bCs/>
          <w:spacing w:val="1"/>
        </w:rPr>
        <w:t>l</w:t>
      </w:r>
      <w:r w:rsidR="005C74A1" w:rsidRPr="005576DA">
        <w:rPr>
          <w:rFonts w:eastAsia="Arial"/>
          <w:b/>
          <w:bCs/>
        </w:rPr>
        <w:t>u</w:t>
      </w:r>
      <w:r w:rsidR="005C74A1" w:rsidRPr="005576DA">
        <w:rPr>
          <w:rFonts w:eastAsia="Arial"/>
          <w:b/>
          <w:bCs/>
          <w:spacing w:val="-3"/>
        </w:rPr>
        <w:t>d</w:t>
      </w:r>
      <w:r w:rsidR="005C74A1" w:rsidRPr="005576DA">
        <w:rPr>
          <w:rFonts w:eastAsia="Arial"/>
          <w:b/>
          <w:bCs/>
          <w:spacing w:val="1"/>
        </w:rPr>
        <w:t>i</w:t>
      </w:r>
      <w:r w:rsidR="005C74A1" w:rsidRPr="005576DA">
        <w:rPr>
          <w:rFonts w:eastAsia="Arial"/>
          <w:b/>
          <w:bCs/>
        </w:rPr>
        <w:t>ng:</w:t>
      </w:r>
    </w:p>
    <w:p w14:paraId="60742F86" w14:textId="77777777" w:rsidR="005C74A1" w:rsidRPr="00D43091" w:rsidRDefault="005C74A1" w:rsidP="00967D45">
      <w:pPr>
        <w:pStyle w:val="ListParagraph"/>
        <w:ind w:left="426" w:hanging="426"/>
        <w:rPr>
          <w:rFonts w:eastAsia="Arial"/>
          <w:b/>
          <w:bCs/>
          <w:spacing w:val="1"/>
          <w:sz w:val="10"/>
          <w:szCs w:val="10"/>
        </w:rPr>
      </w:pPr>
    </w:p>
    <w:p w14:paraId="64501646" w14:textId="77777777" w:rsidR="005C74A1" w:rsidRPr="004C55B8" w:rsidRDefault="005C74A1" w:rsidP="00340A5E">
      <w:pPr>
        <w:pStyle w:val="ListParagraph"/>
        <w:numPr>
          <w:ilvl w:val="2"/>
          <w:numId w:val="49"/>
        </w:numPr>
        <w:ind w:left="1134" w:right="126" w:hanging="283"/>
        <w:jc w:val="both"/>
        <w:rPr>
          <w:rFonts w:eastAsia="Arial"/>
        </w:rPr>
      </w:pPr>
      <w:r w:rsidRPr="0062543B">
        <w:rPr>
          <w:rFonts w:eastAsia="Arial"/>
          <w:b/>
          <w:bCs/>
        </w:rPr>
        <w:t>need</w:t>
      </w:r>
      <w:r w:rsidRPr="0062543B">
        <w:rPr>
          <w:rFonts w:eastAsia="Arial"/>
          <w:b/>
          <w:bCs/>
          <w:spacing w:val="1"/>
        </w:rPr>
        <w:t>l</w:t>
      </w:r>
      <w:r w:rsidRPr="0062543B">
        <w:rPr>
          <w:rFonts w:eastAsia="Arial"/>
          <w:b/>
          <w:bCs/>
        </w:rPr>
        <w:t>e</w:t>
      </w:r>
      <w:r w:rsidRPr="0062543B">
        <w:rPr>
          <w:rFonts w:eastAsia="Arial"/>
          <w:b/>
          <w:bCs/>
          <w:spacing w:val="-2"/>
        </w:rPr>
        <w:t xml:space="preserve"> </w:t>
      </w:r>
      <w:r w:rsidRPr="0062543B">
        <w:rPr>
          <w:rFonts w:eastAsia="Arial"/>
          <w:b/>
          <w:bCs/>
        </w:rPr>
        <w:t>and</w:t>
      </w:r>
      <w:r w:rsidRPr="0062543B">
        <w:rPr>
          <w:rFonts w:eastAsia="Arial"/>
          <w:b/>
          <w:bCs/>
          <w:spacing w:val="1"/>
        </w:rPr>
        <w:t xml:space="preserve"> </w:t>
      </w:r>
      <w:r w:rsidRPr="0062543B">
        <w:rPr>
          <w:rFonts w:eastAsia="Arial"/>
          <w:b/>
          <w:bCs/>
        </w:rPr>
        <w:t>s</w:t>
      </w:r>
      <w:r w:rsidRPr="0062543B">
        <w:rPr>
          <w:rFonts w:eastAsia="Arial"/>
          <w:b/>
          <w:bCs/>
          <w:spacing w:val="-5"/>
        </w:rPr>
        <w:t>y</w:t>
      </w:r>
      <w:r w:rsidRPr="0062543B">
        <w:rPr>
          <w:rFonts w:eastAsia="Arial"/>
          <w:b/>
          <w:bCs/>
        </w:rPr>
        <w:t>r</w:t>
      </w:r>
      <w:r w:rsidRPr="0062543B">
        <w:rPr>
          <w:rFonts w:eastAsia="Arial"/>
          <w:b/>
          <w:bCs/>
          <w:spacing w:val="1"/>
        </w:rPr>
        <w:t>i</w:t>
      </w:r>
      <w:r w:rsidRPr="0062543B">
        <w:rPr>
          <w:rFonts w:eastAsia="Arial"/>
          <w:b/>
          <w:bCs/>
        </w:rPr>
        <w:t>nge</w:t>
      </w:r>
      <w:r w:rsidRPr="0062543B">
        <w:rPr>
          <w:rFonts w:eastAsia="Arial"/>
          <w:b/>
          <w:bCs/>
          <w:spacing w:val="1"/>
        </w:rPr>
        <w:t xml:space="preserve"> </w:t>
      </w:r>
      <w:r w:rsidRPr="0062543B">
        <w:rPr>
          <w:rFonts w:eastAsia="Arial"/>
          <w:b/>
          <w:bCs/>
        </w:rPr>
        <w:t>p</w:t>
      </w:r>
      <w:r w:rsidRPr="0062543B">
        <w:rPr>
          <w:rFonts w:eastAsia="Arial"/>
          <w:b/>
          <w:bCs/>
          <w:spacing w:val="-2"/>
        </w:rPr>
        <w:t>r</w:t>
      </w:r>
      <w:r w:rsidRPr="0062543B">
        <w:rPr>
          <w:rFonts w:eastAsia="Arial"/>
          <w:b/>
          <w:bCs/>
        </w:rPr>
        <w:t>ograms</w:t>
      </w:r>
    </w:p>
    <w:p w14:paraId="6F73592A" w14:textId="77777777" w:rsidR="005C74A1" w:rsidRPr="004C55B8" w:rsidRDefault="005C74A1" w:rsidP="00340A5E">
      <w:pPr>
        <w:pStyle w:val="ListParagraph"/>
        <w:numPr>
          <w:ilvl w:val="2"/>
          <w:numId w:val="49"/>
        </w:numPr>
        <w:ind w:left="1134" w:right="126" w:hanging="283"/>
        <w:jc w:val="both"/>
        <w:rPr>
          <w:rFonts w:eastAsia="Arial"/>
        </w:rPr>
      </w:pPr>
      <w:r w:rsidRPr="0062543B">
        <w:rPr>
          <w:rFonts w:eastAsia="Arial"/>
          <w:b/>
          <w:bCs/>
        </w:rPr>
        <w:t>op</w:t>
      </w:r>
      <w:r w:rsidRPr="0062543B">
        <w:rPr>
          <w:rFonts w:eastAsia="Arial"/>
          <w:b/>
          <w:bCs/>
          <w:spacing w:val="1"/>
        </w:rPr>
        <w:t>i</w:t>
      </w:r>
      <w:r w:rsidRPr="0062543B">
        <w:rPr>
          <w:rFonts w:eastAsia="Arial"/>
          <w:b/>
          <w:bCs/>
          <w:spacing w:val="-3"/>
        </w:rPr>
        <w:t>o</w:t>
      </w:r>
      <w:r w:rsidRPr="0062543B">
        <w:rPr>
          <w:rFonts w:eastAsia="Arial"/>
          <w:b/>
          <w:bCs/>
          <w:spacing w:val="1"/>
        </w:rPr>
        <w:t>i</w:t>
      </w:r>
      <w:r w:rsidRPr="0062543B">
        <w:rPr>
          <w:rFonts w:eastAsia="Arial"/>
          <w:b/>
          <w:bCs/>
        </w:rPr>
        <w:t>d</w:t>
      </w:r>
      <w:r w:rsidRPr="0062543B">
        <w:rPr>
          <w:rFonts w:eastAsia="Arial"/>
          <w:b/>
          <w:bCs/>
          <w:spacing w:val="-2"/>
        </w:rPr>
        <w:t xml:space="preserve"> </w:t>
      </w:r>
      <w:r>
        <w:rPr>
          <w:rFonts w:eastAsia="Arial"/>
          <w:b/>
          <w:bCs/>
        </w:rPr>
        <w:t>agonist</w:t>
      </w:r>
      <w:r w:rsidRPr="0062543B">
        <w:rPr>
          <w:rFonts w:eastAsia="Arial"/>
          <w:b/>
          <w:bCs/>
          <w:spacing w:val="-2"/>
        </w:rPr>
        <w:t xml:space="preserve"> </w:t>
      </w:r>
      <w:r w:rsidRPr="0062543B">
        <w:rPr>
          <w:rFonts w:eastAsia="Arial"/>
          <w:b/>
          <w:bCs/>
          <w:spacing w:val="1"/>
        </w:rPr>
        <w:t>t</w:t>
      </w:r>
      <w:r w:rsidRPr="0062543B">
        <w:rPr>
          <w:rFonts w:eastAsia="Arial"/>
          <w:b/>
          <w:bCs/>
        </w:rPr>
        <w:t>herap</w:t>
      </w:r>
      <w:r w:rsidRPr="0062543B">
        <w:rPr>
          <w:rFonts w:eastAsia="Arial"/>
          <w:b/>
          <w:bCs/>
          <w:spacing w:val="-5"/>
        </w:rPr>
        <w:t>y</w:t>
      </w:r>
    </w:p>
    <w:p w14:paraId="37308304" w14:textId="77777777" w:rsidR="005C74A1" w:rsidRPr="004C55B8" w:rsidRDefault="005C74A1" w:rsidP="00340A5E">
      <w:pPr>
        <w:pStyle w:val="ListParagraph"/>
        <w:numPr>
          <w:ilvl w:val="2"/>
          <w:numId w:val="49"/>
        </w:numPr>
        <w:ind w:left="1134" w:right="126" w:hanging="283"/>
        <w:jc w:val="both"/>
        <w:rPr>
          <w:rFonts w:eastAsia="Arial"/>
        </w:rPr>
      </w:pPr>
      <w:r w:rsidRPr="0062543B">
        <w:rPr>
          <w:rFonts w:eastAsia="Arial"/>
          <w:b/>
          <w:bCs/>
        </w:rPr>
        <w:t>condoms</w:t>
      </w:r>
      <w:r w:rsidRPr="0062543B">
        <w:rPr>
          <w:rFonts w:eastAsia="Arial"/>
          <w:b/>
          <w:bCs/>
          <w:spacing w:val="1"/>
        </w:rPr>
        <w:t xml:space="preserve"> </w:t>
      </w:r>
      <w:r w:rsidRPr="0062543B">
        <w:rPr>
          <w:rFonts w:eastAsia="Arial"/>
          <w:b/>
          <w:bCs/>
        </w:rPr>
        <w:t>and</w:t>
      </w:r>
      <w:r w:rsidRPr="0062543B">
        <w:rPr>
          <w:rFonts w:eastAsia="Arial"/>
          <w:b/>
          <w:bCs/>
          <w:spacing w:val="-2"/>
        </w:rPr>
        <w:t xml:space="preserve"> </w:t>
      </w:r>
      <w:r w:rsidRPr="0062543B">
        <w:rPr>
          <w:rFonts w:eastAsia="Arial"/>
          <w:b/>
          <w:bCs/>
        </w:rPr>
        <w:t>o</w:t>
      </w:r>
      <w:r w:rsidRPr="0062543B">
        <w:rPr>
          <w:rFonts w:eastAsia="Arial"/>
          <w:b/>
          <w:bCs/>
          <w:spacing w:val="1"/>
        </w:rPr>
        <w:t>t</w:t>
      </w:r>
      <w:r w:rsidRPr="0062543B">
        <w:rPr>
          <w:rFonts w:eastAsia="Arial"/>
          <w:b/>
          <w:bCs/>
        </w:rPr>
        <w:t>her</w:t>
      </w:r>
      <w:r w:rsidRPr="0062543B">
        <w:rPr>
          <w:rFonts w:eastAsia="Arial"/>
          <w:b/>
          <w:bCs/>
          <w:spacing w:val="-1"/>
        </w:rPr>
        <w:t xml:space="preserve"> </w:t>
      </w:r>
      <w:r w:rsidRPr="0062543B">
        <w:rPr>
          <w:rFonts w:eastAsia="Arial"/>
          <w:b/>
          <w:bCs/>
        </w:rPr>
        <w:t>sa</w:t>
      </w:r>
      <w:r w:rsidRPr="0062543B">
        <w:rPr>
          <w:rFonts w:eastAsia="Arial"/>
          <w:b/>
          <w:bCs/>
          <w:spacing w:val="-2"/>
        </w:rPr>
        <w:t>f</w:t>
      </w:r>
      <w:r w:rsidRPr="0062543B">
        <w:rPr>
          <w:rFonts w:eastAsia="Arial"/>
          <w:b/>
          <w:bCs/>
        </w:rPr>
        <w:t>er</w:t>
      </w:r>
      <w:r w:rsidRPr="0062543B">
        <w:rPr>
          <w:rFonts w:eastAsia="Arial"/>
          <w:b/>
          <w:bCs/>
          <w:spacing w:val="2"/>
        </w:rPr>
        <w:t xml:space="preserve"> </w:t>
      </w:r>
      <w:r w:rsidRPr="0062543B">
        <w:rPr>
          <w:rFonts w:eastAsia="Arial"/>
          <w:b/>
          <w:bCs/>
        </w:rPr>
        <w:t>sex</w:t>
      </w:r>
      <w:r w:rsidRPr="0062543B">
        <w:rPr>
          <w:rFonts w:eastAsia="Arial"/>
          <w:b/>
          <w:bCs/>
          <w:spacing w:val="1"/>
        </w:rPr>
        <w:t xml:space="preserve"> </w:t>
      </w:r>
      <w:r w:rsidRPr="0062543B">
        <w:rPr>
          <w:rFonts w:eastAsia="Arial"/>
          <w:b/>
          <w:bCs/>
        </w:rPr>
        <w:t>sup</w:t>
      </w:r>
      <w:r w:rsidRPr="0062543B">
        <w:rPr>
          <w:rFonts w:eastAsia="Arial"/>
          <w:b/>
          <w:bCs/>
          <w:spacing w:val="-3"/>
        </w:rPr>
        <w:t>p</w:t>
      </w:r>
      <w:r w:rsidRPr="0062543B">
        <w:rPr>
          <w:rFonts w:eastAsia="Arial"/>
          <w:b/>
          <w:bCs/>
          <w:spacing w:val="-1"/>
        </w:rPr>
        <w:t>l</w:t>
      </w:r>
      <w:r w:rsidRPr="0062543B">
        <w:rPr>
          <w:rFonts w:eastAsia="Arial"/>
          <w:b/>
          <w:bCs/>
          <w:spacing w:val="1"/>
        </w:rPr>
        <w:t>i</w:t>
      </w:r>
      <w:r w:rsidRPr="0062543B">
        <w:rPr>
          <w:rFonts w:eastAsia="Arial"/>
          <w:b/>
          <w:bCs/>
        </w:rPr>
        <w:t>es</w:t>
      </w:r>
    </w:p>
    <w:p w14:paraId="5B1EF383" w14:textId="77777777" w:rsidR="005C74A1" w:rsidRPr="00AA6A71" w:rsidRDefault="005C74A1" w:rsidP="00340A5E">
      <w:pPr>
        <w:pStyle w:val="ListParagraph"/>
        <w:numPr>
          <w:ilvl w:val="2"/>
          <w:numId w:val="49"/>
        </w:numPr>
        <w:ind w:left="1134" w:right="126" w:hanging="283"/>
        <w:jc w:val="both"/>
        <w:rPr>
          <w:sz w:val="26"/>
          <w:szCs w:val="26"/>
        </w:rPr>
      </w:pPr>
      <w:r w:rsidRPr="005576DA">
        <w:rPr>
          <w:rFonts w:eastAsia="Arial"/>
          <w:b/>
          <w:bCs/>
        </w:rPr>
        <w:t>programs to address tattooing, piercing</w:t>
      </w:r>
      <w:r>
        <w:rPr>
          <w:rFonts w:eastAsia="Arial"/>
          <w:b/>
          <w:bCs/>
        </w:rPr>
        <w:t>,</w:t>
      </w:r>
      <w:r w:rsidRPr="005576DA">
        <w:rPr>
          <w:rFonts w:eastAsia="Arial"/>
          <w:b/>
          <w:bCs/>
        </w:rPr>
        <w:t xml:space="preserve"> and other forms of skin penetration</w:t>
      </w:r>
    </w:p>
    <w:p w14:paraId="4D70D83C" w14:textId="77777777" w:rsidR="005C74A1" w:rsidRPr="00AA6A71" w:rsidRDefault="005C74A1" w:rsidP="00340A5E">
      <w:pPr>
        <w:pStyle w:val="ListParagraph"/>
        <w:numPr>
          <w:ilvl w:val="2"/>
          <w:numId w:val="49"/>
        </w:numPr>
        <w:ind w:left="1134" w:right="126" w:hanging="283"/>
        <w:jc w:val="both"/>
        <w:rPr>
          <w:sz w:val="26"/>
          <w:szCs w:val="26"/>
        </w:rPr>
      </w:pPr>
      <w:r>
        <w:rPr>
          <w:rFonts w:eastAsia="Arial"/>
          <w:b/>
          <w:bCs/>
        </w:rPr>
        <w:t xml:space="preserve">overdose prevention services </w:t>
      </w:r>
    </w:p>
    <w:p w14:paraId="7D2441FF" w14:textId="732534AD" w:rsidR="005C74A1" w:rsidRPr="00C34B65" w:rsidRDefault="005C74A1" w:rsidP="00340A5E">
      <w:pPr>
        <w:pStyle w:val="ListParagraph"/>
        <w:numPr>
          <w:ilvl w:val="2"/>
          <w:numId w:val="49"/>
        </w:numPr>
        <w:ind w:left="1134" w:right="126" w:hanging="283"/>
        <w:jc w:val="both"/>
        <w:rPr>
          <w:sz w:val="26"/>
          <w:szCs w:val="26"/>
        </w:rPr>
      </w:pPr>
      <w:r>
        <w:rPr>
          <w:rFonts w:eastAsia="Arial"/>
          <w:b/>
          <w:bCs/>
        </w:rPr>
        <w:t>safe</w:t>
      </w:r>
      <w:r w:rsidR="004F4335">
        <w:rPr>
          <w:rFonts w:eastAsia="Arial"/>
          <w:b/>
          <w:bCs/>
        </w:rPr>
        <w:t>r</w:t>
      </w:r>
      <w:r>
        <w:rPr>
          <w:rFonts w:eastAsia="Arial"/>
          <w:b/>
          <w:bCs/>
        </w:rPr>
        <w:t xml:space="preserve"> supply</w:t>
      </w:r>
    </w:p>
    <w:p w14:paraId="7304C96C" w14:textId="77777777" w:rsidR="005C74A1" w:rsidRPr="00D43091" w:rsidRDefault="005C74A1" w:rsidP="00967D45">
      <w:pPr>
        <w:tabs>
          <w:tab w:val="left" w:pos="800"/>
        </w:tabs>
        <w:ind w:left="426" w:right="126" w:hanging="426"/>
        <w:jc w:val="both"/>
        <w:rPr>
          <w:rFonts w:eastAsia="Arial"/>
          <w:b/>
          <w:bCs/>
          <w:spacing w:val="1"/>
          <w:sz w:val="10"/>
          <w:szCs w:val="10"/>
        </w:rPr>
      </w:pPr>
    </w:p>
    <w:p w14:paraId="19B022C2" w14:textId="43BE2096" w:rsidR="005C74A1" w:rsidRDefault="00E82AE2" w:rsidP="00967D45">
      <w:pPr>
        <w:tabs>
          <w:tab w:val="left" w:pos="800"/>
        </w:tabs>
        <w:ind w:left="426" w:right="126" w:hanging="426"/>
        <w:jc w:val="both"/>
        <w:rPr>
          <w:rFonts w:eastAsia="Arial"/>
          <w:b/>
          <w:bCs/>
        </w:rPr>
      </w:pPr>
      <w:r>
        <w:rPr>
          <w:rFonts w:eastAsia="Arial"/>
          <w:b/>
          <w:bCs/>
          <w:spacing w:val="1"/>
        </w:rPr>
        <w:tab/>
      </w:r>
      <w:r>
        <w:rPr>
          <w:rFonts w:eastAsia="Arial"/>
          <w:b/>
          <w:bCs/>
          <w:spacing w:val="1"/>
        </w:rPr>
        <w:tab/>
      </w:r>
      <w:r w:rsidR="00340A5E">
        <w:rPr>
          <w:rFonts w:eastAsia="Arial"/>
          <w:b/>
          <w:bCs/>
          <w:spacing w:val="1"/>
        </w:rPr>
        <w:t xml:space="preserve">and </w:t>
      </w:r>
      <w:r w:rsidR="005C74A1">
        <w:rPr>
          <w:rFonts w:eastAsia="Arial"/>
          <w:b/>
          <w:bCs/>
          <w:spacing w:val="1"/>
        </w:rPr>
        <w:t>ensuring such programs are</w:t>
      </w:r>
      <w:r w:rsidR="005C74A1" w:rsidRPr="00C34B65">
        <w:rPr>
          <w:rFonts w:eastAsia="Arial"/>
          <w:b/>
          <w:bCs/>
          <w:spacing w:val="-1"/>
        </w:rPr>
        <w:t xml:space="preserve"> </w:t>
      </w:r>
      <w:r w:rsidR="005C74A1" w:rsidRPr="00C34B65">
        <w:rPr>
          <w:rFonts w:eastAsia="Arial"/>
          <w:b/>
          <w:bCs/>
        </w:rPr>
        <w:t>cu</w:t>
      </w:r>
      <w:r w:rsidR="005C74A1" w:rsidRPr="00C34B65">
        <w:rPr>
          <w:rFonts w:eastAsia="Arial"/>
          <w:b/>
          <w:bCs/>
          <w:spacing w:val="-1"/>
        </w:rPr>
        <w:t>l</w:t>
      </w:r>
      <w:r w:rsidR="005C74A1" w:rsidRPr="00C34B65">
        <w:rPr>
          <w:rFonts w:eastAsia="Arial"/>
          <w:b/>
          <w:bCs/>
          <w:spacing w:val="1"/>
        </w:rPr>
        <w:t>t</w:t>
      </w:r>
      <w:r w:rsidR="005C74A1" w:rsidRPr="00C34B65">
        <w:rPr>
          <w:rFonts w:eastAsia="Arial"/>
          <w:b/>
          <w:bCs/>
        </w:rPr>
        <w:t>ur</w:t>
      </w:r>
      <w:r w:rsidR="005C74A1" w:rsidRPr="00C34B65">
        <w:rPr>
          <w:rFonts w:eastAsia="Arial"/>
          <w:b/>
          <w:bCs/>
          <w:spacing w:val="-3"/>
        </w:rPr>
        <w:t>a</w:t>
      </w:r>
      <w:r w:rsidR="005C74A1" w:rsidRPr="00C34B65">
        <w:rPr>
          <w:rFonts w:eastAsia="Arial"/>
          <w:b/>
          <w:bCs/>
          <w:spacing w:val="1"/>
        </w:rPr>
        <w:t>ll</w:t>
      </w:r>
      <w:r w:rsidR="005C74A1" w:rsidRPr="00C34B65">
        <w:rPr>
          <w:rFonts w:eastAsia="Arial"/>
          <w:b/>
          <w:bCs/>
        </w:rPr>
        <w:t>y</w:t>
      </w:r>
      <w:r w:rsidR="005C74A1" w:rsidRPr="00C34B65">
        <w:rPr>
          <w:rFonts w:eastAsia="Arial"/>
          <w:b/>
          <w:bCs/>
          <w:spacing w:val="-4"/>
        </w:rPr>
        <w:t xml:space="preserve"> </w:t>
      </w:r>
      <w:r w:rsidR="005C74A1" w:rsidRPr="00C34B65">
        <w:rPr>
          <w:rFonts w:eastAsia="Arial"/>
          <w:b/>
          <w:bCs/>
        </w:rPr>
        <w:t>appropr</w:t>
      </w:r>
      <w:r w:rsidR="005C74A1" w:rsidRPr="00C34B65">
        <w:rPr>
          <w:rFonts w:eastAsia="Arial"/>
          <w:b/>
          <w:bCs/>
          <w:spacing w:val="1"/>
        </w:rPr>
        <w:t>i</w:t>
      </w:r>
      <w:r w:rsidR="005C74A1" w:rsidRPr="00C34B65">
        <w:rPr>
          <w:rFonts w:eastAsia="Arial"/>
          <w:b/>
          <w:bCs/>
        </w:rPr>
        <w:t>a</w:t>
      </w:r>
      <w:r w:rsidR="005C74A1" w:rsidRPr="00C34B65">
        <w:rPr>
          <w:rFonts w:eastAsia="Arial"/>
          <w:b/>
          <w:bCs/>
          <w:spacing w:val="1"/>
        </w:rPr>
        <w:t>t</w:t>
      </w:r>
      <w:r w:rsidR="005C74A1" w:rsidRPr="00C34B65">
        <w:rPr>
          <w:rFonts w:eastAsia="Arial"/>
          <w:b/>
          <w:bCs/>
        </w:rPr>
        <w:t>e</w:t>
      </w:r>
      <w:r w:rsidR="005C74A1" w:rsidRPr="00C34B65">
        <w:rPr>
          <w:rFonts w:eastAsia="Arial"/>
          <w:b/>
          <w:bCs/>
          <w:spacing w:val="-2"/>
        </w:rPr>
        <w:t xml:space="preserve"> </w:t>
      </w:r>
      <w:r w:rsidR="005C74A1" w:rsidRPr="00C34B65">
        <w:rPr>
          <w:rFonts w:eastAsia="Arial"/>
          <w:b/>
          <w:bCs/>
        </w:rPr>
        <w:t>and gender</w:t>
      </w:r>
      <w:r w:rsidR="005C74A1" w:rsidRPr="00C34B65">
        <w:rPr>
          <w:rFonts w:eastAsia="Arial"/>
          <w:b/>
          <w:bCs/>
          <w:spacing w:val="1"/>
        </w:rPr>
        <w:t>-</w:t>
      </w:r>
      <w:r w:rsidR="005C74A1" w:rsidRPr="00C34B65">
        <w:rPr>
          <w:rFonts w:eastAsia="Arial"/>
          <w:b/>
          <w:bCs/>
        </w:rPr>
        <w:t>spec</w:t>
      </w:r>
      <w:r w:rsidR="005C74A1" w:rsidRPr="00C34B65">
        <w:rPr>
          <w:rFonts w:eastAsia="Arial"/>
          <w:b/>
          <w:bCs/>
          <w:spacing w:val="-1"/>
        </w:rPr>
        <w:t>i</w:t>
      </w:r>
      <w:r w:rsidR="005C74A1" w:rsidRPr="00C34B65">
        <w:rPr>
          <w:rFonts w:eastAsia="Arial"/>
          <w:b/>
          <w:bCs/>
          <w:spacing w:val="1"/>
        </w:rPr>
        <w:t>fi</w:t>
      </w:r>
      <w:r w:rsidR="005C74A1" w:rsidRPr="00C34B65">
        <w:rPr>
          <w:rFonts w:eastAsia="Arial"/>
          <w:b/>
          <w:bCs/>
        </w:rPr>
        <w:t>c</w:t>
      </w:r>
      <w:r w:rsidR="005C74A1">
        <w:rPr>
          <w:rFonts w:eastAsia="Arial"/>
          <w:b/>
          <w:bCs/>
        </w:rPr>
        <w:t>;</w:t>
      </w:r>
    </w:p>
    <w:p w14:paraId="15321CF5" w14:textId="77777777" w:rsidR="005C74A1" w:rsidRPr="00C34B65" w:rsidRDefault="005C74A1" w:rsidP="00967D45">
      <w:pPr>
        <w:tabs>
          <w:tab w:val="left" w:pos="800"/>
        </w:tabs>
        <w:ind w:left="426" w:right="126" w:hanging="426"/>
        <w:jc w:val="both"/>
        <w:rPr>
          <w:sz w:val="26"/>
          <w:szCs w:val="26"/>
        </w:rPr>
      </w:pPr>
    </w:p>
    <w:p w14:paraId="3E8DAA7C" w14:textId="569BD8F0" w:rsidR="005C74A1" w:rsidRPr="00594759" w:rsidRDefault="00E82AE2" w:rsidP="00967D45">
      <w:pPr>
        <w:pStyle w:val="ListParagraph"/>
        <w:numPr>
          <w:ilvl w:val="0"/>
          <w:numId w:val="32"/>
        </w:numPr>
        <w:tabs>
          <w:tab w:val="left" w:pos="800"/>
        </w:tabs>
        <w:ind w:left="426" w:right="256" w:hanging="426"/>
        <w:jc w:val="both"/>
        <w:rPr>
          <w:rFonts w:eastAsia="Arial"/>
        </w:rPr>
      </w:pPr>
      <w:r>
        <w:rPr>
          <w:rFonts w:eastAsia="Arial"/>
          <w:b/>
          <w:bCs/>
        </w:rPr>
        <w:t>E</w:t>
      </w:r>
      <w:r w:rsidR="005C74A1" w:rsidRPr="0062543B">
        <w:rPr>
          <w:rFonts w:eastAsia="Arial"/>
          <w:b/>
          <w:bCs/>
        </w:rPr>
        <w:t>xpand</w:t>
      </w:r>
      <w:r w:rsidR="005C74A1" w:rsidRPr="0062543B">
        <w:rPr>
          <w:rFonts w:eastAsia="Arial"/>
          <w:b/>
          <w:bCs/>
          <w:spacing w:val="1"/>
        </w:rPr>
        <w:t xml:space="preserve"> </w:t>
      </w:r>
      <w:r w:rsidR="005C74A1" w:rsidRPr="0062543B">
        <w:rPr>
          <w:rFonts w:eastAsia="Arial"/>
          <w:b/>
          <w:bCs/>
        </w:rPr>
        <w:t xml:space="preserve">care, </w:t>
      </w:r>
      <w:r w:rsidR="005C74A1" w:rsidRPr="0062543B">
        <w:rPr>
          <w:rFonts w:eastAsia="Arial"/>
          <w:b/>
          <w:bCs/>
          <w:spacing w:val="-2"/>
        </w:rPr>
        <w:t>t</w:t>
      </w:r>
      <w:r w:rsidR="005C74A1" w:rsidRPr="0062543B">
        <w:rPr>
          <w:rFonts w:eastAsia="Arial"/>
          <w:b/>
          <w:bCs/>
        </w:rPr>
        <w:t>rea</w:t>
      </w:r>
      <w:r w:rsidR="005C74A1" w:rsidRPr="0062543B">
        <w:rPr>
          <w:rFonts w:eastAsia="Arial"/>
          <w:b/>
          <w:bCs/>
          <w:spacing w:val="-2"/>
        </w:rPr>
        <w:t>t</w:t>
      </w:r>
      <w:r w:rsidR="005C74A1" w:rsidRPr="0062543B">
        <w:rPr>
          <w:rFonts w:eastAsia="Arial"/>
          <w:b/>
          <w:bCs/>
        </w:rPr>
        <w:t>ment</w:t>
      </w:r>
      <w:r w:rsidR="005C74A1">
        <w:rPr>
          <w:rFonts w:eastAsia="Arial"/>
          <w:b/>
          <w:bCs/>
        </w:rPr>
        <w:t>,</w:t>
      </w:r>
      <w:r w:rsidR="005C74A1" w:rsidRPr="0062543B">
        <w:rPr>
          <w:rFonts w:eastAsia="Arial"/>
          <w:b/>
          <w:bCs/>
        </w:rPr>
        <w:t xml:space="preserve"> and</w:t>
      </w:r>
      <w:r w:rsidR="005C74A1" w:rsidRPr="0062543B">
        <w:rPr>
          <w:rFonts w:eastAsia="Arial"/>
          <w:b/>
          <w:bCs/>
          <w:spacing w:val="1"/>
        </w:rPr>
        <w:t xml:space="preserve"> </w:t>
      </w:r>
      <w:r w:rsidR="005C74A1" w:rsidRPr="0062543B">
        <w:rPr>
          <w:rFonts w:eastAsia="Arial"/>
          <w:b/>
          <w:bCs/>
        </w:rPr>
        <w:t>suppo</w:t>
      </w:r>
      <w:r w:rsidR="005C74A1" w:rsidRPr="0062543B">
        <w:rPr>
          <w:rFonts w:eastAsia="Arial"/>
          <w:b/>
          <w:bCs/>
          <w:spacing w:val="-2"/>
        </w:rPr>
        <w:t>r</w:t>
      </w:r>
      <w:r w:rsidR="005C74A1" w:rsidRPr="0062543B">
        <w:rPr>
          <w:rFonts w:eastAsia="Arial"/>
          <w:b/>
          <w:bCs/>
        </w:rPr>
        <w:t>t</w:t>
      </w:r>
      <w:r w:rsidR="005C74A1" w:rsidRPr="0062543B">
        <w:rPr>
          <w:rFonts w:eastAsia="Arial"/>
          <w:b/>
          <w:bCs/>
          <w:spacing w:val="2"/>
        </w:rPr>
        <w:t xml:space="preserve"> </w:t>
      </w:r>
      <w:r w:rsidR="005C74A1" w:rsidRPr="0062543B">
        <w:rPr>
          <w:rFonts w:eastAsia="Arial"/>
          <w:b/>
          <w:bCs/>
        </w:rPr>
        <w:t>s</w:t>
      </w:r>
      <w:r w:rsidR="005C74A1" w:rsidRPr="0062543B">
        <w:rPr>
          <w:rFonts w:eastAsia="Arial"/>
          <w:b/>
          <w:bCs/>
          <w:spacing w:val="-3"/>
        </w:rPr>
        <w:t>e</w:t>
      </w:r>
      <w:r w:rsidR="005C74A1" w:rsidRPr="0062543B">
        <w:rPr>
          <w:rFonts w:eastAsia="Arial"/>
          <w:b/>
          <w:bCs/>
        </w:rPr>
        <w:t>r</w:t>
      </w:r>
      <w:r w:rsidR="005C74A1" w:rsidRPr="0062543B">
        <w:rPr>
          <w:rFonts w:eastAsia="Arial"/>
          <w:b/>
          <w:bCs/>
          <w:spacing w:val="-3"/>
        </w:rPr>
        <w:t>v</w:t>
      </w:r>
      <w:r w:rsidR="005C74A1" w:rsidRPr="0062543B">
        <w:rPr>
          <w:rFonts w:eastAsia="Arial"/>
          <w:b/>
          <w:bCs/>
          <w:spacing w:val="1"/>
        </w:rPr>
        <w:t>i</w:t>
      </w:r>
      <w:r w:rsidR="005C74A1" w:rsidRPr="0062543B">
        <w:rPr>
          <w:rFonts w:eastAsia="Arial"/>
          <w:b/>
          <w:bCs/>
        </w:rPr>
        <w:t>ces</w:t>
      </w:r>
      <w:r w:rsidR="005C74A1" w:rsidRPr="0062543B">
        <w:rPr>
          <w:rFonts w:eastAsia="Arial"/>
          <w:b/>
          <w:bCs/>
          <w:spacing w:val="1"/>
        </w:rPr>
        <w:t xml:space="preserve"> </w:t>
      </w:r>
      <w:r w:rsidR="005C74A1" w:rsidRPr="0062543B">
        <w:rPr>
          <w:rFonts w:eastAsia="Arial"/>
          <w:b/>
          <w:bCs/>
          <w:spacing w:val="-1"/>
        </w:rPr>
        <w:t>i</w:t>
      </w:r>
      <w:r w:rsidR="005C74A1" w:rsidRPr="0062543B">
        <w:rPr>
          <w:rFonts w:eastAsia="Arial"/>
          <w:b/>
          <w:bCs/>
        </w:rPr>
        <w:t>n</w:t>
      </w:r>
      <w:r w:rsidR="005C74A1" w:rsidRPr="0062543B">
        <w:rPr>
          <w:rFonts w:eastAsia="Arial"/>
          <w:b/>
          <w:bCs/>
          <w:spacing w:val="1"/>
        </w:rPr>
        <w:t xml:space="preserve"> </w:t>
      </w:r>
      <w:r w:rsidR="005C74A1" w:rsidRPr="0062543B">
        <w:rPr>
          <w:rFonts w:eastAsia="Arial"/>
          <w:b/>
          <w:bCs/>
        </w:rPr>
        <w:t>pr</w:t>
      </w:r>
      <w:r w:rsidR="005C74A1" w:rsidRPr="0062543B">
        <w:rPr>
          <w:rFonts w:eastAsia="Arial"/>
          <w:b/>
          <w:bCs/>
          <w:spacing w:val="1"/>
        </w:rPr>
        <w:t>i</w:t>
      </w:r>
      <w:r w:rsidR="005C74A1" w:rsidRPr="0062543B">
        <w:rPr>
          <w:rFonts w:eastAsia="Arial"/>
          <w:b/>
          <w:bCs/>
        </w:rPr>
        <w:t>son</w:t>
      </w:r>
      <w:r w:rsidR="005C74A1" w:rsidRPr="0062543B">
        <w:rPr>
          <w:rFonts w:eastAsia="Arial"/>
          <w:b/>
          <w:bCs/>
          <w:spacing w:val="-2"/>
        </w:rPr>
        <w:t xml:space="preserve"> </w:t>
      </w:r>
      <w:r w:rsidR="005C74A1" w:rsidRPr="0062543B">
        <w:rPr>
          <w:rFonts w:eastAsia="Arial"/>
          <w:b/>
          <w:bCs/>
          <w:spacing w:val="1"/>
        </w:rPr>
        <w:t>f</w:t>
      </w:r>
      <w:r w:rsidR="005C74A1" w:rsidRPr="0062543B">
        <w:rPr>
          <w:rFonts w:eastAsia="Arial"/>
          <w:b/>
          <w:bCs/>
          <w:spacing w:val="-3"/>
        </w:rPr>
        <w:t>o</w:t>
      </w:r>
      <w:r w:rsidR="005C74A1" w:rsidRPr="0062543B">
        <w:rPr>
          <w:rFonts w:eastAsia="Arial"/>
          <w:b/>
          <w:bCs/>
        </w:rPr>
        <w:t>r</w:t>
      </w:r>
      <w:r w:rsidR="005C74A1" w:rsidRPr="0062543B">
        <w:rPr>
          <w:rFonts w:eastAsia="Arial"/>
          <w:b/>
          <w:bCs/>
          <w:spacing w:val="-3"/>
        </w:rPr>
        <w:t xml:space="preserve"> </w:t>
      </w:r>
      <w:r w:rsidR="005C74A1" w:rsidRPr="0062543B">
        <w:rPr>
          <w:rFonts w:eastAsia="Arial"/>
          <w:b/>
          <w:bCs/>
          <w:spacing w:val="3"/>
        </w:rPr>
        <w:t>w</w:t>
      </w:r>
      <w:r w:rsidR="005C74A1" w:rsidRPr="0062543B">
        <w:rPr>
          <w:rFonts w:eastAsia="Arial"/>
          <w:b/>
          <w:bCs/>
        </w:rPr>
        <w:t>omen</w:t>
      </w:r>
      <w:r w:rsidR="005C74A1" w:rsidRPr="0062543B">
        <w:rPr>
          <w:rFonts w:eastAsia="Arial"/>
          <w:b/>
          <w:bCs/>
          <w:spacing w:val="-4"/>
        </w:rPr>
        <w:t xml:space="preserve"> </w:t>
      </w:r>
      <w:r w:rsidR="005C74A1" w:rsidRPr="0062543B">
        <w:rPr>
          <w:rFonts w:eastAsia="Arial"/>
          <w:b/>
          <w:bCs/>
          <w:spacing w:val="1"/>
        </w:rPr>
        <w:t>li</w:t>
      </w:r>
      <w:r w:rsidR="005C74A1" w:rsidRPr="0062543B">
        <w:rPr>
          <w:rFonts w:eastAsia="Arial"/>
          <w:b/>
          <w:bCs/>
          <w:spacing w:val="-3"/>
        </w:rPr>
        <w:t>v</w:t>
      </w:r>
      <w:r w:rsidR="005C74A1" w:rsidRPr="0062543B">
        <w:rPr>
          <w:rFonts w:eastAsia="Arial"/>
          <w:b/>
          <w:bCs/>
          <w:spacing w:val="-1"/>
        </w:rPr>
        <w:t>i</w:t>
      </w:r>
      <w:r w:rsidR="005C74A1" w:rsidRPr="0062543B">
        <w:rPr>
          <w:rFonts w:eastAsia="Arial"/>
          <w:b/>
          <w:bCs/>
        </w:rPr>
        <w:t>ng</w:t>
      </w:r>
      <w:r w:rsidR="005C74A1" w:rsidRPr="0062543B">
        <w:rPr>
          <w:rFonts w:eastAsia="Arial"/>
          <w:b/>
          <w:bCs/>
          <w:spacing w:val="-2"/>
        </w:rPr>
        <w:t xml:space="preserve"> </w:t>
      </w:r>
      <w:r w:rsidR="005C74A1" w:rsidRPr="0062543B">
        <w:rPr>
          <w:rFonts w:eastAsia="Arial"/>
          <w:b/>
          <w:bCs/>
          <w:spacing w:val="3"/>
        </w:rPr>
        <w:t>w</w:t>
      </w:r>
      <w:r w:rsidR="005C74A1" w:rsidRPr="0062543B">
        <w:rPr>
          <w:rFonts w:eastAsia="Arial"/>
          <w:b/>
          <w:bCs/>
          <w:spacing w:val="-1"/>
        </w:rPr>
        <w:t>i</w:t>
      </w:r>
      <w:r w:rsidR="005C74A1" w:rsidRPr="0062543B">
        <w:rPr>
          <w:rFonts w:eastAsia="Arial"/>
          <w:b/>
          <w:bCs/>
          <w:spacing w:val="1"/>
        </w:rPr>
        <w:t>t</w:t>
      </w:r>
      <w:r w:rsidR="005C74A1" w:rsidRPr="0062543B">
        <w:rPr>
          <w:rFonts w:eastAsia="Arial"/>
          <w:b/>
          <w:bCs/>
        </w:rPr>
        <w:t>h</w:t>
      </w:r>
      <w:r w:rsidR="005C74A1" w:rsidRPr="0062543B">
        <w:rPr>
          <w:rFonts w:eastAsia="Arial"/>
          <w:b/>
          <w:bCs/>
          <w:spacing w:val="-2"/>
        </w:rPr>
        <w:t xml:space="preserve"> </w:t>
      </w:r>
      <w:r w:rsidR="005C74A1" w:rsidRPr="0062543B">
        <w:rPr>
          <w:rFonts w:eastAsia="Arial"/>
          <w:b/>
          <w:bCs/>
        </w:rPr>
        <w:t xml:space="preserve">and </w:t>
      </w:r>
      <w:r w:rsidR="005C74A1" w:rsidRPr="0062543B">
        <w:rPr>
          <w:rFonts w:eastAsia="Arial"/>
          <w:b/>
          <w:bCs/>
          <w:spacing w:val="-3"/>
        </w:rPr>
        <w:t>v</w:t>
      </w:r>
      <w:r w:rsidR="005C74A1" w:rsidRPr="0062543B">
        <w:rPr>
          <w:rFonts w:eastAsia="Arial"/>
          <w:b/>
          <w:bCs/>
        </w:rPr>
        <w:t>u</w:t>
      </w:r>
      <w:r w:rsidR="005C74A1" w:rsidRPr="0062543B">
        <w:rPr>
          <w:rFonts w:eastAsia="Arial"/>
          <w:b/>
          <w:bCs/>
          <w:spacing w:val="1"/>
        </w:rPr>
        <w:t>l</w:t>
      </w:r>
      <w:r w:rsidR="005C74A1" w:rsidRPr="0062543B">
        <w:rPr>
          <w:rFonts w:eastAsia="Arial"/>
          <w:b/>
          <w:bCs/>
        </w:rPr>
        <w:t>nerab</w:t>
      </w:r>
      <w:r w:rsidR="005C74A1" w:rsidRPr="0062543B">
        <w:rPr>
          <w:rFonts w:eastAsia="Arial"/>
          <w:b/>
          <w:bCs/>
          <w:spacing w:val="1"/>
        </w:rPr>
        <w:t>l</w:t>
      </w:r>
      <w:r w:rsidR="005C74A1" w:rsidRPr="0062543B">
        <w:rPr>
          <w:rFonts w:eastAsia="Arial"/>
          <w:b/>
          <w:bCs/>
        </w:rPr>
        <w:t>e</w:t>
      </w:r>
      <w:r w:rsidR="005C74A1" w:rsidRPr="0062543B">
        <w:rPr>
          <w:rFonts w:eastAsia="Arial"/>
          <w:b/>
          <w:bCs/>
          <w:spacing w:val="1"/>
        </w:rPr>
        <w:t xml:space="preserve"> t</w:t>
      </w:r>
      <w:r w:rsidR="005C74A1" w:rsidRPr="0062543B">
        <w:rPr>
          <w:rFonts w:eastAsia="Arial"/>
          <w:b/>
          <w:bCs/>
        </w:rPr>
        <w:t>o</w:t>
      </w:r>
      <w:r w:rsidR="005C74A1" w:rsidRPr="0062543B">
        <w:rPr>
          <w:rFonts w:eastAsia="Arial"/>
          <w:b/>
          <w:bCs/>
          <w:spacing w:val="-2"/>
        </w:rPr>
        <w:t xml:space="preserve"> </w:t>
      </w:r>
      <w:r w:rsidR="005C74A1" w:rsidRPr="0062543B">
        <w:rPr>
          <w:rFonts w:eastAsia="Arial"/>
          <w:b/>
          <w:bCs/>
          <w:spacing w:val="-1"/>
        </w:rPr>
        <w:t>H</w:t>
      </w:r>
      <w:r w:rsidR="005C74A1" w:rsidRPr="0062543B">
        <w:rPr>
          <w:rFonts w:eastAsia="Arial"/>
          <w:b/>
          <w:bCs/>
          <w:spacing w:val="1"/>
        </w:rPr>
        <w:t>I</w:t>
      </w:r>
      <w:r w:rsidR="005C74A1" w:rsidRPr="0062543B">
        <w:rPr>
          <w:rFonts w:eastAsia="Arial"/>
          <w:b/>
          <w:bCs/>
        </w:rPr>
        <w:t>V</w:t>
      </w:r>
      <w:r w:rsidR="005C74A1" w:rsidRPr="0062543B">
        <w:rPr>
          <w:rFonts w:eastAsia="Arial"/>
          <w:b/>
          <w:bCs/>
          <w:spacing w:val="-2"/>
        </w:rPr>
        <w:t xml:space="preserve"> </w:t>
      </w:r>
      <w:r w:rsidR="005C74A1" w:rsidRPr="0062543B">
        <w:rPr>
          <w:rFonts w:eastAsia="Arial"/>
          <w:b/>
          <w:bCs/>
        </w:rPr>
        <w:t>and</w:t>
      </w:r>
      <w:r w:rsidR="005C74A1" w:rsidRPr="0062543B">
        <w:rPr>
          <w:rFonts w:eastAsia="Arial"/>
          <w:b/>
          <w:bCs/>
          <w:spacing w:val="-2"/>
        </w:rPr>
        <w:t xml:space="preserve"> </w:t>
      </w:r>
      <w:r w:rsidR="005C74A1" w:rsidRPr="0062543B">
        <w:rPr>
          <w:rFonts w:eastAsia="Arial"/>
          <w:b/>
          <w:bCs/>
          <w:spacing w:val="-1"/>
        </w:rPr>
        <w:t>HCV</w:t>
      </w:r>
      <w:r w:rsidR="005C74A1" w:rsidRPr="0062543B">
        <w:rPr>
          <w:rFonts w:eastAsia="Arial"/>
          <w:b/>
          <w:bCs/>
        </w:rPr>
        <w:t>,</w:t>
      </w:r>
      <w:r w:rsidR="005C74A1" w:rsidRPr="0062543B">
        <w:rPr>
          <w:rFonts w:eastAsia="Arial"/>
          <w:b/>
          <w:bCs/>
          <w:spacing w:val="2"/>
        </w:rPr>
        <w:t xml:space="preserve"> </w:t>
      </w:r>
      <w:r w:rsidR="005C74A1" w:rsidRPr="0062543B">
        <w:rPr>
          <w:rFonts w:eastAsia="Arial"/>
          <w:b/>
          <w:bCs/>
          <w:spacing w:val="1"/>
        </w:rPr>
        <w:t>i</w:t>
      </w:r>
      <w:r w:rsidR="005C74A1" w:rsidRPr="0062543B">
        <w:rPr>
          <w:rFonts w:eastAsia="Arial"/>
          <w:b/>
          <w:bCs/>
        </w:rPr>
        <w:t>n</w:t>
      </w:r>
      <w:r w:rsidR="005C74A1" w:rsidRPr="0062543B">
        <w:rPr>
          <w:rFonts w:eastAsia="Arial"/>
          <w:b/>
          <w:bCs/>
          <w:spacing w:val="-3"/>
        </w:rPr>
        <w:t>c</w:t>
      </w:r>
      <w:r w:rsidR="005C74A1" w:rsidRPr="0062543B">
        <w:rPr>
          <w:rFonts w:eastAsia="Arial"/>
          <w:b/>
          <w:bCs/>
          <w:spacing w:val="1"/>
        </w:rPr>
        <w:t>l</w:t>
      </w:r>
      <w:r w:rsidR="005C74A1" w:rsidRPr="0062543B">
        <w:rPr>
          <w:rFonts w:eastAsia="Arial"/>
          <w:b/>
          <w:bCs/>
        </w:rPr>
        <w:t>ud</w:t>
      </w:r>
      <w:r w:rsidR="005C74A1" w:rsidRPr="0062543B">
        <w:rPr>
          <w:rFonts w:eastAsia="Arial"/>
          <w:b/>
          <w:bCs/>
          <w:spacing w:val="1"/>
        </w:rPr>
        <w:t>i</w:t>
      </w:r>
      <w:r w:rsidR="005C74A1" w:rsidRPr="0062543B">
        <w:rPr>
          <w:rFonts w:eastAsia="Arial"/>
          <w:b/>
          <w:bCs/>
        </w:rPr>
        <w:t>ng</w:t>
      </w:r>
      <w:r w:rsidR="005C74A1" w:rsidRPr="0062543B">
        <w:rPr>
          <w:rFonts w:eastAsia="Arial"/>
          <w:b/>
          <w:bCs/>
          <w:spacing w:val="-2"/>
        </w:rPr>
        <w:t xml:space="preserve"> </w:t>
      </w:r>
      <w:r w:rsidR="005C74A1" w:rsidRPr="0062543B">
        <w:rPr>
          <w:rFonts w:eastAsia="Arial"/>
          <w:b/>
          <w:bCs/>
        </w:rPr>
        <w:t>peer</w:t>
      </w:r>
      <w:r w:rsidR="005C74A1" w:rsidRPr="0062543B">
        <w:rPr>
          <w:rFonts w:eastAsia="Arial"/>
          <w:b/>
          <w:bCs/>
          <w:spacing w:val="-1"/>
        </w:rPr>
        <w:t xml:space="preserve"> </w:t>
      </w:r>
      <w:r w:rsidR="005C74A1" w:rsidRPr="0062543B">
        <w:rPr>
          <w:rFonts w:eastAsia="Arial"/>
          <w:b/>
          <w:bCs/>
        </w:rPr>
        <w:t>h</w:t>
      </w:r>
      <w:r w:rsidR="005C74A1" w:rsidRPr="0062543B">
        <w:rPr>
          <w:rFonts w:eastAsia="Arial"/>
          <w:b/>
          <w:bCs/>
          <w:spacing w:val="-3"/>
        </w:rPr>
        <w:t>e</w:t>
      </w:r>
      <w:r w:rsidR="005C74A1" w:rsidRPr="0062543B">
        <w:rPr>
          <w:rFonts w:eastAsia="Arial"/>
          <w:b/>
          <w:bCs/>
        </w:rPr>
        <w:t>a</w:t>
      </w:r>
      <w:r w:rsidR="005C74A1" w:rsidRPr="0062543B">
        <w:rPr>
          <w:rFonts w:eastAsia="Arial"/>
          <w:b/>
          <w:bCs/>
          <w:spacing w:val="1"/>
        </w:rPr>
        <w:t>lt</w:t>
      </w:r>
      <w:r w:rsidR="005C74A1" w:rsidRPr="0062543B">
        <w:rPr>
          <w:rFonts w:eastAsia="Arial"/>
          <w:b/>
          <w:bCs/>
        </w:rPr>
        <w:t>h</w:t>
      </w:r>
      <w:r w:rsidR="005C74A1" w:rsidRPr="0062543B">
        <w:rPr>
          <w:rFonts w:eastAsia="Arial"/>
          <w:b/>
          <w:bCs/>
          <w:spacing w:val="-2"/>
        </w:rPr>
        <w:t xml:space="preserve"> </w:t>
      </w:r>
      <w:r w:rsidR="005C74A1" w:rsidRPr="0062543B">
        <w:rPr>
          <w:rFonts w:eastAsia="Arial"/>
          <w:b/>
          <w:bCs/>
        </w:rPr>
        <w:t>progr</w:t>
      </w:r>
      <w:r w:rsidR="005C74A1" w:rsidRPr="0062543B">
        <w:rPr>
          <w:rFonts w:eastAsia="Arial"/>
          <w:b/>
          <w:bCs/>
          <w:spacing w:val="-3"/>
        </w:rPr>
        <w:t>a</w:t>
      </w:r>
      <w:r w:rsidR="005C74A1" w:rsidRPr="0062543B">
        <w:rPr>
          <w:rFonts w:eastAsia="Arial"/>
          <w:b/>
          <w:bCs/>
        </w:rPr>
        <w:t>ms, and</w:t>
      </w:r>
      <w:r w:rsidR="005C74A1" w:rsidRPr="0062543B">
        <w:rPr>
          <w:rFonts w:eastAsia="Arial"/>
          <w:b/>
          <w:bCs/>
          <w:spacing w:val="1"/>
        </w:rPr>
        <w:t xml:space="preserve"> </w:t>
      </w:r>
      <w:r w:rsidR="005C74A1" w:rsidRPr="0062543B">
        <w:rPr>
          <w:rFonts w:eastAsia="Arial"/>
          <w:b/>
          <w:bCs/>
        </w:rPr>
        <w:t>en</w:t>
      </w:r>
      <w:r w:rsidR="005C74A1" w:rsidRPr="0062543B">
        <w:rPr>
          <w:rFonts w:eastAsia="Arial"/>
          <w:b/>
          <w:bCs/>
          <w:spacing w:val="-3"/>
        </w:rPr>
        <w:t>s</w:t>
      </w:r>
      <w:r w:rsidR="005C74A1" w:rsidRPr="0062543B">
        <w:rPr>
          <w:rFonts w:eastAsia="Arial"/>
          <w:b/>
          <w:bCs/>
        </w:rPr>
        <w:t>ure</w:t>
      </w:r>
      <w:r w:rsidR="005C74A1" w:rsidRPr="0062543B">
        <w:rPr>
          <w:rFonts w:eastAsia="Arial"/>
          <w:b/>
          <w:bCs/>
          <w:spacing w:val="1"/>
        </w:rPr>
        <w:t xml:space="preserve"> </w:t>
      </w:r>
      <w:r w:rsidR="005C74A1" w:rsidRPr="0062543B">
        <w:rPr>
          <w:rFonts w:eastAsia="Arial"/>
          <w:b/>
          <w:bCs/>
        </w:rPr>
        <w:t xml:space="preserve">such support </w:t>
      </w:r>
      <w:r w:rsidR="005C74A1" w:rsidRPr="0062543B">
        <w:rPr>
          <w:rFonts w:eastAsia="Arial"/>
          <w:b/>
          <w:bCs/>
          <w:spacing w:val="1"/>
        </w:rPr>
        <w:t>i</w:t>
      </w:r>
      <w:r w:rsidR="005C74A1" w:rsidRPr="0062543B">
        <w:rPr>
          <w:rFonts w:eastAsia="Arial"/>
          <w:b/>
          <w:bCs/>
        </w:rPr>
        <w:t>s</w:t>
      </w:r>
      <w:r w:rsidR="005C74A1" w:rsidRPr="0062543B">
        <w:rPr>
          <w:rFonts w:eastAsia="Arial"/>
          <w:b/>
          <w:bCs/>
          <w:spacing w:val="1"/>
        </w:rPr>
        <w:t xml:space="preserve"> </w:t>
      </w:r>
      <w:r w:rsidR="005C74A1">
        <w:rPr>
          <w:rFonts w:eastAsia="Arial"/>
          <w:b/>
          <w:bCs/>
        </w:rPr>
        <w:t xml:space="preserve">gender-sensitive and culturally </w:t>
      </w:r>
      <w:r w:rsidR="005C74A1" w:rsidRPr="00594759">
        <w:rPr>
          <w:rFonts w:eastAsia="Arial"/>
          <w:b/>
          <w:bCs/>
        </w:rPr>
        <w:t>appropriate</w:t>
      </w:r>
      <w:r w:rsidR="005C74A1" w:rsidRPr="00594759">
        <w:rPr>
          <w:rFonts w:eastAsia="Arial"/>
          <w:b/>
          <w:bCs/>
          <w:spacing w:val="-3"/>
        </w:rPr>
        <w:t>; and</w:t>
      </w:r>
    </w:p>
    <w:p w14:paraId="5BD23BD3" w14:textId="77777777" w:rsidR="005C74A1" w:rsidRPr="00594759" w:rsidRDefault="005C74A1" w:rsidP="00967D45">
      <w:pPr>
        <w:pStyle w:val="ListParagraph"/>
        <w:tabs>
          <w:tab w:val="left" w:pos="800"/>
        </w:tabs>
        <w:ind w:left="426" w:right="256" w:hanging="426"/>
        <w:jc w:val="both"/>
        <w:rPr>
          <w:rFonts w:eastAsia="Arial"/>
        </w:rPr>
      </w:pPr>
    </w:p>
    <w:p w14:paraId="71D18D9C" w14:textId="2EEAE33F" w:rsidR="005C74A1" w:rsidRPr="00594759" w:rsidRDefault="00E82AE2" w:rsidP="00967D45">
      <w:pPr>
        <w:pStyle w:val="ListParagraph"/>
        <w:numPr>
          <w:ilvl w:val="0"/>
          <w:numId w:val="32"/>
        </w:numPr>
        <w:tabs>
          <w:tab w:val="left" w:pos="800"/>
        </w:tabs>
        <w:ind w:left="426" w:right="256" w:hanging="426"/>
        <w:jc w:val="both"/>
      </w:pPr>
      <w:r>
        <w:rPr>
          <w:rFonts w:eastAsia="Arial"/>
          <w:b/>
          <w:bCs/>
        </w:rPr>
        <w:t>U</w:t>
      </w:r>
      <w:r w:rsidR="005C74A1" w:rsidRPr="00594759">
        <w:rPr>
          <w:rFonts w:eastAsia="Arial"/>
          <w:b/>
          <w:bCs/>
        </w:rPr>
        <w:t xml:space="preserve">pdate all federal, provincial, and territorial prison drug strategies </w:t>
      </w:r>
      <w:r w:rsidR="005C74A1" w:rsidRPr="00594759">
        <w:rPr>
          <w:b/>
          <w:bCs/>
        </w:rPr>
        <w:t xml:space="preserve">to reject stigmatizing “zero tolerance” approaches to drug use in </w:t>
      </w:r>
      <w:proofErr w:type="spellStart"/>
      <w:r w:rsidR="005C74A1" w:rsidRPr="00594759">
        <w:rPr>
          <w:b/>
          <w:bCs/>
        </w:rPr>
        <w:t>favour</w:t>
      </w:r>
      <w:proofErr w:type="spellEnd"/>
      <w:r w:rsidR="005C74A1" w:rsidRPr="00594759">
        <w:rPr>
          <w:b/>
          <w:bCs/>
        </w:rPr>
        <w:t xml:space="preserve"> of rights-based, evidence-informed harm reduction principles and practices</w:t>
      </w:r>
      <w:r w:rsidR="00336018" w:rsidRPr="00594759">
        <w:rPr>
          <w:b/>
          <w:bCs/>
        </w:rPr>
        <w:t>.</w:t>
      </w:r>
      <w:r w:rsidR="00336018" w:rsidRPr="00594759">
        <w:t xml:space="preserve"> </w:t>
      </w:r>
    </w:p>
    <w:sectPr w:rsidR="005C74A1" w:rsidRPr="00594759" w:rsidSect="00BF498E">
      <w:footerReference w:type="default" r:id="rId17"/>
      <w:headerReference w:type="first" r:id="rId18"/>
      <w:footerReference w:type="first" r:id="rId19"/>
      <w:endnotePr>
        <w:numFmt w:val="decimal"/>
      </w:endnotePr>
      <w:pgSz w:w="12240" w:h="15840"/>
      <w:pgMar w:top="1440" w:right="1440" w:bottom="1701" w:left="1440" w:header="709"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F09E23" w14:textId="77777777" w:rsidR="000A4AEA" w:rsidRDefault="000A4AEA">
      <w:r>
        <w:separator/>
      </w:r>
    </w:p>
  </w:endnote>
  <w:endnote w:type="continuationSeparator" w:id="0">
    <w:p w14:paraId="34CF1932" w14:textId="77777777" w:rsidR="000A4AEA" w:rsidRDefault="000A4AEA">
      <w:r>
        <w:continuationSeparator/>
      </w:r>
    </w:p>
  </w:endnote>
  <w:endnote w:type="continuationNotice" w:id="1">
    <w:p w14:paraId="7A3D0946" w14:textId="77777777" w:rsidR="000A4AEA" w:rsidRDefault="000A4A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iragino Kaku Gothic Pro W3">
    <w:charset w:val="80"/>
    <w:family w:val="swiss"/>
    <w:pitch w:val="variable"/>
    <w:sig w:usb0="E00002FF" w:usb1="7AC7FFFF" w:usb2="00000012" w:usb3="00000000" w:csb0="0002000D" w:csb1="00000000"/>
  </w:font>
  <w:font w:name="Amnesty Trade Gothic Cn">
    <w:altName w:val="Times New Roman"/>
    <w:charset w:val="00"/>
    <w:family w:val="auto"/>
    <w:pitch w:val="variable"/>
    <w:sig w:usb0="00000001" w:usb1="5000204A" w:usb2="00000000" w:usb3="00000000" w:csb0="0000009B" w:csb1="00000000"/>
  </w:font>
  <w:font w:name="Hiragino Kaku Gothic Pro W6">
    <w:charset w:val="80"/>
    <w:family w:val="swiss"/>
    <w:pitch w:val="variable"/>
    <w:sig w:usb0="E00002FF" w:usb1="7AC7FFFF" w:usb2="00000012" w:usb3="00000000" w:csb0="0002000D"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w:altName w:val="Times New Roman"/>
    <w:panose1 w:val="02020603050405020304"/>
    <w:charset w:val="00"/>
    <w:family w:val="auto"/>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Gotham Book">
    <w:altName w:val="Gotham Book"/>
    <w:charset w:val="00"/>
    <w:family w:val="swiss"/>
    <w:pitch w:val="default"/>
    <w:sig w:usb0="00000003" w:usb1="00000000" w:usb2="00000000" w:usb3="00000000" w:csb0="00000001" w:csb1="00000000"/>
  </w:font>
  <w:font w:name="Arial Hebrew Scholar">
    <w:charset w:val="B1"/>
    <w:family w:val="auto"/>
    <w:pitch w:val="variable"/>
    <w:sig w:usb0="80000843" w:usb1="40000002" w:usb2="00000000" w:usb3="00000000" w:csb0="00000021" w:csb1="00000000"/>
  </w:font>
  <w:font w:name="Futura Lt BT">
    <w:altName w:val="Arial"/>
    <w:charset w:val="00"/>
    <w:family w:val="swiss"/>
    <w:pitch w:val="variable"/>
    <w:sig w:usb0="800008E7" w:usb1="00000000" w:usb2="00000000" w:usb3="00000000" w:csb0="000001FB" w:csb1="00000000"/>
  </w:font>
  <w:font w:name="Brandon Grotesque">
    <w:altName w:val="Brandon Grotesque"/>
    <w:panose1 w:val="00000000000000000000"/>
    <w:charset w:val="4D"/>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9ED75C" w14:textId="77777777" w:rsidR="00F939C6" w:rsidRDefault="00F939C6" w:rsidP="000961A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6C1D06E8" w14:textId="77777777" w:rsidR="00F939C6" w:rsidRDefault="00F939C6" w:rsidP="00BE599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39989313"/>
      <w:docPartObj>
        <w:docPartGallery w:val="Page Numbers (Bottom of Page)"/>
        <w:docPartUnique/>
      </w:docPartObj>
    </w:sdtPr>
    <w:sdtEndPr>
      <w:rPr>
        <w:noProof/>
      </w:rPr>
    </w:sdtEndPr>
    <w:sdtContent>
      <w:p w14:paraId="48BF1341" w14:textId="27F54362" w:rsidR="00495FFD" w:rsidRDefault="00495FF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535D5F" w14:textId="1C8D1055" w:rsidR="00F939C6" w:rsidRPr="005E3B17" w:rsidRDefault="00F939C6" w:rsidP="00BE5991">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85E760" w14:textId="3B3D95B6" w:rsidR="00F939C6" w:rsidRPr="00893E5F" w:rsidRDefault="00F939C6" w:rsidP="00020F8D">
    <w:pPr>
      <w:tabs>
        <w:tab w:val="left" w:pos="5669"/>
      </w:tabs>
      <w:rPr>
        <w:rFonts w:ascii="Futura Lt BT" w:hAnsi="Futura Lt BT"/>
        <w:color w:val="7F7F7F"/>
        <w:szCs w:val="22"/>
        <w:lang w:val="pt-BR"/>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34578637"/>
      <w:docPartObj>
        <w:docPartGallery w:val="Page Numbers (Bottom of Page)"/>
        <w:docPartUnique/>
      </w:docPartObj>
    </w:sdtPr>
    <w:sdtEndPr>
      <w:rPr>
        <w:noProof/>
      </w:rPr>
    </w:sdtEndPr>
    <w:sdtContent>
      <w:p w14:paraId="70CB3265" w14:textId="30D22C42" w:rsidR="00336018" w:rsidRDefault="003360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FB0BEE" w14:textId="4D5A227D" w:rsidR="00F939C6" w:rsidRPr="005E3B17" w:rsidRDefault="00F939C6" w:rsidP="00BE5991">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736A2E" w14:textId="77777777" w:rsidR="00F939C6" w:rsidRDefault="11FFD96E" w:rsidP="00893E5F">
    <w:pPr>
      <w:pStyle w:val="Footer"/>
    </w:pPr>
    <w:r>
      <w:rPr>
        <w:noProof/>
      </w:rPr>
      <w:drawing>
        <wp:inline distT="0" distB="0" distL="0" distR="0" wp14:anchorId="215E797A" wp14:editId="7C8694DA">
          <wp:extent cx="5943600" cy="8826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5943600" cy="88265"/>
                  </a:xfrm>
                  <a:prstGeom prst="rect">
                    <a:avLst/>
                  </a:prstGeom>
                </pic:spPr>
              </pic:pic>
            </a:graphicData>
          </a:graphic>
        </wp:inline>
      </w:drawing>
    </w:r>
  </w:p>
  <w:p w14:paraId="69BD61D1" w14:textId="7E5D4107" w:rsidR="00F939C6" w:rsidRPr="00893E5F" w:rsidRDefault="00F939C6" w:rsidP="00020F8D">
    <w:pPr>
      <w:tabs>
        <w:tab w:val="left" w:pos="5669"/>
      </w:tabs>
      <w:rPr>
        <w:rFonts w:ascii="Futura Lt BT" w:hAnsi="Futura Lt BT"/>
        <w:color w:val="7F7F7F"/>
        <w:szCs w:val="22"/>
        <w:lang w:val="pt-BR"/>
      </w:rPr>
    </w:pPr>
    <w:r>
      <w:rPr>
        <w:noProof/>
        <w:lang w:eastAsia="en-CA"/>
      </w:rPr>
      <w:drawing>
        <wp:anchor distT="0" distB="0" distL="114300" distR="114300" simplePos="0" relativeHeight="251658240" behindDoc="1" locked="0" layoutInCell="1" allowOverlap="1" wp14:anchorId="62269E7F" wp14:editId="7E9B4A98">
          <wp:simplePos x="0" y="0"/>
          <wp:positionH relativeFrom="margin">
            <wp:posOffset>0</wp:posOffset>
          </wp:positionH>
          <wp:positionV relativeFrom="margin">
            <wp:posOffset>8515350</wp:posOffset>
          </wp:positionV>
          <wp:extent cx="5943600" cy="88265"/>
          <wp:effectExtent l="0" t="0" r="0" b="6985"/>
          <wp:wrapTight wrapText="bothSides">
            <wp:wrapPolygon edited="0">
              <wp:start x="0" y="0"/>
              <wp:lineTo x="0" y="18647"/>
              <wp:lineTo x="21531" y="18647"/>
              <wp:lineTo x="2153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ourBars2.jpg"/>
                  <pic:cNvPicPr/>
                </pic:nvPicPr>
                <pic:blipFill>
                  <a:blip r:embed="rId1">
                    <a:extLst>
                      <a:ext uri="{28A0092B-C50C-407E-A947-70E740481C1C}">
                        <a14:useLocalDpi xmlns:a14="http://schemas.microsoft.com/office/drawing/2010/main" val="0"/>
                      </a:ext>
                    </a:extLst>
                  </a:blip>
                  <a:stretch>
                    <a:fillRect/>
                  </a:stretch>
                </pic:blipFill>
                <pic:spPr>
                  <a:xfrm>
                    <a:off x="0" y="0"/>
                    <a:ext cx="5943600" cy="88265"/>
                  </a:xfrm>
                  <a:prstGeom prst="rect">
                    <a:avLst/>
                  </a:prstGeom>
                </pic:spPr>
              </pic:pic>
            </a:graphicData>
          </a:graphic>
          <wp14:sizeRelH relativeFrom="page">
            <wp14:pctWidth>0</wp14:pctWidth>
          </wp14:sizeRelH>
          <wp14:sizeRelV relativeFrom="page">
            <wp14:pctHeight>0</wp14:pctHeight>
          </wp14:sizeRelV>
        </wp:anchor>
      </w:drawing>
    </w:r>
    <w:r w:rsidR="11FFD96E" w:rsidRPr="00893E5F">
      <w:rPr>
        <w:rFonts w:cs="Arial"/>
        <w:sz w:val="20"/>
        <w:szCs w:val="20"/>
      </w:rPr>
      <w:t>Canadian HIV/AIDS Legal Network</w:t>
    </w:r>
    <w:r>
      <w:rPr>
        <w:rFonts w:cs="Arial"/>
        <w:sz w:val="20"/>
        <w:szCs w:val="20"/>
      </w:rPr>
      <w:tab/>
    </w:r>
    <w:r>
      <w:rPr>
        <w:rFonts w:cs="Arial"/>
        <w:sz w:val="20"/>
        <w:szCs w:val="20"/>
      </w:rPr>
      <w:tab/>
    </w:r>
    <w:r>
      <w:rPr>
        <w:rFonts w:cs="Arial"/>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47A6A7" w14:textId="77777777" w:rsidR="000A4AEA" w:rsidRDefault="000A4AEA">
      <w:r>
        <w:separator/>
      </w:r>
    </w:p>
  </w:footnote>
  <w:footnote w:type="continuationSeparator" w:id="0">
    <w:p w14:paraId="06F4E2C6" w14:textId="77777777" w:rsidR="000A4AEA" w:rsidRDefault="000A4AEA">
      <w:r>
        <w:continuationSeparator/>
      </w:r>
    </w:p>
  </w:footnote>
  <w:footnote w:type="continuationNotice" w:id="1">
    <w:p w14:paraId="220B0458" w14:textId="77777777" w:rsidR="000A4AEA" w:rsidRDefault="000A4AEA"/>
  </w:footnote>
  <w:footnote w:id="2">
    <w:p w14:paraId="1CB5D793" w14:textId="77777777" w:rsidR="00857F61" w:rsidRPr="00F03CE1" w:rsidRDefault="00857F61" w:rsidP="00F2363C">
      <w:pPr>
        <w:pStyle w:val="FootnoteText"/>
        <w:jc w:val="both"/>
        <w:rPr>
          <w:rFonts w:cs="Arial"/>
          <w:sz w:val="18"/>
          <w:szCs w:val="18"/>
        </w:rPr>
      </w:pPr>
      <w:r w:rsidRPr="00F03CE1">
        <w:rPr>
          <w:rStyle w:val="FootnoteReference"/>
          <w:rFonts w:eastAsia="Hiragino Kaku Gothic Pro W3" w:cs="Arial"/>
          <w:sz w:val="18"/>
          <w:szCs w:val="18"/>
        </w:rPr>
        <w:footnoteRef/>
      </w:r>
      <w:r w:rsidRPr="00F03CE1">
        <w:rPr>
          <w:rFonts w:cs="Arial"/>
          <w:sz w:val="18"/>
          <w:szCs w:val="18"/>
        </w:rPr>
        <w:t xml:space="preserve"> House of Commons Standing Committee on the Status of Women</w:t>
      </w:r>
      <w:r w:rsidRPr="00F03CE1">
        <w:rPr>
          <w:rFonts w:cs="Arial"/>
          <w:i/>
          <w:iCs/>
          <w:sz w:val="18"/>
          <w:szCs w:val="18"/>
        </w:rPr>
        <w:t xml:space="preserve">, </w:t>
      </w:r>
      <w:proofErr w:type="gramStart"/>
      <w:r w:rsidRPr="00F03CE1">
        <w:rPr>
          <w:rFonts w:cs="Arial"/>
          <w:i/>
          <w:iCs/>
          <w:sz w:val="18"/>
          <w:szCs w:val="18"/>
        </w:rPr>
        <w:t>Towards</w:t>
      </w:r>
      <w:proofErr w:type="gramEnd"/>
      <w:r w:rsidRPr="00F03CE1">
        <w:rPr>
          <w:rFonts w:cs="Arial"/>
          <w:i/>
          <w:iCs/>
          <w:sz w:val="18"/>
          <w:szCs w:val="18"/>
        </w:rPr>
        <w:t xml:space="preserve"> a Violence-Free Canada: Addressing and Eliminating Intimate Partner and Family Violence</w:t>
      </w:r>
      <w:r w:rsidRPr="00F03CE1">
        <w:rPr>
          <w:rFonts w:cs="Arial"/>
          <w:sz w:val="18"/>
          <w:szCs w:val="18"/>
        </w:rPr>
        <w:t>, Report of the Standing Committee, June 2022 at p. 20.</w:t>
      </w:r>
    </w:p>
  </w:footnote>
  <w:footnote w:id="3">
    <w:p w14:paraId="071BE9E3" w14:textId="77777777" w:rsidR="00857F61" w:rsidRPr="00F03CE1" w:rsidRDefault="00857F61" w:rsidP="00F2363C">
      <w:pPr>
        <w:pStyle w:val="FootnoteText"/>
        <w:jc w:val="both"/>
        <w:rPr>
          <w:rFonts w:cs="Arial"/>
          <w:sz w:val="18"/>
          <w:szCs w:val="18"/>
        </w:rPr>
      </w:pPr>
      <w:r w:rsidRPr="00F03CE1">
        <w:rPr>
          <w:rStyle w:val="FootnoteReference"/>
          <w:rFonts w:eastAsia="Hiragino Kaku Gothic Pro W3" w:cs="Arial"/>
          <w:sz w:val="18"/>
          <w:szCs w:val="18"/>
        </w:rPr>
        <w:footnoteRef/>
      </w:r>
      <w:r w:rsidRPr="00F03CE1">
        <w:rPr>
          <w:rFonts w:cs="Arial"/>
          <w:sz w:val="18"/>
          <w:szCs w:val="18"/>
        </w:rPr>
        <w:t xml:space="preserve"> Statistics Canada, </w:t>
      </w:r>
      <w:r w:rsidRPr="00F03CE1">
        <w:rPr>
          <w:rFonts w:cs="Arial"/>
          <w:i/>
          <w:iCs/>
          <w:sz w:val="18"/>
          <w:szCs w:val="18"/>
        </w:rPr>
        <w:t>Number of victims of spousal homicide</w:t>
      </w:r>
      <w:r w:rsidRPr="00F03CE1">
        <w:rPr>
          <w:rFonts w:cs="Arial"/>
          <w:sz w:val="18"/>
          <w:szCs w:val="18"/>
        </w:rPr>
        <w:t xml:space="preserve">, July 2023; D. Sutton, </w:t>
      </w:r>
      <w:r w:rsidRPr="00F03CE1">
        <w:rPr>
          <w:rFonts w:cs="Arial"/>
          <w:i/>
          <w:iCs/>
          <w:sz w:val="18"/>
          <w:szCs w:val="18"/>
        </w:rPr>
        <w:t>Gender-related homicide of women and girls in Canada</w:t>
      </w:r>
      <w:r w:rsidRPr="00F03CE1">
        <w:rPr>
          <w:rFonts w:cs="Arial"/>
          <w:sz w:val="18"/>
          <w:szCs w:val="18"/>
        </w:rPr>
        <w:t>, Statistics Canada, 5 April 2023, at p. 3; and Canadian Femicide Observatory for Justice and Accountability, #</w:t>
      </w:r>
      <w:r w:rsidRPr="00F03CE1">
        <w:rPr>
          <w:rFonts w:cs="Arial"/>
          <w:i/>
          <w:iCs/>
          <w:sz w:val="18"/>
          <w:szCs w:val="18"/>
        </w:rPr>
        <w:t>CallitFemicide: Understanding sex/gender-related killings of women and girls in Canada, 2018-2022</w:t>
      </w:r>
      <w:r w:rsidRPr="00F03CE1">
        <w:rPr>
          <w:rFonts w:cs="Arial"/>
          <w:sz w:val="18"/>
          <w:szCs w:val="18"/>
        </w:rPr>
        <w:t>, April 2023.</w:t>
      </w:r>
    </w:p>
  </w:footnote>
  <w:footnote w:id="4">
    <w:p w14:paraId="72E60857" w14:textId="77777777" w:rsidR="00857F61" w:rsidRPr="00F03CE1" w:rsidRDefault="00857F61" w:rsidP="00F2363C">
      <w:pPr>
        <w:pStyle w:val="FootnoteText"/>
        <w:jc w:val="both"/>
        <w:rPr>
          <w:rFonts w:cs="Arial"/>
          <w:sz w:val="18"/>
          <w:szCs w:val="18"/>
        </w:rPr>
      </w:pPr>
      <w:r w:rsidRPr="00F03CE1">
        <w:rPr>
          <w:rStyle w:val="FootnoteReference"/>
          <w:rFonts w:eastAsia="Hiragino Kaku Gothic Pro W3" w:cs="Arial"/>
          <w:sz w:val="18"/>
          <w:szCs w:val="18"/>
        </w:rPr>
        <w:footnoteRef/>
      </w:r>
      <w:r w:rsidRPr="00F03CE1">
        <w:rPr>
          <w:rFonts w:cs="Arial"/>
          <w:sz w:val="18"/>
          <w:szCs w:val="18"/>
        </w:rPr>
        <w:t xml:space="preserve"> See, e.g., E. Moir, “Hidden GBV: Women and substance use,” </w:t>
      </w:r>
      <w:r w:rsidRPr="00F03CE1">
        <w:rPr>
          <w:rFonts w:cs="Arial"/>
          <w:i/>
          <w:iCs/>
          <w:sz w:val="18"/>
          <w:szCs w:val="18"/>
        </w:rPr>
        <w:t>Frontiers Psychiatry</w:t>
      </w:r>
      <w:r w:rsidRPr="00F03CE1">
        <w:rPr>
          <w:rFonts w:cs="Arial"/>
          <w:sz w:val="18"/>
          <w:szCs w:val="18"/>
        </w:rPr>
        <w:t xml:space="preserve"> 13 (2022); A. Hovey and S. Scott, “All Women Are Welcome: Reducing Barriers to Women’s Shelters With Harm Reduction,” </w:t>
      </w:r>
      <w:r w:rsidRPr="00F03CE1">
        <w:rPr>
          <w:rFonts w:cs="Arial"/>
          <w:i/>
          <w:iCs/>
          <w:sz w:val="18"/>
          <w:szCs w:val="18"/>
        </w:rPr>
        <w:t>Partner Abuse</w:t>
      </w:r>
      <w:r w:rsidRPr="00F03CE1">
        <w:rPr>
          <w:rFonts w:cs="Arial"/>
          <w:sz w:val="18"/>
          <w:szCs w:val="18"/>
        </w:rPr>
        <w:t xml:space="preserve"> 10(4) (2019): 409-428; and A. Hovey, “Understanding the Landscape of Substance Use Management Practices in Domestic Violence Shelters across Ontario,” </w:t>
      </w:r>
      <w:r w:rsidRPr="00F03CE1">
        <w:rPr>
          <w:rFonts w:cs="Arial"/>
          <w:i/>
          <w:iCs/>
          <w:sz w:val="18"/>
          <w:szCs w:val="18"/>
        </w:rPr>
        <w:t>Journal of Family Violence</w:t>
      </w:r>
      <w:r w:rsidRPr="00F03CE1">
        <w:rPr>
          <w:rFonts w:cs="Arial"/>
          <w:sz w:val="18"/>
          <w:szCs w:val="18"/>
        </w:rPr>
        <w:t>, 35(2) (2019): 191-201.</w:t>
      </w:r>
    </w:p>
  </w:footnote>
  <w:footnote w:id="5">
    <w:p w14:paraId="76549428" w14:textId="77777777" w:rsidR="000440D7" w:rsidRPr="00F03CE1" w:rsidRDefault="000440D7" w:rsidP="000440D7">
      <w:pPr>
        <w:pStyle w:val="FootnoteText"/>
        <w:jc w:val="both"/>
        <w:rPr>
          <w:rFonts w:cs="Arial"/>
          <w:sz w:val="18"/>
          <w:szCs w:val="18"/>
        </w:rPr>
      </w:pPr>
      <w:r w:rsidRPr="00F03CE1">
        <w:rPr>
          <w:rStyle w:val="FootnoteReference"/>
          <w:rFonts w:eastAsia="Hiragino Kaku Gothic Pro W3" w:cs="Arial"/>
          <w:sz w:val="18"/>
          <w:szCs w:val="18"/>
        </w:rPr>
        <w:footnoteRef/>
      </w:r>
      <w:r w:rsidRPr="00F03CE1">
        <w:rPr>
          <w:rFonts w:cs="Arial"/>
          <w:sz w:val="18"/>
          <w:szCs w:val="18"/>
        </w:rPr>
        <w:t xml:space="preserve"> See, e.g., Government of Canada, </w:t>
      </w:r>
      <w:r w:rsidRPr="00F03CE1">
        <w:rPr>
          <w:rFonts w:cs="Arial"/>
          <w:i/>
          <w:iCs/>
          <w:sz w:val="18"/>
          <w:szCs w:val="18"/>
        </w:rPr>
        <w:t>Key statistics on gender-based violence in Canada</w:t>
      </w:r>
      <w:r w:rsidRPr="00F03CE1">
        <w:rPr>
          <w:rFonts w:cs="Arial"/>
          <w:sz w:val="18"/>
          <w:szCs w:val="18"/>
        </w:rPr>
        <w:t>, 10 June 2024</w:t>
      </w:r>
      <w:r w:rsidRPr="00F03CE1">
        <w:rPr>
          <w:rFonts w:cs="Arial"/>
          <w:i/>
          <w:iCs/>
          <w:sz w:val="18"/>
          <w:szCs w:val="18"/>
        </w:rPr>
        <w:t>.</w:t>
      </w:r>
    </w:p>
  </w:footnote>
  <w:footnote w:id="6">
    <w:p w14:paraId="7DDAD721" w14:textId="77777777" w:rsidR="00857F61" w:rsidRPr="00F03CE1" w:rsidRDefault="00857F61" w:rsidP="00F2363C">
      <w:pPr>
        <w:pStyle w:val="FootnoteText"/>
        <w:rPr>
          <w:rFonts w:cs="Arial"/>
          <w:sz w:val="18"/>
          <w:szCs w:val="18"/>
        </w:rPr>
      </w:pPr>
      <w:r w:rsidRPr="00F03CE1">
        <w:rPr>
          <w:rStyle w:val="FootnoteReference"/>
          <w:rFonts w:eastAsia="Hiragino Kaku Gothic Pro W3" w:cs="Arial"/>
          <w:sz w:val="18"/>
          <w:szCs w:val="18"/>
        </w:rPr>
        <w:footnoteRef/>
      </w:r>
      <w:r w:rsidRPr="00F03CE1">
        <w:rPr>
          <w:rFonts w:cs="Arial"/>
          <w:sz w:val="18"/>
          <w:szCs w:val="18"/>
        </w:rPr>
        <w:t xml:space="preserve"> Government of Canada, </w:t>
      </w:r>
      <w:r w:rsidRPr="00F03CE1">
        <w:rPr>
          <w:rFonts w:cs="Arial"/>
          <w:i/>
          <w:iCs/>
          <w:sz w:val="18"/>
          <w:szCs w:val="18"/>
        </w:rPr>
        <w:t>Opioid- and Stimulant-related Harms in Canada</w:t>
      </w:r>
      <w:r w:rsidRPr="00F03CE1">
        <w:rPr>
          <w:rFonts w:cs="Arial"/>
          <w:sz w:val="18"/>
          <w:szCs w:val="18"/>
        </w:rPr>
        <w:t xml:space="preserve">, June 28, 2024. </w:t>
      </w:r>
    </w:p>
  </w:footnote>
  <w:footnote w:id="7">
    <w:p w14:paraId="4F7C11FC" w14:textId="77777777" w:rsidR="00857F61" w:rsidRPr="00F03CE1" w:rsidRDefault="00857F61" w:rsidP="00F2363C">
      <w:pPr>
        <w:pStyle w:val="FootnoteText"/>
        <w:rPr>
          <w:rFonts w:cs="Arial"/>
          <w:sz w:val="18"/>
          <w:szCs w:val="18"/>
        </w:rPr>
      </w:pPr>
      <w:r w:rsidRPr="00F03CE1">
        <w:rPr>
          <w:rStyle w:val="FootnoteReference"/>
          <w:rFonts w:eastAsia="Hiragino Kaku Gothic Pro W3" w:cs="Arial"/>
          <w:sz w:val="18"/>
          <w:szCs w:val="18"/>
        </w:rPr>
        <w:footnoteRef/>
      </w:r>
      <w:r w:rsidRPr="00F03CE1">
        <w:rPr>
          <w:rFonts w:cs="Arial"/>
          <w:sz w:val="18"/>
          <w:szCs w:val="18"/>
        </w:rPr>
        <w:t xml:space="preserve"> First Nations Health Authority, “​​​First Nations Illicit Drug Deaths Rise during COVID-19 Pandemic, July 6, </w:t>
      </w:r>
      <w:proofErr w:type="gramStart"/>
      <w:r w:rsidRPr="00F03CE1">
        <w:rPr>
          <w:rFonts w:cs="Arial"/>
          <w:sz w:val="18"/>
          <w:szCs w:val="18"/>
        </w:rPr>
        <w:t>2020</w:t>
      </w:r>
      <w:proofErr w:type="gramEnd"/>
      <w:r w:rsidRPr="00F03CE1">
        <w:rPr>
          <w:rFonts w:cs="Arial"/>
          <w:sz w:val="18"/>
          <w:szCs w:val="18"/>
        </w:rPr>
        <w:t xml:space="preserve"> and CBC Radio Canada, “Les Premières Nations </w:t>
      </w:r>
      <w:proofErr w:type="spellStart"/>
      <w:r w:rsidRPr="00F03CE1">
        <w:rPr>
          <w:rFonts w:cs="Arial"/>
          <w:sz w:val="18"/>
          <w:szCs w:val="18"/>
        </w:rPr>
        <w:t>particulièrement</w:t>
      </w:r>
      <w:proofErr w:type="spellEnd"/>
      <w:r w:rsidRPr="00F03CE1">
        <w:rPr>
          <w:rFonts w:cs="Arial"/>
          <w:sz w:val="18"/>
          <w:szCs w:val="18"/>
        </w:rPr>
        <w:t xml:space="preserve"> </w:t>
      </w:r>
      <w:proofErr w:type="spellStart"/>
      <w:r w:rsidRPr="00F03CE1">
        <w:rPr>
          <w:rFonts w:cs="Arial"/>
          <w:sz w:val="18"/>
          <w:szCs w:val="18"/>
        </w:rPr>
        <w:t>touchées</w:t>
      </w:r>
      <w:proofErr w:type="spellEnd"/>
      <w:r w:rsidRPr="00F03CE1">
        <w:rPr>
          <w:rFonts w:cs="Arial"/>
          <w:sz w:val="18"/>
          <w:szCs w:val="18"/>
        </w:rPr>
        <w:t xml:space="preserve"> par les </w:t>
      </w:r>
      <w:proofErr w:type="spellStart"/>
      <w:r w:rsidRPr="00F03CE1">
        <w:rPr>
          <w:rFonts w:cs="Arial"/>
          <w:sz w:val="18"/>
          <w:szCs w:val="18"/>
        </w:rPr>
        <w:t>surdoses</w:t>
      </w:r>
      <w:proofErr w:type="spellEnd"/>
      <w:r w:rsidRPr="00F03CE1">
        <w:rPr>
          <w:rFonts w:cs="Arial"/>
          <w:sz w:val="18"/>
          <w:szCs w:val="18"/>
        </w:rPr>
        <w:t xml:space="preserve"> aux opioids,” December 3, 2019.</w:t>
      </w:r>
    </w:p>
  </w:footnote>
  <w:footnote w:id="8">
    <w:p w14:paraId="65CADA45" w14:textId="77777777" w:rsidR="00857F61" w:rsidRPr="00F03CE1" w:rsidRDefault="00857F61" w:rsidP="00F2363C">
      <w:pPr>
        <w:pStyle w:val="FootnoteText"/>
        <w:jc w:val="both"/>
        <w:rPr>
          <w:rFonts w:cs="Arial"/>
          <w:sz w:val="18"/>
          <w:szCs w:val="18"/>
        </w:rPr>
      </w:pPr>
      <w:r w:rsidRPr="00F03CE1">
        <w:rPr>
          <w:rStyle w:val="FootnoteReference"/>
          <w:rFonts w:eastAsia="Hiragino Kaku Gothic Pro W3" w:cs="Arial"/>
          <w:sz w:val="18"/>
          <w:szCs w:val="18"/>
        </w:rPr>
        <w:footnoteRef/>
      </w:r>
      <w:r w:rsidRPr="00F03CE1">
        <w:rPr>
          <w:rFonts w:cs="Arial"/>
          <w:sz w:val="18"/>
          <w:szCs w:val="18"/>
        </w:rPr>
        <w:t xml:space="preserve"> See, e.g., K. Maki, </w:t>
      </w:r>
      <w:r w:rsidRPr="00F03CE1">
        <w:rPr>
          <w:rFonts w:cs="Arial"/>
          <w:i/>
          <w:iCs/>
          <w:sz w:val="18"/>
          <w:szCs w:val="18"/>
        </w:rPr>
        <w:t>More Than a Bed: A National Profile of VAW Shelters and Transition Houses</w:t>
      </w:r>
      <w:r w:rsidRPr="00F03CE1">
        <w:rPr>
          <w:rFonts w:cs="Arial"/>
          <w:sz w:val="18"/>
          <w:szCs w:val="18"/>
        </w:rPr>
        <w:t>, Women’s Shelters Canada, May 2019 and A. Boulanger et al</w:t>
      </w:r>
      <w:r w:rsidRPr="00F03CE1">
        <w:rPr>
          <w:rFonts w:cs="Arial"/>
          <w:i/>
          <w:iCs/>
          <w:sz w:val="18"/>
          <w:szCs w:val="18"/>
        </w:rPr>
        <w:t>, Towards Access for All: Best and Promising Practices from Low-Barrier Harm Reduction Shelters in Canada</w:t>
      </w:r>
      <w:r w:rsidRPr="00F03CE1">
        <w:rPr>
          <w:rFonts w:cs="Arial"/>
          <w:sz w:val="18"/>
          <w:szCs w:val="18"/>
        </w:rPr>
        <w:t>, HIV Legal Network, 20 February 2024.</w:t>
      </w:r>
    </w:p>
  </w:footnote>
  <w:footnote w:id="9">
    <w:p w14:paraId="32246E39" w14:textId="77777777" w:rsidR="00857F61" w:rsidRPr="00F03CE1" w:rsidRDefault="00857F61" w:rsidP="00F2363C">
      <w:pPr>
        <w:pStyle w:val="FootnoteText"/>
        <w:rPr>
          <w:rFonts w:cs="Arial"/>
          <w:i/>
          <w:iCs/>
          <w:sz w:val="18"/>
          <w:szCs w:val="18"/>
          <w:lang w:val="fr-FR"/>
        </w:rPr>
      </w:pPr>
      <w:r w:rsidRPr="00F03CE1">
        <w:rPr>
          <w:rStyle w:val="FootnoteReference"/>
          <w:rFonts w:eastAsia="Hiragino Kaku Gothic Pro W3" w:cs="Arial"/>
          <w:sz w:val="18"/>
          <w:szCs w:val="18"/>
        </w:rPr>
        <w:footnoteRef/>
      </w:r>
      <w:r w:rsidRPr="00F03CE1">
        <w:rPr>
          <w:rFonts w:cs="Arial"/>
          <w:sz w:val="18"/>
          <w:szCs w:val="18"/>
          <w:lang w:val="fr-FR"/>
        </w:rPr>
        <w:t xml:space="preserve"> A. Boulanger et al.</w:t>
      </w:r>
      <w:r w:rsidRPr="00F03CE1">
        <w:rPr>
          <w:rFonts w:cs="Arial"/>
          <w:i/>
          <w:iCs/>
          <w:sz w:val="18"/>
          <w:szCs w:val="18"/>
          <w:lang w:val="fr-FR"/>
        </w:rPr>
        <w:t>,</w:t>
      </w:r>
      <w:r w:rsidRPr="00F03CE1">
        <w:rPr>
          <w:rFonts w:cs="Arial"/>
          <w:sz w:val="18"/>
          <w:szCs w:val="18"/>
          <w:lang w:val="fr-FR"/>
        </w:rPr>
        <w:t xml:space="preserve"> ibid.</w:t>
      </w:r>
    </w:p>
  </w:footnote>
  <w:footnote w:id="10">
    <w:p w14:paraId="3AA53C6D" w14:textId="77777777" w:rsidR="00857F61" w:rsidRPr="00F03CE1" w:rsidRDefault="00857F61" w:rsidP="00F2363C">
      <w:pPr>
        <w:pStyle w:val="FootnoteText"/>
        <w:jc w:val="both"/>
        <w:rPr>
          <w:rFonts w:cs="Arial"/>
          <w:sz w:val="18"/>
          <w:szCs w:val="18"/>
        </w:rPr>
      </w:pPr>
      <w:r w:rsidRPr="00F03CE1">
        <w:rPr>
          <w:rStyle w:val="FootnoteReference"/>
          <w:rFonts w:eastAsia="Hiragino Kaku Gothic Pro W3" w:cs="Arial"/>
          <w:sz w:val="18"/>
          <w:szCs w:val="18"/>
        </w:rPr>
        <w:footnoteRef/>
      </w:r>
      <w:r w:rsidRPr="00F03CE1">
        <w:rPr>
          <w:rFonts w:cs="Arial"/>
          <w:sz w:val="18"/>
          <w:szCs w:val="18"/>
        </w:rPr>
        <w:t xml:space="preserve"> K. Maki, supra, at p. 34. </w:t>
      </w:r>
    </w:p>
  </w:footnote>
  <w:footnote w:id="11">
    <w:p w14:paraId="700BF285" w14:textId="77777777" w:rsidR="00857F61" w:rsidRPr="00F03CE1" w:rsidRDefault="00857F61" w:rsidP="00F2363C">
      <w:pPr>
        <w:pStyle w:val="FootnoteText"/>
        <w:jc w:val="both"/>
        <w:rPr>
          <w:rFonts w:cs="Arial"/>
          <w:sz w:val="18"/>
          <w:szCs w:val="18"/>
        </w:rPr>
      </w:pPr>
      <w:r w:rsidRPr="00F03CE1">
        <w:rPr>
          <w:rStyle w:val="FootnoteReference"/>
          <w:rFonts w:eastAsia="Hiragino Kaku Gothic Pro W3" w:cs="Arial"/>
          <w:sz w:val="18"/>
          <w:szCs w:val="18"/>
        </w:rPr>
        <w:footnoteRef/>
      </w:r>
      <w:r w:rsidRPr="00F03CE1">
        <w:rPr>
          <w:rFonts w:cs="Arial"/>
          <w:sz w:val="18"/>
          <w:szCs w:val="18"/>
        </w:rPr>
        <w:t xml:space="preserve"> K. Schwan et al., </w:t>
      </w:r>
      <w:r w:rsidRPr="00F03CE1">
        <w:rPr>
          <w:rFonts w:cs="Arial"/>
          <w:i/>
          <w:iCs/>
          <w:sz w:val="18"/>
          <w:szCs w:val="18"/>
        </w:rPr>
        <w:t>The Pan-Canadian Women’s Housing &amp; Homelessness Survey,</w:t>
      </w:r>
      <w:r w:rsidRPr="00F03CE1">
        <w:rPr>
          <w:rFonts w:cs="Arial"/>
          <w:sz w:val="18"/>
          <w:szCs w:val="18"/>
        </w:rPr>
        <w:t xml:space="preserve"> Canadian Observatory of Homelessness, 2021.</w:t>
      </w:r>
    </w:p>
  </w:footnote>
  <w:footnote w:id="12">
    <w:p w14:paraId="1563B8C1" w14:textId="77777777" w:rsidR="00857F61" w:rsidRPr="00F03CE1" w:rsidRDefault="00857F61" w:rsidP="00F2363C">
      <w:pPr>
        <w:pStyle w:val="FootnoteText"/>
        <w:jc w:val="both"/>
        <w:rPr>
          <w:rFonts w:cs="Arial"/>
          <w:sz w:val="18"/>
          <w:szCs w:val="18"/>
        </w:rPr>
      </w:pPr>
      <w:r w:rsidRPr="00F03CE1">
        <w:rPr>
          <w:rStyle w:val="FootnoteReference"/>
          <w:rFonts w:eastAsia="Hiragino Kaku Gothic Pro W3" w:cs="Arial"/>
          <w:sz w:val="18"/>
          <w:szCs w:val="18"/>
        </w:rPr>
        <w:footnoteRef/>
      </w:r>
      <w:r w:rsidRPr="00F03CE1">
        <w:rPr>
          <w:rFonts w:cs="Arial"/>
          <w:sz w:val="18"/>
          <w:szCs w:val="18"/>
        </w:rPr>
        <w:t xml:space="preserve"> A. Hovey and S. Scott, supra at p. 409. </w:t>
      </w:r>
    </w:p>
  </w:footnote>
  <w:footnote w:id="13">
    <w:p w14:paraId="2DB36EE6" w14:textId="77777777" w:rsidR="00857F61" w:rsidRPr="00F03CE1" w:rsidRDefault="00857F61" w:rsidP="00F2363C">
      <w:pPr>
        <w:pStyle w:val="FootnoteText"/>
        <w:jc w:val="both"/>
        <w:rPr>
          <w:rFonts w:cs="Arial"/>
          <w:sz w:val="18"/>
          <w:szCs w:val="18"/>
        </w:rPr>
      </w:pPr>
      <w:r w:rsidRPr="00F03CE1">
        <w:rPr>
          <w:rStyle w:val="FootnoteReference"/>
          <w:rFonts w:eastAsia="Hiragino Kaku Gothic Pro W3" w:cs="Arial"/>
          <w:sz w:val="18"/>
          <w:szCs w:val="18"/>
        </w:rPr>
        <w:footnoteRef/>
      </w:r>
      <w:r w:rsidRPr="00F03CE1">
        <w:rPr>
          <w:rFonts w:cs="Arial"/>
          <w:sz w:val="18"/>
          <w:szCs w:val="18"/>
        </w:rPr>
        <w:t xml:space="preserve"> K. Maki, supra.</w:t>
      </w:r>
    </w:p>
  </w:footnote>
  <w:footnote w:id="14">
    <w:p w14:paraId="57B23C87" w14:textId="77777777" w:rsidR="00857F61" w:rsidRPr="00F03CE1" w:rsidRDefault="00857F61" w:rsidP="00F2363C">
      <w:pPr>
        <w:pStyle w:val="FootnoteText"/>
        <w:jc w:val="both"/>
        <w:rPr>
          <w:rFonts w:cs="Arial"/>
          <w:sz w:val="18"/>
          <w:szCs w:val="18"/>
        </w:rPr>
      </w:pPr>
      <w:r w:rsidRPr="00F03CE1">
        <w:rPr>
          <w:rStyle w:val="FootnoteReference"/>
          <w:rFonts w:eastAsia="Hiragino Kaku Gothic Pro W3" w:cs="Arial"/>
          <w:sz w:val="18"/>
          <w:szCs w:val="18"/>
        </w:rPr>
        <w:footnoteRef/>
      </w:r>
      <w:r w:rsidRPr="00F03CE1">
        <w:rPr>
          <w:rFonts w:cs="Arial"/>
          <w:sz w:val="18"/>
          <w:szCs w:val="18"/>
        </w:rPr>
        <w:t xml:space="preserve"> See, e.g., Government of Yukon, </w:t>
      </w:r>
      <w:r w:rsidRPr="00F03CE1">
        <w:rPr>
          <w:rFonts w:cs="Arial"/>
          <w:i/>
          <w:iCs/>
          <w:sz w:val="18"/>
          <w:szCs w:val="18"/>
        </w:rPr>
        <w:t xml:space="preserve">Government of Yukon implementing coroner’s inquest recommendations, </w:t>
      </w:r>
      <w:r w:rsidRPr="00F03CE1">
        <w:rPr>
          <w:rFonts w:cs="Arial"/>
          <w:sz w:val="18"/>
          <w:szCs w:val="18"/>
        </w:rPr>
        <w:t xml:space="preserve">12 July 2024 and Ontario Drug Policy Research Network, </w:t>
      </w:r>
      <w:r w:rsidRPr="00F03CE1">
        <w:rPr>
          <w:rFonts w:cs="Arial"/>
          <w:i/>
          <w:iCs/>
          <w:sz w:val="18"/>
          <w:szCs w:val="18"/>
        </w:rPr>
        <w:t>Opioid-Related Toxicity Deaths Within Ontario Shelters: Circumstances of Death and Priori Medication &amp; Healthcare Use</w:t>
      </w:r>
      <w:r w:rsidRPr="00F03CE1">
        <w:rPr>
          <w:rFonts w:cs="Arial"/>
          <w:sz w:val="18"/>
          <w:szCs w:val="18"/>
        </w:rPr>
        <w:t xml:space="preserve">, June 2024. </w:t>
      </w:r>
    </w:p>
  </w:footnote>
  <w:footnote w:id="15">
    <w:p w14:paraId="51595E35" w14:textId="6CEC4428" w:rsidR="005C74A1" w:rsidRPr="00F03CE1" w:rsidRDefault="005C74A1" w:rsidP="005C74A1">
      <w:pPr>
        <w:pStyle w:val="FootnoteText"/>
        <w:rPr>
          <w:rFonts w:cs="Arial"/>
          <w:sz w:val="18"/>
          <w:szCs w:val="18"/>
        </w:rPr>
      </w:pPr>
      <w:r w:rsidRPr="00F03CE1">
        <w:rPr>
          <w:rStyle w:val="FootnoteReference"/>
          <w:rFonts w:cs="Arial"/>
          <w:sz w:val="18"/>
          <w:szCs w:val="18"/>
        </w:rPr>
        <w:footnoteRef/>
      </w:r>
      <w:r w:rsidRPr="00F03CE1">
        <w:rPr>
          <w:rFonts w:cs="Arial"/>
          <w:sz w:val="18"/>
          <w:szCs w:val="18"/>
        </w:rPr>
        <w:t xml:space="preserve"> Canadian HIV/AIDS Legal Network, </w:t>
      </w:r>
      <w:r w:rsidRPr="00F03CE1">
        <w:rPr>
          <w:rFonts w:cs="Arial"/>
          <w:i/>
          <w:iCs/>
          <w:sz w:val="18"/>
          <w:szCs w:val="18"/>
        </w:rPr>
        <w:t>Gendering the Scene</w:t>
      </w:r>
      <w:r w:rsidR="00204BB1" w:rsidRPr="00F03CE1">
        <w:rPr>
          <w:rFonts w:cs="Arial"/>
          <w:sz w:val="18"/>
          <w:szCs w:val="18"/>
        </w:rPr>
        <w:t>:</w:t>
      </w:r>
      <w:r w:rsidR="00204BB1" w:rsidRPr="00053E3C">
        <w:rPr>
          <w:sz w:val="18"/>
          <w:szCs w:val="18"/>
        </w:rPr>
        <w:t xml:space="preserve"> </w:t>
      </w:r>
      <w:r w:rsidR="00204BB1" w:rsidRPr="00F03CE1">
        <w:rPr>
          <w:rFonts w:cs="Arial"/>
          <w:i/>
          <w:iCs/>
          <w:sz w:val="18"/>
          <w:szCs w:val="18"/>
        </w:rPr>
        <w:t>Women, Gender-Diverse People, and Harm Reduction in Canada</w:t>
      </w:r>
      <w:r w:rsidR="00204BB1" w:rsidRPr="00F03CE1">
        <w:rPr>
          <w:rFonts w:cs="Arial"/>
          <w:sz w:val="18"/>
          <w:szCs w:val="18"/>
        </w:rPr>
        <w:t>, 2020.</w:t>
      </w:r>
    </w:p>
  </w:footnote>
  <w:footnote w:id="16">
    <w:p w14:paraId="67E7BD77" w14:textId="3EFF955D" w:rsidR="00857F61" w:rsidRPr="00F03CE1" w:rsidRDefault="00857F61" w:rsidP="00C22D6C">
      <w:pPr>
        <w:pStyle w:val="FootnoteText"/>
        <w:rPr>
          <w:rFonts w:cs="Arial"/>
          <w:sz w:val="18"/>
          <w:szCs w:val="18"/>
        </w:rPr>
      </w:pPr>
      <w:r w:rsidRPr="00F03CE1">
        <w:rPr>
          <w:rStyle w:val="FootnoteReference"/>
          <w:rFonts w:cs="Arial"/>
          <w:sz w:val="18"/>
          <w:szCs w:val="18"/>
        </w:rPr>
        <w:footnoteRef/>
      </w:r>
      <w:r w:rsidRPr="00F03CE1">
        <w:rPr>
          <w:rFonts w:cs="Arial"/>
          <w:sz w:val="18"/>
          <w:szCs w:val="18"/>
        </w:rPr>
        <w:t xml:space="preserve"> N. Fairbairn, “Seeking refuge from violence in street-based drug scenes: Women’s experiences in North America’s first supervised injection facility,” </w:t>
      </w:r>
      <w:r w:rsidRPr="00F03CE1">
        <w:rPr>
          <w:rFonts w:cs="Arial"/>
          <w:i/>
          <w:sz w:val="18"/>
          <w:szCs w:val="18"/>
        </w:rPr>
        <w:t>Social Science &amp; Medicine</w:t>
      </w:r>
      <w:r w:rsidRPr="00F03CE1">
        <w:rPr>
          <w:rFonts w:cs="Arial"/>
          <w:sz w:val="18"/>
          <w:szCs w:val="18"/>
        </w:rPr>
        <w:t xml:space="preserve"> 67 (2008)</w:t>
      </w:r>
      <w:r w:rsidR="00204BB1" w:rsidRPr="00F03CE1">
        <w:rPr>
          <w:rFonts w:cs="Arial"/>
          <w:sz w:val="18"/>
          <w:szCs w:val="18"/>
        </w:rPr>
        <w:t>:</w:t>
      </w:r>
      <w:r w:rsidRPr="00F03CE1">
        <w:rPr>
          <w:rFonts w:cs="Arial"/>
          <w:sz w:val="18"/>
          <w:szCs w:val="18"/>
        </w:rPr>
        <w:t xml:space="preserve"> 817–823. </w:t>
      </w:r>
    </w:p>
  </w:footnote>
  <w:footnote w:id="17">
    <w:p w14:paraId="405C627C" w14:textId="77777777" w:rsidR="00857F61" w:rsidRPr="00F03CE1" w:rsidRDefault="00857F61" w:rsidP="00C22D6C">
      <w:pPr>
        <w:pStyle w:val="FootnoteText"/>
        <w:rPr>
          <w:rFonts w:cs="Arial"/>
          <w:sz w:val="18"/>
          <w:szCs w:val="18"/>
        </w:rPr>
      </w:pPr>
      <w:r w:rsidRPr="00F03CE1">
        <w:rPr>
          <w:rStyle w:val="FootnoteReference"/>
          <w:rFonts w:cs="Arial"/>
          <w:sz w:val="18"/>
          <w:szCs w:val="18"/>
        </w:rPr>
        <w:footnoteRef/>
      </w:r>
      <w:r w:rsidRPr="00F03CE1">
        <w:rPr>
          <w:rFonts w:cs="Arial"/>
          <w:sz w:val="18"/>
          <w:szCs w:val="18"/>
        </w:rPr>
        <w:t xml:space="preserve"> J. Boyd, “Gendered violence &amp; overdose prevention sites: A rapid ethnographic study during an overdose epidemic in Vancouver, Canada,” </w:t>
      </w:r>
      <w:r w:rsidRPr="00F03CE1">
        <w:rPr>
          <w:rFonts w:cs="Arial"/>
          <w:i/>
          <w:sz w:val="18"/>
          <w:szCs w:val="18"/>
        </w:rPr>
        <w:t>Addiction</w:t>
      </w:r>
      <w:r w:rsidRPr="00F03CE1">
        <w:rPr>
          <w:rFonts w:cs="Arial"/>
          <w:sz w:val="18"/>
          <w:szCs w:val="18"/>
        </w:rPr>
        <w:t xml:space="preserve">, September 2018, DOI: 10.1111/add.14417. </w:t>
      </w:r>
    </w:p>
  </w:footnote>
  <w:footnote w:id="18">
    <w:p w14:paraId="5D69C464" w14:textId="2086E915" w:rsidR="0012727B" w:rsidRPr="00053E3C" w:rsidRDefault="0012727B" w:rsidP="0012727B">
      <w:pPr>
        <w:pStyle w:val="FootnoteText"/>
        <w:rPr>
          <w:sz w:val="18"/>
          <w:szCs w:val="18"/>
        </w:rPr>
      </w:pPr>
      <w:r w:rsidRPr="00053E3C">
        <w:rPr>
          <w:rStyle w:val="FootnoteReference"/>
          <w:sz w:val="18"/>
          <w:szCs w:val="18"/>
        </w:rPr>
        <w:footnoteRef/>
      </w:r>
      <w:r w:rsidRPr="00053E3C">
        <w:rPr>
          <w:sz w:val="18"/>
          <w:szCs w:val="18"/>
        </w:rPr>
        <w:t xml:space="preserve"> </w:t>
      </w:r>
      <w:r w:rsidRPr="00F03CE1">
        <w:rPr>
          <w:sz w:val="18"/>
          <w:szCs w:val="18"/>
        </w:rPr>
        <w:t>Canadian Research Initiative in Substance Misuse (CRISM)</w:t>
      </w:r>
      <w:r w:rsidR="004970DB">
        <w:rPr>
          <w:sz w:val="18"/>
          <w:szCs w:val="18"/>
        </w:rPr>
        <w:t>,</w:t>
      </w:r>
      <w:r w:rsidRPr="00F03CE1">
        <w:rPr>
          <w:sz w:val="18"/>
          <w:szCs w:val="18"/>
        </w:rPr>
        <w:t xml:space="preserve"> </w:t>
      </w:r>
      <w:r w:rsidRPr="00F03CE1">
        <w:rPr>
          <w:i/>
          <w:iCs/>
          <w:sz w:val="18"/>
          <w:szCs w:val="18"/>
        </w:rPr>
        <w:t xml:space="preserve">National Operational Guidance for the Implementation of Supervised Consumption Services, </w:t>
      </w:r>
      <w:r w:rsidRPr="00F03CE1">
        <w:rPr>
          <w:sz w:val="18"/>
          <w:szCs w:val="18"/>
        </w:rPr>
        <w:t>July 17, 2023.</w:t>
      </w:r>
    </w:p>
  </w:footnote>
  <w:footnote w:id="19">
    <w:p w14:paraId="1C672310" w14:textId="434CEB00" w:rsidR="008820B0" w:rsidRPr="00053E3C" w:rsidRDefault="008820B0">
      <w:pPr>
        <w:pStyle w:val="FootnoteText"/>
        <w:rPr>
          <w:sz w:val="18"/>
          <w:szCs w:val="18"/>
        </w:rPr>
      </w:pPr>
      <w:r w:rsidRPr="00053E3C">
        <w:rPr>
          <w:rStyle w:val="FootnoteReference"/>
          <w:sz w:val="18"/>
          <w:szCs w:val="18"/>
        </w:rPr>
        <w:footnoteRef/>
      </w:r>
      <w:r w:rsidRPr="00F02050">
        <w:rPr>
          <w:sz w:val="18"/>
          <w:szCs w:val="18"/>
        </w:rPr>
        <w:t xml:space="preserve"> </w:t>
      </w:r>
      <w:r w:rsidR="005032E7" w:rsidRPr="00F02050">
        <w:rPr>
          <w:sz w:val="18"/>
          <w:szCs w:val="18"/>
        </w:rPr>
        <w:t xml:space="preserve">C. L. </w:t>
      </w:r>
      <w:r w:rsidRPr="00F02050">
        <w:rPr>
          <w:sz w:val="18"/>
          <w:szCs w:val="18"/>
        </w:rPr>
        <w:t xml:space="preserve">Miller </w:t>
      </w:r>
      <w:r w:rsidR="005032E7" w:rsidRPr="00F02050">
        <w:rPr>
          <w:sz w:val="18"/>
          <w:szCs w:val="18"/>
        </w:rPr>
        <w:t>et al.,</w:t>
      </w:r>
      <w:r w:rsidRPr="00F02050">
        <w:rPr>
          <w:sz w:val="18"/>
          <w:szCs w:val="18"/>
        </w:rPr>
        <w:t xml:space="preserve"> </w:t>
      </w:r>
      <w:r w:rsidRPr="00F03CE1">
        <w:rPr>
          <w:sz w:val="18"/>
          <w:szCs w:val="18"/>
        </w:rPr>
        <w:t xml:space="preserve">“Factors associated with premature mortality among young injection drug users in Vancouver.” </w:t>
      </w:r>
      <w:r w:rsidRPr="00F03CE1">
        <w:rPr>
          <w:i/>
          <w:iCs/>
          <w:sz w:val="18"/>
          <w:szCs w:val="18"/>
        </w:rPr>
        <w:t xml:space="preserve">Harm </w:t>
      </w:r>
      <w:proofErr w:type="spellStart"/>
      <w:r w:rsidRPr="00F03CE1">
        <w:rPr>
          <w:i/>
          <w:iCs/>
          <w:sz w:val="18"/>
          <w:szCs w:val="18"/>
        </w:rPr>
        <w:t>Reduct</w:t>
      </w:r>
      <w:proofErr w:type="spellEnd"/>
      <w:r w:rsidRPr="00F03CE1">
        <w:rPr>
          <w:i/>
          <w:iCs/>
          <w:sz w:val="18"/>
          <w:szCs w:val="18"/>
        </w:rPr>
        <w:t xml:space="preserve"> J</w:t>
      </w:r>
      <w:r w:rsidRPr="00F03CE1">
        <w:rPr>
          <w:sz w:val="18"/>
          <w:szCs w:val="18"/>
        </w:rPr>
        <w:t xml:space="preserve">. 2007 Jan </w:t>
      </w:r>
      <w:proofErr w:type="gramStart"/>
      <w:r w:rsidRPr="00F03CE1">
        <w:rPr>
          <w:sz w:val="18"/>
          <w:szCs w:val="18"/>
        </w:rPr>
        <w:t>4;4:1</w:t>
      </w:r>
      <w:proofErr w:type="gramEnd"/>
      <w:r w:rsidRPr="00F03CE1">
        <w:rPr>
          <w:sz w:val="18"/>
          <w:szCs w:val="18"/>
        </w:rPr>
        <w:t xml:space="preserve">. </w:t>
      </w:r>
      <w:proofErr w:type="spellStart"/>
      <w:r w:rsidRPr="00F03CE1">
        <w:rPr>
          <w:sz w:val="18"/>
          <w:szCs w:val="18"/>
        </w:rPr>
        <w:t>doi</w:t>
      </w:r>
      <w:proofErr w:type="spellEnd"/>
      <w:r w:rsidRPr="00F03CE1">
        <w:rPr>
          <w:sz w:val="18"/>
          <w:szCs w:val="18"/>
        </w:rPr>
        <w:t>: 10.1186/1477-7517-4-1.</w:t>
      </w:r>
    </w:p>
  </w:footnote>
  <w:footnote w:id="20">
    <w:p w14:paraId="6BC8F21D" w14:textId="77777777" w:rsidR="00857F61" w:rsidRPr="00F02050" w:rsidRDefault="00857F61" w:rsidP="00F2363C">
      <w:pPr>
        <w:pStyle w:val="FootnoteText"/>
        <w:rPr>
          <w:sz w:val="18"/>
          <w:szCs w:val="18"/>
        </w:rPr>
      </w:pPr>
      <w:r w:rsidRPr="00053E3C">
        <w:rPr>
          <w:rStyle w:val="FootnoteReference"/>
          <w:sz w:val="18"/>
          <w:szCs w:val="18"/>
        </w:rPr>
        <w:footnoteRef/>
      </w:r>
      <w:r w:rsidRPr="00F02050">
        <w:rPr>
          <w:sz w:val="18"/>
          <w:szCs w:val="18"/>
        </w:rPr>
        <w:t xml:space="preserve"> </w:t>
      </w:r>
      <w:r w:rsidRPr="00F02050">
        <w:rPr>
          <w:rFonts w:cs="Arial"/>
          <w:sz w:val="18"/>
          <w:szCs w:val="18"/>
        </w:rPr>
        <w:t>A. Boulanger et al.</w:t>
      </w:r>
      <w:r w:rsidRPr="00F02050">
        <w:rPr>
          <w:rFonts w:cs="Arial"/>
          <w:i/>
          <w:iCs/>
          <w:sz w:val="18"/>
          <w:szCs w:val="18"/>
        </w:rPr>
        <w:t>,</w:t>
      </w:r>
      <w:r w:rsidRPr="00F02050">
        <w:rPr>
          <w:rFonts w:cs="Arial"/>
          <w:sz w:val="18"/>
          <w:szCs w:val="18"/>
        </w:rPr>
        <w:t xml:space="preserve"> supra.</w:t>
      </w:r>
    </w:p>
  </w:footnote>
  <w:footnote w:id="21">
    <w:p w14:paraId="16FD3208" w14:textId="77777777" w:rsidR="00857F61" w:rsidRPr="00F03CE1" w:rsidRDefault="00857F61" w:rsidP="00F2363C">
      <w:pPr>
        <w:pStyle w:val="FootnoteText"/>
        <w:jc w:val="both"/>
        <w:rPr>
          <w:rFonts w:cs="Arial"/>
          <w:sz w:val="18"/>
          <w:szCs w:val="18"/>
        </w:rPr>
      </w:pPr>
      <w:r w:rsidRPr="00F03CE1">
        <w:rPr>
          <w:rStyle w:val="FootnoteReference"/>
          <w:rFonts w:eastAsia="Hiragino Kaku Gothic Pro W3" w:cs="Arial"/>
          <w:sz w:val="18"/>
          <w:szCs w:val="18"/>
        </w:rPr>
        <w:footnoteRef/>
      </w:r>
      <w:r w:rsidRPr="00F03CE1">
        <w:rPr>
          <w:rFonts w:cs="Arial"/>
          <w:sz w:val="18"/>
          <w:szCs w:val="18"/>
        </w:rPr>
        <w:t xml:space="preserve"> </w:t>
      </w:r>
      <w:r w:rsidRPr="00F03CE1">
        <w:rPr>
          <w:rFonts w:cs="Arial"/>
          <w:i/>
          <w:iCs/>
          <w:sz w:val="18"/>
          <w:szCs w:val="18"/>
        </w:rPr>
        <w:t>Visit to Canada: Report of the Special Rapporteur on violence against women, its causes and consequences</w:t>
      </w:r>
      <w:r w:rsidRPr="00F03CE1">
        <w:rPr>
          <w:rFonts w:cs="Arial"/>
          <w:sz w:val="18"/>
          <w:szCs w:val="18"/>
        </w:rPr>
        <w:t xml:space="preserve">, 4 November 2019, A/HRC/41/42/Add.1, at para. 95(j). </w:t>
      </w:r>
    </w:p>
  </w:footnote>
  <w:footnote w:id="22">
    <w:p w14:paraId="0A751B2D" w14:textId="77777777" w:rsidR="00857F61" w:rsidRPr="00F03CE1" w:rsidRDefault="00857F61" w:rsidP="00F2363C">
      <w:pPr>
        <w:pStyle w:val="FootnoteText"/>
        <w:jc w:val="both"/>
        <w:rPr>
          <w:rFonts w:cs="Arial"/>
          <w:sz w:val="18"/>
          <w:szCs w:val="18"/>
        </w:rPr>
      </w:pPr>
      <w:r w:rsidRPr="00F03CE1">
        <w:rPr>
          <w:rStyle w:val="FootnoteReference"/>
          <w:rFonts w:eastAsia="Hiragino Kaku Gothic Pro W3" w:cs="Arial"/>
          <w:sz w:val="18"/>
          <w:szCs w:val="18"/>
        </w:rPr>
        <w:footnoteRef/>
      </w:r>
      <w:r w:rsidRPr="00F03CE1">
        <w:rPr>
          <w:rFonts w:cs="Arial"/>
          <w:sz w:val="18"/>
          <w:szCs w:val="18"/>
        </w:rPr>
        <w:t xml:space="preserve"> D. Ibrahim, </w:t>
      </w:r>
      <w:r w:rsidRPr="00F03CE1">
        <w:rPr>
          <w:rFonts w:cs="Arial"/>
          <w:i/>
          <w:iCs/>
          <w:sz w:val="18"/>
          <w:szCs w:val="18"/>
        </w:rPr>
        <w:t xml:space="preserve">Canadian residential facilities for victims of abuse, </w:t>
      </w:r>
      <w:r w:rsidRPr="00F03CE1">
        <w:rPr>
          <w:rFonts w:cs="Arial"/>
          <w:sz w:val="18"/>
          <w:szCs w:val="18"/>
        </w:rPr>
        <w:t xml:space="preserve">2020/2021, Statistics Canada, 12 April 2022. </w:t>
      </w:r>
      <w:r w:rsidRPr="00F03CE1">
        <w:rPr>
          <w:rFonts w:cs="Arial"/>
          <w:i/>
          <w:iCs/>
          <w:sz w:val="18"/>
          <w:szCs w:val="18"/>
        </w:rPr>
        <w:t xml:space="preserve"> </w:t>
      </w:r>
    </w:p>
  </w:footnote>
  <w:footnote w:id="23">
    <w:p w14:paraId="49A03EA6" w14:textId="77777777" w:rsidR="00857F61" w:rsidRPr="00F03CE1" w:rsidRDefault="00857F61" w:rsidP="00F2363C">
      <w:pPr>
        <w:pStyle w:val="FootnoteText"/>
        <w:rPr>
          <w:rFonts w:cs="Arial"/>
          <w:sz w:val="18"/>
          <w:szCs w:val="18"/>
          <w:lang w:val="en-US"/>
        </w:rPr>
      </w:pPr>
      <w:r w:rsidRPr="00F03CE1">
        <w:rPr>
          <w:rStyle w:val="FootnoteReference"/>
          <w:rFonts w:cs="Arial"/>
          <w:sz w:val="18"/>
          <w:szCs w:val="18"/>
        </w:rPr>
        <w:footnoteRef/>
      </w:r>
      <w:r w:rsidRPr="00F03CE1">
        <w:rPr>
          <w:rFonts w:cs="Arial"/>
          <w:sz w:val="18"/>
          <w:szCs w:val="18"/>
        </w:rPr>
        <w:t xml:space="preserve"> CEDAW Committee Canada, supra.</w:t>
      </w:r>
    </w:p>
  </w:footnote>
  <w:footnote w:id="24">
    <w:p w14:paraId="23905414" w14:textId="77777777" w:rsidR="00857F61" w:rsidRPr="00F03CE1" w:rsidRDefault="00857F61" w:rsidP="00F2363C">
      <w:pPr>
        <w:pStyle w:val="FootnoteText"/>
        <w:rPr>
          <w:rFonts w:cs="Arial"/>
          <w:sz w:val="18"/>
          <w:szCs w:val="18"/>
        </w:rPr>
      </w:pPr>
      <w:r w:rsidRPr="00F03CE1">
        <w:rPr>
          <w:rStyle w:val="FootnoteReference"/>
          <w:rFonts w:eastAsia="Hiragino Kaku Gothic Pro W3" w:cs="Arial"/>
          <w:sz w:val="18"/>
          <w:szCs w:val="18"/>
        </w:rPr>
        <w:footnoteRef/>
      </w:r>
      <w:r w:rsidRPr="00F03CE1">
        <w:rPr>
          <w:rFonts w:cs="Arial"/>
          <w:sz w:val="18"/>
          <w:szCs w:val="18"/>
        </w:rPr>
        <w:t xml:space="preserve"> CEDAW Committee, </w:t>
      </w:r>
      <w:r w:rsidRPr="00F03CE1">
        <w:rPr>
          <w:rFonts w:cs="Arial"/>
          <w:i/>
          <w:iCs/>
          <w:sz w:val="18"/>
          <w:szCs w:val="18"/>
        </w:rPr>
        <w:t>Report of the Committee on the Elimination of Discrimination against Women</w:t>
      </w:r>
      <w:r w:rsidRPr="00F03CE1">
        <w:rPr>
          <w:rFonts w:cs="Arial"/>
          <w:sz w:val="18"/>
          <w:szCs w:val="18"/>
        </w:rPr>
        <w:t>, 18 March 2005, A/60/38, at pp. 27-39.</w:t>
      </w:r>
    </w:p>
  </w:footnote>
  <w:footnote w:id="25">
    <w:p w14:paraId="72F63AB6" w14:textId="77777777" w:rsidR="00857F61" w:rsidRPr="00F03CE1" w:rsidRDefault="00857F61" w:rsidP="00F2363C">
      <w:pPr>
        <w:pStyle w:val="FootnoteText"/>
        <w:rPr>
          <w:rFonts w:cs="Arial"/>
          <w:sz w:val="18"/>
          <w:szCs w:val="18"/>
        </w:rPr>
      </w:pPr>
      <w:r w:rsidRPr="00F03CE1">
        <w:rPr>
          <w:rStyle w:val="FootnoteReference"/>
          <w:rFonts w:eastAsia="Hiragino Kaku Gothic Pro W3" w:cs="Arial"/>
          <w:sz w:val="18"/>
          <w:szCs w:val="18"/>
        </w:rPr>
        <w:footnoteRef/>
      </w:r>
      <w:r w:rsidRPr="00F03CE1">
        <w:rPr>
          <w:rFonts w:cs="Arial"/>
          <w:sz w:val="18"/>
          <w:szCs w:val="18"/>
        </w:rPr>
        <w:t xml:space="preserve"> CEDAW Committee, </w:t>
      </w:r>
      <w:r w:rsidRPr="00F03CE1">
        <w:rPr>
          <w:rFonts w:cs="Arial"/>
          <w:i/>
          <w:iCs/>
          <w:sz w:val="18"/>
          <w:szCs w:val="18"/>
        </w:rPr>
        <w:t>Concluding observations of the Committee on the Elimination of Discrimination against Women</w:t>
      </w:r>
      <w:r w:rsidRPr="00F03CE1">
        <w:rPr>
          <w:rFonts w:cs="Arial"/>
          <w:sz w:val="18"/>
          <w:szCs w:val="18"/>
        </w:rPr>
        <w:t>, 31 October 2022, CEDAW/C/ UKR/CO/9, para. 30(e).</w:t>
      </w:r>
    </w:p>
  </w:footnote>
  <w:footnote w:id="26">
    <w:p w14:paraId="39415A0E" w14:textId="78E03DC8" w:rsidR="000A7D5B" w:rsidRPr="00053E3C" w:rsidRDefault="000A7D5B" w:rsidP="00053E3C">
      <w:pPr>
        <w:pStyle w:val="FootnoteText"/>
        <w:numPr>
          <w:ilvl w:val="0"/>
          <w:numId w:val="1"/>
        </w:numPr>
        <w:rPr>
          <w:b/>
          <w:bCs/>
          <w:sz w:val="18"/>
          <w:szCs w:val="18"/>
        </w:rPr>
      </w:pPr>
      <w:r w:rsidRPr="00053E3C">
        <w:rPr>
          <w:rStyle w:val="FootnoteReference"/>
          <w:sz w:val="18"/>
          <w:szCs w:val="18"/>
        </w:rPr>
        <w:footnoteRef/>
      </w:r>
      <w:r w:rsidRPr="00053E3C">
        <w:rPr>
          <w:sz w:val="18"/>
          <w:szCs w:val="18"/>
        </w:rPr>
        <w:t xml:space="preserve"> Public Health Agency of Canada. </w:t>
      </w:r>
      <w:r w:rsidRPr="00053E3C">
        <w:rPr>
          <w:i/>
          <w:iCs/>
          <w:sz w:val="18"/>
          <w:szCs w:val="18"/>
        </w:rPr>
        <w:t>HIV in Canada: 2022 surveillance highlights</w:t>
      </w:r>
      <w:r w:rsidRPr="00053E3C">
        <w:rPr>
          <w:sz w:val="18"/>
          <w:szCs w:val="18"/>
        </w:rPr>
        <w:t>.</w:t>
      </w:r>
      <w:r w:rsidR="005D23A4" w:rsidRPr="00053E3C">
        <w:rPr>
          <w:sz w:val="18"/>
          <w:szCs w:val="18"/>
        </w:rPr>
        <w:t xml:space="preserve"> </w:t>
      </w:r>
      <w:r w:rsidR="006672B2" w:rsidRPr="00F03CE1">
        <w:rPr>
          <w:sz w:val="18"/>
          <w:szCs w:val="18"/>
        </w:rPr>
        <w:t>Online</w:t>
      </w:r>
      <w:r w:rsidR="005D23A4" w:rsidRPr="00053E3C">
        <w:rPr>
          <w:sz w:val="18"/>
          <w:szCs w:val="18"/>
        </w:rPr>
        <w:t xml:space="preserve">: </w:t>
      </w:r>
      <w:hyperlink r:id="rId1" w:history="1">
        <w:r w:rsidR="005D23A4" w:rsidRPr="00053E3C">
          <w:rPr>
            <w:rStyle w:val="Hyperlink"/>
            <w:sz w:val="18"/>
            <w:szCs w:val="18"/>
          </w:rPr>
          <w:t>https://www.canada.ca/en/public-health/services/publications/diseases-conditions/hiv-2022-surveillance-highlights.html</w:t>
        </w:r>
      </w:hyperlink>
      <w:r w:rsidR="005D23A4" w:rsidRPr="00053E3C">
        <w:rPr>
          <w:sz w:val="18"/>
          <w:szCs w:val="18"/>
        </w:rPr>
        <w:t xml:space="preserve"> </w:t>
      </w:r>
    </w:p>
  </w:footnote>
  <w:footnote w:id="27">
    <w:p w14:paraId="370A72C4" w14:textId="3C309048" w:rsidR="005D23A4" w:rsidRPr="00053E3C" w:rsidRDefault="005D23A4">
      <w:pPr>
        <w:pStyle w:val="FootnoteText"/>
        <w:rPr>
          <w:i/>
          <w:iCs/>
          <w:sz w:val="18"/>
          <w:szCs w:val="18"/>
        </w:rPr>
      </w:pPr>
      <w:r w:rsidRPr="00053E3C">
        <w:rPr>
          <w:rStyle w:val="FootnoteReference"/>
          <w:sz w:val="18"/>
          <w:szCs w:val="18"/>
        </w:rPr>
        <w:footnoteRef/>
      </w:r>
      <w:r w:rsidRPr="00053E3C">
        <w:rPr>
          <w:sz w:val="18"/>
          <w:szCs w:val="18"/>
        </w:rPr>
        <w:t xml:space="preserve"> Ibid.</w:t>
      </w:r>
    </w:p>
  </w:footnote>
  <w:footnote w:id="28">
    <w:p w14:paraId="4391109F" w14:textId="67FEA224" w:rsidR="005D23A4" w:rsidRPr="00053E3C" w:rsidRDefault="005D23A4">
      <w:pPr>
        <w:pStyle w:val="FootnoteText"/>
        <w:rPr>
          <w:sz w:val="18"/>
          <w:szCs w:val="18"/>
        </w:rPr>
      </w:pPr>
      <w:r w:rsidRPr="00053E3C">
        <w:rPr>
          <w:rStyle w:val="FootnoteReference"/>
          <w:sz w:val="18"/>
          <w:szCs w:val="18"/>
        </w:rPr>
        <w:footnoteRef/>
      </w:r>
      <w:r w:rsidRPr="00053E3C">
        <w:rPr>
          <w:sz w:val="18"/>
          <w:szCs w:val="18"/>
        </w:rPr>
        <w:t xml:space="preserve"> Ibid.</w:t>
      </w:r>
    </w:p>
  </w:footnote>
  <w:footnote w:id="29">
    <w:p w14:paraId="569BBCEF" w14:textId="25D7FD2F" w:rsidR="005D23A4" w:rsidRPr="00053E3C" w:rsidRDefault="005D23A4">
      <w:pPr>
        <w:pStyle w:val="FootnoteText"/>
        <w:rPr>
          <w:sz w:val="18"/>
          <w:szCs w:val="18"/>
        </w:rPr>
      </w:pPr>
      <w:r w:rsidRPr="00053E3C">
        <w:rPr>
          <w:rStyle w:val="FootnoteReference"/>
          <w:sz w:val="18"/>
          <w:szCs w:val="18"/>
        </w:rPr>
        <w:footnoteRef/>
      </w:r>
      <w:r w:rsidRPr="00053E3C">
        <w:rPr>
          <w:sz w:val="18"/>
          <w:szCs w:val="18"/>
        </w:rPr>
        <w:t xml:space="preserve"> </w:t>
      </w:r>
      <w:r w:rsidR="00CC2BD8" w:rsidRPr="00F03CE1">
        <w:rPr>
          <w:sz w:val="18"/>
          <w:szCs w:val="18"/>
        </w:rPr>
        <w:t xml:space="preserve">A. </w:t>
      </w:r>
      <w:r w:rsidRPr="00053E3C">
        <w:rPr>
          <w:sz w:val="18"/>
          <w:szCs w:val="18"/>
        </w:rPr>
        <w:t>Sharp et al.</w:t>
      </w:r>
      <w:r w:rsidR="00CC2BD8" w:rsidRPr="00053E3C">
        <w:rPr>
          <w:sz w:val="18"/>
          <w:szCs w:val="18"/>
        </w:rPr>
        <w:t>,</w:t>
      </w:r>
      <w:r w:rsidRPr="00053E3C">
        <w:rPr>
          <w:sz w:val="18"/>
          <w:szCs w:val="18"/>
        </w:rPr>
        <w:t xml:space="preserve"> “Sex differences in houselessness, injection drug use, and mental health conditions among people newly diagnosed with HIV in Manitoba, Canada from 2018 to 2021: a retrospective cohort study</w:t>
      </w:r>
      <w:r w:rsidRPr="00053E3C">
        <w:rPr>
          <w:i/>
          <w:iCs/>
          <w:sz w:val="18"/>
          <w:szCs w:val="18"/>
        </w:rPr>
        <w:t>.” The Lancet Regional Health – Americas</w:t>
      </w:r>
      <w:r w:rsidRPr="00053E3C">
        <w:rPr>
          <w:sz w:val="18"/>
          <w:szCs w:val="18"/>
        </w:rPr>
        <w:t xml:space="preserve">. </w:t>
      </w:r>
      <w:r w:rsidRPr="00F03CE1">
        <w:rPr>
          <w:sz w:val="18"/>
          <w:szCs w:val="18"/>
        </w:rPr>
        <w:t>August 2024</w:t>
      </w:r>
      <w:r w:rsidR="009658F3" w:rsidRPr="00F03CE1">
        <w:rPr>
          <w:sz w:val="18"/>
          <w:szCs w:val="18"/>
        </w:rPr>
        <w:t>:</w:t>
      </w:r>
      <w:r w:rsidRPr="00053E3C">
        <w:rPr>
          <w:sz w:val="18"/>
          <w:szCs w:val="18"/>
        </w:rPr>
        <w:t xml:space="preserve"> 36, 100805</w:t>
      </w:r>
      <w:r w:rsidRPr="00F03CE1">
        <w:rPr>
          <w:sz w:val="18"/>
          <w:szCs w:val="18"/>
        </w:rPr>
        <w:t>.</w:t>
      </w:r>
    </w:p>
  </w:footnote>
  <w:footnote w:id="30">
    <w:p w14:paraId="2ABD8B85" w14:textId="25F3EE45" w:rsidR="005D23A4" w:rsidRPr="00053E3C" w:rsidRDefault="005D23A4">
      <w:pPr>
        <w:pStyle w:val="FootnoteText"/>
        <w:rPr>
          <w:sz w:val="18"/>
          <w:szCs w:val="18"/>
        </w:rPr>
      </w:pPr>
      <w:r w:rsidRPr="00053E3C">
        <w:rPr>
          <w:rStyle w:val="FootnoteReference"/>
          <w:sz w:val="18"/>
          <w:szCs w:val="18"/>
        </w:rPr>
        <w:footnoteRef/>
      </w:r>
      <w:r w:rsidRPr="00053E3C">
        <w:rPr>
          <w:sz w:val="18"/>
          <w:szCs w:val="18"/>
        </w:rPr>
        <w:t xml:space="preserve"> Ibid.</w:t>
      </w:r>
    </w:p>
  </w:footnote>
  <w:footnote w:id="31">
    <w:p w14:paraId="7A85BD54" w14:textId="6A87AF6C" w:rsidR="005D23A4" w:rsidRPr="00053E3C" w:rsidRDefault="005D23A4">
      <w:pPr>
        <w:pStyle w:val="FootnoteText"/>
        <w:rPr>
          <w:sz w:val="18"/>
          <w:szCs w:val="18"/>
        </w:rPr>
      </w:pPr>
      <w:r w:rsidRPr="00053E3C">
        <w:rPr>
          <w:rStyle w:val="FootnoteReference"/>
          <w:sz w:val="18"/>
          <w:szCs w:val="18"/>
        </w:rPr>
        <w:footnoteRef/>
      </w:r>
      <w:r w:rsidRPr="00053E3C">
        <w:rPr>
          <w:sz w:val="18"/>
          <w:szCs w:val="18"/>
        </w:rPr>
        <w:t xml:space="preserve"> Ibid.</w:t>
      </w:r>
    </w:p>
  </w:footnote>
  <w:footnote w:id="32">
    <w:p w14:paraId="118A4E56" w14:textId="6862E6A3" w:rsidR="005D23A4" w:rsidRPr="00053E3C" w:rsidRDefault="005D23A4">
      <w:pPr>
        <w:pStyle w:val="FootnoteText"/>
        <w:rPr>
          <w:sz w:val="18"/>
          <w:szCs w:val="18"/>
        </w:rPr>
      </w:pPr>
      <w:r w:rsidRPr="00053E3C">
        <w:rPr>
          <w:rStyle w:val="FootnoteReference"/>
          <w:sz w:val="18"/>
          <w:szCs w:val="18"/>
        </w:rPr>
        <w:footnoteRef/>
      </w:r>
      <w:r w:rsidRPr="00053E3C">
        <w:rPr>
          <w:sz w:val="18"/>
          <w:szCs w:val="18"/>
        </w:rPr>
        <w:t xml:space="preserve"> </w:t>
      </w:r>
      <w:r w:rsidR="00CC2BD8" w:rsidRPr="00053E3C">
        <w:rPr>
          <w:sz w:val="18"/>
          <w:szCs w:val="18"/>
        </w:rPr>
        <w:t xml:space="preserve">Y. </w:t>
      </w:r>
      <w:r w:rsidRPr="00053E3C">
        <w:rPr>
          <w:sz w:val="18"/>
          <w:szCs w:val="18"/>
        </w:rPr>
        <w:t>Zhao</w:t>
      </w:r>
      <w:r w:rsidR="00CC2BD8" w:rsidRPr="00053E3C">
        <w:rPr>
          <w:sz w:val="18"/>
          <w:szCs w:val="18"/>
        </w:rPr>
        <w:t xml:space="preserve"> </w:t>
      </w:r>
      <w:r w:rsidRPr="00053E3C">
        <w:rPr>
          <w:sz w:val="18"/>
          <w:szCs w:val="18"/>
        </w:rPr>
        <w:t>et al.</w:t>
      </w:r>
      <w:r w:rsidR="00CC2BD8" w:rsidRPr="00053E3C">
        <w:rPr>
          <w:sz w:val="18"/>
          <w:szCs w:val="18"/>
        </w:rPr>
        <w:t>,</w:t>
      </w:r>
      <w:r w:rsidRPr="00053E3C">
        <w:rPr>
          <w:sz w:val="18"/>
          <w:szCs w:val="18"/>
        </w:rPr>
        <w:t> “Precarious Housing Associated with Unsuppressed Viral load, sub-optimal Access to HIV Treatment and Unmet Health care Needs, Among Women Living with HIV in Metro Vancouver, Canada</w:t>
      </w:r>
      <w:r w:rsidR="00084ECA">
        <w:rPr>
          <w:sz w:val="18"/>
          <w:szCs w:val="18"/>
        </w:rPr>
        <w:t>,</w:t>
      </w:r>
      <w:r w:rsidRPr="00053E3C">
        <w:rPr>
          <w:sz w:val="18"/>
          <w:szCs w:val="18"/>
        </w:rPr>
        <w:t>” </w:t>
      </w:r>
      <w:r w:rsidRPr="00053E3C">
        <w:rPr>
          <w:i/>
          <w:iCs/>
          <w:sz w:val="18"/>
          <w:szCs w:val="18"/>
        </w:rPr>
        <w:t xml:space="preserve">AIDS </w:t>
      </w:r>
      <w:proofErr w:type="spellStart"/>
      <w:r w:rsidRPr="00053E3C">
        <w:rPr>
          <w:i/>
          <w:iCs/>
          <w:sz w:val="18"/>
          <w:szCs w:val="18"/>
        </w:rPr>
        <w:t>Behav</w:t>
      </w:r>
      <w:proofErr w:type="spellEnd"/>
      <w:r w:rsidRPr="00053E3C">
        <w:rPr>
          <w:sz w:val="18"/>
          <w:szCs w:val="18"/>
        </w:rPr>
        <w:t> 27, 2271–2284 (2023). https://doi.org/10.1007/s10461-022-03957-2</w:t>
      </w:r>
      <w:r w:rsidR="009658F3" w:rsidRPr="00F03CE1">
        <w:rPr>
          <w:sz w:val="18"/>
          <w:szCs w:val="18"/>
        </w:rPr>
        <w:t>.</w:t>
      </w:r>
    </w:p>
  </w:footnote>
  <w:footnote w:id="33">
    <w:p w14:paraId="7FCD5E6F" w14:textId="1638ED80" w:rsidR="005D23A4" w:rsidRPr="00053E3C" w:rsidRDefault="005D23A4">
      <w:pPr>
        <w:pStyle w:val="FootnoteText"/>
        <w:rPr>
          <w:sz w:val="18"/>
          <w:szCs w:val="18"/>
        </w:rPr>
      </w:pPr>
      <w:r w:rsidRPr="00053E3C">
        <w:rPr>
          <w:rStyle w:val="FootnoteReference"/>
          <w:sz w:val="18"/>
          <w:szCs w:val="18"/>
        </w:rPr>
        <w:footnoteRef/>
      </w:r>
      <w:r w:rsidRPr="00053E3C">
        <w:rPr>
          <w:sz w:val="18"/>
          <w:szCs w:val="18"/>
        </w:rPr>
        <w:t xml:space="preserve"> </w:t>
      </w:r>
      <w:r w:rsidR="004B4BD2" w:rsidRPr="00F03CE1">
        <w:rPr>
          <w:sz w:val="18"/>
          <w:szCs w:val="18"/>
        </w:rPr>
        <w:t xml:space="preserve">See, e.g., D. </w:t>
      </w:r>
      <w:r w:rsidRPr="00053E3C">
        <w:rPr>
          <w:sz w:val="18"/>
          <w:szCs w:val="18"/>
        </w:rPr>
        <w:t xml:space="preserve">Jaworsky </w:t>
      </w:r>
      <w:r w:rsidR="00870805" w:rsidRPr="00F03CE1">
        <w:rPr>
          <w:sz w:val="18"/>
          <w:szCs w:val="18"/>
        </w:rPr>
        <w:t>et al</w:t>
      </w:r>
      <w:r w:rsidRPr="00F03CE1">
        <w:rPr>
          <w:sz w:val="18"/>
          <w:szCs w:val="18"/>
        </w:rPr>
        <w:t>.</w:t>
      </w:r>
      <w:r w:rsidR="004B4BD2" w:rsidRPr="00F03CE1">
        <w:rPr>
          <w:sz w:val="18"/>
          <w:szCs w:val="18"/>
        </w:rPr>
        <w:t>,</w:t>
      </w:r>
      <w:r w:rsidRPr="00F03CE1">
        <w:rPr>
          <w:sz w:val="18"/>
          <w:szCs w:val="18"/>
        </w:rPr>
        <w:t xml:space="preserve"> “</w:t>
      </w:r>
      <w:r w:rsidRPr="00053E3C">
        <w:rPr>
          <w:sz w:val="18"/>
          <w:szCs w:val="18"/>
        </w:rPr>
        <w:t>Comparative Outcomes and Service Utilization Trends (COAST) Study. Influence of the definition of rurality on geographic differences in HIV outcomes in British Columbia: a retrospective cohort analysis</w:t>
      </w:r>
      <w:r w:rsidR="00084ECA">
        <w:rPr>
          <w:sz w:val="18"/>
          <w:szCs w:val="18"/>
        </w:rPr>
        <w:t>,</w:t>
      </w:r>
      <w:r w:rsidRPr="00F03CE1">
        <w:rPr>
          <w:sz w:val="18"/>
          <w:szCs w:val="18"/>
        </w:rPr>
        <w:t>”</w:t>
      </w:r>
      <w:r w:rsidRPr="00053E3C">
        <w:rPr>
          <w:sz w:val="18"/>
          <w:szCs w:val="18"/>
        </w:rPr>
        <w:t xml:space="preserve"> </w:t>
      </w:r>
      <w:r w:rsidRPr="00053E3C">
        <w:rPr>
          <w:i/>
          <w:iCs/>
          <w:sz w:val="18"/>
          <w:szCs w:val="18"/>
        </w:rPr>
        <w:t>CMAJ Open</w:t>
      </w:r>
      <w:r w:rsidRPr="00053E3C">
        <w:rPr>
          <w:sz w:val="18"/>
          <w:szCs w:val="18"/>
        </w:rPr>
        <w:t>. 2020 Oct 19;8(4</w:t>
      </w:r>
      <w:proofErr w:type="gramStart"/>
      <w:r w:rsidRPr="00053E3C">
        <w:rPr>
          <w:sz w:val="18"/>
          <w:szCs w:val="18"/>
        </w:rPr>
        <w:t>):E</w:t>
      </w:r>
      <w:proofErr w:type="gramEnd"/>
      <w:r w:rsidRPr="00053E3C">
        <w:rPr>
          <w:sz w:val="18"/>
          <w:szCs w:val="18"/>
        </w:rPr>
        <w:t xml:space="preserve">643-E650. </w:t>
      </w:r>
      <w:proofErr w:type="spellStart"/>
      <w:r w:rsidRPr="00053E3C">
        <w:rPr>
          <w:sz w:val="18"/>
          <w:szCs w:val="18"/>
        </w:rPr>
        <w:t>doi</w:t>
      </w:r>
      <w:proofErr w:type="spellEnd"/>
      <w:r w:rsidRPr="00053E3C">
        <w:rPr>
          <w:sz w:val="18"/>
          <w:szCs w:val="18"/>
        </w:rPr>
        <w:t>: 10.9778/cmajo.20200066</w:t>
      </w:r>
      <w:r w:rsidR="004B4BD2" w:rsidRPr="00F03CE1">
        <w:rPr>
          <w:sz w:val="18"/>
          <w:szCs w:val="18"/>
        </w:rPr>
        <w:t xml:space="preserve"> and K.R. Schafer et al., “The Continuum of HIV Care in Rural Communities in the United States and Canada: What Is Known and Future Research Directions</w:t>
      </w:r>
      <w:r w:rsidR="00084ECA">
        <w:rPr>
          <w:sz w:val="18"/>
          <w:szCs w:val="18"/>
        </w:rPr>
        <w:t>,</w:t>
      </w:r>
      <w:r w:rsidR="004B4BD2" w:rsidRPr="00F03CE1">
        <w:rPr>
          <w:sz w:val="18"/>
          <w:szCs w:val="18"/>
        </w:rPr>
        <w:t xml:space="preserve">” </w:t>
      </w:r>
      <w:r w:rsidR="004B4BD2" w:rsidRPr="00F03CE1">
        <w:rPr>
          <w:i/>
          <w:iCs/>
          <w:sz w:val="18"/>
          <w:szCs w:val="18"/>
        </w:rPr>
        <w:t xml:space="preserve">J </w:t>
      </w:r>
      <w:proofErr w:type="spellStart"/>
      <w:r w:rsidR="004B4BD2" w:rsidRPr="00F03CE1">
        <w:rPr>
          <w:i/>
          <w:iCs/>
          <w:sz w:val="18"/>
          <w:szCs w:val="18"/>
        </w:rPr>
        <w:t>Acquir</w:t>
      </w:r>
      <w:proofErr w:type="spellEnd"/>
      <w:r w:rsidR="004B4BD2" w:rsidRPr="00F03CE1">
        <w:rPr>
          <w:i/>
          <w:iCs/>
          <w:sz w:val="18"/>
          <w:szCs w:val="18"/>
        </w:rPr>
        <w:t xml:space="preserve"> Immune </w:t>
      </w:r>
      <w:proofErr w:type="spellStart"/>
      <w:r w:rsidR="004B4BD2" w:rsidRPr="00F03CE1">
        <w:rPr>
          <w:i/>
          <w:iCs/>
          <w:sz w:val="18"/>
          <w:szCs w:val="18"/>
        </w:rPr>
        <w:t>Defic</w:t>
      </w:r>
      <w:proofErr w:type="spellEnd"/>
      <w:r w:rsidR="004B4BD2" w:rsidRPr="00F03CE1">
        <w:rPr>
          <w:i/>
          <w:iCs/>
          <w:sz w:val="18"/>
          <w:szCs w:val="18"/>
        </w:rPr>
        <w:t xml:space="preserve"> Syndr</w:t>
      </w:r>
      <w:r w:rsidR="004B4BD2" w:rsidRPr="00F03CE1">
        <w:rPr>
          <w:sz w:val="18"/>
          <w:szCs w:val="18"/>
        </w:rPr>
        <w:t xml:space="preserve">. 2017 May 1;75(1):35-44. </w:t>
      </w:r>
      <w:proofErr w:type="spellStart"/>
      <w:r w:rsidR="004B4BD2" w:rsidRPr="00F03CE1">
        <w:rPr>
          <w:sz w:val="18"/>
          <w:szCs w:val="18"/>
        </w:rPr>
        <w:t>doi</w:t>
      </w:r>
      <w:proofErr w:type="spellEnd"/>
      <w:r w:rsidR="004B4BD2" w:rsidRPr="00F03CE1">
        <w:rPr>
          <w:sz w:val="18"/>
          <w:szCs w:val="18"/>
        </w:rPr>
        <w:t xml:space="preserve">: 10.1097/QAI.0000000000001329. </w:t>
      </w:r>
    </w:p>
  </w:footnote>
  <w:footnote w:id="34">
    <w:p w14:paraId="54122E04" w14:textId="7CFDA451" w:rsidR="00870805" w:rsidRPr="00053E3C" w:rsidRDefault="00870805">
      <w:pPr>
        <w:pStyle w:val="FootnoteText"/>
        <w:rPr>
          <w:sz w:val="18"/>
          <w:szCs w:val="18"/>
        </w:rPr>
      </w:pPr>
      <w:r w:rsidRPr="00053E3C">
        <w:rPr>
          <w:rStyle w:val="FootnoteReference"/>
          <w:sz w:val="18"/>
          <w:szCs w:val="18"/>
        </w:rPr>
        <w:footnoteRef/>
      </w:r>
      <w:r w:rsidRPr="00053E3C">
        <w:rPr>
          <w:sz w:val="18"/>
          <w:szCs w:val="18"/>
        </w:rPr>
        <w:t xml:space="preserve"> </w:t>
      </w:r>
      <w:r w:rsidR="002A6BF0" w:rsidRPr="00F03CE1">
        <w:rPr>
          <w:sz w:val="18"/>
          <w:szCs w:val="18"/>
        </w:rPr>
        <w:t xml:space="preserve">H. </w:t>
      </w:r>
      <w:r w:rsidRPr="00053E3C">
        <w:rPr>
          <w:sz w:val="18"/>
          <w:szCs w:val="18"/>
        </w:rPr>
        <w:t xml:space="preserve">Cooper </w:t>
      </w:r>
      <w:r w:rsidR="002A6BF0" w:rsidRPr="00F03CE1">
        <w:rPr>
          <w:sz w:val="18"/>
          <w:szCs w:val="18"/>
        </w:rPr>
        <w:t>et al.,</w:t>
      </w:r>
      <w:r w:rsidRPr="00053E3C">
        <w:rPr>
          <w:sz w:val="18"/>
          <w:szCs w:val="18"/>
        </w:rPr>
        <w:t xml:space="preserve"> “Characterizing perceived police violence: implications for public health</w:t>
      </w:r>
      <w:r w:rsidR="00084ECA">
        <w:rPr>
          <w:i/>
          <w:iCs/>
          <w:sz w:val="18"/>
          <w:szCs w:val="18"/>
        </w:rPr>
        <w:t>,</w:t>
      </w:r>
      <w:r w:rsidRPr="00084ECA">
        <w:rPr>
          <w:sz w:val="18"/>
          <w:szCs w:val="18"/>
        </w:rPr>
        <w:t xml:space="preserve">” </w:t>
      </w:r>
      <w:r w:rsidRPr="00053E3C">
        <w:rPr>
          <w:i/>
          <w:iCs/>
          <w:sz w:val="18"/>
          <w:szCs w:val="18"/>
        </w:rPr>
        <w:t>Am J Public Health</w:t>
      </w:r>
      <w:r w:rsidRPr="00053E3C">
        <w:rPr>
          <w:sz w:val="18"/>
          <w:szCs w:val="18"/>
        </w:rPr>
        <w:t xml:space="preserve">. 2004 Jul;94(7):1109-18. </w:t>
      </w:r>
      <w:proofErr w:type="spellStart"/>
      <w:r w:rsidRPr="00053E3C">
        <w:rPr>
          <w:sz w:val="18"/>
          <w:szCs w:val="18"/>
        </w:rPr>
        <w:t>doi</w:t>
      </w:r>
      <w:proofErr w:type="spellEnd"/>
      <w:r w:rsidRPr="00053E3C">
        <w:rPr>
          <w:sz w:val="18"/>
          <w:szCs w:val="18"/>
        </w:rPr>
        <w:t>: 10.2105/ajph.94.7.1109.</w:t>
      </w:r>
    </w:p>
  </w:footnote>
  <w:footnote w:id="35">
    <w:p w14:paraId="7B776E99" w14:textId="75BCCDC3" w:rsidR="00870805" w:rsidRPr="00053E3C" w:rsidRDefault="00870805" w:rsidP="00870805">
      <w:pPr>
        <w:pStyle w:val="FootnoteText"/>
        <w:rPr>
          <w:sz w:val="18"/>
          <w:szCs w:val="18"/>
        </w:rPr>
      </w:pPr>
      <w:r w:rsidRPr="00053E3C">
        <w:rPr>
          <w:rStyle w:val="FootnoteReference"/>
          <w:sz w:val="18"/>
          <w:szCs w:val="18"/>
        </w:rPr>
        <w:footnoteRef/>
      </w:r>
      <w:r w:rsidRPr="00053E3C">
        <w:rPr>
          <w:sz w:val="18"/>
          <w:szCs w:val="18"/>
        </w:rPr>
        <w:t xml:space="preserve"> K. Shannon</w:t>
      </w:r>
      <w:r w:rsidR="002A6BF0" w:rsidRPr="00F03CE1">
        <w:rPr>
          <w:sz w:val="18"/>
          <w:szCs w:val="18"/>
        </w:rPr>
        <w:t xml:space="preserve"> et al.,</w:t>
      </w:r>
      <w:r w:rsidRPr="00053E3C">
        <w:rPr>
          <w:sz w:val="18"/>
          <w:szCs w:val="18"/>
        </w:rPr>
        <w:t xml:space="preserve"> “Mapping violence and policing as an environmental–structural barrier to health service and syringe availability among substance-using women in street-level sex work</w:t>
      </w:r>
      <w:r w:rsidR="00084ECA">
        <w:rPr>
          <w:sz w:val="18"/>
          <w:szCs w:val="18"/>
        </w:rPr>
        <w:t>,</w:t>
      </w:r>
      <w:r w:rsidRPr="00053E3C">
        <w:rPr>
          <w:sz w:val="18"/>
          <w:szCs w:val="18"/>
        </w:rPr>
        <w:t xml:space="preserve">” </w:t>
      </w:r>
      <w:r w:rsidRPr="00053E3C">
        <w:rPr>
          <w:i/>
          <w:iCs/>
          <w:sz w:val="18"/>
          <w:szCs w:val="18"/>
        </w:rPr>
        <w:t>International Journal of Drug Policy</w:t>
      </w:r>
      <w:r w:rsidRPr="00053E3C">
        <w:rPr>
          <w:sz w:val="18"/>
          <w:szCs w:val="18"/>
        </w:rPr>
        <w:t>, Volume 19, Issue 2, 2008, 140-147, https://doi.org/10.1016/j.drugpo.2007.11.024.</w:t>
      </w:r>
    </w:p>
  </w:footnote>
  <w:footnote w:id="36">
    <w:p w14:paraId="2385CC39" w14:textId="7092A325" w:rsidR="00870805" w:rsidRPr="00053E3C" w:rsidRDefault="00870805">
      <w:pPr>
        <w:pStyle w:val="FootnoteText"/>
        <w:rPr>
          <w:sz w:val="18"/>
          <w:szCs w:val="18"/>
        </w:rPr>
      </w:pPr>
      <w:r w:rsidRPr="00053E3C">
        <w:rPr>
          <w:rStyle w:val="FootnoteReference"/>
          <w:sz w:val="18"/>
          <w:szCs w:val="18"/>
        </w:rPr>
        <w:footnoteRef/>
      </w:r>
      <w:r w:rsidRPr="00053E3C">
        <w:rPr>
          <w:sz w:val="18"/>
          <w:szCs w:val="18"/>
          <w:lang w:val="fr-FR"/>
        </w:rPr>
        <w:t xml:space="preserve"> </w:t>
      </w:r>
      <w:r w:rsidR="002A6BF0" w:rsidRPr="00053E3C">
        <w:rPr>
          <w:sz w:val="18"/>
          <w:szCs w:val="18"/>
          <w:lang w:val="fr-FR"/>
        </w:rPr>
        <w:t xml:space="preserve">M.E. </w:t>
      </w:r>
      <w:r w:rsidRPr="00053E3C">
        <w:rPr>
          <w:sz w:val="18"/>
          <w:szCs w:val="18"/>
          <w:lang w:val="fr-FR"/>
        </w:rPr>
        <w:t xml:space="preserve">Pearce et al. </w:t>
      </w:r>
      <w:r w:rsidRPr="00053E3C">
        <w:rPr>
          <w:sz w:val="18"/>
          <w:szCs w:val="18"/>
        </w:rPr>
        <w:t>“Women in the 2019 hepatitis C cascade of care: findings from the British Columbia Hepatitis Testers cohort study</w:t>
      </w:r>
      <w:r w:rsidR="00084ECA">
        <w:rPr>
          <w:sz w:val="18"/>
          <w:szCs w:val="18"/>
        </w:rPr>
        <w:t>,</w:t>
      </w:r>
      <w:r w:rsidRPr="00053E3C">
        <w:rPr>
          <w:sz w:val="18"/>
          <w:szCs w:val="18"/>
        </w:rPr>
        <w:t xml:space="preserve">” </w:t>
      </w:r>
      <w:r w:rsidRPr="00053E3C">
        <w:rPr>
          <w:i/>
          <w:iCs/>
          <w:sz w:val="18"/>
          <w:szCs w:val="18"/>
        </w:rPr>
        <w:t xml:space="preserve">BMC </w:t>
      </w:r>
      <w:proofErr w:type="spellStart"/>
      <w:r w:rsidRPr="00053E3C">
        <w:rPr>
          <w:i/>
          <w:iCs/>
          <w:sz w:val="18"/>
          <w:szCs w:val="18"/>
        </w:rPr>
        <w:t>Womens</w:t>
      </w:r>
      <w:proofErr w:type="spellEnd"/>
      <w:r w:rsidRPr="00053E3C">
        <w:rPr>
          <w:i/>
          <w:iCs/>
          <w:sz w:val="18"/>
          <w:szCs w:val="18"/>
        </w:rPr>
        <w:t xml:space="preserve"> Health</w:t>
      </w:r>
      <w:r w:rsidRPr="00053E3C">
        <w:rPr>
          <w:sz w:val="18"/>
          <w:szCs w:val="18"/>
        </w:rPr>
        <w:t xml:space="preserve">. 2021 Sep 13;21(1):330. </w:t>
      </w:r>
      <w:proofErr w:type="spellStart"/>
      <w:r w:rsidRPr="00053E3C">
        <w:rPr>
          <w:sz w:val="18"/>
          <w:szCs w:val="18"/>
        </w:rPr>
        <w:t>doi</w:t>
      </w:r>
      <w:proofErr w:type="spellEnd"/>
      <w:r w:rsidRPr="00053E3C">
        <w:rPr>
          <w:sz w:val="18"/>
          <w:szCs w:val="18"/>
        </w:rPr>
        <w:t>: 10.1186/s12905-021-01470-7.</w:t>
      </w:r>
    </w:p>
  </w:footnote>
  <w:footnote w:id="37">
    <w:p w14:paraId="0F991643" w14:textId="72C97373" w:rsidR="00870805" w:rsidRPr="00053E3C" w:rsidRDefault="00870805">
      <w:pPr>
        <w:pStyle w:val="FootnoteText"/>
        <w:rPr>
          <w:sz w:val="18"/>
          <w:szCs w:val="18"/>
        </w:rPr>
      </w:pPr>
      <w:r w:rsidRPr="00053E3C">
        <w:rPr>
          <w:rStyle w:val="FootnoteReference"/>
          <w:sz w:val="18"/>
          <w:szCs w:val="18"/>
        </w:rPr>
        <w:footnoteRef/>
      </w:r>
      <w:r w:rsidRPr="00053E3C">
        <w:rPr>
          <w:sz w:val="18"/>
          <w:szCs w:val="18"/>
        </w:rPr>
        <w:t xml:space="preserve"> </w:t>
      </w:r>
      <w:r w:rsidR="0022151A" w:rsidRPr="00F03CE1">
        <w:rPr>
          <w:sz w:val="18"/>
          <w:szCs w:val="18"/>
        </w:rPr>
        <w:t xml:space="preserve">W. </w:t>
      </w:r>
      <w:r w:rsidRPr="00053E3C">
        <w:rPr>
          <w:sz w:val="18"/>
          <w:szCs w:val="18"/>
        </w:rPr>
        <w:t>Small</w:t>
      </w:r>
      <w:r w:rsidR="0022151A" w:rsidRPr="00F03CE1">
        <w:rPr>
          <w:sz w:val="18"/>
          <w:szCs w:val="18"/>
        </w:rPr>
        <w:t xml:space="preserve"> et al., </w:t>
      </w:r>
      <w:r w:rsidRPr="00053E3C">
        <w:rPr>
          <w:sz w:val="18"/>
          <w:szCs w:val="18"/>
        </w:rPr>
        <w:t>“The Injection Support Team: A Peer-Driven Program to Address Unsafe Injecting in a Canadian Setting</w:t>
      </w:r>
      <w:r w:rsidR="00084ECA">
        <w:rPr>
          <w:sz w:val="18"/>
          <w:szCs w:val="18"/>
        </w:rPr>
        <w:t>,</w:t>
      </w:r>
      <w:r w:rsidRPr="00053E3C">
        <w:rPr>
          <w:sz w:val="18"/>
          <w:szCs w:val="18"/>
        </w:rPr>
        <w:t>” </w:t>
      </w:r>
      <w:r w:rsidRPr="00053E3C">
        <w:rPr>
          <w:i/>
          <w:iCs/>
          <w:sz w:val="18"/>
          <w:szCs w:val="18"/>
        </w:rPr>
        <w:t>Substance Use &amp; Misuse</w:t>
      </w:r>
      <w:r w:rsidRPr="00053E3C">
        <w:rPr>
          <w:sz w:val="18"/>
          <w:szCs w:val="18"/>
        </w:rPr>
        <w:t>, </w:t>
      </w:r>
      <w:r w:rsidRPr="00053E3C">
        <w:rPr>
          <w:i/>
          <w:iCs/>
          <w:sz w:val="18"/>
          <w:szCs w:val="18"/>
        </w:rPr>
        <w:t>47</w:t>
      </w:r>
      <w:r w:rsidRPr="00053E3C">
        <w:rPr>
          <w:sz w:val="18"/>
          <w:szCs w:val="18"/>
        </w:rPr>
        <w:t>(5), 491–501. 2012. https://doi.org/10.3109/10826084.2012.644107</w:t>
      </w:r>
    </w:p>
  </w:footnote>
  <w:footnote w:id="38">
    <w:p w14:paraId="05FA0849" w14:textId="16086B48" w:rsidR="00870805" w:rsidRPr="00053E3C" w:rsidRDefault="00870805">
      <w:pPr>
        <w:pStyle w:val="FootnoteText"/>
        <w:rPr>
          <w:sz w:val="18"/>
          <w:szCs w:val="18"/>
        </w:rPr>
      </w:pPr>
      <w:r w:rsidRPr="00053E3C">
        <w:rPr>
          <w:rStyle w:val="FootnoteReference"/>
          <w:sz w:val="18"/>
          <w:szCs w:val="18"/>
        </w:rPr>
        <w:footnoteRef/>
      </w:r>
      <w:r w:rsidRPr="00053E3C">
        <w:rPr>
          <w:sz w:val="18"/>
          <w:szCs w:val="18"/>
        </w:rPr>
        <w:t xml:space="preserve"> </w:t>
      </w:r>
      <w:r w:rsidR="0022151A" w:rsidRPr="00F03CE1">
        <w:rPr>
          <w:sz w:val="18"/>
          <w:szCs w:val="18"/>
        </w:rPr>
        <w:t xml:space="preserve">J.M. </w:t>
      </w:r>
      <w:r w:rsidRPr="00053E3C">
        <w:rPr>
          <w:sz w:val="18"/>
          <w:szCs w:val="18"/>
        </w:rPr>
        <w:t xml:space="preserve">O'Connell </w:t>
      </w:r>
      <w:r w:rsidR="0022151A" w:rsidRPr="00F03CE1">
        <w:rPr>
          <w:sz w:val="18"/>
          <w:szCs w:val="18"/>
        </w:rPr>
        <w:t>et al.,</w:t>
      </w:r>
      <w:r w:rsidRPr="00053E3C">
        <w:rPr>
          <w:sz w:val="18"/>
          <w:szCs w:val="18"/>
        </w:rPr>
        <w:t xml:space="preserve"> “Requiring help injecting independently predicts incident HIV infection among injection drug users</w:t>
      </w:r>
      <w:r w:rsidR="00084ECA">
        <w:rPr>
          <w:sz w:val="18"/>
          <w:szCs w:val="18"/>
        </w:rPr>
        <w:t>,</w:t>
      </w:r>
      <w:r w:rsidRPr="00053E3C">
        <w:rPr>
          <w:sz w:val="18"/>
          <w:szCs w:val="18"/>
        </w:rPr>
        <w:t xml:space="preserve">” </w:t>
      </w:r>
      <w:r w:rsidRPr="00053E3C">
        <w:rPr>
          <w:i/>
          <w:iCs/>
          <w:sz w:val="18"/>
          <w:szCs w:val="18"/>
        </w:rPr>
        <w:t xml:space="preserve">J </w:t>
      </w:r>
      <w:proofErr w:type="spellStart"/>
      <w:r w:rsidRPr="00053E3C">
        <w:rPr>
          <w:i/>
          <w:iCs/>
          <w:sz w:val="18"/>
          <w:szCs w:val="18"/>
        </w:rPr>
        <w:t>Acquir</w:t>
      </w:r>
      <w:proofErr w:type="spellEnd"/>
      <w:r w:rsidRPr="00053E3C">
        <w:rPr>
          <w:i/>
          <w:iCs/>
          <w:sz w:val="18"/>
          <w:szCs w:val="18"/>
        </w:rPr>
        <w:t xml:space="preserve"> Immune </w:t>
      </w:r>
      <w:proofErr w:type="spellStart"/>
      <w:r w:rsidRPr="00053E3C">
        <w:rPr>
          <w:i/>
          <w:iCs/>
          <w:sz w:val="18"/>
          <w:szCs w:val="18"/>
        </w:rPr>
        <w:t>Defic</w:t>
      </w:r>
      <w:proofErr w:type="spellEnd"/>
      <w:r w:rsidRPr="00053E3C">
        <w:rPr>
          <w:i/>
          <w:iCs/>
          <w:sz w:val="18"/>
          <w:szCs w:val="18"/>
        </w:rPr>
        <w:t xml:space="preserve"> Syndr</w:t>
      </w:r>
      <w:r w:rsidRPr="00053E3C">
        <w:rPr>
          <w:sz w:val="18"/>
          <w:szCs w:val="18"/>
        </w:rPr>
        <w:t xml:space="preserve">. 2005 Sep 1;40(1):83-8. </w:t>
      </w:r>
      <w:proofErr w:type="spellStart"/>
      <w:r w:rsidRPr="00053E3C">
        <w:rPr>
          <w:sz w:val="18"/>
          <w:szCs w:val="18"/>
        </w:rPr>
        <w:t>doi</w:t>
      </w:r>
      <w:proofErr w:type="spellEnd"/>
      <w:r w:rsidRPr="00053E3C">
        <w:rPr>
          <w:sz w:val="18"/>
          <w:szCs w:val="18"/>
        </w:rPr>
        <w:t>: 10.1097/01.qai.0000157006.28535.ml.</w:t>
      </w:r>
    </w:p>
  </w:footnote>
  <w:footnote w:id="39">
    <w:p w14:paraId="2EF06469" w14:textId="73809501" w:rsidR="00870805" w:rsidRPr="00053E3C" w:rsidRDefault="00870805">
      <w:pPr>
        <w:pStyle w:val="FootnoteText"/>
        <w:rPr>
          <w:sz w:val="18"/>
          <w:szCs w:val="18"/>
        </w:rPr>
      </w:pPr>
      <w:r w:rsidRPr="00053E3C">
        <w:rPr>
          <w:rStyle w:val="FootnoteReference"/>
          <w:sz w:val="18"/>
          <w:szCs w:val="18"/>
        </w:rPr>
        <w:footnoteRef/>
      </w:r>
      <w:r w:rsidRPr="00053E3C">
        <w:rPr>
          <w:sz w:val="18"/>
          <w:szCs w:val="18"/>
        </w:rPr>
        <w:t xml:space="preserve"> </w:t>
      </w:r>
      <w:r w:rsidR="0022151A" w:rsidRPr="00F03CE1">
        <w:rPr>
          <w:sz w:val="18"/>
          <w:szCs w:val="18"/>
        </w:rPr>
        <w:t xml:space="preserve">J.S. </w:t>
      </w:r>
      <w:r w:rsidRPr="00053E3C">
        <w:rPr>
          <w:sz w:val="18"/>
          <w:szCs w:val="18"/>
        </w:rPr>
        <w:t>Pedersen</w:t>
      </w:r>
      <w:r w:rsidR="0022151A" w:rsidRPr="00F03CE1">
        <w:rPr>
          <w:sz w:val="18"/>
          <w:szCs w:val="18"/>
        </w:rPr>
        <w:t xml:space="preserve"> et al., “</w:t>
      </w:r>
      <w:r w:rsidRPr="00053E3C">
        <w:rPr>
          <w:sz w:val="18"/>
          <w:szCs w:val="18"/>
        </w:rPr>
        <w:t>Declining trends in the rates of assisted injecting: a prospective cohort study</w:t>
      </w:r>
      <w:r w:rsidR="0022151A" w:rsidRPr="00F03CE1">
        <w:rPr>
          <w:sz w:val="18"/>
          <w:szCs w:val="18"/>
        </w:rPr>
        <w:t>,”</w:t>
      </w:r>
      <w:r w:rsidRPr="00053E3C">
        <w:rPr>
          <w:sz w:val="18"/>
          <w:szCs w:val="18"/>
        </w:rPr>
        <w:t> </w:t>
      </w:r>
      <w:r w:rsidRPr="00053E3C">
        <w:rPr>
          <w:i/>
          <w:iCs/>
          <w:sz w:val="18"/>
          <w:szCs w:val="18"/>
        </w:rPr>
        <w:t xml:space="preserve">Harm </w:t>
      </w:r>
      <w:proofErr w:type="spellStart"/>
      <w:r w:rsidRPr="00053E3C">
        <w:rPr>
          <w:i/>
          <w:iCs/>
          <w:sz w:val="18"/>
          <w:szCs w:val="18"/>
        </w:rPr>
        <w:t>Reduct</w:t>
      </w:r>
      <w:proofErr w:type="spellEnd"/>
      <w:r w:rsidRPr="00053E3C">
        <w:rPr>
          <w:i/>
          <w:iCs/>
          <w:sz w:val="18"/>
          <w:szCs w:val="18"/>
        </w:rPr>
        <w:t xml:space="preserve"> J</w:t>
      </w:r>
      <w:r w:rsidRPr="00053E3C">
        <w:rPr>
          <w:sz w:val="18"/>
          <w:szCs w:val="18"/>
        </w:rPr>
        <w:t> 13, 2 (2016). https://doi.org/10.1186/s12954-016-0092-3</w:t>
      </w:r>
    </w:p>
  </w:footnote>
  <w:footnote w:id="40">
    <w:p w14:paraId="006A1EE4" w14:textId="4B5F92CF" w:rsidR="00870805" w:rsidRPr="00053E3C" w:rsidRDefault="00870805">
      <w:pPr>
        <w:pStyle w:val="FootnoteText"/>
        <w:rPr>
          <w:sz w:val="18"/>
          <w:szCs w:val="18"/>
        </w:rPr>
      </w:pPr>
      <w:r w:rsidRPr="00053E3C">
        <w:rPr>
          <w:rStyle w:val="FootnoteReference"/>
          <w:sz w:val="18"/>
          <w:szCs w:val="18"/>
        </w:rPr>
        <w:footnoteRef/>
      </w:r>
      <w:r w:rsidRPr="00053E3C">
        <w:rPr>
          <w:sz w:val="18"/>
          <w:szCs w:val="18"/>
        </w:rPr>
        <w:t xml:space="preserve"> </w:t>
      </w:r>
      <w:r w:rsidR="0022151A" w:rsidRPr="00F03CE1">
        <w:rPr>
          <w:sz w:val="18"/>
          <w:szCs w:val="18"/>
        </w:rPr>
        <w:t xml:space="preserve">E. </w:t>
      </w:r>
      <w:r w:rsidRPr="00053E3C">
        <w:rPr>
          <w:sz w:val="18"/>
          <w:szCs w:val="18"/>
        </w:rPr>
        <w:t>Tuchman</w:t>
      </w:r>
      <w:r w:rsidR="0022151A" w:rsidRPr="00F03CE1">
        <w:rPr>
          <w:sz w:val="18"/>
          <w:szCs w:val="18"/>
        </w:rPr>
        <w:t>,</w:t>
      </w:r>
      <w:r w:rsidRPr="00053E3C">
        <w:rPr>
          <w:sz w:val="18"/>
          <w:szCs w:val="18"/>
        </w:rPr>
        <w:t xml:space="preserve"> “Women’s injection drug practices in their own words: a qualitative study</w:t>
      </w:r>
      <w:r w:rsidR="008D1565">
        <w:rPr>
          <w:sz w:val="18"/>
          <w:szCs w:val="18"/>
        </w:rPr>
        <w:t>,</w:t>
      </w:r>
      <w:r w:rsidRPr="00053E3C">
        <w:rPr>
          <w:sz w:val="18"/>
          <w:szCs w:val="18"/>
        </w:rPr>
        <w:t>” </w:t>
      </w:r>
      <w:r w:rsidRPr="00053E3C">
        <w:rPr>
          <w:i/>
          <w:iCs/>
          <w:sz w:val="18"/>
          <w:szCs w:val="18"/>
        </w:rPr>
        <w:t xml:space="preserve">Harm </w:t>
      </w:r>
      <w:proofErr w:type="spellStart"/>
      <w:r w:rsidRPr="00053E3C">
        <w:rPr>
          <w:i/>
          <w:iCs/>
          <w:sz w:val="18"/>
          <w:szCs w:val="18"/>
        </w:rPr>
        <w:t>Reduct</w:t>
      </w:r>
      <w:proofErr w:type="spellEnd"/>
      <w:r w:rsidRPr="00053E3C">
        <w:rPr>
          <w:i/>
          <w:iCs/>
          <w:sz w:val="18"/>
          <w:szCs w:val="18"/>
        </w:rPr>
        <w:t xml:space="preserve"> J</w:t>
      </w:r>
      <w:r w:rsidRPr="00053E3C">
        <w:rPr>
          <w:sz w:val="18"/>
          <w:szCs w:val="18"/>
        </w:rPr>
        <w:t> 12, 6 (2015). https://doi.org/10.1186/s12954-015-0041-6</w:t>
      </w:r>
    </w:p>
  </w:footnote>
  <w:footnote w:id="41">
    <w:p w14:paraId="5E94FFC4" w14:textId="24604FBE" w:rsidR="00870805" w:rsidRPr="00053E3C" w:rsidRDefault="00870805">
      <w:pPr>
        <w:pStyle w:val="FootnoteText"/>
        <w:rPr>
          <w:sz w:val="18"/>
          <w:szCs w:val="18"/>
        </w:rPr>
      </w:pPr>
      <w:r w:rsidRPr="00053E3C">
        <w:rPr>
          <w:rStyle w:val="FootnoteReference"/>
          <w:sz w:val="18"/>
          <w:szCs w:val="18"/>
        </w:rPr>
        <w:footnoteRef/>
      </w:r>
      <w:r w:rsidRPr="00053E3C">
        <w:rPr>
          <w:sz w:val="18"/>
          <w:szCs w:val="18"/>
        </w:rPr>
        <w:t xml:space="preserve"> </w:t>
      </w:r>
      <w:r w:rsidR="00AD4CF8" w:rsidRPr="00F03CE1">
        <w:rPr>
          <w:sz w:val="18"/>
          <w:szCs w:val="18"/>
        </w:rPr>
        <w:t xml:space="preserve">J.S. </w:t>
      </w:r>
      <w:r w:rsidRPr="00053E3C">
        <w:rPr>
          <w:sz w:val="18"/>
          <w:szCs w:val="18"/>
        </w:rPr>
        <w:t>Pederse</w:t>
      </w:r>
      <w:r w:rsidR="00AD4CF8" w:rsidRPr="00F03CE1">
        <w:rPr>
          <w:sz w:val="18"/>
          <w:szCs w:val="18"/>
        </w:rPr>
        <w:t>n</w:t>
      </w:r>
      <w:r w:rsidR="008D1565">
        <w:rPr>
          <w:sz w:val="18"/>
          <w:szCs w:val="18"/>
        </w:rPr>
        <w:t xml:space="preserve"> et al.</w:t>
      </w:r>
      <w:r w:rsidR="00AD4CF8" w:rsidRPr="00F03CE1">
        <w:rPr>
          <w:sz w:val="18"/>
          <w:szCs w:val="18"/>
        </w:rPr>
        <w:t>, supra</w:t>
      </w:r>
      <w:r w:rsidR="0021687C" w:rsidRPr="00053E3C">
        <w:rPr>
          <w:sz w:val="18"/>
          <w:szCs w:val="18"/>
        </w:rPr>
        <w:t>.</w:t>
      </w:r>
    </w:p>
  </w:footnote>
  <w:footnote w:id="42">
    <w:p w14:paraId="437AA269" w14:textId="5B7FE9E5" w:rsidR="0021687C" w:rsidRPr="00053E3C" w:rsidRDefault="0021687C" w:rsidP="00D745B7">
      <w:pPr>
        <w:pStyle w:val="FootnoteText"/>
        <w:numPr>
          <w:ilvl w:val="0"/>
          <w:numId w:val="1"/>
        </w:numPr>
        <w:rPr>
          <w:sz w:val="18"/>
          <w:szCs w:val="18"/>
          <w:lang w:val="en"/>
        </w:rPr>
      </w:pPr>
      <w:r w:rsidRPr="00053E3C">
        <w:rPr>
          <w:rStyle w:val="FootnoteReference"/>
          <w:sz w:val="18"/>
          <w:szCs w:val="18"/>
        </w:rPr>
        <w:footnoteRef/>
      </w:r>
      <w:r w:rsidRPr="00053E3C">
        <w:rPr>
          <w:sz w:val="18"/>
          <w:szCs w:val="18"/>
        </w:rPr>
        <w:t xml:space="preserve"> </w:t>
      </w:r>
      <w:r w:rsidR="00D745B7" w:rsidRPr="00F03CE1">
        <w:rPr>
          <w:sz w:val="18"/>
          <w:szCs w:val="18"/>
        </w:rPr>
        <w:t xml:space="preserve">See J. </w:t>
      </w:r>
      <w:r w:rsidRPr="00053E3C">
        <w:rPr>
          <w:sz w:val="18"/>
          <w:szCs w:val="18"/>
        </w:rPr>
        <w:t xml:space="preserve">Lynn, “Saskatchewan restricts needle exchange, makes changes to harm reduction funding.” </w:t>
      </w:r>
      <w:r w:rsidRPr="00053E3C">
        <w:rPr>
          <w:i/>
          <w:iCs/>
          <w:sz w:val="18"/>
          <w:szCs w:val="18"/>
        </w:rPr>
        <w:t>CTV News</w:t>
      </w:r>
      <w:r w:rsidR="008D1565">
        <w:rPr>
          <w:i/>
          <w:iCs/>
          <w:sz w:val="18"/>
          <w:szCs w:val="18"/>
        </w:rPr>
        <w:t>,</w:t>
      </w:r>
      <w:r w:rsidRPr="00053E3C">
        <w:rPr>
          <w:i/>
          <w:iCs/>
          <w:sz w:val="18"/>
          <w:szCs w:val="18"/>
        </w:rPr>
        <w:t xml:space="preserve"> </w:t>
      </w:r>
      <w:r w:rsidRPr="00053E3C">
        <w:rPr>
          <w:sz w:val="18"/>
          <w:szCs w:val="18"/>
        </w:rPr>
        <w:t>Jan 18</w:t>
      </w:r>
      <w:r w:rsidR="008D1565">
        <w:rPr>
          <w:sz w:val="18"/>
          <w:szCs w:val="18"/>
        </w:rPr>
        <w:t>,</w:t>
      </w:r>
      <w:r w:rsidRPr="00053E3C">
        <w:rPr>
          <w:sz w:val="18"/>
          <w:szCs w:val="18"/>
        </w:rPr>
        <w:t xml:space="preserve"> </w:t>
      </w:r>
      <w:proofErr w:type="gramStart"/>
      <w:r w:rsidRPr="00053E3C">
        <w:rPr>
          <w:sz w:val="18"/>
          <w:szCs w:val="18"/>
        </w:rPr>
        <w:t>2024</w:t>
      </w:r>
      <w:proofErr w:type="gramEnd"/>
      <w:r w:rsidR="00D745B7" w:rsidRPr="00F03CE1">
        <w:rPr>
          <w:sz w:val="18"/>
          <w:szCs w:val="18"/>
        </w:rPr>
        <w:t xml:space="preserve"> and A. </w:t>
      </w:r>
      <w:r w:rsidR="00D745B7" w:rsidRPr="00053E3C">
        <w:rPr>
          <w:sz w:val="18"/>
          <w:szCs w:val="18"/>
        </w:rPr>
        <w:t>Quon, A. “</w:t>
      </w:r>
      <w:r w:rsidR="00D745B7" w:rsidRPr="00053E3C">
        <w:rPr>
          <w:sz w:val="18"/>
          <w:szCs w:val="18"/>
          <w:lang w:val="en"/>
        </w:rPr>
        <w:t xml:space="preserve">Experts condemn Sask.'s move to stop providing pipes, limit needle exchanges.” </w:t>
      </w:r>
      <w:r w:rsidR="00D745B7" w:rsidRPr="00053E3C">
        <w:rPr>
          <w:i/>
          <w:iCs/>
          <w:sz w:val="18"/>
          <w:szCs w:val="18"/>
          <w:lang w:val="en"/>
        </w:rPr>
        <w:t>CBC News</w:t>
      </w:r>
      <w:r w:rsidR="008D1565">
        <w:rPr>
          <w:sz w:val="18"/>
          <w:szCs w:val="18"/>
          <w:lang w:val="en"/>
        </w:rPr>
        <w:t>,</w:t>
      </w:r>
      <w:r w:rsidR="00D745B7" w:rsidRPr="00053E3C">
        <w:rPr>
          <w:sz w:val="18"/>
          <w:szCs w:val="18"/>
          <w:lang w:val="en"/>
        </w:rPr>
        <w:t xml:space="preserve"> Jan 18</w:t>
      </w:r>
      <w:r w:rsidR="008D1565">
        <w:rPr>
          <w:sz w:val="18"/>
          <w:szCs w:val="18"/>
          <w:lang w:val="en"/>
        </w:rPr>
        <w:t>,</w:t>
      </w:r>
      <w:r w:rsidR="00D745B7" w:rsidRPr="00053E3C">
        <w:rPr>
          <w:sz w:val="18"/>
          <w:szCs w:val="18"/>
          <w:lang w:val="en"/>
        </w:rPr>
        <w:t xml:space="preserve"> 2024. </w:t>
      </w:r>
    </w:p>
  </w:footnote>
  <w:footnote w:id="43">
    <w:p w14:paraId="2E119553" w14:textId="48681BC9" w:rsidR="0021687C" w:rsidRPr="00F03CE1" w:rsidRDefault="0021687C" w:rsidP="00053E3C">
      <w:pPr>
        <w:pStyle w:val="FootnoteText"/>
        <w:numPr>
          <w:ilvl w:val="0"/>
          <w:numId w:val="1"/>
        </w:numPr>
        <w:rPr>
          <w:sz w:val="18"/>
          <w:szCs w:val="18"/>
        </w:rPr>
      </w:pPr>
      <w:r w:rsidRPr="00053E3C">
        <w:rPr>
          <w:rStyle w:val="FootnoteReference"/>
          <w:sz w:val="18"/>
          <w:szCs w:val="18"/>
        </w:rPr>
        <w:footnoteRef/>
      </w:r>
      <w:r w:rsidRPr="00053E3C">
        <w:rPr>
          <w:sz w:val="18"/>
          <w:szCs w:val="18"/>
        </w:rPr>
        <w:t xml:space="preserve"> </w:t>
      </w:r>
      <w:r w:rsidR="00D745B7" w:rsidRPr="00F03CE1">
        <w:rPr>
          <w:sz w:val="18"/>
          <w:szCs w:val="18"/>
        </w:rPr>
        <w:t xml:space="preserve">A. </w:t>
      </w:r>
      <w:proofErr w:type="spellStart"/>
      <w:r w:rsidRPr="00053E3C">
        <w:rPr>
          <w:sz w:val="18"/>
          <w:szCs w:val="18"/>
        </w:rPr>
        <w:t>Lekhtman</w:t>
      </w:r>
      <w:proofErr w:type="spellEnd"/>
      <w:r w:rsidRPr="00053E3C">
        <w:rPr>
          <w:sz w:val="18"/>
          <w:szCs w:val="18"/>
        </w:rPr>
        <w:t>, “Saskatchewan’s “Pipe Prohibition” Sees Rise in Riskier Drug Use</w:t>
      </w:r>
      <w:r w:rsidR="00620A41">
        <w:rPr>
          <w:sz w:val="18"/>
          <w:szCs w:val="18"/>
        </w:rPr>
        <w:t>,</w:t>
      </w:r>
      <w:r w:rsidRPr="00053E3C">
        <w:rPr>
          <w:sz w:val="18"/>
          <w:szCs w:val="18"/>
        </w:rPr>
        <w:t xml:space="preserve">” </w:t>
      </w:r>
      <w:r w:rsidRPr="00053E3C">
        <w:rPr>
          <w:i/>
          <w:iCs/>
          <w:sz w:val="18"/>
          <w:szCs w:val="18"/>
        </w:rPr>
        <w:t>Filter Mag.</w:t>
      </w:r>
      <w:r w:rsidRPr="00053E3C">
        <w:rPr>
          <w:sz w:val="18"/>
          <w:szCs w:val="18"/>
        </w:rPr>
        <w:t xml:space="preserve"> June 25, 2024. </w:t>
      </w:r>
    </w:p>
  </w:footnote>
  <w:footnote w:id="44">
    <w:p w14:paraId="759AD1D8" w14:textId="2D82F49E" w:rsidR="0021687C" w:rsidRPr="00F03CE1" w:rsidRDefault="0021687C">
      <w:pPr>
        <w:pStyle w:val="FootnoteText"/>
        <w:rPr>
          <w:sz w:val="18"/>
          <w:szCs w:val="18"/>
        </w:rPr>
      </w:pPr>
      <w:r w:rsidRPr="00F03CE1">
        <w:rPr>
          <w:rStyle w:val="FootnoteReference"/>
          <w:sz w:val="18"/>
          <w:szCs w:val="18"/>
        </w:rPr>
        <w:footnoteRef/>
      </w:r>
      <w:r w:rsidRPr="00F03CE1">
        <w:rPr>
          <w:sz w:val="18"/>
          <w:szCs w:val="18"/>
        </w:rPr>
        <w:t xml:space="preserve"> </w:t>
      </w:r>
      <w:r w:rsidRPr="00053E3C">
        <w:rPr>
          <w:sz w:val="18"/>
          <w:szCs w:val="18"/>
        </w:rPr>
        <w:t xml:space="preserve">Public Health Agency of Canada, </w:t>
      </w:r>
      <w:r w:rsidR="00B27908">
        <w:rPr>
          <w:sz w:val="18"/>
          <w:szCs w:val="18"/>
        </w:rPr>
        <w:t>supra</w:t>
      </w:r>
      <w:r w:rsidRPr="00053E3C">
        <w:rPr>
          <w:sz w:val="18"/>
          <w:szCs w:val="18"/>
        </w:rPr>
        <w:t>.</w:t>
      </w:r>
    </w:p>
  </w:footnote>
  <w:footnote w:id="45">
    <w:p w14:paraId="38558422" w14:textId="2914BB5C" w:rsidR="0021687C" w:rsidRPr="00053E3C" w:rsidRDefault="0021687C" w:rsidP="00053E3C">
      <w:pPr>
        <w:pStyle w:val="FootnoteText"/>
        <w:numPr>
          <w:ilvl w:val="0"/>
          <w:numId w:val="1"/>
        </w:numPr>
        <w:rPr>
          <w:b/>
          <w:bCs/>
          <w:sz w:val="18"/>
          <w:szCs w:val="18"/>
        </w:rPr>
      </w:pPr>
      <w:r w:rsidRPr="00F03CE1">
        <w:rPr>
          <w:rStyle w:val="FootnoteReference"/>
          <w:sz w:val="18"/>
          <w:szCs w:val="18"/>
        </w:rPr>
        <w:footnoteRef/>
      </w:r>
      <w:r w:rsidRPr="00F03CE1">
        <w:rPr>
          <w:sz w:val="18"/>
          <w:szCs w:val="18"/>
        </w:rPr>
        <w:t xml:space="preserve"> Ontario Ministry of Health. “</w:t>
      </w:r>
      <w:r w:rsidRPr="00053E3C">
        <w:rPr>
          <w:sz w:val="18"/>
          <w:szCs w:val="18"/>
        </w:rPr>
        <w:t>Ontario Protecting Communities and Supporting Addiction Recovery with New Treatment Hubs</w:t>
      </w:r>
      <w:r w:rsidRPr="00F03CE1">
        <w:rPr>
          <w:sz w:val="18"/>
          <w:szCs w:val="18"/>
        </w:rPr>
        <w:t xml:space="preserve">.” </w:t>
      </w:r>
      <w:r w:rsidR="00C01B25" w:rsidRPr="00F03CE1">
        <w:rPr>
          <w:sz w:val="18"/>
          <w:szCs w:val="18"/>
        </w:rPr>
        <w:t>Online</w:t>
      </w:r>
      <w:r w:rsidRPr="00F03CE1">
        <w:rPr>
          <w:sz w:val="18"/>
          <w:szCs w:val="18"/>
        </w:rPr>
        <w:t xml:space="preserve">: </w:t>
      </w:r>
      <w:hyperlink r:id="rId2" w:history="1">
        <w:r w:rsidR="00D82306" w:rsidRPr="00F03CE1">
          <w:rPr>
            <w:rStyle w:val="Hyperlink"/>
            <w:sz w:val="18"/>
            <w:szCs w:val="18"/>
          </w:rPr>
          <w:t>https://news.ontario.ca/en/release/1004955/ontario-protecting-communities-and-supporting-addiction-recovery-with-new-treatment-hubs</w:t>
        </w:r>
      </w:hyperlink>
      <w:r w:rsidR="00D82306" w:rsidRPr="00F03CE1">
        <w:rPr>
          <w:sz w:val="18"/>
          <w:szCs w:val="18"/>
        </w:rPr>
        <w:t xml:space="preserve">. </w:t>
      </w:r>
    </w:p>
  </w:footnote>
  <w:footnote w:id="46">
    <w:p w14:paraId="3BE3158B" w14:textId="2A0410A9" w:rsidR="0021687C" w:rsidRPr="00053E3C" w:rsidRDefault="0021687C" w:rsidP="00053E3C">
      <w:pPr>
        <w:pStyle w:val="FootnoteText"/>
        <w:numPr>
          <w:ilvl w:val="0"/>
          <w:numId w:val="1"/>
        </w:numPr>
        <w:rPr>
          <w:sz w:val="18"/>
          <w:szCs w:val="18"/>
          <w:lang w:val="en"/>
        </w:rPr>
      </w:pPr>
      <w:r w:rsidRPr="00F03CE1">
        <w:rPr>
          <w:rStyle w:val="FootnoteReference"/>
          <w:sz w:val="18"/>
          <w:szCs w:val="18"/>
        </w:rPr>
        <w:footnoteRef/>
      </w:r>
      <w:r w:rsidRPr="00F03CE1">
        <w:rPr>
          <w:sz w:val="18"/>
          <w:szCs w:val="18"/>
        </w:rPr>
        <w:t xml:space="preserve"> </w:t>
      </w:r>
      <w:r w:rsidR="00D82306" w:rsidRPr="00F03CE1">
        <w:rPr>
          <w:sz w:val="18"/>
          <w:szCs w:val="18"/>
        </w:rPr>
        <w:t xml:space="preserve">C. </w:t>
      </w:r>
      <w:r w:rsidRPr="00F03CE1">
        <w:rPr>
          <w:sz w:val="18"/>
          <w:szCs w:val="18"/>
        </w:rPr>
        <w:t>Palmer, “</w:t>
      </w:r>
      <w:r w:rsidRPr="00F03CE1">
        <w:rPr>
          <w:sz w:val="18"/>
          <w:szCs w:val="18"/>
          <w:lang w:val="en"/>
        </w:rPr>
        <w:t>B.C. to review harm reduction vending machines at 3 hospitals</w:t>
      </w:r>
      <w:r w:rsidR="00D82306" w:rsidRPr="00F03CE1">
        <w:rPr>
          <w:sz w:val="18"/>
          <w:szCs w:val="18"/>
          <w:lang w:val="en"/>
        </w:rPr>
        <w:t>,</w:t>
      </w:r>
      <w:r w:rsidRPr="00F03CE1">
        <w:rPr>
          <w:sz w:val="18"/>
          <w:szCs w:val="18"/>
          <w:lang w:val="en"/>
        </w:rPr>
        <w:t xml:space="preserve">” </w:t>
      </w:r>
      <w:r w:rsidRPr="00F03CE1">
        <w:rPr>
          <w:i/>
          <w:iCs/>
          <w:sz w:val="18"/>
          <w:szCs w:val="18"/>
          <w:lang w:val="en"/>
        </w:rPr>
        <w:t>CBC News</w:t>
      </w:r>
      <w:r w:rsidR="0005136C" w:rsidRPr="00F03CE1">
        <w:rPr>
          <w:i/>
          <w:iCs/>
          <w:sz w:val="18"/>
          <w:szCs w:val="18"/>
          <w:lang w:val="en"/>
        </w:rPr>
        <w:t xml:space="preserve">, </w:t>
      </w:r>
      <w:r w:rsidR="0005136C" w:rsidRPr="00F03CE1">
        <w:rPr>
          <w:sz w:val="18"/>
          <w:szCs w:val="18"/>
          <w:lang w:val="en"/>
        </w:rPr>
        <w:t>August 30, 2024.</w:t>
      </w:r>
      <w:r w:rsidRPr="00F03CE1">
        <w:rPr>
          <w:sz w:val="18"/>
          <w:szCs w:val="18"/>
          <w:lang w:val="en"/>
        </w:rPr>
        <w:t xml:space="preserve"> </w:t>
      </w:r>
    </w:p>
  </w:footnote>
  <w:footnote w:id="47">
    <w:p w14:paraId="123D2782" w14:textId="015CE629" w:rsidR="00B33E05" w:rsidRPr="00053E3C" w:rsidRDefault="00B33E05">
      <w:pPr>
        <w:pStyle w:val="FootnoteText"/>
        <w:rPr>
          <w:sz w:val="18"/>
          <w:szCs w:val="18"/>
        </w:rPr>
      </w:pPr>
      <w:r w:rsidRPr="00053E3C">
        <w:rPr>
          <w:rStyle w:val="FootnoteReference"/>
          <w:sz w:val="18"/>
          <w:szCs w:val="18"/>
        </w:rPr>
        <w:footnoteRef/>
      </w:r>
      <w:r w:rsidRPr="00053E3C">
        <w:rPr>
          <w:sz w:val="18"/>
          <w:szCs w:val="18"/>
        </w:rPr>
        <w:t xml:space="preserve"> Note: the federal government has passed a bill that will introduce a regularization scheme for SCS approvals, which is forthcoming.</w:t>
      </w:r>
    </w:p>
  </w:footnote>
  <w:footnote w:id="48">
    <w:p w14:paraId="553C35B7" w14:textId="5B8296D8" w:rsidR="0091494E" w:rsidRPr="00053E3C" w:rsidRDefault="0091494E" w:rsidP="00053E3C">
      <w:pPr>
        <w:pStyle w:val="FootnoteText"/>
        <w:numPr>
          <w:ilvl w:val="0"/>
          <w:numId w:val="1"/>
        </w:numPr>
        <w:rPr>
          <w:b/>
          <w:bCs/>
          <w:sz w:val="18"/>
          <w:szCs w:val="18"/>
        </w:rPr>
      </w:pPr>
      <w:r w:rsidRPr="00053E3C">
        <w:rPr>
          <w:rStyle w:val="FootnoteReference"/>
          <w:sz w:val="18"/>
          <w:szCs w:val="18"/>
        </w:rPr>
        <w:footnoteRef/>
      </w:r>
      <w:r w:rsidRPr="00053E3C">
        <w:rPr>
          <w:sz w:val="18"/>
          <w:szCs w:val="18"/>
        </w:rPr>
        <w:t xml:space="preserve"> Government of Canada</w:t>
      </w:r>
      <w:r w:rsidR="00C01B25" w:rsidRPr="00053E3C">
        <w:rPr>
          <w:sz w:val="18"/>
          <w:szCs w:val="18"/>
        </w:rPr>
        <w:t>,</w:t>
      </w:r>
      <w:r w:rsidRPr="00053E3C">
        <w:rPr>
          <w:sz w:val="18"/>
          <w:szCs w:val="18"/>
        </w:rPr>
        <w:t xml:space="preserve"> “Supervised consumption sites: Status of applications</w:t>
      </w:r>
      <w:r w:rsidR="00C01B25" w:rsidRPr="00053E3C">
        <w:rPr>
          <w:sz w:val="18"/>
          <w:szCs w:val="18"/>
        </w:rPr>
        <w:t>,</w:t>
      </w:r>
      <w:r w:rsidRPr="00053E3C">
        <w:rPr>
          <w:sz w:val="18"/>
          <w:szCs w:val="18"/>
        </w:rPr>
        <w:t xml:space="preserve">” </w:t>
      </w:r>
      <w:r w:rsidR="00C01B25" w:rsidRPr="00053E3C">
        <w:rPr>
          <w:sz w:val="18"/>
          <w:szCs w:val="18"/>
        </w:rPr>
        <w:t>Online</w:t>
      </w:r>
      <w:r w:rsidRPr="00053E3C">
        <w:rPr>
          <w:sz w:val="18"/>
          <w:szCs w:val="18"/>
        </w:rPr>
        <w:t>:</w:t>
      </w:r>
      <w:r w:rsidRPr="00053E3C">
        <w:rPr>
          <w:b/>
          <w:bCs/>
          <w:sz w:val="18"/>
          <w:szCs w:val="18"/>
        </w:rPr>
        <w:t xml:space="preserve"> </w:t>
      </w:r>
      <w:hyperlink r:id="rId3" w:history="1">
        <w:r w:rsidR="00C01B25" w:rsidRPr="00053E3C">
          <w:rPr>
            <w:rStyle w:val="Hyperlink"/>
            <w:sz w:val="18"/>
            <w:szCs w:val="18"/>
          </w:rPr>
          <w:t>https://www.canada.ca/en/health-canada/services/substance-use/supervised-consumption-sites/status-application.html</w:t>
        </w:r>
      </w:hyperlink>
      <w:r w:rsidR="00C01B25" w:rsidRPr="00053E3C">
        <w:rPr>
          <w:sz w:val="18"/>
          <w:szCs w:val="18"/>
        </w:rPr>
        <w:t xml:space="preserve">. </w:t>
      </w:r>
    </w:p>
  </w:footnote>
  <w:footnote w:id="49">
    <w:p w14:paraId="408CC41E" w14:textId="495DC924" w:rsidR="0091494E" w:rsidRPr="00053E3C" w:rsidRDefault="0091494E">
      <w:pPr>
        <w:pStyle w:val="FootnoteText"/>
        <w:rPr>
          <w:sz w:val="18"/>
          <w:szCs w:val="18"/>
        </w:rPr>
      </w:pPr>
      <w:r w:rsidRPr="00053E3C">
        <w:rPr>
          <w:rStyle w:val="FootnoteReference"/>
          <w:sz w:val="18"/>
          <w:szCs w:val="18"/>
        </w:rPr>
        <w:footnoteRef/>
      </w:r>
      <w:r w:rsidRPr="00053E3C">
        <w:rPr>
          <w:sz w:val="18"/>
          <w:szCs w:val="18"/>
        </w:rPr>
        <w:t xml:space="preserve"> </w:t>
      </w:r>
      <w:r w:rsidR="00C01B25" w:rsidRPr="00053E3C">
        <w:rPr>
          <w:sz w:val="18"/>
          <w:szCs w:val="18"/>
        </w:rPr>
        <w:t xml:space="preserve">E. </w:t>
      </w:r>
      <w:r w:rsidRPr="00053E3C">
        <w:rPr>
          <w:sz w:val="18"/>
          <w:szCs w:val="18"/>
        </w:rPr>
        <w:t xml:space="preserve">Armbrecht </w:t>
      </w:r>
      <w:r w:rsidR="00C01B25" w:rsidRPr="00053E3C">
        <w:rPr>
          <w:sz w:val="18"/>
          <w:szCs w:val="18"/>
        </w:rPr>
        <w:t>et al.,</w:t>
      </w:r>
      <w:r w:rsidRPr="00053E3C">
        <w:rPr>
          <w:sz w:val="18"/>
          <w:szCs w:val="18"/>
        </w:rPr>
        <w:t xml:space="preserve"> “Supervised Injection Facilities and Other Supervised Consumption Sites: Effectiveness and Value; Final Evidence Report.” </w:t>
      </w:r>
      <w:r w:rsidRPr="00053E3C">
        <w:rPr>
          <w:i/>
          <w:iCs/>
          <w:sz w:val="18"/>
          <w:szCs w:val="18"/>
        </w:rPr>
        <w:t>Institute for Clinical and Economic Review</w:t>
      </w:r>
      <w:r w:rsidRPr="00053E3C">
        <w:rPr>
          <w:sz w:val="18"/>
          <w:szCs w:val="18"/>
        </w:rPr>
        <w:t xml:space="preserve">, January 8, 2021. </w:t>
      </w:r>
    </w:p>
  </w:footnote>
  <w:footnote w:id="50">
    <w:p w14:paraId="088CA438" w14:textId="6D546EC9" w:rsidR="0091494E" w:rsidRPr="00053E3C" w:rsidRDefault="0091494E">
      <w:pPr>
        <w:pStyle w:val="FootnoteText"/>
        <w:rPr>
          <w:sz w:val="18"/>
          <w:szCs w:val="18"/>
        </w:rPr>
      </w:pPr>
      <w:r w:rsidRPr="00053E3C">
        <w:rPr>
          <w:rStyle w:val="FootnoteReference"/>
          <w:sz w:val="18"/>
          <w:szCs w:val="18"/>
        </w:rPr>
        <w:footnoteRef/>
      </w:r>
      <w:r w:rsidRPr="00053E3C">
        <w:rPr>
          <w:sz w:val="18"/>
          <w:szCs w:val="18"/>
        </w:rPr>
        <w:t xml:space="preserve"> Commission on Narcotic Drugs. “Unedited revised E/CN.7/2024/L.5/Rev.2” </w:t>
      </w:r>
      <w:r w:rsidRPr="00053E3C">
        <w:rPr>
          <w:i/>
          <w:iCs/>
          <w:sz w:val="18"/>
          <w:szCs w:val="18"/>
        </w:rPr>
        <w:t>Implementation of the international drug control treaties: other matters arising from the international drug control treaties</w:t>
      </w:r>
      <w:r w:rsidRPr="00053E3C">
        <w:rPr>
          <w:sz w:val="18"/>
          <w:szCs w:val="18"/>
        </w:rPr>
        <w:t xml:space="preserve">. 22 March 2024. </w:t>
      </w:r>
    </w:p>
  </w:footnote>
  <w:footnote w:id="51">
    <w:p w14:paraId="3FE75EBB" w14:textId="368F739B" w:rsidR="0091494E" w:rsidRPr="00053E3C" w:rsidRDefault="0091494E">
      <w:pPr>
        <w:pStyle w:val="FootnoteText"/>
        <w:rPr>
          <w:sz w:val="18"/>
          <w:szCs w:val="18"/>
        </w:rPr>
      </w:pPr>
      <w:r w:rsidRPr="00053E3C">
        <w:rPr>
          <w:rStyle w:val="FootnoteReference"/>
          <w:sz w:val="18"/>
          <w:szCs w:val="18"/>
        </w:rPr>
        <w:footnoteRef/>
      </w:r>
      <w:r w:rsidRPr="00053E3C">
        <w:rPr>
          <w:sz w:val="18"/>
          <w:szCs w:val="18"/>
        </w:rPr>
        <w:t xml:space="preserve"> </w:t>
      </w:r>
      <w:r w:rsidR="00470B6A" w:rsidRPr="00053E3C">
        <w:rPr>
          <w:sz w:val="18"/>
          <w:szCs w:val="18"/>
        </w:rPr>
        <w:t xml:space="preserve">UNAIDS. </w:t>
      </w:r>
      <w:r w:rsidR="00470B6A" w:rsidRPr="00053E3C">
        <w:rPr>
          <w:i/>
          <w:iCs/>
          <w:sz w:val="18"/>
          <w:szCs w:val="18"/>
        </w:rPr>
        <w:t xml:space="preserve">Global AIDS Strategy 2021-2026. </w:t>
      </w:r>
      <w:r w:rsidR="00470B6A" w:rsidRPr="00053E3C">
        <w:rPr>
          <w:sz w:val="18"/>
          <w:szCs w:val="18"/>
        </w:rPr>
        <w:t xml:space="preserve">March 2021. </w:t>
      </w:r>
    </w:p>
  </w:footnote>
  <w:footnote w:id="52">
    <w:p w14:paraId="71432728" w14:textId="77777777" w:rsidR="007A4404" w:rsidRPr="00F03CE1" w:rsidRDefault="007A4404" w:rsidP="007A4404">
      <w:pPr>
        <w:pStyle w:val="FootnoteText"/>
        <w:rPr>
          <w:rFonts w:cs="Arial"/>
          <w:sz w:val="18"/>
          <w:szCs w:val="18"/>
          <w:lang w:val="en-US"/>
        </w:rPr>
      </w:pPr>
      <w:r w:rsidRPr="00F03CE1">
        <w:rPr>
          <w:rStyle w:val="FootnoteReference"/>
          <w:rFonts w:cs="Arial"/>
          <w:sz w:val="18"/>
          <w:szCs w:val="18"/>
        </w:rPr>
        <w:footnoteRef/>
      </w:r>
      <w:r w:rsidRPr="00F03CE1">
        <w:rPr>
          <w:rFonts w:cs="Arial"/>
          <w:sz w:val="18"/>
          <w:szCs w:val="18"/>
        </w:rPr>
        <w:t xml:space="preserve"> CEDAW Committee Canada, supra.</w:t>
      </w:r>
    </w:p>
  </w:footnote>
  <w:footnote w:id="53">
    <w:p w14:paraId="7CD77AA7" w14:textId="274372B8" w:rsidR="00FF0735" w:rsidRPr="00053E3C" w:rsidRDefault="00FF0735">
      <w:pPr>
        <w:pStyle w:val="FootnoteText"/>
        <w:rPr>
          <w:sz w:val="18"/>
          <w:szCs w:val="18"/>
        </w:rPr>
      </w:pPr>
      <w:r w:rsidRPr="00053E3C">
        <w:rPr>
          <w:rStyle w:val="FootnoteReference"/>
          <w:sz w:val="18"/>
          <w:szCs w:val="18"/>
        </w:rPr>
        <w:footnoteRef/>
      </w:r>
      <w:r w:rsidRPr="00053E3C">
        <w:rPr>
          <w:sz w:val="18"/>
          <w:szCs w:val="18"/>
        </w:rPr>
        <w:t xml:space="preserve"> Government of Canada. </w:t>
      </w:r>
      <w:r w:rsidRPr="00053E3C">
        <w:rPr>
          <w:i/>
          <w:iCs/>
          <w:sz w:val="18"/>
          <w:szCs w:val="18"/>
        </w:rPr>
        <w:t xml:space="preserve">Government of Canada’s Sexually Transmitted and Blood-Borne Infections (STBBI) Action Plan 2024-2030. </w:t>
      </w:r>
      <w:r w:rsidRPr="00053E3C">
        <w:rPr>
          <w:sz w:val="18"/>
          <w:szCs w:val="18"/>
        </w:rPr>
        <w:t xml:space="preserve">2024. </w:t>
      </w:r>
      <w:r w:rsidR="00C01B25" w:rsidRPr="00053E3C">
        <w:rPr>
          <w:sz w:val="18"/>
          <w:szCs w:val="18"/>
        </w:rPr>
        <w:t>Online</w:t>
      </w:r>
      <w:r w:rsidRPr="00053E3C">
        <w:rPr>
          <w:sz w:val="18"/>
          <w:szCs w:val="18"/>
        </w:rPr>
        <w:t xml:space="preserve">: </w:t>
      </w:r>
      <w:hyperlink r:id="rId4" w:history="1">
        <w:r w:rsidRPr="00053E3C">
          <w:rPr>
            <w:rStyle w:val="Hyperlink"/>
            <w:sz w:val="18"/>
            <w:szCs w:val="18"/>
          </w:rPr>
          <w:t>https://www.canada.ca/content/dam/phac-aspc/documents/services/publications/diseases-conditions/sexually-transmitted-blood-borne-infections-action-plan-2024-2030/government-of-canada-stbbi-action-plan-final-en.pdf</w:t>
        </w:r>
      </w:hyperlink>
      <w:r w:rsidRPr="00053E3C">
        <w:rPr>
          <w:sz w:val="18"/>
          <w:szCs w:val="18"/>
        </w:rPr>
        <w:t xml:space="preserve"> </w:t>
      </w:r>
    </w:p>
  </w:footnote>
  <w:footnote w:id="54">
    <w:p w14:paraId="074E9480" w14:textId="5175AA70" w:rsidR="00FF0735" w:rsidRPr="00053E3C" w:rsidRDefault="00FF0735" w:rsidP="00053E3C">
      <w:pPr>
        <w:pStyle w:val="FootnoteText"/>
        <w:numPr>
          <w:ilvl w:val="0"/>
          <w:numId w:val="1"/>
        </w:numPr>
        <w:rPr>
          <w:sz w:val="18"/>
          <w:szCs w:val="18"/>
          <w:lang w:val="en"/>
        </w:rPr>
      </w:pPr>
      <w:r w:rsidRPr="00053E3C">
        <w:rPr>
          <w:rStyle w:val="FootnoteReference"/>
          <w:sz w:val="18"/>
          <w:szCs w:val="18"/>
        </w:rPr>
        <w:footnoteRef/>
      </w:r>
      <w:r w:rsidRPr="00053E3C">
        <w:rPr>
          <w:sz w:val="18"/>
          <w:szCs w:val="18"/>
        </w:rPr>
        <w:t xml:space="preserve"> Canadian Press. “</w:t>
      </w:r>
      <w:r w:rsidRPr="00053E3C">
        <w:rPr>
          <w:sz w:val="18"/>
          <w:szCs w:val="18"/>
          <w:lang w:val="en"/>
        </w:rPr>
        <w:t xml:space="preserve">Pierre Poilievre calls supervised consumption sites 'drug dens'.” </w:t>
      </w:r>
      <w:r w:rsidRPr="00053E3C">
        <w:rPr>
          <w:i/>
          <w:iCs/>
          <w:sz w:val="18"/>
          <w:szCs w:val="18"/>
          <w:lang w:val="en"/>
        </w:rPr>
        <w:t>CBC News</w:t>
      </w:r>
      <w:r w:rsidRPr="00053E3C">
        <w:rPr>
          <w:sz w:val="18"/>
          <w:szCs w:val="18"/>
          <w:lang w:val="en"/>
        </w:rPr>
        <w:t xml:space="preserve">. </w:t>
      </w:r>
      <w:r w:rsidRPr="00053E3C">
        <w:rPr>
          <w:sz w:val="18"/>
          <w:szCs w:val="18"/>
        </w:rPr>
        <w:t>https://www.cbc.ca/news/canada/british-columbia/supervised-consumption-site-scale-back-poilievre-1.7262063</w:t>
      </w:r>
    </w:p>
  </w:footnote>
  <w:footnote w:id="55">
    <w:p w14:paraId="539BF21C" w14:textId="26E13A88" w:rsidR="00FF0735" w:rsidRPr="00053E3C" w:rsidRDefault="00FF0735" w:rsidP="00053E3C">
      <w:pPr>
        <w:pStyle w:val="FootnoteText"/>
        <w:numPr>
          <w:ilvl w:val="0"/>
          <w:numId w:val="1"/>
        </w:numPr>
        <w:rPr>
          <w:sz w:val="18"/>
          <w:szCs w:val="18"/>
        </w:rPr>
      </w:pPr>
      <w:r w:rsidRPr="00053E3C">
        <w:rPr>
          <w:rStyle w:val="FootnoteReference"/>
          <w:sz w:val="18"/>
          <w:szCs w:val="18"/>
        </w:rPr>
        <w:footnoteRef/>
      </w:r>
      <w:r w:rsidR="00576CAE" w:rsidRPr="00053E3C">
        <w:rPr>
          <w:sz w:val="18"/>
          <w:szCs w:val="18"/>
        </w:rPr>
        <w:t xml:space="preserve"> A. </w:t>
      </w:r>
      <w:r w:rsidRPr="00053E3C">
        <w:rPr>
          <w:sz w:val="18"/>
          <w:szCs w:val="18"/>
        </w:rPr>
        <w:t xml:space="preserve">Talbot, “Doug Ford calls federal government the ‘biggest drug dealer’ in Canada for providing addicts with safer drug supplies.” </w:t>
      </w:r>
      <w:r w:rsidRPr="00053E3C">
        <w:rPr>
          <w:i/>
          <w:iCs/>
          <w:sz w:val="18"/>
          <w:szCs w:val="18"/>
        </w:rPr>
        <w:t>CityNews</w:t>
      </w:r>
      <w:r w:rsidRPr="00053E3C">
        <w:rPr>
          <w:sz w:val="18"/>
          <w:szCs w:val="18"/>
        </w:rPr>
        <w:t>. https://toronto.citynews.ca/2024/08/21/doug-ford-calls-federal-government-the-biggest-drug-dealer-in-canada-for-providing-addicts-with-safer-drug-supplies/</w:t>
      </w:r>
    </w:p>
  </w:footnote>
  <w:footnote w:id="56">
    <w:p w14:paraId="70572879" w14:textId="534726BA" w:rsidR="00FF0735" w:rsidRPr="00053E3C" w:rsidRDefault="00FF0735">
      <w:pPr>
        <w:pStyle w:val="FootnoteText"/>
        <w:rPr>
          <w:sz w:val="18"/>
          <w:szCs w:val="18"/>
        </w:rPr>
      </w:pPr>
      <w:r w:rsidRPr="00053E3C">
        <w:rPr>
          <w:rStyle w:val="FootnoteReference"/>
          <w:sz w:val="18"/>
          <w:szCs w:val="18"/>
        </w:rPr>
        <w:footnoteRef/>
      </w:r>
      <w:r w:rsidRPr="00053E3C">
        <w:rPr>
          <w:sz w:val="18"/>
          <w:szCs w:val="18"/>
        </w:rPr>
        <w:t xml:space="preserve"> Government of Canada, </w:t>
      </w:r>
      <w:r w:rsidR="00A51FF2">
        <w:rPr>
          <w:sz w:val="18"/>
          <w:szCs w:val="18"/>
        </w:rPr>
        <w:t>supra</w:t>
      </w:r>
      <w:r w:rsidRPr="00053E3C">
        <w:rPr>
          <w:sz w:val="18"/>
          <w:szCs w:val="18"/>
        </w:rPr>
        <w:t>.</w:t>
      </w:r>
    </w:p>
  </w:footnote>
  <w:footnote w:id="57">
    <w:p w14:paraId="2203B811" w14:textId="6BA58B61" w:rsidR="00FF0735" w:rsidRPr="00053E3C" w:rsidRDefault="00FF0735">
      <w:pPr>
        <w:pStyle w:val="FootnoteText"/>
        <w:rPr>
          <w:sz w:val="18"/>
          <w:szCs w:val="18"/>
        </w:rPr>
      </w:pPr>
      <w:r w:rsidRPr="00053E3C">
        <w:rPr>
          <w:rStyle w:val="FootnoteReference"/>
          <w:sz w:val="18"/>
          <w:szCs w:val="18"/>
        </w:rPr>
        <w:footnoteRef/>
      </w:r>
      <w:r w:rsidRPr="00053E3C">
        <w:rPr>
          <w:sz w:val="18"/>
          <w:szCs w:val="18"/>
        </w:rPr>
        <w:t xml:space="preserve"> Health Canada Expert Task Force on Substance Use. </w:t>
      </w:r>
      <w:r w:rsidR="00CF7766" w:rsidRPr="00053E3C">
        <w:rPr>
          <w:i/>
          <w:iCs/>
          <w:sz w:val="18"/>
          <w:szCs w:val="18"/>
        </w:rPr>
        <w:t>Report #2 Recommendations on the Federal Government’s Drug Policy as Articulated in a Draft Canadian Drugs and Substances Strategy (CDSS).</w:t>
      </w:r>
      <w:r w:rsidR="00CF7766" w:rsidRPr="00053E3C">
        <w:rPr>
          <w:sz w:val="18"/>
          <w:szCs w:val="18"/>
        </w:rPr>
        <w:t xml:space="preserve"> June 11</w:t>
      </w:r>
      <w:r w:rsidR="00A51FF2">
        <w:rPr>
          <w:sz w:val="18"/>
          <w:szCs w:val="18"/>
        </w:rPr>
        <w:t>,</w:t>
      </w:r>
      <w:r w:rsidR="00CF7766" w:rsidRPr="00053E3C">
        <w:rPr>
          <w:sz w:val="18"/>
          <w:szCs w:val="18"/>
        </w:rPr>
        <w:t xml:space="preserve"> 2021. </w:t>
      </w:r>
    </w:p>
  </w:footnote>
  <w:footnote w:id="58">
    <w:p w14:paraId="0B7B90D8" w14:textId="1329EFC4" w:rsidR="00CF7766" w:rsidRPr="00053E3C" w:rsidRDefault="00CF7766">
      <w:pPr>
        <w:pStyle w:val="FootnoteText"/>
        <w:rPr>
          <w:sz w:val="18"/>
          <w:szCs w:val="18"/>
        </w:rPr>
      </w:pPr>
      <w:r w:rsidRPr="00053E3C">
        <w:rPr>
          <w:rStyle w:val="FootnoteReference"/>
          <w:sz w:val="18"/>
          <w:szCs w:val="18"/>
        </w:rPr>
        <w:footnoteRef/>
      </w:r>
      <w:r w:rsidRPr="00053E3C">
        <w:rPr>
          <w:sz w:val="18"/>
          <w:szCs w:val="18"/>
        </w:rPr>
        <w:t xml:space="preserve"> </w:t>
      </w:r>
      <w:r w:rsidR="00576CAE" w:rsidRPr="00F03CE1">
        <w:rPr>
          <w:sz w:val="18"/>
          <w:szCs w:val="18"/>
        </w:rPr>
        <w:t xml:space="preserve">J. </w:t>
      </w:r>
      <w:r w:rsidRPr="00053E3C">
        <w:rPr>
          <w:sz w:val="18"/>
          <w:szCs w:val="18"/>
        </w:rPr>
        <w:t>Boyd</w:t>
      </w:r>
      <w:r w:rsidR="00576CAE" w:rsidRPr="00F03CE1">
        <w:rPr>
          <w:sz w:val="18"/>
          <w:szCs w:val="18"/>
        </w:rPr>
        <w:t xml:space="preserve"> </w:t>
      </w:r>
      <w:r w:rsidRPr="00053E3C">
        <w:rPr>
          <w:sz w:val="18"/>
          <w:szCs w:val="18"/>
        </w:rPr>
        <w:t>et al</w:t>
      </w:r>
      <w:r w:rsidR="00576CAE" w:rsidRPr="00F03CE1">
        <w:rPr>
          <w:sz w:val="18"/>
          <w:szCs w:val="18"/>
        </w:rPr>
        <w:t>.</w:t>
      </w:r>
      <w:r w:rsidRPr="00053E3C">
        <w:rPr>
          <w:sz w:val="18"/>
          <w:szCs w:val="18"/>
        </w:rPr>
        <w:t>, “Mothers Who Use Drugs: Closing the Gaps in Harm Reduction Response Amidst the Dual Epidemics of Overdose and Violence in a Canadian Urban Setting”, </w:t>
      </w:r>
      <w:r w:rsidRPr="00053E3C">
        <w:rPr>
          <w:i/>
          <w:iCs/>
          <w:sz w:val="18"/>
          <w:szCs w:val="18"/>
        </w:rPr>
        <w:t>American Journal of Public Health</w:t>
      </w:r>
      <w:r w:rsidRPr="00053E3C">
        <w:rPr>
          <w:sz w:val="18"/>
          <w:szCs w:val="18"/>
        </w:rPr>
        <w:t xml:space="preserve"> 112, no. S2. April 1, 2022. 191-S198. </w:t>
      </w:r>
      <w:hyperlink r:id="rId5" w:history="1">
        <w:r w:rsidRPr="00053E3C">
          <w:rPr>
            <w:rStyle w:val="Hyperlink"/>
            <w:sz w:val="18"/>
            <w:szCs w:val="18"/>
          </w:rPr>
          <w:t>https://doi.org/10.2105/AJPH.2022.306776</w:t>
        </w:r>
      </w:hyperlink>
    </w:p>
  </w:footnote>
  <w:footnote w:id="59">
    <w:p w14:paraId="736A15CE" w14:textId="25B64D4F" w:rsidR="00CF7766" w:rsidRPr="00053E3C" w:rsidRDefault="00CF7766">
      <w:pPr>
        <w:pStyle w:val="FootnoteText"/>
        <w:rPr>
          <w:sz w:val="18"/>
          <w:szCs w:val="18"/>
        </w:rPr>
      </w:pPr>
      <w:r w:rsidRPr="00053E3C">
        <w:rPr>
          <w:rStyle w:val="FootnoteReference"/>
          <w:sz w:val="18"/>
          <w:szCs w:val="18"/>
        </w:rPr>
        <w:footnoteRef/>
      </w:r>
      <w:r w:rsidRPr="00053E3C">
        <w:rPr>
          <w:sz w:val="18"/>
          <w:szCs w:val="18"/>
        </w:rPr>
        <w:t xml:space="preserve"> Ibid.</w:t>
      </w:r>
    </w:p>
  </w:footnote>
  <w:footnote w:id="60">
    <w:p w14:paraId="5C1EF901" w14:textId="3082C3E4" w:rsidR="00CF7766" w:rsidRPr="00053E3C" w:rsidRDefault="00CF7766">
      <w:pPr>
        <w:pStyle w:val="FootnoteText"/>
        <w:rPr>
          <w:sz w:val="18"/>
          <w:szCs w:val="18"/>
        </w:rPr>
      </w:pPr>
      <w:r w:rsidRPr="00053E3C">
        <w:rPr>
          <w:rStyle w:val="FootnoteReference"/>
          <w:sz w:val="18"/>
          <w:szCs w:val="18"/>
        </w:rPr>
        <w:footnoteRef/>
      </w:r>
      <w:r w:rsidRPr="00053E3C">
        <w:rPr>
          <w:sz w:val="18"/>
          <w:szCs w:val="18"/>
        </w:rPr>
        <w:t xml:space="preserve"> Ibid.</w:t>
      </w:r>
    </w:p>
  </w:footnote>
  <w:footnote w:id="61">
    <w:p w14:paraId="39A73605" w14:textId="0AFE505A" w:rsidR="00CF7766" w:rsidRPr="00053E3C" w:rsidRDefault="00CF7766">
      <w:pPr>
        <w:pStyle w:val="FootnoteText"/>
        <w:rPr>
          <w:sz w:val="18"/>
          <w:szCs w:val="18"/>
        </w:rPr>
      </w:pPr>
      <w:r w:rsidRPr="00053E3C">
        <w:rPr>
          <w:rStyle w:val="FootnoteReference"/>
          <w:sz w:val="18"/>
          <w:szCs w:val="18"/>
        </w:rPr>
        <w:footnoteRef/>
      </w:r>
      <w:r w:rsidRPr="00053E3C">
        <w:rPr>
          <w:sz w:val="18"/>
          <w:szCs w:val="18"/>
        </w:rPr>
        <w:t xml:space="preserve"> Ibid.</w:t>
      </w:r>
    </w:p>
  </w:footnote>
  <w:footnote w:id="62">
    <w:p w14:paraId="5AB4DBCC" w14:textId="77777777" w:rsidR="005C74A1" w:rsidRPr="00F03CE1" w:rsidRDefault="005C74A1" w:rsidP="005C74A1">
      <w:pPr>
        <w:pStyle w:val="FootnoteText"/>
        <w:contextualSpacing/>
        <w:rPr>
          <w:rFonts w:cs="Arial"/>
          <w:sz w:val="18"/>
          <w:szCs w:val="18"/>
        </w:rPr>
      </w:pPr>
      <w:r w:rsidRPr="00F03CE1">
        <w:rPr>
          <w:rStyle w:val="FootnoteReference"/>
          <w:rFonts w:eastAsia="Hiragino Kaku Gothic Pro W3" w:cs="Arial"/>
          <w:sz w:val="18"/>
          <w:szCs w:val="18"/>
        </w:rPr>
        <w:footnoteRef/>
      </w:r>
      <w:r w:rsidRPr="00F03CE1">
        <w:rPr>
          <w:rFonts w:cs="Arial"/>
          <w:sz w:val="18"/>
          <w:szCs w:val="18"/>
        </w:rPr>
        <w:t xml:space="preserve"> See, e.g., A. Owusu-Bempah et al., “Race and Incarceration: The Representation and Characteristics of Black People in Provincial Correctional Facilities in Ontario, Canada,” </w:t>
      </w:r>
      <w:r w:rsidRPr="00F03CE1">
        <w:rPr>
          <w:rFonts w:cs="Arial"/>
          <w:i/>
          <w:iCs/>
          <w:sz w:val="18"/>
          <w:szCs w:val="18"/>
        </w:rPr>
        <w:t>Race and Justice</w:t>
      </w:r>
      <w:r w:rsidRPr="00F03CE1">
        <w:rPr>
          <w:rFonts w:cs="Arial"/>
          <w:sz w:val="18"/>
          <w:szCs w:val="18"/>
        </w:rPr>
        <w:t xml:space="preserve"> 13(4) (2023): 530-542; Justice Canada, </w:t>
      </w:r>
      <w:r w:rsidRPr="00F03CE1">
        <w:rPr>
          <w:rFonts w:cs="Arial"/>
          <w:i/>
          <w:iCs/>
          <w:sz w:val="18"/>
          <w:szCs w:val="18"/>
        </w:rPr>
        <w:t>Overrepresentation of Indigenous People in the Canadian Criminal Justice System: Causes and Responses</w:t>
      </w:r>
      <w:r w:rsidRPr="00F03CE1">
        <w:rPr>
          <w:rFonts w:cs="Arial"/>
          <w:sz w:val="18"/>
          <w:szCs w:val="18"/>
        </w:rPr>
        <w:t>, January 20, 2023.</w:t>
      </w:r>
    </w:p>
  </w:footnote>
  <w:footnote w:id="63">
    <w:p w14:paraId="676119AB" w14:textId="77777777" w:rsidR="005C74A1" w:rsidRPr="00F03CE1" w:rsidRDefault="005C74A1" w:rsidP="005C74A1">
      <w:pPr>
        <w:pStyle w:val="FootnoteText"/>
        <w:contextualSpacing/>
        <w:rPr>
          <w:rFonts w:cs="Arial"/>
          <w:sz w:val="18"/>
          <w:szCs w:val="18"/>
        </w:rPr>
      </w:pPr>
      <w:r w:rsidRPr="00F03CE1">
        <w:rPr>
          <w:rStyle w:val="FootnoteReference"/>
          <w:rFonts w:eastAsia="Hiragino Kaku Gothic Pro W3" w:cs="Arial"/>
          <w:sz w:val="18"/>
          <w:szCs w:val="18"/>
        </w:rPr>
        <w:footnoteRef/>
      </w:r>
      <w:r w:rsidRPr="00F03CE1">
        <w:rPr>
          <w:rFonts w:cs="Arial"/>
          <w:sz w:val="18"/>
          <w:szCs w:val="18"/>
        </w:rPr>
        <w:t xml:space="preserve"> Statistics Canada, “Indigenous population continues to grow and is much younger than the non-Indigenous population, although the pace of growth has slowed,” </w:t>
      </w:r>
      <w:r w:rsidRPr="00F03CE1">
        <w:rPr>
          <w:rFonts w:cs="Arial"/>
          <w:i/>
          <w:iCs/>
          <w:sz w:val="18"/>
          <w:szCs w:val="18"/>
        </w:rPr>
        <w:t>The Daily</w:t>
      </w:r>
      <w:r w:rsidRPr="00F03CE1">
        <w:rPr>
          <w:rFonts w:cs="Arial"/>
          <w:sz w:val="18"/>
          <w:szCs w:val="18"/>
        </w:rPr>
        <w:t xml:space="preserve">, September 21, 2022. </w:t>
      </w:r>
    </w:p>
  </w:footnote>
  <w:footnote w:id="64">
    <w:p w14:paraId="132298EE" w14:textId="77777777" w:rsidR="005C74A1" w:rsidRPr="00F03CE1" w:rsidRDefault="005C74A1" w:rsidP="005C74A1">
      <w:pPr>
        <w:pStyle w:val="FootnoteText"/>
        <w:contextualSpacing/>
        <w:rPr>
          <w:rFonts w:cs="Arial"/>
          <w:sz w:val="18"/>
          <w:szCs w:val="18"/>
        </w:rPr>
      </w:pPr>
      <w:r w:rsidRPr="00F03CE1">
        <w:rPr>
          <w:rStyle w:val="FootnoteReference"/>
          <w:rFonts w:eastAsia="Hiragino Kaku Gothic Pro W3" w:cs="Arial"/>
          <w:sz w:val="18"/>
          <w:szCs w:val="18"/>
        </w:rPr>
        <w:footnoteRef/>
      </w:r>
      <w:r w:rsidRPr="00F03CE1">
        <w:rPr>
          <w:rFonts w:cs="Arial"/>
          <w:sz w:val="18"/>
          <w:szCs w:val="18"/>
        </w:rPr>
        <w:t xml:space="preserve"> Department of Justice Canada, </w:t>
      </w:r>
      <w:r w:rsidRPr="00F03CE1">
        <w:rPr>
          <w:rFonts w:cs="Arial"/>
          <w:i/>
          <w:iCs/>
          <w:sz w:val="18"/>
          <w:szCs w:val="18"/>
        </w:rPr>
        <w:t>Overrepresentation of Black people in the Canadian criminal justice system</w:t>
      </w:r>
      <w:r w:rsidRPr="00F03CE1">
        <w:rPr>
          <w:rFonts w:cs="Arial"/>
          <w:sz w:val="18"/>
          <w:szCs w:val="18"/>
        </w:rPr>
        <w:t xml:space="preserve">, December 2022 and Office of the Correctional Investigator, </w:t>
      </w:r>
      <w:r w:rsidRPr="00F03CE1">
        <w:rPr>
          <w:rFonts w:cs="Arial"/>
          <w:i/>
          <w:iCs/>
          <w:sz w:val="18"/>
          <w:szCs w:val="18"/>
        </w:rPr>
        <w:t>Annual Report 2021-2022</w:t>
      </w:r>
      <w:r w:rsidRPr="00F03CE1">
        <w:rPr>
          <w:rFonts w:cs="Arial"/>
          <w:sz w:val="18"/>
          <w:szCs w:val="18"/>
        </w:rPr>
        <w:t xml:space="preserve">, 2022. </w:t>
      </w:r>
    </w:p>
  </w:footnote>
  <w:footnote w:id="65">
    <w:p w14:paraId="315193D7" w14:textId="77777777" w:rsidR="005C74A1" w:rsidRPr="00F03CE1" w:rsidRDefault="005C74A1" w:rsidP="005C74A1">
      <w:pPr>
        <w:pStyle w:val="FootnoteText"/>
        <w:contextualSpacing/>
        <w:rPr>
          <w:rFonts w:cs="Arial"/>
          <w:sz w:val="18"/>
          <w:szCs w:val="18"/>
        </w:rPr>
      </w:pPr>
      <w:r w:rsidRPr="00F03CE1">
        <w:rPr>
          <w:rStyle w:val="FootnoteReference"/>
          <w:rFonts w:eastAsia="Hiragino Kaku Gothic Pro W3" w:cs="Arial"/>
          <w:sz w:val="18"/>
          <w:szCs w:val="18"/>
        </w:rPr>
        <w:footnoteRef/>
      </w:r>
      <w:r w:rsidRPr="00F03CE1">
        <w:rPr>
          <w:rFonts w:cs="Arial"/>
          <w:sz w:val="18"/>
          <w:szCs w:val="18"/>
        </w:rPr>
        <w:t xml:space="preserve"> Ibid. </w:t>
      </w:r>
    </w:p>
  </w:footnote>
  <w:footnote w:id="66">
    <w:p w14:paraId="21A16D7C" w14:textId="77777777" w:rsidR="005C74A1" w:rsidRPr="00F03CE1" w:rsidRDefault="005C74A1" w:rsidP="005C74A1">
      <w:pPr>
        <w:pStyle w:val="FootnoteText"/>
        <w:rPr>
          <w:rFonts w:cs="Arial"/>
          <w:sz w:val="18"/>
          <w:szCs w:val="18"/>
        </w:rPr>
      </w:pPr>
      <w:r w:rsidRPr="00F03CE1">
        <w:rPr>
          <w:rStyle w:val="FootnoteReference"/>
          <w:rFonts w:cs="Arial"/>
          <w:sz w:val="18"/>
          <w:szCs w:val="18"/>
        </w:rPr>
        <w:footnoteRef/>
      </w:r>
      <w:r w:rsidRPr="00F03CE1">
        <w:rPr>
          <w:rFonts w:cs="Arial"/>
          <w:sz w:val="18"/>
          <w:szCs w:val="18"/>
        </w:rPr>
        <w:t xml:space="preserve"> R. Gobeil, </w:t>
      </w:r>
      <w:r w:rsidRPr="00F03CE1">
        <w:rPr>
          <w:rFonts w:cs="Arial"/>
          <w:i/>
          <w:iCs/>
          <w:sz w:val="18"/>
          <w:szCs w:val="18"/>
        </w:rPr>
        <w:t>Profile of Federally Sentenced Women Drug Offenders</w:t>
      </w:r>
      <w:r w:rsidRPr="00F03CE1">
        <w:rPr>
          <w:rFonts w:cs="Arial"/>
          <w:sz w:val="18"/>
          <w:szCs w:val="18"/>
        </w:rPr>
        <w:t xml:space="preserve">, Correctional Service of Canada, May 2009.  </w:t>
      </w:r>
    </w:p>
  </w:footnote>
  <w:footnote w:id="67">
    <w:p w14:paraId="48F1E15F" w14:textId="77777777" w:rsidR="005C74A1" w:rsidRPr="00F03CE1" w:rsidRDefault="005C74A1" w:rsidP="005C74A1">
      <w:pPr>
        <w:pStyle w:val="FootnoteText"/>
        <w:rPr>
          <w:rFonts w:cs="Arial"/>
          <w:sz w:val="18"/>
          <w:szCs w:val="18"/>
        </w:rPr>
      </w:pPr>
      <w:r w:rsidRPr="00F03CE1">
        <w:rPr>
          <w:rStyle w:val="FootnoteReference"/>
          <w:rFonts w:cs="Arial"/>
          <w:sz w:val="18"/>
          <w:szCs w:val="18"/>
        </w:rPr>
        <w:footnoteRef/>
      </w:r>
      <w:r w:rsidRPr="00F03CE1">
        <w:rPr>
          <w:rFonts w:cs="Arial"/>
          <w:sz w:val="18"/>
          <w:szCs w:val="18"/>
        </w:rPr>
        <w:t xml:space="preserve"> Public Safety Canada, </w:t>
      </w:r>
      <w:r w:rsidRPr="00F03CE1">
        <w:rPr>
          <w:rFonts w:cs="Arial"/>
          <w:i/>
          <w:iCs/>
          <w:sz w:val="18"/>
          <w:szCs w:val="18"/>
        </w:rPr>
        <w:t>Corrections and Conditional Release Statistical Overview 2022</w:t>
      </w:r>
      <w:r w:rsidRPr="00F03CE1">
        <w:rPr>
          <w:rFonts w:cs="Arial"/>
          <w:sz w:val="18"/>
          <w:szCs w:val="18"/>
        </w:rPr>
        <w:t xml:space="preserve">, March 2024.   </w:t>
      </w:r>
    </w:p>
  </w:footnote>
  <w:footnote w:id="68">
    <w:p w14:paraId="025FE39D" w14:textId="77777777" w:rsidR="005C74A1" w:rsidRPr="00F03CE1" w:rsidRDefault="005C74A1" w:rsidP="005C74A1">
      <w:pPr>
        <w:pStyle w:val="FootnoteText"/>
        <w:rPr>
          <w:rFonts w:cs="Arial"/>
          <w:sz w:val="18"/>
          <w:szCs w:val="18"/>
        </w:rPr>
      </w:pPr>
      <w:r w:rsidRPr="00F03CE1">
        <w:rPr>
          <w:rStyle w:val="FootnoteReference"/>
          <w:rFonts w:cs="Arial"/>
          <w:sz w:val="18"/>
          <w:szCs w:val="18"/>
        </w:rPr>
        <w:footnoteRef/>
      </w:r>
      <w:r w:rsidRPr="00F03CE1">
        <w:rPr>
          <w:rFonts w:cs="Arial"/>
          <w:sz w:val="18"/>
          <w:szCs w:val="18"/>
        </w:rPr>
        <w:t xml:space="preserve"> </w:t>
      </w:r>
      <w:r w:rsidRPr="00F03CE1">
        <w:rPr>
          <w:rFonts w:cs="Arial"/>
          <w:i/>
          <w:iCs/>
          <w:sz w:val="18"/>
          <w:szCs w:val="18"/>
        </w:rPr>
        <w:t>Annual Report 2014-2015</w:t>
      </w:r>
      <w:r w:rsidRPr="00F03CE1">
        <w:rPr>
          <w:rFonts w:cs="Arial"/>
          <w:sz w:val="18"/>
          <w:szCs w:val="18"/>
        </w:rPr>
        <w:t xml:space="preserve">, supra. See also Office of the Correctional Investigator of Canada, </w:t>
      </w:r>
      <w:r w:rsidRPr="00F03CE1">
        <w:rPr>
          <w:rFonts w:cs="Arial"/>
          <w:i/>
          <w:iCs/>
          <w:sz w:val="18"/>
          <w:szCs w:val="18"/>
        </w:rPr>
        <w:t>Annual Report 2016-2017</w:t>
      </w:r>
      <w:r w:rsidRPr="00F03CE1">
        <w:rPr>
          <w:rFonts w:cs="Arial"/>
          <w:sz w:val="18"/>
          <w:szCs w:val="18"/>
        </w:rPr>
        <w:t xml:space="preserve">, 2017.  </w:t>
      </w:r>
    </w:p>
  </w:footnote>
  <w:footnote w:id="69">
    <w:p w14:paraId="33ABB94E" w14:textId="77777777" w:rsidR="005C74A1" w:rsidRPr="00F03CE1" w:rsidRDefault="005C74A1" w:rsidP="005C74A1">
      <w:pPr>
        <w:pStyle w:val="FootnoteText"/>
        <w:rPr>
          <w:rFonts w:cs="Arial"/>
          <w:sz w:val="18"/>
          <w:szCs w:val="18"/>
        </w:rPr>
      </w:pPr>
      <w:r w:rsidRPr="00F03CE1">
        <w:rPr>
          <w:rStyle w:val="FootnoteReference"/>
          <w:rFonts w:cs="Arial"/>
          <w:sz w:val="18"/>
          <w:szCs w:val="18"/>
        </w:rPr>
        <w:footnoteRef/>
      </w:r>
      <w:r w:rsidRPr="00F03CE1">
        <w:rPr>
          <w:rFonts w:cs="Arial"/>
          <w:sz w:val="18"/>
          <w:szCs w:val="18"/>
        </w:rPr>
        <w:t xml:space="preserve"> CEDAW Committee, </w:t>
      </w:r>
      <w:r w:rsidRPr="00F03CE1">
        <w:rPr>
          <w:rFonts w:cs="Arial"/>
          <w:i/>
          <w:iCs/>
          <w:sz w:val="18"/>
          <w:szCs w:val="18"/>
        </w:rPr>
        <w:t>Concluding observations on the combined eighth and ninth periodic reports of Canada</w:t>
      </w:r>
      <w:r w:rsidRPr="00F03CE1">
        <w:rPr>
          <w:rFonts w:cs="Arial"/>
          <w:sz w:val="18"/>
          <w:szCs w:val="18"/>
        </w:rPr>
        <w:t>, CEDAW/C/CAN/CO/8-9, 18 November 2016.</w:t>
      </w:r>
    </w:p>
  </w:footnote>
  <w:footnote w:id="70">
    <w:p w14:paraId="5DF0B2D0" w14:textId="77777777" w:rsidR="005C74A1" w:rsidRPr="00F03CE1" w:rsidRDefault="005C74A1" w:rsidP="005C74A1">
      <w:pPr>
        <w:ind w:right="548"/>
        <w:rPr>
          <w:rFonts w:cs="Arial"/>
          <w:sz w:val="18"/>
          <w:szCs w:val="18"/>
        </w:rPr>
      </w:pPr>
      <w:r w:rsidRPr="00F03CE1">
        <w:rPr>
          <w:rStyle w:val="FootnoteReference"/>
          <w:rFonts w:cs="Arial"/>
          <w:sz w:val="18"/>
          <w:szCs w:val="18"/>
        </w:rPr>
        <w:footnoteRef/>
      </w:r>
      <w:r w:rsidRPr="00F03CE1">
        <w:rPr>
          <w:rFonts w:cs="Arial"/>
          <w:sz w:val="18"/>
          <w:szCs w:val="18"/>
        </w:rPr>
        <w:t xml:space="preserve"> D.</w:t>
      </w:r>
      <w:r w:rsidRPr="00F03CE1">
        <w:rPr>
          <w:rFonts w:cs="Arial"/>
          <w:spacing w:val="-3"/>
          <w:sz w:val="18"/>
          <w:szCs w:val="18"/>
        </w:rPr>
        <w:t xml:space="preserve"> </w:t>
      </w:r>
      <w:r w:rsidRPr="00F03CE1">
        <w:rPr>
          <w:rFonts w:cs="Arial"/>
          <w:sz w:val="18"/>
          <w:szCs w:val="18"/>
        </w:rPr>
        <w:t>Zakaria</w:t>
      </w:r>
      <w:r w:rsidRPr="00F03CE1">
        <w:rPr>
          <w:rFonts w:cs="Arial"/>
          <w:spacing w:val="-4"/>
          <w:sz w:val="18"/>
          <w:szCs w:val="18"/>
        </w:rPr>
        <w:t xml:space="preserve"> </w:t>
      </w:r>
      <w:r w:rsidRPr="00F03CE1">
        <w:rPr>
          <w:rFonts w:cs="Arial"/>
          <w:sz w:val="18"/>
          <w:szCs w:val="18"/>
        </w:rPr>
        <w:t>et</w:t>
      </w:r>
      <w:r w:rsidRPr="00F03CE1">
        <w:rPr>
          <w:rFonts w:cs="Arial"/>
          <w:spacing w:val="-3"/>
          <w:sz w:val="18"/>
          <w:szCs w:val="18"/>
        </w:rPr>
        <w:t xml:space="preserve"> </w:t>
      </w:r>
      <w:r w:rsidRPr="00F03CE1">
        <w:rPr>
          <w:rFonts w:cs="Arial"/>
          <w:sz w:val="18"/>
          <w:szCs w:val="18"/>
        </w:rPr>
        <w:t>al.,</w:t>
      </w:r>
      <w:r w:rsidRPr="00F03CE1">
        <w:rPr>
          <w:rFonts w:cs="Arial"/>
          <w:spacing w:val="-3"/>
          <w:sz w:val="18"/>
          <w:szCs w:val="18"/>
        </w:rPr>
        <w:t xml:space="preserve"> </w:t>
      </w:r>
      <w:r w:rsidRPr="00F03CE1">
        <w:rPr>
          <w:rFonts w:cs="Arial"/>
          <w:i/>
          <w:sz w:val="18"/>
          <w:szCs w:val="18"/>
        </w:rPr>
        <w:t>Summary</w:t>
      </w:r>
      <w:r w:rsidRPr="00F03CE1">
        <w:rPr>
          <w:rFonts w:cs="Arial"/>
          <w:i/>
          <w:spacing w:val="-3"/>
          <w:sz w:val="18"/>
          <w:szCs w:val="18"/>
        </w:rPr>
        <w:t xml:space="preserve"> </w:t>
      </w:r>
      <w:r w:rsidRPr="00F03CE1">
        <w:rPr>
          <w:rFonts w:cs="Arial"/>
          <w:i/>
          <w:sz w:val="18"/>
          <w:szCs w:val="18"/>
        </w:rPr>
        <w:t>of</w:t>
      </w:r>
      <w:r w:rsidRPr="00F03CE1">
        <w:rPr>
          <w:rFonts w:cs="Arial"/>
          <w:i/>
          <w:spacing w:val="-3"/>
          <w:sz w:val="18"/>
          <w:szCs w:val="18"/>
        </w:rPr>
        <w:t xml:space="preserve"> </w:t>
      </w:r>
      <w:r w:rsidRPr="00F03CE1">
        <w:rPr>
          <w:rFonts w:cs="Arial"/>
          <w:i/>
          <w:sz w:val="18"/>
          <w:szCs w:val="18"/>
        </w:rPr>
        <w:t>emerging</w:t>
      </w:r>
      <w:r w:rsidRPr="00F03CE1">
        <w:rPr>
          <w:rFonts w:cs="Arial"/>
          <w:i/>
          <w:spacing w:val="-4"/>
          <w:sz w:val="18"/>
          <w:szCs w:val="18"/>
        </w:rPr>
        <w:t xml:space="preserve"> </w:t>
      </w:r>
      <w:r w:rsidRPr="00F03CE1">
        <w:rPr>
          <w:rFonts w:cs="Arial"/>
          <w:i/>
          <w:sz w:val="18"/>
          <w:szCs w:val="18"/>
        </w:rPr>
        <w:t>findings</w:t>
      </w:r>
      <w:r w:rsidRPr="00F03CE1">
        <w:rPr>
          <w:rFonts w:cs="Arial"/>
          <w:i/>
          <w:spacing w:val="-3"/>
          <w:sz w:val="18"/>
          <w:szCs w:val="18"/>
        </w:rPr>
        <w:t xml:space="preserve"> </w:t>
      </w:r>
      <w:r w:rsidRPr="00F03CE1">
        <w:rPr>
          <w:rFonts w:cs="Arial"/>
          <w:i/>
          <w:sz w:val="18"/>
          <w:szCs w:val="18"/>
        </w:rPr>
        <w:t>from</w:t>
      </w:r>
      <w:r w:rsidRPr="00F03CE1">
        <w:rPr>
          <w:rFonts w:cs="Arial"/>
          <w:i/>
          <w:spacing w:val="-3"/>
          <w:sz w:val="18"/>
          <w:szCs w:val="18"/>
        </w:rPr>
        <w:t xml:space="preserve"> </w:t>
      </w:r>
      <w:r w:rsidRPr="00F03CE1">
        <w:rPr>
          <w:rFonts w:cs="Arial"/>
          <w:i/>
          <w:sz w:val="18"/>
          <w:szCs w:val="18"/>
        </w:rPr>
        <w:t>the</w:t>
      </w:r>
      <w:r w:rsidRPr="00F03CE1">
        <w:rPr>
          <w:rFonts w:cs="Arial"/>
          <w:i/>
          <w:spacing w:val="-4"/>
          <w:sz w:val="18"/>
          <w:szCs w:val="18"/>
        </w:rPr>
        <w:t xml:space="preserve"> </w:t>
      </w:r>
      <w:r w:rsidRPr="00F03CE1">
        <w:rPr>
          <w:rFonts w:cs="Arial"/>
          <w:i/>
          <w:sz w:val="18"/>
          <w:szCs w:val="18"/>
        </w:rPr>
        <w:t>2007</w:t>
      </w:r>
      <w:r w:rsidRPr="00F03CE1">
        <w:rPr>
          <w:rFonts w:cs="Arial"/>
          <w:i/>
          <w:spacing w:val="-4"/>
          <w:sz w:val="18"/>
          <w:szCs w:val="18"/>
        </w:rPr>
        <w:t xml:space="preserve"> </w:t>
      </w:r>
      <w:r w:rsidRPr="00F03CE1">
        <w:rPr>
          <w:rFonts w:cs="Arial"/>
          <w:i/>
          <w:sz w:val="18"/>
          <w:szCs w:val="18"/>
        </w:rPr>
        <w:t>National</w:t>
      </w:r>
      <w:r w:rsidRPr="00F03CE1">
        <w:rPr>
          <w:rFonts w:cs="Arial"/>
          <w:i/>
          <w:spacing w:val="-3"/>
          <w:sz w:val="18"/>
          <w:szCs w:val="18"/>
        </w:rPr>
        <w:t xml:space="preserve"> </w:t>
      </w:r>
      <w:r w:rsidRPr="00F03CE1">
        <w:rPr>
          <w:rFonts w:cs="Arial"/>
          <w:i/>
          <w:sz w:val="18"/>
          <w:szCs w:val="18"/>
        </w:rPr>
        <w:t>Inmate</w:t>
      </w:r>
      <w:r w:rsidRPr="00F03CE1">
        <w:rPr>
          <w:rFonts w:cs="Arial"/>
          <w:i/>
          <w:spacing w:val="-4"/>
          <w:sz w:val="18"/>
          <w:szCs w:val="18"/>
        </w:rPr>
        <w:t xml:space="preserve"> </w:t>
      </w:r>
      <w:r w:rsidRPr="00F03CE1">
        <w:rPr>
          <w:rFonts w:cs="Arial"/>
          <w:i/>
          <w:sz w:val="18"/>
          <w:szCs w:val="18"/>
        </w:rPr>
        <w:t>Infectious</w:t>
      </w:r>
      <w:r w:rsidRPr="00F03CE1">
        <w:rPr>
          <w:rFonts w:cs="Arial"/>
          <w:i/>
          <w:spacing w:val="-2"/>
          <w:sz w:val="18"/>
          <w:szCs w:val="18"/>
        </w:rPr>
        <w:t xml:space="preserve"> </w:t>
      </w:r>
      <w:r w:rsidRPr="00F03CE1">
        <w:rPr>
          <w:rFonts w:cs="Arial"/>
          <w:i/>
          <w:sz w:val="18"/>
          <w:szCs w:val="18"/>
        </w:rPr>
        <w:t>Diseases</w:t>
      </w:r>
      <w:r w:rsidRPr="00F03CE1">
        <w:rPr>
          <w:rFonts w:cs="Arial"/>
          <w:i/>
          <w:spacing w:val="-3"/>
          <w:sz w:val="18"/>
          <w:szCs w:val="18"/>
        </w:rPr>
        <w:t xml:space="preserve"> </w:t>
      </w:r>
      <w:r w:rsidRPr="00F03CE1">
        <w:rPr>
          <w:rFonts w:cs="Arial"/>
          <w:i/>
          <w:sz w:val="18"/>
          <w:szCs w:val="18"/>
        </w:rPr>
        <w:t>and Risk-Behaviours Survey</w:t>
      </w:r>
      <w:r w:rsidRPr="00F03CE1">
        <w:rPr>
          <w:rFonts w:cs="Arial"/>
          <w:sz w:val="18"/>
          <w:szCs w:val="18"/>
        </w:rPr>
        <w:t>, Correctional Service of Canada, 2010.</w:t>
      </w:r>
    </w:p>
  </w:footnote>
  <w:footnote w:id="71">
    <w:p w14:paraId="7608BF5C" w14:textId="77777777" w:rsidR="005C74A1" w:rsidRPr="00F03CE1" w:rsidRDefault="005C74A1" w:rsidP="005C74A1">
      <w:pPr>
        <w:numPr>
          <w:ilvl w:val="0"/>
          <w:numId w:val="1"/>
        </w:numPr>
        <w:ind w:right="526"/>
        <w:rPr>
          <w:rFonts w:cs="Arial"/>
          <w:b/>
          <w:bCs/>
          <w:sz w:val="18"/>
          <w:szCs w:val="18"/>
        </w:rPr>
      </w:pPr>
      <w:r w:rsidRPr="00F03CE1">
        <w:rPr>
          <w:rStyle w:val="FootnoteReference"/>
          <w:rFonts w:cs="Arial"/>
          <w:sz w:val="18"/>
          <w:szCs w:val="18"/>
        </w:rPr>
        <w:footnoteRef/>
      </w:r>
      <w:r w:rsidRPr="00F03CE1">
        <w:rPr>
          <w:rFonts w:cs="Arial"/>
          <w:sz w:val="18"/>
          <w:szCs w:val="18"/>
        </w:rPr>
        <w:t xml:space="preserve"> See, e.g., HIV Legal Network, </w:t>
      </w:r>
      <w:r w:rsidRPr="00F03CE1">
        <w:rPr>
          <w:rFonts w:cs="Arial"/>
          <w:i/>
          <w:iCs/>
          <w:sz w:val="18"/>
          <w:szCs w:val="18"/>
        </w:rPr>
        <w:t>Points of Perspective: Research Report on the Federal Prison Needle Exchange Program in Canada</w:t>
      </w:r>
      <w:r w:rsidRPr="00F03CE1">
        <w:rPr>
          <w:rFonts w:cs="Arial"/>
          <w:sz w:val="18"/>
          <w:szCs w:val="18"/>
        </w:rPr>
        <w:t xml:space="preserve">, 2022 and E. van der Meulen, “‘It Goes on Everywhere’: Injection Drug Use in Canadian Federal Prisons,” </w:t>
      </w:r>
      <w:r w:rsidRPr="00F03CE1">
        <w:rPr>
          <w:rFonts w:cs="Arial"/>
          <w:i/>
          <w:sz w:val="18"/>
          <w:szCs w:val="18"/>
        </w:rPr>
        <w:t xml:space="preserve">Substance Use &amp; Misuse </w:t>
      </w:r>
      <w:r w:rsidRPr="00F03CE1">
        <w:rPr>
          <w:rFonts w:cs="Arial"/>
          <w:sz w:val="18"/>
          <w:szCs w:val="18"/>
        </w:rPr>
        <w:t>52, 7 (2017): 884–891.</w:t>
      </w:r>
    </w:p>
  </w:footnote>
  <w:footnote w:id="72">
    <w:p w14:paraId="48A2188B" w14:textId="77777777" w:rsidR="005C74A1" w:rsidRPr="00F03CE1" w:rsidRDefault="005C74A1" w:rsidP="005C74A1">
      <w:pPr>
        <w:pStyle w:val="FootnoteText"/>
        <w:contextualSpacing/>
        <w:rPr>
          <w:rFonts w:cs="Arial"/>
          <w:sz w:val="18"/>
          <w:szCs w:val="18"/>
        </w:rPr>
      </w:pPr>
      <w:r w:rsidRPr="00F03CE1">
        <w:rPr>
          <w:rStyle w:val="FootnoteReference"/>
          <w:rFonts w:eastAsia="Hiragino Kaku Gothic Pro W3" w:cs="Arial"/>
          <w:sz w:val="18"/>
          <w:szCs w:val="18"/>
        </w:rPr>
        <w:footnoteRef/>
      </w:r>
      <w:r w:rsidRPr="00F03CE1">
        <w:rPr>
          <w:rFonts w:cs="Arial"/>
          <w:sz w:val="18"/>
          <w:szCs w:val="18"/>
        </w:rPr>
        <w:t xml:space="preserve"> See, for example, Tracking Injustice, online: </w:t>
      </w:r>
      <w:hyperlink r:id="rId6" w:history="1">
        <w:r w:rsidRPr="00F03CE1">
          <w:rPr>
            <w:rStyle w:val="Hyperlink"/>
            <w:rFonts w:cs="Arial"/>
            <w:color w:val="auto"/>
            <w:sz w:val="18"/>
            <w:szCs w:val="18"/>
          </w:rPr>
          <w:t>https://trackinginjustice.ca/findings-and-analysis-deaths-in-custody/</w:t>
        </w:r>
      </w:hyperlink>
      <w:r w:rsidRPr="00F03CE1">
        <w:rPr>
          <w:rFonts w:cs="Arial"/>
          <w:sz w:val="18"/>
          <w:szCs w:val="18"/>
        </w:rPr>
        <w:t xml:space="preserve">;  L. </w:t>
      </w:r>
      <w:proofErr w:type="spellStart"/>
      <w:r w:rsidRPr="00F03CE1">
        <w:rPr>
          <w:rFonts w:cs="Arial"/>
          <w:sz w:val="18"/>
          <w:szCs w:val="18"/>
        </w:rPr>
        <w:t>McKendy</w:t>
      </w:r>
      <w:proofErr w:type="spellEnd"/>
      <w:r w:rsidRPr="00F03CE1">
        <w:rPr>
          <w:rFonts w:cs="Arial"/>
          <w:sz w:val="18"/>
          <w:szCs w:val="18"/>
        </w:rPr>
        <w:t xml:space="preserve"> et al., “Understanding overdose incidents in Canadian federal custody,” </w:t>
      </w:r>
      <w:r w:rsidRPr="00F03CE1">
        <w:rPr>
          <w:rFonts w:cs="Arial"/>
          <w:i/>
          <w:iCs/>
          <w:sz w:val="18"/>
          <w:szCs w:val="18"/>
        </w:rPr>
        <w:t>International Journal of Drug Policy</w:t>
      </w:r>
      <w:r w:rsidRPr="00F03CE1">
        <w:rPr>
          <w:rFonts w:cs="Arial"/>
          <w:sz w:val="18"/>
          <w:szCs w:val="18"/>
        </w:rPr>
        <w:t xml:space="preserve"> 92 (2021); A. Butler et al., “Burden of opioid toxicity death in the fentanyl-dominant era for people who experience incarceration in Ontario, Canada, 2015-2020: a whole population retrospective cohort study,” </w:t>
      </w:r>
      <w:r w:rsidRPr="00F03CE1">
        <w:rPr>
          <w:rFonts w:cs="Arial"/>
          <w:i/>
          <w:iCs/>
          <w:sz w:val="18"/>
          <w:szCs w:val="18"/>
        </w:rPr>
        <w:t>BMJ Open</w:t>
      </w:r>
      <w:r w:rsidRPr="00F03CE1">
        <w:rPr>
          <w:rFonts w:cs="Arial"/>
          <w:sz w:val="18"/>
          <w:szCs w:val="18"/>
        </w:rPr>
        <w:t xml:space="preserve"> 13(5) (2023); and L. Button et al., “Opioid-related deaths in Ontario correctional facilities and penitentiaries (2009-2019),” </w:t>
      </w:r>
      <w:r w:rsidRPr="00F03CE1">
        <w:rPr>
          <w:rFonts w:cs="Arial"/>
          <w:i/>
          <w:iCs/>
          <w:sz w:val="18"/>
          <w:szCs w:val="18"/>
        </w:rPr>
        <w:t xml:space="preserve">Forensic Sci Med </w:t>
      </w:r>
      <w:proofErr w:type="spellStart"/>
      <w:r w:rsidRPr="00F03CE1">
        <w:rPr>
          <w:rFonts w:cs="Arial"/>
          <w:i/>
          <w:iCs/>
          <w:sz w:val="18"/>
          <w:szCs w:val="18"/>
        </w:rPr>
        <w:t>Pathol</w:t>
      </w:r>
      <w:proofErr w:type="spellEnd"/>
      <w:r w:rsidRPr="00F03CE1">
        <w:rPr>
          <w:rFonts w:cs="Arial"/>
          <w:sz w:val="18"/>
          <w:szCs w:val="18"/>
        </w:rPr>
        <w:t xml:space="preserve"> 19(3) (2023): 357-363.</w:t>
      </w:r>
    </w:p>
  </w:footnote>
  <w:footnote w:id="73">
    <w:p w14:paraId="0D946A89" w14:textId="77777777" w:rsidR="005C74A1" w:rsidRPr="00F03CE1" w:rsidRDefault="005C74A1" w:rsidP="005C74A1">
      <w:pPr>
        <w:pStyle w:val="FootnoteText"/>
        <w:rPr>
          <w:rFonts w:cs="Arial"/>
          <w:sz w:val="18"/>
          <w:szCs w:val="18"/>
        </w:rPr>
      </w:pPr>
      <w:r w:rsidRPr="00F03CE1">
        <w:rPr>
          <w:rStyle w:val="FootnoteReference"/>
          <w:rFonts w:eastAsia="Hiragino Kaku Gothic Pro W3" w:cs="Arial"/>
          <w:sz w:val="18"/>
          <w:szCs w:val="18"/>
        </w:rPr>
        <w:footnoteRef/>
      </w:r>
      <w:r w:rsidRPr="00F03CE1">
        <w:rPr>
          <w:rFonts w:cs="Arial"/>
          <w:sz w:val="18"/>
          <w:szCs w:val="18"/>
        </w:rPr>
        <w:t xml:space="preserve"> See, e.g., M.W. Tyndall et al., “Intensive injection cocaine use as the primary risk factor in the Vancouver HIV–1 epidemic,” </w:t>
      </w:r>
      <w:r w:rsidRPr="00F03CE1">
        <w:rPr>
          <w:rFonts w:cs="Arial"/>
          <w:i/>
          <w:sz w:val="18"/>
          <w:szCs w:val="18"/>
        </w:rPr>
        <w:t>AIDS</w:t>
      </w:r>
      <w:r w:rsidRPr="00F03CE1">
        <w:rPr>
          <w:rFonts w:cs="Arial"/>
          <w:sz w:val="18"/>
          <w:szCs w:val="18"/>
        </w:rPr>
        <w:t xml:space="preserve"> 17,6 (2003): 887–893; and H. Hagan, “The relevance of attributable risk measures to HIV prevention planning,” </w:t>
      </w:r>
      <w:r w:rsidRPr="00F03CE1">
        <w:rPr>
          <w:rFonts w:cs="Arial"/>
          <w:i/>
          <w:sz w:val="18"/>
          <w:szCs w:val="18"/>
        </w:rPr>
        <w:t>AIDS</w:t>
      </w:r>
      <w:r w:rsidRPr="00F03CE1">
        <w:rPr>
          <w:rFonts w:cs="Arial"/>
          <w:sz w:val="18"/>
          <w:szCs w:val="18"/>
        </w:rPr>
        <w:t xml:space="preserve"> 17,6 (2003): 911–913.</w:t>
      </w:r>
    </w:p>
  </w:footnote>
  <w:footnote w:id="74">
    <w:p w14:paraId="11C7BBAD" w14:textId="77777777" w:rsidR="005C74A1" w:rsidRPr="00F03CE1" w:rsidRDefault="005C74A1" w:rsidP="005C74A1">
      <w:pPr>
        <w:pStyle w:val="FootnoteText"/>
        <w:rPr>
          <w:rFonts w:cs="Arial"/>
          <w:sz w:val="18"/>
          <w:szCs w:val="18"/>
        </w:rPr>
      </w:pPr>
      <w:r w:rsidRPr="00F03CE1">
        <w:rPr>
          <w:rStyle w:val="FootnoteReference"/>
          <w:rFonts w:eastAsia="Hiragino Kaku Gothic Pro W3" w:cs="Arial"/>
          <w:sz w:val="18"/>
          <w:szCs w:val="18"/>
        </w:rPr>
        <w:footnoteRef/>
      </w:r>
      <w:r w:rsidRPr="00F03CE1">
        <w:rPr>
          <w:rFonts w:cs="Arial"/>
          <w:sz w:val="18"/>
          <w:szCs w:val="18"/>
        </w:rPr>
        <w:t xml:space="preserve"> F. Kouyoumdjian et al, “Health status of prisoners in Canada: Narrative review,” </w:t>
      </w:r>
      <w:r w:rsidRPr="00F03CE1">
        <w:rPr>
          <w:rFonts w:cs="Arial"/>
          <w:i/>
          <w:sz w:val="18"/>
          <w:szCs w:val="18"/>
        </w:rPr>
        <w:t>Canadian Family Physician</w:t>
      </w:r>
      <w:r w:rsidRPr="00F03CE1">
        <w:rPr>
          <w:rFonts w:cs="Arial"/>
          <w:sz w:val="18"/>
          <w:szCs w:val="18"/>
        </w:rPr>
        <w:t xml:space="preserve"> 62:3 (March 2016): 215-222.</w:t>
      </w:r>
    </w:p>
  </w:footnote>
  <w:footnote w:id="75">
    <w:p w14:paraId="36778E46" w14:textId="77777777" w:rsidR="005C74A1" w:rsidRPr="00F03CE1" w:rsidRDefault="005C74A1" w:rsidP="005C74A1">
      <w:pPr>
        <w:pStyle w:val="FootnoteText"/>
        <w:rPr>
          <w:rFonts w:cs="Arial"/>
          <w:sz w:val="18"/>
          <w:szCs w:val="18"/>
        </w:rPr>
      </w:pPr>
      <w:r w:rsidRPr="00F03CE1">
        <w:rPr>
          <w:rStyle w:val="FootnoteReference"/>
          <w:rFonts w:cs="Arial"/>
          <w:sz w:val="18"/>
          <w:szCs w:val="18"/>
        </w:rPr>
        <w:footnoteRef/>
      </w:r>
      <w:r w:rsidRPr="00F03CE1">
        <w:rPr>
          <w:rFonts w:cs="Arial"/>
          <w:sz w:val="18"/>
          <w:szCs w:val="18"/>
        </w:rPr>
        <w:t xml:space="preserve"> Correctional Service Canada, </w:t>
      </w:r>
      <w:r w:rsidRPr="00F03CE1">
        <w:rPr>
          <w:rFonts w:cs="Arial"/>
          <w:i/>
          <w:iCs/>
          <w:sz w:val="18"/>
          <w:szCs w:val="18"/>
        </w:rPr>
        <w:t>Prevalence rates of infectious diseases among offenders in federal custody</w:t>
      </w:r>
      <w:r w:rsidRPr="00F03CE1">
        <w:rPr>
          <w:rFonts w:cs="Arial"/>
          <w:sz w:val="18"/>
          <w:szCs w:val="18"/>
        </w:rPr>
        <w:t xml:space="preserve">, 2023. </w:t>
      </w:r>
    </w:p>
  </w:footnote>
  <w:footnote w:id="76">
    <w:p w14:paraId="2399F6A3" w14:textId="77777777" w:rsidR="005C74A1" w:rsidRPr="00F03CE1" w:rsidRDefault="005C74A1" w:rsidP="005C74A1">
      <w:pPr>
        <w:pStyle w:val="FootnoteText"/>
        <w:rPr>
          <w:rFonts w:cs="Arial"/>
          <w:sz w:val="18"/>
          <w:szCs w:val="18"/>
          <w:lang w:val="fr-FR"/>
        </w:rPr>
      </w:pPr>
      <w:r w:rsidRPr="00F03CE1">
        <w:rPr>
          <w:rStyle w:val="FootnoteReference"/>
          <w:rFonts w:cs="Arial"/>
          <w:sz w:val="18"/>
          <w:szCs w:val="18"/>
        </w:rPr>
        <w:footnoteRef/>
      </w:r>
      <w:r w:rsidRPr="00F03CE1">
        <w:rPr>
          <w:rFonts w:cs="Arial"/>
          <w:sz w:val="18"/>
          <w:szCs w:val="18"/>
          <w:lang w:val="fr-FR"/>
        </w:rPr>
        <w:t xml:space="preserve"> D. Zakaria et al., </w:t>
      </w:r>
      <w:r w:rsidRPr="00F03CE1">
        <w:rPr>
          <w:rFonts w:cs="Arial"/>
          <w:iCs/>
          <w:sz w:val="18"/>
          <w:szCs w:val="18"/>
          <w:lang w:val="fr-FR"/>
        </w:rPr>
        <w:t>supra</w:t>
      </w:r>
      <w:r w:rsidRPr="00F03CE1">
        <w:rPr>
          <w:rFonts w:cs="Arial"/>
          <w:sz w:val="18"/>
          <w:szCs w:val="18"/>
          <w:lang w:val="fr-FR"/>
        </w:rPr>
        <w:t>.</w:t>
      </w:r>
    </w:p>
  </w:footnote>
  <w:footnote w:id="77">
    <w:p w14:paraId="64979192" w14:textId="6835F99B" w:rsidR="005C74A1" w:rsidRPr="00F03CE1" w:rsidRDefault="005C74A1" w:rsidP="005C74A1">
      <w:pPr>
        <w:pStyle w:val="FootnoteText"/>
        <w:rPr>
          <w:rFonts w:cs="Arial"/>
          <w:sz w:val="18"/>
          <w:szCs w:val="18"/>
        </w:rPr>
      </w:pPr>
      <w:r w:rsidRPr="00F03CE1">
        <w:rPr>
          <w:rStyle w:val="FootnoteReference"/>
          <w:rFonts w:eastAsia="Hiragino Kaku Gothic Pro W3" w:cs="Arial"/>
          <w:sz w:val="18"/>
          <w:szCs w:val="18"/>
        </w:rPr>
        <w:footnoteRef/>
      </w:r>
      <w:r w:rsidRPr="00F03CE1">
        <w:rPr>
          <w:rFonts w:cs="Arial"/>
          <w:sz w:val="18"/>
          <w:szCs w:val="18"/>
        </w:rPr>
        <w:t xml:space="preserve"> R</w:t>
      </w:r>
      <w:r w:rsidR="00741B5B" w:rsidRPr="00F03CE1">
        <w:rPr>
          <w:rFonts w:cs="Arial"/>
          <w:sz w:val="18"/>
          <w:szCs w:val="18"/>
        </w:rPr>
        <w:t>.</w:t>
      </w:r>
      <w:r w:rsidRPr="00F03CE1">
        <w:rPr>
          <w:rFonts w:cs="Arial"/>
          <w:sz w:val="18"/>
          <w:szCs w:val="18"/>
        </w:rPr>
        <w:t xml:space="preserve"> Lines, “From equivalence of standards to equivalence of objectives: The entitlement of prisoners to healthcare standards higher than those outside prisons,” </w:t>
      </w:r>
      <w:r w:rsidRPr="00F03CE1">
        <w:rPr>
          <w:rFonts w:cs="Arial"/>
          <w:i/>
          <w:iCs/>
          <w:sz w:val="18"/>
          <w:szCs w:val="18"/>
        </w:rPr>
        <w:t>International Journal for Prisoner Health</w:t>
      </w:r>
      <w:r w:rsidRPr="00F03CE1">
        <w:rPr>
          <w:rFonts w:cs="Arial"/>
          <w:sz w:val="18"/>
          <w:szCs w:val="18"/>
        </w:rPr>
        <w:t xml:space="preserve"> 2(4) (2006): 269-280.</w:t>
      </w:r>
    </w:p>
  </w:footnote>
  <w:footnote w:id="78">
    <w:p w14:paraId="25B87D62" w14:textId="77777777" w:rsidR="005C74A1" w:rsidRPr="00F03CE1" w:rsidRDefault="005C74A1" w:rsidP="005C74A1">
      <w:pPr>
        <w:pStyle w:val="FootnoteText"/>
        <w:rPr>
          <w:rFonts w:cs="Arial"/>
          <w:sz w:val="18"/>
          <w:szCs w:val="18"/>
        </w:rPr>
      </w:pPr>
      <w:r w:rsidRPr="00F03CE1">
        <w:rPr>
          <w:rStyle w:val="FootnoteReference"/>
          <w:rFonts w:cs="Arial"/>
          <w:sz w:val="18"/>
          <w:szCs w:val="18"/>
        </w:rPr>
        <w:footnoteRef/>
      </w:r>
      <w:r w:rsidRPr="00F03CE1">
        <w:rPr>
          <w:rFonts w:cs="Arial"/>
          <w:sz w:val="18"/>
          <w:szCs w:val="18"/>
        </w:rPr>
        <w:t xml:space="preserve"> Rule 24 of the </w:t>
      </w:r>
      <w:r w:rsidRPr="00F03CE1">
        <w:rPr>
          <w:rFonts w:cs="Arial"/>
          <w:i/>
          <w:iCs/>
          <w:sz w:val="18"/>
          <w:szCs w:val="18"/>
        </w:rPr>
        <w:t>United Nations Standard Minimum Rules for the Treatment of Prisoners</w:t>
      </w:r>
      <w:r w:rsidRPr="00F03CE1">
        <w:rPr>
          <w:rFonts w:cs="Arial"/>
          <w:sz w:val="18"/>
          <w:szCs w:val="18"/>
        </w:rPr>
        <w:t>, UN Doc. A/RES/70/175, December 17, 2015.</w:t>
      </w:r>
    </w:p>
  </w:footnote>
  <w:footnote w:id="79">
    <w:p w14:paraId="31AEEF4B" w14:textId="77777777" w:rsidR="005C74A1" w:rsidRPr="00F03CE1" w:rsidRDefault="005C74A1" w:rsidP="005C74A1">
      <w:pPr>
        <w:pStyle w:val="FootnoteText"/>
        <w:rPr>
          <w:rFonts w:cs="Arial"/>
          <w:sz w:val="18"/>
          <w:szCs w:val="18"/>
        </w:rPr>
      </w:pPr>
      <w:r w:rsidRPr="00F03CE1">
        <w:rPr>
          <w:rStyle w:val="FootnoteReference"/>
          <w:rFonts w:cs="Arial"/>
          <w:sz w:val="18"/>
          <w:szCs w:val="18"/>
        </w:rPr>
        <w:footnoteRef/>
      </w:r>
      <w:r w:rsidRPr="00F03CE1">
        <w:rPr>
          <w:rFonts w:cs="Arial"/>
          <w:sz w:val="18"/>
          <w:szCs w:val="18"/>
        </w:rPr>
        <w:t xml:space="preserve"> Rule</w:t>
      </w:r>
      <w:r w:rsidRPr="00F03CE1">
        <w:rPr>
          <w:rFonts w:cs="Arial"/>
          <w:spacing w:val="-4"/>
          <w:sz w:val="18"/>
          <w:szCs w:val="18"/>
        </w:rPr>
        <w:t xml:space="preserve"> </w:t>
      </w:r>
      <w:r w:rsidRPr="00F03CE1">
        <w:rPr>
          <w:rFonts w:cs="Arial"/>
          <w:sz w:val="18"/>
          <w:szCs w:val="18"/>
        </w:rPr>
        <w:t>10</w:t>
      </w:r>
      <w:r w:rsidRPr="00F03CE1">
        <w:rPr>
          <w:rFonts w:cs="Arial"/>
          <w:spacing w:val="-4"/>
          <w:sz w:val="18"/>
          <w:szCs w:val="18"/>
        </w:rPr>
        <w:t xml:space="preserve"> </w:t>
      </w:r>
      <w:r w:rsidRPr="00F03CE1">
        <w:rPr>
          <w:rFonts w:cs="Arial"/>
          <w:sz w:val="18"/>
          <w:szCs w:val="18"/>
        </w:rPr>
        <w:t>of</w:t>
      </w:r>
      <w:r w:rsidRPr="00F03CE1">
        <w:rPr>
          <w:rFonts w:cs="Arial"/>
          <w:spacing w:val="-3"/>
          <w:sz w:val="18"/>
          <w:szCs w:val="18"/>
        </w:rPr>
        <w:t xml:space="preserve"> </w:t>
      </w:r>
      <w:r w:rsidRPr="00F03CE1">
        <w:rPr>
          <w:rFonts w:cs="Arial"/>
          <w:i/>
          <w:sz w:val="18"/>
          <w:szCs w:val="18"/>
        </w:rPr>
        <w:t>United</w:t>
      </w:r>
      <w:r w:rsidRPr="00F03CE1">
        <w:rPr>
          <w:rFonts w:cs="Arial"/>
          <w:i/>
          <w:spacing w:val="-3"/>
          <w:sz w:val="18"/>
          <w:szCs w:val="18"/>
        </w:rPr>
        <w:t xml:space="preserve"> </w:t>
      </w:r>
      <w:r w:rsidRPr="00F03CE1">
        <w:rPr>
          <w:rFonts w:cs="Arial"/>
          <w:i/>
          <w:sz w:val="18"/>
          <w:szCs w:val="18"/>
        </w:rPr>
        <w:t>Nations</w:t>
      </w:r>
      <w:r w:rsidRPr="00F03CE1">
        <w:rPr>
          <w:rFonts w:cs="Arial"/>
          <w:i/>
          <w:spacing w:val="-3"/>
          <w:sz w:val="18"/>
          <w:szCs w:val="18"/>
        </w:rPr>
        <w:t xml:space="preserve"> </w:t>
      </w:r>
      <w:r w:rsidRPr="00F03CE1">
        <w:rPr>
          <w:rFonts w:cs="Arial"/>
          <w:i/>
          <w:sz w:val="18"/>
          <w:szCs w:val="18"/>
        </w:rPr>
        <w:t>Rules</w:t>
      </w:r>
      <w:r w:rsidRPr="00F03CE1">
        <w:rPr>
          <w:rFonts w:cs="Arial"/>
          <w:i/>
          <w:spacing w:val="-3"/>
          <w:sz w:val="18"/>
          <w:szCs w:val="18"/>
        </w:rPr>
        <w:t xml:space="preserve"> </w:t>
      </w:r>
      <w:r w:rsidRPr="00F03CE1">
        <w:rPr>
          <w:rFonts w:cs="Arial"/>
          <w:i/>
          <w:sz w:val="18"/>
          <w:szCs w:val="18"/>
        </w:rPr>
        <w:t>for</w:t>
      </w:r>
      <w:r w:rsidRPr="00F03CE1">
        <w:rPr>
          <w:rFonts w:cs="Arial"/>
          <w:i/>
          <w:spacing w:val="-3"/>
          <w:sz w:val="18"/>
          <w:szCs w:val="18"/>
        </w:rPr>
        <w:t xml:space="preserve"> </w:t>
      </w:r>
      <w:r w:rsidRPr="00F03CE1">
        <w:rPr>
          <w:rFonts w:cs="Arial"/>
          <w:i/>
          <w:sz w:val="18"/>
          <w:szCs w:val="18"/>
        </w:rPr>
        <w:t>the</w:t>
      </w:r>
      <w:r w:rsidRPr="00F03CE1">
        <w:rPr>
          <w:rFonts w:cs="Arial"/>
          <w:i/>
          <w:spacing w:val="-3"/>
          <w:sz w:val="18"/>
          <w:szCs w:val="18"/>
        </w:rPr>
        <w:t xml:space="preserve"> </w:t>
      </w:r>
      <w:r w:rsidRPr="00F03CE1">
        <w:rPr>
          <w:rFonts w:cs="Arial"/>
          <w:i/>
          <w:sz w:val="18"/>
          <w:szCs w:val="18"/>
        </w:rPr>
        <w:t>Treatment</w:t>
      </w:r>
      <w:r w:rsidRPr="00F03CE1">
        <w:rPr>
          <w:rFonts w:cs="Arial"/>
          <w:i/>
          <w:spacing w:val="-3"/>
          <w:sz w:val="18"/>
          <w:szCs w:val="18"/>
        </w:rPr>
        <w:t xml:space="preserve"> </w:t>
      </w:r>
      <w:r w:rsidRPr="00F03CE1">
        <w:rPr>
          <w:rFonts w:cs="Arial"/>
          <w:i/>
          <w:sz w:val="18"/>
          <w:szCs w:val="18"/>
        </w:rPr>
        <w:t>of</w:t>
      </w:r>
      <w:r w:rsidRPr="00F03CE1">
        <w:rPr>
          <w:rFonts w:cs="Arial"/>
          <w:i/>
          <w:spacing w:val="-3"/>
          <w:sz w:val="18"/>
          <w:szCs w:val="18"/>
        </w:rPr>
        <w:t xml:space="preserve"> </w:t>
      </w:r>
      <w:r w:rsidRPr="00F03CE1">
        <w:rPr>
          <w:rFonts w:cs="Arial"/>
          <w:i/>
          <w:sz w:val="18"/>
          <w:szCs w:val="18"/>
        </w:rPr>
        <w:t>Women</w:t>
      </w:r>
      <w:r w:rsidRPr="00F03CE1">
        <w:rPr>
          <w:rFonts w:cs="Arial"/>
          <w:i/>
          <w:spacing w:val="-4"/>
          <w:sz w:val="18"/>
          <w:szCs w:val="18"/>
        </w:rPr>
        <w:t xml:space="preserve"> </w:t>
      </w:r>
      <w:r w:rsidRPr="00F03CE1">
        <w:rPr>
          <w:rFonts w:cs="Arial"/>
          <w:i/>
          <w:sz w:val="18"/>
          <w:szCs w:val="18"/>
        </w:rPr>
        <w:t>Prisoners</w:t>
      </w:r>
      <w:r w:rsidRPr="00F03CE1">
        <w:rPr>
          <w:rFonts w:cs="Arial"/>
          <w:i/>
          <w:spacing w:val="-3"/>
          <w:sz w:val="18"/>
          <w:szCs w:val="18"/>
        </w:rPr>
        <w:t xml:space="preserve"> </w:t>
      </w:r>
      <w:r w:rsidRPr="00F03CE1">
        <w:rPr>
          <w:rFonts w:cs="Arial"/>
          <w:i/>
          <w:sz w:val="18"/>
          <w:szCs w:val="18"/>
        </w:rPr>
        <w:t>and</w:t>
      </w:r>
      <w:r w:rsidRPr="00F03CE1">
        <w:rPr>
          <w:rFonts w:cs="Arial"/>
          <w:i/>
          <w:spacing w:val="-3"/>
          <w:sz w:val="18"/>
          <w:szCs w:val="18"/>
        </w:rPr>
        <w:t xml:space="preserve"> </w:t>
      </w:r>
      <w:r w:rsidRPr="00F03CE1">
        <w:rPr>
          <w:rFonts w:cs="Arial"/>
          <w:i/>
          <w:sz w:val="18"/>
          <w:szCs w:val="18"/>
        </w:rPr>
        <w:t>Non-custodial</w:t>
      </w:r>
      <w:r w:rsidRPr="00F03CE1">
        <w:rPr>
          <w:rFonts w:cs="Arial"/>
          <w:i/>
          <w:spacing w:val="-3"/>
          <w:sz w:val="18"/>
          <w:szCs w:val="18"/>
        </w:rPr>
        <w:t xml:space="preserve"> </w:t>
      </w:r>
      <w:r w:rsidRPr="00F03CE1">
        <w:rPr>
          <w:rFonts w:cs="Arial"/>
          <w:i/>
          <w:sz w:val="18"/>
          <w:szCs w:val="18"/>
        </w:rPr>
        <w:t>Measures</w:t>
      </w:r>
      <w:r w:rsidRPr="00F03CE1">
        <w:rPr>
          <w:rFonts w:cs="Arial"/>
          <w:i/>
          <w:spacing w:val="-3"/>
          <w:sz w:val="18"/>
          <w:szCs w:val="18"/>
        </w:rPr>
        <w:t xml:space="preserve"> </w:t>
      </w:r>
      <w:r w:rsidRPr="00F03CE1">
        <w:rPr>
          <w:rFonts w:cs="Arial"/>
          <w:i/>
          <w:sz w:val="18"/>
          <w:szCs w:val="18"/>
        </w:rPr>
        <w:t xml:space="preserve">for </w:t>
      </w:r>
      <w:bookmarkStart w:id="7" w:name="_bookmark4"/>
      <w:bookmarkEnd w:id="7"/>
      <w:r w:rsidRPr="00F03CE1">
        <w:rPr>
          <w:rFonts w:cs="Arial"/>
          <w:i/>
          <w:sz w:val="18"/>
          <w:szCs w:val="18"/>
        </w:rPr>
        <w:t>Women Offenders</w:t>
      </w:r>
      <w:r w:rsidRPr="00F03CE1">
        <w:rPr>
          <w:rFonts w:cs="Arial"/>
          <w:sz w:val="18"/>
          <w:szCs w:val="18"/>
        </w:rPr>
        <w:t>, UN Doc. A/RES/65/229, March 16, 2011.</w:t>
      </w:r>
    </w:p>
  </w:footnote>
  <w:footnote w:id="80">
    <w:p w14:paraId="1F1EF028" w14:textId="77777777" w:rsidR="005C74A1" w:rsidRPr="00F03CE1" w:rsidRDefault="005C74A1" w:rsidP="005C74A1">
      <w:pPr>
        <w:pStyle w:val="FootnoteText"/>
        <w:rPr>
          <w:rFonts w:cs="Arial"/>
          <w:sz w:val="18"/>
          <w:szCs w:val="18"/>
        </w:rPr>
      </w:pPr>
      <w:r w:rsidRPr="00F03CE1">
        <w:rPr>
          <w:rStyle w:val="FootnoteReference"/>
          <w:rFonts w:cs="Arial"/>
          <w:sz w:val="18"/>
          <w:szCs w:val="18"/>
        </w:rPr>
        <w:footnoteRef/>
      </w:r>
      <w:r w:rsidRPr="00F03CE1">
        <w:rPr>
          <w:rFonts w:cs="Arial"/>
          <w:sz w:val="18"/>
          <w:szCs w:val="18"/>
        </w:rPr>
        <w:t xml:space="preserve"> UNODC, ILO, UNDP, WHO and UNAIDS, </w:t>
      </w:r>
      <w:r w:rsidRPr="00F03CE1">
        <w:rPr>
          <w:rFonts w:cs="Arial"/>
          <w:i/>
          <w:iCs/>
          <w:sz w:val="18"/>
          <w:szCs w:val="18"/>
        </w:rPr>
        <w:t>Policy brief: HIV prevention, treatment and care in prisons and other closed settings: a comprehensive package of interventions</w:t>
      </w:r>
      <w:r w:rsidRPr="00F03CE1">
        <w:rPr>
          <w:rFonts w:cs="Arial"/>
          <w:sz w:val="18"/>
          <w:szCs w:val="18"/>
        </w:rPr>
        <w:t xml:space="preserve">, 2013; OHCHR and UNAIDS, </w:t>
      </w:r>
      <w:r w:rsidRPr="00F03CE1">
        <w:rPr>
          <w:rFonts w:cs="Arial"/>
          <w:i/>
          <w:iCs/>
          <w:sz w:val="18"/>
          <w:szCs w:val="18"/>
        </w:rPr>
        <w:t>International Guidelines on HIV/AIDS and Human Rights</w:t>
      </w:r>
      <w:r w:rsidRPr="00F03CE1">
        <w:rPr>
          <w:rFonts w:cs="Arial"/>
          <w:sz w:val="18"/>
          <w:szCs w:val="18"/>
        </w:rPr>
        <w:t xml:space="preserve">, Consolidated Version, UN Doc HR/PUB/06/9, 2006, Guideline 4, para. 21(e); UN Special Rapporteur on torture and other cruel, inhuman or degrading treatment or punishment, </w:t>
      </w:r>
      <w:r w:rsidRPr="00F03CE1">
        <w:rPr>
          <w:rFonts w:cs="Arial"/>
          <w:i/>
          <w:iCs/>
          <w:sz w:val="18"/>
          <w:szCs w:val="18"/>
        </w:rPr>
        <w:t>Report of the Special Rapporteur on torture and other cruel, inhuman or degrading treatment or punishment</w:t>
      </w:r>
      <w:r w:rsidRPr="00F03CE1">
        <w:rPr>
          <w:rFonts w:cs="Arial"/>
          <w:sz w:val="18"/>
          <w:szCs w:val="18"/>
        </w:rPr>
        <w:t xml:space="preserve"> </w:t>
      </w:r>
      <w:r w:rsidRPr="00F03CE1">
        <w:rPr>
          <w:rFonts w:cs="Arial"/>
          <w:i/>
          <w:iCs/>
          <w:sz w:val="18"/>
          <w:szCs w:val="18"/>
        </w:rPr>
        <w:t>Manfred Nowak</w:t>
      </w:r>
      <w:r w:rsidRPr="00F03CE1">
        <w:rPr>
          <w:rFonts w:cs="Arial"/>
          <w:sz w:val="18"/>
          <w:szCs w:val="18"/>
        </w:rPr>
        <w:t xml:space="preserve">, UN Doc A/HRC/10/44, January 14, 2009, para. 74; UN Special Rapporteur on torture and other cruel, inhuman or degrading treatment or punishment, </w:t>
      </w:r>
      <w:r w:rsidRPr="00F03CE1">
        <w:rPr>
          <w:rFonts w:cs="Arial"/>
          <w:i/>
          <w:iCs/>
          <w:sz w:val="18"/>
          <w:szCs w:val="18"/>
        </w:rPr>
        <w:t>Report of the Special Rapporteur on torture and other cruel, inhuman or degrading treatment or punishment Juan E. Méndez</w:t>
      </w:r>
      <w:r w:rsidRPr="00F03CE1">
        <w:rPr>
          <w:rFonts w:cs="Arial"/>
          <w:sz w:val="18"/>
          <w:szCs w:val="18"/>
        </w:rPr>
        <w:t>, UN Doc A/HRC/22/53, February 1, 2013.</w:t>
      </w:r>
    </w:p>
  </w:footnote>
  <w:footnote w:id="81">
    <w:p w14:paraId="00EFF531" w14:textId="77777777" w:rsidR="005C74A1" w:rsidRPr="00F03CE1" w:rsidRDefault="005C74A1" w:rsidP="005C74A1">
      <w:pPr>
        <w:pStyle w:val="FootnoteText"/>
        <w:rPr>
          <w:rFonts w:cs="Arial"/>
          <w:sz w:val="18"/>
          <w:szCs w:val="18"/>
          <w:lang w:val="en-US"/>
        </w:rPr>
      </w:pPr>
      <w:r w:rsidRPr="00F03CE1">
        <w:rPr>
          <w:rStyle w:val="FootnoteReference"/>
          <w:rFonts w:cs="Arial"/>
          <w:sz w:val="18"/>
          <w:szCs w:val="18"/>
        </w:rPr>
        <w:footnoteRef/>
      </w:r>
      <w:r w:rsidRPr="00F03CE1">
        <w:rPr>
          <w:rFonts w:cs="Arial"/>
          <w:sz w:val="18"/>
          <w:szCs w:val="18"/>
        </w:rPr>
        <w:t xml:space="preserve"> CEDAW Committee Concluding observations, supra.</w:t>
      </w:r>
    </w:p>
  </w:footnote>
  <w:footnote w:id="82">
    <w:p w14:paraId="109E174B" w14:textId="77777777" w:rsidR="005C74A1" w:rsidRPr="00053E3C" w:rsidRDefault="005C74A1" w:rsidP="005C74A1">
      <w:pPr>
        <w:pStyle w:val="FootnoteText"/>
        <w:rPr>
          <w:sz w:val="18"/>
          <w:szCs w:val="18"/>
        </w:rPr>
      </w:pPr>
      <w:r w:rsidRPr="00053E3C">
        <w:rPr>
          <w:rStyle w:val="FootnoteReference"/>
          <w:sz w:val="18"/>
          <w:szCs w:val="18"/>
        </w:rPr>
        <w:footnoteRef/>
      </w:r>
      <w:r w:rsidRPr="00053E3C">
        <w:rPr>
          <w:sz w:val="18"/>
          <w:szCs w:val="18"/>
        </w:rPr>
        <w:t xml:space="preserve"> </w:t>
      </w:r>
      <w:r w:rsidRPr="00F03CE1">
        <w:rPr>
          <w:sz w:val="18"/>
          <w:szCs w:val="18"/>
        </w:rPr>
        <w:t>WHO,</w:t>
      </w:r>
      <w:r w:rsidRPr="00F03CE1">
        <w:rPr>
          <w:spacing w:val="-2"/>
          <w:sz w:val="18"/>
          <w:szCs w:val="18"/>
        </w:rPr>
        <w:t xml:space="preserve"> </w:t>
      </w:r>
      <w:r w:rsidRPr="00F03CE1">
        <w:rPr>
          <w:i/>
          <w:sz w:val="18"/>
          <w:szCs w:val="18"/>
        </w:rPr>
        <w:t>Guidelines</w:t>
      </w:r>
      <w:r w:rsidRPr="00F03CE1">
        <w:rPr>
          <w:i/>
          <w:spacing w:val="-4"/>
          <w:sz w:val="18"/>
          <w:szCs w:val="18"/>
        </w:rPr>
        <w:t xml:space="preserve"> </w:t>
      </w:r>
      <w:r w:rsidRPr="00F03CE1">
        <w:rPr>
          <w:i/>
          <w:sz w:val="18"/>
          <w:szCs w:val="18"/>
        </w:rPr>
        <w:t>for</w:t>
      </w:r>
      <w:r w:rsidRPr="00F03CE1">
        <w:rPr>
          <w:i/>
          <w:spacing w:val="-4"/>
          <w:sz w:val="18"/>
          <w:szCs w:val="18"/>
        </w:rPr>
        <w:t xml:space="preserve"> </w:t>
      </w:r>
      <w:r w:rsidRPr="00F03CE1">
        <w:rPr>
          <w:i/>
          <w:sz w:val="18"/>
          <w:szCs w:val="18"/>
        </w:rPr>
        <w:t>the</w:t>
      </w:r>
      <w:r w:rsidRPr="00F03CE1">
        <w:rPr>
          <w:i/>
          <w:spacing w:val="-5"/>
          <w:sz w:val="18"/>
          <w:szCs w:val="18"/>
        </w:rPr>
        <w:t xml:space="preserve"> </w:t>
      </w:r>
      <w:r w:rsidRPr="00F03CE1">
        <w:rPr>
          <w:i/>
          <w:sz w:val="18"/>
          <w:szCs w:val="18"/>
        </w:rPr>
        <w:t>Psychosocially</w:t>
      </w:r>
      <w:r w:rsidRPr="00F03CE1">
        <w:rPr>
          <w:i/>
          <w:spacing w:val="-4"/>
          <w:sz w:val="18"/>
          <w:szCs w:val="18"/>
        </w:rPr>
        <w:t xml:space="preserve"> </w:t>
      </w:r>
      <w:r w:rsidRPr="00F03CE1">
        <w:rPr>
          <w:i/>
          <w:sz w:val="18"/>
          <w:szCs w:val="18"/>
        </w:rPr>
        <w:t>Assisted</w:t>
      </w:r>
      <w:r w:rsidRPr="00F03CE1">
        <w:rPr>
          <w:i/>
          <w:spacing w:val="-5"/>
          <w:sz w:val="18"/>
          <w:szCs w:val="18"/>
        </w:rPr>
        <w:t xml:space="preserve"> </w:t>
      </w:r>
      <w:r w:rsidRPr="00F03CE1">
        <w:rPr>
          <w:i/>
          <w:sz w:val="18"/>
          <w:szCs w:val="18"/>
        </w:rPr>
        <w:t>Pharmacological</w:t>
      </w:r>
      <w:r w:rsidRPr="00F03CE1">
        <w:rPr>
          <w:i/>
          <w:spacing w:val="-3"/>
          <w:sz w:val="18"/>
          <w:szCs w:val="18"/>
        </w:rPr>
        <w:t xml:space="preserve"> </w:t>
      </w:r>
      <w:r w:rsidRPr="00F03CE1">
        <w:rPr>
          <w:i/>
          <w:sz w:val="18"/>
          <w:szCs w:val="18"/>
        </w:rPr>
        <w:t>Treatment</w:t>
      </w:r>
      <w:r w:rsidRPr="00F03CE1">
        <w:rPr>
          <w:i/>
          <w:spacing w:val="-4"/>
          <w:sz w:val="18"/>
          <w:szCs w:val="18"/>
        </w:rPr>
        <w:t xml:space="preserve"> </w:t>
      </w:r>
      <w:r w:rsidRPr="00F03CE1">
        <w:rPr>
          <w:i/>
          <w:sz w:val="18"/>
          <w:szCs w:val="18"/>
        </w:rPr>
        <w:t xml:space="preserve">of </w:t>
      </w:r>
      <w:bookmarkStart w:id="9" w:name="_bookmark7"/>
      <w:bookmarkEnd w:id="9"/>
      <w:r w:rsidRPr="00F03CE1">
        <w:rPr>
          <w:i/>
          <w:sz w:val="18"/>
          <w:szCs w:val="18"/>
        </w:rPr>
        <w:t>Opioid Dependence</w:t>
      </w:r>
      <w:r w:rsidRPr="00F03CE1">
        <w:rPr>
          <w:sz w:val="18"/>
          <w:szCs w:val="18"/>
        </w:rPr>
        <w:t>, 2009.</w:t>
      </w:r>
    </w:p>
  </w:footnote>
  <w:footnote w:id="83">
    <w:p w14:paraId="1BF05E75" w14:textId="77777777" w:rsidR="005C74A1" w:rsidRPr="00F03CE1" w:rsidRDefault="005C74A1" w:rsidP="005C74A1">
      <w:pPr>
        <w:ind w:right="565"/>
        <w:rPr>
          <w:sz w:val="18"/>
          <w:szCs w:val="18"/>
        </w:rPr>
      </w:pPr>
      <w:r w:rsidRPr="00053E3C">
        <w:rPr>
          <w:rStyle w:val="FootnoteReference"/>
          <w:sz w:val="18"/>
          <w:szCs w:val="18"/>
        </w:rPr>
        <w:footnoteRef/>
      </w:r>
      <w:r w:rsidRPr="00053E3C">
        <w:rPr>
          <w:sz w:val="18"/>
          <w:szCs w:val="18"/>
        </w:rPr>
        <w:t xml:space="preserve"> </w:t>
      </w:r>
      <w:r w:rsidRPr="00F03CE1">
        <w:rPr>
          <w:sz w:val="18"/>
          <w:szCs w:val="18"/>
        </w:rPr>
        <w:t>C.</w:t>
      </w:r>
      <w:r w:rsidRPr="00F03CE1">
        <w:rPr>
          <w:spacing w:val="-2"/>
          <w:sz w:val="18"/>
          <w:szCs w:val="18"/>
        </w:rPr>
        <w:t xml:space="preserve"> </w:t>
      </w:r>
      <w:r w:rsidRPr="00F03CE1">
        <w:rPr>
          <w:sz w:val="18"/>
          <w:szCs w:val="18"/>
        </w:rPr>
        <w:t>Bodkin,</w:t>
      </w:r>
      <w:r w:rsidRPr="00F03CE1">
        <w:rPr>
          <w:spacing w:val="-2"/>
          <w:sz w:val="18"/>
          <w:szCs w:val="18"/>
        </w:rPr>
        <w:t xml:space="preserve"> </w:t>
      </w:r>
      <w:r w:rsidRPr="00F03CE1">
        <w:rPr>
          <w:sz w:val="18"/>
          <w:szCs w:val="18"/>
        </w:rPr>
        <w:t>M.</w:t>
      </w:r>
      <w:r w:rsidRPr="00F03CE1">
        <w:rPr>
          <w:spacing w:val="-2"/>
          <w:sz w:val="18"/>
          <w:szCs w:val="18"/>
        </w:rPr>
        <w:t xml:space="preserve"> </w:t>
      </w:r>
      <w:r w:rsidRPr="00F03CE1">
        <w:rPr>
          <w:sz w:val="18"/>
          <w:szCs w:val="18"/>
        </w:rPr>
        <w:t>Bonn</w:t>
      </w:r>
      <w:r w:rsidRPr="00F03CE1">
        <w:rPr>
          <w:spacing w:val="-3"/>
          <w:sz w:val="18"/>
          <w:szCs w:val="18"/>
        </w:rPr>
        <w:t xml:space="preserve"> </w:t>
      </w:r>
      <w:r w:rsidRPr="00F03CE1">
        <w:rPr>
          <w:sz w:val="18"/>
          <w:szCs w:val="18"/>
        </w:rPr>
        <w:t>and</w:t>
      </w:r>
      <w:r w:rsidRPr="00F03CE1">
        <w:rPr>
          <w:spacing w:val="-3"/>
          <w:sz w:val="18"/>
          <w:szCs w:val="18"/>
        </w:rPr>
        <w:t xml:space="preserve"> </w:t>
      </w:r>
      <w:r w:rsidRPr="00F03CE1">
        <w:rPr>
          <w:sz w:val="18"/>
          <w:szCs w:val="18"/>
        </w:rPr>
        <w:t>S.</w:t>
      </w:r>
      <w:r w:rsidRPr="00F03CE1">
        <w:rPr>
          <w:spacing w:val="-2"/>
          <w:sz w:val="18"/>
          <w:szCs w:val="18"/>
        </w:rPr>
        <w:t xml:space="preserve"> </w:t>
      </w:r>
      <w:r w:rsidRPr="00F03CE1">
        <w:rPr>
          <w:sz w:val="18"/>
          <w:szCs w:val="18"/>
        </w:rPr>
        <w:t>Wildman,</w:t>
      </w:r>
      <w:r w:rsidRPr="00F03CE1">
        <w:rPr>
          <w:spacing w:val="-2"/>
          <w:sz w:val="18"/>
          <w:szCs w:val="18"/>
        </w:rPr>
        <w:t xml:space="preserve"> </w:t>
      </w:r>
      <w:r w:rsidRPr="00F03CE1">
        <w:rPr>
          <w:sz w:val="18"/>
          <w:szCs w:val="18"/>
        </w:rPr>
        <w:t>“Fuelling</w:t>
      </w:r>
      <w:r w:rsidRPr="00F03CE1">
        <w:rPr>
          <w:spacing w:val="-3"/>
          <w:sz w:val="18"/>
          <w:szCs w:val="18"/>
        </w:rPr>
        <w:t xml:space="preserve"> </w:t>
      </w:r>
      <w:r w:rsidRPr="00F03CE1">
        <w:rPr>
          <w:sz w:val="18"/>
          <w:szCs w:val="18"/>
        </w:rPr>
        <w:t>a</w:t>
      </w:r>
      <w:r w:rsidRPr="00F03CE1">
        <w:rPr>
          <w:spacing w:val="-3"/>
          <w:sz w:val="18"/>
          <w:szCs w:val="18"/>
        </w:rPr>
        <w:t xml:space="preserve"> </w:t>
      </w:r>
      <w:r w:rsidRPr="00F03CE1">
        <w:rPr>
          <w:sz w:val="18"/>
          <w:szCs w:val="18"/>
        </w:rPr>
        <w:t>crisis:</w:t>
      </w:r>
      <w:r w:rsidRPr="00F03CE1">
        <w:rPr>
          <w:spacing w:val="-2"/>
          <w:sz w:val="18"/>
          <w:szCs w:val="18"/>
        </w:rPr>
        <w:t xml:space="preserve"> </w:t>
      </w:r>
      <w:r w:rsidRPr="00F03CE1">
        <w:rPr>
          <w:sz w:val="18"/>
          <w:szCs w:val="18"/>
        </w:rPr>
        <w:t>Lack</w:t>
      </w:r>
      <w:r w:rsidRPr="00F03CE1">
        <w:rPr>
          <w:spacing w:val="-1"/>
          <w:sz w:val="18"/>
          <w:szCs w:val="18"/>
        </w:rPr>
        <w:t xml:space="preserve"> </w:t>
      </w:r>
      <w:r w:rsidRPr="00F03CE1">
        <w:rPr>
          <w:sz w:val="18"/>
          <w:szCs w:val="18"/>
        </w:rPr>
        <w:t>of</w:t>
      </w:r>
      <w:r w:rsidRPr="00F03CE1">
        <w:rPr>
          <w:spacing w:val="-2"/>
          <w:sz w:val="18"/>
          <w:szCs w:val="18"/>
        </w:rPr>
        <w:t xml:space="preserve"> </w:t>
      </w:r>
      <w:r w:rsidRPr="00F03CE1">
        <w:rPr>
          <w:sz w:val="18"/>
          <w:szCs w:val="18"/>
        </w:rPr>
        <w:t>treatment</w:t>
      </w:r>
      <w:r w:rsidRPr="00F03CE1">
        <w:rPr>
          <w:spacing w:val="-2"/>
          <w:sz w:val="18"/>
          <w:szCs w:val="18"/>
        </w:rPr>
        <w:t xml:space="preserve"> </w:t>
      </w:r>
      <w:r w:rsidRPr="00F03CE1">
        <w:rPr>
          <w:sz w:val="18"/>
          <w:szCs w:val="18"/>
        </w:rPr>
        <w:t>for</w:t>
      </w:r>
      <w:r w:rsidRPr="00F03CE1">
        <w:rPr>
          <w:spacing w:val="-2"/>
          <w:sz w:val="18"/>
          <w:szCs w:val="18"/>
        </w:rPr>
        <w:t xml:space="preserve"> </w:t>
      </w:r>
      <w:r w:rsidRPr="00F03CE1">
        <w:rPr>
          <w:sz w:val="18"/>
          <w:szCs w:val="18"/>
        </w:rPr>
        <w:t>opioid</w:t>
      </w:r>
      <w:r w:rsidRPr="00F03CE1">
        <w:rPr>
          <w:spacing w:val="-3"/>
          <w:sz w:val="18"/>
          <w:szCs w:val="18"/>
        </w:rPr>
        <w:t xml:space="preserve"> </w:t>
      </w:r>
      <w:r w:rsidRPr="00F03CE1">
        <w:rPr>
          <w:sz w:val="18"/>
          <w:szCs w:val="18"/>
        </w:rPr>
        <w:t>use</w:t>
      </w:r>
      <w:r w:rsidRPr="00F03CE1">
        <w:rPr>
          <w:spacing w:val="-3"/>
          <w:sz w:val="18"/>
          <w:szCs w:val="18"/>
        </w:rPr>
        <w:t xml:space="preserve"> </w:t>
      </w:r>
      <w:r w:rsidRPr="00F03CE1">
        <w:rPr>
          <w:sz w:val="18"/>
          <w:szCs w:val="18"/>
        </w:rPr>
        <w:t>in</w:t>
      </w:r>
      <w:r w:rsidRPr="00F03CE1">
        <w:rPr>
          <w:spacing w:val="-1"/>
          <w:sz w:val="18"/>
          <w:szCs w:val="18"/>
        </w:rPr>
        <w:t xml:space="preserve"> </w:t>
      </w:r>
      <w:r w:rsidRPr="00F03CE1">
        <w:rPr>
          <w:sz w:val="18"/>
          <w:szCs w:val="18"/>
        </w:rPr>
        <w:t xml:space="preserve">Canada’s </w:t>
      </w:r>
      <w:bookmarkStart w:id="10" w:name="_bookmark13"/>
      <w:bookmarkEnd w:id="10"/>
      <w:r w:rsidRPr="00F03CE1">
        <w:rPr>
          <w:sz w:val="18"/>
          <w:szCs w:val="18"/>
        </w:rPr>
        <w:t xml:space="preserve">prisons and jails,” </w:t>
      </w:r>
      <w:r w:rsidRPr="00F03CE1">
        <w:rPr>
          <w:i/>
          <w:sz w:val="18"/>
          <w:szCs w:val="18"/>
        </w:rPr>
        <w:t>The Conversation</w:t>
      </w:r>
      <w:r w:rsidRPr="00F03CE1">
        <w:rPr>
          <w:sz w:val="18"/>
          <w:szCs w:val="18"/>
        </w:rPr>
        <w:t>, March 4, 2020.</w:t>
      </w:r>
    </w:p>
  </w:footnote>
  <w:footnote w:id="84">
    <w:p w14:paraId="6F64750C" w14:textId="77777777" w:rsidR="005C74A1" w:rsidRPr="00F03CE1" w:rsidRDefault="005C74A1" w:rsidP="005C74A1">
      <w:pPr>
        <w:ind w:right="323"/>
        <w:rPr>
          <w:sz w:val="18"/>
          <w:szCs w:val="18"/>
        </w:rPr>
      </w:pPr>
      <w:r w:rsidRPr="00053E3C">
        <w:rPr>
          <w:rStyle w:val="FootnoteReference"/>
          <w:sz w:val="18"/>
          <w:szCs w:val="18"/>
        </w:rPr>
        <w:footnoteRef/>
      </w:r>
      <w:r w:rsidRPr="00053E3C">
        <w:rPr>
          <w:sz w:val="18"/>
          <w:szCs w:val="18"/>
        </w:rPr>
        <w:t xml:space="preserve"> </w:t>
      </w:r>
      <w:r w:rsidRPr="00F03CE1">
        <w:rPr>
          <w:sz w:val="18"/>
          <w:szCs w:val="18"/>
        </w:rPr>
        <w:t xml:space="preserve">F. Kouyoumdjian et al., “Physician prescribing of opioid agonist treatments in provincial correctional </w:t>
      </w:r>
      <w:bookmarkStart w:id="11" w:name="_bookmark8"/>
      <w:bookmarkEnd w:id="11"/>
      <w:r w:rsidRPr="00F03CE1">
        <w:rPr>
          <w:sz w:val="18"/>
          <w:szCs w:val="18"/>
        </w:rPr>
        <w:t>facilities</w:t>
      </w:r>
      <w:r w:rsidRPr="00F03CE1">
        <w:rPr>
          <w:spacing w:val="-1"/>
          <w:sz w:val="18"/>
          <w:szCs w:val="18"/>
        </w:rPr>
        <w:t xml:space="preserve"> </w:t>
      </w:r>
      <w:r w:rsidRPr="00F03CE1">
        <w:rPr>
          <w:sz w:val="18"/>
          <w:szCs w:val="18"/>
        </w:rPr>
        <w:t>in</w:t>
      </w:r>
      <w:r w:rsidRPr="00F03CE1">
        <w:rPr>
          <w:spacing w:val="-2"/>
          <w:sz w:val="18"/>
          <w:szCs w:val="18"/>
        </w:rPr>
        <w:t xml:space="preserve"> </w:t>
      </w:r>
      <w:r w:rsidRPr="00F03CE1">
        <w:rPr>
          <w:sz w:val="18"/>
          <w:szCs w:val="18"/>
        </w:rPr>
        <w:t>Ontario,</w:t>
      </w:r>
      <w:r w:rsidRPr="00F03CE1">
        <w:rPr>
          <w:spacing w:val="-1"/>
          <w:sz w:val="18"/>
          <w:szCs w:val="18"/>
        </w:rPr>
        <w:t xml:space="preserve"> </w:t>
      </w:r>
      <w:r w:rsidRPr="00F03CE1">
        <w:rPr>
          <w:sz w:val="18"/>
          <w:szCs w:val="18"/>
        </w:rPr>
        <w:t>Canada:</w:t>
      </w:r>
      <w:r w:rsidRPr="00F03CE1">
        <w:rPr>
          <w:spacing w:val="-1"/>
          <w:sz w:val="18"/>
          <w:szCs w:val="18"/>
        </w:rPr>
        <w:t xml:space="preserve"> </w:t>
      </w:r>
      <w:r w:rsidRPr="00F03CE1">
        <w:rPr>
          <w:sz w:val="18"/>
          <w:szCs w:val="18"/>
        </w:rPr>
        <w:t>A</w:t>
      </w:r>
      <w:r w:rsidRPr="00F03CE1">
        <w:rPr>
          <w:spacing w:val="-1"/>
          <w:sz w:val="18"/>
          <w:szCs w:val="18"/>
        </w:rPr>
        <w:t xml:space="preserve"> </w:t>
      </w:r>
      <w:r w:rsidRPr="00F03CE1">
        <w:rPr>
          <w:sz w:val="18"/>
          <w:szCs w:val="18"/>
        </w:rPr>
        <w:t>survey,”</w:t>
      </w:r>
      <w:r w:rsidRPr="00F03CE1">
        <w:rPr>
          <w:spacing w:val="-1"/>
          <w:sz w:val="18"/>
          <w:szCs w:val="18"/>
        </w:rPr>
        <w:t xml:space="preserve"> </w:t>
      </w:r>
      <w:proofErr w:type="spellStart"/>
      <w:r w:rsidRPr="00F03CE1">
        <w:rPr>
          <w:i/>
          <w:sz w:val="18"/>
          <w:szCs w:val="18"/>
        </w:rPr>
        <w:t>PLoS</w:t>
      </w:r>
      <w:proofErr w:type="spellEnd"/>
      <w:r w:rsidRPr="00F03CE1">
        <w:rPr>
          <w:i/>
          <w:spacing w:val="-1"/>
          <w:sz w:val="18"/>
          <w:szCs w:val="18"/>
        </w:rPr>
        <w:t xml:space="preserve"> </w:t>
      </w:r>
      <w:r w:rsidRPr="00F03CE1">
        <w:rPr>
          <w:i/>
          <w:sz w:val="18"/>
          <w:szCs w:val="18"/>
        </w:rPr>
        <w:t>One</w:t>
      </w:r>
      <w:r w:rsidRPr="00F03CE1">
        <w:rPr>
          <w:i/>
          <w:spacing w:val="-1"/>
          <w:sz w:val="18"/>
          <w:szCs w:val="18"/>
        </w:rPr>
        <w:t xml:space="preserve"> </w:t>
      </w:r>
      <w:r w:rsidRPr="00F03CE1">
        <w:rPr>
          <w:sz w:val="18"/>
          <w:szCs w:val="18"/>
        </w:rPr>
        <w:t>2018;</w:t>
      </w:r>
      <w:r w:rsidRPr="00F03CE1">
        <w:rPr>
          <w:spacing w:val="-1"/>
          <w:sz w:val="18"/>
          <w:szCs w:val="18"/>
        </w:rPr>
        <w:t xml:space="preserve"> </w:t>
      </w:r>
      <w:r w:rsidRPr="00F03CE1">
        <w:rPr>
          <w:sz w:val="18"/>
          <w:szCs w:val="18"/>
        </w:rPr>
        <w:t>13(2):</w:t>
      </w:r>
      <w:r w:rsidRPr="00F03CE1">
        <w:rPr>
          <w:spacing w:val="-1"/>
          <w:sz w:val="18"/>
          <w:szCs w:val="18"/>
        </w:rPr>
        <w:t xml:space="preserve"> </w:t>
      </w:r>
      <w:r w:rsidRPr="00F03CE1">
        <w:rPr>
          <w:sz w:val="18"/>
          <w:szCs w:val="18"/>
        </w:rPr>
        <w:t>e0192431 and</w:t>
      </w:r>
      <w:r w:rsidRPr="00F03CE1">
        <w:rPr>
          <w:spacing w:val="-2"/>
          <w:sz w:val="18"/>
          <w:szCs w:val="18"/>
        </w:rPr>
        <w:t xml:space="preserve"> </w:t>
      </w:r>
      <w:r w:rsidRPr="00F03CE1">
        <w:rPr>
          <w:sz w:val="18"/>
          <w:szCs w:val="18"/>
        </w:rPr>
        <w:t>West</w:t>
      </w:r>
      <w:r w:rsidRPr="00F03CE1">
        <w:rPr>
          <w:spacing w:val="-1"/>
          <w:sz w:val="18"/>
          <w:szCs w:val="18"/>
        </w:rPr>
        <w:t xml:space="preserve"> </w:t>
      </w:r>
      <w:r w:rsidRPr="00F03CE1">
        <w:rPr>
          <w:sz w:val="18"/>
          <w:szCs w:val="18"/>
        </w:rPr>
        <w:t>Coast</w:t>
      </w:r>
      <w:r w:rsidRPr="00F03CE1">
        <w:rPr>
          <w:spacing w:val="-1"/>
          <w:sz w:val="18"/>
          <w:szCs w:val="18"/>
        </w:rPr>
        <w:t xml:space="preserve"> </w:t>
      </w:r>
      <w:r w:rsidRPr="00F03CE1">
        <w:rPr>
          <w:sz w:val="18"/>
          <w:szCs w:val="18"/>
        </w:rPr>
        <w:t>Prison</w:t>
      </w:r>
      <w:r w:rsidRPr="00F03CE1">
        <w:rPr>
          <w:spacing w:val="-2"/>
          <w:sz w:val="18"/>
          <w:szCs w:val="18"/>
        </w:rPr>
        <w:t xml:space="preserve"> </w:t>
      </w:r>
      <w:r w:rsidRPr="00F03CE1">
        <w:rPr>
          <w:sz w:val="18"/>
          <w:szCs w:val="18"/>
        </w:rPr>
        <w:t xml:space="preserve">Justice </w:t>
      </w:r>
      <w:bookmarkStart w:id="12" w:name="_bookmark9"/>
      <w:bookmarkEnd w:id="12"/>
      <w:r w:rsidRPr="00F03CE1">
        <w:rPr>
          <w:sz w:val="18"/>
          <w:szCs w:val="18"/>
        </w:rPr>
        <w:t>Society,</w:t>
      </w:r>
      <w:r w:rsidRPr="00F03CE1">
        <w:rPr>
          <w:spacing w:val="-3"/>
          <w:sz w:val="18"/>
          <w:szCs w:val="18"/>
        </w:rPr>
        <w:t xml:space="preserve"> </w:t>
      </w:r>
      <w:r w:rsidRPr="00F03CE1">
        <w:rPr>
          <w:sz w:val="18"/>
          <w:szCs w:val="18"/>
        </w:rPr>
        <w:t>“Representative</w:t>
      </w:r>
      <w:r w:rsidRPr="00F03CE1">
        <w:rPr>
          <w:spacing w:val="-4"/>
          <w:sz w:val="18"/>
          <w:szCs w:val="18"/>
        </w:rPr>
        <w:t xml:space="preserve"> </w:t>
      </w:r>
      <w:r w:rsidRPr="00F03CE1">
        <w:rPr>
          <w:sz w:val="18"/>
          <w:szCs w:val="18"/>
        </w:rPr>
        <w:t>human</w:t>
      </w:r>
      <w:r w:rsidRPr="00F03CE1">
        <w:rPr>
          <w:spacing w:val="-4"/>
          <w:sz w:val="18"/>
          <w:szCs w:val="18"/>
        </w:rPr>
        <w:t xml:space="preserve"> </w:t>
      </w:r>
      <w:r w:rsidRPr="00F03CE1">
        <w:rPr>
          <w:sz w:val="18"/>
          <w:szCs w:val="18"/>
        </w:rPr>
        <w:t>rights</w:t>
      </w:r>
      <w:r w:rsidRPr="00F03CE1">
        <w:rPr>
          <w:spacing w:val="-3"/>
          <w:sz w:val="18"/>
          <w:szCs w:val="18"/>
        </w:rPr>
        <w:t xml:space="preserve"> </w:t>
      </w:r>
      <w:r w:rsidRPr="00F03CE1">
        <w:rPr>
          <w:sz w:val="18"/>
          <w:szCs w:val="18"/>
        </w:rPr>
        <w:t>complaint</w:t>
      </w:r>
      <w:r w:rsidRPr="00F03CE1">
        <w:rPr>
          <w:spacing w:val="-3"/>
          <w:sz w:val="18"/>
          <w:szCs w:val="18"/>
        </w:rPr>
        <w:t xml:space="preserve"> </w:t>
      </w:r>
      <w:r w:rsidRPr="00F03CE1">
        <w:rPr>
          <w:sz w:val="18"/>
          <w:szCs w:val="18"/>
        </w:rPr>
        <w:t>against</w:t>
      </w:r>
      <w:r w:rsidRPr="00F03CE1">
        <w:rPr>
          <w:spacing w:val="-3"/>
          <w:sz w:val="18"/>
          <w:szCs w:val="18"/>
        </w:rPr>
        <w:t xml:space="preserve"> </w:t>
      </w:r>
      <w:r w:rsidRPr="00F03CE1">
        <w:rPr>
          <w:sz w:val="18"/>
          <w:szCs w:val="18"/>
        </w:rPr>
        <w:t>Correctional</w:t>
      </w:r>
      <w:r w:rsidRPr="00F03CE1">
        <w:rPr>
          <w:spacing w:val="-3"/>
          <w:sz w:val="18"/>
          <w:szCs w:val="18"/>
        </w:rPr>
        <w:t xml:space="preserve"> </w:t>
      </w:r>
      <w:r w:rsidRPr="00F03CE1">
        <w:rPr>
          <w:sz w:val="18"/>
          <w:szCs w:val="18"/>
        </w:rPr>
        <w:t>Service</w:t>
      </w:r>
      <w:r w:rsidRPr="00F03CE1">
        <w:rPr>
          <w:spacing w:val="-4"/>
          <w:sz w:val="18"/>
          <w:szCs w:val="18"/>
        </w:rPr>
        <w:t xml:space="preserve"> </w:t>
      </w:r>
      <w:r w:rsidRPr="00F03CE1">
        <w:rPr>
          <w:sz w:val="18"/>
          <w:szCs w:val="18"/>
        </w:rPr>
        <w:t>Canada</w:t>
      </w:r>
      <w:r w:rsidRPr="00F03CE1">
        <w:rPr>
          <w:spacing w:val="-4"/>
          <w:sz w:val="18"/>
          <w:szCs w:val="18"/>
        </w:rPr>
        <w:t xml:space="preserve"> </w:t>
      </w:r>
      <w:r w:rsidRPr="00F03CE1">
        <w:rPr>
          <w:sz w:val="18"/>
          <w:szCs w:val="18"/>
        </w:rPr>
        <w:t>(CSC)</w:t>
      </w:r>
      <w:r w:rsidRPr="00F03CE1">
        <w:rPr>
          <w:spacing w:val="-3"/>
          <w:sz w:val="18"/>
          <w:szCs w:val="18"/>
        </w:rPr>
        <w:t xml:space="preserve"> </w:t>
      </w:r>
      <w:r w:rsidRPr="00F03CE1">
        <w:rPr>
          <w:sz w:val="18"/>
          <w:szCs w:val="18"/>
        </w:rPr>
        <w:t>on</w:t>
      </w:r>
      <w:r w:rsidRPr="00F03CE1">
        <w:rPr>
          <w:spacing w:val="-4"/>
          <w:sz w:val="18"/>
          <w:szCs w:val="18"/>
        </w:rPr>
        <w:t xml:space="preserve"> </w:t>
      </w:r>
      <w:r w:rsidRPr="00F03CE1">
        <w:rPr>
          <w:sz w:val="18"/>
          <w:szCs w:val="18"/>
        </w:rPr>
        <w:t>behalf</w:t>
      </w:r>
      <w:r w:rsidRPr="00F03CE1">
        <w:rPr>
          <w:spacing w:val="-3"/>
          <w:sz w:val="18"/>
          <w:szCs w:val="18"/>
        </w:rPr>
        <w:t xml:space="preserve"> </w:t>
      </w:r>
      <w:r w:rsidRPr="00F03CE1">
        <w:rPr>
          <w:sz w:val="18"/>
          <w:szCs w:val="18"/>
        </w:rPr>
        <w:t xml:space="preserve">of </w:t>
      </w:r>
      <w:bookmarkStart w:id="13" w:name="_bookmark10"/>
      <w:bookmarkEnd w:id="13"/>
      <w:r w:rsidRPr="00F03CE1">
        <w:rPr>
          <w:sz w:val="18"/>
          <w:szCs w:val="18"/>
        </w:rPr>
        <w:t>federal prisoners with opioid use disorder,” June 4, 2018.</w:t>
      </w:r>
    </w:p>
  </w:footnote>
  <w:footnote w:id="85">
    <w:p w14:paraId="7BEB3AF0" w14:textId="77777777" w:rsidR="005C74A1" w:rsidRPr="00F03CE1" w:rsidRDefault="005C74A1" w:rsidP="005C74A1">
      <w:pPr>
        <w:pStyle w:val="FootnoteText"/>
        <w:rPr>
          <w:rFonts w:cs="Arial"/>
          <w:sz w:val="18"/>
          <w:szCs w:val="18"/>
        </w:rPr>
      </w:pPr>
      <w:r w:rsidRPr="00053E3C">
        <w:rPr>
          <w:rStyle w:val="FootnoteReference"/>
          <w:sz w:val="18"/>
          <w:szCs w:val="18"/>
        </w:rPr>
        <w:footnoteRef/>
      </w:r>
      <w:r w:rsidRPr="00053E3C">
        <w:rPr>
          <w:sz w:val="18"/>
          <w:szCs w:val="18"/>
        </w:rPr>
        <w:t xml:space="preserve"> </w:t>
      </w:r>
      <w:r w:rsidRPr="00F03CE1">
        <w:rPr>
          <w:rFonts w:cs="Arial"/>
          <w:sz w:val="18"/>
          <w:szCs w:val="18"/>
        </w:rPr>
        <w:t xml:space="preserve">HIV Legal Network, </w:t>
      </w:r>
      <w:r w:rsidRPr="00F03CE1">
        <w:rPr>
          <w:rFonts w:cs="Arial"/>
          <w:i/>
          <w:iCs/>
          <w:sz w:val="18"/>
          <w:szCs w:val="18"/>
        </w:rPr>
        <w:t>Points of Perspective: Research Report on the Federal Prison Needle Exchange Program in Canada</w:t>
      </w:r>
      <w:r w:rsidRPr="00F03CE1">
        <w:rPr>
          <w:rFonts w:cs="Arial"/>
          <w:sz w:val="18"/>
          <w:szCs w:val="18"/>
        </w:rPr>
        <w:t>, 2022;</w:t>
      </w:r>
      <w:r w:rsidRPr="00F03CE1">
        <w:rPr>
          <w:sz w:val="18"/>
          <w:szCs w:val="18"/>
        </w:rPr>
        <w:t xml:space="preserve"> A. </w:t>
      </w:r>
      <w:r w:rsidRPr="00F03CE1">
        <w:rPr>
          <w:rFonts w:cs="Arial"/>
          <w:sz w:val="18"/>
          <w:szCs w:val="18"/>
        </w:rPr>
        <w:t xml:space="preserve">De Shalit et al, “Drug Use Stigma and Reprisal: Barriers to Prison Needle Exchange in Canada,” </w:t>
      </w:r>
      <w:r w:rsidRPr="00F03CE1">
        <w:rPr>
          <w:rFonts w:cs="Arial"/>
          <w:i/>
          <w:iCs/>
          <w:sz w:val="18"/>
          <w:szCs w:val="18"/>
        </w:rPr>
        <w:t>The Prison Journal</w:t>
      </w:r>
      <w:r w:rsidRPr="00F03CE1">
        <w:rPr>
          <w:rFonts w:cs="Arial"/>
          <w:sz w:val="18"/>
          <w:szCs w:val="18"/>
        </w:rPr>
        <w:t xml:space="preserve"> 104(3) (2024): 344-364; and N. Kronfli et al, “Using nominal group technique to identify perceived barriers and facilitators to improving uptake of the Prison Needle Exchange Program in Canadian federal prisons by correctional officers and healthcare workers,” </w:t>
      </w:r>
      <w:r w:rsidRPr="00F03CE1">
        <w:rPr>
          <w:rFonts w:cs="Arial"/>
          <w:i/>
          <w:iCs/>
          <w:sz w:val="18"/>
          <w:szCs w:val="18"/>
        </w:rPr>
        <w:t>International Journal of Drug Policy</w:t>
      </w:r>
      <w:r w:rsidRPr="00F03CE1">
        <w:rPr>
          <w:rFonts w:cs="Arial"/>
          <w:sz w:val="18"/>
          <w:szCs w:val="18"/>
        </w:rPr>
        <w:t xml:space="preserve"> 130 (2024) 104540.</w:t>
      </w:r>
    </w:p>
  </w:footnote>
  <w:footnote w:id="86">
    <w:p w14:paraId="0A410F3D" w14:textId="77777777" w:rsidR="005C74A1" w:rsidRPr="00F03CE1" w:rsidRDefault="005C74A1" w:rsidP="005C74A1">
      <w:pPr>
        <w:pStyle w:val="FootnoteText"/>
        <w:rPr>
          <w:sz w:val="18"/>
          <w:szCs w:val="18"/>
        </w:rPr>
      </w:pPr>
      <w:r w:rsidRPr="00F03CE1">
        <w:rPr>
          <w:rStyle w:val="FootnoteReference"/>
          <w:sz w:val="18"/>
          <w:szCs w:val="18"/>
        </w:rPr>
        <w:footnoteRef/>
      </w:r>
      <w:r w:rsidRPr="00F03CE1">
        <w:rPr>
          <w:sz w:val="18"/>
          <w:szCs w:val="18"/>
        </w:rPr>
        <w:t xml:space="preserve"> </w:t>
      </w:r>
      <w:r w:rsidRPr="00F03CE1">
        <w:rPr>
          <w:iCs/>
          <w:sz w:val="18"/>
          <w:szCs w:val="18"/>
        </w:rPr>
        <w:t>Office</w:t>
      </w:r>
      <w:r w:rsidRPr="00F03CE1">
        <w:rPr>
          <w:iCs/>
          <w:spacing w:val="-3"/>
          <w:sz w:val="18"/>
          <w:szCs w:val="18"/>
        </w:rPr>
        <w:t xml:space="preserve"> </w:t>
      </w:r>
      <w:r w:rsidRPr="00F03CE1">
        <w:rPr>
          <w:iCs/>
          <w:sz w:val="18"/>
          <w:szCs w:val="18"/>
        </w:rPr>
        <w:t>of</w:t>
      </w:r>
      <w:r w:rsidRPr="00F03CE1">
        <w:rPr>
          <w:iCs/>
          <w:spacing w:val="-4"/>
          <w:sz w:val="18"/>
          <w:szCs w:val="18"/>
        </w:rPr>
        <w:t xml:space="preserve"> </w:t>
      </w:r>
      <w:r w:rsidRPr="00F03CE1">
        <w:rPr>
          <w:iCs/>
          <w:sz w:val="18"/>
          <w:szCs w:val="18"/>
        </w:rPr>
        <w:t>the</w:t>
      </w:r>
      <w:r w:rsidRPr="00F03CE1">
        <w:rPr>
          <w:iCs/>
          <w:spacing w:val="-3"/>
          <w:sz w:val="18"/>
          <w:szCs w:val="18"/>
        </w:rPr>
        <w:t xml:space="preserve"> </w:t>
      </w:r>
      <w:r w:rsidRPr="00F03CE1">
        <w:rPr>
          <w:iCs/>
          <w:sz w:val="18"/>
          <w:szCs w:val="18"/>
        </w:rPr>
        <w:t>Correctional</w:t>
      </w:r>
      <w:r w:rsidRPr="00F03CE1">
        <w:rPr>
          <w:iCs/>
          <w:spacing w:val="-3"/>
          <w:sz w:val="18"/>
          <w:szCs w:val="18"/>
        </w:rPr>
        <w:t xml:space="preserve"> </w:t>
      </w:r>
      <w:r w:rsidRPr="00F03CE1">
        <w:rPr>
          <w:iCs/>
          <w:sz w:val="18"/>
          <w:szCs w:val="18"/>
        </w:rPr>
        <w:t>Investigator,</w:t>
      </w:r>
      <w:r w:rsidRPr="00F03CE1">
        <w:rPr>
          <w:i/>
          <w:sz w:val="18"/>
          <w:szCs w:val="18"/>
        </w:rPr>
        <w:t xml:space="preserve"> Annual</w:t>
      </w:r>
      <w:r w:rsidRPr="00F03CE1">
        <w:rPr>
          <w:i/>
          <w:spacing w:val="-3"/>
          <w:sz w:val="18"/>
          <w:szCs w:val="18"/>
        </w:rPr>
        <w:t xml:space="preserve"> </w:t>
      </w:r>
      <w:r w:rsidRPr="00F03CE1">
        <w:rPr>
          <w:i/>
          <w:sz w:val="18"/>
          <w:szCs w:val="18"/>
        </w:rPr>
        <w:t>report</w:t>
      </w:r>
      <w:r w:rsidRPr="00F03CE1">
        <w:rPr>
          <w:i/>
          <w:spacing w:val="-1"/>
          <w:sz w:val="18"/>
          <w:szCs w:val="18"/>
        </w:rPr>
        <w:t xml:space="preserve"> </w:t>
      </w:r>
      <w:r w:rsidRPr="00F03CE1">
        <w:rPr>
          <w:i/>
          <w:sz w:val="18"/>
          <w:szCs w:val="18"/>
        </w:rPr>
        <w:t>2018-2019</w:t>
      </w:r>
      <w:r w:rsidRPr="00F03CE1">
        <w:rPr>
          <w:sz w:val="18"/>
          <w:szCs w:val="18"/>
        </w:rPr>
        <w:t>,</w:t>
      </w:r>
      <w:r w:rsidRPr="00F03CE1">
        <w:rPr>
          <w:spacing w:val="-1"/>
          <w:sz w:val="18"/>
          <w:szCs w:val="18"/>
        </w:rPr>
        <w:t xml:space="preserve"> </w:t>
      </w:r>
      <w:r w:rsidRPr="00F03CE1">
        <w:rPr>
          <w:spacing w:val="-2"/>
          <w:sz w:val="18"/>
          <w:szCs w:val="18"/>
        </w:rPr>
        <w:t>2019.</w:t>
      </w:r>
    </w:p>
  </w:footnote>
  <w:footnote w:id="87">
    <w:p w14:paraId="7CF248FC" w14:textId="77777777" w:rsidR="005C74A1" w:rsidRPr="008B55D7" w:rsidRDefault="005C74A1" w:rsidP="005C74A1">
      <w:pPr>
        <w:pStyle w:val="FootnoteText"/>
        <w:rPr>
          <w:sz w:val="18"/>
          <w:szCs w:val="18"/>
        </w:rPr>
      </w:pPr>
      <w:r w:rsidRPr="00F03CE1">
        <w:rPr>
          <w:rStyle w:val="FootnoteReference"/>
          <w:sz w:val="18"/>
          <w:szCs w:val="18"/>
        </w:rPr>
        <w:footnoteRef/>
      </w:r>
      <w:r w:rsidRPr="00F03CE1">
        <w:rPr>
          <w:sz w:val="18"/>
          <w:szCs w:val="18"/>
        </w:rPr>
        <w:t xml:space="preserve"> Office of the Correctional Investigator, </w:t>
      </w:r>
      <w:r w:rsidRPr="00F03CE1">
        <w:rPr>
          <w:i/>
          <w:iCs/>
          <w:sz w:val="18"/>
          <w:szCs w:val="18"/>
        </w:rPr>
        <w:t>Annual Report 2021-2022</w:t>
      </w:r>
      <w:r w:rsidRPr="00F03CE1">
        <w:rPr>
          <w:sz w:val="18"/>
          <w:szCs w:val="18"/>
        </w:rPr>
        <w:t>, June 30, 2022.</w:t>
      </w:r>
    </w:p>
  </w:footnote>
  <w:footnote w:id="88">
    <w:p w14:paraId="75E6E3BB" w14:textId="77777777" w:rsidR="005C74A1" w:rsidRPr="00F03CE1" w:rsidRDefault="005C74A1" w:rsidP="005C74A1">
      <w:pPr>
        <w:ind w:right="565"/>
        <w:rPr>
          <w:sz w:val="18"/>
          <w:szCs w:val="18"/>
        </w:rPr>
      </w:pPr>
      <w:r w:rsidRPr="00F03CE1">
        <w:rPr>
          <w:rStyle w:val="FootnoteReference"/>
          <w:sz w:val="18"/>
          <w:szCs w:val="18"/>
        </w:rPr>
        <w:footnoteRef/>
      </w:r>
      <w:r w:rsidRPr="00F03CE1">
        <w:rPr>
          <w:sz w:val="18"/>
          <w:szCs w:val="18"/>
        </w:rPr>
        <w:t xml:space="preserve"> See, for example, S.</w:t>
      </w:r>
      <w:r w:rsidRPr="00F03CE1">
        <w:rPr>
          <w:spacing w:val="-3"/>
          <w:sz w:val="18"/>
          <w:szCs w:val="18"/>
        </w:rPr>
        <w:t xml:space="preserve"> </w:t>
      </w:r>
      <w:r w:rsidRPr="00F03CE1">
        <w:rPr>
          <w:sz w:val="18"/>
          <w:szCs w:val="18"/>
        </w:rPr>
        <w:t>Taylor,</w:t>
      </w:r>
      <w:r w:rsidRPr="00F03CE1">
        <w:rPr>
          <w:spacing w:val="-3"/>
          <w:sz w:val="18"/>
          <w:szCs w:val="18"/>
        </w:rPr>
        <w:t xml:space="preserve"> </w:t>
      </w:r>
      <w:r w:rsidRPr="00F03CE1">
        <w:rPr>
          <w:sz w:val="18"/>
          <w:szCs w:val="18"/>
        </w:rPr>
        <w:t>“Correctional</w:t>
      </w:r>
      <w:r w:rsidRPr="00F03CE1">
        <w:rPr>
          <w:spacing w:val="-3"/>
          <w:sz w:val="18"/>
          <w:szCs w:val="18"/>
        </w:rPr>
        <w:t xml:space="preserve"> </w:t>
      </w:r>
      <w:r w:rsidRPr="00F03CE1">
        <w:rPr>
          <w:sz w:val="18"/>
          <w:szCs w:val="18"/>
        </w:rPr>
        <w:t>Service</w:t>
      </w:r>
      <w:r w:rsidRPr="00F03CE1">
        <w:rPr>
          <w:spacing w:val="-4"/>
          <w:sz w:val="18"/>
          <w:szCs w:val="18"/>
        </w:rPr>
        <w:t xml:space="preserve"> </w:t>
      </w:r>
      <w:r w:rsidRPr="00F03CE1">
        <w:rPr>
          <w:sz w:val="18"/>
          <w:szCs w:val="18"/>
        </w:rPr>
        <w:t>Canada</w:t>
      </w:r>
      <w:r w:rsidRPr="00F03CE1">
        <w:rPr>
          <w:spacing w:val="-4"/>
          <w:sz w:val="18"/>
          <w:szCs w:val="18"/>
        </w:rPr>
        <w:t xml:space="preserve"> </w:t>
      </w:r>
      <w:r w:rsidRPr="00F03CE1">
        <w:rPr>
          <w:sz w:val="18"/>
          <w:szCs w:val="18"/>
        </w:rPr>
        <w:t>expands</w:t>
      </w:r>
      <w:r w:rsidRPr="00F03CE1">
        <w:rPr>
          <w:spacing w:val="-3"/>
          <w:sz w:val="18"/>
          <w:szCs w:val="18"/>
        </w:rPr>
        <w:t xml:space="preserve"> </w:t>
      </w:r>
      <w:r w:rsidRPr="00F03CE1">
        <w:rPr>
          <w:sz w:val="18"/>
          <w:szCs w:val="18"/>
        </w:rPr>
        <w:t>take-home</w:t>
      </w:r>
      <w:r w:rsidRPr="00F03CE1">
        <w:rPr>
          <w:spacing w:val="-4"/>
          <w:sz w:val="18"/>
          <w:szCs w:val="18"/>
        </w:rPr>
        <w:t xml:space="preserve"> </w:t>
      </w:r>
      <w:r w:rsidRPr="00F03CE1">
        <w:rPr>
          <w:sz w:val="18"/>
          <w:szCs w:val="18"/>
        </w:rPr>
        <w:t>naloxone</w:t>
      </w:r>
      <w:r w:rsidRPr="00F03CE1">
        <w:rPr>
          <w:spacing w:val="-4"/>
          <w:sz w:val="18"/>
          <w:szCs w:val="18"/>
        </w:rPr>
        <w:t xml:space="preserve"> </w:t>
      </w:r>
      <w:r w:rsidRPr="00F03CE1">
        <w:rPr>
          <w:sz w:val="18"/>
          <w:szCs w:val="18"/>
        </w:rPr>
        <w:t>kit</w:t>
      </w:r>
      <w:r w:rsidRPr="00F03CE1">
        <w:rPr>
          <w:spacing w:val="-3"/>
          <w:sz w:val="18"/>
          <w:szCs w:val="18"/>
        </w:rPr>
        <w:t xml:space="preserve"> </w:t>
      </w:r>
      <w:r w:rsidRPr="00F03CE1">
        <w:rPr>
          <w:sz w:val="18"/>
          <w:szCs w:val="18"/>
        </w:rPr>
        <w:t>program</w:t>
      </w:r>
      <w:r w:rsidRPr="00F03CE1">
        <w:rPr>
          <w:spacing w:val="-3"/>
          <w:sz w:val="18"/>
          <w:szCs w:val="18"/>
        </w:rPr>
        <w:t xml:space="preserve"> </w:t>
      </w:r>
      <w:r w:rsidRPr="00F03CE1">
        <w:rPr>
          <w:sz w:val="18"/>
          <w:szCs w:val="18"/>
        </w:rPr>
        <w:t>for</w:t>
      </w:r>
      <w:r w:rsidRPr="00F03CE1">
        <w:rPr>
          <w:spacing w:val="-3"/>
          <w:sz w:val="18"/>
          <w:szCs w:val="18"/>
        </w:rPr>
        <w:t xml:space="preserve"> </w:t>
      </w:r>
      <w:r w:rsidRPr="00F03CE1">
        <w:rPr>
          <w:sz w:val="18"/>
          <w:szCs w:val="18"/>
        </w:rPr>
        <w:t>inmates,”</w:t>
      </w:r>
      <w:r w:rsidRPr="00F03CE1">
        <w:rPr>
          <w:spacing w:val="-3"/>
          <w:sz w:val="18"/>
          <w:szCs w:val="18"/>
        </w:rPr>
        <w:t xml:space="preserve"> </w:t>
      </w:r>
      <w:r w:rsidRPr="00F03CE1">
        <w:rPr>
          <w:i/>
          <w:sz w:val="18"/>
          <w:szCs w:val="18"/>
        </w:rPr>
        <w:t>CBC</w:t>
      </w:r>
      <w:r w:rsidRPr="00F03CE1">
        <w:rPr>
          <w:sz w:val="18"/>
          <w:szCs w:val="18"/>
        </w:rPr>
        <w:t xml:space="preserve">, </w:t>
      </w:r>
      <w:bookmarkStart w:id="14" w:name="_bookmark31"/>
      <w:bookmarkEnd w:id="14"/>
      <w:r w:rsidRPr="00F03CE1">
        <w:rPr>
          <w:sz w:val="18"/>
          <w:szCs w:val="18"/>
        </w:rPr>
        <w:t>July 13, 2017.</w:t>
      </w:r>
    </w:p>
  </w:footnote>
  <w:footnote w:id="89">
    <w:p w14:paraId="35BB6443" w14:textId="77777777" w:rsidR="005C74A1" w:rsidRPr="00F03CE1" w:rsidRDefault="005C74A1" w:rsidP="005C74A1">
      <w:pPr>
        <w:pStyle w:val="FootnoteText"/>
        <w:rPr>
          <w:rFonts w:cs="Arial"/>
          <w:sz w:val="18"/>
          <w:szCs w:val="18"/>
        </w:rPr>
      </w:pPr>
      <w:r w:rsidRPr="00F03CE1">
        <w:rPr>
          <w:rStyle w:val="FootnoteReference"/>
          <w:rFonts w:cs="Arial"/>
          <w:sz w:val="18"/>
          <w:szCs w:val="18"/>
        </w:rPr>
        <w:footnoteRef/>
      </w:r>
      <w:r w:rsidRPr="00F03CE1">
        <w:rPr>
          <w:rFonts w:cs="Arial"/>
          <w:sz w:val="18"/>
          <w:szCs w:val="18"/>
        </w:rPr>
        <w:t xml:space="preserve"> </w:t>
      </w:r>
      <w:r w:rsidRPr="00F03CE1">
        <w:rPr>
          <w:rFonts w:cs="Arial"/>
          <w:i/>
          <w:iCs/>
          <w:sz w:val="18"/>
          <w:szCs w:val="18"/>
        </w:rPr>
        <w:t>Annual Report 2021-2022</w:t>
      </w:r>
      <w:r w:rsidRPr="00F03CE1">
        <w:rPr>
          <w:rFonts w:cs="Arial"/>
          <w:sz w:val="18"/>
          <w:szCs w:val="18"/>
        </w:rPr>
        <w:t>, supra.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BE1BD8" w14:textId="5EB76C37" w:rsidR="00912576" w:rsidRDefault="00912576" w:rsidP="00DC7D91">
    <w:pPr>
      <w:pStyle w:val="Header"/>
    </w:pPr>
    <w:r>
      <w:rPr>
        <w:noProof/>
      </w:rPr>
      <w:drawing>
        <wp:inline distT="0" distB="0" distL="0" distR="0" wp14:anchorId="5D22F8CC" wp14:editId="59827D7F">
          <wp:extent cx="2260600" cy="858191"/>
          <wp:effectExtent l="0" t="0" r="6350" b="0"/>
          <wp:docPr id="164863963" name="Picture 3" descr="A red ribbo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994854" name="Picture 3" descr="A red ribbon with black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6700" cy="860507"/>
                  </a:xfrm>
                  <a:prstGeom prst="rect">
                    <a:avLst/>
                  </a:prstGeom>
                  <a:noFill/>
                  <a:ln>
                    <a:noFill/>
                  </a:ln>
                </pic:spPr>
              </pic:pic>
            </a:graphicData>
          </a:graphic>
        </wp:inline>
      </w:drawing>
    </w:r>
    <w:r w:rsidR="00DC7D91">
      <w:rPr>
        <w:noProof/>
      </w:rPr>
      <w:t xml:space="preserve">                                      </w:t>
    </w:r>
    <w:r w:rsidR="00DC7D91">
      <w:rPr>
        <w:noProof/>
      </w:rPr>
      <w:drawing>
        <wp:inline distT="0" distB="0" distL="0" distR="0" wp14:anchorId="0AA6DA13" wp14:editId="53508B86">
          <wp:extent cx="2178050" cy="786374"/>
          <wp:effectExtent l="0" t="0" r="0" b="0"/>
          <wp:docPr id="875623416" name="Picture 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145567" name="Picture 4" descr="A close-up of a sign&#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81491" cy="787616"/>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708113" w14:textId="4B5E2823" w:rsidR="00F939C6" w:rsidRDefault="00F939C6" w:rsidP="007B7C2E">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5BE02454"/>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abstractNum w:abstractNumId="1" w15:restartNumberingAfterBreak="0">
    <w:nsid w:val="00670E40"/>
    <w:multiLevelType w:val="hybridMultilevel"/>
    <w:tmpl w:val="DE0893EA"/>
    <w:lvl w:ilvl="0" w:tplc="04090005">
      <w:start w:val="1"/>
      <w:numFmt w:val="bullet"/>
      <w:lvlText w:val=""/>
      <w:lvlJc w:val="left"/>
      <w:pPr>
        <w:ind w:left="1434" w:hanging="360"/>
      </w:pPr>
      <w:rPr>
        <w:rFonts w:ascii="Wingdings" w:hAnsi="Wingdings"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2" w15:restartNumberingAfterBreak="0">
    <w:nsid w:val="00D93CE9"/>
    <w:multiLevelType w:val="hybridMultilevel"/>
    <w:tmpl w:val="FA4CEB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E3082C"/>
    <w:multiLevelType w:val="hybridMultilevel"/>
    <w:tmpl w:val="63F059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151EFF"/>
    <w:multiLevelType w:val="multilevel"/>
    <w:tmpl w:val="8B34D0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5871185"/>
    <w:multiLevelType w:val="hybridMultilevel"/>
    <w:tmpl w:val="B2887F9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8E6728C"/>
    <w:multiLevelType w:val="hybridMultilevel"/>
    <w:tmpl w:val="6730102E"/>
    <w:lvl w:ilvl="0" w:tplc="7BA28E3E">
      <w:numFmt w:val="bullet"/>
      <w:lvlText w:val="-"/>
      <w:lvlJc w:val="left"/>
      <w:pPr>
        <w:ind w:left="1080" w:hanging="360"/>
      </w:pPr>
      <w:rPr>
        <w:rFonts w:ascii="Arial" w:eastAsiaTheme="minorHAnsi" w:hAnsi="Arial" w:cs="Aria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start w:val="1"/>
      <w:numFmt w:val="bullet"/>
      <w:lvlText w:val=""/>
      <w:lvlJc w:val="left"/>
      <w:pPr>
        <w:ind w:left="5400" w:hanging="360"/>
      </w:pPr>
      <w:rPr>
        <w:rFonts w:ascii="Symbol" w:hAnsi="Symbol" w:hint="default"/>
      </w:rPr>
    </w:lvl>
    <w:lvl w:ilvl="7" w:tplc="10090003">
      <w:start w:val="1"/>
      <w:numFmt w:val="bullet"/>
      <w:lvlText w:val="o"/>
      <w:lvlJc w:val="left"/>
      <w:pPr>
        <w:ind w:left="6120" w:hanging="360"/>
      </w:pPr>
      <w:rPr>
        <w:rFonts w:ascii="Courier New" w:hAnsi="Courier New" w:cs="Courier New" w:hint="default"/>
      </w:rPr>
    </w:lvl>
    <w:lvl w:ilvl="8" w:tplc="10090005">
      <w:start w:val="1"/>
      <w:numFmt w:val="bullet"/>
      <w:lvlText w:val=""/>
      <w:lvlJc w:val="left"/>
      <w:pPr>
        <w:ind w:left="6840" w:hanging="360"/>
      </w:pPr>
      <w:rPr>
        <w:rFonts w:ascii="Wingdings" w:hAnsi="Wingdings" w:hint="default"/>
      </w:rPr>
    </w:lvl>
  </w:abstractNum>
  <w:abstractNum w:abstractNumId="7" w15:restartNumberingAfterBreak="0">
    <w:nsid w:val="1A0310E6"/>
    <w:multiLevelType w:val="multilevel"/>
    <w:tmpl w:val="E004AB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6123F5"/>
    <w:multiLevelType w:val="hybridMultilevel"/>
    <w:tmpl w:val="4C9462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D4F0829"/>
    <w:multiLevelType w:val="hybridMultilevel"/>
    <w:tmpl w:val="76C015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352"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DA32469"/>
    <w:multiLevelType w:val="hybridMultilevel"/>
    <w:tmpl w:val="BDE8DCF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352" w:hanging="360"/>
      </w:pPr>
      <w:rPr>
        <w:rFonts w:ascii="Courier New" w:hAnsi="Courier New" w:cs="Courier New" w:hint="default"/>
      </w:rPr>
    </w:lvl>
    <w:lvl w:ilvl="2" w:tplc="10090003">
      <w:start w:val="1"/>
      <w:numFmt w:val="bullet"/>
      <w:lvlText w:val="o"/>
      <w:lvlJc w:val="left"/>
      <w:pPr>
        <w:ind w:left="2160" w:hanging="360"/>
      </w:pPr>
      <w:rPr>
        <w:rFonts w:ascii="Courier New" w:hAnsi="Courier New" w:cs="Courier New"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E87575A"/>
    <w:multiLevelType w:val="hybridMultilevel"/>
    <w:tmpl w:val="C32892AE"/>
    <w:lvl w:ilvl="0" w:tplc="0409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15:restartNumberingAfterBreak="0">
    <w:nsid w:val="1EC826CB"/>
    <w:multiLevelType w:val="hybridMultilevel"/>
    <w:tmpl w:val="B118990A"/>
    <w:lvl w:ilvl="0" w:tplc="0AB06CD2">
      <w:start w:val="1"/>
      <w:numFmt w:val="decimal"/>
      <w:lvlText w:val="%1."/>
      <w:lvlJc w:val="left"/>
      <w:pPr>
        <w:ind w:left="720" w:hanging="360"/>
      </w:pPr>
      <w:rPr>
        <w:rFonts w:hint="eastAsia"/>
        <w:b/>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1FEF3FAF"/>
    <w:multiLevelType w:val="hybridMultilevel"/>
    <w:tmpl w:val="DF2C45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0052346"/>
    <w:multiLevelType w:val="hybridMultilevel"/>
    <w:tmpl w:val="F12839F0"/>
    <w:lvl w:ilvl="0" w:tplc="04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4440967"/>
    <w:multiLevelType w:val="multilevel"/>
    <w:tmpl w:val="E8E05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4657306"/>
    <w:multiLevelType w:val="hybridMultilevel"/>
    <w:tmpl w:val="D5A829DE"/>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2812742D"/>
    <w:multiLevelType w:val="multilevel"/>
    <w:tmpl w:val="8822FA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98A4CF1"/>
    <w:multiLevelType w:val="hybridMultilevel"/>
    <w:tmpl w:val="15CA50E2"/>
    <w:lvl w:ilvl="0" w:tplc="46BE36D8">
      <w:start w:val="1"/>
      <w:numFmt w:val="bullet"/>
      <w:lvlText w:val=""/>
      <w:lvlJc w:val="left"/>
      <w:pPr>
        <w:ind w:left="720" w:hanging="360"/>
      </w:pPr>
      <w:rPr>
        <w:rFonts w:ascii="Symbol" w:hAnsi="Symbol"/>
      </w:rPr>
    </w:lvl>
    <w:lvl w:ilvl="1" w:tplc="6EB6AE4E">
      <w:start w:val="1"/>
      <w:numFmt w:val="bullet"/>
      <w:lvlText w:val=""/>
      <w:lvlJc w:val="left"/>
      <w:pPr>
        <w:ind w:left="720" w:hanging="360"/>
      </w:pPr>
      <w:rPr>
        <w:rFonts w:ascii="Symbol" w:hAnsi="Symbol"/>
      </w:rPr>
    </w:lvl>
    <w:lvl w:ilvl="2" w:tplc="9CDE8DD4">
      <w:start w:val="1"/>
      <w:numFmt w:val="bullet"/>
      <w:lvlText w:val=""/>
      <w:lvlJc w:val="left"/>
      <w:pPr>
        <w:ind w:left="720" w:hanging="360"/>
      </w:pPr>
      <w:rPr>
        <w:rFonts w:ascii="Symbol" w:hAnsi="Symbol"/>
      </w:rPr>
    </w:lvl>
    <w:lvl w:ilvl="3" w:tplc="A9A489BA">
      <w:start w:val="1"/>
      <w:numFmt w:val="bullet"/>
      <w:lvlText w:val=""/>
      <w:lvlJc w:val="left"/>
      <w:pPr>
        <w:ind w:left="720" w:hanging="360"/>
      </w:pPr>
      <w:rPr>
        <w:rFonts w:ascii="Symbol" w:hAnsi="Symbol"/>
      </w:rPr>
    </w:lvl>
    <w:lvl w:ilvl="4" w:tplc="2A9E6406">
      <w:start w:val="1"/>
      <w:numFmt w:val="bullet"/>
      <w:lvlText w:val=""/>
      <w:lvlJc w:val="left"/>
      <w:pPr>
        <w:ind w:left="720" w:hanging="360"/>
      </w:pPr>
      <w:rPr>
        <w:rFonts w:ascii="Symbol" w:hAnsi="Symbol"/>
      </w:rPr>
    </w:lvl>
    <w:lvl w:ilvl="5" w:tplc="946ECEFA">
      <w:start w:val="1"/>
      <w:numFmt w:val="bullet"/>
      <w:lvlText w:val=""/>
      <w:lvlJc w:val="left"/>
      <w:pPr>
        <w:ind w:left="720" w:hanging="360"/>
      </w:pPr>
      <w:rPr>
        <w:rFonts w:ascii="Symbol" w:hAnsi="Symbol"/>
      </w:rPr>
    </w:lvl>
    <w:lvl w:ilvl="6" w:tplc="FA623432">
      <w:start w:val="1"/>
      <w:numFmt w:val="bullet"/>
      <w:lvlText w:val=""/>
      <w:lvlJc w:val="left"/>
      <w:pPr>
        <w:ind w:left="720" w:hanging="360"/>
      </w:pPr>
      <w:rPr>
        <w:rFonts w:ascii="Symbol" w:hAnsi="Symbol"/>
      </w:rPr>
    </w:lvl>
    <w:lvl w:ilvl="7" w:tplc="BE148A28">
      <w:start w:val="1"/>
      <w:numFmt w:val="bullet"/>
      <w:lvlText w:val=""/>
      <w:lvlJc w:val="left"/>
      <w:pPr>
        <w:ind w:left="720" w:hanging="360"/>
      </w:pPr>
      <w:rPr>
        <w:rFonts w:ascii="Symbol" w:hAnsi="Symbol"/>
      </w:rPr>
    </w:lvl>
    <w:lvl w:ilvl="8" w:tplc="CB785FAE">
      <w:start w:val="1"/>
      <w:numFmt w:val="bullet"/>
      <w:lvlText w:val=""/>
      <w:lvlJc w:val="left"/>
      <w:pPr>
        <w:ind w:left="720" w:hanging="360"/>
      </w:pPr>
      <w:rPr>
        <w:rFonts w:ascii="Symbol" w:hAnsi="Symbol"/>
      </w:rPr>
    </w:lvl>
  </w:abstractNum>
  <w:abstractNum w:abstractNumId="19" w15:restartNumberingAfterBreak="0">
    <w:nsid w:val="2ADD2A8F"/>
    <w:multiLevelType w:val="hybridMultilevel"/>
    <w:tmpl w:val="D2A6BBC8"/>
    <w:lvl w:ilvl="0" w:tplc="59A48074">
      <w:start w:val="1"/>
      <w:numFmt w:val="bullet"/>
      <w:lvlText w:val=""/>
      <w:lvlJc w:val="left"/>
      <w:pPr>
        <w:ind w:left="720" w:hanging="360"/>
      </w:pPr>
      <w:rPr>
        <w:rFonts w:ascii="Symbol" w:hAnsi="Symbol"/>
      </w:rPr>
    </w:lvl>
    <w:lvl w:ilvl="1" w:tplc="413AC61A">
      <w:start w:val="1"/>
      <w:numFmt w:val="bullet"/>
      <w:lvlText w:val=""/>
      <w:lvlJc w:val="left"/>
      <w:pPr>
        <w:ind w:left="720" w:hanging="360"/>
      </w:pPr>
      <w:rPr>
        <w:rFonts w:ascii="Symbol" w:hAnsi="Symbol"/>
      </w:rPr>
    </w:lvl>
    <w:lvl w:ilvl="2" w:tplc="6452057A">
      <w:start w:val="1"/>
      <w:numFmt w:val="bullet"/>
      <w:lvlText w:val=""/>
      <w:lvlJc w:val="left"/>
      <w:pPr>
        <w:ind w:left="720" w:hanging="360"/>
      </w:pPr>
      <w:rPr>
        <w:rFonts w:ascii="Symbol" w:hAnsi="Symbol"/>
      </w:rPr>
    </w:lvl>
    <w:lvl w:ilvl="3" w:tplc="784A48CE">
      <w:start w:val="1"/>
      <w:numFmt w:val="bullet"/>
      <w:lvlText w:val=""/>
      <w:lvlJc w:val="left"/>
      <w:pPr>
        <w:ind w:left="720" w:hanging="360"/>
      </w:pPr>
      <w:rPr>
        <w:rFonts w:ascii="Symbol" w:hAnsi="Symbol"/>
      </w:rPr>
    </w:lvl>
    <w:lvl w:ilvl="4" w:tplc="7B247166">
      <w:start w:val="1"/>
      <w:numFmt w:val="bullet"/>
      <w:lvlText w:val=""/>
      <w:lvlJc w:val="left"/>
      <w:pPr>
        <w:ind w:left="720" w:hanging="360"/>
      </w:pPr>
      <w:rPr>
        <w:rFonts w:ascii="Symbol" w:hAnsi="Symbol"/>
      </w:rPr>
    </w:lvl>
    <w:lvl w:ilvl="5" w:tplc="CDCE154E">
      <w:start w:val="1"/>
      <w:numFmt w:val="bullet"/>
      <w:lvlText w:val=""/>
      <w:lvlJc w:val="left"/>
      <w:pPr>
        <w:ind w:left="720" w:hanging="360"/>
      </w:pPr>
      <w:rPr>
        <w:rFonts w:ascii="Symbol" w:hAnsi="Symbol"/>
      </w:rPr>
    </w:lvl>
    <w:lvl w:ilvl="6" w:tplc="9CD87526">
      <w:start w:val="1"/>
      <w:numFmt w:val="bullet"/>
      <w:lvlText w:val=""/>
      <w:lvlJc w:val="left"/>
      <w:pPr>
        <w:ind w:left="720" w:hanging="360"/>
      </w:pPr>
      <w:rPr>
        <w:rFonts w:ascii="Symbol" w:hAnsi="Symbol"/>
      </w:rPr>
    </w:lvl>
    <w:lvl w:ilvl="7" w:tplc="C52E08EA">
      <w:start w:val="1"/>
      <w:numFmt w:val="bullet"/>
      <w:lvlText w:val=""/>
      <w:lvlJc w:val="left"/>
      <w:pPr>
        <w:ind w:left="720" w:hanging="360"/>
      </w:pPr>
      <w:rPr>
        <w:rFonts w:ascii="Symbol" w:hAnsi="Symbol"/>
      </w:rPr>
    </w:lvl>
    <w:lvl w:ilvl="8" w:tplc="585E60E8">
      <w:start w:val="1"/>
      <w:numFmt w:val="bullet"/>
      <w:lvlText w:val=""/>
      <w:lvlJc w:val="left"/>
      <w:pPr>
        <w:ind w:left="720" w:hanging="360"/>
      </w:pPr>
      <w:rPr>
        <w:rFonts w:ascii="Symbol" w:hAnsi="Symbol"/>
      </w:rPr>
    </w:lvl>
  </w:abstractNum>
  <w:abstractNum w:abstractNumId="20" w15:restartNumberingAfterBreak="0">
    <w:nsid w:val="2D3A3449"/>
    <w:multiLevelType w:val="hybridMultilevel"/>
    <w:tmpl w:val="276EF3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2FCD17E9"/>
    <w:multiLevelType w:val="hybridMultilevel"/>
    <w:tmpl w:val="DA406C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34427BF3"/>
    <w:multiLevelType w:val="hybridMultilevel"/>
    <w:tmpl w:val="EE302AEE"/>
    <w:lvl w:ilvl="0" w:tplc="71F4297A">
      <w:start w:val="1"/>
      <w:numFmt w:val="bullet"/>
      <w:lvlText w:val=""/>
      <w:lvlJc w:val="left"/>
      <w:pPr>
        <w:ind w:left="720" w:hanging="360"/>
      </w:pPr>
      <w:rPr>
        <w:rFonts w:ascii="Symbol" w:hAnsi="Symbol"/>
      </w:rPr>
    </w:lvl>
    <w:lvl w:ilvl="1" w:tplc="92F897E2">
      <w:start w:val="1"/>
      <w:numFmt w:val="bullet"/>
      <w:lvlText w:val=""/>
      <w:lvlJc w:val="left"/>
      <w:pPr>
        <w:ind w:left="720" w:hanging="360"/>
      </w:pPr>
      <w:rPr>
        <w:rFonts w:ascii="Symbol" w:hAnsi="Symbol"/>
      </w:rPr>
    </w:lvl>
    <w:lvl w:ilvl="2" w:tplc="5CB853E8">
      <w:start w:val="1"/>
      <w:numFmt w:val="bullet"/>
      <w:lvlText w:val=""/>
      <w:lvlJc w:val="left"/>
      <w:pPr>
        <w:ind w:left="720" w:hanging="360"/>
      </w:pPr>
      <w:rPr>
        <w:rFonts w:ascii="Symbol" w:hAnsi="Symbol"/>
      </w:rPr>
    </w:lvl>
    <w:lvl w:ilvl="3" w:tplc="6780F91A">
      <w:start w:val="1"/>
      <w:numFmt w:val="bullet"/>
      <w:lvlText w:val=""/>
      <w:lvlJc w:val="left"/>
      <w:pPr>
        <w:ind w:left="720" w:hanging="360"/>
      </w:pPr>
      <w:rPr>
        <w:rFonts w:ascii="Symbol" w:hAnsi="Symbol"/>
      </w:rPr>
    </w:lvl>
    <w:lvl w:ilvl="4" w:tplc="0CEC25C0">
      <w:start w:val="1"/>
      <w:numFmt w:val="bullet"/>
      <w:lvlText w:val=""/>
      <w:lvlJc w:val="left"/>
      <w:pPr>
        <w:ind w:left="720" w:hanging="360"/>
      </w:pPr>
      <w:rPr>
        <w:rFonts w:ascii="Symbol" w:hAnsi="Symbol"/>
      </w:rPr>
    </w:lvl>
    <w:lvl w:ilvl="5" w:tplc="BDC4C0A2">
      <w:start w:val="1"/>
      <w:numFmt w:val="bullet"/>
      <w:lvlText w:val=""/>
      <w:lvlJc w:val="left"/>
      <w:pPr>
        <w:ind w:left="720" w:hanging="360"/>
      </w:pPr>
      <w:rPr>
        <w:rFonts w:ascii="Symbol" w:hAnsi="Symbol"/>
      </w:rPr>
    </w:lvl>
    <w:lvl w:ilvl="6" w:tplc="96E68E46">
      <w:start w:val="1"/>
      <w:numFmt w:val="bullet"/>
      <w:lvlText w:val=""/>
      <w:lvlJc w:val="left"/>
      <w:pPr>
        <w:ind w:left="720" w:hanging="360"/>
      </w:pPr>
      <w:rPr>
        <w:rFonts w:ascii="Symbol" w:hAnsi="Symbol"/>
      </w:rPr>
    </w:lvl>
    <w:lvl w:ilvl="7" w:tplc="B3CC4102">
      <w:start w:val="1"/>
      <w:numFmt w:val="bullet"/>
      <w:lvlText w:val=""/>
      <w:lvlJc w:val="left"/>
      <w:pPr>
        <w:ind w:left="720" w:hanging="360"/>
      </w:pPr>
      <w:rPr>
        <w:rFonts w:ascii="Symbol" w:hAnsi="Symbol"/>
      </w:rPr>
    </w:lvl>
    <w:lvl w:ilvl="8" w:tplc="7B167AE6">
      <w:start w:val="1"/>
      <w:numFmt w:val="bullet"/>
      <w:lvlText w:val=""/>
      <w:lvlJc w:val="left"/>
      <w:pPr>
        <w:ind w:left="720" w:hanging="360"/>
      </w:pPr>
      <w:rPr>
        <w:rFonts w:ascii="Symbol" w:hAnsi="Symbol"/>
      </w:rPr>
    </w:lvl>
  </w:abstractNum>
  <w:abstractNum w:abstractNumId="23" w15:restartNumberingAfterBreak="0">
    <w:nsid w:val="352C158E"/>
    <w:multiLevelType w:val="hybridMultilevel"/>
    <w:tmpl w:val="157CA7C6"/>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F33008"/>
    <w:multiLevelType w:val="hybridMultilevel"/>
    <w:tmpl w:val="B45A6D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38053D5"/>
    <w:multiLevelType w:val="hybridMultilevel"/>
    <w:tmpl w:val="94981D30"/>
    <w:lvl w:ilvl="0" w:tplc="2F204C6C">
      <w:start w:val="1"/>
      <w:numFmt w:val="bullet"/>
      <w:lvlText w:val=""/>
      <w:lvlJc w:val="left"/>
      <w:pPr>
        <w:ind w:left="720" w:hanging="360"/>
      </w:pPr>
      <w:rPr>
        <w:rFonts w:ascii="Symbol" w:hAnsi="Symbol"/>
      </w:rPr>
    </w:lvl>
    <w:lvl w:ilvl="1" w:tplc="2A7E7224">
      <w:start w:val="1"/>
      <w:numFmt w:val="bullet"/>
      <w:lvlText w:val=""/>
      <w:lvlJc w:val="left"/>
      <w:pPr>
        <w:ind w:left="720" w:hanging="360"/>
      </w:pPr>
      <w:rPr>
        <w:rFonts w:ascii="Symbol" w:hAnsi="Symbol"/>
      </w:rPr>
    </w:lvl>
    <w:lvl w:ilvl="2" w:tplc="70784230">
      <w:start w:val="1"/>
      <w:numFmt w:val="bullet"/>
      <w:lvlText w:val=""/>
      <w:lvlJc w:val="left"/>
      <w:pPr>
        <w:ind w:left="720" w:hanging="360"/>
      </w:pPr>
      <w:rPr>
        <w:rFonts w:ascii="Symbol" w:hAnsi="Symbol"/>
      </w:rPr>
    </w:lvl>
    <w:lvl w:ilvl="3" w:tplc="AC385C9E">
      <w:start w:val="1"/>
      <w:numFmt w:val="bullet"/>
      <w:lvlText w:val=""/>
      <w:lvlJc w:val="left"/>
      <w:pPr>
        <w:ind w:left="720" w:hanging="360"/>
      </w:pPr>
      <w:rPr>
        <w:rFonts w:ascii="Symbol" w:hAnsi="Symbol"/>
      </w:rPr>
    </w:lvl>
    <w:lvl w:ilvl="4" w:tplc="7F10175C">
      <w:start w:val="1"/>
      <w:numFmt w:val="bullet"/>
      <w:lvlText w:val=""/>
      <w:lvlJc w:val="left"/>
      <w:pPr>
        <w:ind w:left="720" w:hanging="360"/>
      </w:pPr>
      <w:rPr>
        <w:rFonts w:ascii="Symbol" w:hAnsi="Symbol"/>
      </w:rPr>
    </w:lvl>
    <w:lvl w:ilvl="5" w:tplc="9EB2AF46">
      <w:start w:val="1"/>
      <w:numFmt w:val="bullet"/>
      <w:lvlText w:val=""/>
      <w:lvlJc w:val="left"/>
      <w:pPr>
        <w:ind w:left="720" w:hanging="360"/>
      </w:pPr>
      <w:rPr>
        <w:rFonts w:ascii="Symbol" w:hAnsi="Symbol"/>
      </w:rPr>
    </w:lvl>
    <w:lvl w:ilvl="6" w:tplc="9E800BC4">
      <w:start w:val="1"/>
      <w:numFmt w:val="bullet"/>
      <w:lvlText w:val=""/>
      <w:lvlJc w:val="left"/>
      <w:pPr>
        <w:ind w:left="720" w:hanging="360"/>
      </w:pPr>
      <w:rPr>
        <w:rFonts w:ascii="Symbol" w:hAnsi="Symbol"/>
      </w:rPr>
    </w:lvl>
    <w:lvl w:ilvl="7" w:tplc="9944335E">
      <w:start w:val="1"/>
      <w:numFmt w:val="bullet"/>
      <w:lvlText w:val=""/>
      <w:lvlJc w:val="left"/>
      <w:pPr>
        <w:ind w:left="720" w:hanging="360"/>
      </w:pPr>
      <w:rPr>
        <w:rFonts w:ascii="Symbol" w:hAnsi="Symbol"/>
      </w:rPr>
    </w:lvl>
    <w:lvl w:ilvl="8" w:tplc="0B52AAD4">
      <w:start w:val="1"/>
      <w:numFmt w:val="bullet"/>
      <w:lvlText w:val=""/>
      <w:lvlJc w:val="left"/>
      <w:pPr>
        <w:ind w:left="720" w:hanging="360"/>
      </w:pPr>
      <w:rPr>
        <w:rFonts w:ascii="Symbol" w:hAnsi="Symbol"/>
      </w:rPr>
    </w:lvl>
  </w:abstractNum>
  <w:abstractNum w:abstractNumId="26" w15:restartNumberingAfterBreak="0">
    <w:nsid w:val="452B56C8"/>
    <w:multiLevelType w:val="hybridMultilevel"/>
    <w:tmpl w:val="747AD4D2"/>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5F0409D"/>
    <w:multiLevelType w:val="hybridMultilevel"/>
    <w:tmpl w:val="27F8A894"/>
    <w:lvl w:ilvl="0" w:tplc="C8E46CCC">
      <w:start w:val="1"/>
      <w:numFmt w:val="bullet"/>
      <w:lvlText w:val=""/>
      <w:lvlJc w:val="left"/>
      <w:pPr>
        <w:ind w:left="720" w:hanging="360"/>
      </w:pPr>
      <w:rPr>
        <w:rFonts w:ascii="Symbol" w:hAnsi="Symbol"/>
      </w:rPr>
    </w:lvl>
    <w:lvl w:ilvl="1" w:tplc="42BC9A66">
      <w:start w:val="1"/>
      <w:numFmt w:val="bullet"/>
      <w:lvlText w:val=""/>
      <w:lvlJc w:val="left"/>
      <w:pPr>
        <w:ind w:left="720" w:hanging="360"/>
      </w:pPr>
      <w:rPr>
        <w:rFonts w:ascii="Symbol" w:hAnsi="Symbol"/>
      </w:rPr>
    </w:lvl>
    <w:lvl w:ilvl="2" w:tplc="A70C2C2C">
      <w:start w:val="1"/>
      <w:numFmt w:val="bullet"/>
      <w:lvlText w:val=""/>
      <w:lvlJc w:val="left"/>
      <w:pPr>
        <w:ind w:left="720" w:hanging="360"/>
      </w:pPr>
      <w:rPr>
        <w:rFonts w:ascii="Symbol" w:hAnsi="Symbol"/>
      </w:rPr>
    </w:lvl>
    <w:lvl w:ilvl="3" w:tplc="DB169C20">
      <w:start w:val="1"/>
      <w:numFmt w:val="bullet"/>
      <w:lvlText w:val=""/>
      <w:lvlJc w:val="left"/>
      <w:pPr>
        <w:ind w:left="720" w:hanging="360"/>
      </w:pPr>
      <w:rPr>
        <w:rFonts w:ascii="Symbol" w:hAnsi="Symbol"/>
      </w:rPr>
    </w:lvl>
    <w:lvl w:ilvl="4" w:tplc="EE8054D6">
      <w:start w:val="1"/>
      <w:numFmt w:val="bullet"/>
      <w:lvlText w:val=""/>
      <w:lvlJc w:val="left"/>
      <w:pPr>
        <w:ind w:left="720" w:hanging="360"/>
      </w:pPr>
      <w:rPr>
        <w:rFonts w:ascii="Symbol" w:hAnsi="Symbol"/>
      </w:rPr>
    </w:lvl>
    <w:lvl w:ilvl="5" w:tplc="E9725BDA">
      <w:start w:val="1"/>
      <w:numFmt w:val="bullet"/>
      <w:lvlText w:val=""/>
      <w:lvlJc w:val="left"/>
      <w:pPr>
        <w:ind w:left="720" w:hanging="360"/>
      </w:pPr>
      <w:rPr>
        <w:rFonts w:ascii="Symbol" w:hAnsi="Symbol"/>
      </w:rPr>
    </w:lvl>
    <w:lvl w:ilvl="6" w:tplc="357E910A">
      <w:start w:val="1"/>
      <w:numFmt w:val="bullet"/>
      <w:lvlText w:val=""/>
      <w:lvlJc w:val="left"/>
      <w:pPr>
        <w:ind w:left="720" w:hanging="360"/>
      </w:pPr>
      <w:rPr>
        <w:rFonts w:ascii="Symbol" w:hAnsi="Symbol"/>
      </w:rPr>
    </w:lvl>
    <w:lvl w:ilvl="7" w:tplc="BF78DF36">
      <w:start w:val="1"/>
      <w:numFmt w:val="bullet"/>
      <w:lvlText w:val=""/>
      <w:lvlJc w:val="left"/>
      <w:pPr>
        <w:ind w:left="720" w:hanging="360"/>
      </w:pPr>
      <w:rPr>
        <w:rFonts w:ascii="Symbol" w:hAnsi="Symbol"/>
      </w:rPr>
    </w:lvl>
    <w:lvl w:ilvl="8" w:tplc="A6CC89E6">
      <w:start w:val="1"/>
      <w:numFmt w:val="bullet"/>
      <w:lvlText w:val=""/>
      <w:lvlJc w:val="left"/>
      <w:pPr>
        <w:ind w:left="720" w:hanging="360"/>
      </w:pPr>
      <w:rPr>
        <w:rFonts w:ascii="Symbol" w:hAnsi="Symbol"/>
      </w:rPr>
    </w:lvl>
  </w:abstractNum>
  <w:abstractNum w:abstractNumId="28" w15:restartNumberingAfterBreak="0">
    <w:nsid w:val="472E7F04"/>
    <w:multiLevelType w:val="multilevel"/>
    <w:tmpl w:val="211A5486"/>
    <w:lvl w:ilvl="0">
      <w:start w:val="1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7570E44"/>
    <w:multiLevelType w:val="hybridMultilevel"/>
    <w:tmpl w:val="8EF48F7A"/>
    <w:lvl w:ilvl="0" w:tplc="30DEFA72">
      <w:numFmt w:val="bullet"/>
      <w:lvlText w:val="-"/>
      <w:lvlJc w:val="left"/>
      <w:pPr>
        <w:ind w:left="720" w:hanging="360"/>
      </w:pPr>
      <w:rPr>
        <w:rFonts w:ascii="Arial" w:eastAsia="Hiragino Kaku Gothic Pro W3"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4C6B6149"/>
    <w:multiLevelType w:val="hybridMultilevel"/>
    <w:tmpl w:val="F5509E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4E491BDA"/>
    <w:multiLevelType w:val="hybridMultilevel"/>
    <w:tmpl w:val="F15AC176"/>
    <w:lvl w:ilvl="0" w:tplc="5FDE2D0E">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AE41FE"/>
    <w:multiLevelType w:val="hybridMultilevel"/>
    <w:tmpl w:val="C27EF106"/>
    <w:lvl w:ilvl="0" w:tplc="1C261E06">
      <w:start w:val="1"/>
      <w:numFmt w:val="bullet"/>
      <w:lvlText w:val=""/>
      <w:lvlJc w:val="left"/>
      <w:pPr>
        <w:ind w:left="720" w:hanging="360"/>
      </w:pPr>
      <w:rPr>
        <w:rFonts w:ascii="Symbol" w:hAnsi="Symbol"/>
      </w:rPr>
    </w:lvl>
    <w:lvl w:ilvl="1" w:tplc="381CF8E2">
      <w:start w:val="1"/>
      <w:numFmt w:val="bullet"/>
      <w:lvlText w:val=""/>
      <w:lvlJc w:val="left"/>
      <w:pPr>
        <w:ind w:left="720" w:hanging="360"/>
      </w:pPr>
      <w:rPr>
        <w:rFonts w:ascii="Symbol" w:hAnsi="Symbol"/>
      </w:rPr>
    </w:lvl>
    <w:lvl w:ilvl="2" w:tplc="9446C126">
      <w:start w:val="1"/>
      <w:numFmt w:val="bullet"/>
      <w:lvlText w:val=""/>
      <w:lvlJc w:val="left"/>
      <w:pPr>
        <w:ind w:left="720" w:hanging="360"/>
      </w:pPr>
      <w:rPr>
        <w:rFonts w:ascii="Symbol" w:hAnsi="Symbol"/>
      </w:rPr>
    </w:lvl>
    <w:lvl w:ilvl="3" w:tplc="45F8C538">
      <w:start w:val="1"/>
      <w:numFmt w:val="bullet"/>
      <w:lvlText w:val=""/>
      <w:lvlJc w:val="left"/>
      <w:pPr>
        <w:ind w:left="720" w:hanging="360"/>
      </w:pPr>
      <w:rPr>
        <w:rFonts w:ascii="Symbol" w:hAnsi="Symbol"/>
      </w:rPr>
    </w:lvl>
    <w:lvl w:ilvl="4" w:tplc="8C006758">
      <w:start w:val="1"/>
      <w:numFmt w:val="bullet"/>
      <w:lvlText w:val=""/>
      <w:lvlJc w:val="left"/>
      <w:pPr>
        <w:ind w:left="720" w:hanging="360"/>
      </w:pPr>
      <w:rPr>
        <w:rFonts w:ascii="Symbol" w:hAnsi="Symbol"/>
      </w:rPr>
    </w:lvl>
    <w:lvl w:ilvl="5" w:tplc="F6F851E6">
      <w:start w:val="1"/>
      <w:numFmt w:val="bullet"/>
      <w:lvlText w:val=""/>
      <w:lvlJc w:val="left"/>
      <w:pPr>
        <w:ind w:left="720" w:hanging="360"/>
      </w:pPr>
      <w:rPr>
        <w:rFonts w:ascii="Symbol" w:hAnsi="Symbol"/>
      </w:rPr>
    </w:lvl>
    <w:lvl w:ilvl="6" w:tplc="4998D9C0">
      <w:start w:val="1"/>
      <w:numFmt w:val="bullet"/>
      <w:lvlText w:val=""/>
      <w:lvlJc w:val="left"/>
      <w:pPr>
        <w:ind w:left="720" w:hanging="360"/>
      </w:pPr>
      <w:rPr>
        <w:rFonts w:ascii="Symbol" w:hAnsi="Symbol"/>
      </w:rPr>
    </w:lvl>
    <w:lvl w:ilvl="7" w:tplc="4CD610BC">
      <w:start w:val="1"/>
      <w:numFmt w:val="bullet"/>
      <w:lvlText w:val=""/>
      <w:lvlJc w:val="left"/>
      <w:pPr>
        <w:ind w:left="720" w:hanging="360"/>
      </w:pPr>
      <w:rPr>
        <w:rFonts w:ascii="Symbol" w:hAnsi="Symbol"/>
      </w:rPr>
    </w:lvl>
    <w:lvl w:ilvl="8" w:tplc="5D2CEA0C">
      <w:start w:val="1"/>
      <w:numFmt w:val="bullet"/>
      <w:lvlText w:val=""/>
      <w:lvlJc w:val="left"/>
      <w:pPr>
        <w:ind w:left="720" w:hanging="360"/>
      </w:pPr>
      <w:rPr>
        <w:rFonts w:ascii="Symbol" w:hAnsi="Symbol"/>
      </w:rPr>
    </w:lvl>
  </w:abstractNum>
  <w:abstractNum w:abstractNumId="33" w15:restartNumberingAfterBreak="0">
    <w:nsid w:val="5CBE1C60"/>
    <w:multiLevelType w:val="hybridMultilevel"/>
    <w:tmpl w:val="3FCCD3CA"/>
    <w:lvl w:ilvl="0" w:tplc="1F822A5C">
      <w:start w:val="1"/>
      <w:numFmt w:val="decimal"/>
      <w:lvlText w:val="%1."/>
      <w:lvlJc w:val="left"/>
      <w:pPr>
        <w:ind w:left="644" w:hanging="360"/>
      </w:pPr>
      <w:rPr>
        <w:rFonts w:ascii="Arial" w:hAnsi="Arial" w:cs="Arial" w:hint="default"/>
        <w:sz w:val="22"/>
        <w:szCs w:val="22"/>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4" w15:restartNumberingAfterBreak="0">
    <w:nsid w:val="6089357B"/>
    <w:multiLevelType w:val="hybridMultilevel"/>
    <w:tmpl w:val="E01AD1E6"/>
    <w:lvl w:ilvl="0" w:tplc="04090005">
      <w:start w:val="1"/>
      <w:numFmt w:val="bullet"/>
      <w:lvlText w:val=""/>
      <w:lvlJc w:val="left"/>
      <w:pPr>
        <w:ind w:left="1434" w:hanging="360"/>
      </w:pPr>
      <w:rPr>
        <w:rFonts w:ascii="Wingdings" w:hAnsi="Wingdings"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35" w15:restartNumberingAfterBreak="0">
    <w:nsid w:val="668717C2"/>
    <w:multiLevelType w:val="hybridMultilevel"/>
    <w:tmpl w:val="6E9E0890"/>
    <w:lvl w:ilvl="0" w:tplc="0409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6" w15:restartNumberingAfterBreak="0">
    <w:nsid w:val="67B15025"/>
    <w:multiLevelType w:val="hybridMultilevel"/>
    <w:tmpl w:val="DCAA1E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8E97351"/>
    <w:multiLevelType w:val="hybridMultilevel"/>
    <w:tmpl w:val="5950E178"/>
    <w:lvl w:ilvl="0" w:tplc="57E2CD6E">
      <w:start w:val="1"/>
      <w:numFmt w:val="bullet"/>
      <w:lvlText w:val=""/>
      <w:lvlJc w:val="left"/>
      <w:pPr>
        <w:ind w:left="720" w:hanging="360"/>
      </w:pPr>
      <w:rPr>
        <w:rFonts w:ascii="Symbol" w:hAnsi="Symbol"/>
      </w:rPr>
    </w:lvl>
    <w:lvl w:ilvl="1" w:tplc="B1E2BD92">
      <w:start w:val="1"/>
      <w:numFmt w:val="bullet"/>
      <w:lvlText w:val=""/>
      <w:lvlJc w:val="left"/>
      <w:pPr>
        <w:ind w:left="720" w:hanging="360"/>
      </w:pPr>
      <w:rPr>
        <w:rFonts w:ascii="Symbol" w:hAnsi="Symbol"/>
      </w:rPr>
    </w:lvl>
    <w:lvl w:ilvl="2" w:tplc="190AEAFA">
      <w:start w:val="1"/>
      <w:numFmt w:val="bullet"/>
      <w:lvlText w:val=""/>
      <w:lvlJc w:val="left"/>
      <w:pPr>
        <w:ind w:left="720" w:hanging="360"/>
      </w:pPr>
      <w:rPr>
        <w:rFonts w:ascii="Symbol" w:hAnsi="Symbol"/>
      </w:rPr>
    </w:lvl>
    <w:lvl w:ilvl="3" w:tplc="2E68AD04">
      <w:start w:val="1"/>
      <w:numFmt w:val="bullet"/>
      <w:lvlText w:val=""/>
      <w:lvlJc w:val="left"/>
      <w:pPr>
        <w:ind w:left="720" w:hanging="360"/>
      </w:pPr>
      <w:rPr>
        <w:rFonts w:ascii="Symbol" w:hAnsi="Symbol"/>
      </w:rPr>
    </w:lvl>
    <w:lvl w:ilvl="4" w:tplc="19D42A8C">
      <w:start w:val="1"/>
      <w:numFmt w:val="bullet"/>
      <w:lvlText w:val=""/>
      <w:lvlJc w:val="left"/>
      <w:pPr>
        <w:ind w:left="720" w:hanging="360"/>
      </w:pPr>
      <w:rPr>
        <w:rFonts w:ascii="Symbol" w:hAnsi="Symbol"/>
      </w:rPr>
    </w:lvl>
    <w:lvl w:ilvl="5" w:tplc="BADACF9C">
      <w:start w:val="1"/>
      <w:numFmt w:val="bullet"/>
      <w:lvlText w:val=""/>
      <w:lvlJc w:val="left"/>
      <w:pPr>
        <w:ind w:left="720" w:hanging="360"/>
      </w:pPr>
      <w:rPr>
        <w:rFonts w:ascii="Symbol" w:hAnsi="Symbol"/>
      </w:rPr>
    </w:lvl>
    <w:lvl w:ilvl="6" w:tplc="5408449E">
      <w:start w:val="1"/>
      <w:numFmt w:val="bullet"/>
      <w:lvlText w:val=""/>
      <w:lvlJc w:val="left"/>
      <w:pPr>
        <w:ind w:left="720" w:hanging="360"/>
      </w:pPr>
      <w:rPr>
        <w:rFonts w:ascii="Symbol" w:hAnsi="Symbol"/>
      </w:rPr>
    </w:lvl>
    <w:lvl w:ilvl="7" w:tplc="B0A6785E">
      <w:start w:val="1"/>
      <w:numFmt w:val="bullet"/>
      <w:lvlText w:val=""/>
      <w:lvlJc w:val="left"/>
      <w:pPr>
        <w:ind w:left="720" w:hanging="360"/>
      </w:pPr>
      <w:rPr>
        <w:rFonts w:ascii="Symbol" w:hAnsi="Symbol"/>
      </w:rPr>
    </w:lvl>
    <w:lvl w:ilvl="8" w:tplc="53205100">
      <w:start w:val="1"/>
      <w:numFmt w:val="bullet"/>
      <w:lvlText w:val=""/>
      <w:lvlJc w:val="left"/>
      <w:pPr>
        <w:ind w:left="720" w:hanging="360"/>
      </w:pPr>
      <w:rPr>
        <w:rFonts w:ascii="Symbol" w:hAnsi="Symbol"/>
      </w:rPr>
    </w:lvl>
  </w:abstractNum>
  <w:abstractNum w:abstractNumId="38" w15:restartNumberingAfterBreak="0">
    <w:nsid w:val="6B6D7C61"/>
    <w:multiLevelType w:val="hybridMultilevel"/>
    <w:tmpl w:val="D78CB0CC"/>
    <w:lvl w:ilvl="0" w:tplc="04090005">
      <w:start w:val="1"/>
      <w:numFmt w:val="bullet"/>
      <w:lvlText w:val=""/>
      <w:lvlJc w:val="left"/>
      <w:pPr>
        <w:ind w:left="1434" w:hanging="360"/>
      </w:pPr>
      <w:rPr>
        <w:rFonts w:ascii="Wingdings" w:hAnsi="Wingdings"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39" w15:restartNumberingAfterBreak="0">
    <w:nsid w:val="6D7438E4"/>
    <w:multiLevelType w:val="multilevel"/>
    <w:tmpl w:val="97200F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DE40FF6"/>
    <w:multiLevelType w:val="hybridMultilevel"/>
    <w:tmpl w:val="0E5AF76C"/>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1" w15:restartNumberingAfterBreak="0">
    <w:nsid w:val="70D14764"/>
    <w:multiLevelType w:val="hybridMultilevel"/>
    <w:tmpl w:val="10807B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211"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7C98297D"/>
    <w:multiLevelType w:val="hybridMultilevel"/>
    <w:tmpl w:val="DA404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D0866FB"/>
    <w:multiLevelType w:val="multilevel"/>
    <w:tmpl w:val="D44056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D307DC5"/>
    <w:multiLevelType w:val="hybridMultilevel"/>
    <w:tmpl w:val="390043C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5" w15:restartNumberingAfterBreak="0">
    <w:nsid w:val="7E111436"/>
    <w:multiLevelType w:val="hybridMultilevel"/>
    <w:tmpl w:val="F1AAC2D8"/>
    <w:lvl w:ilvl="0" w:tplc="FB6AC820">
      <w:numFmt w:val="bullet"/>
      <w:lvlText w:val=""/>
      <w:lvlJc w:val="left"/>
      <w:pPr>
        <w:ind w:left="840" w:hanging="360"/>
      </w:pPr>
      <w:rPr>
        <w:rFonts w:ascii="Wingdings" w:eastAsia="Wingdings" w:hAnsi="Wingdings" w:cs="Wingdings" w:hint="default"/>
        <w:sz w:val="24"/>
      </w:rPr>
    </w:lvl>
    <w:lvl w:ilvl="1" w:tplc="10090003" w:tentative="1">
      <w:start w:val="1"/>
      <w:numFmt w:val="bullet"/>
      <w:lvlText w:val="o"/>
      <w:lvlJc w:val="left"/>
      <w:pPr>
        <w:ind w:left="1560" w:hanging="360"/>
      </w:pPr>
      <w:rPr>
        <w:rFonts w:ascii="Courier New" w:hAnsi="Courier New" w:cs="Courier New" w:hint="default"/>
      </w:rPr>
    </w:lvl>
    <w:lvl w:ilvl="2" w:tplc="10090005" w:tentative="1">
      <w:start w:val="1"/>
      <w:numFmt w:val="bullet"/>
      <w:lvlText w:val=""/>
      <w:lvlJc w:val="left"/>
      <w:pPr>
        <w:ind w:left="2280" w:hanging="360"/>
      </w:pPr>
      <w:rPr>
        <w:rFonts w:ascii="Wingdings" w:hAnsi="Wingdings" w:hint="default"/>
      </w:rPr>
    </w:lvl>
    <w:lvl w:ilvl="3" w:tplc="10090001" w:tentative="1">
      <w:start w:val="1"/>
      <w:numFmt w:val="bullet"/>
      <w:lvlText w:val=""/>
      <w:lvlJc w:val="left"/>
      <w:pPr>
        <w:ind w:left="3000" w:hanging="360"/>
      </w:pPr>
      <w:rPr>
        <w:rFonts w:ascii="Symbol" w:hAnsi="Symbol" w:hint="default"/>
      </w:rPr>
    </w:lvl>
    <w:lvl w:ilvl="4" w:tplc="10090003" w:tentative="1">
      <w:start w:val="1"/>
      <w:numFmt w:val="bullet"/>
      <w:lvlText w:val="o"/>
      <w:lvlJc w:val="left"/>
      <w:pPr>
        <w:ind w:left="3720" w:hanging="360"/>
      </w:pPr>
      <w:rPr>
        <w:rFonts w:ascii="Courier New" w:hAnsi="Courier New" w:cs="Courier New" w:hint="default"/>
      </w:rPr>
    </w:lvl>
    <w:lvl w:ilvl="5" w:tplc="10090005" w:tentative="1">
      <w:start w:val="1"/>
      <w:numFmt w:val="bullet"/>
      <w:lvlText w:val=""/>
      <w:lvlJc w:val="left"/>
      <w:pPr>
        <w:ind w:left="4440" w:hanging="360"/>
      </w:pPr>
      <w:rPr>
        <w:rFonts w:ascii="Wingdings" w:hAnsi="Wingdings" w:hint="default"/>
      </w:rPr>
    </w:lvl>
    <w:lvl w:ilvl="6" w:tplc="10090001" w:tentative="1">
      <w:start w:val="1"/>
      <w:numFmt w:val="bullet"/>
      <w:lvlText w:val=""/>
      <w:lvlJc w:val="left"/>
      <w:pPr>
        <w:ind w:left="5160" w:hanging="360"/>
      </w:pPr>
      <w:rPr>
        <w:rFonts w:ascii="Symbol" w:hAnsi="Symbol" w:hint="default"/>
      </w:rPr>
    </w:lvl>
    <w:lvl w:ilvl="7" w:tplc="10090003" w:tentative="1">
      <w:start w:val="1"/>
      <w:numFmt w:val="bullet"/>
      <w:lvlText w:val="o"/>
      <w:lvlJc w:val="left"/>
      <w:pPr>
        <w:ind w:left="5880" w:hanging="360"/>
      </w:pPr>
      <w:rPr>
        <w:rFonts w:ascii="Courier New" w:hAnsi="Courier New" w:cs="Courier New" w:hint="default"/>
      </w:rPr>
    </w:lvl>
    <w:lvl w:ilvl="8" w:tplc="10090005" w:tentative="1">
      <w:start w:val="1"/>
      <w:numFmt w:val="bullet"/>
      <w:lvlText w:val=""/>
      <w:lvlJc w:val="left"/>
      <w:pPr>
        <w:ind w:left="6600" w:hanging="360"/>
      </w:pPr>
      <w:rPr>
        <w:rFonts w:ascii="Wingdings" w:hAnsi="Wingdings" w:hint="default"/>
      </w:rPr>
    </w:lvl>
  </w:abstractNum>
  <w:abstractNum w:abstractNumId="46" w15:restartNumberingAfterBreak="0">
    <w:nsid w:val="7E82243E"/>
    <w:multiLevelType w:val="hybridMultilevel"/>
    <w:tmpl w:val="23CCA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2794512">
    <w:abstractNumId w:val="0"/>
  </w:num>
  <w:num w:numId="2" w16cid:durableId="1864587400">
    <w:abstractNumId w:val="38"/>
  </w:num>
  <w:num w:numId="3" w16cid:durableId="1031344557">
    <w:abstractNumId w:val="36"/>
  </w:num>
  <w:num w:numId="4" w16cid:durableId="137846255">
    <w:abstractNumId w:val="11"/>
  </w:num>
  <w:num w:numId="5" w16cid:durableId="1141968189">
    <w:abstractNumId w:val="35"/>
  </w:num>
  <w:num w:numId="6" w16cid:durableId="902837409">
    <w:abstractNumId w:val="14"/>
  </w:num>
  <w:num w:numId="7" w16cid:durableId="789789444">
    <w:abstractNumId w:val="12"/>
  </w:num>
  <w:num w:numId="8" w16cid:durableId="958610493">
    <w:abstractNumId w:val="24"/>
  </w:num>
  <w:num w:numId="9" w16cid:durableId="1549607931">
    <w:abstractNumId w:val="5"/>
  </w:num>
  <w:num w:numId="10" w16cid:durableId="976838182">
    <w:abstractNumId w:val="1"/>
  </w:num>
  <w:num w:numId="11" w16cid:durableId="1893688977">
    <w:abstractNumId w:val="2"/>
  </w:num>
  <w:num w:numId="12" w16cid:durableId="653486982">
    <w:abstractNumId w:val="3"/>
  </w:num>
  <w:num w:numId="13" w16cid:durableId="2080589459">
    <w:abstractNumId w:val="34"/>
  </w:num>
  <w:num w:numId="14" w16cid:durableId="388771134">
    <w:abstractNumId w:val="28"/>
  </w:num>
  <w:num w:numId="15" w16cid:durableId="1894924542">
    <w:abstractNumId w:val="42"/>
  </w:num>
  <w:num w:numId="16" w16cid:durableId="1490054961">
    <w:abstractNumId w:val="46"/>
  </w:num>
  <w:num w:numId="17" w16cid:durableId="38821354">
    <w:abstractNumId w:val="44"/>
  </w:num>
  <w:num w:numId="18" w16cid:durableId="567350232">
    <w:abstractNumId w:val="16"/>
  </w:num>
  <w:num w:numId="19" w16cid:durableId="685398947">
    <w:abstractNumId w:val="29"/>
  </w:num>
  <w:num w:numId="20" w16cid:durableId="617370947">
    <w:abstractNumId w:val="30"/>
  </w:num>
  <w:num w:numId="21" w16cid:durableId="1621185081">
    <w:abstractNumId w:val="33"/>
  </w:num>
  <w:num w:numId="22" w16cid:durableId="1645961196">
    <w:abstractNumId w:val="31"/>
  </w:num>
  <w:num w:numId="23" w16cid:durableId="921526578">
    <w:abstractNumId w:val="6"/>
  </w:num>
  <w:num w:numId="24" w16cid:durableId="929242395">
    <w:abstractNumId w:val="6"/>
  </w:num>
  <w:num w:numId="25" w16cid:durableId="1395616876">
    <w:abstractNumId w:val="20"/>
  </w:num>
  <w:num w:numId="26" w16cid:durableId="1889948109">
    <w:abstractNumId w:val="26"/>
  </w:num>
  <w:num w:numId="27" w16cid:durableId="413015287">
    <w:abstractNumId w:val="23"/>
  </w:num>
  <w:num w:numId="28" w16cid:durableId="1199899959">
    <w:abstractNumId w:val="0"/>
  </w:num>
  <w:num w:numId="29" w16cid:durableId="575671603">
    <w:abstractNumId w:val="8"/>
  </w:num>
  <w:num w:numId="30" w16cid:durableId="759987452">
    <w:abstractNumId w:val="21"/>
  </w:num>
  <w:num w:numId="31" w16cid:durableId="555363599">
    <w:abstractNumId w:val="41"/>
  </w:num>
  <w:num w:numId="32" w16cid:durableId="1304391122">
    <w:abstractNumId w:val="9"/>
  </w:num>
  <w:num w:numId="33" w16cid:durableId="1874688797">
    <w:abstractNumId w:val="45"/>
  </w:num>
  <w:num w:numId="34" w16cid:durableId="1362977132">
    <w:abstractNumId w:val="39"/>
  </w:num>
  <w:num w:numId="35" w16cid:durableId="1621766121">
    <w:abstractNumId w:val="43"/>
  </w:num>
  <w:num w:numId="36" w16cid:durableId="602807710">
    <w:abstractNumId w:val="17"/>
  </w:num>
  <w:num w:numId="37" w16cid:durableId="734932928">
    <w:abstractNumId w:val="4"/>
  </w:num>
  <w:num w:numId="38" w16cid:durableId="1013149736">
    <w:abstractNumId w:val="7"/>
  </w:num>
  <w:num w:numId="39" w16cid:durableId="947153849">
    <w:abstractNumId w:val="22"/>
  </w:num>
  <w:num w:numId="40" w16cid:durableId="278269780">
    <w:abstractNumId w:val="18"/>
  </w:num>
  <w:num w:numId="41" w16cid:durableId="263345105">
    <w:abstractNumId w:val="25"/>
  </w:num>
  <w:num w:numId="42" w16cid:durableId="1693995530">
    <w:abstractNumId w:val="37"/>
  </w:num>
  <w:num w:numId="43" w16cid:durableId="1033076526">
    <w:abstractNumId w:val="32"/>
  </w:num>
  <w:num w:numId="44" w16cid:durableId="2145199875">
    <w:abstractNumId w:val="19"/>
  </w:num>
  <w:num w:numId="45" w16cid:durableId="1923371519">
    <w:abstractNumId w:val="27"/>
  </w:num>
  <w:num w:numId="46" w16cid:durableId="911739556">
    <w:abstractNumId w:val="40"/>
  </w:num>
  <w:num w:numId="47" w16cid:durableId="419763928">
    <w:abstractNumId w:val="13"/>
  </w:num>
  <w:num w:numId="48" w16cid:durableId="1996108730">
    <w:abstractNumId w:val="15"/>
  </w:num>
  <w:num w:numId="49" w16cid:durableId="4326262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noPunctuationKerning/>
  <w:characterSpacingControl w:val="doNotCompress"/>
  <w:hdrShapeDefaults>
    <o:shapedefaults v:ext="edit" spidmax="2050" style="mso-position-horizontal-relative:margin;mso-position-vertical-relative:margin" fill="f" fillcolor="white" stroke="f">
      <v:fill color="white" on="f"/>
      <v:stroke on="f"/>
    </o:shapedefaults>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B5B"/>
    <w:rsid w:val="00000358"/>
    <w:rsid w:val="0000236D"/>
    <w:rsid w:val="0000330A"/>
    <w:rsid w:val="000046C9"/>
    <w:rsid w:val="000047AD"/>
    <w:rsid w:val="00004982"/>
    <w:rsid w:val="00005A7F"/>
    <w:rsid w:val="0000704A"/>
    <w:rsid w:val="00007A5A"/>
    <w:rsid w:val="000116F8"/>
    <w:rsid w:val="00012226"/>
    <w:rsid w:val="000125BF"/>
    <w:rsid w:val="0001291D"/>
    <w:rsid w:val="00012AB8"/>
    <w:rsid w:val="000201A7"/>
    <w:rsid w:val="00020F8D"/>
    <w:rsid w:val="00024E84"/>
    <w:rsid w:val="000263E0"/>
    <w:rsid w:val="000302BB"/>
    <w:rsid w:val="0003046B"/>
    <w:rsid w:val="00030C82"/>
    <w:rsid w:val="00031A4A"/>
    <w:rsid w:val="00036BF1"/>
    <w:rsid w:val="00037A8E"/>
    <w:rsid w:val="000412EB"/>
    <w:rsid w:val="000415E9"/>
    <w:rsid w:val="000431C2"/>
    <w:rsid w:val="000440D7"/>
    <w:rsid w:val="0004432B"/>
    <w:rsid w:val="00044568"/>
    <w:rsid w:val="00044857"/>
    <w:rsid w:val="000453DC"/>
    <w:rsid w:val="00045915"/>
    <w:rsid w:val="00046B7D"/>
    <w:rsid w:val="0004753F"/>
    <w:rsid w:val="00047DBE"/>
    <w:rsid w:val="0005072D"/>
    <w:rsid w:val="0005088F"/>
    <w:rsid w:val="00050DF7"/>
    <w:rsid w:val="0005110E"/>
    <w:rsid w:val="0005136C"/>
    <w:rsid w:val="00051CBF"/>
    <w:rsid w:val="000528D0"/>
    <w:rsid w:val="00053E3C"/>
    <w:rsid w:val="00054A0B"/>
    <w:rsid w:val="00054D8B"/>
    <w:rsid w:val="0005654D"/>
    <w:rsid w:val="00056602"/>
    <w:rsid w:val="00056933"/>
    <w:rsid w:val="0005778A"/>
    <w:rsid w:val="000606CE"/>
    <w:rsid w:val="000606EE"/>
    <w:rsid w:val="00061647"/>
    <w:rsid w:val="000616D3"/>
    <w:rsid w:val="00061920"/>
    <w:rsid w:val="00062EEF"/>
    <w:rsid w:val="00063871"/>
    <w:rsid w:val="00063ADA"/>
    <w:rsid w:val="00064853"/>
    <w:rsid w:val="0006519A"/>
    <w:rsid w:val="00065F3D"/>
    <w:rsid w:val="0006611F"/>
    <w:rsid w:val="00070EBC"/>
    <w:rsid w:val="00071E8C"/>
    <w:rsid w:val="00072E91"/>
    <w:rsid w:val="0007574E"/>
    <w:rsid w:val="0008162D"/>
    <w:rsid w:val="000833CB"/>
    <w:rsid w:val="00083BC6"/>
    <w:rsid w:val="000845E5"/>
    <w:rsid w:val="00084C1A"/>
    <w:rsid w:val="00084ECA"/>
    <w:rsid w:val="0008606B"/>
    <w:rsid w:val="000869FD"/>
    <w:rsid w:val="00086D42"/>
    <w:rsid w:val="00092217"/>
    <w:rsid w:val="00093353"/>
    <w:rsid w:val="00094710"/>
    <w:rsid w:val="000955FC"/>
    <w:rsid w:val="00095A40"/>
    <w:rsid w:val="000961A3"/>
    <w:rsid w:val="00096FB7"/>
    <w:rsid w:val="00097ABF"/>
    <w:rsid w:val="000A15B6"/>
    <w:rsid w:val="000A163E"/>
    <w:rsid w:val="000A1C4A"/>
    <w:rsid w:val="000A21A9"/>
    <w:rsid w:val="000A2667"/>
    <w:rsid w:val="000A4AEA"/>
    <w:rsid w:val="000A5FB7"/>
    <w:rsid w:val="000A7D5B"/>
    <w:rsid w:val="000A7FC7"/>
    <w:rsid w:val="000B0B66"/>
    <w:rsid w:val="000B14F4"/>
    <w:rsid w:val="000B18D0"/>
    <w:rsid w:val="000B241C"/>
    <w:rsid w:val="000B2E37"/>
    <w:rsid w:val="000B33EF"/>
    <w:rsid w:val="000B3880"/>
    <w:rsid w:val="000B3DBC"/>
    <w:rsid w:val="000B6156"/>
    <w:rsid w:val="000B790A"/>
    <w:rsid w:val="000C2897"/>
    <w:rsid w:val="000C4109"/>
    <w:rsid w:val="000C4641"/>
    <w:rsid w:val="000C4A4D"/>
    <w:rsid w:val="000C575E"/>
    <w:rsid w:val="000C6C0B"/>
    <w:rsid w:val="000C75B8"/>
    <w:rsid w:val="000C769E"/>
    <w:rsid w:val="000D036A"/>
    <w:rsid w:val="000D0B28"/>
    <w:rsid w:val="000D1DFB"/>
    <w:rsid w:val="000D262D"/>
    <w:rsid w:val="000D37DE"/>
    <w:rsid w:val="000D5B84"/>
    <w:rsid w:val="000D7ADC"/>
    <w:rsid w:val="000E12B5"/>
    <w:rsid w:val="000E13AF"/>
    <w:rsid w:val="000E1953"/>
    <w:rsid w:val="000E23C3"/>
    <w:rsid w:val="000E3D03"/>
    <w:rsid w:val="000E5BC4"/>
    <w:rsid w:val="000E5C8E"/>
    <w:rsid w:val="000E6409"/>
    <w:rsid w:val="000E65A8"/>
    <w:rsid w:val="000F0DC9"/>
    <w:rsid w:val="000F11A9"/>
    <w:rsid w:val="000F2236"/>
    <w:rsid w:val="000F2BE9"/>
    <w:rsid w:val="000F3034"/>
    <w:rsid w:val="000F5787"/>
    <w:rsid w:val="000F5EB4"/>
    <w:rsid w:val="000F63B1"/>
    <w:rsid w:val="000F65D9"/>
    <w:rsid w:val="000F7101"/>
    <w:rsid w:val="0010035D"/>
    <w:rsid w:val="00100555"/>
    <w:rsid w:val="00100D72"/>
    <w:rsid w:val="00101807"/>
    <w:rsid w:val="00102192"/>
    <w:rsid w:val="001028D4"/>
    <w:rsid w:val="00103C30"/>
    <w:rsid w:val="00103D26"/>
    <w:rsid w:val="00104182"/>
    <w:rsid w:val="00104457"/>
    <w:rsid w:val="001063E9"/>
    <w:rsid w:val="0011040B"/>
    <w:rsid w:val="0011180E"/>
    <w:rsid w:val="00111B98"/>
    <w:rsid w:val="00112637"/>
    <w:rsid w:val="00112C45"/>
    <w:rsid w:val="00112E4E"/>
    <w:rsid w:val="0011316D"/>
    <w:rsid w:val="00114ACB"/>
    <w:rsid w:val="00116ED6"/>
    <w:rsid w:val="001174C7"/>
    <w:rsid w:val="00120951"/>
    <w:rsid w:val="001212E9"/>
    <w:rsid w:val="0012254B"/>
    <w:rsid w:val="00125339"/>
    <w:rsid w:val="0012584F"/>
    <w:rsid w:val="0012727B"/>
    <w:rsid w:val="00127693"/>
    <w:rsid w:val="00127ED2"/>
    <w:rsid w:val="00130119"/>
    <w:rsid w:val="001307AA"/>
    <w:rsid w:val="001308CF"/>
    <w:rsid w:val="00131DA3"/>
    <w:rsid w:val="00132882"/>
    <w:rsid w:val="00133D23"/>
    <w:rsid w:val="0013571F"/>
    <w:rsid w:val="00136619"/>
    <w:rsid w:val="00136764"/>
    <w:rsid w:val="00136F46"/>
    <w:rsid w:val="00140E76"/>
    <w:rsid w:val="00142153"/>
    <w:rsid w:val="001422C8"/>
    <w:rsid w:val="0014368C"/>
    <w:rsid w:val="00143EF5"/>
    <w:rsid w:val="00144470"/>
    <w:rsid w:val="00144B53"/>
    <w:rsid w:val="00145679"/>
    <w:rsid w:val="0014567D"/>
    <w:rsid w:val="00146D78"/>
    <w:rsid w:val="0015049C"/>
    <w:rsid w:val="001504E0"/>
    <w:rsid w:val="0015125F"/>
    <w:rsid w:val="00152215"/>
    <w:rsid w:val="0015311B"/>
    <w:rsid w:val="00154B32"/>
    <w:rsid w:val="00155B4D"/>
    <w:rsid w:val="00155CA4"/>
    <w:rsid w:val="001568A5"/>
    <w:rsid w:val="00157272"/>
    <w:rsid w:val="0015763E"/>
    <w:rsid w:val="00160A1C"/>
    <w:rsid w:val="00161806"/>
    <w:rsid w:val="00162395"/>
    <w:rsid w:val="00162D6D"/>
    <w:rsid w:val="00163875"/>
    <w:rsid w:val="00163E9E"/>
    <w:rsid w:val="00164EB4"/>
    <w:rsid w:val="00165FC3"/>
    <w:rsid w:val="00167549"/>
    <w:rsid w:val="00167B1B"/>
    <w:rsid w:val="001700C8"/>
    <w:rsid w:val="001706F8"/>
    <w:rsid w:val="00170A44"/>
    <w:rsid w:val="00174754"/>
    <w:rsid w:val="00175877"/>
    <w:rsid w:val="001758E7"/>
    <w:rsid w:val="00175CD3"/>
    <w:rsid w:val="00175F9B"/>
    <w:rsid w:val="001805F1"/>
    <w:rsid w:val="00182B06"/>
    <w:rsid w:val="0018478E"/>
    <w:rsid w:val="00185781"/>
    <w:rsid w:val="00192B53"/>
    <w:rsid w:val="0019331C"/>
    <w:rsid w:val="001949B0"/>
    <w:rsid w:val="00194FD3"/>
    <w:rsid w:val="00195542"/>
    <w:rsid w:val="00195706"/>
    <w:rsid w:val="001957D5"/>
    <w:rsid w:val="0019694E"/>
    <w:rsid w:val="001A03EB"/>
    <w:rsid w:val="001A0764"/>
    <w:rsid w:val="001A14B8"/>
    <w:rsid w:val="001A1D0E"/>
    <w:rsid w:val="001A2352"/>
    <w:rsid w:val="001A43C2"/>
    <w:rsid w:val="001A4E95"/>
    <w:rsid w:val="001A655A"/>
    <w:rsid w:val="001B0570"/>
    <w:rsid w:val="001B1591"/>
    <w:rsid w:val="001B7DFD"/>
    <w:rsid w:val="001C24EC"/>
    <w:rsid w:val="001C32C7"/>
    <w:rsid w:val="001C3460"/>
    <w:rsid w:val="001C36AD"/>
    <w:rsid w:val="001C3971"/>
    <w:rsid w:val="001C774A"/>
    <w:rsid w:val="001D0A79"/>
    <w:rsid w:val="001D1AED"/>
    <w:rsid w:val="001D2519"/>
    <w:rsid w:val="001D27AF"/>
    <w:rsid w:val="001D7739"/>
    <w:rsid w:val="001D7F6C"/>
    <w:rsid w:val="001E0324"/>
    <w:rsid w:val="001E4A2B"/>
    <w:rsid w:val="001E5720"/>
    <w:rsid w:val="001E5829"/>
    <w:rsid w:val="001E690F"/>
    <w:rsid w:val="001F0489"/>
    <w:rsid w:val="001F11F9"/>
    <w:rsid w:val="001F1EEF"/>
    <w:rsid w:val="001F240C"/>
    <w:rsid w:val="001F3224"/>
    <w:rsid w:val="001F44D6"/>
    <w:rsid w:val="001F51F1"/>
    <w:rsid w:val="001F72BB"/>
    <w:rsid w:val="002025A4"/>
    <w:rsid w:val="002033FA"/>
    <w:rsid w:val="002048A1"/>
    <w:rsid w:val="00204958"/>
    <w:rsid w:val="00204BB1"/>
    <w:rsid w:val="002057F3"/>
    <w:rsid w:val="0020604E"/>
    <w:rsid w:val="002065D5"/>
    <w:rsid w:val="00206E83"/>
    <w:rsid w:val="00207650"/>
    <w:rsid w:val="00207CCC"/>
    <w:rsid w:val="00210D31"/>
    <w:rsid w:val="00211480"/>
    <w:rsid w:val="00212F4A"/>
    <w:rsid w:val="0021330E"/>
    <w:rsid w:val="00214F29"/>
    <w:rsid w:val="00215CBF"/>
    <w:rsid w:val="0021687C"/>
    <w:rsid w:val="00220232"/>
    <w:rsid w:val="0022151A"/>
    <w:rsid w:val="0022264D"/>
    <w:rsid w:val="00222E66"/>
    <w:rsid w:val="00222FC6"/>
    <w:rsid w:val="00223007"/>
    <w:rsid w:val="002233D2"/>
    <w:rsid w:val="00224514"/>
    <w:rsid w:val="00225D61"/>
    <w:rsid w:val="00225E30"/>
    <w:rsid w:val="002317F8"/>
    <w:rsid w:val="00232033"/>
    <w:rsid w:val="00233FBD"/>
    <w:rsid w:val="00235792"/>
    <w:rsid w:val="00235DCC"/>
    <w:rsid w:val="0024164F"/>
    <w:rsid w:val="002422C2"/>
    <w:rsid w:val="002426D6"/>
    <w:rsid w:val="00244339"/>
    <w:rsid w:val="0024445A"/>
    <w:rsid w:val="00244706"/>
    <w:rsid w:val="002469A5"/>
    <w:rsid w:val="0025101F"/>
    <w:rsid w:val="00252F8B"/>
    <w:rsid w:val="00253C18"/>
    <w:rsid w:val="00254AAA"/>
    <w:rsid w:val="00254CBB"/>
    <w:rsid w:val="00254D77"/>
    <w:rsid w:val="002554EF"/>
    <w:rsid w:val="00255690"/>
    <w:rsid w:val="00256315"/>
    <w:rsid w:val="002568EB"/>
    <w:rsid w:val="00257AA6"/>
    <w:rsid w:val="0026087C"/>
    <w:rsid w:val="00260E28"/>
    <w:rsid w:val="00261C04"/>
    <w:rsid w:val="00261D61"/>
    <w:rsid w:val="002632D4"/>
    <w:rsid w:val="00263BCE"/>
    <w:rsid w:val="00264834"/>
    <w:rsid w:val="00264AF1"/>
    <w:rsid w:val="00265EE9"/>
    <w:rsid w:val="002661A1"/>
    <w:rsid w:val="002665D5"/>
    <w:rsid w:val="00270C86"/>
    <w:rsid w:val="00272EE6"/>
    <w:rsid w:val="002754B9"/>
    <w:rsid w:val="00275543"/>
    <w:rsid w:val="0027640E"/>
    <w:rsid w:val="00281226"/>
    <w:rsid w:val="0028253D"/>
    <w:rsid w:val="002828F2"/>
    <w:rsid w:val="002838B5"/>
    <w:rsid w:val="00284040"/>
    <w:rsid w:val="00284F46"/>
    <w:rsid w:val="002864E5"/>
    <w:rsid w:val="00287524"/>
    <w:rsid w:val="0029195B"/>
    <w:rsid w:val="0029218F"/>
    <w:rsid w:val="002942CB"/>
    <w:rsid w:val="00295064"/>
    <w:rsid w:val="0029513C"/>
    <w:rsid w:val="002951D7"/>
    <w:rsid w:val="0029738F"/>
    <w:rsid w:val="00297B4A"/>
    <w:rsid w:val="002A229E"/>
    <w:rsid w:val="002A23CE"/>
    <w:rsid w:val="002A342A"/>
    <w:rsid w:val="002A39AA"/>
    <w:rsid w:val="002A454C"/>
    <w:rsid w:val="002A4BFA"/>
    <w:rsid w:val="002A4CA1"/>
    <w:rsid w:val="002A52B7"/>
    <w:rsid w:val="002A54DF"/>
    <w:rsid w:val="002A5E12"/>
    <w:rsid w:val="002A5E94"/>
    <w:rsid w:val="002A5EE4"/>
    <w:rsid w:val="002A6BF0"/>
    <w:rsid w:val="002B0282"/>
    <w:rsid w:val="002B0659"/>
    <w:rsid w:val="002B2860"/>
    <w:rsid w:val="002B3DCC"/>
    <w:rsid w:val="002B4215"/>
    <w:rsid w:val="002B4C85"/>
    <w:rsid w:val="002B6585"/>
    <w:rsid w:val="002B6636"/>
    <w:rsid w:val="002B7270"/>
    <w:rsid w:val="002B72CB"/>
    <w:rsid w:val="002C11A8"/>
    <w:rsid w:val="002C269C"/>
    <w:rsid w:val="002C2C90"/>
    <w:rsid w:val="002C37BE"/>
    <w:rsid w:val="002C4400"/>
    <w:rsid w:val="002C478D"/>
    <w:rsid w:val="002C4CFB"/>
    <w:rsid w:val="002C6737"/>
    <w:rsid w:val="002C751E"/>
    <w:rsid w:val="002D0461"/>
    <w:rsid w:val="002D04B1"/>
    <w:rsid w:val="002D0685"/>
    <w:rsid w:val="002D06F6"/>
    <w:rsid w:val="002D3DC8"/>
    <w:rsid w:val="002D3FF5"/>
    <w:rsid w:val="002D4841"/>
    <w:rsid w:val="002D49A5"/>
    <w:rsid w:val="002D5218"/>
    <w:rsid w:val="002D636D"/>
    <w:rsid w:val="002D7001"/>
    <w:rsid w:val="002E0FE0"/>
    <w:rsid w:val="002E1B74"/>
    <w:rsid w:val="002E1DC9"/>
    <w:rsid w:val="002E248D"/>
    <w:rsid w:val="002E29A6"/>
    <w:rsid w:val="002E45D0"/>
    <w:rsid w:val="002E5EF1"/>
    <w:rsid w:val="002F0852"/>
    <w:rsid w:val="002F1845"/>
    <w:rsid w:val="002F187E"/>
    <w:rsid w:val="002F343D"/>
    <w:rsid w:val="002F50CB"/>
    <w:rsid w:val="002F5FC6"/>
    <w:rsid w:val="002F7164"/>
    <w:rsid w:val="00300705"/>
    <w:rsid w:val="00301DD5"/>
    <w:rsid w:val="0030286F"/>
    <w:rsid w:val="00303EDB"/>
    <w:rsid w:val="00304144"/>
    <w:rsid w:val="00304AEF"/>
    <w:rsid w:val="003106A3"/>
    <w:rsid w:val="00310982"/>
    <w:rsid w:val="003125B4"/>
    <w:rsid w:val="00312622"/>
    <w:rsid w:val="00313C94"/>
    <w:rsid w:val="003153EC"/>
    <w:rsid w:val="00315FA2"/>
    <w:rsid w:val="0031752C"/>
    <w:rsid w:val="0031792B"/>
    <w:rsid w:val="0032081B"/>
    <w:rsid w:val="00322162"/>
    <w:rsid w:val="00324B1B"/>
    <w:rsid w:val="003264BD"/>
    <w:rsid w:val="00326D9E"/>
    <w:rsid w:val="003275C3"/>
    <w:rsid w:val="00327886"/>
    <w:rsid w:val="00327C86"/>
    <w:rsid w:val="003308AB"/>
    <w:rsid w:val="00336018"/>
    <w:rsid w:val="00336C10"/>
    <w:rsid w:val="00337130"/>
    <w:rsid w:val="0033753A"/>
    <w:rsid w:val="00337BB8"/>
    <w:rsid w:val="00340A5E"/>
    <w:rsid w:val="0034134F"/>
    <w:rsid w:val="00341C9A"/>
    <w:rsid w:val="00341F7D"/>
    <w:rsid w:val="00343380"/>
    <w:rsid w:val="00343546"/>
    <w:rsid w:val="00343BE1"/>
    <w:rsid w:val="00345147"/>
    <w:rsid w:val="003465E2"/>
    <w:rsid w:val="00347685"/>
    <w:rsid w:val="003477DA"/>
    <w:rsid w:val="0034793B"/>
    <w:rsid w:val="00351768"/>
    <w:rsid w:val="00352642"/>
    <w:rsid w:val="00352E29"/>
    <w:rsid w:val="00355EE6"/>
    <w:rsid w:val="0035624F"/>
    <w:rsid w:val="003567BD"/>
    <w:rsid w:val="00357495"/>
    <w:rsid w:val="00357F68"/>
    <w:rsid w:val="0036256D"/>
    <w:rsid w:val="003631EA"/>
    <w:rsid w:val="00363650"/>
    <w:rsid w:val="00364E49"/>
    <w:rsid w:val="0036582C"/>
    <w:rsid w:val="0036598B"/>
    <w:rsid w:val="00365FDC"/>
    <w:rsid w:val="00370564"/>
    <w:rsid w:val="003726A4"/>
    <w:rsid w:val="0037290A"/>
    <w:rsid w:val="00372A65"/>
    <w:rsid w:val="00373044"/>
    <w:rsid w:val="0037374A"/>
    <w:rsid w:val="00375C74"/>
    <w:rsid w:val="00376F6A"/>
    <w:rsid w:val="003811A5"/>
    <w:rsid w:val="003812B4"/>
    <w:rsid w:val="003814E6"/>
    <w:rsid w:val="0038179E"/>
    <w:rsid w:val="0038202A"/>
    <w:rsid w:val="00382C06"/>
    <w:rsid w:val="00384687"/>
    <w:rsid w:val="00384E63"/>
    <w:rsid w:val="00384F01"/>
    <w:rsid w:val="003857E5"/>
    <w:rsid w:val="00386505"/>
    <w:rsid w:val="00387288"/>
    <w:rsid w:val="003877ED"/>
    <w:rsid w:val="00390007"/>
    <w:rsid w:val="00390283"/>
    <w:rsid w:val="00390FEC"/>
    <w:rsid w:val="00392FF8"/>
    <w:rsid w:val="0039316A"/>
    <w:rsid w:val="00393466"/>
    <w:rsid w:val="00393849"/>
    <w:rsid w:val="003943E9"/>
    <w:rsid w:val="00394B97"/>
    <w:rsid w:val="00394C5D"/>
    <w:rsid w:val="003962B6"/>
    <w:rsid w:val="0039678F"/>
    <w:rsid w:val="003972E3"/>
    <w:rsid w:val="003973D2"/>
    <w:rsid w:val="00397B92"/>
    <w:rsid w:val="003A04A6"/>
    <w:rsid w:val="003A081C"/>
    <w:rsid w:val="003A0E39"/>
    <w:rsid w:val="003A0FD5"/>
    <w:rsid w:val="003A376D"/>
    <w:rsid w:val="003A409E"/>
    <w:rsid w:val="003A44C5"/>
    <w:rsid w:val="003A6349"/>
    <w:rsid w:val="003A70A1"/>
    <w:rsid w:val="003A7F8A"/>
    <w:rsid w:val="003B021F"/>
    <w:rsid w:val="003B09BD"/>
    <w:rsid w:val="003B3AF0"/>
    <w:rsid w:val="003B4C05"/>
    <w:rsid w:val="003B52C9"/>
    <w:rsid w:val="003B5CB8"/>
    <w:rsid w:val="003B6E86"/>
    <w:rsid w:val="003C187D"/>
    <w:rsid w:val="003C1A44"/>
    <w:rsid w:val="003C1D92"/>
    <w:rsid w:val="003C4E05"/>
    <w:rsid w:val="003D096A"/>
    <w:rsid w:val="003D1206"/>
    <w:rsid w:val="003D347F"/>
    <w:rsid w:val="003D38B9"/>
    <w:rsid w:val="003D3A08"/>
    <w:rsid w:val="003D3E3C"/>
    <w:rsid w:val="003D3FCA"/>
    <w:rsid w:val="003D416C"/>
    <w:rsid w:val="003D4B14"/>
    <w:rsid w:val="003D74BF"/>
    <w:rsid w:val="003E1557"/>
    <w:rsid w:val="003E201E"/>
    <w:rsid w:val="003E2DF4"/>
    <w:rsid w:val="003E638D"/>
    <w:rsid w:val="003E7476"/>
    <w:rsid w:val="003E751E"/>
    <w:rsid w:val="003F02B5"/>
    <w:rsid w:val="003F0AF8"/>
    <w:rsid w:val="003F17BC"/>
    <w:rsid w:val="003F4E2F"/>
    <w:rsid w:val="003F51A8"/>
    <w:rsid w:val="003F63EF"/>
    <w:rsid w:val="003F75CD"/>
    <w:rsid w:val="00400013"/>
    <w:rsid w:val="00401209"/>
    <w:rsid w:val="004012E3"/>
    <w:rsid w:val="004015BE"/>
    <w:rsid w:val="00402B21"/>
    <w:rsid w:val="004031A9"/>
    <w:rsid w:val="00404B52"/>
    <w:rsid w:val="00405262"/>
    <w:rsid w:val="0040606D"/>
    <w:rsid w:val="00407509"/>
    <w:rsid w:val="00415845"/>
    <w:rsid w:val="004160A3"/>
    <w:rsid w:val="004174F6"/>
    <w:rsid w:val="004178C3"/>
    <w:rsid w:val="00421FCD"/>
    <w:rsid w:val="00422A95"/>
    <w:rsid w:val="00423079"/>
    <w:rsid w:val="00423509"/>
    <w:rsid w:val="0042463E"/>
    <w:rsid w:val="0042494C"/>
    <w:rsid w:val="00426692"/>
    <w:rsid w:val="004268E2"/>
    <w:rsid w:val="00427293"/>
    <w:rsid w:val="00427918"/>
    <w:rsid w:val="00427AA8"/>
    <w:rsid w:val="00433232"/>
    <w:rsid w:val="004357F0"/>
    <w:rsid w:val="00436456"/>
    <w:rsid w:val="004368F0"/>
    <w:rsid w:val="00436F71"/>
    <w:rsid w:val="00437231"/>
    <w:rsid w:val="0043793C"/>
    <w:rsid w:val="00440E82"/>
    <w:rsid w:val="00441CB3"/>
    <w:rsid w:val="00443639"/>
    <w:rsid w:val="004439D2"/>
    <w:rsid w:val="0044419E"/>
    <w:rsid w:val="00444FF6"/>
    <w:rsid w:val="0044744D"/>
    <w:rsid w:val="00450653"/>
    <w:rsid w:val="004513C0"/>
    <w:rsid w:val="004527CF"/>
    <w:rsid w:val="00456204"/>
    <w:rsid w:val="00456A77"/>
    <w:rsid w:val="00462DBB"/>
    <w:rsid w:val="00463353"/>
    <w:rsid w:val="004642E2"/>
    <w:rsid w:val="004644CA"/>
    <w:rsid w:val="00465E74"/>
    <w:rsid w:val="0046643A"/>
    <w:rsid w:val="004665CA"/>
    <w:rsid w:val="00466D74"/>
    <w:rsid w:val="00470B6A"/>
    <w:rsid w:val="0047198F"/>
    <w:rsid w:val="00473774"/>
    <w:rsid w:val="00473D85"/>
    <w:rsid w:val="004747B3"/>
    <w:rsid w:val="004757EB"/>
    <w:rsid w:val="00476772"/>
    <w:rsid w:val="004800AA"/>
    <w:rsid w:val="00480B82"/>
    <w:rsid w:val="004810D1"/>
    <w:rsid w:val="0048127F"/>
    <w:rsid w:val="00481BB9"/>
    <w:rsid w:val="00482EBF"/>
    <w:rsid w:val="004831DA"/>
    <w:rsid w:val="004835B2"/>
    <w:rsid w:val="00483BDE"/>
    <w:rsid w:val="00483C04"/>
    <w:rsid w:val="00485114"/>
    <w:rsid w:val="0048555F"/>
    <w:rsid w:val="00486103"/>
    <w:rsid w:val="004861F9"/>
    <w:rsid w:val="00487C83"/>
    <w:rsid w:val="00490693"/>
    <w:rsid w:val="00490F3F"/>
    <w:rsid w:val="004917D7"/>
    <w:rsid w:val="004931A9"/>
    <w:rsid w:val="004950B5"/>
    <w:rsid w:val="004955FF"/>
    <w:rsid w:val="00495A7B"/>
    <w:rsid w:val="00495BA7"/>
    <w:rsid w:val="00495FFD"/>
    <w:rsid w:val="00496C16"/>
    <w:rsid w:val="004970DB"/>
    <w:rsid w:val="0049768E"/>
    <w:rsid w:val="00497BC2"/>
    <w:rsid w:val="004A086A"/>
    <w:rsid w:val="004A0B1D"/>
    <w:rsid w:val="004A2132"/>
    <w:rsid w:val="004A2313"/>
    <w:rsid w:val="004A4E95"/>
    <w:rsid w:val="004A5628"/>
    <w:rsid w:val="004A5C2A"/>
    <w:rsid w:val="004A7200"/>
    <w:rsid w:val="004A76FC"/>
    <w:rsid w:val="004B0351"/>
    <w:rsid w:val="004B08CD"/>
    <w:rsid w:val="004B4BD2"/>
    <w:rsid w:val="004B5784"/>
    <w:rsid w:val="004B59A8"/>
    <w:rsid w:val="004B6D1A"/>
    <w:rsid w:val="004B6D7F"/>
    <w:rsid w:val="004B6E74"/>
    <w:rsid w:val="004C0DA0"/>
    <w:rsid w:val="004C2036"/>
    <w:rsid w:val="004C2ADF"/>
    <w:rsid w:val="004C31B4"/>
    <w:rsid w:val="004C408A"/>
    <w:rsid w:val="004C4A21"/>
    <w:rsid w:val="004C55B8"/>
    <w:rsid w:val="004C56C5"/>
    <w:rsid w:val="004C5B4F"/>
    <w:rsid w:val="004D2AC7"/>
    <w:rsid w:val="004D2DBB"/>
    <w:rsid w:val="004D3954"/>
    <w:rsid w:val="004D484C"/>
    <w:rsid w:val="004D515E"/>
    <w:rsid w:val="004D67B9"/>
    <w:rsid w:val="004D76CC"/>
    <w:rsid w:val="004E45AF"/>
    <w:rsid w:val="004E658E"/>
    <w:rsid w:val="004E79B6"/>
    <w:rsid w:val="004F031D"/>
    <w:rsid w:val="004F3899"/>
    <w:rsid w:val="004F410F"/>
    <w:rsid w:val="004F4335"/>
    <w:rsid w:val="004F4D49"/>
    <w:rsid w:val="004F6FAE"/>
    <w:rsid w:val="004F775A"/>
    <w:rsid w:val="004F7E5E"/>
    <w:rsid w:val="0050081A"/>
    <w:rsid w:val="005018C7"/>
    <w:rsid w:val="005032E7"/>
    <w:rsid w:val="0050515B"/>
    <w:rsid w:val="00506487"/>
    <w:rsid w:val="0050691C"/>
    <w:rsid w:val="00507C01"/>
    <w:rsid w:val="0051038A"/>
    <w:rsid w:val="0051267C"/>
    <w:rsid w:val="005126D6"/>
    <w:rsid w:val="00512870"/>
    <w:rsid w:val="005130D0"/>
    <w:rsid w:val="00513FCC"/>
    <w:rsid w:val="00514345"/>
    <w:rsid w:val="00515325"/>
    <w:rsid w:val="00515CD9"/>
    <w:rsid w:val="00517075"/>
    <w:rsid w:val="00517154"/>
    <w:rsid w:val="005213FF"/>
    <w:rsid w:val="0052162C"/>
    <w:rsid w:val="00522AA2"/>
    <w:rsid w:val="00524EAB"/>
    <w:rsid w:val="00525C41"/>
    <w:rsid w:val="0052629A"/>
    <w:rsid w:val="005311FD"/>
    <w:rsid w:val="005326A5"/>
    <w:rsid w:val="0053304A"/>
    <w:rsid w:val="00533272"/>
    <w:rsid w:val="00534CFF"/>
    <w:rsid w:val="0053531C"/>
    <w:rsid w:val="00535FD2"/>
    <w:rsid w:val="00540C78"/>
    <w:rsid w:val="00541197"/>
    <w:rsid w:val="005411F6"/>
    <w:rsid w:val="0054151D"/>
    <w:rsid w:val="00541A24"/>
    <w:rsid w:val="005435EC"/>
    <w:rsid w:val="005443D3"/>
    <w:rsid w:val="00544A62"/>
    <w:rsid w:val="00547B84"/>
    <w:rsid w:val="00550210"/>
    <w:rsid w:val="005538A6"/>
    <w:rsid w:val="0055396B"/>
    <w:rsid w:val="00553F89"/>
    <w:rsid w:val="00555D5C"/>
    <w:rsid w:val="00555F2B"/>
    <w:rsid w:val="0055663E"/>
    <w:rsid w:val="00557143"/>
    <w:rsid w:val="005576DA"/>
    <w:rsid w:val="00557785"/>
    <w:rsid w:val="00557E33"/>
    <w:rsid w:val="00561102"/>
    <w:rsid w:val="005617E1"/>
    <w:rsid w:val="00563663"/>
    <w:rsid w:val="0056379C"/>
    <w:rsid w:val="0056396A"/>
    <w:rsid w:val="0056503F"/>
    <w:rsid w:val="00565A7E"/>
    <w:rsid w:val="00566744"/>
    <w:rsid w:val="00566C56"/>
    <w:rsid w:val="0057040B"/>
    <w:rsid w:val="00571905"/>
    <w:rsid w:val="00573C51"/>
    <w:rsid w:val="00574265"/>
    <w:rsid w:val="00574D5D"/>
    <w:rsid w:val="00574DC7"/>
    <w:rsid w:val="00575E0E"/>
    <w:rsid w:val="00575E8A"/>
    <w:rsid w:val="0057681D"/>
    <w:rsid w:val="00576CAE"/>
    <w:rsid w:val="00577E78"/>
    <w:rsid w:val="00580CCA"/>
    <w:rsid w:val="00581109"/>
    <w:rsid w:val="00582148"/>
    <w:rsid w:val="00583AE0"/>
    <w:rsid w:val="005863A2"/>
    <w:rsid w:val="00586978"/>
    <w:rsid w:val="00586CB3"/>
    <w:rsid w:val="005905BD"/>
    <w:rsid w:val="00592CAC"/>
    <w:rsid w:val="00593AC1"/>
    <w:rsid w:val="00593F0D"/>
    <w:rsid w:val="00594251"/>
    <w:rsid w:val="00594759"/>
    <w:rsid w:val="00596FE2"/>
    <w:rsid w:val="005A19CA"/>
    <w:rsid w:val="005A23FE"/>
    <w:rsid w:val="005A2917"/>
    <w:rsid w:val="005A3A29"/>
    <w:rsid w:val="005A523B"/>
    <w:rsid w:val="005A61DC"/>
    <w:rsid w:val="005A6906"/>
    <w:rsid w:val="005A6BF5"/>
    <w:rsid w:val="005A6FE5"/>
    <w:rsid w:val="005A7679"/>
    <w:rsid w:val="005B0866"/>
    <w:rsid w:val="005B0FD8"/>
    <w:rsid w:val="005B19C1"/>
    <w:rsid w:val="005B278D"/>
    <w:rsid w:val="005B3857"/>
    <w:rsid w:val="005B4D29"/>
    <w:rsid w:val="005B5BF2"/>
    <w:rsid w:val="005B6BF9"/>
    <w:rsid w:val="005B797C"/>
    <w:rsid w:val="005B7BD0"/>
    <w:rsid w:val="005C0EE1"/>
    <w:rsid w:val="005C30BA"/>
    <w:rsid w:val="005C5370"/>
    <w:rsid w:val="005C5586"/>
    <w:rsid w:val="005C60B0"/>
    <w:rsid w:val="005C7252"/>
    <w:rsid w:val="005C74A1"/>
    <w:rsid w:val="005C7DC8"/>
    <w:rsid w:val="005D1A25"/>
    <w:rsid w:val="005D23A4"/>
    <w:rsid w:val="005D3286"/>
    <w:rsid w:val="005D50B0"/>
    <w:rsid w:val="005D577B"/>
    <w:rsid w:val="005D5FC9"/>
    <w:rsid w:val="005D6D11"/>
    <w:rsid w:val="005E0DE0"/>
    <w:rsid w:val="005E1309"/>
    <w:rsid w:val="005E2319"/>
    <w:rsid w:val="005E27D4"/>
    <w:rsid w:val="005E3243"/>
    <w:rsid w:val="005E36C6"/>
    <w:rsid w:val="005E3B17"/>
    <w:rsid w:val="005E53B6"/>
    <w:rsid w:val="005E58A5"/>
    <w:rsid w:val="005E5C68"/>
    <w:rsid w:val="005E72A4"/>
    <w:rsid w:val="005F04A6"/>
    <w:rsid w:val="005F11D7"/>
    <w:rsid w:val="005F194B"/>
    <w:rsid w:val="005F2E35"/>
    <w:rsid w:val="005F57D7"/>
    <w:rsid w:val="005F6D10"/>
    <w:rsid w:val="006000DA"/>
    <w:rsid w:val="00600284"/>
    <w:rsid w:val="006003E0"/>
    <w:rsid w:val="00602ABE"/>
    <w:rsid w:val="006032E3"/>
    <w:rsid w:val="006033CA"/>
    <w:rsid w:val="006036BB"/>
    <w:rsid w:val="0060431A"/>
    <w:rsid w:val="006073CD"/>
    <w:rsid w:val="0060762A"/>
    <w:rsid w:val="0061093D"/>
    <w:rsid w:val="006110B7"/>
    <w:rsid w:val="0061297D"/>
    <w:rsid w:val="00612E5F"/>
    <w:rsid w:val="00614175"/>
    <w:rsid w:val="006142F1"/>
    <w:rsid w:val="00615043"/>
    <w:rsid w:val="0061586D"/>
    <w:rsid w:val="006158CC"/>
    <w:rsid w:val="00616D16"/>
    <w:rsid w:val="00620A41"/>
    <w:rsid w:val="00621225"/>
    <w:rsid w:val="00621314"/>
    <w:rsid w:val="00621A38"/>
    <w:rsid w:val="00621E12"/>
    <w:rsid w:val="0062266D"/>
    <w:rsid w:val="0062366F"/>
    <w:rsid w:val="00624A0E"/>
    <w:rsid w:val="00624A41"/>
    <w:rsid w:val="00624FE8"/>
    <w:rsid w:val="006252D4"/>
    <w:rsid w:val="0062543B"/>
    <w:rsid w:val="006255F9"/>
    <w:rsid w:val="006258C8"/>
    <w:rsid w:val="006274A3"/>
    <w:rsid w:val="0062768E"/>
    <w:rsid w:val="0063392A"/>
    <w:rsid w:val="00634BD6"/>
    <w:rsid w:val="00634EC9"/>
    <w:rsid w:val="00635E7B"/>
    <w:rsid w:val="00636127"/>
    <w:rsid w:val="006361FE"/>
    <w:rsid w:val="0063633D"/>
    <w:rsid w:val="006367EE"/>
    <w:rsid w:val="00637390"/>
    <w:rsid w:val="00640189"/>
    <w:rsid w:val="0064160F"/>
    <w:rsid w:val="00641BF2"/>
    <w:rsid w:val="00642877"/>
    <w:rsid w:val="00642EE4"/>
    <w:rsid w:val="00643649"/>
    <w:rsid w:val="00645CBF"/>
    <w:rsid w:val="00646946"/>
    <w:rsid w:val="00647065"/>
    <w:rsid w:val="0065223B"/>
    <w:rsid w:val="006536D3"/>
    <w:rsid w:val="00654994"/>
    <w:rsid w:val="0065558B"/>
    <w:rsid w:val="00655FF8"/>
    <w:rsid w:val="00657C57"/>
    <w:rsid w:val="00657EA3"/>
    <w:rsid w:val="006602BB"/>
    <w:rsid w:val="00661367"/>
    <w:rsid w:val="00661906"/>
    <w:rsid w:val="00661F95"/>
    <w:rsid w:val="006637B6"/>
    <w:rsid w:val="006663E7"/>
    <w:rsid w:val="00666C84"/>
    <w:rsid w:val="006672B2"/>
    <w:rsid w:val="006713AF"/>
    <w:rsid w:val="00673120"/>
    <w:rsid w:val="006741A1"/>
    <w:rsid w:val="00674328"/>
    <w:rsid w:val="00674520"/>
    <w:rsid w:val="00675A87"/>
    <w:rsid w:val="00676001"/>
    <w:rsid w:val="006773C0"/>
    <w:rsid w:val="00677EFA"/>
    <w:rsid w:val="00681342"/>
    <w:rsid w:val="00681772"/>
    <w:rsid w:val="00685B44"/>
    <w:rsid w:val="006872D2"/>
    <w:rsid w:val="006901CB"/>
    <w:rsid w:val="00690475"/>
    <w:rsid w:val="006949E0"/>
    <w:rsid w:val="00694E58"/>
    <w:rsid w:val="00695698"/>
    <w:rsid w:val="00697CBF"/>
    <w:rsid w:val="006A096F"/>
    <w:rsid w:val="006A15D5"/>
    <w:rsid w:val="006A1604"/>
    <w:rsid w:val="006A1A01"/>
    <w:rsid w:val="006A24D4"/>
    <w:rsid w:val="006A3373"/>
    <w:rsid w:val="006A458E"/>
    <w:rsid w:val="006A4F45"/>
    <w:rsid w:val="006B0049"/>
    <w:rsid w:val="006B0D46"/>
    <w:rsid w:val="006B1198"/>
    <w:rsid w:val="006B19F0"/>
    <w:rsid w:val="006B311E"/>
    <w:rsid w:val="006B3EF7"/>
    <w:rsid w:val="006B4070"/>
    <w:rsid w:val="006B4087"/>
    <w:rsid w:val="006B4761"/>
    <w:rsid w:val="006B5BB9"/>
    <w:rsid w:val="006B7517"/>
    <w:rsid w:val="006B7545"/>
    <w:rsid w:val="006B79CB"/>
    <w:rsid w:val="006C371B"/>
    <w:rsid w:val="006C3DA1"/>
    <w:rsid w:val="006D0458"/>
    <w:rsid w:val="006D11FF"/>
    <w:rsid w:val="006D16CF"/>
    <w:rsid w:val="006D181A"/>
    <w:rsid w:val="006D22B8"/>
    <w:rsid w:val="006D3480"/>
    <w:rsid w:val="006D3F53"/>
    <w:rsid w:val="006D42B6"/>
    <w:rsid w:val="006D4A8B"/>
    <w:rsid w:val="006D51C9"/>
    <w:rsid w:val="006D619D"/>
    <w:rsid w:val="006D62CA"/>
    <w:rsid w:val="006E020C"/>
    <w:rsid w:val="006E2B0D"/>
    <w:rsid w:val="006E5C16"/>
    <w:rsid w:val="006E62ED"/>
    <w:rsid w:val="006E6A4D"/>
    <w:rsid w:val="006E6B3C"/>
    <w:rsid w:val="006E7F8C"/>
    <w:rsid w:val="006F1130"/>
    <w:rsid w:val="006F36B2"/>
    <w:rsid w:val="006F36F1"/>
    <w:rsid w:val="006F4341"/>
    <w:rsid w:val="006F44A8"/>
    <w:rsid w:val="006F5786"/>
    <w:rsid w:val="006F580A"/>
    <w:rsid w:val="006F589C"/>
    <w:rsid w:val="006F5DFC"/>
    <w:rsid w:val="006F60F2"/>
    <w:rsid w:val="006F77E8"/>
    <w:rsid w:val="007005D9"/>
    <w:rsid w:val="0070061B"/>
    <w:rsid w:val="00700A15"/>
    <w:rsid w:val="007014ED"/>
    <w:rsid w:val="0070229F"/>
    <w:rsid w:val="00702FCD"/>
    <w:rsid w:val="007034CB"/>
    <w:rsid w:val="00703FFA"/>
    <w:rsid w:val="007050D7"/>
    <w:rsid w:val="00710297"/>
    <w:rsid w:val="00711889"/>
    <w:rsid w:val="00712A3D"/>
    <w:rsid w:val="00720572"/>
    <w:rsid w:val="007205FB"/>
    <w:rsid w:val="00723708"/>
    <w:rsid w:val="00724A1A"/>
    <w:rsid w:val="007255F8"/>
    <w:rsid w:val="0072696F"/>
    <w:rsid w:val="0073168F"/>
    <w:rsid w:val="00731871"/>
    <w:rsid w:val="00732010"/>
    <w:rsid w:val="00732A35"/>
    <w:rsid w:val="007337DF"/>
    <w:rsid w:val="007338D4"/>
    <w:rsid w:val="00733ED3"/>
    <w:rsid w:val="00734212"/>
    <w:rsid w:val="0073543B"/>
    <w:rsid w:val="007362A2"/>
    <w:rsid w:val="00736C69"/>
    <w:rsid w:val="007377F0"/>
    <w:rsid w:val="007415B7"/>
    <w:rsid w:val="00741B26"/>
    <w:rsid w:val="00741B5B"/>
    <w:rsid w:val="00742011"/>
    <w:rsid w:val="0074232F"/>
    <w:rsid w:val="00744376"/>
    <w:rsid w:val="007449D2"/>
    <w:rsid w:val="00744C68"/>
    <w:rsid w:val="00747193"/>
    <w:rsid w:val="00751654"/>
    <w:rsid w:val="007532EC"/>
    <w:rsid w:val="00755B79"/>
    <w:rsid w:val="00757607"/>
    <w:rsid w:val="00763691"/>
    <w:rsid w:val="00765A38"/>
    <w:rsid w:val="00766CC7"/>
    <w:rsid w:val="00767FFB"/>
    <w:rsid w:val="00770664"/>
    <w:rsid w:val="00771004"/>
    <w:rsid w:val="0077360C"/>
    <w:rsid w:val="00773B45"/>
    <w:rsid w:val="007741F2"/>
    <w:rsid w:val="00774C7A"/>
    <w:rsid w:val="00776A41"/>
    <w:rsid w:val="0077732D"/>
    <w:rsid w:val="00777F5C"/>
    <w:rsid w:val="0078078E"/>
    <w:rsid w:val="00780A28"/>
    <w:rsid w:val="00780E6D"/>
    <w:rsid w:val="007815C4"/>
    <w:rsid w:val="00783E36"/>
    <w:rsid w:val="00784865"/>
    <w:rsid w:val="00784C7A"/>
    <w:rsid w:val="0078557A"/>
    <w:rsid w:val="0078759A"/>
    <w:rsid w:val="0079266D"/>
    <w:rsid w:val="0079276C"/>
    <w:rsid w:val="007944B5"/>
    <w:rsid w:val="007958F5"/>
    <w:rsid w:val="00795CAE"/>
    <w:rsid w:val="00797F66"/>
    <w:rsid w:val="007A1154"/>
    <w:rsid w:val="007A2586"/>
    <w:rsid w:val="007A3894"/>
    <w:rsid w:val="007A4357"/>
    <w:rsid w:val="007A4404"/>
    <w:rsid w:val="007A445A"/>
    <w:rsid w:val="007A46BF"/>
    <w:rsid w:val="007A5612"/>
    <w:rsid w:val="007A6F6E"/>
    <w:rsid w:val="007A7AD8"/>
    <w:rsid w:val="007A7D63"/>
    <w:rsid w:val="007B07F3"/>
    <w:rsid w:val="007B1F61"/>
    <w:rsid w:val="007B3478"/>
    <w:rsid w:val="007B5086"/>
    <w:rsid w:val="007B5281"/>
    <w:rsid w:val="007B64C5"/>
    <w:rsid w:val="007B7C2E"/>
    <w:rsid w:val="007C01F6"/>
    <w:rsid w:val="007C1C2D"/>
    <w:rsid w:val="007C1CB9"/>
    <w:rsid w:val="007C2D56"/>
    <w:rsid w:val="007C4CCB"/>
    <w:rsid w:val="007C5160"/>
    <w:rsid w:val="007C58DB"/>
    <w:rsid w:val="007C650B"/>
    <w:rsid w:val="007C65E3"/>
    <w:rsid w:val="007C68F9"/>
    <w:rsid w:val="007C7485"/>
    <w:rsid w:val="007D0D1E"/>
    <w:rsid w:val="007D2AA7"/>
    <w:rsid w:val="007D34E5"/>
    <w:rsid w:val="007D424B"/>
    <w:rsid w:val="007D4A20"/>
    <w:rsid w:val="007D4B8A"/>
    <w:rsid w:val="007D64BF"/>
    <w:rsid w:val="007D7989"/>
    <w:rsid w:val="007E1A09"/>
    <w:rsid w:val="007E2709"/>
    <w:rsid w:val="007F0314"/>
    <w:rsid w:val="007F07FE"/>
    <w:rsid w:val="007F0937"/>
    <w:rsid w:val="007F1208"/>
    <w:rsid w:val="007F127E"/>
    <w:rsid w:val="007F1F18"/>
    <w:rsid w:val="007F21E5"/>
    <w:rsid w:val="007F3389"/>
    <w:rsid w:val="007F5190"/>
    <w:rsid w:val="007F5CAA"/>
    <w:rsid w:val="007F6376"/>
    <w:rsid w:val="007F7AAB"/>
    <w:rsid w:val="0080007B"/>
    <w:rsid w:val="00801D70"/>
    <w:rsid w:val="00801F28"/>
    <w:rsid w:val="00803E2D"/>
    <w:rsid w:val="00805247"/>
    <w:rsid w:val="00807735"/>
    <w:rsid w:val="00812DDF"/>
    <w:rsid w:val="0081324E"/>
    <w:rsid w:val="00815866"/>
    <w:rsid w:val="0081716D"/>
    <w:rsid w:val="00817A46"/>
    <w:rsid w:val="00820264"/>
    <w:rsid w:val="0082050E"/>
    <w:rsid w:val="00820576"/>
    <w:rsid w:val="008215C0"/>
    <w:rsid w:val="00821B94"/>
    <w:rsid w:val="00826988"/>
    <w:rsid w:val="008270CF"/>
    <w:rsid w:val="0083005A"/>
    <w:rsid w:val="00831C71"/>
    <w:rsid w:val="0083325C"/>
    <w:rsid w:val="00833503"/>
    <w:rsid w:val="00835667"/>
    <w:rsid w:val="0083584E"/>
    <w:rsid w:val="008378DB"/>
    <w:rsid w:val="00837978"/>
    <w:rsid w:val="00840183"/>
    <w:rsid w:val="00840D5F"/>
    <w:rsid w:val="00841096"/>
    <w:rsid w:val="008414CB"/>
    <w:rsid w:val="0084158E"/>
    <w:rsid w:val="00841C7F"/>
    <w:rsid w:val="00842BFA"/>
    <w:rsid w:val="008443BE"/>
    <w:rsid w:val="008449A6"/>
    <w:rsid w:val="00844AEE"/>
    <w:rsid w:val="00846BB0"/>
    <w:rsid w:val="00851554"/>
    <w:rsid w:val="0085207E"/>
    <w:rsid w:val="00852A67"/>
    <w:rsid w:val="008537DF"/>
    <w:rsid w:val="00853B41"/>
    <w:rsid w:val="008548FA"/>
    <w:rsid w:val="00854E4A"/>
    <w:rsid w:val="00856BED"/>
    <w:rsid w:val="00857BED"/>
    <w:rsid w:val="00857F0F"/>
    <w:rsid w:val="00857F61"/>
    <w:rsid w:val="00860BAB"/>
    <w:rsid w:val="00861F0F"/>
    <w:rsid w:val="00862C49"/>
    <w:rsid w:val="0086374B"/>
    <w:rsid w:val="00865021"/>
    <w:rsid w:val="00865419"/>
    <w:rsid w:val="00865C37"/>
    <w:rsid w:val="00867B5C"/>
    <w:rsid w:val="00870805"/>
    <w:rsid w:val="00871999"/>
    <w:rsid w:val="00872804"/>
    <w:rsid w:val="00872CC1"/>
    <w:rsid w:val="00873B0B"/>
    <w:rsid w:val="00874373"/>
    <w:rsid w:val="0087457B"/>
    <w:rsid w:val="00874CBD"/>
    <w:rsid w:val="00875417"/>
    <w:rsid w:val="008765BD"/>
    <w:rsid w:val="00877207"/>
    <w:rsid w:val="008776A8"/>
    <w:rsid w:val="00877F51"/>
    <w:rsid w:val="0088178C"/>
    <w:rsid w:val="008819B6"/>
    <w:rsid w:val="008820B0"/>
    <w:rsid w:val="00882E5F"/>
    <w:rsid w:val="00883F88"/>
    <w:rsid w:val="00884497"/>
    <w:rsid w:val="0088450E"/>
    <w:rsid w:val="00884C12"/>
    <w:rsid w:val="008850D3"/>
    <w:rsid w:val="008854A1"/>
    <w:rsid w:val="00886679"/>
    <w:rsid w:val="0088767D"/>
    <w:rsid w:val="00887DF3"/>
    <w:rsid w:val="008904CB"/>
    <w:rsid w:val="00890710"/>
    <w:rsid w:val="008911F9"/>
    <w:rsid w:val="00891E68"/>
    <w:rsid w:val="00892B3E"/>
    <w:rsid w:val="00893E5F"/>
    <w:rsid w:val="00893E79"/>
    <w:rsid w:val="008949B2"/>
    <w:rsid w:val="008953CF"/>
    <w:rsid w:val="00895422"/>
    <w:rsid w:val="0089575F"/>
    <w:rsid w:val="00896AB0"/>
    <w:rsid w:val="008A1F58"/>
    <w:rsid w:val="008A7AA8"/>
    <w:rsid w:val="008B0C91"/>
    <w:rsid w:val="008B33D5"/>
    <w:rsid w:val="008B4FC2"/>
    <w:rsid w:val="008B55D7"/>
    <w:rsid w:val="008B58ED"/>
    <w:rsid w:val="008C2A1C"/>
    <w:rsid w:val="008C3EF6"/>
    <w:rsid w:val="008C58C9"/>
    <w:rsid w:val="008C5FDB"/>
    <w:rsid w:val="008C6010"/>
    <w:rsid w:val="008C6204"/>
    <w:rsid w:val="008C78AC"/>
    <w:rsid w:val="008D01BA"/>
    <w:rsid w:val="008D0380"/>
    <w:rsid w:val="008D06E4"/>
    <w:rsid w:val="008D09F3"/>
    <w:rsid w:val="008D1565"/>
    <w:rsid w:val="008D302E"/>
    <w:rsid w:val="008D3274"/>
    <w:rsid w:val="008D3539"/>
    <w:rsid w:val="008D3D28"/>
    <w:rsid w:val="008D4260"/>
    <w:rsid w:val="008D513F"/>
    <w:rsid w:val="008D5D7C"/>
    <w:rsid w:val="008D787E"/>
    <w:rsid w:val="008D7B30"/>
    <w:rsid w:val="008E099B"/>
    <w:rsid w:val="008E10F5"/>
    <w:rsid w:val="008E24A5"/>
    <w:rsid w:val="008E64EC"/>
    <w:rsid w:val="008F26FA"/>
    <w:rsid w:val="008F2A8E"/>
    <w:rsid w:val="008F36A3"/>
    <w:rsid w:val="008F48B4"/>
    <w:rsid w:val="008F4AAE"/>
    <w:rsid w:val="008F5202"/>
    <w:rsid w:val="008F5E4A"/>
    <w:rsid w:val="008F6C48"/>
    <w:rsid w:val="008F72C7"/>
    <w:rsid w:val="008F794C"/>
    <w:rsid w:val="00900657"/>
    <w:rsid w:val="00900852"/>
    <w:rsid w:val="00901AC6"/>
    <w:rsid w:val="00901E1E"/>
    <w:rsid w:val="00901F6B"/>
    <w:rsid w:val="009029D7"/>
    <w:rsid w:val="00903EFC"/>
    <w:rsid w:val="00904586"/>
    <w:rsid w:val="0090633A"/>
    <w:rsid w:val="0090746C"/>
    <w:rsid w:val="009074EF"/>
    <w:rsid w:val="009079E6"/>
    <w:rsid w:val="0091020D"/>
    <w:rsid w:val="009122F9"/>
    <w:rsid w:val="00912576"/>
    <w:rsid w:val="009136E4"/>
    <w:rsid w:val="0091479D"/>
    <w:rsid w:val="0091494E"/>
    <w:rsid w:val="009175C8"/>
    <w:rsid w:val="0092006F"/>
    <w:rsid w:val="00923021"/>
    <w:rsid w:val="00924C30"/>
    <w:rsid w:val="00925BFA"/>
    <w:rsid w:val="00927EA9"/>
    <w:rsid w:val="00930C1B"/>
    <w:rsid w:val="009315BC"/>
    <w:rsid w:val="00932105"/>
    <w:rsid w:val="009323D9"/>
    <w:rsid w:val="0093268C"/>
    <w:rsid w:val="0093269D"/>
    <w:rsid w:val="009327E6"/>
    <w:rsid w:val="00932FF7"/>
    <w:rsid w:val="0093378E"/>
    <w:rsid w:val="009350D3"/>
    <w:rsid w:val="0093540D"/>
    <w:rsid w:val="00936AE8"/>
    <w:rsid w:val="00937751"/>
    <w:rsid w:val="009409CD"/>
    <w:rsid w:val="00941141"/>
    <w:rsid w:val="009438F5"/>
    <w:rsid w:val="0094588B"/>
    <w:rsid w:val="0095307A"/>
    <w:rsid w:val="009540C9"/>
    <w:rsid w:val="009552FC"/>
    <w:rsid w:val="00955B00"/>
    <w:rsid w:val="00955F7D"/>
    <w:rsid w:val="0095682B"/>
    <w:rsid w:val="00962FD5"/>
    <w:rsid w:val="0096416C"/>
    <w:rsid w:val="009641BE"/>
    <w:rsid w:val="00964B78"/>
    <w:rsid w:val="00964BF4"/>
    <w:rsid w:val="00964CB9"/>
    <w:rsid w:val="0096575D"/>
    <w:rsid w:val="009658F3"/>
    <w:rsid w:val="00966FFA"/>
    <w:rsid w:val="0096735A"/>
    <w:rsid w:val="00967D45"/>
    <w:rsid w:val="009709A7"/>
    <w:rsid w:val="0097105F"/>
    <w:rsid w:val="009715D6"/>
    <w:rsid w:val="0097242B"/>
    <w:rsid w:val="00972AC7"/>
    <w:rsid w:val="00980BBE"/>
    <w:rsid w:val="00981BAA"/>
    <w:rsid w:val="00981E59"/>
    <w:rsid w:val="00981EF4"/>
    <w:rsid w:val="00982664"/>
    <w:rsid w:val="00982915"/>
    <w:rsid w:val="00982D94"/>
    <w:rsid w:val="009831AD"/>
    <w:rsid w:val="00983A8F"/>
    <w:rsid w:val="00983A9D"/>
    <w:rsid w:val="0098482E"/>
    <w:rsid w:val="00984D1A"/>
    <w:rsid w:val="00987DB8"/>
    <w:rsid w:val="0099026A"/>
    <w:rsid w:val="00990278"/>
    <w:rsid w:val="009907BA"/>
    <w:rsid w:val="00990E27"/>
    <w:rsid w:val="00991291"/>
    <w:rsid w:val="00994140"/>
    <w:rsid w:val="009943CE"/>
    <w:rsid w:val="00995BFD"/>
    <w:rsid w:val="00996E27"/>
    <w:rsid w:val="009A03DD"/>
    <w:rsid w:val="009A1B16"/>
    <w:rsid w:val="009A47A8"/>
    <w:rsid w:val="009A4B7B"/>
    <w:rsid w:val="009A56FD"/>
    <w:rsid w:val="009A67D9"/>
    <w:rsid w:val="009A6A1E"/>
    <w:rsid w:val="009B1084"/>
    <w:rsid w:val="009B3308"/>
    <w:rsid w:val="009B3658"/>
    <w:rsid w:val="009B5432"/>
    <w:rsid w:val="009B5EDA"/>
    <w:rsid w:val="009B6D73"/>
    <w:rsid w:val="009B7C75"/>
    <w:rsid w:val="009C0499"/>
    <w:rsid w:val="009C14A1"/>
    <w:rsid w:val="009C1694"/>
    <w:rsid w:val="009C1A96"/>
    <w:rsid w:val="009C1FC9"/>
    <w:rsid w:val="009C2079"/>
    <w:rsid w:val="009C21FF"/>
    <w:rsid w:val="009C3B33"/>
    <w:rsid w:val="009C630B"/>
    <w:rsid w:val="009D0889"/>
    <w:rsid w:val="009D089B"/>
    <w:rsid w:val="009D0BA7"/>
    <w:rsid w:val="009D247D"/>
    <w:rsid w:val="009D2BF8"/>
    <w:rsid w:val="009D33B8"/>
    <w:rsid w:val="009D4A25"/>
    <w:rsid w:val="009D4D2A"/>
    <w:rsid w:val="009D5F22"/>
    <w:rsid w:val="009D66AC"/>
    <w:rsid w:val="009E1201"/>
    <w:rsid w:val="009E12BA"/>
    <w:rsid w:val="009E1D00"/>
    <w:rsid w:val="009E3652"/>
    <w:rsid w:val="009E494F"/>
    <w:rsid w:val="009E57DD"/>
    <w:rsid w:val="009E5DDD"/>
    <w:rsid w:val="009E63BD"/>
    <w:rsid w:val="009E7A68"/>
    <w:rsid w:val="009F10E9"/>
    <w:rsid w:val="009F20A0"/>
    <w:rsid w:val="009F2D92"/>
    <w:rsid w:val="009F3AC8"/>
    <w:rsid w:val="009F423F"/>
    <w:rsid w:val="009F5869"/>
    <w:rsid w:val="009F6734"/>
    <w:rsid w:val="009F6D88"/>
    <w:rsid w:val="00A0061F"/>
    <w:rsid w:val="00A01935"/>
    <w:rsid w:val="00A02395"/>
    <w:rsid w:val="00A02685"/>
    <w:rsid w:val="00A04480"/>
    <w:rsid w:val="00A05E62"/>
    <w:rsid w:val="00A0662F"/>
    <w:rsid w:val="00A07C15"/>
    <w:rsid w:val="00A101D0"/>
    <w:rsid w:val="00A15E88"/>
    <w:rsid w:val="00A222C1"/>
    <w:rsid w:val="00A22916"/>
    <w:rsid w:val="00A22E5A"/>
    <w:rsid w:val="00A23741"/>
    <w:rsid w:val="00A2535A"/>
    <w:rsid w:val="00A25FC3"/>
    <w:rsid w:val="00A26475"/>
    <w:rsid w:val="00A26505"/>
    <w:rsid w:val="00A26836"/>
    <w:rsid w:val="00A2743B"/>
    <w:rsid w:val="00A274F1"/>
    <w:rsid w:val="00A27557"/>
    <w:rsid w:val="00A30B10"/>
    <w:rsid w:val="00A3106E"/>
    <w:rsid w:val="00A321F0"/>
    <w:rsid w:val="00A328E2"/>
    <w:rsid w:val="00A33446"/>
    <w:rsid w:val="00A33854"/>
    <w:rsid w:val="00A3517E"/>
    <w:rsid w:val="00A35305"/>
    <w:rsid w:val="00A359A9"/>
    <w:rsid w:val="00A35D5E"/>
    <w:rsid w:val="00A37E7E"/>
    <w:rsid w:val="00A401B5"/>
    <w:rsid w:val="00A408BE"/>
    <w:rsid w:val="00A41097"/>
    <w:rsid w:val="00A42F27"/>
    <w:rsid w:val="00A44714"/>
    <w:rsid w:val="00A44FE6"/>
    <w:rsid w:val="00A46ACB"/>
    <w:rsid w:val="00A47157"/>
    <w:rsid w:val="00A47485"/>
    <w:rsid w:val="00A47907"/>
    <w:rsid w:val="00A500AA"/>
    <w:rsid w:val="00A5088E"/>
    <w:rsid w:val="00A5174D"/>
    <w:rsid w:val="00A51FF2"/>
    <w:rsid w:val="00A52146"/>
    <w:rsid w:val="00A542CC"/>
    <w:rsid w:val="00A54FCF"/>
    <w:rsid w:val="00A61BD8"/>
    <w:rsid w:val="00A62116"/>
    <w:rsid w:val="00A63FF8"/>
    <w:rsid w:val="00A642B5"/>
    <w:rsid w:val="00A64D81"/>
    <w:rsid w:val="00A6749D"/>
    <w:rsid w:val="00A67979"/>
    <w:rsid w:val="00A67D32"/>
    <w:rsid w:val="00A70111"/>
    <w:rsid w:val="00A736FF"/>
    <w:rsid w:val="00A7451F"/>
    <w:rsid w:val="00A74DD3"/>
    <w:rsid w:val="00A7691B"/>
    <w:rsid w:val="00A774B4"/>
    <w:rsid w:val="00A80226"/>
    <w:rsid w:val="00A82DEE"/>
    <w:rsid w:val="00A83821"/>
    <w:rsid w:val="00A843F6"/>
    <w:rsid w:val="00A85422"/>
    <w:rsid w:val="00A85AE0"/>
    <w:rsid w:val="00A85E88"/>
    <w:rsid w:val="00A86651"/>
    <w:rsid w:val="00A86C50"/>
    <w:rsid w:val="00A87646"/>
    <w:rsid w:val="00A87EBB"/>
    <w:rsid w:val="00A91FCC"/>
    <w:rsid w:val="00A924F1"/>
    <w:rsid w:val="00A935F0"/>
    <w:rsid w:val="00A94678"/>
    <w:rsid w:val="00A94B39"/>
    <w:rsid w:val="00A94B71"/>
    <w:rsid w:val="00A95898"/>
    <w:rsid w:val="00AA16A9"/>
    <w:rsid w:val="00AA1F6A"/>
    <w:rsid w:val="00AA316F"/>
    <w:rsid w:val="00AA3FC1"/>
    <w:rsid w:val="00AA6A71"/>
    <w:rsid w:val="00AB0204"/>
    <w:rsid w:val="00AB08CF"/>
    <w:rsid w:val="00AB0A76"/>
    <w:rsid w:val="00AB1167"/>
    <w:rsid w:val="00AB28E9"/>
    <w:rsid w:val="00AB3278"/>
    <w:rsid w:val="00AB3379"/>
    <w:rsid w:val="00AB35EE"/>
    <w:rsid w:val="00AB4180"/>
    <w:rsid w:val="00AB4207"/>
    <w:rsid w:val="00AB49BF"/>
    <w:rsid w:val="00AB4B3D"/>
    <w:rsid w:val="00AB532E"/>
    <w:rsid w:val="00AB5CBD"/>
    <w:rsid w:val="00AB6EAE"/>
    <w:rsid w:val="00AC3499"/>
    <w:rsid w:val="00AC389E"/>
    <w:rsid w:val="00AC5C4A"/>
    <w:rsid w:val="00AC685A"/>
    <w:rsid w:val="00AC7FE2"/>
    <w:rsid w:val="00AD29F9"/>
    <w:rsid w:val="00AD3779"/>
    <w:rsid w:val="00AD41F2"/>
    <w:rsid w:val="00AD470B"/>
    <w:rsid w:val="00AD4CF8"/>
    <w:rsid w:val="00AD6389"/>
    <w:rsid w:val="00AD6FDE"/>
    <w:rsid w:val="00AE0D88"/>
    <w:rsid w:val="00AE1B3E"/>
    <w:rsid w:val="00AE27C8"/>
    <w:rsid w:val="00AE3397"/>
    <w:rsid w:val="00AE4D28"/>
    <w:rsid w:val="00AE5F5F"/>
    <w:rsid w:val="00AE72D1"/>
    <w:rsid w:val="00AE7E29"/>
    <w:rsid w:val="00AF0143"/>
    <w:rsid w:val="00AF3F65"/>
    <w:rsid w:val="00AF510F"/>
    <w:rsid w:val="00AF57D8"/>
    <w:rsid w:val="00AF582A"/>
    <w:rsid w:val="00AF5B12"/>
    <w:rsid w:val="00AF5FA9"/>
    <w:rsid w:val="00AF73DC"/>
    <w:rsid w:val="00B00DC0"/>
    <w:rsid w:val="00B033F6"/>
    <w:rsid w:val="00B04BFA"/>
    <w:rsid w:val="00B04BFD"/>
    <w:rsid w:val="00B05F21"/>
    <w:rsid w:val="00B102E0"/>
    <w:rsid w:val="00B113BC"/>
    <w:rsid w:val="00B1185E"/>
    <w:rsid w:val="00B20BE7"/>
    <w:rsid w:val="00B20CBA"/>
    <w:rsid w:val="00B20DE8"/>
    <w:rsid w:val="00B212E9"/>
    <w:rsid w:val="00B228A3"/>
    <w:rsid w:val="00B241F6"/>
    <w:rsid w:val="00B24556"/>
    <w:rsid w:val="00B2491B"/>
    <w:rsid w:val="00B26044"/>
    <w:rsid w:val="00B2679E"/>
    <w:rsid w:val="00B27908"/>
    <w:rsid w:val="00B30195"/>
    <w:rsid w:val="00B309AB"/>
    <w:rsid w:val="00B3153D"/>
    <w:rsid w:val="00B31944"/>
    <w:rsid w:val="00B32A73"/>
    <w:rsid w:val="00B330BE"/>
    <w:rsid w:val="00B33E05"/>
    <w:rsid w:val="00B4027A"/>
    <w:rsid w:val="00B41228"/>
    <w:rsid w:val="00B417AC"/>
    <w:rsid w:val="00B41DF2"/>
    <w:rsid w:val="00B41E52"/>
    <w:rsid w:val="00B42898"/>
    <w:rsid w:val="00B42D1A"/>
    <w:rsid w:val="00B44132"/>
    <w:rsid w:val="00B44502"/>
    <w:rsid w:val="00B44E41"/>
    <w:rsid w:val="00B45320"/>
    <w:rsid w:val="00B5259D"/>
    <w:rsid w:val="00B574AE"/>
    <w:rsid w:val="00B574CF"/>
    <w:rsid w:val="00B575A8"/>
    <w:rsid w:val="00B6173F"/>
    <w:rsid w:val="00B61DBA"/>
    <w:rsid w:val="00B63E04"/>
    <w:rsid w:val="00B65281"/>
    <w:rsid w:val="00B663BB"/>
    <w:rsid w:val="00B670D5"/>
    <w:rsid w:val="00B70470"/>
    <w:rsid w:val="00B716A3"/>
    <w:rsid w:val="00B7644E"/>
    <w:rsid w:val="00B7685D"/>
    <w:rsid w:val="00B77145"/>
    <w:rsid w:val="00B778BB"/>
    <w:rsid w:val="00B808BE"/>
    <w:rsid w:val="00B81C1E"/>
    <w:rsid w:val="00B81FD9"/>
    <w:rsid w:val="00B8468B"/>
    <w:rsid w:val="00B863EC"/>
    <w:rsid w:val="00B86CBB"/>
    <w:rsid w:val="00B90C38"/>
    <w:rsid w:val="00B92B23"/>
    <w:rsid w:val="00B9431D"/>
    <w:rsid w:val="00B94581"/>
    <w:rsid w:val="00B95E9E"/>
    <w:rsid w:val="00B96292"/>
    <w:rsid w:val="00B9701D"/>
    <w:rsid w:val="00B97221"/>
    <w:rsid w:val="00B9741E"/>
    <w:rsid w:val="00B97B7A"/>
    <w:rsid w:val="00BA1139"/>
    <w:rsid w:val="00BA2D3E"/>
    <w:rsid w:val="00BA3C4E"/>
    <w:rsid w:val="00BA3D95"/>
    <w:rsid w:val="00BA3E2F"/>
    <w:rsid w:val="00BA5918"/>
    <w:rsid w:val="00BA64EA"/>
    <w:rsid w:val="00BA685D"/>
    <w:rsid w:val="00BA6B88"/>
    <w:rsid w:val="00BA6D5E"/>
    <w:rsid w:val="00BA6FD1"/>
    <w:rsid w:val="00BA7416"/>
    <w:rsid w:val="00BB2B88"/>
    <w:rsid w:val="00BB4551"/>
    <w:rsid w:val="00BB6A52"/>
    <w:rsid w:val="00BB6F29"/>
    <w:rsid w:val="00BB79A5"/>
    <w:rsid w:val="00BC08A0"/>
    <w:rsid w:val="00BC0F1B"/>
    <w:rsid w:val="00BC24AA"/>
    <w:rsid w:val="00BC2A0F"/>
    <w:rsid w:val="00BC4AC9"/>
    <w:rsid w:val="00BC4E24"/>
    <w:rsid w:val="00BC5AC4"/>
    <w:rsid w:val="00BC6014"/>
    <w:rsid w:val="00BD1BDC"/>
    <w:rsid w:val="00BD220F"/>
    <w:rsid w:val="00BD2302"/>
    <w:rsid w:val="00BD49D3"/>
    <w:rsid w:val="00BD64EA"/>
    <w:rsid w:val="00BD7A0A"/>
    <w:rsid w:val="00BE024B"/>
    <w:rsid w:val="00BE0E38"/>
    <w:rsid w:val="00BE1E36"/>
    <w:rsid w:val="00BE3D71"/>
    <w:rsid w:val="00BE3F3A"/>
    <w:rsid w:val="00BE3F9D"/>
    <w:rsid w:val="00BE5233"/>
    <w:rsid w:val="00BE52CE"/>
    <w:rsid w:val="00BE5991"/>
    <w:rsid w:val="00BE63EE"/>
    <w:rsid w:val="00BE6423"/>
    <w:rsid w:val="00BF0288"/>
    <w:rsid w:val="00BF0CDE"/>
    <w:rsid w:val="00BF10BE"/>
    <w:rsid w:val="00BF1212"/>
    <w:rsid w:val="00BF1B8D"/>
    <w:rsid w:val="00BF23EE"/>
    <w:rsid w:val="00BF28CD"/>
    <w:rsid w:val="00BF30E0"/>
    <w:rsid w:val="00BF4696"/>
    <w:rsid w:val="00BF498E"/>
    <w:rsid w:val="00BF4F88"/>
    <w:rsid w:val="00BF50C7"/>
    <w:rsid w:val="00BF6832"/>
    <w:rsid w:val="00BF7AE0"/>
    <w:rsid w:val="00C011E6"/>
    <w:rsid w:val="00C0129D"/>
    <w:rsid w:val="00C01B25"/>
    <w:rsid w:val="00C02A00"/>
    <w:rsid w:val="00C0358D"/>
    <w:rsid w:val="00C03F75"/>
    <w:rsid w:val="00C04514"/>
    <w:rsid w:val="00C0748C"/>
    <w:rsid w:val="00C07492"/>
    <w:rsid w:val="00C079CB"/>
    <w:rsid w:val="00C1095C"/>
    <w:rsid w:val="00C11430"/>
    <w:rsid w:val="00C122B7"/>
    <w:rsid w:val="00C12931"/>
    <w:rsid w:val="00C131E1"/>
    <w:rsid w:val="00C1521C"/>
    <w:rsid w:val="00C17A88"/>
    <w:rsid w:val="00C202BF"/>
    <w:rsid w:val="00C21E23"/>
    <w:rsid w:val="00C21F8B"/>
    <w:rsid w:val="00C2259A"/>
    <w:rsid w:val="00C22D6C"/>
    <w:rsid w:val="00C23A93"/>
    <w:rsid w:val="00C2594F"/>
    <w:rsid w:val="00C25C6B"/>
    <w:rsid w:val="00C25FC7"/>
    <w:rsid w:val="00C261E9"/>
    <w:rsid w:val="00C262A0"/>
    <w:rsid w:val="00C269D0"/>
    <w:rsid w:val="00C27F3F"/>
    <w:rsid w:val="00C27FB7"/>
    <w:rsid w:val="00C304D3"/>
    <w:rsid w:val="00C30CA0"/>
    <w:rsid w:val="00C3302C"/>
    <w:rsid w:val="00C334A9"/>
    <w:rsid w:val="00C34575"/>
    <w:rsid w:val="00C346E6"/>
    <w:rsid w:val="00C34B65"/>
    <w:rsid w:val="00C352B2"/>
    <w:rsid w:val="00C36B33"/>
    <w:rsid w:val="00C4182A"/>
    <w:rsid w:val="00C422EE"/>
    <w:rsid w:val="00C42D18"/>
    <w:rsid w:val="00C42E41"/>
    <w:rsid w:val="00C42FD7"/>
    <w:rsid w:val="00C43D9F"/>
    <w:rsid w:val="00C47FE4"/>
    <w:rsid w:val="00C50839"/>
    <w:rsid w:val="00C51504"/>
    <w:rsid w:val="00C518CC"/>
    <w:rsid w:val="00C52972"/>
    <w:rsid w:val="00C52F63"/>
    <w:rsid w:val="00C54759"/>
    <w:rsid w:val="00C54A34"/>
    <w:rsid w:val="00C61C47"/>
    <w:rsid w:val="00C62112"/>
    <w:rsid w:val="00C63416"/>
    <w:rsid w:val="00C661A8"/>
    <w:rsid w:val="00C66C48"/>
    <w:rsid w:val="00C66FB8"/>
    <w:rsid w:val="00C67217"/>
    <w:rsid w:val="00C6728E"/>
    <w:rsid w:val="00C72356"/>
    <w:rsid w:val="00C769F1"/>
    <w:rsid w:val="00C7712F"/>
    <w:rsid w:val="00C77902"/>
    <w:rsid w:val="00C779D0"/>
    <w:rsid w:val="00C77B6D"/>
    <w:rsid w:val="00C80188"/>
    <w:rsid w:val="00C806E5"/>
    <w:rsid w:val="00C81397"/>
    <w:rsid w:val="00C8142C"/>
    <w:rsid w:val="00C81898"/>
    <w:rsid w:val="00C83CCB"/>
    <w:rsid w:val="00C85974"/>
    <w:rsid w:val="00C85B64"/>
    <w:rsid w:val="00C87099"/>
    <w:rsid w:val="00C874E2"/>
    <w:rsid w:val="00C90706"/>
    <w:rsid w:val="00C90B54"/>
    <w:rsid w:val="00C91437"/>
    <w:rsid w:val="00C93327"/>
    <w:rsid w:val="00C9372B"/>
    <w:rsid w:val="00C949C8"/>
    <w:rsid w:val="00C94DA2"/>
    <w:rsid w:val="00C95016"/>
    <w:rsid w:val="00CA06EB"/>
    <w:rsid w:val="00CA1343"/>
    <w:rsid w:val="00CA4545"/>
    <w:rsid w:val="00CA5463"/>
    <w:rsid w:val="00CA6F76"/>
    <w:rsid w:val="00CB049A"/>
    <w:rsid w:val="00CB0BC3"/>
    <w:rsid w:val="00CB1B72"/>
    <w:rsid w:val="00CB27EA"/>
    <w:rsid w:val="00CB2E9A"/>
    <w:rsid w:val="00CB3C26"/>
    <w:rsid w:val="00CB404C"/>
    <w:rsid w:val="00CB5FAE"/>
    <w:rsid w:val="00CB62D7"/>
    <w:rsid w:val="00CB6BED"/>
    <w:rsid w:val="00CB7510"/>
    <w:rsid w:val="00CC2BD8"/>
    <w:rsid w:val="00CC348B"/>
    <w:rsid w:val="00CC37A8"/>
    <w:rsid w:val="00CC44D4"/>
    <w:rsid w:val="00CC5651"/>
    <w:rsid w:val="00CC59F0"/>
    <w:rsid w:val="00CC66FC"/>
    <w:rsid w:val="00CC785D"/>
    <w:rsid w:val="00CD0745"/>
    <w:rsid w:val="00CD24FE"/>
    <w:rsid w:val="00CD25DD"/>
    <w:rsid w:val="00CD2873"/>
    <w:rsid w:val="00CD4042"/>
    <w:rsid w:val="00CD41F9"/>
    <w:rsid w:val="00CD4D99"/>
    <w:rsid w:val="00CD529D"/>
    <w:rsid w:val="00CD60D9"/>
    <w:rsid w:val="00CD6130"/>
    <w:rsid w:val="00CD6235"/>
    <w:rsid w:val="00CD62FF"/>
    <w:rsid w:val="00CD68F4"/>
    <w:rsid w:val="00CD6EEA"/>
    <w:rsid w:val="00CE0AE4"/>
    <w:rsid w:val="00CE2D1A"/>
    <w:rsid w:val="00CE3220"/>
    <w:rsid w:val="00CE376C"/>
    <w:rsid w:val="00CE4006"/>
    <w:rsid w:val="00CF1590"/>
    <w:rsid w:val="00CF197E"/>
    <w:rsid w:val="00CF23F1"/>
    <w:rsid w:val="00CF2A7A"/>
    <w:rsid w:val="00CF36BD"/>
    <w:rsid w:val="00CF5525"/>
    <w:rsid w:val="00CF7526"/>
    <w:rsid w:val="00CF7766"/>
    <w:rsid w:val="00CF7767"/>
    <w:rsid w:val="00D003A5"/>
    <w:rsid w:val="00D01E74"/>
    <w:rsid w:val="00D06A1B"/>
    <w:rsid w:val="00D07644"/>
    <w:rsid w:val="00D12662"/>
    <w:rsid w:val="00D12CC1"/>
    <w:rsid w:val="00D12FE8"/>
    <w:rsid w:val="00D138CA"/>
    <w:rsid w:val="00D13F91"/>
    <w:rsid w:val="00D16CE3"/>
    <w:rsid w:val="00D16F0D"/>
    <w:rsid w:val="00D178EC"/>
    <w:rsid w:val="00D205AA"/>
    <w:rsid w:val="00D20A69"/>
    <w:rsid w:val="00D22506"/>
    <w:rsid w:val="00D22DD6"/>
    <w:rsid w:val="00D23F4E"/>
    <w:rsid w:val="00D240A0"/>
    <w:rsid w:val="00D25C37"/>
    <w:rsid w:val="00D25D22"/>
    <w:rsid w:val="00D27AC0"/>
    <w:rsid w:val="00D31FE6"/>
    <w:rsid w:val="00D34F28"/>
    <w:rsid w:val="00D35AB0"/>
    <w:rsid w:val="00D36452"/>
    <w:rsid w:val="00D365E1"/>
    <w:rsid w:val="00D3663E"/>
    <w:rsid w:val="00D36C1D"/>
    <w:rsid w:val="00D374E0"/>
    <w:rsid w:val="00D37B5B"/>
    <w:rsid w:val="00D408F9"/>
    <w:rsid w:val="00D414F1"/>
    <w:rsid w:val="00D43091"/>
    <w:rsid w:val="00D43504"/>
    <w:rsid w:val="00D4396D"/>
    <w:rsid w:val="00D43AAA"/>
    <w:rsid w:val="00D43F8C"/>
    <w:rsid w:val="00D44399"/>
    <w:rsid w:val="00D445BC"/>
    <w:rsid w:val="00D47A88"/>
    <w:rsid w:val="00D47B53"/>
    <w:rsid w:val="00D509AA"/>
    <w:rsid w:val="00D50B2F"/>
    <w:rsid w:val="00D53DBE"/>
    <w:rsid w:val="00D5488D"/>
    <w:rsid w:val="00D54B78"/>
    <w:rsid w:val="00D54FF2"/>
    <w:rsid w:val="00D550B4"/>
    <w:rsid w:val="00D55247"/>
    <w:rsid w:val="00D55EC5"/>
    <w:rsid w:val="00D571A8"/>
    <w:rsid w:val="00D57437"/>
    <w:rsid w:val="00D57B42"/>
    <w:rsid w:val="00D6517C"/>
    <w:rsid w:val="00D65375"/>
    <w:rsid w:val="00D6566D"/>
    <w:rsid w:val="00D6591A"/>
    <w:rsid w:val="00D65D45"/>
    <w:rsid w:val="00D66674"/>
    <w:rsid w:val="00D66759"/>
    <w:rsid w:val="00D67177"/>
    <w:rsid w:val="00D702E0"/>
    <w:rsid w:val="00D711B5"/>
    <w:rsid w:val="00D711F0"/>
    <w:rsid w:val="00D71C17"/>
    <w:rsid w:val="00D745B7"/>
    <w:rsid w:val="00D74990"/>
    <w:rsid w:val="00D7630F"/>
    <w:rsid w:val="00D76F95"/>
    <w:rsid w:val="00D77376"/>
    <w:rsid w:val="00D77AA8"/>
    <w:rsid w:val="00D8204E"/>
    <w:rsid w:val="00D82306"/>
    <w:rsid w:val="00D849E4"/>
    <w:rsid w:val="00D85C05"/>
    <w:rsid w:val="00D902A9"/>
    <w:rsid w:val="00D908F1"/>
    <w:rsid w:val="00D919D6"/>
    <w:rsid w:val="00D91E6B"/>
    <w:rsid w:val="00D92550"/>
    <w:rsid w:val="00D92667"/>
    <w:rsid w:val="00D940E6"/>
    <w:rsid w:val="00D945F5"/>
    <w:rsid w:val="00D954E0"/>
    <w:rsid w:val="00D95F29"/>
    <w:rsid w:val="00DA1327"/>
    <w:rsid w:val="00DA13FA"/>
    <w:rsid w:val="00DA281B"/>
    <w:rsid w:val="00DA335A"/>
    <w:rsid w:val="00DA33DA"/>
    <w:rsid w:val="00DA4840"/>
    <w:rsid w:val="00DA5603"/>
    <w:rsid w:val="00DA5681"/>
    <w:rsid w:val="00DA58FE"/>
    <w:rsid w:val="00DA5ECD"/>
    <w:rsid w:val="00DA7596"/>
    <w:rsid w:val="00DB3E24"/>
    <w:rsid w:val="00DB47B6"/>
    <w:rsid w:val="00DB5943"/>
    <w:rsid w:val="00DB70BE"/>
    <w:rsid w:val="00DC194B"/>
    <w:rsid w:val="00DC198E"/>
    <w:rsid w:val="00DC2CEB"/>
    <w:rsid w:val="00DC33E7"/>
    <w:rsid w:val="00DC3430"/>
    <w:rsid w:val="00DC3A93"/>
    <w:rsid w:val="00DC4217"/>
    <w:rsid w:val="00DC5A46"/>
    <w:rsid w:val="00DC5AC7"/>
    <w:rsid w:val="00DC623D"/>
    <w:rsid w:val="00DC6275"/>
    <w:rsid w:val="00DC6365"/>
    <w:rsid w:val="00DC76BB"/>
    <w:rsid w:val="00DC76D6"/>
    <w:rsid w:val="00DC7D91"/>
    <w:rsid w:val="00DD0368"/>
    <w:rsid w:val="00DD238E"/>
    <w:rsid w:val="00DD4671"/>
    <w:rsid w:val="00DD568C"/>
    <w:rsid w:val="00DD58ED"/>
    <w:rsid w:val="00DD716C"/>
    <w:rsid w:val="00DD7FE6"/>
    <w:rsid w:val="00DE0629"/>
    <w:rsid w:val="00DE0E74"/>
    <w:rsid w:val="00DE1B20"/>
    <w:rsid w:val="00DE267C"/>
    <w:rsid w:val="00DE2B19"/>
    <w:rsid w:val="00DE2FEF"/>
    <w:rsid w:val="00DE409A"/>
    <w:rsid w:val="00DE4164"/>
    <w:rsid w:val="00DE4FA7"/>
    <w:rsid w:val="00DE6135"/>
    <w:rsid w:val="00DF2D7F"/>
    <w:rsid w:val="00DF4370"/>
    <w:rsid w:val="00DF43F9"/>
    <w:rsid w:val="00DF5C1A"/>
    <w:rsid w:val="00E0019E"/>
    <w:rsid w:val="00E00FCE"/>
    <w:rsid w:val="00E01199"/>
    <w:rsid w:val="00E01B35"/>
    <w:rsid w:val="00E029E7"/>
    <w:rsid w:val="00E05612"/>
    <w:rsid w:val="00E06E8E"/>
    <w:rsid w:val="00E07F92"/>
    <w:rsid w:val="00E12AE8"/>
    <w:rsid w:val="00E14A4F"/>
    <w:rsid w:val="00E174C2"/>
    <w:rsid w:val="00E17CD9"/>
    <w:rsid w:val="00E20DA9"/>
    <w:rsid w:val="00E2251C"/>
    <w:rsid w:val="00E226DF"/>
    <w:rsid w:val="00E22FBD"/>
    <w:rsid w:val="00E23727"/>
    <w:rsid w:val="00E23B2E"/>
    <w:rsid w:val="00E23B5E"/>
    <w:rsid w:val="00E24737"/>
    <w:rsid w:val="00E27ED2"/>
    <w:rsid w:val="00E342BC"/>
    <w:rsid w:val="00E353AB"/>
    <w:rsid w:val="00E359EB"/>
    <w:rsid w:val="00E40745"/>
    <w:rsid w:val="00E42EB9"/>
    <w:rsid w:val="00E430D6"/>
    <w:rsid w:val="00E43B62"/>
    <w:rsid w:val="00E46201"/>
    <w:rsid w:val="00E46F0F"/>
    <w:rsid w:val="00E46FB7"/>
    <w:rsid w:val="00E47781"/>
    <w:rsid w:val="00E47783"/>
    <w:rsid w:val="00E47EB3"/>
    <w:rsid w:val="00E52424"/>
    <w:rsid w:val="00E53061"/>
    <w:rsid w:val="00E54860"/>
    <w:rsid w:val="00E55ECD"/>
    <w:rsid w:val="00E57759"/>
    <w:rsid w:val="00E60EC3"/>
    <w:rsid w:val="00E62497"/>
    <w:rsid w:val="00E62E94"/>
    <w:rsid w:val="00E63C83"/>
    <w:rsid w:val="00E640AA"/>
    <w:rsid w:val="00E6666A"/>
    <w:rsid w:val="00E6784B"/>
    <w:rsid w:val="00E71FB7"/>
    <w:rsid w:val="00E72111"/>
    <w:rsid w:val="00E724A6"/>
    <w:rsid w:val="00E7366D"/>
    <w:rsid w:val="00E73A33"/>
    <w:rsid w:val="00E75781"/>
    <w:rsid w:val="00E761B3"/>
    <w:rsid w:val="00E76376"/>
    <w:rsid w:val="00E77427"/>
    <w:rsid w:val="00E819CB"/>
    <w:rsid w:val="00E8298A"/>
    <w:rsid w:val="00E82AE2"/>
    <w:rsid w:val="00E844EF"/>
    <w:rsid w:val="00E85186"/>
    <w:rsid w:val="00E87C15"/>
    <w:rsid w:val="00E93BF7"/>
    <w:rsid w:val="00E93CFC"/>
    <w:rsid w:val="00E94528"/>
    <w:rsid w:val="00E9527E"/>
    <w:rsid w:val="00E96136"/>
    <w:rsid w:val="00E96CA1"/>
    <w:rsid w:val="00E96CF4"/>
    <w:rsid w:val="00E97769"/>
    <w:rsid w:val="00E977AF"/>
    <w:rsid w:val="00E97981"/>
    <w:rsid w:val="00E97EAF"/>
    <w:rsid w:val="00EA1321"/>
    <w:rsid w:val="00EA1908"/>
    <w:rsid w:val="00EA400F"/>
    <w:rsid w:val="00EA4C1C"/>
    <w:rsid w:val="00EA6DEE"/>
    <w:rsid w:val="00EA6E1A"/>
    <w:rsid w:val="00EA7406"/>
    <w:rsid w:val="00EB0767"/>
    <w:rsid w:val="00EB0836"/>
    <w:rsid w:val="00EB0DFB"/>
    <w:rsid w:val="00EB0F2B"/>
    <w:rsid w:val="00EB418F"/>
    <w:rsid w:val="00EB44BF"/>
    <w:rsid w:val="00EB5064"/>
    <w:rsid w:val="00EB5146"/>
    <w:rsid w:val="00EB54F7"/>
    <w:rsid w:val="00EB64DF"/>
    <w:rsid w:val="00EB653C"/>
    <w:rsid w:val="00EB792C"/>
    <w:rsid w:val="00EC0401"/>
    <w:rsid w:val="00EC07BA"/>
    <w:rsid w:val="00EC364D"/>
    <w:rsid w:val="00EC3D35"/>
    <w:rsid w:val="00EC41D6"/>
    <w:rsid w:val="00EC42A9"/>
    <w:rsid w:val="00EC469A"/>
    <w:rsid w:val="00EC4957"/>
    <w:rsid w:val="00EC6865"/>
    <w:rsid w:val="00EC6958"/>
    <w:rsid w:val="00ED01E4"/>
    <w:rsid w:val="00ED261F"/>
    <w:rsid w:val="00ED2851"/>
    <w:rsid w:val="00ED49F3"/>
    <w:rsid w:val="00ED4F46"/>
    <w:rsid w:val="00ED5280"/>
    <w:rsid w:val="00ED54B7"/>
    <w:rsid w:val="00ED5522"/>
    <w:rsid w:val="00ED5777"/>
    <w:rsid w:val="00ED5C34"/>
    <w:rsid w:val="00ED604A"/>
    <w:rsid w:val="00ED71F4"/>
    <w:rsid w:val="00EE05FC"/>
    <w:rsid w:val="00EE1283"/>
    <w:rsid w:val="00EE249E"/>
    <w:rsid w:val="00EE2ACF"/>
    <w:rsid w:val="00EE3668"/>
    <w:rsid w:val="00EE55A3"/>
    <w:rsid w:val="00EE6624"/>
    <w:rsid w:val="00EE70AB"/>
    <w:rsid w:val="00EE7870"/>
    <w:rsid w:val="00EE7C6F"/>
    <w:rsid w:val="00EF1302"/>
    <w:rsid w:val="00EF1511"/>
    <w:rsid w:val="00EF1E52"/>
    <w:rsid w:val="00EF2117"/>
    <w:rsid w:val="00EF2E70"/>
    <w:rsid w:val="00EF366A"/>
    <w:rsid w:val="00EF39EA"/>
    <w:rsid w:val="00EF4099"/>
    <w:rsid w:val="00EF4142"/>
    <w:rsid w:val="00EF5B99"/>
    <w:rsid w:val="00EF6471"/>
    <w:rsid w:val="00EF7F2C"/>
    <w:rsid w:val="00F00F24"/>
    <w:rsid w:val="00F02050"/>
    <w:rsid w:val="00F02067"/>
    <w:rsid w:val="00F021E3"/>
    <w:rsid w:val="00F033BF"/>
    <w:rsid w:val="00F0390B"/>
    <w:rsid w:val="00F03CE1"/>
    <w:rsid w:val="00F0532B"/>
    <w:rsid w:val="00F12679"/>
    <w:rsid w:val="00F16477"/>
    <w:rsid w:val="00F178BC"/>
    <w:rsid w:val="00F2009F"/>
    <w:rsid w:val="00F20827"/>
    <w:rsid w:val="00F20C0C"/>
    <w:rsid w:val="00F2363C"/>
    <w:rsid w:val="00F237BC"/>
    <w:rsid w:val="00F23B40"/>
    <w:rsid w:val="00F25092"/>
    <w:rsid w:val="00F2647A"/>
    <w:rsid w:val="00F30C17"/>
    <w:rsid w:val="00F31E16"/>
    <w:rsid w:val="00F32FB9"/>
    <w:rsid w:val="00F33438"/>
    <w:rsid w:val="00F34CB5"/>
    <w:rsid w:val="00F35AB4"/>
    <w:rsid w:val="00F37941"/>
    <w:rsid w:val="00F37ADE"/>
    <w:rsid w:val="00F4152D"/>
    <w:rsid w:val="00F41A91"/>
    <w:rsid w:val="00F4281C"/>
    <w:rsid w:val="00F43067"/>
    <w:rsid w:val="00F443C2"/>
    <w:rsid w:val="00F44475"/>
    <w:rsid w:val="00F44780"/>
    <w:rsid w:val="00F45200"/>
    <w:rsid w:val="00F466E5"/>
    <w:rsid w:val="00F46C8B"/>
    <w:rsid w:val="00F47493"/>
    <w:rsid w:val="00F479D4"/>
    <w:rsid w:val="00F50113"/>
    <w:rsid w:val="00F512A7"/>
    <w:rsid w:val="00F51709"/>
    <w:rsid w:val="00F51804"/>
    <w:rsid w:val="00F53A57"/>
    <w:rsid w:val="00F55570"/>
    <w:rsid w:val="00F6211F"/>
    <w:rsid w:val="00F6303D"/>
    <w:rsid w:val="00F632AD"/>
    <w:rsid w:val="00F63901"/>
    <w:rsid w:val="00F712A3"/>
    <w:rsid w:val="00F73341"/>
    <w:rsid w:val="00F7359C"/>
    <w:rsid w:val="00F75B56"/>
    <w:rsid w:val="00F75EFF"/>
    <w:rsid w:val="00F76345"/>
    <w:rsid w:val="00F7700E"/>
    <w:rsid w:val="00F77367"/>
    <w:rsid w:val="00F7754B"/>
    <w:rsid w:val="00F81C7F"/>
    <w:rsid w:val="00F8207F"/>
    <w:rsid w:val="00F822F0"/>
    <w:rsid w:val="00F824EB"/>
    <w:rsid w:val="00F841A1"/>
    <w:rsid w:val="00F908AA"/>
    <w:rsid w:val="00F91379"/>
    <w:rsid w:val="00F92E51"/>
    <w:rsid w:val="00F939C6"/>
    <w:rsid w:val="00F93DC5"/>
    <w:rsid w:val="00F963E6"/>
    <w:rsid w:val="00F96675"/>
    <w:rsid w:val="00F96D8C"/>
    <w:rsid w:val="00F9729C"/>
    <w:rsid w:val="00F975E5"/>
    <w:rsid w:val="00FA3F05"/>
    <w:rsid w:val="00FA70F7"/>
    <w:rsid w:val="00FA7364"/>
    <w:rsid w:val="00FB0701"/>
    <w:rsid w:val="00FB1974"/>
    <w:rsid w:val="00FB1F0F"/>
    <w:rsid w:val="00FB234E"/>
    <w:rsid w:val="00FB246F"/>
    <w:rsid w:val="00FB253D"/>
    <w:rsid w:val="00FB3974"/>
    <w:rsid w:val="00FB4E0E"/>
    <w:rsid w:val="00FB630A"/>
    <w:rsid w:val="00FB6F4A"/>
    <w:rsid w:val="00FB74DB"/>
    <w:rsid w:val="00FC0851"/>
    <w:rsid w:val="00FC0AD0"/>
    <w:rsid w:val="00FC126F"/>
    <w:rsid w:val="00FC1D21"/>
    <w:rsid w:val="00FC1F33"/>
    <w:rsid w:val="00FC292A"/>
    <w:rsid w:val="00FC3F94"/>
    <w:rsid w:val="00FC56CE"/>
    <w:rsid w:val="00FC5D02"/>
    <w:rsid w:val="00FC7177"/>
    <w:rsid w:val="00FC798B"/>
    <w:rsid w:val="00FD0D52"/>
    <w:rsid w:val="00FD2A63"/>
    <w:rsid w:val="00FD33A8"/>
    <w:rsid w:val="00FD4AF1"/>
    <w:rsid w:val="00FD4B73"/>
    <w:rsid w:val="00FD5B65"/>
    <w:rsid w:val="00FD70AB"/>
    <w:rsid w:val="00FD7E79"/>
    <w:rsid w:val="00FE13CD"/>
    <w:rsid w:val="00FE1B9C"/>
    <w:rsid w:val="00FE1DDE"/>
    <w:rsid w:val="00FE25EE"/>
    <w:rsid w:val="00FE3146"/>
    <w:rsid w:val="00FE4A71"/>
    <w:rsid w:val="00FE4C4D"/>
    <w:rsid w:val="00FE5C46"/>
    <w:rsid w:val="00FE60EE"/>
    <w:rsid w:val="00FE7A78"/>
    <w:rsid w:val="00FF0735"/>
    <w:rsid w:val="00FF14CD"/>
    <w:rsid w:val="00FF2BFF"/>
    <w:rsid w:val="00FF3F3C"/>
    <w:rsid w:val="00FF4691"/>
    <w:rsid w:val="00FF59A4"/>
    <w:rsid w:val="11FFD96E"/>
    <w:rsid w:val="2738C79F"/>
    <w:rsid w:val="2A6D9EA3"/>
    <w:rsid w:val="448D5EBD"/>
    <w:rsid w:val="5545736F"/>
    <w:rsid w:val="564A0C92"/>
    <w:rsid w:val="62C1ACFF"/>
    <w:rsid w:val="6F764F3F"/>
    <w:rsid w:val="7AE3EC43"/>
  </w:rsids>
  <m:mathPr>
    <m:mathFont m:val="Cambria Math"/>
    <m:brkBin m:val="before"/>
    <m:brkBinSub m:val="--"/>
    <m:smallFrac m:val="0"/>
    <m:dispDef m:val="0"/>
    <m:lMargin m:val="0"/>
    <m:rMargin m:val="0"/>
    <m:defJc m:val="centerGroup"/>
    <m:wrapRight/>
    <m:intLim m:val="subSup"/>
    <m:naryLim m:val="subSup"/>
  </m:mathPr>
  <w:themeFontLang w:val="en-CA"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style="mso-position-horizontal-relative:margin;mso-position-vertical-relative:margin" fill="f" fillcolor="white" stroke="f">
      <v:fill color="white" on="f"/>
      <v:stroke on="f"/>
    </o:shapedefaults>
    <o:shapelayout v:ext="edit">
      <o:idmap v:ext="edit" data="2"/>
    </o:shapelayout>
  </w:shapeDefaults>
  <w:decimalSymbol w:val="."/>
  <w:listSeparator w:val=","/>
  <w14:docId w14:val="7E1EF1C0"/>
  <w15:docId w15:val="{C1B0A470-417B-644B-95F9-07B4E4E67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2251C"/>
    <w:rPr>
      <w:rFonts w:ascii="Arial" w:hAnsi="Arial"/>
      <w:sz w:val="22"/>
      <w:szCs w:val="24"/>
      <w:lang w:eastAsia="en-US"/>
    </w:rPr>
  </w:style>
  <w:style w:type="paragraph" w:styleId="Heading1">
    <w:name w:val="heading 1"/>
    <w:basedOn w:val="Normal"/>
    <w:next w:val="Normal"/>
    <w:link w:val="Heading1Char"/>
    <w:qFormat/>
    <w:rsid w:val="00D37B5B"/>
    <w:pPr>
      <w:keepNext/>
      <w:numPr>
        <w:numId w:val="1"/>
      </w:numPr>
      <w:suppressAutoHyphens/>
      <w:outlineLvl w:val="0"/>
    </w:pPr>
    <w:rPr>
      <w:rFonts w:eastAsia="Hiragino Kaku Gothic Pro W3" w:cs="Arial"/>
      <w:b/>
      <w:caps/>
      <w:color w:val="000000"/>
      <w:kern w:val="1"/>
      <w:sz w:val="36"/>
      <w:szCs w:val="36"/>
      <w:lang w:val="en-US" w:eastAsia="ar-SA"/>
    </w:rPr>
  </w:style>
  <w:style w:type="paragraph" w:styleId="Heading2">
    <w:name w:val="heading 2"/>
    <w:basedOn w:val="Normal"/>
    <w:next w:val="Normal"/>
    <w:link w:val="Heading2Char"/>
    <w:qFormat/>
    <w:rsid w:val="00D37B5B"/>
    <w:pPr>
      <w:keepNext/>
      <w:numPr>
        <w:ilvl w:val="1"/>
        <w:numId w:val="1"/>
      </w:numPr>
      <w:suppressAutoHyphens/>
      <w:outlineLvl w:val="1"/>
    </w:pPr>
    <w:rPr>
      <w:rFonts w:eastAsia="Hiragino Kaku Gothic Pro W3" w:cs="Arial"/>
      <w:caps/>
      <w:color w:val="000000"/>
      <w:sz w:val="26"/>
      <w:szCs w:val="28"/>
      <w:lang w:val="en-US" w:eastAsia="ar-SA"/>
    </w:rPr>
  </w:style>
  <w:style w:type="paragraph" w:styleId="Heading3">
    <w:name w:val="heading 3"/>
    <w:basedOn w:val="Normal"/>
    <w:next w:val="Normal"/>
    <w:link w:val="Heading3Char"/>
    <w:qFormat/>
    <w:rsid w:val="00D37B5B"/>
    <w:pPr>
      <w:keepNext/>
      <w:numPr>
        <w:ilvl w:val="2"/>
        <w:numId w:val="1"/>
      </w:numPr>
      <w:suppressAutoHyphens/>
      <w:outlineLvl w:val="2"/>
    </w:pPr>
    <w:rPr>
      <w:rFonts w:ascii="Amnesty Trade Gothic Cn" w:eastAsia="Hiragino Kaku Gothic Pro W3" w:hAnsi="Amnesty Trade Gothic Cn" w:cs="Arial"/>
      <w:caps/>
      <w:color w:val="000000"/>
      <w:sz w:val="20"/>
      <w:szCs w:val="26"/>
      <w:lang w:val="en-US" w:eastAsia="ar-SA"/>
    </w:rPr>
  </w:style>
  <w:style w:type="paragraph" w:styleId="Heading4">
    <w:name w:val="heading 4"/>
    <w:basedOn w:val="Normal"/>
    <w:next w:val="Normal"/>
    <w:link w:val="Heading4Char"/>
    <w:qFormat/>
    <w:rsid w:val="00D37B5B"/>
    <w:pPr>
      <w:widowControl w:val="0"/>
      <w:numPr>
        <w:ilvl w:val="3"/>
        <w:numId w:val="1"/>
      </w:numPr>
      <w:suppressAutoHyphens/>
      <w:outlineLvl w:val="3"/>
    </w:pPr>
    <w:rPr>
      <w:rFonts w:eastAsia="Hiragino Kaku Gothic Pro W3" w:cs="Arial"/>
      <w:color w:val="000000"/>
      <w:lang w:val="en-US" w:eastAsia="ar-SA"/>
    </w:rPr>
  </w:style>
  <w:style w:type="paragraph" w:styleId="Heading5">
    <w:name w:val="heading 5"/>
    <w:basedOn w:val="Heading4"/>
    <w:next w:val="Normal"/>
    <w:link w:val="Heading5Char"/>
    <w:qFormat/>
    <w:rsid w:val="00D37B5B"/>
    <w:pPr>
      <w:numPr>
        <w:ilvl w:val="4"/>
      </w:numPr>
      <w:outlineLvl w:val="4"/>
    </w:pPr>
  </w:style>
  <w:style w:type="paragraph" w:styleId="Heading6">
    <w:name w:val="heading 6"/>
    <w:basedOn w:val="Heading5"/>
    <w:next w:val="Normal"/>
    <w:link w:val="Heading6Char"/>
    <w:qFormat/>
    <w:rsid w:val="00D37B5B"/>
    <w:pPr>
      <w:numPr>
        <w:ilvl w:val="5"/>
      </w:numPr>
      <w:outlineLvl w:val="5"/>
    </w:pPr>
  </w:style>
  <w:style w:type="paragraph" w:styleId="Heading7">
    <w:name w:val="heading 7"/>
    <w:basedOn w:val="Heading6"/>
    <w:next w:val="Normal"/>
    <w:link w:val="Heading7Char"/>
    <w:qFormat/>
    <w:rsid w:val="00D37B5B"/>
    <w:pPr>
      <w:numPr>
        <w:ilvl w:val="6"/>
      </w:numPr>
      <w:outlineLvl w:val="6"/>
    </w:pPr>
  </w:style>
  <w:style w:type="paragraph" w:styleId="Heading8">
    <w:name w:val="heading 8"/>
    <w:basedOn w:val="Heading7"/>
    <w:next w:val="Normal"/>
    <w:link w:val="Heading8Char"/>
    <w:qFormat/>
    <w:rsid w:val="00D37B5B"/>
    <w:pPr>
      <w:numPr>
        <w:ilvl w:val="7"/>
      </w:numPr>
      <w:outlineLvl w:val="7"/>
    </w:pPr>
  </w:style>
  <w:style w:type="paragraph" w:styleId="Heading9">
    <w:name w:val="heading 9"/>
    <w:basedOn w:val="Heading8"/>
    <w:next w:val="Normal"/>
    <w:link w:val="Heading9Char"/>
    <w:qFormat/>
    <w:rsid w:val="00D37B5B"/>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C54A34"/>
    <w:rPr>
      <w:color w:val="0000FF"/>
      <w:u w:val="single"/>
    </w:rPr>
  </w:style>
  <w:style w:type="paragraph" w:styleId="Header">
    <w:name w:val="header"/>
    <w:basedOn w:val="Normal"/>
    <w:link w:val="HeaderChar"/>
    <w:uiPriority w:val="99"/>
    <w:rsid w:val="00C54A34"/>
    <w:pPr>
      <w:tabs>
        <w:tab w:val="center" w:pos="4320"/>
        <w:tab w:val="right" w:pos="8640"/>
      </w:tabs>
    </w:pPr>
  </w:style>
  <w:style w:type="paragraph" w:styleId="Footer">
    <w:name w:val="footer"/>
    <w:basedOn w:val="Normal"/>
    <w:link w:val="FooterChar"/>
    <w:uiPriority w:val="99"/>
    <w:rsid w:val="00C54A34"/>
    <w:pPr>
      <w:tabs>
        <w:tab w:val="center" w:pos="4320"/>
        <w:tab w:val="right" w:pos="8640"/>
      </w:tabs>
    </w:pPr>
  </w:style>
  <w:style w:type="paragraph" w:styleId="BodyTextIndent">
    <w:name w:val="Body Text Indent"/>
    <w:basedOn w:val="Normal"/>
    <w:link w:val="BodyTextIndentChar"/>
    <w:rsid w:val="00C122B7"/>
    <w:pPr>
      <w:spacing w:before="100" w:beforeAutospacing="1" w:after="100" w:afterAutospacing="1"/>
    </w:pPr>
    <w:rPr>
      <w:lang w:val="en-US"/>
    </w:rPr>
  </w:style>
  <w:style w:type="character" w:customStyle="1" w:styleId="BodyTextIndentChar">
    <w:name w:val="Body Text Indent Char"/>
    <w:link w:val="BodyTextIndent"/>
    <w:rsid w:val="00C122B7"/>
    <w:rPr>
      <w:sz w:val="24"/>
      <w:szCs w:val="24"/>
    </w:rPr>
  </w:style>
  <w:style w:type="paragraph" w:styleId="FootnoteText">
    <w:name w:val="footnote text"/>
    <w:aliases w:val="Footnote Text Char2,Footnote Text Char Char1,Footnote Text Char1 Char Char,Footnote Text Char Char Char Char,Footnote Text Char1 Char Char Char Char,Footnote Text Char Char Char Char Char Char,Footnote Text Char1,Footnote Text Char Char,5"/>
    <w:basedOn w:val="Normal"/>
    <w:link w:val="FootnoteTextChar"/>
    <w:uiPriority w:val="99"/>
    <w:rsid w:val="00C122B7"/>
    <w:rPr>
      <w:sz w:val="20"/>
      <w:szCs w:val="20"/>
    </w:rPr>
  </w:style>
  <w:style w:type="character" w:customStyle="1" w:styleId="FootnoteTextChar">
    <w:name w:val="Footnote Text Char"/>
    <w:aliases w:val="Footnote Text Char2 Char,Footnote Text Char Char1 Char,Footnote Text Char1 Char Char Char,Footnote Text Char Char Char Char Char,Footnote Text Char1 Char Char Char Char Char,Footnote Text Char Char Char Char Char Char Char,5 Char"/>
    <w:link w:val="FootnoteText"/>
    <w:uiPriority w:val="99"/>
    <w:rsid w:val="00C122B7"/>
    <w:rPr>
      <w:lang w:val="en-CA"/>
    </w:rPr>
  </w:style>
  <w:style w:type="character" w:styleId="FootnoteReference">
    <w:name w:val="footnote reference"/>
    <w:aliases w:val="Footnotes refss,Footnote number,Fago Fußnotenzeichen,Footnote Ref,16 Point,Superscript 6 Point,4_G,Fago Fu?notenzeichen,Fago Fuﬂnotenzeichen"/>
    <w:uiPriority w:val="99"/>
    <w:rsid w:val="00C122B7"/>
    <w:rPr>
      <w:vertAlign w:val="superscript"/>
    </w:rPr>
  </w:style>
  <w:style w:type="paragraph" w:styleId="NormalWeb">
    <w:name w:val="Normal (Web)"/>
    <w:basedOn w:val="Normal"/>
    <w:uiPriority w:val="99"/>
    <w:unhideWhenUsed/>
    <w:rsid w:val="007B7C2E"/>
    <w:pPr>
      <w:spacing w:before="100" w:beforeAutospacing="1" w:after="100" w:afterAutospacing="1"/>
    </w:pPr>
    <w:rPr>
      <w:lang w:eastAsia="en-CA"/>
    </w:rPr>
  </w:style>
  <w:style w:type="character" w:customStyle="1" w:styleId="FooterChar">
    <w:name w:val="Footer Char"/>
    <w:link w:val="Footer"/>
    <w:uiPriority w:val="99"/>
    <w:rsid w:val="00EB418F"/>
    <w:rPr>
      <w:sz w:val="24"/>
      <w:szCs w:val="24"/>
      <w:lang w:val="en-CA"/>
    </w:rPr>
  </w:style>
  <w:style w:type="paragraph" w:customStyle="1" w:styleId="InsideTitlePage1">
    <w:name w:val="Inside Title Page 1"/>
    <w:basedOn w:val="Normal"/>
    <w:qFormat/>
    <w:rsid w:val="00FB234E"/>
    <w:pPr>
      <w:widowControl w:val="0"/>
      <w:suppressAutoHyphens/>
    </w:pPr>
    <w:rPr>
      <w:rFonts w:ascii="Hiragino Kaku Gothic Pro W3" w:eastAsia="Hiragino Kaku Gothic Pro W3" w:hAnsi="Hiragino Kaku Gothic Pro W3"/>
      <w:color w:val="000000"/>
      <w:sz w:val="16"/>
      <w:szCs w:val="18"/>
      <w:lang w:eastAsia="ar-SA"/>
    </w:rPr>
  </w:style>
  <w:style w:type="paragraph" w:customStyle="1" w:styleId="InsideTitlePage2">
    <w:name w:val="Inside Title Page 2"/>
    <w:basedOn w:val="InsideTitlePage1"/>
    <w:qFormat/>
    <w:rsid w:val="00FB234E"/>
    <w:rPr>
      <w:rFonts w:ascii="Hiragino Kaku Gothic Pro W6" w:hAnsi="Hiragino Kaku Gothic Pro W6"/>
      <w:b/>
      <w:bCs/>
    </w:rPr>
  </w:style>
  <w:style w:type="paragraph" w:styleId="BalloonText">
    <w:name w:val="Balloon Text"/>
    <w:basedOn w:val="Normal"/>
    <w:link w:val="BalloonTextChar"/>
    <w:rsid w:val="009F6D88"/>
    <w:rPr>
      <w:rFonts w:ascii="Tahoma" w:hAnsi="Tahoma" w:cs="Tahoma"/>
      <w:sz w:val="16"/>
      <w:szCs w:val="16"/>
    </w:rPr>
  </w:style>
  <w:style w:type="character" w:customStyle="1" w:styleId="BalloonTextChar">
    <w:name w:val="Balloon Text Char"/>
    <w:basedOn w:val="DefaultParagraphFont"/>
    <w:link w:val="BalloonText"/>
    <w:rsid w:val="009F6D88"/>
    <w:rPr>
      <w:rFonts w:ascii="Tahoma" w:hAnsi="Tahoma" w:cs="Tahoma"/>
      <w:sz w:val="16"/>
      <w:szCs w:val="16"/>
      <w:lang w:eastAsia="en-US"/>
    </w:rPr>
  </w:style>
  <w:style w:type="character" w:customStyle="1" w:styleId="HeaderChar">
    <w:name w:val="Header Char"/>
    <w:basedOn w:val="DefaultParagraphFont"/>
    <w:link w:val="Header"/>
    <w:uiPriority w:val="99"/>
    <w:rsid w:val="00893E5F"/>
    <w:rPr>
      <w:sz w:val="24"/>
      <w:szCs w:val="24"/>
      <w:lang w:eastAsia="en-US"/>
    </w:rPr>
  </w:style>
  <w:style w:type="character" w:customStyle="1" w:styleId="Heading1Char">
    <w:name w:val="Heading 1 Char"/>
    <w:basedOn w:val="DefaultParagraphFont"/>
    <w:link w:val="Heading1"/>
    <w:rsid w:val="00D37B5B"/>
    <w:rPr>
      <w:rFonts w:ascii="Arial" w:eastAsia="Hiragino Kaku Gothic Pro W3" w:hAnsi="Arial" w:cs="Arial"/>
      <w:b/>
      <w:caps/>
      <w:color w:val="000000"/>
      <w:kern w:val="1"/>
      <w:sz w:val="36"/>
      <w:szCs w:val="36"/>
      <w:lang w:val="en-US" w:eastAsia="ar-SA"/>
    </w:rPr>
  </w:style>
  <w:style w:type="character" w:customStyle="1" w:styleId="Heading2Char">
    <w:name w:val="Heading 2 Char"/>
    <w:basedOn w:val="DefaultParagraphFont"/>
    <w:link w:val="Heading2"/>
    <w:rsid w:val="00D37B5B"/>
    <w:rPr>
      <w:rFonts w:ascii="Arial" w:eastAsia="Hiragino Kaku Gothic Pro W3" w:hAnsi="Arial" w:cs="Arial"/>
      <w:caps/>
      <w:color w:val="000000"/>
      <w:sz w:val="26"/>
      <w:szCs w:val="28"/>
      <w:lang w:val="en-US" w:eastAsia="ar-SA"/>
    </w:rPr>
  </w:style>
  <w:style w:type="character" w:customStyle="1" w:styleId="Heading3Char">
    <w:name w:val="Heading 3 Char"/>
    <w:basedOn w:val="DefaultParagraphFont"/>
    <w:link w:val="Heading3"/>
    <w:rsid w:val="00D37B5B"/>
    <w:rPr>
      <w:rFonts w:ascii="Amnesty Trade Gothic Cn" w:eastAsia="Hiragino Kaku Gothic Pro W3" w:hAnsi="Amnesty Trade Gothic Cn" w:cs="Arial"/>
      <w:caps/>
      <w:color w:val="000000"/>
      <w:szCs w:val="26"/>
      <w:lang w:val="en-US" w:eastAsia="ar-SA"/>
    </w:rPr>
  </w:style>
  <w:style w:type="character" w:customStyle="1" w:styleId="Heading4Char">
    <w:name w:val="Heading 4 Char"/>
    <w:basedOn w:val="DefaultParagraphFont"/>
    <w:link w:val="Heading4"/>
    <w:rsid w:val="00D37B5B"/>
    <w:rPr>
      <w:rFonts w:ascii="Arial" w:eastAsia="Hiragino Kaku Gothic Pro W3" w:hAnsi="Arial" w:cs="Arial"/>
      <w:color w:val="000000"/>
      <w:sz w:val="24"/>
      <w:szCs w:val="24"/>
      <w:lang w:val="en-US" w:eastAsia="ar-SA"/>
    </w:rPr>
  </w:style>
  <w:style w:type="character" w:customStyle="1" w:styleId="Heading5Char">
    <w:name w:val="Heading 5 Char"/>
    <w:basedOn w:val="DefaultParagraphFont"/>
    <w:link w:val="Heading5"/>
    <w:rsid w:val="00D37B5B"/>
    <w:rPr>
      <w:rFonts w:ascii="Arial" w:eastAsia="Hiragino Kaku Gothic Pro W3" w:hAnsi="Arial" w:cs="Arial"/>
      <w:color w:val="000000"/>
      <w:sz w:val="24"/>
      <w:szCs w:val="24"/>
      <w:lang w:val="en-US" w:eastAsia="ar-SA"/>
    </w:rPr>
  </w:style>
  <w:style w:type="character" w:customStyle="1" w:styleId="Heading6Char">
    <w:name w:val="Heading 6 Char"/>
    <w:basedOn w:val="DefaultParagraphFont"/>
    <w:link w:val="Heading6"/>
    <w:rsid w:val="00D37B5B"/>
    <w:rPr>
      <w:rFonts w:ascii="Arial" w:eastAsia="Hiragino Kaku Gothic Pro W3" w:hAnsi="Arial" w:cs="Arial"/>
      <w:color w:val="000000"/>
      <w:sz w:val="24"/>
      <w:szCs w:val="24"/>
      <w:lang w:val="en-US" w:eastAsia="ar-SA"/>
    </w:rPr>
  </w:style>
  <w:style w:type="character" w:customStyle="1" w:styleId="Heading7Char">
    <w:name w:val="Heading 7 Char"/>
    <w:basedOn w:val="DefaultParagraphFont"/>
    <w:link w:val="Heading7"/>
    <w:rsid w:val="00D37B5B"/>
    <w:rPr>
      <w:rFonts w:ascii="Arial" w:eastAsia="Hiragino Kaku Gothic Pro W3" w:hAnsi="Arial" w:cs="Arial"/>
      <w:color w:val="000000"/>
      <w:sz w:val="24"/>
      <w:szCs w:val="24"/>
      <w:lang w:val="en-US" w:eastAsia="ar-SA"/>
    </w:rPr>
  </w:style>
  <w:style w:type="character" w:customStyle="1" w:styleId="Heading8Char">
    <w:name w:val="Heading 8 Char"/>
    <w:basedOn w:val="DefaultParagraphFont"/>
    <w:link w:val="Heading8"/>
    <w:rsid w:val="00D37B5B"/>
    <w:rPr>
      <w:rFonts w:ascii="Arial" w:eastAsia="Hiragino Kaku Gothic Pro W3" w:hAnsi="Arial" w:cs="Arial"/>
      <w:color w:val="000000"/>
      <w:sz w:val="24"/>
      <w:szCs w:val="24"/>
      <w:lang w:val="en-US" w:eastAsia="ar-SA"/>
    </w:rPr>
  </w:style>
  <w:style w:type="character" w:customStyle="1" w:styleId="Heading9Char">
    <w:name w:val="Heading 9 Char"/>
    <w:basedOn w:val="DefaultParagraphFont"/>
    <w:link w:val="Heading9"/>
    <w:rsid w:val="00D37B5B"/>
    <w:rPr>
      <w:rFonts w:ascii="Arial" w:eastAsia="Hiragino Kaku Gothic Pro W3" w:hAnsi="Arial" w:cs="Arial"/>
      <w:color w:val="000000"/>
      <w:sz w:val="24"/>
      <w:szCs w:val="24"/>
      <w:lang w:val="en-US" w:eastAsia="ar-SA"/>
    </w:rPr>
  </w:style>
  <w:style w:type="paragraph" w:styleId="ListParagraph">
    <w:name w:val="List Paragraph"/>
    <w:basedOn w:val="Normal"/>
    <w:uiPriority w:val="34"/>
    <w:qFormat/>
    <w:rsid w:val="00D37B5B"/>
    <w:pPr>
      <w:widowControl w:val="0"/>
      <w:suppressAutoHyphens/>
      <w:ind w:left="720"/>
      <w:contextualSpacing/>
    </w:pPr>
    <w:rPr>
      <w:rFonts w:eastAsia="Hiragino Kaku Gothic Pro W3" w:cs="Arial"/>
      <w:color w:val="000000"/>
      <w:lang w:val="en-US" w:eastAsia="ar-SA"/>
    </w:rPr>
  </w:style>
  <w:style w:type="character" w:styleId="CommentReference">
    <w:name w:val="annotation reference"/>
    <w:basedOn w:val="DefaultParagraphFont"/>
    <w:uiPriority w:val="99"/>
    <w:unhideWhenUsed/>
    <w:rsid w:val="00D37B5B"/>
    <w:rPr>
      <w:sz w:val="16"/>
      <w:szCs w:val="16"/>
    </w:rPr>
  </w:style>
  <w:style w:type="paragraph" w:styleId="CommentText">
    <w:name w:val="annotation text"/>
    <w:basedOn w:val="Normal"/>
    <w:link w:val="CommentTextChar"/>
    <w:uiPriority w:val="99"/>
    <w:unhideWhenUsed/>
    <w:rsid w:val="00D37B5B"/>
    <w:pPr>
      <w:widowControl w:val="0"/>
      <w:suppressAutoHyphens/>
    </w:pPr>
    <w:rPr>
      <w:rFonts w:eastAsia="Hiragino Kaku Gothic Pro W3" w:cs="Arial"/>
      <w:color w:val="000000"/>
      <w:sz w:val="20"/>
      <w:szCs w:val="20"/>
      <w:lang w:val="en-US" w:eastAsia="ar-SA"/>
    </w:rPr>
  </w:style>
  <w:style w:type="character" w:customStyle="1" w:styleId="CommentTextChar">
    <w:name w:val="Comment Text Char"/>
    <w:basedOn w:val="DefaultParagraphFont"/>
    <w:link w:val="CommentText"/>
    <w:uiPriority w:val="99"/>
    <w:rsid w:val="00D37B5B"/>
    <w:rPr>
      <w:rFonts w:ascii="Arial" w:eastAsia="Hiragino Kaku Gothic Pro W3" w:hAnsi="Arial" w:cs="Arial"/>
      <w:color w:val="000000"/>
      <w:lang w:val="en-US" w:eastAsia="ar-SA"/>
    </w:rPr>
  </w:style>
  <w:style w:type="paragraph" w:styleId="TOCHeading">
    <w:name w:val="TOC Heading"/>
    <w:basedOn w:val="Heading1"/>
    <w:next w:val="Normal"/>
    <w:uiPriority w:val="39"/>
    <w:unhideWhenUsed/>
    <w:qFormat/>
    <w:rsid w:val="00D37B5B"/>
    <w:pPr>
      <w:keepLines/>
      <w:numPr>
        <w:numId w:val="0"/>
      </w:numPr>
      <w:suppressAutoHyphens w:val="0"/>
      <w:spacing w:before="480" w:line="276" w:lineRule="auto"/>
      <w:outlineLvl w:val="9"/>
    </w:pPr>
    <w:rPr>
      <w:rFonts w:asciiTheme="majorHAnsi" w:eastAsiaTheme="majorEastAsia" w:hAnsiTheme="majorHAnsi" w:cstheme="majorBidi"/>
      <w:bCs/>
      <w:caps w:val="0"/>
      <w:color w:val="365F91" w:themeColor="accent1" w:themeShade="BF"/>
      <w:kern w:val="0"/>
      <w:sz w:val="28"/>
      <w:szCs w:val="28"/>
      <w:lang w:eastAsia="en-US"/>
    </w:rPr>
  </w:style>
  <w:style w:type="paragraph" w:styleId="TOC1">
    <w:name w:val="toc 1"/>
    <w:basedOn w:val="Normal"/>
    <w:next w:val="Normal"/>
    <w:autoRedefine/>
    <w:uiPriority w:val="39"/>
    <w:unhideWhenUsed/>
    <w:rsid w:val="00C21E23"/>
    <w:pPr>
      <w:spacing w:before="120" w:after="120"/>
    </w:pPr>
    <w:rPr>
      <w:bCs/>
    </w:rPr>
  </w:style>
  <w:style w:type="paragraph" w:styleId="TOC2">
    <w:name w:val="toc 2"/>
    <w:basedOn w:val="Normal"/>
    <w:next w:val="Normal"/>
    <w:autoRedefine/>
    <w:unhideWhenUsed/>
    <w:rsid w:val="002F0852"/>
    <w:pPr>
      <w:spacing w:before="120" w:after="120"/>
      <w:ind w:left="240"/>
    </w:pPr>
    <w:rPr>
      <w:rFonts w:asciiTheme="minorHAnsi" w:hAnsiTheme="minorHAnsi"/>
      <w:bCs/>
      <w:szCs w:val="22"/>
    </w:rPr>
  </w:style>
  <w:style w:type="paragraph" w:styleId="TOC3">
    <w:name w:val="toc 3"/>
    <w:basedOn w:val="Normal"/>
    <w:next w:val="Normal"/>
    <w:autoRedefine/>
    <w:unhideWhenUsed/>
    <w:rsid w:val="00D37B5B"/>
    <w:pPr>
      <w:ind w:left="480"/>
    </w:pPr>
    <w:rPr>
      <w:rFonts w:asciiTheme="minorHAnsi" w:hAnsiTheme="minorHAnsi"/>
      <w:szCs w:val="22"/>
    </w:rPr>
  </w:style>
  <w:style w:type="paragraph" w:styleId="TOC4">
    <w:name w:val="toc 4"/>
    <w:basedOn w:val="Normal"/>
    <w:next w:val="Normal"/>
    <w:autoRedefine/>
    <w:unhideWhenUsed/>
    <w:rsid w:val="00D37B5B"/>
    <w:pPr>
      <w:ind w:left="720"/>
    </w:pPr>
    <w:rPr>
      <w:rFonts w:asciiTheme="minorHAnsi" w:hAnsiTheme="minorHAnsi"/>
      <w:sz w:val="20"/>
      <w:szCs w:val="20"/>
    </w:rPr>
  </w:style>
  <w:style w:type="paragraph" w:styleId="TOC5">
    <w:name w:val="toc 5"/>
    <w:basedOn w:val="Normal"/>
    <w:next w:val="Normal"/>
    <w:autoRedefine/>
    <w:unhideWhenUsed/>
    <w:rsid w:val="00D37B5B"/>
    <w:pPr>
      <w:ind w:left="960"/>
    </w:pPr>
    <w:rPr>
      <w:rFonts w:asciiTheme="minorHAnsi" w:hAnsiTheme="minorHAnsi"/>
      <w:sz w:val="20"/>
      <w:szCs w:val="20"/>
    </w:rPr>
  </w:style>
  <w:style w:type="paragraph" w:styleId="TOC6">
    <w:name w:val="toc 6"/>
    <w:basedOn w:val="Normal"/>
    <w:next w:val="Normal"/>
    <w:autoRedefine/>
    <w:unhideWhenUsed/>
    <w:rsid w:val="00D37B5B"/>
    <w:pPr>
      <w:ind w:left="1200"/>
    </w:pPr>
    <w:rPr>
      <w:rFonts w:asciiTheme="minorHAnsi" w:hAnsiTheme="minorHAnsi"/>
      <w:sz w:val="20"/>
      <w:szCs w:val="20"/>
    </w:rPr>
  </w:style>
  <w:style w:type="paragraph" w:styleId="TOC7">
    <w:name w:val="toc 7"/>
    <w:basedOn w:val="Normal"/>
    <w:next w:val="Normal"/>
    <w:autoRedefine/>
    <w:unhideWhenUsed/>
    <w:rsid w:val="00D37B5B"/>
    <w:pPr>
      <w:ind w:left="1440"/>
    </w:pPr>
    <w:rPr>
      <w:rFonts w:asciiTheme="minorHAnsi" w:hAnsiTheme="minorHAnsi"/>
      <w:sz w:val="20"/>
      <w:szCs w:val="20"/>
    </w:rPr>
  </w:style>
  <w:style w:type="paragraph" w:styleId="TOC8">
    <w:name w:val="toc 8"/>
    <w:basedOn w:val="Normal"/>
    <w:next w:val="Normal"/>
    <w:autoRedefine/>
    <w:unhideWhenUsed/>
    <w:rsid w:val="00D37B5B"/>
    <w:pPr>
      <w:ind w:left="1680"/>
    </w:pPr>
    <w:rPr>
      <w:rFonts w:asciiTheme="minorHAnsi" w:hAnsiTheme="minorHAnsi"/>
      <w:sz w:val="20"/>
      <w:szCs w:val="20"/>
    </w:rPr>
  </w:style>
  <w:style w:type="paragraph" w:styleId="TOC9">
    <w:name w:val="toc 9"/>
    <w:basedOn w:val="Normal"/>
    <w:next w:val="Normal"/>
    <w:autoRedefine/>
    <w:unhideWhenUsed/>
    <w:rsid w:val="00D37B5B"/>
    <w:pPr>
      <w:ind w:left="1920"/>
    </w:pPr>
    <w:rPr>
      <w:rFonts w:asciiTheme="minorHAnsi" w:hAnsiTheme="minorHAnsi"/>
      <w:sz w:val="20"/>
      <w:szCs w:val="20"/>
    </w:rPr>
  </w:style>
  <w:style w:type="character" w:styleId="FollowedHyperlink">
    <w:name w:val="FollowedHyperlink"/>
    <w:basedOn w:val="DefaultParagraphFont"/>
    <w:rsid w:val="00B4027A"/>
    <w:rPr>
      <w:color w:val="800080" w:themeColor="followedHyperlink"/>
      <w:u w:val="single"/>
    </w:rPr>
  </w:style>
  <w:style w:type="character" w:styleId="Emphasis">
    <w:name w:val="Emphasis"/>
    <w:basedOn w:val="DefaultParagraphFont"/>
    <w:uiPriority w:val="20"/>
    <w:qFormat/>
    <w:rsid w:val="0037374A"/>
    <w:rPr>
      <w:i/>
      <w:iCs/>
    </w:rPr>
  </w:style>
  <w:style w:type="paragraph" w:customStyle="1" w:styleId="Default">
    <w:name w:val="Default"/>
    <w:rsid w:val="0037374A"/>
    <w:pPr>
      <w:autoSpaceDE w:val="0"/>
      <w:autoSpaceDN w:val="0"/>
      <w:adjustRightInd w:val="0"/>
    </w:pPr>
    <w:rPr>
      <w:rFonts w:ascii="Times" w:hAnsi="Times" w:cs="Times"/>
      <w:color w:val="000000"/>
      <w:sz w:val="24"/>
      <w:szCs w:val="24"/>
      <w:lang w:val="fr-CA"/>
    </w:rPr>
  </w:style>
  <w:style w:type="paragraph" w:customStyle="1" w:styleId="Pa3">
    <w:name w:val="Pa3"/>
    <w:basedOn w:val="Default"/>
    <w:next w:val="Default"/>
    <w:uiPriority w:val="99"/>
    <w:rsid w:val="0037374A"/>
    <w:pPr>
      <w:spacing w:line="221" w:lineRule="atLeast"/>
    </w:pPr>
    <w:rPr>
      <w:rFonts w:cs="Times New Roman"/>
      <w:color w:val="auto"/>
    </w:rPr>
  </w:style>
  <w:style w:type="paragraph" w:styleId="EndnoteText">
    <w:name w:val="endnote text"/>
    <w:basedOn w:val="Normal"/>
    <w:link w:val="EndnoteTextChar"/>
    <w:unhideWhenUsed/>
    <w:rsid w:val="00893E79"/>
  </w:style>
  <w:style w:type="character" w:customStyle="1" w:styleId="EndnoteTextChar">
    <w:name w:val="Endnote Text Char"/>
    <w:basedOn w:val="DefaultParagraphFont"/>
    <w:link w:val="EndnoteText"/>
    <w:rsid w:val="00893E79"/>
    <w:rPr>
      <w:sz w:val="24"/>
      <w:szCs w:val="24"/>
      <w:lang w:eastAsia="en-US"/>
    </w:rPr>
  </w:style>
  <w:style w:type="character" w:styleId="EndnoteReference">
    <w:name w:val="endnote reference"/>
    <w:basedOn w:val="DefaultParagraphFont"/>
    <w:uiPriority w:val="99"/>
    <w:unhideWhenUsed/>
    <w:rsid w:val="00893E79"/>
    <w:rPr>
      <w:vertAlign w:val="superscript"/>
    </w:rPr>
  </w:style>
  <w:style w:type="paragraph" w:styleId="CommentSubject">
    <w:name w:val="annotation subject"/>
    <w:basedOn w:val="CommentText"/>
    <w:next w:val="CommentText"/>
    <w:link w:val="CommentSubjectChar"/>
    <w:semiHidden/>
    <w:unhideWhenUsed/>
    <w:rsid w:val="00363650"/>
    <w:pPr>
      <w:widowControl/>
      <w:suppressAutoHyphens w:val="0"/>
    </w:pPr>
    <w:rPr>
      <w:rFonts w:ascii="Times New Roman" w:eastAsia="Times New Roman" w:hAnsi="Times New Roman" w:cs="Times New Roman"/>
      <w:b/>
      <w:bCs/>
      <w:color w:val="auto"/>
      <w:lang w:val="en-CA" w:eastAsia="en-US"/>
    </w:rPr>
  </w:style>
  <w:style w:type="character" w:customStyle="1" w:styleId="CommentSubjectChar">
    <w:name w:val="Comment Subject Char"/>
    <w:basedOn w:val="CommentTextChar"/>
    <w:link w:val="CommentSubject"/>
    <w:semiHidden/>
    <w:rsid w:val="00363650"/>
    <w:rPr>
      <w:rFonts w:ascii="Arial" w:eastAsia="Hiragino Kaku Gothic Pro W3" w:hAnsi="Arial" w:cs="Arial"/>
      <w:b/>
      <w:bCs/>
      <w:color w:val="000000"/>
      <w:lang w:val="en-US" w:eastAsia="en-US"/>
    </w:rPr>
  </w:style>
  <w:style w:type="paragraph" w:styleId="Revision">
    <w:name w:val="Revision"/>
    <w:hidden/>
    <w:uiPriority w:val="71"/>
    <w:semiHidden/>
    <w:rsid w:val="00486103"/>
    <w:rPr>
      <w:sz w:val="24"/>
      <w:szCs w:val="24"/>
      <w:lang w:eastAsia="en-US"/>
    </w:rPr>
  </w:style>
  <w:style w:type="character" w:customStyle="1" w:styleId="apple-converted-space">
    <w:name w:val="apple-converted-space"/>
    <w:basedOn w:val="DefaultParagraphFont"/>
    <w:rsid w:val="00486103"/>
  </w:style>
  <w:style w:type="paragraph" w:customStyle="1" w:styleId="p1">
    <w:name w:val="p1"/>
    <w:basedOn w:val="Normal"/>
    <w:rsid w:val="00D4396D"/>
    <w:rPr>
      <w:sz w:val="15"/>
      <w:szCs w:val="15"/>
      <w:lang w:val="en-US"/>
    </w:rPr>
  </w:style>
  <w:style w:type="character" w:customStyle="1" w:styleId="s1">
    <w:name w:val="s1"/>
    <w:basedOn w:val="DefaultParagraphFont"/>
    <w:rsid w:val="00BD1BDC"/>
    <w:rPr>
      <w:rFonts w:ascii="Helvetica" w:hAnsi="Helvetica" w:hint="default"/>
      <w:sz w:val="7"/>
      <w:szCs w:val="7"/>
    </w:rPr>
  </w:style>
  <w:style w:type="character" w:styleId="PageNumber">
    <w:name w:val="page number"/>
    <w:basedOn w:val="DefaultParagraphFont"/>
    <w:semiHidden/>
    <w:unhideWhenUsed/>
    <w:rsid w:val="00BE5991"/>
  </w:style>
  <w:style w:type="character" w:customStyle="1" w:styleId="highlight">
    <w:name w:val="highlight"/>
    <w:basedOn w:val="DefaultParagraphFont"/>
    <w:rsid w:val="00CD62FF"/>
  </w:style>
  <w:style w:type="character" w:customStyle="1" w:styleId="A8">
    <w:name w:val="A8"/>
    <w:uiPriority w:val="99"/>
    <w:rsid w:val="0061093D"/>
    <w:rPr>
      <w:rFonts w:cs="Gotham Book"/>
      <w:color w:val="000000"/>
      <w:sz w:val="10"/>
      <w:szCs w:val="10"/>
    </w:rPr>
  </w:style>
  <w:style w:type="character" w:customStyle="1" w:styleId="markedcontent">
    <w:name w:val="markedcontent"/>
    <w:basedOn w:val="DefaultParagraphFont"/>
    <w:rsid w:val="005C30BA"/>
  </w:style>
  <w:style w:type="character" w:styleId="UnresolvedMention">
    <w:name w:val="Unresolved Mention"/>
    <w:basedOn w:val="DefaultParagraphFont"/>
    <w:uiPriority w:val="99"/>
    <w:semiHidden/>
    <w:unhideWhenUsed/>
    <w:rsid w:val="004D515E"/>
    <w:rPr>
      <w:color w:val="605E5C"/>
      <w:shd w:val="clear" w:color="auto" w:fill="E1DFDD"/>
    </w:rPr>
  </w:style>
  <w:style w:type="character" w:styleId="Strong">
    <w:name w:val="Strong"/>
    <w:basedOn w:val="DefaultParagraphFont"/>
    <w:uiPriority w:val="22"/>
    <w:qFormat/>
    <w:rsid w:val="00634EC9"/>
    <w:rPr>
      <w:b/>
      <w:bCs/>
    </w:rPr>
  </w:style>
  <w:style w:type="paragraph" w:styleId="BodyText">
    <w:name w:val="Body Text"/>
    <w:basedOn w:val="Normal"/>
    <w:link w:val="BodyTextChar"/>
    <w:unhideWhenUsed/>
    <w:rsid w:val="0070061B"/>
    <w:pPr>
      <w:spacing w:after="120"/>
    </w:pPr>
  </w:style>
  <w:style w:type="character" w:customStyle="1" w:styleId="BodyTextChar">
    <w:name w:val="Body Text Char"/>
    <w:basedOn w:val="DefaultParagraphFont"/>
    <w:link w:val="BodyText"/>
    <w:rsid w:val="0070061B"/>
    <w:rPr>
      <w:rFonts w:ascii="Arial" w:hAnsi="Arial"/>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92115">
      <w:bodyDiv w:val="1"/>
      <w:marLeft w:val="0"/>
      <w:marRight w:val="0"/>
      <w:marTop w:val="0"/>
      <w:marBottom w:val="0"/>
      <w:divBdr>
        <w:top w:val="none" w:sz="0" w:space="0" w:color="auto"/>
        <w:left w:val="none" w:sz="0" w:space="0" w:color="auto"/>
        <w:bottom w:val="none" w:sz="0" w:space="0" w:color="auto"/>
        <w:right w:val="none" w:sz="0" w:space="0" w:color="auto"/>
      </w:divBdr>
    </w:div>
    <w:div w:id="10307234">
      <w:bodyDiv w:val="1"/>
      <w:marLeft w:val="0"/>
      <w:marRight w:val="0"/>
      <w:marTop w:val="0"/>
      <w:marBottom w:val="0"/>
      <w:divBdr>
        <w:top w:val="none" w:sz="0" w:space="0" w:color="auto"/>
        <w:left w:val="none" w:sz="0" w:space="0" w:color="auto"/>
        <w:bottom w:val="none" w:sz="0" w:space="0" w:color="auto"/>
        <w:right w:val="none" w:sz="0" w:space="0" w:color="auto"/>
      </w:divBdr>
    </w:div>
    <w:div w:id="13725453">
      <w:bodyDiv w:val="1"/>
      <w:marLeft w:val="0"/>
      <w:marRight w:val="0"/>
      <w:marTop w:val="0"/>
      <w:marBottom w:val="0"/>
      <w:divBdr>
        <w:top w:val="none" w:sz="0" w:space="0" w:color="auto"/>
        <w:left w:val="none" w:sz="0" w:space="0" w:color="auto"/>
        <w:bottom w:val="none" w:sz="0" w:space="0" w:color="auto"/>
        <w:right w:val="none" w:sz="0" w:space="0" w:color="auto"/>
      </w:divBdr>
    </w:div>
    <w:div w:id="20977036">
      <w:bodyDiv w:val="1"/>
      <w:marLeft w:val="0"/>
      <w:marRight w:val="0"/>
      <w:marTop w:val="0"/>
      <w:marBottom w:val="0"/>
      <w:divBdr>
        <w:top w:val="none" w:sz="0" w:space="0" w:color="auto"/>
        <w:left w:val="none" w:sz="0" w:space="0" w:color="auto"/>
        <w:bottom w:val="none" w:sz="0" w:space="0" w:color="auto"/>
        <w:right w:val="none" w:sz="0" w:space="0" w:color="auto"/>
      </w:divBdr>
    </w:div>
    <w:div w:id="27145532">
      <w:bodyDiv w:val="1"/>
      <w:marLeft w:val="0"/>
      <w:marRight w:val="0"/>
      <w:marTop w:val="0"/>
      <w:marBottom w:val="0"/>
      <w:divBdr>
        <w:top w:val="none" w:sz="0" w:space="0" w:color="auto"/>
        <w:left w:val="none" w:sz="0" w:space="0" w:color="auto"/>
        <w:bottom w:val="none" w:sz="0" w:space="0" w:color="auto"/>
        <w:right w:val="none" w:sz="0" w:space="0" w:color="auto"/>
      </w:divBdr>
    </w:div>
    <w:div w:id="56785026">
      <w:bodyDiv w:val="1"/>
      <w:marLeft w:val="0"/>
      <w:marRight w:val="0"/>
      <w:marTop w:val="0"/>
      <w:marBottom w:val="0"/>
      <w:divBdr>
        <w:top w:val="none" w:sz="0" w:space="0" w:color="auto"/>
        <w:left w:val="none" w:sz="0" w:space="0" w:color="auto"/>
        <w:bottom w:val="none" w:sz="0" w:space="0" w:color="auto"/>
        <w:right w:val="none" w:sz="0" w:space="0" w:color="auto"/>
      </w:divBdr>
    </w:div>
    <w:div w:id="62458409">
      <w:bodyDiv w:val="1"/>
      <w:marLeft w:val="0"/>
      <w:marRight w:val="0"/>
      <w:marTop w:val="0"/>
      <w:marBottom w:val="0"/>
      <w:divBdr>
        <w:top w:val="none" w:sz="0" w:space="0" w:color="auto"/>
        <w:left w:val="none" w:sz="0" w:space="0" w:color="auto"/>
        <w:bottom w:val="none" w:sz="0" w:space="0" w:color="auto"/>
        <w:right w:val="none" w:sz="0" w:space="0" w:color="auto"/>
      </w:divBdr>
    </w:div>
    <w:div w:id="71051657">
      <w:bodyDiv w:val="1"/>
      <w:marLeft w:val="0"/>
      <w:marRight w:val="0"/>
      <w:marTop w:val="0"/>
      <w:marBottom w:val="0"/>
      <w:divBdr>
        <w:top w:val="none" w:sz="0" w:space="0" w:color="auto"/>
        <w:left w:val="none" w:sz="0" w:space="0" w:color="auto"/>
        <w:bottom w:val="none" w:sz="0" w:space="0" w:color="auto"/>
        <w:right w:val="none" w:sz="0" w:space="0" w:color="auto"/>
      </w:divBdr>
    </w:div>
    <w:div w:id="92941114">
      <w:bodyDiv w:val="1"/>
      <w:marLeft w:val="0"/>
      <w:marRight w:val="0"/>
      <w:marTop w:val="0"/>
      <w:marBottom w:val="0"/>
      <w:divBdr>
        <w:top w:val="none" w:sz="0" w:space="0" w:color="auto"/>
        <w:left w:val="none" w:sz="0" w:space="0" w:color="auto"/>
        <w:bottom w:val="none" w:sz="0" w:space="0" w:color="auto"/>
        <w:right w:val="none" w:sz="0" w:space="0" w:color="auto"/>
      </w:divBdr>
    </w:div>
    <w:div w:id="135535576">
      <w:bodyDiv w:val="1"/>
      <w:marLeft w:val="0"/>
      <w:marRight w:val="0"/>
      <w:marTop w:val="0"/>
      <w:marBottom w:val="0"/>
      <w:divBdr>
        <w:top w:val="none" w:sz="0" w:space="0" w:color="auto"/>
        <w:left w:val="none" w:sz="0" w:space="0" w:color="auto"/>
        <w:bottom w:val="none" w:sz="0" w:space="0" w:color="auto"/>
        <w:right w:val="none" w:sz="0" w:space="0" w:color="auto"/>
      </w:divBdr>
    </w:div>
    <w:div w:id="136996861">
      <w:bodyDiv w:val="1"/>
      <w:marLeft w:val="0"/>
      <w:marRight w:val="0"/>
      <w:marTop w:val="0"/>
      <w:marBottom w:val="0"/>
      <w:divBdr>
        <w:top w:val="none" w:sz="0" w:space="0" w:color="auto"/>
        <w:left w:val="none" w:sz="0" w:space="0" w:color="auto"/>
        <w:bottom w:val="none" w:sz="0" w:space="0" w:color="auto"/>
        <w:right w:val="none" w:sz="0" w:space="0" w:color="auto"/>
      </w:divBdr>
    </w:div>
    <w:div w:id="141823446">
      <w:bodyDiv w:val="1"/>
      <w:marLeft w:val="0"/>
      <w:marRight w:val="0"/>
      <w:marTop w:val="0"/>
      <w:marBottom w:val="0"/>
      <w:divBdr>
        <w:top w:val="none" w:sz="0" w:space="0" w:color="auto"/>
        <w:left w:val="none" w:sz="0" w:space="0" w:color="auto"/>
        <w:bottom w:val="none" w:sz="0" w:space="0" w:color="auto"/>
        <w:right w:val="none" w:sz="0" w:space="0" w:color="auto"/>
      </w:divBdr>
    </w:div>
    <w:div w:id="169411522">
      <w:bodyDiv w:val="1"/>
      <w:marLeft w:val="0"/>
      <w:marRight w:val="0"/>
      <w:marTop w:val="0"/>
      <w:marBottom w:val="0"/>
      <w:divBdr>
        <w:top w:val="none" w:sz="0" w:space="0" w:color="auto"/>
        <w:left w:val="none" w:sz="0" w:space="0" w:color="auto"/>
        <w:bottom w:val="none" w:sz="0" w:space="0" w:color="auto"/>
        <w:right w:val="none" w:sz="0" w:space="0" w:color="auto"/>
      </w:divBdr>
    </w:div>
    <w:div w:id="198586863">
      <w:bodyDiv w:val="1"/>
      <w:marLeft w:val="0"/>
      <w:marRight w:val="0"/>
      <w:marTop w:val="0"/>
      <w:marBottom w:val="0"/>
      <w:divBdr>
        <w:top w:val="none" w:sz="0" w:space="0" w:color="auto"/>
        <w:left w:val="none" w:sz="0" w:space="0" w:color="auto"/>
        <w:bottom w:val="none" w:sz="0" w:space="0" w:color="auto"/>
        <w:right w:val="none" w:sz="0" w:space="0" w:color="auto"/>
      </w:divBdr>
    </w:div>
    <w:div w:id="202522914">
      <w:bodyDiv w:val="1"/>
      <w:marLeft w:val="0"/>
      <w:marRight w:val="0"/>
      <w:marTop w:val="0"/>
      <w:marBottom w:val="0"/>
      <w:divBdr>
        <w:top w:val="none" w:sz="0" w:space="0" w:color="auto"/>
        <w:left w:val="none" w:sz="0" w:space="0" w:color="auto"/>
        <w:bottom w:val="none" w:sz="0" w:space="0" w:color="auto"/>
        <w:right w:val="none" w:sz="0" w:space="0" w:color="auto"/>
      </w:divBdr>
    </w:div>
    <w:div w:id="210964953">
      <w:bodyDiv w:val="1"/>
      <w:marLeft w:val="0"/>
      <w:marRight w:val="0"/>
      <w:marTop w:val="0"/>
      <w:marBottom w:val="0"/>
      <w:divBdr>
        <w:top w:val="none" w:sz="0" w:space="0" w:color="auto"/>
        <w:left w:val="none" w:sz="0" w:space="0" w:color="auto"/>
        <w:bottom w:val="none" w:sz="0" w:space="0" w:color="auto"/>
        <w:right w:val="none" w:sz="0" w:space="0" w:color="auto"/>
      </w:divBdr>
    </w:div>
    <w:div w:id="233200655">
      <w:bodyDiv w:val="1"/>
      <w:marLeft w:val="0"/>
      <w:marRight w:val="0"/>
      <w:marTop w:val="0"/>
      <w:marBottom w:val="0"/>
      <w:divBdr>
        <w:top w:val="none" w:sz="0" w:space="0" w:color="auto"/>
        <w:left w:val="none" w:sz="0" w:space="0" w:color="auto"/>
        <w:bottom w:val="none" w:sz="0" w:space="0" w:color="auto"/>
        <w:right w:val="none" w:sz="0" w:space="0" w:color="auto"/>
      </w:divBdr>
    </w:div>
    <w:div w:id="235824750">
      <w:bodyDiv w:val="1"/>
      <w:marLeft w:val="0"/>
      <w:marRight w:val="0"/>
      <w:marTop w:val="0"/>
      <w:marBottom w:val="0"/>
      <w:divBdr>
        <w:top w:val="none" w:sz="0" w:space="0" w:color="auto"/>
        <w:left w:val="none" w:sz="0" w:space="0" w:color="auto"/>
        <w:bottom w:val="none" w:sz="0" w:space="0" w:color="auto"/>
        <w:right w:val="none" w:sz="0" w:space="0" w:color="auto"/>
      </w:divBdr>
    </w:div>
    <w:div w:id="237373994">
      <w:bodyDiv w:val="1"/>
      <w:marLeft w:val="0"/>
      <w:marRight w:val="0"/>
      <w:marTop w:val="0"/>
      <w:marBottom w:val="0"/>
      <w:divBdr>
        <w:top w:val="none" w:sz="0" w:space="0" w:color="auto"/>
        <w:left w:val="none" w:sz="0" w:space="0" w:color="auto"/>
        <w:bottom w:val="none" w:sz="0" w:space="0" w:color="auto"/>
        <w:right w:val="none" w:sz="0" w:space="0" w:color="auto"/>
      </w:divBdr>
    </w:div>
    <w:div w:id="245506408">
      <w:bodyDiv w:val="1"/>
      <w:marLeft w:val="0"/>
      <w:marRight w:val="0"/>
      <w:marTop w:val="0"/>
      <w:marBottom w:val="0"/>
      <w:divBdr>
        <w:top w:val="none" w:sz="0" w:space="0" w:color="auto"/>
        <w:left w:val="none" w:sz="0" w:space="0" w:color="auto"/>
        <w:bottom w:val="none" w:sz="0" w:space="0" w:color="auto"/>
        <w:right w:val="none" w:sz="0" w:space="0" w:color="auto"/>
      </w:divBdr>
    </w:div>
    <w:div w:id="259680206">
      <w:bodyDiv w:val="1"/>
      <w:marLeft w:val="0"/>
      <w:marRight w:val="0"/>
      <w:marTop w:val="0"/>
      <w:marBottom w:val="0"/>
      <w:divBdr>
        <w:top w:val="none" w:sz="0" w:space="0" w:color="auto"/>
        <w:left w:val="none" w:sz="0" w:space="0" w:color="auto"/>
        <w:bottom w:val="none" w:sz="0" w:space="0" w:color="auto"/>
        <w:right w:val="none" w:sz="0" w:space="0" w:color="auto"/>
      </w:divBdr>
    </w:div>
    <w:div w:id="263340021">
      <w:bodyDiv w:val="1"/>
      <w:marLeft w:val="0"/>
      <w:marRight w:val="0"/>
      <w:marTop w:val="0"/>
      <w:marBottom w:val="0"/>
      <w:divBdr>
        <w:top w:val="none" w:sz="0" w:space="0" w:color="auto"/>
        <w:left w:val="none" w:sz="0" w:space="0" w:color="auto"/>
        <w:bottom w:val="none" w:sz="0" w:space="0" w:color="auto"/>
        <w:right w:val="none" w:sz="0" w:space="0" w:color="auto"/>
      </w:divBdr>
    </w:div>
    <w:div w:id="283391838">
      <w:bodyDiv w:val="1"/>
      <w:marLeft w:val="0"/>
      <w:marRight w:val="0"/>
      <w:marTop w:val="0"/>
      <w:marBottom w:val="0"/>
      <w:divBdr>
        <w:top w:val="none" w:sz="0" w:space="0" w:color="auto"/>
        <w:left w:val="none" w:sz="0" w:space="0" w:color="auto"/>
        <w:bottom w:val="none" w:sz="0" w:space="0" w:color="auto"/>
        <w:right w:val="none" w:sz="0" w:space="0" w:color="auto"/>
      </w:divBdr>
    </w:div>
    <w:div w:id="295261531">
      <w:bodyDiv w:val="1"/>
      <w:marLeft w:val="0"/>
      <w:marRight w:val="0"/>
      <w:marTop w:val="0"/>
      <w:marBottom w:val="0"/>
      <w:divBdr>
        <w:top w:val="none" w:sz="0" w:space="0" w:color="auto"/>
        <w:left w:val="none" w:sz="0" w:space="0" w:color="auto"/>
        <w:bottom w:val="none" w:sz="0" w:space="0" w:color="auto"/>
        <w:right w:val="none" w:sz="0" w:space="0" w:color="auto"/>
      </w:divBdr>
    </w:div>
    <w:div w:id="318854070">
      <w:bodyDiv w:val="1"/>
      <w:marLeft w:val="0"/>
      <w:marRight w:val="0"/>
      <w:marTop w:val="0"/>
      <w:marBottom w:val="0"/>
      <w:divBdr>
        <w:top w:val="none" w:sz="0" w:space="0" w:color="auto"/>
        <w:left w:val="none" w:sz="0" w:space="0" w:color="auto"/>
        <w:bottom w:val="none" w:sz="0" w:space="0" w:color="auto"/>
        <w:right w:val="none" w:sz="0" w:space="0" w:color="auto"/>
      </w:divBdr>
    </w:div>
    <w:div w:id="344015973">
      <w:bodyDiv w:val="1"/>
      <w:marLeft w:val="0"/>
      <w:marRight w:val="0"/>
      <w:marTop w:val="0"/>
      <w:marBottom w:val="0"/>
      <w:divBdr>
        <w:top w:val="none" w:sz="0" w:space="0" w:color="auto"/>
        <w:left w:val="none" w:sz="0" w:space="0" w:color="auto"/>
        <w:bottom w:val="none" w:sz="0" w:space="0" w:color="auto"/>
        <w:right w:val="none" w:sz="0" w:space="0" w:color="auto"/>
      </w:divBdr>
    </w:div>
    <w:div w:id="356854261">
      <w:bodyDiv w:val="1"/>
      <w:marLeft w:val="0"/>
      <w:marRight w:val="0"/>
      <w:marTop w:val="0"/>
      <w:marBottom w:val="0"/>
      <w:divBdr>
        <w:top w:val="none" w:sz="0" w:space="0" w:color="auto"/>
        <w:left w:val="none" w:sz="0" w:space="0" w:color="auto"/>
        <w:bottom w:val="none" w:sz="0" w:space="0" w:color="auto"/>
        <w:right w:val="none" w:sz="0" w:space="0" w:color="auto"/>
      </w:divBdr>
    </w:div>
    <w:div w:id="361443804">
      <w:bodyDiv w:val="1"/>
      <w:marLeft w:val="0"/>
      <w:marRight w:val="0"/>
      <w:marTop w:val="0"/>
      <w:marBottom w:val="0"/>
      <w:divBdr>
        <w:top w:val="none" w:sz="0" w:space="0" w:color="auto"/>
        <w:left w:val="none" w:sz="0" w:space="0" w:color="auto"/>
        <w:bottom w:val="none" w:sz="0" w:space="0" w:color="auto"/>
        <w:right w:val="none" w:sz="0" w:space="0" w:color="auto"/>
      </w:divBdr>
    </w:div>
    <w:div w:id="392242749">
      <w:bodyDiv w:val="1"/>
      <w:marLeft w:val="0"/>
      <w:marRight w:val="0"/>
      <w:marTop w:val="0"/>
      <w:marBottom w:val="0"/>
      <w:divBdr>
        <w:top w:val="none" w:sz="0" w:space="0" w:color="auto"/>
        <w:left w:val="none" w:sz="0" w:space="0" w:color="auto"/>
        <w:bottom w:val="none" w:sz="0" w:space="0" w:color="auto"/>
        <w:right w:val="none" w:sz="0" w:space="0" w:color="auto"/>
      </w:divBdr>
    </w:div>
    <w:div w:id="405342222">
      <w:bodyDiv w:val="1"/>
      <w:marLeft w:val="0"/>
      <w:marRight w:val="0"/>
      <w:marTop w:val="0"/>
      <w:marBottom w:val="0"/>
      <w:divBdr>
        <w:top w:val="none" w:sz="0" w:space="0" w:color="auto"/>
        <w:left w:val="none" w:sz="0" w:space="0" w:color="auto"/>
        <w:bottom w:val="none" w:sz="0" w:space="0" w:color="auto"/>
        <w:right w:val="none" w:sz="0" w:space="0" w:color="auto"/>
      </w:divBdr>
    </w:div>
    <w:div w:id="432480773">
      <w:bodyDiv w:val="1"/>
      <w:marLeft w:val="0"/>
      <w:marRight w:val="0"/>
      <w:marTop w:val="0"/>
      <w:marBottom w:val="0"/>
      <w:divBdr>
        <w:top w:val="none" w:sz="0" w:space="0" w:color="auto"/>
        <w:left w:val="none" w:sz="0" w:space="0" w:color="auto"/>
        <w:bottom w:val="none" w:sz="0" w:space="0" w:color="auto"/>
        <w:right w:val="none" w:sz="0" w:space="0" w:color="auto"/>
      </w:divBdr>
    </w:div>
    <w:div w:id="434986650">
      <w:bodyDiv w:val="1"/>
      <w:marLeft w:val="0"/>
      <w:marRight w:val="0"/>
      <w:marTop w:val="0"/>
      <w:marBottom w:val="0"/>
      <w:divBdr>
        <w:top w:val="none" w:sz="0" w:space="0" w:color="auto"/>
        <w:left w:val="none" w:sz="0" w:space="0" w:color="auto"/>
        <w:bottom w:val="none" w:sz="0" w:space="0" w:color="auto"/>
        <w:right w:val="none" w:sz="0" w:space="0" w:color="auto"/>
      </w:divBdr>
      <w:divsChild>
        <w:div w:id="880165525">
          <w:marLeft w:val="0"/>
          <w:marRight w:val="0"/>
          <w:marTop w:val="0"/>
          <w:marBottom w:val="0"/>
          <w:divBdr>
            <w:top w:val="none" w:sz="0" w:space="0" w:color="auto"/>
            <w:left w:val="none" w:sz="0" w:space="0" w:color="auto"/>
            <w:bottom w:val="none" w:sz="0" w:space="0" w:color="auto"/>
            <w:right w:val="none" w:sz="0" w:space="0" w:color="auto"/>
          </w:divBdr>
        </w:div>
        <w:div w:id="1614364497">
          <w:marLeft w:val="0"/>
          <w:marRight w:val="0"/>
          <w:marTop w:val="0"/>
          <w:marBottom w:val="0"/>
          <w:divBdr>
            <w:top w:val="none" w:sz="0" w:space="0" w:color="auto"/>
            <w:left w:val="none" w:sz="0" w:space="0" w:color="auto"/>
            <w:bottom w:val="none" w:sz="0" w:space="0" w:color="auto"/>
            <w:right w:val="none" w:sz="0" w:space="0" w:color="auto"/>
          </w:divBdr>
        </w:div>
        <w:div w:id="790367893">
          <w:marLeft w:val="0"/>
          <w:marRight w:val="0"/>
          <w:marTop w:val="0"/>
          <w:marBottom w:val="0"/>
          <w:divBdr>
            <w:top w:val="none" w:sz="0" w:space="0" w:color="auto"/>
            <w:left w:val="none" w:sz="0" w:space="0" w:color="auto"/>
            <w:bottom w:val="none" w:sz="0" w:space="0" w:color="auto"/>
            <w:right w:val="none" w:sz="0" w:space="0" w:color="auto"/>
          </w:divBdr>
        </w:div>
        <w:div w:id="1705671734">
          <w:marLeft w:val="0"/>
          <w:marRight w:val="0"/>
          <w:marTop w:val="0"/>
          <w:marBottom w:val="0"/>
          <w:divBdr>
            <w:top w:val="none" w:sz="0" w:space="0" w:color="auto"/>
            <w:left w:val="none" w:sz="0" w:space="0" w:color="auto"/>
            <w:bottom w:val="none" w:sz="0" w:space="0" w:color="auto"/>
            <w:right w:val="none" w:sz="0" w:space="0" w:color="auto"/>
          </w:divBdr>
        </w:div>
        <w:div w:id="1450659608">
          <w:marLeft w:val="0"/>
          <w:marRight w:val="0"/>
          <w:marTop w:val="0"/>
          <w:marBottom w:val="0"/>
          <w:divBdr>
            <w:top w:val="none" w:sz="0" w:space="0" w:color="auto"/>
            <w:left w:val="none" w:sz="0" w:space="0" w:color="auto"/>
            <w:bottom w:val="none" w:sz="0" w:space="0" w:color="auto"/>
            <w:right w:val="none" w:sz="0" w:space="0" w:color="auto"/>
          </w:divBdr>
        </w:div>
        <w:div w:id="1883790126">
          <w:marLeft w:val="0"/>
          <w:marRight w:val="0"/>
          <w:marTop w:val="0"/>
          <w:marBottom w:val="0"/>
          <w:divBdr>
            <w:top w:val="none" w:sz="0" w:space="0" w:color="auto"/>
            <w:left w:val="none" w:sz="0" w:space="0" w:color="auto"/>
            <w:bottom w:val="none" w:sz="0" w:space="0" w:color="auto"/>
            <w:right w:val="none" w:sz="0" w:space="0" w:color="auto"/>
          </w:divBdr>
        </w:div>
      </w:divsChild>
    </w:div>
    <w:div w:id="439767701">
      <w:bodyDiv w:val="1"/>
      <w:marLeft w:val="0"/>
      <w:marRight w:val="0"/>
      <w:marTop w:val="0"/>
      <w:marBottom w:val="0"/>
      <w:divBdr>
        <w:top w:val="none" w:sz="0" w:space="0" w:color="auto"/>
        <w:left w:val="none" w:sz="0" w:space="0" w:color="auto"/>
        <w:bottom w:val="none" w:sz="0" w:space="0" w:color="auto"/>
        <w:right w:val="none" w:sz="0" w:space="0" w:color="auto"/>
      </w:divBdr>
    </w:div>
    <w:div w:id="460002988">
      <w:bodyDiv w:val="1"/>
      <w:marLeft w:val="0"/>
      <w:marRight w:val="0"/>
      <w:marTop w:val="0"/>
      <w:marBottom w:val="0"/>
      <w:divBdr>
        <w:top w:val="none" w:sz="0" w:space="0" w:color="auto"/>
        <w:left w:val="none" w:sz="0" w:space="0" w:color="auto"/>
        <w:bottom w:val="none" w:sz="0" w:space="0" w:color="auto"/>
        <w:right w:val="none" w:sz="0" w:space="0" w:color="auto"/>
      </w:divBdr>
    </w:div>
    <w:div w:id="463275865">
      <w:bodyDiv w:val="1"/>
      <w:marLeft w:val="0"/>
      <w:marRight w:val="0"/>
      <w:marTop w:val="0"/>
      <w:marBottom w:val="0"/>
      <w:divBdr>
        <w:top w:val="none" w:sz="0" w:space="0" w:color="auto"/>
        <w:left w:val="none" w:sz="0" w:space="0" w:color="auto"/>
        <w:bottom w:val="none" w:sz="0" w:space="0" w:color="auto"/>
        <w:right w:val="none" w:sz="0" w:space="0" w:color="auto"/>
      </w:divBdr>
    </w:div>
    <w:div w:id="478958184">
      <w:bodyDiv w:val="1"/>
      <w:marLeft w:val="0"/>
      <w:marRight w:val="0"/>
      <w:marTop w:val="0"/>
      <w:marBottom w:val="0"/>
      <w:divBdr>
        <w:top w:val="none" w:sz="0" w:space="0" w:color="auto"/>
        <w:left w:val="none" w:sz="0" w:space="0" w:color="auto"/>
        <w:bottom w:val="none" w:sz="0" w:space="0" w:color="auto"/>
        <w:right w:val="none" w:sz="0" w:space="0" w:color="auto"/>
      </w:divBdr>
    </w:div>
    <w:div w:id="518128456">
      <w:bodyDiv w:val="1"/>
      <w:marLeft w:val="0"/>
      <w:marRight w:val="0"/>
      <w:marTop w:val="0"/>
      <w:marBottom w:val="0"/>
      <w:divBdr>
        <w:top w:val="none" w:sz="0" w:space="0" w:color="auto"/>
        <w:left w:val="none" w:sz="0" w:space="0" w:color="auto"/>
        <w:bottom w:val="none" w:sz="0" w:space="0" w:color="auto"/>
        <w:right w:val="none" w:sz="0" w:space="0" w:color="auto"/>
      </w:divBdr>
    </w:div>
    <w:div w:id="523248118">
      <w:bodyDiv w:val="1"/>
      <w:marLeft w:val="0"/>
      <w:marRight w:val="0"/>
      <w:marTop w:val="0"/>
      <w:marBottom w:val="0"/>
      <w:divBdr>
        <w:top w:val="none" w:sz="0" w:space="0" w:color="auto"/>
        <w:left w:val="none" w:sz="0" w:space="0" w:color="auto"/>
        <w:bottom w:val="none" w:sz="0" w:space="0" w:color="auto"/>
        <w:right w:val="none" w:sz="0" w:space="0" w:color="auto"/>
      </w:divBdr>
    </w:div>
    <w:div w:id="531235801">
      <w:bodyDiv w:val="1"/>
      <w:marLeft w:val="0"/>
      <w:marRight w:val="0"/>
      <w:marTop w:val="0"/>
      <w:marBottom w:val="0"/>
      <w:divBdr>
        <w:top w:val="none" w:sz="0" w:space="0" w:color="auto"/>
        <w:left w:val="none" w:sz="0" w:space="0" w:color="auto"/>
        <w:bottom w:val="none" w:sz="0" w:space="0" w:color="auto"/>
        <w:right w:val="none" w:sz="0" w:space="0" w:color="auto"/>
      </w:divBdr>
    </w:div>
    <w:div w:id="540941490">
      <w:bodyDiv w:val="1"/>
      <w:marLeft w:val="0"/>
      <w:marRight w:val="0"/>
      <w:marTop w:val="0"/>
      <w:marBottom w:val="0"/>
      <w:divBdr>
        <w:top w:val="none" w:sz="0" w:space="0" w:color="auto"/>
        <w:left w:val="none" w:sz="0" w:space="0" w:color="auto"/>
        <w:bottom w:val="none" w:sz="0" w:space="0" w:color="auto"/>
        <w:right w:val="none" w:sz="0" w:space="0" w:color="auto"/>
      </w:divBdr>
    </w:div>
    <w:div w:id="560945911">
      <w:bodyDiv w:val="1"/>
      <w:marLeft w:val="0"/>
      <w:marRight w:val="0"/>
      <w:marTop w:val="0"/>
      <w:marBottom w:val="0"/>
      <w:divBdr>
        <w:top w:val="none" w:sz="0" w:space="0" w:color="auto"/>
        <w:left w:val="none" w:sz="0" w:space="0" w:color="auto"/>
        <w:bottom w:val="none" w:sz="0" w:space="0" w:color="auto"/>
        <w:right w:val="none" w:sz="0" w:space="0" w:color="auto"/>
      </w:divBdr>
    </w:div>
    <w:div w:id="580411590">
      <w:bodyDiv w:val="1"/>
      <w:marLeft w:val="0"/>
      <w:marRight w:val="0"/>
      <w:marTop w:val="0"/>
      <w:marBottom w:val="0"/>
      <w:divBdr>
        <w:top w:val="none" w:sz="0" w:space="0" w:color="auto"/>
        <w:left w:val="none" w:sz="0" w:space="0" w:color="auto"/>
        <w:bottom w:val="none" w:sz="0" w:space="0" w:color="auto"/>
        <w:right w:val="none" w:sz="0" w:space="0" w:color="auto"/>
      </w:divBdr>
    </w:div>
    <w:div w:id="608664747">
      <w:bodyDiv w:val="1"/>
      <w:marLeft w:val="0"/>
      <w:marRight w:val="0"/>
      <w:marTop w:val="0"/>
      <w:marBottom w:val="0"/>
      <w:divBdr>
        <w:top w:val="none" w:sz="0" w:space="0" w:color="auto"/>
        <w:left w:val="none" w:sz="0" w:space="0" w:color="auto"/>
        <w:bottom w:val="none" w:sz="0" w:space="0" w:color="auto"/>
        <w:right w:val="none" w:sz="0" w:space="0" w:color="auto"/>
      </w:divBdr>
    </w:div>
    <w:div w:id="677970340">
      <w:bodyDiv w:val="1"/>
      <w:marLeft w:val="0"/>
      <w:marRight w:val="0"/>
      <w:marTop w:val="0"/>
      <w:marBottom w:val="0"/>
      <w:divBdr>
        <w:top w:val="none" w:sz="0" w:space="0" w:color="auto"/>
        <w:left w:val="none" w:sz="0" w:space="0" w:color="auto"/>
        <w:bottom w:val="none" w:sz="0" w:space="0" w:color="auto"/>
        <w:right w:val="none" w:sz="0" w:space="0" w:color="auto"/>
      </w:divBdr>
    </w:div>
    <w:div w:id="686520314">
      <w:bodyDiv w:val="1"/>
      <w:marLeft w:val="0"/>
      <w:marRight w:val="0"/>
      <w:marTop w:val="0"/>
      <w:marBottom w:val="0"/>
      <w:divBdr>
        <w:top w:val="none" w:sz="0" w:space="0" w:color="auto"/>
        <w:left w:val="none" w:sz="0" w:space="0" w:color="auto"/>
        <w:bottom w:val="none" w:sz="0" w:space="0" w:color="auto"/>
        <w:right w:val="none" w:sz="0" w:space="0" w:color="auto"/>
      </w:divBdr>
    </w:div>
    <w:div w:id="705327523">
      <w:bodyDiv w:val="1"/>
      <w:marLeft w:val="0"/>
      <w:marRight w:val="0"/>
      <w:marTop w:val="0"/>
      <w:marBottom w:val="0"/>
      <w:divBdr>
        <w:top w:val="none" w:sz="0" w:space="0" w:color="auto"/>
        <w:left w:val="none" w:sz="0" w:space="0" w:color="auto"/>
        <w:bottom w:val="none" w:sz="0" w:space="0" w:color="auto"/>
        <w:right w:val="none" w:sz="0" w:space="0" w:color="auto"/>
      </w:divBdr>
    </w:div>
    <w:div w:id="707074532">
      <w:bodyDiv w:val="1"/>
      <w:marLeft w:val="0"/>
      <w:marRight w:val="0"/>
      <w:marTop w:val="0"/>
      <w:marBottom w:val="0"/>
      <w:divBdr>
        <w:top w:val="none" w:sz="0" w:space="0" w:color="auto"/>
        <w:left w:val="none" w:sz="0" w:space="0" w:color="auto"/>
        <w:bottom w:val="none" w:sz="0" w:space="0" w:color="auto"/>
        <w:right w:val="none" w:sz="0" w:space="0" w:color="auto"/>
      </w:divBdr>
    </w:div>
    <w:div w:id="711810539">
      <w:bodyDiv w:val="1"/>
      <w:marLeft w:val="0"/>
      <w:marRight w:val="0"/>
      <w:marTop w:val="0"/>
      <w:marBottom w:val="0"/>
      <w:divBdr>
        <w:top w:val="none" w:sz="0" w:space="0" w:color="auto"/>
        <w:left w:val="none" w:sz="0" w:space="0" w:color="auto"/>
        <w:bottom w:val="none" w:sz="0" w:space="0" w:color="auto"/>
        <w:right w:val="none" w:sz="0" w:space="0" w:color="auto"/>
      </w:divBdr>
    </w:div>
    <w:div w:id="723455873">
      <w:bodyDiv w:val="1"/>
      <w:marLeft w:val="0"/>
      <w:marRight w:val="0"/>
      <w:marTop w:val="0"/>
      <w:marBottom w:val="0"/>
      <w:divBdr>
        <w:top w:val="none" w:sz="0" w:space="0" w:color="auto"/>
        <w:left w:val="none" w:sz="0" w:space="0" w:color="auto"/>
        <w:bottom w:val="none" w:sz="0" w:space="0" w:color="auto"/>
        <w:right w:val="none" w:sz="0" w:space="0" w:color="auto"/>
      </w:divBdr>
    </w:div>
    <w:div w:id="748692310">
      <w:bodyDiv w:val="1"/>
      <w:marLeft w:val="0"/>
      <w:marRight w:val="0"/>
      <w:marTop w:val="0"/>
      <w:marBottom w:val="0"/>
      <w:divBdr>
        <w:top w:val="none" w:sz="0" w:space="0" w:color="auto"/>
        <w:left w:val="none" w:sz="0" w:space="0" w:color="auto"/>
        <w:bottom w:val="none" w:sz="0" w:space="0" w:color="auto"/>
        <w:right w:val="none" w:sz="0" w:space="0" w:color="auto"/>
      </w:divBdr>
      <w:divsChild>
        <w:div w:id="962615552">
          <w:marLeft w:val="0"/>
          <w:marRight w:val="0"/>
          <w:marTop w:val="0"/>
          <w:marBottom w:val="0"/>
          <w:divBdr>
            <w:top w:val="none" w:sz="0" w:space="0" w:color="auto"/>
            <w:left w:val="none" w:sz="0" w:space="0" w:color="auto"/>
            <w:bottom w:val="none" w:sz="0" w:space="0" w:color="auto"/>
            <w:right w:val="none" w:sz="0" w:space="0" w:color="auto"/>
          </w:divBdr>
        </w:div>
        <w:div w:id="1889802871">
          <w:marLeft w:val="0"/>
          <w:marRight w:val="0"/>
          <w:marTop w:val="0"/>
          <w:marBottom w:val="0"/>
          <w:divBdr>
            <w:top w:val="none" w:sz="0" w:space="0" w:color="auto"/>
            <w:left w:val="none" w:sz="0" w:space="0" w:color="auto"/>
            <w:bottom w:val="none" w:sz="0" w:space="0" w:color="auto"/>
            <w:right w:val="none" w:sz="0" w:space="0" w:color="auto"/>
          </w:divBdr>
        </w:div>
        <w:div w:id="1758556004">
          <w:marLeft w:val="0"/>
          <w:marRight w:val="0"/>
          <w:marTop w:val="0"/>
          <w:marBottom w:val="0"/>
          <w:divBdr>
            <w:top w:val="none" w:sz="0" w:space="0" w:color="auto"/>
            <w:left w:val="none" w:sz="0" w:space="0" w:color="auto"/>
            <w:bottom w:val="none" w:sz="0" w:space="0" w:color="auto"/>
            <w:right w:val="none" w:sz="0" w:space="0" w:color="auto"/>
          </w:divBdr>
        </w:div>
        <w:div w:id="1716853528">
          <w:marLeft w:val="0"/>
          <w:marRight w:val="0"/>
          <w:marTop w:val="0"/>
          <w:marBottom w:val="0"/>
          <w:divBdr>
            <w:top w:val="none" w:sz="0" w:space="0" w:color="auto"/>
            <w:left w:val="none" w:sz="0" w:space="0" w:color="auto"/>
            <w:bottom w:val="none" w:sz="0" w:space="0" w:color="auto"/>
            <w:right w:val="none" w:sz="0" w:space="0" w:color="auto"/>
          </w:divBdr>
        </w:div>
        <w:div w:id="1938053648">
          <w:marLeft w:val="0"/>
          <w:marRight w:val="0"/>
          <w:marTop w:val="0"/>
          <w:marBottom w:val="0"/>
          <w:divBdr>
            <w:top w:val="none" w:sz="0" w:space="0" w:color="auto"/>
            <w:left w:val="none" w:sz="0" w:space="0" w:color="auto"/>
            <w:bottom w:val="none" w:sz="0" w:space="0" w:color="auto"/>
            <w:right w:val="none" w:sz="0" w:space="0" w:color="auto"/>
          </w:divBdr>
        </w:div>
      </w:divsChild>
    </w:div>
    <w:div w:id="768544043">
      <w:bodyDiv w:val="1"/>
      <w:marLeft w:val="0"/>
      <w:marRight w:val="0"/>
      <w:marTop w:val="0"/>
      <w:marBottom w:val="0"/>
      <w:divBdr>
        <w:top w:val="none" w:sz="0" w:space="0" w:color="auto"/>
        <w:left w:val="none" w:sz="0" w:space="0" w:color="auto"/>
        <w:bottom w:val="none" w:sz="0" w:space="0" w:color="auto"/>
        <w:right w:val="none" w:sz="0" w:space="0" w:color="auto"/>
      </w:divBdr>
    </w:div>
    <w:div w:id="814025127">
      <w:bodyDiv w:val="1"/>
      <w:marLeft w:val="0"/>
      <w:marRight w:val="0"/>
      <w:marTop w:val="0"/>
      <w:marBottom w:val="0"/>
      <w:divBdr>
        <w:top w:val="none" w:sz="0" w:space="0" w:color="auto"/>
        <w:left w:val="none" w:sz="0" w:space="0" w:color="auto"/>
        <w:bottom w:val="none" w:sz="0" w:space="0" w:color="auto"/>
        <w:right w:val="none" w:sz="0" w:space="0" w:color="auto"/>
      </w:divBdr>
    </w:div>
    <w:div w:id="824586602">
      <w:bodyDiv w:val="1"/>
      <w:marLeft w:val="0"/>
      <w:marRight w:val="0"/>
      <w:marTop w:val="0"/>
      <w:marBottom w:val="0"/>
      <w:divBdr>
        <w:top w:val="none" w:sz="0" w:space="0" w:color="auto"/>
        <w:left w:val="none" w:sz="0" w:space="0" w:color="auto"/>
        <w:bottom w:val="none" w:sz="0" w:space="0" w:color="auto"/>
        <w:right w:val="none" w:sz="0" w:space="0" w:color="auto"/>
      </w:divBdr>
    </w:div>
    <w:div w:id="846091687">
      <w:bodyDiv w:val="1"/>
      <w:marLeft w:val="0"/>
      <w:marRight w:val="0"/>
      <w:marTop w:val="0"/>
      <w:marBottom w:val="0"/>
      <w:divBdr>
        <w:top w:val="none" w:sz="0" w:space="0" w:color="auto"/>
        <w:left w:val="none" w:sz="0" w:space="0" w:color="auto"/>
        <w:bottom w:val="none" w:sz="0" w:space="0" w:color="auto"/>
        <w:right w:val="none" w:sz="0" w:space="0" w:color="auto"/>
      </w:divBdr>
    </w:div>
    <w:div w:id="911626690">
      <w:bodyDiv w:val="1"/>
      <w:marLeft w:val="0"/>
      <w:marRight w:val="0"/>
      <w:marTop w:val="0"/>
      <w:marBottom w:val="0"/>
      <w:divBdr>
        <w:top w:val="none" w:sz="0" w:space="0" w:color="auto"/>
        <w:left w:val="none" w:sz="0" w:space="0" w:color="auto"/>
        <w:bottom w:val="none" w:sz="0" w:space="0" w:color="auto"/>
        <w:right w:val="none" w:sz="0" w:space="0" w:color="auto"/>
      </w:divBdr>
    </w:div>
    <w:div w:id="942147817">
      <w:bodyDiv w:val="1"/>
      <w:marLeft w:val="0"/>
      <w:marRight w:val="0"/>
      <w:marTop w:val="0"/>
      <w:marBottom w:val="0"/>
      <w:divBdr>
        <w:top w:val="none" w:sz="0" w:space="0" w:color="auto"/>
        <w:left w:val="none" w:sz="0" w:space="0" w:color="auto"/>
        <w:bottom w:val="none" w:sz="0" w:space="0" w:color="auto"/>
        <w:right w:val="none" w:sz="0" w:space="0" w:color="auto"/>
      </w:divBdr>
    </w:div>
    <w:div w:id="967976767">
      <w:bodyDiv w:val="1"/>
      <w:marLeft w:val="0"/>
      <w:marRight w:val="0"/>
      <w:marTop w:val="0"/>
      <w:marBottom w:val="0"/>
      <w:divBdr>
        <w:top w:val="none" w:sz="0" w:space="0" w:color="auto"/>
        <w:left w:val="none" w:sz="0" w:space="0" w:color="auto"/>
        <w:bottom w:val="none" w:sz="0" w:space="0" w:color="auto"/>
        <w:right w:val="none" w:sz="0" w:space="0" w:color="auto"/>
      </w:divBdr>
    </w:div>
    <w:div w:id="976956677">
      <w:bodyDiv w:val="1"/>
      <w:marLeft w:val="0"/>
      <w:marRight w:val="0"/>
      <w:marTop w:val="0"/>
      <w:marBottom w:val="0"/>
      <w:divBdr>
        <w:top w:val="none" w:sz="0" w:space="0" w:color="auto"/>
        <w:left w:val="none" w:sz="0" w:space="0" w:color="auto"/>
        <w:bottom w:val="none" w:sz="0" w:space="0" w:color="auto"/>
        <w:right w:val="none" w:sz="0" w:space="0" w:color="auto"/>
      </w:divBdr>
    </w:div>
    <w:div w:id="981807327">
      <w:bodyDiv w:val="1"/>
      <w:marLeft w:val="0"/>
      <w:marRight w:val="0"/>
      <w:marTop w:val="0"/>
      <w:marBottom w:val="0"/>
      <w:divBdr>
        <w:top w:val="none" w:sz="0" w:space="0" w:color="auto"/>
        <w:left w:val="none" w:sz="0" w:space="0" w:color="auto"/>
        <w:bottom w:val="none" w:sz="0" w:space="0" w:color="auto"/>
        <w:right w:val="none" w:sz="0" w:space="0" w:color="auto"/>
      </w:divBdr>
      <w:divsChild>
        <w:div w:id="1900432819">
          <w:marLeft w:val="0"/>
          <w:marRight w:val="0"/>
          <w:marTop w:val="0"/>
          <w:marBottom w:val="0"/>
          <w:divBdr>
            <w:top w:val="none" w:sz="0" w:space="0" w:color="auto"/>
            <w:left w:val="none" w:sz="0" w:space="0" w:color="auto"/>
            <w:bottom w:val="none" w:sz="0" w:space="0" w:color="auto"/>
            <w:right w:val="none" w:sz="0" w:space="0" w:color="auto"/>
          </w:divBdr>
        </w:div>
        <w:div w:id="1663465054">
          <w:marLeft w:val="0"/>
          <w:marRight w:val="0"/>
          <w:marTop w:val="0"/>
          <w:marBottom w:val="0"/>
          <w:divBdr>
            <w:top w:val="none" w:sz="0" w:space="0" w:color="auto"/>
            <w:left w:val="none" w:sz="0" w:space="0" w:color="auto"/>
            <w:bottom w:val="none" w:sz="0" w:space="0" w:color="auto"/>
            <w:right w:val="none" w:sz="0" w:space="0" w:color="auto"/>
          </w:divBdr>
        </w:div>
        <w:div w:id="378284406">
          <w:marLeft w:val="0"/>
          <w:marRight w:val="0"/>
          <w:marTop w:val="0"/>
          <w:marBottom w:val="0"/>
          <w:divBdr>
            <w:top w:val="none" w:sz="0" w:space="0" w:color="auto"/>
            <w:left w:val="none" w:sz="0" w:space="0" w:color="auto"/>
            <w:bottom w:val="none" w:sz="0" w:space="0" w:color="auto"/>
            <w:right w:val="none" w:sz="0" w:space="0" w:color="auto"/>
          </w:divBdr>
        </w:div>
        <w:div w:id="977875483">
          <w:marLeft w:val="0"/>
          <w:marRight w:val="0"/>
          <w:marTop w:val="0"/>
          <w:marBottom w:val="0"/>
          <w:divBdr>
            <w:top w:val="none" w:sz="0" w:space="0" w:color="auto"/>
            <w:left w:val="none" w:sz="0" w:space="0" w:color="auto"/>
            <w:bottom w:val="none" w:sz="0" w:space="0" w:color="auto"/>
            <w:right w:val="none" w:sz="0" w:space="0" w:color="auto"/>
          </w:divBdr>
        </w:div>
      </w:divsChild>
    </w:div>
    <w:div w:id="986130825">
      <w:bodyDiv w:val="1"/>
      <w:marLeft w:val="0"/>
      <w:marRight w:val="0"/>
      <w:marTop w:val="0"/>
      <w:marBottom w:val="0"/>
      <w:divBdr>
        <w:top w:val="none" w:sz="0" w:space="0" w:color="auto"/>
        <w:left w:val="none" w:sz="0" w:space="0" w:color="auto"/>
        <w:bottom w:val="none" w:sz="0" w:space="0" w:color="auto"/>
        <w:right w:val="none" w:sz="0" w:space="0" w:color="auto"/>
      </w:divBdr>
    </w:div>
    <w:div w:id="995112366">
      <w:bodyDiv w:val="1"/>
      <w:marLeft w:val="0"/>
      <w:marRight w:val="0"/>
      <w:marTop w:val="0"/>
      <w:marBottom w:val="0"/>
      <w:divBdr>
        <w:top w:val="none" w:sz="0" w:space="0" w:color="auto"/>
        <w:left w:val="none" w:sz="0" w:space="0" w:color="auto"/>
        <w:bottom w:val="none" w:sz="0" w:space="0" w:color="auto"/>
        <w:right w:val="none" w:sz="0" w:space="0" w:color="auto"/>
      </w:divBdr>
    </w:div>
    <w:div w:id="1031027960">
      <w:bodyDiv w:val="1"/>
      <w:marLeft w:val="0"/>
      <w:marRight w:val="0"/>
      <w:marTop w:val="0"/>
      <w:marBottom w:val="0"/>
      <w:divBdr>
        <w:top w:val="none" w:sz="0" w:space="0" w:color="auto"/>
        <w:left w:val="none" w:sz="0" w:space="0" w:color="auto"/>
        <w:bottom w:val="none" w:sz="0" w:space="0" w:color="auto"/>
        <w:right w:val="none" w:sz="0" w:space="0" w:color="auto"/>
      </w:divBdr>
      <w:divsChild>
        <w:div w:id="756051395">
          <w:marLeft w:val="0"/>
          <w:marRight w:val="0"/>
          <w:marTop w:val="0"/>
          <w:marBottom w:val="0"/>
          <w:divBdr>
            <w:top w:val="none" w:sz="0" w:space="0" w:color="auto"/>
            <w:left w:val="none" w:sz="0" w:space="0" w:color="auto"/>
            <w:bottom w:val="none" w:sz="0" w:space="0" w:color="auto"/>
            <w:right w:val="none" w:sz="0" w:space="0" w:color="auto"/>
          </w:divBdr>
        </w:div>
        <w:div w:id="1938630760">
          <w:marLeft w:val="0"/>
          <w:marRight w:val="0"/>
          <w:marTop w:val="0"/>
          <w:marBottom w:val="0"/>
          <w:divBdr>
            <w:top w:val="none" w:sz="0" w:space="0" w:color="auto"/>
            <w:left w:val="none" w:sz="0" w:space="0" w:color="auto"/>
            <w:bottom w:val="none" w:sz="0" w:space="0" w:color="auto"/>
            <w:right w:val="none" w:sz="0" w:space="0" w:color="auto"/>
          </w:divBdr>
        </w:div>
      </w:divsChild>
    </w:div>
    <w:div w:id="1131361470">
      <w:bodyDiv w:val="1"/>
      <w:marLeft w:val="0"/>
      <w:marRight w:val="0"/>
      <w:marTop w:val="0"/>
      <w:marBottom w:val="0"/>
      <w:divBdr>
        <w:top w:val="none" w:sz="0" w:space="0" w:color="auto"/>
        <w:left w:val="none" w:sz="0" w:space="0" w:color="auto"/>
        <w:bottom w:val="none" w:sz="0" w:space="0" w:color="auto"/>
        <w:right w:val="none" w:sz="0" w:space="0" w:color="auto"/>
      </w:divBdr>
    </w:div>
    <w:div w:id="1171143390">
      <w:bodyDiv w:val="1"/>
      <w:marLeft w:val="0"/>
      <w:marRight w:val="0"/>
      <w:marTop w:val="0"/>
      <w:marBottom w:val="0"/>
      <w:divBdr>
        <w:top w:val="none" w:sz="0" w:space="0" w:color="auto"/>
        <w:left w:val="none" w:sz="0" w:space="0" w:color="auto"/>
        <w:bottom w:val="none" w:sz="0" w:space="0" w:color="auto"/>
        <w:right w:val="none" w:sz="0" w:space="0" w:color="auto"/>
      </w:divBdr>
    </w:div>
    <w:div w:id="1177302664">
      <w:bodyDiv w:val="1"/>
      <w:marLeft w:val="0"/>
      <w:marRight w:val="0"/>
      <w:marTop w:val="0"/>
      <w:marBottom w:val="0"/>
      <w:divBdr>
        <w:top w:val="none" w:sz="0" w:space="0" w:color="auto"/>
        <w:left w:val="none" w:sz="0" w:space="0" w:color="auto"/>
        <w:bottom w:val="none" w:sz="0" w:space="0" w:color="auto"/>
        <w:right w:val="none" w:sz="0" w:space="0" w:color="auto"/>
      </w:divBdr>
    </w:div>
    <w:div w:id="1198201947">
      <w:bodyDiv w:val="1"/>
      <w:marLeft w:val="0"/>
      <w:marRight w:val="0"/>
      <w:marTop w:val="0"/>
      <w:marBottom w:val="0"/>
      <w:divBdr>
        <w:top w:val="none" w:sz="0" w:space="0" w:color="auto"/>
        <w:left w:val="none" w:sz="0" w:space="0" w:color="auto"/>
        <w:bottom w:val="none" w:sz="0" w:space="0" w:color="auto"/>
        <w:right w:val="none" w:sz="0" w:space="0" w:color="auto"/>
      </w:divBdr>
      <w:divsChild>
        <w:div w:id="1076050479">
          <w:marLeft w:val="0"/>
          <w:marRight w:val="0"/>
          <w:marTop w:val="0"/>
          <w:marBottom w:val="0"/>
          <w:divBdr>
            <w:top w:val="none" w:sz="0" w:space="0" w:color="auto"/>
            <w:left w:val="none" w:sz="0" w:space="0" w:color="auto"/>
            <w:bottom w:val="none" w:sz="0" w:space="0" w:color="auto"/>
            <w:right w:val="none" w:sz="0" w:space="0" w:color="auto"/>
          </w:divBdr>
          <w:divsChild>
            <w:div w:id="1335886166">
              <w:marLeft w:val="0"/>
              <w:marRight w:val="0"/>
              <w:marTop w:val="0"/>
              <w:marBottom w:val="0"/>
              <w:divBdr>
                <w:top w:val="none" w:sz="0" w:space="0" w:color="auto"/>
                <w:left w:val="none" w:sz="0" w:space="0" w:color="auto"/>
                <w:bottom w:val="none" w:sz="0" w:space="0" w:color="auto"/>
                <w:right w:val="none" w:sz="0" w:space="0" w:color="auto"/>
              </w:divBdr>
              <w:divsChild>
                <w:div w:id="44192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069199">
      <w:bodyDiv w:val="1"/>
      <w:marLeft w:val="0"/>
      <w:marRight w:val="0"/>
      <w:marTop w:val="0"/>
      <w:marBottom w:val="0"/>
      <w:divBdr>
        <w:top w:val="none" w:sz="0" w:space="0" w:color="auto"/>
        <w:left w:val="none" w:sz="0" w:space="0" w:color="auto"/>
        <w:bottom w:val="none" w:sz="0" w:space="0" w:color="auto"/>
        <w:right w:val="none" w:sz="0" w:space="0" w:color="auto"/>
      </w:divBdr>
    </w:div>
    <w:div w:id="1234662925">
      <w:bodyDiv w:val="1"/>
      <w:marLeft w:val="0"/>
      <w:marRight w:val="0"/>
      <w:marTop w:val="0"/>
      <w:marBottom w:val="0"/>
      <w:divBdr>
        <w:top w:val="none" w:sz="0" w:space="0" w:color="auto"/>
        <w:left w:val="none" w:sz="0" w:space="0" w:color="auto"/>
        <w:bottom w:val="none" w:sz="0" w:space="0" w:color="auto"/>
        <w:right w:val="none" w:sz="0" w:space="0" w:color="auto"/>
      </w:divBdr>
    </w:div>
    <w:div w:id="1239747577">
      <w:bodyDiv w:val="1"/>
      <w:marLeft w:val="0"/>
      <w:marRight w:val="0"/>
      <w:marTop w:val="0"/>
      <w:marBottom w:val="0"/>
      <w:divBdr>
        <w:top w:val="none" w:sz="0" w:space="0" w:color="auto"/>
        <w:left w:val="none" w:sz="0" w:space="0" w:color="auto"/>
        <w:bottom w:val="none" w:sz="0" w:space="0" w:color="auto"/>
        <w:right w:val="none" w:sz="0" w:space="0" w:color="auto"/>
      </w:divBdr>
    </w:div>
    <w:div w:id="1247494794">
      <w:bodyDiv w:val="1"/>
      <w:marLeft w:val="0"/>
      <w:marRight w:val="0"/>
      <w:marTop w:val="0"/>
      <w:marBottom w:val="0"/>
      <w:divBdr>
        <w:top w:val="none" w:sz="0" w:space="0" w:color="auto"/>
        <w:left w:val="none" w:sz="0" w:space="0" w:color="auto"/>
        <w:bottom w:val="none" w:sz="0" w:space="0" w:color="auto"/>
        <w:right w:val="none" w:sz="0" w:space="0" w:color="auto"/>
      </w:divBdr>
    </w:div>
    <w:div w:id="1260026095">
      <w:bodyDiv w:val="1"/>
      <w:marLeft w:val="0"/>
      <w:marRight w:val="0"/>
      <w:marTop w:val="0"/>
      <w:marBottom w:val="0"/>
      <w:divBdr>
        <w:top w:val="none" w:sz="0" w:space="0" w:color="auto"/>
        <w:left w:val="none" w:sz="0" w:space="0" w:color="auto"/>
        <w:bottom w:val="none" w:sz="0" w:space="0" w:color="auto"/>
        <w:right w:val="none" w:sz="0" w:space="0" w:color="auto"/>
      </w:divBdr>
    </w:div>
    <w:div w:id="1270431772">
      <w:bodyDiv w:val="1"/>
      <w:marLeft w:val="0"/>
      <w:marRight w:val="0"/>
      <w:marTop w:val="0"/>
      <w:marBottom w:val="0"/>
      <w:divBdr>
        <w:top w:val="none" w:sz="0" w:space="0" w:color="auto"/>
        <w:left w:val="none" w:sz="0" w:space="0" w:color="auto"/>
        <w:bottom w:val="none" w:sz="0" w:space="0" w:color="auto"/>
        <w:right w:val="none" w:sz="0" w:space="0" w:color="auto"/>
      </w:divBdr>
    </w:div>
    <w:div w:id="1272662210">
      <w:bodyDiv w:val="1"/>
      <w:marLeft w:val="0"/>
      <w:marRight w:val="0"/>
      <w:marTop w:val="0"/>
      <w:marBottom w:val="0"/>
      <w:divBdr>
        <w:top w:val="none" w:sz="0" w:space="0" w:color="auto"/>
        <w:left w:val="none" w:sz="0" w:space="0" w:color="auto"/>
        <w:bottom w:val="none" w:sz="0" w:space="0" w:color="auto"/>
        <w:right w:val="none" w:sz="0" w:space="0" w:color="auto"/>
      </w:divBdr>
    </w:div>
    <w:div w:id="1314723480">
      <w:bodyDiv w:val="1"/>
      <w:marLeft w:val="0"/>
      <w:marRight w:val="0"/>
      <w:marTop w:val="0"/>
      <w:marBottom w:val="0"/>
      <w:divBdr>
        <w:top w:val="none" w:sz="0" w:space="0" w:color="auto"/>
        <w:left w:val="none" w:sz="0" w:space="0" w:color="auto"/>
        <w:bottom w:val="none" w:sz="0" w:space="0" w:color="auto"/>
        <w:right w:val="none" w:sz="0" w:space="0" w:color="auto"/>
      </w:divBdr>
    </w:div>
    <w:div w:id="1326593452">
      <w:bodyDiv w:val="1"/>
      <w:marLeft w:val="0"/>
      <w:marRight w:val="0"/>
      <w:marTop w:val="0"/>
      <w:marBottom w:val="0"/>
      <w:divBdr>
        <w:top w:val="none" w:sz="0" w:space="0" w:color="auto"/>
        <w:left w:val="none" w:sz="0" w:space="0" w:color="auto"/>
        <w:bottom w:val="none" w:sz="0" w:space="0" w:color="auto"/>
        <w:right w:val="none" w:sz="0" w:space="0" w:color="auto"/>
      </w:divBdr>
    </w:div>
    <w:div w:id="1336151447">
      <w:bodyDiv w:val="1"/>
      <w:marLeft w:val="0"/>
      <w:marRight w:val="0"/>
      <w:marTop w:val="0"/>
      <w:marBottom w:val="0"/>
      <w:divBdr>
        <w:top w:val="none" w:sz="0" w:space="0" w:color="auto"/>
        <w:left w:val="none" w:sz="0" w:space="0" w:color="auto"/>
        <w:bottom w:val="none" w:sz="0" w:space="0" w:color="auto"/>
        <w:right w:val="none" w:sz="0" w:space="0" w:color="auto"/>
      </w:divBdr>
    </w:div>
    <w:div w:id="1374231254">
      <w:bodyDiv w:val="1"/>
      <w:marLeft w:val="0"/>
      <w:marRight w:val="0"/>
      <w:marTop w:val="0"/>
      <w:marBottom w:val="0"/>
      <w:divBdr>
        <w:top w:val="none" w:sz="0" w:space="0" w:color="auto"/>
        <w:left w:val="none" w:sz="0" w:space="0" w:color="auto"/>
        <w:bottom w:val="none" w:sz="0" w:space="0" w:color="auto"/>
        <w:right w:val="none" w:sz="0" w:space="0" w:color="auto"/>
      </w:divBdr>
    </w:div>
    <w:div w:id="1377924333">
      <w:bodyDiv w:val="1"/>
      <w:marLeft w:val="0"/>
      <w:marRight w:val="0"/>
      <w:marTop w:val="0"/>
      <w:marBottom w:val="0"/>
      <w:divBdr>
        <w:top w:val="none" w:sz="0" w:space="0" w:color="auto"/>
        <w:left w:val="none" w:sz="0" w:space="0" w:color="auto"/>
        <w:bottom w:val="none" w:sz="0" w:space="0" w:color="auto"/>
        <w:right w:val="none" w:sz="0" w:space="0" w:color="auto"/>
      </w:divBdr>
    </w:div>
    <w:div w:id="1388919684">
      <w:bodyDiv w:val="1"/>
      <w:marLeft w:val="0"/>
      <w:marRight w:val="0"/>
      <w:marTop w:val="0"/>
      <w:marBottom w:val="0"/>
      <w:divBdr>
        <w:top w:val="none" w:sz="0" w:space="0" w:color="auto"/>
        <w:left w:val="none" w:sz="0" w:space="0" w:color="auto"/>
        <w:bottom w:val="none" w:sz="0" w:space="0" w:color="auto"/>
        <w:right w:val="none" w:sz="0" w:space="0" w:color="auto"/>
      </w:divBdr>
    </w:div>
    <w:div w:id="1391492681">
      <w:bodyDiv w:val="1"/>
      <w:marLeft w:val="0"/>
      <w:marRight w:val="0"/>
      <w:marTop w:val="0"/>
      <w:marBottom w:val="0"/>
      <w:divBdr>
        <w:top w:val="none" w:sz="0" w:space="0" w:color="auto"/>
        <w:left w:val="none" w:sz="0" w:space="0" w:color="auto"/>
        <w:bottom w:val="none" w:sz="0" w:space="0" w:color="auto"/>
        <w:right w:val="none" w:sz="0" w:space="0" w:color="auto"/>
      </w:divBdr>
    </w:div>
    <w:div w:id="1394159474">
      <w:bodyDiv w:val="1"/>
      <w:marLeft w:val="0"/>
      <w:marRight w:val="0"/>
      <w:marTop w:val="0"/>
      <w:marBottom w:val="0"/>
      <w:divBdr>
        <w:top w:val="none" w:sz="0" w:space="0" w:color="auto"/>
        <w:left w:val="none" w:sz="0" w:space="0" w:color="auto"/>
        <w:bottom w:val="none" w:sz="0" w:space="0" w:color="auto"/>
        <w:right w:val="none" w:sz="0" w:space="0" w:color="auto"/>
      </w:divBdr>
    </w:div>
    <w:div w:id="1407261558">
      <w:bodyDiv w:val="1"/>
      <w:marLeft w:val="0"/>
      <w:marRight w:val="0"/>
      <w:marTop w:val="0"/>
      <w:marBottom w:val="0"/>
      <w:divBdr>
        <w:top w:val="none" w:sz="0" w:space="0" w:color="auto"/>
        <w:left w:val="none" w:sz="0" w:space="0" w:color="auto"/>
        <w:bottom w:val="none" w:sz="0" w:space="0" w:color="auto"/>
        <w:right w:val="none" w:sz="0" w:space="0" w:color="auto"/>
      </w:divBdr>
    </w:div>
    <w:div w:id="1442799921">
      <w:bodyDiv w:val="1"/>
      <w:marLeft w:val="0"/>
      <w:marRight w:val="0"/>
      <w:marTop w:val="0"/>
      <w:marBottom w:val="0"/>
      <w:divBdr>
        <w:top w:val="none" w:sz="0" w:space="0" w:color="auto"/>
        <w:left w:val="none" w:sz="0" w:space="0" w:color="auto"/>
        <w:bottom w:val="none" w:sz="0" w:space="0" w:color="auto"/>
        <w:right w:val="none" w:sz="0" w:space="0" w:color="auto"/>
      </w:divBdr>
    </w:div>
    <w:div w:id="1475637871">
      <w:bodyDiv w:val="1"/>
      <w:marLeft w:val="0"/>
      <w:marRight w:val="0"/>
      <w:marTop w:val="0"/>
      <w:marBottom w:val="0"/>
      <w:divBdr>
        <w:top w:val="none" w:sz="0" w:space="0" w:color="auto"/>
        <w:left w:val="none" w:sz="0" w:space="0" w:color="auto"/>
        <w:bottom w:val="none" w:sz="0" w:space="0" w:color="auto"/>
        <w:right w:val="none" w:sz="0" w:space="0" w:color="auto"/>
      </w:divBdr>
    </w:div>
    <w:div w:id="1478953265">
      <w:bodyDiv w:val="1"/>
      <w:marLeft w:val="0"/>
      <w:marRight w:val="0"/>
      <w:marTop w:val="0"/>
      <w:marBottom w:val="0"/>
      <w:divBdr>
        <w:top w:val="none" w:sz="0" w:space="0" w:color="auto"/>
        <w:left w:val="none" w:sz="0" w:space="0" w:color="auto"/>
        <w:bottom w:val="none" w:sz="0" w:space="0" w:color="auto"/>
        <w:right w:val="none" w:sz="0" w:space="0" w:color="auto"/>
      </w:divBdr>
    </w:div>
    <w:div w:id="1505590351">
      <w:bodyDiv w:val="1"/>
      <w:marLeft w:val="0"/>
      <w:marRight w:val="0"/>
      <w:marTop w:val="0"/>
      <w:marBottom w:val="0"/>
      <w:divBdr>
        <w:top w:val="none" w:sz="0" w:space="0" w:color="auto"/>
        <w:left w:val="none" w:sz="0" w:space="0" w:color="auto"/>
        <w:bottom w:val="none" w:sz="0" w:space="0" w:color="auto"/>
        <w:right w:val="none" w:sz="0" w:space="0" w:color="auto"/>
      </w:divBdr>
    </w:div>
    <w:div w:id="1508708719">
      <w:bodyDiv w:val="1"/>
      <w:marLeft w:val="0"/>
      <w:marRight w:val="0"/>
      <w:marTop w:val="0"/>
      <w:marBottom w:val="0"/>
      <w:divBdr>
        <w:top w:val="none" w:sz="0" w:space="0" w:color="auto"/>
        <w:left w:val="none" w:sz="0" w:space="0" w:color="auto"/>
        <w:bottom w:val="none" w:sz="0" w:space="0" w:color="auto"/>
        <w:right w:val="none" w:sz="0" w:space="0" w:color="auto"/>
      </w:divBdr>
    </w:div>
    <w:div w:id="1511870764">
      <w:bodyDiv w:val="1"/>
      <w:marLeft w:val="0"/>
      <w:marRight w:val="0"/>
      <w:marTop w:val="0"/>
      <w:marBottom w:val="0"/>
      <w:divBdr>
        <w:top w:val="none" w:sz="0" w:space="0" w:color="auto"/>
        <w:left w:val="none" w:sz="0" w:space="0" w:color="auto"/>
        <w:bottom w:val="none" w:sz="0" w:space="0" w:color="auto"/>
        <w:right w:val="none" w:sz="0" w:space="0" w:color="auto"/>
      </w:divBdr>
    </w:div>
    <w:div w:id="1543519050">
      <w:bodyDiv w:val="1"/>
      <w:marLeft w:val="0"/>
      <w:marRight w:val="0"/>
      <w:marTop w:val="0"/>
      <w:marBottom w:val="0"/>
      <w:divBdr>
        <w:top w:val="none" w:sz="0" w:space="0" w:color="auto"/>
        <w:left w:val="none" w:sz="0" w:space="0" w:color="auto"/>
        <w:bottom w:val="none" w:sz="0" w:space="0" w:color="auto"/>
        <w:right w:val="none" w:sz="0" w:space="0" w:color="auto"/>
      </w:divBdr>
    </w:div>
    <w:div w:id="1559046857">
      <w:bodyDiv w:val="1"/>
      <w:marLeft w:val="0"/>
      <w:marRight w:val="0"/>
      <w:marTop w:val="0"/>
      <w:marBottom w:val="0"/>
      <w:divBdr>
        <w:top w:val="none" w:sz="0" w:space="0" w:color="auto"/>
        <w:left w:val="none" w:sz="0" w:space="0" w:color="auto"/>
        <w:bottom w:val="none" w:sz="0" w:space="0" w:color="auto"/>
        <w:right w:val="none" w:sz="0" w:space="0" w:color="auto"/>
      </w:divBdr>
    </w:div>
    <w:div w:id="1560172864">
      <w:bodyDiv w:val="1"/>
      <w:marLeft w:val="0"/>
      <w:marRight w:val="0"/>
      <w:marTop w:val="0"/>
      <w:marBottom w:val="0"/>
      <w:divBdr>
        <w:top w:val="none" w:sz="0" w:space="0" w:color="auto"/>
        <w:left w:val="none" w:sz="0" w:space="0" w:color="auto"/>
        <w:bottom w:val="none" w:sz="0" w:space="0" w:color="auto"/>
        <w:right w:val="none" w:sz="0" w:space="0" w:color="auto"/>
      </w:divBdr>
    </w:div>
    <w:div w:id="1561400918">
      <w:bodyDiv w:val="1"/>
      <w:marLeft w:val="0"/>
      <w:marRight w:val="0"/>
      <w:marTop w:val="0"/>
      <w:marBottom w:val="0"/>
      <w:divBdr>
        <w:top w:val="none" w:sz="0" w:space="0" w:color="auto"/>
        <w:left w:val="none" w:sz="0" w:space="0" w:color="auto"/>
        <w:bottom w:val="none" w:sz="0" w:space="0" w:color="auto"/>
        <w:right w:val="none" w:sz="0" w:space="0" w:color="auto"/>
      </w:divBdr>
    </w:div>
    <w:div w:id="1567448753">
      <w:bodyDiv w:val="1"/>
      <w:marLeft w:val="0"/>
      <w:marRight w:val="0"/>
      <w:marTop w:val="0"/>
      <w:marBottom w:val="0"/>
      <w:divBdr>
        <w:top w:val="none" w:sz="0" w:space="0" w:color="auto"/>
        <w:left w:val="none" w:sz="0" w:space="0" w:color="auto"/>
        <w:bottom w:val="none" w:sz="0" w:space="0" w:color="auto"/>
        <w:right w:val="none" w:sz="0" w:space="0" w:color="auto"/>
      </w:divBdr>
    </w:div>
    <w:div w:id="1598246454">
      <w:bodyDiv w:val="1"/>
      <w:marLeft w:val="0"/>
      <w:marRight w:val="0"/>
      <w:marTop w:val="0"/>
      <w:marBottom w:val="0"/>
      <w:divBdr>
        <w:top w:val="none" w:sz="0" w:space="0" w:color="auto"/>
        <w:left w:val="none" w:sz="0" w:space="0" w:color="auto"/>
        <w:bottom w:val="none" w:sz="0" w:space="0" w:color="auto"/>
        <w:right w:val="none" w:sz="0" w:space="0" w:color="auto"/>
      </w:divBdr>
    </w:div>
    <w:div w:id="1629504987">
      <w:bodyDiv w:val="1"/>
      <w:marLeft w:val="0"/>
      <w:marRight w:val="0"/>
      <w:marTop w:val="0"/>
      <w:marBottom w:val="0"/>
      <w:divBdr>
        <w:top w:val="none" w:sz="0" w:space="0" w:color="auto"/>
        <w:left w:val="none" w:sz="0" w:space="0" w:color="auto"/>
        <w:bottom w:val="none" w:sz="0" w:space="0" w:color="auto"/>
        <w:right w:val="none" w:sz="0" w:space="0" w:color="auto"/>
      </w:divBdr>
    </w:div>
    <w:div w:id="1642996616">
      <w:bodyDiv w:val="1"/>
      <w:marLeft w:val="0"/>
      <w:marRight w:val="0"/>
      <w:marTop w:val="0"/>
      <w:marBottom w:val="0"/>
      <w:divBdr>
        <w:top w:val="none" w:sz="0" w:space="0" w:color="auto"/>
        <w:left w:val="none" w:sz="0" w:space="0" w:color="auto"/>
        <w:bottom w:val="none" w:sz="0" w:space="0" w:color="auto"/>
        <w:right w:val="none" w:sz="0" w:space="0" w:color="auto"/>
      </w:divBdr>
    </w:div>
    <w:div w:id="1660498701">
      <w:bodyDiv w:val="1"/>
      <w:marLeft w:val="0"/>
      <w:marRight w:val="0"/>
      <w:marTop w:val="0"/>
      <w:marBottom w:val="0"/>
      <w:divBdr>
        <w:top w:val="none" w:sz="0" w:space="0" w:color="auto"/>
        <w:left w:val="none" w:sz="0" w:space="0" w:color="auto"/>
        <w:bottom w:val="none" w:sz="0" w:space="0" w:color="auto"/>
        <w:right w:val="none" w:sz="0" w:space="0" w:color="auto"/>
      </w:divBdr>
    </w:div>
    <w:div w:id="1663195063">
      <w:bodyDiv w:val="1"/>
      <w:marLeft w:val="0"/>
      <w:marRight w:val="0"/>
      <w:marTop w:val="0"/>
      <w:marBottom w:val="0"/>
      <w:divBdr>
        <w:top w:val="none" w:sz="0" w:space="0" w:color="auto"/>
        <w:left w:val="none" w:sz="0" w:space="0" w:color="auto"/>
        <w:bottom w:val="none" w:sz="0" w:space="0" w:color="auto"/>
        <w:right w:val="none" w:sz="0" w:space="0" w:color="auto"/>
      </w:divBdr>
    </w:div>
    <w:div w:id="1698502077">
      <w:bodyDiv w:val="1"/>
      <w:marLeft w:val="0"/>
      <w:marRight w:val="0"/>
      <w:marTop w:val="0"/>
      <w:marBottom w:val="0"/>
      <w:divBdr>
        <w:top w:val="none" w:sz="0" w:space="0" w:color="auto"/>
        <w:left w:val="none" w:sz="0" w:space="0" w:color="auto"/>
        <w:bottom w:val="none" w:sz="0" w:space="0" w:color="auto"/>
        <w:right w:val="none" w:sz="0" w:space="0" w:color="auto"/>
      </w:divBdr>
    </w:div>
    <w:div w:id="1751653551">
      <w:bodyDiv w:val="1"/>
      <w:marLeft w:val="0"/>
      <w:marRight w:val="0"/>
      <w:marTop w:val="0"/>
      <w:marBottom w:val="0"/>
      <w:divBdr>
        <w:top w:val="none" w:sz="0" w:space="0" w:color="auto"/>
        <w:left w:val="none" w:sz="0" w:space="0" w:color="auto"/>
        <w:bottom w:val="none" w:sz="0" w:space="0" w:color="auto"/>
        <w:right w:val="none" w:sz="0" w:space="0" w:color="auto"/>
      </w:divBdr>
    </w:div>
    <w:div w:id="1775709067">
      <w:bodyDiv w:val="1"/>
      <w:marLeft w:val="0"/>
      <w:marRight w:val="0"/>
      <w:marTop w:val="0"/>
      <w:marBottom w:val="0"/>
      <w:divBdr>
        <w:top w:val="none" w:sz="0" w:space="0" w:color="auto"/>
        <w:left w:val="none" w:sz="0" w:space="0" w:color="auto"/>
        <w:bottom w:val="none" w:sz="0" w:space="0" w:color="auto"/>
        <w:right w:val="none" w:sz="0" w:space="0" w:color="auto"/>
      </w:divBdr>
    </w:div>
    <w:div w:id="1798645942">
      <w:bodyDiv w:val="1"/>
      <w:marLeft w:val="0"/>
      <w:marRight w:val="0"/>
      <w:marTop w:val="0"/>
      <w:marBottom w:val="0"/>
      <w:divBdr>
        <w:top w:val="none" w:sz="0" w:space="0" w:color="auto"/>
        <w:left w:val="none" w:sz="0" w:space="0" w:color="auto"/>
        <w:bottom w:val="none" w:sz="0" w:space="0" w:color="auto"/>
        <w:right w:val="none" w:sz="0" w:space="0" w:color="auto"/>
      </w:divBdr>
    </w:div>
    <w:div w:id="1814982052">
      <w:bodyDiv w:val="1"/>
      <w:marLeft w:val="0"/>
      <w:marRight w:val="0"/>
      <w:marTop w:val="0"/>
      <w:marBottom w:val="0"/>
      <w:divBdr>
        <w:top w:val="none" w:sz="0" w:space="0" w:color="auto"/>
        <w:left w:val="none" w:sz="0" w:space="0" w:color="auto"/>
        <w:bottom w:val="none" w:sz="0" w:space="0" w:color="auto"/>
        <w:right w:val="none" w:sz="0" w:space="0" w:color="auto"/>
      </w:divBdr>
    </w:div>
    <w:div w:id="1829202938">
      <w:bodyDiv w:val="1"/>
      <w:marLeft w:val="0"/>
      <w:marRight w:val="0"/>
      <w:marTop w:val="0"/>
      <w:marBottom w:val="0"/>
      <w:divBdr>
        <w:top w:val="none" w:sz="0" w:space="0" w:color="auto"/>
        <w:left w:val="none" w:sz="0" w:space="0" w:color="auto"/>
        <w:bottom w:val="none" w:sz="0" w:space="0" w:color="auto"/>
        <w:right w:val="none" w:sz="0" w:space="0" w:color="auto"/>
      </w:divBdr>
    </w:div>
    <w:div w:id="1843623214">
      <w:bodyDiv w:val="1"/>
      <w:marLeft w:val="0"/>
      <w:marRight w:val="0"/>
      <w:marTop w:val="0"/>
      <w:marBottom w:val="0"/>
      <w:divBdr>
        <w:top w:val="none" w:sz="0" w:space="0" w:color="auto"/>
        <w:left w:val="none" w:sz="0" w:space="0" w:color="auto"/>
        <w:bottom w:val="none" w:sz="0" w:space="0" w:color="auto"/>
        <w:right w:val="none" w:sz="0" w:space="0" w:color="auto"/>
      </w:divBdr>
    </w:div>
    <w:div w:id="1856117661">
      <w:bodyDiv w:val="1"/>
      <w:marLeft w:val="0"/>
      <w:marRight w:val="0"/>
      <w:marTop w:val="0"/>
      <w:marBottom w:val="0"/>
      <w:divBdr>
        <w:top w:val="none" w:sz="0" w:space="0" w:color="auto"/>
        <w:left w:val="none" w:sz="0" w:space="0" w:color="auto"/>
        <w:bottom w:val="none" w:sz="0" w:space="0" w:color="auto"/>
        <w:right w:val="none" w:sz="0" w:space="0" w:color="auto"/>
      </w:divBdr>
    </w:div>
    <w:div w:id="1892419964">
      <w:bodyDiv w:val="1"/>
      <w:marLeft w:val="0"/>
      <w:marRight w:val="0"/>
      <w:marTop w:val="0"/>
      <w:marBottom w:val="0"/>
      <w:divBdr>
        <w:top w:val="none" w:sz="0" w:space="0" w:color="auto"/>
        <w:left w:val="none" w:sz="0" w:space="0" w:color="auto"/>
        <w:bottom w:val="none" w:sz="0" w:space="0" w:color="auto"/>
        <w:right w:val="none" w:sz="0" w:space="0" w:color="auto"/>
      </w:divBdr>
    </w:div>
    <w:div w:id="1900748530">
      <w:bodyDiv w:val="1"/>
      <w:marLeft w:val="0"/>
      <w:marRight w:val="0"/>
      <w:marTop w:val="0"/>
      <w:marBottom w:val="0"/>
      <w:divBdr>
        <w:top w:val="none" w:sz="0" w:space="0" w:color="auto"/>
        <w:left w:val="none" w:sz="0" w:space="0" w:color="auto"/>
        <w:bottom w:val="none" w:sz="0" w:space="0" w:color="auto"/>
        <w:right w:val="none" w:sz="0" w:space="0" w:color="auto"/>
      </w:divBdr>
    </w:div>
    <w:div w:id="1906866946">
      <w:bodyDiv w:val="1"/>
      <w:marLeft w:val="0"/>
      <w:marRight w:val="0"/>
      <w:marTop w:val="0"/>
      <w:marBottom w:val="0"/>
      <w:divBdr>
        <w:top w:val="none" w:sz="0" w:space="0" w:color="auto"/>
        <w:left w:val="none" w:sz="0" w:space="0" w:color="auto"/>
        <w:bottom w:val="none" w:sz="0" w:space="0" w:color="auto"/>
        <w:right w:val="none" w:sz="0" w:space="0" w:color="auto"/>
      </w:divBdr>
    </w:div>
    <w:div w:id="1927765374">
      <w:bodyDiv w:val="1"/>
      <w:marLeft w:val="0"/>
      <w:marRight w:val="0"/>
      <w:marTop w:val="0"/>
      <w:marBottom w:val="0"/>
      <w:divBdr>
        <w:top w:val="none" w:sz="0" w:space="0" w:color="auto"/>
        <w:left w:val="none" w:sz="0" w:space="0" w:color="auto"/>
        <w:bottom w:val="none" w:sz="0" w:space="0" w:color="auto"/>
        <w:right w:val="none" w:sz="0" w:space="0" w:color="auto"/>
      </w:divBdr>
    </w:div>
    <w:div w:id="1928273452">
      <w:bodyDiv w:val="1"/>
      <w:marLeft w:val="0"/>
      <w:marRight w:val="0"/>
      <w:marTop w:val="0"/>
      <w:marBottom w:val="0"/>
      <w:divBdr>
        <w:top w:val="none" w:sz="0" w:space="0" w:color="auto"/>
        <w:left w:val="none" w:sz="0" w:space="0" w:color="auto"/>
        <w:bottom w:val="none" w:sz="0" w:space="0" w:color="auto"/>
        <w:right w:val="none" w:sz="0" w:space="0" w:color="auto"/>
      </w:divBdr>
    </w:div>
    <w:div w:id="1958678874">
      <w:bodyDiv w:val="1"/>
      <w:marLeft w:val="0"/>
      <w:marRight w:val="0"/>
      <w:marTop w:val="0"/>
      <w:marBottom w:val="0"/>
      <w:divBdr>
        <w:top w:val="none" w:sz="0" w:space="0" w:color="auto"/>
        <w:left w:val="none" w:sz="0" w:space="0" w:color="auto"/>
        <w:bottom w:val="none" w:sz="0" w:space="0" w:color="auto"/>
        <w:right w:val="none" w:sz="0" w:space="0" w:color="auto"/>
      </w:divBdr>
    </w:div>
    <w:div w:id="2072993901">
      <w:bodyDiv w:val="1"/>
      <w:marLeft w:val="0"/>
      <w:marRight w:val="0"/>
      <w:marTop w:val="0"/>
      <w:marBottom w:val="0"/>
      <w:divBdr>
        <w:top w:val="none" w:sz="0" w:space="0" w:color="auto"/>
        <w:left w:val="none" w:sz="0" w:space="0" w:color="auto"/>
        <w:bottom w:val="none" w:sz="0" w:space="0" w:color="auto"/>
        <w:right w:val="none" w:sz="0" w:space="0" w:color="auto"/>
      </w:divBdr>
    </w:div>
    <w:div w:id="2086100450">
      <w:bodyDiv w:val="1"/>
      <w:marLeft w:val="0"/>
      <w:marRight w:val="0"/>
      <w:marTop w:val="0"/>
      <w:marBottom w:val="0"/>
      <w:divBdr>
        <w:top w:val="none" w:sz="0" w:space="0" w:color="auto"/>
        <w:left w:val="none" w:sz="0" w:space="0" w:color="auto"/>
        <w:bottom w:val="none" w:sz="0" w:space="0" w:color="auto"/>
        <w:right w:val="none" w:sz="0" w:space="0" w:color="auto"/>
      </w:divBdr>
    </w:div>
    <w:div w:id="2094235633">
      <w:bodyDiv w:val="1"/>
      <w:marLeft w:val="0"/>
      <w:marRight w:val="0"/>
      <w:marTop w:val="0"/>
      <w:marBottom w:val="0"/>
      <w:divBdr>
        <w:top w:val="none" w:sz="0" w:space="0" w:color="auto"/>
        <w:left w:val="none" w:sz="0" w:space="0" w:color="auto"/>
        <w:bottom w:val="none" w:sz="0" w:space="0" w:color="auto"/>
        <w:right w:val="none" w:sz="0" w:space="0" w:color="auto"/>
      </w:divBdr>
    </w:div>
    <w:div w:id="2116435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OrganizeInFold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drugpolicy.ca" TargetMode="Externa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hivlegalnetwork.ca"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5.xml.rels><?xml version="1.0" encoding="UTF-8" standalone="yes"?>
<Relationships xmlns="http://schemas.openxmlformats.org/package/2006/relationships"><Relationship Id="rId1" Type="http://schemas.openxmlformats.org/officeDocument/2006/relationships/image" Target="media/image3.jpg"/></Relationships>
</file>

<file path=word/_rels/footnotes.xml.rels><?xml version="1.0" encoding="UTF-8" standalone="yes"?>
<Relationships xmlns="http://schemas.openxmlformats.org/package/2006/relationships"><Relationship Id="rId3" Type="http://schemas.openxmlformats.org/officeDocument/2006/relationships/hyperlink" Target="https://www.canada.ca/en/health-canada/services/substance-use/supervised-consumption-sites/status-application.html" TargetMode="External"/><Relationship Id="rId2" Type="http://schemas.openxmlformats.org/officeDocument/2006/relationships/hyperlink" Target="https://news.ontario.ca/en/release/1004955/ontario-protecting-communities-and-supporting-addiction-recovery-with-new-treatment-hubs" TargetMode="External"/><Relationship Id="rId1" Type="http://schemas.openxmlformats.org/officeDocument/2006/relationships/hyperlink" Target="https://www.canada.ca/en/public-health/services/publications/diseases-conditions/hiv-2022-surveillance-highlights.html" TargetMode="External"/><Relationship Id="rId6" Type="http://schemas.openxmlformats.org/officeDocument/2006/relationships/hyperlink" Target="https://trackinginjustice.ca/findings-and-analysis-deaths-in-custody/" TargetMode="External"/><Relationship Id="rId5" Type="http://schemas.openxmlformats.org/officeDocument/2006/relationships/hyperlink" Target="https://doi.org/10.2105/AJPH.2022.306776" TargetMode="External"/><Relationship Id="rId4" Type="http://schemas.openxmlformats.org/officeDocument/2006/relationships/hyperlink" Target="https://www.canada.ca/content/dam/phac-aspc/documents/services/publications/diseases-conditions/sexually-transmitted-blood-borne-infections-action-plan-2024-2030/government-of-canada-stbbi-action-plan-final-en.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2024-09-17T07:42:16+00:00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F6E47CAB-5940-45C4-ADC5-62247AA7E864}">
  <ds:schemaRefs>
    <ds:schemaRef ds:uri="http://schemas.microsoft.com/sharepoint/v3/contenttype/forms"/>
  </ds:schemaRefs>
</ds:datastoreItem>
</file>

<file path=customXml/itemProps2.xml><?xml version="1.0" encoding="utf-8"?>
<ds:datastoreItem xmlns:ds="http://schemas.openxmlformats.org/officeDocument/2006/customXml" ds:itemID="{1BC8E173-FB6F-4152-9FFE-DD616280B4B5}">
  <ds:schemaRefs>
    <ds:schemaRef ds:uri="http://schemas.openxmlformats.org/officeDocument/2006/bibliography"/>
  </ds:schemaRefs>
</ds:datastoreItem>
</file>

<file path=customXml/itemProps3.xml><?xml version="1.0" encoding="utf-8"?>
<ds:datastoreItem xmlns:ds="http://schemas.openxmlformats.org/officeDocument/2006/customXml" ds:itemID="{271BD740-7AEF-446A-AD55-6AF66A6C725A}"/>
</file>

<file path=customXml/itemProps4.xml><?xml version="1.0" encoding="utf-8"?>
<ds:datastoreItem xmlns:ds="http://schemas.openxmlformats.org/officeDocument/2006/customXml" ds:itemID="{8046CB08-E147-48FB-8034-59B9351F9D7C}">
  <ds:schemaRefs>
    <ds:schemaRef ds:uri="http://schemas.microsoft.com/office/2006/metadata/properties"/>
    <ds:schemaRef ds:uri="http://schemas.microsoft.com/office/infopath/2007/PartnerControls"/>
    <ds:schemaRef ds:uri="80f08fdb-a6f9-40ba-9dfb-90ade4f0059c"/>
    <ds:schemaRef ds:uri="398acca0-6637-415b-bdb1-94c37335be48"/>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14</Pages>
  <Words>4312</Words>
  <Characters>24585</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Canadian HIV/AIDS Legal Network</Company>
  <LinksUpToDate>false</LinksUpToDate>
  <CharactersWithSpaces>28840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Crimson</dc:creator>
  <cp:lastModifiedBy>Sandra Ka Hon Chu</cp:lastModifiedBy>
  <cp:revision>19</cp:revision>
  <cp:lastPrinted>2017-05-10T18:10:00Z</cp:lastPrinted>
  <dcterms:created xsi:type="dcterms:W3CDTF">2024-09-06T21:52:00Z</dcterms:created>
  <dcterms:modified xsi:type="dcterms:W3CDTF">2024-09-09T11:44:00Z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0x010100B7FAB142C336AE498606D9B4929DEFC7</vt:lpwstr>
  </property>
</Properties>
</file>