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92DE" w14:textId="0268C224" w:rsidR="00E06D20" w:rsidRPr="000E1520" w:rsidRDefault="003B74FE">
      <w:pPr>
        <w:rPr>
          <w:sz w:val="28"/>
          <w:szCs w:val="28"/>
        </w:rPr>
      </w:pPr>
      <w:r w:rsidRPr="000E1520">
        <w:rPr>
          <w:sz w:val="28"/>
          <w:szCs w:val="28"/>
        </w:rPr>
        <w:t xml:space="preserve">    </w:t>
      </w:r>
    </w:p>
    <w:p w14:paraId="07EC96C1" w14:textId="77777777" w:rsidR="003B74FE" w:rsidRPr="000E1520" w:rsidRDefault="003B74FE">
      <w:pPr>
        <w:rPr>
          <w:sz w:val="28"/>
          <w:szCs w:val="28"/>
        </w:rPr>
      </w:pPr>
    </w:p>
    <w:p w14:paraId="0DDF3BBF" w14:textId="77777777" w:rsidR="002B5A7F" w:rsidRPr="000E1520" w:rsidRDefault="002B5A7F" w:rsidP="002B5A7F">
      <w:pPr>
        <w:spacing w:after="200" w:line="276" w:lineRule="auto"/>
        <w:rPr>
          <w:rFonts w:eastAsia="Times New Roman" w:cs="Times New Roman"/>
          <w:color w:val="FF0000"/>
          <w:sz w:val="28"/>
          <w:szCs w:val="28"/>
          <w:lang w:val="en-US"/>
        </w:rPr>
      </w:pPr>
      <w:r w:rsidRPr="000E1520">
        <w:rPr>
          <w:rFonts w:eastAsia="Times New Roman" w:cs="Times New Roman"/>
          <w:noProof/>
          <w:color w:val="FF0000"/>
          <w:sz w:val="28"/>
          <w:szCs w:val="28"/>
          <w:lang w:val="en-US"/>
        </w:rPr>
        <w:drawing>
          <wp:anchor distT="0" distB="0" distL="114300" distR="114300" simplePos="0" relativeHeight="251662336" behindDoc="0" locked="0" layoutInCell="1" allowOverlap="1" wp14:anchorId="77C32DAA" wp14:editId="15BBC22E">
            <wp:simplePos x="0" y="0"/>
            <wp:positionH relativeFrom="column">
              <wp:posOffset>-429895</wp:posOffset>
            </wp:positionH>
            <wp:positionV relativeFrom="paragraph">
              <wp:posOffset>-795655</wp:posOffset>
            </wp:positionV>
            <wp:extent cx="1613535" cy="1550035"/>
            <wp:effectExtent l="0" t="0" r="0" b="0"/>
            <wp:wrapSquare wrapText="bothSides"/>
            <wp:docPr id="1" name="Picture 1" descr="Gambia 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mbia Coat of Arms"/>
                    <pic:cNvPicPr>
                      <a:picLocks noChangeAspect="1" noChangeArrowheads="1"/>
                    </pic:cNvPicPr>
                  </pic:nvPicPr>
                  <pic:blipFill>
                    <a:blip r:embed="rId8" cstate="print"/>
                    <a:srcRect/>
                    <a:stretch>
                      <a:fillRect/>
                    </a:stretch>
                  </pic:blipFill>
                  <pic:spPr bwMode="auto">
                    <a:xfrm>
                      <a:off x="0" y="0"/>
                      <a:ext cx="1613535" cy="1550035"/>
                    </a:xfrm>
                    <a:prstGeom prst="rect">
                      <a:avLst/>
                    </a:prstGeom>
                    <a:noFill/>
                  </pic:spPr>
                </pic:pic>
              </a:graphicData>
            </a:graphic>
            <wp14:sizeRelH relativeFrom="margin">
              <wp14:pctWidth>0</wp14:pctWidth>
            </wp14:sizeRelH>
            <wp14:sizeRelV relativeFrom="margin">
              <wp14:pctHeight>0</wp14:pctHeight>
            </wp14:sizeRelV>
          </wp:anchor>
        </w:drawing>
      </w:r>
      <w:r w:rsidRPr="000E1520">
        <w:rPr>
          <w:rFonts w:eastAsia="Times New Roman" w:cs="Times New Roman"/>
          <w:color w:val="FF0000"/>
          <w:sz w:val="28"/>
          <w:szCs w:val="28"/>
          <w:lang w:val="en-US"/>
        </w:rPr>
        <w:t xml:space="preserve">  </w:t>
      </w:r>
    </w:p>
    <w:p w14:paraId="4803D3D8" w14:textId="77777777" w:rsidR="002B5A7F" w:rsidRPr="000E1520" w:rsidRDefault="002B5A7F" w:rsidP="002B5A7F">
      <w:pPr>
        <w:spacing w:after="200" w:line="276" w:lineRule="auto"/>
        <w:rPr>
          <w:rFonts w:eastAsia="Times New Roman" w:cs="Times New Roman"/>
          <w:i/>
          <w:sz w:val="28"/>
          <w:szCs w:val="28"/>
          <w:lang w:val="en-US"/>
        </w:rPr>
      </w:pPr>
      <w:r w:rsidRPr="000E1520">
        <w:rPr>
          <w:rFonts w:eastAsia="Times New Roman" w:cs="Times New Roman"/>
          <w:i/>
          <w:sz w:val="28"/>
          <w:szCs w:val="28"/>
          <w:lang w:val="en-US"/>
        </w:rPr>
        <w:t xml:space="preserve">                                                                       </w:t>
      </w:r>
    </w:p>
    <w:p w14:paraId="55E2EDEB" w14:textId="77777777" w:rsidR="002B5A7F" w:rsidRPr="000E1520" w:rsidRDefault="002B5A7F" w:rsidP="002B5A7F">
      <w:pPr>
        <w:spacing w:after="200" w:line="276" w:lineRule="auto"/>
        <w:jc w:val="right"/>
        <w:rPr>
          <w:rFonts w:eastAsia="Times New Roman" w:cs="Times New Roman"/>
          <w:i/>
          <w:sz w:val="28"/>
          <w:szCs w:val="28"/>
          <w:u w:val="single"/>
          <w:lang w:val="en-US"/>
        </w:rPr>
      </w:pPr>
      <w:r w:rsidRPr="000E1520">
        <w:rPr>
          <w:rFonts w:eastAsia="Times New Roman" w:cs="Times New Roman"/>
          <w:i/>
          <w:sz w:val="28"/>
          <w:szCs w:val="28"/>
          <w:lang w:val="en-US"/>
        </w:rPr>
        <w:t xml:space="preserve">        </w:t>
      </w:r>
      <w:r w:rsidRPr="000E1520">
        <w:rPr>
          <w:rFonts w:eastAsia="Times New Roman" w:cs="Times New Roman"/>
          <w:i/>
          <w:sz w:val="28"/>
          <w:szCs w:val="28"/>
          <w:u w:val="single"/>
          <w:lang w:val="en-US"/>
        </w:rPr>
        <w:t>Check against delivery</w:t>
      </w:r>
    </w:p>
    <w:p w14:paraId="7DCE3226" w14:textId="77777777" w:rsidR="002B5A7F" w:rsidRPr="000E1520" w:rsidRDefault="002B5A7F" w:rsidP="002B5A7F">
      <w:pPr>
        <w:spacing w:after="200" w:line="276" w:lineRule="auto"/>
        <w:jc w:val="center"/>
        <w:rPr>
          <w:rFonts w:eastAsia="Times New Roman" w:cs="Times New Roman"/>
          <w:sz w:val="28"/>
          <w:szCs w:val="28"/>
          <w:lang w:val="en-US"/>
        </w:rPr>
      </w:pPr>
      <w:r w:rsidRPr="000E1520">
        <w:rPr>
          <w:rFonts w:eastAsia="Calibri" w:cs="Times New Roman"/>
          <w:noProof/>
          <w:sz w:val="28"/>
          <w:szCs w:val="28"/>
          <w:lang w:val="en-US"/>
        </w:rPr>
        <mc:AlternateContent>
          <mc:Choice Requires="wps">
            <w:drawing>
              <wp:anchor distT="0" distB="0" distL="114300" distR="114300" simplePos="0" relativeHeight="251659264" behindDoc="0" locked="0" layoutInCell="1" allowOverlap="1" wp14:anchorId="5F151615" wp14:editId="46FD0662">
                <wp:simplePos x="0" y="0"/>
                <wp:positionH relativeFrom="column">
                  <wp:posOffset>-1522379</wp:posOffset>
                </wp:positionH>
                <wp:positionV relativeFrom="paragraph">
                  <wp:posOffset>53637</wp:posOffset>
                </wp:positionV>
                <wp:extent cx="8180962" cy="379095"/>
                <wp:effectExtent l="0" t="0" r="0" b="19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80962" cy="379095"/>
                        </a:xfrm>
                        <a:prstGeom prst="rect">
                          <a:avLst/>
                        </a:prstGeom>
                        <a:solidFill>
                          <a:srgbClr val="FF000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D6C27" id="Rectangle 2" o:spid="_x0000_s1026" style="position:absolute;margin-left:-119.85pt;margin-top:4.2pt;width:644.15pt;height:2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Ag6QEAALUDAAAOAAAAZHJzL2Uyb0RvYy54bWysU8tu2zAQvBfoPxC815JcJ7EFy0HgwEWB&#10;9AGk/QCKoiSiFJdd0pbdr++SchyjvRXVgeByubM7w9H6/jgYdlDoNdiKF7OcM2UlNNp2Ff/+bfdu&#10;yZkPwjbCgFUVPynP7zdv36xHV6o59GAahYxArC9HV/E+BFdmmZe9GoSfgVOWki3gIAKF2GUNipHQ&#10;B5PN8/w2GwEbhyCV93T6OCX5JuG3rZLhS9t6FZipOM0W0oppreOabdai7FC4XsvzGOIfphiEttT0&#10;AvUogmB71H9BDVoieGjDTMKQQdtqqRIHYlPkf7B57oVTiQuJ491FJv//YOXnw7P7inF0755A/vDM&#10;wrYXtlMPiDD2SjTUrohCZaPz5aUgBp5KWT1+goaeVuwDJA2OLQ4RkNixY5L6dJFaHQOTdLgslvnq&#10;ds6ZpNz7u1W+ukktRPlS7dCHDwoGFjcVR3rKhC4OTz7EaUT5ciVND0Y3O21MCrCrtwbZQdCz73Y5&#10;fWd0f33N2HjZQiybEONJohmZRRP5sobmRCwRJu+Q12nTA/7ibCTfVNz/3AtUnJmPlpRaFYtFNFoK&#10;Fjd3cwrwOlNfZ4SVBFXxwNm03YbJnHuHuuupU5FIW3ggdVudiL9OdR6WvJH0OPs4mu86Trde/7bN&#10;bwAAAP//AwBQSwMEFAAGAAgAAAAhAFci5oDeAAAACgEAAA8AAABkcnMvZG93bnJldi54bWxMj0Fu&#10;gzAQRfeVegdrKnWXmKSIUMIQRZV6gNAs2p2xXUCxxwg7BHr6Oqt2OfpP/78pD7M1bNKj7x0hbNYJ&#10;ME3SqZ5ahPPH+yoH5oMgJYwjjbBoD4fq8aEUhXI3OumpDi2LJeQLgdCFMBSce9lpK/zaDZpi9u1G&#10;K0I8x5arUdxiuTV8myQZt6KnuNCJQb91Wl7qq0X42p3NSfY/x3b5TGUcWZp6WhCfn+bjHljQc/iD&#10;4a4f1aGKTo27kvLMIKy2L6+7yCLkKbA7kKR5BqxByPIN8Krk/1+ofgEAAP//AwBQSwECLQAUAAYA&#10;CAAAACEAtoM4kv4AAADhAQAAEwAAAAAAAAAAAAAAAAAAAAAAW0NvbnRlbnRfVHlwZXNdLnhtbFBL&#10;AQItABQABgAIAAAAIQA4/SH/1gAAAJQBAAALAAAAAAAAAAAAAAAAAC8BAABfcmVscy8ucmVsc1BL&#10;AQItABQABgAIAAAAIQAzGDAg6QEAALUDAAAOAAAAAAAAAAAAAAAAAC4CAABkcnMvZTJvRG9jLnht&#10;bFBLAQItABQABgAIAAAAIQBXIuaA3gAAAAoBAAAPAAAAAAAAAAAAAAAAAEMEAABkcnMvZG93bnJl&#10;di54bWxQSwUGAAAAAAQABADzAAAATgUAAAAA&#10;" fillcolor="red" stroked="f"/>
            </w:pict>
          </mc:Fallback>
        </mc:AlternateContent>
      </w:r>
    </w:p>
    <w:p w14:paraId="6A66DD94" w14:textId="77777777" w:rsidR="002B5A7F" w:rsidRPr="000E1520" w:rsidRDefault="002B5A7F" w:rsidP="002B5A7F">
      <w:pPr>
        <w:spacing w:after="200" w:line="276" w:lineRule="auto"/>
        <w:jc w:val="center"/>
        <w:rPr>
          <w:rFonts w:eastAsia="Times New Roman" w:cs="Times New Roman"/>
          <w:sz w:val="28"/>
          <w:szCs w:val="28"/>
          <w:lang w:val="en-US"/>
        </w:rPr>
      </w:pPr>
      <w:r w:rsidRPr="000E1520">
        <w:rPr>
          <w:rFonts w:eastAsia="Calibri" w:cs="Times New Roman"/>
          <w:noProof/>
          <w:sz w:val="28"/>
          <w:szCs w:val="28"/>
          <w:lang w:val="en-US"/>
        </w:rPr>
        <mc:AlternateContent>
          <mc:Choice Requires="wps">
            <w:drawing>
              <wp:anchor distT="0" distB="0" distL="114300" distR="114300" simplePos="0" relativeHeight="251660288" behindDoc="0" locked="0" layoutInCell="1" allowOverlap="1" wp14:anchorId="73EAC6DF" wp14:editId="10DC6116">
                <wp:simplePos x="0" y="0"/>
                <wp:positionH relativeFrom="column">
                  <wp:posOffset>-1358022</wp:posOffset>
                </wp:positionH>
                <wp:positionV relativeFrom="paragraph">
                  <wp:posOffset>161924</wp:posOffset>
                </wp:positionV>
                <wp:extent cx="7962900" cy="2286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7962900" cy="228600"/>
                        </a:xfrm>
                        <a:prstGeom prst="rect">
                          <a:avLst/>
                        </a:prstGeom>
                        <a:solidFill>
                          <a:srgbClr val="33339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B968F" id="Rectangle 3" o:spid="_x0000_s1026" style="position:absolute;margin-left:-106.95pt;margin-top:12.75pt;width:627pt;height:18pt;rotation:18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X79gEAAM4DAAAOAAAAZHJzL2Uyb0RvYy54bWysU8GO0zAQvSPxD5bvNGko3TZqulp1tYC0&#10;LEgLH+A6dmLheMzYbVq+nrFbuhXcED5YHs/Mm3nP49XtYbBsrzAYcA2fTkrOlJPQGtc1/NvXhzcL&#10;zkIUrhUWnGr4UQV+u379ajX6WlXQg20VMgJxoR59w/sYfV0UQfZqEGECXjlyasBBRDKxK1oUI6EP&#10;tqjKcl6MgK1HkCoEur0/Ofk642utZPysdVCR2YZTbzHvmPdt2ov1StQdCt8beW5D/EMXgzCOil6g&#10;7kUUbIfmL6jBSIQAOk4kDAVobaTKHIjNtPyDzXMvvMpcSJzgLzKF/wcrn/bP/gum1oN/BPk9MAeb&#10;XrhO3SHC2CvRUrlpEqoYfagvCckIlMq24ydo6WnFLkLW4KBxYAik9bRclGlxpq3xHxJOqkS02SG/&#10;wfHyBuoQmaTLm+W8WqYMSb6qWszpnGqLOsGmbI8hvlcwsHRoONIbZ1SxfwzxFPo7JNMCa9oHY202&#10;sNtuLLK9oHl4S2u5PKOH6zDrUrCDlHZCTDeZf6KcpivUW2iPRD8TpX7pE1A3PeBPzkYaqIaHHzuB&#10;ijP70ZGEy+lsliYwG7N3NxUZeO3ZXnuEkwTV8MjZ6biJp6ndeTRdn7TNpB3ckezaZOIvXZ2bpaHJ&#10;0p0HPE3ltZ2jXr7h+hcAAAD//wMAUEsDBBQABgAIAAAAIQBRuN9B4AAAAAsBAAAPAAAAZHJzL2Rv&#10;d25yZXYueG1sTI/BTsMwEETvSPyDtUjcWjtpU0HIpkIghITogYLg6sZLEojXke224e9xT3BczdPM&#10;22o92UEcyIfeMUI2VyCIG2d6bhHeXh9mVyBC1Gz04JgQfijAuj4/q3Rp3JFf6LCNrUglHEqN0MU4&#10;llKGpiOrw9yNxCn7dN7qmE7fSuP1MZXbQeZKraTVPaeFTo9011Hzvd1bhOVHodRTP8ngF8/x/TG7&#10;Nxv6Qry8mG5vQESa4h8MJ/2kDnVy2rk9myAGhFmeLa4Ti5AXBYgToZYqA7FDWGUFyLqS/3+ofwEA&#10;AP//AwBQSwECLQAUAAYACAAAACEAtoM4kv4AAADhAQAAEwAAAAAAAAAAAAAAAAAAAAAAW0NvbnRl&#10;bnRfVHlwZXNdLnhtbFBLAQItABQABgAIAAAAIQA4/SH/1gAAAJQBAAALAAAAAAAAAAAAAAAAAC8B&#10;AABfcmVscy8ucmVsc1BLAQItABQABgAIAAAAIQBlpTX79gEAAM4DAAAOAAAAAAAAAAAAAAAAAC4C&#10;AABkcnMvZTJvRG9jLnhtbFBLAQItABQABgAIAAAAIQBRuN9B4AAAAAsBAAAPAAAAAAAAAAAAAAAA&#10;AFAEAABkcnMvZG93bnJldi54bWxQSwUGAAAAAAQABADzAAAAXQUAAAAA&#10;" fillcolor="#339" stroked="f"/>
            </w:pict>
          </mc:Fallback>
        </mc:AlternateContent>
      </w:r>
    </w:p>
    <w:p w14:paraId="074F67B0" w14:textId="77777777" w:rsidR="002B5A7F" w:rsidRPr="000E1520" w:rsidRDefault="002B5A7F" w:rsidP="002B5A7F">
      <w:pPr>
        <w:spacing w:after="200" w:line="276" w:lineRule="auto"/>
        <w:jc w:val="center"/>
        <w:rPr>
          <w:rFonts w:eastAsia="Times New Roman" w:cs="Times New Roman"/>
          <w:sz w:val="28"/>
          <w:szCs w:val="28"/>
          <w:lang w:val="en-US"/>
        </w:rPr>
      </w:pPr>
      <w:r w:rsidRPr="000E1520">
        <w:rPr>
          <w:rFonts w:eastAsia="Calibri" w:cs="Times New Roman"/>
          <w:noProof/>
          <w:sz w:val="28"/>
          <w:szCs w:val="28"/>
          <w:lang w:val="en-US"/>
        </w:rPr>
        <mc:AlternateContent>
          <mc:Choice Requires="wps">
            <w:drawing>
              <wp:anchor distT="0" distB="0" distL="114300" distR="114300" simplePos="0" relativeHeight="251661312" behindDoc="0" locked="0" layoutInCell="1" allowOverlap="1" wp14:anchorId="71853712" wp14:editId="1E9EA294">
                <wp:simplePos x="0" y="0"/>
                <wp:positionH relativeFrom="column">
                  <wp:posOffset>-1440815</wp:posOffset>
                </wp:positionH>
                <wp:positionV relativeFrom="paragraph">
                  <wp:posOffset>123825</wp:posOffset>
                </wp:positionV>
                <wp:extent cx="8524875" cy="391795"/>
                <wp:effectExtent l="0" t="0" r="9525" b="82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524875" cy="391795"/>
                        </a:xfrm>
                        <a:prstGeom prst="rect">
                          <a:avLst/>
                        </a:prstGeom>
                        <a:solidFill>
                          <a:srgbClr val="00800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8B01B" id="Rectangle 4" o:spid="_x0000_s1026" style="position:absolute;margin-left:-113.45pt;margin-top:9.75pt;width:671.25pt;height:30.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8fe7QEAAL8DAAAOAAAAZHJzL2Uyb0RvYy54bWysU02P2yAQvVfqf0DcGztp0k2sOKtVVltV&#10;2n5I2/ZOMNiomKEDiZP++g44SqL2VvWCGIZ5M+/xWN8fe8sOCoMBV/PppORMOQmNcW3Nv319erPk&#10;LEThGmHBqZqfVOD3m9ev1oOv1Aw6sI1CRiAuVIOveRejr4oiyE71IkzAK0dJDdiLSCG2RYNiIPTe&#10;FrOyfFcMgI1HkCoEOn0ck3yT8bVWMn7WOqjIbM1ptphXzOsurcVmLaoWhe+MPI8h/mGKXhhHTS9Q&#10;jyIKtkfzF1RvJEIAHScS+gK0NlJlDsRmWv7B5qUTXmUuJE7wF5nC/4OVnw4v/gum0YN/BvkjMAfb&#10;TrhWPSDC0CnRULtpEqoYfKguBSkIVMp2w0do6GnFPkLW4KixZ9oa/z0VJmjiyY5Z9NNFdHWMTNLh&#10;cjGbL+8WnEnKvV1N71aL3ExUCSdVewzxvYKepU3NkR41o4rDc4hpruuVzAOsaZ6MtTnAdre1yA4i&#10;GaBclmV+cyoJt9esS5cdpLIRMZ1kwoljslOodtCciC/C6CJyPW06wF+cDeSgmoefe4GKM/vBkWar&#10;6XyeLJeD+eJuRgHeZna3GeEkQdU8cjZut3G06d6jaTvqNErp4IF01iYTv051HpZckvU4OzrZ8DbO&#10;t67/bvMbAAD//wMAUEsDBBQABgAIAAAAIQCUpChK3wAAAAsBAAAPAAAAZHJzL2Rvd25yZXYueG1s&#10;TI/BTsMwEETvSPyDtUjcWidBjdIQp0JQTs2lBYmrG2+TCHsd2U4T/h73BMfVPM28rXaL0eyKzg+W&#10;BKTrBBhSa9VAnYDPj/dVAcwHSUpqSyjgBz3s6vu7SpbKznTE6yl0LJaQL6WAPoSx5Ny3PRrp13ZE&#10;itnFOiNDPF3HlZNzLDeaZ0mScyMHigu9HPG1x/b7NBkBh+KtmZ2anr5045uDueyPudsL8fiwvDwD&#10;C7iEPxhu+lEd6uh0thMpz7SAVZbl28jGZLsBdiPSdJMDOwso0gx4XfH/P9S/AAAA//8DAFBLAQIt&#10;ABQABgAIAAAAIQC2gziS/gAAAOEBAAATAAAAAAAAAAAAAAAAAAAAAABbQ29udGVudF9UeXBlc10u&#10;eG1sUEsBAi0AFAAGAAgAAAAhADj9If/WAAAAlAEAAAsAAAAAAAAAAAAAAAAALwEAAF9yZWxzLy5y&#10;ZWxzUEsBAi0AFAAGAAgAAAAhAPk3x97tAQAAvwMAAA4AAAAAAAAAAAAAAAAALgIAAGRycy9lMm9E&#10;b2MueG1sUEsBAi0AFAAGAAgAAAAhAJSkKErfAAAACwEAAA8AAAAAAAAAAAAAAAAARwQAAGRycy9k&#10;b3ducmV2LnhtbFBLBQYAAAAABAAEAPMAAABTBQAAAAA=&#10;" fillcolor="green" stroked="f"/>
            </w:pict>
          </mc:Fallback>
        </mc:AlternateContent>
      </w:r>
    </w:p>
    <w:p w14:paraId="78F9ABE5" w14:textId="63BABA4F" w:rsidR="002B5A7F" w:rsidRPr="00FF6B5E" w:rsidRDefault="002B5A7F" w:rsidP="00A714EE">
      <w:pPr>
        <w:spacing w:after="200" w:line="276" w:lineRule="auto"/>
        <w:rPr>
          <w:rFonts w:eastAsia="Times New Roman" w:cs="Times New Roman"/>
          <w:strike/>
          <w:color w:val="FF0000"/>
          <w:sz w:val="28"/>
          <w:szCs w:val="28"/>
          <w:lang w:val="en-US"/>
        </w:rPr>
      </w:pPr>
    </w:p>
    <w:p w14:paraId="1D446515" w14:textId="202BF23C" w:rsidR="002B5A7F" w:rsidRPr="001132D3" w:rsidRDefault="00A714EE" w:rsidP="002B5A7F">
      <w:pPr>
        <w:spacing w:after="200" w:line="276" w:lineRule="auto"/>
        <w:jc w:val="center"/>
        <w:rPr>
          <w:rFonts w:eastAsia="Times New Roman" w:cs="Times New Roman"/>
          <w:b/>
          <w:bCs/>
          <w:sz w:val="28"/>
          <w:szCs w:val="28"/>
          <w:lang w:val="en-US"/>
        </w:rPr>
      </w:pPr>
      <w:r w:rsidRPr="001132D3">
        <w:rPr>
          <w:rFonts w:eastAsia="Times New Roman" w:cs="Times New Roman"/>
          <w:b/>
          <w:bCs/>
          <w:sz w:val="28"/>
          <w:szCs w:val="28"/>
          <w:lang w:val="en-US"/>
        </w:rPr>
        <w:t xml:space="preserve">INTRODUCTORY </w:t>
      </w:r>
      <w:r w:rsidR="002B5A7F" w:rsidRPr="001132D3">
        <w:rPr>
          <w:rFonts w:eastAsia="Times New Roman" w:cs="Times New Roman"/>
          <w:b/>
          <w:bCs/>
          <w:sz w:val="28"/>
          <w:szCs w:val="28"/>
          <w:lang w:val="en-US"/>
        </w:rPr>
        <w:t xml:space="preserve">STATEMENT </w:t>
      </w:r>
    </w:p>
    <w:p w14:paraId="63E697E4" w14:textId="77777777" w:rsidR="002B5A7F" w:rsidRPr="001132D3" w:rsidRDefault="002B5A7F" w:rsidP="002B5A7F">
      <w:pPr>
        <w:spacing w:after="200" w:line="276" w:lineRule="auto"/>
        <w:jc w:val="center"/>
        <w:rPr>
          <w:rFonts w:eastAsia="Times New Roman" w:cs="Times New Roman"/>
          <w:b/>
          <w:bCs/>
          <w:sz w:val="28"/>
          <w:szCs w:val="28"/>
          <w:lang w:val="en-US"/>
        </w:rPr>
      </w:pPr>
      <w:r w:rsidRPr="001132D3">
        <w:rPr>
          <w:rFonts w:eastAsia="Times New Roman" w:cs="Times New Roman"/>
          <w:b/>
          <w:bCs/>
          <w:sz w:val="28"/>
          <w:szCs w:val="28"/>
          <w:lang w:val="en-US"/>
        </w:rPr>
        <w:t>BY</w:t>
      </w:r>
    </w:p>
    <w:p w14:paraId="5CADAB6F" w14:textId="26ABE16C" w:rsidR="002B5A7F" w:rsidRPr="001132D3" w:rsidRDefault="00A714EE" w:rsidP="00A714EE">
      <w:pPr>
        <w:spacing w:line="276" w:lineRule="auto"/>
        <w:jc w:val="center"/>
        <w:rPr>
          <w:rFonts w:eastAsia="Cambria" w:cs="Times New Roman"/>
          <w:b/>
          <w:bCs/>
          <w:sz w:val="28"/>
          <w:szCs w:val="28"/>
          <w:lang w:val="en-US"/>
        </w:rPr>
      </w:pPr>
      <w:r w:rsidRPr="001132D3">
        <w:rPr>
          <w:rFonts w:eastAsia="Cambria" w:cs="Times New Roman"/>
          <w:b/>
          <w:bCs/>
          <w:sz w:val="28"/>
          <w:szCs w:val="28"/>
          <w:lang w:val="en-US"/>
        </w:rPr>
        <w:t xml:space="preserve">H.E </w:t>
      </w:r>
      <w:r w:rsidR="0060099A" w:rsidRPr="001132D3">
        <w:rPr>
          <w:rFonts w:eastAsia="Cambria" w:cs="Times New Roman"/>
          <w:b/>
          <w:bCs/>
          <w:sz w:val="28"/>
          <w:szCs w:val="28"/>
          <w:lang w:val="en-US"/>
        </w:rPr>
        <w:t xml:space="preserve">MRS FATOU KINTEH, MINISTER FOR GENDER, CHILDREN &amp; SOCIAL WELFARE </w:t>
      </w:r>
      <w:r w:rsidRPr="001132D3">
        <w:rPr>
          <w:rFonts w:eastAsia="Cambria" w:cs="Times New Roman"/>
          <w:b/>
          <w:bCs/>
          <w:sz w:val="28"/>
          <w:szCs w:val="28"/>
          <w:lang w:val="en-US"/>
        </w:rPr>
        <w:t>OF</w:t>
      </w:r>
      <w:r w:rsidR="000F034A" w:rsidRPr="001132D3">
        <w:rPr>
          <w:rFonts w:eastAsia="Cambria" w:cs="Times New Roman"/>
          <w:b/>
          <w:bCs/>
          <w:sz w:val="28"/>
          <w:szCs w:val="28"/>
          <w:lang w:val="en-US"/>
        </w:rPr>
        <w:t xml:space="preserve"> THE REPUBLIC OF THE GAMBIA </w:t>
      </w:r>
    </w:p>
    <w:p w14:paraId="0D96B7A4" w14:textId="77777777" w:rsidR="002B5A7F" w:rsidRPr="001132D3" w:rsidRDefault="002B5A7F" w:rsidP="002B5A7F">
      <w:pPr>
        <w:spacing w:after="200" w:line="276" w:lineRule="auto"/>
        <w:jc w:val="center"/>
        <w:rPr>
          <w:rFonts w:eastAsia="Cambria" w:cs="Times New Roman"/>
          <w:b/>
          <w:bCs/>
          <w:sz w:val="28"/>
          <w:szCs w:val="28"/>
          <w:lang w:val="en-US"/>
        </w:rPr>
      </w:pPr>
    </w:p>
    <w:p w14:paraId="6A0FBAC9" w14:textId="77777777" w:rsidR="002B5A7F" w:rsidRPr="001132D3" w:rsidRDefault="002B5A7F" w:rsidP="002B5A7F">
      <w:pPr>
        <w:spacing w:after="200" w:line="276" w:lineRule="auto"/>
        <w:jc w:val="center"/>
        <w:rPr>
          <w:rFonts w:eastAsia="Cambria" w:cs="Times New Roman"/>
          <w:b/>
          <w:bCs/>
          <w:sz w:val="28"/>
          <w:szCs w:val="28"/>
          <w:lang w:val="en-US"/>
        </w:rPr>
      </w:pPr>
      <w:r w:rsidRPr="001132D3">
        <w:rPr>
          <w:rFonts w:eastAsia="Cambria" w:cs="Times New Roman"/>
          <w:b/>
          <w:bCs/>
          <w:sz w:val="28"/>
          <w:szCs w:val="28"/>
          <w:lang w:val="en-US"/>
        </w:rPr>
        <w:t xml:space="preserve">AT THE </w:t>
      </w:r>
    </w:p>
    <w:p w14:paraId="2413C356" w14:textId="5B5ABFBC" w:rsidR="002B5A7F" w:rsidRPr="001132D3" w:rsidRDefault="0060099A" w:rsidP="002B5A7F">
      <w:pPr>
        <w:jc w:val="center"/>
        <w:rPr>
          <w:rFonts w:cs="Times New Roman"/>
          <w:b/>
          <w:bCs/>
          <w:sz w:val="28"/>
          <w:szCs w:val="28"/>
        </w:rPr>
      </w:pPr>
      <w:r w:rsidRPr="001132D3">
        <w:rPr>
          <w:rFonts w:cs="Times New Roman"/>
          <w:b/>
          <w:bCs/>
          <w:sz w:val="28"/>
          <w:szCs w:val="28"/>
        </w:rPr>
        <w:t>98</w:t>
      </w:r>
      <w:r w:rsidRPr="001132D3">
        <w:rPr>
          <w:rFonts w:cs="Times New Roman"/>
          <w:b/>
          <w:bCs/>
          <w:sz w:val="28"/>
          <w:szCs w:val="28"/>
          <w:vertAlign w:val="superscript"/>
        </w:rPr>
        <w:t>TH</w:t>
      </w:r>
      <w:r w:rsidRPr="001132D3">
        <w:rPr>
          <w:rFonts w:cs="Times New Roman"/>
          <w:b/>
          <w:bCs/>
          <w:sz w:val="28"/>
          <w:szCs w:val="28"/>
        </w:rPr>
        <w:t xml:space="preserve"> SESSION OF THE COMMITTEE ON THE RIGHTS OF THE CHILD DURING THE COMBINED PERIODIC 4</w:t>
      </w:r>
      <w:r w:rsidRPr="001132D3">
        <w:rPr>
          <w:rFonts w:cs="Times New Roman"/>
          <w:b/>
          <w:bCs/>
          <w:sz w:val="28"/>
          <w:szCs w:val="28"/>
          <w:vertAlign w:val="superscript"/>
        </w:rPr>
        <w:t>TH</w:t>
      </w:r>
      <w:r w:rsidRPr="001132D3">
        <w:rPr>
          <w:rFonts w:cs="Times New Roman"/>
          <w:b/>
          <w:bCs/>
          <w:sz w:val="28"/>
          <w:szCs w:val="28"/>
        </w:rPr>
        <w:t xml:space="preserve"> TO 7</w:t>
      </w:r>
      <w:r w:rsidRPr="001132D3">
        <w:rPr>
          <w:rFonts w:cs="Times New Roman"/>
          <w:b/>
          <w:bCs/>
          <w:sz w:val="28"/>
          <w:szCs w:val="28"/>
          <w:vertAlign w:val="superscript"/>
        </w:rPr>
        <w:t>TH</w:t>
      </w:r>
      <w:r w:rsidRPr="001132D3">
        <w:rPr>
          <w:rFonts w:cs="Times New Roman"/>
          <w:b/>
          <w:bCs/>
          <w:sz w:val="28"/>
          <w:szCs w:val="28"/>
        </w:rPr>
        <w:t xml:space="preserve"> REPORT OF THE REPUBLIC OF THE GAMBIA</w:t>
      </w:r>
      <w:r w:rsidR="001132D3" w:rsidRPr="001132D3">
        <w:rPr>
          <w:rFonts w:cs="Times New Roman"/>
          <w:b/>
          <w:bCs/>
          <w:sz w:val="28"/>
          <w:szCs w:val="28"/>
        </w:rPr>
        <w:t xml:space="preserve"> 2015 TO</w:t>
      </w:r>
      <w:r w:rsidRPr="001132D3">
        <w:rPr>
          <w:rFonts w:cs="Times New Roman"/>
          <w:b/>
          <w:bCs/>
          <w:sz w:val="28"/>
          <w:szCs w:val="28"/>
        </w:rPr>
        <w:t xml:space="preserve"> 2024</w:t>
      </w:r>
    </w:p>
    <w:p w14:paraId="25398A0B" w14:textId="77777777" w:rsidR="002B5A7F" w:rsidRPr="001132D3" w:rsidRDefault="002B5A7F" w:rsidP="002B5A7F">
      <w:pPr>
        <w:jc w:val="center"/>
        <w:rPr>
          <w:rFonts w:cs="Times New Roman"/>
          <w:b/>
          <w:bCs/>
          <w:sz w:val="28"/>
          <w:szCs w:val="28"/>
        </w:rPr>
      </w:pPr>
    </w:p>
    <w:p w14:paraId="2B718CA2" w14:textId="77777777" w:rsidR="0038585E" w:rsidRPr="001132D3" w:rsidRDefault="0038585E" w:rsidP="002D6FE2">
      <w:pPr>
        <w:tabs>
          <w:tab w:val="left" w:pos="5837"/>
        </w:tabs>
        <w:spacing w:line="276" w:lineRule="auto"/>
        <w:rPr>
          <w:rFonts w:cs="Times New Roman"/>
          <w:b/>
          <w:bCs/>
          <w:sz w:val="28"/>
          <w:szCs w:val="28"/>
        </w:rPr>
      </w:pPr>
    </w:p>
    <w:p w14:paraId="3E2CE504" w14:textId="77777777" w:rsidR="0038585E" w:rsidRDefault="0038585E" w:rsidP="002B5A7F">
      <w:pPr>
        <w:tabs>
          <w:tab w:val="left" w:pos="5837"/>
        </w:tabs>
        <w:spacing w:line="276" w:lineRule="auto"/>
        <w:jc w:val="center"/>
        <w:rPr>
          <w:rFonts w:cs="Times New Roman"/>
          <w:b/>
          <w:bCs/>
          <w:sz w:val="28"/>
          <w:szCs w:val="28"/>
        </w:rPr>
      </w:pPr>
    </w:p>
    <w:p w14:paraId="4D1FB2DB" w14:textId="77777777" w:rsidR="001132D3" w:rsidRDefault="001132D3" w:rsidP="002B5A7F">
      <w:pPr>
        <w:tabs>
          <w:tab w:val="left" w:pos="5837"/>
        </w:tabs>
        <w:spacing w:line="276" w:lineRule="auto"/>
        <w:jc w:val="center"/>
        <w:rPr>
          <w:rFonts w:cs="Times New Roman"/>
          <w:b/>
          <w:bCs/>
          <w:sz w:val="28"/>
          <w:szCs w:val="28"/>
        </w:rPr>
      </w:pPr>
    </w:p>
    <w:p w14:paraId="0625476D" w14:textId="77777777" w:rsidR="001132D3" w:rsidRDefault="001132D3" w:rsidP="002B5A7F">
      <w:pPr>
        <w:tabs>
          <w:tab w:val="left" w:pos="5837"/>
        </w:tabs>
        <w:spacing w:line="276" w:lineRule="auto"/>
        <w:jc w:val="center"/>
        <w:rPr>
          <w:rFonts w:cs="Times New Roman"/>
          <w:b/>
          <w:bCs/>
          <w:sz w:val="28"/>
          <w:szCs w:val="28"/>
        </w:rPr>
      </w:pPr>
    </w:p>
    <w:p w14:paraId="1656C66E" w14:textId="77777777" w:rsidR="001132D3" w:rsidRPr="001132D3" w:rsidRDefault="001132D3" w:rsidP="002B5A7F">
      <w:pPr>
        <w:tabs>
          <w:tab w:val="left" w:pos="5837"/>
        </w:tabs>
        <w:spacing w:line="276" w:lineRule="auto"/>
        <w:jc w:val="center"/>
        <w:rPr>
          <w:rFonts w:cs="Times New Roman"/>
          <w:b/>
          <w:bCs/>
          <w:sz w:val="28"/>
          <w:szCs w:val="28"/>
        </w:rPr>
      </w:pPr>
    </w:p>
    <w:p w14:paraId="5B5A8CD7" w14:textId="77777777" w:rsidR="0038585E" w:rsidRPr="001132D3" w:rsidRDefault="0038585E" w:rsidP="002B5A7F">
      <w:pPr>
        <w:tabs>
          <w:tab w:val="left" w:pos="5837"/>
        </w:tabs>
        <w:spacing w:line="276" w:lineRule="auto"/>
        <w:jc w:val="center"/>
        <w:rPr>
          <w:rFonts w:cs="Times New Roman"/>
          <w:b/>
          <w:bCs/>
          <w:sz w:val="28"/>
          <w:szCs w:val="28"/>
        </w:rPr>
      </w:pPr>
    </w:p>
    <w:p w14:paraId="322872FC" w14:textId="3BE225FD" w:rsidR="008C79C0" w:rsidRPr="001132D3" w:rsidRDefault="00A714EE" w:rsidP="002D6FE2">
      <w:pPr>
        <w:tabs>
          <w:tab w:val="left" w:pos="5837"/>
        </w:tabs>
        <w:spacing w:line="276" w:lineRule="auto"/>
        <w:jc w:val="center"/>
        <w:rPr>
          <w:rFonts w:cs="Times New Roman"/>
          <w:b/>
          <w:bCs/>
          <w:sz w:val="28"/>
          <w:szCs w:val="28"/>
        </w:rPr>
      </w:pPr>
      <w:r w:rsidRPr="001132D3">
        <w:rPr>
          <w:rFonts w:cs="Times New Roman"/>
          <w:b/>
          <w:bCs/>
          <w:sz w:val="28"/>
          <w:szCs w:val="28"/>
        </w:rPr>
        <w:t>GENEVA, SWITZERLAND</w:t>
      </w:r>
    </w:p>
    <w:p w14:paraId="1B9A4DD8" w14:textId="23CB09BD" w:rsidR="00A714EE" w:rsidRPr="001132D3" w:rsidRDefault="0060099A" w:rsidP="002D6FE2">
      <w:pPr>
        <w:tabs>
          <w:tab w:val="left" w:pos="5837"/>
        </w:tabs>
        <w:spacing w:line="276" w:lineRule="auto"/>
        <w:jc w:val="center"/>
        <w:rPr>
          <w:rFonts w:eastAsia="Cambria" w:cs="Times New Roman"/>
          <w:b/>
          <w:bCs/>
          <w:sz w:val="28"/>
          <w:szCs w:val="28"/>
        </w:rPr>
      </w:pPr>
      <w:r w:rsidRPr="001132D3">
        <w:rPr>
          <w:rFonts w:cs="Times New Roman"/>
          <w:b/>
          <w:bCs/>
          <w:sz w:val="28"/>
          <w:szCs w:val="28"/>
        </w:rPr>
        <w:t>22</w:t>
      </w:r>
      <w:r w:rsidRPr="001132D3">
        <w:rPr>
          <w:rFonts w:cs="Times New Roman"/>
          <w:b/>
          <w:bCs/>
          <w:sz w:val="28"/>
          <w:szCs w:val="28"/>
          <w:vertAlign w:val="superscript"/>
        </w:rPr>
        <w:t>ND</w:t>
      </w:r>
      <w:r w:rsidRPr="001132D3">
        <w:rPr>
          <w:rFonts w:cs="Times New Roman"/>
          <w:b/>
          <w:bCs/>
          <w:sz w:val="28"/>
          <w:szCs w:val="28"/>
        </w:rPr>
        <w:t xml:space="preserve"> &amp; 23</w:t>
      </w:r>
      <w:r w:rsidRPr="001132D3">
        <w:rPr>
          <w:rFonts w:cs="Times New Roman"/>
          <w:b/>
          <w:bCs/>
          <w:sz w:val="28"/>
          <w:szCs w:val="28"/>
          <w:vertAlign w:val="superscript"/>
        </w:rPr>
        <w:t>RD</w:t>
      </w:r>
      <w:r w:rsidRPr="001132D3">
        <w:rPr>
          <w:rFonts w:cs="Times New Roman"/>
          <w:b/>
          <w:bCs/>
          <w:sz w:val="28"/>
          <w:szCs w:val="28"/>
        </w:rPr>
        <w:t xml:space="preserve"> </w:t>
      </w:r>
      <w:r w:rsidR="00A714EE" w:rsidRPr="001132D3">
        <w:rPr>
          <w:rFonts w:cs="Times New Roman"/>
          <w:b/>
          <w:bCs/>
          <w:sz w:val="28"/>
          <w:szCs w:val="28"/>
        </w:rPr>
        <w:t>JANUARY 2025</w:t>
      </w:r>
    </w:p>
    <w:p w14:paraId="327AA465" w14:textId="77777777" w:rsidR="0080382C" w:rsidRPr="000E1520" w:rsidRDefault="0080382C" w:rsidP="00663085">
      <w:pPr>
        <w:spacing w:line="360" w:lineRule="auto"/>
        <w:rPr>
          <w:sz w:val="28"/>
          <w:szCs w:val="28"/>
        </w:rPr>
      </w:pPr>
    </w:p>
    <w:p w14:paraId="7EDC14C0" w14:textId="77777777" w:rsidR="000E1520" w:rsidRPr="000E1520" w:rsidRDefault="000E1520" w:rsidP="000E1520">
      <w:pPr>
        <w:jc w:val="center"/>
        <w:rPr>
          <w:b/>
          <w:sz w:val="28"/>
          <w:szCs w:val="28"/>
        </w:rPr>
      </w:pPr>
    </w:p>
    <w:p w14:paraId="780520AB" w14:textId="5C22C926" w:rsidR="001A667F" w:rsidRDefault="001A667F" w:rsidP="00663085">
      <w:pPr>
        <w:spacing w:line="360" w:lineRule="auto"/>
        <w:jc w:val="both"/>
        <w:rPr>
          <w:rFonts w:cs="Times New Roman"/>
          <w:sz w:val="28"/>
          <w:szCs w:val="28"/>
        </w:rPr>
      </w:pPr>
    </w:p>
    <w:p w14:paraId="196FCE1F" w14:textId="77777777" w:rsidR="00A714EE" w:rsidRDefault="00A714EE" w:rsidP="00663085">
      <w:pPr>
        <w:spacing w:line="360" w:lineRule="auto"/>
        <w:jc w:val="both"/>
        <w:rPr>
          <w:rFonts w:cs="Times New Roman"/>
          <w:sz w:val="28"/>
          <w:szCs w:val="28"/>
        </w:rPr>
      </w:pPr>
    </w:p>
    <w:p w14:paraId="38D240EE" w14:textId="77777777" w:rsidR="00A714EE" w:rsidRDefault="00A714EE" w:rsidP="00663085">
      <w:pPr>
        <w:spacing w:line="360" w:lineRule="auto"/>
        <w:jc w:val="both"/>
        <w:rPr>
          <w:rFonts w:cs="Times New Roman"/>
          <w:sz w:val="28"/>
          <w:szCs w:val="28"/>
        </w:rPr>
      </w:pPr>
    </w:p>
    <w:p w14:paraId="4296B2D2" w14:textId="77777777" w:rsidR="00A714EE" w:rsidRDefault="00A714EE" w:rsidP="00663085">
      <w:pPr>
        <w:spacing w:line="360" w:lineRule="auto"/>
        <w:jc w:val="both"/>
        <w:rPr>
          <w:rFonts w:cs="Times New Roman"/>
          <w:sz w:val="28"/>
          <w:szCs w:val="28"/>
        </w:rPr>
      </w:pPr>
    </w:p>
    <w:p w14:paraId="0364C170" w14:textId="77777777" w:rsidR="002B0624" w:rsidRPr="002B0624" w:rsidRDefault="002B0624" w:rsidP="002B0624">
      <w:pPr>
        <w:spacing w:line="360" w:lineRule="auto"/>
        <w:jc w:val="both"/>
        <w:rPr>
          <w:rFonts w:cs="Times New Roman"/>
          <w:b/>
          <w:bCs/>
          <w:sz w:val="28"/>
          <w:szCs w:val="28"/>
        </w:rPr>
      </w:pPr>
      <w:r w:rsidRPr="002B0624">
        <w:rPr>
          <w:rFonts w:cs="Times New Roman"/>
          <w:b/>
          <w:bCs/>
          <w:sz w:val="28"/>
          <w:szCs w:val="28"/>
        </w:rPr>
        <w:t>Madam Chairperson, Distinguished Members of the Committee, Ladies and Gentlemen,</w:t>
      </w:r>
    </w:p>
    <w:p w14:paraId="4B5D9498" w14:textId="77777777" w:rsidR="002B0624" w:rsidRPr="002B0624" w:rsidRDefault="002B0624" w:rsidP="002B0624">
      <w:pPr>
        <w:spacing w:line="360" w:lineRule="auto"/>
        <w:jc w:val="both"/>
        <w:rPr>
          <w:rFonts w:cs="Times New Roman"/>
          <w:b/>
          <w:bCs/>
          <w:sz w:val="28"/>
          <w:szCs w:val="28"/>
        </w:rPr>
      </w:pPr>
    </w:p>
    <w:p w14:paraId="462C41A4" w14:textId="77777777" w:rsidR="001147F8" w:rsidRPr="001147F8" w:rsidRDefault="001147F8" w:rsidP="001147F8">
      <w:pPr>
        <w:spacing w:line="360" w:lineRule="auto"/>
        <w:jc w:val="both"/>
        <w:rPr>
          <w:rFonts w:cs="Times New Roman"/>
          <w:sz w:val="28"/>
          <w:szCs w:val="28"/>
        </w:rPr>
      </w:pPr>
    </w:p>
    <w:p w14:paraId="2ADF1595"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My name is Mrs. Fatou Kinteh. I am the Minister of Gender, Children, and Social Welfare of the Republic of The Gambia and Head of Delegation to this 98th Session of the Committee on the Rights of the Child.</w:t>
      </w:r>
    </w:p>
    <w:p w14:paraId="4B4BC946" w14:textId="77777777" w:rsidR="001147F8" w:rsidRPr="001147F8" w:rsidRDefault="001147F8" w:rsidP="001147F8">
      <w:pPr>
        <w:spacing w:line="360" w:lineRule="auto"/>
        <w:jc w:val="both"/>
        <w:rPr>
          <w:rFonts w:cs="Times New Roman"/>
          <w:sz w:val="28"/>
          <w:szCs w:val="28"/>
        </w:rPr>
      </w:pPr>
    </w:p>
    <w:p w14:paraId="35755B98"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I am accompanied by my distinguished colleague, Hon. Dawda A. Jallow, Attorney General &amp; Minister of Justice of The Republic of The Gambia, as well as a dedicated team of professionals representing various key ministries and agencies of the Government of The Gambia.</w:t>
      </w:r>
    </w:p>
    <w:p w14:paraId="7247B5E6" w14:textId="77777777" w:rsidR="001147F8" w:rsidRPr="001147F8" w:rsidRDefault="001147F8" w:rsidP="001147F8">
      <w:pPr>
        <w:spacing w:line="360" w:lineRule="auto"/>
        <w:jc w:val="both"/>
        <w:rPr>
          <w:rFonts w:cs="Times New Roman"/>
          <w:sz w:val="28"/>
          <w:szCs w:val="28"/>
        </w:rPr>
      </w:pPr>
    </w:p>
    <w:p w14:paraId="441A3709" w14:textId="77777777" w:rsidR="001147F8" w:rsidRPr="001147F8" w:rsidRDefault="001147F8" w:rsidP="001147F8">
      <w:pPr>
        <w:spacing w:line="360" w:lineRule="auto"/>
        <w:jc w:val="both"/>
        <w:rPr>
          <w:rFonts w:cs="Times New Roman"/>
          <w:b/>
          <w:bCs/>
          <w:sz w:val="28"/>
          <w:szCs w:val="28"/>
        </w:rPr>
      </w:pPr>
      <w:r w:rsidRPr="001147F8">
        <w:rPr>
          <w:rFonts w:cs="Times New Roman"/>
          <w:b/>
          <w:bCs/>
          <w:sz w:val="28"/>
          <w:szCs w:val="28"/>
        </w:rPr>
        <w:t>With me in this delegation are:</w:t>
      </w:r>
    </w:p>
    <w:p w14:paraId="3CBE1F20" w14:textId="77777777" w:rsidR="001147F8" w:rsidRPr="001147F8" w:rsidRDefault="001147F8" w:rsidP="001147F8">
      <w:pPr>
        <w:spacing w:line="360" w:lineRule="auto"/>
        <w:jc w:val="both"/>
        <w:rPr>
          <w:rFonts w:cs="Times New Roman"/>
          <w:sz w:val="28"/>
          <w:szCs w:val="28"/>
        </w:rPr>
      </w:pPr>
    </w:p>
    <w:p w14:paraId="64BCD3B5"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H.E. Prof. Muhammadou M.O. Kah - Permanent Representative of The Gambia in Geneva</w:t>
      </w:r>
    </w:p>
    <w:p w14:paraId="3B12B2BA" w14:textId="77777777" w:rsidR="001147F8" w:rsidRPr="001147F8" w:rsidRDefault="001147F8" w:rsidP="001147F8">
      <w:pPr>
        <w:spacing w:line="360" w:lineRule="auto"/>
        <w:jc w:val="both"/>
        <w:rPr>
          <w:rFonts w:cs="Times New Roman"/>
          <w:sz w:val="28"/>
          <w:szCs w:val="28"/>
        </w:rPr>
      </w:pPr>
    </w:p>
    <w:p w14:paraId="575F5998"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Mr. Baboucarr Jobe - Permanent Secretary, Ministry of Finance</w:t>
      </w:r>
    </w:p>
    <w:p w14:paraId="7FFCF5C1" w14:textId="77777777" w:rsidR="001147F8" w:rsidRPr="001147F8" w:rsidRDefault="001147F8" w:rsidP="001147F8">
      <w:pPr>
        <w:spacing w:line="360" w:lineRule="auto"/>
        <w:jc w:val="both"/>
        <w:rPr>
          <w:rFonts w:cs="Times New Roman"/>
          <w:sz w:val="28"/>
          <w:szCs w:val="28"/>
        </w:rPr>
      </w:pPr>
    </w:p>
    <w:p w14:paraId="266CEFA4"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Mr. Demba Sowe - Assistant Inspector General of Police</w:t>
      </w:r>
    </w:p>
    <w:p w14:paraId="3C322A3D" w14:textId="77777777" w:rsidR="001147F8" w:rsidRPr="001147F8" w:rsidRDefault="001147F8" w:rsidP="001147F8">
      <w:pPr>
        <w:spacing w:line="360" w:lineRule="auto"/>
        <w:jc w:val="both"/>
        <w:rPr>
          <w:rFonts w:cs="Times New Roman"/>
          <w:sz w:val="28"/>
          <w:szCs w:val="28"/>
        </w:rPr>
      </w:pPr>
    </w:p>
    <w:p w14:paraId="6B8B40D2"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Hon. Madi MK Ceesay - National Assembly Member</w:t>
      </w:r>
    </w:p>
    <w:p w14:paraId="5842B040" w14:textId="77777777" w:rsidR="001147F8" w:rsidRPr="001147F8" w:rsidRDefault="001147F8" w:rsidP="001147F8">
      <w:pPr>
        <w:spacing w:line="360" w:lineRule="auto"/>
        <w:jc w:val="both"/>
        <w:rPr>
          <w:rFonts w:cs="Times New Roman"/>
          <w:sz w:val="28"/>
          <w:szCs w:val="28"/>
        </w:rPr>
      </w:pPr>
    </w:p>
    <w:p w14:paraId="117059C0"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Mr. Louis Moses Mendy - Permanent Secretary, Ministry of Basic and Secondary Education</w:t>
      </w:r>
    </w:p>
    <w:p w14:paraId="1E2FCDB4" w14:textId="77777777" w:rsidR="001147F8" w:rsidRPr="001147F8" w:rsidRDefault="001147F8" w:rsidP="001147F8">
      <w:pPr>
        <w:spacing w:line="360" w:lineRule="auto"/>
        <w:jc w:val="both"/>
        <w:rPr>
          <w:rFonts w:cs="Times New Roman"/>
          <w:sz w:val="28"/>
          <w:szCs w:val="28"/>
        </w:rPr>
      </w:pPr>
    </w:p>
    <w:p w14:paraId="2AF339A6"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Dr. Yusupha Touray - Permanent Secretary, Ministry of Health</w:t>
      </w:r>
    </w:p>
    <w:p w14:paraId="4FF7652D" w14:textId="77777777" w:rsidR="001147F8" w:rsidRPr="001147F8" w:rsidRDefault="001147F8" w:rsidP="001147F8">
      <w:pPr>
        <w:spacing w:line="360" w:lineRule="auto"/>
        <w:jc w:val="both"/>
        <w:rPr>
          <w:rFonts w:cs="Times New Roman"/>
          <w:sz w:val="28"/>
          <w:szCs w:val="28"/>
        </w:rPr>
      </w:pPr>
    </w:p>
    <w:p w14:paraId="60F16150"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Mr. Kajali Sonko - Deputy Permanent Secretary, Ministry of Gender, Children, and Social Welfare</w:t>
      </w:r>
    </w:p>
    <w:p w14:paraId="272F1E78" w14:textId="77777777" w:rsidR="001147F8" w:rsidRPr="001147F8" w:rsidRDefault="001147F8" w:rsidP="001147F8">
      <w:pPr>
        <w:spacing w:line="360" w:lineRule="auto"/>
        <w:jc w:val="both"/>
        <w:rPr>
          <w:rFonts w:cs="Times New Roman"/>
          <w:sz w:val="28"/>
          <w:szCs w:val="28"/>
        </w:rPr>
      </w:pPr>
    </w:p>
    <w:p w14:paraId="55B0A45B"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Ms. Aji Adam Ceesay - Curator of Intestate Estate, Ministry of Justice</w:t>
      </w:r>
    </w:p>
    <w:p w14:paraId="749E0AD3" w14:textId="77777777" w:rsidR="001147F8" w:rsidRPr="001147F8" w:rsidRDefault="001147F8" w:rsidP="001147F8">
      <w:pPr>
        <w:spacing w:line="360" w:lineRule="auto"/>
        <w:jc w:val="both"/>
        <w:rPr>
          <w:rFonts w:cs="Times New Roman"/>
          <w:sz w:val="28"/>
          <w:szCs w:val="28"/>
        </w:rPr>
      </w:pPr>
    </w:p>
    <w:p w14:paraId="6E1243B3"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Ms. Harriet Bass - Ministry of Gender, Children, and Social Welfare</w:t>
      </w:r>
    </w:p>
    <w:p w14:paraId="4DBC1E64" w14:textId="77777777" w:rsidR="001147F8" w:rsidRPr="001147F8" w:rsidRDefault="001147F8" w:rsidP="001147F8">
      <w:pPr>
        <w:spacing w:line="360" w:lineRule="auto"/>
        <w:jc w:val="both"/>
        <w:rPr>
          <w:rFonts w:cs="Times New Roman"/>
          <w:sz w:val="28"/>
          <w:szCs w:val="28"/>
        </w:rPr>
      </w:pPr>
    </w:p>
    <w:p w14:paraId="44E6BF9D"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Ms. Bintou PA Njie - Office of The President</w:t>
      </w:r>
    </w:p>
    <w:p w14:paraId="6351C958" w14:textId="77777777" w:rsidR="001147F8" w:rsidRPr="001147F8" w:rsidRDefault="001147F8" w:rsidP="001147F8">
      <w:pPr>
        <w:spacing w:line="360" w:lineRule="auto"/>
        <w:jc w:val="both"/>
        <w:rPr>
          <w:rFonts w:cs="Times New Roman"/>
          <w:sz w:val="28"/>
          <w:szCs w:val="28"/>
        </w:rPr>
      </w:pPr>
    </w:p>
    <w:p w14:paraId="53A6109B" w14:textId="645CDD77" w:rsidR="001147F8" w:rsidRPr="001147F8" w:rsidRDefault="001147F8" w:rsidP="001147F8">
      <w:pPr>
        <w:spacing w:line="360" w:lineRule="auto"/>
        <w:jc w:val="both"/>
        <w:rPr>
          <w:rFonts w:cs="Times New Roman"/>
          <w:sz w:val="28"/>
          <w:szCs w:val="28"/>
        </w:rPr>
      </w:pPr>
      <w:r w:rsidRPr="001147F8">
        <w:rPr>
          <w:rFonts w:cs="Times New Roman"/>
          <w:sz w:val="28"/>
          <w:szCs w:val="28"/>
        </w:rPr>
        <w:t xml:space="preserve">Ms. Isatou Camara </w:t>
      </w:r>
      <w:r w:rsidR="00E67B51">
        <w:rPr>
          <w:rFonts w:cs="Times New Roman"/>
          <w:sz w:val="28"/>
          <w:szCs w:val="28"/>
        </w:rPr>
        <w:t>–</w:t>
      </w:r>
      <w:r w:rsidRPr="001147F8">
        <w:rPr>
          <w:rFonts w:cs="Times New Roman"/>
          <w:sz w:val="28"/>
          <w:szCs w:val="28"/>
        </w:rPr>
        <w:t xml:space="preserve"> </w:t>
      </w:r>
      <w:r w:rsidR="00E67B51">
        <w:rPr>
          <w:rFonts w:cs="Times New Roman"/>
          <w:sz w:val="28"/>
          <w:szCs w:val="28"/>
        </w:rPr>
        <w:t xml:space="preserve">Senior </w:t>
      </w:r>
      <w:r w:rsidRPr="001147F8">
        <w:rPr>
          <w:rFonts w:cs="Times New Roman"/>
          <w:sz w:val="28"/>
          <w:szCs w:val="28"/>
        </w:rPr>
        <w:t>State Counsel, Ministry of Justice</w:t>
      </w:r>
    </w:p>
    <w:p w14:paraId="24D7E9C5" w14:textId="77777777" w:rsidR="001147F8" w:rsidRPr="001147F8" w:rsidRDefault="001147F8" w:rsidP="001147F8">
      <w:pPr>
        <w:spacing w:line="360" w:lineRule="auto"/>
        <w:jc w:val="both"/>
        <w:rPr>
          <w:rFonts w:cs="Times New Roman"/>
          <w:sz w:val="28"/>
          <w:szCs w:val="28"/>
        </w:rPr>
      </w:pPr>
    </w:p>
    <w:p w14:paraId="0A2FEDC8"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Ms. Bafou Jeng - Counsellor for Human Rights Matters at the Permanent Mission of The Gambia in Geneva</w:t>
      </w:r>
    </w:p>
    <w:p w14:paraId="6BC1C282" w14:textId="77777777" w:rsidR="001147F8" w:rsidRPr="001147F8" w:rsidRDefault="001147F8" w:rsidP="001147F8">
      <w:pPr>
        <w:spacing w:line="360" w:lineRule="auto"/>
        <w:jc w:val="both"/>
        <w:rPr>
          <w:rFonts w:cs="Times New Roman"/>
          <w:sz w:val="28"/>
          <w:szCs w:val="28"/>
        </w:rPr>
      </w:pPr>
    </w:p>
    <w:p w14:paraId="034FDF8E"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Their collective expertise underscores the collaborative approach we have adopted to implement and advance the principles of the CRC.</w:t>
      </w:r>
    </w:p>
    <w:p w14:paraId="2A3FF479" w14:textId="77777777" w:rsidR="001147F8" w:rsidRPr="001147F8" w:rsidRDefault="001147F8" w:rsidP="001147F8">
      <w:pPr>
        <w:spacing w:line="360" w:lineRule="auto"/>
        <w:jc w:val="both"/>
        <w:rPr>
          <w:rFonts w:cs="Times New Roman"/>
          <w:sz w:val="28"/>
          <w:szCs w:val="28"/>
        </w:rPr>
      </w:pPr>
    </w:p>
    <w:p w14:paraId="72928E0A" w14:textId="77777777" w:rsidR="001147F8" w:rsidRPr="001147F8" w:rsidRDefault="001147F8" w:rsidP="001147F8">
      <w:pPr>
        <w:spacing w:line="360" w:lineRule="auto"/>
        <w:jc w:val="both"/>
        <w:rPr>
          <w:rFonts w:cs="Times New Roman"/>
          <w:b/>
          <w:bCs/>
          <w:sz w:val="28"/>
          <w:szCs w:val="28"/>
        </w:rPr>
      </w:pPr>
      <w:r w:rsidRPr="001147F8">
        <w:rPr>
          <w:rFonts w:cs="Times New Roman"/>
          <w:b/>
          <w:bCs/>
          <w:sz w:val="28"/>
          <w:szCs w:val="28"/>
        </w:rPr>
        <w:t>Madam Chairperson,</w:t>
      </w:r>
    </w:p>
    <w:p w14:paraId="7B5FFC6E" w14:textId="77777777" w:rsidR="001147F8" w:rsidRPr="001147F8" w:rsidRDefault="001147F8" w:rsidP="001147F8">
      <w:pPr>
        <w:spacing w:line="360" w:lineRule="auto"/>
        <w:jc w:val="both"/>
        <w:rPr>
          <w:rFonts w:cs="Times New Roman"/>
          <w:sz w:val="28"/>
          <w:szCs w:val="28"/>
        </w:rPr>
      </w:pPr>
    </w:p>
    <w:p w14:paraId="2C641042"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It is an honor and a privilege to address this esteemed committee on behalf of the Government of The Republic of The Gambia. At the outset, allow me to convey warm greetings from His Excellency President Adama Barrow, the Government, and the people of The Gambia to your esteemed Committee. Our presence here today underscores our deep commitment to the principles and objectives of the Convention on the Rights of the Child (CRC).</w:t>
      </w:r>
    </w:p>
    <w:p w14:paraId="15D0770A" w14:textId="77777777" w:rsidR="001147F8" w:rsidRPr="001147F8" w:rsidRDefault="001147F8" w:rsidP="001147F8">
      <w:pPr>
        <w:spacing w:line="360" w:lineRule="auto"/>
        <w:jc w:val="both"/>
        <w:rPr>
          <w:rFonts w:cs="Times New Roman"/>
          <w:sz w:val="28"/>
          <w:szCs w:val="28"/>
        </w:rPr>
      </w:pPr>
    </w:p>
    <w:p w14:paraId="797383E9"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Children hold a sacred place in The Gambia’s cultural, religious, and traditional values. They are regarded as blessings and the custodians of our collective future. Our dedication to their welfare is not merely a matter of policy but is deeply embedded in the fabric of our society. This ethos informs and inspires our efforts to ensure their rights are upheld and their potential realized.</w:t>
      </w:r>
    </w:p>
    <w:p w14:paraId="5F987435" w14:textId="77777777" w:rsidR="001147F8" w:rsidRPr="001147F8" w:rsidRDefault="001147F8" w:rsidP="001147F8">
      <w:pPr>
        <w:spacing w:line="360" w:lineRule="auto"/>
        <w:jc w:val="both"/>
        <w:rPr>
          <w:rFonts w:cs="Times New Roman"/>
          <w:sz w:val="28"/>
          <w:szCs w:val="28"/>
        </w:rPr>
      </w:pPr>
    </w:p>
    <w:p w14:paraId="76AF0B1D" w14:textId="77777777" w:rsidR="001147F8" w:rsidRPr="001147F8" w:rsidRDefault="001147F8" w:rsidP="001147F8">
      <w:pPr>
        <w:spacing w:line="360" w:lineRule="auto"/>
        <w:jc w:val="both"/>
        <w:rPr>
          <w:rFonts w:cs="Times New Roman"/>
          <w:b/>
          <w:bCs/>
          <w:sz w:val="28"/>
          <w:szCs w:val="28"/>
        </w:rPr>
      </w:pPr>
      <w:r w:rsidRPr="001147F8">
        <w:rPr>
          <w:rFonts w:cs="Times New Roman"/>
          <w:b/>
          <w:bCs/>
          <w:sz w:val="28"/>
          <w:szCs w:val="28"/>
        </w:rPr>
        <w:t>Madam Chairperson,</w:t>
      </w:r>
    </w:p>
    <w:p w14:paraId="149AAD3C" w14:textId="6AAAE18F" w:rsidR="001147F8" w:rsidRPr="001147F8" w:rsidRDefault="001147F8" w:rsidP="001147F8">
      <w:pPr>
        <w:spacing w:line="360" w:lineRule="auto"/>
        <w:jc w:val="both"/>
        <w:rPr>
          <w:rFonts w:cs="Times New Roman"/>
          <w:sz w:val="28"/>
          <w:szCs w:val="28"/>
        </w:rPr>
      </w:pPr>
      <w:r>
        <w:rPr>
          <w:rFonts w:cs="Times New Roman"/>
          <w:sz w:val="28"/>
          <w:szCs w:val="28"/>
        </w:rPr>
        <w:t>(</w:t>
      </w:r>
      <w:r w:rsidRPr="001147F8">
        <w:rPr>
          <w:rFonts w:cs="Times New Roman"/>
          <w:b/>
          <w:bCs/>
          <w:sz w:val="28"/>
          <w:szCs w:val="28"/>
        </w:rPr>
        <w:t>Governance Transition and Transitional Justice</w:t>
      </w:r>
      <w:r w:rsidRPr="001147F8">
        <w:rPr>
          <w:rFonts w:cs="Times New Roman"/>
          <w:b/>
          <w:bCs/>
          <w:sz w:val="28"/>
          <w:szCs w:val="28"/>
        </w:rPr>
        <w:t>)</w:t>
      </w:r>
    </w:p>
    <w:p w14:paraId="52A40D32" w14:textId="604D779E" w:rsidR="001147F8" w:rsidRPr="0003209A" w:rsidRDefault="00677444" w:rsidP="001147F8">
      <w:pPr>
        <w:spacing w:line="360" w:lineRule="auto"/>
        <w:jc w:val="both"/>
        <w:rPr>
          <w:rFonts w:cs="Times New Roman"/>
          <w:b/>
          <w:bCs/>
          <w:sz w:val="28"/>
          <w:szCs w:val="28"/>
        </w:rPr>
      </w:pPr>
      <w:r w:rsidRPr="00677444">
        <w:rPr>
          <w:rFonts w:cs="Times New Roman"/>
          <w:sz w:val="28"/>
          <w:szCs w:val="28"/>
        </w:rPr>
        <w:t>Since our last review in 2014, The Gambia has undergone a significant transformation. In 2017, following a historic democratic transition, the country moved from decades of authoritarian rule under former President Yahya Jammeh to a new era of governance under President Adama Barrow. This transition marked the establishment of the Truth, Reconciliation, and Reparations Commission (TRRC), which aimed to address past human rights violations, including those impacting women and children. The TRRC played a pivotal role in shedding light on the vulnerabilities of children during the dictatorship, documenting their experiences of violence, exploitation, and neglect. Through extensive outreach activities, the TRRC engaged with communities across the country, giving families a platform to share the profound impacts of the regime's actions on children. These accounts revealed the psychological trauma, disrupted education, and social marginalization endured by children, emphasizing the urgent need for institutional reforms to protect their rights. By prioritizing inclusivity and amplifying the voices of victims, the TRRC has not only facilitated healing but has also laid the groundwork for rebuilding trust and advancing child rights in The Gambia.</w:t>
      </w:r>
      <w:r w:rsidR="0003209A" w:rsidRPr="0003209A">
        <w:rPr>
          <w:rFonts w:cs="Times New Roman"/>
          <w:b/>
          <w:bCs/>
          <w:sz w:val="28"/>
          <w:szCs w:val="28"/>
        </w:rPr>
        <w:t xml:space="preserve">On </w:t>
      </w:r>
      <w:r w:rsidR="001147F8" w:rsidRPr="0003209A">
        <w:rPr>
          <w:rFonts w:cs="Times New Roman"/>
          <w:b/>
          <w:bCs/>
          <w:sz w:val="28"/>
          <w:szCs w:val="28"/>
        </w:rPr>
        <w:t>Legislative Milestones</w:t>
      </w:r>
    </w:p>
    <w:p w14:paraId="7A9B2BF9"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Our legislative framework has been strengthened to align with international standards. The Children’s Act 2005 was amended in 2016 to criminalize child marriage and other harmful practices. Furthermore, the Women’s Act was amended in 2015 to prohibit Female Genital Mutilation (FGM), and the Persons with Disabilities Act was enacted in 2021 to ensure the inclusion of children with disabilities.</w:t>
      </w:r>
    </w:p>
    <w:p w14:paraId="2DF2F67B" w14:textId="77777777" w:rsidR="001147F8" w:rsidRPr="001147F8" w:rsidRDefault="001147F8" w:rsidP="001147F8">
      <w:pPr>
        <w:spacing w:line="360" w:lineRule="auto"/>
        <w:jc w:val="both"/>
        <w:rPr>
          <w:rFonts w:cs="Times New Roman"/>
          <w:sz w:val="28"/>
          <w:szCs w:val="28"/>
        </w:rPr>
      </w:pPr>
    </w:p>
    <w:p w14:paraId="13A6E15C" w14:textId="3245E974" w:rsidR="001147F8" w:rsidRPr="0003209A" w:rsidRDefault="0003209A" w:rsidP="001147F8">
      <w:pPr>
        <w:spacing w:line="360" w:lineRule="auto"/>
        <w:jc w:val="both"/>
        <w:rPr>
          <w:rFonts w:cs="Times New Roman"/>
          <w:b/>
          <w:bCs/>
          <w:sz w:val="28"/>
          <w:szCs w:val="28"/>
        </w:rPr>
      </w:pPr>
      <w:r w:rsidRPr="0003209A">
        <w:rPr>
          <w:rFonts w:cs="Times New Roman"/>
          <w:b/>
          <w:bCs/>
          <w:sz w:val="28"/>
          <w:szCs w:val="28"/>
        </w:rPr>
        <w:t xml:space="preserve">On </w:t>
      </w:r>
      <w:r w:rsidR="001147F8" w:rsidRPr="0003209A">
        <w:rPr>
          <w:rFonts w:cs="Times New Roman"/>
          <w:b/>
          <w:bCs/>
          <w:sz w:val="28"/>
          <w:szCs w:val="28"/>
        </w:rPr>
        <w:t>Institutional Advancements</w:t>
      </w:r>
    </w:p>
    <w:p w14:paraId="04204823"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To coordinate and streamline child protection efforts, The Gambia has undertaken several critical steps. Notably, we established the Ministry of Gender, Children, and Social Welfare in 2019 to serve as the primary institution for addressing issues related to gender and child welfare. Specialized units such as the Directorate of Children’s Affairs focus on advancing child protection policies and programs. The Ministry of Justice houses a Sexual and Gender-Based Violence (SGBV) Unit, which plays a vital role in addressing cases of violence and abuse affecting children and women.</w:t>
      </w:r>
    </w:p>
    <w:p w14:paraId="657C25A7" w14:textId="77777777" w:rsidR="001147F8" w:rsidRPr="001147F8" w:rsidRDefault="001147F8" w:rsidP="001147F8">
      <w:pPr>
        <w:spacing w:line="360" w:lineRule="auto"/>
        <w:jc w:val="both"/>
        <w:rPr>
          <w:rFonts w:cs="Times New Roman"/>
          <w:sz w:val="28"/>
          <w:szCs w:val="28"/>
        </w:rPr>
      </w:pPr>
    </w:p>
    <w:p w14:paraId="66BD67AF" w14:textId="01E339D3" w:rsidR="001147F8" w:rsidRDefault="001147F8" w:rsidP="001147F8">
      <w:pPr>
        <w:spacing w:line="360" w:lineRule="auto"/>
        <w:jc w:val="both"/>
        <w:rPr>
          <w:rFonts w:cs="Times New Roman"/>
          <w:sz w:val="28"/>
          <w:szCs w:val="28"/>
        </w:rPr>
      </w:pPr>
      <w:r w:rsidRPr="001147F8">
        <w:rPr>
          <w:rFonts w:cs="Times New Roman"/>
          <w:sz w:val="28"/>
          <w:szCs w:val="28"/>
        </w:rPr>
        <w:t>Additionally, child welfare units have been set up at major police stations across the country</w:t>
      </w:r>
      <w:r w:rsidR="00677444">
        <w:rPr>
          <w:rFonts w:cs="Times New Roman"/>
          <w:sz w:val="28"/>
          <w:szCs w:val="28"/>
        </w:rPr>
        <w:t xml:space="preserve">, National Drug Law Enforcement Agency offices, Immigration offices </w:t>
      </w:r>
      <w:r w:rsidRPr="001147F8">
        <w:rPr>
          <w:rFonts w:cs="Times New Roman"/>
          <w:sz w:val="28"/>
          <w:szCs w:val="28"/>
        </w:rPr>
        <w:t xml:space="preserve"> to ensure immediate and specialized responses to child protection cases. These units bridge the gap between law enforcement and social services, providing holistic support to affected children and their families.</w:t>
      </w:r>
    </w:p>
    <w:p w14:paraId="2CCE04D1" w14:textId="77777777" w:rsidR="0003209A" w:rsidRDefault="0003209A" w:rsidP="001147F8">
      <w:pPr>
        <w:spacing w:line="360" w:lineRule="auto"/>
        <w:jc w:val="both"/>
        <w:rPr>
          <w:rFonts w:cs="Times New Roman"/>
          <w:sz w:val="28"/>
          <w:szCs w:val="28"/>
        </w:rPr>
      </w:pPr>
    </w:p>
    <w:p w14:paraId="4B97B083" w14:textId="77777777" w:rsidR="0003209A" w:rsidRDefault="0003209A" w:rsidP="001147F8">
      <w:pPr>
        <w:spacing w:line="360" w:lineRule="auto"/>
        <w:jc w:val="both"/>
        <w:rPr>
          <w:rFonts w:cs="Times New Roman"/>
          <w:sz w:val="28"/>
          <w:szCs w:val="28"/>
        </w:rPr>
      </w:pPr>
    </w:p>
    <w:p w14:paraId="0E76BA10" w14:textId="155B72ED" w:rsidR="0003209A" w:rsidRPr="0003209A" w:rsidRDefault="0003209A" w:rsidP="0003209A">
      <w:pPr>
        <w:spacing w:line="360" w:lineRule="auto"/>
        <w:jc w:val="both"/>
        <w:rPr>
          <w:rFonts w:cs="Times New Roman"/>
          <w:b/>
          <w:bCs/>
          <w:sz w:val="28"/>
          <w:szCs w:val="28"/>
        </w:rPr>
      </w:pPr>
      <w:r w:rsidRPr="0003209A">
        <w:rPr>
          <w:rFonts w:cs="Times New Roman"/>
          <w:b/>
          <w:bCs/>
          <w:sz w:val="28"/>
          <w:szCs w:val="28"/>
        </w:rPr>
        <w:t>Role of the Ministry of Gender and Social Welfare</w:t>
      </w:r>
    </w:p>
    <w:p w14:paraId="0B3F939F" w14:textId="06DDAF88" w:rsidR="001147F8" w:rsidRDefault="0003209A" w:rsidP="001147F8">
      <w:pPr>
        <w:spacing w:line="360" w:lineRule="auto"/>
        <w:jc w:val="both"/>
        <w:rPr>
          <w:rFonts w:cs="Times New Roman"/>
          <w:sz w:val="28"/>
          <w:szCs w:val="28"/>
        </w:rPr>
      </w:pPr>
      <w:r w:rsidRPr="0003209A">
        <w:rPr>
          <w:rFonts w:cs="Times New Roman"/>
          <w:sz w:val="28"/>
          <w:szCs w:val="28"/>
        </w:rPr>
        <w:t>Beyond its focus on children, the Ministry of Gender, Children, and Social Welfare plays a crucial role in promoting gender equality and empowering women. The Directorate of Gender leads initiatives aimed at addressing gender-based violence, economic inequality, and access to opportunities for women, many of whom are mothers and caregivers. This directly benefits children, as empowered women are better equipped to provide for and nurture their families. Meanwhile, the Directorate of Social Welfare focuses on social protection programs targeting vulnerable populations, including orphans, children with disabilities, and families in poverty. Initiatives such as cash transfer programs and family strengthening efforts ensure that children in at-risk households have access to basic needs, education, and healthcare. Together, these departments work synergistically to create an environment where children can thrive within supportive families and communities.</w:t>
      </w:r>
    </w:p>
    <w:p w14:paraId="7DBFE288" w14:textId="77777777" w:rsidR="0003209A" w:rsidRPr="001147F8" w:rsidRDefault="0003209A" w:rsidP="001147F8">
      <w:pPr>
        <w:spacing w:line="360" w:lineRule="auto"/>
        <w:jc w:val="both"/>
        <w:rPr>
          <w:rFonts w:cs="Times New Roman"/>
          <w:sz w:val="28"/>
          <w:szCs w:val="28"/>
        </w:rPr>
      </w:pPr>
    </w:p>
    <w:p w14:paraId="55F01F28" w14:textId="456265E1" w:rsidR="001147F8" w:rsidRPr="0003209A" w:rsidRDefault="0003209A" w:rsidP="001147F8">
      <w:pPr>
        <w:spacing w:line="360" w:lineRule="auto"/>
        <w:jc w:val="both"/>
        <w:rPr>
          <w:rFonts w:cs="Times New Roman"/>
          <w:b/>
          <w:bCs/>
          <w:sz w:val="28"/>
          <w:szCs w:val="28"/>
        </w:rPr>
      </w:pPr>
      <w:r w:rsidRPr="0003209A">
        <w:rPr>
          <w:rFonts w:cs="Times New Roman"/>
          <w:b/>
          <w:bCs/>
          <w:sz w:val="28"/>
          <w:szCs w:val="28"/>
        </w:rPr>
        <w:t xml:space="preserve">On </w:t>
      </w:r>
      <w:r w:rsidR="001147F8" w:rsidRPr="0003209A">
        <w:rPr>
          <w:rFonts w:cs="Times New Roman"/>
          <w:b/>
          <w:bCs/>
          <w:sz w:val="28"/>
          <w:szCs w:val="28"/>
        </w:rPr>
        <w:t>Policy Development</w:t>
      </w:r>
    </w:p>
    <w:p w14:paraId="4439982F" w14:textId="1B7A6D39" w:rsidR="0003209A" w:rsidRDefault="001147F8" w:rsidP="001147F8">
      <w:pPr>
        <w:spacing w:line="360" w:lineRule="auto"/>
        <w:jc w:val="both"/>
        <w:rPr>
          <w:rFonts w:cs="Times New Roman"/>
          <w:sz w:val="28"/>
          <w:szCs w:val="28"/>
        </w:rPr>
      </w:pPr>
      <w:r w:rsidRPr="001147F8">
        <w:rPr>
          <w:rFonts w:cs="Times New Roman"/>
          <w:sz w:val="28"/>
          <w:szCs w:val="28"/>
        </w:rPr>
        <w:t>The National Child Protection Strategy, the Minimum Standards for Quality Care in Residential Facilities</w:t>
      </w:r>
      <w:r w:rsidR="00963BDE">
        <w:rPr>
          <w:rFonts w:cs="Times New Roman"/>
          <w:sz w:val="28"/>
          <w:szCs w:val="28"/>
        </w:rPr>
        <w:t xml:space="preserve"> 2022</w:t>
      </w:r>
      <w:r w:rsidRPr="001147F8">
        <w:rPr>
          <w:rFonts w:cs="Times New Roman"/>
          <w:sz w:val="28"/>
          <w:szCs w:val="28"/>
        </w:rPr>
        <w:t>,</w:t>
      </w:r>
      <w:r w:rsidR="00963BDE">
        <w:rPr>
          <w:rFonts w:cs="Times New Roman"/>
          <w:sz w:val="28"/>
          <w:szCs w:val="28"/>
        </w:rPr>
        <w:t xml:space="preserve"> the National Referral Mechanism</w:t>
      </w:r>
      <w:r w:rsidRPr="001147F8">
        <w:rPr>
          <w:rFonts w:cs="Times New Roman"/>
          <w:sz w:val="28"/>
          <w:szCs w:val="28"/>
        </w:rPr>
        <w:t xml:space="preserve"> </w:t>
      </w:r>
      <w:r w:rsidR="00963BDE">
        <w:rPr>
          <w:rFonts w:cs="Times New Roman"/>
          <w:sz w:val="28"/>
          <w:szCs w:val="28"/>
        </w:rPr>
        <w:t xml:space="preserve"> 2022 </w:t>
      </w:r>
      <w:r w:rsidRPr="001147F8">
        <w:rPr>
          <w:rFonts w:cs="Times New Roman"/>
          <w:sz w:val="28"/>
          <w:szCs w:val="28"/>
        </w:rPr>
        <w:t>and the Child Labour Policy have been developed and operationalized to address critical gaps in child protection. These policies are complemented by the Gender Management Information System (GMIS), which provides data to inform evidence-based decision-making.</w:t>
      </w:r>
    </w:p>
    <w:p w14:paraId="60BB30D2" w14:textId="77777777" w:rsidR="0003209A" w:rsidRDefault="0003209A" w:rsidP="001147F8">
      <w:pPr>
        <w:spacing w:line="360" w:lineRule="auto"/>
        <w:jc w:val="both"/>
        <w:rPr>
          <w:rFonts w:cs="Times New Roman"/>
          <w:sz w:val="28"/>
          <w:szCs w:val="28"/>
        </w:rPr>
      </w:pPr>
    </w:p>
    <w:p w14:paraId="05C5A663" w14:textId="77777777" w:rsidR="0003209A" w:rsidRPr="001147F8" w:rsidRDefault="0003209A" w:rsidP="001147F8">
      <w:pPr>
        <w:spacing w:line="360" w:lineRule="auto"/>
        <w:jc w:val="both"/>
        <w:rPr>
          <w:rFonts w:cs="Times New Roman"/>
          <w:sz w:val="28"/>
          <w:szCs w:val="28"/>
        </w:rPr>
      </w:pPr>
    </w:p>
    <w:p w14:paraId="4711CBCF" w14:textId="686E6388" w:rsidR="001147F8" w:rsidRPr="0003209A" w:rsidRDefault="0003209A" w:rsidP="001147F8">
      <w:pPr>
        <w:spacing w:line="360" w:lineRule="auto"/>
        <w:jc w:val="both"/>
        <w:rPr>
          <w:rFonts w:cs="Times New Roman"/>
          <w:b/>
          <w:bCs/>
          <w:sz w:val="28"/>
          <w:szCs w:val="28"/>
        </w:rPr>
      </w:pPr>
      <w:r w:rsidRPr="0003209A">
        <w:rPr>
          <w:rFonts w:cs="Times New Roman"/>
          <w:b/>
          <w:bCs/>
          <w:sz w:val="28"/>
          <w:szCs w:val="28"/>
        </w:rPr>
        <w:t xml:space="preserve">On </w:t>
      </w:r>
      <w:r w:rsidR="001147F8" w:rsidRPr="0003209A">
        <w:rPr>
          <w:rFonts w:cs="Times New Roman"/>
          <w:b/>
          <w:bCs/>
          <w:sz w:val="28"/>
          <w:szCs w:val="28"/>
        </w:rPr>
        <w:t>Inclusive Education</w:t>
      </w:r>
    </w:p>
    <w:p w14:paraId="10C4AC0E" w14:textId="77777777" w:rsidR="001147F8" w:rsidRPr="001147F8" w:rsidRDefault="001147F8" w:rsidP="001147F8">
      <w:pPr>
        <w:spacing w:line="360" w:lineRule="auto"/>
        <w:jc w:val="both"/>
        <w:rPr>
          <w:rFonts w:cs="Times New Roman"/>
          <w:sz w:val="28"/>
          <w:szCs w:val="28"/>
        </w:rPr>
      </w:pPr>
    </w:p>
    <w:p w14:paraId="30F20DA7" w14:textId="7919E26D" w:rsidR="00963BDE" w:rsidRDefault="00963BDE" w:rsidP="001147F8">
      <w:pPr>
        <w:spacing w:line="360" w:lineRule="auto"/>
        <w:jc w:val="both"/>
        <w:rPr>
          <w:rFonts w:cs="Times New Roman"/>
          <w:sz w:val="28"/>
          <w:szCs w:val="28"/>
        </w:rPr>
      </w:pPr>
      <w:r w:rsidRPr="00963BDE">
        <w:rPr>
          <w:rFonts w:cs="Times New Roman"/>
          <w:sz w:val="28"/>
          <w:szCs w:val="28"/>
        </w:rPr>
        <w:t xml:space="preserve">The Gambia has taken significant strides toward ensuring the right to social and inclusive education for all children. Through the establishment of the Inclusive Education Directorate under the Ministry of Basic and Secondary Education (MoBSE), we are working to guarantee that children with disabilities have access to quality education. This effort is further supported by the deployment of itinerant teachers, the provision of assistive technologies such as Braille machines, hearing aids, and lenses, and the introduction of incentive programs to increase teacher availability in rural areas. By decentralizing teacher training to rural regions like Basse and introducing hardship allowances, we aim to bridge the education gap between urban and rural areas. Access to education for persons with disabilities has been further bolstered by the Persons with Disabilities Act 2021 and the development of the Disability Policy 2022. Additionally, The Gambia has established special needs schools for children with vision impairments, those who </w:t>
      </w:r>
      <w:r w:rsidR="00DD1C15">
        <w:rPr>
          <w:rFonts w:cs="Times New Roman"/>
          <w:sz w:val="28"/>
          <w:szCs w:val="28"/>
        </w:rPr>
        <w:t>with hard of hearing</w:t>
      </w:r>
      <w:r w:rsidRPr="00963BDE">
        <w:rPr>
          <w:rFonts w:cs="Times New Roman"/>
          <w:sz w:val="28"/>
          <w:szCs w:val="28"/>
        </w:rPr>
        <w:t>, and children with autism, ensuring tailored support and learning environments that cater to their unique needs. However, this is an area where the government requires and needs more support and collaboration with international partners to enhance resources, build capacity, and sustain inclusive education programs effectively. Such partnerships are vital to ensuring that no child is left behind.</w:t>
      </w:r>
    </w:p>
    <w:p w14:paraId="6A1E7509" w14:textId="77777777" w:rsidR="00963BDE" w:rsidRDefault="00963BDE" w:rsidP="001147F8">
      <w:pPr>
        <w:spacing w:line="360" w:lineRule="auto"/>
        <w:jc w:val="both"/>
        <w:rPr>
          <w:rFonts w:cs="Times New Roman"/>
          <w:sz w:val="28"/>
          <w:szCs w:val="28"/>
        </w:rPr>
      </w:pPr>
    </w:p>
    <w:p w14:paraId="045E7676" w14:textId="51028E6B" w:rsidR="001147F8" w:rsidRPr="008F0798" w:rsidRDefault="001147F8" w:rsidP="001147F8">
      <w:pPr>
        <w:spacing w:line="360" w:lineRule="auto"/>
        <w:jc w:val="both"/>
        <w:rPr>
          <w:rFonts w:cs="Times New Roman"/>
          <w:b/>
          <w:bCs/>
          <w:sz w:val="28"/>
          <w:szCs w:val="28"/>
        </w:rPr>
      </w:pPr>
      <w:r w:rsidRPr="008F0798">
        <w:rPr>
          <w:rFonts w:cs="Times New Roman"/>
          <w:b/>
          <w:bCs/>
          <w:sz w:val="28"/>
          <w:szCs w:val="28"/>
        </w:rPr>
        <w:t>Progress in Education</w:t>
      </w:r>
    </w:p>
    <w:p w14:paraId="36F33208" w14:textId="513F76E7" w:rsidR="001147F8" w:rsidRDefault="001147F8" w:rsidP="001147F8">
      <w:pPr>
        <w:spacing w:line="360" w:lineRule="auto"/>
        <w:jc w:val="both"/>
        <w:rPr>
          <w:rFonts w:cs="Times New Roman"/>
          <w:sz w:val="28"/>
          <w:szCs w:val="28"/>
        </w:rPr>
      </w:pPr>
      <w:r w:rsidRPr="001147F8">
        <w:rPr>
          <w:rFonts w:cs="Times New Roman"/>
          <w:sz w:val="28"/>
          <w:szCs w:val="28"/>
        </w:rPr>
        <w:t xml:space="preserve">In education, The Gambia has prioritized inclusive and equitable access to quality education. Policies to improve </w:t>
      </w:r>
      <w:r w:rsidR="008F0798" w:rsidRPr="001147F8">
        <w:rPr>
          <w:rFonts w:cs="Times New Roman"/>
          <w:sz w:val="28"/>
          <w:szCs w:val="28"/>
        </w:rPr>
        <w:t>enrolment</w:t>
      </w:r>
      <w:r w:rsidRPr="001147F8">
        <w:rPr>
          <w:rFonts w:cs="Times New Roman"/>
          <w:sz w:val="28"/>
          <w:szCs w:val="28"/>
        </w:rPr>
        <w:t xml:space="preserve"> and retention rates, particularly for girls and children with disabilities, have been implemented. Free primary and secondary education initiatives and the provision of school meals in disadvantaged regions have contributed to narrowing the education gap. The introduction of digital learning tools and infrastructure in urban and rural schools represents a step forward in bridging the digital divide.</w:t>
      </w:r>
    </w:p>
    <w:p w14:paraId="0BBA9BF4" w14:textId="77777777" w:rsidR="00677444" w:rsidRPr="00677444" w:rsidRDefault="00677444" w:rsidP="00677444">
      <w:pPr>
        <w:spacing w:line="360" w:lineRule="auto"/>
        <w:jc w:val="both"/>
        <w:rPr>
          <w:rFonts w:cs="Times New Roman"/>
          <w:sz w:val="28"/>
          <w:szCs w:val="28"/>
        </w:rPr>
      </w:pPr>
      <w:r w:rsidRPr="00677444">
        <w:rPr>
          <w:rFonts w:cs="Times New Roman"/>
          <w:sz w:val="28"/>
          <w:szCs w:val="28"/>
        </w:rPr>
        <w:t>Progress in Health</w:t>
      </w:r>
    </w:p>
    <w:p w14:paraId="10FD92E5" w14:textId="77777777" w:rsidR="00677444" w:rsidRPr="00677444" w:rsidRDefault="00677444" w:rsidP="00677444">
      <w:pPr>
        <w:spacing w:line="360" w:lineRule="auto"/>
        <w:jc w:val="both"/>
        <w:rPr>
          <w:rFonts w:cs="Times New Roman"/>
          <w:sz w:val="28"/>
          <w:szCs w:val="28"/>
        </w:rPr>
      </w:pPr>
    </w:p>
    <w:p w14:paraId="6AF917F5" w14:textId="77777777" w:rsidR="00677444" w:rsidRPr="00677444" w:rsidRDefault="00677444" w:rsidP="00677444">
      <w:pPr>
        <w:spacing w:line="360" w:lineRule="auto"/>
        <w:jc w:val="both"/>
        <w:rPr>
          <w:rFonts w:cs="Times New Roman"/>
          <w:sz w:val="28"/>
          <w:szCs w:val="28"/>
        </w:rPr>
      </w:pPr>
      <w:r w:rsidRPr="00677444">
        <w:rPr>
          <w:rFonts w:cs="Times New Roman"/>
          <w:sz w:val="28"/>
          <w:szCs w:val="28"/>
        </w:rPr>
        <w:t>In the area of health, The Gambia has made significant strides in improving healthcare services for children, prioritizing both preventive and curative measures. Key programs such as the Maternal, Child, Nutrition, and Health Results Project (MCNHRP) have expanded access to essential health services in underserved communities. The establishment of the National Health Insurance Scheme (NHIS) ensures equitable access to healthcare services for children from low-income households.</w:t>
      </w:r>
    </w:p>
    <w:p w14:paraId="7118F7C1" w14:textId="77777777" w:rsidR="00677444" w:rsidRPr="00677444" w:rsidRDefault="00677444" w:rsidP="00677444">
      <w:pPr>
        <w:spacing w:line="360" w:lineRule="auto"/>
        <w:jc w:val="both"/>
        <w:rPr>
          <w:rFonts w:cs="Times New Roman"/>
          <w:sz w:val="28"/>
          <w:szCs w:val="28"/>
        </w:rPr>
      </w:pPr>
    </w:p>
    <w:p w14:paraId="65E59ABA" w14:textId="77777777" w:rsidR="00677444" w:rsidRPr="00677444" w:rsidRDefault="00677444" w:rsidP="00677444">
      <w:pPr>
        <w:spacing w:line="360" w:lineRule="auto"/>
        <w:jc w:val="both"/>
        <w:rPr>
          <w:rFonts w:cs="Times New Roman"/>
          <w:sz w:val="28"/>
          <w:szCs w:val="28"/>
        </w:rPr>
      </w:pPr>
      <w:r w:rsidRPr="00677444">
        <w:rPr>
          <w:rFonts w:cs="Times New Roman"/>
          <w:sz w:val="28"/>
          <w:szCs w:val="28"/>
        </w:rPr>
        <w:t>These health interventions are directly aligned with the principles and objectives of the CRC, particularly Articles 24 and 25, which emphasize the right of children to enjoy the highest attainable standard of health and access to healthcare services. By implementing initiatives such as the National Health Insurance Scheme (NHIS) and one-stop centers for survivors of violence, The Gambia reaffirms its commitment to fulfilling the CRC's mandate to protect children from disease, ensure timely medical care, and address the unique vulnerabilities faced by marginalized groups, including children with disabilities and survivors of abuse.</w:t>
      </w:r>
    </w:p>
    <w:p w14:paraId="346DB5E6" w14:textId="77777777" w:rsidR="00677444" w:rsidRPr="00677444" w:rsidRDefault="00677444" w:rsidP="00677444">
      <w:pPr>
        <w:spacing w:line="360" w:lineRule="auto"/>
        <w:jc w:val="both"/>
        <w:rPr>
          <w:rFonts w:cs="Times New Roman"/>
          <w:sz w:val="28"/>
          <w:szCs w:val="28"/>
        </w:rPr>
      </w:pPr>
    </w:p>
    <w:p w14:paraId="6FE81AB5" w14:textId="77777777" w:rsidR="00677444" w:rsidRPr="00677444" w:rsidRDefault="00677444" w:rsidP="00677444">
      <w:pPr>
        <w:spacing w:line="360" w:lineRule="auto"/>
        <w:jc w:val="both"/>
        <w:rPr>
          <w:rFonts w:cs="Times New Roman"/>
          <w:sz w:val="28"/>
          <w:szCs w:val="28"/>
        </w:rPr>
      </w:pPr>
      <w:r w:rsidRPr="00677444">
        <w:rPr>
          <w:rFonts w:cs="Times New Roman"/>
          <w:sz w:val="28"/>
          <w:szCs w:val="28"/>
        </w:rPr>
        <w:t>Vaccination campaigns have significantly reduced the prevalence of childhood diseases. Health education programs targeting adolescent reproductive health empower young people with knowledge to make informed decisions. One-stop centers for survivors of sexual and gender-based violence provide children with access to critical medical, psychosocial, and legal support services.</w:t>
      </w:r>
    </w:p>
    <w:p w14:paraId="69E24E02" w14:textId="77777777" w:rsidR="00677444" w:rsidRDefault="00677444" w:rsidP="001147F8">
      <w:pPr>
        <w:spacing w:line="360" w:lineRule="auto"/>
        <w:jc w:val="both"/>
        <w:rPr>
          <w:rFonts w:cs="Times New Roman"/>
          <w:sz w:val="28"/>
          <w:szCs w:val="28"/>
        </w:rPr>
      </w:pPr>
    </w:p>
    <w:p w14:paraId="30D5FD13" w14:textId="77777777" w:rsidR="008F0798" w:rsidRDefault="008F0798" w:rsidP="001147F8">
      <w:pPr>
        <w:spacing w:line="360" w:lineRule="auto"/>
        <w:jc w:val="both"/>
        <w:rPr>
          <w:rFonts w:cs="Times New Roman"/>
          <w:sz w:val="28"/>
          <w:szCs w:val="28"/>
        </w:rPr>
      </w:pPr>
    </w:p>
    <w:p w14:paraId="219F22E6" w14:textId="483D13D9" w:rsidR="008F0798" w:rsidRPr="008F0798" w:rsidRDefault="008F0798" w:rsidP="001147F8">
      <w:pPr>
        <w:spacing w:line="360" w:lineRule="auto"/>
        <w:jc w:val="both"/>
        <w:rPr>
          <w:rFonts w:cs="Times New Roman"/>
          <w:b/>
          <w:bCs/>
          <w:sz w:val="28"/>
          <w:szCs w:val="28"/>
        </w:rPr>
      </w:pPr>
      <w:r w:rsidRPr="008F0798">
        <w:rPr>
          <w:rFonts w:cs="Times New Roman"/>
          <w:b/>
          <w:bCs/>
          <w:sz w:val="28"/>
          <w:szCs w:val="28"/>
        </w:rPr>
        <w:t>On Child Participation</w:t>
      </w:r>
    </w:p>
    <w:p w14:paraId="2AD33A58" w14:textId="0793B915" w:rsidR="001147F8" w:rsidRPr="001147F8" w:rsidRDefault="008F0798" w:rsidP="008F0798">
      <w:pPr>
        <w:spacing w:line="360" w:lineRule="auto"/>
        <w:jc w:val="both"/>
        <w:rPr>
          <w:rFonts w:cs="Times New Roman"/>
          <w:sz w:val="28"/>
          <w:szCs w:val="28"/>
        </w:rPr>
      </w:pPr>
      <w:r w:rsidRPr="008F0798">
        <w:rPr>
          <w:rFonts w:cs="Times New Roman"/>
          <w:sz w:val="28"/>
          <w:szCs w:val="28"/>
        </w:rPr>
        <w:t>The Gambia recognizes the importance of child participation, as enshrined in Article 12 of the CRC, which guarantees children the right to express their views freely on matters affecting them. Mechanisms have been established to ensure children voices are heard in decision-making processes, such as through the Childre</w:t>
      </w:r>
      <w:r>
        <w:rPr>
          <w:rFonts w:cs="Times New Roman"/>
          <w:sz w:val="28"/>
          <w:szCs w:val="28"/>
        </w:rPr>
        <w:t>n</w:t>
      </w:r>
      <w:r w:rsidR="00DB69A4">
        <w:rPr>
          <w:rFonts w:cs="Times New Roman"/>
          <w:sz w:val="28"/>
          <w:szCs w:val="28"/>
        </w:rPr>
        <w:t>’s</w:t>
      </w:r>
      <w:r w:rsidRPr="008F0798">
        <w:rPr>
          <w:rFonts w:cs="Times New Roman"/>
          <w:sz w:val="28"/>
          <w:szCs w:val="28"/>
        </w:rPr>
        <w:t xml:space="preserve"> Parliament, where young representatives deliberate on national issues and advocate for their peers. Additionally, schools and community-based platforms provide opportunities for children to engage in discussions on topics such as education, health, and protection, fostering a culture of active participation and empowerment. These initiatives aim to nurture children</w:t>
      </w:r>
      <w:r w:rsidR="00DB69A4">
        <w:rPr>
          <w:rFonts w:cs="Times New Roman"/>
          <w:sz w:val="28"/>
          <w:szCs w:val="28"/>
        </w:rPr>
        <w:t>^s</w:t>
      </w:r>
      <w:r w:rsidRPr="008F0798">
        <w:rPr>
          <w:rFonts w:cs="Times New Roman"/>
          <w:sz w:val="28"/>
          <w:szCs w:val="28"/>
        </w:rPr>
        <w:t xml:space="preserve"> leadership skills and ensure that policies reflect their perspectives and needs.</w:t>
      </w:r>
    </w:p>
    <w:p w14:paraId="7C94F81E" w14:textId="77777777" w:rsidR="001147F8" w:rsidRPr="001147F8" w:rsidRDefault="001147F8" w:rsidP="001147F8">
      <w:pPr>
        <w:spacing w:line="360" w:lineRule="auto"/>
        <w:jc w:val="both"/>
        <w:rPr>
          <w:rFonts w:cs="Times New Roman"/>
          <w:sz w:val="28"/>
          <w:szCs w:val="28"/>
        </w:rPr>
      </w:pPr>
    </w:p>
    <w:p w14:paraId="5C37FEEB" w14:textId="49300051" w:rsidR="001147F8" w:rsidRPr="008F0798" w:rsidRDefault="001147F8" w:rsidP="001147F8">
      <w:pPr>
        <w:spacing w:line="360" w:lineRule="auto"/>
        <w:jc w:val="both"/>
        <w:rPr>
          <w:rFonts w:cs="Times New Roman"/>
          <w:b/>
          <w:bCs/>
          <w:sz w:val="28"/>
          <w:szCs w:val="28"/>
        </w:rPr>
      </w:pPr>
      <w:r w:rsidRPr="008F0798">
        <w:rPr>
          <w:rFonts w:cs="Times New Roman"/>
          <w:b/>
          <w:bCs/>
          <w:sz w:val="28"/>
          <w:szCs w:val="28"/>
        </w:rPr>
        <w:t>Child Protection Mechanisms</w:t>
      </w:r>
    </w:p>
    <w:p w14:paraId="6B3B6F2F" w14:textId="77777777" w:rsidR="001147F8" w:rsidRDefault="001147F8" w:rsidP="001147F8">
      <w:pPr>
        <w:spacing w:line="360" w:lineRule="auto"/>
        <w:jc w:val="both"/>
        <w:rPr>
          <w:rFonts w:cs="Times New Roman"/>
          <w:sz w:val="28"/>
          <w:szCs w:val="28"/>
        </w:rPr>
      </w:pPr>
      <w:r w:rsidRPr="001147F8">
        <w:rPr>
          <w:rFonts w:cs="Times New Roman"/>
          <w:sz w:val="28"/>
          <w:szCs w:val="28"/>
        </w:rPr>
        <w:t>The government has enhanced child safeguarding through the establishment of Child Protection Units across security agencies, the judiciary, and other relevant institutions. Toll-free helplines such as 1313 complement the existing 199 helpline for confidential reporting of abuse cases. Community child protection committees actively monitor and report cases of abuse and exploitation.</w:t>
      </w:r>
    </w:p>
    <w:p w14:paraId="576D3648" w14:textId="77777777" w:rsidR="00DB69A4" w:rsidRDefault="00DB69A4" w:rsidP="001147F8">
      <w:pPr>
        <w:spacing w:line="360" w:lineRule="auto"/>
        <w:jc w:val="both"/>
        <w:rPr>
          <w:rFonts w:cs="Times New Roman"/>
          <w:sz w:val="28"/>
          <w:szCs w:val="28"/>
        </w:rPr>
      </w:pPr>
    </w:p>
    <w:p w14:paraId="71A967D2" w14:textId="11F16F3D" w:rsidR="00DB69A4" w:rsidRPr="00DB69A4" w:rsidRDefault="00DB69A4" w:rsidP="00DB69A4">
      <w:pPr>
        <w:spacing w:line="360" w:lineRule="auto"/>
        <w:jc w:val="both"/>
        <w:rPr>
          <w:rFonts w:cs="Times New Roman"/>
          <w:b/>
          <w:bCs/>
          <w:sz w:val="28"/>
          <w:szCs w:val="28"/>
        </w:rPr>
      </w:pPr>
      <w:r w:rsidRPr="00DB69A4">
        <w:rPr>
          <w:rFonts w:cs="Times New Roman"/>
          <w:b/>
          <w:bCs/>
          <w:sz w:val="28"/>
          <w:szCs w:val="28"/>
        </w:rPr>
        <w:t xml:space="preserve">The </w:t>
      </w:r>
      <w:r w:rsidRPr="00DB69A4">
        <w:rPr>
          <w:rFonts w:cs="Times New Roman"/>
          <w:b/>
          <w:bCs/>
          <w:sz w:val="28"/>
          <w:szCs w:val="28"/>
        </w:rPr>
        <w:t>Children’s Courts</w:t>
      </w:r>
    </w:p>
    <w:p w14:paraId="62255AE7" w14:textId="333250FA" w:rsidR="001147F8" w:rsidRDefault="00DB69A4" w:rsidP="001147F8">
      <w:pPr>
        <w:spacing w:line="360" w:lineRule="auto"/>
        <w:jc w:val="both"/>
        <w:rPr>
          <w:rFonts w:cs="Times New Roman"/>
          <w:sz w:val="28"/>
          <w:szCs w:val="28"/>
        </w:rPr>
      </w:pPr>
      <w:r w:rsidRPr="00DB69A4">
        <w:rPr>
          <w:rFonts w:cs="Times New Roman"/>
          <w:sz w:val="28"/>
          <w:szCs w:val="28"/>
        </w:rPr>
        <w:t xml:space="preserve">The Children’s Court in The Gambia plays a pivotal role in ensuring justice for children, as stipulated under the CRC’s Articles 37 and 40, which emphasize child-friendly legal systems. These courts are specifically designed to handle cases involving children, ensuring that proceedings are conducted in a manner that respects their rights and minimizes trauma. With specialized </w:t>
      </w:r>
      <w:r>
        <w:rPr>
          <w:rFonts w:cs="Times New Roman"/>
          <w:sz w:val="28"/>
          <w:szCs w:val="28"/>
        </w:rPr>
        <w:t>Magistrates</w:t>
      </w:r>
      <w:r w:rsidRPr="00DB69A4">
        <w:rPr>
          <w:rFonts w:cs="Times New Roman"/>
          <w:sz w:val="28"/>
          <w:szCs w:val="28"/>
        </w:rPr>
        <w:t xml:space="preserve"> and </w:t>
      </w:r>
      <w:r>
        <w:rPr>
          <w:rFonts w:cs="Times New Roman"/>
          <w:sz w:val="28"/>
          <w:szCs w:val="28"/>
        </w:rPr>
        <w:t xml:space="preserve">Panel Members </w:t>
      </w:r>
      <w:r w:rsidRPr="00DB69A4">
        <w:rPr>
          <w:rFonts w:cs="Times New Roman"/>
          <w:sz w:val="28"/>
          <w:szCs w:val="28"/>
        </w:rPr>
        <w:t xml:space="preserve">trained in child rights, the courts provide a safe environment where children can express their views. Additionally, measures such as confidentiality and the use of child-sensitive procedures ensure that children are protected throughout the legal process. </w:t>
      </w:r>
    </w:p>
    <w:p w14:paraId="77EFF254" w14:textId="77777777" w:rsidR="00DB69A4" w:rsidRPr="001147F8" w:rsidRDefault="00DB69A4" w:rsidP="001147F8">
      <w:pPr>
        <w:spacing w:line="360" w:lineRule="auto"/>
        <w:jc w:val="both"/>
        <w:rPr>
          <w:rFonts w:cs="Times New Roman"/>
          <w:sz w:val="28"/>
          <w:szCs w:val="28"/>
        </w:rPr>
      </w:pPr>
    </w:p>
    <w:p w14:paraId="33785676" w14:textId="66E7B0C1" w:rsidR="00DB69A4" w:rsidRPr="00DB69A4" w:rsidRDefault="00DB69A4" w:rsidP="00DB69A4">
      <w:pPr>
        <w:spacing w:line="360" w:lineRule="auto"/>
        <w:jc w:val="both"/>
        <w:rPr>
          <w:rFonts w:cs="Times New Roman"/>
          <w:b/>
          <w:bCs/>
          <w:sz w:val="28"/>
          <w:szCs w:val="28"/>
        </w:rPr>
      </w:pPr>
      <w:r w:rsidRPr="00DB69A4">
        <w:rPr>
          <w:rFonts w:cs="Times New Roman"/>
          <w:b/>
          <w:bCs/>
          <w:sz w:val="28"/>
          <w:szCs w:val="28"/>
        </w:rPr>
        <w:t>Food and Nutrition Security</w:t>
      </w:r>
    </w:p>
    <w:p w14:paraId="4B8DC0B5" w14:textId="2A99BCAB" w:rsidR="008F0798" w:rsidRDefault="00DB69A4" w:rsidP="00DB69A4">
      <w:pPr>
        <w:spacing w:line="360" w:lineRule="auto"/>
        <w:jc w:val="both"/>
        <w:rPr>
          <w:rFonts w:cs="Times New Roman"/>
          <w:sz w:val="28"/>
          <w:szCs w:val="28"/>
        </w:rPr>
      </w:pPr>
      <w:r w:rsidRPr="00DB69A4">
        <w:rPr>
          <w:rFonts w:cs="Times New Roman"/>
          <w:sz w:val="28"/>
          <w:szCs w:val="28"/>
        </w:rPr>
        <w:t>Ensuring adequate nutrition for children remains a cornerstone of The Gambia's commitment to upholding the CRC. The country continues to address a triple burden of malnutrition: undernutrition, overnutrition, and micronutrient deficiencies. Significant progress has been made in reducing stunting, wasting, and underweight prevalence among children under five, showcasing the impact of targeted nutrition programs and interventions. However, these gains remain vulnerable to setbacks caused by external factors such as the COVID-19 pandemic, climate change, and global economic pressures. To safeguard and sustain these improvements, The Gambia is increasing investments in proven nutrition programs, including community-based initiatives that emphasize food security, dietary diversity, and access to fortified foods.</w:t>
      </w:r>
    </w:p>
    <w:p w14:paraId="53277F67" w14:textId="77777777" w:rsidR="00677444" w:rsidRDefault="00677444" w:rsidP="00DB69A4">
      <w:pPr>
        <w:spacing w:line="360" w:lineRule="auto"/>
        <w:jc w:val="both"/>
        <w:rPr>
          <w:rFonts w:cs="Times New Roman"/>
          <w:sz w:val="28"/>
          <w:szCs w:val="28"/>
        </w:rPr>
      </w:pPr>
    </w:p>
    <w:p w14:paraId="35BBEA15" w14:textId="77777777" w:rsidR="00677444" w:rsidRDefault="00677444" w:rsidP="00DB69A4">
      <w:pPr>
        <w:spacing w:line="360" w:lineRule="auto"/>
        <w:jc w:val="both"/>
        <w:rPr>
          <w:rFonts w:cs="Times New Roman"/>
          <w:sz w:val="28"/>
          <w:szCs w:val="28"/>
        </w:rPr>
      </w:pPr>
    </w:p>
    <w:p w14:paraId="37B79CE5" w14:textId="77777777" w:rsidR="00677444" w:rsidRPr="00677444" w:rsidRDefault="00677444" w:rsidP="00DB69A4">
      <w:pPr>
        <w:spacing w:line="360" w:lineRule="auto"/>
        <w:jc w:val="both"/>
        <w:rPr>
          <w:rFonts w:cs="Times New Roman"/>
          <w:b/>
          <w:bCs/>
          <w:sz w:val="28"/>
          <w:szCs w:val="28"/>
        </w:rPr>
      </w:pPr>
      <w:r w:rsidRPr="00677444">
        <w:rPr>
          <w:rFonts w:cs="Times New Roman"/>
          <w:b/>
          <w:bCs/>
          <w:sz w:val="28"/>
          <w:szCs w:val="28"/>
        </w:rPr>
        <w:t xml:space="preserve">On collaboration with CSOs and the NHRC </w:t>
      </w:r>
    </w:p>
    <w:p w14:paraId="5A773B74" w14:textId="4273CDEE" w:rsidR="00677444" w:rsidRDefault="00677444" w:rsidP="00DB69A4">
      <w:pPr>
        <w:spacing w:line="360" w:lineRule="auto"/>
        <w:jc w:val="both"/>
        <w:rPr>
          <w:rFonts w:cs="Times New Roman"/>
          <w:sz w:val="28"/>
          <w:szCs w:val="28"/>
        </w:rPr>
      </w:pPr>
      <w:r w:rsidRPr="00677444">
        <w:rPr>
          <w:rFonts w:cs="Times New Roman"/>
          <w:sz w:val="28"/>
          <w:szCs w:val="28"/>
        </w:rPr>
        <w:t>The Ministry of Gender, Children, and Social Welfare has collaborated closely with civil society organizations (CSOs) and the National Human Rights Commission (NHRC) to strengthen child protection systems and promote the welfare of children in The Gambia. This partnership has facilitated the implementation of child-focused programs, including advocacy campaigns, capacity-building initiatives</w:t>
      </w:r>
      <w:r w:rsidR="00963BDE">
        <w:rPr>
          <w:rFonts w:cs="Times New Roman"/>
          <w:sz w:val="28"/>
          <w:szCs w:val="28"/>
        </w:rPr>
        <w:t xml:space="preserve"> for policz makers and law enforcement officers</w:t>
      </w:r>
      <w:r w:rsidRPr="00677444">
        <w:rPr>
          <w:rFonts w:cs="Times New Roman"/>
          <w:sz w:val="28"/>
          <w:szCs w:val="28"/>
        </w:rPr>
        <w:t>. The Ministry has worked with CSOs to provide psychosocial support, reintegration services for vulnerable children, and support for families impacted by past human rights violations. In collaboration with the NHRC, the Ministry has advanced policy reforms and public sensitization efforts to address child abuse, exploitation, and neglect. These joint efforts have ensured a holistic approach to protecting children’s rights, emphasizing accountability, access to justice, and the creation of an enabling environment for the realization of their full potential. Through these partnerships, the Ministry has reinforced its commitment to safeguarding the rights and well-being of children across the country.</w:t>
      </w:r>
    </w:p>
    <w:p w14:paraId="0985DE09" w14:textId="77777777" w:rsidR="00677444" w:rsidRDefault="00677444" w:rsidP="00DB69A4">
      <w:pPr>
        <w:spacing w:line="360" w:lineRule="auto"/>
        <w:jc w:val="both"/>
        <w:rPr>
          <w:rFonts w:cs="Times New Roman"/>
          <w:sz w:val="28"/>
          <w:szCs w:val="28"/>
        </w:rPr>
      </w:pPr>
    </w:p>
    <w:p w14:paraId="292F6D22" w14:textId="77777777" w:rsidR="00963BDE" w:rsidRPr="00DB69A4" w:rsidRDefault="00963BDE" w:rsidP="00DB69A4">
      <w:pPr>
        <w:spacing w:line="360" w:lineRule="auto"/>
        <w:jc w:val="both"/>
        <w:rPr>
          <w:rFonts w:cs="Times New Roman"/>
          <w:sz w:val="28"/>
          <w:szCs w:val="28"/>
        </w:rPr>
      </w:pPr>
    </w:p>
    <w:p w14:paraId="5833D2ED" w14:textId="77777777" w:rsidR="008F0798" w:rsidRPr="00DB69A4" w:rsidRDefault="008F0798" w:rsidP="008F0798">
      <w:pPr>
        <w:spacing w:line="360" w:lineRule="auto"/>
        <w:jc w:val="both"/>
        <w:rPr>
          <w:rFonts w:cs="Times New Roman"/>
          <w:b/>
          <w:bCs/>
          <w:sz w:val="28"/>
          <w:szCs w:val="28"/>
        </w:rPr>
      </w:pPr>
      <w:r w:rsidRPr="00DB69A4">
        <w:rPr>
          <w:rFonts w:cs="Times New Roman"/>
          <w:b/>
          <w:bCs/>
          <w:sz w:val="28"/>
          <w:szCs w:val="28"/>
        </w:rPr>
        <w:t xml:space="preserve">Madam Chairperson, </w:t>
      </w:r>
    </w:p>
    <w:p w14:paraId="572FC54F" w14:textId="77777777" w:rsidR="008F0798" w:rsidRPr="008F0798" w:rsidRDefault="008F0798" w:rsidP="008F0798">
      <w:pPr>
        <w:spacing w:line="360" w:lineRule="auto"/>
        <w:jc w:val="both"/>
        <w:rPr>
          <w:rFonts w:cs="Times New Roman"/>
          <w:sz w:val="28"/>
          <w:szCs w:val="28"/>
        </w:rPr>
      </w:pPr>
      <w:r w:rsidRPr="008F0798">
        <w:rPr>
          <w:rFonts w:cs="Times New Roman"/>
          <w:sz w:val="28"/>
          <w:szCs w:val="28"/>
        </w:rPr>
        <w:t>The Gambia remains steadfast in its commitment to creating a future where every child can thrive. To this end, our government has prioritized the following actions:</w:t>
      </w:r>
    </w:p>
    <w:p w14:paraId="5EB14129" w14:textId="77777777" w:rsidR="008F0798" w:rsidRPr="008F0798" w:rsidRDefault="008F0798" w:rsidP="008F0798">
      <w:pPr>
        <w:spacing w:line="360" w:lineRule="auto"/>
        <w:jc w:val="both"/>
        <w:rPr>
          <w:rFonts w:cs="Times New Roman"/>
          <w:sz w:val="28"/>
          <w:szCs w:val="28"/>
        </w:rPr>
      </w:pPr>
    </w:p>
    <w:p w14:paraId="511DBD73" w14:textId="77777777" w:rsidR="008F0798" w:rsidRPr="00DB69A4" w:rsidRDefault="008F0798" w:rsidP="008F0798">
      <w:pPr>
        <w:spacing w:line="360" w:lineRule="auto"/>
        <w:jc w:val="both"/>
        <w:rPr>
          <w:rFonts w:cs="Times New Roman"/>
          <w:b/>
          <w:bCs/>
          <w:sz w:val="28"/>
          <w:szCs w:val="28"/>
        </w:rPr>
      </w:pPr>
      <w:r w:rsidRPr="008F0798">
        <w:rPr>
          <w:rFonts w:cs="Times New Roman"/>
          <w:sz w:val="28"/>
          <w:szCs w:val="28"/>
        </w:rPr>
        <w:t>1.</w:t>
      </w:r>
      <w:r w:rsidRPr="008F0798">
        <w:rPr>
          <w:rFonts w:cs="Times New Roman"/>
          <w:sz w:val="28"/>
          <w:szCs w:val="28"/>
        </w:rPr>
        <w:tab/>
      </w:r>
      <w:r w:rsidRPr="00DB69A4">
        <w:rPr>
          <w:rFonts w:cs="Times New Roman"/>
          <w:b/>
          <w:bCs/>
          <w:sz w:val="28"/>
          <w:szCs w:val="28"/>
        </w:rPr>
        <w:t>Expanding investments in child protection services, including psychosocial support and healthcare.</w:t>
      </w:r>
    </w:p>
    <w:p w14:paraId="7CF9D2C5" w14:textId="77777777" w:rsidR="008F0798" w:rsidRPr="008F0798" w:rsidRDefault="008F0798" w:rsidP="008F0798">
      <w:pPr>
        <w:spacing w:line="360" w:lineRule="auto"/>
        <w:jc w:val="both"/>
        <w:rPr>
          <w:rFonts w:cs="Times New Roman"/>
          <w:sz w:val="28"/>
          <w:szCs w:val="28"/>
        </w:rPr>
      </w:pPr>
    </w:p>
    <w:p w14:paraId="1717C249" w14:textId="77777777" w:rsidR="008F0798" w:rsidRPr="00DB69A4" w:rsidRDefault="008F0798" w:rsidP="008F0798">
      <w:pPr>
        <w:spacing w:line="360" w:lineRule="auto"/>
        <w:jc w:val="both"/>
        <w:rPr>
          <w:rFonts w:cs="Times New Roman"/>
          <w:b/>
          <w:bCs/>
          <w:sz w:val="28"/>
          <w:szCs w:val="28"/>
        </w:rPr>
      </w:pPr>
      <w:r w:rsidRPr="008F0798">
        <w:rPr>
          <w:rFonts w:cs="Times New Roman"/>
          <w:sz w:val="28"/>
          <w:szCs w:val="28"/>
        </w:rPr>
        <w:t>2.</w:t>
      </w:r>
      <w:r w:rsidRPr="008F0798">
        <w:rPr>
          <w:rFonts w:cs="Times New Roman"/>
          <w:sz w:val="28"/>
          <w:szCs w:val="28"/>
        </w:rPr>
        <w:tab/>
      </w:r>
      <w:r w:rsidRPr="00DB69A4">
        <w:rPr>
          <w:rFonts w:cs="Times New Roman"/>
          <w:b/>
          <w:bCs/>
          <w:sz w:val="28"/>
          <w:szCs w:val="28"/>
        </w:rPr>
        <w:t>Strengthening enforcement mechanisms to ensure the effective implementation of child protection laws.</w:t>
      </w:r>
    </w:p>
    <w:p w14:paraId="05852199" w14:textId="77777777" w:rsidR="008F0798" w:rsidRPr="00DB69A4" w:rsidRDefault="008F0798" w:rsidP="008F0798">
      <w:pPr>
        <w:spacing w:line="360" w:lineRule="auto"/>
        <w:jc w:val="both"/>
        <w:rPr>
          <w:rFonts w:cs="Times New Roman"/>
          <w:b/>
          <w:bCs/>
          <w:sz w:val="28"/>
          <w:szCs w:val="28"/>
        </w:rPr>
      </w:pPr>
    </w:p>
    <w:p w14:paraId="5F668B19" w14:textId="77777777" w:rsidR="008F0798" w:rsidRPr="00DB69A4" w:rsidRDefault="008F0798" w:rsidP="008F0798">
      <w:pPr>
        <w:spacing w:line="360" w:lineRule="auto"/>
        <w:jc w:val="both"/>
        <w:rPr>
          <w:rFonts w:cs="Times New Roman"/>
          <w:b/>
          <w:bCs/>
          <w:sz w:val="28"/>
          <w:szCs w:val="28"/>
        </w:rPr>
      </w:pPr>
      <w:r w:rsidRPr="00DB69A4">
        <w:rPr>
          <w:rFonts w:cs="Times New Roman"/>
          <w:b/>
          <w:bCs/>
          <w:sz w:val="28"/>
          <w:szCs w:val="28"/>
        </w:rPr>
        <w:t>3.</w:t>
      </w:r>
      <w:r w:rsidRPr="00DB69A4">
        <w:rPr>
          <w:rFonts w:cs="Times New Roman"/>
          <w:b/>
          <w:bCs/>
          <w:sz w:val="28"/>
          <w:szCs w:val="28"/>
        </w:rPr>
        <w:tab/>
        <w:t>Enhancing inter-agency collaboration to address cross-cutting issues such as trafficking and online exploitation.</w:t>
      </w:r>
    </w:p>
    <w:p w14:paraId="7BF337D6" w14:textId="77777777" w:rsidR="008F0798" w:rsidRPr="00DB69A4" w:rsidRDefault="008F0798" w:rsidP="008F0798">
      <w:pPr>
        <w:spacing w:line="360" w:lineRule="auto"/>
        <w:jc w:val="both"/>
        <w:rPr>
          <w:rFonts w:cs="Times New Roman"/>
          <w:b/>
          <w:bCs/>
          <w:sz w:val="28"/>
          <w:szCs w:val="28"/>
        </w:rPr>
      </w:pPr>
    </w:p>
    <w:p w14:paraId="3CB21350" w14:textId="77777777" w:rsidR="008F0798" w:rsidRPr="00DB69A4" w:rsidRDefault="008F0798" w:rsidP="008F0798">
      <w:pPr>
        <w:spacing w:line="360" w:lineRule="auto"/>
        <w:jc w:val="both"/>
        <w:rPr>
          <w:rFonts w:cs="Times New Roman"/>
          <w:b/>
          <w:bCs/>
          <w:sz w:val="28"/>
          <w:szCs w:val="28"/>
        </w:rPr>
      </w:pPr>
      <w:r w:rsidRPr="00DB69A4">
        <w:rPr>
          <w:rFonts w:cs="Times New Roman"/>
          <w:b/>
          <w:bCs/>
          <w:sz w:val="28"/>
          <w:szCs w:val="28"/>
        </w:rPr>
        <w:t>4.</w:t>
      </w:r>
      <w:r w:rsidRPr="00DB69A4">
        <w:rPr>
          <w:rFonts w:cs="Times New Roman"/>
          <w:b/>
          <w:bCs/>
          <w:sz w:val="28"/>
          <w:szCs w:val="28"/>
        </w:rPr>
        <w:tab/>
        <w:t>Promoting inclusive education and ensuring equitable access to quality healthcare for all children.</w:t>
      </w:r>
    </w:p>
    <w:p w14:paraId="169BC699" w14:textId="77777777" w:rsidR="008F0798" w:rsidRPr="00DB69A4" w:rsidRDefault="008F0798" w:rsidP="008F0798">
      <w:pPr>
        <w:spacing w:line="360" w:lineRule="auto"/>
        <w:jc w:val="both"/>
        <w:rPr>
          <w:rFonts w:cs="Times New Roman"/>
          <w:b/>
          <w:bCs/>
          <w:sz w:val="28"/>
          <w:szCs w:val="28"/>
        </w:rPr>
      </w:pPr>
    </w:p>
    <w:p w14:paraId="314DB44F" w14:textId="711E8996" w:rsidR="008F0798" w:rsidRDefault="008F0798" w:rsidP="008F0798">
      <w:pPr>
        <w:spacing w:line="360" w:lineRule="auto"/>
        <w:jc w:val="both"/>
        <w:rPr>
          <w:rFonts w:cs="Times New Roman"/>
          <w:b/>
          <w:bCs/>
          <w:sz w:val="28"/>
          <w:szCs w:val="28"/>
        </w:rPr>
      </w:pPr>
      <w:r w:rsidRPr="00DB69A4">
        <w:rPr>
          <w:rFonts w:cs="Times New Roman"/>
          <w:b/>
          <w:bCs/>
          <w:sz w:val="28"/>
          <w:szCs w:val="28"/>
        </w:rPr>
        <w:t>5.</w:t>
      </w:r>
      <w:r w:rsidRPr="00DB69A4">
        <w:rPr>
          <w:rFonts w:cs="Times New Roman"/>
          <w:b/>
          <w:bCs/>
          <w:sz w:val="28"/>
          <w:szCs w:val="28"/>
        </w:rPr>
        <w:tab/>
        <w:t>Fostering partnerships with civil society and international organizations to mobilize resources and expertise.</w:t>
      </w:r>
    </w:p>
    <w:p w14:paraId="3C9EAAC5" w14:textId="77777777" w:rsidR="00DB69A4" w:rsidRPr="00DB69A4" w:rsidRDefault="00DB69A4" w:rsidP="008F0798">
      <w:pPr>
        <w:spacing w:line="360" w:lineRule="auto"/>
        <w:jc w:val="both"/>
        <w:rPr>
          <w:rFonts w:cs="Times New Roman"/>
          <w:b/>
          <w:bCs/>
          <w:sz w:val="28"/>
          <w:szCs w:val="28"/>
        </w:rPr>
      </w:pPr>
    </w:p>
    <w:p w14:paraId="24BDD6AB" w14:textId="388308DC" w:rsidR="00DB69A4" w:rsidRPr="00DB69A4" w:rsidRDefault="00DB69A4" w:rsidP="00DB69A4">
      <w:pPr>
        <w:spacing w:line="360" w:lineRule="auto"/>
        <w:jc w:val="both"/>
        <w:rPr>
          <w:rFonts w:cs="Times New Roman"/>
          <w:b/>
          <w:bCs/>
          <w:sz w:val="28"/>
          <w:szCs w:val="28"/>
        </w:rPr>
      </w:pPr>
      <w:r>
        <w:rPr>
          <w:rFonts w:cs="Times New Roman"/>
          <w:b/>
          <w:bCs/>
          <w:sz w:val="28"/>
          <w:szCs w:val="28"/>
        </w:rPr>
        <w:t xml:space="preserve">On </w:t>
      </w:r>
      <w:r w:rsidRPr="00DB69A4">
        <w:rPr>
          <w:rFonts w:cs="Times New Roman"/>
          <w:b/>
          <w:bCs/>
          <w:sz w:val="28"/>
          <w:szCs w:val="28"/>
        </w:rPr>
        <w:t>Challenges and Opportunities</w:t>
      </w:r>
    </w:p>
    <w:p w14:paraId="21E12D3F" w14:textId="77777777" w:rsidR="00DB69A4" w:rsidRPr="00DB69A4" w:rsidRDefault="00DB69A4" w:rsidP="00DB69A4">
      <w:pPr>
        <w:spacing w:line="360" w:lineRule="auto"/>
        <w:jc w:val="both"/>
        <w:rPr>
          <w:rFonts w:cs="Times New Roman"/>
          <w:sz w:val="28"/>
          <w:szCs w:val="28"/>
        </w:rPr>
      </w:pPr>
      <w:r w:rsidRPr="00DB69A4">
        <w:rPr>
          <w:rFonts w:cs="Times New Roman"/>
          <w:sz w:val="28"/>
          <w:szCs w:val="28"/>
        </w:rPr>
        <w:t>While we celebrate our achievements, we are acutely aware of the challenges that persist. Resource constraints, both financial and human, continue to impede the full implementation of child protection programs. Emerging threats, such as online child exploitation, require innovative and robust responses. The devastating impact of Acute Kidney Injury, which claimed the lives of 70 children, highlights the urgency of strengthening our healthcare systems and emergency response mechanisms. Addressing these gaps remains a top priority.</w:t>
      </w:r>
    </w:p>
    <w:p w14:paraId="56919C88" w14:textId="77777777" w:rsidR="00DB69A4" w:rsidRPr="00DB69A4" w:rsidRDefault="00DB69A4" w:rsidP="00DB69A4">
      <w:pPr>
        <w:spacing w:line="360" w:lineRule="auto"/>
        <w:jc w:val="both"/>
        <w:rPr>
          <w:rFonts w:cs="Times New Roman"/>
          <w:sz w:val="28"/>
          <w:szCs w:val="28"/>
        </w:rPr>
      </w:pPr>
    </w:p>
    <w:p w14:paraId="5176EB39" w14:textId="2B2EF4A9" w:rsidR="00DB69A4" w:rsidRDefault="00DB69A4" w:rsidP="00DB69A4">
      <w:pPr>
        <w:spacing w:line="360" w:lineRule="auto"/>
        <w:jc w:val="both"/>
        <w:rPr>
          <w:rFonts w:cs="Times New Roman"/>
          <w:sz w:val="28"/>
          <w:szCs w:val="28"/>
        </w:rPr>
      </w:pPr>
      <w:r w:rsidRPr="00DB69A4">
        <w:rPr>
          <w:rFonts w:cs="Times New Roman"/>
          <w:sz w:val="28"/>
          <w:szCs w:val="28"/>
        </w:rPr>
        <w:t>The Gambia recognizes that achieving the ambitious goals set out under the CRC requires substantial technical and financial resources. Therefore, we call upon our development partners to strengthen their support for our efforts, particularly in areas such as education, healthcare, nutrition, and child protection. Enhanced collaboration and resource mobilization will enable us to scale up successful initiatives, address emerging challenges, and ensure the sustainable implementation of policies and programs aimed at safeguarding children’s rights. Together, we can create an enabling environment where every child can thrive and realize their full potential.</w:t>
      </w:r>
    </w:p>
    <w:p w14:paraId="37B62B59" w14:textId="77777777" w:rsidR="00DB69A4" w:rsidRPr="001147F8" w:rsidRDefault="00DB69A4" w:rsidP="001147F8">
      <w:pPr>
        <w:spacing w:line="360" w:lineRule="auto"/>
        <w:jc w:val="both"/>
        <w:rPr>
          <w:rFonts w:cs="Times New Roman"/>
          <w:sz w:val="28"/>
          <w:szCs w:val="28"/>
        </w:rPr>
      </w:pPr>
    </w:p>
    <w:p w14:paraId="19BA4CB0" w14:textId="77777777" w:rsidR="001147F8" w:rsidRPr="008F0798" w:rsidRDefault="001147F8" w:rsidP="001147F8">
      <w:pPr>
        <w:spacing w:line="360" w:lineRule="auto"/>
        <w:jc w:val="both"/>
        <w:rPr>
          <w:rFonts w:cs="Times New Roman"/>
          <w:b/>
          <w:bCs/>
          <w:sz w:val="28"/>
          <w:szCs w:val="28"/>
        </w:rPr>
      </w:pPr>
      <w:r w:rsidRPr="008F0798">
        <w:rPr>
          <w:rFonts w:cs="Times New Roman"/>
          <w:b/>
          <w:bCs/>
          <w:sz w:val="28"/>
          <w:szCs w:val="28"/>
        </w:rPr>
        <w:t>Conclusion</w:t>
      </w:r>
    </w:p>
    <w:p w14:paraId="1B1CAC0B" w14:textId="77777777" w:rsidR="001147F8" w:rsidRPr="001147F8" w:rsidRDefault="001147F8" w:rsidP="001147F8">
      <w:pPr>
        <w:spacing w:line="360" w:lineRule="auto"/>
        <w:jc w:val="both"/>
        <w:rPr>
          <w:rFonts w:cs="Times New Roman"/>
          <w:sz w:val="28"/>
          <w:szCs w:val="28"/>
        </w:rPr>
      </w:pPr>
      <w:r w:rsidRPr="001147F8">
        <w:rPr>
          <w:rFonts w:cs="Times New Roman"/>
          <w:sz w:val="28"/>
          <w:szCs w:val="28"/>
        </w:rPr>
        <w:t>Madam Chairperson, distinguished members of the Committee, as we engage in this constructive dialogue, I wish to reiterate The Gambia’s unwavering dedication to the principles of the CRC. Our journey is marked by progress, but we remain conscious of the work that lies ahead. On behalf of the Government of The Gambia, I extend my heartfelt gratitude to this Committee for your guidance and support. Together, we can build a world where every child’s rights are protected, their voices heard, and their potential realized.</w:t>
      </w:r>
    </w:p>
    <w:p w14:paraId="3600ED00" w14:textId="77777777" w:rsidR="001147F8" w:rsidRPr="001147F8" w:rsidRDefault="001147F8" w:rsidP="001147F8">
      <w:pPr>
        <w:spacing w:line="360" w:lineRule="auto"/>
        <w:jc w:val="both"/>
        <w:rPr>
          <w:rFonts w:cs="Times New Roman"/>
          <w:sz w:val="28"/>
          <w:szCs w:val="28"/>
        </w:rPr>
      </w:pPr>
    </w:p>
    <w:p w14:paraId="5C90EC05" w14:textId="77777777" w:rsidR="001147F8" w:rsidRPr="00DB69A4" w:rsidRDefault="001147F8" w:rsidP="001147F8">
      <w:pPr>
        <w:spacing w:line="360" w:lineRule="auto"/>
        <w:jc w:val="both"/>
        <w:rPr>
          <w:rFonts w:cs="Times New Roman"/>
          <w:b/>
          <w:bCs/>
          <w:sz w:val="28"/>
          <w:szCs w:val="28"/>
        </w:rPr>
      </w:pPr>
      <w:r w:rsidRPr="00DB69A4">
        <w:rPr>
          <w:rFonts w:cs="Times New Roman"/>
          <w:b/>
          <w:bCs/>
          <w:sz w:val="28"/>
          <w:szCs w:val="28"/>
        </w:rPr>
        <w:t>Thank you.</w:t>
      </w:r>
    </w:p>
    <w:p w14:paraId="5E3EC624" w14:textId="5C40FA2E" w:rsidR="00A714EE" w:rsidRPr="002B0624" w:rsidRDefault="00A714EE" w:rsidP="001147F8">
      <w:pPr>
        <w:spacing w:line="360" w:lineRule="auto"/>
        <w:jc w:val="both"/>
        <w:rPr>
          <w:rFonts w:cs="Times New Roman"/>
          <w:sz w:val="28"/>
          <w:szCs w:val="28"/>
        </w:rPr>
      </w:pPr>
    </w:p>
    <w:sectPr w:rsidR="00A714EE" w:rsidRPr="002B0624" w:rsidSect="00874D0B">
      <w:footerReference w:type="default" r:id="rId9"/>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3A1F7" w14:textId="77777777" w:rsidR="003F781E" w:rsidRDefault="003F781E" w:rsidP="00874D0B">
      <w:r>
        <w:separator/>
      </w:r>
    </w:p>
  </w:endnote>
  <w:endnote w:type="continuationSeparator" w:id="0">
    <w:p w14:paraId="324FD9CB" w14:textId="77777777" w:rsidR="003F781E" w:rsidRDefault="003F781E" w:rsidP="0087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220640"/>
      <w:docPartObj>
        <w:docPartGallery w:val="Page Numbers (Bottom of Page)"/>
        <w:docPartUnique/>
      </w:docPartObj>
    </w:sdtPr>
    <w:sdtEndPr>
      <w:rPr>
        <w:color w:val="808080" w:themeColor="background1" w:themeShade="80"/>
        <w:spacing w:val="60"/>
      </w:rPr>
    </w:sdtEndPr>
    <w:sdtContent>
      <w:p w14:paraId="1AC496FE" w14:textId="77777777" w:rsidR="005A3D86" w:rsidRDefault="005A3D86">
        <w:pPr>
          <w:pStyle w:val="Footer"/>
          <w:pBdr>
            <w:top w:val="single" w:sz="4" w:space="1" w:color="D9D9D9" w:themeColor="background1" w:themeShade="D9"/>
          </w:pBdr>
          <w:jc w:val="right"/>
        </w:pPr>
        <w:r>
          <w:fldChar w:fldCharType="begin"/>
        </w:r>
        <w:r>
          <w:instrText xml:space="preserve"> PAGE   \* MERGEFORMAT </w:instrText>
        </w:r>
        <w:r>
          <w:fldChar w:fldCharType="separate"/>
        </w:r>
        <w:r w:rsidR="00FF6B5E">
          <w:rPr>
            <w:noProof/>
          </w:rPr>
          <w:t>5</w:t>
        </w:r>
        <w:r>
          <w:rPr>
            <w:noProof/>
          </w:rPr>
          <w:fldChar w:fldCharType="end"/>
        </w:r>
        <w:r>
          <w:t xml:space="preserve"> | </w:t>
        </w:r>
        <w:r>
          <w:rPr>
            <w:color w:val="808080" w:themeColor="background1" w:themeShade="80"/>
            <w:spacing w:val="60"/>
          </w:rPr>
          <w:t>Page</w:t>
        </w:r>
      </w:p>
    </w:sdtContent>
  </w:sdt>
  <w:p w14:paraId="02E15336" w14:textId="77777777" w:rsidR="005A3D86" w:rsidRDefault="005A3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4A791" w14:textId="77777777" w:rsidR="003F781E" w:rsidRDefault="003F781E" w:rsidP="00874D0B">
      <w:r>
        <w:separator/>
      </w:r>
    </w:p>
  </w:footnote>
  <w:footnote w:type="continuationSeparator" w:id="0">
    <w:p w14:paraId="3D4BC02D" w14:textId="77777777" w:rsidR="003F781E" w:rsidRDefault="003F781E" w:rsidP="00874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5ABF"/>
    <w:multiLevelType w:val="hybridMultilevel"/>
    <w:tmpl w:val="6C28A5F6"/>
    <w:lvl w:ilvl="0" w:tplc="47B20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BB300E"/>
    <w:multiLevelType w:val="hybridMultilevel"/>
    <w:tmpl w:val="8AE04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472D21"/>
    <w:multiLevelType w:val="hybridMultilevel"/>
    <w:tmpl w:val="A306CBF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93D42F2"/>
    <w:multiLevelType w:val="hybridMultilevel"/>
    <w:tmpl w:val="CE5AF81E"/>
    <w:lvl w:ilvl="0" w:tplc="44A026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2D0535"/>
    <w:multiLevelType w:val="hybridMultilevel"/>
    <w:tmpl w:val="C82016F0"/>
    <w:lvl w:ilvl="0" w:tplc="44A026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1548207">
    <w:abstractNumId w:val="1"/>
  </w:num>
  <w:num w:numId="2" w16cid:durableId="207492839">
    <w:abstractNumId w:val="0"/>
  </w:num>
  <w:num w:numId="3" w16cid:durableId="1070662287">
    <w:abstractNumId w:val="3"/>
  </w:num>
  <w:num w:numId="4" w16cid:durableId="2029524418">
    <w:abstractNumId w:val="4"/>
  </w:num>
  <w:num w:numId="5" w16cid:durableId="652283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67F"/>
    <w:rsid w:val="0000213F"/>
    <w:rsid w:val="000032B3"/>
    <w:rsid w:val="0003209A"/>
    <w:rsid w:val="00033964"/>
    <w:rsid w:val="000374BA"/>
    <w:rsid w:val="000608DB"/>
    <w:rsid w:val="00096D9D"/>
    <w:rsid w:val="000A53DB"/>
    <w:rsid w:val="000E1520"/>
    <w:rsid w:val="000F034A"/>
    <w:rsid w:val="000F793A"/>
    <w:rsid w:val="001132D3"/>
    <w:rsid w:val="001147F8"/>
    <w:rsid w:val="00124C3D"/>
    <w:rsid w:val="00167819"/>
    <w:rsid w:val="001A646B"/>
    <w:rsid w:val="001A667F"/>
    <w:rsid w:val="001D191F"/>
    <w:rsid w:val="001D449A"/>
    <w:rsid w:val="001E4105"/>
    <w:rsid w:val="001F3274"/>
    <w:rsid w:val="0025501C"/>
    <w:rsid w:val="00271546"/>
    <w:rsid w:val="00290405"/>
    <w:rsid w:val="002A6DDC"/>
    <w:rsid w:val="002B0624"/>
    <w:rsid w:val="002B5A7F"/>
    <w:rsid w:val="002C0115"/>
    <w:rsid w:val="002D216E"/>
    <w:rsid w:val="002D6FE2"/>
    <w:rsid w:val="00307842"/>
    <w:rsid w:val="00314D28"/>
    <w:rsid w:val="0033146A"/>
    <w:rsid w:val="00336B58"/>
    <w:rsid w:val="00341E27"/>
    <w:rsid w:val="003610B6"/>
    <w:rsid w:val="00362CA7"/>
    <w:rsid w:val="00384B32"/>
    <w:rsid w:val="0038585E"/>
    <w:rsid w:val="003879E1"/>
    <w:rsid w:val="003B74FE"/>
    <w:rsid w:val="003C41D7"/>
    <w:rsid w:val="003C667C"/>
    <w:rsid w:val="003D58DB"/>
    <w:rsid w:val="003F386A"/>
    <w:rsid w:val="003F781E"/>
    <w:rsid w:val="00407FEA"/>
    <w:rsid w:val="0045580D"/>
    <w:rsid w:val="00493F2A"/>
    <w:rsid w:val="004A067D"/>
    <w:rsid w:val="004C0B14"/>
    <w:rsid w:val="004C2659"/>
    <w:rsid w:val="004C71B4"/>
    <w:rsid w:val="004C7328"/>
    <w:rsid w:val="004C7E26"/>
    <w:rsid w:val="004E2E47"/>
    <w:rsid w:val="004F0F77"/>
    <w:rsid w:val="00523E4B"/>
    <w:rsid w:val="00533C6E"/>
    <w:rsid w:val="00536400"/>
    <w:rsid w:val="00561D75"/>
    <w:rsid w:val="00580783"/>
    <w:rsid w:val="00582C15"/>
    <w:rsid w:val="00592053"/>
    <w:rsid w:val="005A3D86"/>
    <w:rsid w:val="005D6639"/>
    <w:rsid w:val="005F4007"/>
    <w:rsid w:val="0060099A"/>
    <w:rsid w:val="00614B66"/>
    <w:rsid w:val="00642173"/>
    <w:rsid w:val="006560D0"/>
    <w:rsid w:val="00663085"/>
    <w:rsid w:val="0067284D"/>
    <w:rsid w:val="00677444"/>
    <w:rsid w:val="00693675"/>
    <w:rsid w:val="006B6883"/>
    <w:rsid w:val="006F4E57"/>
    <w:rsid w:val="00715811"/>
    <w:rsid w:val="007173CC"/>
    <w:rsid w:val="00741547"/>
    <w:rsid w:val="00794B33"/>
    <w:rsid w:val="007964CC"/>
    <w:rsid w:val="007A20C8"/>
    <w:rsid w:val="007A5F14"/>
    <w:rsid w:val="007D68E1"/>
    <w:rsid w:val="007F3DAD"/>
    <w:rsid w:val="007F7361"/>
    <w:rsid w:val="0080382C"/>
    <w:rsid w:val="00810341"/>
    <w:rsid w:val="00815A12"/>
    <w:rsid w:val="0082463C"/>
    <w:rsid w:val="00855169"/>
    <w:rsid w:val="00861768"/>
    <w:rsid w:val="00863410"/>
    <w:rsid w:val="00874D0B"/>
    <w:rsid w:val="00897D65"/>
    <w:rsid w:val="008A05C9"/>
    <w:rsid w:val="008A248B"/>
    <w:rsid w:val="008B3BE6"/>
    <w:rsid w:val="008C79C0"/>
    <w:rsid w:val="008F0798"/>
    <w:rsid w:val="008F6AD0"/>
    <w:rsid w:val="00901FAC"/>
    <w:rsid w:val="00954C47"/>
    <w:rsid w:val="00956200"/>
    <w:rsid w:val="00963BDE"/>
    <w:rsid w:val="009763DC"/>
    <w:rsid w:val="00986095"/>
    <w:rsid w:val="009B509B"/>
    <w:rsid w:val="009D4DBE"/>
    <w:rsid w:val="00A14E82"/>
    <w:rsid w:val="00A2283A"/>
    <w:rsid w:val="00A63E5A"/>
    <w:rsid w:val="00A714EE"/>
    <w:rsid w:val="00A813B6"/>
    <w:rsid w:val="00AB4ECD"/>
    <w:rsid w:val="00AE0B21"/>
    <w:rsid w:val="00AF1EC2"/>
    <w:rsid w:val="00AF52C2"/>
    <w:rsid w:val="00B51646"/>
    <w:rsid w:val="00B7442A"/>
    <w:rsid w:val="00B92657"/>
    <w:rsid w:val="00BA65F9"/>
    <w:rsid w:val="00BB1F42"/>
    <w:rsid w:val="00BB68B3"/>
    <w:rsid w:val="00BC0E30"/>
    <w:rsid w:val="00BD7478"/>
    <w:rsid w:val="00BE6828"/>
    <w:rsid w:val="00BF3E35"/>
    <w:rsid w:val="00C2245E"/>
    <w:rsid w:val="00C31075"/>
    <w:rsid w:val="00C555D7"/>
    <w:rsid w:val="00C708A1"/>
    <w:rsid w:val="00C73677"/>
    <w:rsid w:val="00CA0788"/>
    <w:rsid w:val="00CC6BF3"/>
    <w:rsid w:val="00CE3B0C"/>
    <w:rsid w:val="00CF18FA"/>
    <w:rsid w:val="00D15147"/>
    <w:rsid w:val="00D267E3"/>
    <w:rsid w:val="00D42AB4"/>
    <w:rsid w:val="00D456B8"/>
    <w:rsid w:val="00D65369"/>
    <w:rsid w:val="00D70777"/>
    <w:rsid w:val="00D8557C"/>
    <w:rsid w:val="00D95A02"/>
    <w:rsid w:val="00DA681D"/>
    <w:rsid w:val="00DB0475"/>
    <w:rsid w:val="00DB69A4"/>
    <w:rsid w:val="00DC2803"/>
    <w:rsid w:val="00DD1C15"/>
    <w:rsid w:val="00E04782"/>
    <w:rsid w:val="00E06D20"/>
    <w:rsid w:val="00E453A4"/>
    <w:rsid w:val="00E47F6D"/>
    <w:rsid w:val="00E5119C"/>
    <w:rsid w:val="00E67B51"/>
    <w:rsid w:val="00E80C28"/>
    <w:rsid w:val="00E81FC2"/>
    <w:rsid w:val="00EB164B"/>
    <w:rsid w:val="00EE4512"/>
    <w:rsid w:val="00EF6883"/>
    <w:rsid w:val="00F24AE6"/>
    <w:rsid w:val="00F37E3E"/>
    <w:rsid w:val="00F41708"/>
    <w:rsid w:val="00F43154"/>
    <w:rsid w:val="00F605D7"/>
    <w:rsid w:val="00F675EF"/>
    <w:rsid w:val="00FD0773"/>
    <w:rsid w:val="00FD4D22"/>
    <w:rsid w:val="00FF6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85B9B9"/>
  <w14:defaultImageDpi w14:val="300"/>
  <w15:docId w15:val="{E7290574-3637-4147-9D30-B4BA1AF51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147"/>
    <w:pPr>
      <w:spacing w:after="200" w:line="276" w:lineRule="auto"/>
      <w:ind w:left="720"/>
      <w:contextualSpacing/>
    </w:pPr>
    <w:rPr>
      <w:rFonts w:eastAsiaTheme="minorHAnsi"/>
      <w:sz w:val="22"/>
      <w:szCs w:val="22"/>
      <w:lang w:val="en-US"/>
    </w:rPr>
  </w:style>
  <w:style w:type="paragraph" w:styleId="BalloonText">
    <w:name w:val="Balloon Text"/>
    <w:basedOn w:val="Normal"/>
    <w:link w:val="BalloonTextChar"/>
    <w:uiPriority w:val="99"/>
    <w:semiHidden/>
    <w:unhideWhenUsed/>
    <w:rsid w:val="00BC0E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0E30"/>
    <w:rPr>
      <w:rFonts w:ascii="Lucida Grande" w:hAnsi="Lucida Grande" w:cs="Lucida Grande"/>
      <w:sz w:val="18"/>
      <w:szCs w:val="18"/>
      <w:lang w:val="en-GB"/>
    </w:rPr>
  </w:style>
  <w:style w:type="paragraph" w:styleId="Header">
    <w:name w:val="header"/>
    <w:basedOn w:val="Normal"/>
    <w:link w:val="HeaderChar"/>
    <w:uiPriority w:val="99"/>
    <w:unhideWhenUsed/>
    <w:rsid w:val="00874D0B"/>
    <w:pPr>
      <w:tabs>
        <w:tab w:val="center" w:pos="4703"/>
        <w:tab w:val="right" w:pos="9406"/>
      </w:tabs>
    </w:pPr>
  </w:style>
  <w:style w:type="character" w:customStyle="1" w:styleId="HeaderChar">
    <w:name w:val="Header Char"/>
    <w:basedOn w:val="DefaultParagraphFont"/>
    <w:link w:val="Header"/>
    <w:uiPriority w:val="99"/>
    <w:rsid w:val="00874D0B"/>
    <w:rPr>
      <w:lang w:val="en-GB"/>
    </w:rPr>
  </w:style>
  <w:style w:type="paragraph" w:styleId="Footer">
    <w:name w:val="footer"/>
    <w:basedOn w:val="Normal"/>
    <w:link w:val="FooterChar"/>
    <w:uiPriority w:val="99"/>
    <w:unhideWhenUsed/>
    <w:rsid w:val="00874D0B"/>
    <w:pPr>
      <w:tabs>
        <w:tab w:val="center" w:pos="4703"/>
        <w:tab w:val="right" w:pos="9406"/>
      </w:tabs>
    </w:pPr>
  </w:style>
  <w:style w:type="character" w:customStyle="1" w:styleId="FooterChar">
    <w:name w:val="Footer Char"/>
    <w:basedOn w:val="DefaultParagraphFont"/>
    <w:link w:val="Footer"/>
    <w:uiPriority w:val="99"/>
    <w:rsid w:val="00874D0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0051254">
      <w:bodyDiv w:val="1"/>
      <w:marLeft w:val="0"/>
      <w:marRight w:val="0"/>
      <w:marTop w:val="0"/>
      <w:marBottom w:val="0"/>
      <w:divBdr>
        <w:top w:val="none" w:sz="0" w:space="0" w:color="auto"/>
        <w:left w:val="none" w:sz="0" w:space="0" w:color="auto"/>
        <w:bottom w:val="none" w:sz="0" w:space="0" w:color="auto"/>
        <w:right w:val="none" w:sz="0" w:space="0" w:color="auto"/>
      </w:divBdr>
      <w:divsChild>
        <w:div w:id="350684559">
          <w:marLeft w:val="0"/>
          <w:marRight w:val="0"/>
          <w:marTop w:val="0"/>
          <w:marBottom w:val="0"/>
          <w:divBdr>
            <w:top w:val="none" w:sz="0" w:space="0" w:color="auto"/>
            <w:left w:val="none" w:sz="0" w:space="0" w:color="auto"/>
            <w:bottom w:val="none" w:sz="0" w:space="0" w:color="auto"/>
            <w:right w:val="none" w:sz="0" w:space="0" w:color="auto"/>
          </w:divBdr>
        </w:div>
        <w:div w:id="1276979323">
          <w:marLeft w:val="0"/>
          <w:marRight w:val="0"/>
          <w:marTop w:val="0"/>
          <w:marBottom w:val="0"/>
          <w:divBdr>
            <w:top w:val="none" w:sz="0" w:space="0" w:color="auto"/>
            <w:left w:val="none" w:sz="0" w:space="0" w:color="auto"/>
            <w:bottom w:val="none" w:sz="0" w:space="0" w:color="auto"/>
            <w:right w:val="none" w:sz="0" w:space="0" w:color="auto"/>
          </w:divBdr>
        </w:div>
        <w:div w:id="834303763">
          <w:marLeft w:val="0"/>
          <w:marRight w:val="0"/>
          <w:marTop w:val="0"/>
          <w:marBottom w:val="0"/>
          <w:divBdr>
            <w:top w:val="none" w:sz="0" w:space="0" w:color="auto"/>
            <w:left w:val="none" w:sz="0" w:space="0" w:color="auto"/>
            <w:bottom w:val="none" w:sz="0" w:space="0" w:color="auto"/>
            <w:right w:val="none" w:sz="0" w:space="0" w:color="auto"/>
          </w:divBdr>
        </w:div>
        <w:div w:id="1855067600">
          <w:marLeft w:val="0"/>
          <w:marRight w:val="0"/>
          <w:marTop w:val="0"/>
          <w:marBottom w:val="0"/>
          <w:divBdr>
            <w:top w:val="none" w:sz="0" w:space="0" w:color="auto"/>
            <w:left w:val="none" w:sz="0" w:space="0" w:color="auto"/>
            <w:bottom w:val="none" w:sz="0" w:space="0" w:color="auto"/>
            <w:right w:val="none" w:sz="0" w:space="0" w:color="auto"/>
          </w:divBdr>
        </w:div>
        <w:div w:id="178789127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71671-FE64-3240-A5C8-3117CA332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 Ndeban Jobe</dc:creator>
  <cp:lastModifiedBy>jeng bafou</cp:lastModifiedBy>
  <cp:revision>9</cp:revision>
  <cp:lastPrinted>2019-11-29T13:20:00Z</cp:lastPrinted>
  <dcterms:created xsi:type="dcterms:W3CDTF">2025-01-22T06:32:00Z</dcterms:created>
  <dcterms:modified xsi:type="dcterms:W3CDTF">2025-01-22T08:46:00Z</dcterms:modified>
</cp:coreProperties>
</file>