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63A" w:rsidRDefault="0085163A">
      <w:pPr>
        <w:keepNext/>
        <w:keepLines/>
        <w:spacing w:after="60"/>
        <w:rPr>
          <w:rFonts w:ascii="Barlow" w:eastAsia="Barlow" w:hAnsi="Barlow" w:cs="Barlow"/>
          <w:b/>
          <w:sz w:val="44"/>
          <w:szCs w:val="44"/>
        </w:rPr>
      </w:pPr>
      <w:bookmarkStart w:id="0" w:name="_heading=h.gjdgxs" w:colFirst="0" w:colLast="0"/>
      <w:bookmarkStart w:id="1" w:name="_GoBack"/>
      <w:bookmarkEnd w:id="0"/>
      <w:bookmarkEnd w:id="1"/>
    </w:p>
    <w:p w:rsidR="0085163A" w:rsidRDefault="0085163A">
      <w:pPr>
        <w:keepNext/>
        <w:keepLines/>
        <w:spacing w:after="60"/>
        <w:rPr>
          <w:rFonts w:ascii="Barlow" w:eastAsia="Barlow" w:hAnsi="Barlow" w:cs="Barlow"/>
          <w:b/>
          <w:sz w:val="44"/>
          <w:szCs w:val="44"/>
        </w:rPr>
      </w:pPr>
    </w:p>
    <w:p w:rsidR="0085163A" w:rsidRDefault="0085163A">
      <w:pPr>
        <w:keepNext/>
        <w:keepLines/>
        <w:spacing w:after="60"/>
        <w:rPr>
          <w:rFonts w:ascii="Barlow" w:eastAsia="Barlow" w:hAnsi="Barlow" w:cs="Barlow"/>
          <w:b/>
          <w:sz w:val="44"/>
          <w:szCs w:val="44"/>
        </w:rPr>
      </w:pPr>
    </w:p>
    <w:p w:rsidR="0085163A" w:rsidRDefault="0085163A">
      <w:pPr>
        <w:keepNext/>
        <w:keepLines/>
        <w:spacing w:after="60"/>
        <w:rPr>
          <w:rFonts w:ascii="Barlow" w:eastAsia="Barlow" w:hAnsi="Barlow" w:cs="Barlow"/>
          <w:b/>
          <w:sz w:val="44"/>
          <w:szCs w:val="44"/>
        </w:rPr>
      </w:pPr>
    </w:p>
    <w:p w:rsidR="0085163A" w:rsidRDefault="00C63D0B">
      <w:pPr>
        <w:keepNext/>
        <w:keepLines/>
        <w:spacing w:after="60"/>
        <w:jc w:val="center"/>
        <w:rPr>
          <w:rFonts w:ascii="Barlow" w:eastAsia="Barlow" w:hAnsi="Barlow" w:cs="Barlow"/>
          <w:b/>
          <w:sz w:val="44"/>
          <w:szCs w:val="44"/>
        </w:rPr>
      </w:pPr>
      <w:r>
        <w:rPr>
          <w:rFonts w:ascii="Barlow" w:eastAsia="Barlow" w:hAnsi="Barlow" w:cs="Barlow"/>
          <w:b/>
          <w:sz w:val="44"/>
          <w:szCs w:val="44"/>
        </w:rPr>
        <w:t>INFORME CONJUNTO DE LA SOCIEDAD CIVIL PARA EL EXAMEN DE GUATEMALA RELATIVO A SU 10º INFORME PERIÓDICO POR EL COMITÉ PARA LA ELIMINACIÓN DE TODAS LAS FORMAS DE DISCRIMINACIÓN CONTRA LAS MUJERES –CEDAW- DURANTE EL PERIODO DE SESIONES 86.</w:t>
      </w:r>
    </w:p>
    <w:p w:rsidR="0085163A" w:rsidRDefault="0085163A">
      <w:pPr>
        <w:keepNext/>
        <w:keepLines/>
        <w:spacing w:after="60"/>
        <w:rPr>
          <w:rFonts w:ascii="Barlow" w:eastAsia="Barlow" w:hAnsi="Barlow" w:cs="Barlow"/>
          <w:b/>
          <w:sz w:val="32"/>
          <w:szCs w:val="32"/>
        </w:rPr>
      </w:pPr>
    </w:p>
    <w:p w:rsidR="0085163A" w:rsidRDefault="0085163A">
      <w:pPr>
        <w:keepNext/>
        <w:keepLines/>
        <w:spacing w:after="60"/>
        <w:rPr>
          <w:rFonts w:ascii="Barlow" w:eastAsia="Barlow" w:hAnsi="Barlow" w:cs="Barlow"/>
          <w:b/>
          <w:sz w:val="32"/>
          <w:szCs w:val="32"/>
        </w:rPr>
      </w:pPr>
    </w:p>
    <w:p w:rsidR="0085163A" w:rsidRDefault="0085163A">
      <w:pPr>
        <w:keepNext/>
        <w:keepLines/>
        <w:spacing w:after="60"/>
        <w:rPr>
          <w:rFonts w:ascii="Barlow" w:eastAsia="Barlow" w:hAnsi="Barlow" w:cs="Barlow"/>
          <w:b/>
          <w:sz w:val="32"/>
          <w:szCs w:val="32"/>
        </w:rPr>
      </w:pPr>
    </w:p>
    <w:p w:rsidR="0085163A" w:rsidRDefault="0085163A">
      <w:pPr>
        <w:keepNext/>
        <w:keepLines/>
        <w:spacing w:after="60"/>
        <w:rPr>
          <w:rFonts w:ascii="Barlow" w:eastAsia="Barlow" w:hAnsi="Barlow" w:cs="Barlow"/>
          <w:b/>
          <w:sz w:val="32"/>
          <w:szCs w:val="32"/>
        </w:rPr>
      </w:pPr>
    </w:p>
    <w:p w:rsidR="0085163A" w:rsidRDefault="0085163A">
      <w:pPr>
        <w:keepNext/>
        <w:keepLines/>
        <w:spacing w:after="60"/>
        <w:rPr>
          <w:rFonts w:ascii="Barlow" w:eastAsia="Barlow" w:hAnsi="Barlow" w:cs="Barlow"/>
          <w:b/>
          <w:sz w:val="32"/>
          <w:szCs w:val="32"/>
        </w:rPr>
      </w:pPr>
    </w:p>
    <w:p w:rsidR="0085163A" w:rsidRDefault="0085163A">
      <w:pPr>
        <w:keepNext/>
        <w:keepLines/>
        <w:spacing w:after="60"/>
        <w:rPr>
          <w:rFonts w:ascii="Barlow" w:eastAsia="Barlow" w:hAnsi="Barlow" w:cs="Barlow"/>
          <w:b/>
          <w:sz w:val="32"/>
          <w:szCs w:val="32"/>
        </w:rPr>
      </w:pPr>
    </w:p>
    <w:p w:rsidR="0085163A" w:rsidRDefault="0085163A">
      <w:pPr>
        <w:keepNext/>
        <w:keepLines/>
        <w:spacing w:after="60"/>
        <w:rPr>
          <w:rFonts w:ascii="Barlow" w:eastAsia="Barlow" w:hAnsi="Barlow" w:cs="Barlow"/>
          <w:b/>
          <w:sz w:val="32"/>
          <w:szCs w:val="32"/>
        </w:rPr>
      </w:pPr>
    </w:p>
    <w:p w:rsidR="0085163A" w:rsidRDefault="0085163A">
      <w:pPr>
        <w:keepNext/>
        <w:keepLines/>
        <w:spacing w:after="60"/>
        <w:rPr>
          <w:rFonts w:ascii="Barlow" w:eastAsia="Barlow" w:hAnsi="Barlow" w:cs="Barlow"/>
          <w:b/>
          <w:sz w:val="32"/>
          <w:szCs w:val="32"/>
        </w:rPr>
      </w:pPr>
    </w:p>
    <w:p w:rsidR="0085163A" w:rsidRDefault="0085163A">
      <w:pPr>
        <w:keepNext/>
        <w:keepLines/>
        <w:spacing w:after="60"/>
        <w:rPr>
          <w:rFonts w:ascii="Barlow" w:eastAsia="Barlow" w:hAnsi="Barlow" w:cs="Barlow"/>
          <w:b/>
          <w:sz w:val="32"/>
          <w:szCs w:val="32"/>
        </w:rPr>
      </w:pPr>
    </w:p>
    <w:p w:rsidR="0085163A" w:rsidRDefault="0085163A">
      <w:pPr>
        <w:keepNext/>
        <w:keepLines/>
        <w:spacing w:after="60"/>
        <w:rPr>
          <w:rFonts w:ascii="Barlow" w:eastAsia="Barlow" w:hAnsi="Barlow" w:cs="Barlow"/>
          <w:b/>
          <w:sz w:val="32"/>
          <w:szCs w:val="32"/>
        </w:rPr>
      </w:pPr>
    </w:p>
    <w:p w:rsidR="0085163A" w:rsidRDefault="0085163A">
      <w:pPr>
        <w:keepNext/>
        <w:keepLines/>
        <w:spacing w:after="60"/>
        <w:rPr>
          <w:rFonts w:ascii="Barlow" w:eastAsia="Barlow" w:hAnsi="Barlow" w:cs="Barlow"/>
          <w:b/>
          <w:sz w:val="32"/>
          <w:szCs w:val="32"/>
        </w:rPr>
      </w:pPr>
    </w:p>
    <w:p w:rsidR="0085163A" w:rsidRDefault="00C63D0B">
      <w:pPr>
        <w:keepNext/>
        <w:keepLines/>
        <w:spacing w:after="0"/>
      </w:pPr>
      <w:r>
        <w:rPr>
          <w:rFonts w:ascii="Barlow" w:eastAsia="Barlow" w:hAnsi="Barlow" w:cs="Barlow"/>
          <w:b/>
          <w:sz w:val="32"/>
          <w:szCs w:val="32"/>
        </w:rPr>
        <w:lastRenderedPageBreak/>
        <w:t>S</w:t>
      </w:r>
      <w:r>
        <w:rPr>
          <w:rFonts w:ascii="Barlow" w:eastAsia="Barlow" w:hAnsi="Barlow" w:cs="Barlow"/>
          <w:b/>
          <w:sz w:val="32"/>
          <w:szCs w:val="32"/>
        </w:rPr>
        <w:t>obre la situación de violencia y acceso a la justicia de personas lesbianas, bisexuales, trans e intersex –LBTI– en Guatemala</w:t>
      </w:r>
      <w:r>
        <w:rPr>
          <w:rFonts w:ascii="Barlow" w:eastAsia="Barlow" w:hAnsi="Barlow" w:cs="Barlow"/>
          <w:sz w:val="32"/>
          <w:szCs w:val="32"/>
        </w:rPr>
        <w:t xml:space="preserve"> </w:t>
      </w:r>
    </w:p>
    <w:p w:rsidR="0085163A" w:rsidRDefault="00C63D0B">
      <w:pPr>
        <w:numPr>
          <w:ilvl w:val="0"/>
          <w:numId w:val="3"/>
        </w:numPr>
        <w:spacing w:after="0"/>
        <w:rPr>
          <w:color w:val="000000"/>
        </w:rPr>
      </w:pPr>
      <w:bookmarkStart w:id="2" w:name="_heading=h.30j0zll" w:colFirst="0" w:colLast="0"/>
      <w:bookmarkEnd w:id="2"/>
      <w:r>
        <w:t xml:space="preserve">El Colectivo de Hombres Trans Transformación de Guatemala es una organización de la sociedad civil parte de la Red de Colectivos </w:t>
      </w:r>
      <w:r>
        <w:t>de Hombres Trans+ Americanos que busca promover los derechos humanos de la población LGBT, particularmente de hombres trans y personas de diverso género y orientación sexual. hembra asignada al nacer. Su trabajo se centra en la incidencia política y promoc</w:t>
      </w:r>
      <w:r>
        <w:t>ión de servicios de salud integrales y diferenciados para la población previamente especificada. Visibles es una ONG que se enfoca en promover la diversidad como un valor dentro de la sociedad guatemalteca a través de la comunicación, la promoción, la inve</w:t>
      </w:r>
      <w:r>
        <w:t>stigación y la capacitación sobre orientación sexual, identidad y expresión de género y características sexuales.</w:t>
      </w:r>
    </w:p>
    <w:p w:rsidR="0085163A" w:rsidRDefault="00C63D0B">
      <w:pPr>
        <w:numPr>
          <w:ilvl w:val="0"/>
          <w:numId w:val="3"/>
        </w:numPr>
        <w:spacing w:after="0"/>
        <w:rPr>
          <w:color w:val="000000"/>
        </w:rPr>
      </w:pPr>
      <w:bookmarkStart w:id="3" w:name="_heading=h.1fob9te" w:colFirst="0" w:colLast="0"/>
      <w:bookmarkEnd w:id="3"/>
      <w:r>
        <w:t>Esta coalición fue creada en 2020 para rendir cuentas al informe de mitad de período del tercer ciclo del Examen Periódico Universal de Guatem</w:t>
      </w:r>
      <w:r>
        <w:t>ala y desde entonces ha realizado diversos aportes al Sistema Internacional de Derechos Humanos. Su enfoque es el informe sobre cuestiones pertinentes a los derechos humanos relacionados con la orientación sexual, la identidad y expresión de género y las c</w:t>
      </w:r>
      <w:r>
        <w:t>aracterísticas sexuales de las personas.</w:t>
      </w:r>
    </w:p>
    <w:p w:rsidR="0085163A" w:rsidRDefault="0085163A">
      <w:pPr>
        <w:spacing w:after="0"/>
        <w:ind w:left="720"/>
      </w:pPr>
      <w:bookmarkStart w:id="4" w:name="_heading=h.gkxjsec4t6sd" w:colFirst="0" w:colLast="0"/>
      <w:bookmarkEnd w:id="4"/>
    </w:p>
    <w:p w:rsidR="0085163A" w:rsidRDefault="00C63D0B">
      <w:pPr>
        <w:keepNext/>
        <w:keepLines/>
        <w:numPr>
          <w:ilvl w:val="0"/>
          <w:numId w:val="4"/>
        </w:numPr>
        <w:pBdr>
          <w:top w:val="nil"/>
          <w:left w:val="nil"/>
          <w:bottom w:val="nil"/>
          <w:right w:val="nil"/>
          <w:between w:val="nil"/>
        </w:pBdr>
        <w:spacing w:after="0"/>
        <w:rPr>
          <w:rFonts w:ascii="Barlow SemiBold" w:eastAsia="Barlow SemiBold" w:hAnsi="Barlow SemiBold" w:cs="Barlow SemiBold"/>
          <w:color w:val="000000"/>
          <w:sz w:val="34"/>
          <w:szCs w:val="34"/>
        </w:rPr>
      </w:pPr>
      <w:bookmarkStart w:id="5" w:name="_heading=h.t5r3nfvkt16u" w:colFirst="0" w:colLast="0"/>
      <w:bookmarkEnd w:id="5"/>
      <w:r>
        <w:rPr>
          <w:rFonts w:ascii="Barlow SemiBold" w:eastAsia="Barlow SemiBold" w:hAnsi="Barlow SemiBold" w:cs="Barlow SemiBold"/>
          <w:color w:val="000000"/>
          <w:sz w:val="34"/>
          <w:szCs w:val="34"/>
        </w:rPr>
        <w:t>Resumen ejecutivo</w:t>
      </w:r>
    </w:p>
    <w:p w:rsidR="0085163A" w:rsidRDefault="00C63D0B">
      <w:pPr>
        <w:numPr>
          <w:ilvl w:val="0"/>
          <w:numId w:val="3"/>
        </w:numPr>
        <w:spacing w:after="0"/>
        <w:rPr>
          <w:color w:val="000000"/>
        </w:rPr>
      </w:pPr>
      <w:r>
        <w:t>El siguiente informe para la Comisión contra la eliminación de todas las formas de discriminación contra las mujeres –CEDAW– se centra en los derechos de las personas lesbianas, bisexuales, trans e intersex (LBTI) en Guatemala y el derecho al acceso a la j</w:t>
      </w:r>
      <w:r>
        <w:t>usticia de las mismas. Dentro de esta población incluimos mujeres (lesbianas, bisexuales y trans), hombres trans y personas no binarias e intersexuales asignadas como mujeres al nacer. A través del informe, también hacemos un llamado al reconocimiento y vi</w:t>
      </w:r>
      <w:r>
        <w:t>sibilización de las identidades transmasculinas y no binarias, y de las personas con características sexuales intersexuales, que no suelen estar contempladas explícitamente en estos mecanismos internacionales de incidencia.</w:t>
      </w:r>
    </w:p>
    <w:p w:rsidR="0085163A" w:rsidRDefault="00C63D0B">
      <w:pPr>
        <w:keepNext/>
        <w:keepLines/>
        <w:numPr>
          <w:ilvl w:val="0"/>
          <w:numId w:val="3"/>
        </w:numPr>
        <w:spacing w:after="60"/>
      </w:pPr>
      <w:bookmarkStart w:id="6" w:name="_heading=h.n76ua575y5c1" w:colFirst="0" w:colLast="0"/>
      <w:bookmarkEnd w:id="6"/>
      <w:r>
        <w:t>Guatemala es un país caracteriza</w:t>
      </w:r>
      <w:r>
        <w:t>do por altos índices de violencia y desigualdad. Estas variables tienen un mayor impacto en grupos en condiciones de vulnerabilidad, donde variables como género, identidad sexual y etnia impiden o dificultan su acceso a oportunidades que les permitan movil</w:t>
      </w:r>
      <w:r>
        <w:t>idad social y participación en decisiones políticas.</w:t>
      </w:r>
    </w:p>
    <w:p w:rsidR="0085163A" w:rsidRDefault="00C63D0B">
      <w:pPr>
        <w:numPr>
          <w:ilvl w:val="0"/>
          <w:numId w:val="3"/>
        </w:numPr>
        <w:spacing w:after="0"/>
        <w:rPr>
          <w:color w:val="000000"/>
        </w:rPr>
      </w:pPr>
      <w:r>
        <w:t>El informe se estructura a partir del listado de temas y preguntas relacionadas con el décimo informe periódico que Guatemala debe presentar al Comité. Esto resalta las medidas adoptadas para diseñar una</w:t>
      </w:r>
      <w:r>
        <w:t xml:space="preserve"> estrategia para garantizar el acceso a la justicia de las personas LBTI desfavorecidas y discriminadas, y las protecciones necesarias en el derecho a la identidad y el acceso a la salud. Incluye algunos datos pertinentes, avances y retrocesos sobre las re</w:t>
      </w:r>
      <w:r>
        <w:t>comendaciones realizadas en períodos anteriores al Estado de Guatemala, para reiterar puntos mencionados en el informe alternativo presentado en 2022.</w:t>
      </w:r>
    </w:p>
    <w:p w:rsidR="0085163A" w:rsidRDefault="00C63D0B">
      <w:pPr>
        <w:numPr>
          <w:ilvl w:val="0"/>
          <w:numId w:val="3"/>
        </w:numPr>
        <w:spacing w:after="0"/>
        <w:rPr>
          <w:color w:val="000000"/>
        </w:rPr>
      </w:pPr>
      <w:r>
        <w:lastRenderedPageBreak/>
        <w:t>La primera parte del informe (pp.03 . ) se centra en el marco legal que incide en la igualdad y no discri</w:t>
      </w:r>
      <w:r>
        <w:t xml:space="preserve">minación para el acceso a la justicia de las personas LBTI. Se aborda la ausencia de protocolos sensibles a la identidad de género y orientación sexual de esta población y cómo esto afecta el acceso a la justicia y medidas de reparación de las víctimas de </w:t>
      </w:r>
      <w:r>
        <w:t>violencia. Además, se incluye el tema del reconocimiento legal de género para las personas trans y la tipificación de delitos motivados por prejuicios hacia la orientación sexual e identidad de género.</w:t>
      </w:r>
    </w:p>
    <w:p w:rsidR="0085163A" w:rsidRDefault="00C63D0B">
      <w:pPr>
        <w:numPr>
          <w:ilvl w:val="0"/>
          <w:numId w:val="3"/>
        </w:numPr>
        <w:spacing w:after="0"/>
        <w:rPr>
          <w:color w:val="000000"/>
        </w:rPr>
      </w:pPr>
      <w:r>
        <w:t>La segunda parte (pág. 10) aborda cuestiones relaciona</w:t>
      </w:r>
      <w:r>
        <w:t>das con la protección de las mujeres menos favorecidas. Donde se hace referencia a la agenda regresiva para el acceso a la educación integral en sexualidad y la lucha contra los estereotipos de género al analizar una ley contraria a los intereses de niños,</w:t>
      </w:r>
      <w:r>
        <w:t xml:space="preserve"> niñas y adolescentes, específicamente de aquellos que son trans e intersex.</w:t>
      </w:r>
    </w:p>
    <w:p w:rsidR="0085163A" w:rsidRDefault="00C63D0B">
      <w:pPr>
        <w:numPr>
          <w:ilvl w:val="0"/>
          <w:numId w:val="3"/>
        </w:numPr>
        <w:rPr>
          <w:color w:val="000000"/>
        </w:rPr>
      </w:pPr>
      <w:r>
        <w:t xml:space="preserve">La tercera parte (pp.13) Las dos últimas partes abordan la violencia contra los defensores de derechos humanos LBTI y el contexto de criminalización y retrocesos a la libertad de </w:t>
      </w:r>
      <w:r>
        <w:t>expresión y asociación.</w:t>
      </w:r>
    </w:p>
    <w:p w:rsidR="0085163A" w:rsidRDefault="0085163A"/>
    <w:p w:rsidR="0085163A" w:rsidRDefault="00C63D0B">
      <w:pPr>
        <w:numPr>
          <w:ilvl w:val="0"/>
          <w:numId w:val="4"/>
        </w:numPr>
        <w:spacing w:after="0"/>
        <w:rPr>
          <w:rFonts w:ascii="Barlow SemiBold" w:eastAsia="Barlow SemiBold" w:hAnsi="Barlow SemiBold" w:cs="Barlow SemiBold"/>
          <w:color w:val="000000"/>
          <w:sz w:val="30"/>
          <w:szCs w:val="30"/>
        </w:rPr>
      </w:pPr>
      <w:r>
        <w:rPr>
          <w:rFonts w:ascii="Barlow SemiBold" w:eastAsia="Barlow SemiBold" w:hAnsi="Barlow SemiBold" w:cs="Barlow SemiBold"/>
          <w:sz w:val="30"/>
          <w:szCs w:val="30"/>
        </w:rPr>
        <w:t xml:space="preserve">Contexto general de la situación de las personas LBT </w:t>
      </w:r>
      <w:r>
        <w:rPr>
          <w:vertAlign w:val="superscript"/>
        </w:rPr>
        <w:footnoteReference w:id="1"/>
      </w:r>
      <w:r>
        <w:rPr>
          <w:rFonts w:ascii="Barlow SemiBold" w:eastAsia="Barlow SemiBold" w:hAnsi="Barlow SemiBold" w:cs="Barlow SemiBold"/>
          <w:sz w:val="30"/>
          <w:szCs w:val="30"/>
        </w:rPr>
        <w:t>en Guatemala</w:t>
      </w:r>
    </w:p>
    <w:p w:rsidR="0085163A" w:rsidRDefault="00C63D0B">
      <w:pPr>
        <w:numPr>
          <w:ilvl w:val="0"/>
          <w:numId w:val="3"/>
        </w:numPr>
        <w:spacing w:after="0"/>
        <w:rPr>
          <w:color w:val="000000"/>
        </w:rPr>
      </w:pPr>
      <w:r>
        <w:t>La violencia contra las personas LBTI está presente en su vida diaria y en todos los ámbitos de su vida, incluso puede convertirse en un problema proveniente de las</w:t>
      </w:r>
      <w:r>
        <w:t xml:space="preserve"> autoridades e instituciones estatales. A pesar de que las mujeres comprenden la mitad de la población que habita el territorio guatemalteco, según los datos del último censo publicado en 2019 por el Instituto Nacional de Estadística de Guatemala, las muje</w:t>
      </w:r>
      <w:r>
        <w:t>res representan el 51.5% de la población total que en ese momento ascendía a 14,9 millones de habitantes. (-INE-, 2019). En relación al porcentaje de personas LGBT que habitan Guatemala, este no está documentado dentro del censo de población que realiza el</w:t>
      </w:r>
      <w:r>
        <w:t xml:space="preserve"> Estado y en caso de que alguna institución estatal cuente con un formulario que permita identificar la orientación e identidad de género de las personas, este no es obligatorio ni utilizado por los funcionarios públicos encargados del registro de personas</w:t>
      </w:r>
      <w:r>
        <w:t>. No existen instituciones estatales que identifiquen la condición de intersexual, por lo que tampoco hay datos sobre esta población.</w:t>
      </w:r>
    </w:p>
    <w:p w:rsidR="0085163A" w:rsidRDefault="00C63D0B">
      <w:pPr>
        <w:numPr>
          <w:ilvl w:val="0"/>
          <w:numId w:val="3"/>
        </w:numPr>
        <w:spacing w:after="0"/>
        <w:rPr>
          <w:color w:val="000000"/>
        </w:rPr>
      </w:pPr>
      <w:r>
        <w:rPr>
          <w:color w:val="000000"/>
        </w:rPr>
        <w:t>La Constitución Política de la República de Guatemala sirve de base para la creación de leyes y la protección de los derechos humanos de toda la población. Sin embargo, las leyes existentes no se aplican de manera inclusiva y progresiva hacia grupos especí</w:t>
      </w:r>
      <w:r>
        <w:rPr>
          <w:color w:val="000000"/>
        </w:rPr>
        <w:t>ficos como la comunidad LGBTI+ y más específicamente para la protección de las personas LBTI. Si bien la legislación guatemalteca se basa en los derechos humanos, estas normas no se aplican con un enfoque amplio y progresista hacia sectores como la poblaci</w:t>
      </w:r>
      <w:r>
        <w:rPr>
          <w:color w:val="000000"/>
        </w:rPr>
        <w:t>ón LGBTI.</w:t>
      </w:r>
    </w:p>
    <w:p w:rsidR="0085163A" w:rsidRDefault="00C63D0B">
      <w:pPr>
        <w:numPr>
          <w:ilvl w:val="0"/>
          <w:numId w:val="3"/>
        </w:numPr>
        <w:spacing w:after="0"/>
      </w:pPr>
      <w:r>
        <w:lastRenderedPageBreak/>
        <w:t>En cuanto a la creación de legislación especializada para la protección de la población LGBTI+, no ha habido avances a nivel legislativo. Y de acuerdo con la institución de la Procuraduría de los Derechos Humanos -PDH- en su Línea Base LGBTI pres</w:t>
      </w:r>
      <w:r>
        <w:t xml:space="preserve">entó en 2018 </w:t>
      </w:r>
      <w:r>
        <w:rPr>
          <w:vertAlign w:val="superscript"/>
        </w:rPr>
        <w:footnoteReference w:id="2"/>
      </w:r>
      <w:r>
        <w:t>que no existe ninguna ley o política pública que garantice el cumplimiento de los derechos LGBTI en Guatemala. Esta situación continúa y no ha cambiado desde 2018, ya que la agenda política LGBTI relacionada con el reconocimiento de la identi</w:t>
      </w:r>
      <w:r>
        <w:t>dad de género y la ley sobre delitos basados en prejuicios no han sido aprobadas por el legislativo.</w:t>
      </w:r>
    </w:p>
    <w:p w:rsidR="0085163A" w:rsidRDefault="0085163A">
      <w:pPr>
        <w:pBdr>
          <w:top w:val="nil"/>
          <w:left w:val="nil"/>
          <w:bottom w:val="nil"/>
          <w:right w:val="nil"/>
          <w:between w:val="nil"/>
        </w:pBdr>
        <w:spacing w:after="0"/>
        <w:ind w:left="720"/>
        <w:rPr>
          <w:color w:val="000000"/>
        </w:rPr>
      </w:pPr>
    </w:p>
    <w:p w:rsidR="0085163A" w:rsidRDefault="0085163A">
      <w:pPr>
        <w:pBdr>
          <w:top w:val="nil"/>
          <w:left w:val="nil"/>
          <w:bottom w:val="nil"/>
          <w:right w:val="nil"/>
          <w:between w:val="nil"/>
        </w:pBdr>
        <w:spacing w:after="0"/>
        <w:ind w:left="720"/>
        <w:rPr>
          <w:b/>
          <w:color w:val="000000"/>
        </w:rPr>
      </w:pPr>
    </w:p>
    <w:p w:rsidR="0085163A" w:rsidRDefault="00C63D0B">
      <w:pPr>
        <w:numPr>
          <w:ilvl w:val="0"/>
          <w:numId w:val="4"/>
        </w:numPr>
        <w:spacing w:after="0"/>
        <w:rPr>
          <w:b/>
          <w:color w:val="000000"/>
          <w:sz w:val="32"/>
          <w:szCs w:val="32"/>
        </w:rPr>
      </w:pPr>
      <w:r>
        <w:rPr>
          <w:rFonts w:ascii="Oswald" w:eastAsia="Oswald" w:hAnsi="Oswald" w:cs="Oswald"/>
          <w:sz w:val="32"/>
          <w:szCs w:val="32"/>
        </w:rPr>
        <w:t>Datos y casos sobre violencia y acceso a la justicia de personas  LBT</w:t>
      </w:r>
    </w:p>
    <w:p w:rsidR="0085163A" w:rsidRDefault="00C63D0B">
      <w:pPr>
        <w:numPr>
          <w:ilvl w:val="0"/>
          <w:numId w:val="3"/>
        </w:numPr>
        <w:spacing w:after="0"/>
      </w:pPr>
      <w:r>
        <w:t>La situación del acceso a la justicia de mujeres lesbianas, bisexuales, trans y hombres trans presenta grandes desafíos. Según el Centro de Datos Visibles , al interior de las instituciones del sector justicia —Ministerio Público, Instituto para la Víctima</w:t>
      </w:r>
      <w:r>
        <w:t xml:space="preserve"> y Policía Nacional Civil— no existen políticas institucionales, reglamentos internos ni lineamientos de investigación con enfoque LBT.</w:t>
      </w:r>
      <w:r>
        <w:rPr>
          <w:vertAlign w:val="superscript"/>
        </w:rPr>
        <w:footnoteReference w:id="3"/>
      </w:r>
      <w:r>
        <w:t xml:space="preserve"> </w:t>
      </w:r>
    </w:p>
    <w:p w:rsidR="0085163A" w:rsidRDefault="00C63D0B">
      <w:pPr>
        <w:numPr>
          <w:ilvl w:val="0"/>
          <w:numId w:val="3"/>
        </w:numPr>
        <w:spacing w:after="0"/>
        <w:rPr>
          <w:color w:val="000000"/>
        </w:rPr>
      </w:pPr>
      <w:r>
        <w:t>Además, ante la ausencia de protocolos de atención adecuados para la atención de la población LBT, la agenda regresiva</w:t>
      </w:r>
      <w:r>
        <w:t xml:space="preserve"> en materia de derechos humanos ha frenado los esfuerzos para crear y aprobar legislación a favor de los derechos humanos de la población LGBTI+ en Guatemala.</w:t>
      </w:r>
    </w:p>
    <w:p w:rsidR="0085163A" w:rsidRDefault="00C63D0B">
      <w:pPr>
        <w:numPr>
          <w:ilvl w:val="0"/>
          <w:numId w:val="3"/>
        </w:numPr>
        <w:spacing w:after="0"/>
      </w:pPr>
      <w:r>
        <w:t>Es importante mencionar que si bien las personas trans en Guatemala pueden acceder a un cambio de</w:t>
      </w:r>
      <w:r>
        <w:t xml:space="preserve"> nombre y rectificar la fotografía en el Documento Personal de Identificación (DPI), no se puede cambiar el marcador de género. Tramitar judicialmente este procedimiento puede conllevar una fuerte carga de prejuicios por parte de los operadores de justicia</w:t>
      </w:r>
      <w:r>
        <w:t>, influidos principalmente por el fundamentalismo religioso. Por lo tanto, el reclamo y deseo de cambio de nombre puede ser desestimado desde un inicio por cuestiones formales que no permiten conocer el fondo del asunto. Además, el cambio de nombre en Guat</w:t>
      </w:r>
      <w:r>
        <w:t xml:space="preserve">emala no cumple con ninguno de los principios consagrados en la Opinión Consultiva 24/17 de la Comisión Interamericana de Derechos Humanos, como se explica detalladamente en el informe de la Organización de Estados Americanos —OEA—, Panorama </w:t>
      </w:r>
      <w:r>
        <w:rPr>
          <w:i/>
        </w:rPr>
        <w:t>. del reconoci</w:t>
      </w:r>
      <w:r>
        <w:rPr>
          <w:i/>
        </w:rPr>
        <w:t>miento legal de la identidad de género en las Américas.</w:t>
      </w:r>
      <w:r>
        <w:rPr>
          <w:vertAlign w:val="superscript"/>
        </w:rPr>
        <w:footnoteReference w:id="4"/>
      </w:r>
      <w:r>
        <w:rPr>
          <w:vertAlign w:val="superscript"/>
        </w:rPr>
        <w:t xml:space="preserve"> </w:t>
      </w:r>
      <w:r>
        <w:t>En el último año, Transformación acompañó 10 procesos judiciales de cambio de nombre, de los cuales solo en 2 casos se reconoció como un derecho de las personas trans, y en el resto de los casos no h</w:t>
      </w:r>
      <w:r>
        <w:t xml:space="preserve">ubo reconocimiento de estos derechos. Cada caso fue conocido por tribunales presididos por jueces diferentes, y el proceso mostró arbitrariedad basada en creencias personales en la toma de decisiones y poca estandarización del proceso, </w:t>
      </w:r>
      <w:r>
        <w:lastRenderedPageBreak/>
        <w:t>así como desconocimi</w:t>
      </w:r>
      <w:r>
        <w:t>ento y prejuicio hacia el derecho a cambiar el nombre de las personas trans.</w:t>
      </w:r>
    </w:p>
    <w:p w:rsidR="0085163A" w:rsidRDefault="00C63D0B">
      <w:pPr>
        <w:numPr>
          <w:ilvl w:val="0"/>
          <w:numId w:val="3"/>
        </w:numPr>
        <w:spacing w:after="0"/>
      </w:pPr>
      <w:r>
        <w:t>La falta de legislación y protocolos de atención a mujeres trans víctimas de violencia provoca que las mujeres trans sigan siendo registradas y atendidas como hombres, lo que gene</w:t>
      </w:r>
      <w:r>
        <w:t xml:space="preserve">ra subregistro de casos de violencia contra ellas y que ellas mismas no quieran acercarse a las mujeres. instituciones. </w:t>
      </w:r>
      <w:r>
        <w:rPr>
          <w:vertAlign w:val="superscript"/>
        </w:rPr>
        <w:footnoteReference w:id="5"/>
      </w:r>
      <w:r>
        <w:t>En el caso de los hombres trans, no existen protocolos diferenciados para atender casos de violencia, especialmente violencia sexual, e</w:t>
      </w:r>
      <w:r>
        <w:t>xistiendo un subregistro de casos de violencia por falta de denuncia y al momento de denunciar se registran como casos de violencia contra las mujeres. La falta de protocolos diferenciados, el reconocimiento de sus identidades y la discriminación instituci</w:t>
      </w:r>
      <w:r>
        <w:t>onal también son una barrera para la denuncia, el acceso a la justicia y el acceso al apoyo necesario para las sobrevivientes.</w:t>
      </w:r>
    </w:p>
    <w:p w:rsidR="0085163A" w:rsidRDefault="00C63D0B">
      <w:pPr>
        <w:numPr>
          <w:ilvl w:val="0"/>
          <w:numId w:val="3"/>
        </w:numPr>
        <w:spacing w:after="0"/>
      </w:pPr>
      <w:r>
        <w:t>En el caso de las mujeres lesbianas y bisexuales cisgénero, esta falta de protocolos hace que enfrenten procesos e investigacione</w:t>
      </w:r>
      <w:r>
        <w:t>s penales con prejuicios por orientación sexual. Así lo evidencia una investigación de la Organización para la Diversidad Sexual para la Cultura, la Educación y las Artes —ODISCEA— que comenta que “cuando [las mujeres lesbianas y bisexuales] tienen que enf</w:t>
      </w:r>
      <w:r>
        <w:t xml:space="preserve">rentar procesos penales, se enfrentan a tribunales con prejuicios, a un sistema que las ve con prejuicios y estereotipos que no deberían tener impacto en los procesos penales. En la sentencia y el tratamiento, el enfoque es eminentemente discriminatorio”. </w:t>
      </w:r>
      <w:r>
        <w:rPr>
          <w:vertAlign w:val="superscript"/>
        </w:rPr>
        <w:footnoteReference w:id="6"/>
      </w:r>
      <w:r>
        <w:t>Además, a pesar de que el Ministerio Público cuenta con formularios donde se puede indicar la orientación sexual, el 42% de las denuncias de personas LGBTI no la registran.</w:t>
      </w:r>
      <w:r>
        <w:rPr>
          <w:vertAlign w:val="superscript"/>
        </w:rPr>
        <w:footnoteReference w:id="7"/>
      </w:r>
    </w:p>
    <w:p w:rsidR="0085163A" w:rsidRDefault="00C63D0B">
      <w:pPr>
        <w:numPr>
          <w:ilvl w:val="0"/>
          <w:numId w:val="3"/>
        </w:numPr>
        <w:spacing w:after="0"/>
      </w:pPr>
      <w:r>
        <w:t>Entre las instituciones que integran el sector justicia en materia penal, la únic</w:t>
      </w:r>
      <w:r>
        <w:t>a que cuenta con un protocolo de atención a la comunidad LGBTI+ es el Instituto de la Defensa Pública Penal —IDPP— el cual incluye lineamientos de actuación de los defensores públicos que forman parte del IDPP . Por su parte, el Sistema Penitenciario cuent</w:t>
      </w:r>
      <w:r>
        <w:t>a con un documento denominado “Estándares y lineamientos mínimos para la adecuada atención de personas lesbianas, gays, transexuales, trans e intersex en situación de privación de libertad en Guatemala” elaborado en conjunto con la sociedad civil.</w:t>
      </w:r>
      <w:r>
        <w:rPr>
          <w:vertAlign w:val="superscript"/>
        </w:rPr>
        <w:footnoteReference w:id="8"/>
      </w:r>
      <w:r>
        <w:t xml:space="preserve"> </w:t>
      </w:r>
    </w:p>
    <w:p w:rsidR="0085163A" w:rsidRDefault="00C63D0B">
      <w:pPr>
        <w:numPr>
          <w:ilvl w:val="0"/>
          <w:numId w:val="3"/>
        </w:numPr>
        <w:spacing w:after="0"/>
      </w:pPr>
      <w:r>
        <w:t>Sin em</w:t>
      </w:r>
      <w:r>
        <w:t>bargo, organizaciones de la sociedad civil han registrado que las mujeres lesbianas y bisexuales que "desde que ingresan al penal hay prejuicios discriminatorios hacia ellos, por los gestos que les hacen, los 'piropos' que les dicen, por las risas de los g</w:t>
      </w:r>
      <w:r>
        <w:t xml:space="preserve">uardias y comentarios como 'tengan cuidado'. graduados', lo que </w:t>
      </w:r>
      <w:r>
        <w:lastRenderedPageBreak/>
        <w:t xml:space="preserve">sufren cada día es muy fuerte". </w:t>
      </w:r>
      <w:r>
        <w:rPr>
          <w:vertAlign w:val="superscript"/>
        </w:rPr>
        <w:footnoteReference w:id="9"/>
      </w:r>
      <w:r>
        <w:t xml:space="preserve">En el caso de las personas trans, al no existir un reconocimiento legal de su identidad de género, son asignadas a centros penitenciarios según sus documentos </w:t>
      </w:r>
      <w:r>
        <w:t>legales, exponiéndolas a diferentes formas de violencia incluyendo agresiones y violencia sexual, y sin acceso a protecciones y protocolos. . de atención para estos casos. De acuerdo con la sentencia emitida en el expediente 635-2013 de la Corte Constituci</w:t>
      </w:r>
      <w:r>
        <w:t>onal de Guatemala, señala que las personas en su diversidad de identidad de género no deben ser discriminadas ni sometidas a malos tratos -como cortes de cabello obligatorios- por su expresión de género.</w:t>
      </w:r>
      <w:r>
        <w:rPr>
          <w:vertAlign w:val="superscript"/>
        </w:rPr>
        <w:footnoteReference w:id="10"/>
      </w:r>
    </w:p>
    <w:p w:rsidR="0085163A" w:rsidRDefault="00C63D0B">
      <w:pPr>
        <w:numPr>
          <w:ilvl w:val="0"/>
          <w:numId w:val="3"/>
        </w:numPr>
        <w:spacing w:after="0"/>
      </w:pPr>
      <w:r>
        <w:t>Finalmente, en relación al seguimiento de hechos de</w:t>
      </w:r>
      <w:r>
        <w:t xml:space="preserve"> violencia contra la población LBTI, la Coordinación de Atención a Víctimas del MP manifestó que no cuenta con información que establezca cuál es el protocolo de atención en estos casos. </w:t>
      </w:r>
      <w:r>
        <w:rPr>
          <w:vertAlign w:val="superscript"/>
        </w:rPr>
        <w:footnoteReference w:id="11"/>
      </w:r>
      <w:r>
        <w:t>Un estudio realizado por Visibles en 2020 muestra que las mujeres le</w:t>
      </w:r>
      <w:r>
        <w:t>sbianas son el colectivo que menos confianza tiene en las instituciones de justicia. Cuando se les preguntó dónde denunciarían una agresión o violencia, el 65,71% de las mujeres lesbianas respondió que ante organizaciones de la sociedad civil y no ante una</w:t>
      </w:r>
      <w:r>
        <w:t xml:space="preserve"> institución del Estado. </w:t>
      </w:r>
    </w:p>
    <w:p w:rsidR="0085163A" w:rsidRDefault="00C63D0B">
      <w:pPr>
        <w:numPr>
          <w:ilvl w:val="0"/>
          <w:numId w:val="3"/>
        </w:numPr>
        <w:spacing w:after="0"/>
      </w:pPr>
      <w:r>
        <w:t>Es decir, el Ministerio Público, institución del sector justicia encargada de recibir denuncias y recopilar la información necesaria para poder realizar investigaciones de hechos delictivos. En el caso de investigaciones sobre hec</w:t>
      </w:r>
      <w:r>
        <w:t>hos de violencia sexual y de género contra personas LBT, no cuenta con un protocolo de atención especializado que prevenga su revictimización.</w:t>
      </w:r>
    </w:p>
    <w:p w:rsidR="0085163A" w:rsidRDefault="00C63D0B">
      <w:pPr>
        <w:numPr>
          <w:ilvl w:val="0"/>
          <w:numId w:val="3"/>
        </w:numPr>
        <w:spacing w:after="0"/>
      </w:pPr>
      <w:r>
        <w:t>La falta de protocolos de acceso a la justicia para personas LBT genera una cultura de impunidad, subregistro y m</w:t>
      </w:r>
      <w:r>
        <w:t>iedo a denunciar. Esto, sumado a la falta de protocolos de investigación criminal, constituye una de las mayores barreras para el acceso a la justicia de las personas LBT.</w:t>
      </w:r>
    </w:p>
    <w:p w:rsidR="0085163A" w:rsidRDefault="00C63D0B">
      <w:pPr>
        <w:numPr>
          <w:ilvl w:val="0"/>
          <w:numId w:val="3"/>
        </w:numPr>
        <w:spacing w:after="0"/>
      </w:pPr>
      <w:r>
        <w:t>En el caso de los defensores de derechos humanos, la libertad de asociación se ha vi</w:t>
      </w:r>
      <w:r>
        <w:t>sto afectada por el clima de represión y persecución. En 2020 se aprobó el Decreto 4-2020 denominado “Ley de ONG”, que “otorga al gobierno la facultad de retirar el registro de una ONG  sin necesidad de acudir a un tribunal ni de que exista un mecanismo de</w:t>
      </w:r>
      <w:r>
        <w:t xml:space="preserve"> defensa, y también te da control sobre los fondos provenientes de la cooperación internacional. Organizaciones de la sociedad civil han cuestionado la constitucionalidad de la legislación, pidiendo al gobierno que derogue y defienda la libertad de expresi</w:t>
      </w:r>
      <w:r>
        <w:t xml:space="preserve">ón y asociación, entre otras”. </w:t>
      </w:r>
      <w:r>
        <w:rPr>
          <w:vertAlign w:val="superscript"/>
        </w:rPr>
        <w:footnoteReference w:id="12"/>
      </w:r>
      <w:r>
        <w:rPr>
          <w:vertAlign w:val="superscript"/>
        </w:rPr>
        <w:t xml:space="preserve"> </w:t>
      </w:r>
      <w:r>
        <w:t xml:space="preserve">Las preocupaciones que surgen de </w:t>
      </w:r>
      <w:r>
        <w:lastRenderedPageBreak/>
        <w:t>este decreto tienen que ver con que podría utilizarse como instrumento para atacar y penalizar a grupos críticos con el Gobierno.</w:t>
      </w:r>
    </w:p>
    <w:p w:rsidR="0085163A" w:rsidRDefault="00C63D0B">
      <w:pPr>
        <w:numPr>
          <w:ilvl w:val="0"/>
          <w:numId w:val="3"/>
        </w:numPr>
        <w:spacing w:after="0"/>
      </w:pPr>
      <w:r>
        <w:t>Como se mencionó anteriormente, Guatemala no cuenta con leye</w:t>
      </w:r>
      <w:r>
        <w:t>s o políticas públicas que promuevan el reconocimiento y cumplimiento de los derechos humanos de las personas LGBTI. Asimismo, tampoco existen datos y estadísticas representativas de esta población; Los esfuerzos más grandes y sistemáticos para recopilar d</w:t>
      </w:r>
      <w:r>
        <w:t>atos provienen de la sociedad civil.</w:t>
      </w:r>
    </w:p>
    <w:p w:rsidR="0085163A" w:rsidRDefault="00C63D0B">
      <w:pPr>
        <w:numPr>
          <w:ilvl w:val="0"/>
          <w:numId w:val="3"/>
        </w:numPr>
        <w:spacing w:after="0"/>
      </w:pPr>
      <w:r>
        <w:t xml:space="preserve">La Asociación LAMBDA en Guatemala contabiliza en su Observatorio de Muertes Violentas los asesinatos cometidos contra personas LGBTI. </w:t>
      </w:r>
      <w:r>
        <w:rPr>
          <w:vertAlign w:val="superscript"/>
        </w:rPr>
        <w:footnoteReference w:id="13"/>
      </w:r>
      <w:r>
        <w:t xml:space="preserve">Durante el año 2022 se registró la muerte violenta de 29 personas LGBTI </w:t>
      </w:r>
      <w:r>
        <w:rPr>
          <w:vertAlign w:val="superscript"/>
        </w:rPr>
        <w:footnoteReference w:id="14"/>
      </w:r>
      <w:r>
        <w:t>, de las cu</w:t>
      </w:r>
      <w:r>
        <w:t>ales tres son mujeres lesbianas, un hombre trans y una mujer bisexual. Respecto al asesinato de hombres trans y personas transmasculinas, es importante resaltar que no existen protocolos pertinentes a la identidad de género y se realizan de acuerdo al sexo</w:t>
      </w:r>
      <w:r>
        <w:t xml:space="preserve"> asignado al nacer. Lo que significa que al no identificarse como mujeres, habitan en un vacío legal que también está presente en el sistema internacional de derechos humanos. Los hombres trans suelen sufrir situaciones de violencia similares a las de las </w:t>
      </w:r>
      <w:r>
        <w:t>mujeres lesbianas , pero que no están adecuadamente documentadas o no están suficientemente registradas.</w:t>
      </w:r>
    </w:p>
    <w:p w:rsidR="0085163A" w:rsidRDefault="00C63D0B">
      <w:pPr>
        <w:numPr>
          <w:ilvl w:val="0"/>
          <w:numId w:val="3"/>
        </w:numPr>
        <w:spacing w:after="0"/>
      </w:pPr>
      <w:r>
        <w:t>Las diferentes instituciones que conforman el sector de justicia guatemalteco no manejan datos desagregados sobre la población LGBTI como información p</w:t>
      </w:r>
      <w:r>
        <w:t>ública de oficio sino que forman parte de la información que brindan cuando la ciudadanía los solicita. Según el análisis de las organizaciones que presentan esta información, es importante resaltar que estos datos pueden no ser del todo representativos de</w:t>
      </w:r>
      <w:r>
        <w:t xml:space="preserve"> toda la realidad que viven las personas LBT en materia de justicia. Por ejemplo, las investigaciones de la sociedad civil citadas anteriormente han proporcionado datos sobre la baja cultura de presentación de informes debido al temor a la discriminación p</w:t>
      </w:r>
      <w:r>
        <w:t xml:space="preserve">or parte de los funcionarios públicos. Además, la ausencia de protocolos y estructuras legales como la </w:t>
      </w:r>
      <w:r>
        <w:rPr>
          <w:i/>
        </w:rPr>
        <w:t xml:space="preserve">Ley de Delitos Prejudiciales </w:t>
      </w:r>
      <w:r>
        <w:t xml:space="preserve">y la </w:t>
      </w:r>
      <w:r>
        <w:rPr>
          <w:i/>
        </w:rPr>
        <w:t xml:space="preserve">Ley de Identidad de Género </w:t>
      </w:r>
      <w:r>
        <w:t>generan vacíos estructurales para la clasificación y reconocimiento de las personas LBT.</w:t>
      </w:r>
    </w:p>
    <w:p w:rsidR="0085163A" w:rsidRDefault="00C63D0B">
      <w:pPr>
        <w:numPr>
          <w:ilvl w:val="0"/>
          <w:numId w:val="3"/>
        </w:numPr>
        <w:spacing w:after="0"/>
      </w:pPr>
      <w:r>
        <w:t>Derivado del trabajo de organizaciones de la sociedad civil, se ha podido obtener los siguientes datos desagregados sobre denuncias e investigación penal:</w:t>
      </w:r>
    </w:p>
    <w:p w:rsidR="0085163A" w:rsidRDefault="00C63D0B">
      <w:pPr>
        <w:numPr>
          <w:ilvl w:val="0"/>
          <w:numId w:val="2"/>
        </w:numPr>
        <w:spacing w:after="0"/>
      </w:pPr>
      <w:r>
        <w:t>El Mecanismo de Búsqueda Inmediata de Mujeres Desaparecidas, mejor conocido como Alerta Isabel- Claud</w:t>
      </w:r>
      <w:r>
        <w:t>ina , coordinado por el Ministerio Público indica que de 2018 a septiembre de 2023 sólo se registró 1 alerta por 1 mujer trans y 13 por mujeres lesbianas. Los hombres trans no están registrados en este sistema.</w:t>
      </w:r>
    </w:p>
    <w:p w:rsidR="0085163A" w:rsidRDefault="00C63D0B">
      <w:pPr>
        <w:numPr>
          <w:ilvl w:val="0"/>
          <w:numId w:val="2"/>
        </w:numPr>
        <w:spacing w:after="0"/>
      </w:pPr>
      <w:r>
        <w:t>El Sistema Penitenciario de abril de 2022 reg</w:t>
      </w:r>
      <w:r>
        <w:t xml:space="preserve">istró que dentro de la población privada de libertad en los diferentes centros de detención había 140 personas que se </w:t>
      </w:r>
      <w:r>
        <w:lastRenderedPageBreak/>
        <w:t>identifican como lesbianas; 193 como bisexuales y 1 como queer/intersexual. No hay registro de hombres trans.</w:t>
      </w:r>
    </w:p>
    <w:p w:rsidR="0085163A" w:rsidRDefault="00C63D0B">
      <w:pPr>
        <w:numPr>
          <w:ilvl w:val="0"/>
          <w:numId w:val="2"/>
        </w:numPr>
        <w:spacing w:after="0"/>
      </w:pPr>
      <w:r>
        <w:t>Según datos del MP, entre en</w:t>
      </w:r>
      <w:r>
        <w:t>ero de 2015 y junio de 2022 recibió 17 denuncias de agresión sexual contra miembros de la comunidad LGBTI+, de las cuales 9 son incidentes donde la víctima es una persona LBT. De estos casos, 5 fueron sobreseídos en el periodo informado por el MP.</w:t>
      </w:r>
    </w:p>
    <w:p w:rsidR="0085163A" w:rsidRDefault="00C63D0B">
      <w:pPr>
        <w:numPr>
          <w:ilvl w:val="0"/>
          <w:numId w:val="2"/>
        </w:numPr>
        <w:spacing w:after="0"/>
      </w:pPr>
      <w:r>
        <w:t>Por el d</w:t>
      </w:r>
      <w:r>
        <w:t>elito de lesiones, el MP informó que recibió 124 denuncias de personas de la diversidad sexual por haber sufrido hechos constitutivos del delito de lesiones, de estas 32 corresponden a personas LBT. Además, para este período se desestimaron 67 denuncias (5</w:t>
      </w:r>
      <w:r>
        <w:t>4% del total recibidas) y 7 fueron archivadas.</w:t>
      </w:r>
    </w:p>
    <w:p w:rsidR="0085163A" w:rsidRDefault="00C63D0B">
      <w:pPr>
        <w:numPr>
          <w:ilvl w:val="0"/>
          <w:numId w:val="2"/>
        </w:numPr>
        <w:spacing w:after="0"/>
      </w:pPr>
      <w:r>
        <w:t xml:space="preserve">El MP informó que para el periodo de enero de 2015 a junio de 2022 recibió un total de 140 denuncias por actos de discriminación contra la población LGBTI+, de las cuales 29 son actos contra la población LBT. </w:t>
      </w:r>
      <w:r>
        <w:t>Sin embargo, informa que el 77% (108) de las denuncias son rechazadas para realizar una investigación y lograr la judicialización de las mismas.</w:t>
      </w:r>
    </w:p>
    <w:p w:rsidR="0085163A" w:rsidRDefault="00C63D0B">
      <w:pPr>
        <w:numPr>
          <w:ilvl w:val="0"/>
          <w:numId w:val="2"/>
        </w:numPr>
        <w:spacing w:after="0"/>
      </w:pPr>
      <w:r>
        <w:t xml:space="preserve">Por el delito de violación, el MP informó haber recibido 36 denuncias de violación por parte de miembros de la </w:t>
      </w:r>
      <w:r>
        <w:t>comunidad LGBTI+, de las cuales 13 corresponden a una persona LBT. De ellos, 9 fueron archivados, 3 sobreseídos, 1 sobreseído y 2 sentenciados.</w:t>
      </w:r>
    </w:p>
    <w:p w:rsidR="0085163A" w:rsidRDefault="00C63D0B">
      <w:pPr>
        <w:numPr>
          <w:ilvl w:val="0"/>
          <w:numId w:val="2"/>
        </w:numPr>
      </w:pPr>
      <w:r>
        <w:t>Por su parte, el Poder Judicial no puede establecer si en su función de administrar justicia no puede establecer</w:t>
      </w:r>
      <w:r>
        <w:t xml:space="preserve"> si existen destituciones, otras soluciones procesales o sentencias para las personas LBT que hayan denunciado alguno de los delitos antes mencionados .</w:t>
      </w:r>
    </w:p>
    <w:p w:rsidR="0085163A" w:rsidRDefault="0085163A">
      <w:pPr>
        <w:ind w:left="720"/>
      </w:pPr>
    </w:p>
    <w:p w:rsidR="0085163A" w:rsidRDefault="00C63D0B">
      <w:pPr>
        <w:pStyle w:val="Subttulo"/>
        <w:spacing w:after="0"/>
        <w:rPr>
          <w:b/>
        </w:rPr>
      </w:pPr>
      <w:bookmarkStart w:id="7" w:name="_heading=h.o9n6zdufploa" w:colFirst="0" w:colLast="0"/>
      <w:bookmarkEnd w:id="7"/>
      <w:r>
        <w:rPr>
          <w:b/>
        </w:rPr>
        <w:t>RECOMENDACIONES</w:t>
      </w:r>
    </w:p>
    <w:p w:rsidR="0085163A" w:rsidRDefault="00C63D0B">
      <w:pPr>
        <w:numPr>
          <w:ilvl w:val="0"/>
          <w:numId w:val="1"/>
        </w:numPr>
        <w:spacing w:after="0"/>
      </w:pPr>
      <w:r>
        <w:t xml:space="preserve">Al Ministerio Público de Guatemala, reconocer y tipificar los crímenes por prejuicio en razón de identidad de género, expresión de género y orientación sexual. Creación e implementación de protocolos de atención a víctimas con enfoque en diversidad sexual </w:t>
      </w:r>
      <w:r>
        <w:t>y diversidad de género dentro del Ministerio Público y la Policía Nacional Civil para que las personas LBT puedan acceder a la justicia con relevancia a su orientación sexual y de género.</w:t>
      </w:r>
    </w:p>
    <w:p w:rsidR="0085163A" w:rsidRDefault="00C63D0B">
      <w:pPr>
        <w:numPr>
          <w:ilvl w:val="0"/>
          <w:numId w:val="1"/>
        </w:numPr>
        <w:spacing w:after="0"/>
      </w:pPr>
      <w:r>
        <w:t>Al Ministerio Público y a la Policía Nacional Civil, realizar invest</w:t>
      </w:r>
      <w:r>
        <w:t>igaciones expeditas e independientes basadas en los derechos humanos de las personas LGBTIQ basados en la tipificación de delitos motivados por prejuicios. Buscar la coordinación entre ambas entidades y un sistema de datos que capture de manera eficiente e</w:t>
      </w:r>
      <w:r>
        <w:t xml:space="preserve"> informada las características identitarias de la población LGBTIQ.</w:t>
      </w:r>
    </w:p>
    <w:p w:rsidR="0085163A" w:rsidRDefault="00C63D0B">
      <w:pPr>
        <w:numPr>
          <w:ilvl w:val="0"/>
          <w:numId w:val="1"/>
        </w:numPr>
        <w:spacing w:after="0"/>
      </w:pPr>
      <w:r>
        <w:t>Capacitar sobre orientación sexual, identidad y expresión de género y características sexuales en los planes de estudio de estas instituciones e institucionalizar su obligación para los op</w:t>
      </w:r>
      <w:r>
        <w:t>eradores de justicia, incluidos fiscales, jueces, policías y todo el personal relevante para la adecuada atención de las personas LBTI.</w:t>
      </w:r>
    </w:p>
    <w:p w:rsidR="0085163A" w:rsidRDefault="00C63D0B">
      <w:pPr>
        <w:numPr>
          <w:ilvl w:val="0"/>
          <w:numId w:val="1"/>
        </w:numPr>
        <w:spacing w:after="0"/>
      </w:pPr>
      <w:r>
        <w:lastRenderedPageBreak/>
        <w:t>Al Gobierno de Guatemala, apoyar el trabajo de la Procuradaría de Derechos Humanos y fortalecer la Procuraduría de la Di</w:t>
      </w:r>
      <w:r>
        <w:t>versidad Sexual contratando más personal y destinando más presupuesto a su trabajo.</w:t>
      </w:r>
    </w:p>
    <w:p w:rsidR="0085163A" w:rsidRDefault="00C63D0B">
      <w:pPr>
        <w:numPr>
          <w:ilvl w:val="0"/>
          <w:numId w:val="1"/>
        </w:numPr>
        <w:spacing w:after="0"/>
      </w:pPr>
      <w:r>
        <w:t>Al Ministerio de Gobernación que controla y dirige el Sistema Penitenciario y la Policía Nacional Civil, asignar presupuesto para la capacitación del personal respecto a lo</w:t>
      </w:r>
      <w:r>
        <w:t>s “Estándares y lineamientos mínimos para la adecuada atención de personas lesbianas, gays, transexuales, trans e intersex en situación de privación de libertad en Guatemala”.</w:t>
      </w:r>
    </w:p>
    <w:p w:rsidR="0085163A" w:rsidRDefault="00C63D0B">
      <w:pPr>
        <w:numPr>
          <w:ilvl w:val="0"/>
          <w:numId w:val="1"/>
        </w:numPr>
        <w:spacing w:after="0"/>
      </w:pPr>
      <w:r>
        <w:t>A los directores del Sistema Penitenciario y Policía Nacional Civil crear sistem</w:t>
      </w:r>
      <w:r>
        <w:t xml:space="preserve">as de denuncia y protección de casos de agresiones, violencia y discriminación por parte de agentes y funcionarios públicos hacia personas de orientación sexual e identidad de género diversas. </w:t>
      </w:r>
    </w:p>
    <w:p w:rsidR="0085163A" w:rsidRDefault="00C63D0B">
      <w:pPr>
        <w:numPr>
          <w:ilvl w:val="0"/>
          <w:numId w:val="1"/>
        </w:numPr>
        <w:spacing w:after="0"/>
      </w:pPr>
      <w:r>
        <w:t>Al Gobierno de Guatemala, específicamente al Ministerio Públic</w:t>
      </w:r>
      <w:r>
        <w:t>o, cese la persecución contra activistas y defensores de derechos humanos y garantice que los crímenes cometidos en su contra sean investigados, incluso cuando provengan de fuerzas policiales u otros funcionarios públicos.</w:t>
      </w:r>
    </w:p>
    <w:p w:rsidR="0085163A" w:rsidRDefault="0085163A">
      <w:pPr>
        <w:spacing w:after="0"/>
        <w:ind w:left="720"/>
      </w:pPr>
    </w:p>
    <w:p w:rsidR="0085163A" w:rsidRDefault="00C63D0B">
      <w:pPr>
        <w:numPr>
          <w:ilvl w:val="0"/>
          <w:numId w:val="4"/>
        </w:numPr>
        <w:spacing w:after="0"/>
        <w:rPr>
          <w:sz w:val="32"/>
          <w:szCs w:val="32"/>
        </w:rPr>
      </w:pPr>
      <w:r>
        <w:rPr>
          <w:b/>
          <w:sz w:val="32"/>
          <w:szCs w:val="32"/>
        </w:rPr>
        <w:t>Marco jurídico y definición de d</w:t>
      </w:r>
      <w:r>
        <w:rPr>
          <w:b/>
          <w:sz w:val="32"/>
          <w:szCs w:val="32"/>
        </w:rPr>
        <w:t>iscriminación</w:t>
      </w:r>
    </w:p>
    <w:p w:rsidR="0085163A" w:rsidRDefault="00C63D0B">
      <w:pPr>
        <w:numPr>
          <w:ilvl w:val="0"/>
          <w:numId w:val="3"/>
        </w:numPr>
        <w:spacing w:after="0"/>
      </w:pPr>
      <w:r>
        <w:t xml:space="preserve">En Guatemala, la agenda política y legislativa para la igualdad y no discriminación de la comunidad LGBTI+ y las mujeres no ha avanzado en los últimos años. En concreto, dos iniciativas cruciales para el acceso a la justicia y la igualdad de </w:t>
      </w:r>
      <w:r>
        <w:t xml:space="preserve">la población LBT cuentan con opinión desfavorable del Congreso. Se trata de la </w:t>
      </w:r>
      <w:r>
        <w:rPr>
          <w:i/>
        </w:rPr>
        <w:t xml:space="preserve">Iniciativa de Ley de Identidad de Género (5395) y la </w:t>
      </w:r>
      <w:r>
        <w:t>iniciativa de Ley de Delitos de Prejuicio (5278), que busca incluir la orientación sexual y la identidad de género entre las</w:t>
      </w:r>
      <w:r>
        <w:t xml:space="preserve"> agravantes de un delito, tienen dictamen desfavorable en el Congreso de la República.</w:t>
      </w:r>
    </w:p>
    <w:p w:rsidR="0085163A" w:rsidRDefault="00C63D0B">
      <w:pPr>
        <w:numPr>
          <w:ilvl w:val="0"/>
          <w:numId w:val="3"/>
        </w:numPr>
        <w:spacing w:after="0"/>
      </w:pPr>
      <w:r>
        <w:t xml:space="preserve">La iniciativa de </w:t>
      </w:r>
      <w:r>
        <w:rPr>
          <w:i/>
        </w:rPr>
        <w:t xml:space="preserve">Ley de Delitos por Prejuicio </w:t>
      </w:r>
      <w:r>
        <w:t>—iniciativa que busca modificar el artículo 202 bis del Código Penal para incluir la orientación sexual y la identidad de g</w:t>
      </w:r>
      <w:r>
        <w:t>énero como agravantes de los delitos—</w:t>
      </w:r>
      <w:r>
        <w:rPr>
          <w:i/>
        </w:rPr>
        <w:t xml:space="preserve"> </w:t>
      </w:r>
      <w:r>
        <w:t xml:space="preserve">tiene una opinión desfavorable basada en que no es necesario agregar las categorías “identidad de género y orientación sexual” entre las agravantes de los delitos puesto que estas ya están incluidas en la frase “otros </w:t>
      </w:r>
      <w:r>
        <w:t>motivos o circunstancias” y que por lo tanto los jueces ya tienen Criterios para agravar sanciones y penas.</w:t>
      </w:r>
      <w:r>
        <w:rPr>
          <w:vertAlign w:val="superscript"/>
        </w:rPr>
        <w:footnoteReference w:id="15"/>
      </w:r>
      <w:r>
        <w:t xml:space="preserve"> </w:t>
      </w:r>
    </w:p>
    <w:p w:rsidR="0085163A" w:rsidRDefault="00C63D0B">
      <w:pPr>
        <w:numPr>
          <w:ilvl w:val="0"/>
          <w:numId w:val="3"/>
        </w:numPr>
        <w:spacing w:after="0"/>
      </w:pPr>
      <w:r>
        <w:t>Sin embargo, el Observatorio de Derechos Humanos y Violencia por orientación sexual e identidad de género afirma que de 2020 a 2022 se han registr</w:t>
      </w:r>
      <w:r>
        <w:t xml:space="preserve">ado 81 muertes violentas de personas LGBTI en Guatemala. </w:t>
      </w:r>
      <w:r>
        <w:rPr>
          <w:vertAlign w:val="superscript"/>
        </w:rPr>
        <w:footnoteReference w:id="16"/>
      </w:r>
      <w:r>
        <w:rPr>
          <w:vertAlign w:val="superscript"/>
        </w:rPr>
        <w:t xml:space="preserve"> </w:t>
      </w:r>
      <w:r>
        <w:t xml:space="preserve">Y en el momento del juicio, la orientación e identidad de género no se cuentan como factores agravantes para la mayoría de estos delitos. El único registro y excepción a esto es la sentencia de la </w:t>
      </w:r>
      <w:r>
        <w:t xml:space="preserve">Corte Constitucional dentro del expediente 635-2013 que utiliza el artículo 202 bis para reconocer que existe discriminación por orientación sexual e identidad de género </w:t>
      </w:r>
      <w:r>
        <w:lastRenderedPageBreak/>
        <w:t>en el Sistema Penitenciario cuando se priva a las personas trans de la libertad de cor</w:t>
      </w:r>
      <w:r>
        <w:t>tarse el cabello. y vestirse de forma contraria a su expresión de género.</w:t>
      </w:r>
      <w:r>
        <w:rPr>
          <w:vertAlign w:val="superscript"/>
        </w:rPr>
        <w:footnoteReference w:id="17"/>
      </w:r>
      <w:r>
        <w:t xml:space="preserve"> </w:t>
      </w:r>
    </w:p>
    <w:p w:rsidR="0085163A" w:rsidRDefault="00C63D0B">
      <w:pPr>
        <w:numPr>
          <w:ilvl w:val="0"/>
          <w:numId w:val="3"/>
        </w:numPr>
        <w:spacing w:after="0"/>
        <w:rPr>
          <w:color w:val="000000"/>
        </w:rPr>
      </w:pPr>
      <w:r>
        <w:t xml:space="preserve">La iniciativa de Ley 5395 </w:t>
      </w:r>
      <w:r>
        <w:rPr>
          <w:i/>
        </w:rPr>
        <w:t xml:space="preserve">de Ley de Identidad de Género </w:t>
      </w:r>
      <w:r>
        <w:t>tiene dictamen desfavorable, lo que significa que no puede ser discutida por el Pleno del Congreso de Guatemala. Los argumen</w:t>
      </w:r>
      <w:r>
        <w:t xml:space="preserve">tos se realizan desde una perspectiva que indica </w:t>
      </w:r>
      <w:r>
        <w:rPr>
          <w:i/>
        </w:rPr>
        <w:t>que las personas trans o transgénero no pueden ser consideradas de la misma manera que el modelo familiar y social reconocido en la Constitución Política de la República de Guatemala.</w:t>
      </w:r>
      <w:r>
        <w:rPr>
          <w:i/>
          <w:vertAlign w:val="superscript"/>
        </w:rPr>
        <w:footnoteReference w:id="18"/>
      </w:r>
      <w:r>
        <w:rPr>
          <w:i/>
        </w:rPr>
        <w:t xml:space="preserve"> </w:t>
      </w:r>
    </w:p>
    <w:p w:rsidR="0085163A" w:rsidRDefault="00C63D0B">
      <w:pPr>
        <w:numPr>
          <w:ilvl w:val="0"/>
          <w:numId w:val="3"/>
        </w:numPr>
        <w:spacing w:after="0"/>
      </w:pPr>
      <w:r>
        <w:t>Además, este dictamen</w:t>
      </w:r>
      <w:r>
        <w:t xml:space="preserve"> señala que [La rectificación del acta de nacimiento para personas trans] complica cuestiones relacionadas con la organización, regulación y forma de vida de la familia. Se rompería por completo el modelo de matrimonio en Guatemala (reconocido en la Consti</w:t>
      </w:r>
      <w:r>
        <w:t>tución y leyes particulares), sin mencionar que a la persona, sin importar su sexo al nacer, se le permitiría tener las mismas facultades que el género al que elija pertenecer. .</w:t>
      </w:r>
      <w:r>
        <w:rPr>
          <w:vertAlign w:val="superscript"/>
        </w:rPr>
        <w:footnoteReference w:id="19"/>
      </w:r>
    </w:p>
    <w:p w:rsidR="0085163A" w:rsidRDefault="00C63D0B">
      <w:pPr>
        <w:numPr>
          <w:ilvl w:val="0"/>
          <w:numId w:val="3"/>
        </w:numPr>
        <w:spacing w:after="0"/>
      </w:pPr>
      <w:r>
        <w:t>Los argumentos dados por la Comisión de Legislación y Puntos Constitucionale</w:t>
      </w:r>
      <w:r>
        <w:t>s del Congreso de Guatemala se construyen desde una visión prejuiciosa y discriminatoria de la población LGBTI+ en su diversidad sexual y de género. Sin embargo, como se señala en el OC 24/17, el reconocimiento de la identidad de género trans es un derecho</w:t>
      </w:r>
      <w:r>
        <w:t xml:space="preserve"> humano fundamental y, si bien la ley no aborda temas de matrimonio igualitario, la Opinión Consultiva también llama a respetar el principio de no discriminación a la hora de garantizar el matrimonio. entre personas del mismo sexo, </w:t>
      </w:r>
      <w:r>
        <w:rPr>
          <w:vertAlign w:val="superscript"/>
        </w:rPr>
        <w:footnoteReference w:id="20"/>
      </w:r>
      <w:r>
        <w:t>por lo que el argumento</w:t>
      </w:r>
      <w:r>
        <w:t xml:space="preserve"> del matrimonio no es legítimo para rechazar el reconocimiento legal del género trans.</w:t>
      </w:r>
    </w:p>
    <w:p w:rsidR="0085163A" w:rsidRDefault="00C63D0B">
      <w:pPr>
        <w:numPr>
          <w:ilvl w:val="0"/>
          <w:numId w:val="3"/>
        </w:numPr>
        <w:spacing w:after="0"/>
        <w:rPr>
          <w:color w:val="000000"/>
        </w:rPr>
      </w:pPr>
      <w:r>
        <w:rPr>
          <w:color w:val="000000"/>
        </w:rPr>
        <w:t xml:space="preserve">Además, si bien la iniciativa de la </w:t>
      </w:r>
      <w:r>
        <w:rPr>
          <w:i/>
          <w:color w:val="000000"/>
        </w:rPr>
        <w:t xml:space="preserve">Ley de Identidad de Género </w:t>
      </w:r>
      <w:r>
        <w:rPr>
          <w:color w:val="000000"/>
        </w:rPr>
        <w:t>fue desfavorable, los mismos argumentos han sido utilizados para aprobar iniciativas legislativas como la 5272,</w:t>
      </w:r>
      <w:r>
        <w:rPr>
          <w:i/>
          <w:color w:val="000000"/>
        </w:rPr>
        <w:t xml:space="preserve"> </w:t>
      </w:r>
      <w:r>
        <w:rPr>
          <w:color w:val="000000"/>
        </w:rPr>
        <w:t>el cual se convertiría en el decreto 18-22 antes de ser vetado por el presidente de la república. Este decreto fue promulgado por un breve perío</w:t>
      </w:r>
      <w:r>
        <w:rPr>
          <w:color w:val="000000"/>
        </w:rPr>
        <w:t xml:space="preserve">do el 8 de marzo de 2022. </w:t>
      </w:r>
      <w:r>
        <w:rPr>
          <w:color w:val="000000"/>
          <w:vertAlign w:val="superscript"/>
        </w:rPr>
        <w:footnoteReference w:id="21"/>
      </w:r>
      <w:r>
        <w:rPr>
          <w:color w:val="000000"/>
        </w:rPr>
        <w:t>. Este proyecto de ley fue presentado como una ley que buscaba proteger la vida y la familia, sin embargo a lo largo de su texto presentó acciones regresivas en materia de derechos humanos. Pretendía establecer la prohibición exp</w:t>
      </w:r>
      <w:r>
        <w:rPr>
          <w:color w:val="000000"/>
        </w:rPr>
        <w:t>resa del matrimonio entre personas del mismo sexo, y de cualquier manifestación que sea “contraria a la heterosexualidad” y a la “familia natural”. Además, buscó criminalizar a las personas que recurran al aborto aumentando las penas de prisión ya establec</w:t>
      </w:r>
      <w:r>
        <w:rPr>
          <w:color w:val="000000"/>
        </w:rPr>
        <w:t xml:space="preserve">idas en el Código Penal - </w:t>
      </w:r>
      <w:r>
        <w:rPr>
          <w:i/>
          <w:color w:val="000000"/>
        </w:rPr>
        <w:t xml:space="preserve">Decreto 17-73 </w:t>
      </w:r>
      <w:r>
        <w:rPr>
          <w:color w:val="000000"/>
        </w:rPr>
        <w:t xml:space="preserve">del Congreso de la República; y buscó impedir </w:t>
      </w:r>
      <w:r>
        <w:rPr>
          <w:color w:val="000000"/>
        </w:rPr>
        <w:lastRenderedPageBreak/>
        <w:t>que en las escuelas se impartiera educación integral en sexualidad, enfatizando el rechazo a la “ideología de género”.</w:t>
      </w:r>
    </w:p>
    <w:p w:rsidR="0085163A" w:rsidRDefault="0085163A">
      <w:pPr>
        <w:ind w:left="720"/>
      </w:pPr>
    </w:p>
    <w:p w:rsidR="0085163A" w:rsidRDefault="00C63D0B">
      <w:pPr>
        <w:pStyle w:val="Subttulo"/>
        <w:spacing w:after="0"/>
      </w:pPr>
      <w:bookmarkStart w:id="8" w:name="_heading=h.gcywl7i1racc" w:colFirst="0" w:colLast="0"/>
      <w:bookmarkEnd w:id="8"/>
      <w:r>
        <w:rPr>
          <w:b/>
        </w:rPr>
        <w:t>RECOMENDACIONES</w:t>
      </w:r>
    </w:p>
    <w:p w:rsidR="0085163A" w:rsidRDefault="00C63D0B">
      <w:pPr>
        <w:numPr>
          <w:ilvl w:val="0"/>
          <w:numId w:val="1"/>
        </w:numPr>
        <w:spacing w:after="0"/>
      </w:pPr>
      <w:r>
        <w:t>Que se garantice la autonomía de l</w:t>
      </w:r>
      <w:r>
        <w:t>o civil y de lo político frente a lo religioso y lo sagrado, de manera que el Estado no fundamente ni legitime sus decisiones a partir de la influencia que pueda infringir alguna religión o creencia en particular contraria a derechos humanos. Que el Estado</w:t>
      </w:r>
      <w:r>
        <w:t xml:space="preserve"> cree estándares de atención que prohiban a los funcionarios públicos explícitamente la negación de servicios, el entorpecimiento de acceso a derechos y la discriminación en base a la orientación sexual, expresión de género e identidad de género. </w:t>
      </w:r>
    </w:p>
    <w:p w:rsidR="0085163A" w:rsidRDefault="00C63D0B">
      <w:pPr>
        <w:numPr>
          <w:ilvl w:val="0"/>
          <w:numId w:val="1"/>
        </w:numPr>
        <w:spacing w:after="0"/>
      </w:pPr>
      <w:r>
        <w:t xml:space="preserve">Detener </w:t>
      </w:r>
      <w:r>
        <w:t>la agenda regresiva que amenaza los derechos humanos de la población guatemalteca y se traduce en leyes antidemocráticas —como la Ley de ONG—, leyes anti-derechos y retrocesos institucionales que impiden que las instituciones trabajen para garantizar los d</w:t>
      </w:r>
      <w:r>
        <w:t>erechos humanos de las personas LBTI .</w:t>
      </w:r>
    </w:p>
    <w:p w:rsidR="0085163A" w:rsidRDefault="00C63D0B">
      <w:pPr>
        <w:numPr>
          <w:ilvl w:val="0"/>
          <w:numId w:val="1"/>
        </w:numPr>
        <w:spacing w:after="0"/>
      </w:pPr>
      <w:r>
        <w:t xml:space="preserve">Al Congreso de la República, aprobar una ley de identidad de género basada en los principios de la OC 24/17 sobre el derecho humano a la identidad de género de las personas trans y que este mismo reconocimiento de la </w:t>
      </w:r>
      <w:r>
        <w:t xml:space="preserve">identidad de género trans sea homologado a todos los sistemas de captura de datos del Estado. Garantizar que la discusión de la ley se dé sin discursos de odio y situaciones que vulneren aún más a las personas trans. </w:t>
      </w:r>
    </w:p>
    <w:p w:rsidR="0085163A" w:rsidRDefault="0085163A">
      <w:pPr>
        <w:pBdr>
          <w:top w:val="nil"/>
          <w:left w:val="nil"/>
          <w:bottom w:val="nil"/>
          <w:right w:val="nil"/>
          <w:between w:val="nil"/>
        </w:pBdr>
        <w:spacing w:after="0"/>
        <w:rPr>
          <w:sz w:val="32"/>
          <w:szCs w:val="32"/>
        </w:rPr>
      </w:pPr>
    </w:p>
    <w:p w:rsidR="0085163A" w:rsidRDefault="00C63D0B">
      <w:pPr>
        <w:numPr>
          <w:ilvl w:val="0"/>
          <w:numId w:val="4"/>
        </w:numPr>
        <w:spacing w:after="0"/>
        <w:rPr>
          <w:b/>
          <w:color w:val="000000"/>
          <w:sz w:val="32"/>
          <w:szCs w:val="32"/>
        </w:rPr>
      </w:pPr>
      <w:r>
        <w:rPr>
          <w:b/>
          <w:sz w:val="32"/>
          <w:szCs w:val="32"/>
        </w:rPr>
        <w:t>ACCESO AL SISTEMA DE SALUD PARA PERSONAS LBTI</w:t>
      </w:r>
    </w:p>
    <w:p w:rsidR="0085163A" w:rsidRDefault="00C63D0B">
      <w:pPr>
        <w:numPr>
          <w:ilvl w:val="0"/>
          <w:numId w:val="3"/>
        </w:numPr>
        <w:spacing w:after="0"/>
        <w:rPr>
          <w:color w:val="000000"/>
        </w:rPr>
      </w:pPr>
      <w:r>
        <w:rPr>
          <w:color w:val="000000"/>
        </w:rPr>
        <w:t>El sistema de salud guatemalteco cuenta formalmente con instrumentos para brindar atención diferenciada a la población LGBT. Cabe señalar que el Ministerio de Salud Pública y Asistencia Social no ha implementad</w:t>
      </w:r>
      <w:r>
        <w:rPr>
          <w:color w:val="000000"/>
        </w:rPr>
        <w:t xml:space="preserve">o la </w:t>
      </w:r>
      <w:r>
        <w:rPr>
          <w:i/>
          <w:color w:val="000000"/>
        </w:rPr>
        <w:t xml:space="preserve">Estrategia de Atención Integral y Diferenciada a la Salud de las Personas Trans en Guatemala </w:t>
      </w:r>
      <w:r>
        <w:rPr>
          <w:color w:val="000000"/>
          <w:vertAlign w:val="superscript"/>
        </w:rPr>
        <w:footnoteReference w:id="22"/>
      </w:r>
      <w:r>
        <w:rPr>
          <w:color w:val="000000"/>
        </w:rPr>
        <w:t>, la cual se posiciona como una herramienta de voluntad política a favor de la salud trans en el país. La PDH indicó que durante 2020 la Estrategia no avanzó</w:t>
      </w:r>
      <w:r>
        <w:rPr>
          <w:color w:val="000000"/>
        </w:rPr>
        <w:t xml:space="preserve"> porque no se han implementado dos productos fundamentales: la Estrategia de Comunicación para el Desarrollo y el Manual de Lineamientos para la atención de la salud de las personas trans. </w:t>
      </w:r>
      <w:r>
        <w:rPr>
          <w:color w:val="000000"/>
          <w:vertAlign w:val="superscript"/>
        </w:rPr>
        <w:footnoteReference w:id="23"/>
      </w:r>
      <w:r>
        <w:rPr>
          <w:color w:val="000000"/>
        </w:rPr>
        <w:t>Otra barrera importante para la implementación de los instrumentos</w:t>
      </w:r>
      <w:r>
        <w:rPr>
          <w:color w:val="000000"/>
        </w:rPr>
        <w:t xml:space="preserve"> es la falta de asignación presupuestaria, así como la falta de voluntad política por parte de los tomadores de decisiones para promover esta asignación presupuestaria.</w:t>
      </w:r>
    </w:p>
    <w:p w:rsidR="0085163A" w:rsidRDefault="00C63D0B">
      <w:pPr>
        <w:numPr>
          <w:ilvl w:val="0"/>
          <w:numId w:val="3"/>
        </w:numPr>
        <w:spacing w:after="0"/>
      </w:pPr>
      <w:r>
        <w:lastRenderedPageBreak/>
        <w:t>Sumado a la falta de implementación total, se documentan situaciones donde personas int</w:t>
      </w:r>
      <w:r>
        <w:t>ersex dentro del sistema de salud sufren diferentes vulneraciones de sus derechos, de acuerdo con información recopilada por el Colectivo de Hombres Trans Transformación. Estas violaciones incluyen la negación de su identidad intersex a lo largo de su vida</w:t>
      </w:r>
      <w:r>
        <w:t xml:space="preserve"> </w:t>
      </w:r>
      <w:r>
        <w:rPr>
          <w:vertAlign w:val="superscript"/>
        </w:rPr>
        <w:footnoteReference w:id="24"/>
      </w:r>
      <w:r>
        <w:t>, lo que vulnera el derecho a la verdad referido en la Audiencia 161 de la CIDH: “Situación de derechos humanos de las personas intersex en las Américas</w:t>
      </w:r>
      <w:r>
        <w:rPr>
          <w:rFonts w:ascii="Roboto" w:eastAsia="Roboto" w:hAnsi="Roboto" w:cs="Roboto"/>
          <w:color w:val="131313"/>
          <w:sz w:val="21"/>
          <w:szCs w:val="21"/>
        </w:rPr>
        <w:t xml:space="preserve">”.. </w:t>
      </w:r>
      <w:r>
        <w:t>Es importante resaltar que dentro del Sistema de Salud guatemalteco la mención a la población inte</w:t>
      </w:r>
      <w:r>
        <w:t>rsex es completamente nula, ya que no se encontraron registros estadísticos de atención integral a personas intersex.</w:t>
      </w:r>
      <w:r>
        <w:rPr>
          <w:vertAlign w:val="superscript"/>
        </w:rPr>
        <w:footnoteReference w:id="25"/>
      </w:r>
    </w:p>
    <w:p w:rsidR="0085163A" w:rsidRDefault="00C63D0B">
      <w:pPr>
        <w:numPr>
          <w:ilvl w:val="0"/>
          <w:numId w:val="3"/>
        </w:numPr>
        <w:pBdr>
          <w:top w:val="nil"/>
          <w:left w:val="nil"/>
          <w:bottom w:val="nil"/>
          <w:right w:val="nil"/>
          <w:between w:val="nil"/>
        </w:pBdr>
        <w:spacing w:after="0"/>
      </w:pPr>
      <w:r>
        <w:rPr>
          <w:color w:val="000000"/>
        </w:rPr>
        <w:t xml:space="preserve">Este caso demuestra cómo el sistema de salud deja fuera a las personas LBTI, incluidos los hombres trans y las personas de género diverso a quienes se les asignó sexo femenino al nacer simplemente porque no se identificaban con la clasificación binaria. Y </w:t>
      </w:r>
      <w:r>
        <w:rPr>
          <w:color w:val="000000"/>
        </w:rPr>
        <w:t xml:space="preserve">los estigmas y prejuicios por parte de servidores y funcionarios públicos de los que son víctimas cuando acuden a los servicios de salud. </w:t>
      </w:r>
    </w:p>
    <w:p w:rsidR="0085163A" w:rsidRDefault="0085163A">
      <w:pPr>
        <w:pBdr>
          <w:top w:val="nil"/>
          <w:left w:val="nil"/>
          <w:bottom w:val="nil"/>
          <w:right w:val="nil"/>
          <w:between w:val="nil"/>
        </w:pBdr>
        <w:spacing w:after="0"/>
        <w:ind w:left="720"/>
      </w:pPr>
    </w:p>
    <w:p w:rsidR="0085163A" w:rsidRDefault="00C63D0B">
      <w:pPr>
        <w:pStyle w:val="Subttulo"/>
        <w:spacing w:after="0"/>
        <w:rPr>
          <w:b/>
        </w:rPr>
      </w:pPr>
      <w:bookmarkStart w:id="9" w:name="_heading=h.b2ms8ohbi1bu" w:colFirst="0" w:colLast="0"/>
      <w:bookmarkEnd w:id="9"/>
      <w:r>
        <w:rPr>
          <w:b/>
        </w:rPr>
        <w:t>RECOMENDACIONES</w:t>
      </w:r>
    </w:p>
    <w:p w:rsidR="0085163A" w:rsidRDefault="00C63D0B">
      <w:pPr>
        <w:numPr>
          <w:ilvl w:val="0"/>
          <w:numId w:val="5"/>
        </w:numPr>
        <w:spacing w:after="0"/>
      </w:pPr>
      <w:r>
        <w:t xml:space="preserve">Que el Ministerio de Salud ponga en funcionamiento  y asigne presupuesto a </w:t>
      </w:r>
      <w:r>
        <w:rPr>
          <w:i/>
        </w:rPr>
        <w:t>la Estrategia de Atención</w:t>
      </w:r>
      <w:r>
        <w:rPr>
          <w:i/>
        </w:rPr>
        <w:t xml:space="preserve"> Integral y Diferenciada a la Salud de las Personas Trans en Guatemala.</w:t>
      </w:r>
    </w:p>
    <w:p w:rsidR="0085163A" w:rsidRDefault="00C63D0B">
      <w:pPr>
        <w:numPr>
          <w:ilvl w:val="0"/>
          <w:numId w:val="5"/>
        </w:numPr>
        <w:spacing w:after="0"/>
      </w:pPr>
      <w:r>
        <w:t>Que el Ministerio de Salud cree e implemente los protocolos de atención basados en los derechos humanos para las personas intersex.</w:t>
      </w:r>
    </w:p>
    <w:p w:rsidR="0085163A" w:rsidRDefault="0085163A">
      <w:pPr>
        <w:pBdr>
          <w:top w:val="nil"/>
          <w:left w:val="nil"/>
          <w:bottom w:val="nil"/>
          <w:right w:val="nil"/>
          <w:between w:val="nil"/>
        </w:pBdr>
        <w:spacing w:after="0"/>
        <w:ind w:left="720"/>
      </w:pPr>
    </w:p>
    <w:p w:rsidR="0085163A" w:rsidRDefault="0085163A">
      <w:pPr>
        <w:pBdr>
          <w:top w:val="nil"/>
          <w:left w:val="nil"/>
          <w:bottom w:val="nil"/>
          <w:right w:val="nil"/>
          <w:between w:val="nil"/>
        </w:pBdr>
        <w:spacing w:after="0"/>
      </w:pPr>
    </w:p>
    <w:p w:rsidR="0085163A" w:rsidRDefault="00C63D0B">
      <w:pPr>
        <w:numPr>
          <w:ilvl w:val="0"/>
          <w:numId w:val="4"/>
        </w:numPr>
        <w:spacing w:after="0"/>
        <w:rPr>
          <w:b/>
          <w:sz w:val="32"/>
          <w:szCs w:val="32"/>
        </w:rPr>
      </w:pPr>
      <w:r>
        <w:rPr>
          <w:b/>
          <w:sz w:val="32"/>
          <w:szCs w:val="32"/>
        </w:rPr>
        <w:t>EDUCACIÓN</w:t>
      </w:r>
    </w:p>
    <w:p w:rsidR="0085163A" w:rsidRDefault="00C63D0B">
      <w:pPr>
        <w:spacing w:after="0"/>
        <w:ind w:left="720"/>
      </w:pPr>
      <w:r>
        <w:t>34. En febrero de 2022 i</w:t>
      </w:r>
      <w:r>
        <w:rPr>
          <w:color w:val="000000"/>
        </w:rPr>
        <w:t xml:space="preserve">ngresó a la agenda legislativa </w:t>
      </w:r>
      <w:r>
        <w:rPr>
          <w:i/>
          <w:color w:val="000000"/>
        </w:rPr>
        <w:t xml:space="preserve">iniciativa que prevé la aprobación de la Ley para garantizar la protección integral de niños, niñas y adolescentes contra los trastornos de identidad de género . </w:t>
      </w:r>
      <w:r>
        <w:rPr>
          <w:color w:val="000000"/>
        </w:rPr>
        <w:t xml:space="preserve">(5940). </w:t>
      </w:r>
      <w:r>
        <w:rPr>
          <w:color w:val="000000"/>
          <w:vertAlign w:val="superscript"/>
        </w:rPr>
        <w:footnoteReference w:id="26"/>
      </w:r>
      <w:r>
        <w:rPr>
          <w:color w:val="000000"/>
        </w:rPr>
        <w:t>Esta iniciativa utiliza en su nombre y definiciones in</w:t>
      </w:r>
      <w:r>
        <w:rPr>
          <w:color w:val="000000"/>
        </w:rPr>
        <w:t>ternas un lenguaje patologizante hacia las personas trans, ya que según la Organización Mundial de la Salud, en la 72 Asamblea Mundial de la Salud para revisar la Clasificación Internacional de Enfermedades —CIE-11—, las identidades trans no son un trastor</w:t>
      </w:r>
      <w:r>
        <w:rPr>
          <w:color w:val="000000"/>
        </w:rPr>
        <w:t>no. de cualquier tipo.</w:t>
      </w:r>
      <w:r>
        <w:rPr>
          <w:color w:val="000000"/>
          <w:vertAlign w:val="superscript"/>
        </w:rPr>
        <w:footnoteReference w:id="27"/>
      </w:r>
      <w:r>
        <w:rPr>
          <w:color w:val="000000"/>
        </w:rPr>
        <w:t xml:space="preserve"> </w:t>
      </w:r>
    </w:p>
    <w:p w:rsidR="0085163A" w:rsidRDefault="00C63D0B">
      <w:pPr>
        <w:numPr>
          <w:ilvl w:val="0"/>
          <w:numId w:val="3"/>
        </w:numPr>
        <w:pBdr>
          <w:top w:val="nil"/>
          <w:left w:val="nil"/>
          <w:bottom w:val="nil"/>
          <w:right w:val="nil"/>
          <w:between w:val="nil"/>
        </w:pBdr>
        <w:spacing w:after="0"/>
      </w:pPr>
      <w:r>
        <w:rPr>
          <w:color w:val="000000"/>
        </w:rPr>
        <w:t xml:space="preserve">La iniciativa apoya una idea errónea de identidad trans, invisibilizando por completo la infancia y la adolescencia trans, como si las personas trans nacieran cuando alcanzan </w:t>
      </w:r>
      <w:r>
        <w:rPr>
          <w:color w:val="000000"/>
        </w:rPr>
        <w:lastRenderedPageBreak/>
        <w:t>la mayoría de edad; genera la figura “identidad sexual n</w:t>
      </w:r>
      <w:r>
        <w:rPr>
          <w:color w:val="000000"/>
        </w:rPr>
        <w:t>atural”; y sostiene que el mero conocimiento sobre la identidad de género trans representa una “amenaza” al bienestar de niños, niñas y adolescentes: “el derecho de los niños, niñas y adolescentes a una educación integral que les garantice no estar expuest</w:t>
      </w:r>
      <w:r>
        <w:rPr>
          <w:color w:val="000000"/>
        </w:rPr>
        <w:t>os a contenidos que puedan promover o mostrar variaciones en la identidad sexual de nacimiento, reasignación de género o situaciones a las que, de exponerse, podrían condicionar su desarrollo sexual y provocar variaciones en la identidad sexual natal del m</w:t>
      </w:r>
      <w:r>
        <w:rPr>
          <w:color w:val="000000"/>
        </w:rPr>
        <w:t>enor, que resultarían en un trauma […]”.</w:t>
      </w:r>
      <w:r>
        <w:rPr>
          <w:color w:val="000000"/>
          <w:vertAlign w:val="superscript"/>
        </w:rPr>
        <w:footnoteReference w:id="28"/>
      </w:r>
    </w:p>
    <w:p w:rsidR="0085163A" w:rsidRDefault="00C63D0B">
      <w:pPr>
        <w:numPr>
          <w:ilvl w:val="0"/>
          <w:numId w:val="3"/>
        </w:numPr>
        <w:pBdr>
          <w:top w:val="nil"/>
          <w:left w:val="nil"/>
          <w:bottom w:val="nil"/>
          <w:right w:val="nil"/>
          <w:between w:val="nil"/>
        </w:pBdr>
        <w:spacing w:after="0"/>
      </w:pPr>
      <w:r>
        <w:rPr>
          <w:color w:val="000000"/>
        </w:rPr>
        <w:t>La Ley 5940, por lo tanto, contribuiría a un ambiente de prejuicio y discriminación contra las identidades de género trans, especialmente las infancias y adolescencias trans; restringiría la libertad de expresión a</w:t>
      </w:r>
      <w:r>
        <w:rPr>
          <w:color w:val="000000"/>
        </w:rPr>
        <w:t>l censurar a los medios para que no aborden cuestiones no normativas de identidad de género; y restringiría el derecho a la educación sexual al prohibir abordar las identidades de género trans o cualquier identidad, rol o acción que promueva la “no confirm</w:t>
      </w:r>
      <w:r>
        <w:rPr>
          <w:color w:val="000000"/>
        </w:rPr>
        <w:t>ación de género”.</w:t>
      </w:r>
    </w:p>
    <w:p w:rsidR="0085163A" w:rsidRDefault="00C63D0B">
      <w:pPr>
        <w:numPr>
          <w:ilvl w:val="0"/>
          <w:numId w:val="3"/>
        </w:numPr>
        <w:pBdr>
          <w:top w:val="nil"/>
          <w:left w:val="nil"/>
          <w:bottom w:val="nil"/>
          <w:right w:val="nil"/>
          <w:between w:val="nil"/>
        </w:pBdr>
        <w:spacing w:after="0"/>
      </w:pPr>
      <w:r>
        <w:rPr>
          <w:color w:val="000000"/>
        </w:rPr>
        <w:t xml:space="preserve">Además, </w:t>
      </w:r>
      <w:r>
        <w:rPr>
          <w:i/>
          <w:color w:val="000000"/>
        </w:rPr>
        <w:t xml:space="preserve">el Proyecto de Ley 5940 </w:t>
      </w:r>
      <w:r>
        <w:rPr>
          <w:color w:val="000000"/>
        </w:rPr>
        <w:t xml:space="preserve">viola la libertad de expresión y el principio de no discriminación al afirmar que los debates y discusiones públicas sobre identidades de género trans o no binarias no pueden realizarse en la radio y otros </w:t>
      </w:r>
      <w:r>
        <w:rPr>
          <w:color w:val="000000"/>
        </w:rPr>
        <w:t xml:space="preserve">medios. </w:t>
      </w:r>
      <w:r>
        <w:rPr>
          <w:color w:val="000000"/>
          <w:vertAlign w:val="superscript"/>
        </w:rPr>
        <w:footnoteReference w:id="29"/>
      </w:r>
      <w:r>
        <w:rPr>
          <w:color w:val="000000"/>
        </w:rPr>
        <w:t xml:space="preserve">También restringe la educación sexual al intentar regular que los programas de educación sexual “no estén orientados a promover la inconformidad de género, la reasignación de género”. </w:t>
      </w:r>
      <w:r>
        <w:rPr>
          <w:color w:val="000000"/>
          <w:vertAlign w:val="superscript"/>
        </w:rPr>
        <w:footnoteReference w:id="30"/>
      </w:r>
      <w:r>
        <w:rPr>
          <w:color w:val="000000"/>
        </w:rPr>
        <w:t>Sin embargo, no ofrecen una definición de “inconformidad de gé</w:t>
      </w:r>
      <w:r>
        <w:rPr>
          <w:color w:val="000000"/>
        </w:rPr>
        <w:t>nero” y pueden interpretarse como una oposición a identidades de género no normativas o incluso un cuestionamiento de los roles de género. Esta medida obstaculizaría los avances para combatir los estereotipos de género en los planes y estudios escolares ya</w:t>
      </w:r>
      <w:r>
        <w:rPr>
          <w:color w:val="000000"/>
        </w:rPr>
        <w:t xml:space="preserve"> que fomentaría la idea errónea de que las personas trans padecen un trastorno y contribuiría a la cultura del silencio en torno a estas cuestiones.</w:t>
      </w:r>
    </w:p>
    <w:p w:rsidR="0085163A" w:rsidRDefault="00C63D0B">
      <w:pPr>
        <w:numPr>
          <w:ilvl w:val="0"/>
          <w:numId w:val="3"/>
        </w:numPr>
        <w:pBdr>
          <w:top w:val="nil"/>
          <w:left w:val="nil"/>
          <w:bottom w:val="nil"/>
          <w:right w:val="nil"/>
          <w:between w:val="nil"/>
        </w:pBdr>
      </w:pPr>
      <w:r>
        <w:rPr>
          <w:color w:val="000000"/>
        </w:rPr>
        <w:t>A raíz de la discusión de este tipo de iniciativas en noviembre de 2022, la Asociación de Psiquiatras de Guatemala en el LXIV Congreso Nacional de Medicina donde participó el médico Edgar Rolando Hernández con su ponencia "Nueva psicopatología de la sexual</w:t>
      </w:r>
      <w:r>
        <w:rPr>
          <w:color w:val="000000"/>
        </w:rPr>
        <w:t xml:space="preserve">idad humana </w:t>
      </w:r>
      <w:r>
        <w:rPr>
          <w:i/>
          <w:color w:val="000000"/>
        </w:rPr>
        <w:t xml:space="preserve">" </w:t>
      </w:r>
      <w:r>
        <w:rPr>
          <w:color w:val="000000"/>
        </w:rPr>
        <w:t xml:space="preserve">. </w:t>
      </w:r>
      <w:r>
        <w:rPr>
          <w:color w:val="000000"/>
          <w:vertAlign w:val="superscript"/>
        </w:rPr>
        <w:footnoteReference w:id="31"/>
      </w:r>
      <w:r>
        <w:rPr>
          <w:color w:val="000000"/>
        </w:rPr>
        <w:t>Esto propone un abordaje psiquiátrico desde la patologización de la orientación sexual y la identidad de género, ignorando que ya han sido despatologizadas</w:t>
      </w:r>
      <w:r>
        <w:t xml:space="preserve"> y los estándares internacionales de prácticas de salud que protegen la diversidad s</w:t>
      </w:r>
      <w:r>
        <w:t>exual y de género</w:t>
      </w:r>
      <w:r>
        <w:rPr>
          <w:color w:val="000000"/>
        </w:rPr>
        <w:t>. Aunque la Asociación de Psiquiátricos menciona que no avaló su contenido, sí permitió su participación, dando paso a la difusión de la patologización de la orientación sexual y la identidad de género dentro de la comunidad médica psiquiá</w:t>
      </w:r>
      <w:r>
        <w:rPr>
          <w:color w:val="000000"/>
        </w:rPr>
        <w:t>trica guatemalteca.</w:t>
      </w:r>
    </w:p>
    <w:p w:rsidR="0085163A" w:rsidRDefault="00C63D0B">
      <w:pPr>
        <w:pStyle w:val="Subttulo"/>
        <w:spacing w:after="0"/>
        <w:rPr>
          <w:b/>
        </w:rPr>
      </w:pPr>
      <w:bookmarkStart w:id="10" w:name="_heading=h.qxq5jb9xs0to" w:colFirst="0" w:colLast="0"/>
      <w:bookmarkEnd w:id="10"/>
      <w:r>
        <w:rPr>
          <w:b/>
        </w:rPr>
        <w:lastRenderedPageBreak/>
        <w:t>RECOMENDACIONES</w:t>
      </w:r>
    </w:p>
    <w:p w:rsidR="0085163A" w:rsidRDefault="00C63D0B">
      <w:pPr>
        <w:numPr>
          <w:ilvl w:val="0"/>
          <w:numId w:val="5"/>
        </w:numPr>
        <w:pBdr>
          <w:top w:val="nil"/>
          <w:left w:val="nil"/>
          <w:bottom w:val="nil"/>
          <w:right w:val="nil"/>
          <w:between w:val="nil"/>
        </w:pBdr>
        <w:spacing w:after="0"/>
      </w:pPr>
      <w:r>
        <w:rPr>
          <w:color w:val="000000"/>
        </w:rPr>
        <w:t>Al Congreso de la República</w:t>
      </w:r>
      <w:r>
        <w:t xml:space="preserve"> rechazar iniciativas que son contrarias a los derechos humanos de las personas LBTI </w:t>
      </w:r>
      <w:r>
        <w:rPr>
          <w:color w:val="000000"/>
        </w:rPr>
        <w:t>dentro de</w:t>
      </w:r>
      <w:r>
        <w:t xml:space="preserve"> las comisiones legislativas y el pleno del congreso.</w:t>
      </w:r>
    </w:p>
    <w:p w:rsidR="0085163A" w:rsidRDefault="00C63D0B">
      <w:pPr>
        <w:numPr>
          <w:ilvl w:val="0"/>
          <w:numId w:val="5"/>
        </w:numPr>
        <w:pBdr>
          <w:top w:val="nil"/>
          <w:left w:val="nil"/>
          <w:bottom w:val="nil"/>
          <w:right w:val="nil"/>
          <w:between w:val="nil"/>
        </w:pBdr>
        <w:spacing w:after="0"/>
      </w:pPr>
      <w:r>
        <w:rPr>
          <w:color w:val="000000"/>
        </w:rPr>
        <w:t>Al Congreso de la República, no aprobar el proyecto de ley 5940</w:t>
      </w:r>
      <w:r>
        <w:t xml:space="preserve">. Ya </w:t>
      </w:r>
      <w:r>
        <w:rPr>
          <w:color w:val="000000"/>
        </w:rPr>
        <w:t>que generaría un ambiente de discriminación contra las personas trans, específicamente los menores trans; restringiría el derecho a la libertad de expresión al prohibir que se aborden cues</w:t>
      </w:r>
      <w:r>
        <w:rPr>
          <w:color w:val="000000"/>
        </w:rPr>
        <w:t>tiones de identidad de género; y limitaría el derecho a la educación integral de niños y adolescentes.</w:t>
      </w:r>
    </w:p>
    <w:p w:rsidR="0085163A" w:rsidRDefault="00C63D0B">
      <w:pPr>
        <w:numPr>
          <w:ilvl w:val="0"/>
          <w:numId w:val="5"/>
        </w:numPr>
        <w:pBdr>
          <w:top w:val="nil"/>
          <w:left w:val="nil"/>
          <w:bottom w:val="nil"/>
          <w:right w:val="nil"/>
          <w:between w:val="nil"/>
        </w:pBdr>
        <w:spacing w:after="0"/>
      </w:pPr>
      <w:r>
        <w:t xml:space="preserve">Al Colegio de Médicos y Cirujanos de Guatemala y al Colegio de Psicólogos de Guatemala, incluir en sus lineamientos éticos profesionales y en sus planes </w:t>
      </w:r>
      <w:r>
        <w:t>de actualización profesional estándares de buenas prácticas para el respeto de los derechos de personas de la diversidad sexual y de género. Que los Colegios prohíban explícitamente las diferentes formas de esfuerzos por cambiar la orientación sexual, iden</w:t>
      </w:r>
      <w:r>
        <w:t xml:space="preserve">tidad de género, y expresión de género (ECOSIEGs). </w:t>
      </w:r>
    </w:p>
    <w:p w:rsidR="0085163A" w:rsidRDefault="0085163A">
      <w:pPr>
        <w:pBdr>
          <w:top w:val="nil"/>
          <w:left w:val="nil"/>
          <w:bottom w:val="nil"/>
          <w:right w:val="nil"/>
          <w:between w:val="nil"/>
        </w:pBdr>
        <w:spacing w:after="0"/>
      </w:pPr>
    </w:p>
    <w:p w:rsidR="0085163A" w:rsidRDefault="00C63D0B">
      <w:pPr>
        <w:spacing w:after="0"/>
        <w:ind w:left="720"/>
      </w:pPr>
      <w:r>
        <w:br/>
      </w:r>
    </w:p>
    <w:p w:rsidR="0085163A" w:rsidRDefault="0085163A">
      <w:pPr>
        <w:spacing w:after="0"/>
      </w:pPr>
    </w:p>
    <w:sectPr w:rsidR="0085163A">
      <w:headerReference w:type="default"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3D0B" w:rsidRDefault="00C63D0B">
      <w:pPr>
        <w:spacing w:after="0" w:line="240" w:lineRule="auto"/>
      </w:pPr>
      <w:r>
        <w:separator/>
      </w:r>
    </w:p>
  </w:endnote>
  <w:endnote w:type="continuationSeparator" w:id="0">
    <w:p w:rsidR="00C63D0B" w:rsidRDefault="00C63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swald">
    <w:charset w:val="00"/>
    <w:family w:val="auto"/>
    <w:pitch w:val="default"/>
  </w:font>
  <w:font w:name="Barlow">
    <w:charset w:val="00"/>
    <w:family w:val="auto"/>
    <w:pitch w:val="default"/>
  </w:font>
  <w:font w:name="Barlow SemiBold">
    <w:charset w:val="00"/>
    <w:family w:val="auto"/>
    <w:pitch w:val="default"/>
  </w:font>
  <w:font w:name="Roboto">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63A" w:rsidRDefault="00C63D0B">
    <w:pPr>
      <w:jc w:val="right"/>
    </w:pPr>
    <w:r>
      <w:fldChar w:fldCharType="begin"/>
    </w:r>
    <w:r>
      <w:instrText>PAGE</w:instrText>
    </w:r>
    <w:r w:rsidR="00F87755">
      <w:fldChar w:fldCharType="separate"/>
    </w:r>
    <w:r w:rsidR="00F87755">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3D0B" w:rsidRDefault="00C63D0B">
      <w:pPr>
        <w:spacing w:after="0" w:line="240" w:lineRule="auto"/>
      </w:pPr>
      <w:r>
        <w:separator/>
      </w:r>
    </w:p>
  </w:footnote>
  <w:footnote w:type="continuationSeparator" w:id="0">
    <w:p w:rsidR="00C63D0B" w:rsidRDefault="00C63D0B">
      <w:pPr>
        <w:spacing w:after="0" w:line="240" w:lineRule="auto"/>
      </w:pPr>
      <w:r>
        <w:continuationSeparator/>
      </w:r>
    </w:p>
  </w:footnote>
  <w:footnote w:id="1">
    <w:p w:rsidR="0085163A" w:rsidRDefault="00C63D0B">
      <w:pPr>
        <w:spacing w:after="0" w:line="240" w:lineRule="auto"/>
        <w:rPr>
          <w:sz w:val="16"/>
          <w:szCs w:val="16"/>
        </w:rPr>
      </w:pPr>
      <w:r>
        <w:rPr>
          <w:vertAlign w:val="superscript"/>
        </w:rPr>
        <w:footnoteRef/>
      </w:r>
      <w:r>
        <w:rPr>
          <w:sz w:val="16"/>
          <w:szCs w:val="16"/>
        </w:rPr>
        <w:t>A lo largo de este informe, esta coalición al mencionar a personas LBTI se referirá a lesbianas, bisexuales, mujeres trans, hombres trans y personas no binarias y personas intersexuales a las que se les asignó sexo femenino al nacer.</w:t>
      </w:r>
    </w:p>
  </w:footnote>
  <w:footnote w:id="2">
    <w:p w:rsidR="0085163A" w:rsidRDefault="00C63D0B">
      <w:pPr>
        <w:spacing w:after="0" w:line="240" w:lineRule="auto"/>
        <w:rPr>
          <w:sz w:val="20"/>
          <w:szCs w:val="20"/>
        </w:rPr>
      </w:pPr>
      <w:r>
        <w:rPr>
          <w:vertAlign w:val="superscript"/>
        </w:rPr>
        <w:footnoteRef/>
      </w:r>
      <w:r>
        <w:rPr>
          <w:sz w:val="20"/>
          <w:szCs w:val="20"/>
        </w:rPr>
        <w:t>Defensoría del Pueblo</w:t>
      </w:r>
      <w:r>
        <w:rPr>
          <w:sz w:val="20"/>
          <w:szCs w:val="20"/>
        </w:rPr>
        <w:t xml:space="preserve"> de los Derechos Humanos (2018). </w:t>
      </w:r>
      <w:r>
        <w:rPr>
          <w:i/>
          <w:sz w:val="20"/>
          <w:szCs w:val="20"/>
        </w:rPr>
        <w:t xml:space="preserve">Informe de referencia LGBTI. </w:t>
      </w:r>
      <w:r>
        <w:rPr>
          <w:sz w:val="20"/>
          <w:szCs w:val="20"/>
        </w:rPr>
        <w:t xml:space="preserve">Guatemala. Disponible en: </w:t>
      </w:r>
      <w:hyperlink r:id="rId1">
        <w:r>
          <w:rPr>
            <w:color w:val="1155CC"/>
            <w:sz w:val="20"/>
            <w:szCs w:val="20"/>
            <w:u w:val="single"/>
          </w:rPr>
          <w:t xml:space="preserve">https://tinyurl.com/heh2au69 </w:t>
        </w:r>
      </w:hyperlink>
      <w:r>
        <w:rPr>
          <w:sz w:val="20"/>
          <w:szCs w:val="20"/>
        </w:rPr>
        <w:t>. Consultado el 6/9/22.</w:t>
      </w:r>
    </w:p>
  </w:footnote>
  <w:footnote w:id="3">
    <w:p w:rsidR="0085163A" w:rsidRDefault="00C63D0B">
      <w:pPr>
        <w:spacing w:after="0" w:line="240" w:lineRule="auto"/>
        <w:rPr>
          <w:sz w:val="20"/>
          <w:szCs w:val="20"/>
        </w:rPr>
      </w:pPr>
      <w:r>
        <w:rPr>
          <w:vertAlign w:val="superscript"/>
        </w:rPr>
        <w:footnoteRef/>
      </w:r>
      <w:r>
        <w:rPr>
          <w:sz w:val="20"/>
          <w:szCs w:val="20"/>
        </w:rPr>
        <w:t xml:space="preserve">Guatemala visible. </w:t>
      </w:r>
      <w:r>
        <w:rPr>
          <w:i/>
          <w:sz w:val="20"/>
          <w:szCs w:val="20"/>
        </w:rPr>
        <w:t>Centro de Datos Abierto LGBTIQ:</w:t>
      </w:r>
      <w:r>
        <w:rPr>
          <w:sz w:val="20"/>
          <w:szCs w:val="20"/>
        </w:rPr>
        <w:t xml:space="preserve"> </w:t>
      </w:r>
      <w:hyperlink r:id="rId2">
        <w:r>
          <w:rPr>
            <w:color w:val="1155CC"/>
            <w:sz w:val="20"/>
            <w:szCs w:val="20"/>
            <w:u w:val="single"/>
          </w:rPr>
          <w:t xml:space="preserve">https://visibles.gt/indicador-justicia/ </w:t>
        </w:r>
      </w:hyperlink>
      <w:r>
        <w:rPr>
          <w:sz w:val="20"/>
          <w:szCs w:val="20"/>
        </w:rPr>
        <w:t>.</w:t>
      </w:r>
    </w:p>
  </w:footnote>
  <w:footnote w:id="4">
    <w:p w:rsidR="0085163A" w:rsidRDefault="00C63D0B">
      <w:pPr>
        <w:spacing w:after="0" w:line="240" w:lineRule="auto"/>
        <w:rPr>
          <w:sz w:val="20"/>
          <w:szCs w:val="20"/>
        </w:rPr>
      </w:pPr>
      <w:r>
        <w:rPr>
          <w:vertAlign w:val="superscript"/>
        </w:rPr>
        <w:footnoteRef/>
      </w:r>
      <w:r>
        <w:rPr>
          <w:sz w:val="20"/>
          <w:szCs w:val="20"/>
        </w:rPr>
        <w:t xml:space="preserve">Organización de Estados Americanos. </w:t>
      </w:r>
      <w:r>
        <w:rPr>
          <w:i/>
          <w:sz w:val="20"/>
          <w:szCs w:val="20"/>
        </w:rPr>
        <w:t xml:space="preserve">Panorama general del reconocimiento legal de género en las Américas. </w:t>
      </w:r>
      <w:r>
        <w:rPr>
          <w:sz w:val="20"/>
          <w:szCs w:val="20"/>
        </w:rPr>
        <w:t xml:space="preserve">Disponible en: </w:t>
      </w:r>
      <w:hyperlink r:id="rId3">
        <w:r>
          <w:rPr>
            <w:color w:val="1155CC"/>
            <w:sz w:val="20"/>
            <w:szCs w:val="20"/>
            <w:u w:val="single"/>
          </w:rPr>
          <w:t xml:space="preserve">https://tinyurl.com/ypnank3z </w:t>
        </w:r>
      </w:hyperlink>
      <w:r>
        <w:rPr>
          <w:sz w:val="20"/>
          <w:szCs w:val="20"/>
        </w:rPr>
        <w:t>. Cons</w:t>
      </w:r>
      <w:r>
        <w:rPr>
          <w:sz w:val="20"/>
          <w:szCs w:val="20"/>
        </w:rPr>
        <w:t>ultado el 12/08/23.</w:t>
      </w:r>
    </w:p>
  </w:footnote>
  <w:footnote w:id="5">
    <w:p w:rsidR="0085163A" w:rsidRDefault="00C63D0B">
      <w:pPr>
        <w:spacing w:after="0" w:line="240" w:lineRule="auto"/>
        <w:rPr>
          <w:sz w:val="20"/>
          <w:szCs w:val="20"/>
        </w:rPr>
      </w:pPr>
      <w:r>
        <w:rPr>
          <w:vertAlign w:val="superscript"/>
        </w:rPr>
        <w:footnoteRef/>
      </w:r>
      <w:r>
        <w:rPr>
          <w:sz w:val="20"/>
          <w:szCs w:val="20"/>
        </w:rPr>
        <w:t xml:space="preserve">Organización Trans Reinas de la Noche. </w:t>
      </w:r>
      <w:r>
        <w:rPr>
          <w:i/>
          <w:sz w:val="20"/>
          <w:szCs w:val="20"/>
        </w:rPr>
        <w:t xml:space="preserve">Sin justicia sin igualdad. Situación de derechos humanos de las mujeres trans en Guatemala 2021. </w:t>
      </w:r>
      <w:r>
        <w:rPr>
          <w:sz w:val="20"/>
          <w:szCs w:val="20"/>
        </w:rPr>
        <w:t xml:space="preserve">Disponible en: </w:t>
      </w:r>
      <w:hyperlink r:id="rId4">
        <w:r>
          <w:rPr>
            <w:color w:val="1155CC"/>
            <w:sz w:val="20"/>
            <w:szCs w:val="20"/>
            <w:u w:val="single"/>
          </w:rPr>
          <w:t>https://reinasd</w:t>
        </w:r>
        <w:r>
          <w:rPr>
            <w:color w:val="1155CC"/>
            <w:sz w:val="20"/>
            <w:szCs w:val="20"/>
            <w:u w:val="single"/>
          </w:rPr>
          <w:t xml:space="preserve">elanoche.org.gt/sin-justicia-2021/ </w:t>
        </w:r>
      </w:hyperlink>
      <w:r>
        <w:rPr>
          <w:sz w:val="20"/>
          <w:szCs w:val="20"/>
        </w:rPr>
        <w:t>. pag. 29.</w:t>
      </w:r>
    </w:p>
  </w:footnote>
  <w:footnote w:id="6">
    <w:p w:rsidR="0085163A" w:rsidRDefault="00C63D0B">
      <w:pPr>
        <w:spacing w:after="0" w:line="240" w:lineRule="auto"/>
        <w:rPr>
          <w:sz w:val="20"/>
          <w:szCs w:val="20"/>
        </w:rPr>
      </w:pPr>
      <w:r>
        <w:rPr>
          <w:vertAlign w:val="superscript"/>
        </w:rPr>
        <w:footnoteRef/>
      </w:r>
      <w:r>
        <w:rPr>
          <w:sz w:val="20"/>
          <w:szCs w:val="20"/>
        </w:rPr>
        <w:t xml:space="preserve">Organización de Diversidad Sexual para la Cultura, la Educación y las Artes. </w:t>
      </w:r>
      <w:r>
        <w:rPr>
          <w:i/>
          <w:sz w:val="20"/>
          <w:szCs w:val="20"/>
        </w:rPr>
        <w:t xml:space="preserve">Mujeres lesbianas en Guatemala: una aproximación a sus demandas políticas. </w:t>
      </w:r>
      <w:r>
        <w:rPr>
          <w:sz w:val="20"/>
          <w:szCs w:val="20"/>
        </w:rPr>
        <w:t xml:space="preserve">Disponible en: </w:t>
      </w:r>
      <w:hyperlink r:id="rId5">
        <w:r>
          <w:rPr>
            <w:color w:val="1155CC"/>
            <w:sz w:val="20"/>
            <w:szCs w:val="20"/>
            <w:u w:val="single"/>
          </w:rPr>
          <w:t>https://ndicentroamerica.org/wp-content/uploads/2021/10/Las-mujeres-lesbianas-en-Guatemala_una-aproximacion-a-sus-demandas-sociopoliticas</w:t>
        </w:r>
        <w:r>
          <w:rPr>
            <w:color w:val="1155CC"/>
            <w:sz w:val="20"/>
            <w:szCs w:val="20"/>
            <w:u w:val="single"/>
          </w:rPr>
          <w:t xml:space="preserve">.pdf </w:t>
        </w:r>
      </w:hyperlink>
      <w:r>
        <w:rPr>
          <w:sz w:val="20"/>
          <w:szCs w:val="20"/>
        </w:rPr>
        <w:t>. pag. 66. Consultado el 15/08/2023.</w:t>
      </w:r>
    </w:p>
  </w:footnote>
  <w:footnote w:id="7">
    <w:p w:rsidR="0085163A" w:rsidRDefault="00C63D0B">
      <w:pPr>
        <w:spacing w:after="0" w:line="240" w:lineRule="auto"/>
        <w:rPr>
          <w:sz w:val="20"/>
          <w:szCs w:val="20"/>
        </w:rPr>
      </w:pPr>
      <w:r>
        <w:rPr>
          <w:vertAlign w:val="superscript"/>
        </w:rPr>
        <w:footnoteRef/>
      </w:r>
      <w:r>
        <w:rPr>
          <w:sz w:val="20"/>
          <w:szCs w:val="20"/>
        </w:rPr>
        <w:t xml:space="preserve"> </w:t>
      </w:r>
      <w:r>
        <w:rPr>
          <w:i/>
          <w:sz w:val="20"/>
          <w:szCs w:val="20"/>
        </w:rPr>
        <w:t xml:space="preserve">Ibíd., </w:t>
      </w:r>
      <w:r>
        <w:rPr>
          <w:sz w:val="20"/>
          <w:szCs w:val="20"/>
        </w:rPr>
        <w:t>pág. 72</w:t>
      </w:r>
    </w:p>
  </w:footnote>
  <w:footnote w:id="8">
    <w:p w:rsidR="0085163A" w:rsidRDefault="00C63D0B">
      <w:pPr>
        <w:spacing w:after="0" w:line="240" w:lineRule="auto"/>
        <w:rPr>
          <w:sz w:val="20"/>
          <w:szCs w:val="20"/>
        </w:rPr>
      </w:pPr>
      <w:r>
        <w:rPr>
          <w:vertAlign w:val="superscript"/>
        </w:rPr>
        <w:footnoteRef/>
      </w:r>
      <w:r>
        <w:rPr>
          <w:sz w:val="20"/>
          <w:szCs w:val="20"/>
        </w:rPr>
        <w:t xml:space="preserve">Guatemala visible. </w:t>
      </w:r>
      <w:r>
        <w:rPr>
          <w:i/>
          <w:sz w:val="20"/>
          <w:szCs w:val="20"/>
        </w:rPr>
        <w:t>Centro de Datos Abierto LGBTIQ:</w:t>
      </w:r>
      <w:r>
        <w:rPr>
          <w:sz w:val="20"/>
          <w:szCs w:val="20"/>
        </w:rPr>
        <w:t xml:space="preserve"> </w:t>
      </w:r>
      <w:hyperlink r:id="rId6">
        <w:r>
          <w:rPr>
            <w:color w:val="1155CC"/>
            <w:sz w:val="20"/>
            <w:szCs w:val="20"/>
            <w:u w:val="single"/>
          </w:rPr>
          <w:t xml:space="preserve">https://visibles.gt/indicador-justicia/ </w:t>
        </w:r>
      </w:hyperlink>
      <w:r>
        <w:rPr>
          <w:sz w:val="20"/>
          <w:szCs w:val="20"/>
        </w:rPr>
        <w:t>.</w:t>
      </w:r>
    </w:p>
  </w:footnote>
  <w:footnote w:id="9">
    <w:p w:rsidR="0085163A" w:rsidRDefault="00C63D0B">
      <w:pPr>
        <w:spacing w:after="0" w:line="240" w:lineRule="auto"/>
        <w:rPr>
          <w:sz w:val="20"/>
          <w:szCs w:val="20"/>
        </w:rPr>
      </w:pPr>
      <w:r>
        <w:rPr>
          <w:vertAlign w:val="superscript"/>
        </w:rPr>
        <w:footnoteRef/>
      </w:r>
      <w:r>
        <w:rPr>
          <w:sz w:val="20"/>
          <w:szCs w:val="20"/>
        </w:rPr>
        <w:t xml:space="preserve">Organización de Diversidad Sexual para la Cultura, la Educación y las Artes. </w:t>
      </w:r>
      <w:r>
        <w:rPr>
          <w:i/>
          <w:sz w:val="20"/>
          <w:szCs w:val="20"/>
        </w:rPr>
        <w:t xml:space="preserve">Mujeres lesbianas en Guatemala: una aproximación a sus demandas políticas. </w:t>
      </w:r>
      <w:r>
        <w:rPr>
          <w:sz w:val="20"/>
          <w:szCs w:val="20"/>
        </w:rPr>
        <w:t xml:space="preserve">Disponible en: </w:t>
      </w:r>
      <w:hyperlink r:id="rId7">
        <w:r>
          <w:rPr>
            <w:color w:val="1155CC"/>
            <w:sz w:val="20"/>
            <w:szCs w:val="20"/>
            <w:u w:val="single"/>
          </w:rPr>
          <w:t xml:space="preserve">https://ndicentroamerica.org/wp-content/uploads/2021/10/Las-mujeres-lesbianas-en-Guatemala_una-aproximacion-a-sus-demandas-sociopoliticas.pdf </w:t>
        </w:r>
      </w:hyperlink>
      <w:r>
        <w:rPr>
          <w:sz w:val="20"/>
          <w:szCs w:val="20"/>
        </w:rPr>
        <w:t>. pag. 66. Consultado el 15/08/2023.</w:t>
      </w:r>
    </w:p>
  </w:footnote>
  <w:footnote w:id="10">
    <w:p w:rsidR="0085163A" w:rsidRDefault="00C63D0B">
      <w:pPr>
        <w:spacing w:after="0" w:line="240" w:lineRule="auto"/>
        <w:rPr>
          <w:sz w:val="20"/>
          <w:szCs w:val="20"/>
        </w:rPr>
      </w:pPr>
      <w:r>
        <w:rPr>
          <w:vertAlign w:val="superscript"/>
        </w:rPr>
        <w:footnoteRef/>
      </w:r>
      <w:r>
        <w:rPr>
          <w:sz w:val="20"/>
          <w:szCs w:val="20"/>
        </w:rPr>
        <w:t>Sent</w:t>
      </w:r>
      <w:r>
        <w:rPr>
          <w:sz w:val="20"/>
          <w:szCs w:val="20"/>
        </w:rPr>
        <w:t>encia de 28 de agosto de 2013 emitida por el Tribunal Constitucional,</w:t>
      </w:r>
    </w:p>
    <w:p w:rsidR="0085163A" w:rsidRDefault="00C63D0B">
      <w:pPr>
        <w:spacing w:after="0" w:line="240" w:lineRule="auto"/>
        <w:rPr>
          <w:sz w:val="20"/>
          <w:szCs w:val="20"/>
        </w:rPr>
      </w:pPr>
      <w:r>
        <w:rPr>
          <w:sz w:val="20"/>
          <w:szCs w:val="20"/>
        </w:rPr>
        <w:t>expedientes acumulados 635-2013 y 636-2013</w:t>
      </w:r>
    </w:p>
  </w:footnote>
  <w:footnote w:id="11">
    <w:p w:rsidR="0085163A" w:rsidRDefault="00C63D0B">
      <w:pPr>
        <w:spacing w:after="0" w:line="240" w:lineRule="auto"/>
        <w:rPr>
          <w:sz w:val="20"/>
          <w:szCs w:val="20"/>
        </w:rPr>
      </w:pPr>
      <w:r>
        <w:rPr>
          <w:vertAlign w:val="superscript"/>
        </w:rPr>
        <w:footnoteRef/>
      </w:r>
      <w:r>
        <w:rPr>
          <w:sz w:val="20"/>
          <w:szCs w:val="20"/>
        </w:rPr>
        <w:t xml:space="preserve">Guatemala visible. </w:t>
      </w:r>
      <w:r>
        <w:rPr>
          <w:i/>
          <w:sz w:val="20"/>
          <w:szCs w:val="20"/>
        </w:rPr>
        <w:t>Centro de Datos Abierto LGBTIQ:</w:t>
      </w:r>
      <w:r>
        <w:rPr>
          <w:sz w:val="20"/>
          <w:szCs w:val="20"/>
        </w:rPr>
        <w:t xml:space="preserve"> </w:t>
      </w:r>
      <w:hyperlink r:id="rId8">
        <w:r>
          <w:rPr>
            <w:color w:val="1155CC"/>
            <w:sz w:val="20"/>
            <w:szCs w:val="20"/>
            <w:u w:val="single"/>
          </w:rPr>
          <w:t>https://visibles.gt/indicador-ju</w:t>
        </w:r>
        <w:r>
          <w:rPr>
            <w:color w:val="1155CC"/>
            <w:sz w:val="20"/>
            <w:szCs w:val="20"/>
            <w:u w:val="single"/>
          </w:rPr>
          <w:t xml:space="preserve">sticia/ </w:t>
        </w:r>
      </w:hyperlink>
      <w:r>
        <w:rPr>
          <w:sz w:val="20"/>
          <w:szCs w:val="20"/>
        </w:rPr>
        <w:t>.</w:t>
      </w:r>
    </w:p>
  </w:footnote>
  <w:footnote w:id="12">
    <w:p w:rsidR="0085163A" w:rsidRDefault="00C63D0B">
      <w:pPr>
        <w:spacing w:after="0" w:line="240" w:lineRule="auto"/>
        <w:rPr>
          <w:sz w:val="20"/>
          <w:szCs w:val="20"/>
        </w:rPr>
      </w:pPr>
      <w:r>
        <w:rPr>
          <w:vertAlign w:val="superscript"/>
        </w:rPr>
        <w:footnoteRef/>
      </w:r>
      <w:r>
        <w:rPr>
          <w:sz w:val="20"/>
          <w:szCs w:val="20"/>
        </w:rPr>
        <w:t xml:space="preserve">Adeline Hite y Adriana Beltrán (2020). </w:t>
      </w:r>
      <w:r>
        <w:rPr>
          <w:i/>
          <w:sz w:val="20"/>
          <w:szCs w:val="20"/>
        </w:rPr>
        <w:t xml:space="preserve">PREGUNTAS Y RESPUESTAS: La nueva ley de ONG de Guatemala </w:t>
      </w:r>
      <w:r>
        <w:rPr>
          <w:sz w:val="20"/>
          <w:szCs w:val="20"/>
        </w:rPr>
        <w:t xml:space="preserve">. Disponible en: </w:t>
      </w:r>
      <w:hyperlink r:id="rId9">
        <w:r>
          <w:rPr>
            <w:color w:val="1155CC"/>
            <w:sz w:val="20"/>
            <w:szCs w:val="20"/>
            <w:u w:val="single"/>
          </w:rPr>
          <w:t>https://www.wola.org/es/analisis/nueva-ley-ong-guatemal</w:t>
        </w:r>
        <w:r>
          <w:rPr>
            <w:color w:val="1155CC"/>
            <w:sz w:val="20"/>
            <w:szCs w:val="20"/>
            <w:u w:val="single"/>
          </w:rPr>
          <w:t xml:space="preserve">a/ </w:t>
        </w:r>
      </w:hyperlink>
      <w:r>
        <w:rPr>
          <w:sz w:val="20"/>
          <w:szCs w:val="20"/>
        </w:rPr>
        <w:t>.</w:t>
      </w:r>
    </w:p>
  </w:footnote>
  <w:footnote w:id="13">
    <w:p w:rsidR="0085163A" w:rsidRDefault="00C63D0B">
      <w:pPr>
        <w:spacing w:after="0" w:line="240" w:lineRule="auto"/>
        <w:rPr>
          <w:sz w:val="20"/>
          <w:szCs w:val="20"/>
        </w:rPr>
      </w:pPr>
      <w:r>
        <w:rPr>
          <w:vertAlign w:val="superscript"/>
        </w:rPr>
        <w:footnoteRef/>
      </w:r>
      <w:r>
        <w:rPr>
          <w:sz w:val="20"/>
          <w:szCs w:val="20"/>
        </w:rPr>
        <w:t xml:space="preserve">No a la violencia LGBT (2019). </w:t>
      </w:r>
      <w:r>
        <w:rPr>
          <w:i/>
          <w:sz w:val="20"/>
          <w:szCs w:val="20"/>
        </w:rPr>
        <w:t xml:space="preserve">El prejuicio no conoce fronteras. Informe sobre homicidios de lesbianas, gays, bisexuales, trans e intersex en países de América Latina y el Caribe. </w:t>
      </w:r>
      <w:r>
        <w:rPr>
          <w:sz w:val="20"/>
          <w:szCs w:val="20"/>
        </w:rPr>
        <w:t xml:space="preserve">Disponible en: </w:t>
      </w:r>
      <w:hyperlink r:id="rId10">
        <w:r>
          <w:rPr>
            <w:color w:val="1155CC"/>
            <w:sz w:val="20"/>
            <w:szCs w:val="20"/>
            <w:u w:val="single"/>
          </w:rPr>
          <w:t xml:space="preserve">https://ndicentroamerica.org/wp-content/uploads/2021/10/Las-mujeres-lesbianas-en-Guatemala_una-aproximacion-a-sus-demandas-sociopoliticas.pdf </w:t>
        </w:r>
      </w:hyperlink>
      <w:r>
        <w:rPr>
          <w:sz w:val="20"/>
          <w:szCs w:val="20"/>
        </w:rPr>
        <w:t>. Consul</w:t>
      </w:r>
      <w:r>
        <w:rPr>
          <w:sz w:val="20"/>
          <w:szCs w:val="20"/>
        </w:rPr>
        <w:t>tado el 09/08/2023.</w:t>
      </w:r>
    </w:p>
  </w:footnote>
  <w:footnote w:id="14">
    <w:p w:rsidR="0085163A" w:rsidRDefault="00C63D0B">
      <w:pPr>
        <w:spacing w:after="0" w:line="240" w:lineRule="auto"/>
        <w:rPr>
          <w:sz w:val="20"/>
          <w:szCs w:val="20"/>
        </w:rPr>
      </w:pPr>
      <w:r>
        <w:rPr>
          <w:vertAlign w:val="superscript"/>
        </w:rPr>
        <w:footnoteRef/>
      </w:r>
      <w:r>
        <w:rPr>
          <w:sz w:val="20"/>
          <w:szCs w:val="20"/>
        </w:rPr>
        <w:t xml:space="preserve">Asociación LAMBDA, </w:t>
      </w:r>
      <w:r>
        <w:rPr>
          <w:i/>
          <w:sz w:val="20"/>
          <w:szCs w:val="20"/>
        </w:rPr>
        <w:t xml:space="preserve">Prejuicio a través de los datos, </w:t>
      </w:r>
      <w:r>
        <w:rPr>
          <w:sz w:val="20"/>
          <w:szCs w:val="20"/>
        </w:rPr>
        <w:t>Página 41. Consultado el 16/08/2023</w:t>
      </w:r>
    </w:p>
    <w:p w:rsidR="0085163A" w:rsidRDefault="0085163A">
      <w:pPr>
        <w:spacing w:after="0" w:line="240" w:lineRule="auto"/>
        <w:rPr>
          <w:sz w:val="20"/>
          <w:szCs w:val="20"/>
        </w:rPr>
      </w:pPr>
    </w:p>
  </w:footnote>
  <w:footnote w:id="15">
    <w:p w:rsidR="0085163A" w:rsidRDefault="00C63D0B">
      <w:pPr>
        <w:spacing w:after="0" w:line="240" w:lineRule="auto"/>
        <w:rPr>
          <w:sz w:val="20"/>
          <w:szCs w:val="20"/>
        </w:rPr>
      </w:pPr>
      <w:r>
        <w:rPr>
          <w:vertAlign w:val="superscript"/>
        </w:rPr>
        <w:footnoteRef/>
      </w:r>
      <w:r>
        <w:rPr>
          <w:sz w:val="20"/>
          <w:szCs w:val="20"/>
        </w:rPr>
        <w:t xml:space="preserve">Congreso de la República de Guatemala (2017) </w:t>
      </w:r>
      <w:r>
        <w:rPr>
          <w:i/>
          <w:sz w:val="20"/>
          <w:szCs w:val="20"/>
        </w:rPr>
        <w:t xml:space="preserve">Iniciativa de Dictamen de Ley 5278 </w:t>
      </w:r>
      <w:r>
        <w:rPr>
          <w:sz w:val="20"/>
          <w:szCs w:val="20"/>
        </w:rPr>
        <w:t xml:space="preserve">. </w:t>
      </w:r>
      <w:hyperlink r:id="rId11">
        <w:r>
          <w:rPr>
            <w:color w:val="1155CC"/>
            <w:sz w:val="20"/>
            <w:szCs w:val="20"/>
            <w:u w:val="single"/>
          </w:rPr>
          <w:t xml:space="preserve">https://tinyurl.com/kkmez2m7 </w:t>
        </w:r>
      </w:hyperlink>
      <w:r>
        <w:rPr>
          <w:sz w:val="20"/>
          <w:szCs w:val="20"/>
        </w:rPr>
        <w:t>. Consultado el 11/08/23.</w:t>
      </w:r>
    </w:p>
  </w:footnote>
  <w:footnote w:id="16">
    <w:p w:rsidR="0085163A" w:rsidRDefault="00C63D0B">
      <w:pPr>
        <w:spacing w:after="0" w:line="240" w:lineRule="auto"/>
        <w:rPr>
          <w:sz w:val="20"/>
          <w:szCs w:val="20"/>
        </w:rPr>
      </w:pPr>
      <w:r>
        <w:rPr>
          <w:vertAlign w:val="superscript"/>
        </w:rPr>
        <w:footnoteRef/>
      </w:r>
      <w:r>
        <w:rPr>
          <w:sz w:val="20"/>
          <w:szCs w:val="20"/>
        </w:rPr>
        <w:t xml:space="preserve">Asociación LAMBDA, </w:t>
      </w:r>
      <w:r>
        <w:rPr>
          <w:i/>
          <w:sz w:val="20"/>
          <w:szCs w:val="20"/>
        </w:rPr>
        <w:t xml:space="preserve">Prejuicio a través de los datos, </w:t>
      </w:r>
      <w:r>
        <w:rPr>
          <w:sz w:val="20"/>
          <w:szCs w:val="20"/>
        </w:rPr>
        <w:t>Página 41. Consultado el 16/08/2023</w:t>
      </w:r>
    </w:p>
  </w:footnote>
  <w:footnote w:id="17">
    <w:p w:rsidR="0085163A" w:rsidRDefault="00C63D0B">
      <w:pPr>
        <w:spacing w:after="0" w:line="240" w:lineRule="auto"/>
        <w:rPr>
          <w:sz w:val="20"/>
          <w:szCs w:val="20"/>
        </w:rPr>
      </w:pPr>
      <w:r>
        <w:rPr>
          <w:vertAlign w:val="superscript"/>
        </w:rPr>
        <w:footnoteRef/>
      </w:r>
      <w:r>
        <w:rPr>
          <w:sz w:val="20"/>
          <w:szCs w:val="20"/>
        </w:rPr>
        <w:t xml:space="preserve">Instituto de Defensa Penal Pública. </w:t>
      </w:r>
      <w:r>
        <w:rPr>
          <w:i/>
          <w:sz w:val="20"/>
          <w:szCs w:val="20"/>
        </w:rPr>
        <w:t>Protocolo de atención y actuación a la comunidad LGBTIQ+</w:t>
      </w:r>
      <w:r>
        <w:rPr>
          <w:sz w:val="20"/>
          <w:szCs w:val="20"/>
        </w:rPr>
        <w:t xml:space="preserve"> </w:t>
      </w:r>
      <w:r>
        <w:rPr>
          <w:i/>
          <w:sz w:val="20"/>
          <w:szCs w:val="20"/>
        </w:rPr>
        <w:t xml:space="preserve">de los defensores públicos del Instituto de la </w:t>
      </w:r>
      <w:r>
        <w:rPr>
          <w:i/>
          <w:sz w:val="20"/>
          <w:szCs w:val="20"/>
        </w:rPr>
        <w:t xml:space="preserve">Defensa Pública Penal de Guatemala. </w:t>
      </w:r>
      <w:r>
        <w:rPr>
          <w:sz w:val="20"/>
          <w:szCs w:val="20"/>
        </w:rPr>
        <w:t xml:space="preserve">Disponible en: </w:t>
      </w:r>
      <w:hyperlink r:id="rId12">
        <w:r>
          <w:rPr>
            <w:color w:val="1155CC"/>
            <w:sz w:val="20"/>
            <w:szCs w:val="20"/>
            <w:u w:val="single"/>
          </w:rPr>
          <w:t xml:space="preserve">https://tinyurl.com/26bpsj7c </w:t>
        </w:r>
      </w:hyperlink>
      <w:r>
        <w:rPr>
          <w:sz w:val="20"/>
          <w:szCs w:val="20"/>
        </w:rPr>
        <w:t>. pag. 78-81. Consultado el 16/08/2023.</w:t>
      </w:r>
    </w:p>
  </w:footnote>
  <w:footnote w:id="18">
    <w:p w:rsidR="0085163A" w:rsidRDefault="00C63D0B">
      <w:pPr>
        <w:spacing w:after="0" w:line="240" w:lineRule="auto"/>
        <w:rPr>
          <w:sz w:val="20"/>
          <w:szCs w:val="20"/>
        </w:rPr>
      </w:pPr>
      <w:r>
        <w:rPr>
          <w:vertAlign w:val="superscript"/>
        </w:rPr>
        <w:footnoteRef/>
      </w:r>
      <w:r>
        <w:rPr>
          <w:sz w:val="20"/>
          <w:szCs w:val="20"/>
        </w:rPr>
        <w:t>Congreso de la República de Guatemala (2018). Opinión de la Comisión. Disponible en: ht</w:t>
      </w:r>
      <w:r>
        <w:rPr>
          <w:sz w:val="20"/>
          <w:szCs w:val="20"/>
        </w:rPr>
        <w:t>tps://tinyurl.com/bppybwar. Consultado el 11/08/23.</w:t>
      </w:r>
    </w:p>
  </w:footnote>
  <w:footnote w:id="19">
    <w:p w:rsidR="0085163A" w:rsidRDefault="00C63D0B">
      <w:pPr>
        <w:spacing w:after="0" w:line="240" w:lineRule="auto"/>
        <w:rPr>
          <w:sz w:val="20"/>
          <w:szCs w:val="20"/>
        </w:rPr>
      </w:pPr>
      <w:r>
        <w:rPr>
          <w:vertAlign w:val="superscript"/>
        </w:rPr>
        <w:footnoteRef/>
      </w:r>
      <w:r>
        <w:rPr>
          <w:sz w:val="20"/>
          <w:szCs w:val="20"/>
        </w:rPr>
        <w:t xml:space="preserve"> </w:t>
      </w:r>
      <w:r>
        <w:rPr>
          <w:i/>
          <w:sz w:val="20"/>
          <w:szCs w:val="20"/>
        </w:rPr>
        <w:t xml:space="preserve">Ibídem. </w:t>
      </w:r>
      <w:r>
        <w:rPr>
          <w:sz w:val="20"/>
          <w:szCs w:val="20"/>
        </w:rPr>
        <w:t>pág.6</w:t>
      </w:r>
    </w:p>
  </w:footnote>
  <w:footnote w:id="20">
    <w:p w:rsidR="0085163A" w:rsidRDefault="00C63D0B">
      <w:pPr>
        <w:spacing w:after="0" w:line="240" w:lineRule="auto"/>
        <w:rPr>
          <w:sz w:val="20"/>
          <w:szCs w:val="20"/>
        </w:rPr>
      </w:pPr>
      <w:r>
        <w:rPr>
          <w:vertAlign w:val="superscript"/>
        </w:rPr>
        <w:footnoteRef/>
      </w:r>
      <w:r>
        <w:rPr>
          <w:sz w:val="20"/>
          <w:szCs w:val="20"/>
        </w:rPr>
        <w:t xml:space="preserve">Corte Interamericana de Derechos Humanos. </w:t>
      </w:r>
      <w:r>
        <w:rPr>
          <w:i/>
          <w:sz w:val="20"/>
          <w:szCs w:val="20"/>
        </w:rPr>
        <w:t xml:space="preserve">Opinión consultiva OC-24/17 de 24 de noviembre de 2017 </w:t>
      </w:r>
      <w:r>
        <w:rPr>
          <w:sz w:val="20"/>
          <w:szCs w:val="20"/>
        </w:rPr>
        <w:t xml:space="preserve">. Disponible en: </w:t>
      </w:r>
      <w:hyperlink r:id="rId13">
        <w:r>
          <w:rPr>
            <w:color w:val="1155CC"/>
            <w:sz w:val="20"/>
            <w:szCs w:val="20"/>
            <w:u w:val="single"/>
          </w:rPr>
          <w:t>https://tinyurl.com/4tas3</w:t>
        </w:r>
        <w:r>
          <w:rPr>
            <w:color w:val="1155CC"/>
            <w:sz w:val="20"/>
            <w:szCs w:val="20"/>
            <w:u w:val="single"/>
          </w:rPr>
          <w:t xml:space="preserve">6fd </w:t>
        </w:r>
      </w:hyperlink>
      <w:r>
        <w:rPr>
          <w:sz w:val="20"/>
          <w:szCs w:val="20"/>
        </w:rPr>
        <w:t>. Consultado el 11/08/23.</w:t>
      </w:r>
    </w:p>
  </w:footnote>
  <w:footnote w:id="21">
    <w:p w:rsidR="0085163A" w:rsidRDefault="00C63D0B">
      <w:pPr>
        <w:spacing w:after="0" w:line="240" w:lineRule="auto"/>
        <w:rPr>
          <w:sz w:val="20"/>
          <w:szCs w:val="20"/>
        </w:rPr>
      </w:pPr>
      <w:r>
        <w:rPr>
          <w:vertAlign w:val="superscript"/>
        </w:rPr>
        <w:footnoteRef/>
      </w:r>
      <w:r>
        <w:rPr>
          <w:sz w:val="20"/>
          <w:szCs w:val="20"/>
        </w:rPr>
        <w:t xml:space="preserve">Prensa Libre de Guatemala. </w:t>
      </w:r>
      <w:r>
        <w:rPr>
          <w:i/>
          <w:sz w:val="20"/>
          <w:szCs w:val="20"/>
        </w:rPr>
        <w:t xml:space="preserve">Congreso presenta polémica Ley de Protección a la Vida y la Familia que generó críticas de sectores sociales </w:t>
      </w:r>
      <w:r>
        <w:rPr>
          <w:sz w:val="20"/>
          <w:szCs w:val="20"/>
        </w:rPr>
        <w:t xml:space="preserve">: </w:t>
      </w:r>
      <w:hyperlink r:id="rId14">
        <w:r>
          <w:rPr>
            <w:color w:val="1155CC"/>
            <w:sz w:val="20"/>
            <w:szCs w:val="20"/>
            <w:u w:val="single"/>
          </w:rPr>
          <w:t xml:space="preserve">https://tinyurl.com/bd8kesaf </w:t>
        </w:r>
      </w:hyperlink>
      <w:r>
        <w:rPr>
          <w:sz w:val="20"/>
          <w:szCs w:val="20"/>
        </w:rPr>
        <w:t>. Consulta</w:t>
      </w:r>
      <w:r>
        <w:rPr>
          <w:sz w:val="20"/>
          <w:szCs w:val="20"/>
        </w:rPr>
        <w:t>do el 16/08/2023.</w:t>
      </w:r>
    </w:p>
  </w:footnote>
  <w:footnote w:id="22">
    <w:p w:rsidR="0085163A" w:rsidRDefault="00C63D0B">
      <w:pPr>
        <w:spacing w:after="0" w:line="240" w:lineRule="auto"/>
        <w:jc w:val="left"/>
        <w:rPr>
          <w:sz w:val="20"/>
          <w:szCs w:val="20"/>
        </w:rPr>
      </w:pPr>
      <w:r>
        <w:rPr>
          <w:vertAlign w:val="superscript"/>
        </w:rPr>
        <w:footnoteRef/>
      </w:r>
      <w:r>
        <w:rPr>
          <w:sz w:val="20"/>
          <w:szCs w:val="20"/>
        </w:rPr>
        <w:t xml:space="preserve">Ministerio de Salud Pública y Asistencia Social (2016). </w:t>
      </w:r>
      <w:r>
        <w:rPr>
          <w:i/>
          <w:sz w:val="20"/>
          <w:szCs w:val="20"/>
        </w:rPr>
        <w:t xml:space="preserve">Estrategia de Atención Integral y Diferenciada a la Salud de Personas Trans en Guatemala. </w:t>
      </w:r>
      <w:r>
        <w:rPr>
          <w:sz w:val="20"/>
          <w:szCs w:val="20"/>
        </w:rPr>
        <w:t xml:space="preserve">Disponible en: </w:t>
      </w:r>
      <w:hyperlink r:id="rId15">
        <w:r>
          <w:rPr>
            <w:color w:val="1155CC"/>
            <w:sz w:val="20"/>
            <w:szCs w:val="20"/>
            <w:u w:val="single"/>
          </w:rPr>
          <w:t>https://guatemala.unfpa.org/sites/default/files/pub-pdf/Estrategia%20Pob.%20TRANS.pdf</w:t>
        </w:r>
      </w:hyperlink>
      <w:r>
        <w:rPr>
          <w:sz w:val="20"/>
          <w:szCs w:val="20"/>
        </w:rPr>
        <w:t xml:space="preserve"> </w:t>
      </w:r>
    </w:p>
  </w:footnote>
  <w:footnote w:id="23">
    <w:p w:rsidR="0085163A" w:rsidRDefault="00C63D0B">
      <w:pPr>
        <w:spacing w:after="0" w:line="240" w:lineRule="auto"/>
        <w:jc w:val="left"/>
        <w:rPr>
          <w:sz w:val="20"/>
          <w:szCs w:val="20"/>
        </w:rPr>
      </w:pPr>
      <w:r>
        <w:rPr>
          <w:vertAlign w:val="superscript"/>
        </w:rPr>
        <w:footnoteRef/>
      </w:r>
      <w:r>
        <w:rPr>
          <w:sz w:val="20"/>
          <w:szCs w:val="20"/>
        </w:rPr>
        <w:t>Defensoría del Pueblo para la Diversidad Sexual de la PDH (2020). Informe de seguimiento para determinar el avance de la estrategia de salu</w:t>
      </w:r>
      <w:r>
        <w:rPr>
          <w:sz w:val="20"/>
          <w:szCs w:val="20"/>
        </w:rPr>
        <w:t xml:space="preserve">d integral y diferenciada para personas trans. Disponible en: </w:t>
      </w:r>
      <w:hyperlink r:id="rId16">
        <w:r>
          <w:rPr>
            <w:color w:val="1155CC"/>
            <w:sz w:val="20"/>
            <w:szCs w:val="20"/>
            <w:u w:val="single"/>
          </w:rPr>
          <w:t xml:space="preserve">https://tinyurl.com/29dtp8rj </w:t>
        </w:r>
      </w:hyperlink>
      <w:r>
        <w:rPr>
          <w:sz w:val="20"/>
          <w:szCs w:val="20"/>
        </w:rPr>
        <w:t>. Consultado el 07/09/2023.</w:t>
      </w:r>
    </w:p>
  </w:footnote>
  <w:footnote w:id="24">
    <w:p w:rsidR="0085163A" w:rsidRDefault="00C63D0B">
      <w:pPr>
        <w:spacing w:after="0" w:line="240" w:lineRule="auto"/>
        <w:rPr>
          <w:sz w:val="20"/>
          <w:szCs w:val="20"/>
        </w:rPr>
      </w:pPr>
      <w:r>
        <w:rPr>
          <w:vertAlign w:val="superscript"/>
        </w:rPr>
        <w:footnoteRef/>
      </w:r>
      <w:r>
        <w:rPr>
          <w:sz w:val="20"/>
          <w:szCs w:val="20"/>
        </w:rPr>
        <w:t>Comunicación personal con Alex Castillo, coordinador del Colectivo de Hombres Transforma</w:t>
      </w:r>
      <w:r>
        <w:rPr>
          <w:sz w:val="20"/>
          <w:szCs w:val="20"/>
        </w:rPr>
        <w:t>ción el 7 de septiembre de 2023.</w:t>
      </w:r>
    </w:p>
  </w:footnote>
  <w:footnote w:id="25">
    <w:p w:rsidR="0085163A" w:rsidRDefault="00C63D0B">
      <w:pPr>
        <w:spacing w:after="0" w:line="240" w:lineRule="auto"/>
        <w:rPr>
          <w:sz w:val="20"/>
          <w:szCs w:val="20"/>
        </w:rPr>
      </w:pPr>
      <w:r>
        <w:rPr>
          <w:vertAlign w:val="superscript"/>
        </w:rPr>
        <w:footnoteRef/>
      </w:r>
      <w:r>
        <w:rPr>
          <w:sz w:val="20"/>
          <w:szCs w:val="20"/>
        </w:rPr>
        <w:t xml:space="preserve">EROK Consultores, Estudio en los cinco países sobre la problemática de la población Intersex y la discriminación relacionada con las prácticas de cirugía genital forzada o no consentida, El Salvador, Centroamérica Diversa </w:t>
      </w:r>
      <w:r>
        <w:rPr>
          <w:sz w:val="20"/>
          <w:szCs w:val="20"/>
        </w:rPr>
        <w:t xml:space="preserve">, 2022, Página 28. Disponible en: </w:t>
      </w:r>
      <w:hyperlink r:id="rId17">
        <w:r>
          <w:rPr>
            <w:color w:val="1155CC"/>
            <w:sz w:val="20"/>
            <w:szCs w:val="20"/>
            <w:u w:val="single"/>
          </w:rPr>
          <w:t>http://www .mulabilatino.org/publicaciones/informe%20poblacion%20intersex%20centroamerica.pdf</w:t>
        </w:r>
      </w:hyperlink>
      <w:r>
        <w:rPr>
          <w:sz w:val="20"/>
          <w:szCs w:val="20"/>
        </w:rPr>
        <w:t xml:space="preserve"> </w:t>
      </w:r>
    </w:p>
  </w:footnote>
  <w:footnote w:id="26">
    <w:p w:rsidR="0085163A" w:rsidRDefault="00C63D0B">
      <w:pPr>
        <w:spacing w:after="0" w:line="240" w:lineRule="auto"/>
        <w:rPr>
          <w:sz w:val="20"/>
          <w:szCs w:val="20"/>
        </w:rPr>
      </w:pPr>
      <w:r>
        <w:rPr>
          <w:vertAlign w:val="superscript"/>
        </w:rPr>
        <w:footnoteRef/>
      </w:r>
      <w:r>
        <w:rPr>
          <w:sz w:val="20"/>
          <w:szCs w:val="20"/>
        </w:rPr>
        <w:t xml:space="preserve">Congreso de la República de Guatemala, Iniciativa 5787. Disponible en: </w:t>
      </w:r>
      <w:hyperlink r:id="rId18">
        <w:r>
          <w:rPr>
            <w:color w:val="1155CC"/>
            <w:sz w:val="20"/>
            <w:szCs w:val="20"/>
            <w:u w:val="single"/>
          </w:rPr>
          <w:t>https://www.congreso.gob.gt/detalle_pdf/iniciativas/5787</w:t>
        </w:r>
      </w:hyperlink>
      <w:r>
        <w:rPr>
          <w:sz w:val="20"/>
          <w:szCs w:val="20"/>
        </w:rPr>
        <w:t xml:space="preserve"> </w:t>
      </w:r>
    </w:p>
  </w:footnote>
  <w:footnote w:id="27">
    <w:p w:rsidR="0085163A" w:rsidRDefault="00C63D0B">
      <w:pPr>
        <w:spacing w:after="0" w:line="240" w:lineRule="auto"/>
        <w:rPr>
          <w:sz w:val="20"/>
          <w:szCs w:val="20"/>
        </w:rPr>
      </w:pPr>
      <w:r>
        <w:rPr>
          <w:vertAlign w:val="superscript"/>
        </w:rPr>
        <w:footnoteRef/>
      </w:r>
      <w:r>
        <w:rPr>
          <w:sz w:val="20"/>
          <w:szCs w:val="20"/>
        </w:rPr>
        <w:t xml:space="preserve">ILGA-Mundo (2019). </w:t>
      </w:r>
      <w:r>
        <w:rPr>
          <w:i/>
          <w:sz w:val="20"/>
          <w:szCs w:val="20"/>
        </w:rPr>
        <w:t xml:space="preserve">La CIE-11 despatologiza las identidades trans y de género diverso. </w:t>
      </w:r>
      <w:r>
        <w:rPr>
          <w:sz w:val="20"/>
          <w:szCs w:val="20"/>
        </w:rPr>
        <w:t xml:space="preserve">Disponible en: </w:t>
      </w:r>
      <w:hyperlink r:id="rId19">
        <w:r>
          <w:rPr>
            <w:color w:val="1155CC"/>
            <w:sz w:val="20"/>
            <w:szCs w:val="20"/>
            <w:u w:val="single"/>
          </w:rPr>
          <w:t xml:space="preserve">https://tinyurl.com/59x9czmh </w:t>
        </w:r>
      </w:hyperlink>
      <w:r>
        <w:rPr>
          <w:sz w:val="20"/>
          <w:szCs w:val="20"/>
        </w:rPr>
        <w:t>. Consultado el 11/08/21.</w:t>
      </w:r>
    </w:p>
  </w:footnote>
  <w:footnote w:id="28">
    <w:p w:rsidR="0085163A" w:rsidRDefault="00C63D0B">
      <w:pPr>
        <w:spacing w:after="0" w:line="240" w:lineRule="auto"/>
        <w:rPr>
          <w:sz w:val="20"/>
          <w:szCs w:val="20"/>
        </w:rPr>
      </w:pPr>
      <w:r>
        <w:rPr>
          <w:vertAlign w:val="superscript"/>
        </w:rPr>
        <w:footnoteRef/>
      </w:r>
      <w:r>
        <w:rPr>
          <w:sz w:val="20"/>
          <w:szCs w:val="20"/>
        </w:rPr>
        <w:t xml:space="preserve">Congreso de la republica. </w:t>
      </w:r>
      <w:r>
        <w:rPr>
          <w:i/>
          <w:sz w:val="20"/>
          <w:szCs w:val="20"/>
        </w:rPr>
        <w:t xml:space="preserve">Iniciativa 5940. </w:t>
      </w:r>
      <w:r>
        <w:rPr>
          <w:sz w:val="20"/>
          <w:szCs w:val="20"/>
        </w:rPr>
        <w:t xml:space="preserve">Disponible en: </w:t>
      </w:r>
      <w:hyperlink r:id="rId20">
        <w:r>
          <w:rPr>
            <w:color w:val="1155CC"/>
            <w:sz w:val="20"/>
            <w:szCs w:val="20"/>
            <w:u w:val="single"/>
          </w:rPr>
          <w:t xml:space="preserve">https://www.congreso.gob.gt/detalle_pdf/iniciativas/5787 </w:t>
        </w:r>
      </w:hyperlink>
      <w:r>
        <w:rPr>
          <w:sz w:val="20"/>
          <w:szCs w:val="20"/>
        </w:rPr>
        <w:t>. Consultado el 22/09/2022.</w:t>
      </w:r>
    </w:p>
  </w:footnote>
  <w:footnote w:id="29">
    <w:p w:rsidR="0085163A" w:rsidRDefault="00C63D0B">
      <w:pPr>
        <w:spacing w:after="0" w:line="240" w:lineRule="auto"/>
        <w:rPr>
          <w:sz w:val="20"/>
          <w:szCs w:val="20"/>
        </w:rPr>
      </w:pPr>
      <w:r>
        <w:rPr>
          <w:vertAlign w:val="superscript"/>
        </w:rPr>
        <w:footnoteRef/>
      </w:r>
      <w:r>
        <w:rPr>
          <w:sz w:val="20"/>
          <w:szCs w:val="20"/>
        </w:rPr>
        <w:t xml:space="preserve">Congreso de la republica. Iniciativa 5940. Disponible en: </w:t>
      </w:r>
      <w:hyperlink r:id="rId21">
        <w:r>
          <w:rPr>
            <w:color w:val="1155CC"/>
            <w:sz w:val="20"/>
            <w:szCs w:val="20"/>
            <w:u w:val="single"/>
          </w:rPr>
          <w:t xml:space="preserve">https://www.congreso.gob.gt/detalle_pdf/iniciativas/5787 </w:t>
        </w:r>
      </w:hyperlink>
      <w:r>
        <w:rPr>
          <w:sz w:val="20"/>
          <w:szCs w:val="20"/>
        </w:rPr>
        <w:t>., Artículos 3 y 4. Consultado el 22/09/2022.</w:t>
      </w:r>
    </w:p>
  </w:footnote>
  <w:footnote w:id="30">
    <w:p w:rsidR="0085163A" w:rsidRDefault="00C63D0B">
      <w:pPr>
        <w:spacing w:after="0" w:line="240" w:lineRule="auto"/>
        <w:rPr>
          <w:sz w:val="20"/>
          <w:szCs w:val="20"/>
        </w:rPr>
      </w:pPr>
      <w:r>
        <w:rPr>
          <w:vertAlign w:val="superscript"/>
        </w:rPr>
        <w:footnoteRef/>
      </w:r>
      <w:r>
        <w:rPr>
          <w:sz w:val="20"/>
          <w:szCs w:val="20"/>
        </w:rPr>
        <w:t xml:space="preserve"> </w:t>
      </w:r>
      <w:r>
        <w:rPr>
          <w:i/>
          <w:sz w:val="20"/>
          <w:szCs w:val="20"/>
        </w:rPr>
        <w:t xml:space="preserve">Ibídem. </w:t>
      </w:r>
      <w:r>
        <w:rPr>
          <w:sz w:val="20"/>
          <w:szCs w:val="20"/>
        </w:rPr>
        <w:t>pag. 11, artículo 4 (h)</w:t>
      </w:r>
    </w:p>
  </w:footnote>
  <w:footnote w:id="31">
    <w:p w:rsidR="0085163A" w:rsidRDefault="00C63D0B">
      <w:pPr>
        <w:spacing w:after="0" w:line="240" w:lineRule="auto"/>
        <w:rPr>
          <w:sz w:val="20"/>
          <w:szCs w:val="20"/>
        </w:rPr>
      </w:pPr>
      <w:r>
        <w:rPr>
          <w:vertAlign w:val="superscript"/>
        </w:rPr>
        <w:footnoteRef/>
      </w:r>
      <w:r>
        <w:rPr>
          <w:sz w:val="20"/>
          <w:szCs w:val="20"/>
        </w:rPr>
        <w:t>Agencia Presenta , Guatemala 2022, las mejores y peores noticias del año para la diversida</w:t>
      </w:r>
      <w:r>
        <w:rPr>
          <w:sz w:val="20"/>
          <w:szCs w:val="20"/>
        </w:rPr>
        <w:t xml:space="preserve">d sexual, 22 de diciembre de 2022. Disponible en: </w:t>
      </w:r>
      <w:hyperlink r:id="rId22">
        <w:r>
          <w:rPr>
            <w:color w:val="1155CC"/>
            <w:sz w:val="20"/>
            <w:szCs w:val="20"/>
            <w:u w:val="single"/>
          </w:rPr>
          <w:t>https://agenciapresentes.org/2022/12/22/guatemala-2022-las-mejores-</w:t>
        </w:r>
        <w:r>
          <w:rPr>
            <w:color w:val="1155CC"/>
            <w:sz w:val="20"/>
            <w:szCs w:val="20"/>
            <w:u w:val="single"/>
          </w:rPr>
          <w:t>y-peor -noticia-del-ano-para-la-diversidad-sexual/</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63A" w:rsidRDefault="00C63D0B">
    <w:pPr>
      <w:tabs>
        <w:tab w:val="center" w:pos="4252"/>
        <w:tab w:val="right" w:pos="8504"/>
      </w:tabs>
      <w:spacing w:line="240" w:lineRule="auto"/>
      <w:jc w:val="right"/>
    </w:pPr>
    <w:r>
      <w:tab/>
    </w:r>
    <w:r>
      <w:rPr>
        <w:noProof/>
        <w:lang w:val="es-GT"/>
      </w:rPr>
      <w:drawing>
        <wp:inline distT="0" distB="0" distL="0" distR="0">
          <wp:extent cx="565491" cy="785813"/>
          <wp:effectExtent l="0" t="0" r="0" b="0"/>
          <wp:docPr id="13" name="image3.png" descr="page1image22710512"/>
          <wp:cNvGraphicFramePr/>
          <a:graphic xmlns:a="http://schemas.openxmlformats.org/drawingml/2006/main">
            <a:graphicData uri="http://schemas.openxmlformats.org/drawingml/2006/picture">
              <pic:pic xmlns:pic="http://schemas.openxmlformats.org/drawingml/2006/picture">
                <pic:nvPicPr>
                  <pic:cNvPr id="0" name="image3.png" descr="page1image22710512"/>
                  <pic:cNvPicPr preferRelativeResize="0"/>
                </pic:nvPicPr>
                <pic:blipFill>
                  <a:blip r:embed="rId1"/>
                  <a:srcRect/>
                  <a:stretch>
                    <a:fillRect/>
                  </a:stretch>
                </pic:blipFill>
                <pic:spPr>
                  <a:xfrm>
                    <a:off x="0" y="0"/>
                    <a:ext cx="565491" cy="785813"/>
                  </a:xfrm>
                  <a:prstGeom prst="rect">
                    <a:avLst/>
                  </a:prstGeom>
                  <a:ln/>
                </pic:spPr>
              </pic:pic>
            </a:graphicData>
          </a:graphic>
        </wp:inline>
      </w:drawing>
    </w:r>
    <w:r>
      <w:t xml:space="preserve"> </w:t>
    </w:r>
    <w:r>
      <w:rPr>
        <w:noProof/>
        <w:lang w:val="es-GT"/>
      </w:rPr>
      <w:drawing>
        <wp:inline distT="0" distB="0" distL="0" distR="0">
          <wp:extent cx="1083937" cy="701979"/>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83937" cy="701979"/>
                  </a:xfrm>
                  <a:prstGeom prst="rect">
                    <a:avLst/>
                  </a:prstGeom>
                  <a:ln/>
                </pic:spPr>
              </pic:pic>
            </a:graphicData>
          </a:graphic>
        </wp:inline>
      </w:drawing>
    </w:r>
    <w:r>
      <w:rPr>
        <w:noProof/>
        <w:lang w:val="es-GT"/>
      </w:rPr>
      <w:drawing>
        <wp:inline distT="114300" distB="114300" distL="114300" distR="114300">
          <wp:extent cx="1440188" cy="445772"/>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440188" cy="445772"/>
                  </a:xfrm>
                  <a:prstGeom prst="rect">
                    <a:avLst/>
                  </a:prstGeom>
                  <a:ln/>
                </pic:spPr>
              </pic:pic>
            </a:graphicData>
          </a:graphic>
        </wp:inline>
      </w:drawing>
    </w:r>
  </w:p>
  <w:p w:rsidR="0085163A" w:rsidRDefault="0085163A">
    <w:pP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21B2C"/>
    <w:multiLevelType w:val="multilevel"/>
    <w:tmpl w:val="2F24C3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1654D68"/>
    <w:multiLevelType w:val="multilevel"/>
    <w:tmpl w:val="BEF65A0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60596E42"/>
    <w:multiLevelType w:val="multilevel"/>
    <w:tmpl w:val="36F014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A102FBC"/>
    <w:multiLevelType w:val="multilevel"/>
    <w:tmpl w:val="08A60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E777AF2"/>
    <w:multiLevelType w:val="multilevel"/>
    <w:tmpl w:val="E7FC355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63A"/>
    <w:rsid w:val="0085163A"/>
    <w:rsid w:val="00C63D0B"/>
    <w:rsid w:val="00F87755"/>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FCA1F0-15A2-465E-A18C-80EBB09E4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GT"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rFonts w:ascii="Oswald" w:eastAsia="Oswald" w:hAnsi="Oswald" w:cs="Oswald"/>
      <w:sz w:val="34"/>
      <w:szCs w:val="34"/>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pPr>
      <w:keepNext/>
      <w:keepLines/>
      <w:spacing w:after="320"/>
    </w:pPr>
    <w:rPr>
      <w:rFonts w:ascii="Oswald" w:eastAsia="Oswald" w:hAnsi="Oswald" w:cs="Oswald"/>
      <w:color w:val="666666"/>
      <w:sz w:val="30"/>
      <w:szCs w:val="30"/>
    </w:rPr>
  </w:style>
  <w:style w:type="paragraph" w:styleId="Revisin">
    <w:name w:val="Revision"/>
    <w:hidden/>
    <w:uiPriority w:val="99"/>
    <w:semiHidden/>
    <w:rsid w:val="00B868D2"/>
    <w:pPr>
      <w:spacing w:after="0" w:line="240" w:lineRule="auto"/>
      <w:jc w:val="left"/>
    </w:pPr>
  </w:style>
  <w:style w:type="character" w:styleId="Refdecomentario">
    <w:name w:val="annotation reference"/>
    <w:basedOn w:val="Fuentedeprrafopredeter"/>
    <w:uiPriority w:val="99"/>
    <w:semiHidden/>
    <w:unhideWhenUsed/>
    <w:rsid w:val="00B868D2"/>
    <w:rPr>
      <w:sz w:val="16"/>
      <w:szCs w:val="16"/>
    </w:rPr>
  </w:style>
  <w:style w:type="paragraph" w:styleId="Textocomentario">
    <w:name w:val="annotation text"/>
    <w:basedOn w:val="Normal"/>
    <w:link w:val="TextocomentarioCar"/>
    <w:uiPriority w:val="99"/>
    <w:semiHidden/>
    <w:unhideWhenUsed/>
    <w:rsid w:val="00B868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868D2"/>
    <w:rPr>
      <w:sz w:val="20"/>
      <w:szCs w:val="20"/>
    </w:rPr>
  </w:style>
  <w:style w:type="paragraph" w:styleId="Asuntodelcomentario">
    <w:name w:val="annotation subject"/>
    <w:basedOn w:val="Textocomentario"/>
    <w:next w:val="Textocomentario"/>
    <w:link w:val="AsuntodelcomentarioCar"/>
    <w:uiPriority w:val="99"/>
    <w:semiHidden/>
    <w:unhideWhenUsed/>
    <w:rsid w:val="00B868D2"/>
    <w:rPr>
      <w:b/>
      <w:bCs/>
    </w:rPr>
  </w:style>
  <w:style w:type="character" w:customStyle="1" w:styleId="AsuntodelcomentarioCar">
    <w:name w:val="Asunto del comentario Car"/>
    <w:basedOn w:val="TextocomentarioCar"/>
    <w:link w:val="Asuntodelcomentario"/>
    <w:uiPriority w:val="99"/>
    <w:semiHidden/>
    <w:rsid w:val="00B868D2"/>
    <w:rPr>
      <w:b/>
      <w:bCs/>
      <w:sz w:val="20"/>
      <w:szCs w:val="20"/>
    </w:rPr>
  </w:style>
  <w:style w:type="paragraph" w:styleId="Encabezado">
    <w:name w:val="header"/>
    <w:basedOn w:val="Normal"/>
    <w:link w:val="EncabezadoCar"/>
    <w:uiPriority w:val="99"/>
    <w:unhideWhenUsed/>
    <w:rsid w:val="00B868D2"/>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B868D2"/>
  </w:style>
  <w:style w:type="paragraph" w:styleId="Piedepgina">
    <w:name w:val="footer"/>
    <w:basedOn w:val="Normal"/>
    <w:link w:val="PiedepginaCar"/>
    <w:uiPriority w:val="99"/>
    <w:unhideWhenUsed/>
    <w:rsid w:val="00B868D2"/>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B868D2"/>
  </w:style>
  <w:style w:type="table" w:customStyle="1" w:styleId="a">
    <w:basedOn w:val="Tablanormal"/>
    <w:tblPr>
      <w:tblStyleRowBandSize w:val="1"/>
      <w:tblStyleColBandSize w:val="1"/>
      <w:tblCellMar>
        <w:top w:w="100" w:type="dxa"/>
        <w:left w:w="100" w:type="dxa"/>
        <w:bottom w:w="100" w:type="dxa"/>
        <w:right w:w="100" w:type="dxa"/>
      </w:tblCellMar>
    </w:tblPr>
  </w:style>
  <w:style w:type="table" w:customStyle="1" w:styleId="a0">
    <w:basedOn w:val="Tablanormal"/>
    <w:tblPr>
      <w:tblStyleRowBandSize w:val="1"/>
      <w:tblStyleColBandSize w:val="1"/>
      <w:tblCellMar>
        <w:top w:w="100" w:type="dxa"/>
        <w:left w:w="100" w:type="dxa"/>
        <w:bottom w:w="100" w:type="dxa"/>
        <w:right w:w="100" w:type="dxa"/>
      </w:tblCellMar>
    </w:tblPr>
  </w:style>
  <w:style w:type="table" w:customStyle="1" w:styleId="a1">
    <w:basedOn w:val="Tablanormal"/>
    <w:tblPr>
      <w:tblStyleRowBandSize w:val="1"/>
      <w:tblStyleColBandSize w:val="1"/>
      <w:tblCellMar>
        <w:top w:w="100" w:type="dxa"/>
        <w:left w:w="100" w:type="dxa"/>
        <w:bottom w:w="100" w:type="dxa"/>
        <w:right w:w="100" w:type="dxa"/>
      </w:tblCellMar>
    </w:tblPr>
  </w:style>
  <w:style w:type="table" w:customStyle="1" w:styleId="a2">
    <w:basedOn w:val="Tablanormal"/>
    <w:tblPr>
      <w:tblStyleRowBandSize w:val="1"/>
      <w:tblStyleColBandSize w:val="1"/>
      <w:tblCellMar>
        <w:top w:w="100" w:type="dxa"/>
        <w:left w:w="100" w:type="dxa"/>
        <w:bottom w:w="100" w:type="dxa"/>
        <w:right w:w="100" w:type="dxa"/>
      </w:tblCellMar>
    </w:tblPr>
  </w:style>
  <w:style w:type="table" w:customStyle="1" w:styleId="a3">
    <w:basedOn w:val="Tablanormal"/>
    <w:tblPr>
      <w:tblStyleRowBandSize w:val="1"/>
      <w:tblStyleColBandSize w:val="1"/>
      <w:tblCellMar>
        <w:top w:w="100" w:type="dxa"/>
        <w:left w:w="100" w:type="dxa"/>
        <w:bottom w:w="100" w:type="dxa"/>
        <w:right w:w="100" w:type="dxa"/>
      </w:tblCellMar>
    </w:tblPr>
  </w:style>
  <w:style w:type="table" w:customStyle="1" w:styleId="a4">
    <w:basedOn w:val="Tablanormal"/>
    <w:tblPr>
      <w:tblStyleRowBandSize w:val="1"/>
      <w:tblStyleColBandSize w:val="1"/>
      <w:tblCellMar>
        <w:top w:w="100" w:type="dxa"/>
        <w:left w:w="100" w:type="dxa"/>
        <w:bottom w:w="100" w:type="dxa"/>
        <w:right w:w="100" w:type="dxa"/>
      </w:tblCellMar>
    </w:tblPr>
  </w:style>
  <w:style w:type="table" w:customStyle="1" w:styleId="a5">
    <w:basedOn w:val="Tablanormal"/>
    <w:tblPr>
      <w:tblStyleRowBandSize w:val="1"/>
      <w:tblStyleColBandSize w:val="1"/>
      <w:tblCellMar>
        <w:top w:w="100" w:type="dxa"/>
        <w:left w:w="100" w:type="dxa"/>
        <w:bottom w:w="100" w:type="dxa"/>
        <w:right w:w="100" w:type="dxa"/>
      </w:tblCellMar>
    </w:tblPr>
  </w:style>
  <w:style w:type="table" w:customStyle="1" w:styleId="a6">
    <w:basedOn w:val="Tablanormal"/>
    <w:tblPr>
      <w:tblStyleRowBandSize w:val="1"/>
      <w:tblStyleColBandSize w:val="1"/>
      <w:tblCellMar>
        <w:top w:w="100" w:type="dxa"/>
        <w:left w:w="100" w:type="dxa"/>
        <w:bottom w:w="100" w:type="dxa"/>
        <w:right w:w="100" w:type="dxa"/>
      </w:tblCellMar>
    </w:tblPr>
  </w:style>
  <w:style w:type="paragraph" w:styleId="Prrafodelista">
    <w:name w:val="List Paragraph"/>
    <w:basedOn w:val="Normal"/>
    <w:uiPriority w:val="34"/>
    <w:qFormat/>
    <w:rsid w:val="008942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visibles.gt/indicador-justicia/" TargetMode="External"/><Relationship Id="rId13" Type="http://schemas.openxmlformats.org/officeDocument/2006/relationships/hyperlink" Target="https://tinyurl.com/4tas36fd" TargetMode="External"/><Relationship Id="rId18" Type="http://schemas.openxmlformats.org/officeDocument/2006/relationships/hyperlink" Target="https://www.congreso.gob.gt/detalle_pdf/iniciativas/5787" TargetMode="External"/><Relationship Id="rId3" Type="http://schemas.openxmlformats.org/officeDocument/2006/relationships/hyperlink" Target="https://tinyurl.com/ypnank3z" TargetMode="External"/><Relationship Id="rId21" Type="http://schemas.openxmlformats.org/officeDocument/2006/relationships/hyperlink" Target="https://www.congreso.gob.gt/detalle_pdf/iniciativas/5787" TargetMode="External"/><Relationship Id="rId7" Type="http://schemas.openxmlformats.org/officeDocument/2006/relationships/hyperlink" Target="https://ndicentroamerica.org/wp-content/uploads/2021/10/Las-mujeres-lesbianas-en-Guatemala_una-aproximacion-a-sus-demandas-sociopoliticas.pdf" TargetMode="External"/><Relationship Id="rId12" Type="http://schemas.openxmlformats.org/officeDocument/2006/relationships/hyperlink" Target="https://tinyurl.com/26bpsj7c" TargetMode="External"/><Relationship Id="rId17" Type="http://schemas.openxmlformats.org/officeDocument/2006/relationships/hyperlink" Target="http://www.mulabilatino.org/publicaciones/informe%20poblacion%20intersex%20centroamerica.pdf" TargetMode="External"/><Relationship Id="rId2" Type="http://schemas.openxmlformats.org/officeDocument/2006/relationships/hyperlink" Target="https://visibles.gt/indicador-justicia/" TargetMode="External"/><Relationship Id="rId16" Type="http://schemas.openxmlformats.org/officeDocument/2006/relationships/hyperlink" Target="https://tinyurl.com/29dtp8rj" TargetMode="External"/><Relationship Id="rId20" Type="http://schemas.openxmlformats.org/officeDocument/2006/relationships/hyperlink" Target="https://www.congreso.gob.gt/detalle_pdf/iniciativas/5787" TargetMode="External"/><Relationship Id="rId1" Type="http://schemas.openxmlformats.org/officeDocument/2006/relationships/hyperlink" Target="https://tinyurl.com/heh2au69" TargetMode="External"/><Relationship Id="rId6" Type="http://schemas.openxmlformats.org/officeDocument/2006/relationships/hyperlink" Target="https://visibles.gt/indicador-justicia/" TargetMode="External"/><Relationship Id="rId11" Type="http://schemas.openxmlformats.org/officeDocument/2006/relationships/hyperlink" Target="https://tinyurl.com/kkmez2m7" TargetMode="External"/><Relationship Id="rId5" Type="http://schemas.openxmlformats.org/officeDocument/2006/relationships/hyperlink" Target="https://ndicentroamerica.org/wp-content/uploads/2021/10/Las-mujeres-lesbianas-en-Guatemala_una-aproximacion-a-sus-demandas-sociopoliticas.pdf" TargetMode="External"/><Relationship Id="rId15" Type="http://schemas.openxmlformats.org/officeDocument/2006/relationships/hyperlink" Target="https://guatemala.unfpa.org/sites/default/files/pub-pdf/Estrategia%20Pob.%20TRANS.pdf" TargetMode="External"/><Relationship Id="rId10" Type="http://schemas.openxmlformats.org/officeDocument/2006/relationships/hyperlink" Target="https://ndicentroamerica.org/wp-content/uploads/2021/10/Las-mujeres-lesbianas-en-Guatemala_una-aproximacion-a-sus-demandas-sociopoliticas.pdf" TargetMode="External"/><Relationship Id="rId19" Type="http://schemas.openxmlformats.org/officeDocument/2006/relationships/hyperlink" Target="https://tinyurl.com/59x9czmh" TargetMode="External"/><Relationship Id="rId4" Type="http://schemas.openxmlformats.org/officeDocument/2006/relationships/hyperlink" Target="https://reinasdelanoche.org.gt/sin-justicia-2021/" TargetMode="External"/><Relationship Id="rId9" Type="http://schemas.openxmlformats.org/officeDocument/2006/relationships/hyperlink" Target="https://www.wola.org/es/analisis/nueva-ley-ong-guatemala/" TargetMode="External"/><Relationship Id="rId14" Type="http://schemas.openxmlformats.org/officeDocument/2006/relationships/hyperlink" Target="https://tinyurl.com/bd8kesaf" TargetMode="External"/><Relationship Id="rId22" Type="http://schemas.openxmlformats.org/officeDocument/2006/relationships/hyperlink" Target="https://agenciapresentes.org/2022/12/22/guatemala-2022-las-mejores-y-peores-noticias-del-ano-para-la-diversidad-sexu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2vsj9tL0eX31Daok94jTkqziIg==">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5141</Words>
  <Characters>28277</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Oxfam Intermon</Company>
  <LinksUpToDate>false</LinksUpToDate>
  <CharactersWithSpaces>33352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Marsicovetere</dc:creator>
  <cp:lastModifiedBy>Natalia Marsicovetere</cp:lastModifiedBy>
  <cp:revision>2</cp:revision>
  <dcterms:created xsi:type="dcterms:W3CDTF">2023-09-11T04:37:00Z</dcterms:created>
  <dcterms:modified xsi:type="dcterms:W3CDTF">2023-09-11T04:37:00Z</dcterms:modified>
</cp:coreProperties>
</file>