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20" w:line="276" w:lineRule="auto"/>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2">
      <w:pPr>
        <w:spacing w:after="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Situación de los Derechos Económicos, Sociales y Culturales de las personas LGBTIQ+ en Colombia</w:t>
      </w:r>
      <w:r w:rsidDel="00000000" w:rsidR="00000000" w:rsidRPr="00000000">
        <w:rPr>
          <w:rtl w:val="0"/>
        </w:rPr>
      </w:r>
    </w:p>
    <w:p w:rsidR="00000000" w:rsidDel="00000000" w:rsidP="00000000" w:rsidRDefault="00000000" w:rsidRPr="00000000" w14:paraId="00000003">
      <w:pPr>
        <w:spacing w:after="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spacing w:after="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spacing w:after="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Informe presentado al</w:t>
      </w:r>
      <w:r w:rsidDel="00000000" w:rsidR="00000000" w:rsidRPr="00000000">
        <w:rPr>
          <w:rtl w:val="0"/>
        </w:rPr>
      </w:r>
    </w:p>
    <w:p w:rsidR="00000000" w:rsidDel="00000000" w:rsidP="00000000" w:rsidRDefault="00000000" w:rsidRPr="00000000" w14:paraId="00000006">
      <w:pPr>
        <w:spacing w:after="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Comité de Derechos Económicos, Sociales y Culturales en el marco del séptimo informe periódico sobre Colombia</w:t>
      </w:r>
    </w:p>
    <w:p w:rsidR="00000000" w:rsidDel="00000000" w:rsidP="00000000" w:rsidRDefault="00000000" w:rsidRPr="00000000" w14:paraId="00000007">
      <w:pPr>
        <w:spacing w:after="0" w:before="120" w:line="276"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8">
      <w:pPr>
        <w:widowControl w:val="0"/>
        <w:spacing w:after="0" w:before="120" w:line="240" w:lineRule="auto"/>
        <w:ind w:right="4"/>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78° PERÍODO DE SESIONES</w:t>
      </w:r>
    </w:p>
    <w:p w:rsidR="00000000" w:rsidDel="00000000" w:rsidP="00000000" w:rsidRDefault="00000000" w:rsidRPr="00000000" w14:paraId="00000009">
      <w:pPr>
        <w:widowControl w:val="0"/>
        <w:spacing w:after="0" w:before="120" w:line="240" w:lineRule="auto"/>
        <w:ind w:right="4"/>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(8 DE SEPTIEMBRE AL 03 DE OCTUBRE DE 2025)</w:t>
      </w:r>
    </w:p>
    <w:p w:rsidR="00000000" w:rsidDel="00000000" w:rsidP="00000000" w:rsidRDefault="00000000" w:rsidRPr="00000000" w14:paraId="0000000A">
      <w:pPr>
        <w:spacing w:after="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B">
      <w:pPr>
        <w:spacing w:after="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Fundación Grupo de Acción y Apoyo a Personas Trans – Fundación GAAT</w:t>
      </w:r>
    </w:p>
    <w:p w:rsidR="00000000" w:rsidDel="00000000" w:rsidP="00000000" w:rsidRDefault="00000000" w:rsidRPr="00000000" w14:paraId="0000000C">
      <w:pPr>
        <w:spacing w:after="0" w:before="120"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D">
      <w:pPr>
        <w:spacing w:after="0" w:before="120"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E">
      <w:pPr>
        <w:spacing w:after="0" w:before="120" w:lineRule="auto"/>
        <w:jc w:val="both"/>
        <w:rPr>
          <w:rFonts w:ascii="Times New Roman" w:cs="Times New Roman" w:eastAsia="Times New Roman" w:hAnsi="Times New Roman"/>
          <w:i w:val="1"/>
          <w:sz w:val="20"/>
          <w:szCs w:val="20"/>
        </w:rPr>
      </w:pPr>
      <w:bookmarkStart w:colFirst="0" w:colLast="0" w:name="_heading=h.rmasfed79xcj" w:id="0"/>
      <w:bookmarkEnd w:id="0"/>
      <w:r w:rsidDel="00000000" w:rsidR="00000000" w:rsidRPr="00000000">
        <w:rPr>
          <w:rFonts w:ascii="Times New Roman" w:cs="Times New Roman" w:eastAsia="Times New Roman" w:hAnsi="Times New Roman"/>
          <w:i w:val="1"/>
          <w:sz w:val="20"/>
          <w:szCs w:val="20"/>
          <w:rtl w:val="0"/>
        </w:rPr>
        <w:t xml:space="preserve">En colaboración técnica con la Red de Litigantes LGBTIQ de las Américas, la Iniciativa por los Derechos Sexuales - Coalición integrada por Action Canada for Population and Development; CREA-India, Akãhatã - Equipo de Trabajo en Sexualidades y Géneros; Polish Federation for Women and Family Planning y otras.</w:t>
      </w:r>
    </w:p>
    <w:p w:rsidR="00000000" w:rsidDel="00000000" w:rsidP="00000000" w:rsidRDefault="00000000" w:rsidRPr="00000000" w14:paraId="0000000F">
      <w:pPr>
        <w:spacing w:after="0" w:before="120" w:lineRule="auto"/>
        <w:jc w:val="both"/>
        <w:rPr>
          <w:rFonts w:ascii="Times New Roman" w:cs="Times New Roman" w:eastAsia="Times New Roman" w:hAnsi="Times New Roman"/>
          <w:i w:val="1"/>
          <w:color w:val="1155cc"/>
          <w:sz w:val="20"/>
          <w:szCs w:val="20"/>
          <w:u w:val="single"/>
        </w:rPr>
      </w:pPr>
      <w:r w:rsidDel="00000000" w:rsidR="00000000" w:rsidRPr="00000000">
        <w:rPr>
          <w:rFonts w:ascii="Times New Roman" w:cs="Times New Roman" w:eastAsia="Times New Roman" w:hAnsi="Times New Roman"/>
          <w:i w:val="1"/>
          <w:sz w:val="20"/>
          <w:szCs w:val="20"/>
          <w:rtl w:val="0"/>
        </w:rPr>
        <w:t xml:space="preserve">Websites: </w:t>
      </w:r>
      <w:hyperlink r:id="rId8">
        <w:r w:rsidDel="00000000" w:rsidR="00000000" w:rsidRPr="00000000">
          <w:rPr>
            <w:rFonts w:ascii="Times New Roman" w:cs="Times New Roman" w:eastAsia="Times New Roman" w:hAnsi="Times New Roman"/>
            <w:i w:val="1"/>
            <w:color w:val="1155cc"/>
            <w:sz w:val="20"/>
            <w:szCs w:val="20"/>
            <w:u w:val="single"/>
            <w:rtl w:val="0"/>
          </w:rPr>
          <w:t xml:space="preserve">https://litiganteslgbt.org/</w:t>
        </w:r>
      </w:hyperlink>
      <w:r w:rsidDel="00000000" w:rsidR="00000000" w:rsidRPr="00000000">
        <w:rPr>
          <w:rFonts w:ascii="Times New Roman" w:cs="Times New Roman" w:eastAsia="Times New Roman" w:hAnsi="Times New Roman"/>
          <w:i w:val="1"/>
          <w:sz w:val="20"/>
          <w:szCs w:val="20"/>
          <w:rtl w:val="0"/>
        </w:rPr>
        <w:t xml:space="preserve"> y </w:t>
      </w:r>
      <w:hyperlink r:id="rId9">
        <w:r w:rsidDel="00000000" w:rsidR="00000000" w:rsidRPr="00000000">
          <w:rPr>
            <w:rFonts w:ascii="Times New Roman" w:cs="Times New Roman" w:eastAsia="Times New Roman" w:hAnsi="Times New Roman"/>
            <w:i w:val="1"/>
            <w:color w:val="1155cc"/>
            <w:sz w:val="20"/>
            <w:szCs w:val="20"/>
            <w:u w:val="single"/>
            <w:rtl w:val="0"/>
          </w:rPr>
          <w:t xml:space="preserve">https://sexualrightsinitiative.com</w:t>
        </w:r>
      </w:hyperlink>
      <w:r w:rsidDel="00000000" w:rsidR="00000000" w:rsidRPr="00000000">
        <w:rPr>
          <w:rtl w:val="0"/>
        </w:rPr>
      </w:r>
    </w:p>
    <w:p w:rsidR="00000000" w:rsidDel="00000000" w:rsidP="00000000" w:rsidRDefault="00000000" w:rsidRPr="00000000" w14:paraId="00000010">
      <w:pPr>
        <w:spacing w:after="0" w:before="120"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Email: </w:t>
      </w:r>
      <w:hyperlink r:id="rId10">
        <w:r w:rsidDel="00000000" w:rsidR="00000000" w:rsidRPr="00000000">
          <w:rPr>
            <w:rFonts w:ascii="Times New Roman" w:cs="Times New Roman" w:eastAsia="Times New Roman" w:hAnsi="Times New Roman"/>
            <w:i w:val="1"/>
            <w:color w:val="1155cc"/>
            <w:sz w:val="20"/>
            <w:szCs w:val="20"/>
            <w:highlight w:val="white"/>
            <w:u w:val="single"/>
            <w:rtl w:val="0"/>
          </w:rPr>
          <w:t xml:space="preserve">litiganteslgbtamericas@gmail.com</w:t>
        </w:r>
      </w:hyperlink>
      <w:r w:rsidDel="00000000" w:rsidR="00000000" w:rsidRPr="00000000">
        <w:rPr>
          <w:rFonts w:ascii="Times New Roman" w:cs="Times New Roman" w:eastAsia="Times New Roman" w:hAnsi="Times New Roman"/>
          <w:i w:val="1"/>
          <w:color w:val="5e5e5e"/>
          <w:sz w:val="20"/>
          <w:szCs w:val="20"/>
          <w:highlight w:val="white"/>
          <w:rtl w:val="0"/>
        </w:rPr>
        <w:t xml:space="preserve"> y </w:t>
      </w:r>
      <w:hyperlink r:id="rId11">
        <w:r w:rsidDel="00000000" w:rsidR="00000000" w:rsidRPr="00000000">
          <w:rPr>
            <w:rFonts w:ascii="Times New Roman" w:cs="Times New Roman" w:eastAsia="Times New Roman" w:hAnsi="Times New Roman"/>
            <w:i w:val="1"/>
            <w:color w:val="1155cc"/>
            <w:sz w:val="20"/>
            <w:szCs w:val="20"/>
            <w:u w:val="single"/>
            <w:rtl w:val="0"/>
          </w:rPr>
          <w:t xml:space="preserve">info@srigeneva.com</w:t>
        </w:r>
      </w:hyperlink>
      <w:r w:rsidDel="00000000" w:rsidR="00000000" w:rsidRPr="00000000">
        <w:rPr>
          <w:rFonts w:ascii="Times New Roman" w:cs="Times New Roman" w:eastAsia="Times New Roman" w:hAnsi="Times New Roman"/>
          <w:i w:val="1"/>
          <w:sz w:val="20"/>
          <w:szCs w:val="20"/>
          <w:rtl w:val="0"/>
        </w:rPr>
        <w:t xml:space="preserve"> </w:t>
      </w:r>
    </w:p>
    <w:p w:rsidR="00000000" w:rsidDel="00000000" w:rsidP="00000000" w:rsidRDefault="00000000" w:rsidRPr="00000000" w14:paraId="00000011">
      <w:pPr>
        <w:spacing w:after="0" w:before="120"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Índice</w:t>
      </w:r>
    </w:p>
    <w:sdt>
      <w:sdtPr>
        <w:id w:val="149670353"/>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2zh5ohir17id">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w:t>
              <w:tab/>
              <w:t xml:space="preserve">Introducción y presentación</w:t>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gfr4r73it8fw">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tab/>
              <w:t xml:space="preserve">El derecho a la salud de las personas LGBTIQ+ en Colombia</w:t>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8828"/>
            </w:tabs>
            <w:spacing w:after="0" w:before="120" w:line="259" w:lineRule="auto"/>
            <w:ind w:left="2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iuwodlxbo0t">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2.1.</w:t>
              <w:tab/>
              <w:t xml:space="preserve">Panorama de las prácticas de conversión en Colombia y sus efectos sobre la salud</w:t>
              <w:tab/>
              <w:t xml:space="preserve">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8828"/>
            </w:tabs>
            <w:spacing w:after="0" w:before="120" w:line="259" w:lineRule="auto"/>
            <w:ind w:left="2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gcrk87rdt0lb">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2.2.</w:t>
              <w:tab/>
              <w:t xml:space="preserve">Barreras para el pleno goce del derecho a la salud de las personas trans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8828"/>
            </w:tabs>
            <w:spacing w:after="0" w:before="120" w:line="259" w:lineRule="auto"/>
            <w:ind w:left="2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ufbbpkj3adau">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2.3.</w:t>
              <w:tab/>
              <w:t xml:space="preserve">Barreras específicas de las personas LBTIQ+ que viven con VIH</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8828"/>
            </w:tabs>
            <w:spacing w:after="0" w:before="120" w:line="259" w:lineRule="auto"/>
            <w:ind w:left="2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53cv0c8l0fld">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w:t>
              <w:tab/>
            </w:r>
          </w:hyperlink>
          <w:r w:rsidDel="00000000" w:rsidR="00000000" w:rsidRPr="00000000">
            <w:fldChar w:fldCharType="begin"/>
            <w:instrText xml:space="preserve"> PAGEREF _heading=h.53cv0c8l0fld \h </w:instrText>
            <w:fldChar w:fldCharType="separate"/>
          </w:r>
          <w:r w:rsidDel="00000000" w:rsidR="00000000" w:rsidRPr="00000000">
            <w:rPr>
              <w:rFonts w:ascii="Times New Roman" w:cs="Times New Roman" w:eastAsia="Times New Roman" w:hAnsi="Times New Roman"/>
              <w:sz w:val="20"/>
              <w:szCs w:val="20"/>
              <w:rtl w:val="0"/>
            </w:rPr>
            <w:t xml:space="preserve">Barreras interseccionales al acceso a la salud para mujeres indígenas trans Embera: el caso de Mariposas del Café en Santuario, Risaralda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jryrs7ig6gw">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w:t>
              <w:tab/>
              <w:t xml:space="preserve">Derecho a la identidad de género en clave de documentos de identidad y sus efectos sobre los derechos sociales, económicos y culturales</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u436zbj1s94h">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w:t>
              <w:tab/>
              <w:t xml:space="preserve">Barreras para el pleno goce del derecho a la seguridad social de las personas trans y no binarias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n1psbbhwj3m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w:t>
              <w:tab/>
              <w:t xml:space="preserve">Derecho a la educación de las personas trans y no binarias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yb5x34ialo0s">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w:t>
              <w:tab/>
              <w:t xml:space="preserve">El derecho al trabajo de las personas trans y no binarias en Colombia</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qbfa7rakr3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w:t>
              <w:tab/>
              <w:t xml:space="preserve">Vulneraciones a derechos humanos de las personas LGBTIQ+ migrantes y refugiadas en Colombia</w:t>
              <w:tab/>
              <w:t xml:space="preserve">12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828"/>
            </w:tabs>
            <w:spacing w:after="0" w:before="12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blfv0mmywlqi">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w:t>
              <w:tab/>
              <w:t xml:space="preserve"> Recomendaciones</w:t>
              <w:tab/>
              <w:t xml:space="preserve">15</w:t>
            </w:r>
          </w:hyperlink>
          <w:r w:rsidDel="00000000" w:rsidR="00000000" w:rsidRPr="00000000">
            <w:rPr>
              <w:rtl w:val="0"/>
            </w:rPr>
          </w:r>
        </w:p>
        <w:p w:rsidR="00000000" w:rsidDel="00000000" w:rsidP="00000000" w:rsidRDefault="00000000" w:rsidRPr="00000000" w14:paraId="0000001F">
          <w:pPr>
            <w:spacing w:after="0" w:before="120" w:lineRule="auto"/>
            <w:jc w:val="both"/>
            <w:rPr>
              <w:rFonts w:ascii="Times New Roman" w:cs="Times New Roman" w:eastAsia="Times New Roman" w:hAnsi="Times New Roman"/>
              <w:sz w:val="20"/>
              <w:szCs w:val="2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2zh5ohir17id" w:id="1"/>
      <w:bookmarkEnd w:id="1"/>
      <w:r w:rsidDel="00000000" w:rsidR="00000000" w:rsidRPr="00000000">
        <w:rPr>
          <w:rFonts w:ascii="Times New Roman" w:cs="Times New Roman" w:eastAsia="Times New Roman" w:hAnsi="Times New Roman"/>
          <w:b w:val="1"/>
          <w:color w:val="000000"/>
          <w:sz w:val="20"/>
          <w:szCs w:val="20"/>
          <w:rtl w:val="0"/>
        </w:rPr>
        <w:t xml:space="preserve">Introducción y presentación </w:t>
      </w:r>
    </w:p>
    <w:p w:rsidR="00000000" w:rsidDel="00000000" w:rsidP="00000000" w:rsidRDefault="00000000" w:rsidRPr="00000000" w14:paraId="00000021">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La Fundación Grupo de Acción y Apoyo a personas Trans (Fundación GAAT) es una organización no gubernamental que trabaja en favor de los derechos de personas trans y no binarias y otras personas LGBIQ+ en Colombia. El área de incidencia y litigio estratégico de la Fundación GAAT busca la promoción y garantía de los derechos de las personas trans y no binarias en Colombia, nacionales y migrantes, a través de acciones de incidencia, de litigio estratégico y de movilización social. </w:t>
      </w:r>
    </w:p>
    <w:p w:rsidR="00000000" w:rsidDel="00000000" w:rsidP="00000000" w:rsidRDefault="00000000" w:rsidRPr="00000000" w14:paraId="00000022">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El presente informe presenta un panorama general respecto al respeto y garantía de los derechos sociales, económicos y culturales de las personas LGBTIQ+ en Colombia, específicamente de los derechos a la salud, a la educación, al trabajo y a la seguridad social. Ello se efectúa a partir de la experiencia concreta del área de incidencia y litigio de la Fundación GAAT realizando campañas de incidencia, litigios estratégicos, asistencia legal y psicosocial, así como procesos de investigación y formación. </w:t>
      </w:r>
    </w:p>
    <w:p w:rsidR="00000000" w:rsidDel="00000000" w:rsidP="00000000" w:rsidRDefault="00000000" w:rsidRPr="00000000" w14:paraId="00000023">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gfr4r73it8fw" w:id="2"/>
      <w:bookmarkEnd w:id="2"/>
      <w:r w:rsidDel="00000000" w:rsidR="00000000" w:rsidRPr="00000000">
        <w:rPr>
          <w:rFonts w:ascii="Times New Roman" w:cs="Times New Roman" w:eastAsia="Times New Roman" w:hAnsi="Times New Roman"/>
          <w:b w:val="1"/>
          <w:color w:val="000000"/>
          <w:sz w:val="20"/>
          <w:szCs w:val="20"/>
          <w:rtl w:val="0"/>
        </w:rPr>
        <w:t xml:space="preserve">El derecho a la salud de las personas LGBTIQ+ en Colombia</w:t>
      </w:r>
    </w:p>
    <w:p w:rsidR="00000000" w:rsidDel="00000000" w:rsidP="00000000" w:rsidRDefault="00000000" w:rsidRPr="00000000" w14:paraId="00000024">
      <w:pPr>
        <w:pStyle w:val="Heading2"/>
        <w:numPr>
          <w:ilvl w:val="1"/>
          <w:numId w:val="1"/>
        </w:numPr>
        <w:spacing w:before="120" w:line="276" w:lineRule="auto"/>
        <w:ind w:left="792" w:hanging="432"/>
        <w:jc w:val="both"/>
        <w:rPr>
          <w:rFonts w:ascii="Times New Roman" w:cs="Times New Roman" w:eastAsia="Times New Roman" w:hAnsi="Times New Roman"/>
          <w:b w:val="1"/>
          <w:color w:val="000000"/>
          <w:sz w:val="20"/>
          <w:szCs w:val="20"/>
        </w:rPr>
      </w:pPr>
      <w:bookmarkStart w:colFirst="0" w:colLast="0" w:name="_heading=h.iuwodlxbo0t" w:id="3"/>
      <w:bookmarkEnd w:id="3"/>
      <w:r w:rsidDel="00000000" w:rsidR="00000000" w:rsidRPr="00000000">
        <w:rPr>
          <w:rFonts w:ascii="Times New Roman" w:cs="Times New Roman" w:eastAsia="Times New Roman" w:hAnsi="Times New Roman"/>
          <w:b w:val="1"/>
          <w:color w:val="000000"/>
          <w:sz w:val="20"/>
          <w:szCs w:val="20"/>
          <w:rtl w:val="0"/>
        </w:rPr>
        <w:t xml:space="preserve">Panorama de las prácticas de conversión en Colombia y sus efectos sobre la salud</w:t>
      </w:r>
    </w:p>
    <w:p w:rsidR="00000000" w:rsidDel="00000000" w:rsidP="00000000" w:rsidRDefault="00000000" w:rsidRPr="00000000" w14:paraId="00000025">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Se entiende por “prácticas de conversión” la realización de acciones encaminadas a imponer, modificar o reprimir una determinada orientación sexual, identidad y/o expresión de género. Estas prácticas parten de la premisa de patologizar ciertas orientaciones sexuales, identidades y expresiones de género, o de considerar que algunas de ellas son menos deseables que otras</w:t>
      </w:r>
      <w:r w:rsidDel="00000000" w:rsidR="00000000" w:rsidRPr="00000000">
        <w:rPr>
          <w:rFonts w:ascii="Times New Roman" w:cs="Times New Roman" w:eastAsia="Times New Roman" w:hAnsi="Times New Roman"/>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Estas se derivan de la patologización histórica de las orientaciones sexuales e identidades de género diversas</w:t>
      </w:r>
      <w:r w:rsidDel="00000000" w:rsidR="00000000" w:rsidRPr="00000000">
        <w:rPr>
          <w:rFonts w:ascii="Times New Roman" w:cs="Times New Roman" w:eastAsia="Times New Roman" w:hAnsi="Times New Roman"/>
          <w:sz w:val="20"/>
          <w:szCs w:val="20"/>
          <w:vertAlign w:val="superscript"/>
        </w:rPr>
        <w:footnoteReference w:customMarkFollows="0" w:id="0"/>
      </w:r>
      <w:r w:rsidDel="00000000" w:rsidR="00000000" w:rsidRPr="00000000">
        <w:rPr>
          <w:rFonts w:ascii="Times New Roman" w:cs="Times New Roman" w:eastAsia="Times New Roman" w:hAnsi="Times New Roman"/>
          <w:sz w:val="20"/>
          <w:szCs w:val="20"/>
          <w:rtl w:val="0"/>
        </w:rPr>
        <w:t xml:space="preserve"> e incluyen, entre otros actos dañinos, palizas, violaciones, desnudez forzada, alimentación forzada o privación de alimentos, aislamiento y confinamiento, medicación forzada, agresiones verbales, humillaciones y electrocuciones provocando dolor y sufrimiento físicos y psicológicos</w:t>
      </w:r>
      <w:r w:rsidDel="00000000" w:rsidR="00000000" w:rsidRPr="00000000">
        <w:rPr>
          <w:rFonts w:ascii="Times New Roman" w:cs="Times New Roman" w:eastAsia="Times New Roman" w:hAnsi="Times New Roman"/>
          <w:sz w:val="20"/>
          <w:szCs w:val="20"/>
          <w:vertAlign w:val="superscript"/>
        </w:rPr>
        <w:footnoteReference w:customMarkFollows="0" w:id="1"/>
      </w:r>
      <w:r w:rsidDel="00000000" w:rsidR="00000000" w:rsidRPr="00000000">
        <w:rPr>
          <w:rFonts w:ascii="Times New Roman" w:cs="Times New Roman" w:eastAsia="Times New Roman" w:hAnsi="Times New Roman"/>
          <w:sz w:val="20"/>
          <w:szCs w:val="20"/>
          <w:rtl w:val="0"/>
        </w:rPr>
        <w:t xml:space="preserve">. Todo ello produce pérdida considerable de autoestima, ansiedad, depresión, aislamiento social, dificultades para establecer relaciones íntimas, auto-odio, vergüenza y sentimiento de culpabilidad, disfunción sexual, ideación suicida e intentos de suicidio, síntomas de trastorno por estrés postraumático y, con frecuencia, dolor y sufrimiento físicos considerables</w:t>
      </w:r>
      <w:r w:rsidDel="00000000" w:rsidR="00000000" w:rsidRPr="00000000">
        <w:rPr>
          <w:rFonts w:ascii="Times New Roman" w:cs="Times New Roman" w:eastAsia="Times New Roman" w:hAnsi="Times New Roman"/>
          <w:sz w:val="20"/>
          <w:szCs w:val="20"/>
          <w:vertAlign w:val="superscript"/>
        </w:rPr>
        <w:footnoteReference w:customMarkFollows="0" w:id="2"/>
      </w:r>
      <w:r w:rsidDel="00000000" w:rsidR="00000000" w:rsidRPr="00000000">
        <w:rPr>
          <w:rFonts w:ascii="Times New Roman" w:cs="Times New Roman" w:eastAsia="Times New Roman" w:hAnsi="Times New Roman"/>
          <w:sz w:val="20"/>
          <w:szCs w:val="20"/>
          <w:rtl w:val="0"/>
        </w:rPr>
        <w:t xml:space="preserve">. Todos estos patrones son observados en Colombia. Al respecto, el videopodcast “En primera persona”</w:t>
      </w:r>
      <w:r w:rsidDel="00000000" w:rsidR="00000000" w:rsidRPr="00000000">
        <w:rPr>
          <w:rFonts w:ascii="Times New Roman" w:cs="Times New Roman" w:eastAsia="Times New Roman" w:hAnsi="Times New Roman"/>
          <w:sz w:val="20"/>
          <w:szCs w:val="20"/>
          <w:vertAlign w:val="superscript"/>
        </w:rPr>
        <w:footnoteReference w:customMarkFollows="0" w:id="3"/>
      </w:r>
      <w:r w:rsidDel="00000000" w:rsidR="00000000" w:rsidRPr="00000000">
        <w:rPr>
          <w:rFonts w:ascii="Times New Roman" w:cs="Times New Roman" w:eastAsia="Times New Roman" w:hAnsi="Times New Roman"/>
          <w:sz w:val="20"/>
          <w:szCs w:val="20"/>
          <w:rtl w:val="0"/>
        </w:rPr>
        <w:t xml:space="preserve">, donde sobrevivientes de prácticas de conversión narran sus experiencias en Colombia, permite identificar los siguientes patrones: hormonización, ayunos, autolesiones, discursos violentos donde se culpa a las madres, exorcismos o “liberaciones”, engaños, entre otros, produciendo crisis de ansiedad, ideación suicida, entre otras graves afectaciones físicas y psicológicas.</w:t>
      </w:r>
    </w:p>
    <w:p w:rsidR="00000000" w:rsidDel="00000000" w:rsidP="00000000" w:rsidRDefault="00000000" w:rsidRPr="00000000" w14:paraId="00000026">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Al respecto, la Defensoría del Pueblo</w:t>
      </w:r>
      <w:r w:rsidDel="00000000" w:rsidR="00000000" w:rsidRPr="00000000">
        <w:rPr>
          <w:rFonts w:ascii="Times New Roman" w:cs="Times New Roman" w:eastAsia="Times New Roman" w:hAnsi="Times New Roman"/>
          <w:sz w:val="20"/>
          <w:szCs w:val="20"/>
          <w:vertAlign w:val="superscript"/>
        </w:rPr>
        <w:footnoteReference w:customMarkFollows="0" w:id="4"/>
      </w:r>
      <w:r w:rsidDel="00000000" w:rsidR="00000000" w:rsidRPr="00000000">
        <w:rPr>
          <w:rFonts w:ascii="Times New Roman" w:cs="Times New Roman" w:eastAsia="Times New Roman" w:hAnsi="Times New Roman"/>
          <w:sz w:val="20"/>
          <w:szCs w:val="20"/>
          <w:rtl w:val="0"/>
        </w:rPr>
        <w:t xml:space="preserve"> ha señalado que estas prácticas son una clara expresión de discriminación y constituyen tratos crueles, inhumanos y degradantes e incluso, en algunos casos, tortura en contra de la población con orientación sexual e identidad de género diversa. Indica la entidad que, por un lado, resulta inconcebible que pase inadvertida la crueldad con la que, a diario, centros que se autodenominan “de conversión”, basados en doctrinas religiosas (los cuales, en su mayoría, son centros privados administrados por organizaciones religiosas a los cuales las familias o líderes espirituales conducen a las personas en el marco de su fe), recluyen personas de todas las edades, realizando secuestros y agresiones a través del uso de la violencia y que, por otro lado, el Estado colombiano está en mora de adoptar medidas adecuadas y efectivas tendientes a atacar la proliferación de la oferta de estos programas que conducen a situaciones de discriminación y violencia contra las personas LGBTIQ+. No obstante, no existen investigaciones en curso o finalizadas sobre ello, ni se cuenta con información disponible en portales de transparencia sobre el número de casos específicos que ha conocido la Defensoría del Pueblo.</w:t>
      </w:r>
    </w:p>
    <w:p w:rsidR="00000000" w:rsidDel="00000000" w:rsidP="00000000" w:rsidRDefault="00000000" w:rsidRPr="00000000" w14:paraId="00000027">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 Adicionalmente, el Ministerio de Igualdad y Equidad</w:t>
      </w:r>
      <w:r w:rsidDel="00000000" w:rsidR="00000000" w:rsidRPr="00000000">
        <w:rPr>
          <w:rFonts w:ascii="Times New Roman" w:cs="Times New Roman" w:eastAsia="Times New Roman" w:hAnsi="Times New Roman"/>
          <w:sz w:val="20"/>
          <w:szCs w:val="20"/>
          <w:vertAlign w:val="superscript"/>
        </w:rPr>
        <w:footnoteReference w:customMarkFollows="0" w:id="5"/>
      </w:r>
      <w:r w:rsidDel="00000000" w:rsidR="00000000" w:rsidRPr="00000000">
        <w:rPr>
          <w:rFonts w:ascii="Times New Roman" w:cs="Times New Roman" w:eastAsia="Times New Roman" w:hAnsi="Times New Roman"/>
          <w:sz w:val="20"/>
          <w:szCs w:val="20"/>
          <w:rtl w:val="0"/>
        </w:rPr>
        <w:t xml:space="preserve"> ha señalado que las regiones donde se observa una mayor realización de prácticas de conversión en el país son el Pacífico, el Caribe y la región Andina. En estos territorios se señaló la existencia de organizaciones de tipo religioso que promueven dichas dinámicas, las cuales contravienen los Derechos Humanos. Asimismo, algunas personas pertenecientes a comunidades indígenas hicieron referencia a que también son llevadas a cabo en sus comunidades prácticas de conversión. Sumado a ello, dicho Ministerio ha expresado su rechazo categórico a las prácticas de conversión, señalando que estas “en su gran mayoría representan actos de tortura o violencias por prejuicio” y se materializan en “ejercicios discriminatorios y contrarios a los derechos fundamentales como: el libre desarrollo de la personalidad, la igualdad e incluso libertad de culto, ya que buscan coartar la orientación sexual o identidad de género de las personas y limitar su derecho a la autodeterminación”. Sin embargo, no existen pronunciamientos de otras instituciones estatales sobre esto, no se han realizado investigaciones penales, administrativas ni de otra índole, no existen políticas públicas u órdenes institucionales para su prevención, atención e investigación, de allí que se observe impunidad frente a la ocurrencia de estas prácticas de conversión.</w:t>
      </w:r>
      <w:r w:rsidDel="00000000" w:rsidR="00000000" w:rsidRPr="00000000">
        <w:rPr>
          <w:rtl w:val="0"/>
        </w:rPr>
      </w:r>
    </w:p>
    <w:p w:rsidR="00000000" w:rsidDel="00000000" w:rsidP="00000000" w:rsidRDefault="00000000" w:rsidRPr="00000000" w14:paraId="00000028">
      <w:pPr>
        <w:pStyle w:val="Heading2"/>
        <w:numPr>
          <w:ilvl w:val="1"/>
          <w:numId w:val="1"/>
        </w:numPr>
        <w:spacing w:before="120" w:line="276" w:lineRule="auto"/>
        <w:ind w:left="792" w:hanging="432"/>
        <w:jc w:val="both"/>
        <w:rPr>
          <w:rFonts w:ascii="Times New Roman" w:cs="Times New Roman" w:eastAsia="Times New Roman" w:hAnsi="Times New Roman"/>
          <w:b w:val="1"/>
          <w:color w:val="000000"/>
          <w:sz w:val="20"/>
          <w:szCs w:val="20"/>
        </w:rPr>
      </w:pPr>
      <w:bookmarkStart w:colFirst="0" w:colLast="0" w:name="_heading=h.gcrk87rdt0lb" w:id="4"/>
      <w:bookmarkEnd w:id="4"/>
      <w:r w:rsidDel="00000000" w:rsidR="00000000" w:rsidRPr="00000000">
        <w:rPr>
          <w:rFonts w:ascii="Times New Roman" w:cs="Times New Roman" w:eastAsia="Times New Roman" w:hAnsi="Times New Roman"/>
          <w:b w:val="1"/>
          <w:color w:val="000000"/>
          <w:sz w:val="20"/>
          <w:szCs w:val="20"/>
          <w:rtl w:val="0"/>
        </w:rPr>
        <w:t xml:space="preserve">Barreras para el pleno goce del derecho a la salud de las personas trans</w:t>
      </w:r>
    </w:p>
    <w:p w:rsidR="00000000" w:rsidDel="00000000" w:rsidP="00000000" w:rsidRDefault="00000000" w:rsidRPr="00000000" w14:paraId="00000029">
      <w:pPr>
        <w:spacing w:after="0" w:before="120" w:line="276" w:lineRule="auto"/>
        <w:jc w:val="both"/>
        <w:rPr>
          <w:rFonts w:ascii="Times New Roman" w:cs="Times New Roman" w:eastAsia="Times New Roman" w:hAnsi="Times New Roman"/>
          <w:sz w:val="20"/>
          <w:szCs w:val="20"/>
        </w:rPr>
      </w:pPr>
      <w:bookmarkStart w:colFirst="0" w:colLast="0" w:name="_heading=h.j8rjam7hrrz0" w:id="5"/>
      <w:bookmarkEnd w:id="5"/>
      <w:r w:rsidDel="00000000" w:rsidR="00000000" w:rsidRPr="00000000">
        <w:rPr>
          <w:rFonts w:ascii="Times New Roman" w:cs="Times New Roman" w:eastAsia="Times New Roman" w:hAnsi="Times New Roman"/>
          <w:sz w:val="20"/>
          <w:szCs w:val="20"/>
          <w:rtl w:val="0"/>
        </w:rPr>
        <w:t xml:space="preserve">6. Desde el área de Incidencia política y Litigio Estratégico de la Fundación GAAT se han venido acompañando casos de personas trans que experimentan barreras para acceder a tratamientos de afirmación de género. Algunas de las barreras que han sido identificadas a partir de estos casos son: Primero, la negación o retraso de citas con especialistas, la negación o retraso de procedimientos ordenados por especialistas y las demoras excesivas para citas con especialistas o para la realización de determinadas cirugías. Al respecto, se observa frecuentemente que las personas trans solicitan el inicio de las rutas de atención en salud de afirmación de género, pero profesionales de medicina general niegan estas solicitudes o retrasan la expedición de órdenes con especialistas de dicha ruta como psiquiatría y endocrinología. </w:t>
      </w:r>
    </w:p>
    <w:p w:rsidR="00000000" w:rsidDel="00000000" w:rsidP="00000000" w:rsidRDefault="00000000" w:rsidRPr="00000000" w14:paraId="0000002A">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 También, se han identificado casos de personas que ya cuentan con citas con especialistas, quienes retrasan la continuidad de la ruta y la realización de procedimientos como la orden de medicamentos hormonales y las órdenes de cirugías de afirmación de género. En este marco, hemos conocido testimonios de personas que narran cómo profesionales de psiquiatría realizan preguntas invasivas y parten de miradas binarias basadas en estereotipos sobre el género y la sexualidad generando retrasos en los procedimientos hasta tanto no se “aseguren” de que la persona está supuestamente plenamente convencida de su experiencia de vida trans. Además, se han identificado casos en los cuales las Entidades Promotoras de Salud (EPS) quienes se encargan de los trámites administrativos para el cumplimiento de servicios de salud, retrasan también las órdenes con especialistas generando sensación de incertidumbre y frustración. </w:t>
      </w:r>
    </w:p>
    <w:p w:rsidR="00000000" w:rsidDel="00000000" w:rsidP="00000000" w:rsidRDefault="00000000" w:rsidRPr="00000000" w14:paraId="0000002B">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 Asimismo, se han conocido casos de personas que cuentan con sus órdenes autorizadas por parte de especialistas para la realización de cirugías de afirmación de género, pero las EPS se niegan a autorizarlas señalando que son procedimientos cosméticos que no son cobijados por el Plan Obligatorio en Salud</w:t>
      </w:r>
      <w:r w:rsidDel="00000000" w:rsidR="00000000" w:rsidRPr="00000000">
        <w:rPr>
          <w:rFonts w:ascii="Times New Roman" w:cs="Times New Roman" w:eastAsia="Times New Roman" w:hAnsi="Times New Roman"/>
          <w:sz w:val="20"/>
          <w:szCs w:val="20"/>
          <w:vertAlign w:val="superscript"/>
        </w:rPr>
        <w:footnoteReference w:customMarkFollows="0" w:id="6"/>
      </w:r>
      <w:r w:rsidDel="00000000" w:rsidR="00000000" w:rsidRPr="00000000">
        <w:rPr>
          <w:rFonts w:ascii="Times New Roman" w:cs="Times New Roman" w:eastAsia="Times New Roman" w:hAnsi="Times New Roman"/>
          <w:sz w:val="20"/>
          <w:szCs w:val="20"/>
          <w:rtl w:val="0"/>
        </w:rPr>
        <w:t xml:space="preserve"> (POS), es decir, que no son procedimientos gratuitos que brinda el sistema de salud. Ello resulta contrario a lo establecido ampliamente por la jurisprudencia de la Corte Constitucional colombiana la cual ha señalado en sentencias como la T-421 de 2020 y la T-218 de 2022 que las cirugías de afirmación de género son indispensables para la garantía del derecho a la identidad de género y del derecho a la salud de las personas trans, que son esenciales para sus proyectos de vida y para vivir en condiciones dignas por lo que no son cosméticas y deben ser cobijadas por el POS. </w:t>
      </w:r>
    </w:p>
    <w:p w:rsidR="00000000" w:rsidDel="00000000" w:rsidP="00000000" w:rsidRDefault="00000000" w:rsidRPr="00000000" w14:paraId="0000002C">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 Segundo, la no entrega de hormonas en el marco de las terapias de reemplazo hormonal de manera oportuna. Al respecto, hemos conocido numerosos casos de personas que cuentan con las órdenes y autorizaciones de entrega de hormonas, pero que al acudir a la farmacia dispuesta por la EPS se les señala que dichos medicamentos se encuentran agotados y que deben regresar en otra oportunidad, pero al regresar dichas órdenes y autorizaciones se encuentran vencidas, por lo que ya no pueden entregarle dichos medicamentos. </w:t>
      </w:r>
      <w:r w:rsidDel="00000000" w:rsidR="00000000" w:rsidRPr="00000000">
        <w:rPr>
          <w:rFonts w:ascii="Times New Roman" w:cs="Times New Roman" w:eastAsia="Times New Roman" w:hAnsi="Times New Roman"/>
          <w:sz w:val="20"/>
          <w:szCs w:val="20"/>
          <w:rtl w:val="0"/>
        </w:rPr>
        <w:t xml:space="preserve">Esto genera que las personas, que tienen la posibilidad económica para ello, tengan que pagar por su propia cuenta los medicamentos que deberían ser cobijados de manera gratuita por el sistema de salud colombiano</w:t>
      </w:r>
      <w:r w:rsidDel="00000000" w:rsidR="00000000" w:rsidRPr="00000000">
        <w:rPr>
          <w:rFonts w:ascii="Times New Roman" w:cs="Times New Roman" w:eastAsia="Times New Roman" w:hAnsi="Times New Roman"/>
          <w:sz w:val="20"/>
          <w:szCs w:val="20"/>
          <w:rtl w:val="0"/>
        </w:rPr>
        <w:t xml:space="preserve">, comprando los medicamentos de venta pública en farmacias y que, aquellas que no cuentan con recursos deban suspender su tratamiento lo cual trae implicaciones graves en su salud mental y física. </w:t>
      </w:r>
    </w:p>
    <w:p w:rsidR="00000000" w:rsidDel="00000000" w:rsidP="00000000" w:rsidRDefault="00000000" w:rsidRPr="00000000" w14:paraId="0000002D">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Y, tercero, las miradas binarias de los tránsitos que generan barreras para personas no binarias. Al respecto, personas con identidad de género no binarias han señalado que al iniciar la ruta de afirmación de género en sus respectivas EPS se han enfrentado a que los especialistas les nieguen los procedimientos en tanto no encajan en un modelo específico y binario de masculinidad y feminidad impidiéndoles continuar la ruta. Esto genera que muchas veces las personas no binarias sientan la necesidad de mentir y acudir a los especialistas señalando que se sienten plenamente hombre o plenamente mujeres en aras de poder recibir medicamentos hormonales o cirugías de afirmación de género. Adicionalmente, una persona asignada al nacer femenina cuya identidad de género es transmaculina o no binaria y que ya haya modificado su documento de identidad, no le es posible agendar citas con especialistas de ginecología porque el sistema electrónico en el que se gestionan aquellas les entiende como </w:t>
      </w:r>
      <w:r w:rsidDel="00000000" w:rsidR="00000000" w:rsidRPr="00000000">
        <w:rPr>
          <w:rFonts w:ascii="Times New Roman" w:cs="Times New Roman" w:eastAsia="Times New Roman" w:hAnsi="Times New Roman"/>
          <w:i w:val="1"/>
          <w:sz w:val="20"/>
          <w:szCs w:val="20"/>
          <w:rtl w:val="0"/>
        </w:rPr>
        <w:t xml:space="preserve">hombres</w:t>
      </w:r>
      <w:r w:rsidDel="00000000" w:rsidR="00000000" w:rsidRPr="00000000">
        <w:rPr>
          <w:rFonts w:ascii="Times New Roman" w:cs="Times New Roman" w:eastAsia="Times New Roman" w:hAnsi="Times New Roman"/>
          <w:sz w:val="20"/>
          <w:szCs w:val="20"/>
          <w:rtl w:val="0"/>
        </w:rPr>
        <w:t xml:space="preserve"> lo que conducen a la imposibilidad de tramitar un servicio que el sistema solo comprende para </w:t>
      </w:r>
      <w:r w:rsidDel="00000000" w:rsidR="00000000" w:rsidRPr="00000000">
        <w:rPr>
          <w:rFonts w:ascii="Times New Roman" w:cs="Times New Roman" w:eastAsia="Times New Roman" w:hAnsi="Times New Roman"/>
          <w:i w:val="1"/>
          <w:sz w:val="20"/>
          <w:szCs w:val="20"/>
          <w:rtl w:val="0"/>
        </w:rPr>
        <w:t xml:space="preserve">mujeres</w:t>
      </w:r>
      <w:r w:rsidDel="00000000" w:rsidR="00000000" w:rsidRPr="00000000">
        <w:rPr>
          <w:rFonts w:ascii="Times New Roman" w:cs="Times New Roman" w:eastAsia="Times New Roman" w:hAnsi="Times New Roman"/>
          <w:sz w:val="20"/>
          <w:szCs w:val="20"/>
          <w:rtl w:val="0"/>
        </w:rPr>
        <w:t xml:space="preserve">. Es decir, el sistema no se ha adaptado para comprender y proteger a las personas trans y no binarias generándoles barreras, impedimentos, frustraciones y agudizaciones de sus afecciones de salud. </w:t>
      </w:r>
    </w:p>
    <w:p w:rsidR="00000000" w:rsidDel="00000000" w:rsidP="00000000" w:rsidRDefault="00000000" w:rsidRPr="00000000" w14:paraId="0000002E">
      <w:pPr>
        <w:pStyle w:val="Heading2"/>
        <w:numPr>
          <w:ilvl w:val="1"/>
          <w:numId w:val="1"/>
        </w:numPr>
        <w:spacing w:before="120" w:line="276" w:lineRule="auto"/>
        <w:ind w:left="792" w:hanging="432"/>
        <w:jc w:val="both"/>
        <w:rPr>
          <w:rFonts w:ascii="Times New Roman" w:cs="Times New Roman" w:eastAsia="Times New Roman" w:hAnsi="Times New Roman"/>
          <w:b w:val="1"/>
          <w:color w:val="000000"/>
          <w:sz w:val="20"/>
          <w:szCs w:val="20"/>
        </w:rPr>
      </w:pPr>
      <w:bookmarkStart w:colFirst="0" w:colLast="0" w:name="_heading=h.ufbbpkj3adau" w:id="6"/>
      <w:bookmarkEnd w:id="6"/>
      <w:r w:rsidDel="00000000" w:rsidR="00000000" w:rsidRPr="00000000">
        <w:rPr>
          <w:rFonts w:ascii="Times New Roman" w:cs="Times New Roman" w:eastAsia="Times New Roman" w:hAnsi="Times New Roman"/>
          <w:b w:val="1"/>
          <w:color w:val="000000"/>
          <w:sz w:val="20"/>
          <w:szCs w:val="20"/>
          <w:rtl w:val="0"/>
        </w:rPr>
        <w:t xml:space="preserve">Barreras específicas de las personas LBTIQ+ que viven con VIH</w:t>
      </w:r>
    </w:p>
    <w:p w:rsidR="00000000" w:rsidDel="00000000" w:rsidP="00000000" w:rsidRDefault="00000000" w:rsidRPr="00000000" w14:paraId="0000002F">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 En el 2025 la Fundación GAAT publicó el informe titulado “</w:t>
      </w:r>
      <w:r w:rsidDel="00000000" w:rsidR="00000000" w:rsidRPr="00000000">
        <w:rPr>
          <w:rFonts w:ascii="Times New Roman" w:cs="Times New Roman" w:eastAsia="Times New Roman" w:hAnsi="Times New Roman"/>
          <w:i w:val="1"/>
          <w:sz w:val="20"/>
          <w:szCs w:val="20"/>
          <w:rtl w:val="0"/>
        </w:rPr>
        <w:t xml:space="preserve">Florecer sin miedo: Diagnóstico participativo sobre acceso a servicios de salud y aseguramiento de personas LGBTIQ+ que viven con VIH”</w:t>
      </w:r>
      <w:r w:rsidDel="00000000" w:rsidR="00000000" w:rsidRPr="00000000">
        <w:rPr>
          <w:rFonts w:ascii="Times New Roman" w:cs="Times New Roman" w:eastAsia="Times New Roman" w:hAnsi="Times New Roman"/>
          <w:sz w:val="20"/>
          <w:szCs w:val="20"/>
          <w:rtl w:val="0"/>
        </w:rPr>
        <w:t xml:space="preserve"> en el cual se presenta un panorama de la situación de las personas LGBTIQ+ que viven con VIH en Bogotá. A continuación, se destacan los principales hallazgos de dicho informe: </w:t>
      </w:r>
    </w:p>
    <w:p w:rsidR="00000000" w:rsidDel="00000000" w:rsidP="00000000" w:rsidRDefault="00000000" w:rsidRPr="00000000" w14:paraId="00000030">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 El acceso a la salud sigue estando mediado por el estigma y la discriminación: Aunque hay avances en la atención a personas que viven con VIH, persisten barreras estructurales derivadas del prejuicio social y la falta de formación del personal de salud. Algunos casos acompañados por la Fundación evidencian que el trato digno depende en gran medida del contexto socioeconómico, la orientación sexual, la identidad de género y, especialmente, la expresión de género de la persona, toda vez que la notoriedad de una persona como trans o LGB les expone a tratos indignos.</w:t>
      </w:r>
    </w:p>
    <w:p w:rsidR="00000000" w:rsidDel="00000000" w:rsidP="00000000" w:rsidRDefault="00000000" w:rsidRPr="00000000" w14:paraId="00000031">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 El estigma, la discriminación y el prejuicio generan desconfianza y miedo al juicio que conduce a barreras para una atención médica integral: La desconfianza hacia el sistema de salud lleva a muchas personas a omitir información relevante sobre su vida sexual, el uso de sustancias y otras prácticas. Esto no solo afecta su acceso a tratamientos adecuados, sino que también genera datos incompletos que impiden el diseño de estrategias de salud pública basadas en realidades concretas.</w:t>
      </w:r>
    </w:p>
    <w:p w:rsidR="00000000" w:rsidDel="00000000" w:rsidP="00000000" w:rsidRDefault="00000000" w:rsidRPr="00000000" w14:paraId="00000032">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 Existen vacíos en el abordaje de la salud para personas usuarias de sustancias psicoactivas (SPA) y chemsex</w:t>
      </w:r>
      <w:r w:rsidDel="00000000" w:rsidR="00000000" w:rsidRPr="00000000">
        <w:rPr>
          <w:rFonts w:ascii="Times New Roman" w:cs="Times New Roman" w:eastAsia="Times New Roman" w:hAnsi="Times New Roman"/>
          <w:sz w:val="20"/>
          <w:szCs w:val="20"/>
          <w:vertAlign w:val="superscript"/>
        </w:rPr>
        <w:footnoteReference w:customMarkFollows="0" w:id="7"/>
      </w:r>
      <w:r w:rsidDel="00000000" w:rsidR="00000000" w:rsidRPr="00000000">
        <w:rPr>
          <w:rFonts w:ascii="Times New Roman" w:cs="Times New Roman" w:eastAsia="Times New Roman" w:hAnsi="Times New Roman"/>
          <w:sz w:val="20"/>
          <w:szCs w:val="20"/>
          <w:rtl w:val="0"/>
        </w:rPr>
        <w:t xml:space="preserve">: no hay programas de salud específicos que atiendan a personas que son usuarias de sustancia psicoactivas, por ejemplo, para identificar posibles interacciones entre los medicamentos antirretrovirales y dichas sustancias. Tampoco programas que se enfoquen en personas practican el uso sexualizado de sustancias a pesar de que esta población enfrenta riesgos particulares en términos de salud sexual y adherencia a tratamientos.</w:t>
      </w:r>
    </w:p>
    <w:p w:rsidR="00000000" w:rsidDel="00000000" w:rsidP="00000000" w:rsidRDefault="00000000" w:rsidRPr="00000000" w14:paraId="00000033">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 El sistema de salud sigue operando con un enfoque moralista: Las estrategias de prevención continúan enfocándose en el uso de preservativos como única herramienta, ignorando los cambios en los comportamientos sexuales y la necesidad de enfoques más realistas, como el acceso a PrEP, la reducción de daños y el fortalecimiento de la salud mental.</w:t>
      </w:r>
    </w:p>
    <w:p w:rsidR="00000000" w:rsidDel="00000000" w:rsidP="00000000" w:rsidRDefault="00000000" w:rsidRPr="00000000" w14:paraId="00000034">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 El respeto a la privacidad y la identidad sigue siendo una deuda pendiente: La falta de confidencialidad en los centros de salud, la exposición innecesaria de nombres legales en personas trans y la normalización del uso de estereotipos en la atención médica refuerzan la discriminación y el miedo a acudir a los servicios de salud.</w:t>
      </w:r>
    </w:p>
    <w:p w:rsidR="00000000" w:rsidDel="00000000" w:rsidP="00000000" w:rsidRDefault="00000000" w:rsidRPr="00000000" w14:paraId="00000035">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 Los trámites burocráticos siguen siendo una barrera en el acceso a tratamientos: Los procesos administrativos, la centralización de centros de atención y la falta de una ruta clara para poblaciones vulnerables limitan el acceso a tratamientos médicos oportunos, especialmente para personas en condiciones de movilidad o en situaciones de vulnerabilidad económica.</w:t>
      </w:r>
    </w:p>
    <w:p w:rsidR="00000000" w:rsidDel="00000000" w:rsidP="00000000" w:rsidRDefault="00000000" w:rsidRPr="00000000" w14:paraId="00000036">
      <w:pPr>
        <w:pStyle w:val="Heading2"/>
        <w:numPr>
          <w:ilvl w:val="1"/>
          <w:numId w:val="1"/>
        </w:numPr>
        <w:spacing w:before="120" w:line="276" w:lineRule="auto"/>
        <w:ind w:left="792" w:hanging="432"/>
        <w:jc w:val="both"/>
        <w:rPr>
          <w:rFonts w:ascii="Times New Roman" w:cs="Times New Roman" w:eastAsia="Times New Roman" w:hAnsi="Times New Roman"/>
          <w:b w:val="1"/>
          <w:color w:val="000000"/>
          <w:sz w:val="20"/>
          <w:szCs w:val="20"/>
        </w:rPr>
      </w:pPr>
      <w:bookmarkStart w:colFirst="0" w:colLast="0" w:name="_heading=h.53cv0c8l0fld" w:id="7"/>
      <w:bookmarkEnd w:id="7"/>
      <w:r w:rsidDel="00000000" w:rsidR="00000000" w:rsidRPr="00000000">
        <w:rPr>
          <w:rFonts w:ascii="Times New Roman" w:cs="Times New Roman" w:eastAsia="Times New Roman" w:hAnsi="Times New Roman"/>
          <w:b w:val="1"/>
          <w:color w:val="000000"/>
          <w:sz w:val="20"/>
          <w:szCs w:val="20"/>
          <w:rtl w:val="0"/>
        </w:rPr>
        <w:t xml:space="preserve">Barreras interseccionales al acceso a la salud para mujeres indígenas trans Embera: el caso de Mariposas del Café en Santuario, Risaralda</w:t>
      </w:r>
    </w:p>
    <w:p w:rsidR="00000000" w:rsidDel="00000000" w:rsidP="00000000" w:rsidRDefault="00000000" w:rsidRPr="00000000" w14:paraId="00000037">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 En Colombia, la Constitución Política de 1991 reconoce los derechos individuales y colectivos de los pueblos indígenas, incluyendo su autonomía en ámbitos fundamentales como la justicia, la educación, la cultura y la salud. Sin embargo, en la práctica persisten barreras estructurales que limitan el ejercicio efectivo de estos derechos por parte de comunidades con identidades múltiples y no hegemónicas, como es el caso de las mujeres indígenas trans Embera de la comunidad Mariposas del Café</w:t>
      </w:r>
      <w:r w:rsidDel="00000000" w:rsidR="00000000" w:rsidRPr="00000000">
        <w:rPr>
          <w:rFonts w:ascii="Times New Roman" w:cs="Times New Roman" w:eastAsia="Times New Roman" w:hAnsi="Times New Roman"/>
          <w:sz w:val="20"/>
          <w:szCs w:val="20"/>
          <w:vertAlign w:val="superscript"/>
        </w:rPr>
        <w:footnoteReference w:customMarkFollows="0" w:id="8"/>
      </w:r>
      <w:r w:rsidDel="00000000" w:rsidR="00000000" w:rsidRPr="00000000">
        <w:rPr>
          <w:rFonts w:ascii="Times New Roman" w:cs="Times New Roman" w:eastAsia="Times New Roman" w:hAnsi="Times New Roman"/>
          <w:sz w:val="20"/>
          <w:szCs w:val="20"/>
          <w:rtl w:val="0"/>
        </w:rPr>
        <w:t xml:space="preserve">, ubicada en el municipio de Santuario, departamento de Risaralda.</w:t>
      </w:r>
    </w:p>
    <w:p w:rsidR="00000000" w:rsidDel="00000000" w:rsidP="00000000" w:rsidRDefault="00000000" w:rsidRPr="00000000" w14:paraId="00000038">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 Aunque esta comunidad se autodefine y organiza políticamente, la falta de reconocimiento jurídico por parte del Ministerio del Interior ha tenido implicaciones negativas en la garantía de sus derechos culturales, especialmente en el ámbito de la salud. Muchas de las mujeres que integran esta comunidad han sido víctimas de desplazamiento forzado y se encuentran en situación de movilidad sin contar con documentación que respalde su identidad y facilite su acceso a servicios básicos. Incluso cuando disponen de documentos de identidad, con frecuencia estos no reflejan sus nombres identitarios, lo cual genera inconsistencias administrativas y barreras adicionales.</w:t>
      </w:r>
    </w:p>
    <w:p w:rsidR="00000000" w:rsidDel="00000000" w:rsidP="00000000" w:rsidRDefault="00000000" w:rsidRPr="00000000" w14:paraId="00000039">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El acceso a servicios de salud para las mujeres indígenas trans Embera se ve obstaculizado por prácticas institucionales marcadas por el prejuicio, la estigmatización y el desconocimiento tanto de las identidades trans como de las particularidades culturales de los pueblos indígenas. Esta falta de comprensión interseccional impide la implementación de modelos de atención intercultural con enfoque diferencial, lo que deriva en servicios que no consideran las dinámicas propias del proceso salud-enfermedad en contextos indígenas, y que tienden a responsabilizar a las pacientes por su falta de “voluntad” o “adhesión” sin atender las barreras estructurales y simbólicas que enfrentan, como la estigmatización de sus prácticas tradicionales, la desconfianza a las instituciones de salud y la falta de personal capacitado en su lengua o cultura. </w:t>
      </w:r>
    </w:p>
    <w:p w:rsidR="00000000" w:rsidDel="00000000" w:rsidP="00000000" w:rsidRDefault="00000000" w:rsidRPr="00000000" w14:paraId="0000003A">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 En casos específicos como el diagnóstico de VIH, no se desarrollan estrategias integrales que aseguren la adherencia al tratamiento ni acciones efectivas de prevención de infecciones de transmisión sexual (ITS), desatendiendo los componentes culturales, sociales y cosmogónicos de la comunidad. La atención sanitaria se centra, en gran medida, en el diagnóstico de ITS, sin un acompañamiento sostenido en los procesos terapéuticos ni en la promoción de la salud y la prevención de nuevas infecciones.</w:t>
      </w:r>
    </w:p>
    <w:p w:rsidR="00000000" w:rsidDel="00000000" w:rsidP="00000000" w:rsidRDefault="00000000" w:rsidRPr="00000000" w14:paraId="0000003B">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 Ante estas limitaciones, muchas mujeres indígenas trans optan por recurrir a médicos tradicionales</w:t>
      </w:r>
      <w:r w:rsidDel="00000000" w:rsidR="00000000" w:rsidRPr="00000000">
        <w:rPr>
          <w:rFonts w:ascii="Times New Roman" w:cs="Times New Roman" w:eastAsia="Times New Roman" w:hAnsi="Times New Roman"/>
          <w:sz w:val="20"/>
          <w:szCs w:val="20"/>
          <w:vertAlign w:val="superscript"/>
        </w:rPr>
        <w:footnoteReference w:customMarkFollows="0" w:id="9"/>
      </w:r>
      <w:r w:rsidDel="00000000" w:rsidR="00000000" w:rsidRPr="00000000">
        <w:rPr>
          <w:rFonts w:ascii="Times New Roman" w:cs="Times New Roman" w:eastAsia="Times New Roman" w:hAnsi="Times New Roman"/>
          <w:sz w:val="20"/>
          <w:szCs w:val="20"/>
          <w:rtl w:val="0"/>
        </w:rPr>
        <w:t xml:space="preserve">, los cuales les cobran altas sumas por no hacer parte de resguardos</w:t>
      </w:r>
      <w:r w:rsidDel="00000000" w:rsidR="00000000" w:rsidRPr="00000000">
        <w:rPr>
          <w:rFonts w:ascii="Times New Roman" w:cs="Times New Roman" w:eastAsia="Times New Roman" w:hAnsi="Times New Roman"/>
          <w:sz w:val="20"/>
          <w:szCs w:val="20"/>
          <w:vertAlign w:val="superscript"/>
        </w:rPr>
        <w:footnoteReference w:customMarkFollows="0" w:id="10"/>
      </w:r>
      <w:r w:rsidDel="00000000" w:rsidR="00000000" w:rsidRPr="00000000">
        <w:rPr>
          <w:rFonts w:ascii="Times New Roman" w:cs="Times New Roman" w:eastAsia="Times New Roman" w:hAnsi="Times New Roman"/>
          <w:sz w:val="20"/>
          <w:szCs w:val="20"/>
          <w:rtl w:val="0"/>
        </w:rPr>
        <w:t xml:space="preserve">, lo que implica </w:t>
      </w:r>
      <w:r w:rsidDel="00000000" w:rsidR="00000000" w:rsidRPr="00000000">
        <w:rPr>
          <w:rFonts w:ascii="Times New Roman" w:cs="Times New Roman" w:eastAsia="Times New Roman" w:hAnsi="Times New Roman"/>
          <w:sz w:val="20"/>
          <w:szCs w:val="20"/>
          <w:rtl w:val="0"/>
        </w:rPr>
        <w:t xml:space="preserve">asumir altos costos económicos sin que ello garantice necesariamente el acceso a tratamientos adecuados para sus condiciones específicas de salud.</w:t>
      </w:r>
      <w:r w:rsidDel="00000000" w:rsidR="00000000" w:rsidRPr="00000000">
        <w:rPr>
          <w:rFonts w:ascii="Times New Roman" w:cs="Times New Roman" w:eastAsia="Times New Roman" w:hAnsi="Times New Roman"/>
          <w:sz w:val="20"/>
          <w:szCs w:val="20"/>
          <w:rtl w:val="0"/>
        </w:rPr>
        <w:t xml:space="preserve"> Esta situación evidencia una vulneración sistemática de su derecho fundamental a la salud, que requiere ser abordada desde un enfoque de derechos humanos, interculturalidad y justicia social.</w:t>
      </w:r>
    </w:p>
    <w:p w:rsidR="00000000" w:rsidDel="00000000" w:rsidP="00000000" w:rsidRDefault="00000000" w:rsidRPr="00000000" w14:paraId="0000003C">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jryrs7ig6gw" w:id="8"/>
      <w:bookmarkEnd w:id="8"/>
      <w:r w:rsidDel="00000000" w:rsidR="00000000" w:rsidRPr="00000000">
        <w:rPr>
          <w:rFonts w:ascii="Times New Roman" w:cs="Times New Roman" w:eastAsia="Times New Roman" w:hAnsi="Times New Roman"/>
          <w:b w:val="1"/>
          <w:color w:val="000000"/>
          <w:sz w:val="20"/>
          <w:szCs w:val="20"/>
          <w:rtl w:val="0"/>
        </w:rPr>
        <w:t xml:space="preserve">Derecho a la identidad de género en clave de documentos de identidad y sus efectos sobre los derechos sociales, económicos y culturales </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2</w:t>
      </w:r>
      <w:r w:rsidDel="00000000" w:rsidR="00000000" w:rsidRPr="00000000">
        <w:rPr>
          <w:rFonts w:ascii="Times New Roman" w:cs="Times New Roman" w:eastAsia="Times New Roman" w:hAnsi="Times New Roman"/>
          <w:sz w:val="20"/>
          <w:szCs w:val="20"/>
          <w:rtl w:val="0"/>
        </w:rPr>
        <w:t xml:space="preserve">3</w:t>
      </w:r>
      <w:r w:rsidDel="00000000" w:rsidR="00000000" w:rsidRPr="00000000">
        <w:rPr>
          <w:rFonts w:ascii="Times New Roman" w:cs="Times New Roman" w:eastAsia="Times New Roman" w:hAnsi="Times New Roman"/>
          <w:color w:val="000000"/>
          <w:sz w:val="20"/>
          <w:szCs w:val="20"/>
          <w:rtl w:val="0"/>
        </w:rPr>
        <w:t xml:space="preserve">. El derecho a la identidad de género implica la obligación estatal de adoptar mecanismos para que las personas trans y no binarias puedan modificar sus documentos de identidad en aras de que estos reflejen y respeten aquella. Aunque existen mecanismos legales para ajustar nombre y marcador de sexo en la cédula de identidad (Decreto 1227 de 2015, Sentencias T-63 de 2015 y T-033 de 2022), en la práctica este derecho está condicionado por la voluntad de los funcionarios de las notarías </w:t>
      </w:r>
      <w:r w:rsidDel="00000000" w:rsidR="00000000" w:rsidRPr="00000000">
        <w:rPr>
          <w:rFonts w:ascii="Times New Roman" w:cs="Times New Roman" w:eastAsia="Times New Roman" w:hAnsi="Times New Roman"/>
          <w:sz w:val="20"/>
          <w:szCs w:val="20"/>
          <w:rtl w:val="0"/>
        </w:rPr>
        <w:t xml:space="preserve">(entidad ante la que se deben efectuar estos procedimientos)</w:t>
      </w:r>
      <w:r w:rsidDel="00000000" w:rsidR="00000000" w:rsidRPr="00000000">
        <w:rPr>
          <w:rFonts w:ascii="Times New Roman" w:cs="Times New Roman" w:eastAsia="Times New Roman" w:hAnsi="Times New Roman"/>
          <w:color w:val="000000"/>
          <w:sz w:val="20"/>
          <w:szCs w:val="20"/>
          <w:rtl w:val="0"/>
        </w:rPr>
        <w:t xml:space="preserve">, toda vez que la voluntad de l</w:t>
      </w:r>
      <w:r w:rsidDel="00000000" w:rsidR="00000000" w:rsidRPr="00000000">
        <w:rPr>
          <w:rFonts w:ascii="Times New Roman" w:cs="Times New Roman" w:eastAsia="Times New Roman" w:hAnsi="Times New Roman"/>
          <w:sz w:val="20"/>
          <w:szCs w:val="20"/>
          <w:rtl w:val="0"/>
        </w:rPr>
        <w:t xml:space="preserve">os notarios puede verse afectada por prejuicios personales, desconocimiento de la normativa vigente o interpretaciones restrictivas de la misma, lo cual se traduce en dilaciones injustificadas, exigencias adicionales o, en algunos casos, negativas arbitrarias a realizar el trámite. E</w:t>
      </w:r>
      <w:r w:rsidDel="00000000" w:rsidR="00000000" w:rsidRPr="00000000">
        <w:rPr>
          <w:rFonts w:ascii="Times New Roman" w:cs="Times New Roman" w:eastAsia="Times New Roman" w:hAnsi="Times New Roman"/>
          <w:sz w:val="20"/>
          <w:szCs w:val="20"/>
          <w:rtl w:val="0"/>
        </w:rPr>
        <w:t xml:space="preserve">ste derecho también se encuentra limitado por la</w:t>
      </w:r>
      <w:r w:rsidDel="00000000" w:rsidR="00000000" w:rsidRPr="00000000">
        <w:rPr>
          <w:rFonts w:ascii="Times New Roman" w:cs="Times New Roman" w:eastAsia="Times New Roman" w:hAnsi="Times New Roman"/>
          <w:color w:val="000000"/>
          <w:sz w:val="20"/>
          <w:szCs w:val="20"/>
          <w:rtl w:val="0"/>
        </w:rPr>
        <w:t xml:space="preserve"> capacidad adquisitiva con la que cuenta la persona (estos trámites son onerosos)</w:t>
      </w:r>
      <w:r w:rsidDel="00000000" w:rsidR="00000000" w:rsidRPr="00000000">
        <w:rPr>
          <w:rFonts w:ascii="Times New Roman" w:cs="Times New Roman" w:eastAsia="Times New Roman" w:hAnsi="Times New Roman"/>
          <w:color w:val="000000"/>
          <w:sz w:val="20"/>
          <w:szCs w:val="20"/>
          <w:rtl w:val="0"/>
        </w:rPr>
        <w:t xml:space="preserve">, lo que conduce a que muchas personas trans y no binarias que se encuentran en condiciones de vulnerabilidad socio-económica, no puedan acceder a estos trámites, lo que conduce a la imposibilidad de garanti</w:t>
      </w:r>
      <w:r w:rsidDel="00000000" w:rsidR="00000000" w:rsidRPr="00000000">
        <w:rPr>
          <w:rFonts w:ascii="Times New Roman" w:cs="Times New Roman" w:eastAsia="Times New Roman" w:hAnsi="Times New Roman"/>
          <w:sz w:val="20"/>
          <w:szCs w:val="20"/>
          <w:rtl w:val="0"/>
        </w:rPr>
        <w:t xml:space="preserve">zar su derecho a la identidad de género. </w:t>
      </w:r>
      <w:r w:rsidDel="00000000" w:rsidR="00000000" w:rsidRPr="00000000">
        <w:rPr>
          <w:rFonts w:ascii="Times New Roman" w:cs="Times New Roman" w:eastAsia="Times New Roman" w:hAnsi="Times New Roman"/>
          <w:color w:val="000000"/>
          <w:sz w:val="20"/>
          <w:szCs w:val="20"/>
          <w:rtl w:val="0"/>
        </w:rPr>
        <w:t xml:space="preserve">El proceso, que debería ser un acto de afirmación y reconocimiento, termina siendo para muchas personas una experiencia burocrática desgastante o</w:t>
      </w:r>
      <w:r w:rsidDel="00000000" w:rsidR="00000000" w:rsidRPr="00000000">
        <w:rPr>
          <w:rFonts w:ascii="Times New Roman" w:cs="Times New Roman" w:eastAsia="Times New Roman" w:hAnsi="Times New Roman"/>
          <w:sz w:val="20"/>
          <w:szCs w:val="20"/>
          <w:rtl w:val="0"/>
        </w:rPr>
        <w:t xml:space="preserve">, incluso, al sometimiento a hechos de discriminación y violencia</w:t>
      </w:r>
      <w:r w:rsidDel="00000000" w:rsidR="00000000" w:rsidRPr="00000000">
        <w:rPr>
          <w:rFonts w:ascii="Times New Roman" w:cs="Times New Roman" w:eastAsia="Times New Roman" w:hAnsi="Times New Roman"/>
          <w:color w:val="000000"/>
          <w:sz w:val="20"/>
          <w:szCs w:val="20"/>
          <w:rtl w:val="0"/>
        </w:rPr>
        <w:t xml:space="preserve">. Esto conduce a que muchas personas trans y no binarias no puedan o no deseen modificar sus documentos de identidad en aras de no someterse a tratos discriminatorios y afecciones a su salud mental.</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w:t>
      </w:r>
      <w:r w:rsidDel="00000000" w:rsidR="00000000" w:rsidRPr="00000000">
        <w:rPr>
          <w:rFonts w:ascii="Times New Roman" w:cs="Times New Roman" w:eastAsia="Times New Roman" w:hAnsi="Times New Roman"/>
          <w:sz w:val="20"/>
          <w:szCs w:val="20"/>
          <w:rtl w:val="0"/>
        </w:rPr>
        <w:t xml:space="preserve">4</w:t>
      </w:r>
      <w:r w:rsidDel="00000000" w:rsidR="00000000" w:rsidRPr="00000000">
        <w:rPr>
          <w:rFonts w:ascii="Times New Roman" w:cs="Times New Roman" w:eastAsia="Times New Roman" w:hAnsi="Times New Roman"/>
          <w:color w:val="000000"/>
          <w:sz w:val="20"/>
          <w:szCs w:val="20"/>
          <w:rtl w:val="0"/>
        </w:rPr>
        <w:t xml:space="preserve">. Sin embargo, en Colombia, tal y como lo han reiterado sentencias constitucionales como la T-033 de 2022, el nombre y género </w:t>
      </w:r>
      <w:r w:rsidDel="00000000" w:rsidR="00000000" w:rsidRPr="00000000">
        <w:rPr>
          <w:rFonts w:ascii="Times New Roman" w:cs="Times New Roman" w:eastAsia="Times New Roman" w:hAnsi="Times New Roman"/>
          <w:sz w:val="20"/>
          <w:szCs w:val="20"/>
          <w:rtl w:val="0"/>
        </w:rPr>
        <w:t xml:space="preserve">identitarios</w:t>
      </w:r>
      <w:r w:rsidDel="00000000" w:rsidR="00000000" w:rsidRPr="00000000">
        <w:rPr>
          <w:rFonts w:ascii="Times New Roman" w:cs="Times New Roman" w:eastAsia="Times New Roman" w:hAnsi="Times New Roman"/>
          <w:color w:val="000000"/>
          <w:sz w:val="20"/>
          <w:szCs w:val="20"/>
          <w:rtl w:val="0"/>
        </w:rPr>
        <w:t xml:space="preserve"> deben ser respetados y protegidos independientemente de que la persona haya o no modificado dichos documentos de identidad. No obstante, el contar con documentos de identidad que reflejen y respeten el nombre identitario y la identidad de género de las personas trans se constituye, adicionalmente, en un obstáculo concreto para acceder a la garantía de derechos económicos y sociales como la educación, el trabajo, la salud y la seguridad social</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En el ámbito educativo, un documento de identidad que no coincide con la expresión de género suele dar lugar a discriminación, estigmatización, y, en muchos casos, deserción escolar. En el entorno laboral, esta discordancia puede implicar la pérdida de oportunidades desde el momento en que se inicia un proceso de selección laboral, así como tratos discriminatorios durante entrevistas o en el lugar de trabajo.</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 De acuerdo con Colombia Diversa</w:t>
      </w:r>
      <w:r w:rsidDel="00000000" w:rsidR="00000000" w:rsidRPr="00000000">
        <w:rPr>
          <w:rFonts w:ascii="Times New Roman" w:cs="Times New Roman" w:eastAsia="Times New Roman" w:hAnsi="Times New Roman"/>
          <w:sz w:val="20"/>
          <w:szCs w:val="20"/>
          <w:vertAlign w:val="superscript"/>
        </w:rPr>
        <w:footnoteReference w:customMarkFollows="0" w:id="11"/>
      </w:r>
      <w:r w:rsidDel="00000000" w:rsidR="00000000" w:rsidRPr="00000000">
        <w:rPr>
          <w:rFonts w:ascii="Times New Roman" w:cs="Times New Roman" w:eastAsia="Times New Roman" w:hAnsi="Times New Roman"/>
          <w:sz w:val="20"/>
          <w:szCs w:val="20"/>
          <w:rtl w:val="0"/>
        </w:rPr>
        <w:t xml:space="preserve"> (2022) el 38 % de las personas trans entrevistadas afirmaron haber abandonado sus estudios por razones relacionadas con su identidad de género. En el entorno laboral, esta discordancia puede implicar la pérdida de oportunidades desde el momento en que se inicia un proceso de selección laboral, así como tratos discriminatorios durante entrevistas o en el lugar de trabajo. Por ejemplo, el mismo informe documenta que el 61 % de las personas trans no tienen un empleo formal, en gran parte debido a la falta de reconocimiento y adecuación de sus documentos con su identidad de género.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w:t>
      </w:r>
      <w:r w:rsidDel="00000000" w:rsidR="00000000" w:rsidRPr="00000000">
        <w:rPr>
          <w:rFonts w:ascii="Times New Roman" w:cs="Times New Roman" w:eastAsia="Times New Roman" w:hAnsi="Times New Roman"/>
          <w:sz w:val="20"/>
          <w:szCs w:val="20"/>
          <w:rtl w:val="0"/>
        </w:rPr>
        <w:t xml:space="preserve">6</w:t>
      </w:r>
      <w:r w:rsidDel="00000000" w:rsidR="00000000" w:rsidRPr="00000000">
        <w:rPr>
          <w:rFonts w:ascii="Times New Roman" w:cs="Times New Roman" w:eastAsia="Times New Roman" w:hAnsi="Times New Roman"/>
          <w:color w:val="000000"/>
          <w:sz w:val="20"/>
          <w:szCs w:val="20"/>
          <w:rtl w:val="0"/>
        </w:rPr>
        <w:t xml:space="preserve">. En el marco de la salud, las personas trans y no binarias se han visto afectadas por el sistema de salud, enfrentando negación de servicios, tratos hostiles y prácticas revictimizantes. Muchas personas deben explicar su propio cuerpo, justificar su identidad y tolerar preguntas invasivas e incorrectas. Además, si el documento no es reconocido en las bases de datos del sistema de salud, se obstaculiza el acceso a tratamientos, a historiales clínicos coherentes o a programas de atención diferenciada, tal y como se expresó previamente.</w:t>
      </w:r>
    </w:p>
    <w:p w:rsidR="00000000" w:rsidDel="00000000" w:rsidP="00000000" w:rsidRDefault="00000000" w:rsidRPr="00000000" w14:paraId="00000041">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u436zbj1s94h" w:id="9"/>
      <w:bookmarkEnd w:id="9"/>
      <w:r w:rsidDel="00000000" w:rsidR="00000000" w:rsidRPr="00000000">
        <w:rPr>
          <w:rFonts w:ascii="Times New Roman" w:cs="Times New Roman" w:eastAsia="Times New Roman" w:hAnsi="Times New Roman"/>
          <w:b w:val="1"/>
          <w:color w:val="000000"/>
          <w:sz w:val="20"/>
          <w:szCs w:val="20"/>
          <w:rtl w:val="0"/>
        </w:rPr>
        <w:t xml:space="preserve">Barreras para el pleno goce del derecho a la seguridad social de las personas trans y no binarias</w:t>
      </w:r>
    </w:p>
    <w:p w:rsidR="00000000" w:rsidDel="00000000" w:rsidP="00000000" w:rsidRDefault="00000000" w:rsidRPr="00000000" w14:paraId="00000042">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 El acceso a la seguridad social para las personas trans y no binarias en Colombia está atravesado por múltiples obstáculos estructurales y simbólicos. La discriminación en los entornos laborales, los altos índices de informalidad y desempleo, así como las dificultades para acceder a servicios de salud adecuados, configuran un panorama de exclusión y precarización.</w:t>
      </w:r>
    </w:p>
    <w:p w:rsidR="00000000" w:rsidDel="00000000" w:rsidP="00000000" w:rsidRDefault="00000000" w:rsidRPr="00000000" w14:paraId="00000043">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 El acceso en particular a la pensión de vejez continúa siendo uno de los derechos más limitados para las personas trans y no binarias en Colombia. Aunque la Constitución establece la universalidad y progresividad de estos derechos, en la práctica persisten barreras jurídicas, institucionales y culturales que impiden su goce efectivo. Si bien la sentencia SU-040 de 2021 de la Corte Constitucional reconoció que las mujeres trans deben poder pensionarse a los 57 años, igual que las mujeres cis, en virtud de la aplicación del principio de igualdad y no discriminación (cumpliendo con el número legal de semanas cotizadas), esa decisión no ha sido plenamente reglamentada, lo que implica que en la práctica las mujeres trans sigan enfrentando barreras para la garantía de su derecho a la pensión de vejez. </w:t>
      </w:r>
      <w:r w:rsidDel="00000000" w:rsidR="00000000" w:rsidRPr="00000000">
        <w:rPr>
          <w:rFonts w:ascii="Times New Roman" w:cs="Times New Roman" w:eastAsia="Times New Roman" w:hAnsi="Times New Roman"/>
          <w:sz w:val="20"/>
          <w:szCs w:val="20"/>
          <w:rtl w:val="0"/>
        </w:rPr>
        <w:t xml:space="preserve">Adicionalmente, en este fallo no se analiza la situación específica de los hombres trans y las personas no binarias, respecto de las cuales existe un vacío normativo que conduce a inseguridad jurídica. </w:t>
      </w:r>
      <w:r w:rsidDel="00000000" w:rsidR="00000000" w:rsidRPr="00000000">
        <w:rPr>
          <w:rtl w:val="0"/>
        </w:rPr>
      </w:r>
    </w:p>
    <w:p w:rsidR="00000000" w:rsidDel="00000000" w:rsidP="00000000" w:rsidRDefault="00000000" w:rsidRPr="00000000" w14:paraId="00000044">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 Este vacío normativo tiene implicaciones reales para las personas trans que han sido registradas como un género distinto al que viven y reconocen, enfrentan dificultades para acreditar los requisitos de edad o tiempo de cotización ante las entidades. Respecto a los hombres trans, no existe una norma que regule su edad pensional ni se ha realizado un análisis detallado de las vulnerabilidades específicas que experimetan los hombres trans de manera jurisprudencial, lo que conduce a que aquellos que ya han cambiado sus documentos de identidad deben esperar hasta los 62 años para pensionarse, tal y como se establece para hombres cis. Para las personas no binarias, la situación se encuentra en un limbo aún mayor, pues el sistema no contempla su existencia ni ofrece parámetros que les permitan planear su vejez dentro del régimen pensional. Incluso, es de resaltar que la Corte Constitucional, a través de la sentencia C-408 de 2023, conoció una demanda de inconstitucionalidad frente al vacío que existe respecto a las personas no binarias; sin embargo, decidió no resolverla de fondo señalando que existía una omisión legislativa absoluta y ordenó al Congreso de la República expedir una ley para ello, asunto que no se ha efectuado. De esta forma, una persona no binaria actualmente no tiene una edad específica para acceder a la pensión de vejez. </w:t>
      </w:r>
    </w:p>
    <w:p w:rsidR="00000000" w:rsidDel="00000000" w:rsidP="00000000" w:rsidRDefault="00000000" w:rsidRPr="00000000" w14:paraId="00000045">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 A esto se suma la alta informalidad laboral en la que se ven obligadas a trabajar muchas personas trans y no binarias, debido a la discriminación estructural que enfrentan en el mercado laboral formal. El resultado es una vejez marcada por la precariedad y la exclusión, con muy poca capacidad de sostenimiento económico o cuidado institucional. En este contexto, es urgente que el Estado reconozca la necesidad de regulación diferencial y afirmativa para garantizar el acceso de las personas trans y no binarias al sistema pensional, de manera justa y coherente con sus trayectorias de vida. Esto implica modificar los marcos normativos existentes, ampliar la jurisprudencia actual y diseñar rutas administrativas que no reproduzcan violencia ni negación de derechos por razón de identidad de género.</w:t>
      </w:r>
    </w:p>
    <w:p w:rsidR="00000000" w:rsidDel="00000000" w:rsidP="00000000" w:rsidRDefault="00000000" w:rsidRPr="00000000" w14:paraId="00000046">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n1psbbhwj3m5" w:id="10"/>
      <w:bookmarkEnd w:id="10"/>
      <w:r w:rsidDel="00000000" w:rsidR="00000000" w:rsidRPr="00000000">
        <w:rPr>
          <w:rFonts w:ascii="Times New Roman" w:cs="Times New Roman" w:eastAsia="Times New Roman" w:hAnsi="Times New Roman"/>
          <w:b w:val="1"/>
          <w:color w:val="000000"/>
          <w:sz w:val="20"/>
          <w:szCs w:val="20"/>
          <w:rtl w:val="0"/>
        </w:rPr>
        <w:t xml:space="preserve">Derecho a la educación de las personas trans y no binarias</w:t>
      </w:r>
    </w:p>
    <w:p w:rsidR="00000000" w:rsidDel="00000000" w:rsidP="00000000" w:rsidRDefault="00000000" w:rsidRPr="00000000" w14:paraId="00000047">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 La educación es un derecho fundamental, pero para las personas trans y no binarias, los entornos educativos a menudo se transforman en escenarios de discriminación y vulneración de derechos. Esto genera barreras significativas que conducen a la deserción escolar. Las situaciones cotidianas en el ámbito académico hacen que las personas trans se sientan inseguras, incómodas y discriminadas, obstaculizando incluso las actividades más básicas. Según la Encuesta de Clima Escolar LGBT (Colombia Diversa y Sentiido, 2016), el 54.8 % de los estudiantes siente inseguridad en su colegio por cómo expresa su género y el 67% siente inseguridad por su orientación, también indica que el 64.4% de los estudiantes LGBTI evitan espacios específicos de la zona educativa debido a la inseguridad o incomodidad.</w:t>
      </w:r>
      <w:r w:rsidDel="00000000" w:rsidR="00000000" w:rsidRPr="00000000">
        <w:rPr>
          <w:rFonts w:ascii="Times New Roman" w:cs="Times New Roman" w:eastAsia="Times New Roman" w:hAnsi="Times New Roman"/>
          <w:sz w:val="20"/>
          <w:szCs w:val="20"/>
          <w:vertAlign w:val="superscript"/>
        </w:rPr>
        <w:footnoteReference w:customMarkFollows="0" w:id="12"/>
      </w:r>
      <w:r w:rsidDel="00000000" w:rsidR="00000000" w:rsidRPr="00000000">
        <w:rPr>
          <w:rtl w:val="0"/>
        </w:rPr>
      </w:r>
    </w:p>
    <w:p w:rsidR="00000000" w:rsidDel="00000000" w:rsidP="00000000" w:rsidRDefault="00000000" w:rsidRPr="00000000" w14:paraId="00000048">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 Una situación común tiene que ver con la apariencia física: Desde la experiencia de la Fundación GAAT acompañando casos de discriminación, se ha podido identificar que en las instituciones educativas básicas y secundarias, las políticas de vestimenta estrictamente binarias obligan a los estudiantes a usar uniformes que no coinciden con su identidad de género</w:t>
      </w:r>
      <w:r w:rsidDel="00000000" w:rsidR="00000000" w:rsidRPr="00000000">
        <w:rPr>
          <w:rFonts w:ascii="Times New Roman" w:cs="Times New Roman" w:eastAsia="Times New Roman" w:hAnsi="Times New Roman"/>
          <w:sz w:val="20"/>
          <w:szCs w:val="20"/>
          <w:vertAlign w:val="superscript"/>
        </w:rPr>
        <w:footnoteReference w:customMarkFollows="0" w:id="13"/>
      </w:r>
      <w:r w:rsidDel="00000000" w:rsidR="00000000" w:rsidRPr="00000000">
        <w:rPr>
          <w:rFonts w:ascii="Times New Roman" w:cs="Times New Roman" w:eastAsia="Times New Roman" w:hAnsi="Times New Roman"/>
          <w:sz w:val="20"/>
          <w:szCs w:val="20"/>
          <w:rtl w:val="0"/>
        </w:rPr>
        <w:t xml:space="preserve">. Esto fomenta la discriminación y puede llegar a generar afecciones en salud mental. Además, en algunos centros educativos, la educación sexual se divide rígidamente por sexo, sin considerar las diversas identidades de género, lo que resulta en discriminación y falta de información relevante. En instituciones de educación superior también se presentan barreras administrativas y físicas que pueden llevar a la deserción, especialmente en lo relacionado con los trámites para la modificación de documentos de identidad. A pesar de su importancia para la identidad trans y no binarias, es común que en las instituciones educativas no se respete el nombre y el género identitario por parte de docentes y profesionales administrativos lo que conduce no solo a afectaciones a la salud mental sino también a incentivar tratos discriminatorios, actos de violencia y bullying por parte de otros estudiantes. </w:t>
      </w:r>
    </w:p>
    <w:p w:rsidR="00000000" w:rsidDel="00000000" w:rsidP="00000000" w:rsidRDefault="00000000" w:rsidRPr="00000000" w14:paraId="00000049">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 Por otro lado, la separación de baños por género es predominante, con una escasez casi total de baños inclusivos. Dentro de los baños, las instalaciones suelen no estar adaptadas; por ejemplo, hombres trans enfrentan la falta de inodoros o la ausencia de instalaciones adecuadas si menstrúan. Es evidente que las personas trans y no binarias en entornos educativos no gozan de la misma calidad de vida que las personas cisgénero. Su paso por la educación está marcado por la incomodidad y la discriminación, en lugares que deberían ser inclusivos para todos. Esto lleva a una constante deserción escolar y a la ausencia de entornos educativos verdaderamente pacíficos e inclusivos. </w:t>
      </w:r>
    </w:p>
    <w:p w:rsidR="00000000" w:rsidDel="00000000" w:rsidP="00000000" w:rsidRDefault="00000000" w:rsidRPr="00000000" w14:paraId="0000004A">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yb5x34ialo0s" w:id="11"/>
      <w:bookmarkEnd w:id="11"/>
      <w:r w:rsidDel="00000000" w:rsidR="00000000" w:rsidRPr="00000000">
        <w:rPr>
          <w:rFonts w:ascii="Times New Roman" w:cs="Times New Roman" w:eastAsia="Times New Roman" w:hAnsi="Times New Roman"/>
          <w:b w:val="1"/>
          <w:color w:val="000000"/>
          <w:sz w:val="20"/>
          <w:szCs w:val="20"/>
          <w:rtl w:val="0"/>
        </w:rPr>
        <w:t xml:space="preserve">El derecho al trabajo de las personas trans y no binarias en Colombia </w:t>
      </w:r>
    </w:p>
    <w:p w:rsidR="00000000" w:rsidDel="00000000" w:rsidP="00000000" w:rsidRDefault="00000000" w:rsidRPr="00000000" w14:paraId="0000004B">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 La situación laboral de las personas trans y no binarias en Colombia, aunque ha registrado ciertos avances normativos y judiciales en los últimos años, sigue marcada por profundas desigualdades, discriminación y precariedad. El diagnóstico actual revela una brecha persistente entre el reconocimiento formal de derechos y su materialización en el acceso y condiciones de empleo.</w:t>
      </w:r>
    </w:p>
    <w:p w:rsidR="00000000" w:rsidDel="00000000" w:rsidP="00000000" w:rsidRDefault="00000000" w:rsidRPr="00000000" w14:paraId="0000004C">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 Datos recientes y principales indicadores: Según el boletín técnico del Departamento Administrativo Nacional de Estadística (DANE) para el periodo mayo 2024 - abril 2025, la tasa global de participación laboral (TGP) de la población LGBT es del 80,8 %, superior a la de la población no LGBT (67,5 %). Sin embargo, la tasa de ocupación es de 71,9% para la población LGBT, frente a un 61 % en la población no LGBT, y la tasa de desocupación es más alta para LGBT: 11 % frente a 9,6 % en la población no LGBT</w:t>
      </w:r>
      <w:r w:rsidDel="00000000" w:rsidR="00000000" w:rsidRPr="00000000">
        <w:rPr>
          <w:rFonts w:ascii="Times New Roman" w:cs="Times New Roman" w:eastAsia="Times New Roman" w:hAnsi="Times New Roman"/>
          <w:sz w:val="20"/>
          <w:szCs w:val="20"/>
          <w:vertAlign w:val="superscript"/>
        </w:rPr>
        <w:footnoteReference w:customMarkFollows="0" w:id="14"/>
      </w:r>
      <w:r w:rsidDel="00000000" w:rsidR="00000000" w:rsidRPr="00000000">
        <w:rPr>
          <w:rFonts w:ascii="Times New Roman" w:cs="Times New Roman" w:eastAsia="Times New Roman" w:hAnsi="Times New Roman"/>
          <w:sz w:val="20"/>
          <w:szCs w:val="20"/>
          <w:rtl w:val="0"/>
        </w:rPr>
        <w:t xml:space="preserve">. Estos datos muestran que, aunque hay una mayor disposición a participar en el mercado laboral, las personas LGBT, y dentro de ellas, las personas trans y no binarias, enfrentan mayores dificultades para conseguir empleo debido a las </w:t>
      </w:r>
      <w:r w:rsidDel="00000000" w:rsidR="00000000" w:rsidRPr="00000000">
        <w:rPr>
          <w:rFonts w:ascii="Times New Roman" w:cs="Times New Roman" w:eastAsia="Times New Roman" w:hAnsi="Times New Roman"/>
          <w:sz w:val="20"/>
          <w:szCs w:val="20"/>
          <w:rtl w:val="0"/>
        </w:rPr>
        <w:t xml:space="preserve">barreras de acceso y rectificación de los documentos</w:t>
      </w:r>
      <w:r w:rsidDel="00000000" w:rsidR="00000000" w:rsidRPr="00000000">
        <w:rPr>
          <w:rFonts w:ascii="Times New Roman" w:cs="Times New Roman" w:eastAsia="Times New Roman" w:hAnsi="Times New Roman"/>
          <w:sz w:val="20"/>
          <w:szCs w:val="20"/>
          <w:rtl w:val="0"/>
        </w:rPr>
        <w:t xml:space="preserve"> de identidad a los nombres y componentes sexo/género elegidos por estas personas, presentando primero, dificultades en el acceso a cambios de registro, así como mayores dificultades para presentar hojas de vidas, certificaciones laborales y presentación a entrevistas de trabajo sin que el reclutador tenga sensibilidad o capacitación para llevar una entrevista respetuosa. </w:t>
      </w:r>
    </w:p>
    <w:p w:rsidR="00000000" w:rsidDel="00000000" w:rsidP="00000000" w:rsidRDefault="00000000" w:rsidRPr="00000000" w14:paraId="0000004D">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 </w:t>
      </w:r>
      <w:r w:rsidDel="00000000" w:rsidR="00000000" w:rsidRPr="00000000">
        <w:rPr>
          <w:rFonts w:ascii="Times New Roman" w:cs="Times New Roman" w:eastAsia="Times New Roman" w:hAnsi="Times New Roman"/>
          <w:sz w:val="20"/>
          <w:szCs w:val="20"/>
          <w:rtl w:val="0"/>
        </w:rPr>
        <w:t xml:space="preserve">La informalidad es un desafío central: estudios recientes indican que el 84 % de personas trans se encuentran en la informalidad y solo el 6 % tiene afiliación al sistema de salud a través de su empresa. Además, solo 4 de cada 100 personas trans cuentan con empleo formal, según una encuesta de la </w:t>
      </w:r>
      <w:hyperlink r:id="rId12">
        <w:r w:rsidDel="00000000" w:rsidR="00000000" w:rsidRPr="00000000">
          <w:rPr>
            <w:rFonts w:ascii="Times New Roman" w:cs="Times New Roman" w:eastAsia="Times New Roman" w:hAnsi="Times New Roman"/>
            <w:color w:val="000000"/>
            <w:sz w:val="20"/>
            <w:szCs w:val="20"/>
            <w:rtl w:val="0"/>
          </w:rPr>
          <w:t xml:space="preserve">Cámara de la Diversidad</w:t>
        </w:r>
      </w:hyperlink>
      <w:r w:rsidDel="00000000" w:rsidR="00000000" w:rsidRPr="00000000">
        <w:rPr>
          <w:rFonts w:ascii="Times New Roman" w:cs="Times New Roman" w:eastAsia="Times New Roman" w:hAnsi="Times New Roman"/>
          <w:sz w:val="20"/>
          <w:szCs w:val="20"/>
          <w:rtl w:val="0"/>
        </w:rPr>
        <w:t xml:space="preserve"> del 2024</w:t>
      </w:r>
      <w:r w:rsidDel="00000000" w:rsidR="00000000" w:rsidRPr="00000000">
        <w:rPr>
          <w:rFonts w:ascii="Times New Roman" w:cs="Times New Roman" w:eastAsia="Times New Roman" w:hAnsi="Times New Roman"/>
          <w:sz w:val="20"/>
          <w:szCs w:val="20"/>
          <w:vertAlign w:val="superscript"/>
        </w:rPr>
        <w:footnoteReference w:customMarkFollows="0" w:id="15"/>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El acceso a empleos formales y con garantías es, por tanto, una excepción y no la norma.</w:t>
      </w:r>
    </w:p>
    <w:p w:rsidR="00000000" w:rsidDel="00000000" w:rsidP="00000000" w:rsidRDefault="00000000" w:rsidRPr="00000000" w14:paraId="0000004E">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 Experiencias de discriminación y barreras estructurales: La discriminación laboral se manifiesta en varias etapas: en los procesos de selección, en la contratación y dentro del ambiente de trabajo. El 80% de las personas trans reportan haber sentido discriminación durante procesos de selección y contratación (2024). Además, la exclusión laboral se agrava por factores como la salida temprana del hogar, la escasa inversión en capital humano y el desinterés empresarial en su contratación, lo que limita sus trayectorias educativas y profesionales. En el ámbito laboral, la discriminación no solo se traduce en el acceso, sino también en la permanencia y posibilidades de ascenso. Las personas trans reportan una menor probabilidad de promoción interna y un trato desigual respecto a sus pares cisgénero</w:t>
      </w:r>
      <w:r w:rsidDel="00000000" w:rsidR="00000000" w:rsidRPr="00000000">
        <w:rPr>
          <w:rFonts w:ascii="Times New Roman" w:cs="Times New Roman" w:eastAsia="Times New Roman" w:hAnsi="Times New Roman"/>
          <w:sz w:val="20"/>
          <w:szCs w:val="20"/>
          <w:vertAlign w:val="superscript"/>
        </w:rPr>
        <w:footnoteReference w:customMarkFollows="0" w:id="16"/>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4F">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 Avances judiciales y normativos: El marco jurídico colombiano ha avanzado en el reconocimiento de los derechos laborales de las personas trans y no binarias. La Sentencia SU-214 de 2016 de la Corte Constitucional reforzó la protección de estos derechos, estableciendo que la identidad de género no debe ser motivo de exclusión laboral y subrayando la responsabilidad de los empleadores. Más recientemente, la Sentencia T-236 de 2023 protegió el derecho al trabajo de una mujer trans, ordenando su reintegro y la capacitación en derechos de personas con identidades diversas para funcionarios judiciales,  la Corte ordenó el reconocimiento de la identidad de género como requisito para el goce efectivo de otros derechos laborales, incluyendo el derecho a ser nombradas según su nombre identitario y a usar el uniforme que exprese su identidad de género, sin que sea necesario modificar previamente el sexo registrado en sus documentos de identidad.</w:t>
      </w:r>
    </w:p>
    <w:p w:rsidR="00000000" w:rsidDel="00000000" w:rsidP="00000000" w:rsidRDefault="00000000" w:rsidRPr="00000000" w14:paraId="00000050">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39. Además, la Ley 1482 sanciona actos de discriminación, incluyendo los laborales, y la Circular 055 de 2024 del Ministerio de Trabajo establece directrices para prevenir el acoso y la discriminación laboral contra personas LGBTIQ+. Sin embargo, la aplicación efectiva de estas normativas sigue siendo limitada, y los mecanismos de denuncia y reparación suelen ser poco accesibles o insuficientes para garantizar la no repetición debido a ser procedimientos dispendiosos y desconocidos por la población LGBTIQ+, baja formación en atención diferencial en diversidad sexual y de género por parte del personal del Ministerio, así como su baja capacidad de inspección laboral a nivel territorial y un bajo acompañamiento por parte de las instituciones al sector empresarial o privado para llevar a cabo espacios de sensibilización, pedagogía y cambios en la cultura organizacional que garanticen efectivamente la protección de los derechos, dignidad y respeto en el mundo laboral.</w:t>
      </w:r>
    </w:p>
    <w:p w:rsidR="00000000" w:rsidDel="00000000" w:rsidP="00000000" w:rsidRDefault="00000000" w:rsidRPr="00000000" w14:paraId="00000051">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 Análisis y retos pendientes: Pese a los avances en la jurisprudencia y la normativa, la distancia entre la ley y la realidad cotidiana es notoria. La discriminación estructural, la falta de políticas de inclusión efectivas y la ausencia de reconocimiento pleno de la identidad de género en muchos espacios laborales perpetúan la exclusión. La mayoría de las personas trans y no binarias se ven forzadas a empleos informales o autoempleo, sin acceso a derechos laborales básicos ni seguridad social. El reto principal radica en la implementación efectiva de las normas y en la transformación cultural de los entornos laborales. Se requieren políticas públicas robustas, incentivos para la contratación inclusiva, formación a empleadores y campañas de sensibilización. Además, es fundamental fortalecer los mecanismos de monitoreo y sanción de la discriminación, así como garantizar rutas de acceso a la justicia laboral para las personas trans y no binarias.</w:t>
      </w:r>
    </w:p>
    <w:p w:rsidR="00000000" w:rsidDel="00000000" w:rsidP="00000000" w:rsidRDefault="00000000" w:rsidRPr="00000000" w14:paraId="00000052">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qbfa7rakr31" w:id="12"/>
      <w:bookmarkEnd w:id="12"/>
      <w:r w:rsidDel="00000000" w:rsidR="00000000" w:rsidRPr="00000000">
        <w:rPr>
          <w:rFonts w:ascii="Times New Roman" w:cs="Times New Roman" w:eastAsia="Times New Roman" w:hAnsi="Times New Roman"/>
          <w:b w:val="1"/>
          <w:color w:val="000000"/>
          <w:sz w:val="20"/>
          <w:szCs w:val="20"/>
          <w:rtl w:val="0"/>
        </w:rPr>
        <w:t xml:space="preserve">Vulneraciones a derechos humanos de las personas LGBTIQ+ migrantes y refugiadas en Colombia</w:t>
      </w:r>
    </w:p>
    <w:p w:rsidR="00000000" w:rsidDel="00000000" w:rsidP="00000000" w:rsidRDefault="00000000" w:rsidRPr="00000000" w14:paraId="00000053">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 Las barreras de acceso a derechos humanos y vulneraciones previamente descritas pueden verse exacerbadas en el caso de las personas LGBTIQ+ migrantes y refugiadas en Colombia, pues la intersección de múltiples factores de discriminación, incluyendo su nacionalidad, estatus migratorio y sexo, se ven entrecruzadas con su orientación sexual, identidad y expresión de género, exponiéndolas a un mayor grado de violencia, exclusión y violación de sus derechos humanos</w:t>
      </w:r>
      <w:r w:rsidDel="00000000" w:rsidR="00000000" w:rsidRPr="00000000">
        <w:rPr>
          <w:rFonts w:ascii="Times New Roman" w:cs="Times New Roman" w:eastAsia="Times New Roman" w:hAnsi="Times New Roman"/>
          <w:sz w:val="20"/>
          <w:szCs w:val="20"/>
          <w:vertAlign w:val="superscript"/>
        </w:rPr>
        <w:footnoteReference w:customMarkFollows="0" w:id="17"/>
      </w:r>
      <w:r w:rsidDel="00000000" w:rsidR="00000000" w:rsidRPr="00000000">
        <w:rPr>
          <w:rFonts w:ascii="Times New Roman" w:cs="Times New Roman" w:eastAsia="Times New Roman" w:hAnsi="Times New Roman"/>
          <w:sz w:val="20"/>
          <w:szCs w:val="20"/>
          <w:rtl w:val="0"/>
        </w:rPr>
        <w:t xml:space="preserve">, en contravención de principios esenciales del derecho internacional de los derechos humanos, como la igualdad y la no discriminación, reconocidos en instrumentos internacionales como la Convención Americana sobre Derechos Humanos y la Convención sobre el Estatuto de los Refugiados de 1951. </w:t>
      </w:r>
    </w:p>
    <w:p w:rsidR="00000000" w:rsidDel="00000000" w:rsidP="00000000" w:rsidRDefault="00000000" w:rsidRPr="00000000" w14:paraId="00000054">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 La violencia sistemática que viven a diario tiene su origen en la discriminación y exclusión histórica y estructural presente tanto en Venezuela como en Colombia, así como en el contexto institucional y social permeado por la xenofobia, la LGBTI-fobia y el machismo. Estas formas de violencia y exclusión no solo son reproducidas por la sociedad civil, sino también por instituciones estatales que, mediante prácticas discriminatorias y la omisión en la garantía de derechos, perpetúan la vulnerabilidad de esta población</w:t>
      </w:r>
      <w:r w:rsidDel="00000000" w:rsidR="00000000" w:rsidRPr="00000000">
        <w:rPr>
          <w:rFonts w:ascii="Times New Roman" w:cs="Times New Roman" w:eastAsia="Times New Roman" w:hAnsi="Times New Roman"/>
          <w:sz w:val="20"/>
          <w:szCs w:val="20"/>
          <w:vertAlign w:val="superscript"/>
        </w:rPr>
        <w:footnoteReference w:customMarkFollows="0" w:id="18"/>
      </w:r>
      <w:r w:rsidDel="00000000" w:rsidR="00000000" w:rsidRPr="00000000">
        <w:rPr>
          <w:rFonts w:ascii="Times New Roman" w:cs="Times New Roman" w:eastAsia="Times New Roman" w:hAnsi="Times New Roman"/>
          <w:sz w:val="20"/>
          <w:szCs w:val="20"/>
          <w:rtl w:val="0"/>
        </w:rPr>
        <w:t xml:space="preserve">. Esto se traduce en la negación o limitación al acceso a derechos como a la salud, educación, libertad de expresión, debido proceso y trabajo, que genera unas condiciones de exclusión y marginalización que los hace más susceptibles de ser víctimas de delitos graves como violencia sexual, trata de personas, explotación laboral y tráfico de migrantes. </w:t>
      </w:r>
    </w:p>
    <w:p w:rsidR="00000000" w:rsidDel="00000000" w:rsidP="00000000" w:rsidRDefault="00000000" w:rsidRPr="00000000" w14:paraId="00000055">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 Por ejemplo, en municipios como Maicao (La Guajira), la Defensoría del Pueblo ha advertido que las mujeres cisgénero y trans migrantes y refugiadas se enfrentan a un riesgo diferenciado de sufrir violencia de género, donde se encuentran hechos de violencia física y psicológica en sus entornos familiares y riesgo de feminicidio, especialmente para personas con orientación sexual e identidad de género diversa (OSIGD) migrantes que ejercen el trabajo sexual, algunas de ellas en situación de calle</w:t>
      </w:r>
      <w:r w:rsidDel="00000000" w:rsidR="00000000" w:rsidRPr="00000000">
        <w:rPr>
          <w:rFonts w:ascii="Times New Roman" w:cs="Times New Roman" w:eastAsia="Times New Roman" w:hAnsi="Times New Roman"/>
          <w:sz w:val="20"/>
          <w:szCs w:val="20"/>
          <w:vertAlign w:val="superscript"/>
        </w:rPr>
        <w:footnoteReference w:customMarkFollows="0" w:id="19"/>
      </w:r>
      <w:r w:rsidDel="00000000" w:rsidR="00000000" w:rsidRPr="00000000">
        <w:rPr>
          <w:rFonts w:ascii="Times New Roman" w:cs="Times New Roman" w:eastAsia="Times New Roman" w:hAnsi="Times New Roman"/>
          <w:sz w:val="20"/>
          <w:szCs w:val="20"/>
          <w:rtl w:val="0"/>
        </w:rPr>
        <w:t xml:space="preserve">. Otra de las alertas que ha reportado la Defensoría es que se ha reactivado el accionar violento de grupos armados y bandas criminales contra personas LGBTIQ+ en espacios públicos, quienes a través del prejuicio, ejercen acciones violentas de control de los cuerpos y la sexualidad, mediante amenazas, panfletos y persecución</w:t>
      </w:r>
      <w:r w:rsidDel="00000000" w:rsidR="00000000" w:rsidRPr="00000000">
        <w:rPr>
          <w:rFonts w:ascii="Times New Roman" w:cs="Times New Roman" w:eastAsia="Times New Roman" w:hAnsi="Times New Roman"/>
          <w:sz w:val="20"/>
          <w:szCs w:val="20"/>
          <w:vertAlign w:val="superscript"/>
        </w:rPr>
        <w:footnoteReference w:customMarkFollows="0" w:id="20"/>
      </w:r>
      <w:r w:rsidDel="00000000" w:rsidR="00000000" w:rsidRPr="00000000">
        <w:rPr>
          <w:rFonts w:ascii="Times New Roman" w:cs="Times New Roman" w:eastAsia="Times New Roman" w:hAnsi="Times New Roman"/>
          <w:sz w:val="20"/>
          <w:szCs w:val="20"/>
          <w:rtl w:val="0"/>
        </w:rPr>
        <w:t xml:space="preserve">. Este tipo de violencias, en su mayoría ejercidas por prejuicio y discriminación, han generado como consecuencia un alto número de homicidios de personas LGBTIQ+ migrantes, en particular mujeres trans venezolanas. Según informes de organizaciones como Colombia Diversa, además de los homicidios, se reportan casos de violencia física, sexual y psicológica contra personas LGBTIQ+ migrantes, a menudo sin acceso a mecanismos de protección o justicia</w:t>
      </w:r>
      <w:r w:rsidDel="00000000" w:rsidR="00000000" w:rsidRPr="00000000">
        <w:rPr>
          <w:rFonts w:ascii="Times New Roman" w:cs="Times New Roman" w:eastAsia="Times New Roman" w:hAnsi="Times New Roman"/>
          <w:sz w:val="20"/>
          <w:szCs w:val="20"/>
          <w:vertAlign w:val="superscript"/>
        </w:rPr>
        <w:footnoteReference w:customMarkFollows="0" w:id="21"/>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56">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 La organización Caribe Afirmativo documentó las barreras de acceso a la salud de la población LGBTIQ+ en situación de movilidad humana transfronteriza, indicando que las mujeres lesbianas y bisexuales enfrentan mayores obstáculos en el acceso a derechos sexuales y reproductivos, atención psicosocial y servicios de urgencias médicas. En el caso de los hombres gays y bisexuales, la principal preocupación radica en la discriminación en la atención médica de emergencias, mientras que para las personas con experiencias de vida trans son constantes las prácticas discriminatorias que atentan contra la identidad y expresión de género como la negación a utilizar los nombres identitarios o las constantes dilaciones de citas médicas. Por último, advirtió que las personas migrantes que tienen diagnóstico positivo para VIH tienen mayores dificultades para acceder y continuar su tratamiento antirretroviral y para tener un constante monitoreo médico con enfoque de género</w:t>
      </w:r>
      <w:r w:rsidDel="00000000" w:rsidR="00000000" w:rsidRPr="00000000">
        <w:rPr>
          <w:rFonts w:ascii="Times New Roman" w:cs="Times New Roman" w:eastAsia="Times New Roman" w:hAnsi="Times New Roman"/>
          <w:sz w:val="20"/>
          <w:szCs w:val="20"/>
          <w:vertAlign w:val="superscript"/>
        </w:rPr>
        <w:footnoteReference w:customMarkFollows="0" w:id="22"/>
      </w:r>
      <w:r w:rsidDel="00000000" w:rsidR="00000000" w:rsidRPr="00000000">
        <w:rPr>
          <w:rtl w:val="0"/>
        </w:rPr>
      </w:r>
    </w:p>
    <w:p w:rsidR="00000000" w:rsidDel="00000000" w:rsidP="00000000" w:rsidRDefault="00000000" w:rsidRPr="00000000" w14:paraId="00000057">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 Frente al derecho a la educación, por más que la Constitución Política garantiza su acceso a todos los niños, niñas y adolescentes (NNA) en los niveles preescolar, básica y media, la Corte Constitucional ha abordado múltiples casos donde ha recordado que este derecho aplica para todas las personas menores de edad, independientemente de su estatus migratorio</w:t>
      </w:r>
      <w:r w:rsidDel="00000000" w:rsidR="00000000" w:rsidRPr="00000000">
        <w:rPr>
          <w:rFonts w:ascii="Times New Roman" w:cs="Times New Roman" w:eastAsia="Times New Roman" w:hAnsi="Times New Roman"/>
          <w:sz w:val="20"/>
          <w:szCs w:val="20"/>
          <w:vertAlign w:val="superscript"/>
        </w:rPr>
        <w:footnoteReference w:customMarkFollows="0" w:id="23"/>
      </w:r>
      <w:r w:rsidDel="00000000" w:rsidR="00000000" w:rsidRPr="00000000">
        <w:rPr>
          <w:rFonts w:ascii="Times New Roman" w:cs="Times New Roman" w:eastAsia="Times New Roman" w:hAnsi="Times New Roman"/>
          <w:sz w:val="20"/>
          <w:szCs w:val="20"/>
          <w:rtl w:val="0"/>
        </w:rPr>
        <w:t xml:space="preserve">. No obstante, a partir de la experiencia concreta acompañando casos de personas migrantes, persisten obstáculos administrativos que dificultan la inscripción de NNA en situación migratoria irregular, sin mencionar las violencias por prejuicio que sufren las infancias LGBTIQ+ en el sistema educativo, lo que, sumado al duelo migratorio y la falta de medidas de protección efectivas, compromete su desarrollo integral y el ejercicio de sus derechos. </w:t>
      </w:r>
    </w:p>
    <w:p w:rsidR="00000000" w:rsidDel="00000000" w:rsidP="00000000" w:rsidRDefault="00000000" w:rsidRPr="00000000" w14:paraId="00000058">
      <w:pP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46. Sin embargo, los derechos a la salud y a la educación han sido los más desarrollados y garantizados a la población migrante irregular, en su mayoría gracias a la jurisprudencia sentada por la Corte Constitucional, mientras que derechos como al trabajo, vivienda o seguridad social están garantizados exclusivamente a personas con estatus migratorio regular, generando un impacto diferenciado en el goce pleno de sus derechos. Lo anterior tiene como consecuencia que en los escenarios laborales sean escasas las oportunidades de acceder a empleos dignos, obligando a muchas personas a ejercer actividades económicas informales, trabajos precarizados y actividades sexuales pagadas por supervivencia</w:t>
      </w:r>
      <w:r w:rsidDel="00000000" w:rsidR="00000000" w:rsidRPr="00000000">
        <w:rPr>
          <w:rFonts w:ascii="Times New Roman" w:cs="Times New Roman" w:eastAsia="Times New Roman" w:hAnsi="Times New Roman"/>
          <w:sz w:val="20"/>
          <w:szCs w:val="20"/>
          <w:vertAlign w:val="superscript"/>
        </w:rPr>
        <w:footnoteReference w:customMarkFollows="0" w:id="24"/>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59">
      <w:pPr>
        <w:spacing w:after="0" w:before="120" w:line="276"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sz w:val="20"/>
          <w:szCs w:val="20"/>
          <w:rtl w:val="0"/>
        </w:rPr>
        <w:t xml:space="preserve">47. Por último, desde el trabajo de la Fundación se viene haciendo un trabajo de promoción y garantía de identificación de las personas trans y no binarias migrantes y refugiadas en Colombia, que enfrentan múltiples barreras para acceder a documentos de identificación que reflejen su identidad de género. Actualmente, solo las personas venezolanas con Permiso por Protección Temporal (PPT) pueden solicitar el cambio de nombre y género en dicho documento, conforme a la Resolución 0971 de 2021. Sin embargo, este trámite sigue siendo de difícil acceso debido al desconocimiento generalizado de la normativa por parte de las autoridades y funcionarios encargados del proceso, así como a las dificultades económicas y burocráticas propias de este trámite. Por otro lado, quienes no sean de nacionalidad venezolana y accedan a una Visa y/o Cédula de extranjería en Colombia, se siguen viendo obligados a portar los documentos que reflejan el nombre y género registrados en su pasaporte, que, dependiendo del país de origen, no permite reflejar su nombre y género identitario, lo que limita su acceso a derechos básicos y las expone a discriminación en ámbitos como la salud, la educación y el empleo.</w:t>
      </w:r>
      <w:r w:rsidDel="00000000" w:rsidR="00000000" w:rsidRPr="00000000">
        <w:rPr>
          <w:rtl w:val="0"/>
        </w:rPr>
      </w:r>
    </w:p>
    <w:p w:rsidR="00000000" w:rsidDel="00000000" w:rsidP="00000000" w:rsidRDefault="00000000" w:rsidRPr="00000000" w14:paraId="0000005A">
      <w:pPr>
        <w:pStyle w:val="Heading1"/>
        <w:numPr>
          <w:ilvl w:val="0"/>
          <w:numId w:val="1"/>
        </w:numPr>
        <w:spacing w:before="120" w:line="276" w:lineRule="auto"/>
        <w:ind w:left="360" w:hanging="360"/>
        <w:jc w:val="both"/>
        <w:rPr>
          <w:rFonts w:ascii="Times New Roman" w:cs="Times New Roman" w:eastAsia="Times New Roman" w:hAnsi="Times New Roman"/>
          <w:b w:val="1"/>
          <w:color w:val="000000"/>
          <w:sz w:val="20"/>
          <w:szCs w:val="20"/>
        </w:rPr>
      </w:pPr>
      <w:bookmarkStart w:colFirst="0" w:colLast="0" w:name="_heading=h.blfv0mmywlqi" w:id="13"/>
      <w:bookmarkEnd w:id="13"/>
      <w:r w:rsidDel="00000000" w:rsidR="00000000" w:rsidRPr="00000000">
        <w:rPr>
          <w:rFonts w:ascii="Times New Roman" w:cs="Times New Roman" w:eastAsia="Times New Roman" w:hAnsi="Times New Roman"/>
          <w:b w:val="1"/>
          <w:color w:val="000000"/>
          <w:sz w:val="20"/>
          <w:szCs w:val="20"/>
          <w:rtl w:val="0"/>
        </w:rPr>
        <w:t xml:space="preserve"> </w:t>
      </w:r>
      <w:r w:rsidDel="00000000" w:rsidR="00000000" w:rsidRPr="00000000">
        <w:rPr>
          <w:rFonts w:ascii="Times New Roman" w:cs="Times New Roman" w:eastAsia="Times New Roman" w:hAnsi="Times New Roman"/>
          <w:b w:val="1"/>
          <w:color w:val="000000"/>
          <w:sz w:val="20"/>
          <w:szCs w:val="20"/>
          <w:rtl w:val="0"/>
        </w:rPr>
        <w:t xml:space="preserve">Recomendaciones</w:t>
      </w:r>
      <w:r w:rsidDel="00000000" w:rsidR="00000000" w:rsidRPr="00000000">
        <w:rPr>
          <w:rFonts w:ascii="Times New Roman" w:cs="Times New Roman" w:eastAsia="Times New Roman" w:hAnsi="Times New Roman"/>
          <w:b w:val="1"/>
          <w:color w:val="000000"/>
          <w:sz w:val="20"/>
          <w:szCs w:val="20"/>
          <w:rtl w:val="0"/>
        </w:rPr>
        <w:t xml:space="preserve"> </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48</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La adopción de leyes ge</w:t>
      </w:r>
      <w:r w:rsidDel="00000000" w:rsidR="00000000" w:rsidRPr="00000000">
        <w:rPr>
          <w:rFonts w:ascii="Times New Roman" w:cs="Times New Roman" w:eastAsia="Times New Roman" w:hAnsi="Times New Roman"/>
          <w:sz w:val="20"/>
          <w:szCs w:val="20"/>
          <w:rtl w:val="0"/>
        </w:rPr>
        <w:t xml:space="preserve">nerales, por parte del Congreso de la República, </w:t>
      </w:r>
      <w:r w:rsidDel="00000000" w:rsidR="00000000" w:rsidRPr="00000000">
        <w:rPr>
          <w:rFonts w:ascii="Times New Roman" w:cs="Times New Roman" w:eastAsia="Times New Roman" w:hAnsi="Times New Roman"/>
          <w:color w:val="000000"/>
          <w:sz w:val="20"/>
          <w:szCs w:val="20"/>
          <w:rtl w:val="0"/>
        </w:rPr>
        <w:t xml:space="preserve">que conduzcan a la prohibición de la realización de las prácticas de conversión</w:t>
      </w:r>
      <w:r w:rsidDel="00000000" w:rsidR="00000000" w:rsidRPr="00000000">
        <w:rPr>
          <w:rFonts w:ascii="Times New Roman" w:cs="Times New Roman" w:eastAsia="Times New Roman" w:hAnsi="Times New Roman"/>
          <w:sz w:val="20"/>
          <w:szCs w:val="20"/>
          <w:rtl w:val="0"/>
        </w:rPr>
        <w:t xml:space="preserve"> y a la adopción de estrategias de prevención, atención y reparación.  </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49. La adopción, por parte de entidades de carácter nacional, como el Ministerio de Justicia y del Derecho, el Ministerio de Igualdad y Equidad, el Ministerio del Interior, el Ministerio de Salud y Protección Social, el Ministerio de Educación Nacional, de políticas públicas orientadas a la adopción de estrategias de prevención, atención y reparación de casos de prácticas de conversión. Estas políticas pueden incluir, entre otras estrategias, campañas de comunicación pública para la sensibilización y prevención.</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 </w:t>
      </w:r>
      <w:r w:rsidDel="00000000" w:rsidR="00000000" w:rsidRPr="00000000">
        <w:rPr>
          <w:rFonts w:ascii="Times New Roman" w:cs="Times New Roman" w:eastAsia="Times New Roman" w:hAnsi="Times New Roman"/>
          <w:color w:val="000000"/>
          <w:sz w:val="20"/>
          <w:szCs w:val="20"/>
          <w:rtl w:val="0"/>
        </w:rPr>
        <w:t xml:space="preserve">La construcción, </w:t>
      </w:r>
      <w:r w:rsidDel="00000000" w:rsidR="00000000" w:rsidRPr="00000000">
        <w:rPr>
          <w:rFonts w:ascii="Times New Roman" w:cs="Times New Roman" w:eastAsia="Times New Roman" w:hAnsi="Times New Roman"/>
          <w:sz w:val="20"/>
          <w:szCs w:val="20"/>
          <w:rtl w:val="0"/>
        </w:rPr>
        <w:t xml:space="preserve">por parte del Ministerio de Salud y Protección Social, </w:t>
      </w:r>
      <w:r w:rsidDel="00000000" w:rsidR="00000000" w:rsidRPr="00000000">
        <w:rPr>
          <w:rFonts w:ascii="Times New Roman" w:cs="Times New Roman" w:eastAsia="Times New Roman" w:hAnsi="Times New Roman"/>
          <w:color w:val="000000"/>
          <w:sz w:val="20"/>
          <w:szCs w:val="20"/>
          <w:rtl w:val="0"/>
        </w:rPr>
        <w:t xml:space="preserve">de rutas de atención diferencial en especial en clave de salud física y mental para sobrevivientes de </w:t>
      </w:r>
      <w:r w:rsidDel="00000000" w:rsidR="00000000" w:rsidRPr="00000000">
        <w:rPr>
          <w:rFonts w:ascii="Times New Roman" w:cs="Times New Roman" w:eastAsia="Times New Roman" w:hAnsi="Times New Roman"/>
          <w:sz w:val="20"/>
          <w:szCs w:val="20"/>
          <w:rtl w:val="0"/>
        </w:rPr>
        <w:t xml:space="preserve">prácticas de conversión.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51. </w:t>
      </w:r>
      <w:r w:rsidDel="00000000" w:rsidR="00000000" w:rsidRPr="00000000">
        <w:rPr>
          <w:rFonts w:ascii="Times New Roman" w:cs="Times New Roman" w:eastAsia="Times New Roman" w:hAnsi="Times New Roman"/>
          <w:color w:val="000000"/>
          <w:sz w:val="20"/>
          <w:szCs w:val="20"/>
          <w:rtl w:val="0"/>
        </w:rPr>
        <w:t xml:space="preserve">La adopción, por parte d</w:t>
      </w:r>
      <w:r w:rsidDel="00000000" w:rsidR="00000000" w:rsidRPr="00000000">
        <w:rPr>
          <w:rFonts w:ascii="Times New Roman" w:cs="Times New Roman" w:eastAsia="Times New Roman" w:hAnsi="Times New Roman"/>
          <w:sz w:val="20"/>
          <w:szCs w:val="20"/>
          <w:rtl w:val="0"/>
        </w:rPr>
        <w:t xml:space="preserve">el Ministerio de Justicia y del Derecho, el Ministerio de Igualdad y Equidad, el Ministerio del Interior, el Ministerio de Salud y Protección Social, el Ministerio de Educación Nacional,</w:t>
      </w:r>
      <w:r w:rsidDel="00000000" w:rsidR="00000000" w:rsidRPr="00000000">
        <w:rPr>
          <w:rFonts w:ascii="Times New Roman" w:cs="Times New Roman" w:eastAsia="Times New Roman" w:hAnsi="Times New Roman"/>
          <w:color w:val="000000"/>
          <w:sz w:val="20"/>
          <w:szCs w:val="20"/>
          <w:rtl w:val="0"/>
        </w:rPr>
        <w:t xml:space="preserve"> de guías y protocolos para el sector salud, el sector educativo y el sector justicia para prevenir, atender, investigar con debida diligencia y reparar a las víctimas de </w:t>
      </w:r>
      <w:r w:rsidDel="00000000" w:rsidR="00000000" w:rsidRPr="00000000">
        <w:rPr>
          <w:rFonts w:ascii="Times New Roman" w:cs="Times New Roman" w:eastAsia="Times New Roman" w:hAnsi="Times New Roman"/>
          <w:sz w:val="20"/>
          <w:szCs w:val="20"/>
          <w:rtl w:val="0"/>
        </w:rPr>
        <w:t xml:space="preserve">las </w:t>
      </w:r>
      <w:r w:rsidDel="00000000" w:rsidR="00000000" w:rsidRPr="00000000">
        <w:rPr>
          <w:rFonts w:ascii="Times New Roman" w:cs="Times New Roman" w:eastAsia="Times New Roman" w:hAnsi="Times New Roman"/>
          <w:color w:val="000000"/>
          <w:sz w:val="20"/>
          <w:szCs w:val="20"/>
          <w:rtl w:val="0"/>
        </w:rPr>
        <w:t xml:space="preserve">prácticas de conversión.</w:t>
      </w:r>
      <w:r w:rsidDel="00000000" w:rsidR="00000000" w:rsidRPr="00000000">
        <w:rPr>
          <w:rFonts w:ascii="Times New Roman" w:cs="Times New Roman" w:eastAsia="Times New Roman" w:hAnsi="Times New Roman"/>
          <w:color w:val="000000"/>
          <w:sz w:val="20"/>
          <w:szCs w:val="20"/>
          <w:rtl w:val="0"/>
        </w:rPr>
        <w:t xml:space="preserve"> </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w:t>
      </w:r>
      <w:r w:rsidDel="00000000" w:rsidR="00000000" w:rsidRPr="00000000">
        <w:rPr>
          <w:rFonts w:ascii="Times New Roman" w:cs="Times New Roman" w:eastAsia="Times New Roman" w:hAnsi="Times New Roman"/>
          <w:sz w:val="20"/>
          <w:szCs w:val="20"/>
          <w:rtl w:val="0"/>
        </w:rPr>
        <w:t xml:space="preserve">2</w:t>
      </w:r>
      <w:r w:rsidDel="00000000" w:rsidR="00000000" w:rsidRPr="00000000">
        <w:rPr>
          <w:rFonts w:ascii="Times New Roman" w:cs="Times New Roman" w:eastAsia="Times New Roman" w:hAnsi="Times New Roman"/>
          <w:color w:val="000000"/>
          <w:sz w:val="20"/>
          <w:szCs w:val="20"/>
          <w:rtl w:val="0"/>
        </w:rPr>
        <w:t xml:space="preserve">. La eliminación de las barreras para el acceso a la salud de las personas trans, a través de </w:t>
      </w:r>
      <w:r w:rsidDel="00000000" w:rsidR="00000000" w:rsidRPr="00000000">
        <w:rPr>
          <w:rFonts w:ascii="Times New Roman" w:cs="Times New Roman" w:eastAsia="Times New Roman" w:hAnsi="Times New Roman"/>
          <w:sz w:val="20"/>
          <w:szCs w:val="20"/>
          <w:rtl w:val="0"/>
        </w:rPr>
        <w:t xml:space="preserve">normativa </w:t>
      </w:r>
      <w:r w:rsidDel="00000000" w:rsidR="00000000" w:rsidRPr="00000000">
        <w:rPr>
          <w:rFonts w:ascii="Times New Roman" w:cs="Times New Roman" w:eastAsia="Times New Roman" w:hAnsi="Times New Roman"/>
          <w:color w:val="000000"/>
          <w:sz w:val="20"/>
          <w:szCs w:val="20"/>
          <w:rtl w:val="0"/>
        </w:rPr>
        <w:t xml:space="preserve">y políticas públicas, por parte del Ministerio de Salud y Protección Social, que conduzcan a eliminar el binarismo de género transversal en el sistema de salud.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 </w:t>
      </w:r>
      <w:r w:rsidDel="00000000" w:rsidR="00000000" w:rsidRPr="00000000">
        <w:rPr>
          <w:rFonts w:ascii="Times New Roman" w:cs="Times New Roman" w:eastAsia="Times New Roman" w:hAnsi="Times New Roman"/>
          <w:color w:val="000000"/>
          <w:sz w:val="20"/>
          <w:szCs w:val="20"/>
          <w:rtl w:val="0"/>
        </w:rPr>
        <w:t xml:space="preserve">La adopción, por parte del Ministerio de Salud y Protección Social, de una guía de práctica clínica con los más altos y actualizados estándares para la atención integral de personas trans y no binarias</w:t>
      </w:r>
      <w:r w:rsidDel="00000000" w:rsidR="00000000" w:rsidRPr="00000000">
        <w:rPr>
          <w:rFonts w:ascii="Times New Roman" w:cs="Times New Roman" w:eastAsia="Times New Roman" w:hAnsi="Times New Roman"/>
          <w:sz w:val="20"/>
          <w:szCs w:val="20"/>
          <w:rtl w:val="0"/>
        </w:rPr>
        <w:t xml:space="preserve">, en cumplimiento de los ordenado en la Sentencia T-218 de 2022.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54. La </w:t>
      </w:r>
      <w:r w:rsidDel="00000000" w:rsidR="00000000" w:rsidRPr="00000000">
        <w:rPr>
          <w:rFonts w:ascii="Times New Roman" w:cs="Times New Roman" w:eastAsia="Times New Roman" w:hAnsi="Times New Roman"/>
          <w:sz w:val="20"/>
          <w:szCs w:val="20"/>
          <w:rtl w:val="0"/>
        </w:rPr>
        <w:t xml:space="preserve">implementación, por parte del Ministerio de Salud y Protección Social,</w:t>
      </w:r>
      <w:r w:rsidDel="00000000" w:rsidR="00000000" w:rsidRPr="00000000">
        <w:rPr>
          <w:rFonts w:ascii="Times New Roman" w:cs="Times New Roman" w:eastAsia="Times New Roman" w:hAnsi="Times New Roman"/>
          <w:color w:val="000000"/>
          <w:sz w:val="20"/>
          <w:szCs w:val="20"/>
          <w:rtl w:val="0"/>
        </w:rPr>
        <w:t xml:space="preserve"> de </w:t>
      </w:r>
      <w:r w:rsidDel="00000000" w:rsidR="00000000" w:rsidRPr="00000000">
        <w:rPr>
          <w:rFonts w:ascii="Times New Roman" w:cs="Times New Roman" w:eastAsia="Times New Roman" w:hAnsi="Times New Roman"/>
          <w:sz w:val="20"/>
          <w:szCs w:val="20"/>
          <w:rtl w:val="0"/>
        </w:rPr>
        <w:t xml:space="preserve">procesos formativos dirigidos a</w:t>
      </w:r>
      <w:r w:rsidDel="00000000" w:rsidR="00000000" w:rsidRPr="00000000">
        <w:rPr>
          <w:rFonts w:ascii="Times New Roman" w:cs="Times New Roman" w:eastAsia="Times New Roman" w:hAnsi="Times New Roman"/>
          <w:color w:val="000000"/>
          <w:sz w:val="20"/>
          <w:szCs w:val="20"/>
          <w:rtl w:val="0"/>
        </w:rPr>
        <w:t xml:space="preserve"> profesionales de salud y personal administrativo en clave de derechos de personas trans y no binarias y personas que viven con VIH</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55. L</w:t>
      </w:r>
      <w:r w:rsidDel="00000000" w:rsidR="00000000" w:rsidRPr="00000000">
        <w:rPr>
          <w:rFonts w:ascii="Times New Roman" w:cs="Times New Roman" w:eastAsia="Times New Roman" w:hAnsi="Times New Roman"/>
          <w:sz w:val="20"/>
          <w:szCs w:val="20"/>
          <w:rtl w:val="0"/>
        </w:rPr>
        <w:t xml:space="preserve">a implementación, por parte del Ministerio de Salud y Protección Social, </w:t>
      </w:r>
      <w:r w:rsidDel="00000000" w:rsidR="00000000" w:rsidRPr="00000000">
        <w:rPr>
          <w:rFonts w:ascii="Times New Roman" w:cs="Times New Roman" w:eastAsia="Times New Roman" w:hAnsi="Times New Roman"/>
          <w:color w:val="000000"/>
          <w:sz w:val="20"/>
          <w:szCs w:val="20"/>
          <w:rtl w:val="0"/>
        </w:rPr>
        <w:t xml:space="preserve">de campañas de sensibilización </w:t>
      </w:r>
      <w:r w:rsidDel="00000000" w:rsidR="00000000" w:rsidRPr="00000000">
        <w:rPr>
          <w:rFonts w:ascii="Times New Roman" w:cs="Times New Roman" w:eastAsia="Times New Roman" w:hAnsi="Times New Roman"/>
          <w:sz w:val="20"/>
          <w:szCs w:val="20"/>
          <w:rtl w:val="0"/>
        </w:rPr>
        <w:t xml:space="preserve">orientadas a promover</w:t>
      </w:r>
      <w:r w:rsidDel="00000000" w:rsidR="00000000" w:rsidRPr="00000000">
        <w:rPr>
          <w:rFonts w:ascii="Times New Roman" w:cs="Times New Roman" w:eastAsia="Times New Roman" w:hAnsi="Times New Roman"/>
          <w:color w:val="000000"/>
          <w:sz w:val="20"/>
          <w:szCs w:val="20"/>
          <w:rtl w:val="0"/>
        </w:rPr>
        <w:t xml:space="preserve"> tratos humanizados y sin discriminación.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56.</w:t>
      </w:r>
      <w:r w:rsidDel="00000000" w:rsidR="00000000" w:rsidRPr="00000000">
        <w:rPr>
          <w:rFonts w:ascii="Times New Roman" w:cs="Times New Roman" w:eastAsia="Times New Roman" w:hAnsi="Times New Roman"/>
          <w:color w:val="000000"/>
          <w:sz w:val="20"/>
          <w:szCs w:val="20"/>
          <w:rtl w:val="0"/>
        </w:rPr>
        <w:t xml:space="preserve"> La adopción de </w:t>
      </w:r>
      <w:r w:rsidDel="00000000" w:rsidR="00000000" w:rsidRPr="00000000">
        <w:rPr>
          <w:rFonts w:ascii="Times New Roman" w:cs="Times New Roman" w:eastAsia="Times New Roman" w:hAnsi="Times New Roman"/>
          <w:sz w:val="20"/>
          <w:szCs w:val="20"/>
          <w:rtl w:val="0"/>
        </w:rPr>
        <w:t xml:space="preserve">normativa</w:t>
      </w:r>
      <w:r w:rsidDel="00000000" w:rsidR="00000000" w:rsidRPr="00000000">
        <w:rPr>
          <w:rFonts w:ascii="Times New Roman" w:cs="Times New Roman" w:eastAsia="Times New Roman" w:hAnsi="Times New Roman"/>
          <w:color w:val="000000"/>
          <w:sz w:val="20"/>
          <w:szCs w:val="20"/>
          <w:rtl w:val="0"/>
        </w:rPr>
        <w:t xml:space="preserve"> y políticas públicas, </w:t>
      </w:r>
      <w:r w:rsidDel="00000000" w:rsidR="00000000" w:rsidRPr="00000000">
        <w:rPr>
          <w:rFonts w:ascii="Times New Roman" w:cs="Times New Roman" w:eastAsia="Times New Roman" w:hAnsi="Times New Roman"/>
          <w:sz w:val="20"/>
          <w:szCs w:val="20"/>
          <w:rtl w:val="0"/>
        </w:rPr>
        <w:t xml:space="preserve">por parte del Ministerio de Salud y Protección Social, </w:t>
      </w:r>
      <w:r w:rsidDel="00000000" w:rsidR="00000000" w:rsidRPr="00000000">
        <w:rPr>
          <w:rFonts w:ascii="Times New Roman" w:cs="Times New Roman" w:eastAsia="Times New Roman" w:hAnsi="Times New Roman"/>
          <w:color w:val="000000"/>
          <w:sz w:val="20"/>
          <w:szCs w:val="20"/>
          <w:rtl w:val="0"/>
        </w:rPr>
        <w:t xml:space="preserve">que eliminen las barreras de las personas LGBTIQ+ que viven con VIH en el sistema de salud</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57. L</w:t>
      </w:r>
      <w:r w:rsidDel="00000000" w:rsidR="00000000" w:rsidRPr="00000000">
        <w:rPr>
          <w:rFonts w:ascii="Times New Roman" w:cs="Times New Roman" w:eastAsia="Times New Roman" w:hAnsi="Times New Roman"/>
          <w:color w:val="000000"/>
          <w:sz w:val="20"/>
          <w:szCs w:val="20"/>
          <w:rtl w:val="0"/>
        </w:rPr>
        <w:t xml:space="preserve">a adopción</w:t>
      </w:r>
      <w:r w:rsidDel="00000000" w:rsidR="00000000" w:rsidRPr="00000000">
        <w:rPr>
          <w:rFonts w:ascii="Times New Roman" w:cs="Times New Roman" w:eastAsia="Times New Roman" w:hAnsi="Times New Roman"/>
          <w:sz w:val="20"/>
          <w:szCs w:val="20"/>
          <w:rtl w:val="0"/>
        </w:rPr>
        <w:t xml:space="preserve">, por parte del Ministerio de Salud y Protección Social, </w:t>
      </w:r>
      <w:r w:rsidDel="00000000" w:rsidR="00000000" w:rsidRPr="00000000">
        <w:rPr>
          <w:rFonts w:ascii="Times New Roman" w:cs="Times New Roman" w:eastAsia="Times New Roman" w:hAnsi="Times New Roman"/>
          <w:color w:val="000000"/>
          <w:sz w:val="20"/>
          <w:szCs w:val="20"/>
          <w:rtl w:val="0"/>
        </w:rPr>
        <w:t xml:space="preserve">de perspectivas novedosas de atención diferencial como la relativa al chemsex y otros enfoques poblacionales interseccionales</w:t>
      </w:r>
      <w:r w:rsidDel="00000000" w:rsidR="00000000" w:rsidRPr="00000000">
        <w:rPr>
          <w:rFonts w:ascii="Times New Roman" w:cs="Times New Roman" w:eastAsia="Times New Roman" w:hAnsi="Times New Roman"/>
          <w:sz w:val="20"/>
          <w:szCs w:val="20"/>
          <w:rtl w:val="0"/>
        </w:rPr>
        <w:t xml:space="preserve"> y e</w:t>
      </w:r>
      <w:r w:rsidDel="00000000" w:rsidR="00000000" w:rsidRPr="00000000">
        <w:rPr>
          <w:rFonts w:ascii="Times New Roman" w:cs="Times New Roman" w:eastAsia="Times New Roman" w:hAnsi="Times New Roman"/>
          <w:color w:val="000000"/>
          <w:sz w:val="20"/>
          <w:szCs w:val="20"/>
          <w:rtl w:val="0"/>
        </w:rPr>
        <w:t xml:space="preserve">l fortalecimiento de los mecanismos de prevención combinada. </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58. </w:t>
      </w:r>
      <w:r w:rsidDel="00000000" w:rsidR="00000000" w:rsidRPr="00000000">
        <w:rPr>
          <w:rFonts w:ascii="Times New Roman" w:cs="Times New Roman" w:eastAsia="Times New Roman" w:hAnsi="Times New Roman"/>
          <w:color w:val="000000"/>
          <w:sz w:val="20"/>
          <w:szCs w:val="20"/>
          <w:rtl w:val="0"/>
        </w:rPr>
        <w:t xml:space="preserve">La realización, </w:t>
      </w:r>
      <w:r w:rsidDel="00000000" w:rsidR="00000000" w:rsidRPr="00000000">
        <w:rPr>
          <w:rFonts w:ascii="Times New Roman" w:cs="Times New Roman" w:eastAsia="Times New Roman" w:hAnsi="Times New Roman"/>
          <w:sz w:val="20"/>
          <w:szCs w:val="20"/>
          <w:rtl w:val="0"/>
        </w:rPr>
        <w:t xml:space="preserve">por parte del Ministerio de Salud y Protección Social y el Instituto Nacional de Salud, </w:t>
      </w:r>
      <w:r w:rsidDel="00000000" w:rsidR="00000000" w:rsidRPr="00000000">
        <w:rPr>
          <w:rFonts w:ascii="Times New Roman" w:cs="Times New Roman" w:eastAsia="Times New Roman" w:hAnsi="Times New Roman"/>
          <w:color w:val="000000"/>
          <w:sz w:val="20"/>
          <w:szCs w:val="20"/>
          <w:rtl w:val="0"/>
        </w:rPr>
        <w:t xml:space="preserve">de procesos de formación y sensibilización a los profesionales de salud y administrativos y de campañas de sensibilización que conduzcan a tratos humanizados y sin discriminación. </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59</w:t>
      </w:r>
      <w:r w:rsidDel="00000000" w:rsidR="00000000" w:rsidRPr="00000000">
        <w:rPr>
          <w:rFonts w:ascii="Times New Roman" w:cs="Times New Roman" w:eastAsia="Times New Roman" w:hAnsi="Times New Roman"/>
          <w:color w:val="000000"/>
          <w:sz w:val="20"/>
          <w:szCs w:val="20"/>
          <w:rtl w:val="0"/>
        </w:rPr>
        <w:t xml:space="preserve">. La adopción, por parte de</w:t>
      </w:r>
      <w:r w:rsidDel="00000000" w:rsidR="00000000" w:rsidRPr="00000000">
        <w:rPr>
          <w:rFonts w:ascii="Times New Roman" w:cs="Times New Roman" w:eastAsia="Times New Roman" w:hAnsi="Times New Roman"/>
          <w:sz w:val="20"/>
          <w:szCs w:val="20"/>
          <w:rtl w:val="0"/>
        </w:rPr>
        <w:t xml:space="preserve">l Ministerio del Interior, y entidades del sector,</w:t>
      </w:r>
      <w:r w:rsidDel="00000000" w:rsidR="00000000" w:rsidRPr="00000000">
        <w:rPr>
          <w:rFonts w:ascii="Times New Roman" w:cs="Times New Roman" w:eastAsia="Times New Roman" w:hAnsi="Times New Roman"/>
          <w:color w:val="000000"/>
          <w:sz w:val="20"/>
          <w:szCs w:val="20"/>
          <w:rtl w:val="0"/>
        </w:rPr>
        <w:t xml:space="preserve"> de mecanismos diferenciados para el reconocimiento jurídico de comunidades indígenas LGBTIQ+, como las Mariposas del Café lo cual permitirá garantizar su participación política, el acceso a recursos públicos y el reconocimiento de sus formas propias de organización. Reconocer jurídicamente a estas comunidades posibilita la formulación de políticas públicas con enfoque interseccional, diferencial y territorial. </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60. El desarrollo e implementación, por parte del </w:t>
      </w:r>
      <w:r w:rsidDel="00000000" w:rsidR="00000000" w:rsidRPr="00000000">
        <w:rPr>
          <w:rFonts w:ascii="Times New Roman" w:cs="Times New Roman" w:eastAsia="Times New Roman" w:hAnsi="Times New Roman"/>
          <w:color w:val="000000"/>
          <w:sz w:val="20"/>
          <w:szCs w:val="20"/>
          <w:rtl w:val="0"/>
        </w:rPr>
        <w:t xml:space="preserve">Ministerio de Salud y protección social y </w:t>
      </w:r>
      <w:r w:rsidDel="00000000" w:rsidR="00000000" w:rsidRPr="00000000">
        <w:rPr>
          <w:rFonts w:ascii="Times New Roman" w:cs="Times New Roman" w:eastAsia="Times New Roman" w:hAnsi="Times New Roman"/>
          <w:sz w:val="20"/>
          <w:szCs w:val="20"/>
          <w:rtl w:val="0"/>
        </w:rPr>
        <w:t xml:space="preserve">de</w:t>
      </w:r>
      <w:r w:rsidDel="00000000" w:rsidR="00000000" w:rsidRPr="00000000">
        <w:rPr>
          <w:rFonts w:ascii="Times New Roman" w:cs="Times New Roman" w:eastAsia="Times New Roman" w:hAnsi="Times New Roman"/>
          <w:color w:val="000000"/>
          <w:sz w:val="20"/>
          <w:szCs w:val="20"/>
          <w:rtl w:val="0"/>
        </w:rPr>
        <w:t xml:space="preserve"> las entidades territoriales, de modelos integrales de atención en salud intercultural con enfoque interseccional, que incluyan formación al personal sanitario, contratación de mediadores culturales, incorporación de saberes médicos tradicionales y reconocimiento de la identidad de género en el sistema de salud. El actual modelo biomédico desconoce las especificidades culturales y de género de estas mujeres, lo que impide el ejercicio efectivo de su derecho a la salud. Una atención con enfoque interseccional permitiría prevenir la revictimización, mejorar la adherencia al tratamiento y garantizar el acceso efectivo a servicios adecuados, especialmente en la atención de ITS y VIH.</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61</w:t>
      </w:r>
      <w:r w:rsidDel="00000000" w:rsidR="00000000" w:rsidRPr="00000000">
        <w:rPr>
          <w:rFonts w:ascii="Times New Roman" w:cs="Times New Roman" w:eastAsia="Times New Roman" w:hAnsi="Times New Roman"/>
          <w:color w:val="000000"/>
          <w:sz w:val="20"/>
          <w:szCs w:val="20"/>
          <w:rtl w:val="0"/>
        </w:rPr>
        <w:t xml:space="preserve">. La eliminación de las barreras que conducen a desincentivar o impedir que las personas trans y binarias modifiquen sus documentos de identidad por parte de las Notarías. Ello implica realizar procesos de formación y sensibilización a funcionarios de notar</w:t>
      </w:r>
      <w:r w:rsidDel="00000000" w:rsidR="00000000" w:rsidRPr="00000000">
        <w:rPr>
          <w:rFonts w:ascii="Times New Roman" w:cs="Times New Roman" w:eastAsia="Times New Roman" w:hAnsi="Times New Roman"/>
          <w:sz w:val="20"/>
          <w:szCs w:val="20"/>
          <w:rtl w:val="0"/>
        </w:rPr>
        <w:t xml:space="preserve">í</w:t>
      </w:r>
      <w:r w:rsidDel="00000000" w:rsidR="00000000" w:rsidRPr="00000000">
        <w:rPr>
          <w:rFonts w:ascii="Times New Roman" w:cs="Times New Roman" w:eastAsia="Times New Roman" w:hAnsi="Times New Roman"/>
          <w:color w:val="000000"/>
          <w:sz w:val="20"/>
          <w:szCs w:val="20"/>
          <w:rtl w:val="0"/>
        </w:rPr>
        <w:t xml:space="preserve">as, así como fortalecer los mecanismos de vigilancia y sanción a estas entidades. </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62. La adecuación normativa, por parte de la Registraduría Nacional del Estado Civil, el Ministerio de Justicia y del Derecho y la Superintendencia de Notariado y Registro, que conduzca a</w:t>
      </w:r>
      <w:r w:rsidDel="00000000" w:rsidR="00000000" w:rsidRPr="00000000">
        <w:rPr>
          <w:rFonts w:ascii="Times New Roman" w:cs="Times New Roman" w:eastAsia="Times New Roman" w:hAnsi="Times New Roman"/>
          <w:color w:val="000000"/>
          <w:sz w:val="20"/>
          <w:szCs w:val="20"/>
          <w:rtl w:val="0"/>
        </w:rPr>
        <w:t xml:space="preserve"> la gratuidad para </w:t>
      </w:r>
      <w:r w:rsidDel="00000000" w:rsidR="00000000" w:rsidRPr="00000000">
        <w:rPr>
          <w:rFonts w:ascii="Times New Roman" w:cs="Times New Roman" w:eastAsia="Times New Roman" w:hAnsi="Times New Roman"/>
          <w:sz w:val="20"/>
          <w:szCs w:val="20"/>
          <w:rtl w:val="0"/>
        </w:rPr>
        <w:t xml:space="preserve">los </w:t>
      </w:r>
      <w:r w:rsidDel="00000000" w:rsidR="00000000" w:rsidRPr="00000000">
        <w:rPr>
          <w:rFonts w:ascii="Times New Roman" w:cs="Times New Roman" w:eastAsia="Times New Roman" w:hAnsi="Times New Roman"/>
          <w:color w:val="000000"/>
          <w:sz w:val="20"/>
          <w:szCs w:val="20"/>
          <w:rtl w:val="0"/>
        </w:rPr>
        <w:t xml:space="preserve">procedimientos de cambio de componente </w:t>
      </w:r>
      <w:r w:rsidDel="00000000" w:rsidR="00000000" w:rsidRPr="00000000">
        <w:rPr>
          <w:rFonts w:ascii="Times New Roman" w:cs="Times New Roman" w:eastAsia="Times New Roman" w:hAnsi="Times New Roman"/>
          <w:sz w:val="20"/>
          <w:szCs w:val="20"/>
          <w:rtl w:val="0"/>
        </w:rPr>
        <w:t xml:space="preserve">“sexo” en los documentos de identidad para personas trans y no binarias, </w:t>
      </w:r>
      <w:r w:rsidDel="00000000" w:rsidR="00000000" w:rsidRPr="00000000">
        <w:rPr>
          <w:rFonts w:ascii="Times New Roman" w:cs="Times New Roman" w:eastAsia="Times New Roman" w:hAnsi="Times New Roman"/>
          <w:color w:val="000000"/>
          <w:sz w:val="20"/>
          <w:szCs w:val="20"/>
          <w:rtl w:val="0"/>
        </w:rPr>
        <w:t xml:space="preserve">en aplicación de la Opinión Consultiva 24 de 2017 de la Corte Interamericana de Derechos Humanos. </w:t>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63. La</w:t>
      </w:r>
      <w:r w:rsidDel="00000000" w:rsidR="00000000" w:rsidRPr="00000000">
        <w:rPr>
          <w:rFonts w:ascii="Times New Roman" w:cs="Times New Roman" w:eastAsia="Times New Roman" w:hAnsi="Times New Roman"/>
          <w:color w:val="000000"/>
          <w:sz w:val="20"/>
          <w:szCs w:val="20"/>
          <w:rtl w:val="0"/>
        </w:rPr>
        <w:t xml:space="preserve"> transversaliza</w:t>
      </w:r>
      <w:r w:rsidDel="00000000" w:rsidR="00000000" w:rsidRPr="00000000">
        <w:rPr>
          <w:rFonts w:ascii="Times New Roman" w:cs="Times New Roman" w:eastAsia="Times New Roman" w:hAnsi="Times New Roman"/>
          <w:sz w:val="20"/>
          <w:szCs w:val="20"/>
          <w:rtl w:val="0"/>
        </w:rPr>
        <w:t xml:space="preserve">ción</w:t>
      </w:r>
      <w:r w:rsidDel="00000000" w:rsidR="00000000" w:rsidRPr="00000000">
        <w:rPr>
          <w:rFonts w:ascii="Times New Roman" w:cs="Times New Roman" w:eastAsia="Times New Roman" w:hAnsi="Times New Roman"/>
          <w:color w:val="000000"/>
          <w:sz w:val="20"/>
          <w:szCs w:val="20"/>
          <w:rtl w:val="0"/>
        </w:rPr>
        <w:t xml:space="preserve">, por parte de entidades como el Ministerio de Igualdad y Equidad, el </w:t>
      </w:r>
      <w:r w:rsidDel="00000000" w:rsidR="00000000" w:rsidRPr="00000000">
        <w:rPr>
          <w:rFonts w:ascii="Times New Roman" w:cs="Times New Roman" w:eastAsia="Times New Roman" w:hAnsi="Times New Roman"/>
          <w:sz w:val="20"/>
          <w:szCs w:val="20"/>
          <w:rtl w:val="0"/>
        </w:rPr>
        <w:t xml:space="preserve">Ministerio</w:t>
      </w:r>
      <w:r w:rsidDel="00000000" w:rsidR="00000000" w:rsidRPr="00000000">
        <w:rPr>
          <w:rFonts w:ascii="Times New Roman" w:cs="Times New Roman" w:eastAsia="Times New Roman" w:hAnsi="Times New Roman"/>
          <w:color w:val="000000"/>
          <w:sz w:val="20"/>
          <w:szCs w:val="20"/>
          <w:rtl w:val="0"/>
        </w:rPr>
        <w:t xml:space="preserve"> del Interior y el Ministerio de Justicia y del Derecho, de normativas para todas las esferas estatales, </w:t>
      </w:r>
      <w:r w:rsidDel="00000000" w:rsidR="00000000" w:rsidRPr="00000000">
        <w:rPr>
          <w:rFonts w:ascii="Times New Roman" w:cs="Times New Roman" w:eastAsia="Times New Roman" w:hAnsi="Times New Roman"/>
          <w:sz w:val="20"/>
          <w:szCs w:val="20"/>
          <w:rtl w:val="0"/>
        </w:rPr>
        <w:t xml:space="preserve">relacionados con el deber de respeto y garantía d</w:t>
      </w:r>
      <w:r w:rsidDel="00000000" w:rsidR="00000000" w:rsidRPr="00000000">
        <w:rPr>
          <w:rFonts w:ascii="Times New Roman" w:cs="Times New Roman" w:eastAsia="Times New Roman" w:hAnsi="Times New Roman"/>
          <w:color w:val="000000"/>
          <w:sz w:val="20"/>
          <w:szCs w:val="20"/>
          <w:rtl w:val="0"/>
        </w:rPr>
        <w:t xml:space="preserve">el nombre identitario y la identidad de género de las personas trans y no binarias independiente de que se hayan modificado o no los documentos de identidad. </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64</w:t>
      </w:r>
      <w:r w:rsidDel="00000000" w:rsidR="00000000" w:rsidRPr="00000000">
        <w:rPr>
          <w:rFonts w:ascii="Times New Roman" w:cs="Times New Roman" w:eastAsia="Times New Roman" w:hAnsi="Times New Roman"/>
          <w:color w:val="000000"/>
          <w:sz w:val="20"/>
          <w:szCs w:val="20"/>
          <w:rtl w:val="0"/>
        </w:rPr>
        <w:t xml:space="preserve">. La </w:t>
      </w:r>
      <w:r w:rsidDel="00000000" w:rsidR="00000000" w:rsidRPr="00000000">
        <w:rPr>
          <w:rFonts w:ascii="Times New Roman" w:cs="Times New Roman" w:eastAsia="Times New Roman" w:hAnsi="Times New Roman"/>
          <w:color w:val="000000"/>
          <w:sz w:val="20"/>
          <w:szCs w:val="20"/>
          <w:rtl w:val="0"/>
        </w:rPr>
        <w:t xml:space="preserve">expedición de una ley integral</w:t>
      </w:r>
      <w:r w:rsidDel="00000000" w:rsidR="00000000" w:rsidRPr="00000000">
        <w:rPr>
          <w:rFonts w:ascii="Times New Roman" w:cs="Times New Roman" w:eastAsia="Times New Roman" w:hAnsi="Times New Roman"/>
          <w:sz w:val="20"/>
          <w:szCs w:val="20"/>
          <w:rtl w:val="0"/>
        </w:rPr>
        <w:t xml:space="preserve">, por parte del Congreso de la República,</w:t>
      </w:r>
      <w:r w:rsidDel="00000000" w:rsidR="00000000" w:rsidRPr="00000000">
        <w:rPr>
          <w:rFonts w:ascii="Times New Roman" w:cs="Times New Roman" w:eastAsia="Times New Roman" w:hAnsi="Times New Roman"/>
          <w:color w:val="000000"/>
          <w:sz w:val="20"/>
          <w:szCs w:val="20"/>
          <w:rtl w:val="0"/>
        </w:rPr>
        <w:t xml:space="preserve"> que aborde los mecanismos específicos para el acceso a la pensión de vejez de las mujeres trans, los hombres trans y las personas no binarias donde se consig</w:t>
      </w:r>
      <w:r w:rsidDel="00000000" w:rsidR="00000000" w:rsidRPr="00000000">
        <w:rPr>
          <w:rFonts w:ascii="Times New Roman" w:cs="Times New Roman" w:eastAsia="Times New Roman" w:hAnsi="Times New Roman"/>
          <w:sz w:val="20"/>
          <w:szCs w:val="20"/>
          <w:rtl w:val="0"/>
        </w:rPr>
        <w:t xml:space="preserve">nen</w:t>
      </w:r>
      <w:r w:rsidDel="00000000" w:rsidR="00000000" w:rsidRPr="00000000">
        <w:rPr>
          <w:rFonts w:ascii="Times New Roman" w:cs="Times New Roman" w:eastAsia="Times New Roman" w:hAnsi="Times New Roman"/>
          <w:color w:val="000000"/>
          <w:sz w:val="20"/>
          <w:szCs w:val="20"/>
          <w:rtl w:val="0"/>
        </w:rPr>
        <w:t xml:space="preserve"> acciones afirmativas respecto a estas poblaciones</w:t>
      </w:r>
      <w:r w:rsidDel="00000000" w:rsidR="00000000" w:rsidRPr="00000000">
        <w:rPr>
          <w:rFonts w:ascii="Times New Roman" w:cs="Times New Roman" w:eastAsia="Times New Roman" w:hAnsi="Times New Roman"/>
          <w:sz w:val="20"/>
          <w:szCs w:val="20"/>
          <w:rtl w:val="0"/>
        </w:rPr>
        <w:t xml:space="preserve">, en cumplimiento de lo ordenado por la Sentencia C-408 de 2023 de la Corte Constitucional. </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65</w:t>
      </w:r>
      <w:r w:rsidDel="00000000" w:rsidR="00000000" w:rsidRPr="00000000">
        <w:rPr>
          <w:rFonts w:ascii="Times New Roman" w:cs="Times New Roman" w:eastAsia="Times New Roman" w:hAnsi="Times New Roman"/>
          <w:color w:val="000000"/>
          <w:sz w:val="20"/>
          <w:szCs w:val="20"/>
          <w:rtl w:val="0"/>
        </w:rPr>
        <w:t xml:space="preserve">. La expedición, por parte del Ministerio de Educación Nacional, de guías, protocolos, leyes, decretos y políticas que transversalicen el enfoque de diversidad sexual en las instituciones educativas, realizando programas de prevención y atención ante casos de discriminación, violencia y bullying, donde se capaciten y sensibilicen a docentes y profesionales administrativos, se ordene el respeto por la expresión de genero permitiendo usar uniformes que se adecuen con la identidad de género de la persona y se adopten programas especiales para la permanencia en la educación. </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66</w:t>
      </w:r>
      <w:r w:rsidDel="00000000" w:rsidR="00000000" w:rsidRPr="00000000">
        <w:rPr>
          <w:rFonts w:ascii="Times New Roman" w:cs="Times New Roman" w:eastAsia="Times New Roman" w:hAnsi="Times New Roman"/>
          <w:color w:val="000000"/>
          <w:sz w:val="20"/>
          <w:szCs w:val="20"/>
          <w:rtl w:val="0"/>
        </w:rPr>
        <w:t xml:space="preserve">. La adopción de guías, protocolos, leyes, decretos, circulares y políticas públicas, por parte del Ministerio del Trabajo, que avancen en la eliminación de hechos de discriminación en procesos de selección laboral y al interior de los centros de trabajo, en especial, en lo relativo a la prevención y atención ante el acoso laboral por hechos de discriminación con base en la identidad de género.</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67</w:t>
      </w:r>
      <w:r w:rsidDel="00000000" w:rsidR="00000000" w:rsidRPr="00000000">
        <w:rPr>
          <w:rFonts w:ascii="Times New Roman" w:cs="Times New Roman" w:eastAsia="Times New Roman" w:hAnsi="Times New Roman"/>
          <w:color w:val="000000"/>
          <w:sz w:val="20"/>
          <w:szCs w:val="20"/>
          <w:rtl w:val="0"/>
        </w:rPr>
        <w:t xml:space="preserve">. La adopción, por parte de Migración Colombia, de mecanismos de regularización jurídica sensibles al género donde se transversalice el enfoque de diversidad sexual. </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68. </w:t>
      </w:r>
      <w:r w:rsidDel="00000000" w:rsidR="00000000" w:rsidRPr="00000000">
        <w:rPr>
          <w:rFonts w:ascii="Times New Roman" w:cs="Times New Roman" w:eastAsia="Times New Roman" w:hAnsi="Times New Roman"/>
          <w:color w:val="000000"/>
          <w:sz w:val="20"/>
          <w:szCs w:val="20"/>
          <w:rtl w:val="0"/>
        </w:rPr>
        <w:t xml:space="preserve">El fortalecimiento del procedimiento para el reconocimiento de la condición de refugiado a partir del enfoque de diversidad sexual e interseccional por p</w:t>
      </w:r>
      <w:r w:rsidDel="00000000" w:rsidR="00000000" w:rsidRPr="00000000">
        <w:rPr>
          <w:rFonts w:ascii="Times New Roman" w:cs="Times New Roman" w:eastAsia="Times New Roman" w:hAnsi="Times New Roman"/>
          <w:sz w:val="20"/>
          <w:szCs w:val="20"/>
          <w:rtl w:val="0"/>
        </w:rPr>
        <w:t xml:space="preserve">arte del Ministerio de Relaciones Exteriores</w:t>
      </w:r>
      <w:r w:rsidDel="00000000" w:rsidR="00000000" w:rsidRPr="00000000">
        <w:rPr>
          <w:rFonts w:ascii="Times New Roman" w:cs="Times New Roman" w:eastAsia="Times New Roman" w:hAnsi="Times New Roman"/>
          <w:color w:val="000000"/>
          <w:sz w:val="20"/>
          <w:szCs w:val="20"/>
          <w:rtl w:val="0"/>
        </w:rPr>
        <w:t xml:space="preserve">. </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before="12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69. L</w:t>
      </w:r>
      <w:r w:rsidDel="00000000" w:rsidR="00000000" w:rsidRPr="00000000">
        <w:rPr>
          <w:rFonts w:ascii="Times New Roman" w:cs="Times New Roman" w:eastAsia="Times New Roman" w:hAnsi="Times New Roman"/>
          <w:color w:val="000000"/>
          <w:sz w:val="20"/>
          <w:szCs w:val="20"/>
          <w:rtl w:val="0"/>
        </w:rPr>
        <w:t xml:space="preserve">a adopción y tranvsersalización de </w:t>
      </w:r>
      <w:r w:rsidDel="00000000" w:rsidR="00000000" w:rsidRPr="00000000">
        <w:rPr>
          <w:rFonts w:ascii="Times New Roman" w:cs="Times New Roman" w:eastAsia="Times New Roman" w:hAnsi="Times New Roman"/>
          <w:sz w:val="20"/>
          <w:szCs w:val="20"/>
          <w:rtl w:val="0"/>
        </w:rPr>
        <w:t xml:space="preserve">normativa</w:t>
      </w:r>
      <w:r w:rsidDel="00000000" w:rsidR="00000000" w:rsidRPr="00000000">
        <w:rPr>
          <w:rFonts w:ascii="Times New Roman" w:cs="Times New Roman" w:eastAsia="Times New Roman" w:hAnsi="Times New Roman"/>
          <w:color w:val="000000"/>
          <w:sz w:val="20"/>
          <w:szCs w:val="20"/>
          <w:rtl w:val="0"/>
        </w:rPr>
        <w:t xml:space="preserve"> y políticas públicas que eliminen las barreras que experimenta la población LGBTIQ+ migrante y refugiada frente al acceso a sus derechos económicos, sociales y culturales </w:t>
      </w:r>
      <w:r w:rsidDel="00000000" w:rsidR="00000000" w:rsidRPr="00000000">
        <w:rPr>
          <w:rFonts w:ascii="Times New Roman" w:cs="Times New Roman" w:eastAsia="Times New Roman" w:hAnsi="Times New Roman"/>
          <w:sz w:val="20"/>
          <w:szCs w:val="20"/>
          <w:rtl w:val="0"/>
        </w:rPr>
        <w:t xml:space="preserve">por parte de los ministerios y entidades competentes</w:t>
      </w:r>
      <w:r w:rsidDel="00000000" w:rsidR="00000000" w:rsidRPr="00000000">
        <w:rPr>
          <w:rFonts w:ascii="Times New Roman" w:cs="Times New Roman" w:eastAsia="Times New Roman" w:hAnsi="Times New Roman"/>
          <w:color w:val="000000"/>
          <w:sz w:val="20"/>
          <w:szCs w:val="20"/>
          <w:rtl w:val="0"/>
        </w:rPr>
        <w:t xml:space="preserve">. </w:t>
      </w:r>
    </w:p>
    <w:p w:rsidR="00000000" w:rsidDel="00000000" w:rsidP="00000000" w:rsidRDefault="00000000" w:rsidRPr="00000000" w14:paraId="00000071">
      <w:pPr>
        <w:spacing w:after="0" w:before="120" w:line="48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72">
      <w:pPr>
        <w:spacing w:after="0" w:before="120" w:line="276" w:lineRule="auto"/>
        <w:jc w:val="both"/>
        <w:rPr>
          <w:rFonts w:ascii="Times New Roman" w:cs="Times New Roman" w:eastAsia="Times New Roman" w:hAnsi="Times New Roman"/>
          <w:sz w:val="20"/>
          <w:szCs w:val="20"/>
        </w:rPr>
      </w:pPr>
      <w:r w:rsidDel="00000000" w:rsidR="00000000" w:rsidRPr="00000000">
        <w:rPr>
          <w:rtl w:val="0"/>
        </w:rPr>
      </w:r>
    </w:p>
    <w:sectPr>
      <w:headerReference r:id="rId13" w:type="default"/>
      <w:footerReference r:id="rId14"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6">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00000"/>
          <w:sz w:val="18"/>
          <w:szCs w:val="18"/>
          <w:rtl w:val="0"/>
        </w:rPr>
        <w:t xml:space="preserve"> Es el conjunto de servicios de salud a los que tienen derecho todos los afiliados al Sistema General de Seguridad Social en Salud, tanto en el régimen contributivo como en el subsidiado, y que las EPS deben garantizar</w:t>
      </w:r>
    </w:p>
  </w:footnote>
  <w:footnote w:id="7">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Este término refiere a la práctica de consumir drogas para intensificar, prolongar o facilitar el sexo, generalmente en el contexto de fiestas o encuentros privados. Ver al respecto: https://scielo.isciii.es/pdf/albacete/v18n1/1699-695X-albacete-18-01-29.pdf</w:t>
      </w:r>
    </w:p>
  </w:footnote>
  <w:footnote w:id="8">
    <w:p w:rsidR="00000000" w:rsidDel="00000000" w:rsidP="00000000" w:rsidRDefault="00000000" w:rsidRPr="00000000" w14:paraId="00000075">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highlight w:val="white"/>
          <w:rtl w:val="0"/>
        </w:rPr>
        <w:t xml:space="preserve">Las Mariposas del Café: es una comunidad de mujeres indígenas trans del pueblo Embera, que viven en Santuario, Risaralda. Se dedican a la recolección de café y han creado la obra teatral "Mu Dai Werara Trans" para visibilizar su lucha por la identidad de género y la reivindicación de sus derechos.</w:t>
      </w:r>
      <w:r w:rsidDel="00000000" w:rsidR="00000000" w:rsidRPr="00000000">
        <w:rPr>
          <w:rtl w:val="0"/>
        </w:rPr>
      </w:r>
    </w:p>
  </w:footnote>
  <w:footnote w:id="9">
    <w:p w:rsidR="00000000" w:rsidDel="00000000" w:rsidP="00000000" w:rsidRDefault="00000000" w:rsidRPr="00000000" w14:paraId="00000076">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Término utilizado en Colombia para nombrar a los médicos propios de las comunidades indígenas.</w:t>
      </w:r>
    </w:p>
  </w:footnote>
  <w:footnote w:id="11">
    <w:p w:rsidR="00000000" w:rsidDel="00000000" w:rsidP="00000000" w:rsidRDefault="00000000" w:rsidRPr="00000000" w14:paraId="00000077">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Colombia Diversa. (2022). </w:t>
      </w:r>
      <w:r w:rsidDel="00000000" w:rsidR="00000000" w:rsidRPr="00000000">
        <w:rPr>
          <w:rFonts w:ascii="Times New Roman" w:cs="Times New Roman" w:eastAsia="Times New Roman" w:hAnsi="Times New Roman"/>
          <w:i w:val="1"/>
          <w:sz w:val="18"/>
          <w:szCs w:val="18"/>
          <w:rtl w:val="0"/>
        </w:rPr>
        <w:t xml:space="preserve">Informe de derechos humanos de personas LGBT en Colombia 2022</w:t>
      </w:r>
      <w:r w:rsidDel="00000000" w:rsidR="00000000" w:rsidRPr="00000000">
        <w:rPr>
          <w:rFonts w:ascii="Times New Roman" w:cs="Times New Roman" w:eastAsia="Times New Roman" w:hAnsi="Times New Roman"/>
          <w:sz w:val="18"/>
          <w:szCs w:val="18"/>
          <w:rtl w:val="0"/>
        </w:rPr>
        <w:t xml:space="preserve">. </w:t>
      </w:r>
      <w:hyperlink r:id="rId1">
        <w:r w:rsidDel="00000000" w:rsidR="00000000" w:rsidRPr="00000000">
          <w:rPr>
            <w:rFonts w:ascii="Times New Roman" w:cs="Times New Roman" w:eastAsia="Times New Roman" w:hAnsi="Times New Roman"/>
            <w:color w:val="1155cc"/>
            <w:sz w:val="18"/>
            <w:szCs w:val="18"/>
            <w:u w:val="single"/>
            <w:rtl w:val="0"/>
          </w:rPr>
          <w:t xml:space="preserve">https://colombiadiversa.org/publicaciones/</w:t>
        </w:r>
      </w:hyperlink>
      <w:r w:rsidDel="00000000" w:rsidR="00000000" w:rsidRPr="00000000">
        <w:rPr>
          <w:rFonts w:ascii="Times New Roman" w:cs="Times New Roman" w:eastAsia="Times New Roman" w:hAnsi="Times New Roman"/>
          <w:sz w:val="18"/>
          <w:szCs w:val="18"/>
          <w:rtl w:val="0"/>
        </w:rPr>
        <w:t xml:space="preserve"> </w:t>
      </w:r>
    </w:p>
  </w:footnote>
  <w:footnote w:id="12">
    <w:p w:rsidR="00000000" w:rsidDel="00000000" w:rsidP="00000000" w:rsidRDefault="00000000" w:rsidRPr="00000000" w14:paraId="00000078">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Colombia Diversa y Sentiido. (2016). Encuesta de Clima Escolar LGBT. Bogotá, Colombia.</w:t>
      </w:r>
    </w:p>
  </w:footnote>
  <w:footnote w:id="13">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Ello a pesar de que existen dos sentencias de la Corte Constitucional claves frente al tema (T-562 de 2013 y T-443 de 2020) que son desconocidas o inaplicadas por las instituciones educativas. </w:t>
      </w:r>
    </w:p>
  </w:footnote>
  <w:footnote w:id="14">
    <w:p w:rsidR="00000000" w:rsidDel="00000000" w:rsidP="00000000" w:rsidRDefault="00000000" w:rsidRPr="00000000" w14:paraId="0000007A">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Departamento Nacional de Estadística (2025). Mercado laboral de la población LGBT. Disponible en: https://www.dane.gov.co/files/operaciones/GEIH/bol-GEIHMLLGBT-may2024-abr2025.pdf</w:t>
      </w:r>
    </w:p>
  </w:footnote>
  <w:footnote w:id="17">
    <w:p w:rsidR="00000000" w:rsidDel="00000000" w:rsidP="00000000" w:rsidRDefault="00000000" w:rsidRPr="00000000" w14:paraId="0000007B">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Caribe Afirmativo (2024) Así afecta la homofobia y transfobia a personas LGBTIQ+ en contextos de movilidad humana en el mundo. Disponible en: </w:t>
      </w:r>
      <w:hyperlink r:id="rId2">
        <w:r w:rsidDel="00000000" w:rsidR="00000000" w:rsidRPr="00000000">
          <w:rPr>
            <w:rFonts w:ascii="Times New Roman" w:cs="Times New Roman" w:eastAsia="Times New Roman" w:hAnsi="Times New Roman"/>
            <w:color w:val="1155cc"/>
            <w:sz w:val="18"/>
            <w:szCs w:val="18"/>
            <w:u w:val="single"/>
            <w:rtl w:val="0"/>
          </w:rPr>
          <w:t xml:space="preserve">https://caribeafirmativo.lgbt/asi-afecta-la-homofobia-y-transfobia-a-personas-lgbtiq-en-contextos-de-movilidad-humana-en-el-mundo/</w:t>
        </w:r>
      </w:hyperlink>
      <w:r w:rsidDel="00000000" w:rsidR="00000000" w:rsidRPr="00000000">
        <w:rPr>
          <w:rFonts w:ascii="Times New Roman" w:cs="Times New Roman" w:eastAsia="Times New Roman" w:hAnsi="Times New Roman"/>
          <w:sz w:val="18"/>
          <w:szCs w:val="18"/>
          <w:rtl w:val="0"/>
        </w:rPr>
        <w:t xml:space="preserve"> </w:t>
      </w:r>
    </w:p>
  </w:footnote>
  <w:footnote w:id="18">
    <w:p w:rsidR="00000000" w:rsidDel="00000000" w:rsidP="00000000" w:rsidRDefault="00000000" w:rsidRPr="00000000" w14:paraId="0000007C">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Raza &amp; Igualdad (2022) Informe “Análisis sobre los patrones de violencia identificados contra la población</w:t>
      </w:r>
    </w:p>
    <w:p w:rsidR="00000000" w:rsidDel="00000000" w:rsidP="00000000" w:rsidRDefault="00000000" w:rsidRPr="00000000" w14:paraId="0000007D">
      <w:pPr>
        <w:spacing w:after="0" w:line="2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migrante”. Disponible en: </w:t>
      </w:r>
      <w:hyperlink r:id="rId3">
        <w:r w:rsidDel="00000000" w:rsidR="00000000" w:rsidRPr="00000000">
          <w:rPr>
            <w:rFonts w:ascii="Times New Roman" w:cs="Times New Roman" w:eastAsia="Times New Roman" w:hAnsi="Times New Roman"/>
            <w:color w:val="1155cc"/>
            <w:sz w:val="18"/>
            <w:szCs w:val="18"/>
            <w:u w:val="single"/>
            <w:rtl w:val="0"/>
          </w:rPr>
          <w:t xml:space="preserve">https://raceandequality.org/wp-content/uploads/2022/05/Informe_patrones_.pdf</w:t>
        </w:r>
      </w:hyperlink>
      <w:r w:rsidDel="00000000" w:rsidR="00000000" w:rsidRPr="00000000">
        <w:rPr>
          <w:rFonts w:ascii="Times New Roman" w:cs="Times New Roman" w:eastAsia="Times New Roman" w:hAnsi="Times New Roman"/>
          <w:sz w:val="18"/>
          <w:szCs w:val="18"/>
          <w:rtl w:val="0"/>
        </w:rPr>
        <w:t xml:space="preserve"> </w:t>
      </w:r>
    </w:p>
  </w:footnote>
  <w:footnote w:id="19">
    <w:p w:rsidR="00000000" w:rsidDel="00000000" w:rsidP="00000000" w:rsidRDefault="00000000" w:rsidRPr="00000000" w14:paraId="0000007E">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Defensoría del Pueblo. (2019). Alerta Temprana No. 039-19. Disponible en: </w:t>
      </w:r>
      <w:hyperlink r:id="rId4">
        <w:r w:rsidDel="00000000" w:rsidR="00000000" w:rsidRPr="00000000">
          <w:rPr>
            <w:rFonts w:ascii="Times New Roman" w:cs="Times New Roman" w:eastAsia="Times New Roman" w:hAnsi="Times New Roman"/>
            <w:color w:val="1155cc"/>
            <w:sz w:val="18"/>
            <w:szCs w:val="18"/>
            <w:u w:val="single"/>
            <w:rtl w:val="0"/>
          </w:rPr>
          <w:t xml:space="preserve">https://alertasstg.blob.core.windows.net/alertas/039-19.pdf</w:t>
        </w:r>
      </w:hyperlink>
      <w:r w:rsidDel="00000000" w:rsidR="00000000" w:rsidRPr="00000000">
        <w:rPr>
          <w:rFonts w:ascii="Times New Roman" w:cs="Times New Roman" w:eastAsia="Times New Roman" w:hAnsi="Times New Roman"/>
          <w:sz w:val="18"/>
          <w:szCs w:val="18"/>
          <w:rtl w:val="0"/>
        </w:rPr>
        <w:t xml:space="preserve"> </w:t>
      </w:r>
    </w:p>
  </w:footnote>
  <w:footnote w:id="20">
    <w:p w:rsidR="00000000" w:rsidDel="00000000" w:rsidP="00000000" w:rsidRDefault="00000000" w:rsidRPr="00000000" w14:paraId="0000007F">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Ídem.</w:t>
      </w:r>
    </w:p>
  </w:footnote>
  <w:footnote w:id="21">
    <w:p w:rsidR="00000000" w:rsidDel="00000000" w:rsidP="00000000" w:rsidRDefault="00000000" w:rsidRPr="00000000" w14:paraId="00000080">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Colombia Diversa (2024) La realidad de la discriminación: Situación de las personas migrantes LGBTIQ+ en Colombia. Disponible en: </w:t>
      </w:r>
      <w:hyperlink r:id="rId5">
        <w:r w:rsidDel="00000000" w:rsidR="00000000" w:rsidRPr="00000000">
          <w:rPr>
            <w:rFonts w:ascii="Times New Roman" w:cs="Times New Roman" w:eastAsia="Times New Roman" w:hAnsi="Times New Roman"/>
            <w:color w:val="1155cc"/>
            <w:sz w:val="18"/>
            <w:szCs w:val="18"/>
            <w:u w:val="single"/>
            <w:rtl w:val="0"/>
          </w:rPr>
          <w:t xml:space="preserve">https://colombiadiversa.org/c-diversa/wp-content/uploads/2024/08/Migracion-personas-LGBTIQ-Colombia-Diversa.pdf</w:t>
        </w:r>
      </w:hyperlink>
      <w:r w:rsidDel="00000000" w:rsidR="00000000" w:rsidRPr="00000000">
        <w:rPr>
          <w:rFonts w:ascii="Times New Roman" w:cs="Times New Roman" w:eastAsia="Times New Roman" w:hAnsi="Times New Roman"/>
          <w:sz w:val="18"/>
          <w:szCs w:val="18"/>
          <w:rtl w:val="0"/>
        </w:rPr>
        <w:t xml:space="preserve"> </w:t>
      </w:r>
    </w:p>
  </w:footnote>
  <w:footnote w:id="22">
    <w:p w:rsidR="00000000" w:rsidDel="00000000" w:rsidP="00000000" w:rsidRDefault="00000000" w:rsidRPr="00000000" w14:paraId="00000081">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Caribe Afirmativo. (2022) Perfiles migratorios de personas venezolanas LGBTI+ en Colombia. Disponible en: </w:t>
      </w:r>
      <w:hyperlink r:id="rId6">
        <w:r w:rsidDel="00000000" w:rsidR="00000000" w:rsidRPr="00000000">
          <w:rPr>
            <w:rFonts w:ascii="Times New Roman" w:cs="Times New Roman" w:eastAsia="Times New Roman" w:hAnsi="Times New Roman"/>
            <w:color w:val="1155cc"/>
            <w:sz w:val="18"/>
            <w:szCs w:val="18"/>
            <w:u w:val="single"/>
            <w:rtl w:val="0"/>
          </w:rPr>
          <w:t xml:space="preserve">https://caribeafirmativo.lgbt/wp-content/uploads/2022/10/PERFILES-MIGRATORIOS-revision-agosto01.pdf</w:t>
        </w:r>
      </w:hyperlink>
      <w:r w:rsidDel="00000000" w:rsidR="00000000" w:rsidRPr="00000000">
        <w:rPr>
          <w:rFonts w:ascii="Times New Roman" w:cs="Times New Roman" w:eastAsia="Times New Roman" w:hAnsi="Times New Roman"/>
          <w:sz w:val="18"/>
          <w:szCs w:val="18"/>
          <w:rtl w:val="0"/>
        </w:rPr>
        <w:t xml:space="preserve"> </w:t>
      </w:r>
    </w:p>
  </w:footnote>
  <w:footnote w:id="23">
    <w:p w:rsidR="00000000" w:rsidDel="00000000" w:rsidP="00000000" w:rsidRDefault="00000000" w:rsidRPr="00000000" w14:paraId="00000082">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tl w:val="0"/>
        </w:rPr>
      </w:r>
    </w:p>
  </w:footnote>
  <w:footnote w:id="24">
    <w:p w:rsidR="00000000" w:rsidDel="00000000" w:rsidP="00000000" w:rsidRDefault="00000000" w:rsidRPr="00000000" w14:paraId="00000083">
      <w:pPr>
        <w:spacing w:after="0"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Caribe Afirmativo. (2022) Perfiles migratorios de personas venezolanas LGBTI+ en Colombia. Disponible en: </w:t>
      </w:r>
      <w:hyperlink r:id="rId7">
        <w:r w:rsidDel="00000000" w:rsidR="00000000" w:rsidRPr="00000000">
          <w:rPr>
            <w:rFonts w:ascii="Times New Roman" w:cs="Times New Roman" w:eastAsia="Times New Roman" w:hAnsi="Times New Roman"/>
            <w:color w:val="1155cc"/>
            <w:sz w:val="18"/>
            <w:szCs w:val="18"/>
            <w:u w:val="single"/>
            <w:rtl w:val="0"/>
          </w:rPr>
          <w:t xml:space="preserve">https://caribeafirmativo.lgbt/wp-content/uploads/2022/10/PERFILES-MIGRATORIOS-revision-agosto01.pdf</w:t>
        </w:r>
      </w:hyperlink>
      <w:r w:rsidDel="00000000" w:rsidR="00000000" w:rsidRPr="00000000">
        <w:rPr>
          <w:rtl w:val="0"/>
        </w:rPr>
      </w:r>
    </w:p>
  </w:footnote>
  <w:footnote w:id="15">
    <w:p w:rsidR="00000000" w:rsidDel="00000000" w:rsidP="00000000" w:rsidRDefault="00000000" w:rsidRPr="00000000" w14:paraId="0000008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Cámara de la Diversidad (2024), Circular 005 del 2024. Disponible en:https://safetya.co/normatividad/circular-055-de-2024/</w:t>
      </w:r>
    </w:p>
  </w:footnote>
  <w:footnote w:id="16">
    <w:p w:rsidR="00000000" w:rsidDel="00000000" w:rsidP="00000000" w:rsidRDefault="00000000" w:rsidRPr="00000000" w14:paraId="0000008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Periódico Unal, En Colombia, la inclusión laboral de las personas trans sigue siendo una ilusión. Disponible en: https://periodico.unal.edu.co/articulos/en-colombia-la-inclusion-laboral-de-personas-trans-sigue-siendo-una-ilusion</w:t>
      </w:r>
    </w:p>
  </w:footnote>
  <w:footnote w:id="10">
    <w:p w:rsidR="00000000" w:rsidDel="00000000" w:rsidP="00000000" w:rsidRDefault="00000000" w:rsidRPr="00000000" w14:paraId="00000089">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d2d2d"/>
          <w:sz w:val="20"/>
          <w:szCs w:val="20"/>
          <w:rtl w:val="0"/>
        </w:rPr>
        <w:t xml:space="preserve">El artículo </w:t>
      </w:r>
      <w:r w:rsidDel="00000000" w:rsidR="00000000" w:rsidRPr="00000000">
        <w:rPr>
          <w:rFonts w:ascii="Times New Roman" w:cs="Times New Roman" w:eastAsia="Times New Roman" w:hAnsi="Times New Roman"/>
          <w:color w:val="2d2d2d"/>
          <w:sz w:val="20"/>
          <w:szCs w:val="20"/>
          <w:highlight w:val="white"/>
          <w:rtl w:val="0"/>
        </w:rPr>
        <w:t xml:space="preserve">2.14.7.5.1 </w:t>
      </w:r>
      <w:r w:rsidDel="00000000" w:rsidR="00000000" w:rsidRPr="00000000">
        <w:rPr>
          <w:rFonts w:ascii="Times New Roman" w:cs="Times New Roman" w:eastAsia="Times New Roman" w:hAnsi="Times New Roman"/>
          <w:color w:val="2d2d2d"/>
          <w:sz w:val="20"/>
          <w:szCs w:val="20"/>
          <w:rtl w:val="0"/>
        </w:rPr>
        <w:t xml:space="preserve">del Decreto1071 de 2015</w:t>
      </w:r>
      <w:r w:rsidDel="00000000" w:rsidR="00000000" w:rsidRPr="00000000">
        <w:rPr>
          <w:rFonts w:ascii="Times New Roman" w:cs="Times New Roman" w:eastAsia="Times New Roman" w:hAnsi="Times New Roman"/>
          <w:color w:val="2d2d2d"/>
          <w:sz w:val="20"/>
          <w:szCs w:val="20"/>
          <w:highlight w:val="white"/>
          <w:rtl w:val="0"/>
        </w:rPr>
        <w:t xml:space="preserve"> define los resguardos indígenas como “una institución legal y sociopolítica de carácter especial, conformada por una o más comunidades indígenas, que con un título de propiedad colectiva que goza de las garantías de la propiedad privada, poseen su territorio y se rigen para el manejo de éste y su vida interna por una organización autónoma amparada por el fuero indígena y su sistema normativo propio”. Así mismo, señala que estos resguardos “son propiedad colectiva de las comunidades indígenas en favor de las cuales se constituyen y conforme a los artículos 63 y 329 de la Constitución Política, tienen el carácter de inalienables, imprescriptibles e inembargables”.</w:t>
      </w:r>
      <w:r w:rsidDel="00000000" w:rsidR="00000000" w:rsidRPr="00000000">
        <w:rPr>
          <w:rtl w:val="0"/>
        </w:rPr>
      </w:r>
    </w:p>
  </w:footnote>
  <w:footnote w:id="0">
    <w:p w:rsidR="00000000" w:rsidDel="00000000" w:rsidP="00000000" w:rsidRDefault="00000000" w:rsidRPr="00000000" w14:paraId="0000008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Véase también www.researchgate.net/publication/282671297_The_legacy_of_medicalising _’homosexuality’_A_discussion_on_the_historical_effects_of_non-heterosexual_diagnostic_ classifications. </w:t>
      </w:r>
      <w:r w:rsidDel="00000000" w:rsidR="00000000" w:rsidRPr="00000000">
        <w:rPr>
          <w:rtl w:val="0"/>
        </w:rPr>
      </w:r>
    </w:p>
  </w:footnote>
  <w:footnote w:id="1">
    <w:p w:rsidR="00000000" w:rsidDel="00000000" w:rsidP="00000000" w:rsidRDefault="00000000" w:rsidRPr="00000000" w14:paraId="0000008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John Dehlin y otros, “Sexual orientation change efforts among current or former LDS church members”, </w:t>
      </w:r>
      <w:r w:rsidDel="00000000" w:rsidR="00000000" w:rsidRPr="00000000">
        <w:rPr>
          <w:rFonts w:ascii="Times New Roman" w:cs="Times New Roman" w:eastAsia="Times New Roman" w:hAnsi="Times New Roman"/>
          <w:i w:val="1"/>
          <w:sz w:val="18"/>
          <w:szCs w:val="18"/>
          <w:rtl w:val="0"/>
        </w:rPr>
        <w:t xml:space="preserve">Journal of Counseling Psychology</w:t>
      </w:r>
      <w:r w:rsidDel="00000000" w:rsidR="00000000" w:rsidRPr="00000000">
        <w:rPr>
          <w:rFonts w:ascii="Times New Roman" w:cs="Times New Roman" w:eastAsia="Times New Roman" w:hAnsi="Times New Roman"/>
          <w:sz w:val="18"/>
          <w:szCs w:val="18"/>
          <w:rtl w:val="0"/>
        </w:rPr>
        <w:t xml:space="preserve">, vol. 62, núm. 2. Véanse también www.tandfonline.com/doi/abs/10.1300/J236v05n03_08; https://ozanne.foundation/faith-sexuality-survey-2018/; y https://pdfs.semanticscholar.org/a8fa/f008ed1c74f105da2ddaf 5d20172033e2d4a.pdf. </w:t>
      </w:r>
      <w:r w:rsidDel="00000000" w:rsidR="00000000" w:rsidRPr="00000000">
        <w:rPr>
          <w:rtl w:val="0"/>
        </w:rPr>
      </w:r>
    </w:p>
  </w:footnote>
  <w:footnote w:id="2">
    <w:p w:rsidR="00000000" w:rsidDel="00000000" w:rsidP="00000000" w:rsidRDefault="00000000" w:rsidRPr="00000000" w14:paraId="0000008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Práctica de las llamadas “terapias de conversión”. Experto Independiente sobre la protección contra la violencia y la discriminación por motivos de orientación sexual o identidad de género de la Organización de las Naciones Unidas. 2020; Véanse https://psycnet.apa.org/doi/10.1037/0735-7028.33.3.249; www.tandfonline.com/doi/abs/ 10.1300/J236v05n03_08; https://academiccommons.columbia.edu/doi/10.7916/d8-cf6d-rd43/download;</w:t>
      </w:r>
      <w:hyperlink r:id="rId8">
        <w:r w:rsidDel="00000000" w:rsidR="00000000" w:rsidRPr="00000000">
          <w:rPr>
            <w:rFonts w:ascii="Times New Roman" w:cs="Times New Roman" w:eastAsia="Times New Roman" w:hAnsi="Times New Roman"/>
            <w:sz w:val="18"/>
            <w:szCs w:val="18"/>
            <w:rtl w:val="0"/>
          </w:rPr>
          <w:t xml:space="preserve"> </w:t>
        </w:r>
      </w:hyperlink>
      <w:hyperlink r:id="rId9">
        <w:r w:rsidDel="00000000" w:rsidR="00000000" w:rsidRPr="00000000">
          <w:rPr>
            <w:rFonts w:ascii="Times New Roman" w:cs="Times New Roman" w:eastAsia="Times New Roman" w:hAnsi="Times New Roman"/>
            <w:color w:val="0563c1"/>
            <w:sz w:val="18"/>
            <w:szCs w:val="18"/>
            <w:u w:val="single"/>
            <w:rtl w:val="0"/>
          </w:rPr>
          <w:t xml:space="preserve">www.reuters.com/article/us-usa-lgbt-therapy-trfn/american-medical-association-announces-support-for-u-s-ban-on-conversion-therapy-idUSKBN1XT2PJ</w:t>
        </w:r>
      </w:hyperlink>
      <w:r w:rsidDel="00000000" w:rsidR="00000000" w:rsidRPr="00000000">
        <w:rPr>
          <w:rFonts w:ascii="Times New Roman" w:cs="Times New Roman" w:eastAsia="Times New Roman" w:hAnsi="Times New Roman"/>
          <w:sz w:val="18"/>
          <w:szCs w:val="18"/>
          <w:rtl w:val="0"/>
        </w:rPr>
        <w:t xml:space="preserve">;  y www.sciencedirect.com/science/article/pii/S1752928X20300366. </w:t>
      </w:r>
      <w:r w:rsidDel="00000000" w:rsidR="00000000" w:rsidRPr="00000000">
        <w:rPr>
          <w:rtl w:val="0"/>
        </w:rPr>
      </w:r>
    </w:p>
  </w:footnote>
  <w:footnote w:id="3">
    <w:p w:rsidR="00000000" w:rsidDel="00000000" w:rsidP="00000000" w:rsidRDefault="00000000" w:rsidRPr="00000000" w14:paraId="0000008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https://www.youtube.com/@NadaQueCurar_CO</w:t>
      </w:r>
      <w:r w:rsidDel="00000000" w:rsidR="00000000" w:rsidRPr="00000000">
        <w:rPr>
          <w:rtl w:val="0"/>
        </w:rPr>
      </w:r>
    </w:p>
  </w:footnote>
  <w:footnote w:id="4">
    <w:p w:rsidR="00000000" w:rsidDel="00000000" w:rsidP="00000000" w:rsidRDefault="00000000" w:rsidRPr="00000000" w14:paraId="0000008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Respuesta a derecho de petición radicado por la Fundación GAAT expedida el 2 de enero de 2025.</w:t>
      </w:r>
      <w:r w:rsidDel="00000000" w:rsidR="00000000" w:rsidRPr="00000000">
        <w:rPr>
          <w:rtl w:val="0"/>
        </w:rPr>
      </w:r>
    </w:p>
  </w:footnote>
  <w:footnote w:id="5">
    <w:p w:rsidR="00000000" w:rsidDel="00000000" w:rsidP="00000000" w:rsidRDefault="00000000" w:rsidRPr="00000000" w14:paraId="0000008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Respuesta a derecho de petición radicado por la Fundación GAAT expedida el 17 de enero de 2025.</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rFonts w:ascii="Aptos" w:cs="Aptos" w:eastAsia="Aptos" w:hAnsi="Aptos"/>
        <w:sz w:val="24"/>
        <w:szCs w:val="24"/>
      </w:rPr>
      <w:drawing>
        <wp:inline distB="114300" distT="114300" distL="114300" distR="114300">
          <wp:extent cx="1452472" cy="983933"/>
          <wp:effectExtent b="0" l="0" r="0" t="0"/>
          <wp:docPr id="8"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452472" cy="983933"/>
                  </a:xfrm>
                  <a:prstGeom prst="rect"/>
                  <a:ln/>
                </pic:spPr>
              </pic:pic>
            </a:graphicData>
          </a:graphic>
        </wp:inline>
      </w:draw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2085975</wp:posOffset>
          </wp:positionH>
          <wp:positionV relativeFrom="paragraph">
            <wp:posOffset>-123824</wp:posOffset>
          </wp:positionV>
          <wp:extent cx="1764405" cy="992399"/>
          <wp:effectExtent b="0" l="0" r="0" t="0"/>
          <wp:wrapSquare wrapText="bothSides" distB="0" distT="0" distL="0" distR="0"/>
          <wp:docPr id="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764405" cy="992399"/>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3848100</wp:posOffset>
          </wp:positionH>
          <wp:positionV relativeFrom="paragraph">
            <wp:posOffset>-295274</wp:posOffset>
          </wp:positionV>
          <wp:extent cx="1669838" cy="1332659"/>
          <wp:effectExtent b="0" l="0" r="0" t="0"/>
          <wp:wrapNone/>
          <wp:docPr id="9"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1669838" cy="1332659"/>
                  </a:xfrm>
                  <a:prstGeom prst="rect"/>
                  <a:ln/>
                </pic:spPr>
              </pic:pic>
            </a:graphicData>
          </a:graphic>
        </wp:anchor>
      </w:drawing>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NormalWeb">
    <w:name w:val="Normal (Web)"/>
    <w:basedOn w:val="Normal"/>
    <w:uiPriority w:val="99"/>
    <w:unhideWhenUsed w:val="1"/>
    <w:rsid w:val="007E0C42"/>
    <w:pPr>
      <w:spacing w:after="100" w:afterAutospacing="1" w:before="100" w:beforeAutospacing="1" w:line="240" w:lineRule="auto"/>
    </w:pPr>
    <w:rPr>
      <w:rFonts w:ascii="Times New Roman" w:cs="Times New Roman" w:eastAsia="Times New Roman" w:hAnsi="Times New Roman"/>
      <w:sz w:val="24"/>
      <w:szCs w:val="24"/>
    </w:rPr>
  </w:style>
  <w:style w:type="paragraph" w:styleId="Encabezado">
    <w:name w:val="header"/>
    <w:basedOn w:val="Normal"/>
    <w:link w:val="EncabezadoCar"/>
    <w:uiPriority w:val="99"/>
    <w:unhideWhenUsed w:val="1"/>
    <w:rsid w:val="00663030"/>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663030"/>
  </w:style>
  <w:style w:type="paragraph" w:styleId="Piedepgina">
    <w:name w:val="footer"/>
    <w:basedOn w:val="Normal"/>
    <w:link w:val="PiedepginaCar"/>
    <w:uiPriority w:val="99"/>
    <w:unhideWhenUsed w:val="1"/>
    <w:rsid w:val="00663030"/>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663030"/>
  </w:style>
  <w:style w:type="paragraph" w:styleId="Prrafodelista">
    <w:name w:val="List Paragraph"/>
    <w:basedOn w:val="Normal"/>
    <w:uiPriority w:val="34"/>
    <w:qFormat w:val="1"/>
    <w:rsid w:val="00274B97"/>
    <w:pPr>
      <w:spacing w:line="278" w:lineRule="auto"/>
      <w:ind w:left="720"/>
      <w:contextualSpacing w:val="1"/>
    </w:pPr>
    <w:rPr>
      <w:sz w:val="24"/>
      <w:szCs w:val="24"/>
    </w:rPr>
  </w:style>
  <w:style w:type="character" w:styleId="Hipervnculo">
    <w:name w:val="Hyperlink"/>
    <w:basedOn w:val="Fuentedeprrafopredeter"/>
    <w:uiPriority w:val="99"/>
    <w:unhideWhenUsed w:val="1"/>
    <w:rsid w:val="00057857"/>
    <w:rPr>
      <w:color w:val="0563c1" w:themeColor="hyperlink"/>
      <w:u w:val="singl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Ref,Footnote,Ca"/>
    <w:basedOn w:val="Normal"/>
    <w:link w:val="TextonotapieCar"/>
    <w:uiPriority w:val="99"/>
    <w:unhideWhenUsed w:val="1"/>
    <w:qFormat w:val="1"/>
    <w:rsid w:val="00E04011"/>
    <w:pPr>
      <w:spacing w:after="0" w:line="240" w:lineRule="auto"/>
    </w:pPr>
    <w:rPr>
      <w:rFonts w:ascii="Arial" w:cs="Arial" w:eastAsia="Arial" w:hAnsi="Arial"/>
      <w:sz w:val="20"/>
      <w:szCs w:val="20"/>
      <w:lang w:eastAsia="es-CO" w:val="es-ES_tradnl"/>
    </w:rPr>
  </w:style>
  <w:style w:type="character" w:styleId="TextonotapieCar" w:customStyle="1">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val="1"/>
    <w:rsid w:val="00E04011"/>
    <w:rPr>
      <w:rFonts w:ascii="Arial" w:cs="Arial" w:eastAsia="Arial" w:hAnsi="Arial"/>
      <w:sz w:val="20"/>
      <w:szCs w:val="20"/>
      <w:lang w:eastAsia="es-CO" w:val="es-ES_tradnl"/>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F,f1,Re,R,4"/>
    <w:basedOn w:val="Fuentedeprrafopredeter"/>
    <w:link w:val="4GChar"/>
    <w:uiPriority w:val="99"/>
    <w:unhideWhenUsed w:val="1"/>
    <w:qFormat w:val="1"/>
    <w:rsid w:val="00E04011"/>
    <w:rPr>
      <w:vertAlign w:val="superscript"/>
    </w:rPr>
  </w:style>
  <w:style w:type="paragraph" w:styleId="4GChar" w:customStyle="1">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val="1"/>
    <w:rsid w:val="00E04011"/>
    <w:pPr>
      <w:spacing w:after="0" w:line="240" w:lineRule="auto"/>
      <w:jc w:val="both"/>
    </w:pPr>
    <w:rPr>
      <w:vertAlign w:val="superscript"/>
    </w:rPr>
  </w:style>
  <w:style w:type="paragraph" w:styleId="Default" w:customStyle="1">
    <w:name w:val="Default"/>
    <w:rsid w:val="00E04011"/>
    <w:pPr>
      <w:autoSpaceDE w:val="0"/>
      <w:autoSpaceDN w:val="0"/>
      <w:adjustRightInd w:val="0"/>
      <w:spacing w:after="0" w:line="240" w:lineRule="auto"/>
    </w:pPr>
    <w:rPr>
      <w:rFonts w:ascii="Book Antiqua" w:cs="Book Antiqua" w:hAnsi="Book Antiqua"/>
      <w:color w:val="000000"/>
      <w:sz w:val="24"/>
      <w:szCs w:val="24"/>
    </w:rPr>
  </w:style>
  <w:style w:type="character" w:styleId="Ttulo1Car" w:customStyle="1">
    <w:name w:val="Título 1 Car"/>
    <w:basedOn w:val="Fuentedeprrafopredeter"/>
    <w:uiPriority w:val="9"/>
    <w:rsid w:val="00FE0E00"/>
    <w:rPr>
      <w:rFonts w:asciiTheme="majorHAnsi" w:cstheme="majorBidi" w:eastAsiaTheme="majorEastAsia" w:hAnsiTheme="majorHAnsi"/>
      <w:color w:val="2e74b5" w:themeColor="accent1" w:themeShade="0000BF"/>
      <w:sz w:val="32"/>
      <w:szCs w:val="32"/>
    </w:rPr>
  </w:style>
  <w:style w:type="character" w:styleId="Ttulo2Car" w:customStyle="1">
    <w:name w:val="Título 2 Car"/>
    <w:basedOn w:val="Fuentedeprrafopredeter"/>
    <w:uiPriority w:val="9"/>
    <w:rsid w:val="00FE0E00"/>
    <w:rPr>
      <w:rFonts w:asciiTheme="majorHAnsi" w:cstheme="majorBidi" w:eastAsiaTheme="majorEastAsia" w:hAnsiTheme="majorHAnsi"/>
      <w:color w:val="2e74b5" w:themeColor="accent1" w:themeShade="0000BF"/>
      <w:sz w:val="26"/>
      <w:szCs w:val="26"/>
    </w:rPr>
  </w:style>
  <w:style w:type="paragraph" w:styleId="TtuloTDC">
    <w:name w:val="TOC Heading"/>
    <w:next w:val="Normal"/>
    <w:uiPriority w:val="39"/>
    <w:unhideWhenUsed w:val="1"/>
    <w:qFormat w:val="1"/>
    <w:rsid w:val="002B2BAC"/>
  </w:style>
  <w:style w:type="paragraph" w:styleId="TDC1">
    <w:name w:val="toc 1"/>
    <w:basedOn w:val="Normal"/>
    <w:next w:val="Normal"/>
    <w:autoRedefine w:val="1"/>
    <w:uiPriority w:val="39"/>
    <w:unhideWhenUsed w:val="1"/>
    <w:rsid w:val="008E319C"/>
    <w:pPr>
      <w:tabs>
        <w:tab w:val="left" w:pos="440"/>
        <w:tab w:val="right" w:leader="dot" w:pos="8828"/>
      </w:tabs>
      <w:spacing w:after="100"/>
    </w:pPr>
  </w:style>
  <w:style w:type="paragraph" w:styleId="TDC2">
    <w:name w:val="toc 2"/>
    <w:basedOn w:val="Normal"/>
    <w:next w:val="Normal"/>
    <w:autoRedefine w:val="1"/>
    <w:uiPriority w:val="39"/>
    <w:unhideWhenUsed w:val="1"/>
    <w:rsid w:val="002B2BAC"/>
    <w:pPr>
      <w:spacing w:after="100"/>
      <w:ind w:left="220"/>
    </w:p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Textodeglobo">
    <w:name w:val="Balloon Text"/>
    <w:basedOn w:val="Normal"/>
    <w:link w:val="TextodegloboCar"/>
    <w:uiPriority w:val="99"/>
    <w:semiHidden w:val="1"/>
    <w:unhideWhenUsed w:val="1"/>
    <w:rsid w:val="007619A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619AD"/>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info@srigeneva.com" TargetMode="External"/><Relationship Id="rId10" Type="http://schemas.openxmlformats.org/officeDocument/2006/relationships/hyperlink" Target="mailto:litiganteslgbtamericas@gmail.com" TargetMode="External"/><Relationship Id="rId13" Type="http://schemas.openxmlformats.org/officeDocument/2006/relationships/header" Target="header1.xml"/><Relationship Id="rId12" Type="http://schemas.openxmlformats.org/officeDocument/2006/relationships/hyperlink" Target="https://safetya.co/normatividad/circular-055-de-2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xualrightsinitiative.com"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litiganteslgb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olombiadiversa.org/publicaciones/" TargetMode="External"/><Relationship Id="rId2" Type="http://schemas.openxmlformats.org/officeDocument/2006/relationships/hyperlink" Target="https://caribeafirmativo.lgbt/asi-afecta-la-homofobia-y-transfobia-a-personas-lgbtiq-en-contextos-de-movilidad-humana-en-el-mundo/" TargetMode="External"/><Relationship Id="rId3" Type="http://schemas.openxmlformats.org/officeDocument/2006/relationships/hyperlink" Target="https://raceandequality.org/wp-content/uploads/2022/05/Informe_patrones_.pdf" TargetMode="External"/><Relationship Id="rId4" Type="http://schemas.openxmlformats.org/officeDocument/2006/relationships/hyperlink" Target="https://alertasstg.blob.core.windows.net/alertas/039-19.pdf" TargetMode="External"/><Relationship Id="rId9" Type="http://schemas.openxmlformats.org/officeDocument/2006/relationships/hyperlink" Target="http://www.reuters.com/article/us-usa-lgbt-therapy-trfn/american-medical-association-announces-support-for-u-s-ban-on-conversion-therapy-idUSKBN1XT2PJ" TargetMode="External"/><Relationship Id="rId5" Type="http://schemas.openxmlformats.org/officeDocument/2006/relationships/hyperlink" Target="https://colombiadiversa.org/c-diversa/wp-content/uploads/2024/08/Migracion-personas-LGBTIQ-Colombia-Diversa.pdf" TargetMode="External"/><Relationship Id="rId6" Type="http://schemas.openxmlformats.org/officeDocument/2006/relationships/hyperlink" Target="https://caribeafirmativo.lgbt/wp-content/uploads/2022/10/PERFILES-MIGRATORIOS-revision-agosto01.pdf" TargetMode="External"/><Relationship Id="rId7" Type="http://schemas.openxmlformats.org/officeDocument/2006/relationships/hyperlink" Target="https://caribeafirmativo.lgbt/wp-content/uploads/2022/10/PERFILES-MIGRATORIOS-revision-agosto01.pdf" TargetMode="External"/><Relationship Id="rId8" Type="http://schemas.openxmlformats.org/officeDocument/2006/relationships/hyperlink" Target="http://www.reuters.com/article/us-usa-lgbt-therapy-trfn/american-medical-association-announces-support-for-u-s-ban-on-conversion-therapy-idUSKBN1XT2P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hvQui9Ml5tJ3prgYMqimS1x1kQ==">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2025-07-04T14:45:00Z</dcterms:created>
  <dc:creator>Alejandro Gómez Restrepo</dc:creator>
</cp:coreProperties>
</file>