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A31EF" w14:textId="77777777" w:rsidR="009616ED" w:rsidRDefault="009616ED">
      <w:pPr>
        <w:rPr>
          <w:color w:val="674EA7"/>
        </w:rPr>
      </w:pPr>
    </w:p>
    <w:p w14:paraId="221A31F0" w14:textId="77777777" w:rsidR="009616ED" w:rsidRDefault="009616ED">
      <w:pPr>
        <w:spacing w:after="160" w:line="259" w:lineRule="auto"/>
        <w:jc w:val="right"/>
        <w:rPr>
          <w:b/>
        </w:rPr>
      </w:pPr>
    </w:p>
    <w:p w14:paraId="221A31F1" w14:textId="77777777" w:rsidR="009616ED" w:rsidRDefault="00D55F12">
      <w:pPr>
        <w:spacing w:after="160" w:line="259" w:lineRule="auto"/>
        <w:jc w:val="right"/>
        <w:rPr>
          <w:b/>
        </w:rPr>
      </w:pPr>
      <w:r>
        <w:rPr>
          <w:b/>
        </w:rPr>
        <w:t>Ciudad de México, 7 de marzo de 2025.</w:t>
      </w:r>
    </w:p>
    <w:p w14:paraId="221A31F2" w14:textId="77777777" w:rsidR="009616ED" w:rsidRDefault="009616ED">
      <w:pPr>
        <w:spacing w:after="160" w:line="259" w:lineRule="auto"/>
        <w:jc w:val="right"/>
        <w:rPr>
          <w:b/>
        </w:rPr>
      </w:pPr>
    </w:p>
    <w:p w14:paraId="221A31F3" w14:textId="77777777" w:rsidR="009616ED" w:rsidRDefault="00D55F12">
      <w:pPr>
        <w:spacing w:after="160" w:line="259" w:lineRule="auto"/>
        <w:jc w:val="center"/>
        <w:rPr>
          <w:b/>
        </w:rPr>
      </w:pPr>
      <w:r>
        <w:rPr>
          <w:b/>
        </w:rPr>
        <w:t xml:space="preserve">Información brindada por el Grupo de Acción por la No Detención de Personas Refugiadas a Propósito de la Sustentación del 4ºinforme </w:t>
      </w:r>
      <w:proofErr w:type="spellStart"/>
      <w:r>
        <w:rPr>
          <w:b/>
        </w:rPr>
        <w:t>Periodico</w:t>
      </w:r>
      <w:proofErr w:type="spellEnd"/>
      <w:r>
        <w:rPr>
          <w:b/>
        </w:rPr>
        <w:t xml:space="preserve"> de México con respecto a la aplicación de la Convención Internacional sobre la Protección de los Derechos de Todos los Trabajadores Migratorios y de sus Familiares.</w:t>
      </w:r>
    </w:p>
    <w:p w14:paraId="221A31F4" w14:textId="77777777" w:rsidR="009616ED" w:rsidRDefault="009616ED">
      <w:pPr>
        <w:spacing w:after="160" w:line="259" w:lineRule="auto"/>
        <w:rPr>
          <w:b/>
        </w:rPr>
      </w:pPr>
    </w:p>
    <w:p w14:paraId="221A31F5" w14:textId="77777777" w:rsidR="009616ED" w:rsidRDefault="00D55F12">
      <w:pPr>
        <w:spacing w:after="160" w:line="259" w:lineRule="auto"/>
        <w:jc w:val="center"/>
        <w:rPr>
          <w:b/>
          <w:i/>
        </w:rPr>
      </w:pPr>
      <w:r>
        <w:rPr>
          <w:b/>
          <w:i/>
        </w:rPr>
        <w:t>NO DETENCIÓN Y ALTERNATIVAS A LA DETENCIÓN</w:t>
      </w:r>
    </w:p>
    <w:p w14:paraId="221A31F6" w14:textId="77777777" w:rsidR="009616ED" w:rsidRDefault="009616ED">
      <w:pPr>
        <w:spacing w:after="160" w:line="259" w:lineRule="auto"/>
        <w:jc w:val="both"/>
        <w:rPr>
          <w:b/>
        </w:rPr>
      </w:pPr>
    </w:p>
    <w:p w14:paraId="221A31F7" w14:textId="77777777" w:rsidR="009616ED" w:rsidRDefault="00D55F12">
      <w:pPr>
        <w:spacing w:after="160" w:line="259" w:lineRule="auto"/>
        <w:jc w:val="both"/>
        <w:rPr>
          <w:b/>
        </w:rPr>
      </w:pPr>
      <w:r>
        <w:rPr>
          <w:b/>
        </w:rPr>
        <w:t>Presentación</w:t>
      </w:r>
    </w:p>
    <w:p w14:paraId="221A31F8" w14:textId="77777777" w:rsidR="009616ED" w:rsidRDefault="009616ED">
      <w:pPr>
        <w:spacing w:after="160" w:line="259" w:lineRule="auto"/>
        <w:jc w:val="both"/>
        <w:rPr>
          <w:b/>
        </w:rPr>
      </w:pPr>
    </w:p>
    <w:p w14:paraId="221A31F9" w14:textId="77777777" w:rsidR="009616ED" w:rsidRDefault="00D55F12">
      <w:pPr>
        <w:spacing w:after="160" w:line="259" w:lineRule="auto"/>
        <w:jc w:val="both"/>
      </w:pPr>
      <w:r>
        <w:rPr>
          <w:b/>
          <w:i/>
        </w:rPr>
        <w:t>Informe elaborado</w:t>
      </w:r>
      <w:r>
        <w:rPr>
          <w:b/>
        </w:rPr>
        <w:t xml:space="preserve"> por</w:t>
      </w:r>
      <w:r>
        <w:t xml:space="preserve"> el “</w:t>
      </w:r>
      <w:r>
        <w:rPr>
          <w:b/>
        </w:rPr>
        <w:t>Grupo de Acción por la No Detención de Personas Refugiadas</w:t>
      </w:r>
      <w:r>
        <w:rPr>
          <w:b/>
          <w:vertAlign w:val="superscript"/>
        </w:rPr>
        <w:footnoteReference w:id="1"/>
      </w:r>
      <w:r>
        <w:rPr>
          <w:b/>
        </w:rPr>
        <w:t>”</w:t>
      </w:r>
      <w:r>
        <w:t xml:space="preserve"> que conformamos la Asociación Pop </w:t>
      </w:r>
      <w:proofErr w:type="spellStart"/>
      <w:r>
        <w:t>No'j</w:t>
      </w:r>
      <w:proofErr w:type="spellEnd"/>
      <w:r>
        <w:t xml:space="preserve">, </w:t>
      </w:r>
      <w:proofErr w:type="spellStart"/>
      <w:r>
        <w:t>Asylum</w:t>
      </w:r>
      <w:proofErr w:type="spellEnd"/>
      <w:r>
        <w:t xml:space="preserve"> Access México, el Centro de Derechos Humanos Fray Matías de Córdova, la Clínica Jurídica </w:t>
      </w:r>
      <w:proofErr w:type="spellStart"/>
      <w:r>
        <w:t>Alaide</w:t>
      </w:r>
      <w:proofErr w:type="spellEnd"/>
      <w:r>
        <w:t xml:space="preserve"> </w:t>
      </w:r>
      <w:proofErr w:type="spellStart"/>
      <w:r>
        <w:t>Foppa</w:t>
      </w:r>
      <w:proofErr w:type="spellEnd"/>
      <w:r>
        <w:t xml:space="preserve"> de la Universidad Iberoamericana, la Coalición Internacional contra la Detención (IDC), el Colectivo de Monitoreo Frontera Sur, Derechos Humanos en Acción (DHIA), la Dimensión Episcopal de la Pastoral de la Movilidad Humana, FM4 Paso Libre, el Grupo Articulador México del Plan de Acción Brasil, el Grupo de Trabajo sobre Política Migratoria (GTPM), el Instituto para las Mujeres en la Migración (IMUMI), </w:t>
      </w:r>
      <w:proofErr w:type="spellStart"/>
      <w:r>
        <w:t>Kalsilaltik</w:t>
      </w:r>
      <w:proofErr w:type="spellEnd"/>
      <w:r>
        <w:t xml:space="preserve">, Menstruación Digna en Estaciones Migratorias, Programa Casa Refugiados, </w:t>
      </w:r>
      <w:proofErr w:type="spellStart"/>
      <w:r>
        <w:t>Scalabrinianas</w:t>
      </w:r>
      <w:proofErr w:type="spellEnd"/>
      <w:r>
        <w:t>, Misión con Migrantes y Refugiados, el Servicio Jesuita a Refugiados y Sin Fronteras IAP.)</w:t>
      </w:r>
    </w:p>
    <w:p w14:paraId="221A31FA" w14:textId="77777777" w:rsidR="009616ED" w:rsidRDefault="00D55F12">
      <w:pPr>
        <w:spacing w:after="160" w:line="259" w:lineRule="auto"/>
        <w:jc w:val="both"/>
      </w:pPr>
      <w:r>
        <w:rPr>
          <w:b/>
          <w:i/>
        </w:rPr>
        <w:t>Organizaciones y personas que respaldan el Informe</w:t>
      </w:r>
      <w:r>
        <w:rPr>
          <w:b/>
        </w:rPr>
        <w:t>:</w:t>
      </w:r>
      <w:r>
        <w:t xml:space="preserve"> Patricia Zamudio (CIESAS-Golfo),</w:t>
      </w:r>
      <w:r>
        <w:rPr>
          <w:b/>
        </w:rPr>
        <w:t xml:space="preserve"> </w:t>
      </w:r>
      <w:r>
        <w:t xml:space="preserve">Alfredo Limas Hernández, profesor universitario y educador en derechos humanos; Martha Rojas, El Colegio de la Frontera </w:t>
      </w:r>
      <w:proofErr w:type="spellStart"/>
      <w:r>
        <w:t>Sur;Centro</w:t>
      </w:r>
      <w:proofErr w:type="spellEnd"/>
      <w:r>
        <w:t xml:space="preserve"> de Derechos Humanos Fray Matías de Córdova A.C., Centro de Atención a la Familia Migrantes Indígena CAFAMI </w:t>
      </w:r>
      <w:proofErr w:type="spellStart"/>
      <w:r>
        <w:t>A.C.,Instituto</w:t>
      </w:r>
      <w:proofErr w:type="spellEnd"/>
      <w:r>
        <w:t xml:space="preserve"> para las Mujeres en la Migración, AC (IMUMI), Educación contra el Racismo A.C (</w:t>
      </w:r>
      <w:proofErr w:type="spellStart"/>
      <w:r>
        <w:t>RacismoMX</w:t>
      </w:r>
      <w:proofErr w:type="spellEnd"/>
      <w:r>
        <w:t xml:space="preserve">), Coalición México por los Derechos de las Personas con Discapacidad (COAMEX) y el  Grupo de Trabajo Sobre </w:t>
      </w:r>
      <w:proofErr w:type="spellStart"/>
      <w:r>
        <w:t>Política</w:t>
      </w:r>
      <w:proofErr w:type="spellEnd"/>
      <w:r>
        <w:t xml:space="preserve"> Migratoria (GTPM)</w:t>
      </w:r>
      <w:r>
        <w:rPr>
          <w:b/>
          <w:vertAlign w:val="superscript"/>
        </w:rPr>
        <w:footnoteReference w:id="2"/>
      </w:r>
      <w:r>
        <w:rPr>
          <w:b/>
        </w:rPr>
        <w:t>.</w:t>
      </w:r>
    </w:p>
    <w:p w14:paraId="221A31FB" w14:textId="77777777" w:rsidR="009616ED" w:rsidRDefault="00D55F12">
      <w:pPr>
        <w:spacing w:after="160" w:line="259" w:lineRule="auto"/>
        <w:jc w:val="both"/>
      </w:pPr>
      <w:r>
        <w:t xml:space="preserve">Las organizaciones antes referidas </w:t>
      </w:r>
      <w:r>
        <w:rPr>
          <w:b/>
        </w:rPr>
        <w:t xml:space="preserve">autorizamos que esta información sea publicada </w:t>
      </w:r>
      <w:r>
        <w:t>en la página web del Comité.</w:t>
      </w:r>
    </w:p>
    <w:p w14:paraId="221A31FC" w14:textId="77777777" w:rsidR="009616ED" w:rsidRDefault="009616ED">
      <w:pPr>
        <w:spacing w:after="160" w:line="259" w:lineRule="auto"/>
        <w:jc w:val="both"/>
        <w:rPr>
          <w:b/>
        </w:rPr>
      </w:pPr>
    </w:p>
    <w:p w14:paraId="221A31FD" w14:textId="77777777" w:rsidR="009616ED" w:rsidRDefault="00D55F12">
      <w:pPr>
        <w:spacing w:after="160" w:line="259" w:lineRule="auto"/>
        <w:jc w:val="both"/>
        <w:rPr>
          <w:b/>
        </w:rPr>
      </w:pPr>
      <w:r>
        <w:rPr>
          <w:b/>
        </w:rPr>
        <w:t>Introducción</w:t>
      </w:r>
    </w:p>
    <w:p w14:paraId="221A31FE" w14:textId="6594AC1E" w:rsidR="009616ED" w:rsidRDefault="00D55F12">
      <w:pPr>
        <w:spacing w:after="160" w:line="259" w:lineRule="auto"/>
        <w:jc w:val="both"/>
      </w:pPr>
      <w:r>
        <w:t xml:space="preserve">Estimados miembros del Comité de Trabajadores Migratorios, en el marco del </w:t>
      </w:r>
      <w:r>
        <w:rPr>
          <w:b/>
        </w:rPr>
        <w:t xml:space="preserve">proceso simplificado de revisión del cumplimiento </w:t>
      </w:r>
      <w:r>
        <w:t>d</w:t>
      </w:r>
      <w:r>
        <w:rPr>
          <w:b/>
        </w:rPr>
        <w:t>e la Convención sobre los Derechos de Todos los Trabajadores Migratorios y sus Familias por parte de México</w:t>
      </w:r>
      <w:r>
        <w:t xml:space="preserve">; así como del seguimiento de las recomendaciones previas, presentamos a su consideración la siguiente información sobre los temas de </w:t>
      </w:r>
      <w:r>
        <w:rPr>
          <w:b/>
        </w:rPr>
        <w:t xml:space="preserve">detención migratoria y alternativas en México </w:t>
      </w:r>
      <w:r>
        <w:t>en referencia a las respuestas del Estado mexicano a la Lista de Cuestiones previa a la presentación de su informe.</w:t>
      </w:r>
    </w:p>
    <w:p w14:paraId="221A31FF" w14:textId="77777777" w:rsidR="009616ED" w:rsidRDefault="00D55F12">
      <w:pPr>
        <w:jc w:val="both"/>
      </w:pPr>
      <w:r>
        <w:t>Este documento reconoce los avances en materia de no detención en México en los últimos años, así como contrasta las respuestas del gobierno, que resultan insuficientes y no tan detalladas en relación con lo solicitado por el Comité. Con ello, buscamos proporcionar al Comité mayor información sobre los temas de privación de la libertad, permitiéndole formular recomendaciones que impulsen al gobierno mexicano a un cambio de paradigma en la política migratoria de México, alejándose del enfoque basado en la detención.</w:t>
      </w:r>
    </w:p>
    <w:p w14:paraId="221A3200" w14:textId="77777777" w:rsidR="009616ED" w:rsidRDefault="009616ED">
      <w:pPr>
        <w:jc w:val="both"/>
      </w:pPr>
    </w:p>
    <w:p w14:paraId="221A3201" w14:textId="77777777" w:rsidR="009616ED" w:rsidRDefault="00D55F12">
      <w:pPr>
        <w:numPr>
          <w:ilvl w:val="0"/>
          <w:numId w:val="1"/>
        </w:numPr>
        <w:jc w:val="both"/>
        <w:rPr>
          <w:b/>
        </w:rPr>
      </w:pPr>
      <w:r>
        <w:rPr>
          <w:b/>
        </w:rPr>
        <w:t>Información General</w:t>
      </w:r>
    </w:p>
    <w:p w14:paraId="221A3202" w14:textId="77777777" w:rsidR="009616ED" w:rsidRDefault="009616ED">
      <w:pPr>
        <w:jc w:val="both"/>
      </w:pPr>
    </w:p>
    <w:p w14:paraId="221A3203" w14:textId="77777777" w:rsidR="009616ED" w:rsidRDefault="00D55F12">
      <w:pPr>
        <w:jc w:val="both"/>
      </w:pPr>
      <w:r>
        <w:t>En relación a la respuesta al Párrafo 1 de la Lista de Cuestiones, donde el Estado mexicano menciona la reforma de 2020 a la Ley de Migración que estableció la prohibición de la detención migratoria de niñez y adolescencia en estaciones migratorias, así como la obligación de notificar a las procuradurías de protección de niñas, niños y adolescentes para su canalización a albergues y Centros de Asistencia Social (CAS), las organizaciones firmantes reconocemos este avance legislativo y en política pública.  En este sentido, enfatizamos la importancia de la correcta observancia e implementación tanto de la normativa como de la política pública.</w:t>
      </w:r>
    </w:p>
    <w:p w14:paraId="221A3204" w14:textId="77777777" w:rsidR="009616ED" w:rsidRDefault="009616ED">
      <w:pPr>
        <w:jc w:val="both"/>
      </w:pPr>
    </w:p>
    <w:p w14:paraId="221A3205" w14:textId="77777777" w:rsidR="009616ED" w:rsidRDefault="00D55F12">
      <w:pPr>
        <w:jc w:val="both"/>
      </w:pPr>
      <w:r>
        <w:t>No obstante, desde nuestro trabajo, hemos constatado que la detención de niñas, niños y adolescentes persiste, no sólo en estaciones migratorias, sino también en otros espacios habilitados para mantenerlos privados de la libertad. Organizaciones de la sociedad civil  y el Grupo de Trabajo sobre la Detención Arbitraria</w:t>
      </w:r>
      <w:r>
        <w:rPr>
          <w:vertAlign w:val="superscript"/>
        </w:rPr>
        <w:footnoteReference w:id="3"/>
      </w:r>
      <w:r>
        <w:t xml:space="preserve"> hemos documentado la existencia de nuevos espacios de detención migratoria, denominados </w:t>
      </w:r>
      <w:r>
        <w:rPr>
          <w:b/>
        </w:rPr>
        <w:t>“Oficinas Administrativas de Canalización”.</w:t>
      </w:r>
      <w:r>
        <w:t xml:space="preserve"> Algunas de ellas operan en antiguas estaciones migratorias, o a lado de ellas, mientras que en otros casos, las oficinas del INM cumplen esa función, reteniendo a la niñez y adolescencia migrante hasta que el sistema de protección tenga la capacidad para recibirles en un Centro de Asistencia Social. Es importante señalar que, en muchos casos, estas niñas y niños no llegan al sistema de protección, pues son retornados a sus países de origen sin que se realice una evaluación y determinación de interés superior por parte de las procuradurías de protección. </w:t>
      </w:r>
    </w:p>
    <w:p w14:paraId="221A3206" w14:textId="77777777" w:rsidR="009616ED" w:rsidRDefault="009616ED">
      <w:pPr>
        <w:pBdr>
          <w:top w:val="nil"/>
          <w:left w:val="nil"/>
          <w:bottom w:val="nil"/>
          <w:right w:val="nil"/>
          <w:between w:val="nil"/>
        </w:pBdr>
        <w:jc w:val="both"/>
      </w:pPr>
    </w:p>
    <w:p w14:paraId="221A3207" w14:textId="77777777" w:rsidR="009616ED" w:rsidRDefault="00D55F12">
      <w:pPr>
        <w:pBdr>
          <w:top w:val="nil"/>
          <w:left w:val="nil"/>
          <w:bottom w:val="nil"/>
          <w:right w:val="nil"/>
          <w:between w:val="nil"/>
        </w:pBdr>
        <w:jc w:val="both"/>
      </w:pPr>
      <w:r>
        <w:t xml:space="preserve">Sobre la respuesta dada por el estado al Párrafo 4 de la Lista de Cuestiones en relación a las estadísticas, es importante referir que en México cada año resulta más difícil acceder a cifras </w:t>
      </w:r>
      <w:r>
        <w:lastRenderedPageBreak/>
        <w:t xml:space="preserve">claras sobre detención migratoria. Esto se debe, entre otras razones, a la modificación constante de los términos utilizados para referirse a las personas privadas de la libertad, empleando eufemismos que evitan reconocerlas como personas detenidas, a pesar de que las personas que están en estaciones migratorias, estancias provisionales o lugares habilitados no tienen libertad deambulatoria. </w:t>
      </w:r>
    </w:p>
    <w:p w14:paraId="221A3208" w14:textId="77777777" w:rsidR="009616ED" w:rsidRDefault="009616ED">
      <w:pPr>
        <w:pBdr>
          <w:top w:val="nil"/>
          <w:left w:val="nil"/>
          <w:bottom w:val="nil"/>
          <w:right w:val="nil"/>
          <w:between w:val="nil"/>
        </w:pBdr>
        <w:jc w:val="both"/>
      </w:pPr>
    </w:p>
    <w:p w14:paraId="221A3209" w14:textId="77777777" w:rsidR="009616ED" w:rsidRDefault="00D55F12">
      <w:pPr>
        <w:pBdr>
          <w:top w:val="nil"/>
          <w:left w:val="nil"/>
          <w:bottom w:val="nil"/>
          <w:right w:val="nil"/>
          <w:between w:val="nil"/>
        </w:pBdr>
        <w:jc w:val="both"/>
      </w:pPr>
      <w:r>
        <w:t xml:space="preserve">Actualmente, en las estadísticas públicas se refiere a las personas que ingresan a estaciones migratorias como “Eventos de personas en situación irregular en México” sin desagregar cuántas de ellas ingresaron a estaciones migratorias y salieron en el plazo de las 36 horas, cuántas permanecen más tiempo y por cuánto tiempo, ni cuántas accedieron a alguna alternativa a la detención. Si bien existe una estadística sobre “eventos de personas no sujetas a devolución, según alternativa de salida”, que incluye a quienes solicitan el reconocimiento de la condición de refugiado, el dato resulta confuso. No se </w:t>
      </w:r>
      <w:proofErr w:type="spellStart"/>
      <w:r>
        <w:t>específica</w:t>
      </w:r>
      <w:proofErr w:type="spellEnd"/>
      <w:r>
        <w:t xml:space="preserve"> si corresponde a personas o a eventos, ni si la salida ocurre al iniciar el procedimiento o una vez resuelta la solicitud. Únicamente se indica que el procedimiento administrativo migratorio (PAM) se suspende hasta que la COMAR emita una resolución.  Esto evita contar con una referencia clave del problema y poder elaborar políticas públicas adecuadas.</w:t>
      </w:r>
    </w:p>
    <w:p w14:paraId="221A320A" w14:textId="77777777" w:rsidR="009616ED" w:rsidRDefault="009616ED">
      <w:pPr>
        <w:pBdr>
          <w:top w:val="nil"/>
          <w:left w:val="nil"/>
          <w:bottom w:val="nil"/>
          <w:right w:val="nil"/>
          <w:between w:val="nil"/>
        </w:pBdr>
        <w:jc w:val="both"/>
      </w:pPr>
    </w:p>
    <w:p w14:paraId="221A320B" w14:textId="77777777" w:rsidR="009616ED" w:rsidRDefault="00D55F12">
      <w:pPr>
        <w:pBdr>
          <w:top w:val="nil"/>
          <w:left w:val="nil"/>
          <w:bottom w:val="nil"/>
          <w:right w:val="nil"/>
          <w:between w:val="nil"/>
        </w:pBdr>
        <w:jc w:val="both"/>
      </w:pPr>
      <w:r>
        <w:t>El registro de personas migrantes sigue siendo un reto para México. A lo largo de los años, se han modificado las metodologías de recopilación de datos sin lograr un conteo preciso del número de personas detenidas ni del tiempo de su permanencia en detención, ya que solo se contabilizan “eventos”. Desde el último trimestre de 2024, la página de la Unidad de Política Migratoria, Registro e Identidad de Personas señala que 'el dato de personas en situación migratoria irregular demorará en actualizarse debido a un proceso de reestructuración</w:t>
      </w:r>
      <w:r>
        <w:rPr>
          <w:vertAlign w:val="superscript"/>
        </w:rPr>
        <w:footnoteReference w:id="4"/>
      </w:r>
      <w:r>
        <w:t>', por lo que solo se cuenta con datos hasta agosto de 2024.</w:t>
      </w:r>
    </w:p>
    <w:p w14:paraId="221A320C" w14:textId="77777777" w:rsidR="009616ED" w:rsidRDefault="009616ED">
      <w:pPr>
        <w:pBdr>
          <w:top w:val="nil"/>
          <w:left w:val="nil"/>
          <w:bottom w:val="nil"/>
          <w:right w:val="nil"/>
          <w:between w:val="nil"/>
        </w:pBdr>
        <w:jc w:val="both"/>
      </w:pPr>
    </w:p>
    <w:p w14:paraId="221A320D" w14:textId="77777777" w:rsidR="009616ED" w:rsidRDefault="00D55F12">
      <w:pPr>
        <w:pBdr>
          <w:top w:val="nil"/>
          <w:left w:val="nil"/>
          <w:bottom w:val="nil"/>
          <w:right w:val="nil"/>
          <w:between w:val="nil"/>
        </w:pBdr>
        <w:jc w:val="both"/>
      </w:pPr>
      <w:r>
        <w:t>México reportó 782,176 eventos de personas en situación migratoria irregular en 2023. En contraste, de enero a agosto de 2024, se registraron 925,085 eventos, con un total de 16,474 eventos de devolución, en comparación con los 53,346 eventos de devolución ocurridos en 2023. En el caso de niñas, niños y adolescentes, se registraron 108,444 eventos de canalización de enero a agosto de 2024. No obstante, esta cifra debería cruzarse con los registros del Sistema DIF, encargado de los Centros de Asistencia Social (CAS), para determinar cuántos menores permanecen en estos centros o han sido canalizados a otras modalidades de cuidado alternativo</w:t>
      </w:r>
    </w:p>
    <w:p w14:paraId="221A320E" w14:textId="77777777" w:rsidR="009616ED" w:rsidRDefault="009616ED">
      <w:pPr>
        <w:jc w:val="both"/>
      </w:pPr>
    </w:p>
    <w:p w14:paraId="221A320F" w14:textId="77777777" w:rsidR="009616ED" w:rsidRDefault="00D55F12">
      <w:pPr>
        <w:jc w:val="both"/>
      </w:pPr>
      <w:r>
        <w:t xml:space="preserve">En relación a la respuesta del Párrafo 7 de la Lista de Cuestiones relativa a la sociedad civil el estado hace referencia a la participación de organizaciones en el Consejo Consultivo, sin embargo, dicha participación dista de ser efectiva. En 2018 se </w:t>
      </w:r>
      <w:proofErr w:type="spellStart"/>
      <w:r>
        <w:t>creo</w:t>
      </w:r>
      <w:proofErr w:type="spellEnd"/>
      <w:r>
        <w:t xml:space="preserve"> un grupo de trabajo impulsado por la sociedad civil que dejó de funcionar sin ninguna explicación, el "Grupo de Trabajo para la Implementación de Alternativas al Alojamiento para Niñas, Niños y Adolescentes en Situación de Movilidad", fue aprobado en la Tercera Sesión Ordinaria del Consejo Consultivo de Política Migratoria el 20 de noviembre de 2018, a solicitud de la Secretaría de Relaciones Exteriores (SRE) y de la Coalición Internacional contra la Detención (IDC). Este grupo tenía como objetivo avanzar en la implementación progresiva de medidas para eliminar la detención administrativa de niñas, niños y adolescentes en situación de movilidad. Funcionó sólo unos meses, y nos dejaron de convocar, estaba conformado por </w:t>
      </w:r>
      <w:r>
        <w:lastRenderedPageBreak/>
        <w:t>autoridades de los tres niveles de gobierno, así como por organismos internacionales y organizaciones de la sociedad civil.</w:t>
      </w:r>
    </w:p>
    <w:p w14:paraId="221A3210" w14:textId="77777777" w:rsidR="009616ED" w:rsidRDefault="009616ED">
      <w:pPr>
        <w:jc w:val="both"/>
      </w:pPr>
    </w:p>
    <w:p w14:paraId="221A3211" w14:textId="77777777" w:rsidR="009616ED" w:rsidRDefault="00D55F12">
      <w:pPr>
        <w:spacing w:after="240"/>
        <w:jc w:val="both"/>
      </w:pPr>
      <w:r>
        <w:t>En un esfuerzo por fortalecer la participación de la sociedad civil en la formulación de políticas migratorias, varias organizaciones hemos solicitado integrarse a la Comisión Intersecretarial de Atención Integral en Materia Migratoria (CIAIMM), creada en 2019</w:t>
      </w:r>
      <w:r>
        <w:rPr>
          <w:vertAlign w:val="superscript"/>
        </w:rPr>
        <w:footnoteReference w:id="5"/>
      </w:r>
      <w:r>
        <w:t xml:space="preserve"> con el objetivo de coordinar políticas, programas y acciones de las dependencias y entidades de la administración pública federal en materia migratoria. El pasado 26 de abril de 2024, tras una reunión con la entonces canciller Alicia Bárcena, presentamos a la SRE un documento de seguimiento en el que instamos al cumplimiento de los acuerdos alcanzados. Entre ellos, destacaba la necesidad de establecer un mecanismo que garantizara la participación efectiva y permanente de la sociedad civil en las sesiones ordinarias y en los grupos de trabajo de la CIAIMM. Hasta la fecha, no hemos recibido respuesta por parte del Estado.</w:t>
      </w:r>
    </w:p>
    <w:p w14:paraId="221A3212" w14:textId="77777777" w:rsidR="009616ED" w:rsidRDefault="00D55F12">
      <w:pPr>
        <w:numPr>
          <w:ilvl w:val="0"/>
          <w:numId w:val="1"/>
        </w:numPr>
        <w:jc w:val="both"/>
        <w:rPr>
          <w:b/>
        </w:rPr>
      </w:pPr>
      <w:r>
        <w:rPr>
          <w:b/>
        </w:rPr>
        <w:t>Información relacionada a los artículos de la Convención (artículos 16 a 35).</w:t>
      </w:r>
    </w:p>
    <w:p w14:paraId="221A3213" w14:textId="77777777" w:rsidR="009616ED" w:rsidRDefault="009616ED">
      <w:pPr>
        <w:spacing w:line="308" w:lineRule="auto"/>
        <w:jc w:val="both"/>
      </w:pPr>
    </w:p>
    <w:p w14:paraId="221A3214" w14:textId="77777777" w:rsidR="009616ED" w:rsidRDefault="00D55F12">
      <w:pPr>
        <w:jc w:val="both"/>
        <w:rPr>
          <w:b/>
          <w:highlight w:val="white"/>
        </w:rPr>
      </w:pPr>
      <w:r>
        <w:rPr>
          <w:b/>
          <w:highlight w:val="white"/>
        </w:rPr>
        <w:t>Respuesta al párrafo 12 de la Lista de Cuestiones planteadas al Estado mexicano:</w:t>
      </w:r>
    </w:p>
    <w:p w14:paraId="221A3215" w14:textId="77777777" w:rsidR="009616ED" w:rsidRDefault="009616ED">
      <w:pPr>
        <w:jc w:val="both"/>
      </w:pPr>
    </w:p>
    <w:p w14:paraId="221A3216" w14:textId="77777777" w:rsidR="009616ED" w:rsidRDefault="00D55F12">
      <w:pPr>
        <w:jc w:val="both"/>
        <w:rPr>
          <w:i/>
        </w:rPr>
      </w:pPr>
      <w:r>
        <w:rPr>
          <w:i/>
        </w:rPr>
        <w:t>Sobre prevención, investigación, enjuiciamiento y sanción  a desapariciones forzadas.</w:t>
      </w:r>
    </w:p>
    <w:p w14:paraId="221A3217" w14:textId="77777777" w:rsidR="009616ED" w:rsidRDefault="009616ED">
      <w:pPr>
        <w:jc w:val="both"/>
      </w:pPr>
    </w:p>
    <w:p w14:paraId="221A3218" w14:textId="77777777" w:rsidR="009616ED" w:rsidRDefault="00D55F12">
      <w:pPr>
        <w:jc w:val="both"/>
      </w:pPr>
      <w:r>
        <w:t>El 12 de diciembre de 2024, diversas organizaciones enviamos al Relator Especial sobre los derechos humanos de los migrantes una contribución al informe sobre migrantes desaparecidos, señalando el riesgo de que personas en situación migratoria irregular sean detenidas por la autoridad migratoria sin ser localizables por sus familias o representantes legales, facilitando “desapariciones de corta duración”</w:t>
      </w:r>
    </w:p>
    <w:p w14:paraId="221A3219" w14:textId="77777777" w:rsidR="009616ED" w:rsidRDefault="009616ED">
      <w:pPr>
        <w:jc w:val="both"/>
      </w:pPr>
    </w:p>
    <w:p w14:paraId="221A321A" w14:textId="77777777" w:rsidR="009616ED" w:rsidRDefault="00D55F12">
      <w:pPr>
        <w:jc w:val="both"/>
      </w:pPr>
      <w:r>
        <w:t>El informe resalta cómo prácticas como la incomunicación, la falta de evaluaciones individuales y la detención automática incrementan este riesgo. A pesar de que la Suprema Corte declaró inconstitucional el artículo que permitía revisiones migratorias, estas persisten bajo el término de “verificación” migratoria. Las personas detenidas son llevadas a espacios donde permanecen incomunicadas por horas antes de ser trasladadas a estaciones migratorias o estancias provisionales, sin acceso a asistencia legal, alimentos, atención médica o un recurso efectivo contra su detención.</w:t>
      </w:r>
    </w:p>
    <w:p w14:paraId="221A321B" w14:textId="77777777" w:rsidR="009616ED" w:rsidRDefault="009616ED">
      <w:pPr>
        <w:jc w:val="both"/>
      </w:pPr>
    </w:p>
    <w:p w14:paraId="221A321C" w14:textId="77777777" w:rsidR="009616ED" w:rsidRDefault="00D55F12">
      <w:pPr>
        <w:jc w:val="both"/>
      </w:pPr>
      <w:r>
        <w:t>Algunas estaciones migratorias han sido utilizadas como centros de concentración de personas detenidas en distintas entidades federativas, desde donde se les traslada al sur del país sin un debido proceso. Durante estos traslados, las personas permanecen incomunicadas, y en muchos casos, son presionadas para aceptar su “retorno asistido”.</w:t>
      </w:r>
    </w:p>
    <w:p w14:paraId="221A321D" w14:textId="77777777" w:rsidR="009616ED" w:rsidRDefault="009616ED">
      <w:pPr>
        <w:jc w:val="both"/>
      </w:pPr>
    </w:p>
    <w:p w14:paraId="221A321E" w14:textId="77777777" w:rsidR="009616ED" w:rsidRDefault="00D55F12">
      <w:pPr>
        <w:jc w:val="both"/>
      </w:pPr>
      <w:r>
        <w:t xml:space="preserve">En aeropuertos como el de la Ciudad de México, operado por fuerzas militares, se ha documentado la incomunicación de personas a quienes se les niega el ingreso a territorio mexicano. En casos de solicitantes de asilo, se han registrado detenciones prolongadas sin acceso a procedimiento e incluso su devolución sin informar a familiares o representantes. Incluso cuando se interponen amparos, estas personas permanecen detenidas hasta que </w:t>
      </w:r>
      <w:r>
        <w:lastRenderedPageBreak/>
        <w:t>aceptan su retorno, mientras que los controles aeroportuarios dificultan la intervención de terceros para la defensa de sus derechos.</w:t>
      </w:r>
    </w:p>
    <w:p w14:paraId="221A321F" w14:textId="77777777" w:rsidR="009616ED" w:rsidRDefault="009616ED">
      <w:pPr>
        <w:jc w:val="both"/>
      </w:pPr>
    </w:p>
    <w:p w14:paraId="221A3220" w14:textId="77777777" w:rsidR="009616ED" w:rsidRDefault="00D55F12">
      <w:pPr>
        <w:jc w:val="both"/>
        <w:rPr>
          <w:b/>
          <w:highlight w:val="white"/>
        </w:rPr>
      </w:pPr>
      <w:r>
        <w:rPr>
          <w:b/>
          <w:highlight w:val="white"/>
        </w:rPr>
        <w:t>Respuesta al párrafo 13 de las cuestiones planteadas al Estado mexicano:</w:t>
      </w:r>
    </w:p>
    <w:p w14:paraId="221A3221" w14:textId="77777777" w:rsidR="009616ED" w:rsidRDefault="009616ED">
      <w:pPr>
        <w:jc w:val="both"/>
      </w:pPr>
    </w:p>
    <w:p w14:paraId="221A3222" w14:textId="77777777" w:rsidR="009616ED" w:rsidRDefault="00D55F12">
      <w:pPr>
        <w:jc w:val="both"/>
      </w:pPr>
      <w:r>
        <w:rPr>
          <w:i/>
        </w:rPr>
        <w:t xml:space="preserve">Sobre fortalecer el registro nacional de personas desaparecidas. </w:t>
      </w:r>
    </w:p>
    <w:p w14:paraId="221A3223" w14:textId="77777777" w:rsidR="009616ED" w:rsidRDefault="009616ED">
      <w:pPr>
        <w:spacing w:line="308" w:lineRule="auto"/>
        <w:jc w:val="both"/>
      </w:pPr>
    </w:p>
    <w:p w14:paraId="221A3224" w14:textId="77777777" w:rsidR="009616ED" w:rsidRDefault="00D55F12">
      <w:pPr>
        <w:jc w:val="both"/>
      </w:pPr>
      <w:r>
        <w:t xml:space="preserve">A pesar de  iniciativas legislativas para incluir el registro de detenciones de personas migrantes, ninguna ha sido aprobada, dejando en estado de indefensión a las familias que buscan a sus seres queridos desde sus países de origen. Tampoco existe un directorio público de estaciones migratorias que facilite el contacto con las personas detenidas como sucede en otros países de la región. Cabe señalar que las iniciativas que han presentado un par de personas legisladoras no incluyen un tratamiento especial para quienes solicitan el reconocimiento de la condición de refugiado que evite poner en riesgo sus identidades. </w:t>
      </w:r>
    </w:p>
    <w:p w14:paraId="221A3225" w14:textId="77777777" w:rsidR="009616ED" w:rsidRDefault="009616ED">
      <w:pPr>
        <w:spacing w:line="308" w:lineRule="auto"/>
        <w:jc w:val="both"/>
      </w:pPr>
    </w:p>
    <w:p w14:paraId="221A3226" w14:textId="77777777" w:rsidR="009616ED" w:rsidRDefault="00D55F12">
      <w:pPr>
        <w:jc w:val="both"/>
        <w:rPr>
          <w:b/>
          <w:highlight w:val="white"/>
        </w:rPr>
      </w:pPr>
      <w:r>
        <w:rPr>
          <w:b/>
          <w:highlight w:val="white"/>
        </w:rPr>
        <w:t>Respuesta al párrafo 16 de las cuestiones planteadas al Estado mexicano:</w:t>
      </w:r>
    </w:p>
    <w:p w14:paraId="221A3227" w14:textId="77777777" w:rsidR="009616ED" w:rsidRDefault="009616ED">
      <w:pPr>
        <w:jc w:val="both"/>
      </w:pPr>
    </w:p>
    <w:p w14:paraId="221A3228" w14:textId="77777777" w:rsidR="009616ED" w:rsidRDefault="00D55F12">
      <w:pPr>
        <w:spacing w:line="308" w:lineRule="auto"/>
        <w:jc w:val="both"/>
      </w:pPr>
      <w:r>
        <w:rPr>
          <w:i/>
        </w:rPr>
        <w:t xml:space="preserve">Sobre  poner fin inmediato a la detención migratoria de niñez y familias migrantes. </w:t>
      </w:r>
    </w:p>
    <w:p w14:paraId="221A3229" w14:textId="77777777" w:rsidR="009616ED" w:rsidRDefault="009616ED">
      <w:pPr>
        <w:spacing w:line="308" w:lineRule="auto"/>
        <w:jc w:val="both"/>
      </w:pPr>
    </w:p>
    <w:p w14:paraId="221A322A" w14:textId="77777777" w:rsidR="009616ED" w:rsidRDefault="00D55F12">
      <w:pPr>
        <w:spacing w:after="240" w:line="308" w:lineRule="auto"/>
        <w:jc w:val="both"/>
      </w:pPr>
      <w:r>
        <w:t>Como se ha señalado anteriormente, la no detención de niñas, niños y adolescentes migrantes no es una realidad. Además de ser ingresados a las Oficinas Administrativas de Canalización, lugares que no son adecuados por ellos según la propia CNDH</w:t>
      </w:r>
      <w:r>
        <w:rPr>
          <w:vertAlign w:val="superscript"/>
        </w:rPr>
        <w:footnoteReference w:id="6"/>
      </w:r>
      <w:r>
        <w:t>, también son llevados a Centros de Asistencia Social de puertas cerradas, que, aunque forman parte del sistema de protección, en la práctica replican la privación de la libertad impuesta por las autoridades migratorias. Si bien el Sistema Nacional DIF y UNICEF publicaron el Modelo de Atención Integral para la Niñez y Adolescencia en Situación de Movilidad, que enfatiza los modelos de puertas abiertas, en la práctica los CAS financiados con recursos federales continúan operando bajo esquemas de encierro, contraviniendo dicho modelo.</w:t>
      </w:r>
    </w:p>
    <w:p w14:paraId="221A322B" w14:textId="77777777" w:rsidR="009616ED" w:rsidRDefault="00D55F12">
      <w:pPr>
        <w:jc w:val="both"/>
        <w:rPr>
          <w:b/>
          <w:highlight w:val="white"/>
        </w:rPr>
      </w:pPr>
      <w:r>
        <w:rPr>
          <w:b/>
          <w:highlight w:val="white"/>
        </w:rPr>
        <w:t>Respuesta al párrafo 17 de las cuestiones planteadas al Estado mexicano:</w:t>
      </w:r>
    </w:p>
    <w:p w14:paraId="221A322C" w14:textId="77777777" w:rsidR="009616ED" w:rsidRDefault="009616ED">
      <w:pPr>
        <w:jc w:val="both"/>
      </w:pPr>
    </w:p>
    <w:p w14:paraId="221A322D" w14:textId="77777777" w:rsidR="009616ED" w:rsidRDefault="00D55F12">
      <w:pPr>
        <w:spacing w:line="308" w:lineRule="auto"/>
        <w:jc w:val="both"/>
        <w:rPr>
          <w:i/>
        </w:rPr>
      </w:pPr>
      <w:r>
        <w:rPr>
          <w:i/>
        </w:rPr>
        <w:t xml:space="preserve">Sobre la no detención migratoria de personas en situación de vulnerabilidad. </w:t>
      </w:r>
    </w:p>
    <w:p w14:paraId="221A322E" w14:textId="77777777" w:rsidR="009616ED" w:rsidRDefault="009616ED">
      <w:pPr>
        <w:spacing w:line="308" w:lineRule="auto"/>
        <w:jc w:val="both"/>
        <w:rPr>
          <w:i/>
        </w:rPr>
      </w:pPr>
    </w:p>
    <w:p w14:paraId="221A322F" w14:textId="77777777" w:rsidR="009616ED" w:rsidRDefault="00D55F12">
      <w:pPr>
        <w:spacing w:after="240" w:line="308" w:lineRule="auto"/>
        <w:jc w:val="both"/>
      </w:pPr>
      <w:r>
        <w:t xml:space="preserve">En la pasada legislatura, el Plan de Trabajo de la Comisión de Asuntos Migratorios incluyó la no detención de personas refugiadas como uno de sus temas prioritarios. Diversas organizaciones trabajamos con la Comisión y presentamos una propuesta de reforma para </w:t>
      </w:r>
      <w:r>
        <w:lastRenderedPageBreak/>
        <w:t>garantizar la no detención de personas refugiadas o su uso sólo como último recurso. Dicha propuesta fue retomada por la Comisión pero la iniciativa no avanzó.</w:t>
      </w:r>
    </w:p>
    <w:p w14:paraId="221A3230" w14:textId="77777777" w:rsidR="009616ED" w:rsidRDefault="00D55F12">
      <w:pPr>
        <w:spacing w:after="240" w:line="308" w:lineRule="auto"/>
        <w:jc w:val="both"/>
      </w:pPr>
      <w:r>
        <w:t>En la nueva legislatura, el tema se ha retomado dentro del Plan de Trabajo de la Comisión de Asuntos Migratorios, pero preocupa que, al igual que en la legislatura anterior, no se logre el cambio normativo. Es fundamental implementar una identificación de vulnerabilidades en frontera para prevenir la devolución de personas con necesidades de protección internacional y evitar la detención arbitraria. México cuenta con la infraestructura para ello y, en el marco de la Conferencia Regional sobre Migración, se está diseñando una herramienta regional que representa una oportunidad para que el país realice un pilotaje.</w:t>
      </w:r>
    </w:p>
    <w:p w14:paraId="221A3231" w14:textId="77777777" w:rsidR="009616ED" w:rsidRDefault="00D55F12">
      <w:pPr>
        <w:spacing w:after="240" w:line="308" w:lineRule="auto"/>
        <w:jc w:val="both"/>
      </w:pPr>
      <w:r>
        <w:t>Las organizaciones que monitorean las condiciones en estaciones migratorias han identificado que, tras la reforma que establece que las personas no deben permanecer más de 36 horas en detención, si bien en muchos casos se respeta este plazo, se han intensificado los eventos de detención. Las personas son trasladadas de un lugar a otro para cumplir con el límite de tiempo, sin una reducción real de la privación de libertad. En la frontera sur, se han registrado detenciones de corta duración en puntos de verificación, retenes y autobuses, con el agravante de que algunas autoridades interpretan las 36 horas como horas hábiles de trabajo, aplicándolas de manera discrecional.</w:t>
      </w:r>
    </w:p>
    <w:p w14:paraId="221A3232" w14:textId="77777777" w:rsidR="009616ED" w:rsidRDefault="00D55F12">
      <w:pPr>
        <w:spacing w:after="240" w:line="308" w:lineRule="auto"/>
        <w:jc w:val="both"/>
      </w:pPr>
      <w:r>
        <w:t>Además, se ha documentado separación familiar, particularmente de mujeres con hijos de sus parejas, ya que mientras ellas y sus hijos son canalizados a CAS, los hombres permanecen en estaciones migratorias.</w:t>
      </w:r>
    </w:p>
    <w:p w14:paraId="221A3233" w14:textId="77777777" w:rsidR="009616ED" w:rsidRDefault="00D55F12">
      <w:pPr>
        <w:jc w:val="both"/>
        <w:rPr>
          <w:b/>
          <w:highlight w:val="white"/>
        </w:rPr>
      </w:pPr>
      <w:r>
        <w:rPr>
          <w:b/>
          <w:highlight w:val="white"/>
        </w:rPr>
        <w:t>Respuesta al párrafo 18 de las cuestiones planteadas al Estado mexicano:</w:t>
      </w:r>
    </w:p>
    <w:p w14:paraId="221A3234" w14:textId="77777777" w:rsidR="009616ED" w:rsidRDefault="009616ED">
      <w:pPr>
        <w:jc w:val="both"/>
      </w:pPr>
    </w:p>
    <w:p w14:paraId="221A3235" w14:textId="77777777" w:rsidR="009616ED" w:rsidRDefault="00D55F12">
      <w:pPr>
        <w:spacing w:line="308" w:lineRule="auto"/>
        <w:jc w:val="both"/>
      </w:pPr>
      <w:r>
        <w:rPr>
          <w:i/>
        </w:rPr>
        <w:t>Sobre Alternativas a la Detención.</w:t>
      </w:r>
    </w:p>
    <w:p w14:paraId="221A3236" w14:textId="77777777" w:rsidR="009616ED" w:rsidRDefault="009616ED">
      <w:pPr>
        <w:spacing w:line="308" w:lineRule="auto"/>
        <w:jc w:val="both"/>
      </w:pPr>
    </w:p>
    <w:p w14:paraId="221A3237" w14:textId="77777777" w:rsidR="009616ED" w:rsidRDefault="00D55F12">
      <w:pPr>
        <w:spacing w:after="240" w:line="308" w:lineRule="auto"/>
        <w:jc w:val="both"/>
      </w:pPr>
      <w:r>
        <w:t>Las alternativas a la detención representan una solución a la práctica de detención automática en México. Sin embargo, la ausencia de una evaluación individualizada dificulta que las personas accedan a estas medidas. Para que las alternativas sean eficaces, es fundamental una gestión de casos que acompañe a las personas hasta la conclusión de sus procedimientos migratorios y de asilo. Actualmente, no existen cifras exactas sobre cuántas personas han accedido a estas alternativas ni cuáles han sido implementadas, lo que impide que el gobierno mexicano evalúe sus beneficios frente a la detención migratoria.</w:t>
      </w:r>
    </w:p>
    <w:p w14:paraId="221A3238" w14:textId="77777777" w:rsidR="009616ED" w:rsidRDefault="00D55F12">
      <w:pPr>
        <w:jc w:val="both"/>
        <w:rPr>
          <w:b/>
          <w:highlight w:val="white"/>
        </w:rPr>
      </w:pPr>
      <w:r>
        <w:rPr>
          <w:b/>
          <w:highlight w:val="white"/>
        </w:rPr>
        <w:t>Respuesta al párrafo 19 de las cuestiones planteadas al Estado mexicano:</w:t>
      </w:r>
    </w:p>
    <w:p w14:paraId="221A3239" w14:textId="77777777" w:rsidR="009616ED" w:rsidRDefault="009616ED">
      <w:pPr>
        <w:jc w:val="both"/>
      </w:pPr>
    </w:p>
    <w:p w14:paraId="221A323A" w14:textId="77777777" w:rsidR="009616ED" w:rsidRDefault="00D55F12">
      <w:pPr>
        <w:spacing w:line="308" w:lineRule="auto"/>
        <w:jc w:val="both"/>
      </w:pPr>
      <w:r>
        <w:rPr>
          <w:i/>
        </w:rPr>
        <w:t>Sobre</w:t>
      </w:r>
      <w:r>
        <w:t xml:space="preserve"> </w:t>
      </w:r>
      <w:r>
        <w:rPr>
          <w:i/>
        </w:rPr>
        <w:t>el debido proceso en la detención, defensoría pública y acceso a la justicia</w:t>
      </w:r>
      <w:r>
        <w:t xml:space="preserve">. </w:t>
      </w:r>
    </w:p>
    <w:p w14:paraId="221A323B" w14:textId="77777777" w:rsidR="009616ED" w:rsidRDefault="009616ED">
      <w:pPr>
        <w:spacing w:line="308" w:lineRule="auto"/>
        <w:jc w:val="both"/>
      </w:pPr>
    </w:p>
    <w:p w14:paraId="221A323C" w14:textId="77777777" w:rsidR="009616ED" w:rsidRDefault="00D55F12">
      <w:pPr>
        <w:spacing w:after="240" w:line="308" w:lineRule="auto"/>
        <w:jc w:val="both"/>
      </w:pPr>
      <w:r>
        <w:t xml:space="preserve">A pesar de que la SCJN declaró inconstitucional la detención migratoria más allá de las 36 horas, la Ley de Migración no ha sido modificada. El Instituto Nacional de Migración (INM) sostiene que sus detenciones no exceden dicho plazo; sin embargo, al no estar establecido en la ley, la aplicación de esta medida sigue siendo discrecional. </w:t>
      </w:r>
    </w:p>
    <w:p w14:paraId="221A323D" w14:textId="77777777" w:rsidR="009616ED" w:rsidRDefault="009616ED">
      <w:pPr>
        <w:spacing w:after="240" w:line="308" w:lineRule="auto"/>
        <w:jc w:val="both"/>
      </w:pPr>
    </w:p>
    <w:p w14:paraId="221A323E" w14:textId="77777777" w:rsidR="009616ED" w:rsidRDefault="00D55F12">
      <w:pPr>
        <w:spacing w:after="240" w:line="308" w:lineRule="auto"/>
        <w:jc w:val="both"/>
      </w:pPr>
      <w:r>
        <w:t>Además, se ha identificado que las autoridades migratorias resuelven los Procedimientos Administrativos Migratorios (PAM) de manera acelerada, bajo la justificación de cumplir con el plazo máximo de 36 horas de detención. Esto generalmente implica la falta de acceso a representación legal y la omisión de un estudio cuidadoso de cada caso donde se informe debidamente a la persona detenida sobre sus derechos y se identifiquen sus necesidades. Esto obstaculiza el acceso al procedimiento del reconocimiento de la condición de refugiado o a la regularización migratoria. Lo anterior aunado a que quienes no logran acreditar una situación migratoria irregular son trasladados al sur del país en autobuses donde, de facto, se prolonga su tiempo en detención y colocándolos en riesgo de devolución.</w:t>
      </w:r>
    </w:p>
    <w:p w14:paraId="221A323F" w14:textId="77777777" w:rsidR="009616ED" w:rsidRDefault="00D55F12">
      <w:pPr>
        <w:spacing w:after="240" w:line="308" w:lineRule="auto"/>
        <w:jc w:val="both"/>
      </w:pPr>
      <w:r>
        <w:t xml:space="preserve">Dado que la detención es obligatoria, se omite hacer una evaluación caso por caso para determinar si las personas pueden aplicar a una alternativa a la detención. A pesar de que se implementó un programa de alternativas a la detención para personas solicitantes de la condición de refugiados donde participaba el INM, la </w:t>
      </w:r>
      <w:proofErr w:type="spellStart"/>
      <w:r>
        <w:t>Comar</w:t>
      </w:r>
      <w:proofErr w:type="spellEnd"/>
      <w:r>
        <w:t xml:space="preserve"> y organizaciones de la sociedad civil, al no haberse institucionalizado primero fue limitado y a la fecha no hay información sobre su continuidad.</w:t>
      </w:r>
      <w:r>
        <w:tab/>
      </w:r>
      <w:r>
        <w:tab/>
      </w:r>
      <w:r>
        <w:tab/>
      </w:r>
      <w:r>
        <w:tab/>
      </w:r>
      <w:r>
        <w:tab/>
      </w:r>
      <w:r>
        <w:tab/>
      </w:r>
    </w:p>
    <w:p w14:paraId="221A3240" w14:textId="77777777" w:rsidR="009616ED" w:rsidRDefault="00D55F12">
      <w:pPr>
        <w:shd w:val="clear" w:color="auto" w:fill="FFFFFF"/>
        <w:spacing w:before="240" w:after="240" w:line="308" w:lineRule="auto"/>
        <w:jc w:val="both"/>
        <w:rPr>
          <w:rFonts w:ascii="Roboto" w:eastAsia="Roboto" w:hAnsi="Roboto" w:cs="Roboto"/>
          <w:color w:val="434343"/>
          <w:sz w:val="26"/>
          <w:szCs w:val="26"/>
        </w:rPr>
      </w:pPr>
      <w:r>
        <w:t xml:space="preserve">El 27 de octubre de 2020 la </w:t>
      </w:r>
      <w:proofErr w:type="spellStart"/>
      <w:r>
        <w:t>Dirección</w:t>
      </w:r>
      <w:proofErr w:type="spellEnd"/>
      <w:r>
        <w:t xml:space="preserve"> General de Control y </w:t>
      </w:r>
      <w:proofErr w:type="spellStart"/>
      <w:r>
        <w:t>Verificación</w:t>
      </w:r>
      <w:proofErr w:type="spellEnd"/>
      <w:r>
        <w:t xml:space="preserve"> Migratoria del INM emitió el oficio INM/DGCVM/1363/2020 dirigido a las personas titulares de las oficinas de </w:t>
      </w:r>
      <w:proofErr w:type="spellStart"/>
      <w:r>
        <w:t>representación</w:t>
      </w:r>
      <w:proofErr w:type="spellEnd"/>
      <w:r>
        <w:t xml:space="preserve"> del INM, en el que quedaban excluidas del programa “Alternativas al Alojamiento” personas que contaran con una </w:t>
      </w:r>
      <w:proofErr w:type="spellStart"/>
      <w:r>
        <w:t>determinación</w:t>
      </w:r>
      <w:proofErr w:type="spellEnd"/>
      <w:r>
        <w:t xml:space="preserve"> de rechazo en el punto de </w:t>
      </w:r>
      <w:proofErr w:type="spellStart"/>
      <w:r>
        <w:t>internación</w:t>
      </w:r>
      <w:proofErr w:type="spellEnd"/>
      <w:r>
        <w:t xml:space="preserve"> a territorio nacional o que viajaran solas de manera irregular. Es decir, estos perfiles ya no podían salir de la </w:t>
      </w:r>
      <w:proofErr w:type="spellStart"/>
      <w:r>
        <w:t>estación</w:t>
      </w:r>
      <w:proofErr w:type="spellEnd"/>
      <w:r>
        <w:t xml:space="preserve"> migratoria mediante dicho programa. Esta </w:t>
      </w:r>
      <w:proofErr w:type="spellStart"/>
      <w:r>
        <w:t>exclusión</w:t>
      </w:r>
      <w:proofErr w:type="spellEnd"/>
      <w:r>
        <w:t xml:space="preserve"> fue tajantemente violatoria al principio internacional de no </w:t>
      </w:r>
      <w:proofErr w:type="spellStart"/>
      <w:r>
        <w:t>sanción</w:t>
      </w:r>
      <w:proofErr w:type="spellEnd"/>
      <w:r>
        <w:t xml:space="preserve"> por ingreso irregular. El impacto de este cambio fue brutal, en los dos meses siguientes al cambio de </w:t>
      </w:r>
      <w:proofErr w:type="spellStart"/>
      <w:r>
        <w:t>política</w:t>
      </w:r>
      <w:proofErr w:type="spellEnd"/>
      <w:r>
        <w:t xml:space="preserve">, hubo una </w:t>
      </w:r>
      <w:proofErr w:type="spellStart"/>
      <w:r>
        <w:t>reducción</w:t>
      </w:r>
      <w:proofErr w:type="spellEnd"/>
      <w:r>
        <w:t xml:space="preserve"> del 75% en el </w:t>
      </w:r>
      <w:proofErr w:type="spellStart"/>
      <w:r>
        <w:t>número</w:t>
      </w:r>
      <w:proofErr w:type="spellEnd"/>
      <w:r>
        <w:t xml:space="preserve"> de personas solicitantes de asilo que recibieron salida de </w:t>
      </w:r>
      <w:proofErr w:type="spellStart"/>
      <w:r>
        <w:t>estación</w:t>
      </w:r>
      <w:proofErr w:type="spellEnd"/>
      <w:r>
        <w:t xml:space="preserve"> migratoria por el programa “Alternativas al Alojamiento”, esta información fue obtenida mediante una solicitud de transparencia hecha por </w:t>
      </w:r>
      <w:proofErr w:type="spellStart"/>
      <w:r>
        <w:t>Asylum</w:t>
      </w:r>
      <w:proofErr w:type="spellEnd"/>
      <w:r>
        <w:t xml:space="preserve"> Access</w:t>
      </w:r>
      <w:r>
        <w:rPr>
          <w:vertAlign w:val="superscript"/>
        </w:rPr>
        <w:footnoteReference w:id="7"/>
      </w:r>
      <w:r>
        <w:t>.</w:t>
      </w:r>
    </w:p>
    <w:p w14:paraId="221A3241" w14:textId="77777777" w:rsidR="009616ED" w:rsidRDefault="00D55F12">
      <w:pPr>
        <w:shd w:val="clear" w:color="auto" w:fill="FFFFFF"/>
        <w:spacing w:before="240" w:after="240" w:line="308" w:lineRule="auto"/>
        <w:jc w:val="both"/>
      </w:pPr>
      <w:r>
        <w:t>El acceso a la justicia para personas migrantes es fundamental, especialmente en el contexto de la detención. La SCJN ha establecido que cualquier procedimiento administrativo migratorio debe garantizar una defensa adecuada e irrenunciable. Sin embargo, el Estado sólo cuenta con 43 asesores jurídicos federales especializados para atender a personas en movilidad y sujetas a protección internacional. Esto implica que cada asesor jurídico tendría que atender en promedio a 13,730 personas en detención migratoria, una carga insostenible que compromete la garantía del debido proceso y la protección de derechos.</w:t>
      </w:r>
    </w:p>
    <w:p w14:paraId="221A3242" w14:textId="77777777" w:rsidR="009616ED" w:rsidRDefault="009616ED">
      <w:pPr>
        <w:jc w:val="both"/>
        <w:rPr>
          <w:b/>
          <w:highlight w:val="white"/>
        </w:rPr>
      </w:pPr>
    </w:p>
    <w:p w14:paraId="5FA70104" w14:textId="77777777" w:rsidR="00D55F12" w:rsidRDefault="00D55F12">
      <w:pPr>
        <w:jc w:val="both"/>
        <w:rPr>
          <w:b/>
          <w:highlight w:val="white"/>
        </w:rPr>
      </w:pPr>
    </w:p>
    <w:p w14:paraId="221A3243" w14:textId="77777777" w:rsidR="009616ED" w:rsidRDefault="00D55F12">
      <w:pPr>
        <w:jc w:val="both"/>
        <w:rPr>
          <w:b/>
          <w:highlight w:val="white"/>
        </w:rPr>
      </w:pPr>
      <w:r>
        <w:rPr>
          <w:b/>
          <w:highlight w:val="white"/>
        </w:rPr>
        <w:lastRenderedPageBreak/>
        <w:t>Respuesta al párrafo 20 de las cuestiones planteadas al Estado mexicano:</w:t>
      </w:r>
    </w:p>
    <w:p w14:paraId="221A3244" w14:textId="77777777" w:rsidR="009616ED" w:rsidRDefault="009616ED">
      <w:pPr>
        <w:jc w:val="both"/>
      </w:pPr>
    </w:p>
    <w:p w14:paraId="221A3245" w14:textId="77777777" w:rsidR="009616ED" w:rsidRDefault="00D55F12">
      <w:pPr>
        <w:spacing w:line="308" w:lineRule="auto"/>
        <w:jc w:val="both"/>
      </w:pPr>
      <w:r>
        <w:rPr>
          <w:i/>
        </w:rPr>
        <w:t>Sobre las condiciones de detención y el acceso a la sociedad civil.</w:t>
      </w:r>
      <w:r>
        <w:t xml:space="preserve"> </w:t>
      </w:r>
    </w:p>
    <w:p w14:paraId="221A3246" w14:textId="77777777" w:rsidR="009616ED" w:rsidRDefault="009616ED">
      <w:pPr>
        <w:spacing w:line="308" w:lineRule="auto"/>
        <w:jc w:val="both"/>
      </w:pPr>
    </w:p>
    <w:p w14:paraId="221A3247" w14:textId="77777777" w:rsidR="009616ED" w:rsidRDefault="00D55F12">
      <w:pPr>
        <w:spacing w:after="240" w:line="308" w:lineRule="auto"/>
        <w:jc w:val="both"/>
      </w:pPr>
      <w:r>
        <w:t>Las organizaciones hemos constatado que la representación legal de las personas migrantes detenidas es deficiente, ya que no hay una identificación clara de abogados ni acceso garantizado a servicios gratuitos. Se han documentado obstáculos para la labor de defensa de organizaciones de la sociedad civil, así como un aumento en deportaciones aceleradas que limitan la posibilidad de ejercer una defensa efectiva.</w:t>
      </w:r>
    </w:p>
    <w:p w14:paraId="221A3248" w14:textId="77777777" w:rsidR="009616ED" w:rsidRDefault="00D55F12">
      <w:pPr>
        <w:spacing w:before="240" w:after="240" w:line="308" w:lineRule="auto"/>
        <w:jc w:val="both"/>
      </w:pPr>
      <w:r>
        <w:t>Las condiciones de detención en estaciones migratorias continúan siendo preocupantes. Se han identificado deficiencias estructurales graves, como falta de iluminación, ventilación y saneamiento adecuado, así como hacinamiento y ausencia de espacios de descanso y recreación. Además, se ha documentado la negación de atención médica, falta de insumos básicos de higiene y deficiencias en la provisión de alimentos adecuados a las necesidades de salud y religión de las personas detenidas.</w:t>
      </w:r>
    </w:p>
    <w:p w14:paraId="221A3249" w14:textId="77777777" w:rsidR="009616ED" w:rsidRDefault="00D55F12">
      <w:pPr>
        <w:spacing w:before="240" w:after="240" w:line="308" w:lineRule="auto"/>
        <w:jc w:val="both"/>
      </w:pPr>
      <w:r>
        <w:t>Asimismo, se han registrado violaciones al debido proceso, incluyendo incomunicación, detenciones arbitrarias y la ausencia de traductores e intérpretes. En muchos casos, las personas detenidas han sido inducidas a firmar documentos sin comprender su contenido, lo que ha facilitado retornos forzados. También se han reportado casos de discriminación racial, extorsión, hostigamiento, abuso sexual, represión de protestas y uso excesivo de la fuerza, lo que en algunos casos configura tratos crueles, inhumanos o degradantes, e incluso tortura.</w:t>
      </w:r>
    </w:p>
    <w:p w14:paraId="221A324A" w14:textId="77777777" w:rsidR="009616ED" w:rsidRDefault="00D55F12">
      <w:pPr>
        <w:spacing w:before="240" w:after="240" w:line="308" w:lineRule="auto"/>
        <w:jc w:val="both"/>
      </w:pPr>
      <w:r>
        <w:t>Las víctimas de estos abusos no reciben información suficiente sobre su derecho a presentar denuncias o quejas administrativas, y muchas veces carecen de representación para emprender acciones legales. Paradójicamente, quienes buscan hacer valer sus derechos enfrentan el riesgo de prolongación indefinida de su detención, revictimización y total impunidad.</w:t>
      </w:r>
    </w:p>
    <w:p w14:paraId="221A324B" w14:textId="77777777" w:rsidR="009616ED" w:rsidRDefault="00D55F12">
      <w:pPr>
        <w:jc w:val="both"/>
        <w:rPr>
          <w:b/>
          <w:highlight w:val="white"/>
        </w:rPr>
      </w:pPr>
      <w:r>
        <w:rPr>
          <w:b/>
          <w:highlight w:val="white"/>
        </w:rPr>
        <w:t>Respuesta al párrafo 21 de las cuestiones planteadas al Estado mexicano:</w:t>
      </w:r>
    </w:p>
    <w:p w14:paraId="221A324C" w14:textId="77777777" w:rsidR="009616ED" w:rsidRDefault="009616ED">
      <w:pPr>
        <w:jc w:val="both"/>
      </w:pPr>
    </w:p>
    <w:p w14:paraId="221A324D" w14:textId="77777777" w:rsidR="009616ED" w:rsidRDefault="00D55F12">
      <w:pPr>
        <w:spacing w:line="308" w:lineRule="auto"/>
        <w:jc w:val="both"/>
      </w:pPr>
      <w:r>
        <w:rPr>
          <w:i/>
        </w:rPr>
        <w:t>Sobre los hechos ocurridos en Ciudad Juárez</w:t>
      </w:r>
    </w:p>
    <w:p w14:paraId="221A324E" w14:textId="77777777" w:rsidR="009616ED" w:rsidRDefault="00D55F12">
      <w:pPr>
        <w:spacing w:line="308" w:lineRule="auto"/>
        <w:jc w:val="both"/>
      </w:pPr>
      <w:r>
        <w:tab/>
        <w:t xml:space="preserve"> </w:t>
      </w:r>
      <w:r>
        <w:tab/>
      </w:r>
      <w:r>
        <w:tab/>
        <w:t xml:space="preserve"> </w:t>
      </w:r>
      <w:r>
        <w:tab/>
      </w:r>
      <w:r>
        <w:tab/>
        <w:t xml:space="preserve"> </w:t>
      </w:r>
      <w:r>
        <w:tab/>
        <w:t xml:space="preserve"> </w:t>
      </w:r>
      <w:r>
        <w:tab/>
        <w:t xml:space="preserve"> </w:t>
      </w:r>
      <w:r>
        <w:tab/>
      </w:r>
      <w:r>
        <w:tab/>
      </w:r>
    </w:p>
    <w:p w14:paraId="221A324F" w14:textId="14D248EF" w:rsidR="009616ED" w:rsidRDefault="00D55F12">
      <w:pPr>
        <w:spacing w:line="308" w:lineRule="auto"/>
        <w:jc w:val="both"/>
      </w:pPr>
      <w:r>
        <w:t xml:space="preserve">Las organizaciones que llevan la </w:t>
      </w:r>
      <w:proofErr w:type="spellStart"/>
      <w:r>
        <w:t>representación</w:t>
      </w:r>
      <w:proofErr w:type="spellEnd"/>
      <w:r>
        <w:t xml:space="preserve"> </w:t>
      </w:r>
      <w:proofErr w:type="spellStart"/>
      <w:r>
        <w:t>jurídica</w:t>
      </w:r>
      <w:proofErr w:type="spellEnd"/>
      <w:r>
        <w:t xml:space="preserve"> de sobrevivientes y familias de personas fallecidas han hecho varios llamados a las diferentes autoridades a no permitir la impunidad que ha logrado Francisco </w:t>
      </w:r>
      <w:proofErr w:type="spellStart"/>
      <w:r>
        <w:t>Garduño</w:t>
      </w:r>
      <w:proofErr w:type="spellEnd"/>
      <w:r>
        <w:t xml:space="preserve"> y el INM ante las graves violaciones a derechos que han redundado en muertes al interior de las estaciones migratorias, incluso posterior al incendio en la estancia migratoria de Ciudad </w:t>
      </w:r>
      <w:proofErr w:type="spellStart"/>
      <w:r>
        <w:t>Juárez</w:t>
      </w:r>
      <w:proofErr w:type="spellEnd"/>
      <w:r>
        <w:t>, con la resolución de un juzgado federal que suspendió el proceso penal en su contra.</w:t>
      </w:r>
      <w:r>
        <w:tab/>
      </w:r>
      <w:r>
        <w:tab/>
      </w:r>
      <w:r>
        <w:tab/>
      </w:r>
    </w:p>
    <w:p w14:paraId="221A3250" w14:textId="77777777" w:rsidR="009616ED" w:rsidRDefault="009616ED">
      <w:pPr>
        <w:spacing w:line="308" w:lineRule="auto"/>
        <w:jc w:val="both"/>
      </w:pPr>
    </w:p>
    <w:p w14:paraId="221A3251" w14:textId="77777777" w:rsidR="009616ED" w:rsidRDefault="00D55F12">
      <w:pPr>
        <w:spacing w:line="308" w:lineRule="auto"/>
        <w:jc w:val="both"/>
      </w:pPr>
      <w:r>
        <w:t xml:space="preserve">Francisco </w:t>
      </w:r>
      <w:proofErr w:type="spellStart"/>
      <w:r>
        <w:t>Garduño</w:t>
      </w:r>
      <w:proofErr w:type="spellEnd"/>
      <w:r>
        <w:t xml:space="preserve"> </w:t>
      </w:r>
      <w:proofErr w:type="spellStart"/>
      <w:r>
        <w:t>Yáñez</w:t>
      </w:r>
      <w:proofErr w:type="spellEnd"/>
      <w:r>
        <w:t xml:space="preserve"> se ha caracterizado por su falta de </w:t>
      </w:r>
      <w:proofErr w:type="spellStart"/>
      <w:r>
        <w:t>rendición</w:t>
      </w:r>
      <w:proofErr w:type="spellEnd"/>
      <w:r>
        <w:t xml:space="preserve"> de cuentas, como lo demuestran los 30 llamados y puntos de acuerdo que desde el Poder Legislativo le han hecho para que comparezca, los cuales ha ignorado. Los operadores de justicia que protegen los </w:t>
      </w:r>
      <w:r>
        <w:lastRenderedPageBreak/>
        <w:t xml:space="preserve">derechos de las </w:t>
      </w:r>
      <w:proofErr w:type="spellStart"/>
      <w:r>
        <w:t>víctimas</w:t>
      </w:r>
      <w:proofErr w:type="spellEnd"/>
      <w:r>
        <w:t xml:space="preserve"> deben evitar dar el mensaje que en </w:t>
      </w:r>
      <w:proofErr w:type="spellStart"/>
      <w:r>
        <w:t>México</w:t>
      </w:r>
      <w:proofErr w:type="spellEnd"/>
      <w:r>
        <w:t xml:space="preserve"> la impunidad impera sin importar la gravedad de los hechos. De acuerdo con la </w:t>
      </w:r>
      <w:proofErr w:type="spellStart"/>
      <w:r>
        <w:t>Comisión</w:t>
      </w:r>
      <w:proofErr w:type="spellEnd"/>
      <w:r>
        <w:t xml:space="preserve"> Nacional de los Derechos Humanos, el incendio fue calificado como grave </w:t>
      </w:r>
      <w:proofErr w:type="spellStart"/>
      <w:r>
        <w:t>violación</w:t>
      </w:r>
      <w:proofErr w:type="spellEnd"/>
      <w:r>
        <w:t xml:space="preserve"> a derechos humanos en su </w:t>
      </w:r>
      <w:proofErr w:type="spellStart"/>
      <w:r>
        <w:t>Recomendación</w:t>
      </w:r>
      <w:proofErr w:type="spellEnd"/>
      <w:r>
        <w:t xml:space="preserve"> 111VG/2023.</w:t>
      </w:r>
    </w:p>
    <w:p w14:paraId="221A3252" w14:textId="77777777" w:rsidR="009616ED" w:rsidRDefault="009616ED">
      <w:pPr>
        <w:spacing w:line="308" w:lineRule="auto"/>
        <w:jc w:val="both"/>
      </w:pPr>
    </w:p>
    <w:p w14:paraId="221A3253" w14:textId="77777777" w:rsidR="009616ED" w:rsidRDefault="00D55F12">
      <w:pPr>
        <w:spacing w:line="308" w:lineRule="auto"/>
        <w:jc w:val="both"/>
      </w:pPr>
      <w:r>
        <w:t xml:space="preserve">A 16 meses de los hechos, once personas de mandos medios y bajos, incluidos dos migrantes, </w:t>
      </w:r>
      <w:proofErr w:type="spellStart"/>
      <w:r>
        <w:t>continúan</w:t>
      </w:r>
      <w:proofErr w:type="spellEnd"/>
      <w:r>
        <w:t xml:space="preserve"> en </w:t>
      </w:r>
      <w:proofErr w:type="spellStart"/>
      <w:r>
        <w:t>detención</w:t>
      </w:r>
      <w:proofErr w:type="spellEnd"/>
      <w:r>
        <w:t xml:space="preserve"> acusados de homicidio y lesiones. Sin embargo, Antonio Molina, excoordinador de Control y </w:t>
      </w:r>
      <w:proofErr w:type="spellStart"/>
      <w:r>
        <w:t>Verificación</w:t>
      </w:r>
      <w:proofErr w:type="spellEnd"/>
      <w:r>
        <w:t xml:space="preserve"> Migratoria, se encuentra </w:t>
      </w:r>
      <w:proofErr w:type="spellStart"/>
      <w:r>
        <w:t>prófugo</w:t>
      </w:r>
      <w:proofErr w:type="spellEnd"/>
      <w:r>
        <w:t>.</w:t>
      </w:r>
    </w:p>
    <w:p w14:paraId="221A3254" w14:textId="77777777" w:rsidR="009616ED" w:rsidRDefault="009616ED">
      <w:pPr>
        <w:spacing w:line="308" w:lineRule="auto"/>
        <w:jc w:val="both"/>
      </w:pPr>
    </w:p>
    <w:p w14:paraId="221A3255" w14:textId="77777777" w:rsidR="009616ED" w:rsidRDefault="00D55F12">
      <w:pPr>
        <w:spacing w:line="308" w:lineRule="auto"/>
        <w:jc w:val="both"/>
      </w:pPr>
      <w:r>
        <w:t xml:space="preserve">Ante todo esto, las organizaciones firmantes queremos proponemos algunas </w:t>
      </w:r>
      <w:r>
        <w:rPr>
          <w:b/>
        </w:rPr>
        <w:t>Recomendaciones</w:t>
      </w:r>
      <w:r>
        <w:t xml:space="preserve"> para hacer al gobierno mexicano con respecto al tema de detención migratoria y alternativas a la detención;</w:t>
      </w:r>
    </w:p>
    <w:p w14:paraId="221A3256" w14:textId="77777777" w:rsidR="009616ED" w:rsidRDefault="009616ED">
      <w:pPr>
        <w:spacing w:line="308" w:lineRule="auto"/>
        <w:jc w:val="both"/>
      </w:pPr>
    </w:p>
    <w:p w14:paraId="221A3257" w14:textId="77777777" w:rsidR="009616ED" w:rsidRDefault="00D55F12">
      <w:pPr>
        <w:numPr>
          <w:ilvl w:val="0"/>
          <w:numId w:val="2"/>
        </w:numPr>
        <w:spacing w:line="308" w:lineRule="auto"/>
        <w:jc w:val="both"/>
      </w:pPr>
      <w:r>
        <w:t xml:space="preserve">Eliminar eufemismos para referirse a la privación de la libertad, en la ley, en la política migratoria y en las estadísticas, esto último para conocer el alcance del problema y poder desarrollar políticas públicas de manera adecuada. </w:t>
      </w:r>
    </w:p>
    <w:p w14:paraId="221A3258" w14:textId="77777777" w:rsidR="009616ED" w:rsidRDefault="00D55F12">
      <w:pPr>
        <w:numPr>
          <w:ilvl w:val="0"/>
          <w:numId w:val="2"/>
        </w:numPr>
        <w:spacing w:line="308" w:lineRule="auto"/>
        <w:jc w:val="both"/>
      </w:pPr>
      <w:r>
        <w:t>Establecer mecanismos que prevengan la detención migratoria, y cumplir con la  obligación de considerar en primera instancia alternativas a la detención no custodiales y otras relacionadas con la regularización migratoria conforme a principios de accesibilidad y asequibilidad.</w:t>
      </w:r>
    </w:p>
    <w:p w14:paraId="221A3259" w14:textId="77777777" w:rsidR="009616ED" w:rsidRDefault="00D55F12">
      <w:pPr>
        <w:numPr>
          <w:ilvl w:val="0"/>
          <w:numId w:val="2"/>
        </w:numPr>
        <w:pBdr>
          <w:top w:val="nil"/>
          <w:left w:val="nil"/>
          <w:bottom w:val="nil"/>
          <w:right w:val="nil"/>
          <w:between w:val="nil"/>
        </w:pBdr>
        <w:spacing w:line="308" w:lineRule="auto"/>
        <w:jc w:val="both"/>
      </w:pPr>
      <w:r>
        <w:t xml:space="preserve">Adoptar una legislación y una política pública que prohíba la detención por razones migratorias, particularmente a personas en mayores condiciones de vulnerabilidad como son las personas refugiadas. En tanto </w:t>
      </w:r>
      <w:proofErr w:type="spellStart"/>
      <w:r>
        <w:t>ésto</w:t>
      </w:r>
      <w:proofErr w:type="spellEnd"/>
      <w:r>
        <w:t xml:space="preserve"> ocurre, es necesario implementar los estándares internacionales para que la detención migratoria sea una medida excepcional, proporcional y necesaria.</w:t>
      </w:r>
    </w:p>
    <w:p w14:paraId="221A325A" w14:textId="77777777" w:rsidR="009616ED" w:rsidRDefault="00D55F12">
      <w:pPr>
        <w:numPr>
          <w:ilvl w:val="0"/>
          <w:numId w:val="2"/>
        </w:numPr>
        <w:spacing w:line="308" w:lineRule="auto"/>
        <w:jc w:val="both"/>
      </w:pPr>
      <w:r>
        <w:t>Promover y garantizar el acceso y monitoreo independiente de las estaciones migratorias, estancias provisionales y lugares habilitados para la detención, incluyendo los lugares para niñez y adolescencia migrante.</w:t>
      </w:r>
    </w:p>
    <w:p w14:paraId="221A325B" w14:textId="77777777" w:rsidR="009616ED" w:rsidRDefault="00D55F12">
      <w:pPr>
        <w:widowControl w:val="0"/>
        <w:numPr>
          <w:ilvl w:val="0"/>
          <w:numId w:val="2"/>
        </w:numPr>
        <w:spacing w:line="280" w:lineRule="auto"/>
        <w:ind w:right="3"/>
      </w:pPr>
      <w:r>
        <w:t xml:space="preserve">Incluir en la Ley Nacional de Registro de Detenciones parámetros relacionados  con el contexto de movilidad humana, salvaguardando información sensible </w:t>
      </w:r>
      <w:proofErr w:type="spellStart"/>
      <w:r>
        <w:t>tratandose</w:t>
      </w:r>
      <w:proofErr w:type="spellEnd"/>
      <w:r>
        <w:t xml:space="preserve"> de personas con necesidades de protección internacional.</w:t>
      </w:r>
    </w:p>
    <w:p w14:paraId="221A325C" w14:textId="77777777" w:rsidR="009616ED" w:rsidRDefault="00D55F12">
      <w:pPr>
        <w:widowControl w:val="0"/>
        <w:numPr>
          <w:ilvl w:val="0"/>
          <w:numId w:val="2"/>
        </w:numPr>
        <w:pBdr>
          <w:top w:val="nil"/>
          <w:left w:val="nil"/>
          <w:bottom w:val="nil"/>
          <w:right w:val="nil"/>
          <w:between w:val="nil"/>
        </w:pBdr>
        <w:spacing w:line="280" w:lineRule="auto"/>
        <w:ind w:right="3"/>
        <w:jc w:val="both"/>
      </w:pPr>
      <w:r>
        <w:t>Derogar los artículos de la Ley de Migración que han sido declarados inconstitucionales, en los términos de las sentencias respectivas de la SCJN, que regulan las  revisiones migratorias y las detenciones mayores a 36 horas, actos que facilitan  las desapariciones forzosas de corta duración.</w:t>
      </w:r>
    </w:p>
    <w:p w14:paraId="221A325D" w14:textId="77777777" w:rsidR="009616ED" w:rsidRDefault="00D55F12">
      <w:pPr>
        <w:numPr>
          <w:ilvl w:val="0"/>
          <w:numId w:val="2"/>
        </w:numPr>
        <w:spacing w:line="308" w:lineRule="auto"/>
        <w:jc w:val="both"/>
      </w:pPr>
      <w:r>
        <w:t>Eliminar las tareas de control del INM sobre niñez y adolescencia.</w:t>
      </w:r>
    </w:p>
    <w:p w14:paraId="221A325E" w14:textId="77777777" w:rsidR="009616ED" w:rsidRDefault="00D55F12">
      <w:pPr>
        <w:numPr>
          <w:ilvl w:val="0"/>
          <w:numId w:val="2"/>
        </w:numPr>
        <w:spacing w:line="308" w:lineRule="auto"/>
        <w:jc w:val="both"/>
      </w:pPr>
      <w:r>
        <w:t>Eliminar de facto la posibilidad de privar de la libertad a niñez y adolescencia en cualquier recinto a cargo de autoridad migratoria o de protección, como los Centros de Asistencia Social de puertas cerradas donde se replica la privación de la libertad.</w:t>
      </w:r>
    </w:p>
    <w:p w14:paraId="221A325F" w14:textId="77777777" w:rsidR="009616ED" w:rsidRDefault="00D55F12">
      <w:pPr>
        <w:numPr>
          <w:ilvl w:val="0"/>
          <w:numId w:val="2"/>
        </w:numPr>
        <w:spacing w:line="308" w:lineRule="auto"/>
        <w:jc w:val="both"/>
      </w:pPr>
      <w:r>
        <w:t>Fortalecer la regulación y los modelos de los Centros de Asistencia Social y espacios de alojamiento encaminados a asegurar que sean espacios de puertas abiertas.</w:t>
      </w:r>
    </w:p>
    <w:p w14:paraId="221A3260" w14:textId="77777777" w:rsidR="009616ED" w:rsidRDefault="00D55F12">
      <w:pPr>
        <w:numPr>
          <w:ilvl w:val="0"/>
          <w:numId w:val="2"/>
        </w:numPr>
        <w:spacing w:line="308" w:lineRule="auto"/>
        <w:jc w:val="both"/>
      </w:pPr>
      <w:r>
        <w:lastRenderedPageBreak/>
        <w:t>Contar con mecanismos para identificar vulnerabilidades en fronteras para evitar la detención innecesaria y asegurar la referencia a entidades especializadas en puntos de internación.</w:t>
      </w:r>
    </w:p>
    <w:p w14:paraId="221A3261" w14:textId="77777777" w:rsidR="009616ED" w:rsidRDefault="00D55F12">
      <w:pPr>
        <w:numPr>
          <w:ilvl w:val="0"/>
          <w:numId w:val="2"/>
        </w:numPr>
        <w:spacing w:line="308" w:lineRule="auto"/>
        <w:jc w:val="both"/>
      </w:pPr>
      <w:r>
        <w:t xml:space="preserve">Garantizar el respeto a las garantías judiciales y el debido proceso desde la detención, y  el acceso a la protección judicial incluyendo el acceso a recursos adecuados y efectivos  como el amparo. </w:t>
      </w:r>
    </w:p>
    <w:p w14:paraId="221A3262" w14:textId="77777777" w:rsidR="009616ED" w:rsidRDefault="00D55F12">
      <w:pPr>
        <w:numPr>
          <w:ilvl w:val="0"/>
          <w:numId w:val="2"/>
        </w:numPr>
        <w:pBdr>
          <w:top w:val="nil"/>
          <w:left w:val="nil"/>
          <w:bottom w:val="nil"/>
          <w:right w:val="nil"/>
          <w:between w:val="nil"/>
        </w:pBdr>
        <w:spacing w:line="308" w:lineRule="auto"/>
        <w:jc w:val="both"/>
      </w:pPr>
      <w:r>
        <w:t>Garantizar el derecho de las personas migrantes y sujetas de protección internacional detenidas, a ser representadas por organizaciones civiles de derechos humanos, de manera individual o en coadyuvancia con personas defensoras del Instituto Federal de Defensoría Pública.</w:t>
      </w:r>
    </w:p>
    <w:p w14:paraId="221A3263" w14:textId="77777777" w:rsidR="009616ED" w:rsidRDefault="00D55F12">
      <w:pPr>
        <w:numPr>
          <w:ilvl w:val="0"/>
          <w:numId w:val="2"/>
        </w:numPr>
        <w:pBdr>
          <w:top w:val="nil"/>
          <w:left w:val="nil"/>
          <w:bottom w:val="nil"/>
          <w:right w:val="nil"/>
          <w:between w:val="nil"/>
        </w:pBdr>
        <w:spacing w:line="308" w:lineRule="auto"/>
        <w:jc w:val="both"/>
      </w:pPr>
      <w:r>
        <w:t xml:space="preserve">Impulsar la investigación y sanción de las violaciones a derechos humanos contra personas migrantes, como las detenciones ilegales y arbitrarias y las violaciones subsecuentes como desapariciones, tortura y malos tratos, violaciones al debido proceso y a la falta de acceso a un recurso judicial efectivo. Esto mediante la creación de una Comisión especial de investigación para estos casos que cuente con expertos independientes y con enfoque transnacional. </w:t>
      </w:r>
    </w:p>
    <w:p w14:paraId="221A3264" w14:textId="77777777" w:rsidR="009616ED" w:rsidRDefault="00D55F12">
      <w:pPr>
        <w:numPr>
          <w:ilvl w:val="0"/>
          <w:numId w:val="2"/>
        </w:numPr>
        <w:spacing w:line="308" w:lineRule="auto"/>
        <w:jc w:val="both"/>
      </w:pPr>
      <w:r>
        <w:t xml:space="preserve">Impulsar mecanismos y sanciones para que los cuerpos de seguridad municipal no sean partícipes en las detenciones ilegales y arbitrarias. Así como el impedimento para pedir cualquier documentación para la identificación de las personas. </w:t>
      </w:r>
      <w:permStart w:id="836508981" w:edGrp="everyone"/>
      <w:permEnd w:id="836508981"/>
    </w:p>
    <w:p w14:paraId="221A3265" w14:textId="77777777" w:rsidR="009616ED" w:rsidRDefault="009616ED">
      <w:pPr>
        <w:pBdr>
          <w:top w:val="nil"/>
          <w:left w:val="nil"/>
          <w:bottom w:val="nil"/>
          <w:right w:val="nil"/>
          <w:between w:val="nil"/>
        </w:pBdr>
        <w:spacing w:line="308" w:lineRule="auto"/>
        <w:jc w:val="both"/>
      </w:pPr>
    </w:p>
    <w:p w14:paraId="221A3266" w14:textId="77777777" w:rsidR="009616ED" w:rsidRDefault="009616ED">
      <w:pPr>
        <w:pBdr>
          <w:top w:val="nil"/>
          <w:left w:val="nil"/>
          <w:bottom w:val="nil"/>
          <w:right w:val="nil"/>
          <w:between w:val="nil"/>
        </w:pBdr>
        <w:spacing w:line="308" w:lineRule="auto"/>
        <w:ind w:left="720"/>
        <w:jc w:val="both"/>
      </w:pPr>
    </w:p>
    <w:p w14:paraId="221A3267" w14:textId="77777777" w:rsidR="009616ED" w:rsidRDefault="009616ED">
      <w:pPr>
        <w:widowControl w:val="0"/>
        <w:spacing w:before="16" w:line="280" w:lineRule="auto"/>
        <w:ind w:right="2"/>
        <w:jc w:val="both"/>
      </w:pPr>
    </w:p>
    <w:p w14:paraId="221A3268" w14:textId="77777777" w:rsidR="009616ED" w:rsidRDefault="009616ED">
      <w:pPr>
        <w:spacing w:after="160" w:line="259" w:lineRule="auto"/>
        <w:rPr>
          <w:b/>
        </w:rPr>
      </w:pPr>
    </w:p>
    <w:p w14:paraId="221A3269" w14:textId="77777777" w:rsidR="009616ED" w:rsidRDefault="009616ED">
      <w:pPr>
        <w:spacing w:after="160" w:line="259" w:lineRule="auto"/>
        <w:jc w:val="center"/>
        <w:rPr>
          <w:b/>
        </w:rPr>
      </w:pPr>
    </w:p>
    <w:p w14:paraId="221A326A" w14:textId="77777777" w:rsidR="009616ED" w:rsidRDefault="009616ED"/>
    <w:p w14:paraId="221A326B" w14:textId="77777777" w:rsidR="009616ED" w:rsidRDefault="009616ED"/>
    <w:sectPr w:rsidR="009616ED">
      <w:head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1A3271" w14:textId="77777777" w:rsidR="00D55F12" w:rsidRDefault="00D55F12">
      <w:pPr>
        <w:spacing w:line="240" w:lineRule="auto"/>
      </w:pPr>
      <w:r>
        <w:separator/>
      </w:r>
    </w:p>
  </w:endnote>
  <w:endnote w:type="continuationSeparator" w:id="0">
    <w:p w14:paraId="221A3273" w14:textId="77777777" w:rsidR="00D55F12" w:rsidRDefault="00D55F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embedRegular r:id="rId1" w:fontKey="{57640ABA-2599-4C1C-B1CB-C377A45E1794}"/>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2" w:fontKey="{22100A3A-5E9A-4BAF-8B9C-EFCF280704E8}"/>
  </w:font>
  <w:font w:name="Cambria">
    <w:panose1 w:val="02040503050406030204"/>
    <w:charset w:val="00"/>
    <w:family w:val="roman"/>
    <w:pitch w:val="variable"/>
    <w:sig w:usb0="E00006FF" w:usb1="420024FF" w:usb2="02000000" w:usb3="00000000" w:csb0="0000019F" w:csb1="00000000"/>
    <w:embedRegular r:id="rId3" w:fontKey="{EAC06839-9BBC-444B-B885-C9398AC24721}"/>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1A326D" w14:textId="77777777" w:rsidR="00D55F12" w:rsidRDefault="00D55F12">
      <w:pPr>
        <w:spacing w:line="240" w:lineRule="auto"/>
      </w:pPr>
      <w:r>
        <w:separator/>
      </w:r>
    </w:p>
  </w:footnote>
  <w:footnote w:type="continuationSeparator" w:id="0">
    <w:p w14:paraId="221A326F" w14:textId="77777777" w:rsidR="00D55F12" w:rsidRDefault="00D55F12">
      <w:pPr>
        <w:spacing w:line="240" w:lineRule="auto"/>
      </w:pPr>
      <w:r>
        <w:continuationSeparator/>
      </w:r>
    </w:p>
  </w:footnote>
  <w:footnote w:id="1">
    <w:p w14:paraId="221A326F" w14:textId="77777777" w:rsidR="009616ED" w:rsidRDefault="00D55F12">
      <w:pPr>
        <w:spacing w:line="240" w:lineRule="auto"/>
        <w:jc w:val="both"/>
        <w:rPr>
          <w:sz w:val="18"/>
          <w:szCs w:val="18"/>
        </w:rPr>
      </w:pPr>
      <w:r>
        <w:rPr>
          <w:vertAlign w:val="superscript"/>
        </w:rPr>
        <w:footnoteRef/>
      </w:r>
      <w:r>
        <w:rPr>
          <w:sz w:val="20"/>
          <w:szCs w:val="20"/>
        </w:rPr>
        <w:t xml:space="preserve"> </w:t>
      </w:r>
      <w:r>
        <w:rPr>
          <w:sz w:val="18"/>
          <w:szCs w:val="18"/>
        </w:rPr>
        <w:t>Somos un colectivo de sociedad civil que surgió en el año 2021, como una iniciativa para impulsar reformas legislativas y de política pública encaminadas a la no detención migratoria de las personas refugiadas.</w:t>
      </w:r>
    </w:p>
  </w:footnote>
  <w:footnote w:id="2">
    <w:p w14:paraId="221A3270" w14:textId="77777777" w:rsidR="009616ED" w:rsidRDefault="00D55F12">
      <w:pPr>
        <w:pBdr>
          <w:top w:val="nil"/>
          <w:left w:val="nil"/>
          <w:bottom w:val="nil"/>
          <w:right w:val="nil"/>
          <w:between w:val="nil"/>
        </w:pBdr>
        <w:spacing w:line="240" w:lineRule="auto"/>
        <w:jc w:val="both"/>
        <w:rPr>
          <w:sz w:val="18"/>
          <w:szCs w:val="18"/>
        </w:rPr>
      </w:pPr>
      <w:r>
        <w:rPr>
          <w:vertAlign w:val="superscript"/>
        </w:rPr>
        <w:footnoteRef/>
      </w:r>
      <w:r>
        <w:rPr>
          <w:sz w:val="18"/>
          <w:szCs w:val="18"/>
        </w:rPr>
        <w:t xml:space="preserve"> Integrado por Aldeas Infantiles SOS </w:t>
      </w:r>
      <w:proofErr w:type="spellStart"/>
      <w:r>
        <w:rPr>
          <w:sz w:val="18"/>
          <w:szCs w:val="18"/>
        </w:rPr>
        <w:t>México</w:t>
      </w:r>
      <w:proofErr w:type="spellEnd"/>
      <w:r>
        <w:rPr>
          <w:sz w:val="18"/>
          <w:szCs w:val="18"/>
        </w:rPr>
        <w:t xml:space="preserve">, I.A.P.; Alianza Américas; American Friends </w:t>
      </w:r>
      <w:proofErr w:type="spellStart"/>
      <w:r>
        <w:rPr>
          <w:sz w:val="18"/>
          <w:szCs w:val="18"/>
        </w:rPr>
        <w:t>Services</w:t>
      </w:r>
      <w:proofErr w:type="spellEnd"/>
      <w:r>
        <w:rPr>
          <w:sz w:val="18"/>
          <w:szCs w:val="18"/>
        </w:rPr>
        <w:t xml:space="preserve"> Committee; Apoyo a Migrantes Venezolanos, A.C.; </w:t>
      </w:r>
      <w:proofErr w:type="spellStart"/>
      <w:r>
        <w:rPr>
          <w:sz w:val="18"/>
          <w:szCs w:val="18"/>
        </w:rPr>
        <w:t>Asylum</w:t>
      </w:r>
      <w:proofErr w:type="spellEnd"/>
      <w:r>
        <w:rPr>
          <w:sz w:val="18"/>
          <w:szCs w:val="18"/>
        </w:rPr>
        <w:t xml:space="preserve"> Access </w:t>
      </w:r>
      <w:proofErr w:type="spellStart"/>
      <w:r>
        <w:rPr>
          <w:sz w:val="18"/>
          <w:szCs w:val="18"/>
        </w:rPr>
        <w:t>México</w:t>
      </w:r>
      <w:proofErr w:type="spellEnd"/>
      <w:r>
        <w:rPr>
          <w:sz w:val="18"/>
          <w:szCs w:val="18"/>
        </w:rPr>
        <w:t xml:space="preserve"> (AAMX) A.C.; Casa del Migrante Saltillo (Frontera con Justicia A.C.); Centro de Atención a la Familia Migrante Indígena, CAFAMI; Centro de Derechos Humanos Fray </w:t>
      </w:r>
      <w:proofErr w:type="spellStart"/>
      <w:r>
        <w:rPr>
          <w:sz w:val="18"/>
          <w:szCs w:val="18"/>
        </w:rPr>
        <w:t>Matías</w:t>
      </w:r>
      <w:proofErr w:type="spellEnd"/>
      <w:r>
        <w:rPr>
          <w:sz w:val="18"/>
          <w:szCs w:val="18"/>
        </w:rPr>
        <w:t xml:space="preserve"> de </w:t>
      </w:r>
      <w:proofErr w:type="spellStart"/>
      <w:r>
        <w:rPr>
          <w:sz w:val="18"/>
          <w:szCs w:val="18"/>
        </w:rPr>
        <w:t>Córdova</w:t>
      </w:r>
      <w:proofErr w:type="spellEnd"/>
      <w:r>
        <w:rPr>
          <w:sz w:val="18"/>
          <w:szCs w:val="18"/>
        </w:rPr>
        <w:t xml:space="preserve">, A.C.; </w:t>
      </w:r>
      <w:proofErr w:type="spellStart"/>
      <w:r>
        <w:rPr>
          <w:sz w:val="18"/>
          <w:szCs w:val="18"/>
        </w:rPr>
        <w:t>Coalición</w:t>
      </w:r>
      <w:proofErr w:type="spellEnd"/>
      <w:r>
        <w:rPr>
          <w:sz w:val="18"/>
          <w:szCs w:val="18"/>
        </w:rPr>
        <w:t xml:space="preserve"> Pro Defensa del Migrante de Baja California; Comisión Mexicana de Defensa y Promoción de los Derechos Humanos; </w:t>
      </w:r>
      <w:proofErr w:type="spellStart"/>
      <w:r>
        <w:rPr>
          <w:sz w:val="18"/>
          <w:szCs w:val="18"/>
        </w:rPr>
        <w:t>Fundación</w:t>
      </w:r>
      <w:proofErr w:type="spellEnd"/>
      <w:r>
        <w:rPr>
          <w:sz w:val="18"/>
          <w:szCs w:val="18"/>
        </w:rPr>
        <w:t xml:space="preserve">  </w:t>
      </w:r>
      <w:proofErr w:type="spellStart"/>
      <w:r>
        <w:rPr>
          <w:sz w:val="18"/>
          <w:szCs w:val="18"/>
        </w:rPr>
        <w:t>Appleseed</w:t>
      </w:r>
      <w:proofErr w:type="spellEnd"/>
      <w:r>
        <w:rPr>
          <w:sz w:val="18"/>
          <w:szCs w:val="18"/>
        </w:rPr>
        <w:t xml:space="preserve"> </w:t>
      </w:r>
      <w:proofErr w:type="spellStart"/>
      <w:r>
        <w:rPr>
          <w:sz w:val="18"/>
          <w:szCs w:val="18"/>
        </w:rPr>
        <w:t>México</w:t>
      </w:r>
      <w:proofErr w:type="spellEnd"/>
      <w:r>
        <w:rPr>
          <w:sz w:val="18"/>
          <w:szCs w:val="18"/>
        </w:rPr>
        <w:t xml:space="preserve">, A.C.; DHIA. Derechos Humanos Integrales en </w:t>
      </w:r>
      <w:proofErr w:type="spellStart"/>
      <w:r>
        <w:rPr>
          <w:sz w:val="18"/>
          <w:szCs w:val="18"/>
        </w:rPr>
        <w:t>Acción</w:t>
      </w:r>
      <w:proofErr w:type="spellEnd"/>
      <w:r>
        <w:rPr>
          <w:sz w:val="18"/>
          <w:szCs w:val="18"/>
        </w:rPr>
        <w:t xml:space="preserve">, A.C.; IMUMI Instituto para las Mujeres en la </w:t>
      </w:r>
      <w:proofErr w:type="spellStart"/>
      <w:r>
        <w:rPr>
          <w:sz w:val="18"/>
          <w:szCs w:val="18"/>
        </w:rPr>
        <w:t>Migración</w:t>
      </w:r>
      <w:proofErr w:type="spellEnd"/>
      <w:r>
        <w:rPr>
          <w:sz w:val="18"/>
          <w:szCs w:val="18"/>
        </w:rPr>
        <w:t xml:space="preserve">; Iniciativa Ciudadana para la </w:t>
      </w:r>
      <w:proofErr w:type="spellStart"/>
      <w:r>
        <w:rPr>
          <w:sz w:val="18"/>
          <w:szCs w:val="18"/>
        </w:rPr>
        <w:t>Promoción</w:t>
      </w:r>
      <w:proofErr w:type="spellEnd"/>
      <w:r>
        <w:rPr>
          <w:sz w:val="18"/>
          <w:szCs w:val="18"/>
        </w:rPr>
        <w:t xml:space="preserve"> de la Cultura del </w:t>
      </w:r>
      <w:proofErr w:type="spellStart"/>
      <w:r>
        <w:rPr>
          <w:sz w:val="18"/>
          <w:szCs w:val="18"/>
        </w:rPr>
        <w:t>Diálogo</w:t>
      </w:r>
      <w:proofErr w:type="spellEnd"/>
      <w:r>
        <w:rPr>
          <w:sz w:val="18"/>
          <w:szCs w:val="18"/>
        </w:rPr>
        <w:t xml:space="preserve">, A.C.; INSYDE Instituto para la Seguridad y la Democracia; M3 Movimiento Migrante Mesoamericano; Paso de Esperanza A.C.; REDIM Red por los Derechos de la Infancia en </w:t>
      </w:r>
      <w:proofErr w:type="spellStart"/>
      <w:r>
        <w:rPr>
          <w:sz w:val="18"/>
          <w:szCs w:val="18"/>
        </w:rPr>
        <w:t>México</w:t>
      </w:r>
      <w:proofErr w:type="spellEnd"/>
      <w:r>
        <w:rPr>
          <w:sz w:val="18"/>
          <w:szCs w:val="18"/>
        </w:rPr>
        <w:t xml:space="preserve">; </w:t>
      </w:r>
      <w:proofErr w:type="spellStart"/>
      <w:r>
        <w:rPr>
          <w:sz w:val="18"/>
          <w:szCs w:val="18"/>
        </w:rPr>
        <w:t>Save</w:t>
      </w:r>
      <w:proofErr w:type="spellEnd"/>
      <w:r>
        <w:rPr>
          <w:sz w:val="18"/>
          <w:szCs w:val="18"/>
        </w:rPr>
        <w:t xml:space="preserve"> the </w:t>
      </w:r>
      <w:proofErr w:type="spellStart"/>
      <w:r>
        <w:rPr>
          <w:sz w:val="18"/>
          <w:szCs w:val="18"/>
        </w:rPr>
        <w:t>Children</w:t>
      </w:r>
      <w:proofErr w:type="spellEnd"/>
      <w:r>
        <w:rPr>
          <w:sz w:val="18"/>
          <w:szCs w:val="18"/>
        </w:rPr>
        <w:t xml:space="preserve"> </w:t>
      </w:r>
      <w:proofErr w:type="spellStart"/>
      <w:r>
        <w:rPr>
          <w:sz w:val="18"/>
          <w:szCs w:val="18"/>
        </w:rPr>
        <w:t>México</w:t>
      </w:r>
      <w:proofErr w:type="spellEnd"/>
      <w:r>
        <w:rPr>
          <w:sz w:val="18"/>
          <w:szCs w:val="18"/>
        </w:rPr>
        <w:t xml:space="preserve">, Sin Fronteras, IAP; Servicio Jesuita a Refugiados; SMR </w:t>
      </w:r>
      <w:proofErr w:type="spellStart"/>
      <w:r>
        <w:rPr>
          <w:sz w:val="18"/>
          <w:szCs w:val="18"/>
        </w:rPr>
        <w:t>Scalabrinianas</w:t>
      </w:r>
      <w:proofErr w:type="spellEnd"/>
      <w:r>
        <w:rPr>
          <w:sz w:val="18"/>
          <w:szCs w:val="18"/>
        </w:rPr>
        <w:t xml:space="preserve">:  </w:t>
      </w:r>
      <w:proofErr w:type="spellStart"/>
      <w:r>
        <w:rPr>
          <w:sz w:val="18"/>
          <w:szCs w:val="18"/>
        </w:rPr>
        <w:t>Misión</w:t>
      </w:r>
      <w:proofErr w:type="spellEnd"/>
      <w:r>
        <w:rPr>
          <w:sz w:val="18"/>
          <w:szCs w:val="18"/>
        </w:rPr>
        <w:t xml:space="preserve"> con Migrantes y Refugiados; Leticia </w:t>
      </w:r>
      <w:proofErr w:type="spellStart"/>
      <w:r>
        <w:rPr>
          <w:sz w:val="18"/>
          <w:szCs w:val="18"/>
        </w:rPr>
        <w:t>Calderón</w:t>
      </w:r>
      <w:proofErr w:type="spellEnd"/>
      <w:r>
        <w:rPr>
          <w:sz w:val="18"/>
          <w:szCs w:val="18"/>
        </w:rPr>
        <w:t xml:space="preserve">, Analista en temas migratorios; Brenda </w:t>
      </w:r>
      <w:proofErr w:type="spellStart"/>
      <w:r>
        <w:rPr>
          <w:sz w:val="18"/>
          <w:szCs w:val="18"/>
        </w:rPr>
        <w:t>Valdés</w:t>
      </w:r>
      <w:proofErr w:type="spellEnd"/>
      <w:r>
        <w:rPr>
          <w:sz w:val="18"/>
          <w:szCs w:val="18"/>
        </w:rPr>
        <w:t xml:space="preserve">; Manuel </w:t>
      </w:r>
      <w:proofErr w:type="spellStart"/>
      <w:r>
        <w:rPr>
          <w:sz w:val="18"/>
          <w:szCs w:val="18"/>
        </w:rPr>
        <w:t>Ángel</w:t>
      </w:r>
      <w:proofErr w:type="spellEnd"/>
      <w:r>
        <w:rPr>
          <w:sz w:val="18"/>
          <w:szCs w:val="18"/>
        </w:rPr>
        <w:t xml:space="preserve"> Castillo, Investigador; Gloria Ciria </w:t>
      </w:r>
      <w:proofErr w:type="spellStart"/>
      <w:r>
        <w:rPr>
          <w:sz w:val="18"/>
          <w:szCs w:val="18"/>
        </w:rPr>
        <w:t>Valdéz</w:t>
      </w:r>
      <w:proofErr w:type="spellEnd"/>
      <w:r>
        <w:rPr>
          <w:sz w:val="18"/>
          <w:szCs w:val="18"/>
        </w:rPr>
        <w:t xml:space="preserve"> Gardea, fundadora y coordinadora del Seminario Niñez Migrante; IDC International </w:t>
      </w:r>
      <w:proofErr w:type="spellStart"/>
      <w:r>
        <w:rPr>
          <w:sz w:val="18"/>
          <w:szCs w:val="18"/>
        </w:rPr>
        <w:t>Detention</w:t>
      </w:r>
      <w:proofErr w:type="spellEnd"/>
      <w:r>
        <w:rPr>
          <w:sz w:val="18"/>
          <w:szCs w:val="18"/>
        </w:rPr>
        <w:t xml:space="preserve"> </w:t>
      </w:r>
      <w:proofErr w:type="spellStart"/>
      <w:r>
        <w:rPr>
          <w:sz w:val="18"/>
          <w:szCs w:val="18"/>
        </w:rPr>
        <w:t>Coalition</w:t>
      </w:r>
      <w:proofErr w:type="spellEnd"/>
      <w:r>
        <w:rPr>
          <w:sz w:val="18"/>
          <w:szCs w:val="18"/>
        </w:rPr>
        <w:t xml:space="preserve"> (Observadoras). Melissa </w:t>
      </w:r>
      <w:proofErr w:type="spellStart"/>
      <w:r>
        <w:rPr>
          <w:sz w:val="18"/>
          <w:szCs w:val="18"/>
        </w:rPr>
        <w:t>Vertiz</w:t>
      </w:r>
      <w:proofErr w:type="spellEnd"/>
      <w:r>
        <w:rPr>
          <w:sz w:val="18"/>
          <w:szCs w:val="18"/>
        </w:rPr>
        <w:t xml:space="preserve"> Hernández, Secretaria Técnica</w:t>
      </w:r>
    </w:p>
  </w:footnote>
  <w:footnote w:id="3">
    <w:p w14:paraId="221A3271" w14:textId="77777777" w:rsidR="009616ED" w:rsidRDefault="00D55F12">
      <w:pPr>
        <w:spacing w:line="240" w:lineRule="auto"/>
        <w:jc w:val="both"/>
        <w:rPr>
          <w:sz w:val="18"/>
          <w:szCs w:val="18"/>
        </w:rPr>
      </w:pPr>
      <w:r>
        <w:rPr>
          <w:vertAlign w:val="superscript"/>
        </w:rPr>
        <w:footnoteRef/>
      </w:r>
      <w:r>
        <w:rPr>
          <w:sz w:val="20"/>
          <w:szCs w:val="20"/>
        </w:rPr>
        <w:t xml:space="preserve"> </w:t>
      </w:r>
      <w:r>
        <w:rPr>
          <w:sz w:val="18"/>
          <w:szCs w:val="18"/>
        </w:rPr>
        <w:t>Ver párrafo 64 del Informe sobre la Visita a México del Grupo de Trabajo sobre Detención Arbitraria de 2023. “... el Grupo de Trabajo encontró que niñas y niños migrantes suelen estar detenidos, ya sea en refugios exclusivamente para menores no acompañados administrados por el Sistema o en instalaciones compartidas con estaciones migratorias bajo la autoridad del Instituto Nacional de Migración de la Secretaría de Gobernación.”</w:t>
      </w:r>
    </w:p>
  </w:footnote>
  <w:footnote w:id="4">
    <w:p w14:paraId="221A3272" w14:textId="77777777" w:rsidR="009616ED" w:rsidRDefault="00D55F12">
      <w:pPr>
        <w:spacing w:line="240" w:lineRule="auto"/>
        <w:rPr>
          <w:sz w:val="18"/>
          <w:szCs w:val="18"/>
        </w:rPr>
      </w:pPr>
      <w:r>
        <w:rPr>
          <w:vertAlign w:val="superscript"/>
        </w:rPr>
        <w:footnoteRef/>
      </w:r>
      <w:r>
        <w:t xml:space="preserve"> </w:t>
      </w:r>
      <w:r>
        <w:rPr>
          <w:sz w:val="18"/>
          <w:szCs w:val="18"/>
        </w:rPr>
        <w:t xml:space="preserve">Para mayor referencia se puede consultar: </w:t>
      </w:r>
      <w:hyperlink r:id="rId1">
        <w:r>
          <w:rPr>
            <w:color w:val="1155CC"/>
            <w:sz w:val="18"/>
            <w:szCs w:val="18"/>
            <w:u w:val="single"/>
          </w:rPr>
          <w:t>http://www.politicamigratoria.gob.mx/</w:t>
        </w:r>
      </w:hyperlink>
      <w:r>
        <w:rPr>
          <w:sz w:val="18"/>
          <w:szCs w:val="18"/>
        </w:rPr>
        <w:t xml:space="preserve"> </w:t>
      </w:r>
    </w:p>
  </w:footnote>
  <w:footnote w:id="5">
    <w:p w14:paraId="221A3273" w14:textId="77777777" w:rsidR="009616ED" w:rsidRDefault="00D55F12">
      <w:pPr>
        <w:spacing w:line="240" w:lineRule="auto"/>
        <w:rPr>
          <w:sz w:val="18"/>
          <w:szCs w:val="18"/>
        </w:rPr>
      </w:pPr>
      <w:r>
        <w:rPr>
          <w:vertAlign w:val="superscript"/>
        </w:rPr>
        <w:footnoteRef/>
      </w:r>
      <w:r>
        <w:rPr>
          <w:sz w:val="16"/>
          <w:szCs w:val="16"/>
        </w:rPr>
        <w:t xml:space="preserve"> </w:t>
      </w:r>
      <w:r>
        <w:rPr>
          <w:sz w:val="18"/>
          <w:szCs w:val="18"/>
        </w:rPr>
        <w:t>DOF 19/09/2019 Decreto por el que se crea la comisión Intersecretarial de Atención Integral en Materia Migratoria.</w:t>
      </w:r>
    </w:p>
  </w:footnote>
  <w:footnote w:id="6">
    <w:p w14:paraId="221A3274" w14:textId="77777777" w:rsidR="009616ED" w:rsidRDefault="00D55F12">
      <w:pPr>
        <w:spacing w:line="240" w:lineRule="auto"/>
        <w:jc w:val="both"/>
        <w:rPr>
          <w:i/>
        </w:rPr>
      </w:pPr>
      <w:r>
        <w:rPr>
          <w:vertAlign w:val="superscript"/>
        </w:rPr>
        <w:footnoteRef/>
      </w:r>
      <w:r>
        <w:rPr>
          <w:sz w:val="20"/>
          <w:szCs w:val="20"/>
        </w:rPr>
        <w:t xml:space="preserve"> </w:t>
      </w:r>
      <w:r>
        <w:rPr>
          <w:sz w:val="18"/>
          <w:szCs w:val="18"/>
        </w:rPr>
        <w:t>Ver Recomendación No. 34/2023</w:t>
      </w:r>
      <w:r>
        <w:rPr>
          <w:i/>
          <w:sz w:val="18"/>
          <w:szCs w:val="18"/>
        </w:rPr>
        <w:t xml:space="preserve"> “La </w:t>
      </w:r>
      <w:proofErr w:type="spellStart"/>
      <w:r>
        <w:rPr>
          <w:i/>
          <w:sz w:val="18"/>
          <w:szCs w:val="18"/>
        </w:rPr>
        <w:t>sobrepoblación</w:t>
      </w:r>
      <w:proofErr w:type="spellEnd"/>
      <w:r>
        <w:rPr>
          <w:i/>
          <w:sz w:val="18"/>
          <w:szCs w:val="18"/>
        </w:rPr>
        <w:t xml:space="preserve"> es el excedente de la capacidad de alojamiento que tiene un determinado lugar, en el caso que nos ocupa, en la oficina administrativa de </w:t>
      </w:r>
      <w:proofErr w:type="spellStart"/>
      <w:r>
        <w:rPr>
          <w:i/>
          <w:sz w:val="18"/>
          <w:szCs w:val="18"/>
        </w:rPr>
        <w:t>canalización</w:t>
      </w:r>
      <w:proofErr w:type="spellEnd"/>
      <w:r>
        <w:rPr>
          <w:i/>
          <w:sz w:val="18"/>
          <w:szCs w:val="18"/>
        </w:rPr>
        <w:t xml:space="preserve"> de la EP en Piedras Negras, donde se </w:t>
      </w:r>
      <w:proofErr w:type="spellStart"/>
      <w:r>
        <w:rPr>
          <w:i/>
          <w:sz w:val="18"/>
          <w:szCs w:val="18"/>
        </w:rPr>
        <w:t>advirtio</w:t>
      </w:r>
      <w:proofErr w:type="spellEnd"/>
      <w:r>
        <w:rPr>
          <w:i/>
          <w:sz w:val="18"/>
          <w:szCs w:val="18"/>
        </w:rPr>
        <w:t xml:space="preserve">́ que la autoridad migratoria alojó </w:t>
      </w:r>
      <w:proofErr w:type="spellStart"/>
      <w:r>
        <w:rPr>
          <w:i/>
          <w:sz w:val="18"/>
          <w:szCs w:val="18"/>
        </w:rPr>
        <w:t>niñez</w:t>
      </w:r>
      <w:proofErr w:type="spellEnd"/>
      <w:r>
        <w:rPr>
          <w:i/>
          <w:sz w:val="18"/>
          <w:szCs w:val="18"/>
        </w:rPr>
        <w:t xml:space="preserve"> migrante tanto </w:t>
      </w:r>
      <w:proofErr w:type="spellStart"/>
      <w:r>
        <w:rPr>
          <w:i/>
          <w:sz w:val="18"/>
          <w:szCs w:val="18"/>
        </w:rPr>
        <w:t>acompañada</w:t>
      </w:r>
      <w:proofErr w:type="spellEnd"/>
      <w:r>
        <w:rPr>
          <w:i/>
          <w:sz w:val="18"/>
          <w:szCs w:val="18"/>
        </w:rPr>
        <w:t xml:space="preserve"> como no </w:t>
      </w:r>
      <w:proofErr w:type="spellStart"/>
      <w:r>
        <w:rPr>
          <w:i/>
          <w:sz w:val="18"/>
          <w:szCs w:val="18"/>
        </w:rPr>
        <w:t>acompañada</w:t>
      </w:r>
      <w:proofErr w:type="spellEnd"/>
      <w:r>
        <w:rPr>
          <w:i/>
          <w:sz w:val="18"/>
          <w:szCs w:val="18"/>
        </w:rPr>
        <w:t xml:space="preserve">, </w:t>
      </w:r>
      <w:proofErr w:type="spellStart"/>
      <w:r>
        <w:rPr>
          <w:i/>
          <w:sz w:val="18"/>
          <w:szCs w:val="18"/>
        </w:rPr>
        <w:t>situación</w:t>
      </w:r>
      <w:proofErr w:type="spellEnd"/>
      <w:r>
        <w:rPr>
          <w:i/>
          <w:sz w:val="18"/>
          <w:szCs w:val="18"/>
        </w:rPr>
        <w:t xml:space="preserve"> que constituye una irregularidad en </w:t>
      </w:r>
      <w:proofErr w:type="spellStart"/>
      <w:r>
        <w:rPr>
          <w:i/>
          <w:sz w:val="18"/>
          <w:szCs w:val="18"/>
        </w:rPr>
        <w:t>términos</w:t>
      </w:r>
      <w:proofErr w:type="spellEnd"/>
      <w:r>
        <w:rPr>
          <w:i/>
          <w:sz w:val="18"/>
          <w:szCs w:val="18"/>
        </w:rPr>
        <w:t xml:space="preserve"> de la normatividad de la materia, puesto que se trata de un lugar no adecuado para ese grupo vulnerable, aunado a que no se les brinda la asistencia y </w:t>
      </w:r>
      <w:proofErr w:type="spellStart"/>
      <w:r>
        <w:rPr>
          <w:i/>
          <w:sz w:val="18"/>
          <w:szCs w:val="18"/>
        </w:rPr>
        <w:t>atención</w:t>
      </w:r>
      <w:proofErr w:type="spellEnd"/>
      <w:r>
        <w:rPr>
          <w:i/>
          <w:sz w:val="18"/>
          <w:szCs w:val="18"/>
        </w:rPr>
        <w:t xml:space="preserve"> integral acorde a sus necesidades y a su </w:t>
      </w:r>
      <w:proofErr w:type="spellStart"/>
      <w:r>
        <w:rPr>
          <w:i/>
          <w:sz w:val="18"/>
          <w:szCs w:val="18"/>
        </w:rPr>
        <w:t>situación</w:t>
      </w:r>
      <w:proofErr w:type="spellEnd"/>
      <w:r>
        <w:rPr>
          <w:i/>
          <w:sz w:val="18"/>
          <w:szCs w:val="18"/>
        </w:rPr>
        <w:t xml:space="preserve"> de vulnerabilidad, </w:t>
      </w:r>
      <w:proofErr w:type="spellStart"/>
      <w:r>
        <w:rPr>
          <w:i/>
          <w:sz w:val="18"/>
          <w:szCs w:val="18"/>
        </w:rPr>
        <w:t>además</w:t>
      </w:r>
      <w:proofErr w:type="spellEnd"/>
      <w:r>
        <w:rPr>
          <w:i/>
          <w:sz w:val="18"/>
          <w:szCs w:val="18"/>
        </w:rPr>
        <w:t xml:space="preserve"> de ser incompatible con el respeto a la dignidad humana, lo cual contraviene los </w:t>
      </w:r>
      <w:proofErr w:type="spellStart"/>
      <w:r>
        <w:rPr>
          <w:i/>
          <w:sz w:val="18"/>
          <w:szCs w:val="18"/>
        </w:rPr>
        <w:t>artículos</w:t>
      </w:r>
      <w:proofErr w:type="spellEnd"/>
      <w:r>
        <w:rPr>
          <w:i/>
          <w:sz w:val="18"/>
          <w:szCs w:val="18"/>
        </w:rPr>
        <w:t xml:space="preserve"> 109, fracciones VIII y XII de la Ley de </w:t>
      </w:r>
      <w:proofErr w:type="spellStart"/>
      <w:r>
        <w:rPr>
          <w:i/>
          <w:sz w:val="18"/>
          <w:szCs w:val="18"/>
        </w:rPr>
        <w:t>Migración</w:t>
      </w:r>
      <w:proofErr w:type="spellEnd"/>
      <w:r>
        <w:rPr>
          <w:i/>
          <w:sz w:val="18"/>
          <w:szCs w:val="18"/>
        </w:rPr>
        <w:t xml:space="preserve">, en </w:t>
      </w:r>
      <w:proofErr w:type="spellStart"/>
      <w:r>
        <w:rPr>
          <w:i/>
          <w:sz w:val="18"/>
          <w:szCs w:val="18"/>
        </w:rPr>
        <w:t>relación</w:t>
      </w:r>
      <w:proofErr w:type="spellEnd"/>
      <w:r>
        <w:rPr>
          <w:i/>
          <w:sz w:val="18"/>
          <w:szCs w:val="18"/>
        </w:rPr>
        <w:t xml:space="preserve"> con el 226, </w:t>
      </w:r>
      <w:proofErr w:type="spellStart"/>
      <w:r>
        <w:rPr>
          <w:i/>
          <w:sz w:val="18"/>
          <w:szCs w:val="18"/>
        </w:rPr>
        <w:t>fracción</w:t>
      </w:r>
      <w:proofErr w:type="spellEnd"/>
      <w:r>
        <w:rPr>
          <w:i/>
          <w:sz w:val="18"/>
          <w:szCs w:val="18"/>
        </w:rPr>
        <w:t xml:space="preserve"> XIV de su Reglamento.”</w:t>
      </w:r>
    </w:p>
    <w:p w14:paraId="221A3275" w14:textId="77777777" w:rsidR="009616ED" w:rsidRDefault="00D55F12">
      <w:pPr>
        <w:spacing w:line="240" w:lineRule="auto"/>
        <w:rPr>
          <w:sz w:val="20"/>
          <w:szCs w:val="20"/>
        </w:rPr>
      </w:pPr>
      <w:r>
        <w:rPr>
          <w:sz w:val="20"/>
          <w:szCs w:val="20"/>
        </w:rPr>
        <w:tab/>
      </w:r>
      <w:r>
        <w:rPr>
          <w:sz w:val="20"/>
          <w:szCs w:val="20"/>
        </w:rPr>
        <w:tab/>
      </w:r>
      <w:r>
        <w:rPr>
          <w:sz w:val="20"/>
          <w:szCs w:val="20"/>
        </w:rPr>
        <w:tab/>
      </w:r>
      <w:r>
        <w:rPr>
          <w:sz w:val="20"/>
          <w:szCs w:val="20"/>
        </w:rPr>
        <w:tab/>
      </w:r>
    </w:p>
    <w:p w14:paraId="221A3276" w14:textId="77777777" w:rsidR="009616ED" w:rsidRDefault="00D55F12">
      <w:pPr>
        <w:spacing w:line="240" w:lineRule="auto"/>
        <w:rPr>
          <w:sz w:val="20"/>
          <w:szCs w:val="20"/>
        </w:rPr>
      </w:pPr>
      <w:r>
        <w:rPr>
          <w:sz w:val="20"/>
          <w:szCs w:val="20"/>
        </w:rPr>
        <w:tab/>
      </w:r>
      <w:r>
        <w:rPr>
          <w:sz w:val="20"/>
          <w:szCs w:val="20"/>
        </w:rPr>
        <w:tab/>
      </w:r>
      <w:r>
        <w:rPr>
          <w:sz w:val="20"/>
          <w:szCs w:val="20"/>
        </w:rPr>
        <w:tab/>
      </w:r>
    </w:p>
    <w:p w14:paraId="221A3277" w14:textId="77777777" w:rsidR="009616ED" w:rsidRDefault="00D55F12">
      <w:pPr>
        <w:spacing w:line="240" w:lineRule="auto"/>
        <w:rPr>
          <w:sz w:val="20"/>
          <w:szCs w:val="20"/>
        </w:rPr>
      </w:pPr>
      <w:r>
        <w:rPr>
          <w:sz w:val="20"/>
          <w:szCs w:val="20"/>
        </w:rPr>
        <w:tab/>
      </w:r>
      <w:r>
        <w:rPr>
          <w:sz w:val="20"/>
          <w:szCs w:val="20"/>
        </w:rPr>
        <w:tab/>
      </w:r>
    </w:p>
    <w:p w14:paraId="221A3278" w14:textId="77777777" w:rsidR="009616ED" w:rsidRDefault="00D55F12">
      <w:pPr>
        <w:spacing w:line="240" w:lineRule="auto"/>
        <w:rPr>
          <w:sz w:val="20"/>
          <w:szCs w:val="20"/>
        </w:rPr>
      </w:pPr>
      <w:r>
        <w:rPr>
          <w:sz w:val="20"/>
          <w:szCs w:val="20"/>
        </w:rPr>
        <w:tab/>
        <w:t xml:space="preserve"> </w:t>
      </w:r>
    </w:p>
  </w:footnote>
  <w:footnote w:id="7">
    <w:p w14:paraId="221A3279" w14:textId="77777777" w:rsidR="009616ED" w:rsidRDefault="00D55F12">
      <w:pPr>
        <w:spacing w:line="240" w:lineRule="auto"/>
        <w:rPr>
          <w:sz w:val="18"/>
          <w:szCs w:val="18"/>
        </w:rPr>
      </w:pPr>
      <w:r>
        <w:rPr>
          <w:vertAlign w:val="superscript"/>
        </w:rPr>
        <w:footnoteRef/>
      </w:r>
      <w:r>
        <w:rPr>
          <w:sz w:val="18"/>
          <w:szCs w:val="18"/>
        </w:rPr>
        <w:t xml:space="preserve"> </w:t>
      </w:r>
      <w:proofErr w:type="spellStart"/>
      <w:r>
        <w:rPr>
          <w:sz w:val="18"/>
          <w:szCs w:val="18"/>
        </w:rPr>
        <w:t>Asylum</w:t>
      </w:r>
      <w:proofErr w:type="spellEnd"/>
      <w:r>
        <w:rPr>
          <w:sz w:val="18"/>
          <w:szCs w:val="18"/>
        </w:rPr>
        <w:t xml:space="preserve"> Access México, Informe de Investigación sobre Alternativas a la Detención para Personas Solicitantes de la Condición de Refugiado en México, 2021. Recuperado en </w:t>
      </w:r>
      <w:hyperlink r:id="rId2">
        <w:r>
          <w:rPr>
            <w:color w:val="1155CC"/>
            <w:sz w:val="18"/>
            <w:szCs w:val="18"/>
            <w:u w:val="single"/>
          </w:rPr>
          <w:t>Informe de Investigación sobre Alternativas a la Detención para personas solicitantes de la condición de refugiado en México</w:t>
        </w:r>
      </w:hyperlink>
      <w:r>
        <w:rPr>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1A326C" w14:textId="77777777" w:rsidR="009616ED" w:rsidRDefault="00D55F12">
    <w:r>
      <w:rPr>
        <w:noProof/>
      </w:rPr>
      <w:drawing>
        <wp:anchor distT="114300" distB="114300" distL="114300" distR="114300" simplePos="0" relativeHeight="251658240" behindDoc="1" locked="0" layoutInCell="1" hidden="0" allowOverlap="1" wp14:anchorId="221A326D" wp14:editId="221A326E">
          <wp:simplePos x="0" y="0"/>
          <wp:positionH relativeFrom="column">
            <wp:posOffset>-457199</wp:posOffset>
          </wp:positionH>
          <wp:positionV relativeFrom="paragraph">
            <wp:posOffset>-342899</wp:posOffset>
          </wp:positionV>
          <wp:extent cx="2052638" cy="98199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1053" b="-11053"/>
                  <a:stretch>
                    <a:fillRect/>
                  </a:stretch>
                </pic:blipFill>
                <pic:spPr>
                  <a:xfrm>
                    <a:off x="0" y="0"/>
                    <a:ext cx="2052638" cy="98199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233367"/>
    <w:multiLevelType w:val="multilevel"/>
    <w:tmpl w:val="8C12F4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61F95ABF"/>
    <w:multiLevelType w:val="multilevel"/>
    <w:tmpl w:val="32D229FE"/>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89048319">
    <w:abstractNumId w:val="1"/>
  </w:num>
  <w:num w:numId="2" w16cid:durableId="156464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documentProtection w:edit="readOnly" w:formatting="1" w:enforcement="1" w:cryptProviderType="rsaAES" w:cryptAlgorithmClass="hash" w:cryptAlgorithmType="typeAny" w:cryptAlgorithmSid="14" w:cryptSpinCount="100000" w:hash="AVU6YpGhfITG+8bdwgMCQZY03TD3yHOkz/S6toGNZvHc8oRYPRFMVhvvmpUMyTTPoufPFu/mLKn44CBFqcP4Bg==" w:salt="Aoc+ALrwJR9DRFJSaygUr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16ED"/>
    <w:rsid w:val="00687550"/>
    <w:rsid w:val="009616ED"/>
    <w:rsid w:val="00BD3A90"/>
    <w:rsid w:val="00D55F12"/>
    <w:rsid w:val="00DF5903"/>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A31EF"/>
  <w15:docId w15:val="{2BB114E5-722E-47D4-AFA0-02B56858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s-419"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footnotes.xml.rels><?xml version="1.0" encoding="UTF-8" standalone="yes"?>
<Relationships xmlns="http://schemas.openxmlformats.org/package/2006/relationships"><Relationship Id="rId2" Type="http://schemas.openxmlformats.org/officeDocument/2006/relationships/hyperlink" Target="https://asylumaccess.org/wp-content/uploads/2021/09/informe-investigacion-atd.pdf" TargetMode="External"/><Relationship Id="rId1" Type="http://schemas.openxmlformats.org/officeDocument/2006/relationships/hyperlink" Target="http://www.politicamigratori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4CCA895A17B843B34B7F2324FFA44A" ma:contentTypeVersion="41" ma:contentTypeDescription="Create a new document." ma:contentTypeScope="" ma:versionID="09fa9bef4a1db591b3e7b1d740dbc7ab">
  <xsd:schema xmlns:xsd="http://www.w3.org/2001/XMLSchema" xmlns:xs="http://www.w3.org/2001/XMLSchema" xmlns:p="http://schemas.microsoft.com/office/2006/metadata/properties" xmlns:ns1="http://schemas.microsoft.com/sharepoint/v3" xmlns:ns2="985ec44e-1bab-4c0b-9df0-6ba128686fc9" xmlns:ns4="11a6fe0c-d8de-4390-afb3-d9c7c54181f0" xmlns:ns5="7bed2cdb-1da6-4e77-9691-93a0805b4a49" targetNamespace="http://schemas.microsoft.com/office/2006/metadata/properties" ma:root="true" ma:fieldsID="0cd83130c416d741d3978e22e6986a85" ns1:_="" ns2:_="" ns4:_="" ns5:_="">
    <xsd:import namespace="http://schemas.microsoft.com/sharepoint/v3"/>
    <xsd:import namespace="985ec44e-1bab-4c0b-9df0-6ba128686fc9"/>
    <xsd:import namespace="11a6fe0c-d8de-4390-afb3-d9c7c54181f0"/>
    <xsd:import namespace="7bed2cdb-1da6-4e77-9691-93a0805b4a49"/>
    <xsd:element name="properties">
      <xsd:complexType>
        <xsd:sequence>
          <xsd:element name="documentManagement">
            <xsd:complexType>
              <xsd:all>
                <xsd:element ref="ns2:Document_x0020_Date" minOccurs="0"/>
                <xsd:element ref="ns2:Document_x0020_Type" minOccurs="0"/>
                <xsd:element ref="ns1:KpiDescription" minOccurs="0"/>
                <xsd:element ref="ns2:UN_x0020_Official_x0020_Language" minOccurs="0"/>
                <xsd:element ref="ns2:Security_x0020_Level"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OCR" minOccurs="0"/>
                <xsd:element ref="ns5:MediaServiceGenerationTime" minOccurs="0"/>
                <xsd:element ref="ns5:MediaServiceEventHashCode" minOccurs="0"/>
                <xsd:element ref="ns5:MediaServiceDateTaken" minOccurs="0"/>
                <xsd:element ref="ns5:MediaServiceLocation" minOccurs="0"/>
                <xsd:element ref="ns5:MediaServiceSearchProperties" minOccurs="0"/>
                <xsd:element ref="ns5:MediaServiceObjectDetectorVersions" minOccurs="0"/>
                <xsd:element ref="ns5:lcf76f155ced4ddcb4097134ff3c332f" minOccurs="0"/>
                <xsd:element ref="ns2:TaxCatchAll" minOccurs="0"/>
                <xsd:element ref="ns4:SharedWithUsers" minOccurs="0"/>
                <xsd:element ref="ns4:SharedWithDetail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ocument_x0020_Date" ma:index="8" nillable="true" ma:displayName="Document Date" ma:default="[today]" ma:description="The date when the file was drafted" ma:format="DateOnly" ma:internalName="Document_x0020_Date">
      <xsd:simpleType>
        <xsd:restriction base="dms:DateTime"/>
      </xsd:simpleType>
    </xsd:element>
    <xsd:element name="Document_x0020_Type" ma:index="9"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1"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2"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TaxCatchAll" ma:index="45"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4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bed2cdb-1da6-4e77-9691-93a0805b4a49"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AutoTags" ma:index="35" nillable="true" ma:displayName="Tags" ma:internalName="MediaServiceAutoTags"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GenerationTime" ma:index="37" nillable="true" ma:displayName="MediaServiceGenerationTime" ma:hidden="true" ma:internalName="MediaServiceGenerationTime" ma:readOnly="true">
      <xsd:simpleType>
        <xsd:restriction base="dms:Text"/>
      </xsd:simpleType>
    </xsd:element>
    <xsd:element name="MediaServiceEventHashCode" ma:index="38" nillable="true" ma:displayName="MediaServiceEventHashCode" ma:hidden="true" ma:internalName="MediaServiceEventHashCode" ma:readOnly="true">
      <xsd:simpleType>
        <xsd:restriction base="dms:Text"/>
      </xsd:simpleType>
    </xsd:element>
    <xsd:element name="MediaServiceDateTaken" ma:index="39" nillable="true" ma:displayName="MediaServiceDateTaken" ma:hidden="true" ma:internalName="MediaServiceDateTaken"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ObjectDetectorVersions" ma:index="42" nillable="true" ma:displayName="MediaServiceObjectDetectorVersions" ma:hidden="true" ma:indexed="true" ma:internalName="MediaServiceObjectDetectorVersions" ma:readOnly="true">
      <xsd:simpleType>
        <xsd:restriction base="dms:Text"/>
      </xsd:simpleType>
    </xsd:element>
    <xsd:element name="lcf76f155ced4ddcb4097134ff3c332f" ma:index="44"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LengthInSeconds" ma:index="4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2025-03-11T10:09:09+00:00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lcf76f155ced4ddcb4097134ff3c332f xmlns="7bed2cdb-1da6-4e77-9691-93a0805b4a49">
      <Terms xmlns="http://schemas.microsoft.com/office/infopath/2007/PartnerControls"/>
    </lcf76f155ced4ddcb4097134ff3c332f>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76A820A2-5C5A-4474-BDE8-2495F5DFC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7bed2cdb-1da6-4e77-9691-93a0805b4a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A9DFBD-EF40-4E04-91CC-45055D02543E}">
  <ds:schemaRefs>
    <ds:schemaRef ds:uri="http://schemas.microsoft.com/sharepoint/v3/contenttype/forms"/>
  </ds:schemaRefs>
</ds:datastoreItem>
</file>

<file path=customXml/itemProps3.xml><?xml version="1.0" encoding="utf-8"?>
<ds:datastoreItem xmlns:ds="http://schemas.openxmlformats.org/officeDocument/2006/customXml" ds:itemID="{DA3F3A79-438F-4C06-8AA7-B5DF00E9DA36}">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7bed2cdb-1da6-4e77-9691-93a0805b4a49"/>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3970</Words>
  <Characters>22629</Characters>
  <Application>Microsoft Office Word</Application>
  <DocSecurity>8</DocSecurity>
  <Lines>188</Lines>
  <Paragraphs>53</Paragraphs>
  <ScaleCrop>false</ScaleCrop>
  <Company/>
  <LinksUpToDate>false</LinksUpToDate>
  <CharactersWithSpaces>26546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Isabelle Fleche</cp:lastModifiedBy>
  <cp:revision>3</cp:revision>
  <dcterms:created xsi:type="dcterms:W3CDTF">2025-03-19T13:10:00Z</dcterms:created>
  <dcterms:modified xsi:type="dcterms:W3CDTF">2025-03-24T16:57:00Z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0x010100FB4CCA895A17B843B34B7F2324FFA44A</vt:lpwstr>
  </property>
  <property fmtid="{D5CDD505-2E9C-101B-9397-08002B2CF9AE}" pid="3" name="MediaServiceImageTags">
    <vt:lpwstr/>
  </property>
</Properties>
</file>