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693E0" w14:textId="77777777" w:rsidR="00E94C6F" w:rsidRPr="00D75515" w:rsidRDefault="00E94C6F" w:rsidP="00D75515">
      <w:pPr>
        <w:spacing w:before="100" w:beforeAutospacing="1" w:after="100" w:afterAutospacing="1" w:line="240" w:lineRule="auto"/>
        <w:jc w:val="both"/>
        <w:rPr>
          <w:rFonts w:cs="Times New Roman"/>
          <w:kern w:val="0"/>
          <w14:ligatures w14:val="none"/>
        </w:rPr>
      </w:pPr>
      <w:bookmarkStart w:id="0" w:name="_GoBack"/>
      <w:bookmarkEnd w:id="0"/>
      <w:r w:rsidRPr="00D75515">
        <w:rPr>
          <w:rFonts w:cs="Times New Roman"/>
          <w:kern w:val="0"/>
          <w14:ligatures w14:val="none"/>
        </w:rPr>
        <w:t>Movimiento Nacional por la Esperanza</w:t>
      </w:r>
    </w:p>
    <w:p w14:paraId="7AE3D489"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Contribución sobre la lucha contra el racismo y la discriminación racial en la República de Cuba</w:t>
      </w:r>
    </w:p>
    <w:p w14:paraId="115D75A5" w14:textId="6D4BDB9F" w:rsidR="00E94C6F" w:rsidRPr="00D75515" w:rsidRDefault="00E94C6F" w:rsidP="00D75515">
      <w:pPr>
        <w:spacing w:after="0" w:line="240" w:lineRule="auto"/>
        <w:jc w:val="both"/>
        <w:rPr>
          <w:rFonts w:eastAsia="Times New Roman" w:cs="Times New Roman"/>
          <w:kern w:val="0"/>
          <w14:ligatures w14:val="none"/>
        </w:rPr>
      </w:pPr>
    </w:p>
    <w:p w14:paraId="497707BE" w14:textId="473F1671"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 xml:space="preserve">El Movimiento Nacional por la Esperanza (MNE), en atención a los principios universales de dignidad humana, igualdad sustantiva y justicia social, expresa su reconocimiento al esfuerzo sostenido de la República de </w:t>
      </w:r>
      <w:r w:rsidR="0061427B">
        <w:rPr>
          <w:rFonts w:cs="Times New Roman"/>
          <w:kern w:val="0"/>
          <w14:ligatures w14:val="none"/>
        </w:rPr>
        <w:t xml:space="preserve">Cuba </w:t>
      </w:r>
      <w:r w:rsidRPr="00D75515">
        <w:rPr>
          <w:rFonts w:cs="Times New Roman"/>
          <w:kern w:val="0"/>
          <w14:ligatures w14:val="none"/>
        </w:rPr>
        <w:t xml:space="preserve">en la implementación de la </w:t>
      </w:r>
      <w:r w:rsidR="0061427B">
        <w:rPr>
          <w:rFonts w:cs="Times New Roman"/>
          <w:kern w:val="0"/>
          <w14:ligatures w14:val="none"/>
        </w:rPr>
        <w:t>Convención Internacional sobre la Eliminaci</w:t>
      </w:r>
      <w:r w:rsidR="00421CB9">
        <w:rPr>
          <w:rFonts w:cs="Times New Roman"/>
          <w:kern w:val="0"/>
          <w14:ligatures w14:val="none"/>
        </w:rPr>
        <w:t xml:space="preserve">ón de Todas las Formas de Discriminación Racial, </w:t>
      </w:r>
      <w:r w:rsidRPr="00D75515">
        <w:rPr>
          <w:rFonts w:cs="Times New Roman"/>
          <w:kern w:val="0"/>
          <w14:ligatures w14:val="none"/>
        </w:rPr>
        <w:t>así como su interés en contribuir, desde una perspectiva solidaria y diplomática, al análisis de los avances, desafíos y contextos estructurales que inciden en esta materia.</w:t>
      </w:r>
    </w:p>
    <w:p w14:paraId="7670E4D4" w14:textId="552A23C6" w:rsidR="00E94C6F" w:rsidRPr="00D75515" w:rsidRDefault="00E94C6F" w:rsidP="00D75515">
      <w:pPr>
        <w:spacing w:after="0" w:line="240" w:lineRule="auto"/>
        <w:jc w:val="both"/>
        <w:rPr>
          <w:rFonts w:eastAsia="Times New Roman" w:cs="Times New Roman"/>
          <w:kern w:val="0"/>
          <w14:ligatures w14:val="none"/>
        </w:rPr>
      </w:pPr>
    </w:p>
    <w:p w14:paraId="64078CEE" w14:textId="77777777" w:rsidR="00E94C6F" w:rsidRPr="00D75515" w:rsidRDefault="00E94C6F" w:rsidP="00D75515">
      <w:pPr>
        <w:spacing w:before="100" w:beforeAutospacing="1" w:after="100" w:afterAutospacing="1" w:line="240" w:lineRule="auto"/>
        <w:jc w:val="both"/>
        <w:outlineLvl w:val="1"/>
        <w:rPr>
          <w:rFonts w:cs="Times New Roman"/>
          <w:kern w:val="0"/>
          <w14:ligatures w14:val="none"/>
        </w:rPr>
      </w:pPr>
      <w:r w:rsidRPr="00D75515">
        <w:rPr>
          <w:rFonts w:eastAsia="Times New Roman" w:cs="Times New Roman"/>
          <w:kern w:val="0"/>
          <w14:ligatures w14:val="none"/>
        </w:rPr>
        <w:t>I. Aplicación de las disposiciones de la Convención</w:t>
      </w:r>
    </w:p>
    <w:p w14:paraId="10B6604E"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3F993BA5"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El informe presentado por el Estado cubano evidencia un proceso institucional significativo orientado a fortalecer el marco jurídico y político en materia de igualdad y no discriminación.</w:t>
      </w:r>
    </w:p>
    <w:p w14:paraId="2070451B"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Destaca, en primer término, la incorporación del principio de igualdad en la Constitución de 2019, así como el desarrollo de un conjunto amplio de normas jurídicas que consolidan el reconocimiento de derechos fundamentales y la prohibición expresa de toda forma de discriminación racial  .</w:t>
      </w:r>
    </w:p>
    <w:p w14:paraId="4641A84A" w14:textId="527B3D75"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 xml:space="preserve">Asimismo, resulta relevante la creación del Programa Nacional contra el Racismo y la Discriminación Racial “Color Cubano”, junto con la Comisión Nacional que le da seguimiento, lo cual constituye un mecanismo institucional específico para la atención de esta </w:t>
      </w:r>
      <w:r w:rsidR="00414427" w:rsidRPr="00D75515">
        <w:rPr>
          <w:rFonts w:cs="Times New Roman"/>
          <w:kern w:val="0"/>
          <w14:ligatures w14:val="none"/>
        </w:rPr>
        <w:t>problemática</w:t>
      </w:r>
      <w:r w:rsidR="00414427">
        <w:rPr>
          <w:rFonts w:cs="Times New Roman"/>
          <w:kern w:val="0"/>
          <w14:ligatures w14:val="none"/>
        </w:rPr>
        <w:t>.</w:t>
      </w:r>
    </w:p>
    <w:p w14:paraId="7C1DD6B8"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Estos elementos reflejan una voluntad estatal de articular políticas públicas integrales, que incluyen la participación de organizaciones sociales, redes comunitarias y actores diversos, en consonancia con los principios participativos que inspiran la Convención.</w:t>
      </w:r>
    </w:p>
    <w:p w14:paraId="1FC34CDA" w14:textId="2C6AA279" w:rsidR="00E94C6F" w:rsidRPr="00D75515" w:rsidRDefault="00E94C6F" w:rsidP="00D75515">
      <w:pPr>
        <w:spacing w:after="0" w:line="240" w:lineRule="auto"/>
        <w:jc w:val="both"/>
        <w:rPr>
          <w:rFonts w:eastAsia="Times New Roman" w:cs="Times New Roman"/>
          <w:kern w:val="0"/>
          <w14:ligatures w14:val="none"/>
        </w:rPr>
      </w:pPr>
    </w:p>
    <w:p w14:paraId="2268125A" w14:textId="77777777" w:rsidR="00E94C6F" w:rsidRPr="00D75515" w:rsidRDefault="00E94C6F" w:rsidP="00D75515">
      <w:pPr>
        <w:spacing w:before="100" w:beforeAutospacing="1" w:after="100" w:afterAutospacing="1" w:line="240" w:lineRule="auto"/>
        <w:jc w:val="both"/>
        <w:outlineLvl w:val="1"/>
        <w:rPr>
          <w:rFonts w:cs="Times New Roman"/>
          <w:kern w:val="0"/>
          <w14:ligatures w14:val="none"/>
        </w:rPr>
      </w:pPr>
      <w:r w:rsidRPr="00D75515">
        <w:rPr>
          <w:rFonts w:eastAsia="Times New Roman" w:cs="Times New Roman"/>
          <w:kern w:val="0"/>
          <w14:ligatures w14:val="none"/>
        </w:rPr>
        <w:t>II. Seguimiento a las observaciones del Comité</w:t>
      </w:r>
    </w:p>
    <w:p w14:paraId="0D94C14B"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7ED7ECBF" w14:textId="0E31607B" w:rsidR="00E94C6F" w:rsidRPr="00D75515" w:rsidRDefault="00E94C6F" w:rsidP="00B8697D">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lastRenderedPageBreak/>
        <w:t>El Estado parte ha señalado haber dado atención a las observaciones formuladas previamente por el Comité, mediante:</w:t>
      </w:r>
      <w:r w:rsidR="00B8697D">
        <w:rPr>
          <w:rFonts w:cs="Times New Roman"/>
          <w:kern w:val="0"/>
          <w14:ligatures w14:val="none"/>
        </w:rPr>
        <w:t xml:space="preserve"> </w:t>
      </w:r>
      <w:r w:rsidRPr="00D75515">
        <w:rPr>
          <w:rFonts w:cs="Times New Roman"/>
          <w:kern w:val="0"/>
          <w14:ligatures w14:val="none"/>
        </w:rPr>
        <w:t>la sistematización de información estadística y jurídica;</w:t>
      </w:r>
      <w:r w:rsidR="00B8697D">
        <w:rPr>
          <w:rFonts w:cs="Times New Roman"/>
          <w:kern w:val="0"/>
          <w14:ligatures w14:val="none"/>
        </w:rPr>
        <w:t xml:space="preserve"> </w:t>
      </w:r>
      <w:r w:rsidRPr="00D75515">
        <w:rPr>
          <w:rFonts w:cs="Times New Roman"/>
          <w:kern w:val="0"/>
          <w14:ligatures w14:val="none"/>
        </w:rPr>
        <w:t>la consulta con múltiples actores institucionales y sociales;</w:t>
      </w:r>
      <w:r w:rsidR="00B8697D">
        <w:rPr>
          <w:rFonts w:cs="Times New Roman"/>
          <w:kern w:val="0"/>
          <w14:ligatures w14:val="none"/>
        </w:rPr>
        <w:t xml:space="preserve"> y</w:t>
      </w:r>
      <w:r w:rsidRPr="00D75515">
        <w:rPr>
          <w:rFonts w:cs="Times New Roman"/>
          <w:kern w:val="0"/>
          <w14:ligatures w14:val="none"/>
        </w:rPr>
        <w:t xml:space="preserve"> el fortalecimiento del diálogo con mecanismos internacionales de derechos humanos</w:t>
      </w:r>
      <w:r w:rsidR="00B8697D">
        <w:rPr>
          <w:rFonts w:cs="Times New Roman"/>
          <w:kern w:val="0"/>
          <w14:ligatures w14:val="none"/>
        </w:rPr>
        <w:t>.</w:t>
      </w:r>
    </w:p>
    <w:p w14:paraId="3A72AF1B" w14:textId="6EB961B1"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Asimismo, Cuba ha manifestado su disposición a aceptar e implementar las recomendaciones en materia racial derivadas de otros mecanismos internacionales, como el Examen Periódico Universal, lo cual constituye un indicador de cooperación multilateral y apertura al escrutinio internacional</w:t>
      </w:r>
      <w:r w:rsidR="00B8697D">
        <w:rPr>
          <w:rFonts w:cs="Times New Roman"/>
          <w:kern w:val="0"/>
          <w14:ligatures w14:val="none"/>
        </w:rPr>
        <w:t>.</w:t>
      </w:r>
    </w:p>
    <w:p w14:paraId="5CB482E9" w14:textId="174F005D" w:rsidR="00E94C6F" w:rsidRPr="00D75515" w:rsidRDefault="00E94C6F" w:rsidP="00D75515">
      <w:pPr>
        <w:spacing w:after="0" w:line="240" w:lineRule="auto"/>
        <w:jc w:val="both"/>
        <w:rPr>
          <w:rFonts w:eastAsia="Times New Roman" w:cs="Times New Roman"/>
          <w:kern w:val="0"/>
          <w14:ligatures w14:val="none"/>
        </w:rPr>
      </w:pPr>
    </w:p>
    <w:p w14:paraId="140F1843" w14:textId="77777777" w:rsidR="00E94C6F" w:rsidRPr="00D75515" w:rsidRDefault="00E94C6F" w:rsidP="00D75515">
      <w:pPr>
        <w:spacing w:before="100" w:beforeAutospacing="1" w:after="100" w:afterAutospacing="1" w:line="240" w:lineRule="auto"/>
        <w:jc w:val="both"/>
        <w:outlineLvl w:val="1"/>
        <w:rPr>
          <w:rFonts w:cs="Times New Roman"/>
          <w:kern w:val="0"/>
          <w14:ligatures w14:val="none"/>
        </w:rPr>
      </w:pPr>
      <w:r w:rsidRPr="00D75515">
        <w:rPr>
          <w:rFonts w:eastAsia="Times New Roman" w:cs="Times New Roman"/>
          <w:kern w:val="0"/>
          <w14:ligatures w14:val="none"/>
        </w:rPr>
        <w:t>III. Aspectos positivos y avances registrados</w:t>
      </w:r>
    </w:p>
    <w:p w14:paraId="2222803C"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209E32A0"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El MNE reconoce como avances significativos:</w:t>
      </w:r>
    </w:p>
    <w:p w14:paraId="7008D9C5" w14:textId="77777777" w:rsidR="00E94C6F" w:rsidRPr="00D75515" w:rsidRDefault="00E94C6F" w:rsidP="00D75515">
      <w:pPr>
        <w:numPr>
          <w:ilvl w:val="0"/>
          <w:numId w:val="2"/>
        </w:num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El fortalecimiento del marco normativo, con la promulgación de nuevas leyes orientadas a garantizar la igualdad sustantiva.</w:t>
      </w:r>
    </w:p>
    <w:p w14:paraId="1E975CDE" w14:textId="77777777" w:rsidR="00E94C6F" w:rsidRPr="00D75515" w:rsidRDefault="00E94C6F" w:rsidP="00D75515">
      <w:pPr>
        <w:numPr>
          <w:ilvl w:val="0"/>
          <w:numId w:val="2"/>
        </w:num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La institucionalización de políticas públicas específicas, como el Programa “Color Cubano”.</w:t>
      </w:r>
    </w:p>
    <w:p w14:paraId="2FD285B2" w14:textId="0D4B051B" w:rsidR="00E94C6F" w:rsidRPr="00D75515" w:rsidRDefault="00E94C6F" w:rsidP="00D75515">
      <w:pPr>
        <w:numPr>
          <w:ilvl w:val="0"/>
          <w:numId w:val="2"/>
        </w:num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La participación activa de la sociedad civil, con más de dos mil asociaciones y organizaciones que inciden en la promoción de los derechos humanos y en la lucha contra la discriminación racial</w:t>
      </w:r>
      <w:r w:rsidR="00B77C4B">
        <w:rPr>
          <w:rFonts w:cs="Times New Roman"/>
          <w:kern w:val="0"/>
          <w14:ligatures w14:val="none"/>
        </w:rPr>
        <w:t>.</w:t>
      </w:r>
    </w:p>
    <w:p w14:paraId="3A5FB75C" w14:textId="77777777" w:rsidR="00E94C6F" w:rsidRPr="00D75515" w:rsidRDefault="00E94C6F" w:rsidP="00D75515">
      <w:pPr>
        <w:numPr>
          <w:ilvl w:val="0"/>
          <w:numId w:val="2"/>
        </w:num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La cooperación internacional creciente, particularmente con instancias del sistema de Naciones Unidas.</w:t>
      </w:r>
    </w:p>
    <w:p w14:paraId="6F6E8B10"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Estos elementos permiten advertir la existencia de una estructura estatal y social orientada a combatir el racismo desde múltiples dimensiones: jurídica, educativa, cultural y comunitaria.</w:t>
      </w:r>
    </w:p>
    <w:p w14:paraId="7ED9D221" w14:textId="3CC723F7" w:rsidR="00E94C6F" w:rsidRPr="00D75515" w:rsidRDefault="00E94C6F" w:rsidP="00D75515">
      <w:pPr>
        <w:spacing w:after="0" w:line="240" w:lineRule="auto"/>
        <w:jc w:val="both"/>
        <w:rPr>
          <w:rFonts w:eastAsia="Times New Roman" w:cs="Times New Roman"/>
          <w:kern w:val="0"/>
          <w14:ligatures w14:val="none"/>
        </w:rPr>
      </w:pPr>
    </w:p>
    <w:p w14:paraId="055F3CCB" w14:textId="77777777" w:rsidR="00E94C6F" w:rsidRPr="00D75515" w:rsidRDefault="00E94C6F" w:rsidP="00D75515">
      <w:pPr>
        <w:spacing w:before="100" w:beforeAutospacing="1" w:after="100" w:afterAutospacing="1" w:line="240" w:lineRule="auto"/>
        <w:jc w:val="both"/>
        <w:outlineLvl w:val="1"/>
        <w:rPr>
          <w:rFonts w:cs="Times New Roman"/>
          <w:kern w:val="0"/>
          <w14:ligatures w14:val="none"/>
        </w:rPr>
      </w:pPr>
      <w:r w:rsidRPr="00D75515">
        <w:rPr>
          <w:rFonts w:eastAsia="Times New Roman" w:cs="Times New Roman"/>
          <w:kern w:val="0"/>
          <w14:ligatures w14:val="none"/>
        </w:rPr>
        <w:t>IV. Retos emergentes</w:t>
      </w:r>
    </w:p>
    <w:p w14:paraId="31ABF484"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2CD02B58" w14:textId="50B8E641"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 xml:space="preserve">No </w:t>
      </w:r>
      <w:r w:rsidR="00B77C4B" w:rsidRPr="00D75515">
        <w:rPr>
          <w:rFonts w:cs="Times New Roman"/>
          <w:kern w:val="0"/>
          <w14:ligatures w14:val="none"/>
        </w:rPr>
        <w:t>obstante,</w:t>
      </w:r>
      <w:r w:rsidRPr="00D75515">
        <w:rPr>
          <w:rFonts w:cs="Times New Roman"/>
          <w:kern w:val="0"/>
          <w14:ligatures w14:val="none"/>
        </w:rPr>
        <w:t xml:space="preserve"> los avances señalados, persisten desafíos estructurales que deben ser considerados en el análisis integral de la situación:</w:t>
      </w:r>
    </w:p>
    <w:p w14:paraId="491B9C12" w14:textId="77777777" w:rsidR="00E94C6F" w:rsidRPr="00D75515" w:rsidRDefault="00E94C6F" w:rsidP="00D75515">
      <w:pPr>
        <w:numPr>
          <w:ilvl w:val="0"/>
          <w:numId w:val="3"/>
        </w:num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La necesidad de profundizar en la medición de las desigualdades raciales, particularmente en términos socioeconómicos.</w:t>
      </w:r>
    </w:p>
    <w:p w14:paraId="433F34DB" w14:textId="77777777" w:rsidR="00E94C6F" w:rsidRPr="00D75515" w:rsidRDefault="00E94C6F" w:rsidP="00D75515">
      <w:pPr>
        <w:numPr>
          <w:ilvl w:val="0"/>
          <w:numId w:val="3"/>
        </w:num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El fortalecimiento de mecanismos de denuncia y reparación frente a actos de discriminación.</w:t>
      </w:r>
    </w:p>
    <w:p w14:paraId="6ADB98FC" w14:textId="77777777" w:rsidR="00E94C6F" w:rsidRPr="00D75515" w:rsidRDefault="00E94C6F" w:rsidP="00D75515">
      <w:pPr>
        <w:numPr>
          <w:ilvl w:val="0"/>
          <w:numId w:val="3"/>
        </w:num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lastRenderedPageBreak/>
        <w:t>La consolidación de políticas que atiendan las desigualdades históricas acumuladas, especialmente en poblaciones afrodescendientes.</w:t>
      </w:r>
    </w:p>
    <w:p w14:paraId="0588FD2D"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736563F6"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Estos retos, comunes a muchas sociedades contemporáneas, exigen la continuidad de políticas públicas sostenidas y evaluables.</w:t>
      </w:r>
    </w:p>
    <w:p w14:paraId="13B8D28D" w14:textId="6066223B" w:rsidR="00E94C6F" w:rsidRPr="00D75515" w:rsidRDefault="00E94C6F" w:rsidP="00D75515">
      <w:pPr>
        <w:spacing w:after="0" w:line="240" w:lineRule="auto"/>
        <w:jc w:val="both"/>
        <w:rPr>
          <w:rFonts w:eastAsia="Times New Roman" w:cs="Times New Roman"/>
          <w:kern w:val="0"/>
          <w14:ligatures w14:val="none"/>
        </w:rPr>
      </w:pPr>
    </w:p>
    <w:p w14:paraId="34721A34" w14:textId="77777777" w:rsidR="00E94C6F" w:rsidRPr="00D75515" w:rsidRDefault="00E94C6F" w:rsidP="00D75515">
      <w:pPr>
        <w:spacing w:before="100" w:beforeAutospacing="1" w:after="100" w:afterAutospacing="1" w:line="240" w:lineRule="auto"/>
        <w:jc w:val="both"/>
        <w:outlineLvl w:val="1"/>
        <w:rPr>
          <w:rFonts w:cs="Times New Roman"/>
          <w:kern w:val="0"/>
          <w14:ligatures w14:val="none"/>
        </w:rPr>
      </w:pPr>
      <w:r w:rsidRPr="00D75515">
        <w:rPr>
          <w:rFonts w:eastAsia="Times New Roman" w:cs="Times New Roman"/>
          <w:kern w:val="0"/>
          <w14:ligatures w14:val="none"/>
        </w:rPr>
        <w:t>V. Impacto del bloqueo económico en la lucha contra la discriminación racial</w:t>
      </w:r>
    </w:p>
    <w:p w14:paraId="18641276"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5224FCFA"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El Movimiento Nacional por la Esperanza considera imprescindible incorporar en este análisis el impacto del bloqueo económico, comercial y financiero impuesto por el gobierno de los Estados Unidos contra Cuba, el cual constituye un factor estructural que limita el desarrollo económico y social del país.</w:t>
      </w:r>
    </w:p>
    <w:p w14:paraId="7009E0ED"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4606E9B2" w14:textId="2387BEEE"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De acuerdo con la información presentada, dicho bloqueo ha ocasionado daños acumulados de gran magnitud, afectando directamente la capacidad del Estado para implementar políticas públicas en materia de derechos humanos</w:t>
      </w:r>
      <w:r w:rsidR="0043636A">
        <w:rPr>
          <w:rFonts w:cs="Times New Roman"/>
          <w:kern w:val="0"/>
          <w14:ligatures w14:val="none"/>
        </w:rPr>
        <w:t>.</w:t>
      </w:r>
    </w:p>
    <w:p w14:paraId="12402669"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5E1F84EC" w14:textId="1547FBBF" w:rsidR="00E94C6F" w:rsidRPr="00D75515" w:rsidRDefault="00E94C6F" w:rsidP="0043636A">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Particular preocupación merece el recrudecimiento de medidas coercitivas unilaterales, entre ellas:</w:t>
      </w:r>
      <w:r w:rsidR="0043636A">
        <w:rPr>
          <w:rFonts w:cs="Times New Roman"/>
          <w:kern w:val="0"/>
          <w14:ligatures w14:val="none"/>
        </w:rPr>
        <w:t xml:space="preserve"> </w:t>
      </w:r>
      <w:r w:rsidRPr="00D75515">
        <w:rPr>
          <w:rFonts w:cs="Times New Roman"/>
          <w:kern w:val="0"/>
          <w14:ligatures w14:val="none"/>
        </w:rPr>
        <w:t>la persecución de transacciones financieras;</w:t>
      </w:r>
      <w:r w:rsidR="0043636A">
        <w:rPr>
          <w:rFonts w:cs="Times New Roman"/>
          <w:kern w:val="0"/>
          <w14:ligatures w14:val="none"/>
        </w:rPr>
        <w:t xml:space="preserve"> </w:t>
      </w:r>
      <w:r w:rsidRPr="00D75515">
        <w:rPr>
          <w:rFonts w:cs="Times New Roman"/>
          <w:kern w:val="0"/>
          <w14:ligatures w14:val="none"/>
        </w:rPr>
        <w:t>la imposición de sanciones a empresas vinculadas al suministro energético;</w:t>
      </w:r>
      <w:r w:rsidR="0043636A">
        <w:rPr>
          <w:rFonts w:cs="Times New Roman"/>
          <w:kern w:val="0"/>
          <w14:ligatures w14:val="none"/>
        </w:rPr>
        <w:t xml:space="preserve"> </w:t>
      </w:r>
      <w:r w:rsidRPr="00D75515">
        <w:rPr>
          <w:rFonts w:cs="Times New Roman"/>
          <w:kern w:val="0"/>
          <w14:ligatures w14:val="none"/>
        </w:rPr>
        <w:t>y las acciones destinadas a obstaculizar el envío de combustibles a la isla</w:t>
      </w:r>
      <w:r w:rsidR="0043636A">
        <w:rPr>
          <w:rFonts w:cs="Times New Roman"/>
          <w:kern w:val="0"/>
          <w14:ligatures w14:val="none"/>
        </w:rPr>
        <w:t>.</w:t>
      </w:r>
    </w:p>
    <w:p w14:paraId="4BF20D57"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Estas medidas tienen efectos directos sobre la vida cotidiana de la población y generan condiciones adversas que inciden en la equidad social, afectando de manera diferenciada a los sectores más vulnerables, entre ellos comunidades históricamente discriminadas.</w:t>
      </w:r>
    </w:p>
    <w:p w14:paraId="5349CE2C"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En este sentido, el MNE subraya que ninguna política de combate al racismo puede analizarse al margen de las condiciones materiales en que se desarrolla, y que las medidas coercitivas unilaterales constituyen un obstáculo objetivo para la plena realización de los derechos consagrados en la Convención.</w:t>
      </w:r>
    </w:p>
    <w:p w14:paraId="5177443A" w14:textId="76BBD1B0" w:rsidR="00E94C6F" w:rsidRPr="00D75515" w:rsidRDefault="00E94C6F" w:rsidP="00D75515">
      <w:pPr>
        <w:spacing w:after="0" w:line="240" w:lineRule="auto"/>
        <w:jc w:val="both"/>
        <w:rPr>
          <w:rFonts w:eastAsia="Times New Roman" w:cs="Times New Roman"/>
          <w:kern w:val="0"/>
          <w14:ligatures w14:val="none"/>
        </w:rPr>
      </w:pPr>
    </w:p>
    <w:p w14:paraId="67814188" w14:textId="77777777" w:rsidR="00E94C6F" w:rsidRPr="00D75515" w:rsidRDefault="00E94C6F" w:rsidP="00D75515">
      <w:pPr>
        <w:spacing w:before="100" w:beforeAutospacing="1" w:after="100" w:afterAutospacing="1" w:line="240" w:lineRule="auto"/>
        <w:jc w:val="both"/>
        <w:outlineLvl w:val="1"/>
        <w:rPr>
          <w:rFonts w:cs="Times New Roman"/>
          <w:kern w:val="0"/>
          <w14:ligatures w14:val="none"/>
        </w:rPr>
      </w:pPr>
      <w:r w:rsidRPr="00D75515">
        <w:rPr>
          <w:rFonts w:eastAsia="Times New Roman" w:cs="Times New Roman"/>
          <w:kern w:val="0"/>
          <w14:ligatures w14:val="none"/>
        </w:rPr>
        <w:t>VI. Consideraciones finales</w:t>
      </w:r>
    </w:p>
    <w:p w14:paraId="64BBDDCA"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163870FE"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El Movimiento Nacional por la Esperanza reconoce los avances institucionales de Cuba en la lucha contra el racismo y la discriminación racial, así como su compromiso con los instrumentos internacionales de derechos humanos.</w:t>
      </w:r>
    </w:p>
    <w:p w14:paraId="4298E1D4" w14:textId="102DD0B7" w:rsidR="00E94C6F" w:rsidRPr="00D75515" w:rsidRDefault="00E94C6F" w:rsidP="00401CFB">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Al mismo tiempo, enfatiza que la superación de este fenómeno requiere:</w:t>
      </w:r>
      <w:r w:rsidR="00401CFB">
        <w:rPr>
          <w:rFonts w:cs="Times New Roman"/>
          <w:kern w:val="0"/>
          <w14:ligatures w14:val="none"/>
        </w:rPr>
        <w:t xml:space="preserve"> </w:t>
      </w:r>
      <w:r w:rsidRPr="00D75515">
        <w:rPr>
          <w:rFonts w:cs="Times New Roman"/>
          <w:kern w:val="0"/>
          <w14:ligatures w14:val="none"/>
        </w:rPr>
        <w:t>la continuidad de políticas públicas inclusivas;</w:t>
      </w:r>
      <w:r w:rsidR="00401CFB">
        <w:rPr>
          <w:rFonts w:cs="Times New Roman"/>
          <w:kern w:val="0"/>
          <w14:ligatures w14:val="none"/>
        </w:rPr>
        <w:t xml:space="preserve"> </w:t>
      </w:r>
      <w:r w:rsidRPr="00D75515">
        <w:rPr>
          <w:rFonts w:cs="Times New Roman"/>
          <w:kern w:val="0"/>
          <w14:ligatures w14:val="none"/>
        </w:rPr>
        <w:t>el fortalecimiento de la cooperación internacional;</w:t>
      </w:r>
      <w:r w:rsidR="00401CFB">
        <w:rPr>
          <w:rFonts w:cs="Times New Roman"/>
          <w:kern w:val="0"/>
          <w14:ligatures w14:val="none"/>
        </w:rPr>
        <w:t xml:space="preserve"> </w:t>
      </w:r>
      <w:r w:rsidRPr="00D75515">
        <w:rPr>
          <w:rFonts w:cs="Times New Roman"/>
          <w:kern w:val="0"/>
          <w14:ligatures w14:val="none"/>
        </w:rPr>
        <w:t>y la eliminación de factores externos que obstaculizan el desarrollo social.</w:t>
      </w:r>
    </w:p>
    <w:p w14:paraId="206738F5"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La lucha contra el racismo no puede desligarse de la lucha por la justicia social, ni esta última de las condiciones estructurales que la hacen posible.</w:t>
      </w:r>
    </w:p>
    <w:p w14:paraId="427ED455"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En consecuencia, el MNE reitera su convicción de que la construcción de sociedades verdaderamente igualitarias exige no sólo voluntad política interna, sino también un entorno internacional basado en el respeto al derecho internacional, la cooperación y la no injerencia.</w:t>
      </w:r>
    </w:p>
    <w:p w14:paraId="16A4AA4E" w14:textId="060EFA25" w:rsidR="00E94C6F" w:rsidRPr="00D75515" w:rsidRDefault="00E94C6F" w:rsidP="00D75515">
      <w:pPr>
        <w:spacing w:after="0" w:line="240" w:lineRule="auto"/>
        <w:jc w:val="both"/>
        <w:rPr>
          <w:rFonts w:eastAsia="Times New Roman" w:cs="Times New Roman"/>
          <w:kern w:val="0"/>
          <w14:ligatures w14:val="none"/>
        </w:rPr>
      </w:pPr>
    </w:p>
    <w:p w14:paraId="46263B9E"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Atentamente,</w:t>
      </w:r>
    </w:p>
    <w:p w14:paraId="43C9E89A" w14:textId="77777777" w:rsidR="00E94C6F" w:rsidRPr="00D75515" w:rsidRDefault="00E94C6F" w:rsidP="00D75515">
      <w:pPr>
        <w:spacing w:before="100" w:beforeAutospacing="1" w:after="100" w:afterAutospacing="1" w:line="240" w:lineRule="auto"/>
        <w:jc w:val="both"/>
        <w:rPr>
          <w:rFonts w:cs="Times New Roman"/>
          <w:kern w:val="0"/>
          <w14:ligatures w14:val="none"/>
        </w:rPr>
      </w:pPr>
    </w:p>
    <w:p w14:paraId="33ED2B5F"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Profesor René Juvenal Bejarano Martínez</w:t>
      </w:r>
    </w:p>
    <w:p w14:paraId="2CA5A3AB" w14:textId="77777777" w:rsidR="00E94C6F" w:rsidRPr="00D75515" w:rsidRDefault="00E94C6F" w:rsidP="00D75515">
      <w:pPr>
        <w:spacing w:before="100" w:beforeAutospacing="1" w:after="100" w:afterAutospacing="1" w:line="240" w:lineRule="auto"/>
        <w:jc w:val="both"/>
        <w:rPr>
          <w:rFonts w:cs="Times New Roman"/>
          <w:kern w:val="0"/>
          <w14:ligatures w14:val="none"/>
        </w:rPr>
      </w:pPr>
      <w:r w:rsidRPr="00D75515">
        <w:rPr>
          <w:rFonts w:cs="Times New Roman"/>
          <w:kern w:val="0"/>
          <w14:ligatures w14:val="none"/>
        </w:rPr>
        <w:t>Presidente del Movimiento Nacional por la Esperanza</w:t>
      </w:r>
    </w:p>
    <w:p w14:paraId="778FEEB5" w14:textId="77777777" w:rsidR="00E94C6F" w:rsidRPr="00D75515" w:rsidRDefault="00E94C6F" w:rsidP="00D75515">
      <w:pPr>
        <w:jc w:val="both"/>
      </w:pPr>
    </w:p>
    <w:sectPr w:rsidR="00E94C6F" w:rsidRPr="00D75515">
      <w:footerReference w:type="even"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D02FF" w14:textId="77777777" w:rsidR="00AF5B00" w:rsidRDefault="00AF5B00" w:rsidP="00634EC0">
      <w:pPr>
        <w:spacing w:after="0" w:line="240" w:lineRule="auto"/>
      </w:pPr>
      <w:r>
        <w:separator/>
      </w:r>
    </w:p>
  </w:endnote>
  <w:endnote w:type="continuationSeparator" w:id="0">
    <w:p w14:paraId="2C899C1F" w14:textId="77777777" w:rsidR="00AF5B00" w:rsidRDefault="00AF5B00" w:rsidP="00634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068108815"/>
      <w:docPartObj>
        <w:docPartGallery w:val="Page Numbers (Bottom of Page)"/>
        <w:docPartUnique/>
      </w:docPartObj>
    </w:sdtPr>
    <w:sdtEndPr>
      <w:rPr>
        <w:rStyle w:val="Nmerodepgina"/>
      </w:rPr>
    </w:sdtEndPr>
    <w:sdtContent>
      <w:p w14:paraId="12EC392D" w14:textId="20225533" w:rsidR="00634EC0" w:rsidRDefault="00634EC0" w:rsidP="00851679">
        <w:pPr>
          <w:pStyle w:val="Piedepgina"/>
          <w:framePr w:wrap="none" w:vAnchor="text" w:hAnchor="margin" w:xAlign="right" w:y="1"/>
          <w:jc w:val="right"/>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8A13C4E" w14:textId="77777777" w:rsidR="00634EC0" w:rsidRDefault="00634EC0" w:rsidP="00634EC0">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82138967"/>
      <w:docPartObj>
        <w:docPartGallery w:val="Page Numbers (Bottom of Page)"/>
        <w:docPartUnique/>
      </w:docPartObj>
    </w:sdtPr>
    <w:sdtEndPr>
      <w:rPr>
        <w:rStyle w:val="Nmerodepgina"/>
      </w:rPr>
    </w:sdtEndPr>
    <w:sdtContent>
      <w:p w14:paraId="72386D4C" w14:textId="7DDB7ACF" w:rsidR="00634EC0" w:rsidRDefault="00634EC0" w:rsidP="00851679">
        <w:pPr>
          <w:pStyle w:val="Piedepgina"/>
          <w:framePr w:wrap="none" w:vAnchor="text" w:hAnchor="margin" w:xAlign="right" w:y="1"/>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7B0447">
          <w:rPr>
            <w:rStyle w:val="Nmerodepgina"/>
            <w:noProof/>
          </w:rPr>
          <w:t>2</w:t>
        </w:r>
        <w:r>
          <w:rPr>
            <w:rStyle w:val="Nmerodepgina"/>
          </w:rPr>
          <w:fldChar w:fldCharType="end"/>
        </w:r>
      </w:p>
    </w:sdtContent>
  </w:sdt>
  <w:p w14:paraId="7CAE1EE3" w14:textId="77777777" w:rsidR="00634EC0" w:rsidRDefault="00634EC0" w:rsidP="00634EC0">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B7DF5" w14:textId="77777777" w:rsidR="00AF5B00" w:rsidRDefault="00AF5B00" w:rsidP="00634EC0">
      <w:pPr>
        <w:spacing w:after="0" w:line="240" w:lineRule="auto"/>
      </w:pPr>
      <w:r>
        <w:separator/>
      </w:r>
    </w:p>
  </w:footnote>
  <w:footnote w:type="continuationSeparator" w:id="0">
    <w:p w14:paraId="6F199FE9" w14:textId="77777777" w:rsidR="00AF5B00" w:rsidRDefault="00AF5B00" w:rsidP="00634E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9566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7034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9E6D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927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9427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C6F"/>
    <w:rsid w:val="00401CFB"/>
    <w:rsid w:val="00414427"/>
    <w:rsid w:val="00421CB9"/>
    <w:rsid w:val="0043636A"/>
    <w:rsid w:val="0061427B"/>
    <w:rsid w:val="00634EC0"/>
    <w:rsid w:val="007B0447"/>
    <w:rsid w:val="008A77BA"/>
    <w:rsid w:val="00AF5B00"/>
    <w:rsid w:val="00B77C4B"/>
    <w:rsid w:val="00B8697D"/>
    <w:rsid w:val="00D75515"/>
    <w:rsid w:val="00E94C6F"/>
    <w:rsid w:val="00F97A3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29D74"/>
  <w15:chartTrackingRefBased/>
  <w15:docId w15:val="{A7F86747-65B2-3349-8E16-CE3D72F6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MX" w:eastAsia="es-MX"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E94C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E94C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94C6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94C6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4C6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94C6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4C6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4C6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94C6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4C6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94C6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94C6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94C6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4C6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94C6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4C6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4C6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94C6F"/>
    <w:rPr>
      <w:rFonts w:eastAsiaTheme="majorEastAsia" w:cstheme="majorBidi"/>
      <w:color w:val="272727" w:themeColor="text1" w:themeTint="D8"/>
    </w:rPr>
  </w:style>
  <w:style w:type="paragraph" w:styleId="Puesto">
    <w:name w:val="Title"/>
    <w:basedOn w:val="Normal"/>
    <w:next w:val="Normal"/>
    <w:link w:val="PuestoCar"/>
    <w:uiPriority w:val="10"/>
    <w:qFormat/>
    <w:rsid w:val="00E94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E94C6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4C6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4C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4C6F"/>
    <w:pPr>
      <w:spacing w:before="160"/>
      <w:jc w:val="center"/>
    </w:pPr>
    <w:rPr>
      <w:i/>
      <w:iCs/>
      <w:color w:val="404040" w:themeColor="text1" w:themeTint="BF"/>
    </w:rPr>
  </w:style>
  <w:style w:type="character" w:customStyle="1" w:styleId="CitaCar">
    <w:name w:val="Cita Car"/>
    <w:basedOn w:val="Fuentedeprrafopredeter"/>
    <w:link w:val="Cita"/>
    <w:uiPriority w:val="29"/>
    <w:rsid w:val="00E94C6F"/>
    <w:rPr>
      <w:i/>
      <w:iCs/>
      <w:color w:val="404040" w:themeColor="text1" w:themeTint="BF"/>
    </w:rPr>
  </w:style>
  <w:style w:type="paragraph" w:styleId="Prrafodelista">
    <w:name w:val="List Paragraph"/>
    <w:basedOn w:val="Normal"/>
    <w:uiPriority w:val="34"/>
    <w:qFormat/>
    <w:rsid w:val="00E94C6F"/>
    <w:pPr>
      <w:ind w:left="720"/>
      <w:contextualSpacing/>
    </w:pPr>
  </w:style>
  <w:style w:type="character" w:styleId="nfasisintenso">
    <w:name w:val="Intense Emphasis"/>
    <w:basedOn w:val="Fuentedeprrafopredeter"/>
    <w:uiPriority w:val="21"/>
    <w:qFormat/>
    <w:rsid w:val="00E94C6F"/>
    <w:rPr>
      <w:i/>
      <w:iCs/>
      <w:color w:val="0F4761" w:themeColor="accent1" w:themeShade="BF"/>
    </w:rPr>
  </w:style>
  <w:style w:type="paragraph" w:styleId="Citadestacada">
    <w:name w:val="Intense Quote"/>
    <w:basedOn w:val="Normal"/>
    <w:next w:val="Normal"/>
    <w:link w:val="CitadestacadaCar"/>
    <w:uiPriority w:val="30"/>
    <w:qFormat/>
    <w:rsid w:val="00E94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4C6F"/>
    <w:rPr>
      <w:i/>
      <w:iCs/>
      <w:color w:val="0F4761" w:themeColor="accent1" w:themeShade="BF"/>
    </w:rPr>
  </w:style>
  <w:style w:type="character" w:styleId="Referenciaintensa">
    <w:name w:val="Intense Reference"/>
    <w:basedOn w:val="Fuentedeprrafopredeter"/>
    <w:uiPriority w:val="32"/>
    <w:qFormat/>
    <w:rsid w:val="00E94C6F"/>
    <w:rPr>
      <w:b/>
      <w:bCs/>
      <w:smallCaps/>
      <w:color w:val="0F4761" w:themeColor="accent1" w:themeShade="BF"/>
      <w:spacing w:val="5"/>
    </w:rPr>
  </w:style>
  <w:style w:type="paragraph" w:customStyle="1" w:styleId="p1">
    <w:name w:val="p1"/>
    <w:basedOn w:val="Normal"/>
    <w:rsid w:val="00E94C6F"/>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Fuentedeprrafopredeter"/>
    <w:rsid w:val="00E94C6F"/>
  </w:style>
  <w:style w:type="character" w:customStyle="1" w:styleId="s2">
    <w:name w:val="s2"/>
    <w:basedOn w:val="Fuentedeprrafopredeter"/>
    <w:rsid w:val="00E94C6F"/>
  </w:style>
  <w:style w:type="character" w:customStyle="1" w:styleId="s3">
    <w:name w:val="s3"/>
    <w:basedOn w:val="Fuentedeprrafopredeter"/>
    <w:rsid w:val="00E94C6F"/>
  </w:style>
  <w:style w:type="character" w:customStyle="1" w:styleId="s4">
    <w:name w:val="s4"/>
    <w:basedOn w:val="Fuentedeprrafopredeter"/>
    <w:rsid w:val="00E94C6F"/>
  </w:style>
  <w:style w:type="character" w:customStyle="1" w:styleId="s5">
    <w:name w:val="s5"/>
    <w:basedOn w:val="Fuentedeprrafopredeter"/>
    <w:rsid w:val="00E94C6F"/>
  </w:style>
  <w:style w:type="paragraph" w:customStyle="1" w:styleId="p3">
    <w:name w:val="p3"/>
    <w:basedOn w:val="Normal"/>
    <w:rsid w:val="00E94C6F"/>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Fuentedeprrafopredeter"/>
    <w:rsid w:val="00E94C6F"/>
  </w:style>
  <w:style w:type="paragraph" w:styleId="Encabezado">
    <w:name w:val="header"/>
    <w:basedOn w:val="Normal"/>
    <w:link w:val="EncabezadoCar"/>
    <w:uiPriority w:val="99"/>
    <w:unhideWhenUsed/>
    <w:rsid w:val="00634E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34EC0"/>
  </w:style>
  <w:style w:type="paragraph" w:styleId="Piedepgina">
    <w:name w:val="footer"/>
    <w:basedOn w:val="Normal"/>
    <w:link w:val="PiedepginaCar"/>
    <w:uiPriority w:val="99"/>
    <w:unhideWhenUsed/>
    <w:rsid w:val="00634E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34EC0"/>
  </w:style>
  <w:style w:type="character" w:styleId="Nmerodepgina">
    <w:name w:val="page number"/>
    <w:basedOn w:val="Fuentedeprrafopredeter"/>
    <w:uiPriority w:val="99"/>
    <w:semiHidden/>
    <w:unhideWhenUsed/>
    <w:rsid w:val="00634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970</Words>
  <Characters>5335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René Juvenal Bejarano Martínez</dc:creator>
  <cp:keywords/>
  <dc:description/>
  <cp:lastModifiedBy>Invitado</cp:lastModifiedBy>
  <cp:revision>2</cp:revision>
  <dcterms:created xsi:type="dcterms:W3CDTF">2026-03-20T23:10:00Z</dcterms:created>
  <dcterms:modified xsi:type="dcterms:W3CDTF">2026-03-20T23:10:00Z</dcterms:modified>
</cp:coreProperties>
</file>