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A33185" w14:textId="3B9092E7" w:rsidR="00BD7855" w:rsidRDefault="00BD7855" w:rsidP="00BD7855">
      <w:pPr>
        <w:rPr>
          <w:b/>
          <w:bCs/>
          <w:lang w:val="es-ES"/>
        </w:rPr>
      </w:pPr>
      <w:r w:rsidRPr="00BD7855">
        <w:rPr>
          <w:b/>
          <w:bCs/>
          <w:lang w:val="es-ES"/>
        </w:rPr>
        <w:t>Declaración sobre las desapariciones forzadas y la</w:t>
      </w:r>
      <w:r>
        <w:rPr>
          <w:b/>
          <w:bCs/>
          <w:lang w:val="es-ES"/>
        </w:rPr>
        <w:t xml:space="preserve"> </w:t>
      </w:r>
      <w:r w:rsidRPr="00BD7855">
        <w:rPr>
          <w:b/>
          <w:bCs/>
          <w:lang w:val="es-ES"/>
        </w:rPr>
        <w:t>competencia militar</w:t>
      </w:r>
    </w:p>
    <w:p w14:paraId="34608428" w14:textId="77777777" w:rsidR="00BD7855" w:rsidRPr="00BD7855" w:rsidRDefault="00BD7855" w:rsidP="00BD7855">
      <w:pPr>
        <w:rPr>
          <w:b/>
          <w:bCs/>
          <w:lang w:val="es-ES"/>
        </w:rPr>
      </w:pPr>
    </w:p>
    <w:p w14:paraId="422CA9E4" w14:textId="75BABD02" w:rsidR="00BD7855" w:rsidRDefault="00BD7855" w:rsidP="00BD7855">
      <w:pPr>
        <w:rPr>
          <w:b/>
          <w:bCs/>
          <w:lang w:val="es-ES"/>
        </w:rPr>
      </w:pPr>
      <w:r w:rsidRPr="00BD7855">
        <w:rPr>
          <w:b/>
          <w:bCs/>
          <w:lang w:val="es-ES"/>
        </w:rPr>
        <w:t>Comité contra la Desaparición Forzada, octavo período de</w:t>
      </w:r>
      <w:r>
        <w:rPr>
          <w:b/>
          <w:bCs/>
          <w:lang w:val="es-ES"/>
        </w:rPr>
        <w:t xml:space="preserve"> </w:t>
      </w:r>
      <w:r w:rsidRPr="00BD7855">
        <w:rPr>
          <w:b/>
          <w:bCs/>
          <w:lang w:val="es-ES"/>
        </w:rPr>
        <w:t>sesiones, 13 de febrero de 2015</w:t>
      </w:r>
    </w:p>
    <w:p w14:paraId="17F1E4B3" w14:textId="77777777" w:rsidR="00BD7855" w:rsidRPr="00BD7855" w:rsidRDefault="00BD7855" w:rsidP="00BD7855">
      <w:pPr>
        <w:rPr>
          <w:b/>
          <w:bCs/>
          <w:lang w:val="es-ES"/>
        </w:rPr>
      </w:pPr>
    </w:p>
    <w:p w14:paraId="51E930F1" w14:textId="40914CAB" w:rsidR="00BD7855" w:rsidRDefault="00BD7855" w:rsidP="00BD7855">
      <w:pPr>
        <w:rPr>
          <w:lang w:val="es-ES"/>
        </w:rPr>
      </w:pPr>
      <w:r w:rsidRPr="00BD7855">
        <w:rPr>
          <w:lang w:val="es-ES"/>
        </w:rPr>
        <w:t>1. El derecho a la justicia de las víctimas del delito de desaparición supone el</w:t>
      </w:r>
      <w:r>
        <w:rPr>
          <w:lang w:val="es-ES"/>
        </w:rPr>
        <w:t xml:space="preserve"> </w:t>
      </w:r>
      <w:r w:rsidRPr="00BD7855">
        <w:rPr>
          <w:lang w:val="es-ES"/>
        </w:rPr>
        <w:t>respeto de los principios de independencia e imparcialidad de los tribunales. La</w:t>
      </w:r>
      <w:r>
        <w:rPr>
          <w:lang w:val="es-ES"/>
        </w:rPr>
        <w:t xml:space="preserve"> </w:t>
      </w:r>
      <w:r w:rsidRPr="00BD7855">
        <w:rPr>
          <w:lang w:val="es-ES"/>
        </w:rPr>
        <w:t>competencia de los tribunales militares en caso de graves violaciones de los derechos</w:t>
      </w:r>
      <w:r>
        <w:rPr>
          <w:lang w:val="es-ES"/>
        </w:rPr>
        <w:t xml:space="preserve"> </w:t>
      </w:r>
      <w:proofErr w:type="gramStart"/>
      <w:r w:rsidRPr="00BD7855">
        <w:rPr>
          <w:lang w:val="es-ES"/>
        </w:rPr>
        <w:t>humanos,</w:t>
      </w:r>
      <w:proofErr w:type="gramEnd"/>
      <w:r w:rsidRPr="00BD7855">
        <w:rPr>
          <w:lang w:val="es-ES"/>
        </w:rPr>
        <w:t xml:space="preserve"> ya sea que las víctimas sean militares o civiles, se ha convertido en una</w:t>
      </w:r>
      <w:r>
        <w:rPr>
          <w:lang w:val="es-ES"/>
        </w:rPr>
        <w:t xml:space="preserve"> </w:t>
      </w:r>
      <w:r w:rsidRPr="00BD7855">
        <w:rPr>
          <w:lang w:val="es-ES"/>
        </w:rPr>
        <w:t>importante cuestión con la que se enfrenta el Comité contra la Desaparición Forzada</w:t>
      </w:r>
      <w:r>
        <w:rPr>
          <w:lang w:val="es-ES"/>
        </w:rPr>
        <w:t xml:space="preserve"> </w:t>
      </w:r>
      <w:r w:rsidRPr="00BD7855">
        <w:rPr>
          <w:lang w:val="es-ES"/>
        </w:rPr>
        <w:t>en el desempeño de sus funciones, en particular en el examen de los informes de los</w:t>
      </w:r>
      <w:r>
        <w:rPr>
          <w:lang w:val="es-ES"/>
        </w:rPr>
        <w:t xml:space="preserve"> </w:t>
      </w:r>
      <w:r w:rsidRPr="00BD7855">
        <w:rPr>
          <w:lang w:val="es-ES"/>
        </w:rPr>
        <w:t>Estados partes de conformidad con el artículo 29 de la Convención Internacional para</w:t>
      </w:r>
      <w:r>
        <w:rPr>
          <w:lang w:val="es-ES"/>
        </w:rPr>
        <w:t xml:space="preserve"> </w:t>
      </w:r>
      <w:r w:rsidRPr="00BD7855">
        <w:rPr>
          <w:lang w:val="es-ES"/>
        </w:rPr>
        <w:t>la Protección de Todas las Personas contra las Desapariciones Forzadas. En ese</w:t>
      </w:r>
      <w:r>
        <w:rPr>
          <w:lang w:val="es-ES"/>
        </w:rPr>
        <w:t xml:space="preserve"> </w:t>
      </w:r>
      <w:r w:rsidRPr="00BD7855">
        <w:rPr>
          <w:lang w:val="es-ES"/>
        </w:rPr>
        <w:t>contexto, el Comité organizó un debate público sobre las desapariciones forzadas y los</w:t>
      </w:r>
      <w:r>
        <w:rPr>
          <w:lang w:val="es-ES"/>
        </w:rPr>
        <w:t xml:space="preserve"> </w:t>
      </w:r>
      <w:r w:rsidRPr="00BD7855">
        <w:rPr>
          <w:lang w:val="es-ES"/>
        </w:rPr>
        <w:t>tribunales militares el 25 de marzo de 2014, coincidiendo con su sexto período de</w:t>
      </w:r>
      <w:r>
        <w:rPr>
          <w:lang w:val="es-ES"/>
        </w:rPr>
        <w:t xml:space="preserve"> </w:t>
      </w:r>
      <w:r w:rsidRPr="00BD7855">
        <w:rPr>
          <w:lang w:val="es-ES"/>
        </w:rPr>
        <w:t>sesiones.</w:t>
      </w:r>
    </w:p>
    <w:p w14:paraId="0CB155B8" w14:textId="77777777" w:rsidR="00BD7855" w:rsidRPr="00BD7855" w:rsidRDefault="00BD7855" w:rsidP="00BD7855">
      <w:pPr>
        <w:rPr>
          <w:lang w:val="es-ES"/>
        </w:rPr>
      </w:pPr>
    </w:p>
    <w:p w14:paraId="64DA0210" w14:textId="76761E7C" w:rsidR="00BD7855" w:rsidRDefault="00BD7855" w:rsidP="00BD7855">
      <w:pPr>
        <w:rPr>
          <w:lang w:val="es-ES"/>
        </w:rPr>
      </w:pPr>
      <w:r w:rsidRPr="00BD7855">
        <w:rPr>
          <w:lang w:val="es-ES"/>
        </w:rPr>
        <w:t>2. El Comité formula la siguiente declaración con el fin de aclarar las orientaciones</w:t>
      </w:r>
      <w:r>
        <w:rPr>
          <w:lang w:val="es-ES"/>
        </w:rPr>
        <w:t xml:space="preserve"> </w:t>
      </w:r>
      <w:r w:rsidRPr="00BD7855">
        <w:rPr>
          <w:lang w:val="es-ES"/>
        </w:rPr>
        <w:t xml:space="preserve">dirigidas a los </w:t>
      </w:r>
      <w:proofErr w:type="gramStart"/>
      <w:r w:rsidRPr="00BD7855">
        <w:rPr>
          <w:lang w:val="es-ES"/>
        </w:rPr>
        <w:t>Estados partes</w:t>
      </w:r>
      <w:proofErr w:type="gramEnd"/>
      <w:r w:rsidRPr="00BD7855">
        <w:rPr>
          <w:lang w:val="es-ES"/>
        </w:rPr>
        <w:t xml:space="preserve"> en el marco de su examen de las medidas adoptadas para</w:t>
      </w:r>
      <w:r>
        <w:rPr>
          <w:lang w:val="es-ES"/>
        </w:rPr>
        <w:t xml:space="preserve"> </w:t>
      </w:r>
      <w:r w:rsidRPr="00BD7855">
        <w:rPr>
          <w:lang w:val="es-ES"/>
        </w:rPr>
        <w:t>dar efecto a las obligaciones contraídas para aplicar la Convención. El Comité observa</w:t>
      </w:r>
      <w:r>
        <w:rPr>
          <w:lang w:val="es-ES"/>
        </w:rPr>
        <w:t xml:space="preserve"> </w:t>
      </w:r>
      <w:r w:rsidRPr="00BD7855">
        <w:rPr>
          <w:lang w:val="es-ES"/>
        </w:rPr>
        <w:t>que la Convención establece obligaciones en las esferas de la investigación, los</w:t>
      </w:r>
      <w:r>
        <w:rPr>
          <w:lang w:val="es-ES"/>
        </w:rPr>
        <w:t xml:space="preserve"> </w:t>
      </w:r>
      <w:r w:rsidRPr="00BD7855">
        <w:rPr>
          <w:lang w:val="es-ES"/>
        </w:rPr>
        <w:t>procesamientos y los juicios. El Comité opina que la competencia militar podría</w:t>
      </w:r>
      <w:r>
        <w:rPr>
          <w:lang w:val="es-ES"/>
        </w:rPr>
        <w:t xml:space="preserve"> </w:t>
      </w:r>
      <w:r w:rsidRPr="00BD7855">
        <w:rPr>
          <w:lang w:val="es-ES"/>
        </w:rPr>
        <w:t>limitar la eficacia de las investigaciones, los procesamientos y los juicios en el caso de</w:t>
      </w:r>
      <w:r>
        <w:rPr>
          <w:lang w:val="es-ES"/>
        </w:rPr>
        <w:t xml:space="preserve"> </w:t>
      </w:r>
      <w:r w:rsidRPr="00BD7855">
        <w:rPr>
          <w:lang w:val="es-ES"/>
        </w:rPr>
        <w:t>las desapariciones forzadas.</w:t>
      </w:r>
    </w:p>
    <w:p w14:paraId="72F8B97A" w14:textId="77777777" w:rsidR="00BD7855" w:rsidRPr="00BD7855" w:rsidRDefault="00BD7855" w:rsidP="00BD7855">
      <w:pPr>
        <w:rPr>
          <w:lang w:val="es-ES"/>
        </w:rPr>
      </w:pPr>
    </w:p>
    <w:p w14:paraId="18E14C38" w14:textId="76620AD7" w:rsidR="00BD7855" w:rsidRDefault="00BD7855" w:rsidP="00BD7855">
      <w:pPr>
        <w:rPr>
          <w:lang w:val="es-ES"/>
        </w:rPr>
      </w:pPr>
      <w:r w:rsidRPr="00BD7855">
        <w:rPr>
          <w:lang w:val="es-ES"/>
        </w:rPr>
        <w:t>3. Las investigaciones deben ser exhaustivas e imparciales, y deben tomarse</w:t>
      </w:r>
      <w:r>
        <w:rPr>
          <w:lang w:val="es-ES"/>
        </w:rPr>
        <w:t xml:space="preserve"> </w:t>
      </w:r>
      <w:r w:rsidRPr="00BD7855">
        <w:rPr>
          <w:lang w:val="es-ES"/>
        </w:rPr>
        <w:t>medidas que garanticen la protección de los denunciantes, testigos y familiares</w:t>
      </w:r>
      <w:r>
        <w:rPr>
          <w:lang w:val="es-ES"/>
        </w:rPr>
        <w:t xml:space="preserve"> </w:t>
      </w:r>
      <w:r w:rsidRPr="00BD7855">
        <w:rPr>
          <w:lang w:val="es-ES"/>
        </w:rPr>
        <w:t>(art. 12 1)), así como el acceso de las víctimas a la documentación y demás</w:t>
      </w:r>
      <w:r>
        <w:rPr>
          <w:lang w:val="es-ES"/>
        </w:rPr>
        <w:t xml:space="preserve"> </w:t>
      </w:r>
      <w:r w:rsidRPr="00BD7855">
        <w:rPr>
          <w:lang w:val="es-ES"/>
        </w:rPr>
        <w:t>información pertinente a las investigaciones (art. 12 3) a)). Además, deben ofrecerse</w:t>
      </w:r>
      <w:r>
        <w:rPr>
          <w:lang w:val="es-ES"/>
        </w:rPr>
        <w:t xml:space="preserve"> </w:t>
      </w:r>
      <w:r w:rsidRPr="00BD7855">
        <w:rPr>
          <w:lang w:val="es-ES"/>
        </w:rPr>
        <w:t>garantías de que las personas sospechosas de haber cometido un delito de desaparición</w:t>
      </w:r>
      <w:r>
        <w:rPr>
          <w:lang w:val="es-ES"/>
        </w:rPr>
        <w:t xml:space="preserve"> </w:t>
      </w:r>
      <w:r w:rsidRPr="00BD7855">
        <w:rPr>
          <w:lang w:val="es-ES"/>
        </w:rPr>
        <w:t>forzada no estén en condiciones de influir en el curso de las investigaciones,</w:t>
      </w:r>
      <w:r>
        <w:rPr>
          <w:lang w:val="es-ES"/>
        </w:rPr>
        <w:t xml:space="preserve"> </w:t>
      </w:r>
      <w:r w:rsidRPr="00BD7855">
        <w:rPr>
          <w:lang w:val="es-ES"/>
        </w:rPr>
        <w:t>ejerciendo presiones y actos de intimidación o de represalia (art. 12 4)).</w:t>
      </w:r>
    </w:p>
    <w:p w14:paraId="2A46CBC6" w14:textId="77777777" w:rsidR="00BD7855" w:rsidRPr="00BD7855" w:rsidRDefault="00BD7855" w:rsidP="00BD7855">
      <w:pPr>
        <w:rPr>
          <w:lang w:val="es-ES"/>
        </w:rPr>
      </w:pPr>
    </w:p>
    <w:p w14:paraId="09B75F28" w14:textId="231A37AA" w:rsidR="00BD7855" w:rsidRDefault="00BD7855" w:rsidP="00BD7855">
      <w:pPr>
        <w:rPr>
          <w:lang w:val="es-ES"/>
        </w:rPr>
      </w:pPr>
      <w:r w:rsidRPr="00BD7855">
        <w:rPr>
          <w:lang w:val="es-ES"/>
        </w:rPr>
        <w:t>4. La Convención también requiere que toda persona sometida a juicio por un delito</w:t>
      </w:r>
      <w:r>
        <w:rPr>
          <w:lang w:val="es-ES"/>
        </w:rPr>
        <w:t xml:space="preserve"> </w:t>
      </w:r>
      <w:r w:rsidRPr="00BD7855">
        <w:rPr>
          <w:lang w:val="es-ES"/>
        </w:rPr>
        <w:t>de desaparición forzada goce de un juicio justo ante un tribunal de justicia competente,</w:t>
      </w:r>
      <w:r>
        <w:rPr>
          <w:lang w:val="es-ES"/>
        </w:rPr>
        <w:t xml:space="preserve"> </w:t>
      </w:r>
      <w:r w:rsidRPr="00BD7855">
        <w:rPr>
          <w:lang w:val="es-ES"/>
        </w:rPr>
        <w:t>independiente e imparcial, establecido por la ley (art. 11 3)).</w:t>
      </w:r>
    </w:p>
    <w:p w14:paraId="3FD62EFA" w14:textId="77777777" w:rsidR="00BD7855" w:rsidRPr="00BD7855" w:rsidRDefault="00BD7855" w:rsidP="00BD7855">
      <w:pPr>
        <w:rPr>
          <w:lang w:val="es-ES"/>
        </w:rPr>
      </w:pPr>
    </w:p>
    <w:p w14:paraId="79FE50AF" w14:textId="3DE395D9" w:rsidR="00BD7855" w:rsidRDefault="00BD7855" w:rsidP="00BD7855">
      <w:pPr>
        <w:rPr>
          <w:lang w:val="es-ES"/>
        </w:rPr>
      </w:pPr>
      <w:r w:rsidRPr="00BD7855">
        <w:rPr>
          <w:lang w:val="es-ES"/>
        </w:rPr>
        <w:t>5. Al abordar las disposiciones de la Convención, y a fin de garantizar un juicio</w:t>
      </w:r>
      <w:r>
        <w:rPr>
          <w:lang w:val="es-ES"/>
        </w:rPr>
        <w:t xml:space="preserve"> </w:t>
      </w:r>
      <w:r w:rsidRPr="00BD7855">
        <w:rPr>
          <w:lang w:val="es-ES"/>
        </w:rPr>
        <w:t>justo ante un tribunal independiente e imparcial, el Comité ha recomendado en sus</w:t>
      </w:r>
      <w:r>
        <w:rPr>
          <w:lang w:val="es-ES"/>
        </w:rPr>
        <w:t xml:space="preserve"> </w:t>
      </w:r>
      <w:r w:rsidRPr="00BD7855">
        <w:rPr>
          <w:lang w:val="es-ES"/>
        </w:rPr>
        <w:t xml:space="preserve">observaciones finales a los </w:t>
      </w:r>
      <w:proofErr w:type="gramStart"/>
      <w:r w:rsidRPr="00BD7855">
        <w:rPr>
          <w:lang w:val="es-ES"/>
        </w:rPr>
        <w:t>Estados partes</w:t>
      </w:r>
      <w:proofErr w:type="gramEnd"/>
      <w:r w:rsidRPr="00BD7855">
        <w:rPr>
          <w:lang w:val="es-ES"/>
        </w:rPr>
        <w:t>, según ha resultado procedente, que todos</w:t>
      </w:r>
      <w:r>
        <w:rPr>
          <w:lang w:val="es-ES"/>
        </w:rPr>
        <w:t xml:space="preserve"> </w:t>
      </w:r>
      <w:r w:rsidRPr="00BD7855">
        <w:rPr>
          <w:lang w:val="es-ES"/>
        </w:rPr>
        <w:t>los casos de desaparición forzada queden excluidos expresamente de la competencia</w:t>
      </w:r>
      <w:r>
        <w:rPr>
          <w:lang w:val="es-ES"/>
        </w:rPr>
        <w:t xml:space="preserve"> </w:t>
      </w:r>
      <w:r w:rsidRPr="00BD7855">
        <w:rPr>
          <w:lang w:val="es-ES"/>
        </w:rPr>
        <w:t>de los tribunales militares y sean investigados y procesados por autoridades civiles o</w:t>
      </w:r>
      <w:r>
        <w:rPr>
          <w:lang w:val="es-ES"/>
        </w:rPr>
        <w:t xml:space="preserve"> </w:t>
      </w:r>
      <w:r w:rsidRPr="00BD7855">
        <w:rPr>
          <w:lang w:val="es-ES"/>
        </w:rPr>
        <w:t>bajo el control de estas, y que solo sean juzgados por tribunales ordinarios.</w:t>
      </w:r>
    </w:p>
    <w:p w14:paraId="5EF8728F" w14:textId="77777777" w:rsidR="00BD7855" w:rsidRPr="00BD7855" w:rsidRDefault="00BD7855" w:rsidP="00BD7855">
      <w:pPr>
        <w:rPr>
          <w:lang w:val="es-ES"/>
        </w:rPr>
      </w:pPr>
    </w:p>
    <w:p w14:paraId="19797FC2" w14:textId="158F84ED" w:rsidR="00BD7855" w:rsidRDefault="00BD7855" w:rsidP="00BD7855">
      <w:pPr>
        <w:rPr>
          <w:lang w:val="es-ES"/>
        </w:rPr>
      </w:pPr>
      <w:r w:rsidRPr="00BD7855">
        <w:rPr>
          <w:lang w:val="es-ES"/>
        </w:rPr>
        <w:t>6. El Comité toma nota de la práctica de otros órganos establecidos en virtud de</w:t>
      </w:r>
      <w:r>
        <w:rPr>
          <w:lang w:val="es-ES"/>
        </w:rPr>
        <w:t xml:space="preserve"> </w:t>
      </w:r>
      <w:r w:rsidRPr="00BD7855">
        <w:rPr>
          <w:lang w:val="es-ES"/>
        </w:rPr>
        <w:t>tratados de derechos humanos, en particular el Comité de Derechos Humanos, al</w:t>
      </w:r>
      <w:r>
        <w:rPr>
          <w:lang w:val="es-ES"/>
        </w:rPr>
        <w:t xml:space="preserve"> </w:t>
      </w:r>
      <w:r w:rsidRPr="00BD7855">
        <w:rPr>
          <w:lang w:val="es-ES"/>
        </w:rPr>
        <w:t>considerar la función desempeñada por los tribunales militares (en términos judiciales</w:t>
      </w:r>
      <w:r>
        <w:rPr>
          <w:lang w:val="es-ES"/>
        </w:rPr>
        <w:t xml:space="preserve"> </w:t>
      </w:r>
      <w:r w:rsidRPr="00BD7855">
        <w:rPr>
          <w:lang w:val="es-ES"/>
        </w:rPr>
        <w:t>o de competencia) en lo referente a los enjuiciamientos en caso de violaciones graves</w:t>
      </w:r>
      <w:r>
        <w:rPr>
          <w:lang w:val="es-ES"/>
        </w:rPr>
        <w:t xml:space="preserve"> </w:t>
      </w:r>
      <w:r w:rsidRPr="00BD7855">
        <w:rPr>
          <w:lang w:val="es-ES"/>
        </w:rPr>
        <w:t>de los derechos humanos.</w:t>
      </w:r>
    </w:p>
    <w:p w14:paraId="3DEB2DF9" w14:textId="77777777" w:rsidR="00BD7855" w:rsidRPr="00BD7855" w:rsidRDefault="00BD7855" w:rsidP="00BD7855">
      <w:pPr>
        <w:rPr>
          <w:lang w:val="es-ES"/>
        </w:rPr>
      </w:pPr>
    </w:p>
    <w:p w14:paraId="728F2BB3" w14:textId="339F7AB8" w:rsidR="00BD7855" w:rsidRPr="00BD7855" w:rsidRDefault="00BD7855" w:rsidP="00BD7855">
      <w:pPr>
        <w:rPr>
          <w:lang w:val="es-ES"/>
        </w:rPr>
      </w:pPr>
      <w:r w:rsidRPr="00BD7855">
        <w:rPr>
          <w:lang w:val="es-ES"/>
        </w:rPr>
        <w:t>7. El Comité tiene en cuenta la Declaración sobre la Protección de Todas las</w:t>
      </w:r>
      <w:r>
        <w:rPr>
          <w:lang w:val="es-ES"/>
        </w:rPr>
        <w:t xml:space="preserve"> </w:t>
      </w:r>
      <w:r w:rsidRPr="00BD7855">
        <w:rPr>
          <w:lang w:val="es-ES"/>
        </w:rPr>
        <w:t>Personas contra las Desapariciones Forzadas, en particular su artículo 14, y tiene</w:t>
      </w:r>
      <w:r>
        <w:rPr>
          <w:lang w:val="es-ES"/>
        </w:rPr>
        <w:t xml:space="preserve"> </w:t>
      </w:r>
      <w:r w:rsidRPr="00BD7855">
        <w:rPr>
          <w:lang w:val="es-ES"/>
        </w:rPr>
        <w:t>presente la posición adoptada por el Grupo de Trabajo sobre las Desapariciones</w:t>
      </w:r>
      <w:r>
        <w:rPr>
          <w:lang w:val="es-ES"/>
        </w:rPr>
        <w:t xml:space="preserve"> </w:t>
      </w:r>
      <w:r w:rsidRPr="00BD7855">
        <w:rPr>
          <w:lang w:val="es-ES"/>
        </w:rPr>
        <w:t>Forzadas o Involuntarias del Consejo de Derechos Humanos en ese sentido.</w:t>
      </w:r>
    </w:p>
    <w:p w14:paraId="7402D3DC" w14:textId="77777777" w:rsidR="00BD7855" w:rsidRDefault="00BD7855" w:rsidP="00BD7855">
      <w:pPr>
        <w:rPr>
          <w:lang w:val="es-ES"/>
        </w:rPr>
      </w:pPr>
    </w:p>
    <w:p w14:paraId="1AC56B3B" w14:textId="1BE990C7" w:rsidR="00BD7855" w:rsidRDefault="00BD7855" w:rsidP="00BD7855">
      <w:pPr>
        <w:rPr>
          <w:lang w:val="es-ES"/>
        </w:rPr>
      </w:pPr>
      <w:r w:rsidRPr="00BD7855">
        <w:rPr>
          <w:lang w:val="es-ES"/>
        </w:rPr>
        <w:t>8. El Comité es consciente de las otras novedades en el ámbito del derecho</w:t>
      </w:r>
      <w:r>
        <w:rPr>
          <w:lang w:val="es-ES"/>
        </w:rPr>
        <w:t xml:space="preserve"> </w:t>
      </w:r>
      <w:r w:rsidRPr="00BD7855">
        <w:rPr>
          <w:lang w:val="es-ES"/>
        </w:rPr>
        <w:t>internacional, en particular la Convención Interamericana sobre Desaparición Forzada</w:t>
      </w:r>
      <w:r>
        <w:rPr>
          <w:lang w:val="es-ES"/>
        </w:rPr>
        <w:t xml:space="preserve"> </w:t>
      </w:r>
      <w:r w:rsidRPr="00BD7855">
        <w:rPr>
          <w:lang w:val="es-ES"/>
        </w:rPr>
        <w:t>de Personas (artículo IX), que dispone que: "[l]os presuntos responsables de los</w:t>
      </w:r>
      <w:r>
        <w:rPr>
          <w:lang w:val="es-ES"/>
        </w:rPr>
        <w:t xml:space="preserve"> </w:t>
      </w:r>
      <w:r w:rsidRPr="00BD7855">
        <w:rPr>
          <w:lang w:val="es-ES"/>
        </w:rPr>
        <w:t>hechos constitutivos del delito de desaparición forzada de personas solo podrán ser</w:t>
      </w:r>
      <w:r>
        <w:rPr>
          <w:lang w:val="es-ES"/>
        </w:rPr>
        <w:t xml:space="preserve"> </w:t>
      </w:r>
      <w:r w:rsidRPr="00BD7855">
        <w:rPr>
          <w:lang w:val="es-ES"/>
        </w:rPr>
        <w:t>juzgados por las jurisdicciones de derecho común competentes en cada Estado, con</w:t>
      </w:r>
      <w:r>
        <w:rPr>
          <w:lang w:val="es-ES"/>
        </w:rPr>
        <w:t xml:space="preserve"> </w:t>
      </w:r>
      <w:r w:rsidRPr="00BD7855">
        <w:rPr>
          <w:lang w:val="es-ES"/>
        </w:rPr>
        <w:t>exclusión de toda jurisdicción especial, en particular la militar".</w:t>
      </w:r>
    </w:p>
    <w:p w14:paraId="6A63DE29" w14:textId="77777777" w:rsidR="00BD7855" w:rsidRPr="00BD7855" w:rsidRDefault="00BD7855" w:rsidP="00BD7855">
      <w:pPr>
        <w:rPr>
          <w:lang w:val="es-ES"/>
        </w:rPr>
      </w:pPr>
    </w:p>
    <w:p w14:paraId="72D91AA5" w14:textId="1E3F51DE" w:rsidR="00BD7855" w:rsidRDefault="00BD7855" w:rsidP="00BD7855">
      <w:pPr>
        <w:rPr>
          <w:lang w:val="es-ES"/>
        </w:rPr>
      </w:pPr>
      <w:r w:rsidRPr="00BD7855">
        <w:rPr>
          <w:lang w:val="es-ES"/>
        </w:rPr>
        <w:t>9. El Comité tiene presente asimismo el conjunto de principios actualizado para la</w:t>
      </w:r>
      <w:r>
        <w:rPr>
          <w:lang w:val="es-ES"/>
        </w:rPr>
        <w:t xml:space="preserve"> </w:t>
      </w:r>
      <w:r w:rsidRPr="00BD7855">
        <w:rPr>
          <w:lang w:val="es-ES"/>
        </w:rPr>
        <w:t>protección y la promoción de los derechos humanos mediante la lucha contra la</w:t>
      </w:r>
      <w:r>
        <w:rPr>
          <w:lang w:val="es-ES"/>
        </w:rPr>
        <w:t xml:space="preserve"> </w:t>
      </w:r>
      <w:r w:rsidRPr="00BD7855">
        <w:rPr>
          <w:lang w:val="es-ES"/>
        </w:rPr>
        <w:t>impunidad (E/CN.4/2005/102/Add.1, Principio 29), en el que la competencia de los</w:t>
      </w:r>
      <w:r w:rsidR="004F318A">
        <w:rPr>
          <w:lang w:val="es-ES"/>
        </w:rPr>
        <w:t xml:space="preserve"> </w:t>
      </w:r>
      <w:r w:rsidRPr="00BD7855">
        <w:rPr>
          <w:lang w:val="es-ES"/>
        </w:rPr>
        <w:t>tribunales militares se limita a las infracciones de carácter específicamente militar</w:t>
      </w:r>
      <w:r w:rsidR="004F318A">
        <w:rPr>
          <w:lang w:val="es-ES"/>
        </w:rPr>
        <w:t xml:space="preserve"> </w:t>
      </w:r>
      <w:r w:rsidRPr="00BD7855">
        <w:rPr>
          <w:lang w:val="es-ES"/>
        </w:rPr>
        <w:t>cometidas por militares, con exclusión de las violaciones de los derechos humanos, y</w:t>
      </w:r>
      <w:r w:rsidR="004F318A">
        <w:rPr>
          <w:lang w:val="es-ES"/>
        </w:rPr>
        <w:t xml:space="preserve"> </w:t>
      </w:r>
      <w:r w:rsidRPr="00BD7855">
        <w:rPr>
          <w:lang w:val="es-ES"/>
        </w:rPr>
        <w:t>el proyecto de principios sobre la administración de justicia por los tribunales</w:t>
      </w:r>
      <w:r w:rsidR="004F318A">
        <w:rPr>
          <w:lang w:val="es-ES"/>
        </w:rPr>
        <w:t xml:space="preserve"> </w:t>
      </w:r>
      <w:r w:rsidRPr="00BD7855">
        <w:rPr>
          <w:lang w:val="es-ES"/>
        </w:rPr>
        <w:t>militares de la Subcomisión de Promoción y Protección de los Derechos Humanos</w:t>
      </w:r>
      <w:r w:rsidR="004F318A">
        <w:rPr>
          <w:lang w:val="es-ES"/>
        </w:rPr>
        <w:t xml:space="preserve"> </w:t>
      </w:r>
      <w:r w:rsidRPr="00BD7855">
        <w:rPr>
          <w:lang w:val="es-ES"/>
        </w:rPr>
        <w:t>(E/CN.4/2006/58, Principio 9), en el que se establece que la competencia de los</w:t>
      </w:r>
      <w:r w:rsidR="004F318A">
        <w:rPr>
          <w:lang w:val="es-ES"/>
        </w:rPr>
        <w:t xml:space="preserve"> </w:t>
      </w:r>
      <w:r w:rsidRPr="00BD7855">
        <w:rPr>
          <w:lang w:val="es-ES"/>
        </w:rPr>
        <w:t>órganos judiciales militares debería excluirse en favor de la de los tribunales de</w:t>
      </w:r>
      <w:r w:rsidR="004F318A">
        <w:rPr>
          <w:lang w:val="es-ES"/>
        </w:rPr>
        <w:t xml:space="preserve"> </w:t>
      </w:r>
      <w:r w:rsidRPr="00BD7855">
        <w:rPr>
          <w:lang w:val="es-ES"/>
        </w:rPr>
        <w:t>justicia ordinarios para instruir diligencias sobre violaciones graves de los derechos</w:t>
      </w:r>
      <w:r w:rsidR="004F318A">
        <w:rPr>
          <w:lang w:val="es-ES"/>
        </w:rPr>
        <w:t xml:space="preserve"> </w:t>
      </w:r>
      <w:r w:rsidRPr="00BD7855">
        <w:rPr>
          <w:lang w:val="es-ES"/>
        </w:rPr>
        <w:t>humanos, como las desapariciones forzadas, y para perseguir y juzgar a los autores de</w:t>
      </w:r>
      <w:r w:rsidR="004F318A">
        <w:rPr>
          <w:lang w:val="es-ES"/>
        </w:rPr>
        <w:t xml:space="preserve"> </w:t>
      </w:r>
      <w:r w:rsidRPr="00BD7855">
        <w:rPr>
          <w:lang w:val="es-ES"/>
        </w:rPr>
        <w:t>esos crímenes.</w:t>
      </w:r>
    </w:p>
    <w:p w14:paraId="7E347DB2" w14:textId="77777777" w:rsidR="004F318A" w:rsidRPr="00BD7855" w:rsidRDefault="004F318A" w:rsidP="00BD7855">
      <w:pPr>
        <w:rPr>
          <w:lang w:val="es-ES"/>
        </w:rPr>
      </w:pPr>
    </w:p>
    <w:p w14:paraId="54ABDC9C" w14:textId="44E2FA49" w:rsidR="00446FE5" w:rsidRPr="004F318A" w:rsidRDefault="00BD7855" w:rsidP="00BD7855">
      <w:pPr>
        <w:rPr>
          <w:lang w:val="es-ES"/>
        </w:rPr>
      </w:pPr>
      <w:r w:rsidRPr="00BD7855">
        <w:rPr>
          <w:lang w:val="es-ES"/>
        </w:rPr>
        <w:t>10. Teniendo en cuenta las disposiciones de la Convención y la evolución progresiva</w:t>
      </w:r>
      <w:r w:rsidR="004F318A">
        <w:rPr>
          <w:lang w:val="es-ES"/>
        </w:rPr>
        <w:t xml:space="preserve"> </w:t>
      </w:r>
      <w:r w:rsidRPr="00BD7855">
        <w:rPr>
          <w:lang w:val="es-ES"/>
        </w:rPr>
        <w:t>del derecho internacional en el sentido de garantizar la congruencia en la aplicación de</w:t>
      </w:r>
      <w:r w:rsidR="004F318A">
        <w:rPr>
          <w:lang w:val="es-ES"/>
        </w:rPr>
        <w:t xml:space="preserve"> </w:t>
      </w:r>
      <w:r w:rsidRPr="00BD7855">
        <w:rPr>
          <w:lang w:val="es-ES"/>
        </w:rPr>
        <w:t>las normas internacionales, el Comité reafirma que la competencia militar debería</w:t>
      </w:r>
      <w:r w:rsidR="004F318A">
        <w:rPr>
          <w:lang w:val="es-ES"/>
        </w:rPr>
        <w:t xml:space="preserve"> </w:t>
      </w:r>
      <w:r w:rsidRPr="00BD7855">
        <w:rPr>
          <w:lang w:val="es-ES"/>
        </w:rPr>
        <w:t>quedar excluida en casos de violaciones graves de los derechos humanos, entre ellas</w:t>
      </w:r>
      <w:r w:rsidR="004F318A">
        <w:rPr>
          <w:lang w:val="es-ES"/>
        </w:rPr>
        <w:t xml:space="preserve"> </w:t>
      </w:r>
      <w:r w:rsidRPr="004F318A">
        <w:rPr>
          <w:lang w:val="es-ES"/>
        </w:rPr>
        <w:t>las desapariciones forzadas.</w:t>
      </w:r>
    </w:p>
    <w:sectPr w:rsidR="00446FE5" w:rsidRPr="004F318A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5265D2" w14:textId="77777777" w:rsidR="005A3E1B" w:rsidRDefault="005A3E1B" w:rsidP="00F95C08"/>
  </w:endnote>
  <w:endnote w:type="continuationSeparator" w:id="0">
    <w:p w14:paraId="3CFC18CB" w14:textId="77777777" w:rsidR="005A3E1B" w:rsidRPr="00AC3823" w:rsidRDefault="005A3E1B" w:rsidP="00AC3823">
      <w:pPr>
        <w:pStyle w:val="Footer"/>
      </w:pPr>
    </w:p>
  </w:endnote>
  <w:endnote w:type="continuationNotice" w:id="1">
    <w:p w14:paraId="4DDA1400" w14:textId="77777777" w:rsidR="005A3E1B" w:rsidRDefault="005A3E1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3B3B31" w14:textId="77777777" w:rsidR="005A3E1B" w:rsidRPr="00AC3823" w:rsidRDefault="005A3E1B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E5BAA8E" w14:textId="77777777" w:rsidR="005A3E1B" w:rsidRPr="00AC3823" w:rsidRDefault="005A3E1B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7C65A67D" w14:textId="77777777" w:rsidR="005A3E1B" w:rsidRPr="00AC3823" w:rsidRDefault="005A3E1B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9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E1B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D1CEB"/>
    <w:rsid w:val="004F318A"/>
    <w:rsid w:val="005505B7"/>
    <w:rsid w:val="005706C8"/>
    <w:rsid w:val="00573BE5"/>
    <w:rsid w:val="00586ED3"/>
    <w:rsid w:val="00596AA9"/>
    <w:rsid w:val="005A3E1B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D7855"/>
    <w:rsid w:val="00BE1F4C"/>
    <w:rsid w:val="00BE4745"/>
    <w:rsid w:val="00BF3C2C"/>
    <w:rsid w:val="00C02897"/>
    <w:rsid w:val="00CF3AE1"/>
    <w:rsid w:val="00D3439C"/>
    <w:rsid w:val="00D40AEB"/>
    <w:rsid w:val="00D73742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303B07"/>
  <w15:chartTrackingRefBased/>
  <w15:docId w15:val="{23133298-D57E-4710-9F3A-2A19E8AEC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7c5c3bbcefacea7b362fddce4151d4e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2D9F66-CBF3-48F2-812F-3998E146A58B}"/>
</file>

<file path=customXml/itemProps2.xml><?xml version="1.0" encoding="utf-8"?>
<ds:datastoreItem xmlns:ds="http://schemas.openxmlformats.org/officeDocument/2006/customXml" ds:itemID="{0418A124-E261-46DE-BE49-E48684A46BD8}"/>
</file>

<file path=customXml/itemProps3.xml><?xml version="1.0" encoding="utf-8"?>
<ds:datastoreItem xmlns:ds="http://schemas.openxmlformats.org/officeDocument/2006/customXml" ds:itemID="{1C8E18EA-C764-4B20-AB65-6D572881199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787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5267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Perrine Deja</dc:creator>
  <cp:keywords/>
  <dc:description/>
  <cp:lastModifiedBy>Perrine Deja</cp:lastModifiedBy>
  <cp:revision>2</cp:revision>
  <cp:lastPrinted>2014-05-14T10:59:00Z</cp:lastPrinted>
  <dcterms:created xsi:type="dcterms:W3CDTF">2022-01-14T10:06:00Z</dcterms:created>
  <dcterms:modified xsi:type="dcterms:W3CDTF">2022-01-14T10:06:00Z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0x01010018E76F2209421842A1575431D230AEB4</vt:lpwstr>
  </property>
</Properties>
</file>