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Document.xml" ContentType="application/vnd.openxmlformats-officedocument.wordprocessingml.commentsExtended+xml"/>
  <Override PartName="/word/commentsDocument.xml" ContentType="application/vnd.openxmlformats-officedocument.wordprocessingml.comments+xml"/>
  <Override PartName="/word/peopleDocument.xml" ContentType="application/vnd.openxmlformats-officedocument.wordprocessingml.people+xml"/>
  <Override PartName="/word/commentsIdsDocument.xml" ContentType="application/vnd.openxmlformats-officedocument.wordprocessingml.commentsIds+xml"/>
  <Override PartName="/word/commentsExtensibleDocument.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459F" w:rsidRDefault="00F96166">
      <w:pPr>
        <w:spacing w:line="276"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bookmarkStart w:id="0" w:name="_GoBack"/>
      <w:bookmarkEnd w:id="0"/>
    </w:p>
    <w:p w:rsidR="0060459F" w:rsidRDefault="0060459F">
      <w:pPr>
        <w:spacing w:line="276" w:lineRule="auto"/>
        <w:rPr>
          <w:rFonts w:ascii="Times New Roman" w:hAnsi="Times New Roman" w:cs="Times New Roman"/>
        </w:rPr>
      </w:pPr>
    </w:p>
    <w:p w:rsidR="0060459F" w:rsidRDefault="0060459F">
      <w:pPr>
        <w:spacing w:line="276" w:lineRule="auto"/>
        <w:rPr>
          <w:rFonts w:ascii="Times New Roman" w:hAnsi="Times New Roman" w:cs="Times New Roman"/>
          <w:b/>
          <w:bCs/>
          <w:color w:val="361F5C"/>
          <w:sz w:val="72"/>
          <w:szCs w:val="72"/>
        </w:rPr>
      </w:pPr>
    </w:p>
    <w:p w:rsidR="0060459F" w:rsidRDefault="0060459F">
      <w:pPr>
        <w:spacing w:line="276" w:lineRule="auto"/>
        <w:rPr>
          <w:rFonts w:ascii="Times New Roman" w:hAnsi="Times New Roman" w:cs="Times New Roman"/>
          <w:b/>
          <w:bCs/>
          <w:color w:val="361F5C"/>
          <w:sz w:val="72"/>
          <w:szCs w:val="72"/>
        </w:rPr>
      </w:pPr>
    </w:p>
    <w:p w:rsidR="0060459F" w:rsidRDefault="00F96166">
      <w:pPr>
        <w:spacing w:line="276" w:lineRule="auto"/>
        <w:rPr>
          <w:rFonts w:ascii="Times New Roman" w:hAnsi="Times New Roman" w:cs="Times New Roman"/>
          <w:b/>
          <w:bCs/>
          <w:color w:val="543192"/>
          <w:sz w:val="72"/>
          <w:szCs w:val="72"/>
        </w:rPr>
      </w:pPr>
      <w:r>
        <w:rPr>
          <w:rFonts w:ascii="Times New Roman" w:hAnsi="Times New Roman" w:cs="Times New Roman"/>
          <w:b/>
          <w:bCs/>
          <w:color w:val="543192"/>
          <w:sz w:val="72"/>
          <w:szCs w:val="72"/>
        </w:rPr>
        <w:t>United Arab Emirates</w:t>
      </w:r>
    </w:p>
    <w:p w:rsidR="0060459F" w:rsidRDefault="00F96166">
      <w:pPr>
        <w:spacing w:line="276" w:lineRule="auto"/>
        <w:rPr>
          <w:rFonts w:ascii="Times New Roman" w:hAnsi="Times New Roman" w:cs="Times New Roman"/>
          <w:b/>
          <w:bCs/>
          <w:color w:val="555656"/>
          <w:sz w:val="52"/>
          <w:szCs w:val="52"/>
        </w:rPr>
      </w:pPr>
      <w:r>
        <w:rPr>
          <w:rFonts w:ascii="Times New Roman" w:hAnsi="Times New Roman" w:cs="Times New Roman"/>
          <w:b/>
          <w:bCs/>
          <w:color w:val="555656"/>
          <w:sz w:val="52"/>
          <w:szCs w:val="52"/>
        </w:rPr>
        <w:t>Alternative Report</w:t>
      </w:r>
    </w:p>
    <w:p w:rsidR="0060459F" w:rsidRDefault="0060459F">
      <w:pPr>
        <w:spacing w:line="276" w:lineRule="auto"/>
        <w:rPr>
          <w:rFonts w:ascii="Times New Roman" w:hAnsi="Times New Roman" w:cs="Times New Roman"/>
          <w:color w:val="949494"/>
          <w:sz w:val="52"/>
          <w:szCs w:val="52"/>
        </w:rPr>
      </w:pPr>
    </w:p>
    <w:p w:rsidR="0060459F" w:rsidRDefault="00F96166">
      <w:pPr>
        <w:pStyle w:val="BasicParagraph"/>
        <w:spacing w:line="276" w:lineRule="auto"/>
        <w:rPr>
          <w:rFonts w:ascii="Times New Roman" w:hAnsi="Times New Roman" w:cs="Times New Roman"/>
          <w:i/>
          <w:iCs/>
          <w:color w:val="949494"/>
          <w:sz w:val="42"/>
          <w:szCs w:val="42"/>
        </w:rPr>
      </w:pPr>
      <w:r>
        <w:rPr>
          <w:rFonts w:ascii="Times New Roman" w:hAnsi="Times New Roman" w:cs="Times New Roman"/>
          <w:i/>
          <w:iCs/>
          <w:color w:val="949494"/>
          <w:sz w:val="40"/>
          <w:szCs w:val="40"/>
        </w:rPr>
        <w:t xml:space="preserve">Report submitted to the United Nations Committee against Torture in the context of the initial review of the United Arab Emirates </w:t>
      </w:r>
    </w:p>
    <w:p w:rsidR="0060459F" w:rsidRDefault="0060459F">
      <w:pPr>
        <w:spacing w:line="276" w:lineRule="auto"/>
        <w:rPr>
          <w:rFonts w:ascii="Times New Roman" w:hAnsi="Times New Roman" w:cs="Times New Roman"/>
          <w:color w:val="292929"/>
          <w:sz w:val="52"/>
          <w:szCs w:val="52"/>
        </w:rPr>
      </w:pPr>
    </w:p>
    <w:p w:rsidR="0060459F" w:rsidRDefault="00F96166">
      <w:pPr>
        <w:spacing w:line="276" w:lineRule="auto"/>
        <w:rPr>
          <w:rFonts w:ascii="Times New Roman" w:hAnsi="Times New Roman" w:cs="Times New Roman"/>
          <w:b/>
          <w:bCs/>
          <w:color w:val="555656"/>
          <w:sz w:val="48"/>
          <w:szCs w:val="48"/>
        </w:rPr>
      </w:pPr>
      <w:r>
        <w:rPr>
          <w:rFonts w:ascii="Times New Roman" w:hAnsi="Times New Roman" w:cs="Times New Roman"/>
          <w:b/>
          <w:bCs/>
          <w:color w:val="555656"/>
          <w:sz w:val="48"/>
          <w:szCs w:val="48"/>
        </w:rPr>
        <w:t>June 2022</w:t>
      </w:r>
    </w:p>
    <w:p w:rsidR="0060459F" w:rsidRDefault="0060459F">
      <w:pPr>
        <w:spacing w:line="276" w:lineRule="auto"/>
        <w:rPr>
          <w:rFonts w:ascii="Times New Roman" w:hAnsi="Times New Roman" w:cs="Times New Roman"/>
          <w:color w:val="292929"/>
          <w:sz w:val="52"/>
          <w:szCs w:val="52"/>
        </w:rPr>
      </w:pPr>
    </w:p>
    <w:p w:rsidR="0060459F" w:rsidRDefault="0060459F">
      <w:pPr>
        <w:spacing w:line="276" w:lineRule="auto"/>
        <w:rPr>
          <w:rFonts w:ascii="Times New Roman" w:hAnsi="Times New Roman" w:cs="Times New Roman"/>
          <w:color w:val="292929"/>
          <w:sz w:val="52"/>
          <w:szCs w:val="52"/>
        </w:rPr>
      </w:pPr>
    </w:p>
    <w:p w:rsidR="0060459F" w:rsidRDefault="00F96166">
      <w:pPr>
        <w:spacing w:line="276" w:lineRule="auto"/>
        <w:rPr>
          <w:rFonts w:ascii="Times New Roman" w:hAnsi="Times New Roman" w:cs="Times New Roman"/>
          <w:color w:val="292929"/>
          <w:sz w:val="52"/>
          <w:szCs w:val="52"/>
        </w:rPr>
      </w:pPr>
      <w:r>
        <w:rPr>
          <w:rFonts w:ascii="Times New Roman" w:hAnsi="Times New Roman" w:cs="Times New Roman"/>
          <w:noProof/>
          <w:lang w:val="fr-CH" w:eastAsia="fr-CH"/>
        </w:rPr>
        <mc:AlternateContent>
          <mc:Choice Requires="wps">
            <w:drawing>
              <wp:anchor distT="0" distB="0" distL="114300" distR="114300" simplePos="0" relativeHeight="251659264" behindDoc="0" locked="0" layoutInCell="1" allowOverlap="1">
                <wp:simplePos x="0" y="0"/>
                <wp:positionH relativeFrom="page">
                  <wp:posOffset>-323850</wp:posOffset>
                </wp:positionH>
                <wp:positionV relativeFrom="paragraph">
                  <wp:posOffset>547370</wp:posOffset>
                </wp:positionV>
                <wp:extent cx="7867650" cy="2085340"/>
                <wp:effectExtent l="0" t="0" r="19050" b="10160"/>
                <wp:wrapNone/>
                <wp:docPr id="6" name="Rectangle 10"/>
                <wp:cNvGraphicFramePr/>
                <a:graphic xmlns:a="http://schemas.openxmlformats.org/drawingml/2006/main">
                  <a:graphicData uri="http://schemas.microsoft.com/office/word/2010/wordprocessingShape">
                    <wps:wsp>
                      <wps:cNvSpPr/>
                      <wps:spPr bwMode="auto">
                        <a:xfrm>
                          <a:off x="0" y="0"/>
                          <a:ext cx="7867649" cy="2085340"/>
                        </a:xfrm>
                        <a:prstGeom prst="rect">
                          <a:avLst/>
                        </a:prstGeom>
                        <a:solidFill>
                          <a:srgbClr val="543192"/>
                        </a:solidFill>
                        <a:ln>
                          <a:solidFill>
                            <a:srgbClr val="543192"/>
                          </a:solidFill>
                          <a:miter/>
                        </a:ln>
                      </wps:spPr>
                      <wps:style>
                        <a:lnRef idx="2">
                          <a:schemeClr val="accent1">
                            <a:shade val="50000"/>
                          </a:schemeClr>
                        </a:lnRef>
                        <a:fillRef idx="1">
                          <a:schemeClr val="accent1"/>
                        </a:fillRef>
                        <a:effectRef idx="0">
                          <a:schemeClr val="accent1"/>
                        </a:effectRef>
                        <a:fontRef idx="minor">
                          <a:schemeClr val="lt1"/>
                        </a:fontRef>
                      </wps:style>
                      <wps:txbx>
                        <w:txbxContent>
                          <w:p w:rsidR="00F96166" w:rsidRDefault="00F96166">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o:spid="_x0000_s1026" style="position:absolute;margin-left:-25.5pt;margin-top:43.1pt;width:619.5pt;height:164.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euxrgIAANMFAAAOAAAAZHJzL2Uyb0RvYy54bWysVEtP3DAQvlfqf7B8L0mWZVkismgFoqpE&#10;AQEVZ69jbyz5Vdu7yfbXd+w8oBT1gJqD5cnMfDPzeWbOLzol0Z45L4yucHGUY8Q0NbXQ2wr/eLr+&#10;ssTIB6JrIo1mFT4wjy9Wnz+dt7ZkM9MYWTOHAET7srUVbkKwZZZ52jBF/JGxTIOSG6dIANFts9qR&#10;FtCVzGZ5vsha42rrDGXew9+rXolXCZ9zRsMd554FJCsMuYV0unRu4pmtzkm5dcQ2gg5pkA9koYjQ&#10;EHSCuiKBoJ0Tf0EpQZ3xhocjalRmOBeUpRqgmiJ/U81jQyxLtQA53k40+f8HS2/39w6JusILjDRR&#10;8EQPQBrRW8lQkfhprS/B7NHeO2ArSh6uaNN+NzWYk10wqfSOOxUpgKJQlxg+TAyzLiAKP0+Xi9PF&#10;/AwjCrpZvjw5nqcYGSlHd+t8+MqMQvFSYQfZJHiyv/EBEgDT0SRG80aK+lpImQS33VxKh/YEnvtk&#10;flyczeILg8sfZlJ/1FOJwCILgBhBspGNgZdwkCxCS/3AOLAKFc9S8qmf2ZQaoZTpUPSqhtRsyDiH&#10;b0w4TkD0GIIBYETmUOmEPQCMlj3IiN1nOdhHV5bGYXLO/5VY7zx5pMhGh8lZCW3cewASqhoi9/Yj&#10;ST01ka/QbTowideNqQ/QSs70c+ktvRbw6jfEh3viYBBhZGG5hDs4uDRthc1ww6gx7td7/6M9zAdo&#10;MWphsCvsf+6IYxjJbxom56yYQ8+hkIT5yekMBPdas3mt0Tt1aaCZClhjlqZrtA9yvHJn1DPsoHWM&#10;CiqiKcSuMA1uFC5Dv3Bgi1G2XiczmH5Lwo1+tDSCR4JjVz91z8TZofUDTM2tGZcAKd9MQG8bPbVZ&#10;wxBykcbjhdeBetgcqYeGLRdX02s5Wb3s4tVvAAAA//8DAFBLAwQUAAYACAAAACEAw0E61eEAAAAL&#10;AQAADwAAAGRycy9kb3ducmV2LnhtbEyPwU7DMBBE70j8g7VI3Fo7pY2ikE0FCE5QIgqHcnOTxYmI&#10;11HstuHvcU9wnJ3R7JtiPdleHGn0nWOEZK5AENeu6dggfLw/zTIQPmhudO+YEH7Iw7q8vCh03rgT&#10;v9FxG4yIJexzjdCGMORS+rolq/3cDcTR+3Kj1SHK0chm1KdYbnu5UCqVVnccP7R6oIeW6u/twSJ8&#10;vqS7141ZmZtqo+531qjnqnpEvL6a7m5BBJrCXxjO+BEdysi0dwduvOgRZqskbgkIWboAcQ4kWRYv&#10;e4RlskxBloX8v6H8BQAA//8DAFBLAQItABQABgAIAAAAIQC2gziS/gAAAOEBAAATAAAAAAAAAAAA&#10;AAAAAAAAAABbQ29udGVudF9UeXBlc10ueG1sUEsBAi0AFAAGAAgAAAAhADj9If/WAAAAlAEAAAsA&#10;AAAAAAAAAAAAAAAALwEAAF9yZWxzLy5yZWxzUEsBAi0AFAAGAAgAAAAhAOo567GuAgAA0wUAAA4A&#10;AAAAAAAAAAAAAAAALgIAAGRycy9lMm9Eb2MueG1sUEsBAi0AFAAGAAgAAAAhAMNBOtXhAAAACwEA&#10;AA8AAAAAAAAAAAAAAAAACAUAAGRycy9kb3ducmV2LnhtbFBLBQYAAAAABAAEAPMAAAAWBgAAAAA=&#10;" fillcolor="#543192" strokecolor="#543192" strokeweight="1pt">
                <v:textbox>
                  <w:txbxContent>
                    <w:p w:rsidR="00F96166" w:rsidRDefault="00F96166">
                      <w:pPr>
                        <w:rPr>
                          <w:lang w:val="en-US"/>
                        </w:rPr>
                      </w:pPr>
                    </w:p>
                  </w:txbxContent>
                </v:textbox>
                <w10:wrap anchorx="page"/>
              </v:rect>
            </w:pict>
          </mc:Fallback>
        </mc:AlternateContent>
      </w:r>
    </w:p>
    <w:p w:rsidR="0060459F" w:rsidRDefault="0060459F">
      <w:pPr>
        <w:pStyle w:val="Title"/>
        <w:rPr>
          <w:rFonts w:ascii="Times New Roman" w:eastAsiaTheme="minorHAnsi" w:hAnsi="Times New Roman" w:cs="Times New Roman"/>
          <w:color w:val="292929"/>
          <w:spacing w:val="0"/>
          <w:sz w:val="52"/>
          <w:szCs w:val="52"/>
          <w:shd w:val="clear" w:color="auto" w:fill="auto"/>
        </w:rPr>
      </w:pPr>
    </w:p>
    <w:p w:rsidR="0060459F" w:rsidRDefault="0060459F">
      <w:pPr>
        <w:pStyle w:val="Title"/>
        <w:rPr>
          <w:rFonts w:ascii="Times New Roman" w:hAnsi="Times New Roman" w:cs="Times New Roman"/>
          <w:sz w:val="44"/>
          <w:szCs w:val="44"/>
        </w:rPr>
      </w:pPr>
    </w:p>
    <w:sdt>
      <w:sdtPr>
        <w:rPr>
          <w:rStyle w:val="Strong"/>
          <w:rFonts w:ascii="Times New Roman" w:eastAsiaTheme="minorHAnsi" w:hAnsi="Times New Roman" w:cs="Times New Roman"/>
          <w:color w:val="auto"/>
          <w:spacing w:val="0"/>
          <w:sz w:val="48"/>
          <w:szCs w:val="48"/>
          <w:shd w:val="clear" w:color="auto" w:fill="auto"/>
        </w:rPr>
        <w:id w:val="-1827118391"/>
        <w:docPartObj>
          <w:docPartGallery w:val="Table of Contents"/>
          <w:docPartUnique/>
        </w:docPartObj>
      </w:sdtPr>
      <w:sdtContent>
        <w:p w:rsidR="0060459F" w:rsidRDefault="00F96166">
          <w:pPr>
            <w:pStyle w:val="Title"/>
            <w:rPr>
              <w:rStyle w:val="Strong"/>
              <w:rFonts w:ascii="Times New Roman" w:hAnsi="Times New Roman" w:cs="Times New Roman"/>
              <w:sz w:val="48"/>
              <w:szCs w:val="48"/>
            </w:rPr>
          </w:pPr>
          <w:r>
            <w:rPr>
              <w:rStyle w:val="Strong"/>
              <w:rFonts w:ascii="Times New Roman" w:eastAsiaTheme="minorHAnsi" w:hAnsi="Times New Roman" w:cs="Times New Roman"/>
              <w:sz w:val="48"/>
              <w:szCs w:val="48"/>
            </w:rPr>
            <w:t>Table of Contents</w:t>
          </w:r>
        </w:p>
        <w:p w:rsidR="0060459F" w:rsidRDefault="0060459F">
          <w:pPr>
            <w:rPr>
              <w:rFonts w:ascii="Times New Roman" w:hAnsi="Times New Roman" w:cs="Times New Roman"/>
            </w:rPr>
          </w:pPr>
        </w:p>
        <w:p w:rsidR="0060459F" w:rsidRDefault="00F96166">
          <w:pPr>
            <w:pStyle w:val="TOC1"/>
            <w:tabs>
              <w:tab w:val="left" w:pos="440"/>
              <w:tab w:val="right" w:leader="dot" w:pos="9060"/>
            </w:tabs>
            <w:rPr>
              <w:rFonts w:ascii="Times New Roman" w:eastAsiaTheme="minorEastAsia" w:hAnsi="Times New Roman" w:cs="Times New Roman"/>
              <w:sz w:val="24"/>
              <w:szCs w:val="24"/>
              <w:lang w:eastAsia="en-GB"/>
            </w:rPr>
          </w:pPr>
          <w:r>
            <w:rPr>
              <w:rFonts w:ascii="Times New Roman" w:hAnsi="Times New Roman" w:cs="Times New Roman"/>
              <w:b/>
              <w:bCs/>
            </w:rPr>
            <w:fldChar w:fldCharType="begin"/>
          </w:r>
          <w:r>
            <w:rPr>
              <w:rFonts w:ascii="Times New Roman" w:hAnsi="Times New Roman" w:cs="Times New Roman"/>
              <w:b/>
              <w:bCs/>
            </w:rPr>
            <w:instrText xml:space="preserve"> TOC \o "1-3" \h \z \u </w:instrText>
          </w:r>
          <w:r>
            <w:rPr>
              <w:rFonts w:ascii="Times New Roman" w:hAnsi="Times New Roman" w:cs="Times New Roman"/>
              <w:b/>
              <w:bCs/>
            </w:rPr>
            <w:fldChar w:fldCharType="separate"/>
          </w:r>
          <w:hyperlink w:anchor="_Toc103273034" w:tooltip="#_Toc103273034" w:history="1">
            <w:r>
              <w:rPr>
                <w:rStyle w:val="Hyperlink"/>
                <w:rFonts w:ascii="Times New Roman" w:hAnsi="Times New Roman" w:cs="Times New Roman"/>
              </w:rPr>
              <w:t>1</w:t>
            </w:r>
            <w:r>
              <w:rPr>
                <w:rFonts w:ascii="Times New Roman" w:eastAsiaTheme="minorEastAsia" w:hAnsi="Times New Roman" w:cs="Times New Roman"/>
                <w:sz w:val="24"/>
                <w:szCs w:val="24"/>
                <w:lang w:eastAsia="en-GB"/>
              </w:rPr>
              <w:tab/>
            </w:r>
            <w:r>
              <w:rPr>
                <w:rStyle w:val="Hyperlink"/>
                <w:rFonts w:ascii="Times New Roman" w:hAnsi="Times New Roman" w:cs="Times New Roman"/>
              </w:rPr>
              <w:t>Introduction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_Toc103273034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3</w:t>
            </w:r>
            <w:r>
              <w:rPr>
                <w:rFonts w:ascii="Times New Roman" w:hAnsi="Times New Roman" w:cs="Times New Roman"/>
              </w:rPr>
              <w:fldChar w:fldCharType="end"/>
            </w:r>
          </w:hyperlink>
        </w:p>
        <w:p w:rsidR="0060459F" w:rsidRDefault="00F96166">
          <w:pPr>
            <w:pStyle w:val="TOC1"/>
            <w:tabs>
              <w:tab w:val="left" w:pos="440"/>
              <w:tab w:val="right" w:leader="dot" w:pos="9060"/>
            </w:tabs>
            <w:rPr>
              <w:rFonts w:ascii="Times New Roman" w:eastAsiaTheme="minorEastAsia" w:hAnsi="Times New Roman" w:cs="Times New Roman"/>
              <w:sz w:val="24"/>
              <w:szCs w:val="24"/>
              <w:lang w:eastAsia="en-GB"/>
            </w:rPr>
          </w:pPr>
          <w:hyperlink w:anchor="_Toc103273035" w:tooltip="#_Toc103273035" w:history="1">
            <w:r>
              <w:rPr>
                <w:rStyle w:val="Hyperlink"/>
                <w:rFonts w:ascii="Times New Roman" w:hAnsi="Times New Roman" w:cs="Times New Roman"/>
              </w:rPr>
              <w:t>2</w:t>
            </w:r>
            <w:r>
              <w:rPr>
                <w:rFonts w:ascii="Times New Roman" w:eastAsiaTheme="minorEastAsia" w:hAnsi="Times New Roman" w:cs="Times New Roman"/>
                <w:sz w:val="24"/>
                <w:szCs w:val="24"/>
                <w:lang w:eastAsia="en-GB"/>
              </w:rPr>
              <w:tab/>
            </w:r>
            <w:r>
              <w:rPr>
                <w:rStyle w:val="Hyperlink"/>
                <w:rFonts w:ascii="Times New Roman" w:hAnsi="Times New Roman" w:cs="Times New Roman"/>
              </w:rPr>
              <w:t>Definition, criminalisation and absolute prohibition of torture</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_Toc103273035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fldChar w:fldCharType="end"/>
            </w:r>
          </w:hyperlink>
        </w:p>
        <w:p w:rsidR="0060459F" w:rsidRDefault="00F96166">
          <w:pPr>
            <w:pStyle w:val="TOC1"/>
            <w:tabs>
              <w:tab w:val="left" w:pos="440"/>
              <w:tab w:val="right" w:leader="dot" w:pos="9060"/>
            </w:tabs>
            <w:rPr>
              <w:rFonts w:ascii="Times New Roman" w:eastAsiaTheme="minorEastAsia" w:hAnsi="Times New Roman" w:cs="Times New Roman"/>
              <w:sz w:val="24"/>
              <w:szCs w:val="24"/>
              <w:lang w:eastAsia="en-GB"/>
            </w:rPr>
          </w:pPr>
          <w:hyperlink w:anchor="_Toc103273036" w:tooltip="#_Toc103273036" w:history="1">
            <w:r>
              <w:rPr>
                <w:rStyle w:val="Hyperlink"/>
                <w:rFonts w:ascii="Times New Roman" w:hAnsi="Times New Roman" w:cs="Times New Roman"/>
              </w:rPr>
              <w:t>3</w:t>
            </w:r>
            <w:r>
              <w:rPr>
                <w:rFonts w:ascii="Times New Roman" w:eastAsiaTheme="minorEastAsia" w:hAnsi="Times New Roman" w:cs="Times New Roman"/>
                <w:sz w:val="24"/>
                <w:szCs w:val="24"/>
                <w:lang w:eastAsia="en-GB"/>
              </w:rPr>
              <w:tab/>
            </w:r>
            <w:r>
              <w:rPr>
                <w:rStyle w:val="Hyperlink"/>
                <w:rFonts w:ascii="Times New Roman" w:hAnsi="Times New Roman" w:cs="Times New Roman"/>
              </w:rPr>
              <w:t xml:space="preserve">Principle of </w:t>
            </w:r>
            <w:r>
              <w:rPr>
                <w:rStyle w:val="Hyperlink"/>
                <w:rFonts w:ascii="Times New Roman" w:hAnsi="Times New Roman" w:cs="Times New Roman"/>
                <w:i/>
                <w:iCs/>
              </w:rPr>
              <w:t>non-refoulement</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_Toc103273036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5</w:t>
            </w:r>
            <w:r>
              <w:rPr>
                <w:rFonts w:ascii="Times New Roman" w:hAnsi="Times New Roman" w:cs="Times New Roman"/>
              </w:rPr>
              <w:fldChar w:fldCharType="end"/>
            </w:r>
          </w:hyperlink>
        </w:p>
        <w:p w:rsidR="0060459F" w:rsidRDefault="00F96166">
          <w:pPr>
            <w:pStyle w:val="TOC1"/>
            <w:tabs>
              <w:tab w:val="left" w:pos="440"/>
              <w:tab w:val="right" w:leader="dot" w:pos="9060"/>
            </w:tabs>
            <w:rPr>
              <w:rFonts w:ascii="Times New Roman" w:eastAsiaTheme="minorEastAsia" w:hAnsi="Times New Roman" w:cs="Times New Roman"/>
              <w:sz w:val="24"/>
              <w:szCs w:val="24"/>
              <w:lang w:eastAsia="en-GB"/>
            </w:rPr>
          </w:pPr>
          <w:hyperlink w:anchor="_Toc103273037" w:tooltip="#_Toc103273037" w:history="1">
            <w:r>
              <w:rPr>
                <w:rStyle w:val="Hyperlink"/>
                <w:rFonts w:ascii="Times New Roman" w:hAnsi="Times New Roman" w:cs="Times New Roman"/>
              </w:rPr>
              <w:t>4</w:t>
            </w:r>
            <w:r>
              <w:rPr>
                <w:rFonts w:ascii="Times New Roman" w:eastAsiaTheme="minorEastAsia" w:hAnsi="Times New Roman" w:cs="Times New Roman"/>
                <w:sz w:val="24"/>
                <w:szCs w:val="24"/>
                <w:lang w:eastAsia="en-GB"/>
              </w:rPr>
              <w:tab/>
            </w:r>
            <w:r>
              <w:rPr>
                <w:rStyle w:val="Hyperlink"/>
                <w:rFonts w:ascii="Times New Roman" w:hAnsi="Times New Roman" w:cs="Times New Roman"/>
              </w:rPr>
              <w:t>Violations of legal safeguards related to the deprivation of liberty</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_Toc103273037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8</w:t>
            </w:r>
            <w:r>
              <w:rPr>
                <w:rFonts w:ascii="Times New Roman" w:hAnsi="Times New Roman" w:cs="Times New Roman"/>
              </w:rPr>
              <w:fldChar w:fldCharType="end"/>
            </w:r>
          </w:hyperlink>
        </w:p>
        <w:p w:rsidR="0060459F" w:rsidRDefault="00F96166">
          <w:pPr>
            <w:pStyle w:val="TOC2"/>
            <w:tabs>
              <w:tab w:val="left" w:pos="850"/>
              <w:tab w:val="right" w:leader="dot" w:pos="9060"/>
            </w:tabs>
            <w:rPr>
              <w:rFonts w:ascii="Times New Roman" w:eastAsiaTheme="minorEastAsia" w:hAnsi="Times New Roman" w:cs="Times New Roman"/>
              <w:sz w:val="24"/>
              <w:szCs w:val="24"/>
              <w:lang w:eastAsia="en-GB"/>
            </w:rPr>
          </w:pPr>
          <w:hyperlink w:anchor="_Toc103273038" w:tooltip="#_Toc103273038" w:history="1">
            <w:r>
              <w:rPr>
                <w:rStyle w:val="Hyperlink"/>
                <w:rFonts w:ascii="Times New Roman" w:hAnsi="Times New Roman" w:cs="Times New Roman"/>
              </w:rPr>
              <w:t>4.1</w:t>
            </w:r>
            <w:r>
              <w:rPr>
                <w:rFonts w:ascii="Times New Roman" w:eastAsiaTheme="minorEastAsia" w:hAnsi="Times New Roman" w:cs="Times New Roman"/>
                <w:sz w:val="24"/>
                <w:szCs w:val="24"/>
                <w:lang w:eastAsia="en-GB"/>
              </w:rPr>
              <w:tab/>
            </w:r>
            <w:r>
              <w:rPr>
                <w:rStyle w:val="Hyperlink"/>
                <w:rFonts w:ascii="Times New Roman" w:hAnsi="Times New Roman" w:cs="Times New Roman"/>
              </w:rPr>
              <w:t>Arrest and custody</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_Toc103273038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8</w:t>
            </w:r>
            <w:r>
              <w:rPr>
                <w:rFonts w:ascii="Times New Roman" w:hAnsi="Times New Roman" w:cs="Times New Roman"/>
              </w:rPr>
              <w:fldChar w:fldCharType="end"/>
            </w:r>
          </w:hyperlink>
        </w:p>
        <w:p w:rsidR="0060459F" w:rsidRDefault="00F96166">
          <w:pPr>
            <w:pStyle w:val="TOC2"/>
            <w:tabs>
              <w:tab w:val="left" w:pos="850"/>
              <w:tab w:val="right" w:leader="dot" w:pos="9060"/>
            </w:tabs>
            <w:rPr>
              <w:rFonts w:ascii="Times New Roman" w:eastAsiaTheme="minorEastAsia" w:hAnsi="Times New Roman" w:cs="Times New Roman"/>
              <w:sz w:val="24"/>
              <w:szCs w:val="24"/>
              <w:lang w:eastAsia="en-GB"/>
            </w:rPr>
          </w:pPr>
          <w:hyperlink w:anchor="_Toc103273039" w:tooltip="#_Toc103273039" w:history="1">
            <w:r>
              <w:rPr>
                <w:rStyle w:val="Hyperlink"/>
                <w:rFonts w:ascii="Times New Roman" w:hAnsi="Times New Roman" w:cs="Times New Roman"/>
              </w:rPr>
              <w:t>4.2</w:t>
            </w:r>
            <w:r>
              <w:rPr>
                <w:rFonts w:ascii="Times New Roman" w:eastAsiaTheme="minorEastAsia" w:hAnsi="Times New Roman" w:cs="Times New Roman"/>
                <w:sz w:val="24"/>
                <w:szCs w:val="24"/>
                <w:lang w:eastAsia="en-GB"/>
              </w:rPr>
              <w:tab/>
            </w:r>
            <w:r>
              <w:rPr>
                <w:rStyle w:val="Hyperlink"/>
                <w:rFonts w:ascii="Times New Roman" w:hAnsi="Times New Roman" w:cs="Times New Roman"/>
              </w:rPr>
              <w:t>Right to legal counsel</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_Toc103273039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9</w:t>
            </w:r>
            <w:r>
              <w:rPr>
                <w:rFonts w:ascii="Times New Roman" w:hAnsi="Times New Roman" w:cs="Times New Roman"/>
              </w:rPr>
              <w:fldChar w:fldCharType="end"/>
            </w:r>
          </w:hyperlink>
        </w:p>
        <w:p w:rsidR="0060459F" w:rsidRDefault="00F96166">
          <w:pPr>
            <w:pStyle w:val="TOC2"/>
            <w:tabs>
              <w:tab w:val="left" w:pos="850"/>
              <w:tab w:val="right" w:leader="dot" w:pos="9060"/>
            </w:tabs>
            <w:rPr>
              <w:rFonts w:ascii="Times New Roman" w:eastAsiaTheme="minorEastAsia" w:hAnsi="Times New Roman" w:cs="Times New Roman"/>
              <w:sz w:val="24"/>
              <w:szCs w:val="24"/>
              <w:lang w:eastAsia="en-GB"/>
            </w:rPr>
          </w:pPr>
          <w:hyperlink w:anchor="_Toc103273040" w:tooltip="#_Toc103273040" w:history="1">
            <w:r>
              <w:rPr>
                <w:rStyle w:val="Hyperlink"/>
                <w:rFonts w:ascii="Times New Roman" w:hAnsi="Times New Roman" w:cs="Times New Roman"/>
              </w:rPr>
              <w:t>4.3</w:t>
            </w:r>
            <w:r>
              <w:rPr>
                <w:rFonts w:ascii="Times New Roman" w:eastAsiaTheme="minorEastAsia" w:hAnsi="Times New Roman" w:cs="Times New Roman"/>
                <w:sz w:val="24"/>
                <w:szCs w:val="24"/>
                <w:lang w:eastAsia="en-GB"/>
              </w:rPr>
              <w:tab/>
            </w:r>
            <w:r>
              <w:rPr>
                <w:rStyle w:val="Hyperlink"/>
                <w:rFonts w:ascii="Times New Roman" w:hAnsi="Times New Roman" w:cs="Times New Roman"/>
              </w:rPr>
              <w:t>Right to medical care</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_Toc103273040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12</w:t>
            </w:r>
            <w:r>
              <w:rPr>
                <w:rFonts w:ascii="Times New Roman" w:hAnsi="Times New Roman" w:cs="Times New Roman"/>
              </w:rPr>
              <w:fldChar w:fldCharType="end"/>
            </w:r>
          </w:hyperlink>
        </w:p>
        <w:p w:rsidR="0060459F" w:rsidRDefault="00F96166">
          <w:pPr>
            <w:pStyle w:val="TOC2"/>
            <w:tabs>
              <w:tab w:val="left" w:pos="850"/>
              <w:tab w:val="right" w:leader="dot" w:pos="9060"/>
            </w:tabs>
            <w:rPr>
              <w:rFonts w:ascii="Times New Roman" w:eastAsiaTheme="minorEastAsia" w:hAnsi="Times New Roman" w:cs="Times New Roman"/>
              <w:sz w:val="24"/>
              <w:szCs w:val="24"/>
              <w:lang w:eastAsia="en-GB"/>
            </w:rPr>
          </w:pPr>
          <w:hyperlink w:anchor="_Toc103273041" w:tooltip="#_Toc103273041" w:history="1">
            <w:r>
              <w:rPr>
                <w:rStyle w:val="Hyperlink"/>
                <w:rFonts w:ascii="Times New Roman" w:hAnsi="Times New Roman" w:cs="Times New Roman"/>
              </w:rPr>
              <w:t>4.4</w:t>
            </w:r>
            <w:r>
              <w:rPr>
                <w:rFonts w:ascii="Times New Roman" w:eastAsiaTheme="minorEastAsia" w:hAnsi="Times New Roman" w:cs="Times New Roman"/>
                <w:sz w:val="24"/>
                <w:szCs w:val="24"/>
                <w:lang w:eastAsia="en-GB"/>
              </w:rPr>
              <w:tab/>
            </w:r>
            <w:r>
              <w:rPr>
                <w:rStyle w:val="Hyperlink"/>
                <w:rFonts w:ascii="Times New Roman" w:hAnsi="Times New Roman" w:cs="Times New Roman"/>
              </w:rPr>
              <w:t>Right to consular protection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_Toc103273041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12</w:t>
            </w:r>
            <w:r>
              <w:rPr>
                <w:rFonts w:ascii="Times New Roman" w:hAnsi="Times New Roman" w:cs="Times New Roman"/>
              </w:rPr>
              <w:fldChar w:fldCharType="end"/>
            </w:r>
          </w:hyperlink>
        </w:p>
        <w:p w:rsidR="0060459F" w:rsidRDefault="00F96166">
          <w:pPr>
            <w:pStyle w:val="TOC2"/>
            <w:tabs>
              <w:tab w:val="left" w:pos="850"/>
              <w:tab w:val="right" w:leader="dot" w:pos="9060"/>
            </w:tabs>
            <w:rPr>
              <w:rFonts w:ascii="Times New Roman" w:eastAsiaTheme="minorEastAsia" w:hAnsi="Times New Roman" w:cs="Times New Roman"/>
              <w:sz w:val="24"/>
              <w:szCs w:val="24"/>
              <w:lang w:eastAsia="en-GB"/>
            </w:rPr>
          </w:pPr>
          <w:hyperlink w:anchor="_Toc103273042" w:tooltip="#_Toc103273042" w:history="1">
            <w:r>
              <w:rPr>
                <w:rStyle w:val="Hyperlink"/>
                <w:rFonts w:ascii="Times New Roman" w:hAnsi="Times New Roman" w:cs="Times New Roman"/>
              </w:rPr>
              <w:t>4.5</w:t>
            </w:r>
            <w:r>
              <w:rPr>
                <w:rFonts w:ascii="Times New Roman" w:eastAsiaTheme="minorEastAsia" w:hAnsi="Times New Roman" w:cs="Times New Roman"/>
                <w:sz w:val="24"/>
                <w:szCs w:val="24"/>
                <w:lang w:eastAsia="en-GB"/>
              </w:rPr>
              <w:tab/>
            </w:r>
            <w:r>
              <w:rPr>
                <w:rStyle w:val="Hyperlink"/>
                <w:rFonts w:ascii="Times New Roman" w:hAnsi="Times New Roman" w:cs="Times New Roman"/>
              </w:rPr>
              <w:t>Right to contact with the outside world</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_Toc103273042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13</w:t>
            </w:r>
            <w:r>
              <w:rPr>
                <w:rFonts w:ascii="Times New Roman" w:hAnsi="Times New Roman" w:cs="Times New Roman"/>
              </w:rPr>
              <w:fldChar w:fldCharType="end"/>
            </w:r>
          </w:hyperlink>
        </w:p>
        <w:p w:rsidR="0060459F" w:rsidRDefault="00F96166">
          <w:pPr>
            <w:pStyle w:val="TOC1"/>
            <w:tabs>
              <w:tab w:val="left" w:pos="440"/>
              <w:tab w:val="right" w:leader="dot" w:pos="9060"/>
            </w:tabs>
            <w:rPr>
              <w:rFonts w:ascii="Times New Roman" w:eastAsiaTheme="minorEastAsia" w:hAnsi="Times New Roman" w:cs="Times New Roman"/>
              <w:sz w:val="24"/>
              <w:szCs w:val="24"/>
              <w:lang w:eastAsia="en-GB"/>
            </w:rPr>
          </w:pPr>
          <w:hyperlink w:anchor="_Toc103273043" w:tooltip="#_Toc103273043" w:history="1">
            <w:r>
              <w:rPr>
                <w:rStyle w:val="Hyperlink"/>
                <w:rFonts w:ascii="Times New Roman" w:hAnsi="Times New Roman" w:cs="Times New Roman"/>
              </w:rPr>
              <w:t>5</w:t>
            </w:r>
            <w:r>
              <w:rPr>
                <w:rFonts w:ascii="Times New Roman" w:eastAsiaTheme="minorEastAsia" w:hAnsi="Times New Roman" w:cs="Times New Roman"/>
                <w:sz w:val="24"/>
                <w:szCs w:val="24"/>
                <w:lang w:eastAsia="en-GB"/>
              </w:rPr>
              <w:tab/>
            </w:r>
            <w:r>
              <w:rPr>
                <w:rStyle w:val="Hyperlink"/>
                <w:rFonts w:ascii="Times New Roman" w:hAnsi="Times New Roman" w:cs="Times New Roman"/>
              </w:rPr>
              <w:t>Extraction of confessions under torture</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_Toc103273043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14</w:t>
            </w:r>
            <w:r>
              <w:rPr>
                <w:rFonts w:ascii="Times New Roman" w:hAnsi="Times New Roman" w:cs="Times New Roman"/>
              </w:rPr>
              <w:fldChar w:fldCharType="end"/>
            </w:r>
          </w:hyperlink>
        </w:p>
        <w:p w:rsidR="0060459F" w:rsidRDefault="00F96166">
          <w:pPr>
            <w:pStyle w:val="TOC1"/>
            <w:tabs>
              <w:tab w:val="left" w:pos="440"/>
              <w:tab w:val="right" w:leader="dot" w:pos="9060"/>
            </w:tabs>
            <w:rPr>
              <w:rFonts w:ascii="Times New Roman" w:eastAsiaTheme="minorEastAsia" w:hAnsi="Times New Roman" w:cs="Times New Roman"/>
              <w:sz w:val="24"/>
              <w:szCs w:val="24"/>
              <w:lang w:eastAsia="en-GB"/>
            </w:rPr>
          </w:pPr>
          <w:hyperlink w:anchor="_Toc103273044" w:tooltip="#_Toc103273044" w:history="1">
            <w:r>
              <w:rPr>
                <w:rStyle w:val="Hyperlink"/>
                <w:rFonts w:ascii="Times New Roman" w:hAnsi="Times New Roman" w:cs="Times New Roman"/>
              </w:rPr>
              <w:t>6</w:t>
            </w:r>
            <w:r>
              <w:rPr>
                <w:rFonts w:ascii="Times New Roman" w:eastAsiaTheme="minorEastAsia" w:hAnsi="Times New Roman" w:cs="Times New Roman"/>
                <w:sz w:val="24"/>
                <w:szCs w:val="24"/>
                <w:lang w:eastAsia="en-GB"/>
              </w:rPr>
              <w:tab/>
            </w:r>
            <w:r>
              <w:rPr>
                <w:rStyle w:val="Hyperlink"/>
                <w:rFonts w:ascii="Times New Roman" w:hAnsi="Times New Roman" w:cs="Times New Roman"/>
              </w:rPr>
              <w:t>Accountability for acts of torture</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_Toc103273044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15</w:t>
            </w:r>
            <w:r>
              <w:rPr>
                <w:rFonts w:ascii="Times New Roman" w:hAnsi="Times New Roman" w:cs="Times New Roman"/>
              </w:rPr>
              <w:fldChar w:fldCharType="end"/>
            </w:r>
          </w:hyperlink>
        </w:p>
        <w:p w:rsidR="0060459F" w:rsidRDefault="00F96166">
          <w:pPr>
            <w:pStyle w:val="TOC2"/>
            <w:tabs>
              <w:tab w:val="left" w:pos="850"/>
              <w:tab w:val="right" w:leader="dot" w:pos="9060"/>
            </w:tabs>
            <w:rPr>
              <w:rFonts w:ascii="Times New Roman" w:eastAsiaTheme="minorEastAsia" w:hAnsi="Times New Roman" w:cs="Times New Roman"/>
              <w:sz w:val="24"/>
              <w:szCs w:val="24"/>
              <w:lang w:eastAsia="en-GB"/>
            </w:rPr>
          </w:pPr>
          <w:hyperlink w:anchor="_Toc103273045" w:tooltip="#_Toc103273045" w:history="1">
            <w:r>
              <w:rPr>
                <w:rStyle w:val="Hyperlink"/>
                <w:rFonts w:ascii="Times New Roman" w:hAnsi="Times New Roman" w:cs="Times New Roman"/>
              </w:rPr>
              <w:t>6.1</w:t>
            </w:r>
            <w:r>
              <w:rPr>
                <w:rFonts w:ascii="Times New Roman" w:eastAsiaTheme="minorEastAsia" w:hAnsi="Times New Roman" w:cs="Times New Roman"/>
                <w:sz w:val="24"/>
                <w:szCs w:val="24"/>
                <w:lang w:eastAsia="en-GB"/>
              </w:rPr>
              <w:tab/>
            </w:r>
            <w:r>
              <w:rPr>
                <w:rStyle w:val="Hyperlink"/>
                <w:rFonts w:ascii="Times New Roman" w:hAnsi="Times New Roman" w:cs="Times New Roman"/>
              </w:rPr>
              <w:t>Lack of monitoring of detention facilities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_Toc103273045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15</w:t>
            </w:r>
            <w:r>
              <w:rPr>
                <w:rFonts w:ascii="Times New Roman" w:hAnsi="Times New Roman" w:cs="Times New Roman"/>
              </w:rPr>
              <w:fldChar w:fldCharType="end"/>
            </w:r>
          </w:hyperlink>
        </w:p>
        <w:p w:rsidR="0060459F" w:rsidRDefault="00F96166">
          <w:pPr>
            <w:pStyle w:val="TOC2"/>
            <w:tabs>
              <w:tab w:val="left" w:pos="850"/>
              <w:tab w:val="right" w:leader="dot" w:pos="9060"/>
            </w:tabs>
            <w:rPr>
              <w:rFonts w:ascii="Times New Roman" w:eastAsiaTheme="minorEastAsia" w:hAnsi="Times New Roman" w:cs="Times New Roman"/>
              <w:sz w:val="24"/>
              <w:szCs w:val="24"/>
              <w:lang w:eastAsia="en-GB"/>
            </w:rPr>
          </w:pPr>
          <w:hyperlink w:anchor="_Toc103273046" w:tooltip="#_Toc103273046" w:history="1">
            <w:r>
              <w:rPr>
                <w:rStyle w:val="Hyperlink"/>
                <w:rFonts w:ascii="Times New Roman" w:hAnsi="Times New Roman" w:cs="Times New Roman"/>
              </w:rPr>
              <w:t>6.2</w:t>
            </w:r>
            <w:r>
              <w:rPr>
                <w:rFonts w:ascii="Times New Roman" w:eastAsiaTheme="minorEastAsia" w:hAnsi="Times New Roman" w:cs="Times New Roman"/>
                <w:sz w:val="24"/>
                <w:szCs w:val="24"/>
                <w:lang w:eastAsia="en-GB"/>
              </w:rPr>
              <w:tab/>
            </w:r>
            <w:r>
              <w:rPr>
                <w:rStyle w:val="Hyperlink"/>
                <w:rFonts w:ascii="Times New Roman" w:hAnsi="Times New Roman" w:cs="Times New Roman"/>
              </w:rPr>
              <w:t>National human rights institution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_Toc103273046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16</w:t>
            </w:r>
            <w:r>
              <w:rPr>
                <w:rFonts w:ascii="Times New Roman" w:hAnsi="Times New Roman" w:cs="Times New Roman"/>
              </w:rPr>
              <w:fldChar w:fldCharType="end"/>
            </w:r>
          </w:hyperlink>
        </w:p>
        <w:p w:rsidR="0060459F" w:rsidRDefault="00F96166">
          <w:pPr>
            <w:pStyle w:val="TOC2"/>
            <w:tabs>
              <w:tab w:val="left" w:pos="850"/>
              <w:tab w:val="right" w:leader="dot" w:pos="9060"/>
            </w:tabs>
            <w:rPr>
              <w:rFonts w:ascii="Times New Roman" w:eastAsiaTheme="minorEastAsia" w:hAnsi="Times New Roman" w:cs="Times New Roman"/>
              <w:sz w:val="24"/>
              <w:szCs w:val="24"/>
              <w:lang w:eastAsia="en-GB"/>
            </w:rPr>
          </w:pPr>
          <w:hyperlink w:anchor="_Toc103273047" w:tooltip="#_Toc103273047" w:history="1">
            <w:r>
              <w:rPr>
                <w:rStyle w:val="Hyperlink"/>
                <w:rFonts w:ascii="Times New Roman" w:hAnsi="Times New Roman" w:cs="Times New Roman"/>
              </w:rPr>
              <w:t>6.3</w:t>
            </w:r>
            <w:r>
              <w:rPr>
                <w:rFonts w:ascii="Times New Roman" w:eastAsiaTheme="minorEastAsia" w:hAnsi="Times New Roman" w:cs="Times New Roman"/>
                <w:sz w:val="24"/>
                <w:szCs w:val="24"/>
                <w:lang w:eastAsia="en-GB"/>
              </w:rPr>
              <w:tab/>
            </w:r>
            <w:r>
              <w:rPr>
                <w:rStyle w:val="Hyperlink"/>
                <w:rFonts w:ascii="Times New Roman" w:hAnsi="Times New Roman" w:cs="Times New Roman"/>
              </w:rPr>
              <w:t>Complaint mechanisms, absence of investigation and prosecution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_Toc103273047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17</w:t>
            </w:r>
            <w:r>
              <w:rPr>
                <w:rFonts w:ascii="Times New Roman" w:hAnsi="Times New Roman" w:cs="Times New Roman"/>
              </w:rPr>
              <w:fldChar w:fldCharType="end"/>
            </w:r>
          </w:hyperlink>
        </w:p>
        <w:p w:rsidR="0060459F" w:rsidRDefault="00F96166">
          <w:pPr>
            <w:pStyle w:val="TOC2"/>
            <w:tabs>
              <w:tab w:val="left" w:pos="850"/>
              <w:tab w:val="right" w:leader="dot" w:pos="9060"/>
            </w:tabs>
            <w:rPr>
              <w:rFonts w:ascii="Times New Roman" w:eastAsiaTheme="minorEastAsia" w:hAnsi="Times New Roman" w:cs="Times New Roman"/>
              <w:sz w:val="24"/>
              <w:szCs w:val="24"/>
              <w:lang w:eastAsia="en-GB"/>
            </w:rPr>
          </w:pPr>
          <w:hyperlink w:anchor="_Toc103273048" w:tooltip="#_Toc103273048" w:history="1">
            <w:r>
              <w:rPr>
                <w:rStyle w:val="Hyperlink"/>
                <w:rFonts w:ascii="Times New Roman" w:hAnsi="Times New Roman" w:cs="Times New Roman"/>
              </w:rPr>
              <w:t>6.4</w:t>
            </w:r>
            <w:r>
              <w:rPr>
                <w:rFonts w:ascii="Times New Roman" w:eastAsiaTheme="minorEastAsia" w:hAnsi="Times New Roman" w:cs="Times New Roman"/>
                <w:sz w:val="24"/>
                <w:szCs w:val="24"/>
                <w:lang w:eastAsia="en-GB"/>
              </w:rPr>
              <w:tab/>
            </w:r>
            <w:r>
              <w:rPr>
                <w:rStyle w:val="Hyperlink"/>
                <w:rFonts w:ascii="Times New Roman" w:hAnsi="Times New Roman" w:cs="Times New Roman"/>
              </w:rPr>
              <w:t>Lack of independence of the judiciary</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_Toc103273048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18</w:t>
            </w:r>
            <w:r>
              <w:rPr>
                <w:rFonts w:ascii="Times New Roman" w:hAnsi="Times New Roman" w:cs="Times New Roman"/>
              </w:rPr>
              <w:fldChar w:fldCharType="end"/>
            </w:r>
          </w:hyperlink>
        </w:p>
        <w:p w:rsidR="0060459F" w:rsidRDefault="00F96166">
          <w:pPr>
            <w:pStyle w:val="TOC1"/>
            <w:tabs>
              <w:tab w:val="left" w:pos="440"/>
              <w:tab w:val="right" w:leader="dot" w:pos="9060"/>
            </w:tabs>
            <w:rPr>
              <w:rFonts w:ascii="Times New Roman" w:eastAsiaTheme="minorEastAsia" w:hAnsi="Times New Roman" w:cs="Times New Roman"/>
              <w:sz w:val="24"/>
              <w:szCs w:val="24"/>
              <w:lang w:eastAsia="en-GB"/>
            </w:rPr>
          </w:pPr>
          <w:hyperlink w:anchor="_Toc103273049" w:tooltip="#_Toc103273049" w:history="1">
            <w:r>
              <w:rPr>
                <w:rStyle w:val="Hyperlink"/>
                <w:rFonts w:ascii="Times New Roman" w:hAnsi="Times New Roman" w:cs="Times New Roman"/>
              </w:rPr>
              <w:t>7</w:t>
            </w:r>
            <w:r>
              <w:rPr>
                <w:rFonts w:ascii="Times New Roman" w:eastAsiaTheme="minorEastAsia" w:hAnsi="Times New Roman" w:cs="Times New Roman"/>
                <w:sz w:val="24"/>
                <w:szCs w:val="24"/>
                <w:lang w:eastAsia="en-GB"/>
              </w:rPr>
              <w:tab/>
            </w:r>
            <w:r>
              <w:rPr>
                <w:rStyle w:val="Hyperlink"/>
                <w:rFonts w:ascii="Times New Roman" w:hAnsi="Times New Roman" w:cs="Times New Roman"/>
              </w:rPr>
              <w:t>Violations in the context of the fight against terrorism</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_Toc103273049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20</w:t>
            </w:r>
            <w:r>
              <w:rPr>
                <w:rFonts w:ascii="Times New Roman" w:hAnsi="Times New Roman" w:cs="Times New Roman"/>
              </w:rPr>
              <w:fldChar w:fldCharType="end"/>
            </w:r>
          </w:hyperlink>
        </w:p>
        <w:p w:rsidR="0060459F" w:rsidRDefault="00F96166">
          <w:pPr>
            <w:pStyle w:val="TOC2"/>
            <w:tabs>
              <w:tab w:val="left" w:pos="850"/>
              <w:tab w:val="right" w:leader="dot" w:pos="9060"/>
            </w:tabs>
            <w:rPr>
              <w:rFonts w:ascii="Times New Roman" w:eastAsiaTheme="minorEastAsia" w:hAnsi="Times New Roman" w:cs="Times New Roman"/>
              <w:sz w:val="24"/>
              <w:szCs w:val="24"/>
              <w:lang w:eastAsia="en-GB"/>
            </w:rPr>
          </w:pPr>
          <w:hyperlink w:anchor="_Toc103273050" w:tooltip="#_Toc103273050" w:history="1">
            <w:r>
              <w:rPr>
                <w:rStyle w:val="Hyperlink"/>
                <w:rFonts w:ascii="Times New Roman" w:hAnsi="Times New Roman" w:cs="Times New Roman"/>
              </w:rPr>
              <w:t>7.1</w:t>
            </w:r>
            <w:r>
              <w:rPr>
                <w:rFonts w:ascii="Times New Roman" w:eastAsiaTheme="minorEastAsia" w:hAnsi="Times New Roman" w:cs="Times New Roman"/>
                <w:sz w:val="24"/>
                <w:szCs w:val="24"/>
                <w:lang w:eastAsia="en-GB"/>
              </w:rPr>
              <w:tab/>
            </w:r>
            <w:r>
              <w:rPr>
                <w:rStyle w:val="Hyperlink"/>
                <w:rFonts w:ascii="Times New Roman" w:hAnsi="Times New Roman" w:cs="Times New Roman"/>
              </w:rPr>
              <w:t>A flawed legal framework</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_Toc103273050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20</w:t>
            </w:r>
            <w:r>
              <w:rPr>
                <w:rFonts w:ascii="Times New Roman" w:hAnsi="Times New Roman" w:cs="Times New Roman"/>
              </w:rPr>
              <w:fldChar w:fldCharType="end"/>
            </w:r>
          </w:hyperlink>
        </w:p>
        <w:p w:rsidR="0060459F" w:rsidRDefault="00F96166">
          <w:pPr>
            <w:pStyle w:val="TOC2"/>
            <w:tabs>
              <w:tab w:val="left" w:pos="850"/>
              <w:tab w:val="right" w:leader="dot" w:pos="9060"/>
            </w:tabs>
            <w:rPr>
              <w:rFonts w:ascii="Times New Roman" w:eastAsiaTheme="minorEastAsia" w:hAnsi="Times New Roman" w:cs="Times New Roman"/>
              <w:sz w:val="24"/>
              <w:szCs w:val="24"/>
              <w:lang w:eastAsia="en-GB"/>
            </w:rPr>
          </w:pPr>
          <w:hyperlink w:anchor="_Toc103273051" w:tooltip="#_Toc103273051" w:history="1">
            <w:r>
              <w:rPr>
                <w:rStyle w:val="Hyperlink"/>
                <w:rFonts w:ascii="Times New Roman" w:hAnsi="Times New Roman" w:cs="Times New Roman"/>
              </w:rPr>
              <w:t>7.2</w:t>
            </w:r>
            <w:r>
              <w:rPr>
                <w:rFonts w:ascii="Times New Roman" w:eastAsiaTheme="minorEastAsia" w:hAnsi="Times New Roman" w:cs="Times New Roman"/>
                <w:sz w:val="24"/>
                <w:szCs w:val="24"/>
                <w:lang w:eastAsia="en-GB"/>
              </w:rPr>
              <w:tab/>
            </w:r>
            <w:r>
              <w:rPr>
                <w:rStyle w:val="Hyperlink"/>
                <w:rFonts w:ascii="Times New Roman" w:hAnsi="Times New Roman" w:cs="Times New Roman"/>
              </w:rPr>
              <w:t xml:space="preserve">Administrative detention and the use of </w:t>
            </w:r>
            <w:r>
              <w:rPr>
                <w:rStyle w:val="Hyperlink"/>
                <w:rFonts w:ascii="Times New Roman" w:hAnsi="Times New Roman" w:cs="Times New Roman"/>
                <w:i/>
                <w:iCs/>
              </w:rPr>
              <w:t xml:space="preserve">Munasaha </w:t>
            </w:r>
            <w:r>
              <w:rPr>
                <w:rStyle w:val="Hyperlink"/>
                <w:rFonts w:ascii="Times New Roman" w:hAnsi="Times New Roman" w:cs="Times New Roman"/>
              </w:rPr>
              <w:t>centres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_Toc103273051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22</w:t>
            </w:r>
            <w:r>
              <w:rPr>
                <w:rFonts w:ascii="Times New Roman" w:hAnsi="Times New Roman" w:cs="Times New Roman"/>
              </w:rPr>
              <w:fldChar w:fldCharType="end"/>
            </w:r>
          </w:hyperlink>
        </w:p>
        <w:p w:rsidR="0060459F" w:rsidRDefault="00F96166">
          <w:pPr>
            <w:pStyle w:val="TOC1"/>
            <w:tabs>
              <w:tab w:val="left" w:pos="440"/>
              <w:tab w:val="right" w:leader="dot" w:pos="9060"/>
            </w:tabs>
            <w:rPr>
              <w:rFonts w:ascii="Times New Roman" w:eastAsiaTheme="minorEastAsia" w:hAnsi="Times New Roman" w:cs="Times New Roman"/>
              <w:sz w:val="24"/>
              <w:szCs w:val="24"/>
              <w:lang w:eastAsia="en-GB"/>
            </w:rPr>
          </w:pPr>
          <w:hyperlink w:anchor="_Toc103273052" w:tooltip="#_Toc103273052" w:history="1">
            <w:r>
              <w:rPr>
                <w:rStyle w:val="Hyperlink"/>
                <w:rFonts w:ascii="Times New Roman" w:hAnsi="Times New Roman" w:cs="Times New Roman"/>
              </w:rPr>
              <w:t>8</w:t>
            </w:r>
            <w:r>
              <w:rPr>
                <w:rFonts w:ascii="Times New Roman" w:eastAsiaTheme="minorEastAsia" w:hAnsi="Times New Roman" w:cs="Times New Roman"/>
                <w:sz w:val="24"/>
                <w:szCs w:val="24"/>
                <w:lang w:eastAsia="en-GB"/>
              </w:rPr>
              <w:tab/>
            </w:r>
            <w:r>
              <w:rPr>
                <w:rStyle w:val="Hyperlink"/>
                <w:rFonts w:ascii="Times New Roman" w:hAnsi="Times New Roman" w:cs="Times New Roman"/>
              </w:rPr>
              <w:t>Widespread and systematic torture and ill-treatment</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_Toc103273052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25</w:t>
            </w:r>
            <w:r>
              <w:rPr>
                <w:rFonts w:ascii="Times New Roman" w:hAnsi="Times New Roman" w:cs="Times New Roman"/>
              </w:rPr>
              <w:fldChar w:fldCharType="end"/>
            </w:r>
          </w:hyperlink>
        </w:p>
        <w:p w:rsidR="0060459F" w:rsidRDefault="00F96166">
          <w:pPr>
            <w:pStyle w:val="TOC2"/>
            <w:tabs>
              <w:tab w:val="left" w:pos="850"/>
              <w:tab w:val="right" w:leader="dot" w:pos="9060"/>
            </w:tabs>
            <w:rPr>
              <w:rFonts w:ascii="Times New Roman" w:eastAsiaTheme="minorEastAsia" w:hAnsi="Times New Roman" w:cs="Times New Roman"/>
              <w:sz w:val="24"/>
              <w:szCs w:val="24"/>
              <w:lang w:eastAsia="en-GB"/>
            </w:rPr>
          </w:pPr>
          <w:hyperlink w:anchor="_Toc103273053" w:tooltip="#_Toc103273053" w:history="1">
            <w:r>
              <w:rPr>
                <w:rStyle w:val="Hyperlink"/>
                <w:rFonts w:ascii="Times New Roman" w:hAnsi="Times New Roman" w:cs="Times New Roman"/>
              </w:rPr>
              <w:t>8.1</w:t>
            </w:r>
            <w:r>
              <w:rPr>
                <w:rFonts w:ascii="Times New Roman" w:eastAsiaTheme="minorEastAsia" w:hAnsi="Times New Roman" w:cs="Times New Roman"/>
                <w:sz w:val="24"/>
                <w:szCs w:val="24"/>
                <w:lang w:eastAsia="en-GB"/>
              </w:rPr>
              <w:tab/>
            </w:r>
            <w:r>
              <w:rPr>
                <w:rStyle w:val="Hyperlink"/>
                <w:rFonts w:ascii="Times New Roman" w:hAnsi="Times New Roman" w:cs="Times New Roman"/>
              </w:rPr>
              <w:t xml:space="preserve">Methods of torture, including secret and </w:t>
            </w:r>
            <w:r>
              <w:rPr>
                <w:rStyle w:val="Hyperlink"/>
                <w:rFonts w:ascii="Times New Roman" w:hAnsi="Times New Roman" w:cs="Times New Roman"/>
                <w:i/>
                <w:iCs/>
              </w:rPr>
              <w:t>incommunicado detention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_Toc103273053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25</w:t>
            </w:r>
            <w:r>
              <w:rPr>
                <w:rFonts w:ascii="Times New Roman" w:hAnsi="Times New Roman" w:cs="Times New Roman"/>
              </w:rPr>
              <w:fldChar w:fldCharType="end"/>
            </w:r>
          </w:hyperlink>
        </w:p>
        <w:p w:rsidR="0060459F" w:rsidRDefault="00F96166">
          <w:pPr>
            <w:pStyle w:val="TOC2"/>
            <w:tabs>
              <w:tab w:val="left" w:pos="850"/>
              <w:tab w:val="right" w:leader="dot" w:pos="9060"/>
            </w:tabs>
            <w:rPr>
              <w:rFonts w:ascii="Times New Roman" w:eastAsiaTheme="minorEastAsia" w:hAnsi="Times New Roman" w:cs="Times New Roman"/>
              <w:sz w:val="24"/>
              <w:szCs w:val="24"/>
              <w:lang w:eastAsia="en-GB"/>
            </w:rPr>
          </w:pPr>
          <w:hyperlink w:anchor="_Toc103273054" w:tooltip="#_Toc103273054" w:history="1">
            <w:r>
              <w:rPr>
                <w:rStyle w:val="Hyperlink"/>
                <w:rFonts w:ascii="Times New Roman" w:hAnsi="Times New Roman" w:cs="Times New Roman"/>
              </w:rPr>
              <w:t>8.2</w:t>
            </w:r>
            <w:r>
              <w:rPr>
                <w:rFonts w:ascii="Times New Roman" w:eastAsiaTheme="minorEastAsia" w:hAnsi="Times New Roman" w:cs="Times New Roman"/>
                <w:sz w:val="24"/>
                <w:szCs w:val="24"/>
                <w:lang w:eastAsia="en-GB"/>
              </w:rPr>
              <w:tab/>
            </w:r>
            <w:r>
              <w:rPr>
                <w:rStyle w:val="Hyperlink"/>
                <w:rFonts w:ascii="Times New Roman" w:hAnsi="Times New Roman" w:cs="Times New Roman"/>
              </w:rPr>
              <w:t>Conditions of detention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_Toc103273054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27</w:t>
            </w:r>
            <w:r>
              <w:rPr>
                <w:rFonts w:ascii="Times New Roman" w:hAnsi="Times New Roman" w:cs="Times New Roman"/>
              </w:rPr>
              <w:fldChar w:fldCharType="end"/>
            </w:r>
          </w:hyperlink>
        </w:p>
        <w:p w:rsidR="0060459F" w:rsidRDefault="00F96166">
          <w:pPr>
            <w:pStyle w:val="TOC2"/>
            <w:tabs>
              <w:tab w:val="left" w:pos="850"/>
              <w:tab w:val="right" w:leader="dot" w:pos="9060"/>
            </w:tabs>
            <w:rPr>
              <w:rFonts w:ascii="Times New Roman" w:eastAsiaTheme="minorEastAsia" w:hAnsi="Times New Roman" w:cs="Times New Roman"/>
              <w:sz w:val="24"/>
              <w:szCs w:val="24"/>
              <w:lang w:eastAsia="en-GB"/>
            </w:rPr>
          </w:pPr>
          <w:hyperlink w:anchor="_Toc103273055" w:tooltip="#_Toc103273055" w:history="1">
            <w:r>
              <w:rPr>
                <w:rStyle w:val="Hyperlink"/>
                <w:rFonts w:ascii="Times New Roman" w:hAnsi="Times New Roman" w:cs="Times New Roman"/>
              </w:rPr>
              <w:t>8.3</w:t>
            </w:r>
            <w:r>
              <w:rPr>
                <w:rFonts w:ascii="Times New Roman" w:eastAsiaTheme="minorEastAsia" w:hAnsi="Times New Roman" w:cs="Times New Roman"/>
                <w:sz w:val="24"/>
                <w:szCs w:val="24"/>
                <w:lang w:eastAsia="en-GB"/>
              </w:rPr>
              <w:tab/>
            </w:r>
            <w:r>
              <w:rPr>
                <w:rStyle w:val="Hyperlink"/>
                <w:rFonts w:ascii="Times New Roman" w:hAnsi="Times New Roman" w:cs="Times New Roman"/>
              </w:rPr>
              <w:t>Torture by UAE forces in the context of the Yemeni armed conflict</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_Toc103273055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28</w:t>
            </w:r>
            <w:r>
              <w:rPr>
                <w:rFonts w:ascii="Times New Roman" w:hAnsi="Times New Roman" w:cs="Times New Roman"/>
              </w:rPr>
              <w:fldChar w:fldCharType="end"/>
            </w:r>
          </w:hyperlink>
        </w:p>
        <w:p w:rsidR="0060459F" w:rsidRDefault="00F96166">
          <w:pPr>
            <w:pStyle w:val="TOC1"/>
            <w:tabs>
              <w:tab w:val="left" w:pos="440"/>
              <w:tab w:val="right" w:leader="dot" w:pos="9060"/>
            </w:tabs>
            <w:rPr>
              <w:rFonts w:ascii="Times New Roman" w:eastAsiaTheme="minorEastAsia" w:hAnsi="Times New Roman" w:cs="Times New Roman"/>
              <w:sz w:val="24"/>
              <w:szCs w:val="24"/>
              <w:lang w:eastAsia="en-GB"/>
            </w:rPr>
          </w:pPr>
          <w:hyperlink w:anchor="_Toc103273056" w:tooltip="#_Toc103273056" w:history="1">
            <w:r>
              <w:rPr>
                <w:rStyle w:val="Hyperlink"/>
                <w:rFonts w:ascii="Times New Roman" w:hAnsi="Times New Roman" w:cs="Times New Roman"/>
              </w:rPr>
              <w:t>9</w:t>
            </w:r>
            <w:r>
              <w:rPr>
                <w:rFonts w:ascii="Times New Roman" w:eastAsiaTheme="minorEastAsia" w:hAnsi="Times New Roman" w:cs="Times New Roman"/>
                <w:sz w:val="24"/>
                <w:szCs w:val="24"/>
                <w:lang w:eastAsia="en-GB"/>
              </w:rPr>
              <w:tab/>
            </w:r>
            <w:r>
              <w:rPr>
                <w:rStyle w:val="Hyperlink"/>
                <w:rFonts w:ascii="Times New Roman" w:hAnsi="Times New Roman" w:cs="Times New Roman"/>
              </w:rPr>
              <w:t>The systematic crackdown on peaceful dissent</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_Toc103273056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31</w:t>
            </w:r>
            <w:r>
              <w:rPr>
                <w:rFonts w:ascii="Times New Roman" w:hAnsi="Times New Roman" w:cs="Times New Roman"/>
              </w:rPr>
              <w:fldChar w:fldCharType="end"/>
            </w:r>
          </w:hyperlink>
        </w:p>
        <w:p w:rsidR="0060459F" w:rsidRDefault="00F96166">
          <w:pPr>
            <w:spacing w:line="276" w:lineRule="auto"/>
            <w:rPr>
              <w:rFonts w:ascii="Times New Roman" w:hAnsi="Times New Roman" w:cs="Times New Roman"/>
              <w:sz w:val="24"/>
              <w:szCs w:val="24"/>
            </w:rPr>
          </w:pPr>
          <w:r>
            <w:rPr>
              <w:rFonts w:ascii="Times New Roman" w:eastAsiaTheme="minorEastAsia" w:hAnsi="Times New Roman" w:cs="Times New Roman"/>
              <w:b/>
              <w:bCs/>
            </w:rPr>
            <w:fldChar w:fldCharType="end"/>
          </w:r>
        </w:p>
      </w:sdtContent>
    </w:sdt>
    <w:p w:rsidR="0060459F" w:rsidRDefault="00F96166">
      <w:pPr>
        <w:spacing w:before="0"/>
        <w:rPr>
          <w:rStyle w:val="SubtleEmphasis"/>
          <w:rFonts w:ascii="Times New Roman" w:hAnsi="Times New Roman" w:cs="Times New Roman"/>
        </w:rPr>
      </w:pPr>
      <w:r>
        <w:rPr>
          <w:rStyle w:val="SubtleEmphasis"/>
          <w:rFonts w:ascii="Times New Roman" w:hAnsi="Times New Roman" w:cs="Times New Roman"/>
        </w:rPr>
        <w:br w:type="page" w:clear="all"/>
      </w:r>
    </w:p>
    <w:p w:rsidR="0060459F" w:rsidRDefault="00F96166">
      <w:pPr>
        <w:pStyle w:val="Heading1"/>
        <w:spacing w:line="276" w:lineRule="auto"/>
        <w:rPr>
          <w:rFonts w:ascii="Times New Roman" w:hAnsi="Times New Roman" w:cs="Times New Roman"/>
        </w:rPr>
      </w:pPr>
      <w:bookmarkStart w:id="1" w:name="_Toc103273034"/>
      <w:r>
        <w:rPr>
          <w:rFonts w:ascii="Times New Roman" w:eastAsiaTheme="minorEastAsia" w:hAnsi="Times New Roman" w:cs="Times New Roman"/>
        </w:rPr>
        <w:lastRenderedPageBreak/>
        <w:t>Introduction</w:t>
      </w:r>
      <w:bookmarkEnd w:id="1"/>
    </w:p>
    <w:p w:rsidR="0060459F" w:rsidRDefault="00F96166">
      <w:pPr>
        <w:spacing w:line="276" w:lineRule="auto"/>
        <w:jc w:val="both"/>
        <w:rPr>
          <w:rStyle w:val="SubtleEmphasis"/>
          <w:rFonts w:ascii="Times New Roman" w:eastAsiaTheme="minorEastAsia" w:hAnsi="Times New Roman" w:cs="Times New Roman"/>
        </w:rPr>
      </w:pPr>
      <w:r>
        <w:rPr>
          <w:rStyle w:val="SubtleEmphasis"/>
          <w:rFonts w:ascii="Times New Roman" w:eastAsiaTheme="minorEastAsia" w:hAnsi="Times New Roman" w:cs="Times New Roman"/>
        </w:rPr>
        <w:t>This report is submitted in the context of the first reporting cycle of the United Arab Emirates (UAE) before the UN Committee against Torture. The UAE ratified the UN Convention against Torture and Other Cruel, Inhuman or Degrading Treatment or Punishment (UNCAT) in 2012. The first state report was due on 19 August 2013 and was submitted on 20 June 2018.</w:t>
      </w:r>
      <w:r>
        <w:rPr>
          <w:rStyle w:val="FootnoteReference"/>
          <w:rFonts w:ascii="Times New Roman" w:eastAsiaTheme="minorEastAsia" w:hAnsi="Times New Roman" w:cs="Times New Roman"/>
          <w:sz w:val="24"/>
        </w:rPr>
        <w:footnoteReference w:id="1"/>
      </w:r>
      <w:r>
        <w:rPr>
          <w:rStyle w:val="SubtleEmphasis"/>
          <w:rFonts w:ascii="Times New Roman" w:eastAsiaTheme="minorEastAsia" w:hAnsi="Times New Roman" w:cs="Times New Roman"/>
        </w:rPr>
        <w:t xml:space="preserve"> Since the state sent its report, important changes occurred in its legislation. In November 2021, Emirati state news agency WAM announced the amendment of 40 federal laws.</w:t>
      </w:r>
      <w:r>
        <w:rPr>
          <w:rStyle w:val="FootnoteReference"/>
          <w:rFonts w:ascii="Times New Roman" w:eastAsiaTheme="minorEastAsia" w:hAnsi="Times New Roman" w:cs="Times New Roman"/>
          <w:sz w:val="24"/>
        </w:rPr>
        <w:footnoteReference w:id="2"/>
      </w:r>
      <w:r>
        <w:rPr>
          <w:rStyle w:val="SubtleEmphasis"/>
          <w:rFonts w:ascii="Times New Roman" w:eastAsiaTheme="minorEastAsia" w:hAnsi="Times New Roman" w:cs="Times New Roman"/>
        </w:rPr>
        <w:t xml:space="preserve"> The announced legal changes included the enactment of a new Federal Crime and Punishment Law (penal code) that came into force in January 2022.</w:t>
      </w:r>
      <w:r>
        <w:rPr>
          <w:rStyle w:val="FootnoteReference"/>
          <w:rFonts w:ascii="Times New Roman" w:eastAsiaTheme="minorEastAsia" w:hAnsi="Times New Roman" w:cs="Times New Roman"/>
          <w:sz w:val="24"/>
        </w:rPr>
        <w:footnoteReference w:id="3"/>
      </w:r>
      <w:r>
        <w:rPr>
          <w:rStyle w:val="SubtleEmphasis"/>
          <w:rFonts w:ascii="Times New Roman" w:eastAsiaTheme="minorEastAsia" w:hAnsi="Times New Roman" w:cs="Times New Roman"/>
        </w:rPr>
        <w:t xml:space="preserve"> The penal code articles referenced in this report are thus the articles contained in the new penal code and as such may differ from the ones mentioned by the state in its report.</w:t>
      </w:r>
    </w:p>
    <w:p w:rsidR="0060459F" w:rsidRDefault="00F96166">
      <w:pPr>
        <w:spacing w:line="276" w:lineRule="auto"/>
        <w:jc w:val="both"/>
        <w:rPr>
          <w:rStyle w:val="SubtleEmphasis"/>
          <w:rFonts w:ascii="Times New Roman" w:eastAsiaTheme="minorEastAsia" w:hAnsi="Times New Roman" w:cs="Times New Roman"/>
        </w:rPr>
      </w:pPr>
      <w:r>
        <w:rPr>
          <w:rStyle w:val="SubtleEmphasis"/>
          <w:rFonts w:ascii="Times New Roman" w:eastAsiaTheme="minorEastAsia" w:hAnsi="Times New Roman" w:cs="Times New Roman"/>
        </w:rPr>
        <w:t>This report will present the relevant legal framework that relates to the application of the convention in the UAE and also mention the application (or violation of) these provisions in practice. In this regard, the next sections will show that despite some existing legal guarantees, torture is widespread in the UAE and often goes unpunished.</w:t>
      </w:r>
    </w:p>
    <w:p w:rsidR="0060459F" w:rsidRDefault="00F96166">
      <w:pPr>
        <w:spacing w:line="276" w:lineRule="auto"/>
        <w:jc w:val="both"/>
        <w:rPr>
          <w:rStyle w:val="SubtleEmphasis"/>
          <w:rFonts w:ascii="Times New Roman" w:eastAsiaTheme="minorEastAsia" w:hAnsi="Times New Roman" w:cs="Times New Roman"/>
        </w:rPr>
      </w:pPr>
      <w:r>
        <w:rPr>
          <w:rStyle w:val="SubtleEmphasis"/>
          <w:rFonts w:ascii="Times New Roman" w:eastAsiaTheme="minorEastAsia" w:hAnsi="Times New Roman" w:cs="Times New Roman"/>
        </w:rPr>
        <w:t>This has been exemplified multiple times since the country ratified the UNCAT. For example, in 2013, the UAE then engaged in a controversial mass trial of 94 individuals commonly referred to as the “UAE94”; 94 intellectuals, activists, and human rights defenders who had openly criticised the Emirati government. Many of those tried were arrested without a warrant and held in a secret location for months, while they were tortured and forced to sign confessions that would later be used to convict them.</w:t>
      </w:r>
    </w:p>
    <w:p w:rsidR="0060459F" w:rsidRDefault="00F96166">
      <w:pPr>
        <w:spacing w:line="276" w:lineRule="auto"/>
        <w:jc w:val="both"/>
        <w:rPr>
          <w:rStyle w:val="SubtleEmphasis"/>
          <w:rFonts w:ascii="Times New Roman" w:eastAsiaTheme="minorEastAsia" w:hAnsi="Times New Roman" w:cs="Times New Roman"/>
        </w:rPr>
      </w:pPr>
      <w:r>
        <w:rPr>
          <w:rStyle w:val="SubtleEmphasis"/>
          <w:rFonts w:ascii="Times New Roman" w:eastAsiaTheme="minorEastAsia" w:hAnsi="Times New Roman" w:cs="Times New Roman"/>
        </w:rPr>
        <w:t>In 2014, the former Special Rapporteur on the independence of judges and lawyers, Gabriela Knaul, visited the country and expressed concerns over credible allegations of individuals being arrested without a warrant, held in unofficial places of detention and being subjected to torture and ill-treatment, in order to confess.</w:t>
      </w:r>
      <w:r>
        <w:rPr>
          <w:rStyle w:val="FootnoteReference"/>
          <w:rFonts w:ascii="Times New Roman" w:eastAsiaTheme="minorEastAsia" w:hAnsi="Times New Roman" w:cs="Times New Roman"/>
          <w:sz w:val="24"/>
        </w:rPr>
        <w:footnoteReference w:id="4"/>
      </w:r>
      <w:r>
        <w:rPr>
          <w:rStyle w:val="SubtleEmphasis"/>
          <w:rFonts w:ascii="Times New Roman" w:eastAsiaTheme="minorEastAsia" w:hAnsi="Times New Roman" w:cs="Times New Roman"/>
        </w:rPr>
        <w:t xml:space="preserve"> She was noted that complaints relating to torture and ill-treatment presented before judges or prosecutors did not lead to judicial proceedings or investigations.</w:t>
      </w:r>
      <w:r>
        <w:rPr>
          <w:rStyle w:val="FootnoteReference"/>
          <w:rFonts w:ascii="Times New Roman" w:eastAsiaTheme="minorEastAsia" w:hAnsi="Times New Roman" w:cs="Times New Roman"/>
          <w:sz w:val="24"/>
        </w:rPr>
        <w:footnoteReference w:id="5"/>
      </w:r>
    </w:p>
    <w:p w:rsidR="0060459F" w:rsidRDefault="00F96166">
      <w:pPr>
        <w:spacing w:line="276" w:lineRule="auto"/>
        <w:jc w:val="both"/>
        <w:rPr>
          <w:rStyle w:val="SubtleEmphasis"/>
          <w:rFonts w:ascii="Times New Roman" w:eastAsiaTheme="minorEastAsia" w:hAnsi="Times New Roman" w:cs="Times New Roman"/>
        </w:rPr>
      </w:pPr>
      <w:r>
        <w:rPr>
          <w:rStyle w:val="SubtleEmphasis"/>
          <w:rFonts w:ascii="Times New Roman" w:eastAsiaTheme="minorEastAsia" w:hAnsi="Times New Roman" w:cs="Times New Roman"/>
        </w:rPr>
        <w:lastRenderedPageBreak/>
        <w:t>In 2017, the Working Group on Arbitrary Detention adopted an opinion in which it noted, with regards to the UAE, a series of cases in recent years of arbitrary deprivation of liberty, particularly after torture and ill-treatment had been used to coerce confessions in criminal proceedings, recalling that widespread or systematic imprisonment or other severe deprivation of liberty in violation of fundamental rules of international law may constitute crimes against humanity in certain circumstances.</w:t>
      </w:r>
      <w:r>
        <w:rPr>
          <w:rStyle w:val="FootnoteReference"/>
          <w:rFonts w:ascii="Times New Roman" w:eastAsiaTheme="minorEastAsia" w:hAnsi="Times New Roman" w:cs="Times New Roman"/>
          <w:sz w:val="24"/>
        </w:rPr>
        <w:footnoteReference w:id="6"/>
      </w:r>
    </w:p>
    <w:p w:rsidR="0060459F" w:rsidRDefault="00F96166">
      <w:pPr>
        <w:spacing w:line="276" w:lineRule="auto"/>
        <w:jc w:val="both"/>
        <w:rPr>
          <w:rFonts w:ascii="Times New Roman" w:eastAsiaTheme="minorEastAsia" w:hAnsi="Times New Roman" w:cs="Times New Roman"/>
          <w:sz w:val="24"/>
        </w:rPr>
      </w:pPr>
      <w:r>
        <w:rPr>
          <w:rStyle w:val="SubtleEmphasis"/>
          <w:rFonts w:ascii="Times New Roman" w:eastAsiaTheme="minorEastAsia" w:hAnsi="Times New Roman" w:cs="Times New Roman"/>
        </w:rPr>
        <w:t>The next sections of this report provide further information on the widespread practice of torture in the UAE. The information provided in the report is complemented by annex 1, which provides an overview of cases of torture in the UAE documented by MENA Rights Group in the past years.</w:t>
      </w:r>
    </w:p>
    <w:p w:rsidR="0060459F" w:rsidRDefault="00F96166">
      <w:pPr>
        <w:pStyle w:val="Heading1"/>
        <w:spacing w:line="276" w:lineRule="auto"/>
        <w:rPr>
          <w:rFonts w:ascii="Times New Roman" w:hAnsi="Times New Roman" w:cs="Times New Roman"/>
        </w:rPr>
      </w:pPr>
      <w:bookmarkStart w:id="2" w:name="_Toc103273035"/>
      <w:r>
        <w:rPr>
          <w:rFonts w:ascii="Times New Roman" w:eastAsiaTheme="minorEastAsia" w:hAnsi="Times New Roman" w:cs="Times New Roman"/>
        </w:rPr>
        <w:t>Definition, criminalisation and absolute prohibition of torture</w:t>
      </w:r>
      <w:bookmarkEnd w:id="2"/>
    </w:p>
    <w:p w:rsidR="0060459F" w:rsidRDefault="00F96166">
      <w:pPr>
        <w:spacing w:line="276" w:lineRule="auto"/>
        <w:jc w:val="both"/>
        <w:rPr>
          <w:rStyle w:val="SubtleEmphasis"/>
          <w:rFonts w:ascii="Times New Roman" w:eastAsiaTheme="minorEastAsia" w:hAnsi="Times New Roman" w:cs="Times New Roman"/>
        </w:rPr>
      </w:pPr>
      <w:r>
        <w:rPr>
          <w:rStyle w:val="SubtleEmphasis"/>
          <w:rFonts w:ascii="Times New Roman" w:eastAsiaTheme="minorEastAsia" w:hAnsi="Times New Roman" w:cs="Times New Roman"/>
        </w:rPr>
        <w:t>The UAE ratified the UNCAT in 2012. In the UAE, international treaties must be internalised to become part of domestic law.</w:t>
      </w:r>
      <w:r>
        <w:rPr>
          <w:rStyle w:val="FootnoteReference"/>
          <w:rFonts w:ascii="Times New Roman" w:eastAsiaTheme="minorEastAsia" w:hAnsi="Times New Roman" w:cs="Times New Roman"/>
          <w:sz w:val="24"/>
        </w:rPr>
        <w:footnoteReference w:id="7"/>
      </w:r>
      <w:r>
        <w:rPr>
          <w:rStyle w:val="SubtleEmphasis"/>
          <w:rFonts w:ascii="Times New Roman" w:eastAsiaTheme="minorEastAsia" w:hAnsi="Times New Roman" w:cs="Times New Roman"/>
        </w:rPr>
        <w:t xml:space="preserve"> According to the state, the UNCAT became national law with the publication of the federal decree ratifying it in the country’s official gazette.</w:t>
      </w:r>
      <w:r>
        <w:rPr>
          <w:rStyle w:val="FootnoteReference"/>
          <w:rFonts w:ascii="Times New Roman" w:eastAsiaTheme="minorEastAsia" w:hAnsi="Times New Roman" w:cs="Times New Roman"/>
          <w:sz w:val="24"/>
        </w:rPr>
        <w:footnoteReference w:id="8"/>
      </w:r>
      <w:r>
        <w:rPr>
          <w:rStyle w:val="SubtleEmphasis"/>
          <w:rFonts w:ascii="Times New Roman" w:eastAsiaTheme="minorEastAsia" w:hAnsi="Times New Roman" w:cs="Times New Roman"/>
        </w:rPr>
        <w:t xml:space="preserve"> Yet, to date, Emirati law does not criminalise torture in a manner entirely consistent with the Convention. Article 26 of the Emirati constitution states that “[n]o man shall be subjected to torture or other indignity,” while article 28 prohibits “[t]he infliction of physical or mental harm on an accused person.”</w:t>
      </w:r>
      <w:r>
        <w:rPr>
          <w:rStyle w:val="FootnoteReference"/>
          <w:rFonts w:ascii="Times New Roman" w:eastAsiaTheme="minorEastAsia" w:hAnsi="Times New Roman" w:cs="Times New Roman"/>
          <w:sz w:val="24"/>
        </w:rPr>
        <w:t xml:space="preserve"> </w:t>
      </w:r>
      <w:r>
        <w:rPr>
          <w:rStyle w:val="FootnoteReference"/>
          <w:rFonts w:ascii="Times New Roman" w:eastAsiaTheme="minorEastAsia" w:hAnsi="Times New Roman" w:cs="Times New Roman"/>
          <w:sz w:val="24"/>
        </w:rPr>
        <w:footnoteReference w:id="9"/>
      </w:r>
    </w:p>
    <w:p w:rsidR="0060459F" w:rsidRDefault="00F96166">
      <w:pPr>
        <w:spacing w:line="276" w:lineRule="auto"/>
        <w:jc w:val="both"/>
        <w:rPr>
          <w:rStyle w:val="SubtleEmphasis"/>
          <w:rFonts w:ascii="Times New Roman" w:eastAsiaTheme="minorEastAsia" w:hAnsi="Times New Roman" w:cs="Times New Roman"/>
        </w:rPr>
      </w:pPr>
      <w:r>
        <w:rPr>
          <w:rStyle w:val="SubtleEmphasis"/>
          <w:rFonts w:ascii="Times New Roman" w:eastAsiaTheme="minorEastAsia" w:hAnsi="Times New Roman" w:cs="Times New Roman"/>
        </w:rPr>
        <w:t>Article 290 of the penal code, in turn, imposes a prison sentence against “[a]</w:t>
      </w:r>
      <w:proofErr w:type="spellStart"/>
      <w:r>
        <w:rPr>
          <w:rStyle w:val="SubtleEmphasis"/>
          <w:rFonts w:ascii="Times New Roman" w:eastAsiaTheme="minorEastAsia" w:hAnsi="Times New Roman" w:cs="Times New Roman"/>
        </w:rPr>
        <w:t>ny</w:t>
      </w:r>
      <w:proofErr w:type="spellEnd"/>
      <w:r>
        <w:rPr>
          <w:rStyle w:val="SubtleEmphasis"/>
          <w:rFonts w:ascii="Times New Roman" w:eastAsiaTheme="minorEastAsia" w:hAnsi="Times New Roman" w:cs="Times New Roman"/>
        </w:rPr>
        <w:t xml:space="preserve"> public official who uses torture, force or threats against an accused person, a witness or an expert, either directly or through an intermediary, for the purpose of obtaining a confession to an offence, or coercing the person into making a statement or providing information about an offence or concealing facts shall be sentenced to a fixed term of imprisonment.”</w:t>
      </w:r>
      <w:r>
        <w:rPr>
          <w:rStyle w:val="FootnoteReference"/>
          <w:rFonts w:ascii="Times New Roman" w:eastAsiaTheme="minorEastAsia" w:hAnsi="Times New Roman" w:cs="Times New Roman"/>
          <w:sz w:val="24"/>
        </w:rPr>
        <w:footnoteReference w:id="10"/>
      </w:r>
      <w:r>
        <w:rPr>
          <w:rStyle w:val="SubtleEmphasis"/>
          <w:rFonts w:ascii="Times New Roman" w:eastAsiaTheme="minorEastAsia" w:hAnsi="Times New Roman" w:cs="Times New Roman"/>
        </w:rPr>
        <w:t xml:space="preserve"> The following article, 291, continues to criminalise actions by public officials that impose on convicted persons “a penalty that is more severe than that imposed by law or different to the penalty to which the person was sentenced.”</w:t>
      </w:r>
      <w:r>
        <w:rPr>
          <w:rStyle w:val="FootnoteReference"/>
          <w:rFonts w:ascii="Times New Roman" w:eastAsiaTheme="minorEastAsia" w:hAnsi="Times New Roman" w:cs="Times New Roman"/>
          <w:sz w:val="24"/>
        </w:rPr>
        <w:footnoteReference w:id="11"/>
      </w:r>
      <w:r>
        <w:rPr>
          <w:rStyle w:val="SubtleEmphasis"/>
          <w:rFonts w:ascii="Times New Roman" w:eastAsiaTheme="minorEastAsia" w:hAnsi="Times New Roman" w:cs="Times New Roman"/>
        </w:rPr>
        <w:t xml:space="preserve"> Article 293 more broadly punishes “[a]</w:t>
      </w:r>
      <w:proofErr w:type="spellStart"/>
      <w:r>
        <w:rPr>
          <w:rStyle w:val="SubtleEmphasis"/>
          <w:rFonts w:ascii="Times New Roman" w:eastAsiaTheme="minorEastAsia" w:hAnsi="Times New Roman" w:cs="Times New Roman"/>
        </w:rPr>
        <w:t>ll</w:t>
      </w:r>
      <w:proofErr w:type="spellEnd"/>
      <w:r>
        <w:rPr>
          <w:rStyle w:val="SubtleEmphasis"/>
          <w:rFonts w:ascii="Times New Roman" w:eastAsiaTheme="minorEastAsia" w:hAnsi="Times New Roman" w:cs="Times New Roman"/>
        </w:rPr>
        <w:t xml:space="preserve"> public officials or persons entrusted with a public service who use the authority of their office to subject others to cruel treatment, offend their decency or cause them bodily harm.”</w:t>
      </w:r>
      <w:r>
        <w:rPr>
          <w:rStyle w:val="FootnoteReference"/>
          <w:rFonts w:ascii="Times New Roman" w:eastAsiaTheme="minorEastAsia" w:hAnsi="Times New Roman" w:cs="Times New Roman"/>
          <w:sz w:val="24"/>
        </w:rPr>
        <w:footnoteReference w:id="12"/>
      </w:r>
      <w:r>
        <w:rPr>
          <w:rStyle w:val="SubtleEmphasis"/>
          <w:rFonts w:ascii="Times New Roman" w:eastAsiaTheme="minorEastAsia" w:hAnsi="Times New Roman" w:cs="Times New Roman"/>
        </w:rPr>
        <w:t xml:space="preserve"> Lastly, article 2 of the Emirati </w:t>
      </w:r>
      <w:r>
        <w:rPr>
          <w:rStyle w:val="SubtleEmphasis"/>
          <w:rFonts w:ascii="Times New Roman" w:eastAsiaTheme="minorEastAsia" w:hAnsi="Times New Roman" w:cs="Times New Roman"/>
        </w:rPr>
        <w:lastRenderedPageBreak/>
        <w:t>Code of Criminal Procedure (hereinafter CCP) establishes that “[</w:t>
      </w:r>
      <w:proofErr w:type="spellStart"/>
      <w:r>
        <w:rPr>
          <w:rStyle w:val="SubtleEmphasis"/>
          <w:rFonts w:ascii="Times New Roman" w:eastAsiaTheme="minorEastAsia" w:hAnsi="Times New Roman" w:cs="Times New Roman"/>
        </w:rPr>
        <w:t>i</w:t>
      </w:r>
      <w:proofErr w:type="spellEnd"/>
      <w:r>
        <w:rPr>
          <w:rStyle w:val="SubtleEmphasis"/>
          <w:rFonts w:ascii="Times New Roman" w:eastAsiaTheme="minorEastAsia" w:hAnsi="Times New Roman" w:cs="Times New Roman"/>
        </w:rPr>
        <w:t>]t is prohibited to cause physical or moral harm to the accused, and it is prohibited to subject any person to torture or degrading treatment. Any evidence obtained through any harmful treatment shall be considered null.”</w:t>
      </w:r>
      <w:r>
        <w:rPr>
          <w:rStyle w:val="FootnoteReference"/>
          <w:rFonts w:ascii="Times New Roman" w:eastAsiaTheme="minorEastAsia" w:hAnsi="Times New Roman" w:cs="Times New Roman"/>
          <w:sz w:val="24"/>
        </w:rPr>
        <w:footnoteReference w:id="13"/>
      </w:r>
    </w:p>
    <w:p w:rsidR="0060459F" w:rsidRDefault="00F96166">
      <w:pPr>
        <w:spacing w:line="276" w:lineRule="auto"/>
        <w:jc w:val="both"/>
        <w:rPr>
          <w:rStyle w:val="SubtleEmphasis"/>
          <w:rFonts w:ascii="Times New Roman" w:eastAsiaTheme="minorEastAsia" w:hAnsi="Times New Roman" w:cs="Times New Roman"/>
        </w:rPr>
      </w:pPr>
      <w:r>
        <w:rPr>
          <w:rStyle w:val="SubtleEmphasis"/>
          <w:rFonts w:ascii="Times New Roman" w:eastAsiaTheme="minorEastAsia" w:hAnsi="Times New Roman" w:cs="Times New Roman"/>
        </w:rPr>
        <w:t>While these provisions cover most aspects of article 1 UNCAT, the penalties associated with the criminalised acts do not necessarily reflect the gravity of torture. Article 290 of the penal code foresees a penalty of imprisonment, which, according to article 60 of the same code, may range from 3 to 15 years. When it comes to article 291, it prescribes that the penalty for perpetrators cannot exceed five years imprisonment. Lastly, article 293 prescribes a minimum sentence of only one year, despite the severity of the acts criminalised in the provision.</w:t>
      </w:r>
    </w:p>
    <w:p w:rsidR="0060459F" w:rsidRDefault="00F96166">
      <w:pPr>
        <w:spacing w:line="276" w:lineRule="auto"/>
        <w:jc w:val="both"/>
        <w:rPr>
          <w:rStyle w:val="SubtleEmphasis"/>
          <w:rFonts w:ascii="Times New Roman" w:eastAsiaTheme="minorEastAsia" w:hAnsi="Times New Roman" w:cs="Times New Roman"/>
        </w:rPr>
      </w:pPr>
      <w:r>
        <w:rPr>
          <w:rStyle w:val="SubtleEmphasis"/>
          <w:rFonts w:ascii="Times New Roman" w:eastAsiaTheme="minorEastAsia" w:hAnsi="Times New Roman" w:cs="Times New Roman"/>
        </w:rPr>
        <w:t>Furthermore, there is no provision explicitly mentioning that no exceptional circumstances whatsoever may justify torture, as required by article 2(2) UNCAT. Similarly, there is no provision explicitly prescribing that an order from a superior officer or a public authority may not be invoked as a justification of torture, in accordance with article 2(3) UNCAT.</w:t>
      </w:r>
    </w:p>
    <w:p w:rsidR="0060459F" w:rsidRDefault="00F96166">
      <w:pPr>
        <w:pStyle w:val="Title"/>
        <w:rPr>
          <w:rFonts w:ascii="Times New Roman" w:hAnsi="Times New Roman" w:cs="Times New Roman"/>
        </w:rPr>
      </w:pPr>
      <w:r>
        <w:rPr>
          <w:rFonts w:ascii="Times New Roman" w:eastAsiaTheme="minorEastAsia" w:hAnsi="Times New Roman" w:cs="Times New Roman"/>
        </w:rPr>
        <w:t>Recommendations:</w:t>
      </w:r>
    </w:p>
    <w:p w:rsidR="0060459F" w:rsidRDefault="00F96166">
      <w:pPr>
        <w:pStyle w:val="ListParagraph"/>
        <w:numPr>
          <w:ilvl w:val="0"/>
          <w:numId w:val="5"/>
        </w:numPr>
        <w:jc w:val="both"/>
        <w:rPr>
          <w:rFonts w:ascii="Times New Roman" w:hAnsi="Times New Roman" w:cs="Times New Roman"/>
          <w:color w:val="7030A0"/>
        </w:rPr>
      </w:pPr>
      <w:r>
        <w:rPr>
          <w:rFonts w:ascii="Times New Roman" w:eastAsiaTheme="minorEastAsia" w:hAnsi="Times New Roman" w:cs="Times New Roman"/>
          <w:color w:val="7030A0"/>
        </w:rPr>
        <w:t>Amend Emirati legislation to include provisions foreseeing that no exceptional circumstances whatsoever may justify torture and that an order from a superior officer or public authority may not be invoked as a justification of torture;</w:t>
      </w:r>
    </w:p>
    <w:p w:rsidR="0060459F" w:rsidRDefault="00F96166">
      <w:pPr>
        <w:pStyle w:val="ListParagraph"/>
        <w:numPr>
          <w:ilvl w:val="0"/>
          <w:numId w:val="5"/>
        </w:numPr>
        <w:jc w:val="both"/>
        <w:rPr>
          <w:rFonts w:ascii="Times New Roman" w:hAnsi="Times New Roman" w:cs="Times New Roman"/>
          <w:color w:val="7030A0"/>
        </w:rPr>
      </w:pPr>
      <w:r>
        <w:rPr>
          <w:rFonts w:ascii="Times New Roman" w:eastAsiaTheme="minorEastAsia" w:hAnsi="Times New Roman" w:cs="Times New Roman"/>
          <w:color w:val="7030A0"/>
        </w:rPr>
        <w:t>Amend Emirati legislation to ensure the penalties associated with torture reflect the seriousness of the crime.</w:t>
      </w:r>
    </w:p>
    <w:p w:rsidR="0060459F" w:rsidRDefault="0060459F">
      <w:pPr>
        <w:rPr>
          <w:rFonts w:ascii="Times New Roman" w:hAnsi="Times New Roman" w:cs="Times New Roman"/>
          <w:color w:val="543192"/>
        </w:rPr>
      </w:pPr>
    </w:p>
    <w:p w:rsidR="0060459F" w:rsidRDefault="00F96166">
      <w:pPr>
        <w:pStyle w:val="Heading1"/>
        <w:rPr>
          <w:rStyle w:val="SubtleEmphasis"/>
          <w:rFonts w:ascii="Times New Roman" w:hAnsi="Times New Roman" w:cs="Times New Roman"/>
        </w:rPr>
      </w:pPr>
      <w:bookmarkStart w:id="3" w:name="_Toc103273036"/>
      <w:r>
        <w:rPr>
          <w:rFonts w:ascii="Times New Roman" w:eastAsiaTheme="minorEastAsia" w:hAnsi="Times New Roman" w:cs="Times New Roman"/>
        </w:rPr>
        <w:t xml:space="preserve">Principle of </w:t>
      </w:r>
      <w:r>
        <w:rPr>
          <w:rFonts w:ascii="Times New Roman" w:eastAsiaTheme="minorEastAsia" w:hAnsi="Times New Roman" w:cs="Times New Roman"/>
          <w:i/>
          <w:iCs/>
        </w:rPr>
        <w:t>non-</w:t>
      </w:r>
      <w:proofErr w:type="spellStart"/>
      <w:r>
        <w:rPr>
          <w:rFonts w:ascii="Times New Roman" w:eastAsiaTheme="minorEastAsia" w:hAnsi="Times New Roman" w:cs="Times New Roman"/>
          <w:i/>
          <w:iCs/>
        </w:rPr>
        <w:t>refoulement</w:t>
      </w:r>
      <w:bookmarkEnd w:id="3"/>
      <w:proofErr w:type="spellEnd"/>
    </w:p>
    <w:p w:rsidR="0060459F" w:rsidRDefault="00F96166">
      <w:pPr>
        <w:spacing w:line="276" w:lineRule="auto"/>
        <w:jc w:val="both"/>
        <w:rPr>
          <w:rStyle w:val="SubtleEmphasis"/>
          <w:rFonts w:ascii="Times New Roman" w:hAnsi="Times New Roman" w:cs="Times New Roman"/>
        </w:rPr>
      </w:pPr>
      <w:r>
        <w:rPr>
          <w:rStyle w:val="SubtleEmphasis"/>
          <w:rFonts w:ascii="Times New Roman" w:hAnsi="Times New Roman" w:cs="Times New Roman"/>
        </w:rPr>
        <w:t>As mentioned in the state report, article 9(10) of the Emirati Federal Law No. 39 of 2006 on international judicial co-operation in criminal matters prohibits the extradition of a person who has been, or may be, subjected to torture or cruel, inhuman or degrading treatment or punishment disproportionate to the offence in the requesting state. Articles 17 and 19 of the same law further foresee that the concerned person has the right to have a lawyer present at extradition hearings. An extradition decision may be appealed within 30 days, according to article 22.</w:t>
      </w:r>
    </w:p>
    <w:p w:rsidR="0060459F" w:rsidRDefault="00F96166">
      <w:pPr>
        <w:spacing w:line="276" w:lineRule="auto"/>
        <w:jc w:val="both"/>
        <w:rPr>
          <w:rStyle w:val="SubtleEmphasis"/>
          <w:rFonts w:ascii="Times New Roman" w:hAnsi="Times New Roman" w:cs="Times New Roman"/>
        </w:rPr>
      </w:pPr>
      <w:r>
        <w:rPr>
          <w:rStyle w:val="SubtleEmphasis"/>
          <w:rFonts w:ascii="Times New Roman" w:hAnsi="Times New Roman" w:cs="Times New Roman"/>
        </w:rPr>
        <w:t xml:space="preserve">While these are key legal guarantees, it is also important to take into account paragraph 3 of abovementioned article 9. That paragraph prevents the extradition of those accused of crimes of a political nature but excludes from this exception, among others, terrorist offences. In practice, this may be problematic as the UAE has a very broad definition of terrorism offences. In this regard, multiple UN special mandate holders expressed their concern over the UAE’s </w:t>
      </w:r>
      <w:r>
        <w:rPr>
          <w:rStyle w:val="SubtleEmphasis"/>
          <w:rFonts w:ascii="Times New Roman" w:hAnsi="Times New Roman" w:cs="Times New Roman"/>
        </w:rPr>
        <w:lastRenderedPageBreak/>
        <w:t xml:space="preserve">2014 Law No. 7 </w:t>
      </w:r>
      <w:proofErr w:type="gramStart"/>
      <w:r>
        <w:rPr>
          <w:rStyle w:val="SubtleEmphasis"/>
          <w:rFonts w:ascii="Times New Roman" w:hAnsi="Times New Roman" w:cs="Times New Roman"/>
        </w:rPr>
        <w:t>On</w:t>
      </w:r>
      <w:proofErr w:type="gramEnd"/>
      <w:r>
        <w:rPr>
          <w:rStyle w:val="SubtleEmphasis"/>
          <w:rFonts w:ascii="Times New Roman" w:hAnsi="Times New Roman" w:cs="Times New Roman"/>
        </w:rPr>
        <w:t xml:space="preserve"> Combatting Terrorism Offences,</w:t>
      </w:r>
      <w:r>
        <w:rPr>
          <w:rStyle w:val="FootnoteReference"/>
          <w:rFonts w:ascii="Times New Roman" w:hAnsi="Times New Roman" w:cs="Times New Roman"/>
          <w:sz w:val="24"/>
        </w:rPr>
        <w:footnoteReference w:id="14"/>
      </w:r>
      <w:r>
        <w:rPr>
          <w:rStyle w:val="SubtleEmphasis"/>
          <w:rFonts w:ascii="Times New Roman" w:hAnsi="Times New Roman" w:cs="Times New Roman"/>
        </w:rPr>
        <w:t xml:space="preserve"> which they claimed did not appear to be in line with the UAE’s international human rights obligations. According to them, the definitions contained in that law lacked precise and unambiguous language, which could compromise legal certainty and also allow certain forms of criticism or dissent to be interpreted and prosecuted as terrorism, seemingly at the subjective discretion of the relevant authorities.</w:t>
      </w:r>
      <w:r>
        <w:rPr>
          <w:rStyle w:val="FootnoteReference"/>
          <w:rFonts w:ascii="Times New Roman" w:hAnsi="Times New Roman" w:cs="Times New Roman"/>
          <w:sz w:val="24"/>
        </w:rPr>
        <w:footnoteReference w:id="15"/>
      </w:r>
      <w:r>
        <w:rPr>
          <w:rStyle w:val="SubtleEmphasis"/>
          <w:rFonts w:ascii="Times New Roman" w:hAnsi="Times New Roman" w:cs="Times New Roman"/>
        </w:rPr>
        <w:t xml:space="preserve"> When it comes to extradition, such broad language could lead to foreign critics being extradited from the UAE to their state of origin, where they may be tried for terrorism due to their political views.</w:t>
      </w:r>
    </w:p>
    <w:p w:rsidR="0060459F" w:rsidRDefault="00F96166">
      <w:pPr>
        <w:spacing w:line="276" w:lineRule="auto"/>
        <w:jc w:val="both"/>
        <w:rPr>
          <w:rStyle w:val="SubtleEmphasis"/>
          <w:rFonts w:ascii="Times New Roman" w:hAnsi="Times New Roman" w:cs="Times New Roman"/>
        </w:rPr>
      </w:pPr>
      <w:r>
        <w:rPr>
          <w:rStyle w:val="SubtleEmphasis"/>
          <w:rFonts w:ascii="Times New Roman" w:hAnsi="Times New Roman" w:cs="Times New Roman"/>
        </w:rPr>
        <w:t>Furthermore, Federal Law No. 39 of 2006 is not the only legal instrument regulating extradition in the UAE. The country is party to the Riyadh Arab Agreement for Judicial Cooperation, which foresees the mandatory extradition of persons among state parties.</w:t>
      </w:r>
      <w:r>
        <w:rPr>
          <w:rStyle w:val="FootnoteReference"/>
          <w:rFonts w:ascii="Times New Roman" w:hAnsi="Times New Roman" w:cs="Times New Roman"/>
          <w:sz w:val="24"/>
        </w:rPr>
        <w:footnoteReference w:id="16"/>
      </w:r>
      <w:r>
        <w:rPr>
          <w:rStyle w:val="SubtleEmphasis"/>
          <w:rFonts w:ascii="Times New Roman" w:hAnsi="Times New Roman" w:cs="Times New Roman"/>
        </w:rPr>
        <w:t xml:space="preserve"> While there are exceptions to the obligation to extradite, including in cases where “the crime for which extradition is requested is considered by the laws of the requested party as a crime of a political nature” (article 41(a)), the agreement contains no provision foreseeing the refusal to extradite in cases where the concerned person may be subjected to torture, inhuman or degrading treatment upon extradition. </w:t>
      </w:r>
    </w:p>
    <w:p w:rsidR="0060459F" w:rsidRDefault="00F96166">
      <w:pPr>
        <w:spacing w:line="276" w:lineRule="auto"/>
        <w:jc w:val="both"/>
        <w:rPr>
          <w:rStyle w:val="SubtleEmphasis"/>
          <w:rFonts w:ascii="Times New Roman" w:hAnsi="Times New Roman" w:cs="Times New Roman"/>
        </w:rPr>
      </w:pPr>
      <w:r>
        <w:rPr>
          <w:rStyle w:val="SubtleEmphasis"/>
          <w:rFonts w:ascii="Times New Roman" w:hAnsi="Times New Roman" w:cs="Times New Roman"/>
        </w:rPr>
        <w:t>The UAE has also entered multiple bilateral extradition agreements, including with countries that have an appalling human rights record such as China.</w:t>
      </w:r>
      <w:r>
        <w:rPr>
          <w:rStyle w:val="FootnoteReference"/>
          <w:rFonts w:ascii="Times New Roman" w:hAnsi="Times New Roman" w:cs="Times New Roman"/>
          <w:sz w:val="24"/>
        </w:rPr>
        <w:footnoteReference w:id="17"/>
      </w:r>
      <w:r>
        <w:rPr>
          <w:rStyle w:val="SubtleEmphasis"/>
          <w:rFonts w:ascii="Times New Roman" w:hAnsi="Times New Roman" w:cs="Times New Roman"/>
        </w:rPr>
        <w:t xml:space="preserve"> In this regard, media sources reported on the Chinese government operating in the UAE to identify members of the Uyghur minority who may have fled to that country as well as pressuring UAE authorities to detain and deport Uyghurs.</w:t>
      </w:r>
      <w:r>
        <w:rPr>
          <w:rStyle w:val="FootnoteReference"/>
          <w:rFonts w:ascii="Times New Roman" w:hAnsi="Times New Roman" w:cs="Times New Roman"/>
          <w:sz w:val="24"/>
        </w:rPr>
        <w:footnoteReference w:id="18"/>
      </w:r>
    </w:p>
    <w:p w:rsidR="0060459F" w:rsidRDefault="00F96166">
      <w:pPr>
        <w:spacing w:line="276" w:lineRule="auto"/>
        <w:jc w:val="both"/>
        <w:rPr>
          <w:rStyle w:val="SubtleEmphasis"/>
          <w:rFonts w:ascii="Times New Roman" w:hAnsi="Times New Roman" w:cs="Times New Roman"/>
        </w:rPr>
      </w:pPr>
      <w:r>
        <w:rPr>
          <w:rStyle w:val="SubtleEmphasis"/>
          <w:rFonts w:ascii="Times New Roman" w:hAnsi="Times New Roman" w:cs="Times New Roman"/>
        </w:rPr>
        <w:t xml:space="preserve">It is also important to note that extradition is not the only way for a state to expel someone. In this regard, UAE’s Federal Law No. 6 of 1973 on entry and residence of aliens foresees in article 23 that an alien may be deported, regardless of whether s/he has a permit, visa or resident permit, “if such deportation is required by the public interest, public security, public morals or </w:t>
      </w:r>
      <w:r>
        <w:rPr>
          <w:rStyle w:val="SubtleEmphasis"/>
          <w:rFonts w:ascii="Times New Roman" w:hAnsi="Times New Roman" w:cs="Times New Roman"/>
        </w:rPr>
        <w:lastRenderedPageBreak/>
        <w:t>public health or in case he has no evident means to earn his living.” Similarly, article 28 of the 2003 State Security Law allows the president of the State Security Apparatus (SSA) to order the deportation of a foreigner when their presence in the country poses a threat to national security. No exception is prescribed in these two pieces of legislation in case there are substantial grounds for believing that the concerned person would be in danger of being subjected to torture upon extradition.</w:t>
      </w:r>
    </w:p>
    <w:p w:rsidR="0060459F" w:rsidRDefault="00F96166">
      <w:pPr>
        <w:spacing w:line="276" w:lineRule="auto"/>
        <w:jc w:val="both"/>
        <w:rPr>
          <w:rStyle w:val="SubtleEmphasis"/>
          <w:rFonts w:ascii="Times New Roman" w:hAnsi="Times New Roman" w:cs="Times New Roman"/>
        </w:rPr>
      </w:pPr>
      <w:r>
        <w:rPr>
          <w:rStyle w:val="SubtleEmphasis"/>
          <w:rFonts w:ascii="Times New Roman" w:hAnsi="Times New Roman" w:cs="Times New Roman"/>
        </w:rPr>
        <w:t xml:space="preserve">Besides the abovementioned flaws in the UAE’s law, in practice, the country has also violated its obligations under article 3 UNCAT. For example, MENA Rights Group documented the case of Pakistani businessman Abdul </w:t>
      </w:r>
      <w:proofErr w:type="spellStart"/>
      <w:r>
        <w:rPr>
          <w:rStyle w:val="SubtleEmphasis"/>
          <w:rFonts w:ascii="Times New Roman" w:hAnsi="Times New Roman" w:cs="Times New Roman"/>
        </w:rPr>
        <w:t>Hafeez</w:t>
      </w:r>
      <w:proofErr w:type="spellEnd"/>
      <w:r>
        <w:rPr>
          <w:rStyle w:val="SubtleEmphasis"/>
          <w:rFonts w:ascii="Times New Roman" w:hAnsi="Times New Roman" w:cs="Times New Roman"/>
        </w:rPr>
        <w:t xml:space="preserve"> Muhammad </w:t>
      </w:r>
      <w:proofErr w:type="spellStart"/>
      <w:r>
        <w:rPr>
          <w:rStyle w:val="SubtleEmphasis"/>
          <w:rFonts w:ascii="Times New Roman" w:hAnsi="Times New Roman" w:cs="Times New Roman"/>
        </w:rPr>
        <w:t>Ramzan</w:t>
      </w:r>
      <w:proofErr w:type="spellEnd"/>
      <w:r>
        <w:rPr>
          <w:rStyle w:val="SubtleEmphasis"/>
          <w:rFonts w:ascii="Times New Roman" w:hAnsi="Times New Roman" w:cs="Times New Roman"/>
        </w:rPr>
        <w:t>,</w:t>
      </w:r>
      <w:r>
        <w:rPr>
          <w:rStyle w:val="FootnoteReference"/>
          <w:rFonts w:ascii="Times New Roman" w:hAnsi="Times New Roman" w:cs="Times New Roman"/>
          <w:sz w:val="24"/>
        </w:rPr>
        <w:footnoteReference w:id="19"/>
      </w:r>
      <w:r>
        <w:rPr>
          <w:rStyle w:val="SubtleEmphasis"/>
          <w:rFonts w:ascii="Times New Roman" w:hAnsi="Times New Roman" w:cs="Times New Roman"/>
        </w:rPr>
        <w:t xml:space="preserve"> who was arrested and forcibly disappeared by UAE security forces on 27 January 2022, before being deported to Pakistan on 2 February 2022. As an ethnic Baloch, who moved to the UAE after his father and younger brother were killed in Pakistan by Pakistani intelligence services, he is at high risk of torture in Pakistan, especially as he had no contact with his family since his deportation. In 2018, </w:t>
      </w:r>
      <w:proofErr w:type="spellStart"/>
      <w:r>
        <w:rPr>
          <w:rStyle w:val="SubtleEmphasis"/>
          <w:rFonts w:ascii="Times New Roman" w:hAnsi="Times New Roman" w:cs="Times New Roman"/>
        </w:rPr>
        <w:t>Ramzan’s</w:t>
      </w:r>
      <w:proofErr w:type="spellEnd"/>
      <w:r>
        <w:rPr>
          <w:rStyle w:val="SubtleEmphasis"/>
          <w:rFonts w:ascii="Times New Roman" w:hAnsi="Times New Roman" w:cs="Times New Roman"/>
        </w:rPr>
        <w:t xml:space="preserve"> </w:t>
      </w:r>
      <w:proofErr w:type="gramStart"/>
      <w:r>
        <w:rPr>
          <w:rStyle w:val="SubtleEmphasis"/>
          <w:rFonts w:ascii="Times New Roman" w:hAnsi="Times New Roman" w:cs="Times New Roman"/>
        </w:rPr>
        <w:t>cousin</w:t>
      </w:r>
      <w:proofErr w:type="gramEnd"/>
      <w:r>
        <w:rPr>
          <w:rStyle w:val="SubtleEmphasis"/>
          <w:rFonts w:ascii="Times New Roman" w:hAnsi="Times New Roman" w:cs="Times New Roman"/>
        </w:rPr>
        <w:t xml:space="preserve"> Rashid Hussain </w:t>
      </w:r>
      <w:proofErr w:type="spellStart"/>
      <w:r>
        <w:rPr>
          <w:rStyle w:val="SubtleEmphasis"/>
          <w:rFonts w:ascii="Times New Roman" w:hAnsi="Times New Roman" w:cs="Times New Roman"/>
        </w:rPr>
        <w:t>Brohi</w:t>
      </w:r>
      <w:proofErr w:type="spellEnd"/>
      <w:r>
        <w:rPr>
          <w:rStyle w:val="SubtleEmphasis"/>
          <w:rFonts w:ascii="Times New Roman" w:hAnsi="Times New Roman" w:cs="Times New Roman"/>
        </w:rPr>
        <w:t xml:space="preserve">, who was living in the UAE at the time and was an activist in the Baloch National Movement in Pakistan, was also arrested by UAE security forces, forcibly disappeared, and deported to Pakistan. </w:t>
      </w:r>
      <w:proofErr w:type="spellStart"/>
      <w:r>
        <w:rPr>
          <w:rStyle w:val="SubtleEmphasis"/>
          <w:rFonts w:ascii="Times New Roman" w:hAnsi="Times New Roman" w:cs="Times New Roman"/>
        </w:rPr>
        <w:t>Brohi’s</w:t>
      </w:r>
      <w:proofErr w:type="spellEnd"/>
      <w:r>
        <w:rPr>
          <w:rStyle w:val="SubtleEmphasis"/>
          <w:rFonts w:ascii="Times New Roman" w:hAnsi="Times New Roman" w:cs="Times New Roman"/>
        </w:rPr>
        <w:t xml:space="preserve"> fate and whereabouts have remained unknown since.</w:t>
      </w:r>
    </w:p>
    <w:p w:rsidR="0060459F" w:rsidRDefault="00F96166">
      <w:pPr>
        <w:spacing w:line="276" w:lineRule="auto"/>
        <w:jc w:val="both"/>
        <w:rPr>
          <w:rStyle w:val="SubtleEmphasis"/>
          <w:rFonts w:ascii="Times New Roman" w:hAnsi="Times New Roman" w:cs="Times New Roman"/>
        </w:rPr>
      </w:pPr>
      <w:r>
        <w:rPr>
          <w:rStyle w:val="SubtleEmphasis"/>
          <w:rFonts w:ascii="Times New Roman" w:hAnsi="Times New Roman" w:cs="Times New Roman"/>
        </w:rPr>
        <w:t>Human Rights Watch also documented multiple cases of groundless deportations of Shia Muslims to Pakistan, noting that none of them had a chance to challenge the deportation.</w:t>
      </w:r>
      <w:r>
        <w:rPr>
          <w:rStyle w:val="FootnoteReference"/>
          <w:rFonts w:ascii="Times New Roman" w:hAnsi="Times New Roman" w:cs="Times New Roman"/>
          <w:sz w:val="24"/>
        </w:rPr>
        <w:footnoteReference w:id="20"/>
      </w:r>
    </w:p>
    <w:p w:rsidR="0060459F" w:rsidRDefault="00F96166">
      <w:pPr>
        <w:spacing w:line="276" w:lineRule="auto"/>
        <w:jc w:val="both"/>
        <w:rPr>
          <w:rStyle w:val="SubtleEmphasis"/>
          <w:rFonts w:ascii="Times New Roman" w:hAnsi="Times New Roman" w:cs="Times New Roman"/>
        </w:rPr>
      </w:pPr>
      <w:r>
        <w:rPr>
          <w:rStyle w:val="SubtleEmphasis"/>
          <w:rFonts w:ascii="Times New Roman" w:hAnsi="Times New Roman" w:cs="Times New Roman"/>
        </w:rPr>
        <w:t xml:space="preserve">Saudi women right’s activist </w:t>
      </w:r>
      <w:proofErr w:type="spellStart"/>
      <w:r>
        <w:rPr>
          <w:rStyle w:val="SubtleEmphasis"/>
          <w:rFonts w:ascii="Times New Roman" w:hAnsi="Times New Roman" w:cs="Times New Roman"/>
        </w:rPr>
        <w:t>Loujain</w:t>
      </w:r>
      <w:proofErr w:type="spellEnd"/>
      <w:r>
        <w:rPr>
          <w:rStyle w:val="SubtleEmphasis"/>
          <w:rFonts w:ascii="Times New Roman" w:hAnsi="Times New Roman" w:cs="Times New Roman"/>
        </w:rPr>
        <w:t xml:space="preserve"> al-</w:t>
      </w:r>
      <w:proofErr w:type="spellStart"/>
      <w:r>
        <w:rPr>
          <w:rStyle w:val="SubtleEmphasis"/>
          <w:rFonts w:ascii="Times New Roman" w:hAnsi="Times New Roman" w:cs="Times New Roman"/>
        </w:rPr>
        <w:t>Hathloul</w:t>
      </w:r>
      <w:proofErr w:type="spellEnd"/>
      <w:r>
        <w:rPr>
          <w:rStyle w:val="SubtleEmphasis"/>
          <w:rFonts w:ascii="Times New Roman" w:hAnsi="Times New Roman" w:cs="Times New Roman"/>
        </w:rPr>
        <w:t xml:space="preserve"> is also a well-known case of disrespect of article 3 UNCAT. She was arrested in the UAE in 2018 and then </w:t>
      </w:r>
      <w:proofErr w:type="spellStart"/>
      <w:r>
        <w:rPr>
          <w:rStyle w:val="SubtleEmphasis"/>
          <w:rFonts w:ascii="Times New Roman" w:hAnsi="Times New Roman" w:cs="Times New Roman"/>
        </w:rPr>
        <w:t>renditioned</w:t>
      </w:r>
      <w:proofErr w:type="spellEnd"/>
      <w:r>
        <w:rPr>
          <w:rStyle w:val="SubtleEmphasis"/>
          <w:rFonts w:ascii="Times New Roman" w:hAnsi="Times New Roman" w:cs="Times New Roman"/>
        </w:rPr>
        <w:t xml:space="preserve"> to Saudi Arabia, where she was detained, imprisoned and tortured due to her activities as a human rights defender.</w:t>
      </w:r>
      <w:r>
        <w:rPr>
          <w:rStyle w:val="FootnoteReference"/>
          <w:rFonts w:ascii="Times New Roman" w:hAnsi="Times New Roman" w:cs="Times New Roman"/>
          <w:sz w:val="24"/>
        </w:rPr>
        <w:footnoteReference w:id="21"/>
      </w:r>
    </w:p>
    <w:p w:rsidR="0060459F" w:rsidRDefault="00F96166">
      <w:pPr>
        <w:pStyle w:val="Title"/>
        <w:rPr>
          <w:rFonts w:ascii="Times New Roman" w:hAnsi="Times New Roman" w:cs="Times New Roman"/>
        </w:rPr>
      </w:pPr>
      <w:r>
        <w:rPr>
          <w:rFonts w:ascii="Times New Roman" w:eastAsiaTheme="minorEastAsia" w:hAnsi="Times New Roman" w:cs="Times New Roman"/>
        </w:rPr>
        <w:t>Recommendations:</w:t>
      </w:r>
    </w:p>
    <w:p w:rsidR="0060459F" w:rsidRDefault="00F96166">
      <w:pPr>
        <w:pStyle w:val="ListParagraph"/>
        <w:numPr>
          <w:ilvl w:val="0"/>
          <w:numId w:val="5"/>
        </w:numPr>
        <w:jc w:val="both"/>
        <w:rPr>
          <w:rFonts w:ascii="Times New Roman" w:hAnsi="Times New Roman" w:cs="Times New Roman"/>
          <w:color w:val="543192"/>
        </w:rPr>
      </w:pPr>
      <w:r>
        <w:rPr>
          <w:rFonts w:ascii="Times New Roman" w:eastAsiaTheme="minorEastAsia" w:hAnsi="Times New Roman" w:cs="Times New Roman"/>
          <w:color w:val="543192"/>
        </w:rPr>
        <w:t xml:space="preserve">Amend Emirati legislation to foresee that a </w:t>
      </w:r>
      <w:r>
        <w:rPr>
          <w:rFonts w:ascii="Times New Roman" w:eastAsiaTheme="minorEastAsia" w:hAnsi="Times New Roman" w:cs="Times New Roman"/>
          <w:i/>
          <w:color w:val="543192"/>
        </w:rPr>
        <w:t>non-</w:t>
      </w:r>
      <w:proofErr w:type="spellStart"/>
      <w:r>
        <w:rPr>
          <w:rFonts w:ascii="Times New Roman" w:eastAsiaTheme="minorEastAsia" w:hAnsi="Times New Roman" w:cs="Times New Roman"/>
          <w:i/>
          <w:color w:val="543192"/>
        </w:rPr>
        <w:t>refoulement</w:t>
      </w:r>
      <w:proofErr w:type="spellEnd"/>
      <w:r>
        <w:rPr>
          <w:rFonts w:ascii="Times New Roman" w:eastAsiaTheme="minorEastAsia" w:hAnsi="Times New Roman" w:cs="Times New Roman"/>
          <w:color w:val="543192"/>
        </w:rPr>
        <w:t xml:space="preserve"> assessment is conducted in all expulsion cases, regardless of the procedure, and to ensure foreign nationals can challenge their expulsion;</w:t>
      </w:r>
    </w:p>
    <w:p w:rsidR="0060459F" w:rsidRDefault="00F96166">
      <w:pPr>
        <w:pStyle w:val="ListParagraph"/>
        <w:numPr>
          <w:ilvl w:val="0"/>
          <w:numId w:val="5"/>
        </w:numPr>
        <w:jc w:val="both"/>
        <w:rPr>
          <w:rFonts w:ascii="Times New Roman" w:hAnsi="Times New Roman" w:cs="Times New Roman"/>
          <w:color w:val="543192"/>
        </w:rPr>
      </w:pPr>
      <w:r>
        <w:rPr>
          <w:rFonts w:ascii="Times New Roman" w:hAnsi="Times New Roman" w:cs="Times New Roman"/>
          <w:color w:val="543192"/>
        </w:rPr>
        <w:t>Ratify the 1951 Convention relating to the Status of. Refugees and its 1967 Protocol;</w:t>
      </w:r>
    </w:p>
    <w:p w:rsidR="0060459F" w:rsidRDefault="00F96166">
      <w:pPr>
        <w:pStyle w:val="ListParagraph"/>
        <w:numPr>
          <w:ilvl w:val="0"/>
          <w:numId w:val="5"/>
        </w:numPr>
        <w:jc w:val="both"/>
        <w:rPr>
          <w:rFonts w:ascii="Times New Roman" w:hAnsi="Times New Roman" w:cs="Times New Roman"/>
          <w:color w:val="543192"/>
        </w:rPr>
      </w:pPr>
      <w:r>
        <w:rPr>
          <w:rFonts w:ascii="Times New Roman" w:hAnsi="Times New Roman" w:cs="Times New Roman"/>
          <w:color w:val="543192"/>
        </w:rPr>
        <w:t xml:space="preserve">Stop the return of foreign nationals that would constitute a violation of </w:t>
      </w:r>
      <w:r>
        <w:rPr>
          <w:rFonts w:ascii="Times New Roman" w:hAnsi="Times New Roman" w:cs="Times New Roman"/>
          <w:i/>
          <w:color w:val="543192"/>
        </w:rPr>
        <w:t>non-</w:t>
      </w:r>
      <w:proofErr w:type="spellStart"/>
      <w:r>
        <w:rPr>
          <w:rFonts w:ascii="Times New Roman" w:hAnsi="Times New Roman" w:cs="Times New Roman"/>
          <w:i/>
          <w:color w:val="543192"/>
        </w:rPr>
        <w:t>refoulement</w:t>
      </w:r>
      <w:proofErr w:type="spellEnd"/>
      <w:r>
        <w:rPr>
          <w:rFonts w:ascii="Times New Roman" w:hAnsi="Times New Roman" w:cs="Times New Roman"/>
          <w:color w:val="543192"/>
        </w:rPr>
        <w:t>.</w:t>
      </w:r>
    </w:p>
    <w:p w:rsidR="0060459F" w:rsidRDefault="0060459F">
      <w:pPr>
        <w:rPr>
          <w:rFonts w:ascii="Times New Roman" w:hAnsi="Times New Roman" w:cs="Times New Roman"/>
          <w:color w:val="543192"/>
        </w:rPr>
      </w:pPr>
    </w:p>
    <w:p w:rsidR="0060459F" w:rsidRDefault="00F96166">
      <w:pPr>
        <w:pStyle w:val="Heading1"/>
        <w:rPr>
          <w:rFonts w:ascii="Times New Roman" w:hAnsi="Times New Roman" w:cs="Times New Roman"/>
        </w:rPr>
      </w:pPr>
      <w:bookmarkStart w:id="4" w:name="_Toc103273037"/>
      <w:r>
        <w:rPr>
          <w:rFonts w:ascii="Times New Roman" w:eastAsiaTheme="minorEastAsia" w:hAnsi="Times New Roman" w:cs="Times New Roman"/>
        </w:rPr>
        <w:lastRenderedPageBreak/>
        <w:t>Violations of legal safeguards related to the deprivation of liberty</w:t>
      </w:r>
      <w:bookmarkEnd w:id="4"/>
    </w:p>
    <w:p w:rsidR="0060459F" w:rsidRDefault="00F96166">
      <w:pPr>
        <w:spacing w:line="276" w:lineRule="auto"/>
        <w:jc w:val="both"/>
        <w:rPr>
          <w:rStyle w:val="SubtleEmphasis"/>
          <w:rFonts w:ascii="Times New Roman" w:eastAsiaTheme="minorEastAsia" w:hAnsi="Times New Roman" w:cs="Times New Roman"/>
        </w:rPr>
      </w:pPr>
      <w:r>
        <w:rPr>
          <w:rStyle w:val="SubtleEmphasis"/>
          <w:rFonts w:ascii="Times New Roman" w:eastAsiaTheme="minorEastAsia" w:hAnsi="Times New Roman" w:cs="Times New Roman"/>
        </w:rPr>
        <w:t>The Emirati legal system does not provide sufficient safeguards to prevent the practice of torture against those detained, as would be required to comply with article 2 UNCAT. In practice, even existing loose legal guarantees are not respected. The next subsections thus explore the legal safeguards (or lack thereof) and practices related to deprivation of liberty in the UAE.</w:t>
      </w:r>
    </w:p>
    <w:p w:rsidR="0060459F" w:rsidRDefault="00F96166">
      <w:pPr>
        <w:pStyle w:val="Heading2"/>
      </w:pPr>
      <w:bookmarkStart w:id="5" w:name="_Toc103273038"/>
      <w:r>
        <w:t>Arrest and custody</w:t>
      </w:r>
      <w:bookmarkEnd w:id="5"/>
    </w:p>
    <w:p w:rsidR="0060459F" w:rsidRDefault="00F96166">
      <w:pPr>
        <w:pStyle w:val="Corps"/>
        <w:spacing w:after="120" w:line="276" w:lineRule="auto"/>
        <w:jc w:val="both"/>
        <w:rPr>
          <w:rStyle w:val="SubtleEmphasis"/>
          <w:rFonts w:ascii="Times New Roman" w:hAnsi="Times New Roman" w:cs="Times New Roman"/>
          <w:lang w:val="en-GB"/>
        </w:rPr>
      </w:pPr>
      <w:r>
        <w:rPr>
          <w:rStyle w:val="SubtleEmphasis"/>
          <w:rFonts w:ascii="Times New Roman" w:hAnsi="Times New Roman" w:cs="Times New Roman"/>
          <w:lang w:val="en-GB"/>
        </w:rPr>
        <w:t>Article 26 of the Emirati constitution provides that no one may be arrested, searched, detained or imprisoned except as provided by law. In this regard, article 13 of the act regulating penal facilities states that it is only possible to confine a person in a punitive facility upon a written order issued by the competent public prosecution, the competent court or any other authority legally competent. Furthermore, the article foresees that it is not allowed for any person to remain in the facility after the period specified in the order.</w:t>
      </w:r>
    </w:p>
    <w:p w:rsidR="0060459F" w:rsidRDefault="00F96166">
      <w:pPr>
        <w:pStyle w:val="Corps"/>
        <w:spacing w:after="120" w:line="276" w:lineRule="auto"/>
        <w:jc w:val="both"/>
        <w:rPr>
          <w:rStyle w:val="SubtleEmphasis"/>
          <w:rFonts w:ascii="Times New Roman" w:hAnsi="Times New Roman" w:cs="Times New Roman"/>
          <w:lang w:val="en-GB"/>
        </w:rPr>
      </w:pPr>
      <w:r>
        <w:rPr>
          <w:rStyle w:val="SubtleEmphasis"/>
          <w:rFonts w:ascii="Times New Roman" w:hAnsi="Times New Roman" w:cs="Times New Roman"/>
          <w:lang w:val="en-GB"/>
        </w:rPr>
        <w:t>The CCP, in turn, foresees that arrested persons shall be presented to the public prosecutor within 48 hours (article 47) and the public prosecutor shall interrogate them within 24 hours or order their release (article 104). Article 99 then prescribes that the member of the public prosecution must, upon the presence of the accused for the first time before the investigation authority, inform the accused of the charge(s) imputed to him.</w:t>
      </w:r>
    </w:p>
    <w:p w:rsidR="0060459F" w:rsidRDefault="00F96166">
      <w:pPr>
        <w:pStyle w:val="Corps"/>
        <w:spacing w:after="120" w:line="276" w:lineRule="auto"/>
        <w:jc w:val="both"/>
        <w:rPr>
          <w:rStyle w:val="SubtleEmphasis"/>
          <w:rFonts w:ascii="Times New Roman" w:hAnsi="Times New Roman" w:cs="Times New Roman"/>
          <w:lang w:val="en-GB"/>
        </w:rPr>
      </w:pPr>
      <w:r>
        <w:rPr>
          <w:rStyle w:val="SubtleEmphasis"/>
          <w:rFonts w:ascii="Times New Roman" w:hAnsi="Times New Roman" w:cs="Times New Roman"/>
          <w:lang w:val="en-GB"/>
        </w:rPr>
        <w:t>These time limits, however, do not apply to cases falling under the 2003 State Security Law, which foresees its own detention periods. This law grants the SSA the power to investigate issues related to any political or organisational activity of a person, organisation, party, or association who seeks to prejudice the state’s safety and security or its governance system or to prejudice national unity, or conduct acts of sabotage, subversive propaganda, or assassination attempts; any activity that harms the state’s economy, whether conducted inside or outside of the state; as well as anything that would seek to weaken the position of the state, provoke hostility against it, or shake confidence in it.</w:t>
      </w:r>
      <w:r>
        <w:rPr>
          <w:rStyle w:val="FootnoteReference"/>
          <w:rFonts w:ascii="Times New Roman" w:hAnsi="Times New Roman" w:cs="Times New Roman"/>
          <w:sz w:val="24"/>
          <w:lang w:val="en-GB"/>
        </w:rPr>
        <w:footnoteReference w:id="22"/>
      </w:r>
      <w:r>
        <w:rPr>
          <w:rStyle w:val="SubtleEmphasis"/>
          <w:rFonts w:ascii="Times New Roman" w:hAnsi="Times New Roman" w:cs="Times New Roman"/>
          <w:lang w:val="en-GB"/>
        </w:rPr>
        <w:t xml:space="preserve"> Apart from this wide ranging powers, the SSA is also tasked with combating terrorism and organised crime.</w:t>
      </w:r>
      <w:r>
        <w:rPr>
          <w:rStyle w:val="FootnoteReference"/>
          <w:rFonts w:ascii="Times New Roman" w:hAnsi="Times New Roman" w:cs="Times New Roman"/>
          <w:sz w:val="24"/>
          <w:lang w:val="en-GB"/>
        </w:rPr>
        <w:footnoteReference w:id="23"/>
      </w:r>
    </w:p>
    <w:p w:rsidR="0060459F" w:rsidRDefault="00F96166">
      <w:pPr>
        <w:pStyle w:val="Corps"/>
        <w:spacing w:after="120" w:line="276" w:lineRule="auto"/>
        <w:jc w:val="both"/>
        <w:rPr>
          <w:rStyle w:val="SubtleEmphasis"/>
          <w:rFonts w:ascii="Times New Roman" w:hAnsi="Times New Roman" w:cs="Times New Roman"/>
          <w:lang w:val="en-GB"/>
        </w:rPr>
      </w:pPr>
      <w:r>
        <w:rPr>
          <w:rStyle w:val="SubtleEmphasis"/>
          <w:rFonts w:ascii="Times New Roman" w:hAnsi="Times New Roman" w:cs="Times New Roman"/>
          <w:lang w:val="en-GB"/>
        </w:rPr>
        <w:t xml:space="preserve">Unlike the CCP, the state security law foresees that SSA officials have the authority to stop and search individuals, including their homes, and to place them in administrative detention for prolonged periods of time. More specifically, it allows SSA managing directors to search and detain, for a period of 24 hours, any individual suspected of being involved in the abovementioned activities that fall under the mandate of the SSA. The SSA general manager, in turn, may order the detention of suspects for a period of 48 hours, and the SSA vice-president may order the detention of suspects for up to 72 hours, with both individuals being required to </w:t>
      </w:r>
      <w:r>
        <w:rPr>
          <w:rStyle w:val="SubtleEmphasis"/>
          <w:rFonts w:ascii="Times New Roman" w:hAnsi="Times New Roman" w:cs="Times New Roman"/>
          <w:lang w:val="en-GB"/>
        </w:rPr>
        <w:lastRenderedPageBreak/>
        <w:t>inform the president of the SSA of the arrest and subsequent detention. The president of the SSA, however, may order the detention of suspects for up to 60 days, which can be renewed for another 30 days, before being brought before the public prosecution. In this regard, the Working Group on Arbitrary Detention considered that the 90-day delay foreseen in Emirati law violates the right to be brought promptly before a judicial authority.</w:t>
      </w:r>
      <w:r>
        <w:rPr>
          <w:rStyle w:val="FootnoteReference"/>
          <w:rFonts w:ascii="Times New Roman" w:hAnsi="Times New Roman" w:cs="Times New Roman"/>
          <w:sz w:val="24"/>
          <w:lang w:val="en-GB"/>
        </w:rPr>
        <w:footnoteReference w:id="24"/>
      </w:r>
    </w:p>
    <w:p w:rsidR="0060459F" w:rsidRDefault="00F96166">
      <w:pPr>
        <w:pStyle w:val="Corps"/>
        <w:spacing w:after="120" w:line="276" w:lineRule="auto"/>
        <w:jc w:val="both"/>
        <w:rPr>
          <w:rStyle w:val="SubtleEmphasis"/>
          <w:rFonts w:ascii="Times New Roman" w:hAnsi="Times New Roman" w:cs="Times New Roman"/>
          <w:lang w:val="en-GB"/>
        </w:rPr>
      </w:pPr>
      <w:r>
        <w:rPr>
          <w:rStyle w:val="SubtleEmphasis"/>
          <w:rFonts w:ascii="Times New Roman" w:hAnsi="Times New Roman" w:cs="Times New Roman"/>
          <w:lang w:val="en-GB"/>
        </w:rPr>
        <w:t>While article 41 of the Emirati constitution foresees that anyone may submit a complaint to the competent authorities, including judicial bodies, concerning violations of the rights and freedoms set out in the constitution, none of the abovementioned acts or codes explicitly foresee the possibility of detainees to challenge the legality of their detention, except in cases where the extension of pre-trial detention is decided in absentia (article 110 CCP).</w:t>
      </w:r>
    </w:p>
    <w:p w:rsidR="0060459F" w:rsidRDefault="00F96166">
      <w:pPr>
        <w:pStyle w:val="Corps"/>
        <w:spacing w:after="120" w:line="276" w:lineRule="auto"/>
        <w:jc w:val="both"/>
        <w:rPr>
          <w:rStyle w:val="SubtleEmphasis"/>
          <w:rFonts w:ascii="Times New Roman" w:eastAsiaTheme="minorEastAsia" w:hAnsi="Times New Roman" w:cs="Times New Roman"/>
          <w:lang w:val="en-GB"/>
        </w:rPr>
      </w:pPr>
      <w:r>
        <w:rPr>
          <w:rStyle w:val="SubtleEmphasis"/>
          <w:rFonts w:ascii="Times New Roman" w:hAnsi="Times New Roman" w:cs="Times New Roman"/>
          <w:lang w:val="en-GB"/>
        </w:rPr>
        <w:t xml:space="preserve">In practice, not even such loose guarantees are respected. Indeed, after her visit to the UAE, the former </w:t>
      </w:r>
      <w:r>
        <w:rPr>
          <w:rStyle w:val="SubtleEmphasis"/>
          <w:rFonts w:ascii="Times New Roman" w:eastAsiaTheme="minorEastAsia" w:hAnsi="Times New Roman" w:cs="Times New Roman"/>
          <w:lang w:val="en-GB"/>
        </w:rPr>
        <w:t>Special Rapporteur on the independence of judges and lawyers, Gabriela Knaul, stated that:</w:t>
      </w:r>
    </w:p>
    <w:p w:rsidR="0060459F" w:rsidRDefault="00F96166">
      <w:pPr>
        <w:pStyle w:val="Corps"/>
        <w:spacing w:after="120" w:line="276" w:lineRule="auto"/>
        <w:ind w:left="567" w:right="565"/>
        <w:jc w:val="both"/>
        <w:rPr>
          <w:rStyle w:val="SubtleEmphasis"/>
          <w:rFonts w:ascii="Times New Roman" w:eastAsiaTheme="minorEastAsia" w:hAnsi="Times New Roman" w:cs="Times New Roman"/>
          <w:sz w:val="22"/>
          <w:szCs w:val="22"/>
          <w:lang w:val="en-GB"/>
        </w:rPr>
      </w:pPr>
      <w:proofErr w:type="gramStart"/>
      <w:r>
        <w:rPr>
          <w:rStyle w:val="SubtleEmphasis"/>
          <w:rFonts w:ascii="Times New Roman" w:eastAsiaTheme="minorEastAsia" w:hAnsi="Times New Roman" w:cs="Times New Roman"/>
          <w:sz w:val="22"/>
          <w:szCs w:val="22"/>
          <w:lang w:val="en-GB"/>
        </w:rPr>
        <w:t>while</w:t>
      </w:r>
      <w:proofErr w:type="gramEnd"/>
      <w:r>
        <w:rPr>
          <w:rStyle w:val="SubtleEmphasis"/>
          <w:rFonts w:ascii="Times New Roman" w:eastAsiaTheme="minorEastAsia" w:hAnsi="Times New Roman" w:cs="Times New Roman"/>
          <w:sz w:val="22"/>
          <w:szCs w:val="22"/>
          <w:lang w:val="en-GB"/>
        </w:rPr>
        <w:t xml:space="preserve"> the Code of Criminal Procedure prescribes that, unless an individual is arrested in flagrante delicto, an arrest warrant must be presented, the Special Rapporteur received many reports of people being arrested without a warrant. Such cases very often concern persons who were later accused of State security crimes. After being arrested by State security agents, most of those individuals were taken to secret detention facilities and kept incommunicado for days, weeks or even months, sometimes in solitary confinement. Such detentions may sometimes amount to enforced disappearances, as the authorities refuse to acknowledge that they have detained the person and/or refuse to confirm their fate and whereabouts.</w:t>
      </w:r>
      <w:r>
        <w:rPr>
          <w:rStyle w:val="FootnoteReference"/>
          <w:rFonts w:ascii="Times New Roman" w:eastAsiaTheme="minorEastAsia" w:hAnsi="Times New Roman" w:cs="Times New Roman"/>
          <w:sz w:val="22"/>
          <w:szCs w:val="22"/>
          <w:lang w:val="en-GB"/>
        </w:rPr>
        <w:footnoteReference w:id="25"/>
      </w:r>
    </w:p>
    <w:p w:rsidR="0060459F" w:rsidRDefault="00F96166">
      <w:pPr>
        <w:pStyle w:val="Corps"/>
        <w:spacing w:after="120" w:line="276" w:lineRule="auto"/>
        <w:jc w:val="both"/>
        <w:rPr>
          <w:rStyle w:val="SubtleEmphasis"/>
          <w:rFonts w:ascii="Times New Roman" w:hAnsi="Times New Roman" w:cs="Times New Roman"/>
          <w:lang w:val="en-GB"/>
        </w:rPr>
      </w:pPr>
      <w:r>
        <w:rPr>
          <w:rStyle w:val="SubtleEmphasis"/>
          <w:rFonts w:ascii="Times New Roman" w:eastAsiaTheme="minorEastAsia" w:hAnsi="Times New Roman" w:cs="Times New Roman"/>
          <w:lang w:val="en-GB"/>
        </w:rPr>
        <w:t xml:space="preserve">The former special rapporteur’s account is in line with the cases documented by MENA Rights Group (detailed in annex 1). In none of those cases were individuals presented with an arrest warrant at the moment of their arrest and, in multiple cases, they were detained for longer than the three-month time limit imposed by the 2003 State Security Law before being brought to a court and charged. Notably, in two cases (detailed in annex 1) the concerned individuals were detained for over a year before being charged. These are Ahmed </w:t>
      </w:r>
      <w:proofErr w:type="spellStart"/>
      <w:r>
        <w:rPr>
          <w:rStyle w:val="SubtleEmphasis"/>
          <w:rFonts w:ascii="Times New Roman" w:eastAsiaTheme="minorEastAsia" w:hAnsi="Times New Roman" w:cs="Times New Roman"/>
          <w:lang w:val="en-GB"/>
        </w:rPr>
        <w:t>Mansoor</w:t>
      </w:r>
      <w:proofErr w:type="spellEnd"/>
      <w:r>
        <w:rPr>
          <w:rStyle w:val="SubtleEmphasis"/>
          <w:rFonts w:ascii="Times New Roman" w:eastAsiaTheme="minorEastAsia" w:hAnsi="Times New Roman" w:cs="Times New Roman"/>
          <w:lang w:val="en-GB"/>
        </w:rPr>
        <w:t xml:space="preserve">, who was arrested, without a warrant, by Emirati security forces, and was subsequently disappeared by the authorities, which failed to reveal his whereabouts for over one year; and </w:t>
      </w:r>
      <w:proofErr w:type="spellStart"/>
      <w:r>
        <w:rPr>
          <w:rStyle w:val="SubtleEmphasis"/>
          <w:rFonts w:ascii="Times New Roman" w:eastAsiaTheme="minorEastAsia" w:hAnsi="Times New Roman" w:cs="Times New Roman"/>
          <w:lang w:val="en-GB"/>
        </w:rPr>
        <w:t>Taysir</w:t>
      </w:r>
      <w:proofErr w:type="spellEnd"/>
      <w:r>
        <w:rPr>
          <w:rStyle w:val="SubtleEmphasis"/>
          <w:rFonts w:ascii="Times New Roman" w:eastAsiaTheme="minorEastAsia" w:hAnsi="Times New Roman" w:cs="Times New Roman"/>
          <w:lang w:val="en-GB"/>
        </w:rPr>
        <w:t xml:space="preserve"> Salman, a Jordanian journalist who was arrested in the UAE on 13 December 2015, kept in secret detention for over two months and held without charges for more than a year.</w:t>
      </w:r>
    </w:p>
    <w:p w:rsidR="0060459F" w:rsidRDefault="00F96166">
      <w:pPr>
        <w:pStyle w:val="Heading2"/>
        <w:rPr>
          <w:rFonts w:ascii="Times New Roman" w:hAnsi="Times New Roman" w:cs="Times New Roman"/>
        </w:rPr>
      </w:pPr>
      <w:bookmarkStart w:id="6" w:name="_Toc103273039"/>
      <w:r>
        <w:rPr>
          <w:rFonts w:ascii="Times New Roman" w:eastAsiaTheme="minorEastAsia" w:hAnsi="Times New Roman" w:cs="Times New Roman"/>
        </w:rPr>
        <w:t>Right to legal counsel</w:t>
      </w:r>
      <w:bookmarkEnd w:id="6"/>
    </w:p>
    <w:p w:rsidR="0060459F" w:rsidRDefault="00F96166">
      <w:pPr>
        <w:pStyle w:val="Corps"/>
        <w:spacing w:after="120" w:line="276" w:lineRule="auto"/>
        <w:jc w:val="both"/>
        <w:rPr>
          <w:rStyle w:val="SubtleEmphasis"/>
          <w:rFonts w:ascii="Times New Roman" w:eastAsiaTheme="minorEastAsia" w:hAnsi="Times New Roman" w:cs="Times New Roman"/>
          <w:lang w:val="en-GB"/>
        </w:rPr>
      </w:pPr>
      <w:r>
        <w:rPr>
          <w:rStyle w:val="SubtleEmphasis"/>
          <w:rFonts w:ascii="Times New Roman" w:eastAsiaTheme="minorEastAsia" w:hAnsi="Times New Roman" w:cs="Times New Roman"/>
          <w:lang w:val="en-GB"/>
        </w:rPr>
        <w:t xml:space="preserve">Article 4 of the CCP prescribes that “[e]very person, accused of a felony punished by a death sentence or life imprisonment, must have a lawyer to defend him during the trial and, in case he has none, the court shall appoint an attorney for him taking in charge his fees for his services as specified by law […] The accused in a felony sanctioned by time imprisonment may ask the </w:t>
      </w:r>
      <w:r>
        <w:rPr>
          <w:rStyle w:val="SubtleEmphasis"/>
          <w:rFonts w:ascii="Times New Roman" w:eastAsiaTheme="minorEastAsia" w:hAnsi="Times New Roman" w:cs="Times New Roman"/>
          <w:lang w:val="en-GB"/>
        </w:rPr>
        <w:lastRenderedPageBreak/>
        <w:t>court to delegate an attorney for his defence in case his financial inability to appoint a lawyer is verified by it.”</w:t>
      </w:r>
      <w:r>
        <w:rPr>
          <w:rStyle w:val="FootnoteReference"/>
          <w:rFonts w:ascii="Times New Roman" w:eastAsiaTheme="minorEastAsia" w:hAnsi="Times New Roman" w:cs="Times New Roman"/>
          <w:sz w:val="24"/>
          <w:lang w:val="en-GB"/>
        </w:rPr>
        <w:footnoteReference w:id="26"/>
      </w:r>
    </w:p>
    <w:p w:rsidR="0060459F" w:rsidRDefault="00F96166">
      <w:pPr>
        <w:pStyle w:val="Corps"/>
        <w:spacing w:after="120" w:line="276" w:lineRule="auto"/>
        <w:jc w:val="both"/>
        <w:rPr>
          <w:rStyle w:val="SubtleEmphasis"/>
          <w:rFonts w:ascii="Times New Roman" w:eastAsiaTheme="minorEastAsia" w:hAnsi="Times New Roman" w:cs="Times New Roman"/>
          <w:lang w:val="en-GB"/>
        </w:rPr>
      </w:pPr>
      <w:r>
        <w:rPr>
          <w:rStyle w:val="SubtleEmphasis"/>
          <w:rFonts w:ascii="Times New Roman" w:eastAsiaTheme="minorEastAsia" w:hAnsi="Times New Roman" w:cs="Times New Roman"/>
          <w:lang w:val="en-GB"/>
        </w:rPr>
        <w:t>The article, however, does not foresee the possibility to appoint a lawyer from the time of arrest, as it only envisages legal assistance during trial, neither does it prescribe the possibility of free legal assistance for cases not involving the death penalty or life imprisonment. In this regard, a report from the United States Department of State noted that “[w]</w:t>
      </w:r>
      <w:proofErr w:type="spellStart"/>
      <w:r>
        <w:rPr>
          <w:rStyle w:val="SubtleEmphasis"/>
          <w:rFonts w:ascii="Times New Roman" w:eastAsiaTheme="minorEastAsia" w:hAnsi="Times New Roman" w:cs="Times New Roman"/>
          <w:lang w:val="en-GB"/>
        </w:rPr>
        <w:t>hile</w:t>
      </w:r>
      <w:proofErr w:type="spellEnd"/>
      <w:r>
        <w:rPr>
          <w:rStyle w:val="SubtleEmphasis"/>
          <w:rFonts w:ascii="Times New Roman" w:eastAsiaTheme="minorEastAsia" w:hAnsi="Times New Roman" w:cs="Times New Roman"/>
          <w:lang w:val="en-GB"/>
        </w:rPr>
        <w:t xml:space="preserve"> awaiting a decision on official charges at a police station or the prosecutor’s office, a detainee is not entitled to legal counsel,”</w:t>
      </w:r>
      <w:r>
        <w:rPr>
          <w:rStyle w:val="FootnoteReference"/>
          <w:rFonts w:ascii="Times New Roman" w:eastAsiaTheme="minorEastAsia" w:hAnsi="Times New Roman" w:cs="Times New Roman"/>
          <w:sz w:val="24"/>
          <w:lang w:val="en-GB"/>
        </w:rPr>
        <w:footnoteReference w:id="27"/>
      </w:r>
      <w:r>
        <w:rPr>
          <w:rStyle w:val="SubtleEmphasis"/>
          <w:rFonts w:ascii="Times New Roman" w:eastAsiaTheme="minorEastAsia" w:hAnsi="Times New Roman" w:cs="Times New Roman"/>
          <w:lang w:val="en-GB"/>
        </w:rPr>
        <w:t xml:space="preserve"> and that the government may provide counsel, “at its discretion, to indigent defendants charged with felonies punishable by provisional imprisonment.”</w:t>
      </w:r>
      <w:r>
        <w:rPr>
          <w:rStyle w:val="FootnoteReference"/>
          <w:rFonts w:ascii="Times New Roman" w:eastAsiaTheme="minorEastAsia" w:hAnsi="Times New Roman" w:cs="Times New Roman"/>
          <w:sz w:val="24"/>
          <w:lang w:val="en-GB"/>
        </w:rPr>
        <w:footnoteReference w:id="28"/>
      </w:r>
    </w:p>
    <w:p w:rsidR="0060459F" w:rsidRDefault="00F96166">
      <w:pPr>
        <w:pStyle w:val="Corps"/>
        <w:spacing w:after="120" w:line="276" w:lineRule="auto"/>
        <w:jc w:val="both"/>
        <w:rPr>
          <w:rStyle w:val="SubtleEmphasis"/>
          <w:rFonts w:ascii="Times New Roman" w:eastAsiaTheme="minorEastAsia" w:hAnsi="Times New Roman" w:cs="Times New Roman"/>
          <w:lang w:val="en-GB"/>
        </w:rPr>
      </w:pPr>
      <w:r>
        <w:rPr>
          <w:rStyle w:val="SubtleEmphasis"/>
          <w:rFonts w:ascii="Times New Roman" w:eastAsiaTheme="minorEastAsia" w:hAnsi="Times New Roman" w:cs="Times New Roman"/>
          <w:lang w:val="en-GB"/>
        </w:rPr>
        <w:t>Apart from the abovementioned article, multiple provisions of Emirati law refer to an accused person’s right to contact their lawyer. For example, in its report,</w:t>
      </w:r>
      <w:r>
        <w:rPr>
          <w:rStyle w:val="FootnoteReference"/>
          <w:rFonts w:ascii="Times New Roman" w:eastAsiaTheme="minorEastAsia" w:hAnsi="Times New Roman" w:cs="Times New Roman"/>
          <w:sz w:val="24"/>
          <w:lang w:val="en-GB"/>
        </w:rPr>
        <w:footnoteReference w:id="29"/>
      </w:r>
      <w:r>
        <w:rPr>
          <w:rStyle w:val="SubtleEmphasis"/>
          <w:rFonts w:ascii="Times New Roman" w:eastAsiaTheme="minorEastAsia" w:hAnsi="Times New Roman" w:cs="Times New Roman"/>
          <w:lang w:val="en-GB"/>
        </w:rPr>
        <w:t xml:space="preserve"> the state points to article 18 of the act regulating penal facilities, which allows lawyers to meet in private with their client in detention facilities. Similarly, the CCP foresees in article 109 that the right of the accused to permanently contact their attorney in private will not be affected by any provisional prohibition imposed on the accused to receive visitors while detained. As also mentioned in the state’s report, however, this right is severely limited as before one can meet with their lawyer “written permission must be obtained from the competent public prosecution office. Meetings take place within the sight but outside the hearing of an official of the facility.”</w:t>
      </w:r>
      <w:r>
        <w:rPr>
          <w:rStyle w:val="FootnoteReference"/>
          <w:rFonts w:ascii="Times New Roman" w:eastAsiaTheme="minorEastAsia" w:hAnsi="Times New Roman" w:cs="Times New Roman"/>
          <w:sz w:val="24"/>
          <w:lang w:val="en-GB"/>
        </w:rPr>
        <w:footnoteReference w:id="30"/>
      </w:r>
    </w:p>
    <w:p w:rsidR="0060459F" w:rsidRDefault="00F96166">
      <w:pPr>
        <w:pStyle w:val="Corps"/>
        <w:spacing w:after="120" w:line="276" w:lineRule="auto"/>
        <w:jc w:val="both"/>
        <w:rPr>
          <w:rStyle w:val="SubtleEmphasis"/>
          <w:rFonts w:ascii="Times New Roman" w:eastAsiaTheme="minorEastAsia" w:hAnsi="Times New Roman" w:cs="Times New Roman"/>
          <w:lang w:val="en-GB"/>
        </w:rPr>
      </w:pPr>
      <w:r>
        <w:rPr>
          <w:rStyle w:val="SubtleEmphasis"/>
          <w:rFonts w:ascii="Times New Roman" w:eastAsiaTheme="minorEastAsia" w:hAnsi="Times New Roman" w:cs="Times New Roman"/>
          <w:lang w:val="en-GB"/>
        </w:rPr>
        <w:t>In this regard, the former Special Rapporteur on the independence of judges and lawyers mentioned being extremely concerned, after her 2014 visit to the UAE, by reports that an accused person’s access to a lawyer can be restricted by the police or the prosecution during the investigative phase. She noted that “[m]</w:t>
      </w:r>
      <w:proofErr w:type="spellStart"/>
      <w:r>
        <w:rPr>
          <w:rStyle w:val="SubtleEmphasis"/>
          <w:rFonts w:ascii="Times New Roman" w:eastAsiaTheme="minorEastAsia" w:hAnsi="Times New Roman" w:cs="Times New Roman"/>
          <w:lang w:val="en-GB"/>
        </w:rPr>
        <w:t>eetings</w:t>
      </w:r>
      <w:proofErr w:type="spellEnd"/>
      <w:r>
        <w:rPr>
          <w:rStyle w:val="SubtleEmphasis"/>
          <w:rFonts w:ascii="Times New Roman" w:eastAsiaTheme="minorEastAsia" w:hAnsi="Times New Roman" w:cs="Times New Roman"/>
          <w:lang w:val="en-GB"/>
        </w:rPr>
        <w:t xml:space="preserve"> with lawyers are often very short, lasting only a few minutes, and they are not held in private, but are supervised and reportedly even recorded by the prosecution or security services.”</w:t>
      </w:r>
      <w:r>
        <w:rPr>
          <w:rStyle w:val="FootnoteReference"/>
          <w:rFonts w:ascii="Times New Roman" w:eastAsiaTheme="minorEastAsia" w:hAnsi="Times New Roman" w:cs="Times New Roman"/>
          <w:sz w:val="24"/>
          <w:lang w:val="en-GB"/>
        </w:rPr>
        <w:footnoteReference w:id="31"/>
      </w:r>
      <w:r>
        <w:rPr>
          <w:rStyle w:val="SubtleEmphasis"/>
          <w:rFonts w:ascii="Times New Roman" w:eastAsiaTheme="minorEastAsia" w:hAnsi="Times New Roman" w:cs="Times New Roman"/>
          <w:lang w:val="en-GB"/>
        </w:rPr>
        <w:t xml:space="preserve"> She further noticed that in some cases, authorities refuse to acknowledge that they have detained the person and/or refuse to confirm their fate and whereabouts and that, in such cases, detainees have no access to a lawyer at all.</w:t>
      </w:r>
      <w:r>
        <w:rPr>
          <w:rStyle w:val="FootnoteReference"/>
          <w:rFonts w:ascii="Times New Roman" w:eastAsiaTheme="minorEastAsia" w:hAnsi="Times New Roman" w:cs="Times New Roman"/>
          <w:sz w:val="24"/>
          <w:lang w:val="en-GB"/>
        </w:rPr>
        <w:footnoteReference w:id="32"/>
      </w:r>
      <w:r>
        <w:rPr>
          <w:rStyle w:val="SubtleEmphasis"/>
          <w:rFonts w:ascii="Times New Roman" w:eastAsiaTheme="minorEastAsia" w:hAnsi="Times New Roman" w:cs="Times New Roman"/>
          <w:lang w:val="en-GB"/>
        </w:rPr>
        <w:t xml:space="preserve"> The Working Group on Arbitrary Detention also noted cases in which detainees were kept in </w:t>
      </w:r>
      <w:r>
        <w:rPr>
          <w:rStyle w:val="SubtleEmphasis"/>
          <w:rFonts w:ascii="Times New Roman" w:eastAsiaTheme="minorEastAsia" w:hAnsi="Times New Roman" w:cs="Times New Roman"/>
          <w:i/>
          <w:iCs/>
          <w:lang w:val="en-GB"/>
        </w:rPr>
        <w:t>incommunicado</w:t>
      </w:r>
      <w:r>
        <w:rPr>
          <w:rStyle w:val="SubtleEmphasis"/>
          <w:rFonts w:ascii="Times New Roman" w:eastAsiaTheme="minorEastAsia" w:hAnsi="Times New Roman" w:cs="Times New Roman"/>
          <w:lang w:val="en-GB"/>
        </w:rPr>
        <w:t xml:space="preserve"> detention, thus outside the protection of the law and unable to communicate with their lawyers.</w:t>
      </w:r>
      <w:r>
        <w:rPr>
          <w:rStyle w:val="FootnoteReference"/>
          <w:rFonts w:ascii="Times New Roman" w:eastAsiaTheme="minorEastAsia" w:hAnsi="Times New Roman" w:cs="Times New Roman"/>
          <w:sz w:val="24"/>
          <w:lang w:val="en-GB"/>
        </w:rPr>
        <w:footnoteReference w:id="33"/>
      </w:r>
      <w:r>
        <w:rPr>
          <w:rStyle w:val="SubtleEmphasis"/>
          <w:rFonts w:ascii="Times New Roman" w:eastAsiaTheme="minorEastAsia" w:hAnsi="Times New Roman" w:cs="Times New Roman"/>
          <w:lang w:val="en-GB"/>
        </w:rPr>
        <w:t xml:space="preserve"> Indeed, in all cases documented by MENA Rights Group (detailed in annex 1) individuals spent time in </w:t>
      </w:r>
      <w:r>
        <w:rPr>
          <w:rStyle w:val="SubtleEmphasis"/>
          <w:rFonts w:ascii="Times New Roman" w:eastAsiaTheme="minorEastAsia" w:hAnsi="Times New Roman" w:cs="Times New Roman"/>
          <w:i/>
          <w:iCs/>
          <w:lang w:val="en-GB"/>
        </w:rPr>
        <w:t>incommunicado</w:t>
      </w:r>
      <w:r>
        <w:rPr>
          <w:rStyle w:val="SubtleEmphasis"/>
          <w:rFonts w:ascii="Times New Roman" w:eastAsiaTheme="minorEastAsia" w:hAnsi="Times New Roman" w:cs="Times New Roman"/>
          <w:lang w:val="en-GB"/>
        </w:rPr>
        <w:t xml:space="preserve"> detention without access to a lawyer.</w:t>
      </w:r>
    </w:p>
    <w:p w:rsidR="0060459F" w:rsidRDefault="00F96166">
      <w:pPr>
        <w:pStyle w:val="Corps"/>
        <w:spacing w:after="120" w:line="276" w:lineRule="auto"/>
        <w:jc w:val="both"/>
        <w:rPr>
          <w:rStyle w:val="SubtleEmphasis"/>
          <w:rFonts w:ascii="Times New Roman" w:eastAsiaTheme="minorEastAsia" w:hAnsi="Times New Roman" w:cs="Times New Roman"/>
          <w:lang w:val="en-GB"/>
        </w:rPr>
      </w:pPr>
      <w:r>
        <w:rPr>
          <w:rStyle w:val="SubtleEmphasis"/>
          <w:rFonts w:ascii="Times New Roman" w:eastAsiaTheme="minorEastAsia" w:hAnsi="Times New Roman" w:cs="Times New Roman"/>
          <w:lang w:val="en-GB"/>
        </w:rPr>
        <w:lastRenderedPageBreak/>
        <w:t>Regarding the preparation of an accused person’s defence, article 100 of the CCP prescribes that the attorney must have access to all investigation materials of their client, however, the same article restricts this essential prerogative by adding the words “unless otherwise decided by the member of the public prosecution in the interest of the investigation.”</w:t>
      </w:r>
      <w:r>
        <w:rPr>
          <w:rStyle w:val="FootnoteReference"/>
          <w:rFonts w:ascii="Times New Roman" w:eastAsiaTheme="minorEastAsia" w:hAnsi="Times New Roman" w:cs="Times New Roman"/>
          <w:sz w:val="24"/>
          <w:lang w:val="en-GB"/>
        </w:rPr>
        <w:footnoteReference w:id="34"/>
      </w:r>
    </w:p>
    <w:p w:rsidR="0060459F" w:rsidRDefault="00F96166">
      <w:pPr>
        <w:pStyle w:val="Corps"/>
        <w:spacing w:after="120" w:line="276" w:lineRule="auto"/>
        <w:jc w:val="both"/>
        <w:rPr>
          <w:rStyle w:val="SubtleEmphasis"/>
          <w:rFonts w:ascii="Times New Roman" w:eastAsiaTheme="minorEastAsia" w:hAnsi="Times New Roman" w:cs="Times New Roman"/>
          <w:lang w:val="en-GB"/>
        </w:rPr>
      </w:pPr>
      <w:r>
        <w:rPr>
          <w:rStyle w:val="SubtleEmphasis"/>
          <w:rFonts w:ascii="Times New Roman" w:eastAsiaTheme="minorEastAsia" w:hAnsi="Times New Roman" w:cs="Times New Roman"/>
          <w:lang w:val="en-GB"/>
        </w:rPr>
        <w:t>In practice, the former Special Rapporteur noted with concern that, especially in criminal cases heard before the State Security Chamber of the Federal Supreme Court, lawyers seem to face serious difficulties in accessing information, especially investigation files.</w:t>
      </w:r>
      <w:r>
        <w:rPr>
          <w:rStyle w:val="FootnoteReference"/>
          <w:rFonts w:ascii="Times New Roman" w:eastAsiaTheme="minorEastAsia" w:hAnsi="Times New Roman" w:cs="Times New Roman"/>
          <w:sz w:val="24"/>
          <w:lang w:val="en-GB"/>
        </w:rPr>
        <w:footnoteReference w:id="35"/>
      </w:r>
      <w:r>
        <w:rPr>
          <w:rStyle w:val="SubtleEmphasis"/>
          <w:rFonts w:ascii="Times New Roman" w:eastAsiaTheme="minorEastAsia" w:hAnsi="Times New Roman" w:cs="Times New Roman"/>
          <w:lang w:val="en-GB"/>
        </w:rPr>
        <w:t xml:space="preserve"> Two cases documented by MENA Rights Group (detailed in annex 1) are particularly noteworthy in this regard. The first concerns two Jordanian brothers, Yasser Sami </w:t>
      </w:r>
      <w:proofErr w:type="spellStart"/>
      <w:r>
        <w:rPr>
          <w:rStyle w:val="SubtleEmphasis"/>
          <w:rFonts w:ascii="Times New Roman" w:eastAsiaTheme="minorEastAsia" w:hAnsi="Times New Roman" w:cs="Times New Roman"/>
          <w:lang w:val="en-GB"/>
        </w:rPr>
        <w:t>Abedalafou</w:t>
      </w:r>
      <w:proofErr w:type="spellEnd"/>
      <w:r>
        <w:rPr>
          <w:rStyle w:val="SubtleEmphasis"/>
          <w:rFonts w:ascii="Times New Roman" w:eastAsiaTheme="minorEastAsia" w:hAnsi="Times New Roman" w:cs="Times New Roman"/>
          <w:lang w:val="en-GB"/>
        </w:rPr>
        <w:t xml:space="preserve"> and Abdallah Sami </w:t>
      </w:r>
      <w:proofErr w:type="spellStart"/>
      <w:r>
        <w:rPr>
          <w:rStyle w:val="SubtleEmphasis"/>
          <w:rFonts w:ascii="Times New Roman" w:eastAsiaTheme="minorEastAsia" w:hAnsi="Times New Roman" w:cs="Times New Roman"/>
          <w:lang w:val="en-GB"/>
        </w:rPr>
        <w:t>Abedalafou</w:t>
      </w:r>
      <w:proofErr w:type="spellEnd"/>
      <w:r>
        <w:rPr>
          <w:rStyle w:val="SubtleEmphasis"/>
          <w:rFonts w:ascii="Times New Roman" w:eastAsiaTheme="minorEastAsia" w:hAnsi="Times New Roman" w:cs="Times New Roman"/>
          <w:lang w:val="en-GB"/>
        </w:rPr>
        <w:t xml:space="preserve"> Abu Baker, who were arrested on 30 October 2015. Their defence was severely hampered as they were only able to appoint a lawyer on 9 August 2017, and, even then, the brothers were only allowed to consult with their lawyer for a total of 10 minutes and the lawyer was only permitted to access their case file for half an hour. The second case concerns two Lebanese nationals, </w:t>
      </w:r>
      <w:proofErr w:type="spellStart"/>
      <w:r>
        <w:rPr>
          <w:rStyle w:val="SubtleEmphasis"/>
          <w:rFonts w:ascii="Times New Roman" w:eastAsiaTheme="minorEastAsia" w:hAnsi="Times New Roman" w:cs="Times New Roman"/>
          <w:lang w:val="en-GB"/>
        </w:rPr>
        <w:t>Abdelrahman</w:t>
      </w:r>
      <w:proofErr w:type="spellEnd"/>
      <w:r>
        <w:rPr>
          <w:rStyle w:val="SubtleEmphasis"/>
          <w:rFonts w:ascii="Times New Roman" w:eastAsiaTheme="minorEastAsia" w:hAnsi="Times New Roman" w:cs="Times New Roman"/>
          <w:lang w:val="en-GB"/>
        </w:rPr>
        <w:t xml:space="preserve"> </w:t>
      </w:r>
      <w:proofErr w:type="spellStart"/>
      <w:r>
        <w:rPr>
          <w:rStyle w:val="SubtleEmphasis"/>
          <w:rFonts w:ascii="Times New Roman" w:eastAsiaTheme="minorEastAsia" w:hAnsi="Times New Roman" w:cs="Times New Roman"/>
          <w:lang w:val="en-GB"/>
        </w:rPr>
        <w:t>Chouman</w:t>
      </w:r>
      <w:proofErr w:type="spellEnd"/>
      <w:r>
        <w:rPr>
          <w:rStyle w:val="SubtleEmphasis"/>
          <w:rFonts w:ascii="Times New Roman" w:eastAsiaTheme="minorEastAsia" w:hAnsi="Times New Roman" w:cs="Times New Roman"/>
          <w:lang w:val="en-GB"/>
        </w:rPr>
        <w:t xml:space="preserve"> and Ahmad </w:t>
      </w:r>
      <w:proofErr w:type="spellStart"/>
      <w:r>
        <w:rPr>
          <w:rStyle w:val="SubtleEmphasis"/>
          <w:rFonts w:ascii="Times New Roman" w:eastAsiaTheme="minorEastAsia" w:hAnsi="Times New Roman" w:cs="Times New Roman"/>
          <w:lang w:val="en-GB"/>
        </w:rPr>
        <w:t>Sobh</w:t>
      </w:r>
      <w:proofErr w:type="spellEnd"/>
      <w:r>
        <w:rPr>
          <w:rStyle w:val="SubtleEmphasis"/>
          <w:rFonts w:ascii="Times New Roman" w:eastAsiaTheme="minorEastAsia" w:hAnsi="Times New Roman" w:cs="Times New Roman"/>
          <w:lang w:val="en-GB"/>
        </w:rPr>
        <w:t>, who were arrested on 15 January 2018. During their trial, neither of the defendants were allowed direct access to their lawyers, and the court did not allow the lawyers to access the prosecution file and the evidence against their clients. Under such circumstances, it was extremely difficult for the lawyers to prepare their cases and represent their clients adequately.</w:t>
      </w:r>
    </w:p>
    <w:p w:rsidR="0060459F" w:rsidRDefault="00F96166">
      <w:pPr>
        <w:pStyle w:val="Corps"/>
        <w:spacing w:after="120" w:line="276" w:lineRule="auto"/>
        <w:jc w:val="both"/>
        <w:rPr>
          <w:rStyle w:val="SubtleEmphasis"/>
          <w:rFonts w:ascii="Times New Roman" w:eastAsiaTheme="minorEastAsia" w:hAnsi="Times New Roman" w:cs="Times New Roman"/>
          <w:lang w:val="en-GB"/>
        </w:rPr>
      </w:pPr>
      <w:r>
        <w:rPr>
          <w:rStyle w:val="SubtleEmphasis"/>
          <w:rFonts w:ascii="Times New Roman" w:eastAsiaTheme="minorEastAsia" w:hAnsi="Times New Roman" w:cs="Times New Roman"/>
          <w:lang w:val="en-GB"/>
        </w:rPr>
        <w:t xml:space="preserve">The Working Group on Arbitrary detention also noted that in the case of Nasser Bin </w:t>
      </w:r>
      <w:proofErr w:type="spellStart"/>
      <w:r>
        <w:rPr>
          <w:rStyle w:val="SubtleEmphasis"/>
          <w:rFonts w:ascii="Times New Roman" w:eastAsiaTheme="minorEastAsia" w:hAnsi="Times New Roman" w:cs="Times New Roman"/>
          <w:lang w:val="en-GB"/>
        </w:rPr>
        <w:t>Ghaith</w:t>
      </w:r>
      <w:proofErr w:type="spellEnd"/>
      <w:r>
        <w:rPr>
          <w:rStyle w:val="SubtleEmphasis"/>
          <w:rFonts w:ascii="Times New Roman" w:eastAsiaTheme="minorEastAsia" w:hAnsi="Times New Roman" w:cs="Times New Roman"/>
          <w:lang w:val="en-GB"/>
        </w:rPr>
        <w:t xml:space="preserve">, according to the case’s source, “Mr. Bin </w:t>
      </w:r>
      <w:proofErr w:type="spellStart"/>
      <w:r>
        <w:rPr>
          <w:rStyle w:val="SubtleEmphasis"/>
          <w:rFonts w:ascii="Times New Roman" w:eastAsiaTheme="minorEastAsia" w:hAnsi="Times New Roman" w:cs="Times New Roman"/>
          <w:lang w:val="en-GB"/>
        </w:rPr>
        <w:t>Ghaith</w:t>
      </w:r>
      <w:proofErr w:type="spellEnd"/>
      <w:r>
        <w:rPr>
          <w:rStyle w:val="SubtleEmphasis"/>
          <w:rFonts w:ascii="Times New Roman" w:eastAsiaTheme="minorEastAsia" w:hAnsi="Times New Roman" w:cs="Times New Roman"/>
          <w:lang w:val="en-GB"/>
        </w:rPr>
        <w:t xml:space="preserve"> was not allowed to communicate with his lawyer before his first trial hearing and even then, was not allowed to speak to him or meet with him before the hearing,”</w:t>
      </w:r>
      <w:r>
        <w:rPr>
          <w:rStyle w:val="FootnoteReference"/>
          <w:rFonts w:ascii="Times New Roman" w:eastAsiaTheme="minorEastAsia" w:hAnsi="Times New Roman" w:cs="Times New Roman"/>
          <w:sz w:val="24"/>
          <w:lang w:val="en-GB"/>
        </w:rPr>
        <w:t xml:space="preserve"> </w:t>
      </w:r>
      <w:r>
        <w:rPr>
          <w:rStyle w:val="FootnoteReference"/>
          <w:rFonts w:ascii="Times New Roman" w:eastAsiaTheme="minorEastAsia" w:hAnsi="Times New Roman" w:cs="Times New Roman"/>
          <w:sz w:val="24"/>
          <w:lang w:val="en-GB"/>
        </w:rPr>
        <w:footnoteReference w:id="36"/>
      </w:r>
      <w:r>
        <w:rPr>
          <w:rStyle w:val="SubtleEmphasis"/>
          <w:rFonts w:ascii="Times New Roman" w:eastAsiaTheme="minorEastAsia" w:hAnsi="Times New Roman" w:cs="Times New Roman"/>
          <w:lang w:val="en-GB"/>
        </w:rPr>
        <w:t xml:space="preserve"> which prevented him from preparing his defence. Similarly, in the case of </w:t>
      </w:r>
      <w:proofErr w:type="spellStart"/>
      <w:r>
        <w:rPr>
          <w:rStyle w:val="SubtleEmphasis"/>
          <w:rFonts w:ascii="Times New Roman" w:eastAsiaTheme="minorEastAsia" w:hAnsi="Times New Roman" w:cs="Times New Roman"/>
          <w:lang w:val="en-GB"/>
        </w:rPr>
        <w:t>Bahaa</w:t>
      </w:r>
      <w:proofErr w:type="spellEnd"/>
      <w:r>
        <w:rPr>
          <w:rStyle w:val="SubtleEmphasis"/>
          <w:rFonts w:ascii="Times New Roman" w:eastAsiaTheme="minorEastAsia" w:hAnsi="Times New Roman" w:cs="Times New Roman"/>
          <w:lang w:val="en-GB"/>
        </w:rPr>
        <w:t xml:space="preserve"> Adel Salman </w:t>
      </w:r>
      <w:proofErr w:type="spellStart"/>
      <w:r>
        <w:rPr>
          <w:rStyle w:val="SubtleEmphasis"/>
          <w:rFonts w:ascii="Times New Roman" w:eastAsiaTheme="minorEastAsia" w:hAnsi="Times New Roman" w:cs="Times New Roman"/>
          <w:lang w:val="en-GB"/>
        </w:rPr>
        <w:t>Mattar</w:t>
      </w:r>
      <w:proofErr w:type="spellEnd"/>
      <w:r>
        <w:rPr>
          <w:rStyle w:val="SubtleEmphasis"/>
          <w:rFonts w:ascii="Times New Roman" w:eastAsiaTheme="minorEastAsia" w:hAnsi="Times New Roman" w:cs="Times New Roman"/>
          <w:lang w:val="en-GB"/>
        </w:rPr>
        <w:t xml:space="preserve"> and Maher </w:t>
      </w:r>
      <w:proofErr w:type="spellStart"/>
      <w:r>
        <w:rPr>
          <w:rStyle w:val="SubtleEmphasis"/>
          <w:rFonts w:ascii="Times New Roman" w:eastAsiaTheme="minorEastAsia" w:hAnsi="Times New Roman" w:cs="Times New Roman"/>
          <w:lang w:val="en-GB"/>
        </w:rPr>
        <w:t>Atieh</w:t>
      </w:r>
      <w:proofErr w:type="spellEnd"/>
      <w:r>
        <w:rPr>
          <w:rStyle w:val="SubtleEmphasis"/>
          <w:rFonts w:ascii="Times New Roman" w:eastAsiaTheme="minorEastAsia" w:hAnsi="Times New Roman" w:cs="Times New Roman"/>
          <w:lang w:val="en-GB"/>
        </w:rPr>
        <w:t xml:space="preserve"> Othman Abu </w:t>
      </w:r>
      <w:proofErr w:type="spellStart"/>
      <w:r>
        <w:rPr>
          <w:rStyle w:val="SubtleEmphasis"/>
          <w:rFonts w:ascii="Times New Roman" w:eastAsiaTheme="minorEastAsia" w:hAnsi="Times New Roman" w:cs="Times New Roman"/>
          <w:lang w:val="en-GB"/>
        </w:rPr>
        <w:t>Shawareb</w:t>
      </w:r>
      <w:proofErr w:type="spellEnd"/>
      <w:r>
        <w:rPr>
          <w:rStyle w:val="SubtleEmphasis"/>
          <w:rFonts w:ascii="Times New Roman" w:eastAsiaTheme="minorEastAsia" w:hAnsi="Times New Roman" w:cs="Times New Roman"/>
          <w:lang w:val="en-GB"/>
        </w:rPr>
        <w:t xml:space="preserve">, the Working Group on Arbitrary detention noted “the denial of adequate time and facilities to Mr. </w:t>
      </w:r>
      <w:proofErr w:type="spellStart"/>
      <w:r>
        <w:rPr>
          <w:rStyle w:val="SubtleEmphasis"/>
          <w:rFonts w:ascii="Times New Roman" w:eastAsiaTheme="minorEastAsia" w:hAnsi="Times New Roman" w:cs="Times New Roman"/>
          <w:lang w:val="en-GB"/>
        </w:rPr>
        <w:t>Mattar</w:t>
      </w:r>
      <w:proofErr w:type="spellEnd"/>
      <w:r>
        <w:rPr>
          <w:rStyle w:val="SubtleEmphasis"/>
          <w:rFonts w:ascii="Times New Roman" w:eastAsiaTheme="minorEastAsia" w:hAnsi="Times New Roman" w:cs="Times New Roman"/>
          <w:lang w:val="en-GB"/>
        </w:rPr>
        <w:t xml:space="preserve"> and Mr. Abu </w:t>
      </w:r>
      <w:proofErr w:type="spellStart"/>
      <w:r>
        <w:rPr>
          <w:rStyle w:val="SubtleEmphasis"/>
          <w:rFonts w:ascii="Times New Roman" w:eastAsiaTheme="minorEastAsia" w:hAnsi="Times New Roman" w:cs="Times New Roman"/>
          <w:lang w:val="en-GB"/>
        </w:rPr>
        <w:t>Shawareb</w:t>
      </w:r>
      <w:proofErr w:type="spellEnd"/>
      <w:r>
        <w:rPr>
          <w:rStyle w:val="SubtleEmphasis"/>
          <w:rFonts w:ascii="Times New Roman" w:eastAsiaTheme="minorEastAsia" w:hAnsi="Times New Roman" w:cs="Times New Roman"/>
          <w:lang w:val="en-GB"/>
        </w:rPr>
        <w:t xml:space="preserve"> for the preparation of their defence and communication with their legal counsel and the denial of a chance to challenge the incriminating evidence and to present any exculpatory evidence”.</w:t>
      </w:r>
      <w:r>
        <w:rPr>
          <w:rStyle w:val="FootnoteReference"/>
          <w:rFonts w:ascii="Times New Roman" w:eastAsiaTheme="minorEastAsia" w:hAnsi="Times New Roman" w:cs="Times New Roman"/>
          <w:sz w:val="24"/>
          <w:lang w:val="en-GB"/>
        </w:rPr>
        <w:footnoteReference w:id="37"/>
      </w:r>
    </w:p>
    <w:p w:rsidR="0060459F" w:rsidRDefault="00F96166">
      <w:pPr>
        <w:pStyle w:val="Corps"/>
        <w:spacing w:after="120" w:line="276" w:lineRule="auto"/>
        <w:jc w:val="both"/>
        <w:rPr>
          <w:rStyle w:val="SubtleEmphasis"/>
          <w:rFonts w:ascii="Times New Roman" w:eastAsiaTheme="minorEastAsia" w:hAnsi="Times New Roman" w:cs="Times New Roman"/>
          <w:lang w:val="en-GB"/>
        </w:rPr>
      </w:pPr>
      <w:r>
        <w:rPr>
          <w:rStyle w:val="SubtleEmphasis"/>
          <w:rFonts w:ascii="Times New Roman" w:eastAsiaTheme="minorEastAsia" w:hAnsi="Times New Roman" w:cs="Times New Roman"/>
          <w:lang w:val="en-GB"/>
        </w:rPr>
        <w:t>Lastly, the Special Rapporteur was also “alarmed at reports that some lawyers who take up cases related to State security have been harassed, threatened and had pressure exerted on them.”</w:t>
      </w:r>
      <w:r>
        <w:rPr>
          <w:rStyle w:val="FootnoteReference"/>
          <w:rFonts w:ascii="Times New Roman" w:eastAsiaTheme="minorEastAsia" w:hAnsi="Times New Roman" w:cs="Times New Roman"/>
          <w:sz w:val="24"/>
          <w:lang w:val="en-GB"/>
        </w:rPr>
        <w:footnoteReference w:id="38"/>
      </w:r>
      <w:r>
        <w:rPr>
          <w:rStyle w:val="SubtleEmphasis"/>
          <w:rFonts w:ascii="Times New Roman" w:eastAsiaTheme="minorEastAsia" w:hAnsi="Times New Roman" w:cs="Times New Roman"/>
          <w:lang w:val="en-GB"/>
        </w:rPr>
        <w:t xml:space="preserve"> This was the case of </w:t>
      </w:r>
      <w:proofErr w:type="spellStart"/>
      <w:r>
        <w:rPr>
          <w:rStyle w:val="SubtleEmphasis"/>
          <w:rFonts w:ascii="Times New Roman" w:eastAsiaTheme="minorEastAsia" w:hAnsi="Times New Roman" w:cs="Times New Roman"/>
          <w:lang w:val="en-GB"/>
        </w:rPr>
        <w:t>Alya</w:t>
      </w:r>
      <w:proofErr w:type="spellEnd"/>
      <w:r>
        <w:rPr>
          <w:rStyle w:val="SubtleEmphasis"/>
          <w:rFonts w:ascii="Times New Roman" w:eastAsiaTheme="minorEastAsia" w:hAnsi="Times New Roman" w:cs="Times New Roman"/>
          <w:lang w:val="en-GB"/>
        </w:rPr>
        <w:t xml:space="preserve"> </w:t>
      </w:r>
      <w:proofErr w:type="spellStart"/>
      <w:r>
        <w:rPr>
          <w:rStyle w:val="SubtleEmphasis"/>
          <w:rFonts w:ascii="Times New Roman" w:eastAsiaTheme="minorEastAsia" w:hAnsi="Times New Roman" w:cs="Times New Roman"/>
          <w:lang w:val="en-GB"/>
        </w:rPr>
        <w:t>Abdulnoor’s</w:t>
      </w:r>
      <w:proofErr w:type="spellEnd"/>
      <w:r>
        <w:rPr>
          <w:rStyle w:val="SubtleEmphasis"/>
          <w:rFonts w:ascii="Times New Roman" w:eastAsiaTheme="minorEastAsia" w:hAnsi="Times New Roman" w:cs="Times New Roman"/>
          <w:lang w:val="en-GB"/>
        </w:rPr>
        <w:t xml:space="preserve"> lawyer, who abandoned </w:t>
      </w:r>
      <w:proofErr w:type="spellStart"/>
      <w:r>
        <w:rPr>
          <w:rStyle w:val="SubtleEmphasis"/>
          <w:rFonts w:ascii="Times New Roman" w:eastAsiaTheme="minorEastAsia" w:hAnsi="Times New Roman" w:cs="Times New Roman"/>
          <w:lang w:val="en-GB"/>
        </w:rPr>
        <w:t>Abdulnoor’s</w:t>
      </w:r>
      <w:proofErr w:type="spellEnd"/>
      <w:r>
        <w:rPr>
          <w:rStyle w:val="SubtleEmphasis"/>
          <w:rFonts w:ascii="Times New Roman" w:eastAsiaTheme="minorEastAsia" w:hAnsi="Times New Roman" w:cs="Times New Roman"/>
          <w:lang w:val="en-GB"/>
        </w:rPr>
        <w:t xml:space="preserve"> case (documented by MENA Rights Group and detailed in annex 1) after he was threatened and intimidated by the authorities.</w:t>
      </w:r>
    </w:p>
    <w:p w:rsidR="0060459F" w:rsidRDefault="00F96166">
      <w:pPr>
        <w:pStyle w:val="Heading2"/>
        <w:rPr>
          <w:rFonts w:ascii="Times New Roman" w:hAnsi="Times New Roman" w:cs="Times New Roman"/>
        </w:rPr>
      </w:pPr>
      <w:bookmarkStart w:id="7" w:name="_Toc103273040"/>
      <w:r>
        <w:rPr>
          <w:rFonts w:ascii="Times New Roman" w:eastAsiaTheme="minorEastAsia" w:hAnsi="Times New Roman" w:cs="Times New Roman"/>
        </w:rPr>
        <w:lastRenderedPageBreak/>
        <w:t>Right to medical care</w:t>
      </w:r>
      <w:bookmarkEnd w:id="7"/>
    </w:p>
    <w:p w:rsidR="0060459F" w:rsidRDefault="00F96166">
      <w:pPr>
        <w:pStyle w:val="Corps"/>
        <w:spacing w:after="120" w:line="276" w:lineRule="auto"/>
        <w:jc w:val="both"/>
        <w:rPr>
          <w:rStyle w:val="SubtleEmphasis"/>
          <w:rFonts w:ascii="Times New Roman" w:hAnsi="Times New Roman" w:cs="Times New Roman"/>
          <w:lang w:val="en-GB"/>
        </w:rPr>
      </w:pPr>
      <w:r>
        <w:rPr>
          <w:rStyle w:val="SubtleEmphasis"/>
          <w:rFonts w:ascii="Times New Roman" w:hAnsi="Times New Roman" w:cs="Times New Roman"/>
          <w:lang w:val="en-GB"/>
        </w:rPr>
        <w:t>Articles 29 to 33 of the act regulating penal facilities regulates medical care in such establishments. They prescribe, among others, that every penal facility must have at least one doctor residing there. The articles also foresee that patients suffering from mental illnesses or life threatening conditions must be presented before a medical committee to discuss their fate, which may include, in the first case, transfer to a mental hospital and, in the second, medical release, issued upon decision of the public prosecutor. It is also prescribed that in case a prisoner's condition reaches a critical point according to the facility’s physician, the facility’s administration must inform the family and allow them to visit their relative without being restricted to the official visiting hours.</w:t>
      </w:r>
    </w:p>
    <w:p w:rsidR="0060459F" w:rsidRDefault="00F96166">
      <w:pPr>
        <w:pStyle w:val="Corps"/>
        <w:spacing w:after="120" w:line="276" w:lineRule="auto"/>
        <w:jc w:val="both"/>
        <w:rPr>
          <w:rStyle w:val="SubtleEmphasis"/>
          <w:rFonts w:ascii="Times New Roman" w:hAnsi="Times New Roman" w:cs="Times New Roman"/>
          <w:lang w:val="en-GB"/>
        </w:rPr>
      </w:pPr>
      <w:r>
        <w:rPr>
          <w:rStyle w:val="SubtleEmphasis"/>
          <w:rFonts w:ascii="Times New Roman" w:hAnsi="Times New Roman" w:cs="Times New Roman"/>
          <w:lang w:val="en-GB"/>
        </w:rPr>
        <w:t xml:space="preserve">Despite these provisions, MENA Rights Group documented several cases (detailed in annex 1) in which medical care was not offered to prisoners in need of it. These include the cases of </w:t>
      </w:r>
      <w:proofErr w:type="spellStart"/>
      <w:r>
        <w:rPr>
          <w:rStyle w:val="SubtleEmphasis"/>
          <w:rFonts w:ascii="Times New Roman" w:hAnsi="Times New Roman" w:cs="Times New Roman"/>
          <w:lang w:val="en-GB"/>
        </w:rPr>
        <w:t>Abdulsalam</w:t>
      </w:r>
      <w:proofErr w:type="spellEnd"/>
      <w:r>
        <w:rPr>
          <w:rStyle w:val="SubtleEmphasis"/>
          <w:rFonts w:ascii="Times New Roman" w:hAnsi="Times New Roman" w:cs="Times New Roman"/>
          <w:lang w:val="en-GB"/>
        </w:rPr>
        <w:t xml:space="preserve"> Mohamed </w:t>
      </w:r>
      <w:proofErr w:type="spellStart"/>
      <w:r>
        <w:rPr>
          <w:rStyle w:val="SubtleEmphasis"/>
          <w:rFonts w:ascii="Times New Roman" w:hAnsi="Times New Roman" w:cs="Times New Roman"/>
          <w:lang w:val="en-GB"/>
        </w:rPr>
        <w:t>Derwish</w:t>
      </w:r>
      <w:proofErr w:type="spellEnd"/>
      <w:r>
        <w:rPr>
          <w:rStyle w:val="SubtleEmphasis"/>
          <w:rFonts w:ascii="Times New Roman" w:hAnsi="Times New Roman" w:cs="Times New Roman"/>
          <w:lang w:val="en-GB"/>
        </w:rPr>
        <w:t xml:space="preserve"> Al </w:t>
      </w:r>
      <w:proofErr w:type="spellStart"/>
      <w:r>
        <w:rPr>
          <w:rStyle w:val="SubtleEmphasis"/>
          <w:rFonts w:ascii="Times New Roman" w:hAnsi="Times New Roman" w:cs="Times New Roman"/>
          <w:lang w:val="en-GB"/>
        </w:rPr>
        <w:t>Marzooqi</w:t>
      </w:r>
      <w:proofErr w:type="spellEnd"/>
      <w:r>
        <w:rPr>
          <w:rStyle w:val="SubtleEmphasis"/>
          <w:rFonts w:ascii="Times New Roman" w:hAnsi="Times New Roman" w:cs="Times New Roman"/>
          <w:lang w:val="en-GB"/>
        </w:rPr>
        <w:t xml:space="preserve">, Amina Al </w:t>
      </w:r>
      <w:proofErr w:type="spellStart"/>
      <w:r>
        <w:rPr>
          <w:rStyle w:val="SubtleEmphasis"/>
          <w:rFonts w:ascii="Times New Roman" w:hAnsi="Times New Roman" w:cs="Times New Roman"/>
          <w:lang w:val="en-GB"/>
        </w:rPr>
        <w:t>Abdouli</w:t>
      </w:r>
      <w:proofErr w:type="spellEnd"/>
      <w:r>
        <w:rPr>
          <w:rStyle w:val="SubtleEmphasis"/>
          <w:rFonts w:ascii="Times New Roman" w:hAnsi="Times New Roman" w:cs="Times New Roman"/>
          <w:lang w:val="en-GB"/>
        </w:rPr>
        <w:t xml:space="preserve">, Maryam Al </w:t>
      </w:r>
      <w:proofErr w:type="spellStart"/>
      <w:r>
        <w:rPr>
          <w:rStyle w:val="SubtleEmphasis"/>
          <w:rFonts w:ascii="Times New Roman" w:hAnsi="Times New Roman" w:cs="Times New Roman"/>
          <w:lang w:val="en-GB"/>
        </w:rPr>
        <w:t>Balushi</w:t>
      </w:r>
      <w:proofErr w:type="spellEnd"/>
      <w:r>
        <w:rPr>
          <w:rStyle w:val="SubtleEmphasis"/>
          <w:rFonts w:ascii="Times New Roman" w:hAnsi="Times New Roman" w:cs="Times New Roman"/>
          <w:lang w:val="en-GB"/>
        </w:rPr>
        <w:t xml:space="preserve"> and Ahmed </w:t>
      </w:r>
      <w:proofErr w:type="spellStart"/>
      <w:r>
        <w:rPr>
          <w:rStyle w:val="SubtleEmphasis"/>
          <w:rFonts w:ascii="Times New Roman" w:hAnsi="Times New Roman" w:cs="Times New Roman"/>
          <w:lang w:val="en-GB"/>
        </w:rPr>
        <w:t>Mansoor</w:t>
      </w:r>
      <w:proofErr w:type="spellEnd"/>
      <w:r>
        <w:rPr>
          <w:rStyle w:val="SubtleEmphasis"/>
          <w:rFonts w:ascii="Times New Roman" w:hAnsi="Times New Roman" w:cs="Times New Roman"/>
          <w:lang w:val="en-GB"/>
        </w:rPr>
        <w:t xml:space="preserve">. The most noteworthy case, however, is that of </w:t>
      </w:r>
      <w:proofErr w:type="spellStart"/>
      <w:r>
        <w:rPr>
          <w:rStyle w:val="SubtleEmphasis"/>
          <w:rFonts w:ascii="Times New Roman" w:hAnsi="Times New Roman" w:cs="Times New Roman"/>
          <w:lang w:val="en-GB"/>
        </w:rPr>
        <w:t>Alya</w:t>
      </w:r>
      <w:proofErr w:type="spellEnd"/>
      <w:r>
        <w:rPr>
          <w:rStyle w:val="SubtleEmphasis"/>
          <w:rFonts w:ascii="Times New Roman" w:hAnsi="Times New Roman" w:cs="Times New Roman"/>
          <w:lang w:val="en-GB"/>
        </w:rPr>
        <w:t xml:space="preserve"> </w:t>
      </w:r>
      <w:proofErr w:type="spellStart"/>
      <w:r>
        <w:rPr>
          <w:rStyle w:val="SubtleEmphasis"/>
          <w:rFonts w:ascii="Times New Roman" w:hAnsi="Times New Roman" w:cs="Times New Roman"/>
          <w:lang w:val="en-GB"/>
        </w:rPr>
        <w:t>Abdulnoor</w:t>
      </w:r>
      <w:proofErr w:type="spellEnd"/>
      <w:r>
        <w:rPr>
          <w:rStyle w:val="SubtleEmphasis"/>
          <w:rFonts w:ascii="Times New Roman" w:hAnsi="Times New Roman" w:cs="Times New Roman"/>
          <w:lang w:val="en-GB"/>
        </w:rPr>
        <w:t xml:space="preserve">. </w:t>
      </w:r>
      <w:proofErr w:type="spellStart"/>
      <w:r>
        <w:rPr>
          <w:rStyle w:val="SubtleEmphasis"/>
          <w:rFonts w:ascii="Times New Roman" w:hAnsi="Times New Roman" w:cs="Times New Roman"/>
          <w:lang w:val="en-GB"/>
        </w:rPr>
        <w:t>Alya</w:t>
      </w:r>
      <w:proofErr w:type="spellEnd"/>
      <w:r>
        <w:rPr>
          <w:rStyle w:val="SubtleEmphasis"/>
          <w:rFonts w:ascii="Times New Roman" w:hAnsi="Times New Roman" w:cs="Times New Roman"/>
          <w:lang w:val="en-GB"/>
        </w:rPr>
        <w:t xml:space="preserve"> </w:t>
      </w:r>
      <w:proofErr w:type="spellStart"/>
      <w:r>
        <w:rPr>
          <w:rStyle w:val="SubtleEmphasis"/>
          <w:rFonts w:ascii="Times New Roman" w:hAnsi="Times New Roman" w:cs="Times New Roman"/>
          <w:lang w:val="en-GB"/>
        </w:rPr>
        <w:t>Abdulnoor</w:t>
      </w:r>
      <w:proofErr w:type="spellEnd"/>
      <w:r>
        <w:rPr>
          <w:rStyle w:val="SubtleEmphasis"/>
          <w:rFonts w:ascii="Times New Roman" w:hAnsi="Times New Roman" w:cs="Times New Roman"/>
          <w:lang w:val="en-GB"/>
        </w:rPr>
        <w:t xml:space="preserve"> was diagnosed with breast cancer in 2008, and successfully treated in a specialised hospital in Germany. At the time of her arrest, she had been in remission for six years. Whilst in prison, however, </w:t>
      </w:r>
      <w:proofErr w:type="spellStart"/>
      <w:r>
        <w:rPr>
          <w:rStyle w:val="SubtleEmphasis"/>
          <w:rFonts w:ascii="Times New Roman" w:hAnsi="Times New Roman" w:cs="Times New Roman"/>
          <w:lang w:val="en-GB"/>
        </w:rPr>
        <w:t>Abdulnoor</w:t>
      </w:r>
      <w:proofErr w:type="spellEnd"/>
      <w:r>
        <w:rPr>
          <w:rStyle w:val="SubtleEmphasis"/>
          <w:rFonts w:ascii="Times New Roman" w:hAnsi="Times New Roman" w:cs="Times New Roman"/>
          <w:lang w:val="en-GB"/>
        </w:rPr>
        <w:t xml:space="preserve"> had a cancer recurrence but, instead of being provided with proper care, she was given strong painkillers and antidepressants. Due to the serious deterioration of her health, she was transferred to </w:t>
      </w:r>
      <w:proofErr w:type="spellStart"/>
      <w:r>
        <w:rPr>
          <w:rStyle w:val="SubtleEmphasis"/>
          <w:rFonts w:ascii="Times New Roman" w:hAnsi="Times New Roman" w:cs="Times New Roman"/>
          <w:lang w:val="en-GB"/>
        </w:rPr>
        <w:t>Mafraq</w:t>
      </w:r>
      <w:proofErr w:type="spellEnd"/>
      <w:r>
        <w:rPr>
          <w:rStyle w:val="SubtleEmphasis"/>
          <w:rFonts w:ascii="Times New Roman" w:hAnsi="Times New Roman" w:cs="Times New Roman"/>
          <w:lang w:val="en-GB"/>
        </w:rPr>
        <w:t xml:space="preserve"> hospital in November 2016. Family visits were denied systematically and information on her health was not communicated regularly. She continued to be denied the medical attention she required. Despite her health issues and repeated requests from her family, the authorities continued to refuse to transfer </w:t>
      </w:r>
      <w:proofErr w:type="spellStart"/>
      <w:r>
        <w:rPr>
          <w:rStyle w:val="SubtleEmphasis"/>
          <w:rFonts w:ascii="Times New Roman" w:hAnsi="Times New Roman" w:cs="Times New Roman"/>
          <w:lang w:val="en-GB"/>
        </w:rPr>
        <w:t>Abdulnoor</w:t>
      </w:r>
      <w:proofErr w:type="spellEnd"/>
      <w:r>
        <w:rPr>
          <w:rStyle w:val="SubtleEmphasis"/>
          <w:rFonts w:ascii="Times New Roman" w:hAnsi="Times New Roman" w:cs="Times New Roman"/>
          <w:lang w:val="en-GB"/>
        </w:rPr>
        <w:t xml:space="preserve"> to a specialised hospital or to release her on medical grounds. On 26 February 2019, a group of UN experts called for her release so she could live her final days in dignity and with her family,</w:t>
      </w:r>
      <w:r>
        <w:rPr>
          <w:rStyle w:val="FootnoteReference"/>
          <w:rFonts w:ascii="Times New Roman" w:hAnsi="Times New Roman" w:cs="Times New Roman"/>
          <w:sz w:val="24"/>
          <w:lang w:val="en-GB"/>
        </w:rPr>
        <w:footnoteReference w:id="39"/>
      </w:r>
      <w:r>
        <w:rPr>
          <w:rStyle w:val="SubtleEmphasis"/>
          <w:rFonts w:ascii="Times New Roman" w:hAnsi="Times New Roman" w:cs="Times New Roman"/>
          <w:lang w:val="en-GB"/>
        </w:rPr>
        <w:t xml:space="preserve"> but to no avail. On 4 May 2019, </w:t>
      </w:r>
      <w:proofErr w:type="spellStart"/>
      <w:r>
        <w:rPr>
          <w:rStyle w:val="SubtleEmphasis"/>
          <w:rFonts w:ascii="Times New Roman" w:hAnsi="Times New Roman" w:cs="Times New Roman"/>
          <w:lang w:val="en-GB"/>
        </w:rPr>
        <w:t>Alya</w:t>
      </w:r>
      <w:proofErr w:type="spellEnd"/>
      <w:r>
        <w:rPr>
          <w:rStyle w:val="SubtleEmphasis"/>
          <w:rFonts w:ascii="Times New Roman" w:hAnsi="Times New Roman" w:cs="Times New Roman"/>
          <w:lang w:val="en-GB"/>
        </w:rPr>
        <w:t xml:space="preserve"> </w:t>
      </w:r>
      <w:proofErr w:type="spellStart"/>
      <w:r>
        <w:rPr>
          <w:rStyle w:val="SubtleEmphasis"/>
          <w:rFonts w:ascii="Times New Roman" w:hAnsi="Times New Roman" w:cs="Times New Roman"/>
          <w:lang w:val="en-GB"/>
        </w:rPr>
        <w:t>Abdulnoor</w:t>
      </w:r>
      <w:proofErr w:type="spellEnd"/>
      <w:r>
        <w:rPr>
          <w:rStyle w:val="SubtleEmphasis"/>
          <w:rFonts w:ascii="Times New Roman" w:hAnsi="Times New Roman" w:cs="Times New Roman"/>
          <w:lang w:val="en-GB"/>
        </w:rPr>
        <w:t xml:space="preserve"> passed away at </w:t>
      </w:r>
      <w:proofErr w:type="spellStart"/>
      <w:r>
        <w:rPr>
          <w:rStyle w:val="SubtleEmphasis"/>
          <w:rFonts w:ascii="Times New Roman" w:hAnsi="Times New Roman" w:cs="Times New Roman"/>
          <w:lang w:val="en-GB"/>
        </w:rPr>
        <w:t>Tawam</w:t>
      </w:r>
      <w:proofErr w:type="spellEnd"/>
      <w:r>
        <w:rPr>
          <w:rStyle w:val="SubtleEmphasis"/>
          <w:rFonts w:ascii="Times New Roman" w:hAnsi="Times New Roman" w:cs="Times New Roman"/>
          <w:lang w:val="en-GB"/>
        </w:rPr>
        <w:t xml:space="preserve"> hospital in Al Ain.</w:t>
      </w:r>
    </w:p>
    <w:p w:rsidR="0060459F" w:rsidRDefault="0060459F">
      <w:pPr>
        <w:pStyle w:val="Corps"/>
        <w:spacing w:after="120"/>
        <w:jc w:val="both"/>
        <w:rPr>
          <w:rStyle w:val="SubtleEmphasis"/>
          <w:rFonts w:ascii="Times New Roman" w:hAnsi="Times New Roman" w:cs="Times New Roman"/>
          <w:lang w:val="en-GB"/>
        </w:rPr>
      </w:pPr>
    </w:p>
    <w:p w:rsidR="0060459F" w:rsidRDefault="00F96166">
      <w:pPr>
        <w:pStyle w:val="Heading2"/>
        <w:rPr>
          <w:rFonts w:ascii="Times New Roman" w:hAnsi="Times New Roman" w:cs="Times New Roman"/>
        </w:rPr>
      </w:pPr>
      <w:bookmarkStart w:id="8" w:name="_Toc103273041"/>
      <w:r>
        <w:rPr>
          <w:rFonts w:ascii="Times New Roman" w:eastAsiaTheme="minorEastAsia" w:hAnsi="Times New Roman" w:cs="Times New Roman"/>
        </w:rPr>
        <w:t>Right to consular protection</w:t>
      </w:r>
      <w:bookmarkEnd w:id="8"/>
    </w:p>
    <w:p w:rsidR="0060459F" w:rsidRDefault="00F96166">
      <w:pPr>
        <w:pStyle w:val="Corps"/>
        <w:spacing w:after="120"/>
        <w:jc w:val="both"/>
        <w:rPr>
          <w:rStyle w:val="SubtleEmphasis"/>
          <w:rFonts w:ascii="Times New Roman" w:hAnsi="Times New Roman" w:cs="Times New Roman"/>
          <w:lang w:val="en-GB"/>
        </w:rPr>
      </w:pPr>
      <w:r>
        <w:rPr>
          <w:rStyle w:val="SubtleEmphasis"/>
          <w:rFonts w:ascii="Times New Roman" w:hAnsi="Times New Roman" w:cs="Times New Roman"/>
          <w:lang w:val="en-GB"/>
        </w:rPr>
        <w:t>Article 18 of the act regulating penal facilities prescribes that foreign detainees shall have the right to communicate with their consular authorities, upon receiving authorisation from the competent public prosecution. As is the case for lawyers, meetings with consular authorities must be carried out within the sight but not within the hearing of one of the facility managers. Consular protection is particularly important in the UAE, as the vast majority of the country’s residents are foreign nationals.</w:t>
      </w:r>
    </w:p>
    <w:p w:rsidR="0060459F" w:rsidRDefault="00F96166">
      <w:pPr>
        <w:pStyle w:val="Corps"/>
        <w:spacing w:after="120"/>
        <w:jc w:val="both"/>
        <w:rPr>
          <w:rStyle w:val="SubtleEmphasis"/>
          <w:rFonts w:ascii="Times New Roman" w:hAnsi="Times New Roman" w:cs="Times New Roman"/>
          <w:lang w:val="en-GB"/>
        </w:rPr>
      </w:pPr>
      <w:r>
        <w:rPr>
          <w:rStyle w:val="SubtleEmphasis"/>
          <w:rFonts w:ascii="Times New Roman" w:hAnsi="Times New Roman" w:cs="Times New Roman"/>
          <w:lang w:val="en-GB"/>
        </w:rPr>
        <w:lastRenderedPageBreak/>
        <w:t xml:space="preserve">Once again, practice does not seem to follow the legal provisions, as MENA Rights Group documented multiple cases (detailed in annex 1) in which foreign nationals were not allowed to contact their consular authorities. These include the cases of Abdullah </w:t>
      </w:r>
      <w:proofErr w:type="spellStart"/>
      <w:r>
        <w:rPr>
          <w:rStyle w:val="SubtleEmphasis"/>
          <w:rFonts w:ascii="Times New Roman" w:hAnsi="Times New Roman" w:cs="Times New Roman"/>
          <w:lang w:val="en-GB"/>
        </w:rPr>
        <w:t>Awad</w:t>
      </w:r>
      <w:proofErr w:type="spellEnd"/>
      <w:r>
        <w:rPr>
          <w:rStyle w:val="SubtleEmphasis"/>
          <w:rFonts w:ascii="Times New Roman" w:hAnsi="Times New Roman" w:cs="Times New Roman"/>
          <w:lang w:val="en-GB"/>
        </w:rPr>
        <w:t xml:space="preserve"> Salim Al </w:t>
      </w:r>
      <w:proofErr w:type="spellStart"/>
      <w:r>
        <w:rPr>
          <w:rStyle w:val="SubtleEmphasis"/>
          <w:rFonts w:ascii="Times New Roman" w:hAnsi="Times New Roman" w:cs="Times New Roman"/>
          <w:lang w:val="en-GB"/>
        </w:rPr>
        <w:t>Shamsi</w:t>
      </w:r>
      <w:proofErr w:type="spellEnd"/>
      <w:r>
        <w:rPr>
          <w:rStyle w:val="SubtleEmphasis"/>
          <w:rFonts w:ascii="Times New Roman" w:hAnsi="Times New Roman" w:cs="Times New Roman"/>
          <w:lang w:val="en-GB"/>
        </w:rPr>
        <w:t xml:space="preserve">, Yasser Sami </w:t>
      </w:r>
      <w:proofErr w:type="spellStart"/>
      <w:r>
        <w:rPr>
          <w:rStyle w:val="SubtleEmphasis"/>
          <w:rFonts w:ascii="Times New Roman" w:hAnsi="Times New Roman" w:cs="Times New Roman"/>
          <w:lang w:val="en-GB"/>
        </w:rPr>
        <w:t>Abedalafou</w:t>
      </w:r>
      <w:proofErr w:type="spellEnd"/>
      <w:r>
        <w:rPr>
          <w:rStyle w:val="SubtleEmphasis"/>
          <w:rFonts w:ascii="Times New Roman" w:hAnsi="Times New Roman" w:cs="Times New Roman"/>
          <w:lang w:val="en-GB"/>
        </w:rPr>
        <w:t xml:space="preserve"> and Abdallah Sami </w:t>
      </w:r>
      <w:proofErr w:type="spellStart"/>
      <w:r>
        <w:rPr>
          <w:rStyle w:val="SubtleEmphasis"/>
          <w:rFonts w:ascii="Times New Roman" w:hAnsi="Times New Roman" w:cs="Times New Roman"/>
          <w:lang w:val="en-GB"/>
        </w:rPr>
        <w:t>Abedalafou</w:t>
      </w:r>
      <w:proofErr w:type="spellEnd"/>
      <w:r>
        <w:rPr>
          <w:rStyle w:val="SubtleEmphasis"/>
          <w:rFonts w:ascii="Times New Roman" w:hAnsi="Times New Roman" w:cs="Times New Roman"/>
          <w:lang w:val="en-GB"/>
        </w:rPr>
        <w:t xml:space="preserve"> Abu Baker, Abdullah Mohammad Ahmad </w:t>
      </w:r>
      <w:proofErr w:type="spellStart"/>
      <w:r>
        <w:rPr>
          <w:rStyle w:val="SubtleEmphasis"/>
          <w:rFonts w:ascii="Times New Roman" w:hAnsi="Times New Roman" w:cs="Times New Roman"/>
          <w:lang w:val="en-GB"/>
        </w:rPr>
        <w:t>Attiah</w:t>
      </w:r>
      <w:proofErr w:type="spellEnd"/>
      <w:r>
        <w:rPr>
          <w:rStyle w:val="SubtleEmphasis"/>
          <w:rFonts w:ascii="Times New Roman" w:hAnsi="Times New Roman" w:cs="Times New Roman"/>
          <w:lang w:val="en-GB"/>
        </w:rPr>
        <w:t xml:space="preserve"> and </w:t>
      </w:r>
      <w:proofErr w:type="spellStart"/>
      <w:r>
        <w:rPr>
          <w:rStyle w:val="SubtleEmphasis"/>
          <w:rFonts w:ascii="Times New Roman" w:hAnsi="Times New Roman" w:cs="Times New Roman"/>
          <w:lang w:val="en-GB"/>
        </w:rPr>
        <w:t>Abdulmalik</w:t>
      </w:r>
      <w:proofErr w:type="spellEnd"/>
      <w:r>
        <w:rPr>
          <w:rStyle w:val="SubtleEmphasis"/>
          <w:rFonts w:ascii="Times New Roman" w:hAnsi="Times New Roman" w:cs="Times New Roman"/>
          <w:lang w:val="en-GB"/>
        </w:rPr>
        <w:t xml:space="preserve"> Mohammad Ahmad Mohammad Al </w:t>
      </w:r>
      <w:proofErr w:type="spellStart"/>
      <w:r>
        <w:rPr>
          <w:rStyle w:val="SubtleEmphasis"/>
          <w:rFonts w:ascii="Times New Roman" w:hAnsi="Times New Roman" w:cs="Times New Roman"/>
          <w:lang w:val="en-GB"/>
        </w:rPr>
        <w:t>Mukhanqi</w:t>
      </w:r>
      <w:proofErr w:type="spellEnd"/>
      <w:r>
        <w:rPr>
          <w:rStyle w:val="SubtleEmphasis"/>
          <w:rFonts w:ascii="Times New Roman" w:hAnsi="Times New Roman" w:cs="Times New Roman"/>
          <w:lang w:val="en-GB"/>
        </w:rPr>
        <w:t xml:space="preserve">, and </w:t>
      </w:r>
      <w:proofErr w:type="spellStart"/>
      <w:r>
        <w:rPr>
          <w:rStyle w:val="SubtleEmphasis"/>
          <w:rFonts w:ascii="Times New Roman" w:hAnsi="Times New Roman" w:cs="Times New Roman"/>
          <w:lang w:val="en-GB"/>
        </w:rPr>
        <w:t>Abdelrahman</w:t>
      </w:r>
      <w:proofErr w:type="spellEnd"/>
      <w:r>
        <w:rPr>
          <w:rStyle w:val="SubtleEmphasis"/>
          <w:rFonts w:ascii="Times New Roman" w:hAnsi="Times New Roman" w:cs="Times New Roman"/>
          <w:lang w:val="en-GB"/>
        </w:rPr>
        <w:t xml:space="preserve"> </w:t>
      </w:r>
      <w:proofErr w:type="spellStart"/>
      <w:r>
        <w:rPr>
          <w:rStyle w:val="SubtleEmphasis"/>
          <w:rFonts w:ascii="Times New Roman" w:hAnsi="Times New Roman" w:cs="Times New Roman"/>
          <w:lang w:val="en-GB"/>
        </w:rPr>
        <w:t>Chouman</w:t>
      </w:r>
      <w:proofErr w:type="spellEnd"/>
      <w:r>
        <w:rPr>
          <w:rStyle w:val="SubtleEmphasis"/>
          <w:rFonts w:ascii="Times New Roman" w:hAnsi="Times New Roman" w:cs="Times New Roman"/>
          <w:lang w:val="en-GB"/>
        </w:rPr>
        <w:t xml:space="preserve"> and Ahmad </w:t>
      </w:r>
      <w:proofErr w:type="spellStart"/>
      <w:r>
        <w:rPr>
          <w:rStyle w:val="SubtleEmphasis"/>
          <w:rFonts w:ascii="Times New Roman" w:hAnsi="Times New Roman" w:cs="Times New Roman"/>
          <w:lang w:val="en-GB"/>
        </w:rPr>
        <w:t>Sobh</w:t>
      </w:r>
      <w:proofErr w:type="spellEnd"/>
      <w:r>
        <w:rPr>
          <w:rStyle w:val="SubtleEmphasis"/>
          <w:rFonts w:ascii="Times New Roman" w:hAnsi="Times New Roman" w:cs="Times New Roman"/>
          <w:lang w:val="en-GB"/>
        </w:rPr>
        <w:t>.</w:t>
      </w:r>
      <w:r>
        <w:rPr>
          <w:rStyle w:val="FootnoteReference"/>
          <w:rFonts w:ascii="Times New Roman" w:hAnsi="Times New Roman" w:cs="Times New Roman"/>
          <w:sz w:val="24"/>
          <w:lang w:val="en-GB"/>
        </w:rPr>
        <w:footnoteReference w:id="40"/>
      </w:r>
    </w:p>
    <w:p w:rsidR="0060459F" w:rsidRDefault="00F96166">
      <w:pPr>
        <w:pStyle w:val="Corps"/>
        <w:spacing w:after="120"/>
        <w:jc w:val="both"/>
        <w:rPr>
          <w:rStyle w:val="SubtleEmphasis"/>
          <w:rFonts w:ascii="Times New Roman" w:hAnsi="Times New Roman" w:cs="Times New Roman"/>
          <w:lang w:val="en-GB"/>
        </w:rPr>
      </w:pPr>
      <w:r>
        <w:rPr>
          <w:rStyle w:val="SubtleEmphasis"/>
          <w:rFonts w:ascii="Times New Roman" w:hAnsi="Times New Roman" w:cs="Times New Roman"/>
          <w:lang w:val="en-GB"/>
        </w:rPr>
        <w:t>Another well-known case in this regard is that of Matthew Hedges,</w:t>
      </w:r>
      <w:r>
        <w:rPr>
          <w:rStyle w:val="FootnoteReference"/>
          <w:rFonts w:ascii="Times New Roman" w:hAnsi="Times New Roman" w:cs="Times New Roman"/>
          <w:sz w:val="24"/>
          <w:lang w:val="en-GB"/>
        </w:rPr>
        <w:footnoteReference w:id="41"/>
      </w:r>
      <w:r>
        <w:rPr>
          <w:rStyle w:val="SubtleEmphasis"/>
          <w:rFonts w:ascii="Times New Roman" w:hAnsi="Times New Roman" w:cs="Times New Roman"/>
          <w:lang w:val="en-GB"/>
        </w:rPr>
        <w:t xml:space="preserve"> a UK national and an academic who was arrested by agents of the SSA on 5 May 2018, at Dubai International Airport. SSA agents subjected Hedges to gross violations of human rights between May and November 2018, including </w:t>
      </w:r>
      <w:r>
        <w:rPr>
          <w:rStyle w:val="SubtleEmphasis"/>
          <w:rFonts w:ascii="Times New Roman" w:hAnsi="Times New Roman" w:cs="Times New Roman"/>
          <w:i/>
          <w:iCs/>
          <w:lang w:val="en-GB"/>
        </w:rPr>
        <w:t>incommunicado</w:t>
      </w:r>
      <w:r>
        <w:rPr>
          <w:rStyle w:val="SubtleEmphasis"/>
          <w:rFonts w:ascii="Times New Roman" w:hAnsi="Times New Roman" w:cs="Times New Roman"/>
          <w:lang w:val="en-GB"/>
        </w:rPr>
        <w:t xml:space="preserve"> detention, arbitrary detention, and torture. SSA officials only allowed Hedges to meet with a British consular official about six weeks after his initial arrest, after he had been coerced into signing a confession in Arabic, a language he does not understand. The meeting was supervised by armed agents of the SSA and the State Security Prosecutor in charge of his case and was abruptly ended after the British consular official asked Hedges if he had been tortured. The SSA would not afford Hedges another consular meeting until around three months later.</w:t>
      </w:r>
    </w:p>
    <w:p w:rsidR="0060459F" w:rsidRDefault="0060459F">
      <w:pPr>
        <w:pStyle w:val="Corps"/>
        <w:spacing w:after="120"/>
        <w:jc w:val="both"/>
        <w:rPr>
          <w:rStyle w:val="SubtleEmphasis"/>
          <w:rFonts w:ascii="Times New Roman" w:hAnsi="Times New Roman" w:cs="Times New Roman"/>
          <w:lang w:val="en-GB"/>
        </w:rPr>
      </w:pPr>
    </w:p>
    <w:p w:rsidR="0060459F" w:rsidRDefault="00F96166">
      <w:pPr>
        <w:pStyle w:val="Heading2"/>
        <w:rPr>
          <w:rStyle w:val="SubtleEmphasis"/>
          <w:rFonts w:ascii="Times New Roman" w:hAnsi="Times New Roman" w:cs="Times New Roman"/>
          <w:sz w:val="36"/>
        </w:rPr>
      </w:pPr>
      <w:bookmarkStart w:id="9" w:name="_Toc103273042"/>
      <w:r>
        <w:rPr>
          <w:rStyle w:val="SubtleEmphasis"/>
          <w:rFonts w:ascii="Times New Roman" w:eastAsiaTheme="minorEastAsia" w:hAnsi="Times New Roman" w:cs="Times New Roman"/>
          <w:sz w:val="36"/>
        </w:rPr>
        <w:t>Right to contact with the outside world</w:t>
      </w:r>
      <w:bookmarkEnd w:id="9"/>
    </w:p>
    <w:p w:rsidR="0060459F" w:rsidRDefault="00F96166">
      <w:pPr>
        <w:pStyle w:val="Corps"/>
        <w:spacing w:after="120" w:line="276" w:lineRule="auto"/>
        <w:jc w:val="both"/>
        <w:rPr>
          <w:rStyle w:val="SubtleEmphasis"/>
          <w:rFonts w:ascii="Times New Roman" w:eastAsiaTheme="minorEastAsia" w:hAnsi="Times New Roman" w:cs="Times New Roman"/>
          <w:lang w:val="en-GB"/>
        </w:rPr>
      </w:pPr>
      <w:r>
        <w:rPr>
          <w:rStyle w:val="SubtleEmphasis"/>
          <w:rFonts w:ascii="Times New Roman" w:eastAsiaTheme="minorEastAsia" w:hAnsi="Times New Roman" w:cs="Times New Roman"/>
          <w:lang w:val="en-GB"/>
        </w:rPr>
        <w:t>In its report, the state affirms that “[a]</w:t>
      </w:r>
      <w:proofErr w:type="spellStart"/>
      <w:r>
        <w:rPr>
          <w:rStyle w:val="SubtleEmphasis"/>
          <w:rFonts w:ascii="Times New Roman" w:eastAsiaTheme="minorEastAsia" w:hAnsi="Times New Roman" w:cs="Times New Roman"/>
          <w:lang w:val="en-GB"/>
        </w:rPr>
        <w:t>ll</w:t>
      </w:r>
      <w:proofErr w:type="spellEnd"/>
      <w:r>
        <w:rPr>
          <w:rStyle w:val="SubtleEmphasis"/>
          <w:rFonts w:ascii="Times New Roman" w:eastAsiaTheme="minorEastAsia" w:hAnsi="Times New Roman" w:cs="Times New Roman"/>
          <w:lang w:val="en-GB"/>
        </w:rPr>
        <w:t xml:space="preserve"> prisoners are allowed contact with their families, relatives and the outside world through visits and other means of communication.”</w:t>
      </w:r>
      <w:r>
        <w:rPr>
          <w:rStyle w:val="FootnoteReference"/>
          <w:rFonts w:ascii="Times New Roman" w:eastAsiaTheme="minorEastAsia" w:hAnsi="Times New Roman" w:cs="Times New Roman"/>
          <w:sz w:val="24"/>
          <w:lang w:val="en-GB"/>
        </w:rPr>
        <w:footnoteReference w:id="42"/>
      </w:r>
      <w:r>
        <w:rPr>
          <w:rStyle w:val="SubtleEmphasis"/>
          <w:rFonts w:ascii="Times New Roman" w:eastAsiaTheme="minorEastAsia" w:hAnsi="Times New Roman" w:cs="Times New Roman"/>
          <w:lang w:val="en-GB"/>
        </w:rPr>
        <w:t xml:space="preserve"> Emirati legislation, however, foresees different situations in which the communication of those arrested </w:t>
      </w:r>
      <w:r>
        <w:rPr>
          <w:rStyle w:val="SubtleEmphasis"/>
          <w:rFonts w:ascii="Times New Roman" w:eastAsiaTheme="minorEastAsia" w:hAnsi="Times New Roman" w:cs="Times New Roman"/>
          <w:lang w:val="en-GB"/>
        </w:rPr>
        <w:lastRenderedPageBreak/>
        <w:t>with the outside world may be restricted. For example, article 109 of the CCP procedure states that “[s]</w:t>
      </w:r>
      <w:proofErr w:type="spellStart"/>
      <w:r>
        <w:rPr>
          <w:rStyle w:val="SubtleEmphasis"/>
          <w:rFonts w:ascii="Times New Roman" w:eastAsiaTheme="minorEastAsia" w:hAnsi="Times New Roman" w:cs="Times New Roman"/>
          <w:lang w:val="en-GB"/>
        </w:rPr>
        <w:t>hould</w:t>
      </w:r>
      <w:proofErr w:type="spellEnd"/>
      <w:r>
        <w:rPr>
          <w:rStyle w:val="SubtleEmphasis"/>
          <w:rFonts w:ascii="Times New Roman" w:eastAsiaTheme="minorEastAsia" w:hAnsi="Times New Roman" w:cs="Times New Roman"/>
          <w:lang w:val="en-GB"/>
        </w:rPr>
        <w:t xml:space="preserve"> the investigation procedures so necessitate, the public prosecution member shall issue an order forbidding any contact between the provisionally detained accused and the other detained and any visits by any person whatsoever, without prejudice to the right of the accused to permanently contact in private his attorney.”</w:t>
      </w:r>
    </w:p>
    <w:p w:rsidR="0060459F" w:rsidRDefault="00F96166">
      <w:pPr>
        <w:pStyle w:val="Corps"/>
        <w:spacing w:after="120" w:line="276" w:lineRule="auto"/>
        <w:jc w:val="both"/>
        <w:rPr>
          <w:rStyle w:val="SubtleEmphasis"/>
          <w:rFonts w:ascii="Times New Roman" w:eastAsiaTheme="minorEastAsia" w:hAnsi="Times New Roman" w:cs="Times New Roman"/>
          <w:lang w:val="en-GB"/>
        </w:rPr>
      </w:pPr>
      <w:r>
        <w:rPr>
          <w:rStyle w:val="SubtleEmphasis"/>
          <w:rFonts w:ascii="Times New Roman" w:eastAsiaTheme="minorEastAsia" w:hAnsi="Times New Roman" w:cs="Times New Roman"/>
          <w:lang w:val="en-GB"/>
        </w:rPr>
        <w:t xml:space="preserve">The act regulating penal facilities, in turn, includes as disciplinary penalties, in article 38, the deprivation from all or some privileges for up to 30 days and solitary confinement for a period not exceeding seven days. Article 23 of the same act prescribes that, regarding certain prisoners, the facility officer must examine the letters s/he sends and receives and may prevent the prisoner from sending or receiving letters if he sees justification for such action. These provisions are of concern as they may lead to long periods of </w:t>
      </w:r>
      <w:r>
        <w:rPr>
          <w:rStyle w:val="SubtleEmphasis"/>
          <w:rFonts w:ascii="Times New Roman" w:eastAsiaTheme="minorEastAsia" w:hAnsi="Times New Roman" w:cs="Times New Roman"/>
          <w:i/>
          <w:lang w:val="en-GB"/>
        </w:rPr>
        <w:t>incommunicado</w:t>
      </w:r>
      <w:r>
        <w:rPr>
          <w:rStyle w:val="SubtleEmphasis"/>
          <w:rFonts w:ascii="Times New Roman" w:eastAsiaTheme="minorEastAsia" w:hAnsi="Times New Roman" w:cs="Times New Roman"/>
          <w:lang w:val="en-GB"/>
        </w:rPr>
        <w:t xml:space="preserve"> detention.</w:t>
      </w:r>
    </w:p>
    <w:p w:rsidR="0060459F" w:rsidRDefault="00F96166">
      <w:pPr>
        <w:pStyle w:val="Corps"/>
        <w:spacing w:after="120" w:line="276" w:lineRule="auto"/>
        <w:jc w:val="both"/>
        <w:rPr>
          <w:rStyle w:val="SubtleEmphasis"/>
          <w:rFonts w:ascii="Times New Roman" w:eastAsiaTheme="minorEastAsia" w:hAnsi="Times New Roman" w:cs="Times New Roman"/>
          <w:lang w:val="en-GB"/>
        </w:rPr>
      </w:pPr>
      <w:r>
        <w:rPr>
          <w:rStyle w:val="SubtleEmphasis"/>
          <w:rFonts w:ascii="Times New Roman" w:eastAsiaTheme="minorEastAsia" w:hAnsi="Times New Roman" w:cs="Times New Roman"/>
          <w:lang w:val="en-GB"/>
        </w:rPr>
        <w:t>In practice, it was noted that “[s]</w:t>
      </w:r>
      <w:proofErr w:type="spellStart"/>
      <w:r>
        <w:rPr>
          <w:rStyle w:val="SubtleEmphasis"/>
          <w:rFonts w:ascii="Times New Roman" w:eastAsiaTheme="minorEastAsia" w:hAnsi="Times New Roman" w:cs="Times New Roman"/>
          <w:lang w:val="en-GB"/>
        </w:rPr>
        <w:t>ome</w:t>
      </w:r>
      <w:proofErr w:type="spellEnd"/>
      <w:r>
        <w:rPr>
          <w:rStyle w:val="SubtleEmphasis"/>
          <w:rFonts w:ascii="Times New Roman" w:eastAsiaTheme="minorEastAsia" w:hAnsi="Times New Roman" w:cs="Times New Roman"/>
          <w:lang w:val="en-GB"/>
        </w:rPr>
        <w:t xml:space="preserve"> state security detainees were not permitted access to visitors or had more limited access than other prisoners.”</w:t>
      </w:r>
      <w:r>
        <w:rPr>
          <w:rStyle w:val="FootnoteReference"/>
          <w:rFonts w:ascii="Times New Roman" w:eastAsiaTheme="minorEastAsia" w:hAnsi="Times New Roman" w:cs="Times New Roman"/>
          <w:sz w:val="24"/>
          <w:lang w:val="en-GB"/>
        </w:rPr>
        <w:footnoteReference w:id="43"/>
      </w:r>
      <w:r>
        <w:rPr>
          <w:rStyle w:val="SubtleEmphasis"/>
          <w:rFonts w:ascii="Times New Roman" w:eastAsiaTheme="minorEastAsia" w:hAnsi="Times New Roman" w:cs="Times New Roman"/>
          <w:lang w:val="en-GB"/>
        </w:rPr>
        <w:t xml:space="preserve"> Indeed, in the majority of cases documented by MENA Rights Group (detailed in annex 1), individuals were held </w:t>
      </w:r>
      <w:r>
        <w:rPr>
          <w:rStyle w:val="SubtleEmphasis"/>
          <w:rFonts w:ascii="Times New Roman" w:eastAsiaTheme="minorEastAsia" w:hAnsi="Times New Roman" w:cs="Times New Roman"/>
          <w:i/>
          <w:iCs/>
          <w:lang w:val="en-GB"/>
        </w:rPr>
        <w:t>incommunicado</w:t>
      </w:r>
      <w:r>
        <w:rPr>
          <w:rStyle w:val="SubtleEmphasis"/>
          <w:rFonts w:ascii="Times New Roman" w:eastAsiaTheme="minorEastAsia" w:hAnsi="Times New Roman" w:cs="Times New Roman"/>
          <w:lang w:val="en-GB"/>
        </w:rPr>
        <w:t xml:space="preserve"> in facilities linked to the State Security Apparatus for a certain period of time, during which they were often subjected to torture, frequently with the aim of signing coerced confessions that would later be used to base their convictions.</w:t>
      </w:r>
    </w:p>
    <w:p w:rsidR="0060459F" w:rsidRDefault="00F96166">
      <w:pPr>
        <w:pStyle w:val="Title"/>
        <w:rPr>
          <w:rFonts w:ascii="Times New Roman" w:hAnsi="Times New Roman" w:cs="Times New Roman"/>
        </w:rPr>
      </w:pPr>
      <w:r>
        <w:rPr>
          <w:rFonts w:ascii="Times New Roman" w:eastAsiaTheme="minorEastAsia" w:hAnsi="Times New Roman" w:cs="Times New Roman"/>
        </w:rPr>
        <w:t>Recommendations:</w:t>
      </w:r>
    </w:p>
    <w:p w:rsidR="0060459F" w:rsidRDefault="00F96166">
      <w:pPr>
        <w:pStyle w:val="ListParagraph"/>
        <w:numPr>
          <w:ilvl w:val="0"/>
          <w:numId w:val="5"/>
        </w:numPr>
        <w:jc w:val="both"/>
        <w:rPr>
          <w:rFonts w:ascii="Times New Roman" w:hAnsi="Times New Roman" w:cs="Times New Roman"/>
          <w:color w:val="543192"/>
        </w:rPr>
      </w:pPr>
      <w:r>
        <w:rPr>
          <w:rFonts w:ascii="Times New Roman" w:eastAsiaTheme="minorEastAsia" w:hAnsi="Times New Roman" w:cs="Times New Roman"/>
          <w:color w:val="543192"/>
        </w:rPr>
        <w:t>Amend Emirati legislation to foresee that everyone detained in criminal procedures has access to a lawyer from the moment of arrest;</w:t>
      </w:r>
    </w:p>
    <w:p w:rsidR="0060459F" w:rsidRDefault="00F96166">
      <w:pPr>
        <w:pStyle w:val="ListParagraph"/>
        <w:numPr>
          <w:ilvl w:val="0"/>
          <w:numId w:val="5"/>
        </w:numPr>
        <w:jc w:val="both"/>
        <w:rPr>
          <w:rFonts w:ascii="Times New Roman" w:hAnsi="Times New Roman" w:cs="Times New Roman"/>
          <w:color w:val="543192"/>
        </w:rPr>
      </w:pPr>
      <w:r>
        <w:rPr>
          <w:rFonts w:ascii="Times New Roman" w:hAnsi="Times New Roman" w:cs="Times New Roman"/>
          <w:color w:val="543192"/>
        </w:rPr>
        <w:t>Ensure all foreign detainees have access to consular protection from the moment of arrest;</w:t>
      </w:r>
    </w:p>
    <w:p w:rsidR="0060459F" w:rsidRDefault="00F96166">
      <w:pPr>
        <w:pStyle w:val="ListParagraph"/>
        <w:numPr>
          <w:ilvl w:val="0"/>
          <w:numId w:val="5"/>
        </w:numPr>
        <w:jc w:val="both"/>
        <w:rPr>
          <w:rFonts w:ascii="Times New Roman" w:hAnsi="Times New Roman" w:cs="Times New Roman"/>
          <w:color w:val="543192"/>
        </w:rPr>
      </w:pPr>
      <w:r>
        <w:rPr>
          <w:rFonts w:ascii="Times New Roman" w:hAnsi="Times New Roman" w:cs="Times New Roman"/>
          <w:color w:val="543192"/>
        </w:rPr>
        <w:t>End practices of incommunicado detention in facilities controlled by the SSA;</w:t>
      </w:r>
    </w:p>
    <w:p w:rsidR="0060459F" w:rsidRDefault="00F96166">
      <w:pPr>
        <w:pStyle w:val="ListParagraph"/>
        <w:numPr>
          <w:ilvl w:val="0"/>
          <w:numId w:val="5"/>
        </w:numPr>
        <w:jc w:val="both"/>
        <w:rPr>
          <w:rFonts w:ascii="Times New Roman" w:hAnsi="Times New Roman" w:cs="Times New Roman"/>
          <w:color w:val="543192"/>
        </w:rPr>
      </w:pPr>
      <w:r>
        <w:rPr>
          <w:rFonts w:ascii="Times New Roman" w:eastAsiaTheme="minorEastAsia" w:hAnsi="Times New Roman" w:cs="Times New Roman"/>
          <w:color w:val="543192"/>
        </w:rPr>
        <w:t>Amend Emirati legislation to foresee that free legal counsel can be provided to all those who cannot afford it;</w:t>
      </w:r>
    </w:p>
    <w:p w:rsidR="0060459F" w:rsidRDefault="00F96166">
      <w:pPr>
        <w:pStyle w:val="ListParagraph"/>
        <w:numPr>
          <w:ilvl w:val="0"/>
          <w:numId w:val="5"/>
        </w:numPr>
        <w:jc w:val="both"/>
        <w:rPr>
          <w:rFonts w:ascii="Times New Roman" w:hAnsi="Times New Roman" w:cs="Times New Roman"/>
          <w:color w:val="543192"/>
        </w:rPr>
      </w:pPr>
      <w:r>
        <w:rPr>
          <w:rFonts w:ascii="Times New Roman" w:hAnsi="Times New Roman" w:cs="Times New Roman"/>
          <w:color w:val="543192"/>
        </w:rPr>
        <w:t>Amend Emirati legislation to explicitly foresee the right to challenge one’s detention and prescribe the procedure to do so;</w:t>
      </w:r>
    </w:p>
    <w:p w:rsidR="0060459F" w:rsidRDefault="00F96166">
      <w:pPr>
        <w:pStyle w:val="ListParagraph"/>
        <w:numPr>
          <w:ilvl w:val="0"/>
          <w:numId w:val="5"/>
        </w:numPr>
        <w:jc w:val="both"/>
        <w:rPr>
          <w:rFonts w:ascii="Times New Roman" w:hAnsi="Times New Roman" w:cs="Times New Roman"/>
          <w:color w:val="543192"/>
        </w:rPr>
      </w:pPr>
      <w:r>
        <w:rPr>
          <w:rFonts w:ascii="Times New Roman" w:hAnsi="Times New Roman" w:cs="Times New Roman"/>
          <w:color w:val="543192"/>
        </w:rPr>
        <w:t>Amend the 2003 Law on State Security to ensure that those arrested by the SSA are brought promptly before a judicial authority;</w:t>
      </w:r>
    </w:p>
    <w:p w:rsidR="0060459F" w:rsidRDefault="00F96166">
      <w:pPr>
        <w:pStyle w:val="ListParagraph"/>
        <w:numPr>
          <w:ilvl w:val="0"/>
          <w:numId w:val="5"/>
        </w:numPr>
        <w:jc w:val="both"/>
        <w:rPr>
          <w:rFonts w:ascii="Times New Roman" w:hAnsi="Times New Roman" w:cs="Times New Roman"/>
          <w:color w:val="543192"/>
        </w:rPr>
      </w:pPr>
      <w:r>
        <w:rPr>
          <w:rFonts w:ascii="Times New Roman" w:hAnsi="Times New Roman" w:cs="Times New Roman"/>
          <w:color w:val="543192"/>
        </w:rPr>
        <w:t>Amend Emirati legislation to ensure detainees can meet with their lawyers and consular representatives in private;</w:t>
      </w:r>
    </w:p>
    <w:p w:rsidR="0060459F" w:rsidRDefault="00F96166">
      <w:pPr>
        <w:pStyle w:val="ListParagraph"/>
        <w:numPr>
          <w:ilvl w:val="0"/>
          <w:numId w:val="5"/>
        </w:numPr>
        <w:jc w:val="both"/>
        <w:rPr>
          <w:rFonts w:ascii="Times New Roman" w:hAnsi="Times New Roman" w:cs="Times New Roman"/>
          <w:color w:val="543192"/>
        </w:rPr>
      </w:pPr>
      <w:r>
        <w:rPr>
          <w:rFonts w:ascii="Times New Roman" w:hAnsi="Times New Roman" w:cs="Times New Roman"/>
          <w:color w:val="543192"/>
        </w:rPr>
        <w:t>Amend Emirati legislation to limit the restrictions on detainee’s right to contact the outside world;</w:t>
      </w:r>
    </w:p>
    <w:p w:rsidR="0060459F" w:rsidRDefault="00F96166">
      <w:pPr>
        <w:pStyle w:val="ListParagraph"/>
        <w:numPr>
          <w:ilvl w:val="0"/>
          <w:numId w:val="5"/>
        </w:numPr>
        <w:jc w:val="both"/>
        <w:rPr>
          <w:rFonts w:ascii="Times New Roman" w:hAnsi="Times New Roman" w:cs="Times New Roman"/>
          <w:color w:val="543192"/>
        </w:rPr>
      </w:pPr>
      <w:r>
        <w:rPr>
          <w:rFonts w:ascii="Times New Roman" w:hAnsi="Times New Roman" w:cs="Times New Roman"/>
          <w:color w:val="543192"/>
        </w:rPr>
        <w:t>Ensure all detainees have access to appropriate medical care.</w:t>
      </w:r>
    </w:p>
    <w:p w:rsidR="0060459F" w:rsidRDefault="00F96166">
      <w:pPr>
        <w:pStyle w:val="Heading1"/>
        <w:rPr>
          <w:rStyle w:val="SubtleEmphasis"/>
          <w:rFonts w:ascii="Times New Roman" w:hAnsi="Times New Roman" w:cs="Times New Roman"/>
          <w:sz w:val="48"/>
        </w:rPr>
      </w:pPr>
      <w:bookmarkStart w:id="10" w:name="_Toc103273043"/>
      <w:r>
        <w:rPr>
          <w:rStyle w:val="SubtleEmphasis"/>
          <w:rFonts w:ascii="Times New Roman" w:eastAsiaTheme="minorEastAsia" w:hAnsi="Times New Roman" w:cs="Times New Roman"/>
          <w:sz w:val="48"/>
        </w:rPr>
        <w:t>Extraction of confessions under torture</w:t>
      </w:r>
      <w:bookmarkEnd w:id="10"/>
      <w:r>
        <w:rPr>
          <w:rStyle w:val="SubtleEmphasis"/>
          <w:rFonts w:ascii="Times New Roman" w:eastAsiaTheme="minorEastAsia" w:hAnsi="Times New Roman" w:cs="Times New Roman"/>
          <w:sz w:val="48"/>
        </w:rPr>
        <w:t xml:space="preserve"> </w:t>
      </w:r>
    </w:p>
    <w:p w:rsidR="0060459F" w:rsidRDefault="00F96166">
      <w:pPr>
        <w:jc w:val="both"/>
        <w:rPr>
          <w:rStyle w:val="SubtleEmphasis"/>
          <w:rFonts w:ascii="Times New Roman" w:eastAsiaTheme="minorEastAsia" w:hAnsi="Times New Roman" w:cs="Times New Roman"/>
        </w:rPr>
      </w:pPr>
      <w:r>
        <w:rPr>
          <w:rStyle w:val="SubtleEmphasis"/>
          <w:rFonts w:ascii="Times New Roman" w:eastAsiaTheme="minorEastAsia" w:hAnsi="Times New Roman" w:cs="Times New Roman"/>
        </w:rPr>
        <w:t>Article 15 UNCAT prohibits the use of evidence obtained under torture in any proceedings. As mentioned in section 2 above, article 2 of the CCP establishes that “[</w:t>
      </w:r>
      <w:proofErr w:type="spellStart"/>
      <w:r>
        <w:rPr>
          <w:rStyle w:val="SubtleEmphasis"/>
          <w:rFonts w:ascii="Times New Roman" w:eastAsiaTheme="minorEastAsia" w:hAnsi="Times New Roman" w:cs="Times New Roman"/>
        </w:rPr>
        <w:t>i</w:t>
      </w:r>
      <w:proofErr w:type="spellEnd"/>
      <w:r>
        <w:rPr>
          <w:rStyle w:val="SubtleEmphasis"/>
          <w:rFonts w:ascii="Times New Roman" w:eastAsiaTheme="minorEastAsia" w:hAnsi="Times New Roman" w:cs="Times New Roman"/>
        </w:rPr>
        <w:t xml:space="preserve">]t is prohibited to cause physical or moral harm to the accused, and it is prohibited to subject any person to torture or degrading treatment. Any evidence obtained through any harmful treatment shall be considered </w:t>
      </w:r>
      <w:r>
        <w:rPr>
          <w:rStyle w:val="SubtleEmphasis"/>
          <w:rFonts w:ascii="Times New Roman" w:eastAsiaTheme="minorEastAsia" w:hAnsi="Times New Roman" w:cs="Times New Roman"/>
        </w:rPr>
        <w:lastRenderedPageBreak/>
        <w:t>null.” While this is an important legal guarantee to ensure compliance with article 15 UNCAT, it does not correspond to practice, as criminal convictions in the UAE systematically rely on confessions extracted under torture.</w:t>
      </w:r>
    </w:p>
    <w:p w:rsidR="0060459F" w:rsidRDefault="00F96166">
      <w:pPr>
        <w:jc w:val="both"/>
        <w:rPr>
          <w:rStyle w:val="SubtleEmphasis"/>
          <w:rFonts w:ascii="Times New Roman" w:eastAsiaTheme="minorEastAsia" w:hAnsi="Times New Roman" w:cs="Times New Roman"/>
        </w:rPr>
      </w:pPr>
      <w:r>
        <w:rPr>
          <w:rStyle w:val="SubtleEmphasis"/>
          <w:rFonts w:ascii="Times New Roman" w:eastAsiaTheme="minorEastAsia" w:hAnsi="Times New Roman" w:cs="Times New Roman"/>
        </w:rPr>
        <w:t>In this regard, former Special Rapporteur on the independence of judges and lawyers, after her visit to the country in 2014, mentioned that she received “credible information and evidence that many of the individuals who were arrested without a warrant and taken to unofficial places of detention were also subjected to torture or other forms of ill-treatment, including in order to extract confessions of guilt or testimonies against other detainees.”</w:t>
      </w:r>
      <w:r>
        <w:rPr>
          <w:rStyle w:val="FootnoteReference"/>
          <w:rFonts w:ascii="Times New Roman" w:eastAsiaTheme="minorEastAsia" w:hAnsi="Times New Roman" w:cs="Times New Roman"/>
          <w:sz w:val="24"/>
        </w:rPr>
        <w:footnoteReference w:id="44"/>
      </w:r>
    </w:p>
    <w:p w:rsidR="0060459F" w:rsidRDefault="00F96166">
      <w:pPr>
        <w:jc w:val="both"/>
        <w:rPr>
          <w:rStyle w:val="SubtleEmphasis"/>
          <w:rFonts w:ascii="Times New Roman" w:eastAsiaTheme="minorEastAsia" w:hAnsi="Times New Roman" w:cs="Times New Roman"/>
        </w:rPr>
      </w:pPr>
      <w:r>
        <w:rPr>
          <w:rStyle w:val="SubtleEmphasis"/>
          <w:rFonts w:ascii="Times New Roman" w:eastAsiaTheme="minorEastAsia" w:hAnsi="Times New Roman" w:cs="Times New Roman"/>
        </w:rPr>
        <w:t>This is particularly worrying as article 165 of the CCP foresees that convictions may be based solely on confessions, as it prescribes that after being identified in trial, “the accused shall be asked if he avows having perpetrated the act that is imputed to him and in the positive the court may be satisfied with his avowal and condemn him without listening to the witnesses, otherwise it shall listen to the testimony of the witnesses to the prosecution unless the crime is sanctioned by the death penalty in which case the court has to complete the investigation.”</w:t>
      </w:r>
    </w:p>
    <w:p w:rsidR="0060459F" w:rsidRDefault="00F96166">
      <w:pPr>
        <w:jc w:val="both"/>
        <w:rPr>
          <w:rStyle w:val="SubtleEmphasis"/>
          <w:rFonts w:ascii="Times New Roman" w:eastAsiaTheme="minorEastAsia" w:hAnsi="Times New Roman" w:cs="Times New Roman"/>
        </w:rPr>
      </w:pPr>
      <w:r>
        <w:rPr>
          <w:rStyle w:val="SubtleEmphasis"/>
          <w:rFonts w:ascii="Times New Roman" w:eastAsiaTheme="minorEastAsia" w:hAnsi="Times New Roman" w:cs="Times New Roman"/>
        </w:rPr>
        <w:t xml:space="preserve">MENA Rights Groups documented multiple cases (detailed in annex 1) in which confessions obtained through torture were used as the main evidence to convict individuals. These include the cases of Yasser Sami </w:t>
      </w:r>
      <w:proofErr w:type="spellStart"/>
      <w:r>
        <w:rPr>
          <w:rStyle w:val="SubtleEmphasis"/>
          <w:rFonts w:ascii="Times New Roman" w:eastAsiaTheme="minorEastAsia" w:hAnsi="Times New Roman" w:cs="Times New Roman"/>
        </w:rPr>
        <w:t>Abedalafou</w:t>
      </w:r>
      <w:proofErr w:type="spellEnd"/>
      <w:r>
        <w:rPr>
          <w:rStyle w:val="SubtleEmphasis"/>
          <w:rFonts w:ascii="Times New Roman" w:eastAsiaTheme="minorEastAsia" w:hAnsi="Times New Roman" w:cs="Times New Roman"/>
        </w:rPr>
        <w:t xml:space="preserve"> and Abdallah Sami </w:t>
      </w:r>
      <w:proofErr w:type="spellStart"/>
      <w:r>
        <w:rPr>
          <w:rStyle w:val="SubtleEmphasis"/>
          <w:rFonts w:ascii="Times New Roman" w:eastAsiaTheme="minorEastAsia" w:hAnsi="Times New Roman" w:cs="Times New Roman"/>
        </w:rPr>
        <w:t>Abedalafou</w:t>
      </w:r>
      <w:proofErr w:type="spellEnd"/>
      <w:r>
        <w:rPr>
          <w:rStyle w:val="SubtleEmphasis"/>
          <w:rFonts w:ascii="Times New Roman" w:eastAsiaTheme="minorEastAsia" w:hAnsi="Times New Roman" w:cs="Times New Roman"/>
        </w:rPr>
        <w:t xml:space="preserve"> Abu Baker, </w:t>
      </w:r>
      <w:proofErr w:type="spellStart"/>
      <w:r>
        <w:rPr>
          <w:rStyle w:val="SubtleEmphasis"/>
          <w:rFonts w:ascii="Times New Roman" w:eastAsiaTheme="minorEastAsia" w:hAnsi="Times New Roman" w:cs="Times New Roman"/>
        </w:rPr>
        <w:t>Abdulmalik</w:t>
      </w:r>
      <w:proofErr w:type="spellEnd"/>
      <w:r>
        <w:rPr>
          <w:rStyle w:val="SubtleEmphasis"/>
          <w:rFonts w:ascii="Times New Roman" w:eastAsiaTheme="minorEastAsia" w:hAnsi="Times New Roman" w:cs="Times New Roman"/>
        </w:rPr>
        <w:t xml:space="preserve"> Al </w:t>
      </w:r>
      <w:proofErr w:type="spellStart"/>
      <w:r>
        <w:rPr>
          <w:rStyle w:val="SubtleEmphasis"/>
          <w:rFonts w:ascii="Times New Roman" w:eastAsiaTheme="minorEastAsia" w:hAnsi="Times New Roman" w:cs="Times New Roman"/>
        </w:rPr>
        <w:t>Mukhanqi</w:t>
      </w:r>
      <w:proofErr w:type="spellEnd"/>
      <w:r>
        <w:rPr>
          <w:rStyle w:val="SubtleEmphasis"/>
          <w:rFonts w:ascii="Times New Roman" w:eastAsiaTheme="minorEastAsia" w:hAnsi="Times New Roman" w:cs="Times New Roman"/>
        </w:rPr>
        <w:t xml:space="preserve"> and Abdullah </w:t>
      </w:r>
      <w:proofErr w:type="spellStart"/>
      <w:r>
        <w:rPr>
          <w:rStyle w:val="SubtleEmphasis"/>
          <w:rFonts w:ascii="Times New Roman" w:eastAsiaTheme="minorEastAsia" w:hAnsi="Times New Roman" w:cs="Times New Roman"/>
        </w:rPr>
        <w:t>Attiah</w:t>
      </w:r>
      <w:proofErr w:type="spellEnd"/>
      <w:r>
        <w:rPr>
          <w:rStyle w:val="SubtleEmphasis"/>
          <w:rFonts w:ascii="Times New Roman" w:eastAsiaTheme="minorEastAsia" w:hAnsi="Times New Roman" w:cs="Times New Roman"/>
        </w:rPr>
        <w:t xml:space="preserve">, </w:t>
      </w:r>
      <w:proofErr w:type="spellStart"/>
      <w:r>
        <w:rPr>
          <w:rStyle w:val="SubtleEmphasis"/>
          <w:rFonts w:ascii="Times New Roman" w:eastAsiaTheme="minorEastAsia" w:hAnsi="Times New Roman" w:cs="Times New Roman"/>
        </w:rPr>
        <w:t>Alya</w:t>
      </w:r>
      <w:proofErr w:type="spellEnd"/>
      <w:r>
        <w:rPr>
          <w:rStyle w:val="SubtleEmphasis"/>
          <w:rFonts w:ascii="Times New Roman" w:eastAsiaTheme="minorEastAsia" w:hAnsi="Times New Roman" w:cs="Times New Roman"/>
        </w:rPr>
        <w:t xml:space="preserve"> </w:t>
      </w:r>
      <w:proofErr w:type="spellStart"/>
      <w:r>
        <w:rPr>
          <w:rStyle w:val="SubtleEmphasis"/>
          <w:rFonts w:ascii="Times New Roman" w:eastAsiaTheme="minorEastAsia" w:hAnsi="Times New Roman" w:cs="Times New Roman"/>
        </w:rPr>
        <w:t>Abdulnoor</w:t>
      </w:r>
      <w:proofErr w:type="spellEnd"/>
      <w:r>
        <w:rPr>
          <w:rStyle w:val="SubtleEmphasis"/>
          <w:rFonts w:ascii="Times New Roman" w:eastAsiaTheme="minorEastAsia" w:hAnsi="Times New Roman" w:cs="Times New Roman"/>
        </w:rPr>
        <w:t xml:space="preserve">, Amina Al </w:t>
      </w:r>
      <w:proofErr w:type="spellStart"/>
      <w:r>
        <w:rPr>
          <w:rStyle w:val="SubtleEmphasis"/>
          <w:rFonts w:ascii="Times New Roman" w:eastAsiaTheme="minorEastAsia" w:hAnsi="Times New Roman" w:cs="Times New Roman"/>
        </w:rPr>
        <w:t>Abdouli</w:t>
      </w:r>
      <w:proofErr w:type="spellEnd"/>
      <w:r>
        <w:rPr>
          <w:rStyle w:val="SubtleEmphasis"/>
          <w:rFonts w:ascii="Times New Roman" w:eastAsiaTheme="minorEastAsia" w:hAnsi="Times New Roman" w:cs="Times New Roman"/>
        </w:rPr>
        <w:t xml:space="preserve">, Maryam Al </w:t>
      </w:r>
      <w:proofErr w:type="spellStart"/>
      <w:r>
        <w:rPr>
          <w:rStyle w:val="SubtleEmphasis"/>
          <w:rFonts w:ascii="Times New Roman" w:eastAsiaTheme="minorEastAsia" w:hAnsi="Times New Roman" w:cs="Times New Roman"/>
        </w:rPr>
        <w:t>Balushi</w:t>
      </w:r>
      <w:proofErr w:type="spellEnd"/>
      <w:r>
        <w:rPr>
          <w:rStyle w:val="SubtleEmphasis"/>
          <w:rFonts w:ascii="Times New Roman" w:eastAsiaTheme="minorEastAsia" w:hAnsi="Times New Roman" w:cs="Times New Roman"/>
        </w:rPr>
        <w:t xml:space="preserve">, Abdullah Al </w:t>
      </w:r>
      <w:proofErr w:type="spellStart"/>
      <w:r>
        <w:rPr>
          <w:rStyle w:val="SubtleEmphasis"/>
          <w:rFonts w:ascii="Times New Roman" w:eastAsiaTheme="minorEastAsia" w:hAnsi="Times New Roman" w:cs="Times New Roman"/>
        </w:rPr>
        <w:t>Shamsi</w:t>
      </w:r>
      <w:proofErr w:type="spellEnd"/>
      <w:r>
        <w:rPr>
          <w:rStyle w:val="SubtleEmphasis"/>
          <w:rFonts w:ascii="Times New Roman" w:eastAsiaTheme="minorEastAsia" w:hAnsi="Times New Roman" w:cs="Times New Roman"/>
        </w:rPr>
        <w:t xml:space="preserve">, </w:t>
      </w:r>
      <w:proofErr w:type="spellStart"/>
      <w:r>
        <w:rPr>
          <w:rStyle w:val="SubtleEmphasis"/>
          <w:rFonts w:ascii="Times New Roman" w:eastAsiaTheme="minorEastAsia" w:hAnsi="Times New Roman" w:cs="Times New Roman"/>
        </w:rPr>
        <w:t>Abdelrahman</w:t>
      </w:r>
      <w:proofErr w:type="spellEnd"/>
      <w:r>
        <w:rPr>
          <w:rStyle w:val="SubtleEmphasis"/>
          <w:rFonts w:ascii="Times New Roman" w:eastAsiaTheme="minorEastAsia" w:hAnsi="Times New Roman" w:cs="Times New Roman"/>
        </w:rPr>
        <w:t xml:space="preserve"> </w:t>
      </w:r>
      <w:proofErr w:type="spellStart"/>
      <w:r>
        <w:rPr>
          <w:rStyle w:val="SubtleEmphasis"/>
          <w:rFonts w:ascii="Times New Roman" w:eastAsiaTheme="minorEastAsia" w:hAnsi="Times New Roman" w:cs="Times New Roman"/>
        </w:rPr>
        <w:t>Chouman</w:t>
      </w:r>
      <w:proofErr w:type="spellEnd"/>
      <w:r>
        <w:rPr>
          <w:rStyle w:val="SubtleEmphasis"/>
          <w:rFonts w:ascii="Times New Roman" w:eastAsiaTheme="minorEastAsia" w:hAnsi="Times New Roman" w:cs="Times New Roman"/>
        </w:rPr>
        <w:t xml:space="preserve"> and Ahmad </w:t>
      </w:r>
      <w:proofErr w:type="spellStart"/>
      <w:r>
        <w:rPr>
          <w:rStyle w:val="SubtleEmphasis"/>
          <w:rFonts w:ascii="Times New Roman" w:eastAsiaTheme="minorEastAsia" w:hAnsi="Times New Roman" w:cs="Times New Roman"/>
        </w:rPr>
        <w:t>Sobh</w:t>
      </w:r>
      <w:proofErr w:type="spellEnd"/>
      <w:r>
        <w:rPr>
          <w:rStyle w:val="SubtleEmphasis"/>
          <w:rFonts w:ascii="Times New Roman" w:eastAsiaTheme="minorEastAsia" w:hAnsi="Times New Roman" w:cs="Times New Roman"/>
        </w:rPr>
        <w:t xml:space="preserve">. As another example, the Working Group on Arbitrary Detention also noted with grave concern the acceptance of confessions extracted under torture in the case of </w:t>
      </w:r>
      <w:proofErr w:type="spellStart"/>
      <w:r>
        <w:rPr>
          <w:rStyle w:val="SubtleEmphasis"/>
          <w:rFonts w:ascii="Times New Roman" w:eastAsiaTheme="minorEastAsia" w:hAnsi="Times New Roman" w:cs="Times New Roman"/>
        </w:rPr>
        <w:t>Bahaa</w:t>
      </w:r>
      <w:proofErr w:type="spellEnd"/>
      <w:r>
        <w:rPr>
          <w:rStyle w:val="SubtleEmphasis"/>
          <w:rFonts w:ascii="Times New Roman" w:eastAsiaTheme="minorEastAsia" w:hAnsi="Times New Roman" w:cs="Times New Roman"/>
        </w:rPr>
        <w:t xml:space="preserve"> Adel Salman </w:t>
      </w:r>
      <w:proofErr w:type="spellStart"/>
      <w:r>
        <w:rPr>
          <w:rStyle w:val="SubtleEmphasis"/>
          <w:rFonts w:ascii="Times New Roman" w:eastAsiaTheme="minorEastAsia" w:hAnsi="Times New Roman" w:cs="Times New Roman"/>
        </w:rPr>
        <w:t>Mattar</w:t>
      </w:r>
      <w:proofErr w:type="spellEnd"/>
      <w:r>
        <w:rPr>
          <w:rStyle w:val="SubtleEmphasis"/>
          <w:rFonts w:ascii="Times New Roman" w:eastAsiaTheme="minorEastAsia" w:hAnsi="Times New Roman" w:cs="Times New Roman"/>
        </w:rPr>
        <w:t xml:space="preserve"> and Maher </w:t>
      </w:r>
      <w:proofErr w:type="spellStart"/>
      <w:r>
        <w:rPr>
          <w:rStyle w:val="SubtleEmphasis"/>
          <w:rFonts w:ascii="Times New Roman" w:eastAsiaTheme="minorEastAsia" w:hAnsi="Times New Roman" w:cs="Times New Roman"/>
        </w:rPr>
        <w:t>Atieh</w:t>
      </w:r>
      <w:proofErr w:type="spellEnd"/>
      <w:r>
        <w:rPr>
          <w:rStyle w:val="SubtleEmphasis"/>
          <w:rFonts w:ascii="Times New Roman" w:eastAsiaTheme="minorEastAsia" w:hAnsi="Times New Roman" w:cs="Times New Roman"/>
        </w:rPr>
        <w:t xml:space="preserve"> Othman Abu </w:t>
      </w:r>
      <w:proofErr w:type="spellStart"/>
      <w:r>
        <w:rPr>
          <w:rStyle w:val="SubtleEmphasis"/>
          <w:rFonts w:ascii="Times New Roman" w:eastAsiaTheme="minorEastAsia" w:hAnsi="Times New Roman" w:cs="Times New Roman"/>
        </w:rPr>
        <w:t>Shawareb</w:t>
      </w:r>
      <w:proofErr w:type="spellEnd"/>
      <w:r>
        <w:rPr>
          <w:rStyle w:val="SubtleEmphasis"/>
          <w:rFonts w:ascii="Times New Roman" w:eastAsiaTheme="minorEastAsia" w:hAnsi="Times New Roman" w:cs="Times New Roman"/>
        </w:rPr>
        <w:t>.</w:t>
      </w:r>
      <w:r>
        <w:rPr>
          <w:rStyle w:val="FootnoteReference"/>
          <w:rFonts w:ascii="Times New Roman" w:eastAsiaTheme="minorEastAsia" w:hAnsi="Times New Roman" w:cs="Times New Roman"/>
          <w:sz w:val="24"/>
        </w:rPr>
        <w:footnoteReference w:id="45"/>
      </w:r>
    </w:p>
    <w:p w:rsidR="0060459F" w:rsidRDefault="00F96166">
      <w:pPr>
        <w:pStyle w:val="Title"/>
        <w:rPr>
          <w:rFonts w:ascii="Times New Roman" w:hAnsi="Times New Roman" w:cs="Times New Roman"/>
        </w:rPr>
      </w:pPr>
      <w:r>
        <w:rPr>
          <w:rFonts w:ascii="Times New Roman" w:eastAsiaTheme="minorEastAsia" w:hAnsi="Times New Roman" w:cs="Times New Roman"/>
        </w:rPr>
        <w:t>Recommendations:</w:t>
      </w:r>
    </w:p>
    <w:p w:rsidR="0060459F" w:rsidRDefault="00F96166">
      <w:pPr>
        <w:pStyle w:val="ListParagraph"/>
        <w:numPr>
          <w:ilvl w:val="0"/>
          <w:numId w:val="5"/>
        </w:numPr>
        <w:jc w:val="both"/>
        <w:rPr>
          <w:rFonts w:ascii="Times New Roman" w:hAnsi="Times New Roman" w:cs="Times New Roman"/>
          <w:color w:val="543192"/>
        </w:rPr>
      </w:pPr>
      <w:r>
        <w:rPr>
          <w:rFonts w:ascii="Times New Roman" w:eastAsiaTheme="minorEastAsia" w:hAnsi="Times New Roman" w:cs="Times New Roman"/>
          <w:color w:val="543192"/>
        </w:rPr>
        <w:t>Ensure that confessions obtained under torture are not admitted as evidence in any proceedings.</w:t>
      </w:r>
    </w:p>
    <w:p w:rsidR="0060459F" w:rsidRDefault="00F96166">
      <w:pPr>
        <w:pStyle w:val="ListParagraph"/>
        <w:numPr>
          <w:ilvl w:val="0"/>
          <w:numId w:val="5"/>
        </w:numPr>
        <w:jc w:val="both"/>
        <w:rPr>
          <w:rStyle w:val="SubtleEmphasis"/>
          <w:rFonts w:ascii="Times New Roman" w:hAnsi="Times New Roman" w:cs="Times New Roman"/>
          <w:color w:val="543192"/>
          <w:sz w:val="22"/>
        </w:rPr>
      </w:pPr>
      <w:r>
        <w:rPr>
          <w:rFonts w:ascii="Times New Roman" w:eastAsiaTheme="minorEastAsia" w:hAnsi="Times New Roman" w:cs="Times New Roman"/>
          <w:color w:val="543192"/>
        </w:rPr>
        <w:t>Amend Emirati legislation to foresee that confessions alone are not sufficient to justify a conviction.</w:t>
      </w:r>
    </w:p>
    <w:p w:rsidR="0060459F" w:rsidRDefault="00F96166">
      <w:pPr>
        <w:pStyle w:val="Heading1"/>
        <w:rPr>
          <w:rFonts w:ascii="Times New Roman" w:hAnsi="Times New Roman" w:cs="Times New Roman"/>
        </w:rPr>
      </w:pPr>
      <w:bookmarkStart w:id="11" w:name="_Toc103273044"/>
      <w:r>
        <w:rPr>
          <w:rFonts w:ascii="Times New Roman" w:eastAsiaTheme="minorEastAsia" w:hAnsi="Times New Roman" w:cs="Times New Roman"/>
        </w:rPr>
        <w:t>Accountability for acts of torture</w:t>
      </w:r>
      <w:bookmarkEnd w:id="11"/>
    </w:p>
    <w:p w:rsidR="0060459F" w:rsidRDefault="00F96166">
      <w:pPr>
        <w:pStyle w:val="Heading2"/>
        <w:rPr>
          <w:rFonts w:ascii="Times New Roman" w:hAnsi="Times New Roman" w:cs="Times New Roman"/>
        </w:rPr>
      </w:pPr>
      <w:bookmarkStart w:id="12" w:name="_Toc103273045"/>
      <w:r>
        <w:rPr>
          <w:rFonts w:ascii="Times New Roman" w:eastAsiaTheme="minorEastAsia" w:hAnsi="Times New Roman" w:cs="Times New Roman"/>
        </w:rPr>
        <w:t>Lack of monitoring of detention facilities</w:t>
      </w:r>
      <w:bookmarkEnd w:id="12"/>
    </w:p>
    <w:p w:rsidR="0060459F" w:rsidRDefault="00F96166">
      <w:pPr>
        <w:pStyle w:val="Corps"/>
        <w:spacing w:after="120" w:line="276" w:lineRule="auto"/>
        <w:jc w:val="both"/>
        <w:rPr>
          <w:rStyle w:val="SubtleEmphasis"/>
          <w:rFonts w:ascii="Times New Roman" w:eastAsiaTheme="minorEastAsia" w:hAnsi="Times New Roman" w:cs="Times New Roman"/>
          <w:lang w:val="en-GB"/>
        </w:rPr>
      </w:pPr>
      <w:r>
        <w:rPr>
          <w:rStyle w:val="SubtleEmphasis"/>
          <w:rFonts w:ascii="Times New Roman" w:eastAsiaTheme="minorEastAsia" w:hAnsi="Times New Roman" w:cs="Times New Roman"/>
          <w:lang w:val="en-GB"/>
        </w:rPr>
        <w:t xml:space="preserve">Article 10 of the act regulating penal facilities gives members of the public prosecution the right to enter the punitive facilities at any time. Article 11, in turn, grants detainees the right to make complaints to the member of the public prosecution during such inspections, and foresees that complaints must be investigated. Similar provisions (articles 320 and 321 CCP) apply to mental institutions under the jurisdiction of courts. Article 108 of the CCP, however, limits access of other authorities to detention facilities, determining that the administrator of the place of detention may not allow any member of the public authority to have any contact with persons </w:t>
      </w:r>
      <w:r>
        <w:rPr>
          <w:rStyle w:val="SubtleEmphasis"/>
          <w:rFonts w:ascii="Times New Roman" w:eastAsiaTheme="minorEastAsia" w:hAnsi="Times New Roman" w:cs="Times New Roman"/>
          <w:lang w:val="en-GB"/>
        </w:rPr>
        <w:lastRenderedPageBreak/>
        <w:t>under provisional detention inside the place of detention except when there is a written authorisation from the public prosecution.</w:t>
      </w:r>
    </w:p>
    <w:p w:rsidR="0060459F" w:rsidRDefault="00F96166">
      <w:pPr>
        <w:pStyle w:val="Corps"/>
        <w:spacing w:after="120" w:line="276" w:lineRule="auto"/>
        <w:jc w:val="both"/>
        <w:rPr>
          <w:rStyle w:val="SubtleEmphasis"/>
          <w:rFonts w:ascii="Times New Roman" w:eastAsiaTheme="minorEastAsia" w:hAnsi="Times New Roman" w:cs="Times New Roman"/>
          <w:lang w:val="en-GB"/>
        </w:rPr>
      </w:pPr>
      <w:r>
        <w:rPr>
          <w:rStyle w:val="SubtleEmphasis"/>
          <w:rFonts w:ascii="Times New Roman" w:eastAsiaTheme="minorEastAsia" w:hAnsi="Times New Roman" w:cs="Times New Roman"/>
          <w:lang w:val="en-GB"/>
        </w:rPr>
        <w:t>These provisions are of concern as they foresee that all oversight is done by the public prosecution, which is known for lacking independence. In this regard, the former special rapporteur on the independence of judges and lawyers expressed serious concern “about reports which indicate that the prosecution services are often influenced by members of the executive and the State security services.”</w:t>
      </w:r>
      <w:r>
        <w:rPr>
          <w:rStyle w:val="FootnoteReference"/>
          <w:rFonts w:ascii="Times New Roman" w:eastAsiaTheme="minorEastAsia" w:hAnsi="Times New Roman" w:cs="Times New Roman"/>
          <w:sz w:val="24"/>
          <w:lang w:val="en-GB"/>
        </w:rPr>
        <w:footnoteReference w:id="46"/>
      </w:r>
      <w:r>
        <w:rPr>
          <w:rStyle w:val="SubtleEmphasis"/>
          <w:rFonts w:ascii="Times New Roman" w:eastAsiaTheme="minorEastAsia" w:hAnsi="Times New Roman" w:cs="Times New Roman"/>
          <w:lang w:val="en-GB"/>
        </w:rPr>
        <w:t xml:space="preserve"> This is further elaborated upon below in section 7.3 below.</w:t>
      </w:r>
    </w:p>
    <w:p w:rsidR="0060459F" w:rsidRDefault="00F96166">
      <w:pPr>
        <w:pStyle w:val="Corps"/>
        <w:spacing w:after="120" w:line="276" w:lineRule="auto"/>
        <w:jc w:val="both"/>
        <w:rPr>
          <w:rStyle w:val="SubtleEmphasis"/>
          <w:rFonts w:ascii="Times New Roman" w:eastAsiaTheme="minorEastAsia" w:hAnsi="Times New Roman" w:cs="Times New Roman"/>
          <w:lang w:val="en-GB"/>
        </w:rPr>
      </w:pPr>
      <w:r>
        <w:rPr>
          <w:rStyle w:val="SubtleEmphasis"/>
          <w:rFonts w:ascii="Times New Roman" w:eastAsiaTheme="minorEastAsia" w:hAnsi="Times New Roman" w:cs="Times New Roman"/>
          <w:lang w:val="en-GB"/>
        </w:rPr>
        <w:t>Apart from the public prosecution, the 2021 federal decree establishing a national human rights institution (mentioned below in section 6.2) also grants this new body the function of visiting detention facilities. Furthermore, “[t]he government permitted charitable nongovernmental organizations (NGOs) to visit prisons and provide material support on a limited basis. Authorities did not grant access to independent human rights groups, media, or international monitoring bodies, and prohibited regular consular access for State Security Department detainees.”</w:t>
      </w:r>
      <w:r>
        <w:rPr>
          <w:rStyle w:val="FootnoteReference"/>
          <w:rFonts w:ascii="Times New Roman" w:eastAsiaTheme="minorEastAsia" w:hAnsi="Times New Roman" w:cs="Times New Roman"/>
          <w:sz w:val="24"/>
          <w:lang w:val="en-GB"/>
        </w:rPr>
        <w:footnoteReference w:id="47"/>
      </w:r>
    </w:p>
    <w:p w:rsidR="0060459F" w:rsidRDefault="00F96166">
      <w:pPr>
        <w:pStyle w:val="Corps"/>
        <w:spacing w:after="120" w:line="276" w:lineRule="auto"/>
        <w:jc w:val="both"/>
        <w:rPr>
          <w:rStyle w:val="SubtleEmphasis"/>
          <w:rFonts w:ascii="Times New Roman" w:eastAsiaTheme="minorEastAsia" w:hAnsi="Times New Roman" w:cs="Times New Roman"/>
          <w:lang w:val="en-GB"/>
        </w:rPr>
      </w:pPr>
      <w:r>
        <w:rPr>
          <w:rStyle w:val="SubtleEmphasis"/>
          <w:rFonts w:ascii="Times New Roman" w:eastAsiaTheme="minorEastAsia" w:hAnsi="Times New Roman" w:cs="Times New Roman"/>
          <w:lang w:val="en-GB"/>
        </w:rPr>
        <w:t>Even this limited oversight, however, does not seem to take place in practice, as in multiple cases documented by MENA Rights Group (detailed in annex 1), concerned individuals were held incommunicado for extended periods, during which many of them were tortured, with no oversight of their detention.</w:t>
      </w:r>
    </w:p>
    <w:p w:rsidR="0060459F" w:rsidRDefault="00F96166">
      <w:pPr>
        <w:pStyle w:val="Heading2"/>
        <w:rPr>
          <w:rFonts w:ascii="Times New Roman" w:hAnsi="Times New Roman" w:cs="Times New Roman"/>
        </w:rPr>
      </w:pPr>
      <w:bookmarkStart w:id="13" w:name="_Toc103273046"/>
      <w:r>
        <w:rPr>
          <w:rFonts w:ascii="Times New Roman" w:eastAsiaTheme="minorEastAsia" w:hAnsi="Times New Roman" w:cs="Times New Roman"/>
        </w:rPr>
        <w:t>National human rights institution</w:t>
      </w:r>
      <w:bookmarkEnd w:id="13"/>
    </w:p>
    <w:p w:rsidR="0060459F" w:rsidRDefault="00F96166">
      <w:pPr>
        <w:pStyle w:val="Corps"/>
        <w:spacing w:after="120" w:line="276" w:lineRule="auto"/>
        <w:jc w:val="both"/>
        <w:rPr>
          <w:rStyle w:val="SubtleEmphasis"/>
          <w:rFonts w:ascii="Times New Roman" w:eastAsiaTheme="minorEastAsia" w:hAnsi="Times New Roman" w:cs="Times New Roman"/>
          <w:lang w:val="en-GB"/>
        </w:rPr>
      </w:pPr>
      <w:r>
        <w:rPr>
          <w:rStyle w:val="SubtleEmphasis"/>
          <w:rFonts w:ascii="Times New Roman" w:eastAsiaTheme="minorEastAsia" w:hAnsi="Times New Roman" w:cs="Times New Roman"/>
          <w:lang w:val="en-GB"/>
        </w:rPr>
        <w:t>Federal Decree No. 12/2021 on the National Commission for Human Rights established in the UAE a national human rights institution. Articles 3 and 12 of the decree foresee and protect the commission’s independence in its work.</w:t>
      </w:r>
    </w:p>
    <w:p w:rsidR="0060459F" w:rsidRDefault="00F96166">
      <w:pPr>
        <w:pStyle w:val="Corps"/>
        <w:spacing w:after="120" w:line="276" w:lineRule="auto"/>
        <w:jc w:val="both"/>
        <w:rPr>
          <w:rStyle w:val="SubtleEmphasis"/>
          <w:rFonts w:ascii="Times New Roman" w:eastAsiaTheme="minorEastAsia" w:hAnsi="Times New Roman" w:cs="Times New Roman"/>
          <w:lang w:val="en-GB"/>
        </w:rPr>
      </w:pPr>
      <w:r>
        <w:rPr>
          <w:rStyle w:val="SubtleEmphasis"/>
          <w:rFonts w:ascii="Times New Roman" w:eastAsiaTheme="minorEastAsia" w:hAnsi="Times New Roman" w:cs="Times New Roman"/>
          <w:lang w:val="en-GB"/>
        </w:rPr>
        <w:t>Article 5 of the decree determines the functions of the institution, which include, among others, documenting human rights violations, including by receiving individual complaints and submitting them to the competent authorities, and visiting penal and correctional facilities, places of detention and medical facilities to observe respect for human rights. The commission is also tasked with assisting the state in the implementation of international human rights treaties and when cooperating with the UN human rights mechanisms, including for treaty bodies’ reporting.</w:t>
      </w:r>
    </w:p>
    <w:p w:rsidR="0060459F" w:rsidRDefault="00F96166">
      <w:pPr>
        <w:pStyle w:val="Corps"/>
        <w:spacing w:after="120" w:line="276" w:lineRule="auto"/>
        <w:jc w:val="both"/>
        <w:rPr>
          <w:rStyle w:val="SubtleEmphasis"/>
          <w:rFonts w:ascii="Times New Roman" w:eastAsiaTheme="minorEastAsia" w:hAnsi="Times New Roman" w:cs="Times New Roman"/>
          <w:lang w:val="en-GB"/>
        </w:rPr>
      </w:pPr>
      <w:r>
        <w:rPr>
          <w:rStyle w:val="SubtleEmphasis"/>
          <w:rFonts w:ascii="Times New Roman" w:eastAsiaTheme="minorEastAsia" w:hAnsi="Times New Roman" w:cs="Times New Roman"/>
          <w:lang w:val="en-GB"/>
        </w:rPr>
        <w:t>This is an important development and independent oversight of places of detention may contribute to the prevention of human rights violations in such facilities. Considering the short lived life of the commission, the effectiveness of its work is still unclear.</w:t>
      </w:r>
    </w:p>
    <w:p w:rsidR="0060459F" w:rsidRDefault="00F96166">
      <w:pPr>
        <w:pStyle w:val="Corps"/>
        <w:spacing w:after="120" w:line="276" w:lineRule="auto"/>
        <w:jc w:val="both"/>
        <w:rPr>
          <w:rFonts w:ascii="Times New Roman" w:eastAsiaTheme="minorEastAsia" w:hAnsi="Times New Roman" w:cs="Times New Roman"/>
          <w:sz w:val="24"/>
          <w:lang w:val="en-GB"/>
        </w:rPr>
      </w:pPr>
      <w:r>
        <w:rPr>
          <w:rStyle w:val="SubtleEmphasis"/>
          <w:rFonts w:ascii="Times New Roman" w:eastAsiaTheme="minorEastAsia" w:hAnsi="Times New Roman" w:cs="Times New Roman"/>
          <w:lang w:val="en-GB"/>
        </w:rPr>
        <w:t xml:space="preserve">While it is too early to foresee how the recently established commission will pursue its mandate, the composition of the commission already raises question as to whether its independence will be safeguarded. According to the Emirates Detainees Advocacy </w:t>
      </w:r>
      <w:proofErr w:type="spellStart"/>
      <w:r>
        <w:rPr>
          <w:rStyle w:val="SubtleEmphasis"/>
          <w:rFonts w:ascii="Times New Roman" w:eastAsiaTheme="minorEastAsia" w:hAnsi="Times New Roman" w:cs="Times New Roman"/>
          <w:lang w:val="en-GB"/>
        </w:rPr>
        <w:t>Center</w:t>
      </w:r>
      <w:proofErr w:type="spellEnd"/>
      <w:r>
        <w:rPr>
          <w:rStyle w:val="SubtleEmphasis"/>
          <w:rFonts w:ascii="Times New Roman" w:eastAsiaTheme="minorEastAsia" w:hAnsi="Times New Roman" w:cs="Times New Roman"/>
          <w:lang w:val="en-GB"/>
        </w:rPr>
        <w:t xml:space="preserve">, the commission is headed by a former member of the UAE military and most of the commission members, appointed in December 2021, are former police officers and graduates of the Dubai Police </w:t>
      </w:r>
      <w:r>
        <w:rPr>
          <w:rStyle w:val="SubtleEmphasis"/>
          <w:rFonts w:ascii="Times New Roman" w:eastAsiaTheme="minorEastAsia" w:hAnsi="Times New Roman" w:cs="Times New Roman"/>
          <w:lang w:val="en-GB"/>
        </w:rPr>
        <w:lastRenderedPageBreak/>
        <w:t>Academy.</w:t>
      </w:r>
      <w:r>
        <w:rPr>
          <w:rStyle w:val="FootnoteReference"/>
          <w:rFonts w:ascii="Times New Roman" w:eastAsiaTheme="minorEastAsia" w:hAnsi="Times New Roman" w:cs="Times New Roman"/>
          <w:sz w:val="24"/>
          <w:lang w:val="en-GB"/>
        </w:rPr>
        <w:footnoteReference w:id="48"/>
      </w:r>
      <w:r>
        <w:rPr>
          <w:rStyle w:val="SubtleEmphasis"/>
          <w:rFonts w:ascii="Times New Roman" w:eastAsiaTheme="minorEastAsia" w:hAnsi="Times New Roman" w:cs="Times New Roman"/>
          <w:lang w:val="en-GB"/>
        </w:rPr>
        <w:t xml:space="preserve"> The commission also “includes a number of individuals known to have links to the UAE's State Security Apparatus (SSA) and to have abused prisoners of conscience in the past”.</w:t>
      </w:r>
      <w:r>
        <w:rPr>
          <w:rStyle w:val="FootnoteReference"/>
          <w:rFonts w:ascii="Times New Roman" w:eastAsiaTheme="minorEastAsia" w:hAnsi="Times New Roman" w:cs="Times New Roman"/>
          <w:sz w:val="24"/>
          <w:lang w:val="en-GB"/>
        </w:rPr>
        <w:t xml:space="preserve"> </w:t>
      </w:r>
      <w:r>
        <w:rPr>
          <w:rStyle w:val="FootnoteReference"/>
          <w:rFonts w:ascii="Times New Roman" w:eastAsiaTheme="minorEastAsia" w:hAnsi="Times New Roman" w:cs="Times New Roman"/>
          <w:sz w:val="24"/>
          <w:lang w:val="en-GB"/>
        </w:rPr>
        <w:footnoteReference w:id="49"/>
      </w:r>
    </w:p>
    <w:p w:rsidR="0060459F" w:rsidRDefault="00F96166">
      <w:pPr>
        <w:pStyle w:val="Heading2"/>
        <w:rPr>
          <w:rStyle w:val="SubtleEmphasis"/>
          <w:rFonts w:ascii="Times New Roman" w:hAnsi="Times New Roman" w:cs="Times New Roman"/>
          <w:sz w:val="36"/>
        </w:rPr>
      </w:pPr>
      <w:bookmarkStart w:id="14" w:name="_Toc103273047"/>
      <w:r>
        <w:rPr>
          <w:rFonts w:ascii="Times New Roman" w:eastAsiaTheme="minorEastAsia" w:hAnsi="Times New Roman" w:cs="Times New Roman"/>
        </w:rPr>
        <w:t xml:space="preserve">Complaint mechanisms, </w:t>
      </w:r>
      <w:r>
        <w:rPr>
          <w:rStyle w:val="SubtleEmphasis"/>
          <w:rFonts w:ascii="Times New Roman" w:eastAsiaTheme="minorEastAsia" w:hAnsi="Times New Roman" w:cs="Times New Roman"/>
          <w:sz w:val="36"/>
        </w:rPr>
        <w:t>absence of investigation and prosecution</w:t>
      </w:r>
      <w:bookmarkEnd w:id="14"/>
      <w:r>
        <w:rPr>
          <w:rStyle w:val="SubtleEmphasis"/>
          <w:rFonts w:ascii="Times New Roman" w:eastAsiaTheme="minorEastAsia" w:hAnsi="Times New Roman" w:cs="Times New Roman"/>
          <w:sz w:val="36"/>
        </w:rPr>
        <w:t xml:space="preserve"> </w:t>
      </w:r>
    </w:p>
    <w:p w:rsidR="0060459F" w:rsidRDefault="00F96166">
      <w:pPr>
        <w:pStyle w:val="Corps"/>
        <w:spacing w:after="120" w:line="276" w:lineRule="auto"/>
        <w:jc w:val="both"/>
        <w:rPr>
          <w:rStyle w:val="SubtleEmphasis"/>
          <w:rFonts w:ascii="Times New Roman" w:eastAsiaTheme="minorEastAsia" w:hAnsi="Times New Roman" w:cs="Times New Roman"/>
          <w:lang w:val="en-GB"/>
        </w:rPr>
      </w:pPr>
      <w:r>
        <w:rPr>
          <w:rStyle w:val="SubtleEmphasis"/>
          <w:rFonts w:ascii="Times New Roman" w:eastAsiaTheme="minorEastAsia" w:hAnsi="Times New Roman" w:cs="Times New Roman"/>
          <w:lang w:val="en-GB"/>
        </w:rPr>
        <w:t>Article 12 UNCAT states that “[e]ach State Party shall ensure that its competent authorities proceed to a prompt and impartial investigation, wherever there is reasonable ground to believe that an act of torture has been committed in any territory under its jurisdiction.”</w:t>
      </w:r>
    </w:p>
    <w:p w:rsidR="0060459F" w:rsidRDefault="00F96166">
      <w:pPr>
        <w:pStyle w:val="Corps"/>
        <w:spacing w:after="120" w:line="276" w:lineRule="auto"/>
        <w:jc w:val="both"/>
        <w:rPr>
          <w:rStyle w:val="SubtleEmphasis"/>
          <w:rFonts w:ascii="Times New Roman" w:eastAsiaTheme="minorEastAsia" w:hAnsi="Times New Roman" w:cs="Times New Roman"/>
          <w:lang w:val="en-GB"/>
        </w:rPr>
      </w:pPr>
      <w:r>
        <w:rPr>
          <w:rStyle w:val="SubtleEmphasis"/>
          <w:rFonts w:ascii="Times New Roman" w:eastAsiaTheme="minorEastAsia" w:hAnsi="Times New Roman" w:cs="Times New Roman"/>
          <w:lang w:val="en-GB"/>
        </w:rPr>
        <w:t>As mentioned in the state report,</w:t>
      </w:r>
      <w:r>
        <w:rPr>
          <w:rStyle w:val="FootnoteReference"/>
          <w:rFonts w:ascii="Times New Roman" w:eastAsiaTheme="minorEastAsia" w:hAnsi="Times New Roman" w:cs="Times New Roman"/>
          <w:sz w:val="24"/>
          <w:lang w:val="en-GB"/>
        </w:rPr>
        <w:footnoteReference w:id="50"/>
      </w:r>
      <w:r>
        <w:rPr>
          <w:rStyle w:val="SubtleEmphasis"/>
          <w:rFonts w:ascii="Times New Roman" w:eastAsiaTheme="minorEastAsia" w:hAnsi="Times New Roman" w:cs="Times New Roman"/>
          <w:lang w:val="en-GB"/>
        </w:rPr>
        <w:t xml:space="preserve"> the Emirati constitution prescribes the right to submit a complaint to the competent authority in case of violation of any right and freedom protected by the constitution. The act regulating penal facilities and the CCP also foresee the possibility of those detained in penal and mental facilities to make complaints to a member of the public prosecution during their inspection visit or to other competent authorities. Article 11 of the act regulating penal facilities states that complaints must be investigated.</w:t>
      </w:r>
    </w:p>
    <w:p w:rsidR="0060459F" w:rsidRDefault="00F96166">
      <w:pPr>
        <w:pStyle w:val="Corps"/>
        <w:spacing w:after="120" w:line="276" w:lineRule="auto"/>
        <w:jc w:val="both"/>
        <w:rPr>
          <w:rStyle w:val="SubtleEmphasis"/>
          <w:rFonts w:ascii="Times New Roman" w:eastAsiaTheme="minorEastAsia" w:hAnsi="Times New Roman" w:cs="Times New Roman"/>
          <w:lang w:val="en-GB"/>
        </w:rPr>
      </w:pPr>
      <w:r>
        <w:rPr>
          <w:rStyle w:val="SubtleEmphasis"/>
          <w:rFonts w:ascii="Times New Roman" w:eastAsiaTheme="minorEastAsia" w:hAnsi="Times New Roman" w:cs="Times New Roman"/>
          <w:lang w:val="en-GB"/>
        </w:rPr>
        <w:t>In practice, however, allegations of torture in the UAE are not investigated and perpetrators are not held accountable, in violation of article 12 UNCAT. In this regard, the former special rapporteur on the independence of judges and lawyers said that she “was told that over the past few years, more than 200 complaints relating to torture and/or ill-treatment had been presented before judges and/or prosecutors, but that those complaints had not been received or registered, and consequently not been taken into account in judicial proceedings. Moreover, no independent investigation into those complaints had allegedly taken place.”</w:t>
      </w:r>
      <w:r>
        <w:rPr>
          <w:rStyle w:val="FootnoteReference"/>
          <w:rFonts w:ascii="Times New Roman" w:eastAsiaTheme="minorEastAsia" w:hAnsi="Times New Roman" w:cs="Times New Roman"/>
          <w:sz w:val="24"/>
          <w:lang w:val="en-GB"/>
        </w:rPr>
        <w:footnoteReference w:id="51"/>
      </w:r>
      <w:r>
        <w:rPr>
          <w:rStyle w:val="SubtleEmphasis"/>
          <w:rFonts w:ascii="Times New Roman" w:eastAsiaTheme="minorEastAsia" w:hAnsi="Times New Roman" w:cs="Times New Roman"/>
          <w:lang w:val="en-GB"/>
        </w:rPr>
        <w:t xml:space="preserve"> </w:t>
      </w:r>
    </w:p>
    <w:p w:rsidR="0060459F" w:rsidRDefault="00F96166">
      <w:pPr>
        <w:pStyle w:val="Corps"/>
        <w:spacing w:after="120" w:line="276" w:lineRule="auto"/>
        <w:jc w:val="both"/>
        <w:rPr>
          <w:rStyle w:val="SubtleEmphasis"/>
          <w:rFonts w:ascii="Times New Roman" w:hAnsi="Times New Roman" w:cs="Times New Roman"/>
          <w:lang w:val="en-GB"/>
        </w:rPr>
      </w:pPr>
      <w:r>
        <w:rPr>
          <w:rStyle w:val="SubtleEmphasis"/>
          <w:rFonts w:ascii="Times New Roman" w:hAnsi="Times New Roman" w:cs="Times New Roman"/>
          <w:lang w:val="en-GB"/>
        </w:rPr>
        <w:t xml:space="preserve">Similarly, in all cases documented by MENA Rights Group (detailed in annex 1) in which victims complained about torture, no investigation was initiated, and, in some cases, victims were subjected to reprisals for their complaints. This was the case of Ahmed </w:t>
      </w:r>
      <w:proofErr w:type="spellStart"/>
      <w:r>
        <w:rPr>
          <w:rStyle w:val="SubtleEmphasis"/>
          <w:rFonts w:ascii="Times New Roman" w:hAnsi="Times New Roman" w:cs="Times New Roman"/>
          <w:lang w:val="en-GB"/>
        </w:rPr>
        <w:t>Mansoor</w:t>
      </w:r>
      <w:proofErr w:type="spellEnd"/>
      <w:r>
        <w:rPr>
          <w:rStyle w:val="SubtleEmphasis"/>
          <w:rFonts w:ascii="Times New Roman" w:hAnsi="Times New Roman" w:cs="Times New Roman"/>
          <w:lang w:val="en-GB"/>
        </w:rPr>
        <w:t xml:space="preserve">, Amina Al </w:t>
      </w:r>
      <w:proofErr w:type="spellStart"/>
      <w:r>
        <w:rPr>
          <w:rStyle w:val="SubtleEmphasis"/>
          <w:rFonts w:ascii="Times New Roman" w:hAnsi="Times New Roman" w:cs="Times New Roman"/>
          <w:lang w:val="en-GB"/>
        </w:rPr>
        <w:t>Abdouli</w:t>
      </w:r>
      <w:proofErr w:type="spellEnd"/>
      <w:r>
        <w:rPr>
          <w:rStyle w:val="SubtleEmphasis"/>
          <w:rFonts w:ascii="Times New Roman" w:hAnsi="Times New Roman" w:cs="Times New Roman"/>
          <w:lang w:val="en-GB"/>
        </w:rPr>
        <w:t xml:space="preserve"> and Maryam Al </w:t>
      </w:r>
      <w:proofErr w:type="spellStart"/>
      <w:r>
        <w:rPr>
          <w:rStyle w:val="SubtleEmphasis"/>
          <w:rFonts w:ascii="Times New Roman" w:hAnsi="Times New Roman" w:cs="Times New Roman"/>
          <w:lang w:val="en-GB"/>
        </w:rPr>
        <w:t>Balushi</w:t>
      </w:r>
      <w:proofErr w:type="spellEnd"/>
      <w:r>
        <w:rPr>
          <w:rStyle w:val="SubtleEmphasis"/>
          <w:rFonts w:ascii="Times New Roman" w:hAnsi="Times New Roman" w:cs="Times New Roman"/>
          <w:lang w:val="en-GB"/>
        </w:rPr>
        <w:t xml:space="preserve">. Ahmed </w:t>
      </w:r>
      <w:proofErr w:type="spellStart"/>
      <w:r>
        <w:rPr>
          <w:rStyle w:val="SubtleEmphasis"/>
          <w:rFonts w:ascii="Times New Roman" w:hAnsi="Times New Roman" w:cs="Times New Roman"/>
          <w:lang w:val="en-GB"/>
        </w:rPr>
        <w:t>Mansoor</w:t>
      </w:r>
      <w:proofErr w:type="spellEnd"/>
      <w:r>
        <w:rPr>
          <w:rFonts w:ascii="Times New Roman" w:hAnsi="Times New Roman" w:cs="Times New Roman"/>
          <w:sz w:val="24"/>
          <w:lang w:val="en-GB"/>
        </w:rPr>
        <w:t xml:space="preserve"> “is alleged to have suffered intimidation and reprisals for his collaboration with UN human rights mechanisms.”</w:t>
      </w:r>
      <w:r>
        <w:rPr>
          <w:rStyle w:val="FootnoteReference"/>
          <w:rFonts w:ascii="Times New Roman" w:hAnsi="Times New Roman" w:cs="Times New Roman"/>
          <w:sz w:val="24"/>
          <w:lang w:val="en-GB"/>
        </w:rPr>
        <w:footnoteReference w:id="52"/>
      </w:r>
      <w:r>
        <w:rPr>
          <w:rFonts w:ascii="Times New Roman" w:hAnsi="Times New Roman" w:cs="Times New Roman"/>
          <w:sz w:val="24"/>
          <w:lang w:val="en-GB"/>
        </w:rPr>
        <w:t xml:space="preserve"> Furthermore, after a letter </w:t>
      </w:r>
      <w:proofErr w:type="spellStart"/>
      <w:r>
        <w:rPr>
          <w:rFonts w:ascii="Times New Roman" w:hAnsi="Times New Roman" w:cs="Times New Roman"/>
          <w:sz w:val="24"/>
          <w:lang w:val="en-GB"/>
        </w:rPr>
        <w:t>Mansoor</w:t>
      </w:r>
      <w:proofErr w:type="spellEnd"/>
      <w:r>
        <w:rPr>
          <w:rFonts w:ascii="Times New Roman" w:hAnsi="Times New Roman" w:cs="Times New Roman"/>
          <w:sz w:val="24"/>
          <w:lang w:val="en-GB"/>
        </w:rPr>
        <w:t xml:space="preserve"> wrote from prison detailing his mistreatment in detention and flagrantly unfair trial was published, he suffered reprisals as authorities moved him to a smaller and more isolated cell, denied him access to critical medical care and confiscated his reading glasses.</w:t>
      </w:r>
      <w:r>
        <w:rPr>
          <w:rStyle w:val="FootnoteReference"/>
          <w:rFonts w:ascii="Times New Roman" w:hAnsi="Times New Roman" w:cs="Times New Roman"/>
          <w:sz w:val="24"/>
          <w:lang w:val="en-GB"/>
        </w:rPr>
        <w:footnoteReference w:id="53"/>
      </w:r>
      <w:r>
        <w:rPr>
          <w:rFonts w:ascii="Times New Roman" w:hAnsi="Times New Roman" w:cs="Times New Roman"/>
          <w:sz w:val="24"/>
          <w:lang w:val="en-GB"/>
        </w:rPr>
        <w:t xml:space="preserve"> </w:t>
      </w:r>
      <w:r>
        <w:rPr>
          <w:rStyle w:val="SubtleEmphasis"/>
          <w:rFonts w:ascii="Times New Roman" w:hAnsi="Times New Roman" w:cs="Times New Roman"/>
          <w:lang w:val="en-GB"/>
        </w:rPr>
        <w:t xml:space="preserve">Amina Al </w:t>
      </w:r>
      <w:proofErr w:type="spellStart"/>
      <w:r>
        <w:rPr>
          <w:rStyle w:val="SubtleEmphasis"/>
          <w:rFonts w:ascii="Times New Roman" w:hAnsi="Times New Roman" w:cs="Times New Roman"/>
          <w:lang w:val="en-GB"/>
        </w:rPr>
        <w:t>Abdouli</w:t>
      </w:r>
      <w:proofErr w:type="spellEnd"/>
      <w:r>
        <w:rPr>
          <w:rStyle w:val="SubtleEmphasis"/>
          <w:rFonts w:ascii="Times New Roman" w:hAnsi="Times New Roman" w:cs="Times New Roman"/>
          <w:lang w:val="en-GB"/>
        </w:rPr>
        <w:t xml:space="preserve"> and Maryam Al </w:t>
      </w:r>
      <w:proofErr w:type="spellStart"/>
      <w:r>
        <w:rPr>
          <w:rStyle w:val="SubtleEmphasis"/>
          <w:rFonts w:ascii="Times New Roman" w:hAnsi="Times New Roman" w:cs="Times New Roman"/>
          <w:lang w:val="en-GB"/>
        </w:rPr>
        <w:t>Balushi</w:t>
      </w:r>
      <w:proofErr w:type="spellEnd"/>
      <w:r>
        <w:rPr>
          <w:rStyle w:val="SubtleEmphasis"/>
          <w:rFonts w:ascii="Times New Roman" w:hAnsi="Times New Roman" w:cs="Times New Roman"/>
          <w:lang w:val="en-GB"/>
        </w:rPr>
        <w:t xml:space="preserve">, in turn, were both met with new charges after </w:t>
      </w:r>
      <w:r>
        <w:rPr>
          <w:rStyle w:val="SubtleEmphasis"/>
          <w:rFonts w:ascii="Times New Roman" w:hAnsi="Times New Roman" w:cs="Times New Roman"/>
          <w:lang w:val="en-GB"/>
        </w:rPr>
        <w:lastRenderedPageBreak/>
        <w:t>trying to raise awareness to their cases.</w:t>
      </w:r>
      <w:r>
        <w:rPr>
          <w:rStyle w:val="FootnoteReference"/>
          <w:rFonts w:ascii="Times New Roman" w:hAnsi="Times New Roman" w:cs="Times New Roman"/>
          <w:sz w:val="24"/>
          <w:lang w:val="en-GB"/>
        </w:rPr>
        <w:footnoteReference w:id="54"/>
      </w:r>
      <w:r>
        <w:rPr>
          <w:rStyle w:val="SubtleEmphasis"/>
          <w:rFonts w:ascii="Times New Roman" w:hAnsi="Times New Roman" w:cs="Times New Roman"/>
          <w:lang w:val="en-GB"/>
        </w:rPr>
        <w:t xml:space="preserve"> Similarly, </w:t>
      </w:r>
      <w:r>
        <w:rPr>
          <w:rStyle w:val="SubtleEmphasis"/>
          <w:rFonts w:ascii="Times New Roman" w:eastAsiaTheme="minorEastAsia" w:hAnsi="Times New Roman" w:cs="Times New Roman"/>
          <w:lang w:val="en-GB"/>
        </w:rPr>
        <w:t xml:space="preserve">Nasser Bin </w:t>
      </w:r>
      <w:proofErr w:type="spellStart"/>
      <w:r>
        <w:rPr>
          <w:rStyle w:val="SubtleEmphasis"/>
          <w:rFonts w:ascii="Times New Roman" w:eastAsiaTheme="minorEastAsia" w:hAnsi="Times New Roman" w:cs="Times New Roman"/>
          <w:lang w:val="en-GB"/>
        </w:rPr>
        <w:t>Ghaith</w:t>
      </w:r>
      <w:proofErr w:type="spellEnd"/>
      <w:r>
        <w:rPr>
          <w:rStyle w:val="SubtleEmphasis"/>
          <w:rFonts w:ascii="Times New Roman" w:eastAsiaTheme="minorEastAsia" w:hAnsi="Times New Roman" w:cs="Times New Roman"/>
          <w:lang w:val="en-GB"/>
        </w:rPr>
        <w:t>, an activist and scholar who was prosecuted for his peaceful criticism of the government, was “charged with ‘publishing information intended to harm the reputation of the State’ under the Law on Combating Cybercrimes for having publicly denounced the torture and unfair trial to which he had been subjected.”</w:t>
      </w:r>
      <w:r>
        <w:rPr>
          <w:rStyle w:val="FootnoteReference"/>
          <w:rFonts w:ascii="Times New Roman" w:eastAsiaTheme="minorEastAsia" w:hAnsi="Times New Roman" w:cs="Times New Roman"/>
          <w:sz w:val="24"/>
          <w:lang w:val="en-GB"/>
        </w:rPr>
        <w:footnoteReference w:id="55"/>
      </w:r>
    </w:p>
    <w:p w:rsidR="0060459F" w:rsidRDefault="00F96166">
      <w:pPr>
        <w:pStyle w:val="Corps"/>
        <w:spacing w:after="120" w:line="276" w:lineRule="auto"/>
        <w:jc w:val="both"/>
        <w:rPr>
          <w:rStyle w:val="SubtleEmphasis"/>
          <w:rFonts w:ascii="Times New Roman" w:hAnsi="Times New Roman" w:cs="Times New Roman"/>
          <w:lang w:val="en-GB"/>
        </w:rPr>
      </w:pPr>
      <w:r>
        <w:rPr>
          <w:rStyle w:val="SubtleEmphasis"/>
          <w:rFonts w:ascii="Times New Roman" w:hAnsi="Times New Roman" w:cs="Times New Roman"/>
          <w:lang w:val="en-GB"/>
        </w:rPr>
        <w:t>Another noteworthy case is that of Ahmed al-</w:t>
      </w:r>
      <w:proofErr w:type="spellStart"/>
      <w:r>
        <w:rPr>
          <w:rStyle w:val="SubtleEmphasis"/>
          <w:rFonts w:ascii="Times New Roman" w:hAnsi="Times New Roman" w:cs="Times New Roman"/>
          <w:lang w:val="en-GB"/>
        </w:rPr>
        <w:t>Zaabi</w:t>
      </w:r>
      <w:proofErr w:type="spellEnd"/>
      <w:r>
        <w:rPr>
          <w:rStyle w:val="SubtleEmphasis"/>
          <w:rFonts w:ascii="Times New Roman" w:hAnsi="Times New Roman" w:cs="Times New Roman"/>
          <w:lang w:val="en-GB"/>
        </w:rPr>
        <w:t>.</w:t>
      </w:r>
      <w:r>
        <w:rPr>
          <w:rStyle w:val="FootnoteReference"/>
          <w:rFonts w:ascii="Times New Roman" w:hAnsi="Times New Roman" w:cs="Times New Roman"/>
          <w:sz w:val="24"/>
          <w:lang w:val="en-GB"/>
        </w:rPr>
        <w:footnoteReference w:id="56"/>
      </w:r>
      <w:r>
        <w:rPr>
          <w:rStyle w:val="SubtleEmphasis"/>
          <w:rFonts w:ascii="Times New Roman" w:hAnsi="Times New Roman" w:cs="Times New Roman"/>
          <w:lang w:val="en-GB"/>
        </w:rPr>
        <w:t xml:space="preserve"> Al-</w:t>
      </w:r>
      <w:proofErr w:type="spellStart"/>
      <w:r>
        <w:rPr>
          <w:rStyle w:val="SubtleEmphasis"/>
          <w:rFonts w:ascii="Times New Roman" w:hAnsi="Times New Roman" w:cs="Times New Roman"/>
          <w:lang w:val="en-GB"/>
        </w:rPr>
        <w:t>Zaabi</w:t>
      </w:r>
      <w:proofErr w:type="spellEnd"/>
      <w:r>
        <w:rPr>
          <w:rStyle w:val="SubtleEmphasis"/>
          <w:rFonts w:ascii="Times New Roman" w:hAnsi="Times New Roman" w:cs="Times New Roman"/>
          <w:lang w:val="en-GB"/>
        </w:rPr>
        <w:t xml:space="preserve"> is a former judge and director of the Judicial Inspection in Abu Dhabi. He was arrested by security forces on 26 March 2012 on charges of falsifying his passport, as he did not change the profession section to a former judge. He was detained in solitary confinement without a bed or blanket with constant night lighting. He was subjected to various forms of torture, including pulling his nails and severe beatings. His interrogation file from the public prosecution office stated that he was beaten but instead of being presented to a forensic doctor to have his injuries examined, the investigator informed the SSA of the allegations. This information was ignored by the court assessing his case, which did not open any investigation. He was later convicted, in two separate proceedings, to 6 months and 10 years in prison.</w:t>
      </w:r>
    </w:p>
    <w:p w:rsidR="0060459F" w:rsidRDefault="00F96166">
      <w:pPr>
        <w:pStyle w:val="Corps"/>
        <w:spacing w:after="120" w:line="276" w:lineRule="auto"/>
        <w:jc w:val="both"/>
        <w:rPr>
          <w:rStyle w:val="SubtleEmphasis"/>
          <w:rFonts w:ascii="Times New Roman" w:eastAsiaTheme="minorEastAsia" w:hAnsi="Times New Roman" w:cs="Times New Roman"/>
          <w:lang w:val="en-GB"/>
        </w:rPr>
      </w:pPr>
      <w:r>
        <w:rPr>
          <w:rStyle w:val="SubtleEmphasis"/>
          <w:rFonts w:ascii="Times New Roman" w:eastAsiaTheme="minorEastAsia" w:hAnsi="Times New Roman" w:cs="Times New Roman"/>
          <w:lang w:val="en-GB"/>
        </w:rPr>
        <w:t xml:space="preserve">The lack of investigation of torture allegations was also mentioned by the Working Group on Arbitrary Detention in the case of Ahmad Ali </w:t>
      </w:r>
      <w:proofErr w:type="spellStart"/>
      <w:r>
        <w:rPr>
          <w:rStyle w:val="SubtleEmphasis"/>
          <w:rFonts w:ascii="Times New Roman" w:eastAsiaTheme="minorEastAsia" w:hAnsi="Times New Roman" w:cs="Times New Roman"/>
          <w:lang w:val="en-GB"/>
        </w:rPr>
        <w:t>Mekkaoui</w:t>
      </w:r>
      <w:proofErr w:type="spellEnd"/>
      <w:r>
        <w:rPr>
          <w:rStyle w:val="SubtleEmphasis"/>
          <w:rFonts w:ascii="Times New Roman" w:eastAsiaTheme="minorEastAsia" w:hAnsi="Times New Roman" w:cs="Times New Roman"/>
          <w:lang w:val="en-GB"/>
        </w:rPr>
        <w:t xml:space="preserve">, in which the Working Group noted that “although Mr. </w:t>
      </w:r>
      <w:proofErr w:type="spellStart"/>
      <w:r>
        <w:rPr>
          <w:rStyle w:val="SubtleEmphasis"/>
          <w:rFonts w:ascii="Times New Roman" w:eastAsiaTheme="minorEastAsia" w:hAnsi="Times New Roman" w:cs="Times New Roman"/>
          <w:lang w:val="en-GB"/>
        </w:rPr>
        <w:t>Mekkaoui</w:t>
      </w:r>
      <w:proofErr w:type="spellEnd"/>
      <w:r>
        <w:rPr>
          <w:rStyle w:val="SubtleEmphasis"/>
          <w:rFonts w:ascii="Times New Roman" w:eastAsiaTheme="minorEastAsia" w:hAnsi="Times New Roman" w:cs="Times New Roman"/>
          <w:lang w:val="en-GB"/>
        </w:rPr>
        <w:t xml:space="preserve"> reported his treatment to the State Security Prosecutor in June 2015 and stated that he signed his confession under torture, no action was taken and Mr. </w:t>
      </w:r>
      <w:proofErr w:type="spellStart"/>
      <w:r>
        <w:rPr>
          <w:rStyle w:val="SubtleEmphasis"/>
          <w:rFonts w:ascii="Times New Roman" w:eastAsiaTheme="minorEastAsia" w:hAnsi="Times New Roman" w:cs="Times New Roman"/>
          <w:lang w:val="en-GB"/>
        </w:rPr>
        <w:t>Mekkaoui</w:t>
      </w:r>
      <w:proofErr w:type="spellEnd"/>
      <w:r>
        <w:rPr>
          <w:rStyle w:val="SubtleEmphasis"/>
          <w:rFonts w:ascii="Times New Roman" w:eastAsiaTheme="minorEastAsia" w:hAnsi="Times New Roman" w:cs="Times New Roman"/>
          <w:lang w:val="en-GB"/>
        </w:rPr>
        <w:t xml:space="preserve"> was still tried and sentenced on the basis of that information.”</w:t>
      </w:r>
      <w:r>
        <w:rPr>
          <w:rStyle w:val="FootnoteReference"/>
          <w:rFonts w:ascii="Times New Roman" w:eastAsiaTheme="minorEastAsia" w:hAnsi="Times New Roman" w:cs="Times New Roman"/>
          <w:sz w:val="24"/>
          <w:lang w:val="en-GB"/>
        </w:rPr>
        <w:footnoteReference w:id="57"/>
      </w:r>
    </w:p>
    <w:p w:rsidR="0060459F" w:rsidRDefault="00F96166">
      <w:pPr>
        <w:pStyle w:val="Corps"/>
        <w:spacing w:after="120" w:line="276" w:lineRule="auto"/>
        <w:jc w:val="both"/>
        <w:rPr>
          <w:rStyle w:val="SubtleEmphasis"/>
          <w:rFonts w:ascii="Times New Roman" w:eastAsiaTheme="minorEastAsia" w:hAnsi="Times New Roman" w:cs="Times New Roman"/>
          <w:lang w:val="en-GB"/>
        </w:rPr>
      </w:pPr>
      <w:r>
        <w:rPr>
          <w:rStyle w:val="SubtleEmphasis"/>
          <w:rFonts w:ascii="Times New Roman" w:hAnsi="Times New Roman" w:cs="Times New Roman"/>
          <w:lang w:val="en-GB"/>
        </w:rPr>
        <w:t xml:space="preserve">Similarly, in the cases of </w:t>
      </w:r>
      <w:proofErr w:type="spellStart"/>
      <w:r>
        <w:rPr>
          <w:rStyle w:val="SubtleEmphasis"/>
          <w:rFonts w:ascii="Times New Roman" w:hAnsi="Times New Roman" w:cs="Times New Roman"/>
          <w:lang w:val="en-GB"/>
        </w:rPr>
        <w:t>Abdulmalik</w:t>
      </w:r>
      <w:proofErr w:type="spellEnd"/>
      <w:r>
        <w:rPr>
          <w:rStyle w:val="SubtleEmphasis"/>
          <w:rFonts w:ascii="Times New Roman" w:hAnsi="Times New Roman" w:cs="Times New Roman"/>
          <w:lang w:val="en-GB"/>
        </w:rPr>
        <w:t xml:space="preserve"> Al </w:t>
      </w:r>
      <w:proofErr w:type="spellStart"/>
      <w:r>
        <w:rPr>
          <w:rStyle w:val="SubtleEmphasis"/>
          <w:rFonts w:ascii="Times New Roman" w:hAnsi="Times New Roman" w:cs="Times New Roman"/>
          <w:lang w:val="en-GB"/>
        </w:rPr>
        <w:t>Mukhanqi</w:t>
      </w:r>
      <w:proofErr w:type="spellEnd"/>
      <w:r>
        <w:rPr>
          <w:rStyle w:val="SubtleEmphasis"/>
          <w:rFonts w:ascii="Times New Roman" w:hAnsi="Times New Roman" w:cs="Times New Roman"/>
          <w:lang w:val="en-GB"/>
        </w:rPr>
        <w:t xml:space="preserve">, Abdullah </w:t>
      </w:r>
      <w:proofErr w:type="spellStart"/>
      <w:r>
        <w:rPr>
          <w:rStyle w:val="SubtleEmphasis"/>
          <w:rFonts w:ascii="Times New Roman" w:hAnsi="Times New Roman" w:cs="Times New Roman"/>
          <w:lang w:val="en-GB"/>
        </w:rPr>
        <w:t>Attiah</w:t>
      </w:r>
      <w:proofErr w:type="spellEnd"/>
      <w:r>
        <w:rPr>
          <w:rStyle w:val="SubtleEmphasis"/>
          <w:rFonts w:ascii="Times New Roman" w:hAnsi="Times New Roman" w:cs="Times New Roman"/>
          <w:lang w:val="en-GB"/>
        </w:rPr>
        <w:t xml:space="preserve"> and </w:t>
      </w:r>
      <w:proofErr w:type="spellStart"/>
      <w:r>
        <w:rPr>
          <w:rStyle w:val="SubtleEmphasis"/>
          <w:rFonts w:ascii="Times New Roman" w:hAnsi="Times New Roman" w:cs="Times New Roman"/>
          <w:lang w:val="en-GB"/>
        </w:rPr>
        <w:t>Abdelrahman</w:t>
      </w:r>
      <w:proofErr w:type="spellEnd"/>
      <w:r>
        <w:rPr>
          <w:rStyle w:val="SubtleEmphasis"/>
          <w:rFonts w:ascii="Times New Roman" w:hAnsi="Times New Roman" w:cs="Times New Roman"/>
          <w:lang w:val="en-GB"/>
        </w:rPr>
        <w:t xml:space="preserve"> </w:t>
      </w:r>
      <w:proofErr w:type="spellStart"/>
      <w:r>
        <w:rPr>
          <w:rStyle w:val="SubtleEmphasis"/>
          <w:rFonts w:ascii="Times New Roman" w:hAnsi="Times New Roman" w:cs="Times New Roman"/>
          <w:lang w:val="en-GB"/>
        </w:rPr>
        <w:t>Chouman</w:t>
      </w:r>
      <w:proofErr w:type="spellEnd"/>
      <w:r>
        <w:rPr>
          <w:rStyle w:val="SubtleEmphasis"/>
          <w:rFonts w:ascii="Times New Roman" w:hAnsi="Times New Roman" w:cs="Times New Roman"/>
          <w:lang w:val="en-GB"/>
        </w:rPr>
        <w:t>, documented by MENA Rights Group (detailed in annex 1), complaints of torture were also made in court, but no investigation arose from the victims’ allegations.</w:t>
      </w:r>
    </w:p>
    <w:p w:rsidR="0060459F" w:rsidRDefault="00F96166">
      <w:pPr>
        <w:pStyle w:val="Heading2"/>
        <w:rPr>
          <w:rStyle w:val="SubtleEmphasis"/>
          <w:rFonts w:ascii="Times New Roman" w:hAnsi="Times New Roman" w:cs="Times New Roman"/>
          <w:sz w:val="36"/>
        </w:rPr>
      </w:pPr>
      <w:bookmarkStart w:id="15" w:name="_Toc103273048"/>
      <w:r>
        <w:rPr>
          <w:rStyle w:val="SubtleEmphasis"/>
          <w:rFonts w:ascii="Times New Roman" w:eastAsiaTheme="minorEastAsia" w:hAnsi="Times New Roman" w:cs="Times New Roman"/>
          <w:sz w:val="36"/>
        </w:rPr>
        <w:t>Lack of independence of the judiciary</w:t>
      </w:r>
      <w:bookmarkEnd w:id="15"/>
    </w:p>
    <w:p w:rsidR="0060459F" w:rsidRDefault="00F96166">
      <w:pPr>
        <w:spacing w:before="0" w:after="120" w:line="276" w:lineRule="auto"/>
        <w:jc w:val="both"/>
        <w:rPr>
          <w:rStyle w:val="SubtleEmphasis"/>
          <w:rFonts w:ascii="Times New Roman" w:eastAsiaTheme="minorEastAsia" w:hAnsi="Times New Roman" w:cs="Times New Roman"/>
        </w:rPr>
      </w:pPr>
      <w:r>
        <w:rPr>
          <w:rStyle w:val="SubtleEmphasis"/>
          <w:rFonts w:ascii="Times New Roman" w:eastAsiaTheme="minorEastAsia" w:hAnsi="Times New Roman" w:cs="Times New Roman"/>
        </w:rPr>
        <w:t>The SSA, which, as mentioned above, has broad investigation and detention powers and was responsible for torture in multiple cases documented by MENA Rights Group (see annex 1), is under the control of the executive, as the SSA reports directly and solely to the president of the UAE.</w:t>
      </w:r>
      <w:r>
        <w:rPr>
          <w:rStyle w:val="FootnoteReference"/>
          <w:rFonts w:ascii="Times New Roman" w:eastAsiaTheme="minorEastAsia" w:hAnsi="Times New Roman" w:cs="Times New Roman"/>
          <w:sz w:val="24"/>
        </w:rPr>
        <w:footnoteReference w:id="58"/>
      </w:r>
    </w:p>
    <w:p w:rsidR="0060459F" w:rsidRDefault="00F96166">
      <w:pPr>
        <w:spacing w:before="0" w:after="120" w:line="276" w:lineRule="auto"/>
        <w:jc w:val="both"/>
        <w:rPr>
          <w:rStyle w:val="SubtleEmphasis"/>
          <w:rFonts w:ascii="Times New Roman" w:eastAsiaTheme="minorEastAsia" w:hAnsi="Times New Roman" w:cs="Times New Roman"/>
        </w:rPr>
      </w:pPr>
      <w:r>
        <w:rPr>
          <w:rStyle w:val="SubtleEmphasis"/>
          <w:rFonts w:ascii="Times New Roman" w:eastAsiaTheme="minorEastAsia" w:hAnsi="Times New Roman" w:cs="Times New Roman"/>
        </w:rPr>
        <w:lastRenderedPageBreak/>
        <w:t>Individuals arrested by the SSA are brought to trial before the Abu Dhabi Federal Court of Appeal, which, since 2016, has primary jurisdiction over state security crimes.</w:t>
      </w:r>
      <w:r>
        <w:rPr>
          <w:rStyle w:val="FootnoteReference"/>
          <w:rFonts w:ascii="Times New Roman" w:eastAsiaTheme="minorEastAsia" w:hAnsi="Times New Roman" w:cs="Times New Roman"/>
          <w:sz w:val="24"/>
        </w:rPr>
        <w:footnoteReference w:id="59"/>
      </w:r>
      <w:r>
        <w:rPr>
          <w:rStyle w:val="SubtleEmphasis"/>
          <w:rFonts w:ascii="Times New Roman" w:eastAsiaTheme="minorEastAsia" w:hAnsi="Times New Roman" w:cs="Times New Roman"/>
        </w:rPr>
        <w:t xml:space="preserve"> Judges on the Abu Dhabi Federal Court of Appeal are appointed by the Federal Council, upon recommendation of the Minister of Justice, himself appointed by the President of the UAE. The decisions issued by the Abu Dhabi Federal Court of Appeal, moreover, may only be appealed at the State Security Chamber of the Federal Supreme Court, which, since 2016, is the court of last instance for state security and terrorism-related crimes.</w:t>
      </w:r>
      <w:r>
        <w:rPr>
          <w:rStyle w:val="FootnoteReference"/>
          <w:rFonts w:ascii="Times New Roman" w:eastAsiaTheme="minorEastAsia" w:hAnsi="Times New Roman" w:cs="Times New Roman"/>
          <w:sz w:val="24"/>
        </w:rPr>
        <w:footnoteReference w:id="60"/>
      </w:r>
      <w:r>
        <w:rPr>
          <w:rStyle w:val="SubtleEmphasis"/>
          <w:rFonts w:ascii="Times New Roman" w:eastAsiaTheme="minorEastAsia" w:hAnsi="Times New Roman" w:cs="Times New Roman"/>
        </w:rPr>
        <w:t xml:space="preserve"> With regards to the latter court, the Working Group on Arbitrary Detention said that it “considered the criminal proceedings before the Federal Supreme Court and found them to be in violation of the right to a fair trial”.</w:t>
      </w:r>
      <w:r>
        <w:rPr>
          <w:rStyle w:val="FootnoteReference"/>
          <w:rFonts w:ascii="Times New Roman" w:eastAsiaTheme="minorEastAsia" w:hAnsi="Times New Roman" w:cs="Times New Roman"/>
          <w:sz w:val="24"/>
        </w:rPr>
        <w:footnoteReference w:id="61"/>
      </w:r>
      <w:r>
        <w:rPr>
          <w:rStyle w:val="SubtleEmphasis"/>
          <w:rFonts w:ascii="Times New Roman" w:eastAsiaTheme="minorEastAsia" w:hAnsi="Times New Roman" w:cs="Times New Roman"/>
        </w:rPr>
        <w:t xml:space="preserve"> Judges of the Federal Supreme Court are appointed by the president upon approval of the executive bodies.</w:t>
      </w:r>
      <w:r>
        <w:rPr>
          <w:rStyle w:val="FootnoteReference"/>
          <w:rFonts w:ascii="Times New Roman" w:eastAsiaTheme="minorEastAsia" w:hAnsi="Times New Roman" w:cs="Times New Roman"/>
          <w:sz w:val="24"/>
        </w:rPr>
        <w:footnoteReference w:id="62"/>
      </w:r>
      <w:r>
        <w:rPr>
          <w:rStyle w:val="SubtleEmphasis"/>
          <w:rFonts w:ascii="Times New Roman" w:eastAsiaTheme="minorEastAsia" w:hAnsi="Times New Roman" w:cs="Times New Roman"/>
        </w:rPr>
        <w:t xml:space="preserve"> Similarly, the federal public prosecution was established under the direct supervision and control of the Minister of Justice and the appointment of its members is done by the president upon approval of executive bodies.</w:t>
      </w:r>
      <w:r>
        <w:rPr>
          <w:rStyle w:val="FootnoteReference"/>
          <w:rFonts w:ascii="Times New Roman" w:eastAsiaTheme="minorEastAsia" w:hAnsi="Times New Roman" w:cs="Times New Roman"/>
          <w:sz w:val="24"/>
        </w:rPr>
        <w:footnoteReference w:id="63"/>
      </w:r>
      <w:r>
        <w:rPr>
          <w:rStyle w:val="SubtleEmphasis"/>
          <w:rFonts w:ascii="Times New Roman" w:eastAsiaTheme="minorEastAsia" w:hAnsi="Times New Roman" w:cs="Times New Roman"/>
        </w:rPr>
        <w:t xml:space="preserve"> This leads to an overarching control of the SSA and the judiciary by the executive, severely limiting the probability that the latter will hold the former accountable for its violations.</w:t>
      </w:r>
    </w:p>
    <w:p w:rsidR="0060459F" w:rsidRDefault="00F96166">
      <w:pPr>
        <w:spacing w:before="0" w:after="120" w:line="276" w:lineRule="auto"/>
        <w:jc w:val="both"/>
        <w:rPr>
          <w:rStyle w:val="SubtleEmphasis"/>
          <w:rFonts w:ascii="Times New Roman" w:eastAsiaTheme="minorEastAsia" w:hAnsi="Times New Roman" w:cs="Times New Roman"/>
        </w:rPr>
      </w:pPr>
      <w:r>
        <w:rPr>
          <w:rStyle w:val="SubtleEmphasis"/>
          <w:rFonts w:ascii="Times New Roman" w:eastAsiaTheme="minorEastAsia" w:hAnsi="Times New Roman" w:cs="Times New Roman"/>
        </w:rPr>
        <w:t>This overall control of the executive was concerning to the former Special Rapporteur on the independence of judges and lawyers, who noted that the Emirati constitution does not expressly recognise the separation of powers.</w:t>
      </w:r>
      <w:r>
        <w:rPr>
          <w:rStyle w:val="FootnoteReference"/>
          <w:rFonts w:ascii="Times New Roman" w:eastAsiaTheme="minorEastAsia" w:hAnsi="Times New Roman" w:cs="Times New Roman"/>
          <w:sz w:val="24"/>
        </w:rPr>
        <w:footnoteReference w:id="64"/>
      </w:r>
      <w:r>
        <w:rPr>
          <w:rStyle w:val="SubtleEmphasis"/>
          <w:rFonts w:ascii="Times New Roman" w:eastAsiaTheme="minorEastAsia" w:hAnsi="Times New Roman" w:cs="Times New Roman"/>
        </w:rPr>
        <w:t xml:space="preserve"> She also took note of reports and allegations of pressure exerted by members of the executive, prosecutors and other state agents, in particular members of the SSA, over the work of judges in the UAE, expressing special concern over the abovementioned fact “that the judicial system remains under the de facto control of the executive branch of government.”</w:t>
      </w:r>
      <w:r>
        <w:rPr>
          <w:rStyle w:val="FootnoteReference"/>
          <w:rFonts w:ascii="Times New Roman" w:eastAsiaTheme="minorEastAsia" w:hAnsi="Times New Roman" w:cs="Times New Roman"/>
          <w:sz w:val="24"/>
        </w:rPr>
        <w:footnoteReference w:id="65"/>
      </w:r>
    </w:p>
    <w:p w:rsidR="0060459F" w:rsidRDefault="00F96166">
      <w:pPr>
        <w:spacing w:before="0" w:after="120" w:line="276" w:lineRule="auto"/>
        <w:jc w:val="both"/>
        <w:rPr>
          <w:rStyle w:val="SubtleEmphasis"/>
          <w:rFonts w:ascii="Times New Roman" w:eastAsiaTheme="minorEastAsia" w:hAnsi="Times New Roman" w:cs="Times New Roman"/>
        </w:rPr>
      </w:pPr>
      <w:r>
        <w:rPr>
          <w:rStyle w:val="SubtleEmphasis"/>
          <w:rFonts w:ascii="Times New Roman" w:eastAsiaTheme="minorEastAsia" w:hAnsi="Times New Roman" w:cs="Times New Roman"/>
        </w:rPr>
        <w:t>The former Special Rapporteur was also concerned about the fact that the tenure of non-national judges is not guaranteed in the same way as that of national judges, which may make them particularly vulnerable to pressure from any quarter, including from the public prosecution and members of the executive branch, as they may be easily dismissed.</w:t>
      </w:r>
      <w:r>
        <w:rPr>
          <w:rStyle w:val="FootnoteReference"/>
          <w:rFonts w:ascii="Times New Roman" w:eastAsiaTheme="minorEastAsia" w:hAnsi="Times New Roman" w:cs="Times New Roman"/>
          <w:sz w:val="24"/>
        </w:rPr>
        <w:footnoteReference w:id="66"/>
      </w:r>
      <w:r>
        <w:rPr>
          <w:rStyle w:val="SubtleEmphasis"/>
          <w:rFonts w:ascii="Times New Roman" w:eastAsiaTheme="minorEastAsia" w:hAnsi="Times New Roman" w:cs="Times New Roman"/>
        </w:rPr>
        <w:t xml:space="preserve"> This was particularly important in the case of Nasser Bin </w:t>
      </w:r>
      <w:proofErr w:type="spellStart"/>
      <w:r>
        <w:rPr>
          <w:rStyle w:val="SubtleEmphasis"/>
          <w:rFonts w:ascii="Times New Roman" w:eastAsiaTheme="minorEastAsia" w:hAnsi="Times New Roman" w:cs="Times New Roman"/>
        </w:rPr>
        <w:t>Gaith</w:t>
      </w:r>
      <w:proofErr w:type="spellEnd"/>
      <w:r>
        <w:rPr>
          <w:rStyle w:val="SubtleEmphasis"/>
          <w:rFonts w:ascii="Times New Roman" w:eastAsiaTheme="minorEastAsia" w:hAnsi="Times New Roman" w:cs="Times New Roman"/>
        </w:rPr>
        <w:t>, who was tried by an Egyptian judge, despite that the fact that the charges against him concerned his criticism of Egyptian authorities. In this regard, the Working Group on Arbitrary Detention noted that</w:t>
      </w:r>
    </w:p>
    <w:p w:rsidR="0060459F" w:rsidRDefault="00F96166">
      <w:pPr>
        <w:spacing w:before="0" w:after="120" w:line="276" w:lineRule="auto"/>
        <w:ind w:left="567" w:right="565"/>
        <w:jc w:val="both"/>
        <w:rPr>
          <w:rStyle w:val="SubtleEmphasis"/>
          <w:rFonts w:ascii="Times New Roman" w:eastAsiaTheme="minorEastAsia" w:hAnsi="Times New Roman" w:cs="Times New Roman"/>
          <w:sz w:val="22"/>
        </w:rPr>
      </w:pPr>
      <w:r>
        <w:rPr>
          <w:rStyle w:val="SubtleEmphasis"/>
          <w:rFonts w:ascii="Times New Roman" w:eastAsiaTheme="minorEastAsia" w:hAnsi="Times New Roman" w:cs="Times New Roman"/>
          <w:sz w:val="22"/>
        </w:rPr>
        <w:t xml:space="preserve">The total length of the contracts for non-national judges depends on their secondment in their country of origin. As the Egyptian officials can grant or refuse secondment for the annual renewal of such contracts, it is most inappropriate for an Egyptian judge to preside over the case of Mr. Bin </w:t>
      </w:r>
      <w:proofErr w:type="spellStart"/>
      <w:r>
        <w:rPr>
          <w:rStyle w:val="SubtleEmphasis"/>
          <w:rFonts w:ascii="Times New Roman" w:eastAsiaTheme="minorEastAsia" w:hAnsi="Times New Roman" w:cs="Times New Roman"/>
          <w:sz w:val="22"/>
        </w:rPr>
        <w:t>Ghaith</w:t>
      </w:r>
      <w:proofErr w:type="spellEnd"/>
      <w:r>
        <w:rPr>
          <w:rStyle w:val="SubtleEmphasis"/>
          <w:rFonts w:ascii="Times New Roman" w:eastAsiaTheme="minorEastAsia" w:hAnsi="Times New Roman" w:cs="Times New Roman"/>
          <w:sz w:val="22"/>
        </w:rPr>
        <w:t xml:space="preserve">, who stands accused of criticizing the </w:t>
      </w:r>
      <w:proofErr w:type="spellStart"/>
      <w:r>
        <w:rPr>
          <w:rStyle w:val="SubtleEmphasis"/>
          <w:rFonts w:ascii="Times New Roman" w:eastAsiaTheme="minorEastAsia" w:hAnsi="Times New Roman" w:cs="Times New Roman"/>
          <w:sz w:val="22"/>
        </w:rPr>
        <w:t>Rabaa</w:t>
      </w:r>
      <w:proofErr w:type="spellEnd"/>
      <w:r>
        <w:rPr>
          <w:rStyle w:val="SubtleEmphasis"/>
          <w:rFonts w:ascii="Times New Roman" w:eastAsiaTheme="minorEastAsia" w:hAnsi="Times New Roman" w:cs="Times New Roman"/>
          <w:sz w:val="22"/>
        </w:rPr>
        <w:t xml:space="preserve"> massacre perpetrated by the Egyptian authorities. The Working Group thus considers that Mr. Bin </w:t>
      </w:r>
      <w:proofErr w:type="spellStart"/>
      <w:r>
        <w:rPr>
          <w:rStyle w:val="SubtleEmphasis"/>
          <w:rFonts w:ascii="Times New Roman" w:eastAsiaTheme="minorEastAsia" w:hAnsi="Times New Roman" w:cs="Times New Roman"/>
          <w:sz w:val="22"/>
        </w:rPr>
        <w:lastRenderedPageBreak/>
        <w:t>Ghaith</w:t>
      </w:r>
      <w:proofErr w:type="spellEnd"/>
      <w:r>
        <w:rPr>
          <w:rStyle w:val="SubtleEmphasis"/>
          <w:rFonts w:ascii="Times New Roman" w:eastAsiaTheme="minorEastAsia" w:hAnsi="Times New Roman" w:cs="Times New Roman"/>
          <w:sz w:val="22"/>
        </w:rPr>
        <w:t xml:space="preserve"> did not receive a fair hearing by an independent and impartial tribunal in violation of article 10 of the Universal Declaration of Human Rights.</w:t>
      </w:r>
      <w:r>
        <w:rPr>
          <w:rStyle w:val="FootnoteReference"/>
          <w:rFonts w:ascii="Times New Roman" w:eastAsiaTheme="minorEastAsia" w:hAnsi="Times New Roman" w:cs="Times New Roman"/>
        </w:rPr>
        <w:footnoteReference w:id="67"/>
      </w:r>
    </w:p>
    <w:p w:rsidR="0060459F" w:rsidRDefault="00F96166">
      <w:pPr>
        <w:spacing w:before="0" w:after="120" w:line="276" w:lineRule="auto"/>
        <w:jc w:val="both"/>
        <w:rPr>
          <w:rStyle w:val="SubtleEmphasis"/>
          <w:rFonts w:ascii="Times New Roman" w:eastAsiaTheme="minorEastAsia" w:hAnsi="Times New Roman" w:cs="Times New Roman"/>
        </w:rPr>
      </w:pPr>
      <w:r>
        <w:rPr>
          <w:rStyle w:val="SubtleEmphasis"/>
          <w:rFonts w:ascii="Times New Roman" w:eastAsiaTheme="minorEastAsia" w:hAnsi="Times New Roman" w:cs="Times New Roman"/>
        </w:rPr>
        <w:t>Similar concerns were expressed by the working group in the case of Jordanian brothers Abdallah Abu Baker and Yasser Abu Baker, regarding which it was noted that their “trial and conviction by an Egyptian judge, contracted annually, also casts serious doubt on the independence and impartiality of the Federal Court of Appeal. […] According to principle 12 of the Basic Principles on the Independence of the Judiciary, judges should have guaranteed tenure until a mandatory retirement age or the expiry of their term of office, where such exists.”</w:t>
      </w:r>
      <w:r>
        <w:rPr>
          <w:rStyle w:val="FootnoteReference"/>
          <w:rFonts w:ascii="Times New Roman" w:eastAsiaTheme="minorEastAsia" w:hAnsi="Times New Roman" w:cs="Times New Roman"/>
          <w:sz w:val="24"/>
        </w:rPr>
        <w:footnoteReference w:id="68"/>
      </w:r>
    </w:p>
    <w:p w:rsidR="0060459F" w:rsidRDefault="00F96166">
      <w:pPr>
        <w:pStyle w:val="Title"/>
        <w:spacing w:line="276" w:lineRule="auto"/>
        <w:rPr>
          <w:rFonts w:ascii="Times New Roman" w:hAnsi="Times New Roman" w:cs="Times New Roman"/>
        </w:rPr>
      </w:pPr>
      <w:r>
        <w:rPr>
          <w:rFonts w:ascii="Times New Roman" w:eastAsiaTheme="minorEastAsia" w:hAnsi="Times New Roman" w:cs="Times New Roman"/>
        </w:rPr>
        <w:t>Recommendations:</w:t>
      </w:r>
    </w:p>
    <w:p w:rsidR="0060459F" w:rsidRDefault="00F96166">
      <w:pPr>
        <w:pStyle w:val="ListParagraph"/>
        <w:numPr>
          <w:ilvl w:val="0"/>
          <w:numId w:val="5"/>
        </w:numPr>
        <w:spacing w:line="276" w:lineRule="auto"/>
        <w:jc w:val="both"/>
        <w:rPr>
          <w:rFonts w:ascii="Times New Roman" w:hAnsi="Times New Roman" w:cs="Times New Roman"/>
          <w:color w:val="543192"/>
        </w:rPr>
      </w:pPr>
      <w:r>
        <w:rPr>
          <w:rFonts w:ascii="Times New Roman" w:eastAsiaTheme="minorEastAsia" w:hAnsi="Times New Roman" w:cs="Times New Roman"/>
          <w:color w:val="543192"/>
        </w:rPr>
        <w:t>Amend the Emirati constitution to include the separation of power;</w:t>
      </w:r>
    </w:p>
    <w:p w:rsidR="0060459F" w:rsidRDefault="00F96166">
      <w:pPr>
        <w:pStyle w:val="ListParagraph"/>
        <w:numPr>
          <w:ilvl w:val="0"/>
          <w:numId w:val="5"/>
        </w:numPr>
        <w:spacing w:line="276" w:lineRule="auto"/>
        <w:jc w:val="both"/>
        <w:rPr>
          <w:rFonts w:ascii="Times New Roman" w:hAnsi="Times New Roman" w:cs="Times New Roman"/>
          <w:color w:val="543192"/>
        </w:rPr>
      </w:pPr>
      <w:r>
        <w:rPr>
          <w:rFonts w:ascii="Times New Roman" w:eastAsiaTheme="minorEastAsia" w:hAnsi="Times New Roman" w:cs="Times New Roman"/>
          <w:color w:val="543192"/>
        </w:rPr>
        <w:t>Amend Emirati legislation to ensure federal courts, the federal prosecution and the state security apparatus are not under the direct control of the executive;</w:t>
      </w:r>
    </w:p>
    <w:p w:rsidR="0060459F" w:rsidRDefault="00F96166">
      <w:pPr>
        <w:pStyle w:val="ListParagraph"/>
        <w:numPr>
          <w:ilvl w:val="0"/>
          <w:numId w:val="5"/>
        </w:numPr>
        <w:spacing w:line="276" w:lineRule="auto"/>
        <w:jc w:val="both"/>
        <w:rPr>
          <w:rStyle w:val="SubtleEmphasis"/>
          <w:rFonts w:ascii="Times New Roman" w:hAnsi="Times New Roman" w:cs="Times New Roman"/>
          <w:color w:val="543192"/>
          <w:sz w:val="22"/>
        </w:rPr>
      </w:pPr>
      <w:r>
        <w:rPr>
          <w:rStyle w:val="SubtleEmphasis"/>
          <w:rFonts w:ascii="Times New Roman" w:hAnsi="Times New Roman" w:cs="Times New Roman"/>
          <w:color w:val="543192"/>
          <w:sz w:val="22"/>
        </w:rPr>
        <w:t>Grant independent organisations access to detention centres;</w:t>
      </w:r>
    </w:p>
    <w:p w:rsidR="0060459F" w:rsidRDefault="00F96166">
      <w:pPr>
        <w:pStyle w:val="ListParagraph"/>
        <w:numPr>
          <w:ilvl w:val="0"/>
          <w:numId w:val="5"/>
        </w:numPr>
        <w:spacing w:line="276" w:lineRule="auto"/>
        <w:jc w:val="both"/>
        <w:rPr>
          <w:rStyle w:val="SubtleEmphasis"/>
          <w:rFonts w:ascii="Times New Roman" w:hAnsi="Times New Roman" w:cs="Times New Roman"/>
          <w:color w:val="543192"/>
          <w:sz w:val="22"/>
        </w:rPr>
      </w:pPr>
      <w:r>
        <w:rPr>
          <w:rStyle w:val="SubtleEmphasis"/>
          <w:rFonts w:ascii="Times New Roman" w:hAnsi="Times New Roman" w:cs="Times New Roman"/>
          <w:color w:val="543192"/>
          <w:sz w:val="22"/>
        </w:rPr>
        <w:t>Ensure the independence of the National Commission for Human Rights, including by changing its composition to allow greater diversity and representation among its members.</w:t>
      </w:r>
    </w:p>
    <w:p w:rsidR="0060459F" w:rsidRDefault="00F96166">
      <w:pPr>
        <w:pStyle w:val="ListParagraph"/>
        <w:numPr>
          <w:ilvl w:val="0"/>
          <w:numId w:val="5"/>
        </w:numPr>
        <w:spacing w:line="276" w:lineRule="auto"/>
        <w:jc w:val="both"/>
        <w:rPr>
          <w:rStyle w:val="SubtleEmphasis"/>
          <w:rFonts w:ascii="Times New Roman" w:hAnsi="Times New Roman" w:cs="Times New Roman"/>
          <w:color w:val="543192"/>
          <w:sz w:val="22"/>
        </w:rPr>
      </w:pPr>
      <w:r>
        <w:rPr>
          <w:rStyle w:val="SubtleEmphasis"/>
          <w:rFonts w:ascii="Times New Roman" w:hAnsi="Times New Roman" w:cs="Times New Roman"/>
          <w:color w:val="543192"/>
          <w:sz w:val="22"/>
        </w:rPr>
        <w:t>Investigate alleged cases of torture and hold perpetrators into account.</w:t>
      </w:r>
    </w:p>
    <w:p w:rsidR="0060459F" w:rsidRDefault="00F96166">
      <w:pPr>
        <w:pStyle w:val="ListParagraph"/>
        <w:numPr>
          <w:ilvl w:val="0"/>
          <w:numId w:val="5"/>
        </w:numPr>
        <w:spacing w:line="276" w:lineRule="auto"/>
        <w:jc w:val="both"/>
        <w:rPr>
          <w:rStyle w:val="SubtleEmphasis"/>
          <w:rFonts w:ascii="Times New Roman" w:hAnsi="Times New Roman" w:cs="Times New Roman"/>
          <w:color w:val="543192"/>
          <w:sz w:val="22"/>
        </w:rPr>
      </w:pPr>
      <w:r>
        <w:rPr>
          <w:rStyle w:val="SubtleEmphasis"/>
          <w:rFonts w:ascii="Times New Roman" w:hAnsi="Times New Roman" w:cs="Times New Roman"/>
          <w:color w:val="543192"/>
          <w:sz w:val="22"/>
        </w:rPr>
        <w:t>Create a safe environment for victims to make complaints without fearing reprisals.</w:t>
      </w:r>
    </w:p>
    <w:p w:rsidR="0060459F" w:rsidRDefault="0060459F">
      <w:pPr>
        <w:rPr>
          <w:rFonts w:ascii="Times New Roman" w:hAnsi="Times New Roman" w:cs="Times New Roman"/>
        </w:rPr>
      </w:pPr>
    </w:p>
    <w:p w:rsidR="0060459F" w:rsidRDefault="00F96166">
      <w:pPr>
        <w:pStyle w:val="Heading1"/>
        <w:jc w:val="both"/>
        <w:rPr>
          <w:rFonts w:ascii="Times New Roman" w:hAnsi="Times New Roman" w:cs="Times New Roman"/>
        </w:rPr>
      </w:pPr>
      <w:bookmarkStart w:id="16" w:name="_Toc103273049"/>
      <w:r>
        <w:rPr>
          <w:rFonts w:ascii="Times New Roman" w:eastAsiaTheme="minorEastAsia" w:hAnsi="Times New Roman" w:cs="Times New Roman"/>
        </w:rPr>
        <w:t>Violations in the context of the fight against terrorism</w:t>
      </w:r>
      <w:bookmarkEnd w:id="16"/>
    </w:p>
    <w:p w:rsidR="0060459F" w:rsidRDefault="00F96166">
      <w:pPr>
        <w:pStyle w:val="Heading2"/>
        <w:rPr>
          <w:rFonts w:ascii="Times New Roman" w:hAnsi="Times New Roman" w:cs="Times New Roman"/>
        </w:rPr>
      </w:pPr>
      <w:bookmarkStart w:id="17" w:name="_Toc103273050"/>
      <w:r>
        <w:rPr>
          <w:rFonts w:ascii="Times New Roman" w:eastAsiaTheme="minorEastAsia" w:hAnsi="Times New Roman" w:cs="Times New Roman"/>
        </w:rPr>
        <w:t>A flawed legal framework</w:t>
      </w:r>
      <w:bookmarkEnd w:id="17"/>
    </w:p>
    <w:p w:rsidR="0060459F" w:rsidRDefault="00F96166">
      <w:pPr>
        <w:jc w:val="both"/>
        <w:rPr>
          <w:rStyle w:val="SubtleEmphasis"/>
          <w:rFonts w:ascii="Times New Roman" w:hAnsi="Times New Roman" w:cs="Times New Roman"/>
        </w:rPr>
      </w:pPr>
      <w:r>
        <w:rPr>
          <w:rStyle w:val="SubtleEmphasis"/>
          <w:rFonts w:ascii="Times New Roman" w:hAnsi="Times New Roman" w:cs="Times New Roman"/>
        </w:rPr>
        <w:t>In many cases documented by MENA Rights Group (detailed in annex 1), individuals were charged under the Counter-Terrorism Law for non-violent actions, often linked to their exercise of fundamental freedoms. They were all tortured after their arrest. Thus, this section discusses the flawed legal framework that allows the arrest, torture and prosecution of individuals under the Counter-Terrorism Law.</w:t>
      </w:r>
    </w:p>
    <w:p w:rsidR="0060459F" w:rsidRDefault="00F96166">
      <w:pPr>
        <w:jc w:val="both"/>
        <w:rPr>
          <w:rStyle w:val="SubtleEmphasis"/>
          <w:rFonts w:ascii="Times New Roman" w:hAnsi="Times New Roman" w:cs="Times New Roman"/>
        </w:rPr>
      </w:pPr>
      <w:r>
        <w:rPr>
          <w:rStyle w:val="SubtleEmphasis"/>
          <w:rFonts w:ascii="Times New Roman" w:hAnsi="Times New Roman" w:cs="Times New Roman"/>
        </w:rPr>
        <w:t xml:space="preserve">After her visit to the UAE, the former Special Rapporteur on the independence of judges and lawyers noted that Emirati Federal Law No. 7 of 2014 on Combating Terrorism (Counter-Terrorism Law) contains vague and broad definitions of criminal offences, in contravention of </w:t>
      </w:r>
      <w:r>
        <w:rPr>
          <w:rStyle w:val="SubtleEmphasis"/>
          <w:rFonts w:ascii="Times New Roman" w:hAnsi="Times New Roman" w:cs="Times New Roman"/>
        </w:rPr>
        <w:lastRenderedPageBreak/>
        <w:t>international human rights standards and defying the principle of legality, thus opening the door to arbitrary interpretation and abuse.</w:t>
      </w:r>
      <w:r>
        <w:rPr>
          <w:rStyle w:val="FootnoteReference"/>
          <w:rFonts w:ascii="Times New Roman" w:hAnsi="Times New Roman" w:cs="Times New Roman"/>
          <w:sz w:val="24"/>
        </w:rPr>
        <w:footnoteReference w:id="69"/>
      </w:r>
    </w:p>
    <w:p w:rsidR="0060459F" w:rsidRDefault="00F96166">
      <w:pPr>
        <w:jc w:val="both"/>
        <w:rPr>
          <w:rStyle w:val="SubtleEmphasis"/>
          <w:rFonts w:ascii="Times New Roman" w:hAnsi="Times New Roman" w:cs="Times New Roman"/>
        </w:rPr>
      </w:pPr>
      <w:r>
        <w:rPr>
          <w:rStyle w:val="SubtleEmphasis"/>
          <w:rFonts w:ascii="Times New Roman" w:hAnsi="Times New Roman" w:cs="Times New Roman"/>
        </w:rPr>
        <w:t>The same concerns were echoed by multiple special mandate holders in 2020, who feared the law’s overly broad, imprecise and ambiguous wording may “have serious effects on the enjoyment of human rights and fundamental liberties in the United Arab Emirates (UAE).” They further expressed concern “about the impact it may have on freedom of opinion and expression and the freedom to receive and communicate information and ideas, the freedoms of peaceful assembly and of association, and the prohibition of arbitrary detention.”</w:t>
      </w:r>
      <w:r>
        <w:rPr>
          <w:rStyle w:val="FootnoteReference"/>
          <w:rFonts w:ascii="Times New Roman" w:hAnsi="Times New Roman" w:cs="Times New Roman"/>
          <w:sz w:val="24"/>
        </w:rPr>
        <w:footnoteReference w:id="70"/>
      </w:r>
    </w:p>
    <w:p w:rsidR="0060459F" w:rsidRDefault="00F96166">
      <w:pPr>
        <w:jc w:val="both"/>
        <w:rPr>
          <w:rStyle w:val="SubtleEmphasis"/>
          <w:rFonts w:ascii="Times New Roman" w:hAnsi="Times New Roman" w:cs="Times New Roman"/>
        </w:rPr>
      </w:pPr>
      <w:r>
        <w:rPr>
          <w:rStyle w:val="SubtleEmphasis"/>
          <w:rFonts w:ascii="Times New Roman" w:hAnsi="Times New Roman" w:cs="Times New Roman"/>
        </w:rPr>
        <w:t xml:space="preserve">For example, in accordance with article 1 of the Counter-Terrorism Law, a “terrorist offence” is defined as “every criminal action or inaction criminalised under the [Counter-Terrorism Law] and every action or inaction constituting a felony or </w:t>
      </w:r>
      <w:proofErr w:type="spellStart"/>
      <w:r>
        <w:rPr>
          <w:rStyle w:val="SubtleEmphasis"/>
          <w:rFonts w:ascii="Times New Roman" w:hAnsi="Times New Roman" w:cs="Times New Roman"/>
        </w:rPr>
        <w:t>misdemeanor</w:t>
      </w:r>
      <w:proofErr w:type="spellEnd"/>
      <w:r>
        <w:rPr>
          <w:rStyle w:val="SubtleEmphasis"/>
          <w:rFonts w:ascii="Times New Roman" w:hAnsi="Times New Roman" w:cs="Times New Roman"/>
        </w:rPr>
        <w:t xml:space="preserve"> referred to in any other law, if committed for terrorist purpose.”</w:t>
      </w:r>
    </w:p>
    <w:p w:rsidR="0060459F" w:rsidRDefault="00F96166">
      <w:pPr>
        <w:jc w:val="both"/>
        <w:rPr>
          <w:rStyle w:val="SubtleEmphasis"/>
          <w:rFonts w:ascii="Times New Roman" w:hAnsi="Times New Roman" w:cs="Times New Roman"/>
        </w:rPr>
      </w:pPr>
      <w:r>
        <w:rPr>
          <w:rStyle w:val="SubtleEmphasis"/>
          <w:rFonts w:ascii="Times New Roman" w:hAnsi="Times New Roman" w:cs="Times New Roman"/>
        </w:rPr>
        <w:t>As noted by the special mandate holders, this provision is problematic as it does not define terrorism itself, but instead refers to the term terrorist purpose, the definition of which then refers to terrorist result. This means that these definitions “essentially remain undefined, as one definition refers or defers to another without clearly providing a concrete and constrained definition of the activities they encompass”.</w:t>
      </w:r>
      <w:r>
        <w:rPr>
          <w:rStyle w:val="FootnoteReference"/>
          <w:rFonts w:ascii="Times New Roman" w:hAnsi="Times New Roman" w:cs="Times New Roman"/>
          <w:sz w:val="24"/>
        </w:rPr>
        <w:footnoteReference w:id="71"/>
      </w:r>
    </w:p>
    <w:p w:rsidR="0060459F" w:rsidRDefault="00F96166">
      <w:pPr>
        <w:jc w:val="both"/>
        <w:rPr>
          <w:rStyle w:val="SubtleEmphasis"/>
          <w:rFonts w:ascii="Times New Roman" w:hAnsi="Times New Roman" w:cs="Times New Roman"/>
        </w:rPr>
      </w:pPr>
      <w:r>
        <w:rPr>
          <w:rStyle w:val="SubtleEmphasis"/>
          <w:rFonts w:ascii="Times New Roman" w:hAnsi="Times New Roman" w:cs="Times New Roman"/>
        </w:rPr>
        <w:t>Another example of a problematic provision is article 14 of the Counter-Terrorism Law, which considers as a terrorist offence any act which threatens “the State’s stability, safety, unity, sovereignty or security, which contradicts the basic principles underlying the governance system of the State.” Similarly, article 15 states that “temporary imprisonment shall be imposed on whoever declares, by any means of communication, his opposition to the State, or to the ruling system therein or his non-allegiance to its leadership.” Again, these provisions are overly broad and include non-violent conduct, allowing for the conflation of any public criticism, or opposition, with terrorism. In this regard, the United Nations High Commissioner for Human Rights has previously emphasised the risk of human rights violations when terms such as “extremism” are used to cover non-violent activity, asserting that “States should ensure that the focus of their measures is on actual conduct, rather than mere opinions or beliefs.”</w:t>
      </w:r>
      <w:r>
        <w:rPr>
          <w:rStyle w:val="FootnoteReference"/>
          <w:rFonts w:ascii="Times New Roman" w:hAnsi="Times New Roman" w:cs="Times New Roman"/>
          <w:sz w:val="24"/>
        </w:rPr>
        <w:footnoteReference w:id="72"/>
      </w:r>
    </w:p>
    <w:p w:rsidR="0060459F" w:rsidRDefault="00F96166">
      <w:pPr>
        <w:jc w:val="both"/>
        <w:rPr>
          <w:rStyle w:val="SubtleEmphasis"/>
          <w:rFonts w:ascii="Times New Roman" w:hAnsi="Times New Roman" w:cs="Times New Roman"/>
        </w:rPr>
      </w:pPr>
      <w:r>
        <w:rPr>
          <w:rStyle w:val="SubtleEmphasis"/>
          <w:rFonts w:ascii="Times New Roman" w:hAnsi="Times New Roman" w:cs="Times New Roman"/>
        </w:rPr>
        <w:t xml:space="preserve">Chapter 2 of the Counter-Terrorism Law then goes on to set out a range of offences in relation to terrorist organisations. This is particularly concerning as the definition of “terrorist </w:t>
      </w:r>
      <w:r>
        <w:rPr>
          <w:rStyle w:val="SubtleEmphasis"/>
          <w:rFonts w:ascii="Times New Roman" w:hAnsi="Times New Roman" w:cs="Times New Roman"/>
        </w:rPr>
        <w:lastRenderedPageBreak/>
        <w:t>organisation” relies on the vague and broad definition of “terrorist offence”.</w:t>
      </w:r>
      <w:r>
        <w:rPr>
          <w:rStyle w:val="FootnoteReference"/>
          <w:rFonts w:ascii="Times New Roman" w:hAnsi="Times New Roman" w:cs="Times New Roman"/>
          <w:sz w:val="24"/>
        </w:rPr>
        <w:footnoteReference w:id="73"/>
      </w:r>
      <w:r>
        <w:rPr>
          <w:rStyle w:val="SubtleEmphasis"/>
          <w:rFonts w:ascii="Times New Roman" w:hAnsi="Times New Roman" w:cs="Times New Roman"/>
        </w:rPr>
        <w:t xml:space="preserve"> In light of the fact that a terrorist offence could entail “threatening the unity of the State” in the form of peaceful criticism or political activism, the Counter-Terrorism Law subsequently qualifies as a “terrorist organisation” any group of persons assembling for the purpose of advocating for change, establishing an opposition party, or simply constituting a group of people with ideologies contrary to the status quo. The breadth and vagueness of the definition of “terrorist organisation” is rendered even more concerning due to the severity of the penalties, which include capital punishment or life imprisonment for anyone who establishes a terrorist organisation,</w:t>
      </w:r>
      <w:r>
        <w:rPr>
          <w:rStyle w:val="FootnoteReference"/>
          <w:rFonts w:ascii="Times New Roman" w:hAnsi="Times New Roman" w:cs="Times New Roman"/>
          <w:sz w:val="24"/>
        </w:rPr>
        <w:footnoteReference w:id="74"/>
      </w:r>
      <w:r>
        <w:rPr>
          <w:rStyle w:val="SubtleEmphasis"/>
          <w:rFonts w:ascii="Times New Roman" w:hAnsi="Times New Roman" w:cs="Times New Roman"/>
        </w:rPr>
        <w:t xml:space="preserve"> and imprisonment for joining a terrorist organisation.</w:t>
      </w:r>
      <w:r>
        <w:rPr>
          <w:rStyle w:val="FootnoteReference"/>
          <w:rFonts w:ascii="Times New Roman" w:hAnsi="Times New Roman" w:cs="Times New Roman"/>
          <w:sz w:val="24"/>
        </w:rPr>
        <w:footnoteReference w:id="75"/>
      </w:r>
    </w:p>
    <w:p w:rsidR="0060459F" w:rsidRDefault="00F96166">
      <w:pPr>
        <w:jc w:val="both"/>
        <w:rPr>
          <w:rStyle w:val="SubtleEmphasis"/>
          <w:rFonts w:ascii="Times New Roman" w:hAnsi="Times New Roman" w:cs="Times New Roman"/>
        </w:rPr>
      </w:pPr>
      <w:r>
        <w:rPr>
          <w:rStyle w:val="SubtleEmphasis"/>
          <w:rFonts w:ascii="Times New Roman" w:hAnsi="Times New Roman" w:cs="Times New Roman"/>
        </w:rPr>
        <w:t xml:space="preserve">Indeed, loose definitions allowed </w:t>
      </w:r>
      <w:r>
        <w:rPr>
          <w:rStyle w:val="SubtleEmphasis"/>
          <w:rFonts w:ascii="Times New Roman" w:eastAsiaTheme="minorEastAsia" w:hAnsi="Times New Roman" w:cs="Times New Roman"/>
        </w:rPr>
        <w:t>the state to add four individuals linked to the UAE94 mass trial case to the country’s terrorist list due to their political activism.</w:t>
      </w:r>
      <w:r>
        <w:rPr>
          <w:rStyle w:val="FootnoteReference"/>
          <w:rFonts w:ascii="Times New Roman" w:eastAsiaTheme="minorEastAsia" w:hAnsi="Times New Roman" w:cs="Times New Roman"/>
          <w:sz w:val="24"/>
        </w:rPr>
        <w:footnoteReference w:id="76"/>
      </w:r>
      <w:r>
        <w:rPr>
          <w:rStyle w:val="SubtleEmphasis"/>
          <w:rFonts w:ascii="Times New Roman" w:eastAsiaTheme="minorEastAsia" w:hAnsi="Times New Roman" w:cs="Times New Roman"/>
        </w:rPr>
        <w:t xml:space="preserve"> These are Hamad Al </w:t>
      </w:r>
      <w:proofErr w:type="spellStart"/>
      <w:r>
        <w:rPr>
          <w:rStyle w:val="SubtleEmphasis"/>
          <w:rFonts w:ascii="Times New Roman" w:eastAsiaTheme="minorEastAsia" w:hAnsi="Times New Roman" w:cs="Times New Roman"/>
        </w:rPr>
        <w:t>Shamsi</w:t>
      </w:r>
      <w:proofErr w:type="spellEnd"/>
      <w:r>
        <w:rPr>
          <w:rStyle w:val="SubtleEmphasis"/>
          <w:rFonts w:ascii="Times New Roman" w:eastAsiaTheme="minorEastAsia" w:hAnsi="Times New Roman" w:cs="Times New Roman"/>
        </w:rPr>
        <w:t xml:space="preserve">, Ahmed Al </w:t>
      </w:r>
      <w:proofErr w:type="spellStart"/>
      <w:r>
        <w:rPr>
          <w:rStyle w:val="SubtleEmphasis"/>
          <w:rFonts w:ascii="Times New Roman" w:eastAsiaTheme="minorEastAsia" w:hAnsi="Times New Roman" w:cs="Times New Roman"/>
        </w:rPr>
        <w:t>Nuaimi</w:t>
      </w:r>
      <w:proofErr w:type="spellEnd"/>
      <w:r>
        <w:rPr>
          <w:rStyle w:val="SubtleEmphasis"/>
          <w:rFonts w:ascii="Times New Roman" w:eastAsiaTheme="minorEastAsia" w:hAnsi="Times New Roman" w:cs="Times New Roman"/>
        </w:rPr>
        <w:t xml:space="preserve">, Mohammed Al </w:t>
      </w:r>
      <w:proofErr w:type="spellStart"/>
      <w:r>
        <w:rPr>
          <w:rStyle w:val="SubtleEmphasis"/>
          <w:rFonts w:ascii="Times New Roman" w:eastAsiaTheme="minorEastAsia" w:hAnsi="Times New Roman" w:cs="Times New Roman"/>
        </w:rPr>
        <w:t>Zaabi</w:t>
      </w:r>
      <w:proofErr w:type="spellEnd"/>
      <w:r>
        <w:rPr>
          <w:rStyle w:val="SubtleEmphasis"/>
          <w:rFonts w:ascii="Times New Roman" w:eastAsiaTheme="minorEastAsia" w:hAnsi="Times New Roman" w:cs="Times New Roman"/>
        </w:rPr>
        <w:t xml:space="preserve">, and Saeed Al </w:t>
      </w:r>
      <w:proofErr w:type="spellStart"/>
      <w:r>
        <w:rPr>
          <w:rStyle w:val="SubtleEmphasis"/>
          <w:rFonts w:ascii="Times New Roman" w:eastAsiaTheme="minorEastAsia" w:hAnsi="Times New Roman" w:cs="Times New Roman"/>
        </w:rPr>
        <w:t>Tenaiji</w:t>
      </w:r>
      <w:proofErr w:type="spellEnd"/>
      <w:r>
        <w:rPr>
          <w:rStyle w:val="SubtleEmphasis"/>
          <w:rFonts w:ascii="Times New Roman" w:eastAsiaTheme="minorEastAsia" w:hAnsi="Times New Roman" w:cs="Times New Roman"/>
        </w:rPr>
        <w:t>, who were added to the UAE’s national terrorism list in September 2021, by ministerial resolution No. 83. Their inclusion on a terrorist list was addressed in a UN communication, in which UN special mandate holders expressed concern over the fact that the listing “seem to be in relation to their legitimate human rights activities.”</w:t>
      </w:r>
      <w:r>
        <w:rPr>
          <w:rStyle w:val="FootnoteReference"/>
          <w:rFonts w:ascii="Times New Roman" w:eastAsiaTheme="minorEastAsia" w:hAnsi="Times New Roman" w:cs="Times New Roman"/>
          <w:sz w:val="24"/>
        </w:rPr>
        <w:t xml:space="preserve"> </w:t>
      </w:r>
      <w:r>
        <w:rPr>
          <w:rStyle w:val="FootnoteReference"/>
          <w:rFonts w:ascii="Times New Roman" w:eastAsiaTheme="minorEastAsia" w:hAnsi="Times New Roman" w:cs="Times New Roman"/>
          <w:sz w:val="24"/>
        </w:rPr>
        <w:footnoteReference w:id="77"/>
      </w:r>
      <w:r>
        <w:rPr>
          <w:rStyle w:val="SubtleEmphasis"/>
          <w:rFonts w:ascii="Times New Roman" w:eastAsiaTheme="minorEastAsia" w:hAnsi="Times New Roman" w:cs="Times New Roman"/>
        </w:rPr>
        <w:t xml:space="preserve"> They are currently living in exile. </w:t>
      </w:r>
    </w:p>
    <w:p w:rsidR="0060459F" w:rsidRDefault="00F96166">
      <w:pPr>
        <w:pStyle w:val="Heading2"/>
        <w:rPr>
          <w:rFonts w:ascii="Times New Roman" w:hAnsi="Times New Roman" w:cs="Times New Roman"/>
        </w:rPr>
      </w:pPr>
      <w:bookmarkStart w:id="18" w:name="_Toc103273051"/>
      <w:r>
        <w:rPr>
          <w:rFonts w:ascii="Times New Roman" w:eastAsiaTheme="minorEastAsia" w:hAnsi="Times New Roman" w:cs="Times New Roman"/>
        </w:rPr>
        <w:t xml:space="preserve">Administrative detention and the use of </w:t>
      </w:r>
      <w:proofErr w:type="spellStart"/>
      <w:r>
        <w:rPr>
          <w:rFonts w:ascii="Times New Roman" w:eastAsiaTheme="minorEastAsia" w:hAnsi="Times New Roman" w:cs="Times New Roman"/>
          <w:i/>
          <w:iCs/>
        </w:rPr>
        <w:t>Munasaha</w:t>
      </w:r>
      <w:proofErr w:type="spellEnd"/>
      <w:r>
        <w:rPr>
          <w:rFonts w:ascii="Times New Roman" w:eastAsiaTheme="minorEastAsia" w:hAnsi="Times New Roman" w:cs="Times New Roman"/>
          <w:i/>
          <w:iCs/>
        </w:rPr>
        <w:t xml:space="preserve"> </w:t>
      </w:r>
      <w:r>
        <w:rPr>
          <w:rFonts w:ascii="Times New Roman" w:eastAsiaTheme="minorEastAsia" w:hAnsi="Times New Roman" w:cs="Times New Roman"/>
        </w:rPr>
        <w:t>centres</w:t>
      </w:r>
      <w:bookmarkEnd w:id="18"/>
    </w:p>
    <w:p w:rsidR="0060459F" w:rsidRDefault="00F96166">
      <w:pPr>
        <w:pStyle w:val="Corps"/>
        <w:spacing w:after="120" w:line="276" w:lineRule="auto"/>
        <w:jc w:val="both"/>
        <w:rPr>
          <w:rStyle w:val="SubtleEmphasis"/>
          <w:rFonts w:ascii="Times New Roman" w:hAnsi="Times New Roman" w:cs="Times New Roman"/>
          <w:lang w:val="en-GB"/>
        </w:rPr>
      </w:pPr>
      <w:r>
        <w:rPr>
          <w:rStyle w:val="SubtleEmphasis"/>
          <w:rFonts w:ascii="Times New Roman" w:eastAsiaTheme="minorEastAsia" w:hAnsi="Times New Roman" w:cs="Times New Roman"/>
          <w:lang w:val="en-GB"/>
        </w:rPr>
        <w:t xml:space="preserve">Apart from the flaws identified above, another worrying development coming from the </w:t>
      </w:r>
      <w:r>
        <w:rPr>
          <w:rStyle w:val="SubtleEmphasis"/>
          <w:rFonts w:ascii="Times New Roman" w:hAnsi="Times New Roman" w:cs="Times New Roman"/>
          <w:lang w:val="en-GB"/>
        </w:rPr>
        <w:t xml:space="preserve">Counter-Terrorism Law is the creation of </w:t>
      </w:r>
      <w:proofErr w:type="spellStart"/>
      <w:r>
        <w:rPr>
          <w:rStyle w:val="SubtleEmphasis"/>
          <w:rFonts w:ascii="Times New Roman" w:hAnsi="Times New Roman" w:cs="Times New Roman"/>
          <w:lang w:val="en-GB"/>
        </w:rPr>
        <w:t>Munasaha</w:t>
      </w:r>
      <w:proofErr w:type="spellEnd"/>
      <w:r>
        <w:rPr>
          <w:rStyle w:val="SubtleEmphasis"/>
          <w:rFonts w:ascii="Times New Roman" w:hAnsi="Times New Roman" w:cs="Times New Roman"/>
          <w:lang w:val="en-GB"/>
        </w:rPr>
        <w:t xml:space="preserve"> centres, which, according to article 1, are “[a]</w:t>
      </w:r>
      <w:proofErr w:type="spellStart"/>
      <w:r>
        <w:rPr>
          <w:rStyle w:val="SubtleEmphasis"/>
          <w:rFonts w:ascii="Times New Roman" w:hAnsi="Times New Roman" w:cs="Times New Roman"/>
          <w:lang w:val="en-GB"/>
        </w:rPr>
        <w:t>dministrative</w:t>
      </w:r>
      <w:proofErr w:type="spellEnd"/>
      <w:r>
        <w:rPr>
          <w:rStyle w:val="SubtleEmphasis"/>
          <w:rFonts w:ascii="Times New Roman" w:hAnsi="Times New Roman" w:cs="Times New Roman"/>
          <w:lang w:val="en-GB"/>
        </w:rPr>
        <w:t xml:space="preserve"> units aiming at the enlightenment and reform of persons deemed to pose terrorist threat or those convicted of terrorist offences.” As mentioned above, the terrorism definition is imprecise and ambiguous, giving great discretion for authorities to detain individuals in such centres. Moreover, this discretion was further increased by a law, issued by decree, on 4 September 2019, providing for the establishment of a National </w:t>
      </w:r>
      <w:proofErr w:type="spellStart"/>
      <w:r>
        <w:rPr>
          <w:rStyle w:val="SubtleEmphasis"/>
          <w:rFonts w:ascii="Times New Roman" w:hAnsi="Times New Roman" w:cs="Times New Roman"/>
          <w:lang w:val="en-GB"/>
        </w:rPr>
        <w:t>Munasaha</w:t>
      </w:r>
      <w:proofErr w:type="spellEnd"/>
      <w:r>
        <w:rPr>
          <w:rStyle w:val="SubtleEmphasis"/>
          <w:rFonts w:ascii="Times New Roman" w:hAnsi="Times New Roman" w:cs="Times New Roman"/>
          <w:lang w:val="en-GB"/>
        </w:rPr>
        <w:t xml:space="preserve"> Centre (hereinafter “</w:t>
      </w:r>
      <w:proofErr w:type="spellStart"/>
      <w:r>
        <w:rPr>
          <w:rStyle w:val="SubtleEmphasis"/>
          <w:rFonts w:ascii="Times New Roman" w:hAnsi="Times New Roman" w:cs="Times New Roman"/>
          <w:lang w:val="en-GB"/>
        </w:rPr>
        <w:t>Munasaha</w:t>
      </w:r>
      <w:proofErr w:type="spellEnd"/>
      <w:r>
        <w:rPr>
          <w:rStyle w:val="SubtleEmphasis"/>
          <w:rFonts w:ascii="Times New Roman" w:hAnsi="Times New Roman" w:cs="Times New Roman"/>
          <w:lang w:val="en-GB"/>
        </w:rPr>
        <w:t xml:space="preserve"> Centre Law”),</w:t>
      </w:r>
      <w:r>
        <w:rPr>
          <w:rStyle w:val="FootnoteReference"/>
          <w:rFonts w:ascii="Times New Roman" w:hAnsi="Times New Roman" w:cs="Times New Roman"/>
          <w:sz w:val="24"/>
          <w:lang w:val="en-GB"/>
        </w:rPr>
        <w:footnoteReference w:id="78"/>
      </w:r>
      <w:r>
        <w:rPr>
          <w:rStyle w:val="SubtleEmphasis"/>
          <w:rFonts w:ascii="Times New Roman" w:hAnsi="Times New Roman" w:cs="Times New Roman"/>
          <w:lang w:val="en-GB"/>
        </w:rPr>
        <w:t xml:space="preserve"> Under this law, the mandate of the </w:t>
      </w:r>
      <w:proofErr w:type="spellStart"/>
      <w:r>
        <w:rPr>
          <w:rStyle w:val="SubtleEmphasis"/>
          <w:rFonts w:ascii="Times New Roman" w:hAnsi="Times New Roman" w:cs="Times New Roman"/>
          <w:lang w:val="en-GB"/>
        </w:rPr>
        <w:t>Munasaha</w:t>
      </w:r>
      <w:proofErr w:type="spellEnd"/>
      <w:r>
        <w:rPr>
          <w:rStyle w:val="SubtleEmphasis"/>
          <w:rFonts w:ascii="Times New Roman" w:hAnsi="Times New Roman" w:cs="Times New Roman"/>
          <w:lang w:val="en-GB"/>
        </w:rPr>
        <w:t xml:space="preserve"> centre </w:t>
      </w:r>
      <w:r>
        <w:rPr>
          <w:rStyle w:val="SubtleEmphasis"/>
          <w:rFonts w:ascii="Times New Roman" w:hAnsi="Times New Roman" w:cs="Times New Roman"/>
          <w:lang w:val="en-GB"/>
        </w:rPr>
        <w:lastRenderedPageBreak/>
        <w:t>exceeds that set out under the Counter-Terrorism Law and includes “the counselling and rehabilitation of holders of terrorist, extremist or deviant thought”.</w:t>
      </w:r>
      <w:r>
        <w:rPr>
          <w:rStyle w:val="FootnoteReference"/>
          <w:rFonts w:ascii="Times New Roman" w:hAnsi="Times New Roman" w:cs="Times New Roman"/>
          <w:sz w:val="24"/>
          <w:lang w:val="en-GB"/>
        </w:rPr>
        <w:footnoteReference w:id="79"/>
      </w:r>
    </w:p>
    <w:p w:rsidR="0060459F" w:rsidRDefault="00F96166">
      <w:pPr>
        <w:pStyle w:val="Corps"/>
        <w:spacing w:after="120" w:line="276" w:lineRule="auto"/>
        <w:jc w:val="both"/>
        <w:rPr>
          <w:rStyle w:val="SubtleEmphasis"/>
          <w:rFonts w:ascii="Times New Roman" w:hAnsi="Times New Roman" w:cs="Times New Roman"/>
          <w:lang w:val="en-GB"/>
        </w:rPr>
      </w:pPr>
      <w:r>
        <w:rPr>
          <w:rStyle w:val="SubtleEmphasis"/>
          <w:rFonts w:ascii="Times New Roman" w:hAnsi="Times New Roman" w:cs="Times New Roman"/>
          <w:lang w:val="en-GB"/>
        </w:rPr>
        <w:t xml:space="preserve">Both the Counter-Terrorism Law and the </w:t>
      </w:r>
      <w:proofErr w:type="spellStart"/>
      <w:r>
        <w:rPr>
          <w:rStyle w:val="SubtleEmphasis"/>
          <w:rFonts w:ascii="Times New Roman" w:hAnsi="Times New Roman" w:cs="Times New Roman"/>
          <w:lang w:val="en-GB"/>
        </w:rPr>
        <w:t>Munasaha</w:t>
      </w:r>
      <w:proofErr w:type="spellEnd"/>
      <w:r>
        <w:rPr>
          <w:rStyle w:val="SubtleEmphasis"/>
          <w:rFonts w:ascii="Times New Roman" w:hAnsi="Times New Roman" w:cs="Times New Roman"/>
          <w:lang w:val="en-GB"/>
        </w:rPr>
        <w:t xml:space="preserve"> Centre Law lack legal clarity regarding the nature of detention at a </w:t>
      </w:r>
      <w:proofErr w:type="spellStart"/>
      <w:r>
        <w:rPr>
          <w:rStyle w:val="SubtleEmphasis"/>
          <w:rFonts w:ascii="Times New Roman" w:hAnsi="Times New Roman" w:cs="Times New Roman"/>
          <w:lang w:val="en-GB"/>
        </w:rPr>
        <w:t>Munasaha</w:t>
      </w:r>
      <w:proofErr w:type="spellEnd"/>
      <w:r>
        <w:rPr>
          <w:rStyle w:val="SubtleEmphasis"/>
          <w:rFonts w:ascii="Times New Roman" w:hAnsi="Times New Roman" w:cs="Times New Roman"/>
          <w:lang w:val="en-GB"/>
        </w:rPr>
        <w:t xml:space="preserve"> centre. For example, in accordance with UAE legislation, a person can be detained at a </w:t>
      </w:r>
      <w:proofErr w:type="spellStart"/>
      <w:r>
        <w:rPr>
          <w:rStyle w:val="SubtleEmphasis"/>
          <w:rFonts w:ascii="Times New Roman" w:hAnsi="Times New Roman" w:cs="Times New Roman"/>
          <w:lang w:val="en-GB"/>
        </w:rPr>
        <w:t>Munasaha</w:t>
      </w:r>
      <w:proofErr w:type="spellEnd"/>
      <w:r>
        <w:rPr>
          <w:rStyle w:val="SubtleEmphasis"/>
          <w:rFonts w:ascii="Times New Roman" w:hAnsi="Times New Roman" w:cs="Times New Roman"/>
          <w:lang w:val="en-GB"/>
        </w:rPr>
        <w:t xml:space="preserve"> centre on the grounds that they (</w:t>
      </w:r>
      <w:proofErr w:type="spellStart"/>
      <w:r>
        <w:rPr>
          <w:rStyle w:val="SubtleEmphasis"/>
          <w:rFonts w:ascii="Times New Roman" w:hAnsi="Times New Roman" w:cs="Times New Roman"/>
          <w:lang w:val="en-GB"/>
        </w:rPr>
        <w:t>i</w:t>
      </w:r>
      <w:proofErr w:type="spellEnd"/>
      <w:r>
        <w:rPr>
          <w:rStyle w:val="SubtleEmphasis"/>
          <w:rFonts w:ascii="Times New Roman" w:hAnsi="Times New Roman" w:cs="Times New Roman"/>
          <w:lang w:val="en-GB"/>
        </w:rPr>
        <w:t>) appear to pose a terrorist threat,</w:t>
      </w:r>
      <w:r>
        <w:rPr>
          <w:rStyle w:val="FootnoteReference"/>
          <w:rFonts w:ascii="Times New Roman" w:hAnsi="Times New Roman" w:cs="Times New Roman"/>
          <w:sz w:val="24"/>
          <w:lang w:val="en-GB"/>
        </w:rPr>
        <w:footnoteReference w:id="80"/>
      </w:r>
      <w:r>
        <w:rPr>
          <w:rStyle w:val="SubtleEmphasis"/>
          <w:rFonts w:ascii="Times New Roman" w:hAnsi="Times New Roman" w:cs="Times New Roman"/>
          <w:lang w:val="en-GB"/>
        </w:rPr>
        <w:t xml:space="preserve"> or (ii) were registered to undertake a counselling programme – further to an application by said person or their guardian – but failed or refused, without justification, to complete the programme.</w:t>
      </w:r>
      <w:r>
        <w:rPr>
          <w:rStyle w:val="FootnoteReference"/>
          <w:rFonts w:ascii="Times New Roman" w:hAnsi="Times New Roman" w:cs="Times New Roman"/>
          <w:sz w:val="24"/>
          <w:lang w:val="en-GB"/>
        </w:rPr>
        <w:footnoteReference w:id="81"/>
      </w:r>
      <w:r>
        <w:rPr>
          <w:rStyle w:val="SubtleEmphasis"/>
          <w:rFonts w:ascii="Times New Roman" w:hAnsi="Times New Roman" w:cs="Times New Roman"/>
          <w:lang w:val="en-GB"/>
        </w:rPr>
        <w:t xml:space="preserve"> The definition of “posing a terrorism threat” is set out at article 40 (1) of the Counter-Terrorism Law, which establishes that “a person shall be deemed as posing a terrorist threat if said person adopts extremist or terrorist ideology to the extent that he/she seems likely to commit a terrorist offence.” However, the law is silent about the threshold at which a person will be deemed “likely” to commit a terrorist offence, nor is it clear how “likelihood” is assessed.</w:t>
      </w:r>
    </w:p>
    <w:p w:rsidR="0060459F" w:rsidRDefault="00F96166">
      <w:pPr>
        <w:pStyle w:val="Corps"/>
        <w:spacing w:after="120" w:line="276" w:lineRule="auto"/>
        <w:jc w:val="both"/>
        <w:rPr>
          <w:rStyle w:val="SubtleEmphasis"/>
          <w:rFonts w:ascii="Times New Roman" w:hAnsi="Times New Roman" w:cs="Times New Roman"/>
          <w:lang w:val="en-GB"/>
        </w:rPr>
      </w:pPr>
      <w:r>
        <w:rPr>
          <w:rStyle w:val="SubtleEmphasis"/>
          <w:rFonts w:ascii="Times New Roman" w:hAnsi="Times New Roman" w:cs="Times New Roman"/>
          <w:lang w:val="en-GB"/>
        </w:rPr>
        <w:t xml:space="preserve">Detention in a </w:t>
      </w:r>
      <w:proofErr w:type="spellStart"/>
      <w:r>
        <w:rPr>
          <w:rStyle w:val="SubtleEmphasis"/>
          <w:rFonts w:ascii="Times New Roman" w:hAnsi="Times New Roman" w:cs="Times New Roman"/>
          <w:lang w:val="en-GB"/>
        </w:rPr>
        <w:t>Munasaha</w:t>
      </w:r>
      <w:proofErr w:type="spellEnd"/>
      <w:r>
        <w:rPr>
          <w:rStyle w:val="SubtleEmphasis"/>
          <w:rFonts w:ascii="Times New Roman" w:hAnsi="Times New Roman" w:cs="Times New Roman"/>
          <w:lang w:val="en-GB"/>
        </w:rPr>
        <w:t xml:space="preserve"> centre is ordered by a judgment of a court with jurisdiction over state security offences, upon the state security prosecution’s request.</w:t>
      </w:r>
      <w:r>
        <w:rPr>
          <w:rStyle w:val="FootnoteReference"/>
          <w:rFonts w:ascii="Times New Roman" w:hAnsi="Times New Roman" w:cs="Times New Roman"/>
          <w:sz w:val="24"/>
          <w:lang w:val="en-GB"/>
        </w:rPr>
        <w:footnoteReference w:id="82"/>
      </w:r>
      <w:r>
        <w:rPr>
          <w:rStyle w:val="SubtleEmphasis"/>
          <w:rFonts w:ascii="Times New Roman" w:hAnsi="Times New Roman" w:cs="Times New Roman"/>
          <w:lang w:val="en-GB"/>
        </w:rPr>
        <w:t xml:space="preserve"> The </w:t>
      </w:r>
      <w:proofErr w:type="spellStart"/>
      <w:r>
        <w:rPr>
          <w:rStyle w:val="SubtleEmphasis"/>
          <w:rFonts w:ascii="Times New Roman" w:hAnsi="Times New Roman" w:cs="Times New Roman"/>
          <w:lang w:val="en-GB"/>
        </w:rPr>
        <w:t>Munasaha</w:t>
      </w:r>
      <w:proofErr w:type="spellEnd"/>
      <w:r>
        <w:rPr>
          <w:rStyle w:val="SubtleEmphasis"/>
          <w:rFonts w:ascii="Times New Roman" w:hAnsi="Times New Roman" w:cs="Times New Roman"/>
          <w:lang w:val="en-GB"/>
        </w:rPr>
        <w:t xml:space="preserve"> Centre Law clarifies that, where applicable, the Juvenile Court also has the competency to issue the judgement.</w:t>
      </w:r>
    </w:p>
    <w:p w:rsidR="0060459F" w:rsidRDefault="00F96166">
      <w:pPr>
        <w:pStyle w:val="Corps"/>
        <w:spacing w:after="120" w:line="276" w:lineRule="auto"/>
        <w:jc w:val="both"/>
        <w:rPr>
          <w:rStyle w:val="SubtleEmphasis"/>
          <w:rFonts w:ascii="Times New Roman" w:hAnsi="Times New Roman" w:cs="Times New Roman"/>
          <w:lang w:val="en-GB"/>
        </w:rPr>
      </w:pPr>
      <w:r>
        <w:rPr>
          <w:rStyle w:val="SubtleEmphasis"/>
          <w:rFonts w:ascii="Times New Roman" w:hAnsi="Times New Roman" w:cs="Times New Roman"/>
          <w:lang w:val="en-GB"/>
        </w:rPr>
        <w:t xml:space="preserve">The Counter-Terrorism Law does not explicitly require the court to determine the duration of detention at a </w:t>
      </w:r>
      <w:proofErr w:type="spellStart"/>
      <w:r>
        <w:rPr>
          <w:rStyle w:val="SubtleEmphasis"/>
          <w:rFonts w:ascii="Times New Roman" w:hAnsi="Times New Roman" w:cs="Times New Roman"/>
          <w:lang w:val="en-GB"/>
        </w:rPr>
        <w:t>Munasaha</w:t>
      </w:r>
      <w:proofErr w:type="spellEnd"/>
      <w:r>
        <w:rPr>
          <w:rStyle w:val="SubtleEmphasis"/>
          <w:rFonts w:ascii="Times New Roman" w:hAnsi="Times New Roman" w:cs="Times New Roman"/>
          <w:lang w:val="en-GB"/>
        </w:rPr>
        <w:t xml:space="preserve"> centre for individuals considered as “terrorist threats”, nor does it explicitly require that that any detention order be renewed. Instead, in accordance with article 40 (3) of the Counter-Terrorism Law and article 11 of the </w:t>
      </w:r>
      <w:proofErr w:type="spellStart"/>
      <w:r>
        <w:rPr>
          <w:rStyle w:val="SubtleEmphasis"/>
          <w:rFonts w:ascii="Times New Roman" w:hAnsi="Times New Roman" w:cs="Times New Roman"/>
          <w:lang w:val="en-GB"/>
        </w:rPr>
        <w:t>Munasaha</w:t>
      </w:r>
      <w:proofErr w:type="spellEnd"/>
      <w:r>
        <w:rPr>
          <w:rStyle w:val="SubtleEmphasis"/>
          <w:rFonts w:ascii="Times New Roman" w:hAnsi="Times New Roman" w:cs="Times New Roman"/>
          <w:lang w:val="en-GB"/>
        </w:rPr>
        <w:t xml:space="preserve"> Centre Law, the </w:t>
      </w:r>
      <w:proofErr w:type="spellStart"/>
      <w:r>
        <w:rPr>
          <w:rStyle w:val="SubtleEmphasis"/>
          <w:rFonts w:ascii="Times New Roman" w:hAnsi="Times New Roman" w:cs="Times New Roman"/>
          <w:lang w:val="en-GB"/>
        </w:rPr>
        <w:t>Munasaha</w:t>
      </w:r>
      <w:proofErr w:type="spellEnd"/>
      <w:r>
        <w:rPr>
          <w:rStyle w:val="SubtleEmphasis"/>
          <w:rFonts w:ascii="Times New Roman" w:hAnsi="Times New Roman" w:cs="Times New Roman"/>
          <w:lang w:val="en-GB"/>
        </w:rPr>
        <w:t xml:space="preserve"> centre must submit to the prosecution a periodic report on each person detained at the centre every three months. The prosecution then submits the report, along with its opinion as to whether or not it deems that said person is likely to commit a terrorist offence, to the court. The law then states that it is then the responsibility of the court to order the release of the person, should it find that his/her condition so allow.</w:t>
      </w:r>
    </w:p>
    <w:p w:rsidR="0060459F" w:rsidRDefault="00F96166">
      <w:pPr>
        <w:pStyle w:val="Corps"/>
        <w:spacing w:after="120" w:line="276" w:lineRule="auto"/>
        <w:jc w:val="both"/>
        <w:rPr>
          <w:rStyle w:val="SubtleEmphasis"/>
          <w:rFonts w:ascii="Times New Roman" w:hAnsi="Times New Roman" w:cs="Times New Roman"/>
          <w:lang w:val="en-GB"/>
        </w:rPr>
      </w:pPr>
      <w:r>
        <w:rPr>
          <w:rStyle w:val="SubtleEmphasis"/>
          <w:rFonts w:ascii="Times New Roman" w:hAnsi="Times New Roman" w:cs="Times New Roman"/>
          <w:lang w:val="en-GB"/>
        </w:rPr>
        <w:t xml:space="preserve">Notwithstanding the above, article 8 of the </w:t>
      </w:r>
      <w:proofErr w:type="spellStart"/>
      <w:r>
        <w:rPr>
          <w:rStyle w:val="SubtleEmphasis"/>
          <w:rFonts w:ascii="Times New Roman" w:hAnsi="Times New Roman" w:cs="Times New Roman"/>
          <w:lang w:val="en-GB"/>
        </w:rPr>
        <w:t>Munasaha</w:t>
      </w:r>
      <w:proofErr w:type="spellEnd"/>
      <w:r>
        <w:rPr>
          <w:rStyle w:val="SubtleEmphasis"/>
          <w:rFonts w:ascii="Times New Roman" w:hAnsi="Times New Roman" w:cs="Times New Roman"/>
          <w:lang w:val="en-GB"/>
        </w:rPr>
        <w:t xml:space="preserve"> Centre Law suggests that there is a requirement for a detention period to be specified, asserting that it is not permissible to keep detainees after the expiry of the period specified in the initial judgement, unless another ruling is obtained.</w:t>
      </w:r>
    </w:p>
    <w:p w:rsidR="0060459F" w:rsidRDefault="00F96166">
      <w:pPr>
        <w:pStyle w:val="Corps"/>
        <w:spacing w:after="120" w:line="276" w:lineRule="auto"/>
        <w:jc w:val="both"/>
        <w:rPr>
          <w:rStyle w:val="SubtleEmphasis"/>
          <w:rFonts w:ascii="Times New Roman" w:hAnsi="Times New Roman" w:cs="Times New Roman"/>
          <w:lang w:val="en-GB"/>
        </w:rPr>
      </w:pPr>
      <w:r>
        <w:rPr>
          <w:rStyle w:val="SubtleEmphasis"/>
          <w:rFonts w:ascii="Times New Roman" w:hAnsi="Times New Roman" w:cs="Times New Roman"/>
          <w:lang w:val="en-GB"/>
        </w:rPr>
        <w:t>In practice, MENA Rights Group has received testimonies of 11 individuals</w:t>
      </w:r>
      <w:r>
        <w:rPr>
          <w:rStyle w:val="FootnoteReference"/>
          <w:rFonts w:ascii="Times New Roman" w:hAnsi="Times New Roman" w:cs="Times New Roman"/>
          <w:sz w:val="24"/>
          <w:lang w:val="en-GB"/>
        </w:rPr>
        <w:footnoteReference w:id="83"/>
      </w:r>
      <w:r>
        <w:rPr>
          <w:rStyle w:val="SubtleEmphasis"/>
          <w:rFonts w:ascii="Times New Roman" w:hAnsi="Times New Roman" w:cs="Times New Roman"/>
          <w:lang w:val="en-GB"/>
        </w:rPr>
        <w:t xml:space="preserve"> who were originally sentenced under security-related legislation for exerting their rights to freedom of </w:t>
      </w:r>
      <w:r>
        <w:rPr>
          <w:rStyle w:val="SubtleEmphasis"/>
          <w:rFonts w:ascii="Times New Roman" w:hAnsi="Times New Roman" w:cs="Times New Roman"/>
          <w:lang w:val="en-GB"/>
        </w:rPr>
        <w:lastRenderedPageBreak/>
        <w:t>expression, opinion, and association.</w:t>
      </w:r>
      <w:r>
        <w:rPr>
          <w:rStyle w:val="FootnoteReference"/>
          <w:rFonts w:ascii="Times New Roman" w:hAnsi="Times New Roman" w:cs="Times New Roman"/>
          <w:sz w:val="24"/>
          <w:lang w:val="en-GB"/>
        </w:rPr>
        <w:footnoteReference w:id="84"/>
      </w:r>
      <w:r>
        <w:rPr>
          <w:rStyle w:val="SubtleEmphasis"/>
          <w:rFonts w:ascii="Times New Roman" w:hAnsi="Times New Roman" w:cs="Times New Roman"/>
          <w:lang w:val="en-GB"/>
        </w:rPr>
        <w:t xml:space="preserve"> In each of the 11 cases, the individuals completed their prison sentences before being detained at the </w:t>
      </w:r>
      <w:proofErr w:type="spellStart"/>
      <w:r>
        <w:rPr>
          <w:rStyle w:val="SubtleEmphasis"/>
          <w:rFonts w:ascii="Times New Roman" w:hAnsi="Times New Roman" w:cs="Times New Roman"/>
          <w:lang w:val="en-GB"/>
        </w:rPr>
        <w:t>Munasaha</w:t>
      </w:r>
      <w:proofErr w:type="spellEnd"/>
      <w:r>
        <w:rPr>
          <w:rStyle w:val="SubtleEmphasis"/>
          <w:rFonts w:ascii="Times New Roman" w:hAnsi="Times New Roman" w:cs="Times New Roman"/>
          <w:lang w:val="en-GB"/>
        </w:rPr>
        <w:t xml:space="preserve"> centre of Al </w:t>
      </w:r>
      <w:proofErr w:type="spellStart"/>
      <w:r>
        <w:rPr>
          <w:rStyle w:val="SubtleEmphasis"/>
          <w:rFonts w:ascii="Times New Roman" w:hAnsi="Times New Roman" w:cs="Times New Roman"/>
          <w:lang w:val="en-GB"/>
        </w:rPr>
        <w:t>Razeen</w:t>
      </w:r>
      <w:proofErr w:type="spellEnd"/>
      <w:r>
        <w:rPr>
          <w:rStyle w:val="SubtleEmphasis"/>
          <w:rFonts w:ascii="Times New Roman" w:hAnsi="Times New Roman" w:cs="Times New Roman"/>
          <w:lang w:val="en-GB"/>
        </w:rPr>
        <w:t xml:space="preserve"> prison. According to local sources, all </w:t>
      </w:r>
      <w:proofErr w:type="spellStart"/>
      <w:r>
        <w:rPr>
          <w:rStyle w:val="SubtleEmphasis"/>
          <w:rFonts w:ascii="Times New Roman" w:hAnsi="Times New Roman" w:cs="Times New Roman"/>
          <w:lang w:val="en-GB"/>
        </w:rPr>
        <w:t>Munasaha</w:t>
      </w:r>
      <w:proofErr w:type="spellEnd"/>
      <w:r>
        <w:rPr>
          <w:rStyle w:val="SubtleEmphasis"/>
          <w:rFonts w:ascii="Times New Roman" w:hAnsi="Times New Roman" w:cs="Times New Roman"/>
          <w:lang w:val="en-GB"/>
        </w:rPr>
        <w:t xml:space="preserve"> centres currently in existence in the UAE are located within prison complexes. There is no evidence that the facilities and infrastructure of </w:t>
      </w:r>
      <w:proofErr w:type="spellStart"/>
      <w:r>
        <w:rPr>
          <w:rStyle w:val="SubtleEmphasis"/>
          <w:rFonts w:ascii="Times New Roman" w:hAnsi="Times New Roman" w:cs="Times New Roman"/>
          <w:lang w:val="en-GB"/>
        </w:rPr>
        <w:t>Munasaha</w:t>
      </w:r>
      <w:proofErr w:type="spellEnd"/>
      <w:r>
        <w:rPr>
          <w:rStyle w:val="SubtleEmphasis"/>
          <w:rFonts w:ascii="Times New Roman" w:hAnsi="Times New Roman" w:cs="Times New Roman"/>
          <w:lang w:val="en-GB"/>
        </w:rPr>
        <w:t xml:space="preserve"> centres differ from the prisons in which they are situated. Indeed, in each of the cases documented, the individuals are detained in a wing of Al </w:t>
      </w:r>
      <w:proofErr w:type="spellStart"/>
      <w:r>
        <w:rPr>
          <w:rStyle w:val="SubtleEmphasis"/>
          <w:rFonts w:ascii="Times New Roman" w:hAnsi="Times New Roman" w:cs="Times New Roman"/>
          <w:lang w:val="en-GB"/>
        </w:rPr>
        <w:t>Razeen</w:t>
      </w:r>
      <w:proofErr w:type="spellEnd"/>
      <w:r>
        <w:rPr>
          <w:rStyle w:val="SubtleEmphasis"/>
          <w:rFonts w:ascii="Times New Roman" w:hAnsi="Times New Roman" w:cs="Times New Roman"/>
          <w:lang w:val="en-GB"/>
        </w:rPr>
        <w:t xml:space="preserve"> prison. Furthermore, the cases documented indicate that there is no distinction between the Al </w:t>
      </w:r>
      <w:proofErr w:type="spellStart"/>
      <w:r>
        <w:rPr>
          <w:rStyle w:val="SubtleEmphasis"/>
          <w:rFonts w:ascii="Times New Roman" w:hAnsi="Times New Roman" w:cs="Times New Roman"/>
          <w:lang w:val="en-GB"/>
        </w:rPr>
        <w:t>Razeen</w:t>
      </w:r>
      <w:proofErr w:type="spellEnd"/>
      <w:r>
        <w:rPr>
          <w:rStyle w:val="SubtleEmphasis"/>
          <w:rFonts w:ascii="Times New Roman" w:hAnsi="Times New Roman" w:cs="Times New Roman"/>
          <w:lang w:val="en-GB"/>
        </w:rPr>
        <w:t xml:space="preserve"> </w:t>
      </w:r>
      <w:proofErr w:type="spellStart"/>
      <w:r>
        <w:rPr>
          <w:rStyle w:val="SubtleEmphasis"/>
          <w:rFonts w:ascii="Times New Roman" w:hAnsi="Times New Roman" w:cs="Times New Roman"/>
          <w:lang w:val="en-GB"/>
        </w:rPr>
        <w:t>Musasaha</w:t>
      </w:r>
      <w:proofErr w:type="spellEnd"/>
      <w:r>
        <w:rPr>
          <w:rStyle w:val="SubtleEmphasis"/>
          <w:rFonts w:ascii="Times New Roman" w:hAnsi="Times New Roman" w:cs="Times New Roman"/>
          <w:lang w:val="en-GB"/>
        </w:rPr>
        <w:t xml:space="preserve"> centre and the Al </w:t>
      </w:r>
      <w:proofErr w:type="spellStart"/>
      <w:r>
        <w:rPr>
          <w:rStyle w:val="SubtleEmphasis"/>
          <w:rFonts w:ascii="Times New Roman" w:hAnsi="Times New Roman" w:cs="Times New Roman"/>
          <w:lang w:val="en-GB"/>
        </w:rPr>
        <w:t>Razeen</w:t>
      </w:r>
      <w:proofErr w:type="spellEnd"/>
      <w:r>
        <w:rPr>
          <w:rStyle w:val="SubtleEmphasis"/>
          <w:rFonts w:ascii="Times New Roman" w:hAnsi="Times New Roman" w:cs="Times New Roman"/>
          <w:lang w:val="en-GB"/>
        </w:rPr>
        <w:t xml:space="preserve"> prison complex in which it is situated.</w:t>
      </w:r>
      <w:r>
        <w:rPr>
          <w:rStyle w:val="FootnoteReference"/>
          <w:rFonts w:ascii="Times New Roman" w:hAnsi="Times New Roman" w:cs="Times New Roman"/>
          <w:sz w:val="24"/>
          <w:lang w:val="en-GB"/>
        </w:rPr>
        <w:footnoteReference w:id="85"/>
      </w:r>
    </w:p>
    <w:p w:rsidR="0060459F" w:rsidRDefault="00F96166">
      <w:pPr>
        <w:pStyle w:val="Corps"/>
        <w:spacing w:after="120" w:line="276" w:lineRule="auto"/>
        <w:jc w:val="both"/>
        <w:rPr>
          <w:rStyle w:val="SubtleEmphasis"/>
          <w:rFonts w:ascii="Times New Roman" w:hAnsi="Times New Roman" w:cs="Times New Roman"/>
          <w:lang w:val="en-GB"/>
        </w:rPr>
      </w:pPr>
      <w:r>
        <w:rPr>
          <w:rStyle w:val="SubtleEmphasis"/>
          <w:rFonts w:ascii="Times New Roman" w:hAnsi="Times New Roman" w:cs="Times New Roman"/>
          <w:lang w:val="en-GB"/>
        </w:rPr>
        <w:t xml:space="preserve">Several of the cases documented involve individuals who have never been brought before a court to present a defence in relation to their current detentions. Furthermore, at least nine individuals have been denied access to legal counsel for the duration of their detention at Al </w:t>
      </w:r>
      <w:proofErr w:type="spellStart"/>
      <w:r>
        <w:rPr>
          <w:rStyle w:val="SubtleEmphasis"/>
          <w:rFonts w:ascii="Times New Roman" w:hAnsi="Times New Roman" w:cs="Times New Roman"/>
          <w:lang w:val="en-GB"/>
        </w:rPr>
        <w:t>Razeen</w:t>
      </w:r>
      <w:proofErr w:type="spellEnd"/>
      <w:r>
        <w:rPr>
          <w:rStyle w:val="SubtleEmphasis"/>
          <w:rFonts w:ascii="Times New Roman" w:hAnsi="Times New Roman" w:cs="Times New Roman"/>
          <w:lang w:val="en-GB"/>
        </w:rPr>
        <w:t xml:space="preserve"> </w:t>
      </w:r>
      <w:proofErr w:type="spellStart"/>
      <w:r>
        <w:rPr>
          <w:rStyle w:val="SubtleEmphasis"/>
          <w:rFonts w:ascii="Times New Roman" w:hAnsi="Times New Roman" w:cs="Times New Roman"/>
          <w:lang w:val="en-GB"/>
        </w:rPr>
        <w:t>Munasaha</w:t>
      </w:r>
      <w:proofErr w:type="spellEnd"/>
      <w:r>
        <w:rPr>
          <w:rStyle w:val="SubtleEmphasis"/>
          <w:rFonts w:ascii="Times New Roman" w:hAnsi="Times New Roman" w:cs="Times New Roman"/>
          <w:lang w:val="en-GB"/>
        </w:rPr>
        <w:t xml:space="preserve"> centre. In addition, despite the requirement that the detentions be considered by the court every three months, neither the individuals nor their legal counsel have been provided with the evidence presented by the prosecution to the court, nor have they been provided with the opportunity to challenge any decision not to authorise their release.</w:t>
      </w:r>
    </w:p>
    <w:p w:rsidR="0060459F" w:rsidRDefault="00F96166">
      <w:pPr>
        <w:pStyle w:val="Corps"/>
        <w:spacing w:after="120" w:line="276" w:lineRule="auto"/>
        <w:jc w:val="both"/>
        <w:rPr>
          <w:rStyle w:val="SubtleEmphasis"/>
          <w:rFonts w:ascii="Times New Roman" w:hAnsi="Times New Roman" w:cs="Times New Roman"/>
          <w:lang w:val="en-GB"/>
        </w:rPr>
      </w:pPr>
      <w:r>
        <w:rPr>
          <w:rStyle w:val="SubtleEmphasis"/>
          <w:rFonts w:ascii="Times New Roman" w:hAnsi="Times New Roman" w:cs="Times New Roman"/>
          <w:lang w:val="en-GB"/>
        </w:rPr>
        <w:t xml:space="preserve">At least three detainees have spent over three years in a </w:t>
      </w:r>
      <w:proofErr w:type="spellStart"/>
      <w:r>
        <w:rPr>
          <w:rStyle w:val="SubtleEmphasis"/>
          <w:rFonts w:ascii="Times New Roman" w:hAnsi="Times New Roman" w:cs="Times New Roman"/>
          <w:lang w:val="en-GB"/>
        </w:rPr>
        <w:t>Munasaha</w:t>
      </w:r>
      <w:proofErr w:type="spellEnd"/>
      <w:r>
        <w:rPr>
          <w:rStyle w:val="SubtleEmphasis"/>
          <w:rFonts w:ascii="Times New Roman" w:hAnsi="Times New Roman" w:cs="Times New Roman"/>
          <w:lang w:val="en-GB"/>
        </w:rPr>
        <w:t xml:space="preserve"> centre, suggesting that detainees are at risk of prolonged detention as a result of existing practices. In this regard, special mandate holders noted, in relation to the </w:t>
      </w:r>
      <w:proofErr w:type="spellStart"/>
      <w:r>
        <w:rPr>
          <w:rStyle w:val="SubtleEmphasis"/>
          <w:rFonts w:ascii="Times New Roman" w:hAnsi="Times New Roman" w:cs="Times New Roman"/>
          <w:lang w:val="en-GB"/>
        </w:rPr>
        <w:t>Munasaha</w:t>
      </w:r>
      <w:proofErr w:type="spellEnd"/>
      <w:r>
        <w:rPr>
          <w:rStyle w:val="SubtleEmphasis"/>
          <w:rFonts w:ascii="Times New Roman" w:hAnsi="Times New Roman" w:cs="Times New Roman"/>
          <w:lang w:val="en-GB"/>
        </w:rPr>
        <w:t xml:space="preserve"> centres, that:</w:t>
      </w:r>
    </w:p>
    <w:p w:rsidR="0060459F" w:rsidRDefault="00F96166">
      <w:pPr>
        <w:pStyle w:val="Corps"/>
        <w:spacing w:after="120" w:line="276" w:lineRule="auto"/>
        <w:ind w:left="567" w:right="565"/>
        <w:jc w:val="both"/>
        <w:rPr>
          <w:rStyle w:val="SubtleEmphasis"/>
          <w:rFonts w:ascii="Times New Roman" w:hAnsi="Times New Roman" w:cs="Times New Roman"/>
          <w:sz w:val="22"/>
          <w:szCs w:val="22"/>
          <w:lang w:val="en-GB"/>
        </w:rPr>
      </w:pPr>
      <w:r>
        <w:rPr>
          <w:rStyle w:val="SubtleEmphasis"/>
          <w:rFonts w:ascii="Times New Roman" w:hAnsi="Times New Roman" w:cs="Times New Roman"/>
          <w:sz w:val="22"/>
          <w:szCs w:val="22"/>
          <w:lang w:val="en-GB"/>
        </w:rPr>
        <w:t>While arbitrary deprivation of liberty does not necessarily amount to torture or other cruel, inhuman or degrading treatment or punishment, there is a recognised link between both prohibitions. In conjunction, the arbitrary character of detention, its protracted and/or indefinite duration, the refusal to provide information, the denial of basic procedural rights and the severity of the conditions of detention can cumulatively inflict serious psychological harm which may well amount to torture or other ill-treatment. The longer a situation of arbitrary deprivation of liberty and inadequate conditions of detention lasts, and the less the affected person can do to influence their own situation, the more intense their mental and emotional suffering will become - and the higher the likelihood that the prohibition of torture and ill-treatment has been breached.</w:t>
      </w:r>
      <w:r>
        <w:rPr>
          <w:rStyle w:val="FootnoteReference"/>
          <w:rFonts w:ascii="Times New Roman" w:hAnsi="Times New Roman" w:cs="Times New Roman"/>
          <w:sz w:val="22"/>
          <w:szCs w:val="22"/>
          <w:lang w:val="en-GB"/>
        </w:rPr>
        <w:footnoteReference w:id="86"/>
      </w:r>
    </w:p>
    <w:p w:rsidR="0060459F" w:rsidRDefault="00F96166">
      <w:pPr>
        <w:pStyle w:val="Corps"/>
        <w:spacing w:after="120" w:line="276" w:lineRule="auto"/>
        <w:jc w:val="both"/>
        <w:rPr>
          <w:rStyle w:val="SubtleEmphasis"/>
          <w:rFonts w:ascii="Times New Roman" w:hAnsi="Times New Roman" w:cs="Times New Roman"/>
          <w:lang w:val="en-GB"/>
        </w:rPr>
      </w:pPr>
      <w:r>
        <w:rPr>
          <w:rStyle w:val="SubtleEmphasis"/>
          <w:rFonts w:ascii="Times New Roman" w:hAnsi="Times New Roman" w:cs="Times New Roman"/>
          <w:lang w:val="en-GB"/>
        </w:rPr>
        <w:t xml:space="preserve">Thus, as indicated by the special mandate holders, indefinite detention at </w:t>
      </w:r>
      <w:proofErr w:type="spellStart"/>
      <w:r>
        <w:rPr>
          <w:rStyle w:val="SubtleEmphasis"/>
          <w:rFonts w:ascii="Times New Roman" w:hAnsi="Times New Roman" w:cs="Times New Roman"/>
          <w:lang w:val="en-GB"/>
        </w:rPr>
        <w:t>Munasaha</w:t>
      </w:r>
      <w:proofErr w:type="spellEnd"/>
      <w:r>
        <w:rPr>
          <w:rStyle w:val="SubtleEmphasis"/>
          <w:rFonts w:ascii="Times New Roman" w:hAnsi="Times New Roman" w:cs="Times New Roman"/>
          <w:lang w:val="en-GB"/>
        </w:rPr>
        <w:t xml:space="preserve"> centres may lead to violations of article 16 UNCAT by UAE authorities.</w:t>
      </w:r>
    </w:p>
    <w:p w:rsidR="0060459F" w:rsidRDefault="00F96166">
      <w:pPr>
        <w:pStyle w:val="Corps"/>
        <w:spacing w:after="120" w:line="276" w:lineRule="auto"/>
        <w:jc w:val="both"/>
        <w:rPr>
          <w:rStyle w:val="SubtleEmphasis"/>
          <w:rFonts w:ascii="Times New Roman" w:eastAsiaTheme="minorEastAsia" w:hAnsi="Times New Roman" w:cs="Times New Roman"/>
          <w:lang w:val="en-GB"/>
        </w:rPr>
      </w:pPr>
      <w:r>
        <w:rPr>
          <w:rStyle w:val="SubtleEmphasis"/>
          <w:rFonts w:ascii="Times New Roman" w:eastAsiaTheme="minorEastAsia" w:hAnsi="Times New Roman" w:cs="Times New Roman"/>
          <w:lang w:val="en-GB"/>
        </w:rPr>
        <w:lastRenderedPageBreak/>
        <w:t xml:space="preserve">Lastly, the International Centre for Justice and Human Rights documented the cases of three activities who were kept in </w:t>
      </w:r>
      <w:proofErr w:type="spellStart"/>
      <w:r>
        <w:rPr>
          <w:rStyle w:val="SubtleEmphasis"/>
          <w:rFonts w:ascii="Times New Roman" w:eastAsiaTheme="minorEastAsia" w:hAnsi="Times New Roman" w:cs="Times New Roman"/>
          <w:lang w:val="en-GB"/>
        </w:rPr>
        <w:t>Munasaha</w:t>
      </w:r>
      <w:proofErr w:type="spellEnd"/>
      <w:r>
        <w:rPr>
          <w:rStyle w:val="SubtleEmphasis"/>
          <w:rFonts w:ascii="Times New Roman" w:eastAsiaTheme="minorEastAsia" w:hAnsi="Times New Roman" w:cs="Times New Roman"/>
          <w:lang w:val="en-GB"/>
        </w:rPr>
        <w:t xml:space="preserve"> centres for extended periods after they completed their sentences and were only released upon making self-incriminating statements and declaring their repentance with regards to their past actions.</w:t>
      </w:r>
      <w:r>
        <w:rPr>
          <w:rStyle w:val="FootnoteReference"/>
          <w:rFonts w:ascii="Times New Roman" w:eastAsiaTheme="minorEastAsia" w:hAnsi="Times New Roman" w:cs="Times New Roman"/>
          <w:sz w:val="24"/>
          <w:lang w:val="en-GB"/>
        </w:rPr>
        <w:footnoteReference w:id="87"/>
      </w:r>
    </w:p>
    <w:p w:rsidR="0060459F" w:rsidRDefault="00F96166">
      <w:pPr>
        <w:pStyle w:val="Title"/>
        <w:rPr>
          <w:rFonts w:ascii="Times New Roman" w:hAnsi="Times New Roman" w:cs="Times New Roman"/>
        </w:rPr>
      </w:pPr>
      <w:r>
        <w:rPr>
          <w:rFonts w:ascii="Times New Roman" w:eastAsiaTheme="minorEastAsia" w:hAnsi="Times New Roman" w:cs="Times New Roman"/>
        </w:rPr>
        <w:t>Recommendations:</w:t>
      </w:r>
    </w:p>
    <w:p w:rsidR="0060459F" w:rsidRDefault="00F96166">
      <w:pPr>
        <w:pStyle w:val="ListParagraph"/>
        <w:numPr>
          <w:ilvl w:val="0"/>
          <w:numId w:val="5"/>
        </w:numPr>
        <w:jc w:val="both"/>
        <w:rPr>
          <w:rFonts w:ascii="Times New Roman" w:hAnsi="Times New Roman" w:cs="Times New Roman"/>
          <w:color w:val="543192"/>
        </w:rPr>
      </w:pPr>
      <w:r>
        <w:rPr>
          <w:rFonts w:ascii="Times New Roman" w:eastAsiaTheme="minorEastAsia" w:hAnsi="Times New Roman" w:cs="Times New Roman"/>
          <w:color w:val="543192"/>
        </w:rPr>
        <w:t>Amend the Counter-Terrorism Law to better define terrorist offences, ensuring that only crimes of a terrorist nature (defined in accordance with the international legal framework on counter-terrorism) are criminalised and that the Law cannot be used to punish those exercising their fundamental freedoms;</w:t>
      </w:r>
    </w:p>
    <w:p w:rsidR="0060459F" w:rsidRDefault="00F96166">
      <w:pPr>
        <w:pStyle w:val="ListParagraph"/>
        <w:numPr>
          <w:ilvl w:val="0"/>
          <w:numId w:val="5"/>
        </w:numPr>
        <w:jc w:val="both"/>
        <w:rPr>
          <w:rFonts w:ascii="Times New Roman" w:hAnsi="Times New Roman" w:cs="Times New Roman"/>
          <w:color w:val="543192"/>
        </w:rPr>
      </w:pPr>
      <w:r>
        <w:rPr>
          <w:rFonts w:ascii="Times New Roman" w:eastAsiaTheme="minorEastAsia" w:hAnsi="Times New Roman" w:cs="Times New Roman"/>
          <w:color w:val="543192"/>
        </w:rPr>
        <w:t xml:space="preserve">End the use of </w:t>
      </w:r>
      <w:proofErr w:type="spellStart"/>
      <w:r>
        <w:rPr>
          <w:rFonts w:ascii="Times New Roman" w:eastAsiaTheme="minorEastAsia" w:hAnsi="Times New Roman" w:cs="Times New Roman"/>
          <w:color w:val="543192"/>
        </w:rPr>
        <w:t>Munasaha</w:t>
      </w:r>
      <w:proofErr w:type="spellEnd"/>
      <w:r>
        <w:rPr>
          <w:rFonts w:ascii="Times New Roman" w:eastAsiaTheme="minorEastAsia" w:hAnsi="Times New Roman" w:cs="Times New Roman"/>
          <w:color w:val="543192"/>
        </w:rPr>
        <w:t xml:space="preserve"> centres;</w:t>
      </w:r>
    </w:p>
    <w:p w:rsidR="0060459F" w:rsidRDefault="00F96166">
      <w:pPr>
        <w:pStyle w:val="ListParagraph"/>
        <w:numPr>
          <w:ilvl w:val="0"/>
          <w:numId w:val="5"/>
        </w:numPr>
        <w:rPr>
          <w:rStyle w:val="SubtleEmphasis"/>
          <w:rFonts w:ascii="Times New Roman" w:hAnsi="Times New Roman" w:cs="Times New Roman"/>
          <w:color w:val="543192"/>
          <w:sz w:val="22"/>
        </w:rPr>
      </w:pPr>
      <w:r>
        <w:rPr>
          <w:rStyle w:val="SubtleEmphasis"/>
          <w:rFonts w:ascii="Times New Roman" w:hAnsi="Times New Roman" w:cs="Times New Roman"/>
          <w:color w:val="543192"/>
          <w:sz w:val="22"/>
        </w:rPr>
        <w:t>Stop the systematic torture of those accused of terrorism.</w:t>
      </w:r>
    </w:p>
    <w:p w:rsidR="0060459F" w:rsidRDefault="00F96166">
      <w:pPr>
        <w:pStyle w:val="Heading1"/>
        <w:rPr>
          <w:rFonts w:ascii="Times New Roman" w:hAnsi="Times New Roman" w:cs="Times New Roman"/>
        </w:rPr>
      </w:pPr>
      <w:bookmarkStart w:id="19" w:name="_Toc103273052"/>
      <w:r>
        <w:rPr>
          <w:rFonts w:ascii="Times New Roman" w:eastAsiaTheme="minorEastAsia" w:hAnsi="Times New Roman" w:cs="Times New Roman"/>
        </w:rPr>
        <w:t>Widespread and systematic torture and ill-treatment</w:t>
      </w:r>
      <w:bookmarkEnd w:id="19"/>
    </w:p>
    <w:p w:rsidR="0060459F" w:rsidRDefault="00F96166">
      <w:pPr>
        <w:pStyle w:val="Heading2"/>
        <w:rPr>
          <w:rStyle w:val="SubtleEmphasis"/>
          <w:rFonts w:ascii="Times New Roman" w:hAnsi="Times New Roman" w:cs="Times New Roman"/>
          <w:sz w:val="36"/>
        </w:rPr>
      </w:pPr>
      <w:bookmarkStart w:id="20" w:name="_Toc103273053"/>
      <w:r>
        <w:rPr>
          <w:rFonts w:ascii="Times New Roman" w:eastAsiaTheme="minorEastAsia" w:hAnsi="Times New Roman" w:cs="Times New Roman"/>
        </w:rPr>
        <w:t xml:space="preserve">Methods of torture, including secret and </w:t>
      </w:r>
      <w:r>
        <w:rPr>
          <w:rFonts w:ascii="Times New Roman" w:eastAsiaTheme="minorEastAsia" w:hAnsi="Times New Roman" w:cs="Times New Roman"/>
          <w:i/>
          <w:iCs/>
        </w:rPr>
        <w:t>incommunicado detention</w:t>
      </w:r>
      <w:bookmarkEnd w:id="20"/>
    </w:p>
    <w:p w:rsidR="0060459F" w:rsidRDefault="00F96166">
      <w:pPr>
        <w:jc w:val="both"/>
        <w:rPr>
          <w:rStyle w:val="SubtleEmphasis"/>
          <w:rFonts w:ascii="Times New Roman" w:hAnsi="Times New Roman" w:cs="Times New Roman"/>
        </w:rPr>
      </w:pPr>
      <w:r>
        <w:rPr>
          <w:rStyle w:val="SubtleEmphasis"/>
          <w:rFonts w:ascii="Times New Roman" w:hAnsi="Times New Roman" w:cs="Times New Roman"/>
        </w:rPr>
        <w:t>After her visit to the UAE, the former special rapporteur on the independence of judges and lawyers said that “[c]</w:t>
      </w:r>
      <w:proofErr w:type="spellStart"/>
      <w:r>
        <w:rPr>
          <w:rStyle w:val="SubtleEmphasis"/>
          <w:rFonts w:ascii="Times New Roman" w:hAnsi="Times New Roman" w:cs="Times New Roman"/>
        </w:rPr>
        <w:t>onsistent</w:t>
      </w:r>
      <w:proofErr w:type="spellEnd"/>
      <w:r>
        <w:rPr>
          <w:rStyle w:val="SubtleEmphasis"/>
          <w:rFonts w:ascii="Times New Roman" w:hAnsi="Times New Roman" w:cs="Times New Roman"/>
        </w:rPr>
        <w:t xml:space="preserve"> testimonies of the following torture and ill-treatment were received: deprivation of daylight; exposure to bright electric light 24 hours a day; being blindfolded and threatened; being kept in very small cells without windows or a toilet; being forced to ask permission and being forced to strip in order to go to the toilet; exposure to extreme temperatures; beatings; extraction of fingernails and plucking of beards; being drugged; sexual assaults and threats thereof; and insults.”</w:t>
      </w:r>
      <w:r>
        <w:rPr>
          <w:rStyle w:val="FootnoteReference"/>
          <w:rFonts w:ascii="Times New Roman" w:hAnsi="Times New Roman" w:cs="Times New Roman"/>
          <w:sz w:val="24"/>
        </w:rPr>
        <w:footnoteReference w:id="88"/>
      </w:r>
      <w:r>
        <w:rPr>
          <w:rStyle w:val="SubtleEmphasis"/>
          <w:rFonts w:ascii="Times New Roman" w:hAnsi="Times New Roman" w:cs="Times New Roman"/>
        </w:rPr>
        <w:t xml:space="preserve"> The Emirates Detainees Advocacy Centre also reported on torture practices that were frequent in UAE prisons, highlighting the use of high and low temperatures; sleep deprivation; strobe lights; loud music; long periods of standing; lengthy interrogations; continuous beating in the same body part; sexual assault, nail removal; electrocution; psychological torture and death threats; exhaustion; and humiliation.</w:t>
      </w:r>
      <w:r>
        <w:rPr>
          <w:rStyle w:val="FootnoteReference"/>
          <w:rFonts w:ascii="Times New Roman" w:hAnsi="Times New Roman" w:cs="Times New Roman"/>
          <w:sz w:val="24"/>
        </w:rPr>
        <w:footnoteReference w:id="89"/>
      </w:r>
    </w:p>
    <w:p w:rsidR="0060459F" w:rsidRDefault="00F96166">
      <w:pPr>
        <w:jc w:val="both"/>
        <w:rPr>
          <w:rStyle w:val="SubtleEmphasis"/>
          <w:rFonts w:ascii="Times New Roman" w:hAnsi="Times New Roman" w:cs="Times New Roman"/>
        </w:rPr>
      </w:pPr>
      <w:r>
        <w:rPr>
          <w:rStyle w:val="SubtleEmphasis"/>
          <w:rFonts w:ascii="Times New Roman" w:hAnsi="Times New Roman" w:cs="Times New Roman"/>
        </w:rPr>
        <w:t>Some of these practices were applied in the case of Matthew Hedges, mentioned above, who was kept in solitary confinement in a brightly lit, windowless and soundproof office room. For months, he was interrogated daily by agents of the SSA, sometimes up to 15 hours at a time, while being forced to wear ankle cuffs. SSA agents repeatedly threatened Hedges with torture, life imprisonment and rendition to an overseas Emirati military base.</w:t>
      </w:r>
    </w:p>
    <w:p w:rsidR="0060459F" w:rsidRDefault="00F96166">
      <w:pPr>
        <w:jc w:val="both"/>
        <w:rPr>
          <w:rStyle w:val="SubtleEmphasis"/>
          <w:rFonts w:ascii="Times New Roman" w:hAnsi="Times New Roman" w:cs="Times New Roman"/>
        </w:rPr>
      </w:pPr>
      <w:r>
        <w:rPr>
          <w:rStyle w:val="SubtleEmphasis"/>
          <w:rFonts w:ascii="Times New Roman" w:hAnsi="Times New Roman" w:cs="Times New Roman"/>
        </w:rPr>
        <w:lastRenderedPageBreak/>
        <w:t xml:space="preserve">Furthermore, many cases documented by MENA Rights Group (detailed in annex 1) also confirm these and other forms of ill-treatment. For example, Abdullah Al </w:t>
      </w:r>
      <w:proofErr w:type="spellStart"/>
      <w:r>
        <w:rPr>
          <w:rStyle w:val="SubtleEmphasis"/>
          <w:rFonts w:ascii="Times New Roman" w:hAnsi="Times New Roman" w:cs="Times New Roman"/>
        </w:rPr>
        <w:t>Shamsi</w:t>
      </w:r>
      <w:proofErr w:type="spellEnd"/>
      <w:r>
        <w:rPr>
          <w:rStyle w:val="SubtleEmphasis"/>
          <w:rFonts w:ascii="Times New Roman" w:hAnsi="Times New Roman" w:cs="Times New Roman"/>
        </w:rPr>
        <w:t xml:space="preserve"> was subjected to beatings, harassment, threats, electrocution, nail removal, starvation, and prolonged sleep deprivation; while Amina Al </w:t>
      </w:r>
      <w:proofErr w:type="spellStart"/>
      <w:r>
        <w:rPr>
          <w:rStyle w:val="SubtleEmphasis"/>
          <w:rFonts w:ascii="Times New Roman" w:hAnsi="Times New Roman" w:cs="Times New Roman"/>
        </w:rPr>
        <w:t>Abdouli</w:t>
      </w:r>
      <w:proofErr w:type="spellEnd"/>
      <w:r>
        <w:rPr>
          <w:rStyle w:val="SubtleEmphasis"/>
          <w:rFonts w:ascii="Times New Roman" w:hAnsi="Times New Roman" w:cs="Times New Roman"/>
        </w:rPr>
        <w:t xml:space="preserve"> was kept in solitary confinement in a narrow room with no windows and was also subjected to severe acts of torture, including being stripped naked, beaten, blind-folded, bound at the feet, and sleep deprived. Other examples can be found in annex 1.</w:t>
      </w:r>
    </w:p>
    <w:p w:rsidR="0060459F" w:rsidRDefault="00F96166">
      <w:pPr>
        <w:spacing w:line="276" w:lineRule="auto"/>
        <w:jc w:val="both"/>
        <w:rPr>
          <w:rStyle w:val="SubtleEmphasis"/>
          <w:rFonts w:ascii="Times New Roman" w:hAnsi="Times New Roman" w:cs="Times New Roman"/>
          <w:szCs w:val="24"/>
        </w:rPr>
      </w:pPr>
      <w:r>
        <w:rPr>
          <w:rStyle w:val="SubtleEmphasis"/>
          <w:rFonts w:ascii="Times New Roman" w:hAnsi="Times New Roman" w:cs="Times New Roman"/>
        </w:rPr>
        <w:t xml:space="preserve">In most of these cases, torture was committed by members of the SSA, which </w:t>
      </w:r>
      <w:r>
        <w:rPr>
          <w:rFonts w:ascii="Times New Roman" w:hAnsi="Times New Roman" w:cs="Times New Roman"/>
          <w:sz w:val="24"/>
          <w:szCs w:val="24"/>
        </w:rPr>
        <w:t>has been responsible for perpetrating a widespread pattern of gross human rights violations, including not only torture, but also enforced disappearance, arbitrary arrest and detention, most notably against government critics, political opposition figures and human rights defenders.</w:t>
      </w:r>
      <w:r>
        <w:rPr>
          <w:rStyle w:val="FootnoteReference"/>
          <w:rFonts w:ascii="Times New Roman" w:hAnsi="Times New Roman" w:cs="Times New Roman"/>
          <w:sz w:val="24"/>
          <w:szCs w:val="24"/>
        </w:rPr>
        <w:footnoteReference w:id="90"/>
      </w:r>
      <w:r>
        <w:rPr>
          <w:rFonts w:ascii="Times New Roman" w:hAnsi="Times New Roman" w:cs="Times New Roman"/>
          <w:sz w:val="24"/>
          <w:szCs w:val="24"/>
        </w:rPr>
        <w:t xml:space="preserve"> It has also repeatedly used the powers it has been afforded by law in order to monitor, survey and harass human rights defenders, dissidents and activists.</w:t>
      </w:r>
      <w:r>
        <w:rPr>
          <w:rStyle w:val="FootnoteReference"/>
          <w:rFonts w:ascii="Times New Roman" w:hAnsi="Times New Roman" w:cs="Times New Roman"/>
          <w:sz w:val="24"/>
          <w:szCs w:val="24"/>
        </w:rPr>
        <w:footnoteReference w:id="91"/>
      </w:r>
    </w:p>
    <w:p w:rsidR="0060459F" w:rsidRDefault="00F96166">
      <w:pPr>
        <w:spacing w:line="276" w:lineRule="auto"/>
        <w:jc w:val="both"/>
        <w:rPr>
          <w:rFonts w:ascii="Times New Roman" w:hAnsi="Times New Roman" w:cs="Times New Roman"/>
          <w:sz w:val="24"/>
          <w:szCs w:val="24"/>
        </w:rPr>
      </w:pPr>
      <w:r>
        <w:rPr>
          <w:rStyle w:val="SubtleEmphasis"/>
          <w:rFonts w:ascii="Times New Roman" w:hAnsi="Times New Roman" w:cs="Times New Roman"/>
        </w:rPr>
        <w:t xml:space="preserve">The SSA is regulated by the 2003 State Security Law. </w:t>
      </w:r>
      <w:r>
        <w:rPr>
          <w:rFonts w:ascii="Times New Roman" w:hAnsi="Times New Roman" w:cs="Times New Roman"/>
          <w:sz w:val="24"/>
          <w:szCs w:val="24"/>
        </w:rPr>
        <w:t xml:space="preserve">The ambiguous and overbroad nature of the terminology utilised in this law provides the SSA with the discretion to commit </w:t>
      </w:r>
      <w:proofErr w:type="gramStart"/>
      <w:r>
        <w:rPr>
          <w:rFonts w:ascii="Times New Roman" w:hAnsi="Times New Roman" w:cs="Times New Roman"/>
          <w:sz w:val="24"/>
          <w:szCs w:val="24"/>
        </w:rPr>
        <w:t>various</w:t>
      </w:r>
      <w:proofErr w:type="gramEnd"/>
      <w:r>
        <w:rPr>
          <w:rFonts w:ascii="Times New Roman" w:hAnsi="Times New Roman" w:cs="Times New Roman"/>
          <w:sz w:val="24"/>
          <w:szCs w:val="24"/>
        </w:rPr>
        <w:t xml:space="preserve"> of the abovementioned human rights violations. For example, not only does article 15 of the text provide the SSA with the authority to “monitor social phenomena in the State and assess it and reveal its sources, causes and extent of affecting the State’s security and policy,” but it also authorises the SSA to “take the necessary measures to limit these phenomena,” further adding that the SSA “may resort to any measure that it sees fit” in the pursuit of this objective. As such, the SSA may arbitrarily arrest and detain individuals for prolonged periods and without judicial </w:t>
      </w:r>
      <w:r>
        <w:rPr>
          <w:rFonts w:ascii="Times New Roman" w:hAnsi="Times New Roman" w:cs="Times New Roman"/>
          <w:sz w:val="24"/>
          <w:szCs w:val="24"/>
        </w:rPr>
        <w:lastRenderedPageBreak/>
        <w:t>oversight or due process guarantees, under the pretext of “monitoring social phenomena.” Furthermore, the SSA is responsible for running a number of secret or undisclosed detention sites, where detainees are brought right after their arrest and investigated.</w:t>
      </w:r>
      <w:r>
        <w:rPr>
          <w:rStyle w:val="FootnoteReference"/>
          <w:rFonts w:ascii="Times New Roman" w:hAnsi="Times New Roman" w:cs="Times New Roman"/>
          <w:sz w:val="24"/>
          <w:szCs w:val="24"/>
        </w:rPr>
        <w:footnoteReference w:id="92"/>
      </w:r>
      <w:r>
        <w:rPr>
          <w:rFonts w:ascii="Times New Roman" w:hAnsi="Times New Roman" w:cs="Times New Roman"/>
          <w:sz w:val="24"/>
          <w:szCs w:val="24"/>
        </w:rPr>
        <w:t xml:space="preserve"> Not only is this prolonged period of incommunicado detention in secret facilities an act of torture in itself, but it is also often during this period that detainees are subjected to the different forms of ill-treatment mentioned above, frequently with the aim of extracting coerced confessions.</w:t>
      </w:r>
    </w:p>
    <w:p w:rsidR="0060459F" w:rsidRDefault="00F96166">
      <w:pPr>
        <w:pStyle w:val="Heading2"/>
        <w:rPr>
          <w:rFonts w:ascii="Times New Roman" w:hAnsi="Times New Roman" w:cs="Times New Roman"/>
        </w:rPr>
      </w:pPr>
      <w:bookmarkStart w:id="21" w:name="_Toc103273054"/>
      <w:r>
        <w:rPr>
          <w:rFonts w:ascii="Times New Roman" w:eastAsiaTheme="minorEastAsia" w:hAnsi="Times New Roman" w:cs="Times New Roman"/>
        </w:rPr>
        <w:t>Conditions of detention</w:t>
      </w:r>
      <w:bookmarkEnd w:id="21"/>
    </w:p>
    <w:p w:rsidR="0060459F" w:rsidRDefault="00F96166">
      <w:pPr>
        <w:spacing w:line="276" w:lineRule="auto"/>
        <w:jc w:val="both"/>
        <w:rPr>
          <w:rStyle w:val="SubtleEmphasis"/>
          <w:rFonts w:ascii="Times New Roman" w:hAnsi="Times New Roman" w:cs="Times New Roman"/>
          <w:szCs w:val="24"/>
        </w:rPr>
      </w:pPr>
      <w:r>
        <w:rPr>
          <w:rFonts w:ascii="Times New Roman" w:hAnsi="Times New Roman" w:cs="Times New Roman"/>
          <w:sz w:val="24"/>
          <w:szCs w:val="24"/>
        </w:rPr>
        <w:t xml:space="preserve">Even when the abovementioned periods of secret and incommunicado detention (resulting in enforced disappearances) come to an end, conditions of detention may still be akin to torture, or leading to a violation of article 16 UNCAT. For example, Ahmed </w:t>
      </w:r>
      <w:proofErr w:type="spellStart"/>
      <w:r>
        <w:rPr>
          <w:rFonts w:ascii="Times New Roman" w:hAnsi="Times New Roman" w:cs="Times New Roman"/>
          <w:sz w:val="24"/>
          <w:szCs w:val="24"/>
        </w:rPr>
        <w:t>Mansoor</w:t>
      </w:r>
      <w:proofErr w:type="spellEnd"/>
      <w:r>
        <w:rPr>
          <w:rFonts w:ascii="Times New Roman" w:hAnsi="Times New Roman" w:cs="Times New Roman"/>
          <w:sz w:val="24"/>
          <w:szCs w:val="24"/>
        </w:rPr>
        <w:t xml:space="preserve"> (case detailed in annex 1) has been subjected to long periods of solitary confinement in Al Sadr prison in Abu Dhabi. He is detained with no bed or water in his cell and with no access to a shower. Visits are rarely offered, and he fails to receive adequate medical attention. Ahmed Al </w:t>
      </w:r>
      <w:proofErr w:type="spellStart"/>
      <w:r>
        <w:rPr>
          <w:rFonts w:ascii="Times New Roman" w:hAnsi="Times New Roman" w:cs="Times New Roman"/>
          <w:sz w:val="24"/>
          <w:szCs w:val="24"/>
        </w:rPr>
        <w:t>Atoum</w:t>
      </w:r>
      <w:proofErr w:type="spellEnd"/>
      <w:r>
        <w:rPr>
          <w:rFonts w:ascii="Times New Roman" w:hAnsi="Times New Roman" w:cs="Times New Roman"/>
          <w:sz w:val="24"/>
          <w:szCs w:val="24"/>
        </w:rPr>
        <w:t xml:space="preserve">, Amina Al </w:t>
      </w:r>
      <w:proofErr w:type="spellStart"/>
      <w:r>
        <w:rPr>
          <w:rFonts w:ascii="Times New Roman" w:hAnsi="Times New Roman" w:cs="Times New Roman"/>
          <w:sz w:val="24"/>
          <w:szCs w:val="24"/>
        </w:rPr>
        <w:t>Abdouli</w:t>
      </w:r>
      <w:proofErr w:type="spellEnd"/>
      <w:r>
        <w:rPr>
          <w:rFonts w:ascii="Times New Roman" w:hAnsi="Times New Roman" w:cs="Times New Roman"/>
          <w:sz w:val="24"/>
          <w:szCs w:val="24"/>
        </w:rPr>
        <w:t xml:space="preserve"> and Maryam Al </w:t>
      </w:r>
      <w:proofErr w:type="spellStart"/>
      <w:r>
        <w:rPr>
          <w:rFonts w:ascii="Times New Roman" w:hAnsi="Times New Roman" w:cs="Times New Roman"/>
          <w:sz w:val="24"/>
          <w:szCs w:val="24"/>
        </w:rPr>
        <w:t>Balushi</w:t>
      </w:r>
      <w:proofErr w:type="spellEnd"/>
      <w:r>
        <w:rPr>
          <w:rFonts w:ascii="Times New Roman" w:hAnsi="Times New Roman" w:cs="Times New Roman"/>
          <w:sz w:val="24"/>
          <w:szCs w:val="24"/>
        </w:rPr>
        <w:t xml:space="preserve"> (cases detailed in annex 1) also faced lengthy periods of solitary confinement. The latter was further subjected to humiliating conditions, including the placement of surveillance cameras inside her bathroom. Moreover, “[t]here continued to be allegations of overcrowding, long waits for health-care access, and poor sanitary conditions”</w:t>
      </w:r>
      <w:r>
        <w:rPr>
          <w:rStyle w:val="FootnoteReference"/>
          <w:rFonts w:ascii="Times New Roman" w:hAnsi="Times New Roman" w:cs="Times New Roman"/>
          <w:sz w:val="24"/>
          <w:szCs w:val="24"/>
        </w:rPr>
        <w:footnoteReference w:id="93"/>
      </w:r>
      <w:r>
        <w:rPr>
          <w:rFonts w:ascii="Times New Roman" w:hAnsi="Times New Roman" w:cs="Times New Roman"/>
          <w:sz w:val="24"/>
          <w:szCs w:val="24"/>
        </w:rPr>
        <w:t xml:space="preserve"> in Emirati prisons and detention facilities. There were also complaints about the absence of cooling systems in prisons located in areas of the country where extreme temperatures can be reached.</w:t>
      </w:r>
      <w:r>
        <w:rPr>
          <w:rStyle w:val="FootnoteReference"/>
          <w:rFonts w:ascii="Times New Roman" w:hAnsi="Times New Roman" w:cs="Times New Roman"/>
          <w:sz w:val="24"/>
          <w:szCs w:val="24"/>
        </w:rPr>
        <w:footnoteReference w:id="94"/>
      </w:r>
    </w:p>
    <w:p w:rsidR="0060459F" w:rsidRDefault="00F96166">
      <w:pPr>
        <w:jc w:val="both"/>
        <w:rPr>
          <w:rStyle w:val="SubtleEmphasis"/>
          <w:rFonts w:ascii="Times New Roman" w:hAnsi="Times New Roman" w:cs="Times New Roman"/>
        </w:rPr>
      </w:pPr>
      <w:r>
        <w:rPr>
          <w:rStyle w:val="SubtleEmphasis"/>
          <w:rFonts w:ascii="Times New Roman" w:hAnsi="Times New Roman" w:cs="Times New Roman"/>
        </w:rPr>
        <w:t xml:space="preserve">Furthermore, the UAE authorities have also failed to take the necessary measures to address the COVID-19 outbreak in Al </w:t>
      </w:r>
      <w:proofErr w:type="spellStart"/>
      <w:r>
        <w:rPr>
          <w:rStyle w:val="SubtleEmphasis"/>
          <w:rFonts w:ascii="Times New Roman" w:hAnsi="Times New Roman" w:cs="Times New Roman"/>
        </w:rPr>
        <w:t>Wathba</w:t>
      </w:r>
      <w:proofErr w:type="spellEnd"/>
      <w:r>
        <w:rPr>
          <w:rStyle w:val="SubtleEmphasis"/>
          <w:rFonts w:ascii="Times New Roman" w:hAnsi="Times New Roman" w:cs="Times New Roman"/>
        </w:rPr>
        <w:t xml:space="preserve"> prison, Abu Dhabi, putting the health and life of prisoners at serious risk. On 16 </w:t>
      </w:r>
      <w:proofErr w:type="gramStart"/>
      <w:r>
        <w:rPr>
          <w:rStyle w:val="SubtleEmphasis"/>
          <w:rFonts w:ascii="Times New Roman" w:hAnsi="Times New Roman" w:cs="Times New Roman"/>
        </w:rPr>
        <w:t>April  2020</w:t>
      </w:r>
      <w:proofErr w:type="gramEnd"/>
      <w:r>
        <w:rPr>
          <w:rStyle w:val="SubtleEmphasis"/>
          <w:rFonts w:ascii="Times New Roman" w:hAnsi="Times New Roman" w:cs="Times New Roman"/>
        </w:rPr>
        <w:t xml:space="preserve">, the first case of COVID-19 in Al </w:t>
      </w:r>
      <w:proofErr w:type="spellStart"/>
      <w:r>
        <w:rPr>
          <w:rStyle w:val="SubtleEmphasis"/>
          <w:rFonts w:ascii="Times New Roman" w:hAnsi="Times New Roman" w:cs="Times New Roman"/>
        </w:rPr>
        <w:t>Wathba</w:t>
      </w:r>
      <w:proofErr w:type="spellEnd"/>
      <w:r>
        <w:rPr>
          <w:rStyle w:val="SubtleEmphasis"/>
          <w:rFonts w:ascii="Times New Roman" w:hAnsi="Times New Roman" w:cs="Times New Roman"/>
        </w:rPr>
        <w:t xml:space="preserve"> prison was reported, following which multiple prisoners tested positive. Ill prisoners and those showing symptoms were not provided with appropriate health care and continued to be detained in dire conditions in overcrowded cells.</w:t>
      </w:r>
    </w:p>
    <w:p w:rsidR="0060459F" w:rsidRDefault="00F96166">
      <w:pPr>
        <w:jc w:val="both"/>
        <w:rPr>
          <w:rStyle w:val="SubtleEmphasis"/>
          <w:rFonts w:ascii="Times New Roman" w:hAnsi="Times New Roman" w:cs="Times New Roman"/>
        </w:rPr>
      </w:pPr>
      <w:r>
        <w:rPr>
          <w:rStyle w:val="SubtleEmphasis"/>
          <w:rFonts w:ascii="Times New Roman" w:hAnsi="Times New Roman" w:cs="Times New Roman"/>
        </w:rPr>
        <w:lastRenderedPageBreak/>
        <w:t>Testimonies collected by MENA Rights Group</w:t>
      </w:r>
      <w:r>
        <w:rPr>
          <w:rStyle w:val="FootnoteReference"/>
          <w:rFonts w:ascii="Times New Roman" w:hAnsi="Times New Roman" w:cs="Times New Roman"/>
          <w:sz w:val="24"/>
        </w:rPr>
        <w:footnoteReference w:id="95"/>
      </w:r>
      <w:r>
        <w:rPr>
          <w:rStyle w:val="SubtleEmphasis"/>
          <w:rFonts w:ascii="Times New Roman" w:hAnsi="Times New Roman" w:cs="Times New Roman"/>
        </w:rPr>
        <w:t xml:space="preserve"> have shown that after the outbreak in mid-April, several inmates who tested positive were transferred to other cells in the prison. After that, their families received no news regarding said inmates’ state of health. Inmates who were previously sharing cells with those who were transferred were not tested, despite their proximity to infected individuals.</w:t>
      </w:r>
    </w:p>
    <w:p w:rsidR="0060459F" w:rsidRDefault="00F96166">
      <w:pPr>
        <w:jc w:val="both"/>
        <w:rPr>
          <w:rStyle w:val="SubtleEmphasis"/>
          <w:rFonts w:ascii="Times New Roman" w:hAnsi="Times New Roman" w:cs="Times New Roman"/>
        </w:rPr>
      </w:pPr>
      <w:r>
        <w:rPr>
          <w:rStyle w:val="SubtleEmphasis"/>
          <w:rFonts w:ascii="Times New Roman" w:hAnsi="Times New Roman" w:cs="Times New Roman"/>
        </w:rPr>
        <w:t>Moreover, no precautionary measures were taken by the prison authorities to enforce social distancing measures in cells, nor to isolate all infected prisoners from the others. No masks, gloves, disinfectant, or additional soap supplies were distributed to inmates.</w:t>
      </w:r>
    </w:p>
    <w:p w:rsidR="0060459F" w:rsidRDefault="0060459F">
      <w:pPr>
        <w:jc w:val="both"/>
        <w:rPr>
          <w:rStyle w:val="SubtleEmphasis"/>
          <w:rFonts w:ascii="Times New Roman" w:hAnsi="Times New Roman" w:cs="Times New Roman"/>
        </w:rPr>
      </w:pPr>
    </w:p>
    <w:p w:rsidR="0060459F" w:rsidRDefault="00F96166">
      <w:pPr>
        <w:pStyle w:val="Heading2"/>
        <w:rPr>
          <w:rFonts w:ascii="Times New Roman" w:hAnsi="Times New Roman" w:cs="Times New Roman"/>
        </w:rPr>
      </w:pPr>
      <w:bookmarkStart w:id="22" w:name="_Toc103273055"/>
      <w:r>
        <w:rPr>
          <w:rFonts w:ascii="Times New Roman" w:eastAsiaTheme="minorEastAsia" w:hAnsi="Times New Roman" w:cs="Times New Roman"/>
        </w:rPr>
        <w:t>Torture by UAE forces in the context of the Yemeni armed conflict</w:t>
      </w:r>
      <w:bookmarkEnd w:id="22"/>
    </w:p>
    <w:p w:rsidR="0060459F" w:rsidRDefault="00F96166">
      <w:pPr>
        <w:jc w:val="both"/>
        <w:rPr>
          <w:rStyle w:val="SubtleEmphasis"/>
          <w:rFonts w:ascii="Times New Roman" w:hAnsi="Times New Roman" w:cs="Times New Roman"/>
        </w:rPr>
      </w:pPr>
      <w:r>
        <w:rPr>
          <w:rStyle w:val="SubtleEmphasis"/>
          <w:rFonts w:ascii="Times New Roman" w:hAnsi="Times New Roman" w:cs="Times New Roman"/>
        </w:rPr>
        <w:t>In the early days of the armed conflict in Yemen, the UAE joined the Saudi-led coalition, which has been fighting the Houthi armed group in Yemen since 2015. In that context, the UAE backed two local groups: the Yemeni Joint Forces and the secessionist Southern Transitional Council.</w:t>
      </w:r>
      <w:r>
        <w:rPr>
          <w:rStyle w:val="FootnoteReference"/>
          <w:rFonts w:ascii="Times New Roman" w:hAnsi="Times New Roman" w:cs="Times New Roman"/>
          <w:sz w:val="24"/>
        </w:rPr>
        <w:footnoteReference w:id="96"/>
      </w:r>
      <w:r>
        <w:rPr>
          <w:rStyle w:val="SubtleEmphasis"/>
          <w:rFonts w:ascii="Times New Roman" w:hAnsi="Times New Roman" w:cs="Times New Roman"/>
        </w:rPr>
        <w:t xml:space="preserve"> “The UAE also contributed to the creation of local, loyal armed groups known by various names, including the Security Belt, the </w:t>
      </w:r>
      <w:proofErr w:type="spellStart"/>
      <w:r>
        <w:rPr>
          <w:rStyle w:val="SubtleEmphasis"/>
          <w:rFonts w:ascii="Times New Roman" w:hAnsi="Times New Roman" w:cs="Times New Roman"/>
        </w:rPr>
        <w:t>Hadrami</w:t>
      </w:r>
      <w:proofErr w:type="spellEnd"/>
      <w:r>
        <w:rPr>
          <w:rStyle w:val="SubtleEmphasis"/>
          <w:rFonts w:ascii="Times New Roman" w:hAnsi="Times New Roman" w:cs="Times New Roman"/>
        </w:rPr>
        <w:t xml:space="preserve"> Elite, and the </w:t>
      </w:r>
      <w:proofErr w:type="spellStart"/>
      <w:r>
        <w:rPr>
          <w:rStyle w:val="SubtleEmphasis"/>
          <w:rFonts w:ascii="Times New Roman" w:hAnsi="Times New Roman" w:cs="Times New Roman"/>
        </w:rPr>
        <w:t>Shabwani</w:t>
      </w:r>
      <w:proofErr w:type="spellEnd"/>
      <w:r>
        <w:rPr>
          <w:rStyle w:val="SubtleEmphasis"/>
          <w:rFonts w:ascii="Times New Roman" w:hAnsi="Times New Roman" w:cs="Times New Roman"/>
        </w:rPr>
        <w:t xml:space="preserve"> Elite.”</w:t>
      </w:r>
      <w:r>
        <w:rPr>
          <w:rStyle w:val="FootnoteReference"/>
          <w:rFonts w:ascii="Times New Roman" w:hAnsi="Times New Roman" w:cs="Times New Roman"/>
          <w:sz w:val="24"/>
        </w:rPr>
        <w:footnoteReference w:id="97"/>
      </w:r>
      <w:r>
        <w:rPr>
          <w:rStyle w:val="SubtleEmphasis"/>
          <w:rFonts w:ascii="Times New Roman" w:hAnsi="Times New Roman" w:cs="Times New Roman"/>
        </w:rPr>
        <w:t xml:space="preserve"> In 2019, the UAE announced that it would remove its troops from Yemen,</w:t>
      </w:r>
      <w:r>
        <w:rPr>
          <w:rStyle w:val="FootnoteReference"/>
          <w:rFonts w:ascii="Times New Roman" w:hAnsi="Times New Roman" w:cs="Times New Roman"/>
          <w:sz w:val="24"/>
        </w:rPr>
        <w:footnoteReference w:id="98"/>
      </w:r>
      <w:r>
        <w:rPr>
          <w:rStyle w:val="SubtleEmphasis"/>
          <w:rFonts w:ascii="Times New Roman" w:hAnsi="Times New Roman" w:cs="Times New Roman"/>
        </w:rPr>
        <w:t xml:space="preserve"> but despite the withdrawal, the Emirates are believed to continue to have a strong influence over local groups and the Saudi-led coalition.</w:t>
      </w:r>
      <w:r>
        <w:rPr>
          <w:rStyle w:val="FootnoteReference"/>
          <w:rFonts w:ascii="Times New Roman" w:hAnsi="Times New Roman" w:cs="Times New Roman"/>
          <w:sz w:val="24"/>
        </w:rPr>
        <w:footnoteReference w:id="99"/>
      </w:r>
    </w:p>
    <w:p w:rsidR="0060459F" w:rsidRDefault="00F96166">
      <w:pPr>
        <w:jc w:val="both"/>
        <w:rPr>
          <w:rStyle w:val="SubtleEmphasis"/>
          <w:rFonts w:ascii="Times New Roman" w:hAnsi="Times New Roman" w:cs="Times New Roman"/>
        </w:rPr>
      </w:pPr>
      <w:r>
        <w:rPr>
          <w:rStyle w:val="SubtleEmphasis"/>
          <w:rFonts w:ascii="Times New Roman" w:hAnsi="Times New Roman" w:cs="Times New Roman"/>
        </w:rPr>
        <w:t>The UAE and the groups it supports controlled secret detention sites in Yemen, where human rights violations occur.</w:t>
      </w:r>
      <w:r>
        <w:rPr>
          <w:rStyle w:val="FootnoteReference"/>
          <w:rFonts w:ascii="Times New Roman" w:hAnsi="Times New Roman" w:cs="Times New Roman"/>
          <w:sz w:val="24"/>
        </w:rPr>
        <w:footnoteReference w:id="100"/>
      </w:r>
      <w:r>
        <w:rPr>
          <w:rStyle w:val="SubtleEmphasis"/>
          <w:rFonts w:ascii="Times New Roman" w:hAnsi="Times New Roman" w:cs="Times New Roman"/>
        </w:rPr>
        <w:t xml:space="preserve"> In this regard, a UN Group of Experts noted in 2019 that it had “reasonable grounds to believe that the Governments of Yemen, Saudi Arabia and the United Arab Emirates violated the right to liberty and security of person, namely through enforced </w:t>
      </w:r>
      <w:r>
        <w:rPr>
          <w:rStyle w:val="SubtleEmphasis"/>
          <w:rFonts w:ascii="Times New Roman" w:hAnsi="Times New Roman" w:cs="Times New Roman"/>
        </w:rPr>
        <w:lastRenderedPageBreak/>
        <w:t>disappearances, arbitrary arrest and detention, and torture and other ill-treatment, including sexual violence.”</w:t>
      </w:r>
      <w:r>
        <w:rPr>
          <w:rStyle w:val="FootnoteReference"/>
          <w:rFonts w:ascii="Times New Roman" w:hAnsi="Times New Roman" w:cs="Times New Roman"/>
          <w:sz w:val="24"/>
        </w:rPr>
        <w:footnoteReference w:id="101"/>
      </w:r>
      <w:r>
        <w:rPr>
          <w:rStyle w:val="SubtleEmphasis"/>
          <w:rFonts w:ascii="Times New Roman" w:hAnsi="Times New Roman" w:cs="Times New Roman"/>
        </w:rPr>
        <w:t xml:space="preserve"> For example, </w:t>
      </w:r>
      <w:proofErr w:type="spellStart"/>
      <w:r>
        <w:rPr>
          <w:rStyle w:val="SubtleEmphasis"/>
          <w:rFonts w:ascii="Times New Roman" w:hAnsi="Times New Roman" w:cs="Times New Roman"/>
        </w:rPr>
        <w:t>Mwatana</w:t>
      </w:r>
      <w:proofErr w:type="spellEnd"/>
      <w:r>
        <w:rPr>
          <w:rStyle w:val="SubtleEmphasis"/>
          <w:rFonts w:ascii="Times New Roman" w:hAnsi="Times New Roman" w:cs="Times New Roman"/>
        </w:rPr>
        <w:t xml:space="preserve"> for Human Rights documented cases of torture in four centres controlled by the UAE and its backed forces. The first one is the </w:t>
      </w:r>
      <w:proofErr w:type="spellStart"/>
      <w:r>
        <w:rPr>
          <w:rStyle w:val="SubtleEmphasis"/>
          <w:rFonts w:ascii="Times New Roman" w:hAnsi="Times New Roman" w:cs="Times New Roman"/>
        </w:rPr>
        <w:t>Waddah</w:t>
      </w:r>
      <w:proofErr w:type="spellEnd"/>
      <w:r>
        <w:rPr>
          <w:rStyle w:val="SubtleEmphasis"/>
          <w:rFonts w:ascii="Times New Roman" w:hAnsi="Times New Roman" w:cs="Times New Roman"/>
        </w:rPr>
        <w:t xml:space="preserve"> Hall in Aden Governorate, controlled by the Aden Security Department, itself controlled by the Southern Transitional Council. “</w:t>
      </w:r>
      <w:proofErr w:type="spellStart"/>
      <w:r>
        <w:rPr>
          <w:rStyle w:val="SubtleEmphasis"/>
          <w:rFonts w:ascii="Times New Roman" w:hAnsi="Times New Roman" w:cs="Times New Roman"/>
        </w:rPr>
        <w:t>Mwatana</w:t>
      </w:r>
      <w:proofErr w:type="spellEnd"/>
      <w:r>
        <w:rPr>
          <w:rStyle w:val="SubtleEmphasis"/>
          <w:rFonts w:ascii="Times New Roman" w:hAnsi="Times New Roman" w:cs="Times New Roman"/>
        </w:rPr>
        <w:t xml:space="preserve"> investigated the cases of 29 people who were arbitrarily detained at the site, 18 </w:t>
      </w:r>
      <w:proofErr w:type="spellStart"/>
      <w:r>
        <w:rPr>
          <w:rStyle w:val="SubtleEmphasis"/>
          <w:rFonts w:ascii="Times New Roman" w:hAnsi="Times New Roman" w:cs="Times New Roman"/>
        </w:rPr>
        <w:t>caes</w:t>
      </w:r>
      <w:proofErr w:type="spellEnd"/>
      <w:r>
        <w:rPr>
          <w:rStyle w:val="SubtleEmphasis"/>
          <w:rFonts w:ascii="Times New Roman" w:hAnsi="Times New Roman" w:cs="Times New Roman"/>
        </w:rPr>
        <w:t xml:space="preserve"> [sic] of torture, and 2 deaths in detention in </w:t>
      </w:r>
      <w:proofErr w:type="spellStart"/>
      <w:r>
        <w:rPr>
          <w:rStyle w:val="SubtleEmphasis"/>
          <w:rFonts w:ascii="Times New Roman" w:hAnsi="Times New Roman" w:cs="Times New Roman"/>
        </w:rPr>
        <w:t>Waddah</w:t>
      </w:r>
      <w:proofErr w:type="spellEnd"/>
      <w:r>
        <w:rPr>
          <w:rStyle w:val="SubtleEmphasis"/>
          <w:rFonts w:ascii="Times New Roman" w:hAnsi="Times New Roman" w:cs="Times New Roman"/>
        </w:rPr>
        <w:t xml:space="preserve"> Hall. The families of those detained in </w:t>
      </w:r>
      <w:proofErr w:type="spellStart"/>
      <w:r>
        <w:rPr>
          <w:rStyle w:val="SubtleEmphasis"/>
          <w:rFonts w:ascii="Times New Roman" w:hAnsi="Times New Roman" w:cs="Times New Roman"/>
        </w:rPr>
        <w:t>Waddah</w:t>
      </w:r>
      <w:proofErr w:type="spellEnd"/>
      <w:r>
        <w:rPr>
          <w:rStyle w:val="SubtleEmphasis"/>
          <w:rFonts w:ascii="Times New Roman" w:hAnsi="Times New Roman" w:cs="Times New Roman"/>
        </w:rPr>
        <w:t xml:space="preserve"> Hall did not know where their relatives were held until after their release or transfer to another place of detention.”</w:t>
      </w:r>
      <w:r>
        <w:rPr>
          <w:rStyle w:val="FootnoteReference"/>
          <w:rFonts w:ascii="Times New Roman" w:hAnsi="Times New Roman" w:cs="Times New Roman"/>
          <w:sz w:val="24"/>
        </w:rPr>
        <w:footnoteReference w:id="102"/>
      </w:r>
      <w:r>
        <w:rPr>
          <w:rStyle w:val="SubtleEmphasis"/>
          <w:rFonts w:ascii="Times New Roman" w:hAnsi="Times New Roman" w:cs="Times New Roman"/>
        </w:rPr>
        <w:t xml:space="preserve"> Methods of torture reported included nail removal, forced nudity, and threats to rape detainees or their relatives.</w:t>
      </w:r>
    </w:p>
    <w:p w:rsidR="0060459F" w:rsidRDefault="00F96166">
      <w:pPr>
        <w:jc w:val="both"/>
        <w:rPr>
          <w:rStyle w:val="SubtleEmphasis"/>
          <w:rFonts w:ascii="Times New Roman" w:hAnsi="Times New Roman" w:cs="Times New Roman"/>
        </w:rPr>
      </w:pPr>
      <w:r>
        <w:rPr>
          <w:rStyle w:val="SubtleEmphasis"/>
          <w:rFonts w:ascii="Times New Roman" w:hAnsi="Times New Roman" w:cs="Times New Roman"/>
        </w:rPr>
        <w:t xml:space="preserve">The second is the Al </w:t>
      </w:r>
      <w:proofErr w:type="spellStart"/>
      <w:r>
        <w:rPr>
          <w:rStyle w:val="SubtleEmphasis"/>
          <w:rFonts w:ascii="Times New Roman" w:hAnsi="Times New Roman" w:cs="Times New Roman"/>
        </w:rPr>
        <w:t>Jala</w:t>
      </w:r>
      <w:proofErr w:type="spellEnd"/>
      <w:r>
        <w:rPr>
          <w:rStyle w:val="SubtleEmphasis"/>
          <w:rFonts w:ascii="Times New Roman" w:hAnsi="Times New Roman" w:cs="Times New Roman"/>
        </w:rPr>
        <w:t xml:space="preserve"> Camp in Aden Governorate, under the control of the First Support and Backup Brigade of the UAE-backed Southern Transitional Council. </w:t>
      </w:r>
      <w:proofErr w:type="spellStart"/>
      <w:r>
        <w:rPr>
          <w:rStyle w:val="SubtleEmphasis"/>
          <w:rFonts w:ascii="Times New Roman" w:hAnsi="Times New Roman" w:cs="Times New Roman"/>
        </w:rPr>
        <w:t>Mwatana</w:t>
      </w:r>
      <w:proofErr w:type="spellEnd"/>
      <w:r>
        <w:rPr>
          <w:rStyle w:val="SubtleEmphasis"/>
          <w:rFonts w:ascii="Times New Roman" w:hAnsi="Times New Roman" w:cs="Times New Roman"/>
        </w:rPr>
        <w:t xml:space="preserve"> for Human Rights verified at least 13 cases of arbitrary detention and 17 of torture in the Al </w:t>
      </w:r>
      <w:proofErr w:type="spellStart"/>
      <w:r>
        <w:rPr>
          <w:rStyle w:val="SubtleEmphasis"/>
          <w:rFonts w:ascii="Times New Roman" w:hAnsi="Times New Roman" w:cs="Times New Roman"/>
        </w:rPr>
        <w:t>Jala</w:t>
      </w:r>
      <w:proofErr w:type="spellEnd"/>
      <w:r>
        <w:rPr>
          <w:rStyle w:val="SubtleEmphasis"/>
          <w:rFonts w:ascii="Times New Roman" w:hAnsi="Times New Roman" w:cs="Times New Roman"/>
        </w:rPr>
        <w:t xml:space="preserve"> camp between May 2016 and April 2020. “Detainees in Al </w:t>
      </w:r>
      <w:proofErr w:type="spellStart"/>
      <w:r>
        <w:rPr>
          <w:rStyle w:val="SubtleEmphasis"/>
          <w:rFonts w:ascii="Times New Roman" w:hAnsi="Times New Roman" w:cs="Times New Roman"/>
        </w:rPr>
        <w:t>Jala</w:t>
      </w:r>
      <w:proofErr w:type="spellEnd"/>
      <w:r>
        <w:rPr>
          <w:rStyle w:val="SubtleEmphasis"/>
          <w:rFonts w:ascii="Times New Roman" w:hAnsi="Times New Roman" w:cs="Times New Roman"/>
        </w:rPr>
        <w:t xml:space="preserve"> prison were subjected to torture, including electrocution, sleep deprivation, hanging from the ceiling for hours, in some cases upside down, and the threat of rape or rape of their relatives.”</w:t>
      </w:r>
      <w:r>
        <w:rPr>
          <w:rStyle w:val="FootnoteReference"/>
          <w:rFonts w:ascii="Times New Roman" w:hAnsi="Times New Roman" w:cs="Times New Roman"/>
          <w:sz w:val="24"/>
        </w:rPr>
        <w:footnoteReference w:id="103"/>
      </w:r>
    </w:p>
    <w:p w:rsidR="0060459F" w:rsidRDefault="00F96166">
      <w:pPr>
        <w:jc w:val="both"/>
        <w:rPr>
          <w:rStyle w:val="SubtleEmphasis"/>
          <w:rFonts w:ascii="Times New Roman" w:hAnsi="Times New Roman" w:cs="Times New Roman"/>
        </w:rPr>
      </w:pPr>
      <w:r>
        <w:rPr>
          <w:rStyle w:val="SubtleEmphasis"/>
          <w:rFonts w:ascii="Times New Roman" w:hAnsi="Times New Roman" w:cs="Times New Roman"/>
        </w:rPr>
        <w:t xml:space="preserve">The third is the Al </w:t>
      </w:r>
      <w:proofErr w:type="spellStart"/>
      <w:r>
        <w:rPr>
          <w:rStyle w:val="SubtleEmphasis"/>
          <w:rFonts w:ascii="Times New Roman" w:hAnsi="Times New Roman" w:cs="Times New Roman"/>
        </w:rPr>
        <w:t>Rayyan</w:t>
      </w:r>
      <w:proofErr w:type="spellEnd"/>
      <w:r>
        <w:rPr>
          <w:rStyle w:val="SubtleEmphasis"/>
          <w:rFonts w:ascii="Times New Roman" w:hAnsi="Times New Roman" w:cs="Times New Roman"/>
        </w:rPr>
        <w:t xml:space="preserve"> Airport in </w:t>
      </w:r>
      <w:proofErr w:type="spellStart"/>
      <w:r>
        <w:rPr>
          <w:rStyle w:val="SubtleEmphasis"/>
          <w:rFonts w:ascii="Times New Roman" w:hAnsi="Times New Roman" w:cs="Times New Roman"/>
        </w:rPr>
        <w:t>Hadhramaut</w:t>
      </w:r>
      <w:proofErr w:type="spellEnd"/>
      <w:r>
        <w:rPr>
          <w:rStyle w:val="SubtleEmphasis"/>
          <w:rFonts w:ascii="Times New Roman" w:hAnsi="Times New Roman" w:cs="Times New Roman"/>
        </w:rPr>
        <w:t xml:space="preserve"> Governorate, which Emirati forces turned into an unofficial detention centre. </w:t>
      </w:r>
      <w:proofErr w:type="spellStart"/>
      <w:r>
        <w:rPr>
          <w:rStyle w:val="SubtleEmphasis"/>
          <w:rFonts w:ascii="Times New Roman" w:hAnsi="Times New Roman" w:cs="Times New Roman"/>
        </w:rPr>
        <w:t>Mwatana</w:t>
      </w:r>
      <w:proofErr w:type="spellEnd"/>
      <w:r>
        <w:rPr>
          <w:rStyle w:val="SubtleEmphasis"/>
          <w:rFonts w:ascii="Times New Roman" w:hAnsi="Times New Roman" w:cs="Times New Roman"/>
        </w:rPr>
        <w:t xml:space="preserve"> for Human Rights “investigated at least 38 cases of arbitrary detention and 10 [cases] of torture at the Al </w:t>
      </w:r>
      <w:proofErr w:type="spellStart"/>
      <w:r>
        <w:rPr>
          <w:rStyle w:val="SubtleEmphasis"/>
          <w:rFonts w:ascii="Times New Roman" w:hAnsi="Times New Roman" w:cs="Times New Roman"/>
        </w:rPr>
        <w:t>Rayyan</w:t>
      </w:r>
      <w:proofErr w:type="spellEnd"/>
      <w:r>
        <w:rPr>
          <w:rStyle w:val="SubtleEmphasis"/>
          <w:rFonts w:ascii="Times New Roman" w:hAnsi="Times New Roman" w:cs="Times New Roman"/>
        </w:rPr>
        <w:t xml:space="preserve"> airport detention site. Former detainees said that they were held in dark and narrow warehouses and were subjected to different forms of torture and other abuse, including deprivation of food and water, electrocution, kicking, whipping, and burning with cigarette stubs. Others said that they were subjected to degrading forms of treatment, such as denial of religious rites, forced nudity and forced prostration to the UAE flag”.</w:t>
      </w:r>
      <w:r>
        <w:rPr>
          <w:rStyle w:val="FootnoteReference"/>
          <w:rFonts w:ascii="Times New Roman" w:hAnsi="Times New Roman" w:cs="Times New Roman"/>
          <w:sz w:val="24"/>
        </w:rPr>
        <w:footnoteReference w:id="104"/>
      </w:r>
    </w:p>
    <w:p w:rsidR="0060459F" w:rsidRDefault="00F96166">
      <w:pPr>
        <w:jc w:val="both"/>
        <w:rPr>
          <w:rStyle w:val="SubtleEmphasis"/>
          <w:rFonts w:ascii="Times New Roman" w:hAnsi="Times New Roman" w:cs="Times New Roman"/>
        </w:rPr>
      </w:pPr>
      <w:r>
        <w:rPr>
          <w:rStyle w:val="SubtleEmphasis"/>
          <w:rFonts w:ascii="Times New Roman" w:hAnsi="Times New Roman" w:cs="Times New Roman"/>
        </w:rPr>
        <w:t xml:space="preserve">The fourth one is the “October 7” Prison in </w:t>
      </w:r>
      <w:proofErr w:type="spellStart"/>
      <w:r>
        <w:rPr>
          <w:rStyle w:val="SubtleEmphasis"/>
          <w:rFonts w:ascii="Times New Roman" w:hAnsi="Times New Roman" w:cs="Times New Roman"/>
        </w:rPr>
        <w:t>Abyan</w:t>
      </w:r>
      <w:proofErr w:type="spellEnd"/>
      <w:r>
        <w:rPr>
          <w:rStyle w:val="SubtleEmphasis"/>
          <w:rFonts w:ascii="Times New Roman" w:hAnsi="Times New Roman" w:cs="Times New Roman"/>
        </w:rPr>
        <w:t xml:space="preserve"> Governorate, run by the Security Belt, affiliated with the UAE-backed Southern Transitional Council. Between May 2016 and April 2020, </w:t>
      </w:r>
      <w:proofErr w:type="spellStart"/>
      <w:r>
        <w:rPr>
          <w:rStyle w:val="SubtleEmphasis"/>
          <w:rFonts w:ascii="Times New Roman" w:hAnsi="Times New Roman" w:cs="Times New Roman"/>
        </w:rPr>
        <w:t>Mwatana</w:t>
      </w:r>
      <w:proofErr w:type="spellEnd"/>
      <w:r>
        <w:rPr>
          <w:rStyle w:val="SubtleEmphasis"/>
          <w:rFonts w:ascii="Times New Roman" w:hAnsi="Times New Roman" w:cs="Times New Roman"/>
        </w:rPr>
        <w:t xml:space="preserve"> for Human Rights “investigated at least 50 cases of arbitrary detention and 29 [cases] of torture, including 4 deaths in detention, at the October 7 prison.”</w:t>
      </w:r>
      <w:r>
        <w:rPr>
          <w:rStyle w:val="FootnoteReference"/>
          <w:rFonts w:ascii="Times New Roman" w:hAnsi="Times New Roman" w:cs="Times New Roman"/>
          <w:sz w:val="24"/>
        </w:rPr>
        <w:footnoteReference w:id="105"/>
      </w:r>
      <w:r>
        <w:rPr>
          <w:rStyle w:val="SubtleEmphasis"/>
          <w:rFonts w:ascii="Times New Roman" w:hAnsi="Times New Roman" w:cs="Times New Roman"/>
        </w:rPr>
        <w:t xml:space="preserve"> According to the organisation, detainees were “subjected to various forms of torture and other forms of abuse, including electrocution, beating limbs with hammers, whippings, beating with weapons, deprivation of food and water, nail removal, forcibly drinking urine and lengthy periods hanging from the ceiling. Some victims were also subjected to sexual torture, such as burning their genitals. Witnesses said that detainees’ bodies were dumped in the yard of Al-</w:t>
      </w:r>
      <w:proofErr w:type="spellStart"/>
      <w:r>
        <w:rPr>
          <w:rStyle w:val="SubtleEmphasis"/>
          <w:rFonts w:ascii="Times New Roman" w:hAnsi="Times New Roman" w:cs="Times New Roman"/>
        </w:rPr>
        <w:t>Razi</w:t>
      </w:r>
      <w:proofErr w:type="spellEnd"/>
      <w:r>
        <w:rPr>
          <w:rStyle w:val="SubtleEmphasis"/>
          <w:rFonts w:ascii="Times New Roman" w:hAnsi="Times New Roman" w:cs="Times New Roman"/>
        </w:rPr>
        <w:t xml:space="preserve"> Hospital in the </w:t>
      </w:r>
      <w:proofErr w:type="spellStart"/>
      <w:r>
        <w:rPr>
          <w:rStyle w:val="SubtleEmphasis"/>
          <w:rFonts w:ascii="Times New Roman" w:hAnsi="Times New Roman" w:cs="Times New Roman"/>
        </w:rPr>
        <w:t>Ja’ar</w:t>
      </w:r>
      <w:proofErr w:type="spellEnd"/>
      <w:r>
        <w:rPr>
          <w:rStyle w:val="SubtleEmphasis"/>
          <w:rFonts w:ascii="Times New Roman" w:hAnsi="Times New Roman" w:cs="Times New Roman"/>
        </w:rPr>
        <w:t xml:space="preserve"> area in </w:t>
      </w:r>
      <w:proofErr w:type="spellStart"/>
      <w:r>
        <w:rPr>
          <w:rStyle w:val="SubtleEmphasis"/>
          <w:rFonts w:ascii="Times New Roman" w:hAnsi="Times New Roman" w:cs="Times New Roman"/>
        </w:rPr>
        <w:t>Khanfir</w:t>
      </w:r>
      <w:proofErr w:type="spellEnd"/>
      <w:r>
        <w:rPr>
          <w:rStyle w:val="SubtleEmphasis"/>
          <w:rFonts w:ascii="Times New Roman" w:hAnsi="Times New Roman" w:cs="Times New Roman"/>
        </w:rPr>
        <w:t xml:space="preserve"> District”.</w:t>
      </w:r>
      <w:r>
        <w:rPr>
          <w:rStyle w:val="FootnoteReference"/>
          <w:rFonts w:ascii="Times New Roman" w:hAnsi="Times New Roman" w:cs="Times New Roman"/>
          <w:sz w:val="24"/>
        </w:rPr>
        <w:footnoteReference w:id="106"/>
      </w:r>
    </w:p>
    <w:p w:rsidR="0060459F" w:rsidRDefault="00F96166">
      <w:pPr>
        <w:jc w:val="both"/>
        <w:rPr>
          <w:rStyle w:val="SubtleEmphasis"/>
          <w:rFonts w:ascii="Times New Roman" w:hAnsi="Times New Roman" w:cs="Times New Roman"/>
        </w:rPr>
      </w:pPr>
      <w:r>
        <w:rPr>
          <w:rStyle w:val="SubtleEmphasis"/>
          <w:rFonts w:ascii="Times New Roman" w:hAnsi="Times New Roman" w:cs="Times New Roman"/>
        </w:rPr>
        <w:lastRenderedPageBreak/>
        <w:t>MENA Rights Group also documented the case of a Yemeni national who was secretly detained and tortured by Emirati forces in Yemen.</w:t>
      </w:r>
      <w:r>
        <w:rPr>
          <w:rStyle w:val="FootnoteReference"/>
          <w:rFonts w:ascii="Times New Roman" w:hAnsi="Times New Roman" w:cs="Times New Roman"/>
          <w:sz w:val="24"/>
        </w:rPr>
        <w:footnoteReference w:id="107"/>
      </w:r>
      <w:r>
        <w:t xml:space="preserve"> </w:t>
      </w:r>
      <w:r>
        <w:rPr>
          <w:rStyle w:val="SubtleEmphasis"/>
          <w:rFonts w:ascii="Times New Roman" w:hAnsi="Times New Roman" w:cs="Times New Roman"/>
        </w:rPr>
        <w:t xml:space="preserve">On 18 May 2018, the victim went to Yemen to visit relatives residing in </w:t>
      </w:r>
      <w:proofErr w:type="spellStart"/>
      <w:r>
        <w:rPr>
          <w:rStyle w:val="SubtleEmphasis"/>
          <w:rFonts w:ascii="Times New Roman" w:hAnsi="Times New Roman" w:cs="Times New Roman"/>
        </w:rPr>
        <w:t>Ataq</w:t>
      </w:r>
      <w:proofErr w:type="spellEnd"/>
      <w:r>
        <w:rPr>
          <w:rStyle w:val="SubtleEmphasis"/>
          <w:rFonts w:ascii="Times New Roman" w:hAnsi="Times New Roman" w:cs="Times New Roman"/>
        </w:rPr>
        <w:t xml:space="preserve">. After crossing the border between Saudi Arabia and Yemen, he was arrested by gunmen loyal to the Emirati armed forces at a checkpoint in </w:t>
      </w:r>
      <w:proofErr w:type="spellStart"/>
      <w:r>
        <w:rPr>
          <w:rStyle w:val="SubtleEmphasis"/>
          <w:rFonts w:ascii="Times New Roman" w:hAnsi="Times New Roman" w:cs="Times New Roman"/>
        </w:rPr>
        <w:t>Shubeika</w:t>
      </w:r>
      <w:proofErr w:type="spellEnd"/>
      <w:r>
        <w:rPr>
          <w:rStyle w:val="SubtleEmphasis"/>
          <w:rFonts w:ascii="Times New Roman" w:hAnsi="Times New Roman" w:cs="Times New Roman"/>
        </w:rPr>
        <w:t xml:space="preserve">. Following his abduction, he was detained in various detention facilities that are under the direct control of the Emirati armed forces. In the different detention facilities that he was held, which included the abovementioned Al </w:t>
      </w:r>
      <w:proofErr w:type="spellStart"/>
      <w:r>
        <w:rPr>
          <w:rStyle w:val="SubtleEmphasis"/>
          <w:rFonts w:ascii="Times New Roman" w:hAnsi="Times New Roman" w:cs="Times New Roman"/>
        </w:rPr>
        <w:t>Rayyan</w:t>
      </w:r>
      <w:proofErr w:type="spellEnd"/>
      <w:r>
        <w:rPr>
          <w:rStyle w:val="SubtleEmphasis"/>
          <w:rFonts w:ascii="Times New Roman" w:hAnsi="Times New Roman" w:cs="Times New Roman"/>
        </w:rPr>
        <w:t xml:space="preserve"> Airport, he was subjected to mock executions, being pulled by the beard and hit in the face several times. He also received threats of rape and murder and his Emirati interrogators further threatened to hand him over to the Americans. The victim was eventually released on 25 June 2018, after being instructed not to speak about his detention.</w:t>
      </w:r>
    </w:p>
    <w:p w:rsidR="0060459F" w:rsidRDefault="00F96166">
      <w:pPr>
        <w:jc w:val="both"/>
        <w:rPr>
          <w:rStyle w:val="SubtleEmphasis"/>
          <w:rFonts w:ascii="Times New Roman" w:hAnsi="Times New Roman" w:cs="Times New Roman"/>
        </w:rPr>
      </w:pPr>
      <w:r>
        <w:rPr>
          <w:rStyle w:val="SubtleEmphasis"/>
          <w:rFonts w:ascii="Times New Roman" w:hAnsi="Times New Roman" w:cs="Times New Roman"/>
        </w:rPr>
        <w:t>UN Experts also documented cases of enforced disappearance and torture by UAE backed groups in Yemen. In this regard, it was noted that “[b]</w:t>
      </w:r>
      <w:proofErr w:type="spellStart"/>
      <w:r>
        <w:rPr>
          <w:rStyle w:val="SubtleEmphasis"/>
          <w:rFonts w:ascii="Times New Roman" w:hAnsi="Times New Roman" w:cs="Times New Roman"/>
        </w:rPr>
        <w:t>etween</w:t>
      </w:r>
      <w:proofErr w:type="spellEnd"/>
      <w:r>
        <w:rPr>
          <w:rStyle w:val="SubtleEmphasis"/>
          <w:rFonts w:ascii="Times New Roman" w:hAnsi="Times New Roman" w:cs="Times New Roman"/>
        </w:rPr>
        <w:t xml:space="preserve"> May 2018 and June 2019, seven separate activists and journalists who documented and publicised United Arab Emirates detention violations, or who publicly criticised the United Arab Emirates and Southern Transitional Council, were arbitrarily detained and in some cases tortured.”</w:t>
      </w:r>
      <w:r>
        <w:rPr>
          <w:rStyle w:val="FootnoteReference"/>
          <w:rFonts w:ascii="Times New Roman" w:hAnsi="Times New Roman" w:cs="Times New Roman"/>
          <w:sz w:val="24"/>
        </w:rPr>
        <w:footnoteReference w:id="108"/>
      </w:r>
      <w:r>
        <w:rPr>
          <w:rStyle w:val="SubtleEmphasis"/>
          <w:rFonts w:ascii="Times New Roman" w:hAnsi="Times New Roman" w:cs="Times New Roman"/>
        </w:rPr>
        <w:t xml:space="preserve"> For example, on 10 June 2019, Salem </w:t>
      </w:r>
      <w:proofErr w:type="spellStart"/>
      <w:r>
        <w:rPr>
          <w:rStyle w:val="SubtleEmphasis"/>
          <w:rFonts w:ascii="Times New Roman" w:hAnsi="Times New Roman" w:cs="Times New Roman"/>
        </w:rPr>
        <w:t>Awad</w:t>
      </w:r>
      <w:proofErr w:type="spellEnd"/>
      <w:r>
        <w:rPr>
          <w:rStyle w:val="SubtleEmphasis"/>
          <w:rFonts w:ascii="Times New Roman" w:hAnsi="Times New Roman" w:cs="Times New Roman"/>
        </w:rPr>
        <w:t xml:space="preserve"> al-</w:t>
      </w:r>
      <w:proofErr w:type="spellStart"/>
      <w:r>
        <w:rPr>
          <w:rStyle w:val="SubtleEmphasis"/>
          <w:rFonts w:ascii="Times New Roman" w:hAnsi="Times New Roman" w:cs="Times New Roman"/>
        </w:rPr>
        <w:t>Rubeizi</w:t>
      </w:r>
      <w:proofErr w:type="spellEnd"/>
      <w:r>
        <w:rPr>
          <w:rStyle w:val="SubtleEmphasis"/>
          <w:rFonts w:ascii="Times New Roman" w:hAnsi="Times New Roman" w:cs="Times New Roman"/>
        </w:rPr>
        <w:t xml:space="preserve">, was detained by the </w:t>
      </w:r>
      <w:proofErr w:type="spellStart"/>
      <w:r>
        <w:rPr>
          <w:rStyle w:val="SubtleEmphasis"/>
          <w:rFonts w:ascii="Times New Roman" w:hAnsi="Times New Roman" w:cs="Times New Roman"/>
        </w:rPr>
        <w:t>Shabwah</w:t>
      </w:r>
      <w:proofErr w:type="spellEnd"/>
      <w:r>
        <w:rPr>
          <w:rStyle w:val="SubtleEmphasis"/>
          <w:rFonts w:ascii="Times New Roman" w:hAnsi="Times New Roman" w:cs="Times New Roman"/>
        </w:rPr>
        <w:t xml:space="preserve"> Elite in </w:t>
      </w:r>
      <w:proofErr w:type="spellStart"/>
      <w:r>
        <w:rPr>
          <w:rStyle w:val="SubtleEmphasis"/>
          <w:rFonts w:ascii="Times New Roman" w:hAnsi="Times New Roman" w:cs="Times New Roman"/>
        </w:rPr>
        <w:t>Ataq</w:t>
      </w:r>
      <w:proofErr w:type="spellEnd"/>
      <w:r>
        <w:rPr>
          <w:rStyle w:val="SubtleEmphasis"/>
          <w:rFonts w:ascii="Times New Roman" w:hAnsi="Times New Roman" w:cs="Times New Roman"/>
        </w:rPr>
        <w:t>, after posting a cartoon criticising the Southern Transitional Council leadership. Al-</w:t>
      </w:r>
      <w:proofErr w:type="spellStart"/>
      <w:r>
        <w:rPr>
          <w:rStyle w:val="SubtleEmphasis"/>
          <w:rFonts w:ascii="Times New Roman" w:hAnsi="Times New Roman" w:cs="Times New Roman"/>
        </w:rPr>
        <w:t>Rubeizi</w:t>
      </w:r>
      <w:proofErr w:type="spellEnd"/>
      <w:r>
        <w:rPr>
          <w:rStyle w:val="SubtleEmphasis"/>
          <w:rFonts w:ascii="Times New Roman" w:hAnsi="Times New Roman" w:cs="Times New Roman"/>
        </w:rPr>
        <w:t xml:space="preserve"> was taken to </w:t>
      </w:r>
      <w:proofErr w:type="spellStart"/>
      <w:r>
        <w:rPr>
          <w:rStyle w:val="SubtleEmphasis"/>
          <w:rFonts w:ascii="Times New Roman" w:hAnsi="Times New Roman" w:cs="Times New Roman"/>
        </w:rPr>
        <w:t>Belhaf</w:t>
      </w:r>
      <w:proofErr w:type="spellEnd"/>
      <w:r>
        <w:rPr>
          <w:rStyle w:val="SubtleEmphasis"/>
          <w:rFonts w:ascii="Times New Roman" w:hAnsi="Times New Roman" w:cs="Times New Roman"/>
        </w:rPr>
        <w:t xml:space="preserve"> coalition Base where he remained disappeared and reportedly may have been tortured and seriously harmed.</w:t>
      </w:r>
      <w:r>
        <w:rPr>
          <w:rStyle w:val="FootnoteReference"/>
          <w:rFonts w:ascii="Times New Roman" w:hAnsi="Times New Roman" w:cs="Times New Roman"/>
          <w:sz w:val="24"/>
        </w:rPr>
        <w:footnoteReference w:id="109"/>
      </w:r>
    </w:p>
    <w:p w:rsidR="0060459F" w:rsidRDefault="00F96166">
      <w:pPr>
        <w:jc w:val="both"/>
        <w:rPr>
          <w:rStyle w:val="SubtleEmphasis"/>
          <w:rFonts w:ascii="Times New Roman" w:hAnsi="Times New Roman" w:cs="Times New Roman"/>
        </w:rPr>
      </w:pPr>
      <w:r>
        <w:rPr>
          <w:rStyle w:val="SubtleEmphasis"/>
          <w:rFonts w:ascii="Times New Roman" w:hAnsi="Times New Roman" w:cs="Times New Roman"/>
        </w:rPr>
        <w:t xml:space="preserve">Similarly, the </w:t>
      </w:r>
      <w:proofErr w:type="spellStart"/>
      <w:r>
        <w:rPr>
          <w:rStyle w:val="SubtleEmphasis"/>
          <w:rFonts w:ascii="Times New Roman" w:hAnsi="Times New Roman" w:cs="Times New Roman"/>
        </w:rPr>
        <w:t>Center</w:t>
      </w:r>
      <w:proofErr w:type="spellEnd"/>
      <w:r>
        <w:rPr>
          <w:rStyle w:val="SubtleEmphasis"/>
          <w:rFonts w:ascii="Times New Roman" w:hAnsi="Times New Roman" w:cs="Times New Roman"/>
        </w:rPr>
        <w:t xml:space="preserve"> for Civilians in Conflict documented the case of a 25-year-old man who on was arrested on 3 June 2018 by the </w:t>
      </w:r>
      <w:proofErr w:type="spellStart"/>
      <w:r>
        <w:rPr>
          <w:rStyle w:val="SubtleEmphasis"/>
          <w:rFonts w:ascii="Times New Roman" w:hAnsi="Times New Roman" w:cs="Times New Roman"/>
        </w:rPr>
        <w:t>Shabwani</w:t>
      </w:r>
      <w:proofErr w:type="spellEnd"/>
      <w:r>
        <w:rPr>
          <w:rStyle w:val="SubtleEmphasis"/>
          <w:rFonts w:ascii="Times New Roman" w:hAnsi="Times New Roman" w:cs="Times New Roman"/>
        </w:rPr>
        <w:t xml:space="preserve"> Elite Forces in </w:t>
      </w:r>
      <w:proofErr w:type="spellStart"/>
      <w:r>
        <w:rPr>
          <w:rStyle w:val="SubtleEmphasis"/>
          <w:rFonts w:ascii="Times New Roman" w:hAnsi="Times New Roman" w:cs="Times New Roman"/>
        </w:rPr>
        <w:t>Ataq</w:t>
      </w:r>
      <w:proofErr w:type="spellEnd"/>
      <w:r>
        <w:rPr>
          <w:rStyle w:val="SubtleEmphasis"/>
          <w:rFonts w:ascii="Times New Roman" w:hAnsi="Times New Roman" w:cs="Times New Roman"/>
        </w:rPr>
        <w:t xml:space="preserve"> city before being transferred blindfolded to </w:t>
      </w:r>
      <w:proofErr w:type="spellStart"/>
      <w:r>
        <w:rPr>
          <w:rStyle w:val="SubtleEmphasis"/>
          <w:rFonts w:ascii="Times New Roman" w:hAnsi="Times New Roman" w:cs="Times New Roman"/>
        </w:rPr>
        <w:t>Balhaf</w:t>
      </w:r>
      <w:proofErr w:type="spellEnd"/>
      <w:r>
        <w:rPr>
          <w:rStyle w:val="SubtleEmphasis"/>
          <w:rFonts w:ascii="Times New Roman" w:hAnsi="Times New Roman" w:cs="Times New Roman"/>
        </w:rPr>
        <w:t xml:space="preserve"> prison in </w:t>
      </w:r>
      <w:proofErr w:type="spellStart"/>
      <w:r>
        <w:rPr>
          <w:rStyle w:val="SubtleEmphasis"/>
          <w:rFonts w:ascii="Times New Roman" w:hAnsi="Times New Roman" w:cs="Times New Roman"/>
        </w:rPr>
        <w:t>Radhoom</w:t>
      </w:r>
      <w:proofErr w:type="spellEnd"/>
      <w:r>
        <w:rPr>
          <w:rStyle w:val="SubtleEmphasis"/>
          <w:rFonts w:ascii="Times New Roman" w:hAnsi="Times New Roman" w:cs="Times New Roman"/>
        </w:rPr>
        <w:t xml:space="preserve"> district. He was detained at the prison “for 20 days, during which he said he was subject to torture by Yemeni and Emirati interrogators. The torture included keeping him in a dark room, exposing him to extreme heat, and threatening to beat him if he did not confess to being a member of Al Qaeda in the Arabian Peninsula (AQAP).”</w:t>
      </w:r>
      <w:r>
        <w:rPr>
          <w:rStyle w:val="FootnoteReference"/>
          <w:rFonts w:ascii="Times New Roman" w:hAnsi="Times New Roman" w:cs="Times New Roman"/>
          <w:sz w:val="24"/>
        </w:rPr>
        <w:footnoteReference w:id="110"/>
      </w:r>
    </w:p>
    <w:p w:rsidR="0060459F" w:rsidRDefault="00F96166">
      <w:pPr>
        <w:jc w:val="both"/>
        <w:rPr>
          <w:rStyle w:val="SubtleEmphasis"/>
          <w:rFonts w:ascii="Times New Roman" w:hAnsi="Times New Roman" w:cs="Times New Roman"/>
        </w:rPr>
      </w:pPr>
      <w:r>
        <w:rPr>
          <w:rStyle w:val="SubtleEmphasis"/>
          <w:rFonts w:ascii="Times New Roman" w:hAnsi="Times New Roman" w:cs="Times New Roman"/>
        </w:rPr>
        <w:t>Apart from these secret facilities in Yemen, it has also been claimed that the UAE transferred certain detainees to a secret facility in Eritrea.</w:t>
      </w:r>
      <w:r>
        <w:rPr>
          <w:rStyle w:val="FootnoteReference"/>
          <w:rFonts w:ascii="Times New Roman" w:hAnsi="Times New Roman" w:cs="Times New Roman"/>
          <w:sz w:val="24"/>
        </w:rPr>
        <w:footnoteReference w:id="111"/>
      </w:r>
    </w:p>
    <w:p w:rsidR="0060459F" w:rsidRDefault="00F96166">
      <w:pPr>
        <w:pStyle w:val="Title"/>
        <w:rPr>
          <w:rFonts w:ascii="Times New Roman" w:hAnsi="Times New Roman" w:cs="Times New Roman"/>
        </w:rPr>
      </w:pPr>
      <w:r>
        <w:rPr>
          <w:rFonts w:ascii="Times New Roman" w:eastAsiaTheme="minorEastAsia" w:hAnsi="Times New Roman" w:cs="Times New Roman"/>
        </w:rPr>
        <w:t>Recommendations:</w:t>
      </w:r>
    </w:p>
    <w:p w:rsidR="0060459F" w:rsidRDefault="00F96166">
      <w:pPr>
        <w:pStyle w:val="ListParagraph"/>
        <w:numPr>
          <w:ilvl w:val="0"/>
          <w:numId w:val="5"/>
        </w:numPr>
        <w:rPr>
          <w:rFonts w:ascii="Times New Roman" w:hAnsi="Times New Roman" w:cs="Times New Roman"/>
          <w:color w:val="543192"/>
        </w:rPr>
      </w:pPr>
      <w:r>
        <w:rPr>
          <w:rFonts w:ascii="Times New Roman" w:eastAsiaTheme="minorEastAsia" w:hAnsi="Times New Roman" w:cs="Times New Roman"/>
          <w:color w:val="543192"/>
        </w:rPr>
        <w:t>Close all secret detention facilities in the UAE and abroad;</w:t>
      </w:r>
    </w:p>
    <w:p w:rsidR="0060459F" w:rsidRDefault="00F96166">
      <w:pPr>
        <w:pStyle w:val="ListParagraph"/>
        <w:numPr>
          <w:ilvl w:val="0"/>
          <w:numId w:val="5"/>
        </w:numPr>
        <w:rPr>
          <w:rFonts w:ascii="Times New Roman" w:hAnsi="Times New Roman" w:cs="Times New Roman"/>
          <w:color w:val="543192"/>
        </w:rPr>
      </w:pPr>
      <w:r>
        <w:rPr>
          <w:rFonts w:ascii="Times New Roman" w:eastAsiaTheme="minorEastAsia" w:hAnsi="Times New Roman" w:cs="Times New Roman"/>
          <w:color w:val="543192"/>
        </w:rPr>
        <w:t xml:space="preserve">End the use of secret and </w:t>
      </w:r>
      <w:r>
        <w:rPr>
          <w:rFonts w:ascii="Times New Roman" w:eastAsiaTheme="minorEastAsia" w:hAnsi="Times New Roman" w:cs="Times New Roman"/>
          <w:i/>
          <w:iCs/>
          <w:color w:val="543192"/>
        </w:rPr>
        <w:t xml:space="preserve">incommunicado </w:t>
      </w:r>
      <w:r>
        <w:rPr>
          <w:rFonts w:ascii="Times New Roman" w:eastAsiaTheme="minorEastAsia" w:hAnsi="Times New Roman" w:cs="Times New Roman"/>
          <w:color w:val="543192"/>
        </w:rPr>
        <w:t>detention.</w:t>
      </w:r>
    </w:p>
    <w:p w:rsidR="0060459F" w:rsidRDefault="00F96166">
      <w:pPr>
        <w:pStyle w:val="ListParagraph"/>
        <w:numPr>
          <w:ilvl w:val="0"/>
          <w:numId w:val="5"/>
        </w:numPr>
        <w:rPr>
          <w:rFonts w:ascii="Times New Roman" w:hAnsi="Times New Roman" w:cs="Times New Roman"/>
          <w:color w:val="543192"/>
        </w:rPr>
      </w:pPr>
      <w:r>
        <w:rPr>
          <w:rFonts w:ascii="Times New Roman" w:eastAsiaTheme="minorEastAsia" w:hAnsi="Times New Roman" w:cs="Times New Roman"/>
          <w:color w:val="543192"/>
        </w:rPr>
        <w:lastRenderedPageBreak/>
        <w:t>Immediately stop all acts of torture.</w:t>
      </w:r>
    </w:p>
    <w:p w:rsidR="0060459F" w:rsidRDefault="00F96166">
      <w:pPr>
        <w:pStyle w:val="ListParagraph"/>
        <w:numPr>
          <w:ilvl w:val="0"/>
          <w:numId w:val="5"/>
        </w:numPr>
        <w:rPr>
          <w:rFonts w:ascii="Times New Roman" w:hAnsi="Times New Roman" w:cs="Times New Roman"/>
          <w:color w:val="543192"/>
        </w:rPr>
      </w:pPr>
      <w:r>
        <w:rPr>
          <w:rFonts w:ascii="Times New Roman" w:hAnsi="Times New Roman" w:cs="Times New Roman"/>
          <w:color w:val="543192"/>
        </w:rPr>
        <w:t>Ensure conditions of detention that comply with the Nelson Mandela rules.</w:t>
      </w:r>
      <w:r>
        <w:rPr>
          <w:rStyle w:val="FootnoteReference"/>
          <w:rFonts w:ascii="Times New Roman" w:hAnsi="Times New Roman" w:cs="Times New Roman"/>
          <w:color w:val="543192"/>
        </w:rPr>
        <w:footnoteReference w:id="112"/>
      </w:r>
    </w:p>
    <w:p w:rsidR="0060459F" w:rsidRDefault="0060459F">
      <w:pPr>
        <w:rPr>
          <w:rStyle w:val="SubtleEmphasis"/>
          <w:rFonts w:ascii="Times New Roman" w:hAnsi="Times New Roman" w:cs="Times New Roman"/>
        </w:rPr>
      </w:pPr>
    </w:p>
    <w:p w:rsidR="0060459F" w:rsidRDefault="00F96166">
      <w:pPr>
        <w:pStyle w:val="Heading1"/>
        <w:rPr>
          <w:rFonts w:ascii="Times New Roman" w:hAnsi="Times New Roman" w:cs="Times New Roman"/>
        </w:rPr>
      </w:pPr>
      <w:bookmarkStart w:id="23" w:name="_Toc103273056"/>
      <w:r>
        <w:rPr>
          <w:rFonts w:ascii="Times New Roman" w:eastAsiaTheme="minorEastAsia" w:hAnsi="Times New Roman" w:cs="Times New Roman"/>
        </w:rPr>
        <w:t>The systematic crackdown on peaceful dissent</w:t>
      </w:r>
      <w:bookmarkEnd w:id="23"/>
    </w:p>
    <w:p w:rsidR="0060459F" w:rsidRDefault="00F96166">
      <w:pPr>
        <w:pStyle w:val="Corps"/>
        <w:spacing w:after="120" w:line="276" w:lineRule="auto"/>
        <w:jc w:val="both"/>
        <w:rPr>
          <w:rStyle w:val="SubtleEmphasis"/>
          <w:rFonts w:ascii="Times New Roman" w:eastAsiaTheme="minorEastAsia" w:hAnsi="Times New Roman" w:cs="Times New Roman"/>
          <w:lang w:val="en-GB"/>
        </w:rPr>
      </w:pPr>
      <w:r>
        <w:rPr>
          <w:rStyle w:val="SubtleEmphasis"/>
          <w:rFonts w:ascii="Times New Roman" w:eastAsiaTheme="minorEastAsia" w:hAnsi="Times New Roman" w:cs="Times New Roman"/>
          <w:lang w:val="en-GB"/>
        </w:rPr>
        <w:t>In the UAE, dissenting voices are silenced by a legal framework that criminalises any form of criticism against the government. In practice, torture is often used in criminal cases brought against peaceful dissidents.</w:t>
      </w:r>
    </w:p>
    <w:p w:rsidR="0060459F" w:rsidRDefault="00F96166">
      <w:pPr>
        <w:pStyle w:val="Corps"/>
        <w:spacing w:after="120" w:line="276" w:lineRule="auto"/>
        <w:jc w:val="both"/>
        <w:rPr>
          <w:rStyle w:val="SubtleEmphasis"/>
          <w:rFonts w:ascii="Times New Roman" w:eastAsiaTheme="minorEastAsia" w:hAnsi="Times New Roman" w:cs="Times New Roman"/>
          <w:lang w:val="en-GB"/>
        </w:rPr>
      </w:pPr>
      <w:r>
        <w:rPr>
          <w:rStyle w:val="SubtleEmphasis"/>
          <w:rFonts w:ascii="Times New Roman" w:eastAsiaTheme="minorEastAsia" w:hAnsi="Times New Roman" w:cs="Times New Roman"/>
          <w:lang w:val="en-GB"/>
        </w:rPr>
        <w:t>Regarding the legal framework, the former special rapporteur on the independence of judges and lawyers noted that “important pieces of legislation, including Federal Law No. 2 of 2003 (as amended by Federal Decree No. 1 of 2011) ‘On the State security apparatus’, Federal Decree No. 5 of 2012 ‘On combating Cybercrimes’ and Federal Law No. 7 of 2014 ‘On combating Terrorism Crimes’, contain vague and broad definitions of criminal offences,” stressing, as mentioned above, that these provisions may “defy the principle of legality and open the door to arbitrary interpretation and abuse.”</w:t>
      </w:r>
      <w:r>
        <w:rPr>
          <w:rStyle w:val="FootnoteReference"/>
          <w:rFonts w:ascii="Times New Roman" w:eastAsiaTheme="minorEastAsia" w:hAnsi="Times New Roman" w:cs="Times New Roman"/>
          <w:sz w:val="24"/>
          <w:lang w:val="en-GB"/>
        </w:rPr>
        <w:footnoteReference w:id="113"/>
      </w:r>
    </w:p>
    <w:p w:rsidR="0060459F" w:rsidRDefault="00F96166">
      <w:pPr>
        <w:pStyle w:val="Corps"/>
        <w:spacing w:after="120" w:line="276" w:lineRule="auto"/>
        <w:jc w:val="both"/>
        <w:rPr>
          <w:rStyle w:val="SubtleEmphasis"/>
          <w:rFonts w:ascii="Times New Roman" w:hAnsi="Times New Roman" w:cs="Times New Roman"/>
          <w:lang w:val="en-GB"/>
        </w:rPr>
      </w:pPr>
      <w:r>
        <w:rPr>
          <w:rStyle w:val="SubtleEmphasis"/>
          <w:rFonts w:ascii="Times New Roman" w:eastAsiaTheme="minorEastAsia" w:hAnsi="Times New Roman" w:cs="Times New Roman"/>
          <w:lang w:val="en-GB"/>
        </w:rPr>
        <w:t xml:space="preserve">Concerning the 2014 Counter-Terrorism Law specifically, as mentioned above, </w:t>
      </w:r>
      <w:r>
        <w:rPr>
          <w:rStyle w:val="SubtleEmphasis"/>
          <w:rFonts w:ascii="Times New Roman" w:hAnsi="Times New Roman" w:cs="Times New Roman"/>
          <w:lang w:val="en-GB"/>
        </w:rPr>
        <w:t>UN special mandate holders expressed their concern over the fact that the law’s imprecise and unambiguous language could allow certain forms of criticism or dissent to be interpreted and prosecuted as terrorism, seemingly at the subjective discretion of the relevant authorities.</w:t>
      </w:r>
      <w:r>
        <w:rPr>
          <w:rStyle w:val="FootnoteReference"/>
          <w:rFonts w:ascii="Times New Roman" w:hAnsi="Times New Roman" w:cs="Times New Roman"/>
          <w:sz w:val="24"/>
          <w:lang w:val="en-GB"/>
        </w:rPr>
        <w:footnoteReference w:id="114"/>
      </w:r>
    </w:p>
    <w:p w:rsidR="0060459F" w:rsidRDefault="00F96166">
      <w:pPr>
        <w:jc w:val="both"/>
        <w:rPr>
          <w:rStyle w:val="SubtleEmphasis"/>
          <w:rFonts w:ascii="Times New Roman" w:eastAsia="Arial Unicode MS" w:hAnsi="Times New Roman" w:cs="Times New Roman"/>
          <w:color w:val="000000"/>
          <w:szCs w:val="20"/>
          <w:lang w:eastAsia="fr-CH"/>
          <w14:textOutline w14:w="0" w14:cap="flat" w14:cmpd="sng" w14:algn="ctr">
            <w14:noFill/>
            <w14:prstDash w14:val="solid"/>
            <w14:bevel/>
          </w14:textOutline>
        </w:rPr>
      </w:pPr>
      <w:r>
        <w:rPr>
          <w:rStyle w:val="SubtleEmphasis"/>
          <w:rFonts w:ascii="Times New Roman" w:hAnsi="Times New Roman" w:cs="Times New Roman"/>
        </w:rPr>
        <w:t xml:space="preserve">Similarly, MENA Rights Group, together with other human rights NGOs, concluded that the UAE’s new Law on Combatting Rumours and Cybercrime that came into force in January 2022 also restricts civic space and free speech, as well as enables the criminalisation of the work of journalists, </w:t>
      </w:r>
      <w:proofErr w:type="spellStart"/>
      <w:r>
        <w:rPr>
          <w:rStyle w:val="SubtleEmphasis"/>
          <w:rFonts w:ascii="Times New Roman" w:hAnsi="Times New Roman" w:cs="Times New Roman"/>
        </w:rPr>
        <w:t>whistleblowers</w:t>
      </w:r>
      <w:proofErr w:type="spellEnd"/>
      <w:r>
        <w:rPr>
          <w:rStyle w:val="SubtleEmphasis"/>
          <w:rFonts w:ascii="Times New Roman" w:hAnsi="Times New Roman" w:cs="Times New Roman"/>
        </w:rPr>
        <w:t>, activists and peaceful critics, subjecting those engaged in lawful activities to harsh prison sentences and excessive fines.</w:t>
      </w:r>
      <w:r>
        <w:rPr>
          <w:rStyle w:val="FootnoteReference"/>
          <w:rFonts w:ascii="Times New Roman" w:hAnsi="Times New Roman" w:cs="Times New Roman"/>
          <w:sz w:val="24"/>
        </w:rPr>
        <w:footnoteReference w:id="115"/>
      </w:r>
      <w:r>
        <w:rPr>
          <w:rStyle w:val="SubtleEmphasis"/>
          <w:rFonts w:ascii="Times New Roman" w:hAnsi="Times New Roman" w:cs="Times New Roman"/>
        </w:rPr>
        <w:t xml:space="preserve"> The penal code further contributes to this restrictive framework by criminalising all speech criticising the government and its authorities. For example, articles 183 and 184 criminalise acts that insult, mock or harm the reputation of the president, </w:t>
      </w:r>
      <w:r>
        <w:rPr>
          <w:rStyle w:val="SubtleEmphasis"/>
          <w:rFonts w:ascii="Times New Roman" w:eastAsia="Arial Unicode MS" w:hAnsi="Times New Roman" w:cs="Times New Roman"/>
          <w:color w:val="000000"/>
          <w:szCs w:val="20"/>
          <w:lang w:eastAsia="fr-CH"/>
          <w14:textOutline w14:w="0" w14:cap="flat" w14:cmpd="sng" w14:algn="ctr">
            <w14:noFill/>
            <w14:prstDash w14:val="solid"/>
            <w14:bevel/>
          </w14:textOutline>
        </w:rPr>
        <w:t>the flag, the national emblem or national symbols, the state itself, its institutions or officials, its founding members, and the national anthem.</w:t>
      </w:r>
      <w:r>
        <w:rPr>
          <w:rStyle w:val="FootnoteReference"/>
          <w:rFonts w:ascii="Times New Roman" w:eastAsia="Arial Unicode MS" w:hAnsi="Times New Roman" w:cs="Times New Roman"/>
          <w:color w:val="000000"/>
          <w:sz w:val="24"/>
          <w:szCs w:val="20"/>
          <w:lang w:eastAsia="fr-CH"/>
          <w14:textOutline w14:w="0" w14:cap="flat" w14:cmpd="sng" w14:algn="ctr">
            <w14:noFill/>
            <w14:prstDash w14:val="solid"/>
            <w14:bevel/>
          </w14:textOutline>
        </w:rPr>
        <w:footnoteReference w:id="116"/>
      </w:r>
    </w:p>
    <w:p w:rsidR="0060459F" w:rsidRDefault="0060459F">
      <w:pPr>
        <w:pStyle w:val="Corps"/>
        <w:spacing w:after="120" w:line="276" w:lineRule="auto"/>
        <w:jc w:val="both"/>
        <w:rPr>
          <w:rStyle w:val="SubtleEmphasis"/>
          <w:rFonts w:ascii="Times New Roman" w:hAnsi="Times New Roman" w:cs="Times New Roman"/>
          <w:lang w:val="en-GB"/>
        </w:rPr>
      </w:pPr>
    </w:p>
    <w:p w:rsidR="0060459F" w:rsidRDefault="00F96166">
      <w:pPr>
        <w:pStyle w:val="Corps"/>
        <w:spacing w:after="120" w:line="276" w:lineRule="auto"/>
        <w:jc w:val="both"/>
        <w:rPr>
          <w:rStyle w:val="SubtleEmphasis"/>
          <w:rFonts w:ascii="Times New Roman" w:hAnsi="Times New Roman" w:cs="Times New Roman"/>
          <w:lang w:val="en-GB"/>
        </w:rPr>
      </w:pPr>
      <w:r>
        <w:rPr>
          <w:rStyle w:val="SubtleEmphasis"/>
          <w:rFonts w:ascii="Times New Roman" w:hAnsi="Times New Roman" w:cs="Times New Roman"/>
          <w:lang w:val="en-GB"/>
        </w:rPr>
        <w:t>Moreover, the government places great restrictions on freedom of assembly. Public meetings require government permits, and unauthorised political or labour protests are subject to dispersal by police, which leads to demonstrations being rare in practice.</w:t>
      </w:r>
      <w:r>
        <w:rPr>
          <w:rStyle w:val="FootnoteReference"/>
          <w:rFonts w:ascii="Times New Roman" w:hAnsi="Times New Roman" w:cs="Times New Roman"/>
          <w:sz w:val="24"/>
          <w:lang w:val="en-GB"/>
        </w:rPr>
        <w:footnoteReference w:id="117"/>
      </w:r>
      <w:r>
        <w:rPr>
          <w:rStyle w:val="SubtleEmphasis"/>
          <w:rFonts w:ascii="Times New Roman" w:hAnsi="Times New Roman" w:cs="Times New Roman"/>
          <w:lang w:val="en-GB"/>
        </w:rPr>
        <w:t xml:space="preserve"> Non-governmental organisations (NGOs) must register with the Ministry of Social Affairs and can receive subsidies from the government, which maintains broad discretion to interfere and dictate the operations of associations in the country.</w:t>
      </w:r>
      <w:r>
        <w:rPr>
          <w:rStyle w:val="FootnoteReference"/>
          <w:rFonts w:ascii="Times New Roman" w:hAnsi="Times New Roman" w:cs="Times New Roman"/>
          <w:sz w:val="24"/>
          <w:lang w:val="en-GB"/>
        </w:rPr>
        <w:footnoteReference w:id="118"/>
      </w:r>
    </w:p>
    <w:p w:rsidR="0060459F" w:rsidRDefault="00F96166">
      <w:pPr>
        <w:pStyle w:val="Corps"/>
        <w:spacing w:after="120" w:line="276" w:lineRule="auto"/>
        <w:jc w:val="both"/>
        <w:rPr>
          <w:rStyle w:val="SubtleEmphasis"/>
          <w:rFonts w:ascii="Times New Roman" w:eastAsiaTheme="minorEastAsia" w:hAnsi="Times New Roman" w:cs="Times New Roman"/>
          <w:lang w:val="en-GB"/>
        </w:rPr>
      </w:pPr>
      <w:r>
        <w:rPr>
          <w:rStyle w:val="SubtleEmphasis"/>
          <w:rFonts w:ascii="Times New Roman" w:eastAsiaTheme="minorEastAsia" w:hAnsi="Times New Roman" w:cs="Times New Roman"/>
          <w:lang w:val="en-GB"/>
        </w:rPr>
        <w:t xml:space="preserve">In practice, MENA Rights Group documented multiple cases (see annex 1) of individuals being punished for the exercise of their freedom of speech and assembly, especially human rights defenders and political dissidents. To give a few examples, this was the case of those tried in the UAE94 mass trial (see annex 1), of Ahmed </w:t>
      </w:r>
      <w:proofErr w:type="spellStart"/>
      <w:r>
        <w:rPr>
          <w:rStyle w:val="SubtleEmphasis"/>
          <w:rFonts w:ascii="Times New Roman" w:eastAsiaTheme="minorEastAsia" w:hAnsi="Times New Roman" w:cs="Times New Roman"/>
          <w:lang w:val="en-GB"/>
        </w:rPr>
        <w:t>Mansoor</w:t>
      </w:r>
      <w:proofErr w:type="spellEnd"/>
      <w:r>
        <w:rPr>
          <w:rStyle w:val="SubtleEmphasis"/>
          <w:rFonts w:ascii="Times New Roman" w:eastAsiaTheme="minorEastAsia" w:hAnsi="Times New Roman" w:cs="Times New Roman"/>
          <w:lang w:val="en-GB"/>
        </w:rPr>
        <w:t xml:space="preserve"> (see annex 1), of Mohamed Al-</w:t>
      </w:r>
      <w:proofErr w:type="spellStart"/>
      <w:r>
        <w:rPr>
          <w:rStyle w:val="SubtleEmphasis"/>
          <w:rFonts w:ascii="Times New Roman" w:eastAsiaTheme="minorEastAsia" w:hAnsi="Times New Roman" w:cs="Times New Roman"/>
          <w:lang w:val="en-GB"/>
        </w:rPr>
        <w:t>Roken</w:t>
      </w:r>
      <w:proofErr w:type="spellEnd"/>
      <w:r>
        <w:rPr>
          <w:rStyle w:val="FootnoteReference"/>
          <w:rFonts w:ascii="Times New Roman" w:eastAsiaTheme="minorEastAsia" w:hAnsi="Times New Roman" w:cs="Times New Roman"/>
          <w:sz w:val="24"/>
          <w:lang w:val="en-GB"/>
        </w:rPr>
        <w:footnoteReference w:id="119"/>
      </w:r>
      <w:r>
        <w:rPr>
          <w:rStyle w:val="SubtleEmphasis"/>
          <w:rFonts w:ascii="Times New Roman" w:eastAsiaTheme="minorEastAsia" w:hAnsi="Times New Roman" w:cs="Times New Roman"/>
          <w:lang w:val="en-GB"/>
        </w:rPr>
        <w:t xml:space="preserve"> and of Nasser Bin </w:t>
      </w:r>
      <w:proofErr w:type="spellStart"/>
      <w:r>
        <w:rPr>
          <w:rStyle w:val="SubtleEmphasis"/>
          <w:rFonts w:ascii="Times New Roman" w:eastAsiaTheme="minorEastAsia" w:hAnsi="Times New Roman" w:cs="Times New Roman"/>
          <w:lang w:val="en-GB"/>
        </w:rPr>
        <w:t>Ghaith</w:t>
      </w:r>
      <w:proofErr w:type="spellEnd"/>
      <w:r>
        <w:rPr>
          <w:rStyle w:val="SubtleEmphasis"/>
          <w:rFonts w:ascii="Times New Roman" w:eastAsiaTheme="minorEastAsia" w:hAnsi="Times New Roman" w:cs="Times New Roman"/>
          <w:lang w:val="en-GB"/>
        </w:rPr>
        <w:t>.</w:t>
      </w:r>
      <w:r>
        <w:rPr>
          <w:rStyle w:val="FootnoteReference"/>
          <w:rFonts w:ascii="Times New Roman" w:eastAsiaTheme="minorEastAsia" w:hAnsi="Times New Roman" w:cs="Times New Roman"/>
          <w:sz w:val="24"/>
          <w:lang w:val="en-GB"/>
        </w:rPr>
        <w:footnoteReference w:id="120"/>
      </w:r>
      <w:r>
        <w:rPr>
          <w:rStyle w:val="SubtleEmphasis"/>
          <w:rFonts w:ascii="Times New Roman" w:eastAsiaTheme="minorEastAsia" w:hAnsi="Times New Roman" w:cs="Times New Roman"/>
          <w:lang w:val="en-GB"/>
        </w:rPr>
        <w:t xml:space="preserve"> On the UAE94 case, the state went as far as adding some of the concerned individuals to the country’s terrorist list</w:t>
      </w:r>
      <w:r>
        <w:rPr>
          <w:rStyle w:val="FootnoteReference"/>
          <w:rFonts w:ascii="Times New Roman" w:eastAsiaTheme="minorEastAsia" w:hAnsi="Times New Roman" w:cs="Times New Roman"/>
          <w:sz w:val="24"/>
          <w:lang w:val="en-GB"/>
        </w:rPr>
        <w:footnoteReference w:id="121"/>
      </w:r>
      <w:r>
        <w:rPr>
          <w:rStyle w:val="SubtleEmphasis"/>
          <w:rFonts w:ascii="Times New Roman" w:eastAsiaTheme="minorEastAsia" w:hAnsi="Times New Roman" w:cs="Times New Roman"/>
          <w:lang w:val="en-GB"/>
        </w:rPr>
        <w:t xml:space="preserve"> or stripping them of their Emirati nationality</w:t>
      </w:r>
      <w:r>
        <w:rPr>
          <w:rStyle w:val="FootnoteReference"/>
          <w:rFonts w:ascii="Times New Roman" w:eastAsiaTheme="minorEastAsia" w:hAnsi="Times New Roman" w:cs="Times New Roman"/>
          <w:sz w:val="24"/>
          <w:lang w:val="en-GB"/>
        </w:rPr>
        <w:footnoteReference w:id="122"/>
      </w:r>
      <w:r>
        <w:rPr>
          <w:rStyle w:val="SubtleEmphasis"/>
          <w:rFonts w:ascii="Times New Roman" w:eastAsiaTheme="minorEastAsia" w:hAnsi="Times New Roman" w:cs="Times New Roman"/>
          <w:lang w:val="en-GB"/>
        </w:rPr>
        <w:t xml:space="preserve"> due to their political activism. Not only those criticising the UAE government and policies but also political activists speaking about other countries may be punished in the UAE, as was the case of Jordanian Ahmed Al </w:t>
      </w:r>
      <w:proofErr w:type="spellStart"/>
      <w:r>
        <w:rPr>
          <w:rStyle w:val="SubtleEmphasis"/>
          <w:rFonts w:ascii="Times New Roman" w:eastAsiaTheme="minorEastAsia" w:hAnsi="Times New Roman" w:cs="Times New Roman"/>
          <w:lang w:val="en-GB"/>
        </w:rPr>
        <w:t>Atoum</w:t>
      </w:r>
      <w:proofErr w:type="spellEnd"/>
      <w:r>
        <w:rPr>
          <w:rStyle w:val="SubtleEmphasis"/>
          <w:rFonts w:ascii="Times New Roman" w:eastAsiaTheme="minorEastAsia" w:hAnsi="Times New Roman" w:cs="Times New Roman"/>
          <w:lang w:val="en-GB"/>
        </w:rPr>
        <w:t xml:space="preserve"> (see annex 1), who was prosecuted for speaking out about corruption in Jordan via his Facebook profile. Similarly, some of the charges brought against Nasser Bin </w:t>
      </w:r>
      <w:proofErr w:type="spellStart"/>
      <w:r>
        <w:rPr>
          <w:rStyle w:val="SubtleEmphasis"/>
          <w:rFonts w:ascii="Times New Roman" w:eastAsiaTheme="minorEastAsia" w:hAnsi="Times New Roman" w:cs="Times New Roman"/>
          <w:lang w:val="en-GB"/>
        </w:rPr>
        <w:t>Ghaith</w:t>
      </w:r>
      <w:proofErr w:type="spellEnd"/>
      <w:r>
        <w:rPr>
          <w:rStyle w:val="SubtleEmphasis"/>
          <w:rFonts w:ascii="Times New Roman" w:eastAsiaTheme="minorEastAsia" w:hAnsi="Times New Roman" w:cs="Times New Roman"/>
          <w:lang w:val="en-GB"/>
        </w:rPr>
        <w:t xml:space="preserve"> related to tweets in which he criticised Egyptian authorities.</w:t>
      </w:r>
      <w:r>
        <w:rPr>
          <w:rStyle w:val="FootnoteReference"/>
          <w:rFonts w:ascii="Times New Roman" w:eastAsiaTheme="minorEastAsia" w:hAnsi="Times New Roman" w:cs="Times New Roman"/>
          <w:sz w:val="24"/>
          <w:lang w:val="en-GB"/>
        </w:rPr>
        <w:footnoteReference w:id="123"/>
      </w:r>
      <w:r>
        <w:rPr>
          <w:rStyle w:val="SubtleEmphasis"/>
          <w:rFonts w:ascii="Times New Roman" w:eastAsiaTheme="minorEastAsia" w:hAnsi="Times New Roman" w:cs="Times New Roman"/>
          <w:lang w:val="en-GB"/>
        </w:rPr>
        <w:t xml:space="preserve"> In all these cases, the concerned individuals were subjected to torture while detained (see annex 1 for more details).</w:t>
      </w:r>
    </w:p>
    <w:p w:rsidR="0060459F" w:rsidRDefault="00F96166">
      <w:pPr>
        <w:pStyle w:val="Corps"/>
        <w:spacing w:after="120" w:line="276" w:lineRule="auto"/>
        <w:jc w:val="both"/>
        <w:rPr>
          <w:rStyle w:val="SubtleEmphasis"/>
          <w:rFonts w:ascii="Times New Roman" w:eastAsiaTheme="minorEastAsia" w:hAnsi="Times New Roman" w:cs="Times New Roman"/>
          <w:lang w:val="en-GB"/>
        </w:rPr>
      </w:pPr>
      <w:r>
        <w:rPr>
          <w:rStyle w:val="SubtleEmphasis"/>
          <w:rFonts w:ascii="Times New Roman" w:eastAsiaTheme="minorEastAsia" w:hAnsi="Times New Roman" w:cs="Times New Roman"/>
          <w:lang w:val="en-GB"/>
        </w:rPr>
        <w:t>Besides being punished and tortured for exercising their rights and freedoms, individuals in the UAE may also suffer reprisals when collaborating with UN mechanisms or speaking out about their situation.</w:t>
      </w:r>
      <w:r>
        <w:rPr>
          <w:rStyle w:val="FootnoteReference"/>
          <w:rFonts w:ascii="Times New Roman" w:eastAsiaTheme="minorEastAsia" w:hAnsi="Times New Roman" w:cs="Times New Roman"/>
          <w:sz w:val="24"/>
          <w:lang w:val="en-GB"/>
        </w:rPr>
        <w:footnoteReference w:id="124"/>
      </w:r>
      <w:r>
        <w:rPr>
          <w:rStyle w:val="SubtleEmphasis"/>
          <w:rFonts w:ascii="Times New Roman" w:eastAsiaTheme="minorEastAsia" w:hAnsi="Times New Roman" w:cs="Times New Roman"/>
          <w:lang w:val="en-GB"/>
        </w:rPr>
        <w:t xml:space="preserve"> Indeed, the UAE is also frequently mentioned in the UN secretary general’s </w:t>
      </w:r>
      <w:r>
        <w:rPr>
          <w:rStyle w:val="SubtleEmphasis"/>
          <w:rFonts w:ascii="Times New Roman" w:eastAsiaTheme="minorEastAsia" w:hAnsi="Times New Roman" w:cs="Times New Roman"/>
          <w:lang w:val="en-GB"/>
        </w:rPr>
        <w:lastRenderedPageBreak/>
        <w:t>report on “Cooperation with the United Nations, its representatives and mechanisms in the field of human rights”.</w:t>
      </w:r>
      <w:r>
        <w:rPr>
          <w:rStyle w:val="FootnoteReference"/>
          <w:rFonts w:ascii="Times New Roman" w:eastAsiaTheme="minorEastAsia" w:hAnsi="Times New Roman" w:cs="Times New Roman"/>
          <w:sz w:val="24"/>
          <w:lang w:val="en-GB"/>
        </w:rPr>
        <w:footnoteReference w:id="125"/>
      </w:r>
    </w:p>
    <w:p w:rsidR="0060459F" w:rsidRDefault="00F96166">
      <w:pPr>
        <w:pStyle w:val="Corps"/>
        <w:spacing w:after="120" w:line="276" w:lineRule="auto"/>
        <w:jc w:val="both"/>
        <w:rPr>
          <w:rStyle w:val="SubtleEmphasis"/>
          <w:rFonts w:ascii="Times New Roman" w:eastAsiaTheme="minorEastAsia" w:hAnsi="Times New Roman" w:cs="Times New Roman"/>
          <w:lang w:val="en-GB"/>
        </w:rPr>
      </w:pPr>
      <w:r>
        <w:rPr>
          <w:rStyle w:val="SubtleEmphasis"/>
          <w:rFonts w:ascii="Times New Roman" w:eastAsiaTheme="minorEastAsia" w:hAnsi="Times New Roman" w:cs="Times New Roman"/>
          <w:lang w:val="en-GB"/>
        </w:rPr>
        <w:t xml:space="preserve">Lastly, it is also worth noting that, to locate individuals of interest, state authorities sometimes resort to </w:t>
      </w:r>
      <w:proofErr w:type="spellStart"/>
      <w:r>
        <w:rPr>
          <w:rStyle w:val="SubtleEmphasis"/>
          <w:rFonts w:ascii="Times New Roman" w:eastAsiaTheme="minorEastAsia" w:hAnsi="Times New Roman" w:cs="Times New Roman"/>
          <w:lang w:val="en-GB"/>
        </w:rPr>
        <w:t>cybersurveillance</w:t>
      </w:r>
      <w:proofErr w:type="spellEnd"/>
      <w:r>
        <w:rPr>
          <w:rStyle w:val="SubtleEmphasis"/>
          <w:rFonts w:ascii="Times New Roman" w:eastAsiaTheme="minorEastAsia" w:hAnsi="Times New Roman" w:cs="Times New Roman"/>
          <w:lang w:val="en-GB"/>
        </w:rPr>
        <w:t xml:space="preserve"> methods. For example, the hacking of </w:t>
      </w:r>
      <w:proofErr w:type="spellStart"/>
      <w:r>
        <w:rPr>
          <w:rStyle w:val="SubtleEmphasis"/>
          <w:rFonts w:ascii="Times New Roman" w:eastAsiaTheme="minorEastAsia" w:hAnsi="Times New Roman" w:cs="Times New Roman"/>
          <w:lang w:val="en-GB"/>
        </w:rPr>
        <w:t>Loujain</w:t>
      </w:r>
      <w:proofErr w:type="spellEnd"/>
      <w:r>
        <w:rPr>
          <w:rStyle w:val="SubtleEmphasis"/>
          <w:rFonts w:ascii="Times New Roman" w:eastAsiaTheme="minorEastAsia" w:hAnsi="Times New Roman" w:cs="Times New Roman"/>
          <w:lang w:val="en-GB"/>
        </w:rPr>
        <w:t xml:space="preserve"> al-</w:t>
      </w:r>
      <w:proofErr w:type="spellStart"/>
      <w:r>
        <w:rPr>
          <w:rStyle w:val="SubtleEmphasis"/>
          <w:rFonts w:ascii="Times New Roman" w:eastAsiaTheme="minorEastAsia" w:hAnsi="Times New Roman" w:cs="Times New Roman"/>
          <w:lang w:val="en-GB"/>
        </w:rPr>
        <w:t>Hathloul’s</w:t>
      </w:r>
      <w:proofErr w:type="spellEnd"/>
      <w:r>
        <w:rPr>
          <w:rStyle w:val="SubtleEmphasis"/>
          <w:rFonts w:ascii="Times New Roman" w:eastAsiaTheme="minorEastAsia" w:hAnsi="Times New Roman" w:cs="Times New Roman"/>
          <w:lang w:val="en-GB"/>
        </w:rPr>
        <w:t xml:space="preserve"> mobile phone was essential to ensure her arrest and subsequent rendition to Saudi Arabia.</w:t>
      </w:r>
      <w:r>
        <w:rPr>
          <w:rStyle w:val="FootnoteReference"/>
          <w:rFonts w:ascii="Times New Roman" w:eastAsiaTheme="minorEastAsia" w:hAnsi="Times New Roman" w:cs="Times New Roman"/>
          <w:sz w:val="24"/>
          <w:lang w:val="en-GB"/>
        </w:rPr>
        <w:footnoteReference w:id="126"/>
      </w:r>
      <w:r>
        <w:rPr>
          <w:rStyle w:val="SubtleEmphasis"/>
          <w:rFonts w:ascii="Times New Roman" w:eastAsiaTheme="minorEastAsia" w:hAnsi="Times New Roman" w:cs="Times New Roman"/>
          <w:lang w:val="en-GB"/>
        </w:rPr>
        <w:t xml:space="preserve"> Efforts were also made to hack Ahmed </w:t>
      </w:r>
      <w:proofErr w:type="spellStart"/>
      <w:r>
        <w:rPr>
          <w:rStyle w:val="SubtleEmphasis"/>
          <w:rFonts w:ascii="Times New Roman" w:eastAsiaTheme="minorEastAsia" w:hAnsi="Times New Roman" w:cs="Times New Roman"/>
          <w:lang w:val="en-GB"/>
        </w:rPr>
        <w:t>Mansoor’s</w:t>
      </w:r>
      <w:proofErr w:type="spellEnd"/>
      <w:r>
        <w:rPr>
          <w:rStyle w:val="SubtleEmphasis"/>
          <w:rFonts w:ascii="Times New Roman" w:eastAsiaTheme="minorEastAsia" w:hAnsi="Times New Roman" w:cs="Times New Roman"/>
          <w:lang w:val="en-GB"/>
        </w:rPr>
        <w:t xml:space="preserve"> phone, but his suspicion alerted him and prevented the hacking.</w:t>
      </w:r>
      <w:r>
        <w:rPr>
          <w:rStyle w:val="FootnoteReference"/>
          <w:rFonts w:ascii="Times New Roman" w:eastAsiaTheme="minorEastAsia" w:hAnsi="Times New Roman" w:cs="Times New Roman"/>
          <w:sz w:val="24"/>
          <w:lang w:val="en-GB"/>
        </w:rPr>
        <w:footnoteReference w:id="127"/>
      </w:r>
    </w:p>
    <w:p w:rsidR="0060459F" w:rsidRDefault="00F96166">
      <w:pPr>
        <w:pStyle w:val="Title"/>
        <w:spacing w:line="276" w:lineRule="auto"/>
        <w:rPr>
          <w:rFonts w:ascii="Times New Roman" w:hAnsi="Times New Roman" w:cs="Times New Roman"/>
        </w:rPr>
      </w:pPr>
      <w:bookmarkStart w:id="24" w:name="_Toc20"/>
      <w:r>
        <w:rPr>
          <w:rFonts w:ascii="Times New Roman" w:eastAsiaTheme="minorEastAsia" w:hAnsi="Times New Roman" w:cs="Times New Roman"/>
        </w:rPr>
        <w:t>Recommendations:</w:t>
      </w:r>
      <w:bookmarkEnd w:id="24"/>
    </w:p>
    <w:p w:rsidR="0060459F" w:rsidRDefault="00F96166">
      <w:pPr>
        <w:pStyle w:val="ListParagraph"/>
        <w:numPr>
          <w:ilvl w:val="0"/>
          <w:numId w:val="5"/>
        </w:numPr>
        <w:spacing w:line="276" w:lineRule="auto"/>
        <w:rPr>
          <w:rFonts w:ascii="Times New Roman" w:hAnsi="Times New Roman" w:cs="Times New Roman"/>
          <w:color w:val="543192"/>
        </w:rPr>
      </w:pPr>
      <w:r>
        <w:rPr>
          <w:rFonts w:ascii="Times New Roman" w:eastAsiaTheme="minorEastAsia" w:hAnsi="Times New Roman" w:cs="Times New Roman"/>
          <w:color w:val="543192"/>
        </w:rPr>
        <w:t>Amend Emirati legislation to ensure crimes are well defined and criminal provisions cannot be used to punish lawful criticism and peaceful dissent;</w:t>
      </w:r>
    </w:p>
    <w:p w:rsidR="0060459F" w:rsidRDefault="00F96166">
      <w:pPr>
        <w:pStyle w:val="ListParagraph"/>
        <w:numPr>
          <w:ilvl w:val="0"/>
          <w:numId w:val="5"/>
        </w:numPr>
        <w:spacing w:line="276" w:lineRule="auto"/>
        <w:rPr>
          <w:rStyle w:val="SubtleEmphasis"/>
          <w:rFonts w:ascii="Times New Roman" w:hAnsi="Times New Roman" w:cs="Times New Roman"/>
          <w:color w:val="543192"/>
          <w:sz w:val="22"/>
        </w:rPr>
      </w:pPr>
      <w:r>
        <w:rPr>
          <w:rStyle w:val="SubtleEmphasis"/>
          <w:rFonts w:ascii="Times New Roman" w:hAnsi="Times New Roman" w:cs="Times New Roman"/>
          <w:color w:val="543192"/>
          <w:sz w:val="22"/>
        </w:rPr>
        <w:t>Release those imprisoned for exercising their fundamental freedoms;</w:t>
      </w:r>
    </w:p>
    <w:p w:rsidR="0060459F" w:rsidRDefault="00F96166">
      <w:pPr>
        <w:pStyle w:val="ListParagraph"/>
        <w:numPr>
          <w:ilvl w:val="0"/>
          <w:numId w:val="5"/>
        </w:numPr>
        <w:spacing w:line="276" w:lineRule="auto"/>
        <w:rPr>
          <w:rStyle w:val="SubtleEmphasis"/>
          <w:rFonts w:ascii="Times New Roman" w:hAnsi="Times New Roman" w:cs="Times New Roman"/>
          <w:color w:val="543192"/>
          <w:sz w:val="22"/>
        </w:rPr>
      </w:pPr>
      <w:r>
        <w:rPr>
          <w:rStyle w:val="SubtleEmphasis"/>
          <w:rFonts w:ascii="Times New Roman" w:hAnsi="Times New Roman" w:cs="Times New Roman"/>
          <w:color w:val="543192"/>
          <w:sz w:val="22"/>
        </w:rPr>
        <w:t>Stop the persecution of dissenting voices;</w:t>
      </w:r>
    </w:p>
    <w:p w:rsidR="0060459F" w:rsidRDefault="00F96166">
      <w:pPr>
        <w:pStyle w:val="ListParagraph"/>
        <w:numPr>
          <w:ilvl w:val="0"/>
          <w:numId w:val="5"/>
        </w:numPr>
        <w:spacing w:line="276" w:lineRule="auto"/>
        <w:rPr>
          <w:rStyle w:val="SubtleEmphasis"/>
          <w:rFonts w:ascii="Times New Roman" w:hAnsi="Times New Roman" w:cs="Times New Roman"/>
          <w:color w:val="543192"/>
          <w:sz w:val="22"/>
        </w:rPr>
      </w:pPr>
      <w:r>
        <w:rPr>
          <w:rStyle w:val="SubtleEmphasis"/>
          <w:rFonts w:ascii="Times New Roman" w:hAnsi="Times New Roman" w:cs="Times New Roman"/>
          <w:color w:val="543192"/>
          <w:sz w:val="22"/>
        </w:rPr>
        <w:t>End practices of surveillance against human rights defenders, activists and journalists.</w:t>
      </w:r>
    </w:p>
    <w:sectPr w:rsidR="0060459F">
      <w:headerReference w:type="even" r:id="rId13"/>
      <w:headerReference w:type="default" r:id="rId14"/>
      <w:footerReference w:type="default" r:id="rId15"/>
      <w:headerReference w:type="first" r:id="rId16"/>
      <w:footerReference w:type="first" r:id="rId17"/>
      <w:pgSz w:w="11906" w:h="16838"/>
      <w:pgMar w:top="1418" w:right="1418" w:bottom="1418" w:left="1418" w:header="567" w:footer="283" w:gutter="0"/>
      <w:cols w:space="708"/>
      <w:titlePg/>
      <w:docGrid w:linePitch="360"/>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Ramzi Kaiss" w:date="2022-05-13T15:57:00Z" w:initials="RK">
    <w:p w14:paraId="00000001" w14:textId="00000001">
      <w:pPr>
        <w:spacing w:line="240" w:after="0" w:lineRule="auto" w:before="0"/>
        <w:ind w:firstLine="0" w:left="0" w:right="0"/>
        <w:jc w:val="left"/>
      </w:pPr>
      <w:r>
        <w:rPr>
          <w:rFonts w:eastAsia="Arial" w:ascii="Arial" w:hAnsi="Arial" w:cs="Arial"/>
          <w:sz w:val="22"/>
        </w:rPr>
        <w:t xml:space="preserve">The spacing here is different than the other sections?</w:t>
      </w:r>
    </w:p>
  </w:comment>
  <w:comment w:id="1" w:author="Ines Osman" w:date="2022-03-07T16:55:00Z" w:initials="IO">
    <w:p w14:paraId="00000002" w14:textId="00000002">
      <w:pPr>
        <w:spacing w:line="240" w:after="0" w:lineRule="auto" w:before="0"/>
        <w:ind w:firstLine="0" w:left="0" w:right="0"/>
        <w:jc w:val="left"/>
      </w:pPr>
      <w:r>
        <w:rPr>
          <w:rFonts w:eastAsia="Arial" w:ascii="Arial" w:hAnsi="Arial" w:cs="Arial"/>
          <w:sz w:val="22"/>
        </w:rPr>
        <w:t xml:space="preserve">Add EDAC as we will submit jointly</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Ex w15:paraId="00000002" w15:done="0"/>
</w15:commentsEx>
</file>

<file path=word/commentsExtensibleDocument.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628FE61" w16cex:dateUtc="2022-05-13T13:57:00Z"/>
  <w16cex:commentExtensible w16cex:durableId="25D0B786" w16cex:dateUtc="2022-03-07T15:55:00Z"/>
</w16cex:commentsExtensible>
</file>

<file path=word/commentsIdsDocument.xml><?xml version="1.0" encoding="utf-8"?>
<w16cid:commentsIds xmlns:mc="http://schemas.openxmlformats.org/markup-compatibility/2006" xmlns:w16cid="http://schemas.microsoft.com/office/word/2016/wordml/cid" mc:Ignorable="w16cid">
  <w16cid:commentId w16cid:paraId="00000001" w16cid:durableId="2628FE61"/>
  <w16cid:commentId w16cid:paraId="00000002" w16cid:durableId="25D0B7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B46" w:rsidRDefault="00F46B46">
      <w:pPr>
        <w:spacing w:before="0" w:after="0" w:line="240" w:lineRule="auto"/>
      </w:pPr>
      <w:r>
        <w:separator/>
      </w:r>
    </w:p>
  </w:endnote>
  <w:endnote w:type="continuationSeparator" w:id="0">
    <w:p w:rsidR="00F46B46" w:rsidRDefault="00F46B4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Malgun Gothic"/>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charset w:val="00"/>
    <w:family w:val="auto"/>
    <w:pitch w:val="default"/>
  </w:font>
  <w:font w:name="helvetica neue light">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roboto" w:hAnsi="roboto"/>
      </w:rPr>
      <w:id w:val="201220269"/>
      <w:docPartObj>
        <w:docPartGallery w:val="Page Numbers (Bottom of Page)"/>
        <w:docPartUnique/>
      </w:docPartObj>
    </w:sdtPr>
    <w:sdtContent>
      <w:p w:rsidR="00F96166" w:rsidRDefault="00F96166">
        <w:pPr>
          <w:pStyle w:val="Footer"/>
          <w:rPr>
            <w:rFonts w:ascii="roboto" w:hAnsi="roboto"/>
          </w:rPr>
        </w:pPr>
        <w:r>
          <w:rPr>
            <w:rFonts w:ascii="roboto" w:hAnsi="roboto"/>
          </w:rPr>
          <w:fldChar w:fldCharType="begin"/>
        </w:r>
        <w:r>
          <w:rPr>
            <w:rFonts w:ascii="roboto" w:hAnsi="roboto"/>
          </w:rPr>
          <w:instrText xml:space="preserve"> PAGE   \* MERGEFORMAT </w:instrText>
        </w:r>
        <w:r>
          <w:rPr>
            <w:rFonts w:ascii="roboto" w:hAnsi="roboto"/>
          </w:rPr>
          <w:fldChar w:fldCharType="separate"/>
        </w:r>
        <w:r w:rsidR="008254E3">
          <w:rPr>
            <w:rFonts w:ascii="roboto" w:hAnsi="roboto"/>
            <w:noProof/>
          </w:rPr>
          <w:t>2</w:t>
        </w:r>
        <w:r>
          <w:rPr>
            <w:rFonts w:ascii="roboto" w:hAnsi="roboto"/>
          </w:rPr>
          <w:fldChar w:fldCharType="end"/>
        </w:r>
        <w:r>
          <w:rPr>
            <w:rFonts w:ascii="roboto" w:hAnsi="roboto"/>
          </w:rPr>
          <w:t xml:space="preserve"> </w:t>
        </w:r>
        <w:r>
          <w:rPr>
            <w:rFonts w:ascii="roboto" w:hAnsi="roboto"/>
          </w:rPr>
          <w:tab/>
        </w:r>
        <w:r>
          <w:rPr>
            <w:rFonts w:ascii="roboto" w:hAnsi="roboto"/>
          </w:rPr>
          <w:tab/>
          <w:t>Alternative Report | UAE</w:t>
        </w:r>
      </w:p>
    </w:sdtContent>
  </w:sdt>
  <w:p w:rsidR="00F96166" w:rsidRDefault="00F96166">
    <w:pPr>
      <w:pStyle w:val="Footer"/>
      <w:tabs>
        <w:tab w:val="clear" w:pos="4536"/>
        <w:tab w:val="clear" w:pos="9072"/>
        <w:tab w:val="left" w:pos="3375"/>
      </w:tabs>
      <w:rPr>
        <w:rFonts w:ascii="roboto" w:hAnsi="roboto"/>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6166" w:rsidRDefault="00F96166">
    <w:pPr>
      <w:pStyle w:val="Footer"/>
      <w:tabs>
        <w:tab w:val="clear" w:pos="4536"/>
        <w:tab w:val="clear" w:pos="9072"/>
        <w:tab w:val="left" w:pos="2220"/>
      </w:tabs>
      <w:rPr>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B46" w:rsidRDefault="00F46B46">
      <w:pPr>
        <w:spacing w:before="0" w:after="0" w:line="240" w:lineRule="auto"/>
      </w:pPr>
      <w:r>
        <w:separator/>
      </w:r>
    </w:p>
  </w:footnote>
  <w:footnote w:type="continuationSeparator" w:id="0">
    <w:p w:rsidR="00F46B46" w:rsidRDefault="00F46B46">
      <w:pPr>
        <w:spacing w:before="0" w:after="0" w:line="240" w:lineRule="auto"/>
      </w:pPr>
      <w:r>
        <w:continuationSeparator/>
      </w:r>
    </w:p>
  </w:footnote>
  <w:footnote w:id="1">
    <w:p w:rsidR="00F96166" w:rsidRDefault="00F96166">
      <w:pPr>
        <w:pStyle w:val="FootnoteText"/>
        <w:jc w:val="both"/>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n-US"/>
        </w:rPr>
        <w:t xml:space="preserve">United Nations Committee against Torture, </w:t>
      </w:r>
      <w:r>
        <w:rPr>
          <w:rFonts w:ascii="Times New Roman" w:hAnsi="Times New Roman" w:cs="Times New Roman"/>
          <w:i/>
          <w:iCs/>
          <w:lang w:val="en-US"/>
        </w:rPr>
        <w:t>Initial report submitted by the United Arab Emirates under article 19 of the Convention, due in 2013</w:t>
      </w:r>
      <w:r>
        <w:rPr>
          <w:rFonts w:ascii="Times New Roman" w:hAnsi="Times New Roman" w:cs="Times New Roman"/>
          <w:lang w:val="en-US"/>
        </w:rPr>
        <w:t>, 20 June 2018, UN Doc. CAT/C/ARE/1 (hereinafter “state report”).</w:t>
      </w:r>
    </w:p>
  </w:footnote>
  <w:footnote w:id="2">
    <w:p w:rsidR="00F96166" w:rsidRDefault="00F96166">
      <w:pPr>
        <w:pStyle w:val="FootnoteText"/>
        <w:jc w:val="both"/>
      </w:pPr>
      <w:r>
        <w:rPr>
          <w:rStyle w:val="FootnoteReference"/>
          <w:rFonts w:ascii="Times New Roman" w:hAnsi="Times New Roman" w:cs="Times New Roman"/>
        </w:rPr>
        <w:footnoteRef/>
      </w:r>
      <w:r>
        <w:rPr>
          <w:rFonts w:ascii="Times New Roman" w:hAnsi="Times New Roman" w:cs="Times New Roman"/>
        </w:rPr>
        <w:t xml:space="preserve"> News Agency – WAM, </w:t>
      </w:r>
      <w:r>
        <w:rPr>
          <w:rFonts w:ascii="Times New Roman" w:hAnsi="Times New Roman" w:cs="Times New Roman"/>
          <w:i/>
          <w:iCs/>
        </w:rPr>
        <w:t>UAE adopts largest legislative reform in its history</w:t>
      </w:r>
      <w:r>
        <w:rPr>
          <w:rFonts w:ascii="Times New Roman" w:hAnsi="Times New Roman" w:cs="Times New Roman"/>
        </w:rPr>
        <w:t>, 27 November 2021, http://wam.ae/en/details/1395302997239 (accessed 20 April 2022).</w:t>
      </w:r>
    </w:p>
  </w:footnote>
  <w:footnote w:id="3">
    <w:p w:rsidR="00F96166" w:rsidRDefault="00F96166">
      <w:pPr>
        <w:pStyle w:val="FootnoteText"/>
        <w:jc w:val="both"/>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cs="Times New Roman"/>
        </w:rPr>
        <w:t xml:space="preserve"> In the UAE, matters related to internal security fall under the legislative competence of the Union (article 120, Emirati Constitution). Union laws are drafted by the Council of Ministers and revised by the Union National Council, before being ratified by the Supreme Council of the Union (article 110, Emirati Constitution). All these Councils are executive bodies.</w:t>
      </w:r>
    </w:p>
  </w:footnote>
  <w:footnote w:id="4">
    <w:p w:rsidR="00F96166" w:rsidRDefault="00F96166">
      <w:pPr>
        <w:pStyle w:val="FootnoteText"/>
        <w:jc w:val="both"/>
        <w:rPr>
          <w:rFonts w:ascii="Times New Roman" w:hAnsi="Times New Roman" w:cs="Times New Roman"/>
          <w:i/>
          <w:iCs/>
        </w:rPr>
      </w:pPr>
      <w:r>
        <w:rPr>
          <w:rStyle w:val="FootnoteReference"/>
          <w:rFonts w:ascii="Times New Roman" w:hAnsi="Times New Roman" w:cs="Times New Roman"/>
        </w:rPr>
        <w:footnoteRef/>
      </w:r>
      <w:r>
        <w:rPr>
          <w:rFonts w:ascii="Times New Roman" w:hAnsi="Times New Roman" w:cs="Times New Roman"/>
        </w:rPr>
        <w:t xml:space="preserve"> United Nations Human Rights Council, </w:t>
      </w:r>
      <w:r>
        <w:rPr>
          <w:rFonts w:ascii="Times New Roman" w:hAnsi="Times New Roman" w:cs="Times New Roman"/>
          <w:i/>
          <w:iCs/>
        </w:rPr>
        <w:t>Report of the Special Rapporteur on the independence of judges and lawyers, Gabriela Knaul,</w:t>
      </w:r>
      <w:r>
        <w:rPr>
          <w:rFonts w:ascii="Times New Roman" w:hAnsi="Times New Roman" w:cs="Times New Roman"/>
        </w:rPr>
        <w:t xml:space="preserve"> 5 May 2015, UN Doc. A/HRC/29/26/Add.2 (hereinafter 2014 Report of the Special Rapporteur on the independence of judges and lawyers), para. 52.</w:t>
      </w:r>
    </w:p>
  </w:footnote>
  <w:footnote w:id="5">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2014 Report of the Special Rapporteur on the independence of judges and lawyers, </w:t>
      </w:r>
      <w:r>
        <w:rPr>
          <w:rFonts w:ascii="Times New Roman" w:hAnsi="Times New Roman" w:cs="Times New Roman"/>
          <w:i/>
          <w:iCs/>
        </w:rPr>
        <w:t>op. cit.</w:t>
      </w:r>
      <w:r>
        <w:rPr>
          <w:rFonts w:ascii="Times New Roman" w:hAnsi="Times New Roman" w:cs="Times New Roman"/>
        </w:rPr>
        <w:t>, para. 53.</w:t>
      </w:r>
    </w:p>
  </w:footnote>
  <w:footnote w:id="6">
    <w:p w:rsidR="00F96166" w:rsidRDefault="00F96166">
      <w:pPr>
        <w:pStyle w:val="FootnoteText"/>
        <w:jc w:val="both"/>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n-US"/>
        </w:rPr>
        <w:t xml:space="preserve">Working Group on Arbitrary Detention, </w:t>
      </w:r>
      <w:r>
        <w:rPr>
          <w:rFonts w:ascii="Times New Roman" w:hAnsi="Times New Roman" w:cs="Times New Roman"/>
          <w:i/>
          <w:iCs/>
          <w:lang w:val="en-US"/>
        </w:rPr>
        <w:t xml:space="preserve">Opinion No. 47/2017 concerning Ahmad Ali </w:t>
      </w:r>
      <w:proofErr w:type="spellStart"/>
      <w:r>
        <w:rPr>
          <w:rFonts w:ascii="Times New Roman" w:hAnsi="Times New Roman" w:cs="Times New Roman"/>
          <w:i/>
          <w:iCs/>
          <w:lang w:val="en-US"/>
        </w:rPr>
        <w:t>Mekkaoui</w:t>
      </w:r>
      <w:proofErr w:type="spellEnd"/>
      <w:r>
        <w:rPr>
          <w:rFonts w:ascii="Times New Roman" w:hAnsi="Times New Roman" w:cs="Times New Roman"/>
          <w:i/>
          <w:iCs/>
          <w:lang w:val="en-US"/>
        </w:rPr>
        <w:t xml:space="preserve"> (United Arab Emirates)</w:t>
      </w:r>
      <w:r>
        <w:rPr>
          <w:rFonts w:ascii="Times New Roman" w:hAnsi="Times New Roman" w:cs="Times New Roman"/>
          <w:lang w:val="en-US"/>
        </w:rPr>
        <w:t xml:space="preserve">, 22 August 2017, UN Doc. A/HRC/WGAD/2017/47, </w:t>
      </w:r>
      <w:hyperlink r:id="rId1" w:tooltip="https://documents-dds-ny.un.org/doc/UNDOC/GEN/G17/269/17/PDF/G1726917.pdf?OpenElement" w:history="1">
        <w:r>
          <w:rPr>
            <w:rStyle w:val="Hyperlink"/>
            <w:rFonts w:ascii="Times New Roman" w:hAnsi="Times New Roman" w:cs="Times New Roman"/>
            <w:lang w:val="en-US"/>
          </w:rPr>
          <w:t>https://documents-dds-ny.un.org/doc/UNDOC/GEN/G17/269/17/PDF/G1726917.pdf?OpenElement</w:t>
        </w:r>
      </w:hyperlink>
      <w:r>
        <w:rPr>
          <w:rFonts w:ascii="Times New Roman" w:hAnsi="Times New Roman" w:cs="Times New Roman"/>
          <w:lang w:val="en-US"/>
        </w:rPr>
        <w:t xml:space="preserve"> (accessed 12 May 2022), para. 36.</w:t>
      </w:r>
    </w:p>
  </w:footnote>
  <w:footnote w:id="7">
    <w:p w:rsidR="00F96166" w:rsidRDefault="00F96166">
      <w:pPr>
        <w:pStyle w:val="FootnoteText"/>
        <w:jc w:val="both"/>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n-US"/>
        </w:rPr>
        <w:t xml:space="preserve">See state report, </w:t>
      </w:r>
      <w:r>
        <w:rPr>
          <w:rFonts w:ascii="Times New Roman" w:hAnsi="Times New Roman" w:cs="Times New Roman"/>
          <w:i/>
          <w:iCs/>
          <w:lang w:val="en-US"/>
        </w:rPr>
        <w:t xml:space="preserve">op. cit., </w:t>
      </w:r>
      <w:proofErr w:type="gramStart"/>
      <w:r>
        <w:rPr>
          <w:rFonts w:ascii="Times New Roman" w:hAnsi="Times New Roman" w:cs="Times New Roman"/>
          <w:lang w:val="en-US"/>
        </w:rPr>
        <w:t>para</w:t>
      </w:r>
      <w:proofErr w:type="gramEnd"/>
      <w:r>
        <w:rPr>
          <w:rFonts w:ascii="Times New Roman" w:hAnsi="Times New Roman" w:cs="Times New Roman"/>
          <w:lang w:val="en-US"/>
        </w:rPr>
        <w:t>. 90; and article 125, constitution.</w:t>
      </w:r>
    </w:p>
  </w:footnote>
  <w:footnote w:id="8">
    <w:p w:rsidR="00F96166" w:rsidRDefault="00F96166">
      <w:pPr>
        <w:pStyle w:val="FootnoteText"/>
        <w:jc w:val="both"/>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n-US"/>
        </w:rPr>
        <w:t xml:space="preserve">State report, </w:t>
      </w:r>
      <w:r>
        <w:rPr>
          <w:rFonts w:ascii="Times New Roman" w:hAnsi="Times New Roman" w:cs="Times New Roman"/>
          <w:i/>
          <w:iCs/>
          <w:lang w:val="en-US"/>
        </w:rPr>
        <w:t xml:space="preserve">op. cit., </w:t>
      </w:r>
      <w:proofErr w:type="gramStart"/>
      <w:r>
        <w:rPr>
          <w:rFonts w:ascii="Times New Roman" w:hAnsi="Times New Roman" w:cs="Times New Roman"/>
          <w:lang w:val="en-US"/>
        </w:rPr>
        <w:t>para</w:t>
      </w:r>
      <w:proofErr w:type="gramEnd"/>
      <w:r>
        <w:rPr>
          <w:rFonts w:ascii="Times New Roman" w:hAnsi="Times New Roman" w:cs="Times New Roman"/>
          <w:lang w:val="en-US"/>
        </w:rPr>
        <w:t>. 95.</w:t>
      </w:r>
    </w:p>
  </w:footnote>
  <w:footnote w:id="9">
    <w:p w:rsidR="00F96166" w:rsidRPr="0008285E" w:rsidRDefault="00F96166">
      <w:pPr>
        <w:pStyle w:val="FootnoteText"/>
        <w:jc w:val="both"/>
        <w:rPr>
          <w:rFonts w:ascii="Times New Roman" w:hAnsi="Times New Roman" w:cs="Times New Roman"/>
          <w:lang w:val="fr-CH"/>
        </w:rPr>
      </w:pPr>
      <w:r>
        <w:rPr>
          <w:rStyle w:val="FootnoteReference"/>
          <w:rFonts w:ascii="Times New Roman" w:hAnsi="Times New Roman" w:cs="Times New Roman"/>
        </w:rPr>
        <w:footnoteRef/>
      </w:r>
      <w:r>
        <w:rPr>
          <w:rFonts w:ascii="Times New Roman" w:hAnsi="Times New Roman" w:cs="Times New Roman"/>
        </w:rPr>
        <w:t xml:space="preserve"> English version available at: </w:t>
      </w:r>
      <w:hyperlink r:id="rId2" w:tooltip="https://menarights.org/sites/default/files/2016-11/UAE_Constitution_2004_EN.pdf" w:history="1">
        <w:r>
          <w:rPr>
            <w:rStyle w:val="Hyperlink"/>
            <w:rFonts w:ascii="Times New Roman" w:hAnsi="Times New Roman" w:cs="Times New Roman"/>
          </w:rPr>
          <w:t>https://menarights.org/sites/default/files/2016-11/UAE_Constitution_2004_EN.pdf</w:t>
        </w:r>
      </w:hyperlink>
      <w:r>
        <w:rPr>
          <w:rFonts w:ascii="Times New Roman" w:hAnsi="Times New Roman" w:cs="Times New Roman"/>
        </w:rPr>
        <w:t xml:space="preserve"> (accessed on 8 April 2022), arts. </w:t>
      </w:r>
      <w:r w:rsidRPr="0008285E">
        <w:rPr>
          <w:rFonts w:ascii="Times New Roman" w:hAnsi="Times New Roman" w:cs="Times New Roman"/>
          <w:lang w:val="fr-CH"/>
        </w:rPr>
        <w:t>26, 28.</w:t>
      </w:r>
    </w:p>
  </w:footnote>
  <w:footnote w:id="10">
    <w:p w:rsidR="00F96166" w:rsidRPr="0008285E" w:rsidRDefault="00F96166">
      <w:pPr>
        <w:pStyle w:val="FootnoteText"/>
        <w:jc w:val="both"/>
        <w:rPr>
          <w:rFonts w:ascii="Times New Roman" w:hAnsi="Times New Roman" w:cs="Times New Roman"/>
          <w:lang w:val="fr-CH"/>
        </w:rPr>
      </w:pPr>
      <w:r>
        <w:rPr>
          <w:rStyle w:val="FootnoteReference"/>
          <w:rFonts w:ascii="Times New Roman" w:hAnsi="Times New Roman" w:cs="Times New Roman"/>
        </w:rPr>
        <w:footnoteRef/>
      </w:r>
      <w:r w:rsidRPr="0008285E">
        <w:rPr>
          <w:rFonts w:ascii="Times New Roman" w:hAnsi="Times New Roman" w:cs="Times New Roman"/>
          <w:lang w:val="fr-CH"/>
        </w:rPr>
        <w:t xml:space="preserve"> Article 290, penal code.</w:t>
      </w:r>
    </w:p>
  </w:footnote>
  <w:footnote w:id="11">
    <w:p w:rsidR="00F96166" w:rsidRPr="0008285E" w:rsidRDefault="00F96166">
      <w:pPr>
        <w:pStyle w:val="FootnoteText"/>
        <w:jc w:val="both"/>
        <w:rPr>
          <w:rFonts w:ascii="Times New Roman" w:hAnsi="Times New Roman" w:cs="Times New Roman"/>
          <w:lang w:val="fr-CH"/>
        </w:rPr>
      </w:pPr>
      <w:r>
        <w:rPr>
          <w:rStyle w:val="FootnoteReference"/>
          <w:rFonts w:ascii="Times New Roman" w:hAnsi="Times New Roman" w:cs="Times New Roman"/>
        </w:rPr>
        <w:footnoteRef/>
      </w:r>
      <w:r w:rsidRPr="0008285E">
        <w:rPr>
          <w:rFonts w:ascii="Times New Roman" w:hAnsi="Times New Roman" w:cs="Times New Roman"/>
          <w:lang w:val="fr-CH"/>
        </w:rPr>
        <w:t xml:space="preserve"> Article 291, penal code.</w:t>
      </w:r>
    </w:p>
  </w:footnote>
  <w:footnote w:id="12">
    <w:p w:rsidR="00F96166" w:rsidRPr="0008285E" w:rsidRDefault="00F96166">
      <w:pPr>
        <w:pStyle w:val="FootnoteText"/>
        <w:jc w:val="both"/>
        <w:rPr>
          <w:rFonts w:ascii="Times New Roman" w:hAnsi="Times New Roman" w:cs="Times New Roman"/>
          <w:lang w:val="fr-CH"/>
        </w:rPr>
      </w:pPr>
      <w:r>
        <w:rPr>
          <w:rStyle w:val="FootnoteReference"/>
          <w:rFonts w:ascii="Times New Roman" w:hAnsi="Times New Roman" w:cs="Times New Roman"/>
        </w:rPr>
        <w:footnoteRef/>
      </w:r>
      <w:r w:rsidRPr="0008285E">
        <w:rPr>
          <w:rFonts w:ascii="Times New Roman" w:hAnsi="Times New Roman" w:cs="Times New Roman"/>
          <w:lang w:val="fr-CH"/>
        </w:rPr>
        <w:t xml:space="preserve"> Article 293, penal code.</w:t>
      </w:r>
    </w:p>
  </w:footnote>
  <w:footnote w:id="13">
    <w:p w:rsidR="00F96166" w:rsidRPr="0008285E" w:rsidRDefault="00F96166">
      <w:pPr>
        <w:pStyle w:val="FootnoteText"/>
        <w:jc w:val="both"/>
        <w:rPr>
          <w:rFonts w:ascii="Times New Roman" w:hAnsi="Times New Roman" w:cs="Times New Roman"/>
          <w:lang w:val="fr-CH"/>
        </w:rPr>
      </w:pPr>
      <w:r>
        <w:rPr>
          <w:rStyle w:val="FootnoteReference"/>
          <w:rFonts w:ascii="Times New Roman" w:hAnsi="Times New Roman" w:cs="Times New Roman"/>
        </w:rPr>
        <w:footnoteRef/>
      </w:r>
      <w:r w:rsidRPr="0008285E">
        <w:rPr>
          <w:rFonts w:ascii="Times New Roman" w:hAnsi="Times New Roman" w:cs="Times New Roman"/>
          <w:lang w:val="fr-CH"/>
        </w:rPr>
        <w:t xml:space="preserve"> Article 2, CCP.</w:t>
      </w:r>
    </w:p>
  </w:footnote>
  <w:footnote w:id="14">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English version available at: </w:t>
      </w:r>
      <w:hyperlink r:id="rId3" w:tooltip="https://menarights.org/sites/default/files/2016-11/UAE_TerrorismLaw_EN.pdf" w:history="1">
        <w:r>
          <w:rPr>
            <w:rStyle w:val="Hyperlink"/>
            <w:rFonts w:ascii="Times New Roman" w:hAnsi="Times New Roman" w:cs="Times New Roman"/>
          </w:rPr>
          <w:t>https://menarights.org/sites/default/files/2016-11/UAE_TerrorismLaw_EN.pdf</w:t>
        </w:r>
      </w:hyperlink>
      <w:r>
        <w:rPr>
          <w:rFonts w:ascii="Times New Roman" w:hAnsi="Times New Roman" w:cs="Times New Roman"/>
        </w:rPr>
        <w:t xml:space="preserve"> (accessed 22 April 2022).</w:t>
      </w:r>
    </w:p>
  </w:footnote>
  <w:footnote w:id="15">
    <w:p w:rsidR="00F96166" w:rsidRDefault="00F96166">
      <w:pPr>
        <w:pStyle w:val="EndnoteText"/>
        <w:spacing w:before="0"/>
        <w:jc w:val="both"/>
        <w:rPr>
          <w:rFonts w:ascii="Times" w:hAnsi="Times"/>
        </w:rPr>
      </w:pPr>
      <w:r>
        <w:rPr>
          <w:rStyle w:val="FootnoteReference"/>
        </w:rPr>
        <w:footnoteRef/>
      </w:r>
      <w:r>
        <w:t xml:space="preserve"> </w:t>
      </w:r>
      <w:r>
        <w:rPr>
          <w:rFonts w:ascii="Times New Roman" w:hAnsi="Times New Roman" w:cs="Times New Roman"/>
        </w:rPr>
        <w:t xml:space="preserve">Mandates of the Special Rapporteur on the promotion and protection of human rights and fundamental freedoms while countering terrorism; the Working Group on Arbitrary Detention; the Special Rapporteur on the promotion and protection of the right to freedom of opinion and expression; the Special Rapporteur on the rights to freedom of peaceful assembly and of association; and the Special Rapporteur on the situation of human rights defenders, </w:t>
      </w:r>
      <w:r>
        <w:rPr>
          <w:rFonts w:ascii="Times New Roman" w:hAnsi="Times New Roman" w:cs="Times New Roman"/>
          <w:i/>
          <w:iCs/>
        </w:rPr>
        <w:t>Comments and suggestions on the 2014 Law No. 7 On Combatting Terrorism Offences (Law 7) which abrogated Federal Decree-Law no. 1/2004</w:t>
      </w:r>
      <w:r>
        <w:rPr>
          <w:rFonts w:ascii="Times New Roman" w:hAnsi="Times New Roman" w:cs="Times New Roman"/>
        </w:rPr>
        <w:t xml:space="preserve">, 13 November 2020, UN Doc. OL_ARE_6/2020, </w:t>
      </w:r>
      <w:hyperlink r:id="rId4" w:tooltip="https://spcommreports.ohchr.org/TMResultsBase/DownLoadPublicCommunicationFile?gId=25663" w:history="1">
        <w:r>
          <w:rPr>
            <w:rStyle w:val="Hyperlink"/>
            <w:rFonts w:ascii="Times New Roman" w:hAnsi="Times New Roman" w:cs="Times New Roman"/>
          </w:rPr>
          <w:t>https://spcommreports.ohchr.org/TMResultsBase/DownLoadPublicCommunicationFile?gId=25663</w:t>
        </w:r>
      </w:hyperlink>
      <w:r>
        <w:rPr>
          <w:rFonts w:ascii="Times New Roman" w:hAnsi="Times New Roman" w:cs="Times New Roman"/>
        </w:rPr>
        <w:t xml:space="preserve"> (accessed 20 April 2022) (hereinafter “Comments and suggestions on the 2014 Law No. 7 On Combatting Terrorism </w:t>
      </w:r>
      <w:r>
        <w:rPr>
          <w:rFonts w:ascii="Times" w:hAnsi="Times" w:cs="Times New Roman"/>
        </w:rPr>
        <w:t>Offences”), pp. 20-21.</w:t>
      </w:r>
    </w:p>
  </w:footnote>
  <w:footnote w:id="16">
    <w:p w:rsidR="00F96166" w:rsidRDefault="00F96166">
      <w:pPr>
        <w:pStyle w:val="FootnoteText"/>
        <w:jc w:val="both"/>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cs="Times New Roman"/>
        </w:rPr>
        <w:t xml:space="preserve"> Besides the UAE, these are Algeria, Libya, Qatar, Oman, Saudi Arabia, Iraq, Bahrain, Kuwait, Tunisia, Lebanon, Morocco and Jordan.</w:t>
      </w:r>
    </w:p>
  </w:footnote>
  <w:footnote w:id="17">
    <w:p w:rsidR="00F96166" w:rsidRDefault="00F96166">
      <w:pPr>
        <w:pStyle w:val="FootnoteText"/>
        <w:jc w:val="both"/>
        <w:rPr>
          <w:rFonts w:ascii="Times New Roman" w:hAnsi="Times New Roman" w:cs="Times New Roman"/>
          <w:i/>
          <w:iCs/>
        </w:rPr>
      </w:pPr>
      <w:r>
        <w:rPr>
          <w:rStyle w:val="FootnoteReference"/>
          <w:rFonts w:ascii="Times New Roman" w:hAnsi="Times New Roman" w:cs="Times New Roman"/>
        </w:rPr>
        <w:footnoteRef/>
      </w:r>
      <w:r>
        <w:rPr>
          <w:rFonts w:ascii="Times New Roman" w:hAnsi="Times New Roman" w:cs="Times New Roman"/>
        </w:rPr>
        <w:t xml:space="preserve"> Chambers and Partners, </w:t>
      </w:r>
      <w:r>
        <w:rPr>
          <w:rFonts w:ascii="Times New Roman" w:hAnsi="Times New Roman" w:cs="Times New Roman"/>
          <w:i/>
          <w:iCs/>
        </w:rPr>
        <w:t>Extradition law for Chinese nationals in the UAE</w:t>
      </w:r>
      <w:r>
        <w:rPr>
          <w:rFonts w:ascii="Times New Roman" w:hAnsi="Times New Roman" w:cs="Times New Roman"/>
        </w:rPr>
        <w:t xml:space="preserve">, 14 June 2021, </w:t>
      </w:r>
      <w:hyperlink r:id="rId5" w:tooltip="https://chambers.com/articles/extradition-law-for-chinese-nationals-in-the-uae" w:history="1">
        <w:r>
          <w:rPr>
            <w:rStyle w:val="Hyperlink"/>
            <w:rFonts w:ascii="Times New Roman" w:hAnsi="Times New Roman" w:cs="Times New Roman"/>
          </w:rPr>
          <w:t>https://chambers.com/articles/extradition-law-for-chinese-nationals-in-the-uae</w:t>
        </w:r>
      </w:hyperlink>
      <w:r>
        <w:rPr>
          <w:rFonts w:ascii="Times New Roman" w:hAnsi="Times New Roman" w:cs="Times New Roman"/>
        </w:rPr>
        <w:t xml:space="preserve"> (accessed 22 April 2022).</w:t>
      </w:r>
    </w:p>
  </w:footnote>
  <w:footnote w:id="18">
    <w:p w:rsidR="00F96166" w:rsidRDefault="00F96166">
      <w:pPr>
        <w:pStyle w:val="FootnoteText"/>
        <w:jc w:val="both"/>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n-US"/>
        </w:rPr>
        <w:t xml:space="preserve">Middle East Eye, UAE: </w:t>
      </w:r>
      <w:r>
        <w:rPr>
          <w:rFonts w:ascii="Times New Roman" w:hAnsi="Times New Roman" w:cs="Times New Roman"/>
          <w:i/>
          <w:iCs/>
          <w:lang w:val="en-US"/>
        </w:rPr>
        <w:t>China uses ‘black sites’ in Emirates to target Uighurs abroad</w:t>
      </w:r>
      <w:r>
        <w:rPr>
          <w:rFonts w:ascii="Times New Roman" w:hAnsi="Times New Roman" w:cs="Times New Roman"/>
          <w:lang w:val="en-US"/>
        </w:rPr>
        <w:t xml:space="preserve">, 9 February 2022, </w:t>
      </w:r>
      <w:hyperlink r:id="rId6" w:tooltip="https://www.middleeasteye.net/news/uae-china-uighurs-black-sites-deport-target-abroad" w:history="1">
        <w:r>
          <w:rPr>
            <w:rStyle w:val="Hyperlink"/>
            <w:rFonts w:ascii="Times New Roman" w:hAnsi="Times New Roman" w:cs="Times New Roman"/>
            <w:lang w:val="en-US"/>
          </w:rPr>
          <w:t>https://www.middleeasteye.net/news/uae-china-uighurs-black-sites-deport-target-abroad</w:t>
        </w:r>
      </w:hyperlink>
      <w:r>
        <w:rPr>
          <w:rFonts w:ascii="Times New Roman" w:hAnsi="Times New Roman" w:cs="Times New Roman"/>
          <w:lang w:val="en-US"/>
        </w:rPr>
        <w:t xml:space="preserve">; see also: </w:t>
      </w:r>
      <w:proofErr w:type="spellStart"/>
      <w:r>
        <w:rPr>
          <w:rFonts w:ascii="Times New Roman" w:hAnsi="Times New Roman" w:cs="Times New Roman"/>
          <w:lang w:val="en-US"/>
        </w:rPr>
        <w:t>Shafik</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Mandhai</w:t>
      </w:r>
      <w:proofErr w:type="spellEnd"/>
      <w:r>
        <w:rPr>
          <w:rFonts w:ascii="Times New Roman" w:hAnsi="Times New Roman" w:cs="Times New Roman"/>
          <w:lang w:val="en-US"/>
        </w:rPr>
        <w:t xml:space="preserve">, “Family fears UAE will deport Uighur to China”, </w:t>
      </w:r>
      <w:r>
        <w:rPr>
          <w:rFonts w:ascii="Times New Roman" w:hAnsi="Times New Roman" w:cs="Times New Roman"/>
          <w:i/>
          <w:iCs/>
          <w:lang w:val="en-US"/>
        </w:rPr>
        <w:t>Al Jazeera</w:t>
      </w:r>
      <w:r>
        <w:rPr>
          <w:rFonts w:ascii="Times New Roman" w:hAnsi="Times New Roman" w:cs="Times New Roman"/>
          <w:lang w:val="en-US"/>
        </w:rPr>
        <w:t xml:space="preserve">, 26 September 2018, </w:t>
      </w:r>
      <w:hyperlink r:id="rId7" w:tooltip="https://www.aljazeera.com/news/2018/9/26/family-fears-uae-will-deport-uighur-to-china" w:history="1">
        <w:r>
          <w:rPr>
            <w:rStyle w:val="Hyperlink"/>
            <w:rFonts w:ascii="Times New Roman" w:hAnsi="Times New Roman" w:cs="Times New Roman"/>
            <w:lang w:val="en-US"/>
          </w:rPr>
          <w:t>https://www.aljazeera.com/news/2018/9/26/family-fears-uae-will-deport-uighur-to-china</w:t>
        </w:r>
      </w:hyperlink>
      <w:r>
        <w:rPr>
          <w:rFonts w:ascii="Times New Roman" w:hAnsi="Times New Roman" w:cs="Times New Roman"/>
          <w:lang w:val="en-US"/>
        </w:rPr>
        <w:t xml:space="preserve"> (all links accessed 18 May 2022).</w:t>
      </w:r>
    </w:p>
  </w:footnote>
  <w:footnote w:id="19">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Apart from annex 1, see also MENA Rights Group, </w:t>
      </w:r>
      <w:r>
        <w:rPr>
          <w:rFonts w:ascii="Times New Roman" w:hAnsi="Times New Roman" w:cs="Times New Roman"/>
          <w:i/>
          <w:iCs/>
        </w:rPr>
        <w:t>UAE authorities disappear and deport Baloch man to Pakistan where he faces torture</w:t>
      </w:r>
      <w:r>
        <w:rPr>
          <w:rFonts w:ascii="Times New Roman" w:hAnsi="Times New Roman" w:cs="Times New Roman"/>
        </w:rPr>
        <w:t xml:space="preserve">, 10 February 2022, </w:t>
      </w:r>
      <w:hyperlink r:id="rId8" w:tooltip="https://menarights.org/en/case/abdul-hafeez-muhammad-ramzan" w:history="1">
        <w:r>
          <w:rPr>
            <w:rStyle w:val="Hyperlink"/>
            <w:rFonts w:ascii="Times New Roman" w:hAnsi="Times New Roman" w:cs="Times New Roman"/>
          </w:rPr>
          <w:t>https://menarights.org/en/case/abdul-hafeez-muhammad-ramzan</w:t>
        </w:r>
      </w:hyperlink>
      <w:r>
        <w:rPr>
          <w:rFonts w:ascii="Times New Roman" w:hAnsi="Times New Roman" w:cs="Times New Roman"/>
        </w:rPr>
        <w:t xml:space="preserve"> (accessed 28 April 2022).</w:t>
      </w:r>
    </w:p>
  </w:footnote>
  <w:footnote w:id="20">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Human Rights Watch, </w:t>
      </w:r>
      <w:r>
        <w:rPr>
          <w:rFonts w:ascii="Times New Roman" w:hAnsi="Times New Roman" w:cs="Times New Roman"/>
          <w:i/>
          <w:iCs/>
        </w:rPr>
        <w:t>UAE: Arbitrary Targeting of Pakistani Shia Residents</w:t>
      </w:r>
      <w:r>
        <w:rPr>
          <w:rFonts w:ascii="Times New Roman" w:hAnsi="Times New Roman" w:cs="Times New Roman"/>
        </w:rPr>
        <w:t xml:space="preserve">, 22 June 2021, </w:t>
      </w:r>
      <w:hyperlink r:id="rId9" w:tooltip="https://www.hrw.org/news/2021/06/22/uae-arbitrary-targeting-pakistani-shia-residents" w:history="1">
        <w:r>
          <w:rPr>
            <w:rStyle w:val="Hyperlink"/>
            <w:rFonts w:ascii="Times New Roman" w:hAnsi="Times New Roman" w:cs="Times New Roman"/>
          </w:rPr>
          <w:t>https://www.hrw.org/news/2021/06/22/uae-arbitrary-targeting-pakistani-shia-residents</w:t>
        </w:r>
      </w:hyperlink>
      <w:r>
        <w:rPr>
          <w:rFonts w:ascii="Times New Roman" w:hAnsi="Times New Roman" w:cs="Times New Roman"/>
        </w:rPr>
        <w:t xml:space="preserve"> (accessed 22 April 2022).</w:t>
      </w:r>
    </w:p>
  </w:footnote>
  <w:footnote w:id="21">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See Stephanie </w:t>
      </w:r>
      <w:proofErr w:type="spellStart"/>
      <w:r>
        <w:rPr>
          <w:rFonts w:ascii="Times New Roman" w:hAnsi="Times New Roman" w:cs="Times New Roman"/>
        </w:rPr>
        <w:t>Kirchgaessner</w:t>
      </w:r>
      <w:proofErr w:type="spellEnd"/>
      <w:r>
        <w:rPr>
          <w:rFonts w:ascii="Times New Roman" w:hAnsi="Times New Roman" w:cs="Times New Roman"/>
        </w:rPr>
        <w:t xml:space="preserve">, “Saudi women’s rights activist sues three ex-US intel operatives over hacking for UAE”, </w:t>
      </w:r>
      <w:r>
        <w:rPr>
          <w:rFonts w:ascii="Times New Roman" w:hAnsi="Times New Roman" w:cs="Times New Roman"/>
          <w:i/>
          <w:iCs/>
        </w:rPr>
        <w:t>The Guardian</w:t>
      </w:r>
      <w:r>
        <w:rPr>
          <w:rFonts w:ascii="Times New Roman" w:hAnsi="Times New Roman" w:cs="Times New Roman"/>
        </w:rPr>
        <w:t xml:space="preserve">, 9 December 2021, </w:t>
      </w:r>
      <w:hyperlink r:id="rId10" w:tooltip="https://www.theguardian.com/technology/2021/dec/09/saudi-womens-rights-activist-loujain-alhathloul-sues-us-intel-operatives-hacking-uae" w:history="1">
        <w:r>
          <w:rPr>
            <w:rStyle w:val="Hyperlink"/>
            <w:rFonts w:ascii="Times New Roman" w:hAnsi="Times New Roman" w:cs="Times New Roman"/>
          </w:rPr>
          <w:t>https://www.theguardian.com/technology/2021/dec/09/saudi-womens-rights-activist-loujain-alhathloul-sues-us-intel-operatives-hacking-uae</w:t>
        </w:r>
      </w:hyperlink>
      <w:r>
        <w:rPr>
          <w:rFonts w:ascii="Times New Roman" w:hAnsi="Times New Roman" w:cs="Times New Roman"/>
        </w:rPr>
        <w:t xml:space="preserve"> (accessed 22 April 2022); Amnesty International, </w:t>
      </w:r>
      <w:r>
        <w:rPr>
          <w:rFonts w:ascii="Times New Roman" w:hAnsi="Times New Roman" w:cs="Times New Roman"/>
          <w:i/>
          <w:iCs/>
        </w:rPr>
        <w:t xml:space="preserve">Confirmation de la </w:t>
      </w:r>
      <w:proofErr w:type="spellStart"/>
      <w:r>
        <w:rPr>
          <w:rFonts w:ascii="Times New Roman" w:hAnsi="Times New Roman" w:cs="Times New Roman"/>
          <w:i/>
          <w:iCs/>
        </w:rPr>
        <w:t>Condamnation</w:t>
      </w:r>
      <w:proofErr w:type="spellEnd"/>
      <w:r>
        <w:rPr>
          <w:rFonts w:ascii="Times New Roman" w:hAnsi="Times New Roman" w:cs="Times New Roman"/>
          <w:i/>
          <w:iCs/>
        </w:rPr>
        <w:t xml:space="preserve"> de </w:t>
      </w:r>
      <w:proofErr w:type="spellStart"/>
      <w:r>
        <w:rPr>
          <w:rFonts w:ascii="Times New Roman" w:hAnsi="Times New Roman" w:cs="Times New Roman"/>
          <w:i/>
          <w:iCs/>
        </w:rPr>
        <w:t>Loujain</w:t>
      </w:r>
      <w:proofErr w:type="spellEnd"/>
      <w:r>
        <w:rPr>
          <w:rFonts w:ascii="Times New Roman" w:hAnsi="Times New Roman" w:cs="Times New Roman"/>
          <w:i/>
          <w:iCs/>
        </w:rPr>
        <w:t xml:space="preserve"> Al </w:t>
      </w:r>
      <w:proofErr w:type="spellStart"/>
      <w:r>
        <w:rPr>
          <w:rFonts w:ascii="Times New Roman" w:hAnsi="Times New Roman" w:cs="Times New Roman"/>
          <w:i/>
          <w:iCs/>
        </w:rPr>
        <w:t>Hathloul</w:t>
      </w:r>
      <w:proofErr w:type="spellEnd"/>
      <w:r>
        <w:rPr>
          <w:rFonts w:ascii="Times New Roman" w:hAnsi="Times New Roman" w:cs="Times New Roman"/>
        </w:rPr>
        <w:t xml:space="preserve">, 22 March 2021, </w:t>
      </w:r>
      <w:hyperlink r:id="rId11" w:tooltip="https://www.amnesty.be/veux-agir/agir-individus/reseau-actions-urgentes/article/confirmation-condamnation-loujain-hathloul" w:history="1">
        <w:r>
          <w:rPr>
            <w:rStyle w:val="Hyperlink"/>
            <w:rFonts w:ascii="Times New Roman" w:hAnsi="Times New Roman" w:cs="Times New Roman"/>
          </w:rPr>
          <w:t>https://www.amnesty.be/veux-agir/agir-individus/reseau-actions-urgentes/article/confirmation-condamnation-loujain-hathloul</w:t>
        </w:r>
      </w:hyperlink>
      <w:r>
        <w:rPr>
          <w:rFonts w:ascii="Times New Roman" w:hAnsi="Times New Roman" w:cs="Times New Roman"/>
        </w:rPr>
        <w:t xml:space="preserve"> (accessed 22 April 2022).</w:t>
      </w:r>
    </w:p>
  </w:footnote>
  <w:footnote w:id="22">
    <w:p w:rsidR="00F96166" w:rsidRDefault="00F96166">
      <w:pPr>
        <w:pStyle w:val="FootnoteText"/>
        <w:jc w:val="both"/>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n-US"/>
        </w:rPr>
        <w:t>Article 14, 2003 State Security Law.</w:t>
      </w:r>
    </w:p>
  </w:footnote>
  <w:footnote w:id="23">
    <w:p w:rsidR="00F96166" w:rsidRDefault="00F96166">
      <w:pPr>
        <w:pStyle w:val="FootnoteText"/>
        <w:jc w:val="both"/>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n-US"/>
        </w:rPr>
        <w:t>Article 14, 2003 State Security Law.</w:t>
      </w:r>
    </w:p>
  </w:footnote>
  <w:footnote w:id="24">
    <w:p w:rsidR="00F96166" w:rsidRDefault="00F96166">
      <w:pPr>
        <w:pStyle w:val="FootnoteText"/>
        <w:jc w:val="both"/>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n-US"/>
        </w:rPr>
        <w:t xml:space="preserve">Opinion No. 47/2017 concerning Ahmad Ali </w:t>
      </w:r>
      <w:proofErr w:type="spellStart"/>
      <w:r>
        <w:rPr>
          <w:rFonts w:ascii="Times New Roman" w:hAnsi="Times New Roman" w:cs="Times New Roman"/>
          <w:lang w:val="en-US"/>
        </w:rPr>
        <w:t>Mekkaoui</w:t>
      </w:r>
      <w:proofErr w:type="spellEnd"/>
      <w:r>
        <w:rPr>
          <w:rFonts w:ascii="Times New Roman" w:hAnsi="Times New Roman" w:cs="Times New Roman"/>
          <w:lang w:val="en-US"/>
        </w:rPr>
        <w:t xml:space="preserve"> (United Arab Emirates), </w:t>
      </w:r>
      <w:r>
        <w:rPr>
          <w:rFonts w:ascii="Times New Roman" w:hAnsi="Times New Roman" w:cs="Times New Roman"/>
          <w:i/>
          <w:iCs/>
          <w:lang w:val="en-US"/>
        </w:rPr>
        <w:t xml:space="preserve">op. cit., </w:t>
      </w:r>
      <w:r>
        <w:rPr>
          <w:rFonts w:ascii="Times New Roman" w:hAnsi="Times New Roman" w:cs="Times New Roman"/>
          <w:lang w:val="en-US"/>
        </w:rPr>
        <w:t>para. 21.</w:t>
      </w:r>
    </w:p>
  </w:footnote>
  <w:footnote w:id="25">
    <w:p w:rsidR="00F96166" w:rsidRDefault="00F96166">
      <w:pPr>
        <w:pStyle w:val="FootnoteText"/>
        <w:jc w:val="both"/>
        <w:rPr>
          <w:rFonts w:ascii="Times New Roman" w:hAnsi="Times New Roman" w:cs="Times New Roman"/>
          <w:i/>
          <w:iCs/>
        </w:rPr>
      </w:pPr>
      <w:r>
        <w:rPr>
          <w:rStyle w:val="FootnoteReference"/>
          <w:rFonts w:ascii="Times New Roman" w:hAnsi="Times New Roman" w:cs="Times New Roman"/>
        </w:rPr>
        <w:footnoteRef/>
      </w:r>
      <w:r>
        <w:rPr>
          <w:rFonts w:ascii="Times New Roman" w:hAnsi="Times New Roman" w:cs="Times New Roman"/>
        </w:rPr>
        <w:t xml:space="preserve"> 2014 Report of the Special Rapporteur on the independence of judges and lawyers, </w:t>
      </w:r>
      <w:r>
        <w:rPr>
          <w:rFonts w:ascii="Times New Roman" w:hAnsi="Times New Roman" w:cs="Times New Roman"/>
          <w:i/>
          <w:iCs/>
        </w:rPr>
        <w:t>op. cit.</w:t>
      </w:r>
      <w:r>
        <w:rPr>
          <w:rFonts w:ascii="Times New Roman" w:hAnsi="Times New Roman" w:cs="Times New Roman"/>
        </w:rPr>
        <w:t>, para. 51.</w:t>
      </w:r>
    </w:p>
  </w:footnote>
  <w:footnote w:id="26">
    <w:p w:rsidR="00F96166" w:rsidRDefault="00F96166">
      <w:pPr>
        <w:pStyle w:val="FootnoteText"/>
        <w:jc w:val="both"/>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n-US"/>
        </w:rPr>
        <w:t>Article 4, CCP.</w:t>
      </w:r>
    </w:p>
  </w:footnote>
  <w:footnote w:id="27">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United States Department of State, </w:t>
      </w:r>
      <w:r>
        <w:rPr>
          <w:rFonts w:ascii="Times New Roman" w:hAnsi="Times New Roman" w:cs="Times New Roman"/>
          <w:i/>
          <w:iCs/>
        </w:rPr>
        <w:t>2021 Country Reports on Human Rights Practices: United Arab Emirates,</w:t>
      </w:r>
      <w:r>
        <w:rPr>
          <w:rFonts w:ascii="Times New Roman" w:hAnsi="Times New Roman" w:cs="Times New Roman"/>
        </w:rPr>
        <w:t xml:space="preserve"> </w:t>
      </w:r>
      <w:hyperlink r:id="rId12" w:tooltip="https://www.state.gov/wp-content/uploads/2022/03/313615_UNITED-ARAB-EMIRATES-2021-HUMAN-RIGHTS-REPORT.pdf" w:history="1">
        <w:r>
          <w:rPr>
            <w:rStyle w:val="Hyperlink"/>
            <w:rFonts w:ascii="Times New Roman" w:hAnsi="Times New Roman" w:cs="Times New Roman"/>
          </w:rPr>
          <w:t>https://www.state.gov/wp-content/uploads/2022/03/313615_UNITED-ARAB-EMIRATES-2021-HUMAN-RIGHTS-REPORT.pdf</w:t>
        </w:r>
      </w:hyperlink>
      <w:r>
        <w:rPr>
          <w:rFonts w:ascii="Times New Roman" w:hAnsi="Times New Roman" w:cs="Times New Roman"/>
        </w:rPr>
        <w:t xml:space="preserve"> (accessed May 6, 2022), p. 6.</w:t>
      </w:r>
    </w:p>
  </w:footnote>
  <w:footnote w:id="28">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2021 Country Reports on Human Rights Practices: United Arab Emirates, </w:t>
      </w:r>
      <w:r>
        <w:rPr>
          <w:rFonts w:ascii="Times New Roman" w:hAnsi="Times New Roman" w:cs="Times New Roman"/>
          <w:i/>
          <w:iCs/>
        </w:rPr>
        <w:t xml:space="preserve">op. cit., </w:t>
      </w:r>
      <w:proofErr w:type="gramStart"/>
      <w:r>
        <w:rPr>
          <w:rFonts w:ascii="Times New Roman" w:hAnsi="Times New Roman" w:cs="Times New Roman"/>
        </w:rPr>
        <w:t>p</w:t>
      </w:r>
      <w:proofErr w:type="gramEnd"/>
      <w:r>
        <w:rPr>
          <w:rFonts w:ascii="Times New Roman" w:hAnsi="Times New Roman" w:cs="Times New Roman"/>
        </w:rPr>
        <w:t>. 10.</w:t>
      </w:r>
    </w:p>
  </w:footnote>
  <w:footnote w:id="29">
    <w:p w:rsidR="00F96166" w:rsidRDefault="00F96166">
      <w:pPr>
        <w:pStyle w:val="FootnoteText"/>
        <w:jc w:val="both"/>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n-US"/>
        </w:rPr>
        <w:t xml:space="preserve">State report, </w:t>
      </w:r>
      <w:r>
        <w:rPr>
          <w:rFonts w:ascii="Times New Roman" w:hAnsi="Times New Roman" w:cs="Times New Roman"/>
          <w:i/>
          <w:iCs/>
          <w:lang w:val="en-US"/>
        </w:rPr>
        <w:t>op. cit.,</w:t>
      </w:r>
      <w:r>
        <w:rPr>
          <w:rFonts w:ascii="Times New Roman" w:hAnsi="Times New Roman" w:cs="Times New Roman"/>
        </w:rPr>
        <w:t xml:space="preserve"> </w:t>
      </w:r>
      <w:proofErr w:type="gramStart"/>
      <w:r>
        <w:rPr>
          <w:rFonts w:ascii="Times New Roman" w:hAnsi="Times New Roman" w:cs="Times New Roman"/>
          <w:lang w:val="en-US"/>
        </w:rPr>
        <w:t>para</w:t>
      </w:r>
      <w:proofErr w:type="gramEnd"/>
      <w:r>
        <w:rPr>
          <w:rFonts w:ascii="Times New Roman" w:hAnsi="Times New Roman" w:cs="Times New Roman"/>
          <w:lang w:val="en-US"/>
        </w:rPr>
        <w:t>. 156.</w:t>
      </w:r>
    </w:p>
  </w:footnote>
  <w:footnote w:id="30">
    <w:p w:rsidR="00F96166" w:rsidRDefault="00F96166">
      <w:pPr>
        <w:pStyle w:val="FootnoteText"/>
        <w:jc w:val="both"/>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n-US"/>
        </w:rPr>
        <w:t xml:space="preserve">State report, </w:t>
      </w:r>
      <w:r>
        <w:rPr>
          <w:rFonts w:ascii="Times New Roman" w:hAnsi="Times New Roman" w:cs="Times New Roman"/>
          <w:i/>
          <w:iCs/>
          <w:lang w:val="en-US"/>
        </w:rPr>
        <w:t xml:space="preserve">op. cit., </w:t>
      </w:r>
      <w:proofErr w:type="gramStart"/>
      <w:r>
        <w:rPr>
          <w:rFonts w:ascii="Times New Roman" w:hAnsi="Times New Roman" w:cs="Times New Roman"/>
          <w:lang w:val="en-US"/>
        </w:rPr>
        <w:t>para</w:t>
      </w:r>
      <w:proofErr w:type="gramEnd"/>
      <w:r>
        <w:rPr>
          <w:rFonts w:ascii="Times New Roman" w:hAnsi="Times New Roman" w:cs="Times New Roman"/>
          <w:lang w:val="en-US"/>
        </w:rPr>
        <w:t>. 157. This is also prescribed in article 18 of the act regulating penal facilities.</w:t>
      </w:r>
    </w:p>
  </w:footnote>
  <w:footnote w:id="31">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2014 Report of the Special Rapporteur on the independence of judges and lawyers, </w:t>
      </w:r>
      <w:r>
        <w:rPr>
          <w:rFonts w:ascii="Times New Roman" w:hAnsi="Times New Roman" w:cs="Times New Roman"/>
          <w:i/>
          <w:iCs/>
        </w:rPr>
        <w:t>op. cit.</w:t>
      </w:r>
      <w:r>
        <w:rPr>
          <w:rFonts w:ascii="Times New Roman" w:hAnsi="Times New Roman" w:cs="Times New Roman"/>
        </w:rPr>
        <w:t>, para. 56.</w:t>
      </w:r>
    </w:p>
  </w:footnote>
  <w:footnote w:id="32">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2014 Report of the Special Rapporteur on the independence of judges and lawyers, </w:t>
      </w:r>
      <w:r>
        <w:rPr>
          <w:rFonts w:ascii="Times New Roman" w:hAnsi="Times New Roman" w:cs="Times New Roman"/>
          <w:i/>
          <w:iCs/>
        </w:rPr>
        <w:t>op. cit.</w:t>
      </w:r>
      <w:r>
        <w:rPr>
          <w:rFonts w:ascii="Times New Roman" w:hAnsi="Times New Roman" w:cs="Times New Roman"/>
        </w:rPr>
        <w:t>, para. 51.</w:t>
      </w:r>
    </w:p>
  </w:footnote>
  <w:footnote w:id="33">
    <w:p w:rsidR="00F96166" w:rsidRDefault="00F96166">
      <w:pPr>
        <w:pStyle w:val="FootnoteText"/>
        <w:jc w:val="both"/>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n-US"/>
        </w:rPr>
        <w:t xml:space="preserve">See, for example, </w:t>
      </w:r>
      <w:r>
        <w:rPr>
          <w:rFonts w:ascii="Times New Roman" w:hAnsi="Times New Roman" w:cs="Times New Roman"/>
        </w:rPr>
        <w:t xml:space="preserve">Working Group on Arbitrary Detention, </w:t>
      </w:r>
      <w:r>
        <w:rPr>
          <w:rFonts w:ascii="Times New Roman" w:hAnsi="Times New Roman" w:cs="Times New Roman"/>
          <w:i/>
          <w:iCs/>
        </w:rPr>
        <w:t xml:space="preserve">Opinion No. 30/2018 concerning </w:t>
      </w:r>
      <w:proofErr w:type="spellStart"/>
      <w:r>
        <w:rPr>
          <w:rFonts w:ascii="Times New Roman" w:hAnsi="Times New Roman" w:cs="Times New Roman"/>
          <w:i/>
          <w:iCs/>
        </w:rPr>
        <w:t>Bahaa</w:t>
      </w:r>
      <w:proofErr w:type="spellEnd"/>
      <w:r>
        <w:rPr>
          <w:rFonts w:ascii="Times New Roman" w:hAnsi="Times New Roman" w:cs="Times New Roman"/>
          <w:i/>
          <w:iCs/>
        </w:rPr>
        <w:t xml:space="preserve"> Adel Salman </w:t>
      </w:r>
      <w:proofErr w:type="spellStart"/>
      <w:r>
        <w:rPr>
          <w:rFonts w:ascii="Times New Roman" w:hAnsi="Times New Roman" w:cs="Times New Roman"/>
          <w:i/>
          <w:iCs/>
        </w:rPr>
        <w:t>Mattar</w:t>
      </w:r>
      <w:proofErr w:type="spellEnd"/>
      <w:r>
        <w:rPr>
          <w:rFonts w:ascii="Times New Roman" w:hAnsi="Times New Roman" w:cs="Times New Roman"/>
          <w:i/>
          <w:iCs/>
        </w:rPr>
        <w:t xml:space="preserve"> and Maher </w:t>
      </w:r>
      <w:proofErr w:type="spellStart"/>
      <w:r>
        <w:rPr>
          <w:rFonts w:ascii="Times New Roman" w:hAnsi="Times New Roman" w:cs="Times New Roman"/>
          <w:i/>
          <w:iCs/>
        </w:rPr>
        <w:t>Atieh</w:t>
      </w:r>
      <w:proofErr w:type="spellEnd"/>
      <w:r>
        <w:rPr>
          <w:rFonts w:ascii="Times New Roman" w:hAnsi="Times New Roman" w:cs="Times New Roman"/>
          <w:i/>
          <w:iCs/>
        </w:rPr>
        <w:t xml:space="preserve"> Othman Abu </w:t>
      </w:r>
      <w:proofErr w:type="spellStart"/>
      <w:r>
        <w:rPr>
          <w:rFonts w:ascii="Times New Roman" w:hAnsi="Times New Roman" w:cs="Times New Roman"/>
          <w:i/>
          <w:iCs/>
        </w:rPr>
        <w:t>Shawareb</w:t>
      </w:r>
      <w:proofErr w:type="spellEnd"/>
      <w:r>
        <w:rPr>
          <w:rFonts w:ascii="Times New Roman" w:hAnsi="Times New Roman" w:cs="Times New Roman"/>
          <w:i/>
          <w:iCs/>
        </w:rPr>
        <w:t xml:space="preserve"> (United Arab Emirates)</w:t>
      </w:r>
      <w:r>
        <w:rPr>
          <w:rFonts w:ascii="Times New Roman" w:hAnsi="Times New Roman" w:cs="Times New Roman"/>
        </w:rPr>
        <w:t xml:space="preserve">, 25 April 2018, UN Doc. A/HRC/WGAD/2018/30, </w:t>
      </w:r>
      <w:hyperlink r:id="rId13" w:tooltip="https://documents-dds-ny.un.org/doc/UNDOC/GEN/G18/248/66/PDF/G1824866.pdf?OpenElement" w:history="1">
        <w:r>
          <w:rPr>
            <w:rStyle w:val="Hyperlink"/>
            <w:rFonts w:ascii="Times New Roman" w:hAnsi="Times New Roman" w:cs="Times New Roman"/>
          </w:rPr>
          <w:t>https://documents-dds-ny.un.org/doc/UNDOC/GEN/G18/248/66/PDF/G1824866.pdf?OpenElement</w:t>
        </w:r>
      </w:hyperlink>
      <w:r>
        <w:rPr>
          <w:rFonts w:ascii="Times New Roman" w:hAnsi="Times New Roman" w:cs="Times New Roman"/>
        </w:rPr>
        <w:t xml:space="preserve"> </w:t>
      </w:r>
      <w:r>
        <w:rPr>
          <w:rFonts w:ascii="Times New Roman" w:hAnsi="Times New Roman" w:cs="Times New Roman"/>
          <w:lang w:val="en-US"/>
        </w:rPr>
        <w:t>(accessed 11 May 2022)</w:t>
      </w:r>
      <w:r>
        <w:rPr>
          <w:rFonts w:ascii="Times New Roman" w:hAnsi="Times New Roman" w:cs="Times New Roman"/>
        </w:rPr>
        <w:t xml:space="preserve">, para. 47; and </w:t>
      </w:r>
      <w:r>
        <w:rPr>
          <w:rFonts w:ascii="Times New Roman" w:hAnsi="Times New Roman" w:cs="Times New Roman"/>
          <w:lang w:val="en-US"/>
        </w:rPr>
        <w:t xml:space="preserve">Working Group on Arbitrary Detention, </w:t>
      </w:r>
      <w:r>
        <w:rPr>
          <w:rFonts w:ascii="Times New Roman" w:hAnsi="Times New Roman" w:cs="Times New Roman"/>
          <w:i/>
          <w:iCs/>
          <w:lang w:val="en-US"/>
        </w:rPr>
        <w:t xml:space="preserve">Opinion No. 21/2017 concerning Mohamad </w:t>
      </w:r>
      <w:proofErr w:type="spellStart"/>
      <w:r>
        <w:rPr>
          <w:rFonts w:ascii="Times New Roman" w:hAnsi="Times New Roman" w:cs="Times New Roman"/>
          <w:i/>
          <w:iCs/>
          <w:lang w:val="en-US"/>
        </w:rPr>
        <w:t>Ismat</w:t>
      </w:r>
      <w:proofErr w:type="spellEnd"/>
      <w:r>
        <w:rPr>
          <w:rFonts w:ascii="Times New Roman" w:hAnsi="Times New Roman" w:cs="Times New Roman"/>
          <w:i/>
          <w:iCs/>
          <w:lang w:val="en-US"/>
        </w:rPr>
        <w:t xml:space="preserve"> Mohamad Shaker </w:t>
      </w:r>
      <w:proofErr w:type="spellStart"/>
      <w:r>
        <w:rPr>
          <w:rFonts w:ascii="Times New Roman" w:hAnsi="Times New Roman" w:cs="Times New Roman"/>
          <w:i/>
          <w:iCs/>
          <w:lang w:val="en-US"/>
        </w:rPr>
        <w:t>Az</w:t>
      </w:r>
      <w:proofErr w:type="spellEnd"/>
      <w:r>
        <w:rPr>
          <w:rFonts w:ascii="Times New Roman" w:hAnsi="Times New Roman" w:cs="Times New Roman"/>
          <w:i/>
          <w:iCs/>
          <w:lang w:val="en-US"/>
        </w:rPr>
        <w:t xml:space="preserve"> (United Arab Emirates)</w:t>
      </w:r>
      <w:r>
        <w:rPr>
          <w:rFonts w:ascii="Times New Roman" w:hAnsi="Times New Roman" w:cs="Times New Roman"/>
          <w:lang w:val="en-US"/>
        </w:rPr>
        <w:t xml:space="preserve">, UN Doc. A/HRC/WGAD/2017/21, </w:t>
      </w:r>
      <w:hyperlink r:id="rId14" w:tooltip="https://documents-dds-ny.un.org/doc/UNDOC/GEN/G17/190/33/PDF/G1719033.pdf?OpenElement" w:history="1">
        <w:r>
          <w:rPr>
            <w:rStyle w:val="Hyperlink"/>
            <w:rFonts w:ascii="Times New Roman" w:hAnsi="Times New Roman" w:cs="Times New Roman"/>
            <w:lang w:val="en-US"/>
          </w:rPr>
          <w:t>https://documents-dds-ny.un.org/doc/UNDOC/GEN/G17/190/33/PDF/G1719033.pdf?OpenElement</w:t>
        </w:r>
      </w:hyperlink>
      <w:r>
        <w:rPr>
          <w:rFonts w:ascii="Times New Roman" w:hAnsi="Times New Roman" w:cs="Times New Roman"/>
          <w:lang w:val="en-US"/>
        </w:rPr>
        <w:t xml:space="preserve"> (accessed 12 May 2022), para. 47.</w:t>
      </w:r>
    </w:p>
  </w:footnote>
  <w:footnote w:id="34">
    <w:p w:rsidR="00F96166" w:rsidRDefault="00F96166">
      <w:pPr>
        <w:pStyle w:val="FootnoteText"/>
        <w:jc w:val="both"/>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n-US"/>
        </w:rPr>
        <w:t>Article 100, CPP.</w:t>
      </w:r>
    </w:p>
  </w:footnote>
  <w:footnote w:id="35">
    <w:p w:rsidR="00F96166" w:rsidRDefault="00F96166">
      <w:pPr>
        <w:pStyle w:val="FootnoteText"/>
        <w:jc w:val="both"/>
      </w:pPr>
      <w:r>
        <w:rPr>
          <w:rStyle w:val="FootnoteReference"/>
          <w:rFonts w:ascii="Times New Roman" w:hAnsi="Times New Roman" w:cs="Times New Roman"/>
        </w:rPr>
        <w:footnoteRef/>
      </w:r>
      <w:r>
        <w:rPr>
          <w:rFonts w:ascii="Times New Roman" w:hAnsi="Times New Roman" w:cs="Times New Roman"/>
        </w:rPr>
        <w:t xml:space="preserve"> 2014 Report of the Special Rapporteur on the independence of judges and lawyers, </w:t>
      </w:r>
      <w:r>
        <w:rPr>
          <w:rFonts w:ascii="Times New Roman" w:hAnsi="Times New Roman" w:cs="Times New Roman"/>
          <w:i/>
          <w:iCs/>
        </w:rPr>
        <w:t>op. cit.</w:t>
      </w:r>
      <w:r>
        <w:rPr>
          <w:rFonts w:ascii="Times New Roman" w:hAnsi="Times New Roman" w:cs="Times New Roman"/>
        </w:rPr>
        <w:t>, para. 57.</w:t>
      </w:r>
    </w:p>
  </w:footnote>
  <w:footnote w:id="36">
    <w:p w:rsidR="00F96166" w:rsidRDefault="00F96166">
      <w:pPr>
        <w:pStyle w:val="FootnoteText"/>
        <w:jc w:val="both"/>
        <w:rPr>
          <w:lang w:val="en-US"/>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n-US"/>
        </w:rPr>
        <w:t xml:space="preserve">See Working Group on Arbitrary Detention, </w:t>
      </w:r>
      <w:r>
        <w:rPr>
          <w:rFonts w:ascii="Times New Roman" w:hAnsi="Times New Roman" w:cs="Times New Roman"/>
          <w:i/>
          <w:iCs/>
          <w:lang w:val="en-US"/>
        </w:rPr>
        <w:t xml:space="preserve">Opinion No. 76/2017 concerning Nasser Bin </w:t>
      </w:r>
      <w:proofErr w:type="spellStart"/>
      <w:r>
        <w:rPr>
          <w:rFonts w:ascii="Times New Roman" w:hAnsi="Times New Roman" w:cs="Times New Roman"/>
          <w:i/>
          <w:iCs/>
          <w:lang w:val="en-US"/>
        </w:rPr>
        <w:t>Ghaith</w:t>
      </w:r>
      <w:proofErr w:type="spellEnd"/>
      <w:r>
        <w:rPr>
          <w:rFonts w:ascii="Times New Roman" w:hAnsi="Times New Roman" w:cs="Times New Roman"/>
          <w:i/>
          <w:iCs/>
          <w:lang w:val="en-US"/>
        </w:rPr>
        <w:t xml:space="preserve"> (United Arab Emirates)</w:t>
      </w:r>
      <w:r>
        <w:rPr>
          <w:rFonts w:ascii="Times New Roman" w:hAnsi="Times New Roman" w:cs="Times New Roman"/>
          <w:lang w:val="en-US"/>
        </w:rPr>
        <w:t xml:space="preserve">, 21 November 2017, UN Doc. A/HRC/WGAD/2017/76, </w:t>
      </w:r>
      <w:hyperlink r:id="rId15" w:tooltip="https://documents-dds-ny.un.org/doc/UNDOC/GEN/G18/007/85/PDF/G1800785.pdf?OpenElement" w:history="1">
        <w:r>
          <w:rPr>
            <w:rStyle w:val="Hyperlink"/>
            <w:rFonts w:ascii="Times New Roman" w:hAnsi="Times New Roman" w:cs="Times New Roman"/>
            <w:lang w:val="en-US"/>
          </w:rPr>
          <w:t>https://documents-dds-ny.un.org/doc/UNDOC/GEN/G18/007/85/PDF/G1800785.pdf?OpenElement</w:t>
        </w:r>
      </w:hyperlink>
      <w:r>
        <w:rPr>
          <w:rFonts w:ascii="Times New Roman" w:hAnsi="Times New Roman" w:cs="Times New Roman"/>
          <w:lang w:val="en-US"/>
        </w:rPr>
        <w:t xml:space="preserve"> (accessed 11 May 2022), para. 28.</w:t>
      </w:r>
    </w:p>
  </w:footnote>
  <w:footnote w:id="37">
    <w:p w:rsidR="00F96166" w:rsidRDefault="00F96166">
      <w:pPr>
        <w:pStyle w:val="FootnoteText"/>
        <w:jc w:val="both"/>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cs="Times New Roman"/>
        </w:rPr>
        <w:t xml:space="preserve"> Opinion No. 30/2018 concerning </w:t>
      </w:r>
      <w:proofErr w:type="spellStart"/>
      <w:r>
        <w:rPr>
          <w:rFonts w:ascii="Times New Roman" w:hAnsi="Times New Roman" w:cs="Times New Roman"/>
        </w:rPr>
        <w:t>Bahaa</w:t>
      </w:r>
      <w:proofErr w:type="spellEnd"/>
      <w:r>
        <w:rPr>
          <w:rFonts w:ascii="Times New Roman" w:hAnsi="Times New Roman" w:cs="Times New Roman"/>
        </w:rPr>
        <w:t xml:space="preserve"> Adel Salman </w:t>
      </w:r>
      <w:proofErr w:type="spellStart"/>
      <w:r>
        <w:rPr>
          <w:rFonts w:ascii="Times New Roman" w:hAnsi="Times New Roman" w:cs="Times New Roman"/>
        </w:rPr>
        <w:t>Mattar</w:t>
      </w:r>
      <w:proofErr w:type="spellEnd"/>
      <w:r>
        <w:rPr>
          <w:rFonts w:ascii="Times New Roman" w:hAnsi="Times New Roman" w:cs="Times New Roman"/>
        </w:rPr>
        <w:t xml:space="preserve"> and Maher </w:t>
      </w:r>
      <w:proofErr w:type="spellStart"/>
      <w:r>
        <w:rPr>
          <w:rFonts w:ascii="Times New Roman" w:hAnsi="Times New Roman" w:cs="Times New Roman"/>
        </w:rPr>
        <w:t>Atieh</w:t>
      </w:r>
      <w:proofErr w:type="spellEnd"/>
      <w:r>
        <w:rPr>
          <w:rFonts w:ascii="Times New Roman" w:hAnsi="Times New Roman" w:cs="Times New Roman"/>
        </w:rPr>
        <w:t xml:space="preserve"> Othman Abu </w:t>
      </w:r>
      <w:proofErr w:type="spellStart"/>
      <w:r>
        <w:rPr>
          <w:rFonts w:ascii="Times New Roman" w:hAnsi="Times New Roman" w:cs="Times New Roman"/>
        </w:rPr>
        <w:t>Shawareb</w:t>
      </w:r>
      <w:proofErr w:type="spellEnd"/>
      <w:r>
        <w:rPr>
          <w:rFonts w:ascii="Times New Roman" w:hAnsi="Times New Roman" w:cs="Times New Roman"/>
        </w:rPr>
        <w:t xml:space="preserve"> (United Arab Emirates), </w:t>
      </w:r>
      <w:r>
        <w:rPr>
          <w:rFonts w:ascii="Times New Roman" w:hAnsi="Times New Roman" w:cs="Times New Roman"/>
          <w:i/>
          <w:iCs/>
        </w:rPr>
        <w:t>op. cit.</w:t>
      </w:r>
      <w:r>
        <w:rPr>
          <w:rFonts w:ascii="Times New Roman" w:hAnsi="Times New Roman" w:cs="Times New Roman"/>
        </w:rPr>
        <w:t>, para. 50</w:t>
      </w:r>
      <w:r>
        <w:rPr>
          <w:rFonts w:ascii="Times New Roman" w:hAnsi="Times New Roman" w:cs="Times New Roman"/>
          <w:lang w:val="en-US"/>
        </w:rPr>
        <w:t>.</w:t>
      </w:r>
    </w:p>
  </w:footnote>
  <w:footnote w:id="38">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2014 Report of the Special Rapporteur on the independence of judges and lawyers, </w:t>
      </w:r>
      <w:r>
        <w:rPr>
          <w:rFonts w:ascii="Times New Roman" w:hAnsi="Times New Roman" w:cs="Times New Roman"/>
          <w:i/>
          <w:iCs/>
        </w:rPr>
        <w:t>op. cit.</w:t>
      </w:r>
      <w:r>
        <w:rPr>
          <w:rFonts w:ascii="Times New Roman" w:hAnsi="Times New Roman" w:cs="Times New Roman"/>
        </w:rPr>
        <w:t>, para. 79.</w:t>
      </w:r>
    </w:p>
  </w:footnote>
  <w:footnote w:id="39">
    <w:p w:rsidR="00F96166" w:rsidRDefault="00F96166">
      <w:pPr>
        <w:pStyle w:val="FootnoteText"/>
        <w:jc w:val="both"/>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n-US"/>
        </w:rPr>
        <w:t xml:space="preserve">United Nations Human Rights, </w:t>
      </w:r>
      <w:r>
        <w:rPr>
          <w:rFonts w:ascii="Times New Roman" w:hAnsi="Times New Roman" w:cs="Times New Roman"/>
          <w:i/>
          <w:iCs/>
          <w:lang w:val="en-US"/>
        </w:rPr>
        <w:t xml:space="preserve">UAE: Terminally ill prisoner, Alia </w:t>
      </w:r>
      <w:proofErr w:type="spellStart"/>
      <w:r>
        <w:rPr>
          <w:rFonts w:ascii="Times New Roman" w:hAnsi="Times New Roman" w:cs="Times New Roman"/>
          <w:i/>
          <w:iCs/>
          <w:lang w:val="en-US"/>
        </w:rPr>
        <w:t>Abdulnoor</w:t>
      </w:r>
      <w:proofErr w:type="spellEnd"/>
      <w:r>
        <w:rPr>
          <w:rFonts w:ascii="Times New Roman" w:hAnsi="Times New Roman" w:cs="Times New Roman"/>
          <w:i/>
          <w:iCs/>
          <w:lang w:val="en-US"/>
        </w:rPr>
        <w:t>, must be released to “live final days in dignity”, say experts</w:t>
      </w:r>
      <w:r>
        <w:rPr>
          <w:rFonts w:ascii="Times New Roman" w:hAnsi="Times New Roman" w:cs="Times New Roman"/>
          <w:lang w:val="en-US"/>
        </w:rPr>
        <w:t xml:space="preserve">, 26 February 2019, </w:t>
      </w:r>
      <w:hyperlink r:id="rId16" w:tooltip="https://www.ohchr.org/en/press-releases/2019/02/uae-terminally-ill-prisoner-alia-abdulnoor-must-be-released-live-final-days?LangID=E&amp;NewsID=24214" w:history="1">
        <w:r>
          <w:rPr>
            <w:rStyle w:val="Hyperlink"/>
            <w:rFonts w:ascii="Times New Roman" w:hAnsi="Times New Roman" w:cs="Times New Roman"/>
            <w:lang w:val="en-US"/>
          </w:rPr>
          <w:t>https://www.ohchr.org/en/press-releases/2019/02/uae-terminally-ill-prisoner-alia-abdulnoor-must-be-released-live-final-days?LangID=E&amp;NewsID=24214</w:t>
        </w:r>
      </w:hyperlink>
      <w:r>
        <w:rPr>
          <w:rFonts w:ascii="Times New Roman" w:hAnsi="Times New Roman" w:cs="Times New Roman"/>
          <w:lang w:val="en-US"/>
        </w:rPr>
        <w:t xml:space="preserve"> (accessed 18 May 2022).</w:t>
      </w:r>
    </w:p>
  </w:footnote>
  <w:footnote w:id="40">
    <w:p w:rsidR="00F96166" w:rsidRDefault="00F96166">
      <w:pPr>
        <w:pStyle w:val="FootnoteText"/>
        <w:jc w:val="both"/>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n-US"/>
        </w:rPr>
        <w:t xml:space="preserve">Regarding </w:t>
      </w:r>
      <w:proofErr w:type="spellStart"/>
      <w:r>
        <w:rPr>
          <w:rFonts w:ascii="Times New Roman" w:hAnsi="Times New Roman" w:cs="Times New Roman"/>
          <w:lang w:val="en-US"/>
        </w:rPr>
        <w:t>Abdelrahman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Chouman</w:t>
      </w:r>
      <w:proofErr w:type="spellEnd"/>
      <w:r>
        <w:rPr>
          <w:rFonts w:ascii="Times New Roman" w:hAnsi="Times New Roman" w:cs="Times New Roman"/>
          <w:lang w:val="en-US"/>
        </w:rPr>
        <w:t xml:space="preserve"> and Ahmad </w:t>
      </w:r>
      <w:proofErr w:type="spellStart"/>
      <w:r>
        <w:rPr>
          <w:rFonts w:ascii="Times New Roman" w:hAnsi="Times New Roman" w:cs="Times New Roman"/>
          <w:lang w:val="en-US"/>
        </w:rPr>
        <w:t>Sobh</w:t>
      </w:r>
      <w:proofErr w:type="spellEnd"/>
      <w:r>
        <w:rPr>
          <w:rFonts w:ascii="Times New Roman" w:hAnsi="Times New Roman" w:cs="Times New Roman"/>
          <w:lang w:val="en-US"/>
        </w:rPr>
        <w:t xml:space="preserve">, see Mandates of the Working Group on Arbitrary Detention; the Special Rapporteur on the independence of judges and lawyers; the Special Rapporteur on the promotion and protection of human rights and fundamental freedoms while countering terrorism; and the Special Rapporteur on torture and other cruel, inhuman or degrading treatment or punishment, </w:t>
      </w:r>
      <w:r>
        <w:rPr>
          <w:rFonts w:ascii="Times New Roman" w:hAnsi="Times New Roman" w:cs="Times New Roman"/>
          <w:i/>
          <w:iCs/>
          <w:lang w:val="en-US"/>
        </w:rPr>
        <w:t>REFERENCE: UA ARE 1/2020</w:t>
      </w:r>
      <w:r>
        <w:rPr>
          <w:rFonts w:ascii="Times New Roman" w:hAnsi="Times New Roman" w:cs="Times New Roman"/>
          <w:lang w:val="en-US"/>
        </w:rPr>
        <w:t xml:space="preserve">, 27 January 2020, </w:t>
      </w:r>
      <w:hyperlink r:id="rId17" w:tooltip="https://spcommreports.ohchr.org/TMResultsBase/DownLoadPublicCommunicationFile?gId=25038" w:history="1">
        <w:r>
          <w:rPr>
            <w:rStyle w:val="Hyperlink"/>
            <w:rFonts w:ascii="Times New Roman" w:hAnsi="Times New Roman" w:cs="Times New Roman"/>
            <w:lang w:val="en-US"/>
          </w:rPr>
          <w:t>https://spcommreports.ohchr.org/TMResultsBase/DownLoadPublicCommunicationFile?gId=25038</w:t>
        </w:r>
      </w:hyperlink>
      <w:r>
        <w:rPr>
          <w:rFonts w:ascii="Times New Roman" w:hAnsi="Times New Roman" w:cs="Times New Roman"/>
          <w:lang w:val="en-US"/>
        </w:rPr>
        <w:t xml:space="preserve"> (accessed 18 May 2022).</w:t>
      </w:r>
    </w:p>
  </w:footnote>
  <w:footnote w:id="41">
    <w:p w:rsidR="00F96166" w:rsidRDefault="00F96166">
      <w:pPr>
        <w:spacing w:before="0" w:after="0"/>
        <w:jc w:val="both"/>
      </w:pPr>
      <w:r>
        <w:rPr>
          <w:rStyle w:val="FootnoteReference"/>
          <w:rFonts w:ascii="Times New Roman" w:hAnsi="Times New Roman" w:cs="Times New Roman"/>
          <w:sz w:val="20"/>
          <w:szCs w:val="20"/>
        </w:rPr>
        <w:footnoteRef/>
      </w:r>
      <w:r>
        <w:rPr>
          <w:rFonts w:ascii="Times New Roman" w:hAnsi="Times New Roman" w:cs="Times New Roman"/>
          <w:sz w:val="20"/>
          <w:szCs w:val="20"/>
        </w:rPr>
        <w:t xml:space="preserve"> Further information on his case can be found at: </w:t>
      </w:r>
      <w:r>
        <w:rPr>
          <w:rFonts w:ascii="Times New Roman" w:hAnsi="Times New Roman" w:cs="Times New Roman"/>
          <w:color w:val="000000"/>
          <w:sz w:val="20"/>
          <w:szCs w:val="20"/>
        </w:rPr>
        <w:t>Human Rights Watch,</w:t>
      </w:r>
      <w:r>
        <w:rPr>
          <w:rStyle w:val="apple-converted-space"/>
          <w:rFonts w:ascii="Times New Roman" w:hAnsi="Times New Roman" w:cs="Times New Roman"/>
          <w:color w:val="000000"/>
          <w:sz w:val="20"/>
          <w:szCs w:val="20"/>
        </w:rPr>
        <w:t> </w:t>
      </w:r>
      <w:r>
        <w:rPr>
          <w:rFonts w:ascii="Times New Roman" w:hAnsi="Times New Roman" w:cs="Times New Roman"/>
          <w:i/>
          <w:iCs/>
          <w:color w:val="000000"/>
          <w:sz w:val="20"/>
          <w:szCs w:val="20"/>
        </w:rPr>
        <w:t>UAE: Jailed British academic denied rights</w:t>
      </w:r>
      <w:r>
        <w:rPr>
          <w:rFonts w:ascii="Times New Roman" w:hAnsi="Times New Roman" w:cs="Times New Roman"/>
          <w:color w:val="000000"/>
          <w:sz w:val="20"/>
          <w:szCs w:val="20"/>
        </w:rPr>
        <w:t>, 21 October 2018,</w:t>
      </w:r>
      <w:r>
        <w:rPr>
          <w:rStyle w:val="apple-converted-space"/>
          <w:rFonts w:ascii="Times New Roman" w:hAnsi="Times New Roman" w:cs="Times New Roman"/>
          <w:color w:val="000000"/>
          <w:sz w:val="20"/>
          <w:szCs w:val="20"/>
        </w:rPr>
        <w:t> </w:t>
      </w:r>
      <w:r>
        <w:rPr>
          <w:rFonts w:ascii="Times New Roman" w:hAnsi="Times New Roman" w:cs="Times New Roman"/>
          <w:sz w:val="20"/>
          <w:szCs w:val="20"/>
        </w:rPr>
        <w:t>https://www.hrw.org/news/2018/10/21/uae-jailed-british-academic-denied-rights</w:t>
      </w:r>
      <w:r>
        <w:rPr>
          <w:rStyle w:val="apple-converted-space"/>
          <w:rFonts w:ascii="Times New Roman" w:hAnsi="Times New Roman" w:cs="Times New Roman"/>
          <w:color w:val="000000"/>
          <w:sz w:val="20"/>
          <w:szCs w:val="20"/>
        </w:rPr>
        <w:t> </w:t>
      </w:r>
      <w:r>
        <w:rPr>
          <w:rFonts w:ascii="Times New Roman" w:hAnsi="Times New Roman" w:cs="Times New Roman"/>
          <w:color w:val="000000"/>
          <w:sz w:val="20"/>
          <w:szCs w:val="20"/>
        </w:rPr>
        <w:t>(accessed 7 March 2022); </w:t>
      </w:r>
      <w:r>
        <w:rPr>
          <w:rFonts w:ascii="Times New Roman" w:hAnsi="Times New Roman" w:cs="Times New Roman"/>
          <w:i/>
          <w:iCs/>
          <w:color w:val="000000"/>
          <w:sz w:val="20"/>
          <w:szCs w:val="20"/>
        </w:rPr>
        <w:t>UAE: Injustice, intolerance, repression</w:t>
      </w:r>
      <w:r>
        <w:rPr>
          <w:rFonts w:ascii="Times New Roman" w:hAnsi="Times New Roman" w:cs="Times New Roman"/>
          <w:color w:val="000000"/>
          <w:sz w:val="20"/>
          <w:szCs w:val="20"/>
        </w:rPr>
        <w:t>, 17 January 2019,</w:t>
      </w:r>
      <w:r>
        <w:rPr>
          <w:rStyle w:val="apple-converted-space"/>
          <w:rFonts w:ascii="Times New Roman" w:hAnsi="Times New Roman" w:cs="Times New Roman"/>
          <w:color w:val="000000"/>
          <w:sz w:val="20"/>
          <w:szCs w:val="20"/>
        </w:rPr>
        <w:t> </w:t>
      </w:r>
      <w:hyperlink r:id="rId18" w:tooltip="https://www.hrw.org/news/2019/01/17/uae-injustice-intolerance-repression" w:history="1">
        <w:r>
          <w:rPr>
            <w:rStyle w:val="Hyperlink"/>
            <w:rFonts w:ascii="Times New Roman" w:hAnsi="Times New Roman" w:cs="Times New Roman"/>
            <w:sz w:val="20"/>
            <w:szCs w:val="20"/>
          </w:rPr>
          <w:t>https://www.hrw.org/news/2019/01/17/uae-injustice-intolerance-repression</w:t>
        </w:r>
      </w:hyperlink>
      <w:r>
        <w:t xml:space="preserve"> </w:t>
      </w:r>
      <w:r>
        <w:rPr>
          <w:rFonts w:ascii="Times New Roman" w:hAnsi="Times New Roman" w:cs="Times New Roman"/>
          <w:color w:val="000000"/>
          <w:sz w:val="20"/>
          <w:szCs w:val="20"/>
        </w:rPr>
        <w:t>(accessed March 7, 2022);</w:t>
      </w:r>
      <w:r>
        <w:rPr>
          <w:rFonts w:ascii="Times New Roman" w:hAnsi="Times New Roman" w:cs="Times New Roman"/>
          <w:i/>
          <w:iCs/>
          <w:color w:val="000000"/>
          <w:sz w:val="20"/>
          <w:szCs w:val="20"/>
        </w:rPr>
        <w:t>, UAE: Tolerance narrative a sham,</w:t>
      </w:r>
      <w:r>
        <w:rPr>
          <w:rStyle w:val="apple-converted-space"/>
          <w:rFonts w:ascii="Times New Roman" w:hAnsi="Times New Roman" w:cs="Times New Roman"/>
          <w:color w:val="000000"/>
          <w:sz w:val="20"/>
          <w:szCs w:val="20"/>
        </w:rPr>
        <w:t xml:space="preserve"> 1 </w:t>
      </w:r>
      <w:r>
        <w:rPr>
          <w:rFonts w:ascii="Times New Roman" w:hAnsi="Times New Roman" w:cs="Times New Roman"/>
          <w:color w:val="000000"/>
          <w:sz w:val="20"/>
          <w:szCs w:val="20"/>
        </w:rPr>
        <w:t>October  2021, https://www.hrw.org/news/2021/10/01/uae-tolerance-narrative-sham-0 (accessed March 7, 2022); Matthew Hedges, “I was detained in the UAE. I learned that Britain puts trade before its citizens”, </w:t>
      </w:r>
      <w:r>
        <w:rPr>
          <w:rFonts w:ascii="Times New Roman" w:hAnsi="Times New Roman" w:cs="Times New Roman"/>
          <w:i/>
          <w:iCs/>
          <w:color w:val="000000"/>
          <w:sz w:val="20"/>
          <w:szCs w:val="20"/>
        </w:rPr>
        <w:t>The Guardian,</w:t>
      </w:r>
      <w:r>
        <w:rPr>
          <w:rStyle w:val="apple-converted-space"/>
          <w:rFonts w:ascii="Times New Roman" w:hAnsi="Times New Roman" w:cs="Times New Roman"/>
          <w:i/>
          <w:iCs/>
          <w:color w:val="000000"/>
          <w:sz w:val="20"/>
          <w:szCs w:val="20"/>
        </w:rPr>
        <w:t> </w:t>
      </w:r>
      <w:r>
        <w:rPr>
          <w:rFonts w:ascii="Times New Roman" w:hAnsi="Times New Roman" w:cs="Times New Roman"/>
          <w:color w:val="000000"/>
          <w:sz w:val="20"/>
          <w:szCs w:val="20"/>
        </w:rPr>
        <w:t>November 26, 2019, https://www.theguardian.com/commentisfree/2019/nov/26/detained-uae-britain-trade-citizens-foreign-office, (accessed March 7, 2022); Matthew Hedges, “Imprisonment in the UAE left me suicidal. But my fellow academics face exactly the same risks”, </w:t>
      </w:r>
      <w:r>
        <w:rPr>
          <w:rFonts w:ascii="Times New Roman" w:hAnsi="Times New Roman" w:cs="Times New Roman"/>
          <w:i/>
          <w:iCs/>
          <w:color w:val="000000"/>
          <w:sz w:val="20"/>
          <w:szCs w:val="20"/>
        </w:rPr>
        <w:t>The Independent,</w:t>
      </w:r>
      <w:r>
        <w:rPr>
          <w:rStyle w:val="apple-converted-space"/>
          <w:rFonts w:ascii="Times New Roman" w:hAnsi="Times New Roman" w:cs="Times New Roman"/>
          <w:i/>
          <w:iCs/>
          <w:color w:val="000000"/>
          <w:sz w:val="20"/>
          <w:szCs w:val="20"/>
        </w:rPr>
        <w:t> </w:t>
      </w:r>
      <w:r>
        <w:rPr>
          <w:rFonts w:ascii="Times New Roman" w:hAnsi="Times New Roman" w:cs="Times New Roman"/>
          <w:color w:val="000000"/>
          <w:sz w:val="20"/>
          <w:szCs w:val="20"/>
        </w:rPr>
        <w:t>October 15, 2019,</w:t>
      </w:r>
      <w:r>
        <w:rPr>
          <w:rStyle w:val="apple-converted-space"/>
          <w:rFonts w:ascii="Times New Roman" w:hAnsi="Times New Roman" w:cs="Times New Roman"/>
          <w:color w:val="000000"/>
          <w:sz w:val="20"/>
          <w:szCs w:val="20"/>
        </w:rPr>
        <w:t xml:space="preserve"> https://www.independent.co.uk/voices/uae-prison-matthew-hedges-academics-universities-suicide-a9156376.html</w:t>
      </w:r>
      <w:r>
        <w:t xml:space="preserve"> </w:t>
      </w:r>
      <w:r>
        <w:rPr>
          <w:rFonts w:ascii="Times New Roman" w:hAnsi="Times New Roman" w:cs="Times New Roman"/>
          <w:color w:val="000000"/>
          <w:sz w:val="20"/>
          <w:szCs w:val="20"/>
        </w:rPr>
        <w:t>(accessed March 7, 2022);</w:t>
      </w:r>
      <w:r>
        <w:rPr>
          <w:rStyle w:val="apple-converted-space"/>
          <w:rFonts w:ascii="Times New Roman" w:hAnsi="Times New Roman" w:cs="Times New Roman"/>
          <w:color w:val="000000"/>
          <w:sz w:val="20"/>
          <w:szCs w:val="20"/>
        </w:rPr>
        <w:t> </w:t>
      </w:r>
      <w:r>
        <w:rPr>
          <w:rFonts w:ascii="Times New Roman" w:hAnsi="Times New Roman" w:cs="Times New Roman"/>
          <w:color w:val="000000"/>
          <w:sz w:val="20"/>
          <w:szCs w:val="20"/>
        </w:rPr>
        <w:t>Matthew Hedges, “An ally held me as a spy - and the West is complicit,”</w:t>
      </w:r>
      <w:r>
        <w:rPr>
          <w:rStyle w:val="apple-converted-space"/>
          <w:rFonts w:ascii="Times New Roman" w:hAnsi="Times New Roman" w:cs="Times New Roman"/>
          <w:color w:val="000000"/>
          <w:sz w:val="20"/>
          <w:szCs w:val="20"/>
        </w:rPr>
        <w:t> </w:t>
      </w:r>
      <w:r>
        <w:rPr>
          <w:rFonts w:ascii="Times New Roman" w:hAnsi="Times New Roman" w:cs="Times New Roman"/>
          <w:i/>
          <w:iCs/>
          <w:color w:val="000000"/>
          <w:sz w:val="20"/>
          <w:szCs w:val="20"/>
        </w:rPr>
        <w:t>The Atlantic,</w:t>
      </w:r>
      <w:r>
        <w:rPr>
          <w:rStyle w:val="apple-converted-space"/>
          <w:rFonts w:ascii="Times New Roman" w:hAnsi="Times New Roman" w:cs="Times New Roman"/>
          <w:i/>
          <w:iCs/>
          <w:color w:val="000000"/>
          <w:sz w:val="20"/>
          <w:szCs w:val="20"/>
        </w:rPr>
        <w:t> </w:t>
      </w:r>
      <w:r>
        <w:rPr>
          <w:rFonts w:ascii="Times New Roman" w:hAnsi="Times New Roman" w:cs="Times New Roman"/>
          <w:color w:val="000000"/>
          <w:sz w:val="20"/>
          <w:szCs w:val="20"/>
        </w:rPr>
        <w:t>January 25, 2019,</w:t>
      </w:r>
      <w:r>
        <w:rPr>
          <w:rStyle w:val="apple-converted-space"/>
          <w:rFonts w:ascii="Times New Roman" w:hAnsi="Times New Roman" w:cs="Times New Roman"/>
          <w:color w:val="000000"/>
          <w:sz w:val="20"/>
          <w:szCs w:val="20"/>
        </w:rPr>
        <w:t xml:space="preserve"> https://www.theatlantic.com/international/archive/2019/01/matthew-hedges-uae-held-me-spy-west-complicit/581200/ </w:t>
      </w:r>
      <w:r>
        <w:rPr>
          <w:rFonts w:ascii="Times New Roman" w:hAnsi="Times New Roman" w:cs="Times New Roman"/>
          <w:color w:val="000000"/>
          <w:sz w:val="20"/>
          <w:szCs w:val="20"/>
        </w:rPr>
        <w:t>(March 7, 2022).</w:t>
      </w:r>
      <w:r>
        <w:rPr>
          <w:rStyle w:val="apple-converted-space"/>
          <w:rFonts w:ascii="Times New Roman" w:hAnsi="Times New Roman" w:cs="Times New Roman"/>
          <w:color w:val="000000"/>
          <w:sz w:val="20"/>
          <w:szCs w:val="20"/>
        </w:rPr>
        <w:t> </w:t>
      </w:r>
    </w:p>
  </w:footnote>
  <w:footnote w:id="42">
    <w:p w:rsidR="00F96166" w:rsidRDefault="00F96166">
      <w:pPr>
        <w:pStyle w:val="FootnoteText"/>
        <w:jc w:val="both"/>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n-US"/>
        </w:rPr>
        <w:t xml:space="preserve">State report, </w:t>
      </w:r>
      <w:r>
        <w:rPr>
          <w:rFonts w:ascii="Times New Roman" w:hAnsi="Times New Roman" w:cs="Times New Roman"/>
          <w:i/>
          <w:iCs/>
          <w:lang w:val="en-US"/>
        </w:rPr>
        <w:t xml:space="preserve">op. cit., </w:t>
      </w:r>
      <w:proofErr w:type="gramStart"/>
      <w:r>
        <w:rPr>
          <w:rFonts w:ascii="Times New Roman" w:hAnsi="Times New Roman" w:cs="Times New Roman"/>
          <w:lang w:val="en-US"/>
        </w:rPr>
        <w:t>para</w:t>
      </w:r>
      <w:proofErr w:type="gramEnd"/>
      <w:r>
        <w:rPr>
          <w:rFonts w:ascii="Times New Roman" w:hAnsi="Times New Roman" w:cs="Times New Roman"/>
          <w:lang w:val="en-US"/>
        </w:rPr>
        <w:t>. 202.</w:t>
      </w:r>
    </w:p>
  </w:footnote>
  <w:footnote w:id="43">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2021 Country Reports on Human Rights Practices: United Arab Emirates, </w:t>
      </w:r>
      <w:r>
        <w:rPr>
          <w:rFonts w:ascii="Times New Roman" w:hAnsi="Times New Roman" w:cs="Times New Roman"/>
          <w:i/>
          <w:iCs/>
        </w:rPr>
        <w:t xml:space="preserve">op. cit., </w:t>
      </w:r>
      <w:proofErr w:type="gramStart"/>
      <w:r>
        <w:rPr>
          <w:rFonts w:ascii="Times New Roman" w:hAnsi="Times New Roman" w:cs="Times New Roman"/>
        </w:rPr>
        <w:t>p</w:t>
      </w:r>
      <w:proofErr w:type="gramEnd"/>
      <w:r>
        <w:rPr>
          <w:rFonts w:ascii="Times New Roman" w:hAnsi="Times New Roman" w:cs="Times New Roman"/>
        </w:rPr>
        <w:t>. 5.</w:t>
      </w:r>
    </w:p>
  </w:footnote>
  <w:footnote w:id="44">
    <w:p w:rsidR="00F96166" w:rsidRDefault="00F96166">
      <w:pPr>
        <w:pStyle w:val="FootnoteText"/>
        <w:jc w:val="both"/>
        <w:rPr>
          <w:rFonts w:ascii="Times New Roman" w:hAnsi="Times New Roman" w:cs="Times New Roman"/>
          <w:i/>
          <w:iCs/>
        </w:rPr>
      </w:pPr>
      <w:r>
        <w:rPr>
          <w:rStyle w:val="FootnoteReference"/>
          <w:rFonts w:ascii="Times New Roman" w:hAnsi="Times New Roman" w:cs="Times New Roman"/>
        </w:rPr>
        <w:footnoteRef/>
      </w:r>
      <w:r>
        <w:rPr>
          <w:rFonts w:ascii="Times New Roman" w:hAnsi="Times New Roman" w:cs="Times New Roman"/>
        </w:rPr>
        <w:t xml:space="preserve"> 2014 Report of the Special Rapporteur on the independence of judges and lawyers, </w:t>
      </w:r>
      <w:r>
        <w:rPr>
          <w:rFonts w:ascii="Times New Roman" w:hAnsi="Times New Roman" w:cs="Times New Roman"/>
          <w:i/>
          <w:iCs/>
        </w:rPr>
        <w:t>op. cit.</w:t>
      </w:r>
      <w:r>
        <w:rPr>
          <w:rFonts w:ascii="Times New Roman" w:hAnsi="Times New Roman" w:cs="Times New Roman"/>
        </w:rPr>
        <w:t>, para. 52.</w:t>
      </w:r>
    </w:p>
  </w:footnote>
  <w:footnote w:id="45">
    <w:p w:rsidR="00F96166" w:rsidRDefault="00F96166">
      <w:pPr>
        <w:pStyle w:val="FootnoteText"/>
        <w:jc w:val="both"/>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cs="Times New Roman"/>
        </w:rPr>
        <w:t xml:space="preserve"> Opinion No. 30/2018 concerning </w:t>
      </w:r>
      <w:proofErr w:type="spellStart"/>
      <w:r>
        <w:rPr>
          <w:rFonts w:ascii="Times New Roman" w:hAnsi="Times New Roman" w:cs="Times New Roman"/>
        </w:rPr>
        <w:t>Bahaa</w:t>
      </w:r>
      <w:proofErr w:type="spellEnd"/>
      <w:r>
        <w:rPr>
          <w:rFonts w:ascii="Times New Roman" w:hAnsi="Times New Roman" w:cs="Times New Roman"/>
        </w:rPr>
        <w:t xml:space="preserve"> Adel Salman </w:t>
      </w:r>
      <w:proofErr w:type="spellStart"/>
      <w:r>
        <w:rPr>
          <w:rFonts w:ascii="Times New Roman" w:hAnsi="Times New Roman" w:cs="Times New Roman"/>
        </w:rPr>
        <w:t>Mattar</w:t>
      </w:r>
      <w:proofErr w:type="spellEnd"/>
      <w:r>
        <w:rPr>
          <w:rFonts w:ascii="Times New Roman" w:hAnsi="Times New Roman" w:cs="Times New Roman"/>
        </w:rPr>
        <w:t xml:space="preserve"> and Maher </w:t>
      </w:r>
      <w:proofErr w:type="spellStart"/>
      <w:r>
        <w:rPr>
          <w:rFonts w:ascii="Times New Roman" w:hAnsi="Times New Roman" w:cs="Times New Roman"/>
        </w:rPr>
        <w:t>Atieh</w:t>
      </w:r>
      <w:proofErr w:type="spellEnd"/>
      <w:r>
        <w:rPr>
          <w:rFonts w:ascii="Times New Roman" w:hAnsi="Times New Roman" w:cs="Times New Roman"/>
        </w:rPr>
        <w:t xml:space="preserve"> Othman Abu </w:t>
      </w:r>
      <w:proofErr w:type="spellStart"/>
      <w:r>
        <w:rPr>
          <w:rFonts w:ascii="Times New Roman" w:hAnsi="Times New Roman" w:cs="Times New Roman"/>
        </w:rPr>
        <w:t>Shawareb</w:t>
      </w:r>
      <w:proofErr w:type="spellEnd"/>
      <w:r>
        <w:rPr>
          <w:rFonts w:ascii="Times New Roman" w:hAnsi="Times New Roman" w:cs="Times New Roman"/>
        </w:rPr>
        <w:t xml:space="preserve"> (United Arab Emirates), </w:t>
      </w:r>
      <w:r>
        <w:rPr>
          <w:rFonts w:ascii="Times New Roman" w:hAnsi="Times New Roman" w:cs="Times New Roman"/>
          <w:i/>
          <w:iCs/>
        </w:rPr>
        <w:t>op. cit.</w:t>
      </w:r>
      <w:r>
        <w:rPr>
          <w:rFonts w:ascii="Times New Roman" w:hAnsi="Times New Roman" w:cs="Times New Roman"/>
        </w:rPr>
        <w:t>, para. 49.</w:t>
      </w:r>
    </w:p>
  </w:footnote>
  <w:footnote w:id="46">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2014 Report of the Special Rapporteur on the independence of judges and lawyers, </w:t>
      </w:r>
      <w:r>
        <w:rPr>
          <w:rFonts w:ascii="Times New Roman" w:hAnsi="Times New Roman" w:cs="Times New Roman"/>
          <w:i/>
          <w:iCs/>
        </w:rPr>
        <w:t>op. cit.</w:t>
      </w:r>
      <w:r>
        <w:rPr>
          <w:rFonts w:ascii="Times New Roman" w:hAnsi="Times New Roman" w:cs="Times New Roman"/>
        </w:rPr>
        <w:t>, para. 72.</w:t>
      </w:r>
    </w:p>
  </w:footnote>
  <w:footnote w:id="47">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2021 Country Reports on Human Rights Practices: United Arab Emirates, </w:t>
      </w:r>
      <w:r>
        <w:rPr>
          <w:rFonts w:ascii="Times New Roman" w:hAnsi="Times New Roman" w:cs="Times New Roman"/>
          <w:i/>
          <w:iCs/>
        </w:rPr>
        <w:t>op. cit.</w:t>
      </w:r>
      <w:r>
        <w:rPr>
          <w:rFonts w:ascii="Times New Roman" w:hAnsi="Times New Roman" w:cs="Times New Roman"/>
        </w:rPr>
        <w:t xml:space="preserve">, </w:t>
      </w:r>
      <w:proofErr w:type="gramStart"/>
      <w:r>
        <w:rPr>
          <w:rFonts w:ascii="Times New Roman" w:hAnsi="Times New Roman" w:cs="Times New Roman"/>
        </w:rPr>
        <w:t>p</w:t>
      </w:r>
      <w:proofErr w:type="gramEnd"/>
      <w:r>
        <w:rPr>
          <w:rFonts w:ascii="Times New Roman" w:hAnsi="Times New Roman" w:cs="Times New Roman"/>
        </w:rPr>
        <w:t>. 6.</w:t>
      </w:r>
    </w:p>
  </w:footnote>
  <w:footnote w:id="48">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Emirates Detainees Advocacy </w:t>
      </w:r>
      <w:proofErr w:type="spellStart"/>
      <w:r>
        <w:rPr>
          <w:rFonts w:ascii="Times New Roman" w:hAnsi="Times New Roman" w:cs="Times New Roman"/>
        </w:rPr>
        <w:t>Center</w:t>
      </w:r>
      <w:proofErr w:type="spellEnd"/>
      <w:r>
        <w:rPr>
          <w:rFonts w:ascii="Times New Roman" w:hAnsi="Times New Roman" w:cs="Times New Roman"/>
        </w:rPr>
        <w:t xml:space="preserve">, </w:t>
      </w:r>
      <w:r>
        <w:rPr>
          <w:rFonts w:ascii="Times New Roman" w:hAnsi="Times New Roman" w:cs="Times New Roman"/>
          <w:i/>
          <w:iCs/>
        </w:rPr>
        <w:t>Led by an army officer - A group of officers is heading UAE's NHRI</w:t>
      </w:r>
      <w:r>
        <w:rPr>
          <w:rFonts w:ascii="Times New Roman" w:hAnsi="Times New Roman" w:cs="Times New Roman"/>
        </w:rPr>
        <w:t xml:space="preserve">, December 20, 2021, </w:t>
      </w:r>
      <w:hyperlink r:id="rId19" w:tooltip="https://en.edacrights.com/post/259" w:history="1">
        <w:r>
          <w:rPr>
            <w:rStyle w:val="Hyperlink"/>
            <w:rFonts w:ascii="Times New Roman" w:hAnsi="Times New Roman" w:cs="Times New Roman"/>
          </w:rPr>
          <w:t>https://en.edacrights.com/post/259</w:t>
        </w:r>
      </w:hyperlink>
      <w:r>
        <w:rPr>
          <w:rFonts w:ascii="Times New Roman" w:hAnsi="Times New Roman" w:cs="Times New Roman"/>
        </w:rPr>
        <w:t xml:space="preserve"> (accessed 4 May 2022).</w:t>
      </w:r>
    </w:p>
  </w:footnote>
  <w:footnote w:id="49">
    <w:p w:rsidR="00F96166" w:rsidRDefault="00F96166">
      <w:pPr>
        <w:pStyle w:val="FootnoteText"/>
        <w:jc w:val="both"/>
        <w:rPr>
          <w:rFonts w:ascii="Times New Roman" w:hAnsi="Times New Roman" w:cs="Times New Roman"/>
          <w:i/>
          <w:iCs/>
        </w:rPr>
      </w:pPr>
      <w:r>
        <w:rPr>
          <w:rStyle w:val="FootnoteReference"/>
          <w:rFonts w:ascii="Times New Roman" w:hAnsi="Times New Roman" w:cs="Times New Roman"/>
        </w:rPr>
        <w:footnoteRef/>
      </w:r>
      <w:r>
        <w:rPr>
          <w:rFonts w:ascii="Times New Roman" w:hAnsi="Times New Roman" w:cs="Times New Roman"/>
        </w:rPr>
        <w:t xml:space="preserve"> Ibid. idem.</w:t>
      </w:r>
    </w:p>
  </w:footnote>
  <w:footnote w:id="50">
    <w:p w:rsidR="00F96166" w:rsidRDefault="00F96166">
      <w:pPr>
        <w:pStyle w:val="FootnoteText"/>
        <w:jc w:val="both"/>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n-US"/>
        </w:rPr>
        <w:t xml:space="preserve">State report, </w:t>
      </w:r>
      <w:r>
        <w:rPr>
          <w:rFonts w:ascii="Times New Roman" w:hAnsi="Times New Roman" w:cs="Times New Roman"/>
          <w:i/>
          <w:iCs/>
          <w:lang w:val="en-US"/>
        </w:rPr>
        <w:t>op. cit.</w:t>
      </w:r>
      <w:r>
        <w:rPr>
          <w:rFonts w:ascii="Times New Roman" w:hAnsi="Times New Roman" w:cs="Times New Roman"/>
          <w:lang w:val="en-US"/>
        </w:rPr>
        <w:t>, paras. 98-99.</w:t>
      </w:r>
    </w:p>
  </w:footnote>
  <w:footnote w:id="51">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2014 Report of the Special Rapporteur on the independence of judges and lawyers, </w:t>
      </w:r>
      <w:r>
        <w:rPr>
          <w:rFonts w:ascii="Times New Roman" w:hAnsi="Times New Roman" w:cs="Times New Roman"/>
          <w:i/>
          <w:iCs/>
        </w:rPr>
        <w:t>op. cit.</w:t>
      </w:r>
      <w:r>
        <w:rPr>
          <w:rFonts w:ascii="Times New Roman" w:hAnsi="Times New Roman" w:cs="Times New Roman"/>
        </w:rPr>
        <w:t>, para. 53.</w:t>
      </w:r>
    </w:p>
  </w:footnote>
  <w:footnote w:id="52">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Human Rights Council, </w:t>
      </w:r>
      <w:r>
        <w:rPr>
          <w:rFonts w:ascii="Times New Roman" w:hAnsi="Times New Roman" w:cs="Times New Roman"/>
          <w:i/>
          <w:iCs/>
        </w:rPr>
        <w:t>Cooperation with the United Nations, its representatives and mechanisms in the field of human rights</w:t>
      </w:r>
      <w:r>
        <w:rPr>
          <w:rFonts w:ascii="Times New Roman" w:hAnsi="Times New Roman" w:cs="Times New Roman"/>
        </w:rPr>
        <w:t xml:space="preserve">, 1 December 2021, UN Doc. A/HRC/48/28, </w:t>
      </w:r>
      <w:hyperlink r:id="rId20" w:tooltip="https://www.ohchr.org/Documents/Issues/Reprisals/A_HRC_48_28.docx" w:history="1">
        <w:r>
          <w:rPr>
            <w:rStyle w:val="Hyperlink"/>
            <w:rFonts w:ascii="Times New Roman" w:hAnsi="Times New Roman" w:cs="Times New Roman"/>
          </w:rPr>
          <w:t>https://www.ohchr.org/Documents/Issues/Reprisals/A_HRC_48_28.docx</w:t>
        </w:r>
      </w:hyperlink>
      <w:r>
        <w:rPr>
          <w:rFonts w:ascii="Times New Roman" w:hAnsi="Times New Roman" w:cs="Times New Roman"/>
        </w:rPr>
        <w:t xml:space="preserve"> (accessed 2 May 2022).</w:t>
      </w:r>
    </w:p>
  </w:footnote>
  <w:footnote w:id="53">
    <w:p w:rsidR="00F96166" w:rsidRDefault="00F96166">
      <w:pPr>
        <w:pStyle w:val="FootnoteText"/>
        <w:jc w:val="both"/>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n-US"/>
        </w:rPr>
        <w:t xml:space="preserve">See Human Rights Watch, </w:t>
      </w:r>
      <w:r>
        <w:rPr>
          <w:rFonts w:ascii="Times New Roman" w:hAnsi="Times New Roman" w:cs="Times New Roman"/>
          <w:i/>
          <w:iCs/>
          <w:lang w:val="en-US"/>
        </w:rPr>
        <w:t xml:space="preserve">UAE: State Security Retaliates </w:t>
      </w:r>
      <w:proofErr w:type="gramStart"/>
      <w:r>
        <w:rPr>
          <w:rFonts w:ascii="Times New Roman" w:hAnsi="Times New Roman" w:cs="Times New Roman"/>
          <w:i/>
          <w:iCs/>
          <w:lang w:val="en-US"/>
        </w:rPr>
        <w:t>Against</w:t>
      </w:r>
      <w:proofErr w:type="gramEnd"/>
      <w:r>
        <w:rPr>
          <w:rFonts w:ascii="Times New Roman" w:hAnsi="Times New Roman" w:cs="Times New Roman"/>
          <w:i/>
          <w:iCs/>
          <w:lang w:val="en-US"/>
        </w:rPr>
        <w:t xml:space="preserve"> Ahmed </w:t>
      </w:r>
      <w:proofErr w:type="spellStart"/>
      <w:r>
        <w:rPr>
          <w:rFonts w:ascii="Times New Roman" w:hAnsi="Times New Roman" w:cs="Times New Roman"/>
          <w:i/>
          <w:iCs/>
          <w:lang w:val="en-US"/>
        </w:rPr>
        <w:t>Mansoor</w:t>
      </w:r>
      <w:proofErr w:type="spellEnd"/>
      <w:r>
        <w:rPr>
          <w:rFonts w:ascii="Times New Roman" w:hAnsi="Times New Roman" w:cs="Times New Roman"/>
          <w:lang w:val="en-US"/>
        </w:rPr>
        <w:t xml:space="preserve">, 7 January 2022, </w:t>
      </w:r>
      <w:hyperlink r:id="rId21" w:tooltip="https://www.hrw.org/news/2022/01/07/uae-state-security-retaliates-against-ahmed-mansoor" w:history="1">
        <w:r>
          <w:rPr>
            <w:rStyle w:val="Hyperlink"/>
            <w:rFonts w:ascii="Times New Roman" w:hAnsi="Times New Roman" w:cs="Times New Roman"/>
            <w:lang w:val="en-US"/>
          </w:rPr>
          <w:t>https://www.hrw.org/news/2022/01/07/uae-state-security-retaliates-against-ahmed-mansoor</w:t>
        </w:r>
      </w:hyperlink>
      <w:r>
        <w:rPr>
          <w:rFonts w:ascii="Times New Roman" w:hAnsi="Times New Roman" w:cs="Times New Roman"/>
          <w:lang w:val="en-US"/>
        </w:rPr>
        <w:t xml:space="preserve"> (accessed 12 May 2022).</w:t>
      </w:r>
    </w:p>
  </w:footnote>
  <w:footnote w:id="54">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Apart from annex 1, see also MENA Rights Group, </w:t>
      </w:r>
      <w:r>
        <w:rPr>
          <w:rFonts w:ascii="Times New Roman" w:hAnsi="Times New Roman" w:cs="Times New Roman"/>
          <w:i/>
          <w:iCs/>
        </w:rPr>
        <w:t xml:space="preserve">Amina Al </w:t>
      </w:r>
      <w:proofErr w:type="spellStart"/>
      <w:r>
        <w:rPr>
          <w:rFonts w:ascii="Times New Roman" w:hAnsi="Times New Roman" w:cs="Times New Roman"/>
          <w:i/>
          <w:iCs/>
        </w:rPr>
        <w:t>Abdouli</w:t>
      </w:r>
      <w:proofErr w:type="spellEnd"/>
      <w:r>
        <w:rPr>
          <w:rFonts w:ascii="Times New Roman" w:hAnsi="Times New Roman" w:cs="Times New Roman"/>
          <w:i/>
          <w:iCs/>
        </w:rPr>
        <w:t>, detained by Emirati authorities since 2015</w:t>
      </w:r>
      <w:r>
        <w:rPr>
          <w:rFonts w:ascii="Times New Roman" w:hAnsi="Times New Roman" w:cs="Times New Roman"/>
        </w:rPr>
        <w:t xml:space="preserve">, 14 May 2020, </w:t>
      </w:r>
      <w:hyperlink r:id="rId22" w:tooltip="https://menarights.org/en/caseprofile/amina-al-abdouli-detained-emirati-authorities-2015" w:history="1">
        <w:r>
          <w:rPr>
            <w:rStyle w:val="Hyperlink"/>
            <w:rFonts w:ascii="Times New Roman" w:hAnsi="Times New Roman" w:cs="Times New Roman"/>
          </w:rPr>
          <w:t>https://menarights.org/en/caseprofile/amina-al-abdouli-detained-emirati-authorities-2015</w:t>
        </w:r>
      </w:hyperlink>
      <w:r>
        <w:rPr>
          <w:rFonts w:ascii="Times New Roman" w:hAnsi="Times New Roman" w:cs="Times New Roman"/>
        </w:rPr>
        <w:t xml:space="preserve">; and MENA Rights Group, </w:t>
      </w:r>
      <w:r>
        <w:rPr>
          <w:rFonts w:ascii="Times New Roman" w:hAnsi="Times New Roman" w:cs="Times New Roman"/>
          <w:i/>
          <w:iCs/>
        </w:rPr>
        <w:t xml:space="preserve">Maryam Al </w:t>
      </w:r>
      <w:proofErr w:type="spellStart"/>
      <w:r>
        <w:rPr>
          <w:rFonts w:ascii="Times New Roman" w:hAnsi="Times New Roman" w:cs="Times New Roman"/>
          <w:i/>
          <w:iCs/>
        </w:rPr>
        <w:t>Balushi</w:t>
      </w:r>
      <w:proofErr w:type="spellEnd"/>
      <w:r>
        <w:rPr>
          <w:rFonts w:ascii="Times New Roman" w:hAnsi="Times New Roman" w:cs="Times New Roman"/>
          <w:i/>
          <w:iCs/>
        </w:rPr>
        <w:t>, detained by Emirati authorities since 2015</w:t>
      </w:r>
      <w:r>
        <w:rPr>
          <w:rFonts w:ascii="Times New Roman" w:hAnsi="Times New Roman" w:cs="Times New Roman"/>
        </w:rPr>
        <w:t xml:space="preserve">, 14 May 2020, </w:t>
      </w:r>
      <w:hyperlink r:id="rId23" w:tooltip="https://menarights.org/en/caseprofile/maryam-al-balushi-detained-emirati-authorities-2015" w:history="1">
        <w:r>
          <w:rPr>
            <w:rStyle w:val="Hyperlink"/>
            <w:rFonts w:ascii="Times New Roman" w:hAnsi="Times New Roman" w:cs="Times New Roman"/>
          </w:rPr>
          <w:t>https://menarights.org/en/caseprofile/maryam-al-balushi-detained-emirati-authorities-2015</w:t>
        </w:r>
      </w:hyperlink>
      <w:r>
        <w:rPr>
          <w:rFonts w:ascii="Times New Roman" w:hAnsi="Times New Roman" w:cs="Times New Roman"/>
        </w:rPr>
        <w:t xml:space="preserve"> (accessed 2 May 2022).</w:t>
      </w:r>
    </w:p>
  </w:footnote>
  <w:footnote w:id="55">
    <w:p w:rsidR="00F96166" w:rsidRDefault="00F96166">
      <w:pPr>
        <w:pStyle w:val="FootnoteText"/>
        <w:jc w:val="both"/>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cs="Times New Roman"/>
        </w:rPr>
        <w:t xml:space="preserve"> Opinion No. 76/2017 concerning Nasser Bin </w:t>
      </w:r>
      <w:proofErr w:type="spellStart"/>
      <w:r>
        <w:rPr>
          <w:rFonts w:ascii="Times New Roman" w:hAnsi="Times New Roman" w:cs="Times New Roman"/>
        </w:rPr>
        <w:t>Ghaith</w:t>
      </w:r>
      <w:proofErr w:type="spellEnd"/>
      <w:r>
        <w:rPr>
          <w:rFonts w:ascii="Times New Roman" w:hAnsi="Times New Roman" w:cs="Times New Roman"/>
        </w:rPr>
        <w:t xml:space="preserve"> (United Arab Emirates), </w:t>
      </w:r>
      <w:r>
        <w:rPr>
          <w:rFonts w:ascii="Times New Roman" w:hAnsi="Times New Roman" w:cs="Times New Roman"/>
          <w:i/>
          <w:iCs/>
        </w:rPr>
        <w:t xml:space="preserve">op. cit., </w:t>
      </w:r>
      <w:r>
        <w:rPr>
          <w:rFonts w:ascii="Times New Roman" w:hAnsi="Times New Roman" w:cs="Times New Roman"/>
        </w:rPr>
        <w:t>para. 10.</w:t>
      </w:r>
    </w:p>
  </w:footnote>
  <w:footnote w:id="56">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Information about his case can be found in Emirates Detainees Advocacy </w:t>
      </w:r>
      <w:proofErr w:type="spellStart"/>
      <w:r>
        <w:rPr>
          <w:rFonts w:ascii="Times New Roman" w:hAnsi="Times New Roman" w:cs="Times New Roman"/>
        </w:rPr>
        <w:t>Center</w:t>
      </w:r>
      <w:proofErr w:type="spellEnd"/>
      <w:r>
        <w:rPr>
          <w:rFonts w:ascii="Times New Roman" w:hAnsi="Times New Roman" w:cs="Times New Roman"/>
        </w:rPr>
        <w:t xml:space="preserve">, </w:t>
      </w:r>
      <w:r>
        <w:rPr>
          <w:rFonts w:ascii="Times New Roman" w:hAnsi="Times New Roman" w:cs="Times New Roman"/>
          <w:i/>
          <w:iCs/>
        </w:rPr>
        <w:t>Ahmed Al-</w:t>
      </w:r>
      <w:proofErr w:type="spellStart"/>
      <w:r>
        <w:rPr>
          <w:rFonts w:ascii="Times New Roman" w:hAnsi="Times New Roman" w:cs="Times New Roman"/>
          <w:i/>
          <w:iCs/>
        </w:rPr>
        <w:t>Zaabi</w:t>
      </w:r>
      <w:proofErr w:type="spellEnd"/>
      <w:r>
        <w:rPr>
          <w:rFonts w:ascii="Times New Roman" w:hAnsi="Times New Roman" w:cs="Times New Roman"/>
        </w:rPr>
        <w:t xml:space="preserve">, </w:t>
      </w:r>
      <w:hyperlink r:id="rId24" w:tooltip="https://en.edacrights.com/Report/prisoner/21" w:history="1">
        <w:r>
          <w:rPr>
            <w:rStyle w:val="Hyperlink"/>
            <w:rFonts w:ascii="Times New Roman" w:hAnsi="Times New Roman" w:cs="Times New Roman"/>
          </w:rPr>
          <w:t>https://en.edacrights.com/Report/prisoner/21</w:t>
        </w:r>
      </w:hyperlink>
      <w:r>
        <w:rPr>
          <w:rFonts w:ascii="Times New Roman" w:hAnsi="Times New Roman" w:cs="Times New Roman"/>
        </w:rPr>
        <w:t xml:space="preserve"> (accessed 19 May 2022); and on Al-</w:t>
      </w:r>
      <w:proofErr w:type="spellStart"/>
      <w:r>
        <w:rPr>
          <w:rFonts w:ascii="Times New Roman" w:hAnsi="Times New Roman" w:cs="Times New Roman"/>
        </w:rPr>
        <w:t>Shamsi’s</w:t>
      </w:r>
      <w:proofErr w:type="spellEnd"/>
      <w:r>
        <w:rPr>
          <w:rFonts w:ascii="Times New Roman" w:hAnsi="Times New Roman" w:cs="Times New Roman"/>
        </w:rPr>
        <w:t xml:space="preserve"> twitter: </w:t>
      </w:r>
      <w:hyperlink r:id="rId25" w:tooltip="https://twitter.com/Alshamsi789/status/1207669296920485893?s=20&amp;t=4Cz91EMZahwFfYOPUZ3jFw" w:history="1">
        <w:r>
          <w:rPr>
            <w:rStyle w:val="Hyperlink"/>
            <w:rFonts w:ascii="Times New Roman" w:hAnsi="Times New Roman" w:cs="Times New Roman"/>
          </w:rPr>
          <w:t>https://twitter.com/Alshamsi789/status/1207669296920485893?s=20&amp;t=4Cz91EMZahwFfYOPUZ3jFw</w:t>
        </w:r>
      </w:hyperlink>
      <w:r>
        <w:rPr>
          <w:rFonts w:ascii="Times New Roman" w:hAnsi="Times New Roman" w:cs="Times New Roman"/>
        </w:rPr>
        <w:t xml:space="preserve"> (accessed 2 May 2022).</w:t>
      </w:r>
    </w:p>
  </w:footnote>
  <w:footnote w:id="57">
    <w:p w:rsidR="00F96166" w:rsidRDefault="00F96166">
      <w:pPr>
        <w:pStyle w:val="FootnoteText"/>
        <w:jc w:val="both"/>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cs="Times New Roman"/>
        </w:rPr>
        <w:t xml:space="preserve"> Opinion No. 47/2017 concerning Ahmad Ali </w:t>
      </w:r>
      <w:proofErr w:type="spellStart"/>
      <w:r>
        <w:rPr>
          <w:rFonts w:ascii="Times New Roman" w:hAnsi="Times New Roman" w:cs="Times New Roman"/>
        </w:rPr>
        <w:t>Mekkaoui</w:t>
      </w:r>
      <w:proofErr w:type="spellEnd"/>
      <w:r>
        <w:rPr>
          <w:rFonts w:ascii="Times New Roman" w:hAnsi="Times New Roman" w:cs="Times New Roman"/>
        </w:rPr>
        <w:t xml:space="preserve"> (United Arab Emirates)</w:t>
      </w:r>
      <w:r>
        <w:rPr>
          <w:rFonts w:ascii="Times New Roman" w:hAnsi="Times New Roman" w:cs="Times New Roman"/>
          <w:lang w:val="en-US"/>
        </w:rPr>
        <w:t xml:space="preserve">, </w:t>
      </w:r>
      <w:r>
        <w:rPr>
          <w:rFonts w:ascii="Times New Roman" w:hAnsi="Times New Roman" w:cs="Times New Roman"/>
          <w:i/>
          <w:iCs/>
          <w:lang w:val="en-US"/>
        </w:rPr>
        <w:t>op. cit.,</w:t>
      </w:r>
      <w:r>
        <w:rPr>
          <w:rFonts w:ascii="Times New Roman" w:hAnsi="Times New Roman" w:cs="Times New Roman"/>
          <w:lang w:val="en-US"/>
        </w:rPr>
        <w:t xml:space="preserve"> para. 29.</w:t>
      </w:r>
    </w:p>
  </w:footnote>
  <w:footnote w:id="58">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Articles 2 and 7, Federal Law No. 2 of 2003.</w:t>
      </w:r>
    </w:p>
  </w:footnote>
  <w:footnote w:id="59">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See Article 12(</w:t>
      </w:r>
      <w:proofErr w:type="spellStart"/>
      <w:r>
        <w:rPr>
          <w:rFonts w:ascii="Times New Roman" w:hAnsi="Times New Roman" w:cs="Times New Roman"/>
        </w:rPr>
        <w:t>bis</w:t>
      </w:r>
      <w:proofErr w:type="spellEnd"/>
      <w:r>
        <w:rPr>
          <w:rFonts w:ascii="Times New Roman" w:hAnsi="Times New Roman" w:cs="Times New Roman"/>
        </w:rPr>
        <w:t>) Federal Law No. 3 of 1983, as amended by Federal Law No. 11 of 2016.</w:t>
      </w:r>
    </w:p>
  </w:footnote>
  <w:footnote w:id="60">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Article 33(8) Federal Law No.10 Concerning the Federal Supreme Court.</w:t>
      </w:r>
    </w:p>
  </w:footnote>
  <w:footnote w:id="61">
    <w:p w:rsidR="00F96166" w:rsidRDefault="00F96166">
      <w:pPr>
        <w:pStyle w:val="FootnoteText"/>
        <w:jc w:val="both"/>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n-US"/>
        </w:rPr>
        <w:t xml:space="preserve">Opinion No. 21/2017 concerning Mohamad </w:t>
      </w:r>
      <w:proofErr w:type="spellStart"/>
      <w:r>
        <w:rPr>
          <w:rFonts w:ascii="Times New Roman" w:hAnsi="Times New Roman" w:cs="Times New Roman"/>
          <w:lang w:val="en-US"/>
        </w:rPr>
        <w:t>Ismat</w:t>
      </w:r>
      <w:proofErr w:type="spellEnd"/>
      <w:r>
        <w:rPr>
          <w:rFonts w:ascii="Times New Roman" w:hAnsi="Times New Roman" w:cs="Times New Roman"/>
          <w:lang w:val="en-US"/>
        </w:rPr>
        <w:t xml:space="preserve"> Mohamad Shaker </w:t>
      </w:r>
      <w:proofErr w:type="spellStart"/>
      <w:r>
        <w:rPr>
          <w:rFonts w:ascii="Times New Roman" w:hAnsi="Times New Roman" w:cs="Times New Roman"/>
          <w:lang w:val="en-US"/>
        </w:rPr>
        <w:t>Az</w:t>
      </w:r>
      <w:proofErr w:type="spellEnd"/>
      <w:r>
        <w:rPr>
          <w:rFonts w:ascii="Times New Roman" w:hAnsi="Times New Roman" w:cs="Times New Roman"/>
          <w:lang w:val="en-US"/>
        </w:rPr>
        <w:t xml:space="preserve"> (United Arab Emirates</w:t>
      </w:r>
      <w:r>
        <w:rPr>
          <w:rFonts w:ascii="Times New Roman" w:hAnsi="Times New Roman" w:cs="Times New Roman"/>
          <w:i/>
          <w:iCs/>
          <w:lang w:val="en-US"/>
        </w:rPr>
        <w:t>), op. cit.</w:t>
      </w:r>
      <w:r>
        <w:rPr>
          <w:rFonts w:ascii="Times New Roman" w:hAnsi="Times New Roman" w:cs="Times New Roman"/>
          <w:lang w:val="en-US"/>
        </w:rPr>
        <w:t>, para. 52.</w:t>
      </w:r>
    </w:p>
  </w:footnote>
  <w:footnote w:id="62">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Article 7, Federal Law No.10 Concerning the Federal Supreme Court and article 96 of the Emirati constitution.</w:t>
      </w:r>
    </w:p>
  </w:footnote>
  <w:footnote w:id="63">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2014 Report of the Special Rapporteur on the independence of judges and lawyers, </w:t>
      </w:r>
      <w:r>
        <w:rPr>
          <w:rFonts w:ascii="Times New Roman" w:hAnsi="Times New Roman" w:cs="Times New Roman"/>
          <w:i/>
          <w:iCs/>
        </w:rPr>
        <w:t>op. cit.</w:t>
      </w:r>
      <w:r>
        <w:rPr>
          <w:rFonts w:ascii="Times New Roman" w:hAnsi="Times New Roman" w:cs="Times New Roman"/>
        </w:rPr>
        <w:t>, para. 71.</w:t>
      </w:r>
    </w:p>
  </w:footnote>
  <w:footnote w:id="64">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2014 Report of the Special Rapporteur on the independence of judges and lawyers, </w:t>
      </w:r>
      <w:r>
        <w:rPr>
          <w:rFonts w:ascii="Times New Roman" w:hAnsi="Times New Roman" w:cs="Times New Roman"/>
          <w:i/>
          <w:iCs/>
        </w:rPr>
        <w:t>op. cit.</w:t>
      </w:r>
      <w:r>
        <w:rPr>
          <w:rFonts w:ascii="Times New Roman" w:hAnsi="Times New Roman" w:cs="Times New Roman"/>
        </w:rPr>
        <w:t>, para. 6.</w:t>
      </w:r>
    </w:p>
  </w:footnote>
  <w:footnote w:id="65">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2014 Report of the Special Rapporteur on the independence of judges and lawyers, </w:t>
      </w:r>
      <w:r>
        <w:rPr>
          <w:rFonts w:ascii="Times New Roman" w:hAnsi="Times New Roman" w:cs="Times New Roman"/>
          <w:i/>
          <w:iCs/>
        </w:rPr>
        <w:t>op. cit.</w:t>
      </w:r>
      <w:r>
        <w:rPr>
          <w:rFonts w:ascii="Times New Roman" w:hAnsi="Times New Roman" w:cs="Times New Roman"/>
        </w:rPr>
        <w:t>, para. 33.</w:t>
      </w:r>
    </w:p>
  </w:footnote>
  <w:footnote w:id="66">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2014 Report of the Special Rapporteur on the independence of judges and lawyers, </w:t>
      </w:r>
      <w:r>
        <w:rPr>
          <w:rFonts w:ascii="Times New Roman" w:hAnsi="Times New Roman" w:cs="Times New Roman"/>
          <w:i/>
          <w:iCs/>
        </w:rPr>
        <w:t>op. cit.</w:t>
      </w:r>
      <w:r>
        <w:rPr>
          <w:rFonts w:ascii="Times New Roman" w:hAnsi="Times New Roman" w:cs="Times New Roman"/>
        </w:rPr>
        <w:t>, paras. 42-43.</w:t>
      </w:r>
    </w:p>
  </w:footnote>
  <w:footnote w:id="67">
    <w:p w:rsidR="00F96166" w:rsidRDefault="00F96166">
      <w:pPr>
        <w:pStyle w:val="FootnoteText"/>
        <w:jc w:val="both"/>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n-US"/>
        </w:rPr>
        <w:t xml:space="preserve">Opinion No. 76/2017 concerning Nasser Bin </w:t>
      </w:r>
      <w:proofErr w:type="spellStart"/>
      <w:r>
        <w:rPr>
          <w:rFonts w:ascii="Times New Roman" w:hAnsi="Times New Roman" w:cs="Times New Roman"/>
          <w:lang w:val="en-US"/>
        </w:rPr>
        <w:t>Ghaith</w:t>
      </w:r>
      <w:proofErr w:type="spellEnd"/>
      <w:r>
        <w:rPr>
          <w:rFonts w:ascii="Times New Roman" w:hAnsi="Times New Roman" w:cs="Times New Roman"/>
          <w:lang w:val="en-US"/>
        </w:rPr>
        <w:t xml:space="preserve"> (United Arab Emirates), </w:t>
      </w:r>
      <w:r>
        <w:rPr>
          <w:rFonts w:ascii="Times New Roman" w:hAnsi="Times New Roman" w:cs="Times New Roman"/>
          <w:i/>
          <w:iCs/>
          <w:lang w:val="en-US"/>
        </w:rPr>
        <w:t>op. cit</w:t>
      </w:r>
      <w:r>
        <w:rPr>
          <w:rFonts w:ascii="Times New Roman" w:hAnsi="Times New Roman" w:cs="Times New Roman"/>
          <w:lang w:val="en-US"/>
        </w:rPr>
        <w:t>., para. 79.</w:t>
      </w:r>
    </w:p>
  </w:footnote>
  <w:footnote w:id="68">
    <w:p w:rsidR="00F96166" w:rsidRDefault="00F96166">
      <w:pPr>
        <w:pStyle w:val="FootnoteText"/>
        <w:jc w:val="both"/>
      </w:pPr>
      <w:r>
        <w:rPr>
          <w:rStyle w:val="FootnoteReference"/>
          <w:rFonts w:ascii="Times New Roman" w:hAnsi="Times New Roman" w:cs="Times New Roman"/>
        </w:rPr>
        <w:footnoteRef/>
      </w:r>
      <w:r>
        <w:rPr>
          <w:rFonts w:ascii="Times New Roman" w:hAnsi="Times New Roman" w:cs="Times New Roman"/>
        </w:rPr>
        <w:t xml:space="preserve"> Working Group on Arbitrary Detention, Opinion No. 28/2019 concerning Abdallah Sami </w:t>
      </w:r>
      <w:proofErr w:type="spellStart"/>
      <w:r>
        <w:rPr>
          <w:rFonts w:ascii="Times New Roman" w:hAnsi="Times New Roman" w:cs="Times New Roman"/>
        </w:rPr>
        <w:t>Abedalafou</w:t>
      </w:r>
      <w:proofErr w:type="spellEnd"/>
      <w:r>
        <w:rPr>
          <w:rFonts w:ascii="Times New Roman" w:hAnsi="Times New Roman" w:cs="Times New Roman"/>
        </w:rPr>
        <w:t xml:space="preserve"> Abu Baker and Yasser Sami </w:t>
      </w:r>
      <w:proofErr w:type="spellStart"/>
      <w:r>
        <w:rPr>
          <w:rFonts w:ascii="Times New Roman" w:hAnsi="Times New Roman" w:cs="Times New Roman"/>
        </w:rPr>
        <w:t>Abedalafou</w:t>
      </w:r>
      <w:proofErr w:type="spellEnd"/>
      <w:r>
        <w:rPr>
          <w:rFonts w:ascii="Times New Roman" w:hAnsi="Times New Roman" w:cs="Times New Roman"/>
        </w:rPr>
        <w:t xml:space="preserve"> Abu Baker (United Arab Emirates)</w:t>
      </w:r>
      <w:r>
        <w:rPr>
          <w:rFonts w:ascii="Times New Roman" w:hAnsi="Times New Roman" w:cs="Times New Roman"/>
          <w:lang w:val="en-US"/>
        </w:rPr>
        <w:t xml:space="preserve">, 3 May 2019, UN Doc. A/HRC/WGAD/2019/28, </w:t>
      </w:r>
      <w:hyperlink r:id="rId26" w:tooltip="https://www.ohchr.org/sites/default/files/Documents/Issues/Detention/Opinions/Session84/A_HRC_WGAD_2019_28_AdvanceEditedVersion.pdf" w:history="1">
        <w:r>
          <w:rPr>
            <w:rStyle w:val="Hyperlink"/>
            <w:rFonts w:ascii="Times New Roman" w:hAnsi="Times New Roman" w:cs="Times New Roman"/>
            <w:lang w:val="en-US"/>
          </w:rPr>
          <w:t>https://www.ohchr.org/sites/default/files/Documents/Issues/Detention/Opinions/Session84/A_HRC_WGAD_2019_28_AdvanceEditedVersion.pdf</w:t>
        </w:r>
      </w:hyperlink>
      <w:r>
        <w:rPr>
          <w:rFonts w:ascii="Times New Roman" w:hAnsi="Times New Roman" w:cs="Times New Roman"/>
          <w:lang w:val="en-US"/>
        </w:rPr>
        <w:t xml:space="preserve"> (accessed 19 May 2022), para. 68.</w:t>
      </w:r>
    </w:p>
  </w:footnote>
  <w:footnote w:id="69">
    <w:p w:rsidR="00F96166" w:rsidRDefault="00F96166">
      <w:pPr>
        <w:pStyle w:val="FootnoteText"/>
      </w:pPr>
      <w:r>
        <w:rPr>
          <w:rStyle w:val="FootnoteReference"/>
        </w:rPr>
        <w:footnoteRef/>
      </w:r>
      <w:r>
        <w:t xml:space="preserve"> </w:t>
      </w:r>
      <w:r>
        <w:rPr>
          <w:rFonts w:ascii="Times New Roman" w:hAnsi="Times New Roman" w:cs="Times New Roman"/>
        </w:rPr>
        <w:t xml:space="preserve">2014 Report of the Special Rapporteur on the independence of judges and lawyers, </w:t>
      </w:r>
      <w:r>
        <w:rPr>
          <w:rFonts w:ascii="Times New Roman" w:hAnsi="Times New Roman" w:cs="Times New Roman"/>
          <w:i/>
          <w:iCs/>
        </w:rPr>
        <w:t>op. cit.</w:t>
      </w:r>
      <w:r>
        <w:rPr>
          <w:rFonts w:ascii="Times New Roman" w:hAnsi="Times New Roman" w:cs="Times New Roman"/>
        </w:rPr>
        <w:t>, para. 29.</w:t>
      </w:r>
    </w:p>
  </w:footnote>
  <w:footnote w:id="70">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Mandates of the Special Rapporteur on the promotion and protection of human rights and fundamental freedoms while countering terrorism; the Working Group on Arbitrary Detention; the Special Rapporteur on the promotion and protection of the right to freedom of opinion and expression; the Special Rapporteur on the rights to freedom of peaceful assembly and of association; and the Special Rapporteur on the situation of human rights defenders, </w:t>
      </w:r>
      <w:r>
        <w:rPr>
          <w:rFonts w:ascii="Times New Roman" w:hAnsi="Times New Roman" w:cs="Times New Roman"/>
          <w:i/>
          <w:iCs/>
        </w:rPr>
        <w:t>Comments and suggestions on the 2014 Law No. 7 On Combatting Terrorism Offences (Law 7) which abrogated Federal Decree-Law no. 1/2004</w:t>
      </w:r>
      <w:r>
        <w:rPr>
          <w:rFonts w:ascii="Times New Roman" w:hAnsi="Times New Roman" w:cs="Times New Roman"/>
        </w:rPr>
        <w:t xml:space="preserve">, 13 November 2020, UN Doc. OL_ARE_6/2020, </w:t>
      </w:r>
      <w:hyperlink r:id="rId27" w:tooltip="https://spcommreports.ohchr.org/TMResultsBase/DownLoadPublicCommunicationFile?gId=25663" w:history="1">
        <w:r>
          <w:rPr>
            <w:rStyle w:val="Hyperlink"/>
            <w:rFonts w:ascii="Times New Roman" w:hAnsi="Times New Roman" w:cs="Times New Roman"/>
          </w:rPr>
          <w:t>https://spcommreports.ohchr.org/TMResultsBase/DownLoadPublicCommunicationFile?gId=25663</w:t>
        </w:r>
      </w:hyperlink>
      <w:r>
        <w:rPr>
          <w:rFonts w:ascii="Times New Roman" w:hAnsi="Times New Roman" w:cs="Times New Roman"/>
        </w:rPr>
        <w:t xml:space="preserve"> (accessed 20 April 2022) (hereinafter “Comments and suggestions on the 2014 Law No. 7 On Combatting Terrorism Offences”), p. 1.</w:t>
      </w:r>
    </w:p>
  </w:footnote>
  <w:footnote w:id="71">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Comments and suggestions on the 2014 Law No. 7 On Combatting Terrorism Offences (Law 7) which abrogated Federal Decree-Law no. 1/2004, </w:t>
      </w:r>
      <w:r>
        <w:rPr>
          <w:rFonts w:ascii="Times New Roman" w:hAnsi="Times New Roman" w:cs="Times New Roman"/>
          <w:i/>
          <w:iCs/>
        </w:rPr>
        <w:t xml:space="preserve">op. cit., </w:t>
      </w:r>
      <w:r>
        <w:rPr>
          <w:rFonts w:ascii="Times New Roman" w:hAnsi="Times New Roman" w:cs="Times New Roman"/>
        </w:rPr>
        <w:t>p. 4.</w:t>
      </w:r>
    </w:p>
  </w:footnote>
  <w:footnote w:id="72">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“United Nations High Commissioner for Human Rights, Report on best practices and lessons learned on how protecting and promoting human rights contribute to preventing and countering violent extremism”, A/HRC/33/29, 21 July 2016, para. 61.</w:t>
      </w:r>
    </w:p>
  </w:footnote>
  <w:footnote w:id="73">
    <w:p w:rsidR="00F96166" w:rsidRDefault="00F96166">
      <w:pPr>
        <w:pStyle w:val="FootnoteText"/>
        <w:jc w:val="both"/>
      </w:pPr>
      <w:r>
        <w:rPr>
          <w:rStyle w:val="FootnoteReference"/>
          <w:rFonts w:ascii="Times New Roman" w:hAnsi="Times New Roman" w:cs="Times New Roman"/>
        </w:rPr>
        <w:footnoteRef/>
      </w:r>
      <w:r>
        <w:rPr>
          <w:rFonts w:ascii="Times New Roman" w:hAnsi="Times New Roman" w:cs="Times New Roman"/>
        </w:rPr>
        <w:t xml:space="preserve"> Article 1 of the Counter-Terrorism Law defines a terrorist organisation as a “group formed of two or more persons, which acquires legal personality ipso jure or which is created ipso facto, that commits a terrorist act, directly participates in, threatens of, aims at, plans, seeks, promotes or aids the commission of such act regardless of the name, form, place of establishment, location, nationality or place of existence of its members.”</w:t>
      </w:r>
    </w:p>
  </w:footnote>
  <w:footnote w:id="74">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Article 21 of the Counter-Terrorism Law states: “Capital punishment or life imprisonment shall be imposed on whoever established, incorporates, organises, manages or undertakes to lead a terrorist organisation”.</w:t>
      </w:r>
    </w:p>
  </w:footnote>
  <w:footnote w:id="75">
    <w:p w:rsidR="00F96166" w:rsidRDefault="00F96166">
      <w:pPr>
        <w:pStyle w:val="FootnoteText"/>
        <w:jc w:val="both"/>
      </w:pPr>
      <w:r>
        <w:rPr>
          <w:rStyle w:val="FootnoteReference"/>
          <w:rFonts w:ascii="Times New Roman" w:hAnsi="Times New Roman" w:cs="Times New Roman"/>
        </w:rPr>
        <w:footnoteRef/>
      </w:r>
      <w:r>
        <w:rPr>
          <w:rFonts w:ascii="Times New Roman" w:hAnsi="Times New Roman" w:cs="Times New Roman"/>
        </w:rPr>
        <w:t xml:space="preserve"> Article 22 of the Counter-Terrorism Law states: “Life imprisonment or temporary imprisonment shall be imposed on whoever seeks to join a terrorist organisation or participate in its activities in any way whatsoever although aware of its truth and purpose.”</w:t>
      </w:r>
    </w:p>
  </w:footnote>
  <w:footnote w:id="76">
    <w:p w:rsidR="00F96166" w:rsidRDefault="00F96166">
      <w:pPr>
        <w:pStyle w:val="FootnoteText"/>
        <w:jc w:val="both"/>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n-US"/>
        </w:rPr>
        <w:t xml:space="preserve">MENA Rights Group, </w:t>
      </w:r>
      <w:r>
        <w:rPr>
          <w:rFonts w:ascii="Times New Roman" w:hAnsi="Times New Roman" w:cs="Times New Roman"/>
          <w:i/>
          <w:iCs/>
          <w:lang w:val="en-US"/>
        </w:rPr>
        <w:t>Joint statement condemning the inclusion of four Emirati activists and members of the UAE 94 on the UAE terrorism list</w:t>
      </w:r>
      <w:r>
        <w:rPr>
          <w:rFonts w:ascii="Times New Roman" w:hAnsi="Times New Roman" w:cs="Times New Roman"/>
          <w:lang w:val="en-US"/>
        </w:rPr>
        <w:t xml:space="preserve">, 17 September 2021, </w:t>
      </w:r>
      <w:hyperlink r:id="rId28" w:tooltip="https://www.menarights.org/en/articles/joint-statement-condemning-inclusion-four-emirati-activists-and-members-uae-94-uae" w:history="1">
        <w:r>
          <w:rPr>
            <w:rStyle w:val="Hyperlink"/>
            <w:rFonts w:ascii="Times New Roman" w:hAnsi="Times New Roman" w:cs="Times New Roman"/>
            <w:lang w:val="en-US"/>
          </w:rPr>
          <w:t>https://www.menarights.org/en/articles/joint-statement-condemning-inclusion-four-emirati-activists-and-members-uae-94-uae</w:t>
        </w:r>
      </w:hyperlink>
      <w:r>
        <w:rPr>
          <w:rFonts w:ascii="Times New Roman" w:hAnsi="Times New Roman" w:cs="Times New Roman"/>
          <w:lang w:val="en-US"/>
        </w:rPr>
        <w:t xml:space="preserve"> (accessed 11 May 2022).</w:t>
      </w:r>
    </w:p>
  </w:footnote>
  <w:footnote w:id="77">
    <w:p w:rsidR="00F96166" w:rsidRDefault="00F96166">
      <w:pPr>
        <w:pStyle w:val="FootnoteText"/>
        <w:jc w:val="both"/>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n-US"/>
        </w:rPr>
        <w:t xml:space="preserve">Mandates of the Special Rapporteur on the situation of human rights defenders; the Working Group on Enforced or Involuntary Disappearances; the Special Rapporteur on the promotion and protection of the right to freedom of opinion and expression and the Special Rapporteur on the promotion and protection of human rights and fundamental freedoms while countering terrorism, </w:t>
      </w:r>
      <w:r>
        <w:rPr>
          <w:rFonts w:ascii="Times New Roman" w:hAnsi="Times New Roman" w:cs="Times New Roman"/>
          <w:i/>
          <w:iCs/>
          <w:lang w:val="en-US"/>
        </w:rPr>
        <w:t>Ref.: AL ARE 1/2022</w:t>
      </w:r>
      <w:r>
        <w:rPr>
          <w:rFonts w:ascii="Times New Roman" w:hAnsi="Times New Roman" w:cs="Times New Roman"/>
          <w:lang w:val="en-US"/>
        </w:rPr>
        <w:t xml:space="preserve">, 25 January 2022, </w:t>
      </w:r>
      <w:hyperlink r:id="rId29" w:tooltip="https://spcommreports.ohchr.org/TMResultsBase/DownLoadPublicCommunicationFile?gId=26978" w:history="1">
        <w:r>
          <w:rPr>
            <w:rStyle w:val="Hyperlink"/>
            <w:rFonts w:ascii="Times New Roman" w:hAnsi="Times New Roman" w:cs="Times New Roman"/>
            <w:lang w:val="en-US"/>
          </w:rPr>
          <w:t>https://spcommreports.ohchr.org/TMResultsBase/DownLoadPublicCommunicationFile?gId=26978</w:t>
        </w:r>
      </w:hyperlink>
      <w:r>
        <w:rPr>
          <w:rFonts w:ascii="Times New Roman" w:hAnsi="Times New Roman" w:cs="Times New Roman"/>
          <w:lang w:val="en-US"/>
        </w:rPr>
        <w:t xml:space="preserve"> (accessed 18 May 2022).</w:t>
      </w:r>
    </w:p>
  </w:footnote>
  <w:footnote w:id="78">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A copy of the law (in Arabic) is available here: </w:t>
      </w:r>
      <w:hyperlink r:id="rId30" w:anchor="Anchor14" w:tooltip="https://elaws.moj.gov.ae/UAE-MOJ_LC-Ar/00_%D8%A7%D8%B1%D9%87%D8%A7%D8%A8/UAE-LC-Ar_2019-09-04_00028_Markait.html?val=AL1&amp;Words=%D8%A7%D9%84%D9%85%D9%86%D8%A7%D8%B5%D8%AD%D8%A9#Anchor14" w:history="1">
        <w:r>
          <w:rPr>
            <w:rStyle w:val="Hyperlink"/>
            <w:rFonts w:ascii="Times New Roman" w:hAnsi="Times New Roman" w:cs="Times New Roman"/>
          </w:rPr>
          <w:t>https://elaws.moj.gov.ae/UAE-MOJ_LC-Ar/00_%D8%A7%D8%B1%D9%87%D8%A7%D8%A8/UAE-LC-Ar_2019-09-04_00028_Markait.html?val=AL1&amp;Words=%D8%A7%D9%84%D9%85%D9%86%D8%A7%D8%B5%D8%AD%D8%A9#Anchor14</w:t>
        </w:r>
      </w:hyperlink>
      <w:r>
        <w:rPr>
          <w:rFonts w:ascii="Times New Roman" w:hAnsi="Times New Roman" w:cs="Times New Roman"/>
        </w:rPr>
        <w:t xml:space="preserve"> (accessed on 9 May 2022).</w:t>
      </w:r>
    </w:p>
  </w:footnote>
  <w:footnote w:id="79">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Article 1 of the </w:t>
      </w:r>
      <w:proofErr w:type="spellStart"/>
      <w:r>
        <w:rPr>
          <w:rFonts w:ascii="Times New Roman" w:hAnsi="Times New Roman" w:cs="Times New Roman"/>
        </w:rPr>
        <w:t>Munasaha</w:t>
      </w:r>
      <w:proofErr w:type="spellEnd"/>
      <w:r>
        <w:rPr>
          <w:rFonts w:ascii="Times New Roman" w:hAnsi="Times New Roman" w:cs="Times New Roman"/>
        </w:rPr>
        <w:t xml:space="preserve"> Centre Law provides the following definitions:</w:t>
      </w:r>
    </w:p>
    <w:p w:rsidR="00F96166" w:rsidRDefault="00F96166">
      <w:pPr>
        <w:pStyle w:val="FootnoteText"/>
        <w:jc w:val="both"/>
        <w:rPr>
          <w:rFonts w:ascii="Times New Roman" w:hAnsi="Times New Roman" w:cs="Times New Roman"/>
        </w:rPr>
      </w:pPr>
      <w:r>
        <w:rPr>
          <w:rFonts w:ascii="Times New Roman" w:hAnsi="Times New Roman" w:cs="Times New Roman"/>
        </w:rPr>
        <w:t>Terrorist thought: “Beliefs derived from ideologies, values ​​or principles of terrorist groups.”</w:t>
      </w:r>
    </w:p>
    <w:p w:rsidR="00F96166" w:rsidRDefault="00F96166">
      <w:pPr>
        <w:pStyle w:val="FootnoteText"/>
        <w:jc w:val="both"/>
        <w:rPr>
          <w:rFonts w:ascii="Times New Roman" w:hAnsi="Times New Roman" w:cs="Times New Roman"/>
        </w:rPr>
      </w:pPr>
      <w:r>
        <w:rPr>
          <w:rFonts w:ascii="Times New Roman" w:hAnsi="Times New Roman" w:cs="Times New Roman"/>
        </w:rPr>
        <w:t>Extremist thought: “Beliefs derived from ideologies, values ​​or principles of extremist groups intellectually.”</w:t>
      </w:r>
    </w:p>
    <w:p w:rsidR="00F96166" w:rsidRDefault="00F96166">
      <w:pPr>
        <w:pStyle w:val="FootnoteText"/>
        <w:jc w:val="both"/>
        <w:rPr>
          <w:rFonts w:ascii="Times New Roman" w:hAnsi="Times New Roman" w:cs="Times New Roman"/>
        </w:rPr>
      </w:pPr>
      <w:r>
        <w:rPr>
          <w:rFonts w:ascii="Times New Roman" w:hAnsi="Times New Roman" w:cs="Times New Roman"/>
        </w:rPr>
        <w:t>Deviant thought:” beliefs that are incompatible with the values, principles, and attitudes of society.”</w:t>
      </w:r>
    </w:p>
  </w:footnote>
  <w:footnote w:id="80">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Article 40 (2) of the Counter-Terrorism Law and Article 8 of the </w:t>
      </w:r>
      <w:proofErr w:type="spellStart"/>
      <w:r>
        <w:rPr>
          <w:rFonts w:ascii="Times New Roman" w:hAnsi="Times New Roman" w:cs="Times New Roman"/>
        </w:rPr>
        <w:t>Munasaha</w:t>
      </w:r>
      <w:proofErr w:type="spellEnd"/>
      <w:r>
        <w:rPr>
          <w:rFonts w:ascii="Times New Roman" w:hAnsi="Times New Roman" w:cs="Times New Roman"/>
        </w:rPr>
        <w:t xml:space="preserve"> Centre Law.</w:t>
      </w:r>
    </w:p>
  </w:footnote>
  <w:footnote w:id="81">
    <w:p w:rsidR="00F96166" w:rsidRDefault="00F96166">
      <w:pPr>
        <w:pStyle w:val="FootnoteText"/>
        <w:jc w:val="both"/>
      </w:pPr>
      <w:r>
        <w:rPr>
          <w:rStyle w:val="FootnoteReference"/>
          <w:rFonts w:ascii="Times New Roman" w:hAnsi="Times New Roman" w:cs="Times New Roman"/>
        </w:rPr>
        <w:footnoteRef/>
      </w:r>
      <w:r>
        <w:rPr>
          <w:rFonts w:ascii="Times New Roman" w:hAnsi="Times New Roman" w:cs="Times New Roman"/>
        </w:rPr>
        <w:t xml:space="preserve"> Article 10 of the </w:t>
      </w:r>
      <w:proofErr w:type="spellStart"/>
      <w:r>
        <w:rPr>
          <w:rFonts w:ascii="Times New Roman" w:hAnsi="Times New Roman" w:cs="Times New Roman"/>
        </w:rPr>
        <w:t>Munasaha</w:t>
      </w:r>
      <w:proofErr w:type="spellEnd"/>
      <w:r>
        <w:rPr>
          <w:rFonts w:ascii="Times New Roman" w:hAnsi="Times New Roman" w:cs="Times New Roman"/>
        </w:rPr>
        <w:t xml:space="preserve"> Centre Law.</w:t>
      </w:r>
    </w:p>
  </w:footnote>
  <w:footnote w:id="82">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Article 40 (2) of the Counter-Terrorism Law and Article 8 of the </w:t>
      </w:r>
      <w:proofErr w:type="spellStart"/>
      <w:r>
        <w:rPr>
          <w:rFonts w:ascii="Times New Roman" w:hAnsi="Times New Roman" w:cs="Times New Roman"/>
        </w:rPr>
        <w:t>Munasaha</w:t>
      </w:r>
      <w:proofErr w:type="spellEnd"/>
      <w:r>
        <w:rPr>
          <w:rFonts w:ascii="Times New Roman" w:hAnsi="Times New Roman" w:cs="Times New Roman"/>
        </w:rPr>
        <w:t xml:space="preserve"> Centre Law.</w:t>
      </w:r>
    </w:p>
  </w:footnote>
  <w:footnote w:id="83">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These are </w:t>
      </w:r>
      <w:proofErr w:type="spellStart"/>
      <w:r>
        <w:rPr>
          <w:rFonts w:ascii="Times New Roman" w:hAnsi="Times New Roman" w:cs="Times New Roman"/>
        </w:rPr>
        <w:t>Mansoor</w:t>
      </w:r>
      <w:proofErr w:type="spellEnd"/>
      <w:r>
        <w:rPr>
          <w:rFonts w:ascii="Times New Roman" w:hAnsi="Times New Roman" w:cs="Times New Roman"/>
        </w:rPr>
        <w:t xml:space="preserve"> Hasan Al Ahmadi, </w:t>
      </w:r>
      <w:proofErr w:type="spellStart"/>
      <w:r>
        <w:rPr>
          <w:rFonts w:ascii="Times New Roman" w:hAnsi="Times New Roman" w:cs="Times New Roman"/>
        </w:rPr>
        <w:t>Omran</w:t>
      </w:r>
      <w:proofErr w:type="spellEnd"/>
      <w:r>
        <w:rPr>
          <w:rFonts w:ascii="Times New Roman" w:hAnsi="Times New Roman" w:cs="Times New Roman"/>
        </w:rPr>
        <w:t xml:space="preserve"> </w:t>
      </w:r>
      <w:proofErr w:type="spellStart"/>
      <w:r>
        <w:rPr>
          <w:rFonts w:ascii="Times New Roman" w:hAnsi="Times New Roman" w:cs="Times New Roman"/>
        </w:rPr>
        <w:t>Alradwan</w:t>
      </w:r>
      <w:proofErr w:type="spellEnd"/>
      <w:r>
        <w:rPr>
          <w:rFonts w:ascii="Times New Roman" w:hAnsi="Times New Roman" w:cs="Times New Roman"/>
        </w:rPr>
        <w:t xml:space="preserve"> </w:t>
      </w:r>
      <w:proofErr w:type="spellStart"/>
      <w:r>
        <w:rPr>
          <w:rFonts w:ascii="Times New Roman" w:hAnsi="Times New Roman" w:cs="Times New Roman"/>
        </w:rPr>
        <w:t>Alharathi</w:t>
      </w:r>
      <w:proofErr w:type="spellEnd"/>
      <w:r>
        <w:rPr>
          <w:rFonts w:ascii="Times New Roman" w:hAnsi="Times New Roman" w:cs="Times New Roman"/>
        </w:rPr>
        <w:t xml:space="preserve">, Mahmood Hasan </w:t>
      </w:r>
      <w:proofErr w:type="spellStart"/>
      <w:r>
        <w:rPr>
          <w:rFonts w:ascii="Times New Roman" w:hAnsi="Times New Roman" w:cs="Times New Roman"/>
        </w:rPr>
        <w:t>Alhosani</w:t>
      </w:r>
      <w:proofErr w:type="spellEnd"/>
      <w:r>
        <w:rPr>
          <w:rFonts w:ascii="Times New Roman" w:hAnsi="Times New Roman" w:cs="Times New Roman"/>
        </w:rPr>
        <w:t xml:space="preserve">, </w:t>
      </w:r>
      <w:proofErr w:type="spellStart"/>
      <w:r>
        <w:rPr>
          <w:rFonts w:ascii="Times New Roman" w:hAnsi="Times New Roman" w:cs="Times New Roman"/>
        </w:rPr>
        <w:t>Abdualla</w:t>
      </w:r>
      <w:proofErr w:type="spellEnd"/>
      <w:r>
        <w:rPr>
          <w:rFonts w:ascii="Times New Roman" w:hAnsi="Times New Roman" w:cs="Times New Roman"/>
        </w:rPr>
        <w:t xml:space="preserve"> </w:t>
      </w:r>
      <w:proofErr w:type="spellStart"/>
      <w:r>
        <w:rPr>
          <w:rFonts w:ascii="Times New Roman" w:hAnsi="Times New Roman" w:cs="Times New Roman"/>
        </w:rPr>
        <w:t>Abdulqader</w:t>
      </w:r>
      <w:proofErr w:type="spellEnd"/>
      <w:r>
        <w:rPr>
          <w:rFonts w:ascii="Times New Roman" w:hAnsi="Times New Roman" w:cs="Times New Roman"/>
        </w:rPr>
        <w:t xml:space="preserve"> </w:t>
      </w:r>
      <w:proofErr w:type="spellStart"/>
      <w:r>
        <w:rPr>
          <w:rFonts w:ascii="Times New Roman" w:hAnsi="Times New Roman" w:cs="Times New Roman"/>
        </w:rPr>
        <w:t>Alhajiri</w:t>
      </w:r>
      <w:proofErr w:type="spellEnd"/>
      <w:r>
        <w:rPr>
          <w:rFonts w:ascii="Times New Roman" w:hAnsi="Times New Roman" w:cs="Times New Roman"/>
        </w:rPr>
        <w:t xml:space="preserve">, Fahad </w:t>
      </w:r>
      <w:proofErr w:type="spellStart"/>
      <w:r>
        <w:rPr>
          <w:rFonts w:ascii="Times New Roman" w:hAnsi="Times New Roman" w:cs="Times New Roman"/>
        </w:rPr>
        <w:t>Abdulqader</w:t>
      </w:r>
      <w:proofErr w:type="spellEnd"/>
      <w:r>
        <w:rPr>
          <w:rFonts w:ascii="Times New Roman" w:hAnsi="Times New Roman" w:cs="Times New Roman"/>
        </w:rPr>
        <w:t xml:space="preserve"> </w:t>
      </w:r>
      <w:proofErr w:type="spellStart"/>
      <w:r>
        <w:rPr>
          <w:rFonts w:ascii="Times New Roman" w:hAnsi="Times New Roman" w:cs="Times New Roman"/>
        </w:rPr>
        <w:t>Alhajiri</w:t>
      </w:r>
      <w:proofErr w:type="spellEnd"/>
      <w:r>
        <w:rPr>
          <w:rFonts w:ascii="Times New Roman" w:hAnsi="Times New Roman" w:cs="Times New Roman"/>
        </w:rPr>
        <w:t xml:space="preserve">, </w:t>
      </w:r>
      <w:proofErr w:type="spellStart"/>
      <w:r>
        <w:rPr>
          <w:rFonts w:ascii="Times New Roman" w:hAnsi="Times New Roman" w:cs="Times New Roman"/>
        </w:rPr>
        <w:t>Abdullwahid</w:t>
      </w:r>
      <w:proofErr w:type="spellEnd"/>
      <w:r>
        <w:rPr>
          <w:rFonts w:ascii="Times New Roman" w:hAnsi="Times New Roman" w:cs="Times New Roman"/>
        </w:rPr>
        <w:t xml:space="preserve"> Hasan </w:t>
      </w:r>
      <w:proofErr w:type="spellStart"/>
      <w:r>
        <w:rPr>
          <w:rFonts w:ascii="Times New Roman" w:hAnsi="Times New Roman" w:cs="Times New Roman"/>
        </w:rPr>
        <w:t>Alshihi</w:t>
      </w:r>
      <w:proofErr w:type="spellEnd"/>
      <w:r>
        <w:rPr>
          <w:rFonts w:ascii="Times New Roman" w:hAnsi="Times New Roman" w:cs="Times New Roman"/>
        </w:rPr>
        <w:t xml:space="preserve">, Saeed Abdullah </w:t>
      </w:r>
      <w:proofErr w:type="spellStart"/>
      <w:r>
        <w:rPr>
          <w:rFonts w:ascii="Times New Roman" w:hAnsi="Times New Roman" w:cs="Times New Roman"/>
        </w:rPr>
        <w:t>Albrimi</w:t>
      </w:r>
      <w:proofErr w:type="spellEnd"/>
      <w:r>
        <w:rPr>
          <w:rFonts w:ascii="Times New Roman" w:hAnsi="Times New Roman" w:cs="Times New Roman"/>
        </w:rPr>
        <w:t xml:space="preserve">, Abdullah </w:t>
      </w:r>
      <w:proofErr w:type="spellStart"/>
      <w:r>
        <w:rPr>
          <w:rFonts w:ascii="Times New Roman" w:hAnsi="Times New Roman" w:cs="Times New Roman"/>
        </w:rPr>
        <w:t>Alhilo</w:t>
      </w:r>
      <w:proofErr w:type="spellEnd"/>
      <w:r>
        <w:rPr>
          <w:rFonts w:ascii="Times New Roman" w:hAnsi="Times New Roman" w:cs="Times New Roman"/>
        </w:rPr>
        <w:t xml:space="preserve">, Ahmed </w:t>
      </w:r>
      <w:proofErr w:type="spellStart"/>
      <w:r>
        <w:rPr>
          <w:rFonts w:ascii="Times New Roman" w:hAnsi="Times New Roman" w:cs="Times New Roman"/>
        </w:rPr>
        <w:t>Almulla</w:t>
      </w:r>
      <w:proofErr w:type="spellEnd"/>
      <w:r>
        <w:rPr>
          <w:rFonts w:ascii="Times New Roman" w:hAnsi="Times New Roman" w:cs="Times New Roman"/>
        </w:rPr>
        <w:t xml:space="preserve">, </w:t>
      </w:r>
      <w:proofErr w:type="spellStart"/>
      <w:r>
        <w:rPr>
          <w:rFonts w:ascii="Times New Roman" w:hAnsi="Times New Roman" w:cs="Times New Roman"/>
        </w:rPr>
        <w:t>Khalifa</w:t>
      </w:r>
      <w:proofErr w:type="spellEnd"/>
      <w:r>
        <w:rPr>
          <w:rFonts w:ascii="Times New Roman" w:hAnsi="Times New Roman" w:cs="Times New Roman"/>
        </w:rPr>
        <w:t xml:space="preserve"> </w:t>
      </w:r>
      <w:proofErr w:type="spellStart"/>
      <w:r>
        <w:rPr>
          <w:rFonts w:ascii="Times New Roman" w:hAnsi="Times New Roman" w:cs="Times New Roman"/>
        </w:rPr>
        <w:t>Rabia</w:t>
      </w:r>
      <w:proofErr w:type="spellEnd"/>
      <w:r>
        <w:rPr>
          <w:rFonts w:ascii="Times New Roman" w:hAnsi="Times New Roman" w:cs="Times New Roman"/>
        </w:rPr>
        <w:t xml:space="preserve">, and </w:t>
      </w:r>
      <w:proofErr w:type="spellStart"/>
      <w:r>
        <w:rPr>
          <w:rFonts w:ascii="Times New Roman" w:hAnsi="Times New Roman" w:cs="Times New Roman"/>
        </w:rPr>
        <w:t>Fisal</w:t>
      </w:r>
      <w:proofErr w:type="spellEnd"/>
      <w:r>
        <w:rPr>
          <w:rFonts w:ascii="Times New Roman" w:hAnsi="Times New Roman" w:cs="Times New Roman"/>
        </w:rPr>
        <w:t xml:space="preserve"> Ali Al Shih. See MENA Rights Group, </w:t>
      </w:r>
      <w:r>
        <w:rPr>
          <w:rFonts w:ascii="Times New Roman" w:hAnsi="Times New Roman" w:cs="Times New Roman"/>
          <w:i/>
          <w:iCs/>
        </w:rPr>
        <w:t xml:space="preserve">The use of </w:t>
      </w:r>
      <w:proofErr w:type="spellStart"/>
      <w:r>
        <w:rPr>
          <w:rFonts w:ascii="Times New Roman" w:hAnsi="Times New Roman" w:cs="Times New Roman"/>
          <w:i/>
          <w:iCs/>
        </w:rPr>
        <w:t>Munasaha</w:t>
      </w:r>
      <w:proofErr w:type="spellEnd"/>
      <w:r>
        <w:rPr>
          <w:rFonts w:ascii="Times New Roman" w:hAnsi="Times New Roman" w:cs="Times New Roman"/>
          <w:i/>
          <w:iCs/>
        </w:rPr>
        <w:t xml:space="preserve"> “rehabilitation” centres in the United Arab Emirates</w:t>
      </w:r>
      <w:r>
        <w:rPr>
          <w:rFonts w:ascii="Times New Roman" w:hAnsi="Times New Roman" w:cs="Times New Roman"/>
        </w:rPr>
        <w:t xml:space="preserve">, 16 June 2020, </w:t>
      </w:r>
      <w:hyperlink r:id="rId31" w:tooltip="https://www.menarights.org/en/documents/use-munasaha-rehabilitation-centres-united-arab-emirates" w:history="1">
        <w:r>
          <w:rPr>
            <w:rStyle w:val="Hyperlink"/>
            <w:rFonts w:ascii="Times New Roman" w:hAnsi="Times New Roman" w:cs="Times New Roman"/>
          </w:rPr>
          <w:t>https://www.menarights.org/en/documents/use-munasaha-rehabilitation-centres-united-arab-emirates</w:t>
        </w:r>
      </w:hyperlink>
      <w:r>
        <w:rPr>
          <w:rFonts w:ascii="Times New Roman" w:hAnsi="Times New Roman" w:cs="Times New Roman"/>
        </w:rPr>
        <w:t xml:space="preserve"> (accessed 9 May 2022). </w:t>
      </w:r>
    </w:p>
  </w:footnote>
  <w:footnote w:id="84">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Similar cases have also been documented by other human rights organisations. See Human Rights Watch, UAE: Prisoners Held After Sentences Served, 9 July 2019, </w:t>
      </w:r>
      <w:hyperlink r:id="rId32" w:tooltip="https://www.hrw.org/news/2019/07/09/uae-prisoners-held-after-sentences-served" w:history="1">
        <w:r>
          <w:rPr>
            <w:rStyle w:val="Hyperlink"/>
            <w:rFonts w:ascii="Times New Roman" w:hAnsi="Times New Roman" w:cs="Times New Roman"/>
          </w:rPr>
          <w:t>https://www.hrw.org/news/2019/07/09/uae-prisoners-held-after-sentences-served</w:t>
        </w:r>
      </w:hyperlink>
      <w:r>
        <w:rPr>
          <w:rFonts w:ascii="Times New Roman" w:hAnsi="Times New Roman" w:cs="Times New Roman"/>
        </w:rPr>
        <w:t xml:space="preserve">; International Campaign for Freedom in the United Arab Emirates, The Practice of Indefinite Detention in the UAE, 2021, </w:t>
      </w:r>
      <w:hyperlink r:id="rId33" w:tooltip="https://www.icfuae.org.uk/sites/default/files/Indefinite%20detention%20in%20the%20United%20Arab%20Emirates-Factsheet.pdf" w:history="1">
        <w:r>
          <w:rPr>
            <w:rStyle w:val="Hyperlink"/>
            <w:rFonts w:ascii="Times New Roman" w:hAnsi="Times New Roman" w:cs="Times New Roman"/>
          </w:rPr>
          <w:t>https://www.icfuae.org.uk/sites/default/files/Indefinite%20detention%20in%20the%20United%20Arab%20Emirates-Factsheet.pdf</w:t>
        </w:r>
      </w:hyperlink>
      <w:r>
        <w:rPr>
          <w:rFonts w:ascii="Times New Roman" w:hAnsi="Times New Roman" w:cs="Times New Roman"/>
        </w:rPr>
        <w:t xml:space="preserve"> (all links accessed on 9 May 2022).</w:t>
      </w:r>
    </w:p>
  </w:footnote>
  <w:footnote w:id="85">
    <w:p w:rsidR="00F96166" w:rsidRDefault="00F96166">
      <w:pPr>
        <w:pStyle w:val="FootnoteText"/>
        <w:jc w:val="both"/>
      </w:pPr>
      <w:r>
        <w:rPr>
          <w:rStyle w:val="FootnoteReference"/>
          <w:rFonts w:ascii="Times New Roman" w:hAnsi="Times New Roman" w:cs="Times New Roman"/>
        </w:rPr>
        <w:footnoteRef/>
      </w:r>
      <w:r>
        <w:rPr>
          <w:rFonts w:ascii="Times New Roman" w:hAnsi="Times New Roman" w:cs="Times New Roman"/>
        </w:rPr>
        <w:t xml:space="preserve"> The use of </w:t>
      </w:r>
      <w:proofErr w:type="spellStart"/>
      <w:r>
        <w:rPr>
          <w:rFonts w:ascii="Times New Roman" w:hAnsi="Times New Roman" w:cs="Times New Roman"/>
        </w:rPr>
        <w:t>Munasaha</w:t>
      </w:r>
      <w:proofErr w:type="spellEnd"/>
      <w:r>
        <w:rPr>
          <w:rFonts w:ascii="Times New Roman" w:hAnsi="Times New Roman" w:cs="Times New Roman"/>
        </w:rPr>
        <w:t xml:space="preserve"> “rehabilitation” centres in the United Arab Emirates, </w:t>
      </w:r>
      <w:r>
        <w:rPr>
          <w:rFonts w:ascii="Times New Roman" w:hAnsi="Times New Roman" w:cs="Times New Roman"/>
          <w:i/>
          <w:iCs/>
        </w:rPr>
        <w:t>op. cit.</w:t>
      </w:r>
    </w:p>
  </w:footnote>
  <w:footnote w:id="86">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Comments and suggestions on the 2014 Law No. 7 On Combatting Terrorism Offences (Law 7) which abrogated Federal Decree-Law no. 1/2004, </w:t>
      </w:r>
      <w:r>
        <w:rPr>
          <w:rFonts w:ascii="Times New Roman" w:hAnsi="Times New Roman" w:cs="Times New Roman"/>
          <w:i/>
          <w:iCs/>
        </w:rPr>
        <w:t xml:space="preserve">op. cit., </w:t>
      </w:r>
      <w:r>
        <w:rPr>
          <w:rFonts w:ascii="Times New Roman" w:hAnsi="Times New Roman" w:cs="Times New Roman"/>
        </w:rPr>
        <w:t>p. 15.</w:t>
      </w:r>
    </w:p>
  </w:footnote>
  <w:footnote w:id="87">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International centre for justice and human rights, </w:t>
      </w:r>
      <w:r>
        <w:rPr>
          <w:rFonts w:ascii="Times New Roman" w:hAnsi="Times New Roman" w:cs="Times New Roman"/>
          <w:i/>
          <w:iCs/>
        </w:rPr>
        <w:t>UAE: Three Detainees Granted Presidential Pardon After Forced Self-Incriminating Statements</w:t>
      </w:r>
      <w:r>
        <w:rPr>
          <w:rFonts w:ascii="Times New Roman" w:hAnsi="Times New Roman" w:cs="Times New Roman"/>
        </w:rPr>
        <w:t xml:space="preserve">, 12 August 2019, </w:t>
      </w:r>
      <w:hyperlink r:id="rId34" w:tooltip="https://icjhr.org/press-releases/uae-three-detainees-granted-presidential-pardon-after-forced-self-incriminating-statements/" w:history="1">
        <w:r>
          <w:rPr>
            <w:rStyle w:val="Hyperlink"/>
            <w:rFonts w:ascii="Times New Roman" w:hAnsi="Times New Roman" w:cs="Times New Roman"/>
          </w:rPr>
          <w:t>https://icjhr.org/press-releases/uae-three-detainees-granted-presidential-pardon-after-forced-self-incriminating-statements/</w:t>
        </w:r>
      </w:hyperlink>
      <w:r>
        <w:rPr>
          <w:rFonts w:ascii="Times New Roman" w:hAnsi="Times New Roman" w:cs="Times New Roman"/>
        </w:rPr>
        <w:t xml:space="preserve"> (accessed 9 May 2022).</w:t>
      </w:r>
    </w:p>
  </w:footnote>
  <w:footnote w:id="88">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2014 Report of the Special Rapporteur on the independence of judges and lawyers, </w:t>
      </w:r>
      <w:r>
        <w:rPr>
          <w:rFonts w:ascii="Times New Roman" w:hAnsi="Times New Roman" w:cs="Times New Roman"/>
          <w:i/>
          <w:iCs/>
        </w:rPr>
        <w:t>op. cit.</w:t>
      </w:r>
      <w:r>
        <w:rPr>
          <w:rFonts w:ascii="Times New Roman" w:hAnsi="Times New Roman" w:cs="Times New Roman"/>
        </w:rPr>
        <w:t>, para. 52.</w:t>
      </w:r>
    </w:p>
  </w:footnote>
  <w:footnote w:id="89">
    <w:p w:rsidR="00F96166" w:rsidRDefault="00F96166">
      <w:pPr>
        <w:pStyle w:val="FootnoteText"/>
        <w:jc w:val="both"/>
        <w:rPr>
          <w:rFonts w:ascii="Times New Roman" w:hAnsi="Times New Roman" w:cs="Times New Roman"/>
          <w:i/>
          <w:iCs/>
        </w:rPr>
      </w:pPr>
      <w:r>
        <w:rPr>
          <w:rStyle w:val="FootnoteReference"/>
          <w:rFonts w:ascii="Times New Roman" w:hAnsi="Times New Roman" w:cs="Times New Roman"/>
        </w:rPr>
        <w:footnoteRef/>
      </w:r>
      <w:r>
        <w:rPr>
          <w:rFonts w:ascii="Times New Roman" w:hAnsi="Times New Roman" w:cs="Times New Roman"/>
        </w:rPr>
        <w:t xml:space="preserve"> Emirates Detainees Advocacy Centre, </w:t>
      </w:r>
      <w:r>
        <w:rPr>
          <w:rFonts w:ascii="Times New Roman" w:hAnsi="Times New Roman" w:cs="Times New Roman"/>
          <w:i/>
          <w:iCs/>
        </w:rPr>
        <w:t>Torture methods in UAE prisons</w:t>
      </w:r>
      <w:r>
        <w:rPr>
          <w:rFonts w:ascii="Times New Roman" w:hAnsi="Times New Roman" w:cs="Times New Roman"/>
        </w:rPr>
        <w:t xml:space="preserve">, 6 July 2021, </w:t>
      </w:r>
      <w:hyperlink r:id="rId35" w:tooltip="https://en.edacrights.com/Report/SDetails/111" w:history="1">
        <w:r>
          <w:rPr>
            <w:rStyle w:val="Hyperlink"/>
            <w:rFonts w:ascii="Times New Roman" w:hAnsi="Times New Roman" w:cs="Times New Roman"/>
          </w:rPr>
          <w:t>https://en.edacrights.com/Report/SDetails/111</w:t>
        </w:r>
      </w:hyperlink>
      <w:r>
        <w:rPr>
          <w:rFonts w:ascii="Times New Roman" w:hAnsi="Times New Roman" w:cs="Times New Roman"/>
        </w:rPr>
        <w:t xml:space="preserve"> (accessed 6 May 2022).</w:t>
      </w:r>
    </w:p>
  </w:footnote>
  <w:footnote w:id="90">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UN Office of the High Commissioner for Human Rights, </w:t>
      </w:r>
      <w:r>
        <w:rPr>
          <w:rFonts w:ascii="Times New Roman" w:hAnsi="Times New Roman" w:cs="Times New Roman"/>
          <w:i/>
          <w:iCs/>
        </w:rPr>
        <w:t xml:space="preserve">UAE: UN experts call for the immediate release of jailed human rights defender Ahmed </w:t>
      </w:r>
      <w:proofErr w:type="spellStart"/>
      <w:r>
        <w:rPr>
          <w:rFonts w:ascii="Times New Roman" w:hAnsi="Times New Roman" w:cs="Times New Roman"/>
          <w:i/>
          <w:iCs/>
        </w:rPr>
        <w:t>Mansoor</w:t>
      </w:r>
      <w:proofErr w:type="spellEnd"/>
      <w:r>
        <w:rPr>
          <w:rFonts w:ascii="Times New Roman" w:hAnsi="Times New Roman" w:cs="Times New Roman"/>
        </w:rPr>
        <w:t xml:space="preserve">, 12 June 2018, </w:t>
      </w:r>
      <w:hyperlink r:id="rId36" w:tooltip="https://www.ohchr.org/en/NewsEvents/Pages/DisplayNews.aspx?NewsID=23195&amp;LangID=E" w:history="1">
        <w:r>
          <w:rPr>
            <w:rStyle w:val="Hyperlink"/>
            <w:rFonts w:ascii="Times New Roman" w:hAnsi="Times New Roman" w:cs="Times New Roman"/>
          </w:rPr>
          <w:t>https://www.ohchr.org/en/NewsEvents/Pages/DisplayNews.aspx?NewsID=23195&amp;LangID=E</w:t>
        </w:r>
      </w:hyperlink>
      <w:r>
        <w:rPr>
          <w:rFonts w:ascii="Times New Roman" w:hAnsi="Times New Roman" w:cs="Times New Roman"/>
        </w:rPr>
        <w:t xml:space="preserve"> (accessed 22 February 2022); Gulf Centre for Human Rights, </w:t>
      </w:r>
      <w:r>
        <w:rPr>
          <w:rFonts w:ascii="Times New Roman" w:hAnsi="Times New Roman" w:cs="Times New Roman"/>
          <w:i/>
          <w:iCs/>
        </w:rPr>
        <w:t>Patterns of Torture in the United Arab Emirates</w:t>
      </w:r>
      <w:r>
        <w:rPr>
          <w:rFonts w:ascii="Times New Roman" w:hAnsi="Times New Roman" w:cs="Times New Roman"/>
        </w:rPr>
        <w:t xml:space="preserve">, February 2022, </w:t>
      </w:r>
      <w:hyperlink r:id="rId37" w:tooltip="https://www.gc4hr.org/report/download/156" w:history="1">
        <w:r>
          <w:rPr>
            <w:rStyle w:val="Hyperlink"/>
            <w:rFonts w:ascii="Times New Roman" w:hAnsi="Times New Roman" w:cs="Times New Roman"/>
          </w:rPr>
          <w:t>https://www.gc4hr.org/report/download/156</w:t>
        </w:r>
      </w:hyperlink>
      <w:r>
        <w:rPr>
          <w:rFonts w:ascii="Times New Roman" w:hAnsi="Times New Roman" w:cs="Times New Roman"/>
        </w:rPr>
        <w:t xml:space="preserve"> (accessed 22 February 2022), pp. 19-20; Gulf Centre for Human Rights, International Campaign for Freedom in the UAE, International Service for Human Rights, </w:t>
      </w:r>
      <w:proofErr w:type="spellStart"/>
      <w:r>
        <w:rPr>
          <w:rFonts w:ascii="Times New Roman" w:hAnsi="Times New Roman" w:cs="Times New Roman"/>
        </w:rPr>
        <w:t>L’Organisation</w:t>
      </w:r>
      <w:proofErr w:type="spellEnd"/>
      <w:r>
        <w:rPr>
          <w:rFonts w:ascii="Times New Roman" w:hAnsi="Times New Roman" w:cs="Times New Roman"/>
        </w:rPr>
        <w:t xml:space="preserve"> </w:t>
      </w:r>
      <w:proofErr w:type="spellStart"/>
      <w:r>
        <w:rPr>
          <w:rFonts w:ascii="Times New Roman" w:hAnsi="Times New Roman" w:cs="Times New Roman"/>
        </w:rPr>
        <w:t>mondiale</w:t>
      </w:r>
      <w:proofErr w:type="spellEnd"/>
      <w:r>
        <w:rPr>
          <w:rFonts w:ascii="Times New Roman" w:hAnsi="Times New Roman" w:cs="Times New Roman"/>
        </w:rPr>
        <w:t xml:space="preserve"> </w:t>
      </w:r>
      <w:proofErr w:type="spellStart"/>
      <w:r>
        <w:rPr>
          <w:rFonts w:ascii="Times New Roman" w:hAnsi="Times New Roman" w:cs="Times New Roman"/>
        </w:rPr>
        <w:t>contre</w:t>
      </w:r>
      <w:proofErr w:type="spellEnd"/>
      <w:r>
        <w:rPr>
          <w:rFonts w:ascii="Times New Roman" w:hAnsi="Times New Roman" w:cs="Times New Roman"/>
        </w:rPr>
        <w:t xml:space="preserve"> la torture SOS-torture Network, </w:t>
      </w:r>
      <w:r>
        <w:rPr>
          <w:rFonts w:ascii="Times New Roman" w:hAnsi="Times New Roman" w:cs="Times New Roman"/>
          <w:i/>
          <w:iCs/>
        </w:rPr>
        <w:t>Joint Submission on the United Arab Emirates to the 71</w:t>
      </w:r>
      <w:r>
        <w:rPr>
          <w:rFonts w:ascii="Times New Roman" w:hAnsi="Times New Roman" w:cs="Times New Roman"/>
          <w:i/>
          <w:iCs/>
          <w:vertAlign w:val="superscript"/>
        </w:rPr>
        <w:t>st</w:t>
      </w:r>
      <w:r>
        <w:rPr>
          <w:rFonts w:ascii="Times New Roman" w:hAnsi="Times New Roman" w:cs="Times New Roman"/>
          <w:i/>
          <w:iCs/>
        </w:rPr>
        <w:t xml:space="preserve"> session of the UN Committee against Torture</w:t>
      </w:r>
      <w:r>
        <w:rPr>
          <w:rFonts w:ascii="Times New Roman" w:hAnsi="Times New Roman" w:cs="Times New Roman"/>
        </w:rPr>
        <w:t xml:space="preserve">, 26 June 2020, </w:t>
      </w:r>
      <w:hyperlink r:id="rId38" w:tooltip="https://www.ishr.ch/sites/default/files/documents/uae_-_joint_ngo_submission_to_cat_-_26_june_2020_en_ff12.pdf" w:history="1">
        <w:r>
          <w:rPr>
            <w:rStyle w:val="Hyperlink"/>
            <w:rFonts w:ascii="Times New Roman" w:hAnsi="Times New Roman" w:cs="Times New Roman"/>
          </w:rPr>
          <w:t>https://www.ishr.ch/sites/default/files/documents/uae_-_joint_ngo_submission_to_cat_-_26_june_2020_en_ff12.pdf</w:t>
        </w:r>
      </w:hyperlink>
      <w:r>
        <w:rPr>
          <w:rFonts w:ascii="Times New Roman" w:hAnsi="Times New Roman" w:cs="Times New Roman"/>
        </w:rPr>
        <w:t xml:space="preserve"> (accessed 22 February 2022), pp. 5, 9, 11-14; UN Office of the High Commissioner for Human Rights, </w:t>
      </w:r>
      <w:r>
        <w:rPr>
          <w:rFonts w:ascii="Times New Roman" w:hAnsi="Times New Roman" w:cs="Times New Roman"/>
          <w:i/>
          <w:iCs/>
        </w:rPr>
        <w:t>UAE: UN experts condemn trial of foreign nationals based on forced confessions and call for their release</w:t>
      </w:r>
      <w:r>
        <w:rPr>
          <w:rFonts w:ascii="Times New Roman" w:hAnsi="Times New Roman" w:cs="Times New Roman"/>
        </w:rPr>
        <w:t xml:space="preserve">, 15 February 2016, </w:t>
      </w:r>
      <w:hyperlink r:id="rId39" w:tooltip="https://www.ohchr.org/en/NewsEvents/Pages/DisplayNews.aspx?NewsID=17043&amp;LangID=E" w:history="1">
        <w:r>
          <w:rPr>
            <w:rStyle w:val="Hyperlink"/>
            <w:rFonts w:ascii="Times New Roman" w:hAnsi="Times New Roman" w:cs="Times New Roman"/>
          </w:rPr>
          <w:t>https://www.ohchr.org/en/NewsEvents/Pages/DisplayNews.aspx?NewsID=17043&amp;LangID=E</w:t>
        </w:r>
      </w:hyperlink>
      <w:r>
        <w:rPr>
          <w:rFonts w:ascii="Times New Roman" w:hAnsi="Times New Roman" w:cs="Times New Roman"/>
        </w:rPr>
        <w:t xml:space="preserve"> (accessed  22 February 2022); MENA Rights Group, </w:t>
      </w:r>
      <w:r>
        <w:rPr>
          <w:rFonts w:ascii="Times New Roman" w:hAnsi="Times New Roman" w:cs="Times New Roman"/>
          <w:i/>
          <w:iCs/>
        </w:rPr>
        <w:t>United Arab Emirates: Jordanian activist sentenced to 10 years in prison for criticising corruption in his home country</w:t>
      </w:r>
      <w:r>
        <w:rPr>
          <w:rFonts w:ascii="Times New Roman" w:hAnsi="Times New Roman" w:cs="Times New Roman"/>
        </w:rPr>
        <w:t xml:space="preserve">, 9 February 2021, </w:t>
      </w:r>
      <w:hyperlink r:id="rId40" w:tooltip="https://menarights.org/en/caseprofile/united-arab-emirates-jordanian-activist-sentenced-10-years-prison-criticising" w:history="1">
        <w:r>
          <w:rPr>
            <w:rStyle w:val="Hyperlink"/>
            <w:rFonts w:ascii="Times New Roman" w:hAnsi="Times New Roman" w:cs="Times New Roman"/>
          </w:rPr>
          <w:t>https://menarights.org/en/caseprofile/united-arab-emirates-jordanian-activist-sentenced-10-years-prison-criticising</w:t>
        </w:r>
      </w:hyperlink>
      <w:r>
        <w:rPr>
          <w:rFonts w:ascii="Times New Roman" w:hAnsi="Times New Roman" w:cs="Times New Roman"/>
        </w:rPr>
        <w:t xml:space="preserve"> (accessed 22 February 2022); MENA Rights Group, “UAE authorities disappear and deport Baloch man to Pakistan where he faces torture,” </w:t>
      </w:r>
      <w:r>
        <w:rPr>
          <w:rFonts w:ascii="Times New Roman" w:hAnsi="Times New Roman" w:cs="Times New Roman"/>
          <w:i/>
          <w:iCs/>
        </w:rPr>
        <w:t>op. cit.</w:t>
      </w:r>
      <w:r>
        <w:rPr>
          <w:rFonts w:ascii="Times New Roman" w:hAnsi="Times New Roman" w:cs="Times New Roman"/>
        </w:rPr>
        <w:t xml:space="preserve">; MENA Rights Group, </w:t>
      </w:r>
      <w:r>
        <w:rPr>
          <w:rFonts w:ascii="Times New Roman" w:hAnsi="Times New Roman" w:cs="Times New Roman"/>
          <w:i/>
          <w:iCs/>
        </w:rPr>
        <w:t xml:space="preserve">UAE 94 detainee </w:t>
      </w:r>
      <w:proofErr w:type="spellStart"/>
      <w:r>
        <w:rPr>
          <w:rFonts w:ascii="Times New Roman" w:hAnsi="Times New Roman" w:cs="Times New Roman"/>
          <w:i/>
          <w:iCs/>
        </w:rPr>
        <w:t>Abdulsalam</w:t>
      </w:r>
      <w:proofErr w:type="spellEnd"/>
      <w:r>
        <w:rPr>
          <w:rFonts w:ascii="Times New Roman" w:hAnsi="Times New Roman" w:cs="Times New Roman"/>
          <w:i/>
          <w:iCs/>
        </w:rPr>
        <w:t xml:space="preserve"> Al </w:t>
      </w:r>
      <w:proofErr w:type="spellStart"/>
      <w:r>
        <w:rPr>
          <w:rFonts w:ascii="Times New Roman" w:hAnsi="Times New Roman" w:cs="Times New Roman"/>
          <w:i/>
          <w:iCs/>
        </w:rPr>
        <w:t>Marzooqi</w:t>
      </w:r>
      <w:proofErr w:type="spellEnd"/>
      <w:r>
        <w:rPr>
          <w:rFonts w:ascii="Times New Roman" w:hAnsi="Times New Roman" w:cs="Times New Roman"/>
          <w:i/>
          <w:iCs/>
        </w:rPr>
        <w:t xml:space="preserve"> held arbitrarily since 2012</w:t>
      </w:r>
      <w:r>
        <w:rPr>
          <w:rFonts w:ascii="Times New Roman" w:hAnsi="Times New Roman" w:cs="Times New Roman"/>
        </w:rPr>
        <w:t xml:space="preserve">, 2 June 2021, </w:t>
      </w:r>
      <w:hyperlink r:id="rId41" w:tooltip="https://menarights.org/en/caseprofile/uae94-detainee-abdulsalam-al-marzooqi-held-arbitrarily-2012" w:history="1">
        <w:r>
          <w:rPr>
            <w:rStyle w:val="Hyperlink"/>
            <w:rFonts w:ascii="Times New Roman" w:hAnsi="Times New Roman" w:cs="Times New Roman"/>
          </w:rPr>
          <w:t>https://menarights.org/en/caseprofile/uae94-detainee-abdulsalam-al-marzooqi-held-arbitrarily-2012</w:t>
        </w:r>
      </w:hyperlink>
      <w:r>
        <w:rPr>
          <w:rFonts w:ascii="Times New Roman" w:hAnsi="Times New Roman" w:cs="Times New Roman"/>
        </w:rPr>
        <w:t xml:space="preserve"> (accessed February 22, 2022); MENA Rights Group, </w:t>
      </w:r>
      <w:r>
        <w:rPr>
          <w:rFonts w:ascii="Times New Roman" w:hAnsi="Times New Roman" w:cs="Times New Roman"/>
          <w:i/>
          <w:iCs/>
        </w:rPr>
        <w:t xml:space="preserve">Abdullah Al </w:t>
      </w:r>
      <w:proofErr w:type="spellStart"/>
      <w:r>
        <w:rPr>
          <w:rFonts w:ascii="Times New Roman" w:hAnsi="Times New Roman" w:cs="Times New Roman"/>
          <w:i/>
          <w:iCs/>
        </w:rPr>
        <w:t>Shamsi</w:t>
      </w:r>
      <w:proofErr w:type="spellEnd"/>
      <w:r>
        <w:rPr>
          <w:rFonts w:ascii="Times New Roman" w:hAnsi="Times New Roman" w:cs="Times New Roman"/>
          <w:i/>
          <w:iCs/>
        </w:rPr>
        <w:t xml:space="preserve"> released following more than two and a half years of arbitrary detention</w:t>
      </w:r>
      <w:r>
        <w:rPr>
          <w:rFonts w:ascii="Times New Roman" w:hAnsi="Times New Roman" w:cs="Times New Roman"/>
        </w:rPr>
        <w:t xml:space="preserve">, 19 April 2021, </w:t>
      </w:r>
      <w:hyperlink r:id="rId42" w:tooltip="https://menarights.org/en/caseprofile/omani-student-detained-uae-amidst-geo-political-tensions" w:history="1">
        <w:r>
          <w:rPr>
            <w:rStyle w:val="Hyperlink"/>
            <w:rFonts w:ascii="Times New Roman" w:hAnsi="Times New Roman" w:cs="Times New Roman"/>
          </w:rPr>
          <w:t>https://menarights.org/en/caseprofile/omani-student-detained-uae-amidst-geo-political-tensions</w:t>
        </w:r>
      </w:hyperlink>
      <w:r>
        <w:rPr>
          <w:rFonts w:ascii="Times New Roman" w:hAnsi="Times New Roman" w:cs="Times New Roman"/>
        </w:rPr>
        <w:t xml:space="preserve"> (accessed February 22, 2022).</w:t>
      </w:r>
    </w:p>
  </w:footnote>
  <w:footnote w:id="91">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Human Rights Watch, </w:t>
      </w:r>
      <w:r>
        <w:rPr>
          <w:rFonts w:ascii="Times New Roman" w:hAnsi="Times New Roman" w:cs="Times New Roman"/>
          <w:i/>
          <w:iCs/>
        </w:rPr>
        <w:t>UAE: Unrelenting Harassment of Dissidents’ families</w:t>
      </w:r>
      <w:r>
        <w:rPr>
          <w:rFonts w:ascii="Times New Roman" w:hAnsi="Times New Roman" w:cs="Times New Roman"/>
        </w:rPr>
        <w:t xml:space="preserve">, 22 December 2019, </w:t>
      </w:r>
      <w:hyperlink r:id="rId43" w:tooltip="https://www.hrw.org/news/2019/12/22/uae-unrelenting-harassment-dissidents-families" w:history="1">
        <w:r>
          <w:rPr>
            <w:rStyle w:val="Hyperlink"/>
            <w:rFonts w:ascii="Times New Roman" w:hAnsi="Times New Roman" w:cs="Times New Roman"/>
          </w:rPr>
          <w:t>https://www.hrw.org/news/2019/12/22/uae-unrelenting-harassment-dissidents-families</w:t>
        </w:r>
      </w:hyperlink>
      <w:r>
        <w:rPr>
          <w:rFonts w:ascii="Times New Roman" w:hAnsi="Times New Roman" w:cs="Times New Roman"/>
        </w:rPr>
        <w:t xml:space="preserve">; Stephanie </w:t>
      </w:r>
      <w:proofErr w:type="spellStart"/>
      <w:r>
        <w:rPr>
          <w:rFonts w:ascii="Times New Roman" w:hAnsi="Times New Roman" w:cs="Times New Roman"/>
        </w:rPr>
        <w:t>Kirchgaessner</w:t>
      </w:r>
      <w:proofErr w:type="spellEnd"/>
      <w:r>
        <w:rPr>
          <w:rFonts w:ascii="Times New Roman" w:hAnsi="Times New Roman" w:cs="Times New Roman"/>
        </w:rPr>
        <w:t xml:space="preserve"> “New evidence suggests NSO spyware used to </w:t>
      </w:r>
      <w:proofErr w:type="spellStart"/>
      <w:r>
        <w:rPr>
          <w:rFonts w:ascii="Times New Roman" w:hAnsi="Times New Roman" w:cs="Times New Roman"/>
        </w:rPr>
        <w:t>surveil</w:t>
      </w:r>
      <w:proofErr w:type="spellEnd"/>
      <w:r>
        <w:rPr>
          <w:rFonts w:ascii="Times New Roman" w:hAnsi="Times New Roman" w:cs="Times New Roman"/>
        </w:rPr>
        <w:t xml:space="preserve"> Emirati activist </w:t>
      </w:r>
      <w:proofErr w:type="spellStart"/>
      <w:r>
        <w:rPr>
          <w:rFonts w:ascii="Times New Roman" w:hAnsi="Times New Roman" w:cs="Times New Roman"/>
        </w:rPr>
        <w:t>Alaa</w:t>
      </w:r>
      <w:proofErr w:type="spellEnd"/>
      <w:r>
        <w:rPr>
          <w:rFonts w:ascii="Times New Roman" w:hAnsi="Times New Roman" w:cs="Times New Roman"/>
        </w:rPr>
        <w:t xml:space="preserve"> al-</w:t>
      </w:r>
      <w:proofErr w:type="spellStart"/>
      <w:r>
        <w:rPr>
          <w:rFonts w:ascii="Times New Roman" w:hAnsi="Times New Roman" w:cs="Times New Roman"/>
        </w:rPr>
        <w:t>Siddiq</w:t>
      </w:r>
      <w:proofErr w:type="spellEnd"/>
      <w:r>
        <w:rPr>
          <w:rFonts w:ascii="Times New Roman" w:hAnsi="Times New Roman" w:cs="Times New Roman"/>
        </w:rPr>
        <w:t xml:space="preserve">”, </w:t>
      </w:r>
      <w:r>
        <w:rPr>
          <w:rFonts w:ascii="Times New Roman" w:hAnsi="Times New Roman" w:cs="Times New Roman"/>
          <w:i/>
          <w:iCs/>
        </w:rPr>
        <w:t>The Guardian</w:t>
      </w:r>
      <w:r>
        <w:rPr>
          <w:rFonts w:ascii="Times New Roman" w:hAnsi="Times New Roman" w:cs="Times New Roman"/>
        </w:rPr>
        <w:t xml:space="preserve">, 24 September 2021, </w:t>
      </w:r>
      <w:hyperlink r:id="rId44" w:tooltip="https://www.theguardian.com/world/2021/sep/24/new-evidence-suggests-spyware-used-to-surveil-emirati-activist-alaa-al-siddiq" w:history="1">
        <w:r>
          <w:rPr>
            <w:rStyle w:val="Hyperlink"/>
            <w:rFonts w:ascii="Times New Roman" w:hAnsi="Times New Roman" w:cs="Times New Roman"/>
          </w:rPr>
          <w:t>https://www.theguardian.com/world/2021/sep/24/new-evidence-suggests-spyware-used-to-surveil-emirati-activist-alaa-al-siddiq</w:t>
        </w:r>
      </w:hyperlink>
      <w:r>
        <w:rPr>
          <w:rFonts w:ascii="Times New Roman" w:hAnsi="Times New Roman" w:cs="Times New Roman"/>
        </w:rPr>
        <w:t>;</w:t>
      </w:r>
      <w:r>
        <w:rPr>
          <w:rFonts w:ascii="Times New Roman" w:hAnsi="Times New Roman" w:cs="Times New Roman"/>
          <w:i/>
          <w:iCs/>
        </w:rPr>
        <w:t xml:space="preserve"> </w:t>
      </w:r>
      <w:r>
        <w:rPr>
          <w:rFonts w:ascii="Times New Roman" w:hAnsi="Times New Roman" w:cs="Times New Roman"/>
        </w:rPr>
        <w:t xml:space="preserve">Human Rights Watch, </w:t>
      </w:r>
      <w:r>
        <w:rPr>
          <w:rFonts w:ascii="Times New Roman" w:hAnsi="Times New Roman" w:cs="Times New Roman"/>
          <w:i/>
          <w:iCs/>
        </w:rPr>
        <w:t>UAE: Dissidents labelled ‘terrorists</w:t>
      </w:r>
      <w:r>
        <w:rPr>
          <w:rFonts w:ascii="Times New Roman" w:hAnsi="Times New Roman" w:cs="Times New Roman"/>
        </w:rPr>
        <w:t xml:space="preserve">, 21 November , 2021, </w:t>
      </w:r>
      <w:hyperlink r:id="rId45" w:tooltip="https://www.hrw.org/news/2021/11/21/uae-dissidents-labeled-terrorists" w:history="1">
        <w:r>
          <w:rPr>
            <w:rStyle w:val="Hyperlink"/>
            <w:rFonts w:ascii="Times New Roman" w:hAnsi="Times New Roman" w:cs="Times New Roman"/>
          </w:rPr>
          <w:t>https://www.hrw.org/news/2021/11/21/uae-dissidents-labeled-terrorists</w:t>
        </w:r>
      </w:hyperlink>
      <w:r>
        <w:rPr>
          <w:rFonts w:ascii="Times New Roman" w:hAnsi="Times New Roman" w:cs="Times New Roman"/>
        </w:rPr>
        <w:t xml:space="preserve"> (all accessed 6 May 2022). </w:t>
      </w:r>
    </w:p>
  </w:footnote>
  <w:footnote w:id="92">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United States Department of State, </w:t>
      </w:r>
      <w:r>
        <w:rPr>
          <w:rFonts w:ascii="Times New Roman" w:hAnsi="Times New Roman" w:cs="Times New Roman"/>
          <w:i/>
          <w:iCs/>
        </w:rPr>
        <w:t>2020 Country Reports on Human Rights Practices: United Arab Emirates</w:t>
      </w:r>
      <w:r>
        <w:rPr>
          <w:rFonts w:ascii="Times New Roman" w:hAnsi="Times New Roman" w:cs="Times New Roman"/>
        </w:rPr>
        <w:t xml:space="preserve">, 31 March 2021, </w:t>
      </w:r>
      <w:hyperlink r:id="rId46" w:tooltip="https://www.state.gov/wp-content/uploads/2021/10/UNITED-ARAB-EMIRATES-2020-HUMAN-RIGHTS-REPORT.pdf" w:history="1">
        <w:r>
          <w:rPr>
            <w:rStyle w:val="Hyperlink"/>
            <w:rFonts w:ascii="Times New Roman" w:hAnsi="Times New Roman" w:cs="Times New Roman"/>
          </w:rPr>
          <w:t>https://www.state.gov/wp-content/uploads/2021/10/UNITED-ARAB-EMIRATES-2020-HUMAN-RIGHTS-REPORT.pdf</w:t>
        </w:r>
      </w:hyperlink>
      <w:r>
        <w:rPr>
          <w:rFonts w:ascii="Times New Roman" w:hAnsi="Times New Roman" w:cs="Times New Roman"/>
        </w:rPr>
        <w:t xml:space="preserve"> (accessed 6 May 2022)</w:t>
      </w:r>
      <w:r>
        <w:rPr>
          <w:rFonts w:ascii="Times New Roman" w:hAnsi="Times New Roman" w:cs="Times New Roman"/>
          <w:i/>
          <w:iCs/>
        </w:rPr>
        <w:t xml:space="preserve">, </w:t>
      </w:r>
      <w:r>
        <w:rPr>
          <w:rFonts w:ascii="Times New Roman" w:hAnsi="Times New Roman" w:cs="Times New Roman"/>
        </w:rPr>
        <w:t xml:space="preserve">p. 8; UN Special Rapporteur on the situation of human rights defenders, </w:t>
      </w:r>
      <w:r>
        <w:rPr>
          <w:rFonts w:ascii="Times New Roman" w:hAnsi="Times New Roman" w:cs="Times New Roman"/>
          <w:i/>
          <w:iCs/>
        </w:rPr>
        <w:t>UAE: Syrian Human Rights Defender at risk of long term detention, reports of torture (joint communication)</w:t>
      </w:r>
      <w:r>
        <w:rPr>
          <w:rFonts w:ascii="Times New Roman" w:hAnsi="Times New Roman" w:cs="Times New Roman"/>
        </w:rPr>
        <w:t xml:space="preserve">, 25 August 2021, </w:t>
      </w:r>
      <w:hyperlink r:id="rId47" w:tooltip="https://srdefenders.org/uae-syrian-human-rights-defender-at-risk-of-long-term-detention-reports-of-torture-joint-communication/" w:history="1">
        <w:r>
          <w:rPr>
            <w:rStyle w:val="Hyperlink"/>
            <w:rFonts w:ascii="Times New Roman" w:hAnsi="Times New Roman" w:cs="Times New Roman"/>
          </w:rPr>
          <w:t>https://srdefenders.org/uae-syrian-human-rights-defender-at-risk-of-long-term-detention-reports-of-torture-joint-communication/</w:t>
        </w:r>
      </w:hyperlink>
      <w:r>
        <w:rPr>
          <w:rFonts w:ascii="Times New Roman" w:hAnsi="Times New Roman" w:cs="Times New Roman"/>
        </w:rPr>
        <w:t xml:space="preserve"> (accessed 23 February 2022); International Federation for Human Rights, </w:t>
      </w:r>
      <w:r>
        <w:rPr>
          <w:rFonts w:ascii="Times New Roman" w:hAnsi="Times New Roman" w:cs="Times New Roman"/>
          <w:i/>
          <w:iCs/>
        </w:rPr>
        <w:t xml:space="preserve">United Arab Emirates: Arrest and detention in a secret location of Mr. Ahmed </w:t>
      </w:r>
      <w:proofErr w:type="spellStart"/>
      <w:r>
        <w:rPr>
          <w:rFonts w:ascii="Times New Roman" w:hAnsi="Times New Roman" w:cs="Times New Roman"/>
          <w:i/>
          <w:iCs/>
        </w:rPr>
        <w:t>Mansoor</w:t>
      </w:r>
      <w:proofErr w:type="spellEnd"/>
      <w:r>
        <w:rPr>
          <w:rFonts w:ascii="Times New Roman" w:hAnsi="Times New Roman" w:cs="Times New Roman"/>
        </w:rPr>
        <w:t xml:space="preserve">, 20 March 2017, </w:t>
      </w:r>
      <w:hyperlink r:id="rId48" w:tooltip="https://www.fidh.org/en/issues/human-rights-defenders/united-arab-emirates-arrest-and-detention-in-a-secret-location-of-mr" w:history="1">
        <w:r>
          <w:rPr>
            <w:rStyle w:val="Hyperlink"/>
            <w:rFonts w:ascii="Times New Roman" w:hAnsi="Times New Roman" w:cs="Times New Roman"/>
          </w:rPr>
          <w:t>https://www.fidh.org/en/issues/human-rights-defenders/united-arab-emirates-arrest-and-detention-in-a-secret-location-of-mr</w:t>
        </w:r>
      </w:hyperlink>
      <w:r>
        <w:rPr>
          <w:rFonts w:ascii="Times New Roman" w:hAnsi="Times New Roman" w:cs="Times New Roman"/>
        </w:rPr>
        <w:t xml:space="preserve"> (accessed 23 February 2022); Amnesty International, </w:t>
      </w:r>
      <w:r>
        <w:rPr>
          <w:rFonts w:ascii="Times New Roman" w:hAnsi="Times New Roman" w:cs="Times New Roman"/>
          <w:i/>
          <w:iCs/>
        </w:rPr>
        <w:t>Urgent Action: Men facing mass trial after secret detention</w:t>
      </w:r>
      <w:r>
        <w:rPr>
          <w:rFonts w:ascii="Times New Roman" w:hAnsi="Times New Roman" w:cs="Times New Roman"/>
        </w:rPr>
        <w:t xml:space="preserve">, 5 October 2015, </w:t>
      </w:r>
      <w:hyperlink r:id="rId49" w:tooltip="https://www.amnesty.org/en/wp-content/uploads/2021/05/MDE2525942015ENGLISH.pdf" w:history="1">
        <w:r>
          <w:rPr>
            <w:rStyle w:val="Hyperlink"/>
            <w:rFonts w:ascii="Times New Roman" w:hAnsi="Times New Roman" w:cs="Times New Roman"/>
          </w:rPr>
          <w:t>https://www.amnesty.org/en/wp-content/uploads/2021/05/MDE2525942015ENGLISH.pdf</w:t>
        </w:r>
      </w:hyperlink>
      <w:r>
        <w:rPr>
          <w:rFonts w:ascii="Times New Roman" w:hAnsi="Times New Roman" w:cs="Times New Roman"/>
        </w:rPr>
        <w:t xml:space="preserve"> (accessed February 23 2022); Michelle </w:t>
      </w:r>
      <w:proofErr w:type="spellStart"/>
      <w:r>
        <w:rPr>
          <w:rFonts w:ascii="Times New Roman" w:hAnsi="Times New Roman" w:cs="Times New Roman"/>
        </w:rPr>
        <w:t>Wazan</w:t>
      </w:r>
      <w:proofErr w:type="spellEnd"/>
      <w:r>
        <w:rPr>
          <w:rFonts w:ascii="Times New Roman" w:hAnsi="Times New Roman" w:cs="Times New Roman"/>
        </w:rPr>
        <w:t xml:space="preserve">, “UAE: when tweets become a matter of national security”, </w:t>
      </w:r>
      <w:proofErr w:type="spellStart"/>
      <w:r>
        <w:rPr>
          <w:rFonts w:ascii="Times New Roman" w:hAnsi="Times New Roman" w:cs="Times New Roman"/>
          <w:i/>
          <w:iCs/>
        </w:rPr>
        <w:t>OpenDemocracy</w:t>
      </w:r>
      <w:proofErr w:type="spellEnd"/>
      <w:r>
        <w:rPr>
          <w:rFonts w:ascii="Times New Roman" w:hAnsi="Times New Roman" w:cs="Times New Roman"/>
          <w:i/>
          <w:iCs/>
        </w:rPr>
        <w:t xml:space="preserve">, </w:t>
      </w:r>
      <w:r>
        <w:rPr>
          <w:rFonts w:ascii="Times New Roman" w:hAnsi="Times New Roman" w:cs="Times New Roman"/>
        </w:rPr>
        <w:t xml:space="preserve">2 December 2016, </w:t>
      </w:r>
      <w:hyperlink r:id="rId50" w:tooltip="https://www.opendemocracy.net/en/north-africa-west-asia/uae-when-tweets-become-matter-of-national-security/" w:history="1">
        <w:r>
          <w:rPr>
            <w:rStyle w:val="Hyperlink"/>
            <w:rFonts w:ascii="Times New Roman" w:hAnsi="Times New Roman" w:cs="Times New Roman"/>
          </w:rPr>
          <w:t>https://www.opendemocracy.net/en/north-africa-west-asia/uae-when-tweets-become-matter-of-national-security/</w:t>
        </w:r>
      </w:hyperlink>
      <w:r>
        <w:rPr>
          <w:rFonts w:ascii="Times New Roman" w:hAnsi="Times New Roman" w:cs="Times New Roman"/>
        </w:rPr>
        <w:t xml:space="preserve"> (accessed 23 February 2022).</w:t>
      </w:r>
    </w:p>
  </w:footnote>
  <w:footnote w:id="93">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2021 Country Reports on Human Rights Practices: United Arab Emirates, </w:t>
      </w:r>
      <w:r>
        <w:rPr>
          <w:rFonts w:ascii="Times New Roman" w:hAnsi="Times New Roman" w:cs="Times New Roman"/>
          <w:i/>
          <w:iCs/>
        </w:rPr>
        <w:t xml:space="preserve">op. cit., </w:t>
      </w:r>
      <w:proofErr w:type="gramStart"/>
      <w:r>
        <w:rPr>
          <w:rFonts w:ascii="Times New Roman" w:hAnsi="Times New Roman" w:cs="Times New Roman"/>
        </w:rPr>
        <w:t>p</w:t>
      </w:r>
      <w:proofErr w:type="gramEnd"/>
      <w:r>
        <w:rPr>
          <w:rFonts w:ascii="Times New Roman" w:hAnsi="Times New Roman" w:cs="Times New Roman"/>
        </w:rPr>
        <w:t>. 3.</w:t>
      </w:r>
    </w:p>
  </w:footnote>
  <w:footnote w:id="94">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2021 Country Reports on Human Rights Practices: United Arab Emirates, </w:t>
      </w:r>
      <w:r>
        <w:rPr>
          <w:rFonts w:ascii="Times New Roman" w:hAnsi="Times New Roman" w:cs="Times New Roman"/>
          <w:i/>
          <w:iCs/>
        </w:rPr>
        <w:t xml:space="preserve">op. cit., </w:t>
      </w:r>
      <w:proofErr w:type="gramStart"/>
      <w:r>
        <w:rPr>
          <w:rFonts w:ascii="Times New Roman" w:hAnsi="Times New Roman" w:cs="Times New Roman"/>
        </w:rPr>
        <w:t>p</w:t>
      </w:r>
      <w:proofErr w:type="gramEnd"/>
      <w:r>
        <w:rPr>
          <w:rFonts w:ascii="Times New Roman" w:hAnsi="Times New Roman" w:cs="Times New Roman"/>
        </w:rPr>
        <w:t>. 4.</w:t>
      </w:r>
    </w:p>
  </w:footnote>
  <w:footnote w:id="95">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MENA Rights Group has collected the testimonies of the families and lawyers of 10 detainees in Al </w:t>
      </w:r>
      <w:proofErr w:type="spellStart"/>
      <w:r>
        <w:rPr>
          <w:rFonts w:ascii="Times New Roman" w:hAnsi="Times New Roman" w:cs="Times New Roman"/>
        </w:rPr>
        <w:t>Wathba</w:t>
      </w:r>
      <w:proofErr w:type="spellEnd"/>
      <w:r>
        <w:rPr>
          <w:rFonts w:ascii="Times New Roman" w:hAnsi="Times New Roman" w:cs="Times New Roman"/>
        </w:rPr>
        <w:t xml:space="preserve"> prison. These are Abdullah </w:t>
      </w:r>
      <w:proofErr w:type="spellStart"/>
      <w:r>
        <w:rPr>
          <w:rFonts w:ascii="Times New Roman" w:hAnsi="Times New Roman" w:cs="Times New Roman"/>
        </w:rPr>
        <w:t>Awad</w:t>
      </w:r>
      <w:proofErr w:type="spellEnd"/>
      <w:r>
        <w:rPr>
          <w:rFonts w:ascii="Times New Roman" w:hAnsi="Times New Roman" w:cs="Times New Roman"/>
        </w:rPr>
        <w:t xml:space="preserve"> Salim Al </w:t>
      </w:r>
      <w:proofErr w:type="spellStart"/>
      <w:r>
        <w:rPr>
          <w:rFonts w:ascii="Times New Roman" w:hAnsi="Times New Roman" w:cs="Times New Roman"/>
        </w:rPr>
        <w:t>Shamsi</w:t>
      </w:r>
      <w:proofErr w:type="spellEnd"/>
      <w:r>
        <w:rPr>
          <w:rFonts w:ascii="Times New Roman" w:hAnsi="Times New Roman" w:cs="Times New Roman"/>
        </w:rPr>
        <w:t xml:space="preserve">, </w:t>
      </w:r>
      <w:proofErr w:type="spellStart"/>
      <w:r>
        <w:rPr>
          <w:rFonts w:ascii="Times New Roman" w:hAnsi="Times New Roman" w:cs="Times New Roman"/>
        </w:rPr>
        <w:t>Abdelrahman</w:t>
      </w:r>
      <w:proofErr w:type="spellEnd"/>
      <w:r>
        <w:rPr>
          <w:rFonts w:ascii="Times New Roman" w:hAnsi="Times New Roman" w:cs="Times New Roman"/>
        </w:rPr>
        <w:t xml:space="preserve"> </w:t>
      </w:r>
      <w:proofErr w:type="spellStart"/>
      <w:r>
        <w:rPr>
          <w:rFonts w:ascii="Times New Roman" w:hAnsi="Times New Roman" w:cs="Times New Roman"/>
        </w:rPr>
        <w:t>Chouman</w:t>
      </w:r>
      <w:proofErr w:type="spellEnd"/>
      <w:r>
        <w:rPr>
          <w:rFonts w:ascii="Times New Roman" w:hAnsi="Times New Roman" w:cs="Times New Roman"/>
        </w:rPr>
        <w:t xml:space="preserve">, Ahmad </w:t>
      </w:r>
      <w:proofErr w:type="spellStart"/>
      <w:r>
        <w:rPr>
          <w:rFonts w:ascii="Times New Roman" w:hAnsi="Times New Roman" w:cs="Times New Roman"/>
        </w:rPr>
        <w:t>Sobh</w:t>
      </w:r>
      <w:proofErr w:type="spellEnd"/>
      <w:r>
        <w:rPr>
          <w:rFonts w:ascii="Times New Roman" w:hAnsi="Times New Roman" w:cs="Times New Roman"/>
        </w:rPr>
        <w:t xml:space="preserve">, </w:t>
      </w:r>
      <w:proofErr w:type="spellStart"/>
      <w:r>
        <w:rPr>
          <w:rFonts w:ascii="Times New Roman" w:hAnsi="Times New Roman" w:cs="Times New Roman"/>
        </w:rPr>
        <w:t>Abdulmalik</w:t>
      </w:r>
      <w:proofErr w:type="spellEnd"/>
      <w:r>
        <w:rPr>
          <w:rFonts w:ascii="Times New Roman" w:hAnsi="Times New Roman" w:cs="Times New Roman"/>
        </w:rPr>
        <w:t xml:space="preserve"> Mohammad Ahmad </w:t>
      </w:r>
      <w:proofErr w:type="spellStart"/>
      <w:r>
        <w:rPr>
          <w:rFonts w:ascii="Times New Roman" w:hAnsi="Times New Roman" w:cs="Times New Roman"/>
        </w:rPr>
        <w:t>MohammadAl</w:t>
      </w:r>
      <w:proofErr w:type="spellEnd"/>
      <w:r>
        <w:rPr>
          <w:rFonts w:ascii="Times New Roman" w:hAnsi="Times New Roman" w:cs="Times New Roman"/>
        </w:rPr>
        <w:t xml:space="preserve"> </w:t>
      </w:r>
      <w:proofErr w:type="spellStart"/>
      <w:r>
        <w:rPr>
          <w:rFonts w:ascii="Times New Roman" w:hAnsi="Times New Roman" w:cs="Times New Roman"/>
        </w:rPr>
        <w:t>Mukhanqi</w:t>
      </w:r>
      <w:proofErr w:type="spellEnd"/>
      <w:r>
        <w:rPr>
          <w:rFonts w:ascii="Times New Roman" w:hAnsi="Times New Roman" w:cs="Times New Roman"/>
        </w:rPr>
        <w:t xml:space="preserve"> and Abdullah Mohammad Ahmad </w:t>
      </w:r>
      <w:proofErr w:type="spellStart"/>
      <w:r>
        <w:rPr>
          <w:rFonts w:ascii="Times New Roman" w:hAnsi="Times New Roman" w:cs="Times New Roman"/>
        </w:rPr>
        <w:t>Attiah</w:t>
      </w:r>
      <w:proofErr w:type="spellEnd"/>
      <w:r>
        <w:rPr>
          <w:rFonts w:ascii="Times New Roman" w:hAnsi="Times New Roman" w:cs="Times New Roman"/>
        </w:rPr>
        <w:t xml:space="preserve">, Yasser Sami </w:t>
      </w:r>
      <w:proofErr w:type="spellStart"/>
      <w:r>
        <w:rPr>
          <w:rFonts w:ascii="Times New Roman" w:hAnsi="Times New Roman" w:cs="Times New Roman"/>
        </w:rPr>
        <w:t>Abedalafou</w:t>
      </w:r>
      <w:proofErr w:type="spellEnd"/>
      <w:r>
        <w:rPr>
          <w:rFonts w:ascii="Times New Roman" w:hAnsi="Times New Roman" w:cs="Times New Roman"/>
        </w:rPr>
        <w:t xml:space="preserve"> Abu Baker and his brother Abdallah Sami </w:t>
      </w:r>
      <w:proofErr w:type="spellStart"/>
      <w:r>
        <w:rPr>
          <w:rFonts w:ascii="Times New Roman" w:hAnsi="Times New Roman" w:cs="Times New Roman"/>
        </w:rPr>
        <w:t>Abedalafou</w:t>
      </w:r>
      <w:proofErr w:type="spellEnd"/>
      <w:r>
        <w:rPr>
          <w:rFonts w:ascii="Times New Roman" w:hAnsi="Times New Roman" w:cs="Times New Roman"/>
        </w:rPr>
        <w:t xml:space="preserve"> Abu Baker, Ahmad Ali </w:t>
      </w:r>
      <w:proofErr w:type="spellStart"/>
      <w:r>
        <w:rPr>
          <w:rFonts w:ascii="Times New Roman" w:hAnsi="Times New Roman" w:cs="Times New Roman"/>
        </w:rPr>
        <w:t>Mekkaoui</w:t>
      </w:r>
      <w:proofErr w:type="spellEnd"/>
      <w:r>
        <w:rPr>
          <w:rFonts w:ascii="Times New Roman" w:hAnsi="Times New Roman" w:cs="Times New Roman"/>
        </w:rPr>
        <w:t xml:space="preserve">, </w:t>
      </w:r>
      <w:proofErr w:type="spellStart"/>
      <w:r>
        <w:rPr>
          <w:rFonts w:ascii="Times New Roman" w:hAnsi="Times New Roman" w:cs="Times New Roman"/>
        </w:rPr>
        <w:t>Bahaa</w:t>
      </w:r>
      <w:proofErr w:type="spellEnd"/>
      <w:r>
        <w:rPr>
          <w:rFonts w:ascii="Times New Roman" w:hAnsi="Times New Roman" w:cs="Times New Roman"/>
        </w:rPr>
        <w:t xml:space="preserve"> Adel Salman </w:t>
      </w:r>
      <w:proofErr w:type="spellStart"/>
      <w:r>
        <w:rPr>
          <w:rFonts w:ascii="Times New Roman" w:hAnsi="Times New Roman" w:cs="Times New Roman"/>
        </w:rPr>
        <w:t>Mattar</w:t>
      </w:r>
      <w:proofErr w:type="spellEnd"/>
      <w:r>
        <w:rPr>
          <w:rFonts w:ascii="Times New Roman" w:hAnsi="Times New Roman" w:cs="Times New Roman"/>
        </w:rPr>
        <w:t xml:space="preserve"> and Maher </w:t>
      </w:r>
      <w:proofErr w:type="spellStart"/>
      <w:r>
        <w:rPr>
          <w:rFonts w:ascii="Times New Roman" w:hAnsi="Times New Roman" w:cs="Times New Roman"/>
        </w:rPr>
        <w:t>Atieh</w:t>
      </w:r>
      <w:proofErr w:type="spellEnd"/>
      <w:r>
        <w:rPr>
          <w:rFonts w:ascii="Times New Roman" w:hAnsi="Times New Roman" w:cs="Times New Roman"/>
        </w:rPr>
        <w:t xml:space="preserve"> Othman Abu </w:t>
      </w:r>
      <w:proofErr w:type="spellStart"/>
      <w:r>
        <w:rPr>
          <w:rFonts w:ascii="Times New Roman" w:hAnsi="Times New Roman" w:cs="Times New Roman"/>
        </w:rPr>
        <w:t>Shawareb</w:t>
      </w:r>
      <w:proofErr w:type="spellEnd"/>
      <w:r>
        <w:rPr>
          <w:rFonts w:ascii="Times New Roman" w:hAnsi="Times New Roman" w:cs="Times New Roman"/>
        </w:rPr>
        <w:t xml:space="preserve">. Some of these cases are detailed in annex 1. For more information, see MENA Rights Group, </w:t>
      </w:r>
      <w:r>
        <w:rPr>
          <w:rFonts w:ascii="Times New Roman" w:hAnsi="Times New Roman" w:cs="Times New Roman"/>
          <w:i/>
          <w:iCs/>
        </w:rPr>
        <w:t xml:space="preserve">UAE: COVID-19 outbreak puts Al </w:t>
      </w:r>
      <w:proofErr w:type="spellStart"/>
      <w:r>
        <w:rPr>
          <w:rFonts w:ascii="Times New Roman" w:hAnsi="Times New Roman" w:cs="Times New Roman"/>
          <w:i/>
          <w:iCs/>
        </w:rPr>
        <w:t>Wathba</w:t>
      </w:r>
      <w:proofErr w:type="spellEnd"/>
      <w:r>
        <w:rPr>
          <w:rFonts w:ascii="Times New Roman" w:hAnsi="Times New Roman" w:cs="Times New Roman"/>
          <w:i/>
          <w:iCs/>
        </w:rPr>
        <w:t xml:space="preserve"> prison’s detainees at risk</w:t>
      </w:r>
      <w:r>
        <w:rPr>
          <w:rFonts w:ascii="Times New Roman" w:hAnsi="Times New Roman" w:cs="Times New Roman"/>
        </w:rPr>
        <w:t xml:space="preserve">, 16 June 2020, </w:t>
      </w:r>
      <w:hyperlink r:id="rId51" w:tooltip="https://www.menarights.org/en/articles/uae-covid-19-outbreak-puts-al-wathba-prisons-detainees-risk-0" w:history="1">
        <w:r>
          <w:rPr>
            <w:rStyle w:val="Hyperlink"/>
            <w:rFonts w:ascii="Times New Roman" w:hAnsi="Times New Roman" w:cs="Times New Roman"/>
          </w:rPr>
          <w:t>https://www.menarights.org/en/articles/uae-covid-19-outbreak-puts-al-wathba-prisons-detainees-risk-0</w:t>
        </w:r>
      </w:hyperlink>
      <w:r>
        <w:rPr>
          <w:rFonts w:ascii="Times New Roman" w:hAnsi="Times New Roman" w:cs="Times New Roman"/>
        </w:rPr>
        <w:t xml:space="preserve"> (accessed 9 May 2022).</w:t>
      </w:r>
    </w:p>
  </w:footnote>
  <w:footnote w:id="96">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See Al Jazeera, </w:t>
      </w:r>
      <w:r>
        <w:rPr>
          <w:rFonts w:ascii="Times New Roman" w:hAnsi="Times New Roman" w:cs="Times New Roman"/>
          <w:i/>
          <w:iCs/>
        </w:rPr>
        <w:t>Why did the Houthis attack the UAE? Everything you need to know</w:t>
      </w:r>
      <w:r>
        <w:rPr>
          <w:rFonts w:ascii="Times New Roman" w:hAnsi="Times New Roman" w:cs="Times New Roman"/>
        </w:rPr>
        <w:t xml:space="preserve">, 31 January 2022, </w:t>
      </w:r>
      <w:hyperlink r:id="rId52" w:tooltip="https://www.aljazeera.com/news/2022/1/31/explainer-a-simple-guide-to-the-uae-houthi-escalation" w:history="1">
        <w:r>
          <w:rPr>
            <w:rStyle w:val="Hyperlink"/>
            <w:rFonts w:ascii="Times New Roman" w:hAnsi="Times New Roman" w:cs="Times New Roman"/>
          </w:rPr>
          <w:t>https://www.aljazeera.com/news/2022/1/31/explainer-a-simple-guide-to-the-uae-houthi-escalation</w:t>
        </w:r>
      </w:hyperlink>
      <w:r>
        <w:rPr>
          <w:rFonts w:ascii="Times New Roman" w:hAnsi="Times New Roman" w:cs="Times New Roman"/>
        </w:rPr>
        <w:t xml:space="preserve"> (accessed 9 May 2022).</w:t>
      </w:r>
    </w:p>
  </w:footnote>
  <w:footnote w:id="97">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spellStart"/>
      <w:r>
        <w:rPr>
          <w:rFonts w:ascii="Times New Roman" w:hAnsi="Times New Roman" w:cs="Times New Roman"/>
        </w:rPr>
        <w:t>Mwatana</w:t>
      </w:r>
      <w:proofErr w:type="spellEnd"/>
      <w:r>
        <w:rPr>
          <w:rFonts w:ascii="Times New Roman" w:hAnsi="Times New Roman" w:cs="Times New Roman"/>
        </w:rPr>
        <w:t xml:space="preserve"> for Human Rights, </w:t>
      </w:r>
      <w:r>
        <w:rPr>
          <w:rFonts w:ascii="Times New Roman" w:hAnsi="Times New Roman" w:cs="Times New Roman"/>
          <w:i/>
          <w:iCs/>
        </w:rPr>
        <w:t>In the Darkness - Abusive Detention, Disappearance and Torture in Yemen’s Unofficial Prisons</w:t>
      </w:r>
      <w:r>
        <w:rPr>
          <w:rFonts w:ascii="Times New Roman" w:hAnsi="Times New Roman" w:cs="Times New Roman"/>
        </w:rPr>
        <w:t xml:space="preserve">, June 2020, </w:t>
      </w:r>
      <w:hyperlink r:id="rId53" w:tooltip="https://mwatana.org/wp-content/uploads/2020/06/In-the-Darkness.pdf" w:history="1">
        <w:r>
          <w:rPr>
            <w:rStyle w:val="Hyperlink"/>
            <w:rFonts w:ascii="Times New Roman" w:hAnsi="Times New Roman" w:cs="Times New Roman"/>
          </w:rPr>
          <w:t>https://mwatana.org/wp-content/uploads/2020/06/In-the-Darkness.pdf</w:t>
        </w:r>
      </w:hyperlink>
      <w:r>
        <w:rPr>
          <w:rFonts w:ascii="Times New Roman" w:hAnsi="Times New Roman" w:cs="Times New Roman"/>
        </w:rPr>
        <w:t xml:space="preserve"> (accessed 9 May 2022).</w:t>
      </w:r>
    </w:p>
  </w:footnote>
  <w:footnote w:id="98">
    <w:p w:rsidR="00F96166" w:rsidRDefault="00F96166">
      <w:pPr>
        <w:pStyle w:val="FootnoteText"/>
        <w:jc w:val="both"/>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n-US"/>
        </w:rPr>
        <w:t xml:space="preserve">See Al Jazeera, </w:t>
      </w:r>
      <w:r>
        <w:rPr>
          <w:rFonts w:ascii="Times New Roman" w:hAnsi="Times New Roman" w:cs="Times New Roman"/>
          <w:i/>
          <w:iCs/>
          <w:lang w:val="en-US"/>
        </w:rPr>
        <w:t>UAE withdraws troops from Yemen’s southern port city of Aden</w:t>
      </w:r>
      <w:r>
        <w:rPr>
          <w:rFonts w:ascii="Times New Roman" w:hAnsi="Times New Roman" w:cs="Times New Roman"/>
          <w:lang w:val="en-US"/>
        </w:rPr>
        <w:t xml:space="preserve">, 30 October 2019, </w:t>
      </w:r>
      <w:hyperlink r:id="rId54" w:tooltip="https://www.aljazeera.com/news/2019/10/30/uae-withdraws-troops-from-yemens-southern-port-city-of-aden" w:history="1">
        <w:r>
          <w:rPr>
            <w:rStyle w:val="Hyperlink"/>
            <w:rFonts w:ascii="Times New Roman" w:hAnsi="Times New Roman" w:cs="Times New Roman"/>
            <w:lang w:val="en-US"/>
          </w:rPr>
          <w:t>https://www.aljazeera.com/news/2019/10/30/uae-withdraws-troops-from-yemens-southern-port-city-of-aden</w:t>
        </w:r>
      </w:hyperlink>
      <w:r>
        <w:rPr>
          <w:rFonts w:ascii="Times New Roman" w:hAnsi="Times New Roman" w:cs="Times New Roman"/>
          <w:lang w:val="en-US"/>
        </w:rPr>
        <w:t xml:space="preserve"> (accessed 19 May 2022).</w:t>
      </w:r>
    </w:p>
  </w:footnote>
  <w:footnote w:id="99">
    <w:p w:rsidR="00F96166" w:rsidRDefault="00F96166">
      <w:pPr>
        <w:pStyle w:val="FootnoteText"/>
        <w:jc w:val="both"/>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n-US"/>
        </w:rPr>
        <w:t xml:space="preserve">See </w:t>
      </w:r>
      <w:proofErr w:type="spellStart"/>
      <w:r>
        <w:rPr>
          <w:rFonts w:ascii="Times New Roman" w:hAnsi="Times New Roman" w:cs="Times New Roman"/>
          <w:lang w:val="en-US"/>
        </w:rPr>
        <w:t>Sheren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Khalel</w:t>
      </w:r>
      <w:proofErr w:type="spellEnd"/>
      <w:r>
        <w:rPr>
          <w:rFonts w:ascii="Times New Roman" w:hAnsi="Times New Roman" w:cs="Times New Roman"/>
          <w:lang w:val="en-US"/>
        </w:rPr>
        <w:t xml:space="preserve">, “UAE deeply involved in Yemen despite claims of withdrawal, experts say”, </w:t>
      </w:r>
      <w:r>
        <w:rPr>
          <w:rFonts w:ascii="Times New Roman" w:hAnsi="Times New Roman" w:cs="Times New Roman"/>
          <w:i/>
          <w:iCs/>
          <w:lang w:val="en-US"/>
        </w:rPr>
        <w:t>Middle East Eye</w:t>
      </w:r>
      <w:r>
        <w:rPr>
          <w:rFonts w:ascii="Times New Roman" w:hAnsi="Times New Roman" w:cs="Times New Roman"/>
          <w:lang w:val="en-US"/>
        </w:rPr>
        <w:t xml:space="preserve">, 22 February 2021, </w:t>
      </w:r>
      <w:hyperlink r:id="rId55" w:tooltip="https://www.middleeasteye.net/news/uae-yemen-conflict-deeply-involved-experts-say" w:history="1">
        <w:r>
          <w:rPr>
            <w:rStyle w:val="Hyperlink"/>
            <w:rFonts w:ascii="Times New Roman" w:hAnsi="Times New Roman" w:cs="Times New Roman"/>
            <w:lang w:val="en-US"/>
          </w:rPr>
          <w:t>https://www.middleeasteye.net/news/uae-yemen-conflict-deeply-involved-experts-say</w:t>
        </w:r>
      </w:hyperlink>
      <w:r>
        <w:rPr>
          <w:rFonts w:ascii="Times New Roman" w:hAnsi="Times New Roman" w:cs="Times New Roman"/>
          <w:lang w:val="en-US"/>
        </w:rPr>
        <w:t xml:space="preserve"> (accessed 19 May 2022).</w:t>
      </w:r>
    </w:p>
  </w:footnote>
  <w:footnote w:id="100">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See Human Rights Watch, Yemen: UAE Backs Abusive Local Forces- Resolve ‘Disappearances’, Grant Access to Detention Sites, 22 June 2017, </w:t>
      </w:r>
      <w:hyperlink r:id="rId56" w:tooltip="https://www.hrw.org/news/2017/06/22/yemen-uae-backs-abusive-local-forces" w:history="1">
        <w:r>
          <w:rPr>
            <w:rStyle w:val="Hyperlink"/>
            <w:rFonts w:ascii="Times New Roman" w:hAnsi="Times New Roman" w:cs="Times New Roman"/>
          </w:rPr>
          <w:t>https://www.hrw.org/news/2017/06/22/yemen-uae-backs-abusive-local-forces</w:t>
        </w:r>
      </w:hyperlink>
      <w:r>
        <w:rPr>
          <w:rFonts w:ascii="Times New Roman" w:hAnsi="Times New Roman" w:cs="Times New Roman"/>
        </w:rPr>
        <w:t xml:space="preserve"> (accessed 9 May 2022).</w:t>
      </w:r>
    </w:p>
  </w:footnote>
  <w:footnote w:id="101">
    <w:p w:rsidR="00F96166" w:rsidRDefault="00F96166">
      <w:pPr>
        <w:pStyle w:val="FootnoteText"/>
        <w:jc w:val="both"/>
      </w:pPr>
      <w:r>
        <w:rPr>
          <w:rStyle w:val="FootnoteReference"/>
          <w:rFonts w:ascii="Times New Roman" w:hAnsi="Times New Roman" w:cs="Times New Roman"/>
        </w:rPr>
        <w:footnoteRef/>
      </w:r>
      <w:r>
        <w:rPr>
          <w:rFonts w:ascii="Times New Roman" w:hAnsi="Times New Roman" w:cs="Times New Roman"/>
        </w:rPr>
        <w:t xml:space="preserve"> Group of Eminent International and Regional Experts on Yemen, </w:t>
      </w:r>
      <w:r>
        <w:rPr>
          <w:rFonts w:ascii="Times New Roman" w:hAnsi="Times New Roman" w:cs="Times New Roman"/>
          <w:i/>
          <w:iCs/>
        </w:rPr>
        <w:t>Situation of human rights in Yemen, including violations and abuses since September 2014</w:t>
      </w:r>
      <w:r>
        <w:rPr>
          <w:rFonts w:ascii="Times New Roman" w:hAnsi="Times New Roman" w:cs="Times New Roman"/>
        </w:rPr>
        <w:t>, 9 August 2019, UN Doc. A/HRC/42/17, para. 68.</w:t>
      </w:r>
    </w:p>
  </w:footnote>
  <w:footnote w:id="102">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In the Darkness – Abusive Detention, Disappearance and Torture in Yemen’s Unofficial Prisons, </w:t>
      </w:r>
      <w:r>
        <w:rPr>
          <w:rFonts w:ascii="Times New Roman" w:hAnsi="Times New Roman" w:cs="Times New Roman"/>
          <w:i/>
          <w:iCs/>
        </w:rPr>
        <w:t>op. cit.,</w:t>
      </w:r>
      <w:r>
        <w:rPr>
          <w:rFonts w:ascii="Times New Roman" w:hAnsi="Times New Roman" w:cs="Times New Roman"/>
        </w:rPr>
        <w:t xml:space="preserve"> p. 11.</w:t>
      </w:r>
    </w:p>
  </w:footnote>
  <w:footnote w:id="103">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In the Darkness – Abusive Detention, Disappearance and Torture in Yemen’s Unofficial Prisons, </w:t>
      </w:r>
      <w:r>
        <w:rPr>
          <w:rFonts w:ascii="Times New Roman" w:hAnsi="Times New Roman" w:cs="Times New Roman"/>
          <w:i/>
          <w:iCs/>
        </w:rPr>
        <w:t>op. cit.,</w:t>
      </w:r>
      <w:r>
        <w:rPr>
          <w:rFonts w:ascii="Times New Roman" w:hAnsi="Times New Roman" w:cs="Times New Roman"/>
        </w:rPr>
        <w:t xml:space="preserve"> p. 12.</w:t>
      </w:r>
    </w:p>
  </w:footnote>
  <w:footnote w:id="104">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In the Darkness – Abusive Detention, Disappearance and Torture in Yemen’s Unofficial Prisons, </w:t>
      </w:r>
      <w:r>
        <w:rPr>
          <w:rFonts w:ascii="Times New Roman" w:hAnsi="Times New Roman" w:cs="Times New Roman"/>
          <w:i/>
          <w:iCs/>
        </w:rPr>
        <w:t>op. cit.,</w:t>
      </w:r>
      <w:r>
        <w:rPr>
          <w:rFonts w:ascii="Times New Roman" w:hAnsi="Times New Roman" w:cs="Times New Roman"/>
        </w:rPr>
        <w:t xml:space="preserve"> pp. 13-14.</w:t>
      </w:r>
    </w:p>
  </w:footnote>
  <w:footnote w:id="105">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In the Darkness – Abusive Detention, Disappearance and Torture in Yemen’s Unofficial Prisons, </w:t>
      </w:r>
      <w:r>
        <w:rPr>
          <w:rFonts w:ascii="Times New Roman" w:hAnsi="Times New Roman" w:cs="Times New Roman"/>
          <w:i/>
          <w:iCs/>
        </w:rPr>
        <w:t>op. cit.,</w:t>
      </w:r>
      <w:r>
        <w:rPr>
          <w:rFonts w:ascii="Times New Roman" w:hAnsi="Times New Roman" w:cs="Times New Roman"/>
        </w:rPr>
        <w:t xml:space="preserve"> p. 14.</w:t>
      </w:r>
    </w:p>
  </w:footnote>
  <w:footnote w:id="106">
    <w:p w:rsidR="00F96166" w:rsidRDefault="00F96166">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In the Darkness – Abusive Detention, Disappearance and Torture in Yemen’s Unofficial Prisons, </w:t>
      </w:r>
      <w:r>
        <w:rPr>
          <w:rFonts w:ascii="Times New Roman" w:hAnsi="Times New Roman" w:cs="Times New Roman"/>
          <w:i/>
          <w:iCs/>
        </w:rPr>
        <w:t>op. cit.,</w:t>
      </w:r>
      <w:r>
        <w:rPr>
          <w:rFonts w:ascii="Times New Roman" w:hAnsi="Times New Roman" w:cs="Times New Roman"/>
        </w:rPr>
        <w:t xml:space="preserve"> p. 14.</w:t>
      </w:r>
    </w:p>
  </w:footnote>
  <w:footnote w:id="107">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See MENA Rights Group, Yemeni national secretly detained and tortured by Emirati forces in </w:t>
      </w:r>
      <w:proofErr w:type="spellStart"/>
      <w:r>
        <w:rPr>
          <w:rFonts w:ascii="Times New Roman" w:hAnsi="Times New Roman" w:cs="Times New Roman"/>
        </w:rPr>
        <w:t>Balhaf</w:t>
      </w:r>
      <w:proofErr w:type="spellEnd"/>
      <w:r>
        <w:rPr>
          <w:rFonts w:ascii="Times New Roman" w:hAnsi="Times New Roman" w:cs="Times New Roman"/>
        </w:rPr>
        <w:t xml:space="preserve">, 18 September 2020, </w:t>
      </w:r>
      <w:hyperlink r:id="rId57" w:tooltip="https://www.menarights.org/en/articles/yemeni-national-secretly-detained-and-tortured-uae-forces-balhaf" w:history="1">
        <w:r>
          <w:rPr>
            <w:rStyle w:val="Hyperlink"/>
            <w:rFonts w:ascii="Times New Roman" w:hAnsi="Times New Roman" w:cs="Times New Roman"/>
          </w:rPr>
          <w:t>https://www.menarights.org/en/articles/yemeni-national-secretly-detained-and-tortured-uae-forces-balhaf</w:t>
        </w:r>
      </w:hyperlink>
      <w:r>
        <w:rPr>
          <w:rFonts w:ascii="Times New Roman" w:hAnsi="Times New Roman" w:cs="Times New Roman"/>
        </w:rPr>
        <w:t xml:space="preserve"> (accessed 9 May 2022).</w:t>
      </w:r>
    </w:p>
  </w:footnote>
  <w:footnote w:id="108">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Group of Eminent International and Regional Experts on Yemen, </w:t>
      </w:r>
      <w:r>
        <w:rPr>
          <w:rFonts w:ascii="Times New Roman" w:hAnsi="Times New Roman" w:cs="Times New Roman"/>
          <w:i/>
          <w:iCs/>
        </w:rPr>
        <w:t>Situation of human rights in Yemen, including violations and abuses since September 2014</w:t>
      </w:r>
      <w:r>
        <w:rPr>
          <w:rFonts w:ascii="Times New Roman" w:hAnsi="Times New Roman" w:cs="Times New Roman"/>
        </w:rPr>
        <w:t>, 3 September 2019, UN Doc. A/HRC/42/CRP .1*, https://www.ohchr.org/sites/default/files/Documents/HRBodies/HRCouncil/GEE-Yemen/A_HRC_42_CRP_1.PDF (accessed 19 May 2022), para. 287.</w:t>
      </w:r>
    </w:p>
  </w:footnote>
  <w:footnote w:id="109">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Ibid. idem.</w:t>
      </w:r>
    </w:p>
  </w:footnote>
  <w:footnote w:id="110">
    <w:p w:rsidR="00F96166" w:rsidRDefault="00F96166">
      <w:pPr>
        <w:pStyle w:val="FootnoteText"/>
        <w:jc w:val="both"/>
        <w:rPr>
          <w:rFonts w:ascii="Times New Roman" w:hAnsi="Times New Roman" w:cs="Times New Roman"/>
          <w:i/>
          <w:iCs/>
        </w:rPr>
      </w:pPr>
      <w:r>
        <w:rPr>
          <w:rStyle w:val="FootnoteReference"/>
          <w:rFonts w:ascii="Times New Roman" w:hAnsi="Times New Roman" w:cs="Times New Roman"/>
        </w:rPr>
        <w:footnoteRef/>
      </w:r>
      <w:r>
        <w:rPr>
          <w:rFonts w:ascii="Times New Roman" w:hAnsi="Times New Roman" w:cs="Times New Roman"/>
        </w:rPr>
        <w:t xml:space="preserve"> </w:t>
      </w:r>
      <w:proofErr w:type="spellStart"/>
      <w:r>
        <w:rPr>
          <w:rFonts w:ascii="Times New Roman" w:hAnsi="Times New Roman" w:cs="Times New Roman"/>
        </w:rPr>
        <w:t>Center</w:t>
      </w:r>
      <w:proofErr w:type="spellEnd"/>
      <w:r>
        <w:rPr>
          <w:rFonts w:ascii="Times New Roman" w:hAnsi="Times New Roman" w:cs="Times New Roman"/>
        </w:rPr>
        <w:t xml:space="preserve"> for Civilians in Conflict, </w:t>
      </w:r>
      <w:r>
        <w:rPr>
          <w:rFonts w:ascii="Times New Roman" w:hAnsi="Times New Roman" w:cs="Times New Roman"/>
          <w:i/>
          <w:iCs/>
        </w:rPr>
        <w:t>“WE DID NOT KNOW IF WE WOULD DIE FROM BULLETS OR HUNGER” - Civilian Harm and Local Protection Measures in Yemen</w:t>
      </w:r>
      <w:r>
        <w:rPr>
          <w:rFonts w:ascii="Times New Roman" w:hAnsi="Times New Roman" w:cs="Times New Roman"/>
        </w:rPr>
        <w:t>, 2020, https://civiliansinconflict.org/wp-content/uploads/2020/01/YEMEN_BulletsorHunger_FINAL_PROOF.pdf (accessed 19 May 2022), pp. 28-29.</w:t>
      </w:r>
    </w:p>
  </w:footnote>
  <w:footnote w:id="111">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UAE Backs Abusive Local Forces- Resolve ‘Disappearances’, Grant Access to Detention Sites, </w:t>
      </w:r>
      <w:r>
        <w:rPr>
          <w:rFonts w:ascii="Times New Roman" w:hAnsi="Times New Roman" w:cs="Times New Roman"/>
          <w:i/>
          <w:iCs/>
        </w:rPr>
        <w:t>op. cit.</w:t>
      </w:r>
      <w:r>
        <w:rPr>
          <w:rFonts w:ascii="Times New Roman" w:hAnsi="Times New Roman" w:cs="Times New Roman"/>
        </w:rPr>
        <w:t xml:space="preserve">; Situation of human rights in Yemen, including violations and abuses since September 2014, </w:t>
      </w:r>
      <w:r>
        <w:rPr>
          <w:rFonts w:ascii="Times New Roman" w:hAnsi="Times New Roman" w:cs="Times New Roman"/>
          <w:i/>
          <w:iCs/>
        </w:rPr>
        <w:t>op. cit.</w:t>
      </w:r>
      <w:r>
        <w:rPr>
          <w:rFonts w:ascii="Times New Roman" w:hAnsi="Times New Roman" w:cs="Times New Roman"/>
        </w:rPr>
        <w:t>, para. 65.</w:t>
      </w:r>
    </w:p>
  </w:footnote>
  <w:footnote w:id="112">
    <w:p w:rsidR="00F96166" w:rsidRDefault="00F96166">
      <w:pPr>
        <w:pStyle w:val="FootnoteText"/>
        <w:jc w:val="both"/>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n-US"/>
        </w:rPr>
        <w:t xml:space="preserve">United Nations Office on Drugs and Crimes, The United Nations Standard Minimum Rules for the Treatment of Prisoners (the Nelson Mandela Rules), </w:t>
      </w:r>
      <w:hyperlink r:id="rId58" w:tooltip="https://www.unodc.org/documents/justice-and-prison-reform/Nelson_Mandela_Rules-E-ebook.pdf" w:history="1">
        <w:r>
          <w:rPr>
            <w:rStyle w:val="Hyperlink"/>
            <w:rFonts w:ascii="Times New Roman" w:hAnsi="Times New Roman" w:cs="Times New Roman"/>
            <w:lang w:val="en-US"/>
          </w:rPr>
          <w:t>https://www.unodc.org/documents/justice-and-prison-reform/Nelson_Mandela_Rules-E-ebook.pdf</w:t>
        </w:r>
      </w:hyperlink>
      <w:r>
        <w:rPr>
          <w:rFonts w:ascii="Times New Roman" w:hAnsi="Times New Roman" w:cs="Times New Roman"/>
          <w:lang w:val="en-US"/>
        </w:rPr>
        <w:t xml:space="preserve"> (accessed 12 May 2022).</w:t>
      </w:r>
    </w:p>
  </w:footnote>
  <w:footnote w:id="113">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2014 Report of the Special Rapporteur on the independence of judges and lawyers, </w:t>
      </w:r>
      <w:r>
        <w:rPr>
          <w:rFonts w:ascii="Times New Roman" w:hAnsi="Times New Roman" w:cs="Times New Roman"/>
          <w:i/>
          <w:iCs/>
        </w:rPr>
        <w:t>op. cit.</w:t>
      </w:r>
      <w:r>
        <w:rPr>
          <w:rFonts w:ascii="Times New Roman" w:hAnsi="Times New Roman" w:cs="Times New Roman"/>
        </w:rPr>
        <w:t>, para. 29.</w:t>
      </w:r>
    </w:p>
  </w:footnote>
  <w:footnote w:id="114">
    <w:p w:rsidR="00F96166" w:rsidRDefault="00F96166">
      <w:pPr>
        <w:pStyle w:val="EndnoteText"/>
        <w:spacing w:before="0"/>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Comments and suggestions on the 2014 Law No. 7 On Combatting Terrorism Offences (Law 7) which abrogated Federal Decree-Law no. 1/2004, </w:t>
      </w:r>
      <w:r>
        <w:rPr>
          <w:rFonts w:ascii="Times New Roman" w:hAnsi="Times New Roman" w:cs="Times New Roman"/>
          <w:i/>
          <w:iCs/>
        </w:rPr>
        <w:t>op. cit.</w:t>
      </w:r>
      <w:r>
        <w:rPr>
          <w:rFonts w:ascii="Times New Roman" w:hAnsi="Times New Roman" w:cs="Times New Roman"/>
        </w:rPr>
        <w:t>, pp. 20-21.</w:t>
      </w:r>
    </w:p>
  </w:footnote>
  <w:footnote w:id="115">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MENA Rights Group, </w:t>
      </w:r>
      <w:r>
        <w:rPr>
          <w:rFonts w:ascii="Times New Roman" w:hAnsi="Times New Roman" w:cs="Times New Roman"/>
          <w:i/>
          <w:iCs/>
        </w:rPr>
        <w:t>Human rights NGOs call on the UAE to immediately repeal or amend its new Law on Combatting Rumours and Cybercrime</w:t>
      </w:r>
      <w:r>
        <w:rPr>
          <w:rFonts w:ascii="Times New Roman" w:hAnsi="Times New Roman" w:cs="Times New Roman"/>
        </w:rPr>
        <w:t xml:space="preserve">, 24 January 2022, </w:t>
      </w:r>
      <w:hyperlink r:id="rId59" w:tooltip="https://www.menarights.org/en/articles/human-rights-ngos-call-uae-immediately-repeal-or-amend-its-new-law-combatting-rumours-and" w:history="1">
        <w:r>
          <w:rPr>
            <w:rStyle w:val="Hyperlink"/>
            <w:rFonts w:ascii="Times New Roman" w:hAnsi="Times New Roman" w:cs="Times New Roman"/>
          </w:rPr>
          <w:t>https://www.menarights.org/en/articles/human-rights-ngos-call-uae-immediately-repeal-or-amend-its-new-law-combatting-rumours-and</w:t>
        </w:r>
      </w:hyperlink>
      <w:r>
        <w:rPr>
          <w:rFonts w:ascii="Times New Roman" w:hAnsi="Times New Roman" w:cs="Times New Roman"/>
        </w:rPr>
        <w:t xml:space="preserve"> (accessed 11 May 2022).</w:t>
      </w:r>
    </w:p>
  </w:footnote>
  <w:footnote w:id="116">
    <w:p w:rsidR="00F96166" w:rsidRDefault="00F9616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A more detailed analyses of the provisions of the new penal code criminalising fundamental freedoms can be found at: MENA Rights Group, </w:t>
      </w:r>
      <w:r>
        <w:rPr>
          <w:rFonts w:ascii="Times New Roman" w:hAnsi="Times New Roman" w:cs="Times New Roman"/>
          <w:i/>
          <w:iCs/>
        </w:rPr>
        <w:t>New UAE penal code: increased restrictions on fundamental freedoms</w:t>
      </w:r>
      <w:r>
        <w:rPr>
          <w:rFonts w:ascii="Times New Roman" w:hAnsi="Times New Roman" w:cs="Times New Roman"/>
        </w:rPr>
        <w:t>, 8 May 2022, https://menarights.org/en/articles/new-uae-penal-code-increased-restrictions-fundamental-freedoms (accessed 19 May 2022).</w:t>
      </w:r>
    </w:p>
  </w:footnote>
  <w:footnote w:id="117">
    <w:p w:rsidR="00F96166" w:rsidRDefault="00F96166">
      <w:pPr>
        <w:pStyle w:val="FootnoteText"/>
        <w:jc w:val="both"/>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cs="Times New Roman"/>
        </w:rPr>
        <w:t xml:space="preserve"> Freedom House, </w:t>
      </w:r>
      <w:r>
        <w:rPr>
          <w:rFonts w:ascii="Times New Roman" w:hAnsi="Times New Roman" w:cs="Times New Roman"/>
          <w:i/>
          <w:iCs/>
        </w:rPr>
        <w:t>Freedom in the World 2021 – United Arab Emirates</w:t>
      </w:r>
      <w:r>
        <w:rPr>
          <w:rFonts w:ascii="Times New Roman" w:hAnsi="Times New Roman" w:cs="Times New Roman"/>
        </w:rPr>
        <w:t xml:space="preserve">, </w:t>
      </w:r>
      <w:hyperlink r:id="rId60" w:tooltip="https://freedomhouse.org/country/united-arab-emirates/freedom-world/2021" w:history="1">
        <w:r>
          <w:rPr>
            <w:rStyle w:val="Hyperlink"/>
            <w:rFonts w:ascii="Times New Roman" w:hAnsi="Times New Roman" w:cs="Times New Roman"/>
          </w:rPr>
          <w:t>https://freedomhouse.org/country/united-arab-emirates/freedom-world/2021</w:t>
        </w:r>
      </w:hyperlink>
      <w:r>
        <w:rPr>
          <w:rFonts w:ascii="Times New Roman" w:hAnsi="Times New Roman" w:cs="Times New Roman"/>
        </w:rPr>
        <w:t xml:space="preserve"> (accessed 27 April 2022).</w:t>
      </w:r>
    </w:p>
  </w:footnote>
  <w:footnote w:id="118">
    <w:p w:rsidR="00F96166" w:rsidRDefault="00F96166">
      <w:pPr>
        <w:pStyle w:val="FootnoteText"/>
        <w:jc w:val="both"/>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cs="Times New Roman"/>
        </w:rPr>
        <w:t xml:space="preserve"> CIVICUS: World Alliance for Citizen Participation, Gulf Centre for Human Rights and International Service for Human Rights, </w:t>
      </w:r>
      <w:r>
        <w:rPr>
          <w:rFonts w:ascii="Times New Roman" w:hAnsi="Times New Roman" w:cs="Times New Roman"/>
          <w:i/>
          <w:iCs/>
        </w:rPr>
        <w:t>United Arab Emirates - Joint Submission to the UN Universal Periodic Review 29th Session of the UPR Working Group</w:t>
      </w:r>
      <w:r>
        <w:rPr>
          <w:rFonts w:ascii="Times New Roman" w:hAnsi="Times New Roman" w:cs="Times New Roman"/>
        </w:rPr>
        <w:t xml:space="preserve">, </w:t>
      </w:r>
      <w:hyperlink r:id="rId61" w:tooltip="http://www.civicus.org/images/Joint.UPRSubmissionUAE.pdf" w:history="1">
        <w:r>
          <w:rPr>
            <w:rStyle w:val="Hyperlink"/>
            <w:rFonts w:ascii="Times New Roman" w:hAnsi="Times New Roman" w:cs="Times New Roman"/>
          </w:rPr>
          <w:t>http://www.civicus.org/images/Joint.UPRSubmissionUAE.pdf</w:t>
        </w:r>
      </w:hyperlink>
      <w:r>
        <w:rPr>
          <w:rFonts w:ascii="Times New Roman" w:hAnsi="Times New Roman" w:cs="Times New Roman"/>
        </w:rPr>
        <w:t xml:space="preserve"> (accessed 27 April 2022).</w:t>
      </w:r>
    </w:p>
  </w:footnote>
  <w:footnote w:id="119">
    <w:p w:rsidR="00F96166" w:rsidRDefault="00F96166">
      <w:pPr>
        <w:pStyle w:val="FootnoteText"/>
        <w:jc w:val="both"/>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n-US"/>
        </w:rPr>
        <w:t xml:space="preserve">See Frontline Defenders, </w:t>
      </w:r>
      <w:r>
        <w:rPr>
          <w:rFonts w:ascii="Times New Roman" w:hAnsi="Times New Roman" w:cs="Times New Roman"/>
          <w:i/>
          <w:iCs/>
          <w:lang w:val="en-US"/>
        </w:rPr>
        <w:t>Mohamed Al-</w:t>
      </w:r>
      <w:proofErr w:type="spellStart"/>
      <w:r>
        <w:rPr>
          <w:rFonts w:ascii="Times New Roman" w:hAnsi="Times New Roman" w:cs="Times New Roman"/>
          <w:i/>
          <w:iCs/>
          <w:lang w:val="en-US"/>
        </w:rPr>
        <w:t>Roken</w:t>
      </w:r>
      <w:proofErr w:type="spellEnd"/>
      <w:r>
        <w:rPr>
          <w:rFonts w:ascii="Times New Roman" w:hAnsi="Times New Roman" w:cs="Times New Roman"/>
          <w:lang w:val="en-US"/>
        </w:rPr>
        <w:t xml:space="preserve">, </w:t>
      </w:r>
      <w:hyperlink r:id="rId62" w:tooltip="https://www.frontlinedefenders.org/fr/profile/mohamed-al-roken" w:history="1">
        <w:r>
          <w:rPr>
            <w:rStyle w:val="Hyperlink"/>
            <w:rFonts w:ascii="Times New Roman" w:hAnsi="Times New Roman" w:cs="Times New Roman"/>
            <w:lang w:val="en-US"/>
          </w:rPr>
          <w:t>https://www.frontlinedefenders.org/fr/profile/mohamed-al-roken</w:t>
        </w:r>
      </w:hyperlink>
      <w:r>
        <w:rPr>
          <w:rFonts w:ascii="Times New Roman" w:hAnsi="Times New Roman" w:cs="Times New Roman"/>
          <w:lang w:val="en-US"/>
        </w:rPr>
        <w:t>; Amnesty International UK</w:t>
      </w:r>
      <w:r>
        <w:rPr>
          <w:rFonts w:ascii="Times New Roman" w:hAnsi="Times New Roman" w:cs="Times New Roman"/>
          <w:i/>
          <w:iCs/>
          <w:lang w:val="en-US"/>
        </w:rPr>
        <w:t xml:space="preserve">, In the spotlight: </w:t>
      </w:r>
      <w:proofErr w:type="spellStart"/>
      <w:r>
        <w:rPr>
          <w:rFonts w:ascii="Times New Roman" w:hAnsi="Times New Roman" w:cs="Times New Roman"/>
          <w:i/>
          <w:iCs/>
          <w:lang w:val="en-US"/>
        </w:rPr>
        <w:t>Dr</w:t>
      </w:r>
      <w:proofErr w:type="spellEnd"/>
      <w:r>
        <w:rPr>
          <w:rFonts w:ascii="Times New Roman" w:hAnsi="Times New Roman" w:cs="Times New Roman"/>
          <w:i/>
          <w:iCs/>
          <w:lang w:val="en-US"/>
        </w:rPr>
        <w:t xml:space="preserve"> Mohammed Al-</w:t>
      </w:r>
      <w:proofErr w:type="spellStart"/>
      <w:r>
        <w:rPr>
          <w:rFonts w:ascii="Times New Roman" w:hAnsi="Times New Roman" w:cs="Times New Roman"/>
          <w:i/>
          <w:iCs/>
          <w:lang w:val="en-US"/>
        </w:rPr>
        <w:t>Roken</w:t>
      </w:r>
      <w:proofErr w:type="spellEnd"/>
      <w:r>
        <w:rPr>
          <w:rFonts w:ascii="Times New Roman" w:hAnsi="Times New Roman" w:cs="Times New Roman"/>
          <w:i/>
          <w:iCs/>
          <w:lang w:val="en-US"/>
        </w:rPr>
        <w:t xml:space="preserve"> (UAE), prisoner of conscience</w:t>
      </w:r>
      <w:r>
        <w:rPr>
          <w:rFonts w:ascii="Times New Roman" w:hAnsi="Times New Roman" w:cs="Times New Roman"/>
          <w:lang w:val="en-US"/>
        </w:rPr>
        <w:t xml:space="preserve">, 23 November 2021, </w:t>
      </w:r>
      <w:hyperlink r:id="rId63" w:tooltip="https://www.amnesty.org.uk/groups/sutton/spotlight-dr-mohammed-al-roken-uae-prisoner-conscience" w:history="1">
        <w:r>
          <w:rPr>
            <w:rStyle w:val="Hyperlink"/>
            <w:rFonts w:ascii="Times New Roman" w:hAnsi="Times New Roman" w:cs="Times New Roman"/>
            <w:lang w:val="en-US"/>
          </w:rPr>
          <w:t>https://www.amnesty.org.uk/groups/sutton/spotlight-dr-mohammed-al-roken-uae-prisoner-conscience</w:t>
        </w:r>
      </w:hyperlink>
      <w:r>
        <w:rPr>
          <w:rFonts w:ascii="Times New Roman" w:hAnsi="Times New Roman" w:cs="Times New Roman"/>
          <w:lang w:val="en-US"/>
        </w:rPr>
        <w:t xml:space="preserve"> (all links accessed 11 May 2022).</w:t>
      </w:r>
    </w:p>
  </w:footnote>
  <w:footnote w:id="120">
    <w:p w:rsidR="00F96166" w:rsidRDefault="00F96166">
      <w:pPr>
        <w:pStyle w:val="FootnoteText"/>
        <w:jc w:val="both"/>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n-US"/>
        </w:rPr>
        <w:t xml:space="preserve">See Frontline Defenders, Detention of Nasser Bin </w:t>
      </w:r>
      <w:proofErr w:type="spellStart"/>
      <w:r>
        <w:rPr>
          <w:rFonts w:ascii="Times New Roman" w:hAnsi="Times New Roman" w:cs="Times New Roman"/>
          <w:lang w:val="en-US"/>
        </w:rPr>
        <w:t>Ghaith</w:t>
      </w:r>
      <w:proofErr w:type="spellEnd"/>
      <w:r>
        <w:rPr>
          <w:rFonts w:ascii="Times New Roman" w:hAnsi="Times New Roman" w:cs="Times New Roman"/>
          <w:lang w:val="en-US"/>
        </w:rPr>
        <w:t xml:space="preserve">, 29 March 2017, </w:t>
      </w:r>
      <w:hyperlink r:id="rId64" w:tooltip="https://www.frontlinedefenders.org/en/case/detention-nasser-bin-ghaith" w:history="1">
        <w:r>
          <w:rPr>
            <w:rStyle w:val="Hyperlink"/>
            <w:rFonts w:ascii="Times New Roman" w:hAnsi="Times New Roman" w:cs="Times New Roman"/>
            <w:lang w:val="en-US"/>
          </w:rPr>
          <w:t>https://www.frontlinedefenders.org/en/case/detention-nasser-bin-ghaith</w:t>
        </w:r>
      </w:hyperlink>
      <w:r>
        <w:rPr>
          <w:rFonts w:ascii="Times New Roman" w:hAnsi="Times New Roman" w:cs="Times New Roman"/>
          <w:lang w:val="en-US"/>
        </w:rPr>
        <w:t xml:space="preserve">; Amnesty International, UAE: Prominent academic jailed for 10 years over tweets in outrageous blow to freedom of expression, </w:t>
      </w:r>
      <w:hyperlink r:id="rId65" w:tooltip="https://www.amnesty.org/en/latest/news/2017/03/uae-prominent-academic-jailed-for-10-years-over-tweets-in-outrageous-blow-to-freedom-of-expression/" w:history="1">
        <w:r>
          <w:rPr>
            <w:rStyle w:val="Hyperlink"/>
            <w:rFonts w:ascii="Times New Roman" w:hAnsi="Times New Roman" w:cs="Times New Roman"/>
            <w:lang w:val="en-US"/>
          </w:rPr>
          <w:t>https://www.amnesty.org/en/latest/news/2017/03/uae-prominent-academic-jailed-for-10-years-over-tweets-in-outrageous-blow-to-freedom-of-expression/</w:t>
        </w:r>
      </w:hyperlink>
      <w:r>
        <w:rPr>
          <w:rFonts w:ascii="Times New Roman" w:hAnsi="Times New Roman" w:cs="Times New Roman"/>
          <w:lang w:val="en-US"/>
        </w:rPr>
        <w:t xml:space="preserve"> (all links accessed 11 May 2022).</w:t>
      </w:r>
    </w:p>
  </w:footnote>
  <w:footnote w:id="121">
    <w:p w:rsidR="00F96166" w:rsidRDefault="00F96166">
      <w:pPr>
        <w:pStyle w:val="FootnoteText"/>
        <w:jc w:val="both"/>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n-US"/>
        </w:rPr>
        <w:t xml:space="preserve">Joint statement condemning the inclusion of four Emirati activists and members of the UAE 94 on the UAE terrorism list, </w:t>
      </w:r>
      <w:r>
        <w:rPr>
          <w:rFonts w:ascii="Times New Roman" w:hAnsi="Times New Roman" w:cs="Times New Roman"/>
          <w:i/>
          <w:iCs/>
          <w:lang w:val="en-US"/>
        </w:rPr>
        <w:t>op. cit.</w:t>
      </w:r>
    </w:p>
  </w:footnote>
  <w:footnote w:id="122">
    <w:p w:rsidR="00F96166" w:rsidRDefault="00F96166">
      <w:pPr>
        <w:pStyle w:val="FootnoteText"/>
        <w:jc w:val="both"/>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n-US"/>
        </w:rPr>
        <w:t xml:space="preserve">MENA Rights Group, “UAE94” detainee </w:t>
      </w:r>
      <w:proofErr w:type="spellStart"/>
      <w:r>
        <w:rPr>
          <w:rFonts w:ascii="Times New Roman" w:hAnsi="Times New Roman" w:cs="Times New Roman"/>
          <w:lang w:val="en-US"/>
        </w:rPr>
        <w:t>Abdulsalam</w:t>
      </w:r>
      <w:proofErr w:type="spellEnd"/>
      <w:r>
        <w:rPr>
          <w:rFonts w:ascii="Times New Roman" w:hAnsi="Times New Roman" w:cs="Times New Roman"/>
          <w:lang w:val="en-US"/>
        </w:rPr>
        <w:t xml:space="preserve"> Al </w:t>
      </w:r>
      <w:proofErr w:type="spellStart"/>
      <w:r>
        <w:rPr>
          <w:rFonts w:ascii="Times New Roman" w:hAnsi="Times New Roman" w:cs="Times New Roman"/>
          <w:lang w:val="en-US"/>
        </w:rPr>
        <w:t>Marzooqi</w:t>
      </w:r>
      <w:proofErr w:type="spellEnd"/>
      <w:r>
        <w:rPr>
          <w:rFonts w:ascii="Times New Roman" w:hAnsi="Times New Roman" w:cs="Times New Roman"/>
          <w:lang w:val="en-US"/>
        </w:rPr>
        <w:t xml:space="preserve"> held arbitrarily since 2012, 18 June 2021, </w:t>
      </w:r>
      <w:hyperlink r:id="rId66" w:tooltip="https://www.menarights.org/en/caseprofile/uae94-detainee-abdulsalam-al-marzooqi-held-arbitrarily-2012" w:history="1">
        <w:r>
          <w:rPr>
            <w:rStyle w:val="Hyperlink"/>
            <w:rFonts w:ascii="Times New Roman" w:hAnsi="Times New Roman" w:cs="Times New Roman"/>
            <w:lang w:val="en-US"/>
          </w:rPr>
          <w:t>https://www.menarights.org/en/caseprofile/uae94-detainee-abdulsalam-al-marzooqi-held-arbitrarily-2012</w:t>
        </w:r>
      </w:hyperlink>
      <w:r>
        <w:rPr>
          <w:rFonts w:ascii="Times New Roman" w:hAnsi="Times New Roman" w:cs="Times New Roman"/>
          <w:lang w:val="en-US"/>
        </w:rPr>
        <w:t xml:space="preserve"> (accessed 11 May 2022).</w:t>
      </w:r>
    </w:p>
  </w:footnote>
  <w:footnote w:id="123">
    <w:p w:rsidR="00F96166" w:rsidRDefault="00F96166">
      <w:pPr>
        <w:pStyle w:val="FootnoteText"/>
        <w:jc w:val="both"/>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n-US"/>
        </w:rPr>
        <w:t xml:space="preserve">See Opinion No. 76/2017 concerning Nasser Bin </w:t>
      </w:r>
      <w:proofErr w:type="spellStart"/>
      <w:r>
        <w:rPr>
          <w:rFonts w:ascii="Times New Roman" w:hAnsi="Times New Roman" w:cs="Times New Roman"/>
          <w:lang w:val="en-US"/>
        </w:rPr>
        <w:t>Ghaith</w:t>
      </w:r>
      <w:proofErr w:type="spellEnd"/>
      <w:r>
        <w:rPr>
          <w:rFonts w:ascii="Times New Roman" w:hAnsi="Times New Roman" w:cs="Times New Roman"/>
          <w:lang w:val="en-US"/>
        </w:rPr>
        <w:t xml:space="preserve"> (United Arab Emirates), </w:t>
      </w:r>
      <w:r>
        <w:rPr>
          <w:rFonts w:ascii="Times New Roman" w:hAnsi="Times New Roman" w:cs="Times New Roman"/>
          <w:i/>
          <w:iCs/>
          <w:lang w:val="en-US"/>
        </w:rPr>
        <w:t>op. cit</w:t>
      </w:r>
      <w:r>
        <w:rPr>
          <w:rFonts w:ascii="Times New Roman" w:hAnsi="Times New Roman" w:cs="Times New Roman"/>
          <w:lang w:val="en-US"/>
        </w:rPr>
        <w:t>.</w:t>
      </w:r>
    </w:p>
  </w:footnote>
  <w:footnote w:id="124">
    <w:p w:rsidR="00F96166" w:rsidRDefault="00F96166">
      <w:pPr>
        <w:pStyle w:val="FootnoteText"/>
        <w:jc w:val="both"/>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n-US"/>
        </w:rPr>
        <w:t xml:space="preserve">See, for example, the cases of Ahmed </w:t>
      </w:r>
      <w:proofErr w:type="spellStart"/>
      <w:r>
        <w:rPr>
          <w:rFonts w:ascii="Times New Roman" w:hAnsi="Times New Roman" w:cs="Times New Roman"/>
          <w:lang w:val="en-US"/>
        </w:rPr>
        <w:t>Mansoor</w:t>
      </w:r>
      <w:proofErr w:type="spellEnd"/>
      <w:r>
        <w:rPr>
          <w:rFonts w:ascii="Times New Roman" w:hAnsi="Times New Roman" w:cs="Times New Roman"/>
          <w:lang w:val="en-US"/>
        </w:rPr>
        <w:t xml:space="preserve">, Maryam Al </w:t>
      </w:r>
      <w:proofErr w:type="spellStart"/>
      <w:r>
        <w:rPr>
          <w:rFonts w:ascii="Times New Roman" w:hAnsi="Times New Roman" w:cs="Times New Roman"/>
          <w:lang w:val="en-US"/>
        </w:rPr>
        <w:t>Balushi</w:t>
      </w:r>
      <w:proofErr w:type="spellEnd"/>
      <w:r>
        <w:rPr>
          <w:rFonts w:ascii="Times New Roman" w:hAnsi="Times New Roman" w:cs="Times New Roman"/>
          <w:lang w:val="en-US"/>
        </w:rPr>
        <w:t xml:space="preserve"> and Amina Al </w:t>
      </w:r>
      <w:proofErr w:type="spellStart"/>
      <w:r>
        <w:rPr>
          <w:rFonts w:ascii="Times New Roman" w:hAnsi="Times New Roman" w:cs="Times New Roman"/>
          <w:lang w:val="en-US"/>
        </w:rPr>
        <w:t>Abdouli</w:t>
      </w:r>
      <w:proofErr w:type="spellEnd"/>
      <w:r>
        <w:rPr>
          <w:rFonts w:ascii="Times New Roman" w:hAnsi="Times New Roman" w:cs="Times New Roman"/>
          <w:lang w:val="en-US"/>
        </w:rPr>
        <w:t xml:space="preserve"> in annex 1.</w:t>
      </w:r>
    </w:p>
  </w:footnote>
  <w:footnote w:id="125">
    <w:p w:rsidR="00F96166" w:rsidRDefault="00F96166">
      <w:pPr>
        <w:pStyle w:val="FootnoteText"/>
        <w:jc w:val="both"/>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n-US"/>
        </w:rPr>
        <w:t xml:space="preserve">See, for example, the two most recent reports, published in 2021 and 2020: UN Secretary General, </w:t>
      </w:r>
      <w:r>
        <w:rPr>
          <w:rFonts w:ascii="Times New Roman" w:hAnsi="Times New Roman" w:cs="Times New Roman"/>
          <w:i/>
          <w:iCs/>
          <w:lang w:val="en-US"/>
        </w:rPr>
        <w:t>Cooperation with the United Nations, its representatives and mechanisms in the field of human rights</w:t>
      </w:r>
      <w:r>
        <w:rPr>
          <w:rFonts w:ascii="Times New Roman" w:hAnsi="Times New Roman" w:cs="Times New Roman"/>
          <w:lang w:val="en-US"/>
        </w:rPr>
        <w:t xml:space="preserve">, 1 December 2021, UN Doc. A/HRC/48/28, </w:t>
      </w:r>
      <w:hyperlink r:id="rId67" w:tooltip="https://undocs.org/Home/Mobile?FinalSymbol=A%2FHRC%2F48%2F28&amp;Language=E&amp;DeviceType=Desktop&amp;LangRequested=False" w:history="1">
        <w:r>
          <w:rPr>
            <w:rStyle w:val="Hyperlink"/>
            <w:rFonts w:ascii="Times New Roman" w:hAnsi="Times New Roman" w:cs="Times New Roman"/>
            <w:lang w:val="en-US"/>
          </w:rPr>
          <w:t>https://undocs.org/Home/Mobile?FinalSymbol=A%2FHRC%2F48%2F28&amp;Language=E&amp;DeviceType=Desktop&amp;LangRequested=False</w:t>
        </w:r>
      </w:hyperlink>
      <w:r>
        <w:rPr>
          <w:rFonts w:ascii="Times New Roman" w:hAnsi="Times New Roman" w:cs="Times New Roman"/>
          <w:lang w:val="en-US"/>
        </w:rPr>
        <w:t xml:space="preserve">; UN Secretary General, Cooperation with the United Nations, its representatives and mechanisms in the field of human rights, 25 September 2020, UN Doc. A/HRC/45/36, </w:t>
      </w:r>
      <w:hyperlink r:id="rId68" w:tooltip="https://documents-dds-ny.un.org/doc/UNDOC/GEN/G20/239/52/PDF/G2023952.pdf?OpenElement" w:history="1">
        <w:r>
          <w:rPr>
            <w:rStyle w:val="Hyperlink"/>
            <w:rFonts w:ascii="Times New Roman" w:hAnsi="Times New Roman" w:cs="Times New Roman"/>
            <w:lang w:val="en-US"/>
          </w:rPr>
          <w:t>https://documents-dds-ny.un.org/doc/UNDOC/GEN/G20/239/52/PDF/G2023952.pdf?OpenElement</w:t>
        </w:r>
      </w:hyperlink>
      <w:r>
        <w:rPr>
          <w:rFonts w:ascii="Times New Roman" w:hAnsi="Times New Roman" w:cs="Times New Roman"/>
          <w:lang w:val="en-US"/>
        </w:rPr>
        <w:t xml:space="preserve"> (all links accessed 11 May 2022).</w:t>
      </w:r>
    </w:p>
  </w:footnote>
  <w:footnote w:id="126">
    <w:p w:rsidR="00F96166" w:rsidRDefault="00F96166">
      <w:pPr>
        <w:pStyle w:val="FootnoteText"/>
        <w:jc w:val="both"/>
        <w:rPr>
          <w:rFonts w:ascii="Times New Roman" w:hAnsi="Times New Roman" w:cs="Times New Roman"/>
          <w:i/>
          <w:iCs/>
          <w:lang w:val="en-US"/>
        </w:rPr>
      </w:pPr>
      <w:r>
        <w:rPr>
          <w:rStyle w:val="FootnoteReference"/>
          <w:rFonts w:ascii="Times New Roman" w:hAnsi="Times New Roman" w:cs="Times New Roman"/>
        </w:rPr>
        <w:footnoteRef/>
      </w:r>
      <w:r>
        <w:rPr>
          <w:rFonts w:ascii="Times New Roman" w:hAnsi="Times New Roman" w:cs="Times New Roman"/>
        </w:rPr>
        <w:t xml:space="preserve"> Saudi women’s rights activist sues three ex-US </w:t>
      </w:r>
      <w:proofErr w:type="gramStart"/>
      <w:r>
        <w:rPr>
          <w:rFonts w:ascii="Times New Roman" w:hAnsi="Times New Roman" w:cs="Times New Roman"/>
        </w:rPr>
        <w:t>intel</w:t>
      </w:r>
      <w:proofErr w:type="gramEnd"/>
      <w:r>
        <w:rPr>
          <w:rFonts w:ascii="Times New Roman" w:hAnsi="Times New Roman" w:cs="Times New Roman"/>
        </w:rPr>
        <w:t xml:space="preserve"> operatives over hacking for UAE, </w:t>
      </w:r>
      <w:r>
        <w:rPr>
          <w:rFonts w:ascii="Times New Roman" w:hAnsi="Times New Roman" w:cs="Times New Roman"/>
          <w:i/>
          <w:iCs/>
        </w:rPr>
        <w:t>op. cit.</w:t>
      </w:r>
    </w:p>
  </w:footnote>
  <w:footnote w:id="127">
    <w:p w:rsidR="00F96166" w:rsidRDefault="00F96166">
      <w:pPr>
        <w:pStyle w:val="FootnoteText"/>
        <w:jc w:val="both"/>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cs="Times New Roman"/>
        </w:rPr>
        <w:t xml:space="preserve"> Tanya O’Carroll, “The Guy Who Saved Your iPhone From Hackers Is Stuck in a UAE Jail”, </w:t>
      </w:r>
      <w:r>
        <w:rPr>
          <w:rFonts w:ascii="Times New Roman" w:hAnsi="Times New Roman" w:cs="Times New Roman"/>
          <w:i/>
          <w:iCs/>
          <w:lang w:val="en-US"/>
        </w:rPr>
        <w:t>Amnesty International</w:t>
      </w:r>
      <w:r>
        <w:rPr>
          <w:rFonts w:ascii="Times New Roman" w:hAnsi="Times New Roman" w:cs="Times New Roman"/>
          <w:lang w:val="en-US"/>
        </w:rPr>
        <w:t xml:space="preserve">, 12 May 2017, </w:t>
      </w:r>
      <w:hyperlink r:id="rId69" w:tooltip="https://www.amnesty.org/en/latest/news/2017/05/the-guy-who-saved-your-iphone-from-hackers-is-stuck-in-a-uae-jail/" w:history="1">
        <w:r>
          <w:rPr>
            <w:rStyle w:val="Hyperlink"/>
            <w:rFonts w:ascii="Times New Roman" w:hAnsi="Times New Roman" w:cs="Times New Roman"/>
            <w:lang w:val="en-US"/>
          </w:rPr>
          <w:t>https://www.amnesty.org/en/latest/news/2017/05/the-guy-who-saved-your-iphone-from-hackers-is-stuck-in-a-uae-jail/</w:t>
        </w:r>
      </w:hyperlink>
      <w:r>
        <w:rPr>
          <w:rFonts w:ascii="Times New Roman" w:hAnsi="Times New Roman" w:cs="Times New Roman"/>
          <w:lang w:val="en-US"/>
        </w:rPr>
        <w:t xml:space="preserve"> (accessed 12 May 2022).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6166" w:rsidRDefault="00F96166">
    <w:pPr>
      <w:pStyle w:val="Header"/>
    </w:pPr>
    <w:r>
      <w:rPr>
        <w:noProof/>
        <w:lang w:val="fr-CH" w:eastAsia="fr-CH"/>
      </w:rPr>
      <mc:AlternateContent>
        <mc:Choice Requires="wpg">
          <w:drawing>
            <wp:anchor distT="0" distB="0" distL="114300" distR="114300" simplePos="0" relativeHeight="502791168" behindDoc="1" locked="0" layoutInCell="0" allowOverlap="1">
              <wp:simplePos x="0" y="0"/>
              <wp:positionH relativeFrom="margin">
                <wp:align>center</wp:align>
              </wp:positionH>
              <wp:positionV relativeFrom="margin">
                <wp:align>center</wp:align>
              </wp:positionV>
              <wp:extent cx="7559040" cy="10692130"/>
              <wp:effectExtent l="0" t="0" r="0" b="0"/>
              <wp:wrapNone/>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pic:blipFill>
                    <pic:spPr bwMode="auto">
                      <a:xfrm>
                        <a:off x="0" y="0"/>
                        <a:ext cx="7559040" cy="10692130"/>
                      </a:xfrm>
                      <a:prstGeom prst="rect">
                        <a:avLst/>
                      </a:prstGeom>
                      <a:noFill/>
                      <a:ln>
                        <a:noFill/>
                      </a:ln>
                    </pic:spPr>
                  </pic:pic>
                </a:graphicData>
              </a:graphic>
              <wp14:sizeRelH relativeFrom="margin">
                <wp14:pctWidth>0</wp14:pctWidth>
              </wp14:sizeRelH>
              <wp14:sizeRelV relativeFrom="margin">
                <wp14:pctHeight>0</wp14:pctHeight>
              </wp14:sizeRelV>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mso-wrap-distance-left:9.0pt;mso-wrap-distance-top:0.0pt;mso-wrap-distance-right:9.0pt;mso-wrap-distance-bottom:0.0pt;z-index:-502791168;o:allowoverlap:true;o:allowincell:false;mso-position-horizontal-relative:margin;mso-position-horizontal:center;mso-position-vertical-relative:margin;mso-position-vertical:center;width:595.2pt;height:841.9pt;" stroked="f">
              <v:path textboxrect="0,0,0,0"/>
              <v:imagedata r:id="rId2" o:titl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8493910"/>
      <w:docPartObj>
        <w:docPartGallery w:val="Page Numbers (Top of Page)"/>
        <w:docPartUnique/>
      </w:docPartObj>
    </w:sdtPr>
    <w:sdtContent>
      <w:p w:rsidR="00F96166" w:rsidRDefault="00F96166">
        <w:pPr>
          <w:pStyle w:val="Header"/>
          <w:jc w:val="right"/>
        </w:pPr>
        <w:r>
          <w:rPr>
            <w:noProof/>
            <w:lang w:val="fr-CH" w:eastAsia="fr-CH"/>
          </w:rPr>
          <w:drawing>
            <wp:anchor distT="0" distB="0" distL="114300" distR="114300" simplePos="0" relativeHeight="502796288" behindDoc="0" locked="0" layoutInCell="1" allowOverlap="1" wp14:anchorId="749A56EA" wp14:editId="60054851">
              <wp:simplePos x="0" y="0"/>
              <wp:positionH relativeFrom="column">
                <wp:posOffset>89535</wp:posOffset>
              </wp:positionH>
              <wp:positionV relativeFrom="paragraph">
                <wp:posOffset>12065</wp:posOffset>
              </wp:positionV>
              <wp:extent cx="627897" cy="611798"/>
              <wp:effectExtent l="0" t="0" r="1270" b="0"/>
              <wp:wrapNone/>
              <wp:docPr id="9" name="Picture 9" descr="https://en.edacrights.com/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edacrights.com/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7897" cy="61179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fr-CH" w:eastAsia="fr-CH"/>
          </w:rPr>
          <mc:AlternateContent>
            <mc:Choice Requires="wpg">
              <w:drawing>
                <wp:anchor distT="0" distB="0" distL="114300" distR="114300" simplePos="0" relativeHeight="502790144" behindDoc="1" locked="0" layoutInCell="0" allowOverlap="1">
                  <wp:simplePos x="0" y="0"/>
                  <wp:positionH relativeFrom="margin">
                    <wp:align>center</wp:align>
                  </wp:positionH>
                  <wp:positionV relativeFrom="margin">
                    <wp:align>center</wp:align>
                  </wp:positionV>
                  <wp:extent cx="7559040" cy="10692130"/>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pic:blipFill>
                        <pic:spPr bwMode="auto">
                          <a:xfrm>
                            <a:off x="0" y="0"/>
                            <a:ext cx="7559040" cy="10692130"/>
                          </a:xfrm>
                          <a:prstGeom prst="rect">
                            <a:avLst/>
                          </a:prstGeom>
                          <a:noFill/>
                          <a:ln>
                            <a:noFill/>
                          </a:ln>
                        </pic:spPr>
                      </pic:pic>
                    </a:graphicData>
                  </a:graphic>
                  <wp14:sizeRelH relativeFrom="margin">
                    <wp14:pctWidth>0</wp14:pctWidth>
                  </wp14:sizeRelH>
                  <wp14:sizeRelV relativeFrom="margin">
                    <wp14:pctHeight>0</wp14:pctHeight>
                  </wp14:sizeRelV>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mso-wrap-distance-left:9.0pt;mso-wrap-distance-top:0.0pt;mso-wrap-distance-right:9.0pt;mso-wrap-distance-bottom:0.0pt;z-index:-502790144;o:allowoverlap:true;o:allowincell:false;mso-position-horizontal-relative:margin;mso-position-horizontal:center;mso-position-vertical-relative:margin;mso-position-vertical:center;width:595.2pt;height:841.9pt;" stroked="f">
                  <v:path textboxrect="0,0,0,0"/>
                  <v:imagedata r:id="rId3" o:title=""/>
                </v:shape>
              </w:pict>
            </mc:Fallback>
          </mc:AlternateContent>
        </w:r>
        <w:r>
          <w:rPr>
            <w:noProof/>
            <w:lang w:val="fr-CH" w:eastAsia="fr-CH"/>
          </w:rPr>
          <mc:AlternateContent>
            <mc:Choice Requires="wpg">
              <w:drawing>
                <wp:inline distT="0" distB="0" distL="0" distR="0">
                  <wp:extent cx="854015" cy="433894"/>
                  <wp:effectExtent l="0" t="0" r="3810" b="4445"/>
                  <wp:docPr id="2" name="Picture 18" descr="C:\Users\Media-Int2\AppData\Local\Microsoft\Windows\INetCache\Content.Word\MRG-Logo (no spa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Users\Media-Int2\AppData\Local\Microsoft\Windows\INetCache\Content.Word\MRG-Logo (no space).png"/>
                          <pic:cNvPicPr>
                            <a:picLocks noChangeAspect="1"/>
                          </pic:cNvPicPr>
                        </pic:nvPicPr>
                        <pic:blipFill>
                          <a:blip r:embed="rId4"/>
                          <a:stretch/>
                        </pic:blipFill>
                        <pic:spPr bwMode="auto">
                          <a:xfrm>
                            <a:off x="0" y="0"/>
                            <a:ext cx="869285" cy="441652"/>
                          </a:xfrm>
                          <a:prstGeom prst="rect">
                            <a:avLst/>
                          </a:prstGeom>
                          <a:noFill/>
                          <a:ln>
                            <a:noFill/>
                          </a:ln>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mso-wrap-distance-left:0.0pt;mso-wrap-distance-top:0.0pt;mso-wrap-distance-right:0.0pt;mso-wrap-distance-bottom:0.0pt;width:67.2pt;height:34.2pt;" stroked="f">
                  <v:path textboxrect="0,0,0,0"/>
                  <v:imagedata r:id="rId5" o:title=""/>
                </v:shape>
              </w:pict>
            </mc:Fallback>
          </mc:AlternateContent>
        </w:r>
      </w:p>
    </w:sdtContent>
  </w:sdt>
  <w:p w:rsidR="00F96166" w:rsidRDefault="00F96166" w:rsidP="00F96166">
    <w:pPr>
      <w:pStyle w:val="Header"/>
      <w:tabs>
        <w:tab w:val="clear" w:pos="4536"/>
        <w:tab w:val="clear" w:pos="9072"/>
        <w:tab w:val="left" w:pos="2160"/>
      </w:tabs>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6166" w:rsidRDefault="00F96166">
    <w:pPr>
      <w:pStyle w:val="Header"/>
      <w:jc w:val="right"/>
    </w:pPr>
    <w:r>
      <w:rPr>
        <w:noProof/>
        <w:lang w:val="fr-CH" w:eastAsia="fr-CH"/>
      </w:rPr>
      <w:drawing>
        <wp:anchor distT="0" distB="0" distL="114300" distR="114300" simplePos="0" relativeHeight="251658240" behindDoc="1" locked="0" layoutInCell="0" allowOverlap="1">
          <wp:simplePos x="0" y="0"/>
          <wp:positionH relativeFrom="margin">
            <wp:align>center</wp:align>
          </wp:positionH>
          <wp:positionV relativeFrom="margin">
            <wp:align>center</wp:align>
          </wp:positionV>
          <wp:extent cx="7559040" cy="10692130"/>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pic:blipFill>
                <pic:spPr bwMode="auto">
                  <a:xfrm>
                    <a:off x="0" y="0"/>
                    <a:ext cx="7559040" cy="106921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96166" w:rsidRDefault="008254E3">
    <w:pPr>
      <w:pStyle w:val="Header"/>
    </w:pPr>
    <w:r>
      <w:rPr>
        <w:noProof/>
        <w:lang w:val="fr-CH" w:eastAsia="fr-CH"/>
      </w:rPr>
      <w:drawing>
        <wp:anchor distT="0" distB="0" distL="114300" distR="114300" simplePos="0" relativeHeight="502794240" behindDoc="0" locked="0" layoutInCell="1" allowOverlap="1">
          <wp:simplePos x="0" y="0"/>
          <wp:positionH relativeFrom="column">
            <wp:posOffset>4080510</wp:posOffset>
          </wp:positionH>
          <wp:positionV relativeFrom="paragraph">
            <wp:posOffset>209550</wp:posOffset>
          </wp:positionV>
          <wp:extent cx="1518285" cy="774065"/>
          <wp:effectExtent l="0" t="0" r="5715" b="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18285" cy="774065"/>
                  </a:xfrm>
                  <a:prstGeom prst="rect">
                    <a:avLst/>
                  </a:prstGeom>
                  <a:noFill/>
                </pic:spPr>
              </pic:pic>
            </a:graphicData>
          </a:graphic>
          <wp14:sizeRelH relativeFrom="page">
            <wp14:pctWidth>0</wp14:pctWidth>
          </wp14:sizeRelH>
          <wp14:sizeRelV relativeFrom="page">
            <wp14:pctHeight>0</wp14:pctHeight>
          </wp14:sizeRelV>
        </wp:anchor>
      </w:drawing>
    </w:r>
    <w:r>
      <w:rPr>
        <w:noProof/>
        <w:lang w:val="fr-CH" w:eastAsia="fr-CH"/>
      </w:rPr>
      <w:drawing>
        <wp:anchor distT="0" distB="0" distL="114300" distR="114300" simplePos="0" relativeHeight="502793216" behindDoc="0" locked="0" layoutInCell="1" allowOverlap="1" wp14:anchorId="5C72978A" wp14:editId="332C7149">
          <wp:simplePos x="0" y="0"/>
          <wp:positionH relativeFrom="column">
            <wp:posOffset>27940</wp:posOffset>
          </wp:positionH>
          <wp:positionV relativeFrom="paragraph">
            <wp:posOffset>41910</wp:posOffset>
          </wp:positionV>
          <wp:extent cx="961390" cy="936625"/>
          <wp:effectExtent l="0" t="0" r="0" b="0"/>
          <wp:wrapNone/>
          <wp:docPr id="7" name="Picture 7" descr="https://en.edacrights.com/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edacrights.com/logo.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1390" cy="9366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4055D5"/>
    <w:multiLevelType w:val="hybridMultilevel"/>
    <w:tmpl w:val="25709FC4"/>
    <w:lvl w:ilvl="0" w:tplc="8C5AD05E">
      <w:start w:val="1"/>
      <w:numFmt w:val="bullet"/>
      <w:lvlText w:val=""/>
      <w:lvlJc w:val="left"/>
      <w:pPr>
        <w:ind w:left="720" w:hanging="360"/>
      </w:pPr>
      <w:rPr>
        <w:rFonts w:ascii="Symbol" w:hAnsi="Symbol" w:hint="default"/>
      </w:rPr>
    </w:lvl>
    <w:lvl w:ilvl="1" w:tplc="23C0C42A">
      <w:start w:val="1"/>
      <w:numFmt w:val="bullet"/>
      <w:lvlText w:val="o"/>
      <w:lvlJc w:val="left"/>
      <w:pPr>
        <w:ind w:left="1440" w:hanging="360"/>
      </w:pPr>
      <w:rPr>
        <w:rFonts w:ascii="Courier New" w:hAnsi="Courier New" w:cs="Courier New" w:hint="default"/>
      </w:rPr>
    </w:lvl>
    <w:lvl w:ilvl="2" w:tplc="05166752">
      <w:start w:val="1"/>
      <w:numFmt w:val="bullet"/>
      <w:lvlText w:val=""/>
      <w:lvlJc w:val="left"/>
      <w:pPr>
        <w:ind w:left="2160" w:hanging="360"/>
      </w:pPr>
      <w:rPr>
        <w:rFonts w:ascii="Wingdings" w:hAnsi="Wingdings" w:hint="default"/>
      </w:rPr>
    </w:lvl>
    <w:lvl w:ilvl="3" w:tplc="4AD41E8A">
      <w:start w:val="1"/>
      <w:numFmt w:val="bullet"/>
      <w:lvlText w:val=""/>
      <w:lvlJc w:val="left"/>
      <w:pPr>
        <w:ind w:left="2880" w:hanging="360"/>
      </w:pPr>
      <w:rPr>
        <w:rFonts w:ascii="Symbol" w:hAnsi="Symbol" w:hint="default"/>
      </w:rPr>
    </w:lvl>
    <w:lvl w:ilvl="4" w:tplc="FAD43946">
      <w:start w:val="1"/>
      <w:numFmt w:val="bullet"/>
      <w:lvlText w:val="o"/>
      <w:lvlJc w:val="left"/>
      <w:pPr>
        <w:ind w:left="3600" w:hanging="360"/>
      </w:pPr>
      <w:rPr>
        <w:rFonts w:ascii="Courier New" w:hAnsi="Courier New" w:cs="Courier New" w:hint="default"/>
      </w:rPr>
    </w:lvl>
    <w:lvl w:ilvl="5" w:tplc="B464FE32">
      <w:start w:val="1"/>
      <w:numFmt w:val="bullet"/>
      <w:lvlText w:val=""/>
      <w:lvlJc w:val="left"/>
      <w:pPr>
        <w:ind w:left="4320" w:hanging="360"/>
      </w:pPr>
      <w:rPr>
        <w:rFonts w:ascii="Wingdings" w:hAnsi="Wingdings" w:hint="default"/>
      </w:rPr>
    </w:lvl>
    <w:lvl w:ilvl="6" w:tplc="894246BE">
      <w:start w:val="1"/>
      <w:numFmt w:val="bullet"/>
      <w:lvlText w:val=""/>
      <w:lvlJc w:val="left"/>
      <w:pPr>
        <w:ind w:left="5040" w:hanging="360"/>
      </w:pPr>
      <w:rPr>
        <w:rFonts w:ascii="Symbol" w:hAnsi="Symbol" w:hint="default"/>
      </w:rPr>
    </w:lvl>
    <w:lvl w:ilvl="7" w:tplc="747E6EF0">
      <w:start w:val="1"/>
      <w:numFmt w:val="bullet"/>
      <w:lvlText w:val="o"/>
      <w:lvlJc w:val="left"/>
      <w:pPr>
        <w:ind w:left="5760" w:hanging="360"/>
      </w:pPr>
      <w:rPr>
        <w:rFonts w:ascii="Courier New" w:hAnsi="Courier New" w:cs="Courier New" w:hint="default"/>
      </w:rPr>
    </w:lvl>
    <w:lvl w:ilvl="8" w:tplc="4C386374">
      <w:start w:val="1"/>
      <w:numFmt w:val="bullet"/>
      <w:lvlText w:val=""/>
      <w:lvlJc w:val="left"/>
      <w:pPr>
        <w:ind w:left="6480" w:hanging="360"/>
      </w:pPr>
      <w:rPr>
        <w:rFonts w:ascii="Wingdings" w:hAnsi="Wingdings" w:hint="default"/>
      </w:rPr>
    </w:lvl>
  </w:abstractNum>
  <w:abstractNum w:abstractNumId="1" w15:restartNumberingAfterBreak="0">
    <w:nsid w:val="473756C4"/>
    <w:multiLevelType w:val="multilevel"/>
    <w:tmpl w:val="B494340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6DF733D"/>
    <w:multiLevelType w:val="hybridMultilevel"/>
    <w:tmpl w:val="597EBC2A"/>
    <w:lvl w:ilvl="0" w:tplc="41466D98">
      <w:start w:val="1"/>
      <w:numFmt w:val="bullet"/>
      <w:lvlText w:val=""/>
      <w:lvlJc w:val="left"/>
      <w:pPr>
        <w:ind w:left="720" w:hanging="360"/>
      </w:pPr>
      <w:rPr>
        <w:rFonts w:ascii="Symbol" w:hAnsi="Symbol" w:hint="default"/>
      </w:rPr>
    </w:lvl>
    <w:lvl w:ilvl="1" w:tplc="BC06CCEE">
      <w:start w:val="1"/>
      <w:numFmt w:val="bullet"/>
      <w:lvlText w:val="o"/>
      <w:lvlJc w:val="left"/>
      <w:pPr>
        <w:ind w:left="1440" w:hanging="360"/>
      </w:pPr>
      <w:rPr>
        <w:rFonts w:ascii="Courier New" w:hAnsi="Courier New" w:cs="Courier New" w:hint="default"/>
      </w:rPr>
    </w:lvl>
    <w:lvl w:ilvl="2" w:tplc="7506E2BA">
      <w:start w:val="1"/>
      <w:numFmt w:val="bullet"/>
      <w:lvlText w:val=""/>
      <w:lvlJc w:val="left"/>
      <w:pPr>
        <w:ind w:left="2160" w:hanging="360"/>
      </w:pPr>
      <w:rPr>
        <w:rFonts w:ascii="Wingdings" w:hAnsi="Wingdings" w:hint="default"/>
      </w:rPr>
    </w:lvl>
    <w:lvl w:ilvl="3" w:tplc="A6DE2D2E">
      <w:start w:val="1"/>
      <w:numFmt w:val="bullet"/>
      <w:lvlText w:val=""/>
      <w:lvlJc w:val="left"/>
      <w:pPr>
        <w:ind w:left="2880" w:hanging="360"/>
      </w:pPr>
      <w:rPr>
        <w:rFonts w:ascii="Symbol" w:hAnsi="Symbol" w:hint="default"/>
      </w:rPr>
    </w:lvl>
    <w:lvl w:ilvl="4" w:tplc="848A2A12">
      <w:start w:val="1"/>
      <w:numFmt w:val="bullet"/>
      <w:lvlText w:val="o"/>
      <w:lvlJc w:val="left"/>
      <w:pPr>
        <w:ind w:left="3600" w:hanging="360"/>
      </w:pPr>
      <w:rPr>
        <w:rFonts w:ascii="Courier New" w:hAnsi="Courier New" w:cs="Courier New" w:hint="default"/>
      </w:rPr>
    </w:lvl>
    <w:lvl w:ilvl="5" w:tplc="54222906">
      <w:start w:val="1"/>
      <w:numFmt w:val="bullet"/>
      <w:lvlText w:val=""/>
      <w:lvlJc w:val="left"/>
      <w:pPr>
        <w:ind w:left="4320" w:hanging="360"/>
      </w:pPr>
      <w:rPr>
        <w:rFonts w:ascii="Wingdings" w:hAnsi="Wingdings" w:hint="default"/>
      </w:rPr>
    </w:lvl>
    <w:lvl w:ilvl="6" w:tplc="3D10EC56">
      <w:start w:val="1"/>
      <w:numFmt w:val="bullet"/>
      <w:lvlText w:val=""/>
      <w:lvlJc w:val="left"/>
      <w:pPr>
        <w:ind w:left="5040" w:hanging="360"/>
      </w:pPr>
      <w:rPr>
        <w:rFonts w:ascii="Symbol" w:hAnsi="Symbol" w:hint="default"/>
      </w:rPr>
    </w:lvl>
    <w:lvl w:ilvl="7" w:tplc="24BC8616">
      <w:start w:val="1"/>
      <w:numFmt w:val="bullet"/>
      <w:lvlText w:val="o"/>
      <w:lvlJc w:val="left"/>
      <w:pPr>
        <w:ind w:left="5760" w:hanging="360"/>
      </w:pPr>
      <w:rPr>
        <w:rFonts w:ascii="Courier New" w:hAnsi="Courier New" w:cs="Courier New" w:hint="default"/>
      </w:rPr>
    </w:lvl>
    <w:lvl w:ilvl="8" w:tplc="8236F840">
      <w:start w:val="1"/>
      <w:numFmt w:val="bullet"/>
      <w:lvlText w:val=""/>
      <w:lvlJc w:val="left"/>
      <w:pPr>
        <w:ind w:left="6480" w:hanging="360"/>
      </w:pPr>
      <w:rPr>
        <w:rFonts w:ascii="Wingdings" w:hAnsi="Wingdings" w:hint="default"/>
      </w:rPr>
    </w:lvl>
  </w:abstractNum>
  <w:abstractNum w:abstractNumId="3" w15:restartNumberingAfterBreak="0">
    <w:nsid w:val="63D82F32"/>
    <w:multiLevelType w:val="multilevel"/>
    <w:tmpl w:val="C86EC8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i w:val="0"/>
        <w:iCs w:val="0"/>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68AA008D"/>
    <w:multiLevelType w:val="multilevel"/>
    <w:tmpl w:val="97367A8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A1914B4"/>
    <w:multiLevelType w:val="hybridMultilevel"/>
    <w:tmpl w:val="F2E8454E"/>
    <w:lvl w:ilvl="0" w:tplc="2AECFCBA">
      <w:start w:val="1"/>
      <w:numFmt w:val="bullet"/>
      <w:lvlText w:val=""/>
      <w:lvlJc w:val="left"/>
      <w:pPr>
        <w:ind w:left="720" w:hanging="360"/>
      </w:pPr>
      <w:rPr>
        <w:rFonts w:ascii="Symbol" w:hAnsi="Symbol" w:hint="default"/>
      </w:rPr>
    </w:lvl>
    <w:lvl w:ilvl="1" w:tplc="22766BEC">
      <w:start w:val="1"/>
      <w:numFmt w:val="bullet"/>
      <w:lvlText w:val="o"/>
      <w:lvlJc w:val="left"/>
      <w:pPr>
        <w:ind w:left="1440" w:hanging="360"/>
      </w:pPr>
      <w:rPr>
        <w:rFonts w:ascii="Courier New" w:hAnsi="Courier New" w:cs="Courier New" w:hint="default"/>
      </w:rPr>
    </w:lvl>
    <w:lvl w:ilvl="2" w:tplc="9E7EB7B0">
      <w:start w:val="1"/>
      <w:numFmt w:val="bullet"/>
      <w:lvlText w:val=""/>
      <w:lvlJc w:val="left"/>
      <w:pPr>
        <w:ind w:left="2160" w:hanging="360"/>
      </w:pPr>
      <w:rPr>
        <w:rFonts w:ascii="Wingdings" w:hAnsi="Wingdings" w:hint="default"/>
      </w:rPr>
    </w:lvl>
    <w:lvl w:ilvl="3" w:tplc="89E6AE64">
      <w:start w:val="1"/>
      <w:numFmt w:val="bullet"/>
      <w:lvlText w:val=""/>
      <w:lvlJc w:val="left"/>
      <w:pPr>
        <w:ind w:left="2880" w:hanging="360"/>
      </w:pPr>
      <w:rPr>
        <w:rFonts w:ascii="Symbol" w:hAnsi="Symbol" w:hint="default"/>
      </w:rPr>
    </w:lvl>
    <w:lvl w:ilvl="4" w:tplc="B4E0730C">
      <w:start w:val="1"/>
      <w:numFmt w:val="bullet"/>
      <w:lvlText w:val="o"/>
      <w:lvlJc w:val="left"/>
      <w:pPr>
        <w:ind w:left="3600" w:hanging="360"/>
      </w:pPr>
      <w:rPr>
        <w:rFonts w:ascii="Courier New" w:hAnsi="Courier New" w:cs="Courier New" w:hint="default"/>
      </w:rPr>
    </w:lvl>
    <w:lvl w:ilvl="5" w:tplc="040C85F0">
      <w:start w:val="1"/>
      <w:numFmt w:val="bullet"/>
      <w:lvlText w:val=""/>
      <w:lvlJc w:val="left"/>
      <w:pPr>
        <w:ind w:left="4320" w:hanging="360"/>
      </w:pPr>
      <w:rPr>
        <w:rFonts w:ascii="Wingdings" w:hAnsi="Wingdings" w:hint="default"/>
      </w:rPr>
    </w:lvl>
    <w:lvl w:ilvl="6" w:tplc="E9BEC71C">
      <w:start w:val="1"/>
      <w:numFmt w:val="bullet"/>
      <w:lvlText w:val=""/>
      <w:lvlJc w:val="left"/>
      <w:pPr>
        <w:ind w:left="5040" w:hanging="360"/>
      </w:pPr>
      <w:rPr>
        <w:rFonts w:ascii="Symbol" w:hAnsi="Symbol" w:hint="default"/>
      </w:rPr>
    </w:lvl>
    <w:lvl w:ilvl="7" w:tplc="F86C024C">
      <w:start w:val="1"/>
      <w:numFmt w:val="bullet"/>
      <w:lvlText w:val="o"/>
      <w:lvlJc w:val="left"/>
      <w:pPr>
        <w:ind w:left="5760" w:hanging="360"/>
      </w:pPr>
      <w:rPr>
        <w:rFonts w:ascii="Courier New" w:hAnsi="Courier New" w:cs="Courier New" w:hint="default"/>
      </w:rPr>
    </w:lvl>
    <w:lvl w:ilvl="8" w:tplc="93F0E714">
      <w:start w:val="1"/>
      <w:numFmt w:val="bullet"/>
      <w:lvlText w:val=""/>
      <w:lvlJc w:val="left"/>
      <w:pPr>
        <w:ind w:left="6480" w:hanging="360"/>
      </w:pPr>
      <w:rPr>
        <w:rFonts w:ascii="Wingdings" w:hAnsi="Wingdings" w:hint="default"/>
      </w:rPr>
    </w:lvl>
  </w:abstractNum>
  <w:abstractNum w:abstractNumId="6" w15:restartNumberingAfterBreak="0">
    <w:nsid w:val="70A2532B"/>
    <w:multiLevelType w:val="hybridMultilevel"/>
    <w:tmpl w:val="CEBA53D4"/>
    <w:lvl w:ilvl="0" w:tplc="55CE2464">
      <w:start w:val="40"/>
      <w:numFmt w:val="bullet"/>
      <w:lvlText w:val="-"/>
      <w:lvlJc w:val="left"/>
      <w:pPr>
        <w:ind w:left="720" w:hanging="360"/>
      </w:pPr>
      <w:rPr>
        <w:rFonts w:ascii="roboto" w:eastAsiaTheme="minorHAnsi" w:hAnsi="roboto" w:cstheme="minorBidi" w:hint="default"/>
      </w:rPr>
    </w:lvl>
    <w:lvl w:ilvl="1" w:tplc="76FABB10">
      <w:start w:val="1"/>
      <w:numFmt w:val="bullet"/>
      <w:lvlText w:val="o"/>
      <w:lvlJc w:val="left"/>
      <w:pPr>
        <w:ind w:left="1440" w:hanging="360"/>
      </w:pPr>
      <w:rPr>
        <w:rFonts w:ascii="Courier New" w:hAnsi="Courier New" w:cs="Courier New" w:hint="default"/>
      </w:rPr>
    </w:lvl>
    <w:lvl w:ilvl="2" w:tplc="E6946C0C">
      <w:start w:val="1"/>
      <w:numFmt w:val="bullet"/>
      <w:lvlText w:val=""/>
      <w:lvlJc w:val="left"/>
      <w:pPr>
        <w:ind w:left="2160" w:hanging="360"/>
      </w:pPr>
      <w:rPr>
        <w:rFonts w:ascii="Wingdings" w:hAnsi="Wingdings" w:hint="default"/>
      </w:rPr>
    </w:lvl>
    <w:lvl w:ilvl="3" w:tplc="65AE5B58">
      <w:start w:val="1"/>
      <w:numFmt w:val="bullet"/>
      <w:lvlText w:val=""/>
      <w:lvlJc w:val="left"/>
      <w:pPr>
        <w:ind w:left="2880" w:hanging="360"/>
      </w:pPr>
      <w:rPr>
        <w:rFonts w:ascii="Symbol" w:hAnsi="Symbol" w:hint="default"/>
      </w:rPr>
    </w:lvl>
    <w:lvl w:ilvl="4" w:tplc="9654A122">
      <w:start w:val="1"/>
      <w:numFmt w:val="bullet"/>
      <w:lvlText w:val="o"/>
      <w:lvlJc w:val="left"/>
      <w:pPr>
        <w:ind w:left="3600" w:hanging="360"/>
      </w:pPr>
      <w:rPr>
        <w:rFonts w:ascii="Courier New" w:hAnsi="Courier New" w:cs="Courier New" w:hint="default"/>
      </w:rPr>
    </w:lvl>
    <w:lvl w:ilvl="5" w:tplc="335EF7EC">
      <w:start w:val="1"/>
      <w:numFmt w:val="bullet"/>
      <w:lvlText w:val=""/>
      <w:lvlJc w:val="left"/>
      <w:pPr>
        <w:ind w:left="4320" w:hanging="360"/>
      </w:pPr>
      <w:rPr>
        <w:rFonts w:ascii="Wingdings" w:hAnsi="Wingdings" w:hint="default"/>
      </w:rPr>
    </w:lvl>
    <w:lvl w:ilvl="6" w:tplc="B46AD35A">
      <w:start w:val="1"/>
      <w:numFmt w:val="bullet"/>
      <w:lvlText w:val=""/>
      <w:lvlJc w:val="left"/>
      <w:pPr>
        <w:ind w:left="5040" w:hanging="360"/>
      </w:pPr>
      <w:rPr>
        <w:rFonts w:ascii="Symbol" w:hAnsi="Symbol" w:hint="default"/>
      </w:rPr>
    </w:lvl>
    <w:lvl w:ilvl="7" w:tplc="A8184056">
      <w:start w:val="1"/>
      <w:numFmt w:val="bullet"/>
      <w:lvlText w:val="o"/>
      <w:lvlJc w:val="left"/>
      <w:pPr>
        <w:ind w:left="5760" w:hanging="360"/>
      </w:pPr>
      <w:rPr>
        <w:rFonts w:ascii="Courier New" w:hAnsi="Courier New" w:cs="Courier New" w:hint="default"/>
      </w:rPr>
    </w:lvl>
    <w:lvl w:ilvl="8" w:tplc="B4908FB0">
      <w:start w:val="1"/>
      <w:numFmt w:val="bullet"/>
      <w:lvlText w:val=""/>
      <w:lvlJc w:val="left"/>
      <w:pPr>
        <w:ind w:left="6480" w:hanging="360"/>
      </w:pPr>
      <w:rPr>
        <w:rFonts w:ascii="Wingdings" w:hAnsi="Wingdings" w:hint="default"/>
      </w:rPr>
    </w:lvl>
  </w:abstractNum>
  <w:abstractNum w:abstractNumId="7" w15:restartNumberingAfterBreak="0">
    <w:nsid w:val="77776C9A"/>
    <w:multiLevelType w:val="hybridMultilevel"/>
    <w:tmpl w:val="521EDD24"/>
    <w:lvl w:ilvl="0" w:tplc="27D440C6">
      <w:start w:val="1"/>
      <w:numFmt w:val="decimal"/>
      <w:lvlText w:val="%1."/>
      <w:lvlJc w:val="left"/>
      <w:pPr>
        <w:ind w:left="720" w:hanging="360"/>
      </w:pPr>
    </w:lvl>
    <w:lvl w:ilvl="1" w:tplc="5B346E66">
      <w:start w:val="1"/>
      <w:numFmt w:val="lowerLetter"/>
      <w:lvlText w:val="%2."/>
      <w:lvlJc w:val="left"/>
      <w:pPr>
        <w:ind w:left="1440" w:hanging="360"/>
      </w:pPr>
    </w:lvl>
    <w:lvl w:ilvl="2" w:tplc="D7601206">
      <w:start w:val="1"/>
      <w:numFmt w:val="lowerRoman"/>
      <w:lvlText w:val="%3."/>
      <w:lvlJc w:val="right"/>
      <w:pPr>
        <w:ind w:left="2160" w:hanging="180"/>
      </w:pPr>
    </w:lvl>
    <w:lvl w:ilvl="3" w:tplc="D8D62EA4">
      <w:start w:val="1"/>
      <w:numFmt w:val="decimal"/>
      <w:lvlText w:val="%4."/>
      <w:lvlJc w:val="left"/>
      <w:pPr>
        <w:ind w:left="2880" w:hanging="360"/>
      </w:pPr>
    </w:lvl>
    <w:lvl w:ilvl="4" w:tplc="8F621794">
      <w:start w:val="1"/>
      <w:numFmt w:val="lowerLetter"/>
      <w:lvlText w:val="%5."/>
      <w:lvlJc w:val="left"/>
      <w:pPr>
        <w:ind w:left="3600" w:hanging="360"/>
      </w:pPr>
    </w:lvl>
    <w:lvl w:ilvl="5" w:tplc="E138B006">
      <w:start w:val="1"/>
      <w:numFmt w:val="lowerRoman"/>
      <w:lvlText w:val="%6."/>
      <w:lvlJc w:val="right"/>
      <w:pPr>
        <w:ind w:left="4320" w:hanging="180"/>
      </w:pPr>
    </w:lvl>
    <w:lvl w:ilvl="6" w:tplc="8C4CD760">
      <w:start w:val="1"/>
      <w:numFmt w:val="decimal"/>
      <w:lvlText w:val="%7."/>
      <w:lvlJc w:val="left"/>
      <w:pPr>
        <w:ind w:left="5040" w:hanging="360"/>
      </w:pPr>
    </w:lvl>
    <w:lvl w:ilvl="7" w:tplc="1460FBCC">
      <w:start w:val="1"/>
      <w:numFmt w:val="lowerLetter"/>
      <w:lvlText w:val="%8."/>
      <w:lvlJc w:val="left"/>
      <w:pPr>
        <w:ind w:left="5760" w:hanging="360"/>
      </w:pPr>
    </w:lvl>
    <w:lvl w:ilvl="8" w:tplc="72FEFF24">
      <w:start w:val="1"/>
      <w:numFmt w:val="lowerRoman"/>
      <w:lvlText w:val="%9."/>
      <w:lvlJc w:val="right"/>
      <w:pPr>
        <w:ind w:left="6480" w:hanging="180"/>
      </w:pPr>
    </w:lvl>
  </w:abstractNum>
  <w:num w:numId="1">
    <w:abstractNumId w:val="7"/>
  </w:num>
  <w:num w:numId="2">
    <w:abstractNumId w:val="4"/>
  </w:num>
  <w:num w:numId="3">
    <w:abstractNumId w:val="1"/>
  </w:num>
  <w:num w:numId="4">
    <w:abstractNumId w:val="3"/>
  </w:num>
  <w:num w:numId="5">
    <w:abstractNumId w:val="0"/>
  </w:num>
  <w:num w:numId="6">
    <w:abstractNumId w:val="5"/>
  </w:num>
  <w:num w:numId="7">
    <w:abstractNumId w:val="2"/>
  </w:num>
  <w:num w:numId="8">
    <w:abstractNumId w:val="6"/>
  </w:num>
</w:numbering>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amzi Kaiss">
    <w15:presenceInfo w15:providerId="AD" w15:userId="S::ramzi.kaiss@graduateinstitute.ch::2da64b4b-0149-44f7-a763-07c942d9c4b5"/>
  </w15:person>
  <w15:person w15:author="Ines Osman">
    <w15:presenceInfo w15:providerId="Windows Live" w15:userId="2d16845d1f6576d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59F"/>
    <w:rsid w:val="0008285E"/>
    <w:rsid w:val="0060459F"/>
    <w:rsid w:val="008254E3"/>
    <w:rsid w:val="00F46B46"/>
    <w:rsid w:val="00F961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65BBEA4-3089-416F-8C01-2AC0C7B44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before="160"/>
    </w:pPr>
    <w:rPr>
      <w:lang w:val="en-GB"/>
    </w:rPr>
  </w:style>
  <w:style w:type="paragraph" w:styleId="Heading1">
    <w:name w:val="heading 1"/>
    <w:basedOn w:val="Normal"/>
    <w:next w:val="Normal"/>
    <w:link w:val="Heading1Char"/>
    <w:uiPriority w:val="9"/>
    <w:qFormat/>
    <w:pPr>
      <w:keepNext/>
      <w:keepLines/>
      <w:numPr>
        <w:numId w:val="4"/>
      </w:numPr>
      <w:pBdr>
        <w:bottom w:val="single" w:sz="8" w:space="1" w:color="543192"/>
      </w:pBdr>
      <w:spacing w:before="240" w:after="360"/>
      <w:ind w:left="0" w:firstLine="0"/>
      <w:outlineLvl w:val="0"/>
    </w:pPr>
    <w:rPr>
      <w:rFonts w:ascii="roboto" w:eastAsiaTheme="majorEastAsia" w:hAnsi="roboto" w:cstheme="majorBidi"/>
      <w:b/>
      <w:bCs/>
      <w:color w:val="543192"/>
      <w:sz w:val="48"/>
      <w:szCs w:val="48"/>
      <w:shd w:val="clear" w:color="auto" w:fill="FFFFFF"/>
    </w:rPr>
  </w:style>
  <w:style w:type="paragraph" w:styleId="Heading2">
    <w:name w:val="heading 2"/>
    <w:basedOn w:val="Normal"/>
    <w:next w:val="Normal"/>
    <w:link w:val="Heading2Char"/>
    <w:uiPriority w:val="9"/>
    <w:unhideWhenUsed/>
    <w:qFormat/>
    <w:pPr>
      <w:keepNext/>
      <w:keepLines/>
      <w:numPr>
        <w:ilvl w:val="1"/>
        <w:numId w:val="4"/>
      </w:numPr>
      <w:spacing w:before="80" w:after="80"/>
      <w:ind w:left="709" w:hanging="709"/>
      <w:jc w:val="both"/>
      <w:outlineLvl w:val="1"/>
    </w:pPr>
    <w:rPr>
      <w:rFonts w:ascii="roboto" w:eastAsiaTheme="majorEastAsia" w:hAnsi="roboto" w:cstheme="majorBidi"/>
      <w:b/>
      <w:bCs/>
      <w:color w:val="555656"/>
      <w:sz w:val="36"/>
      <w:szCs w:val="36"/>
    </w:rPr>
  </w:style>
  <w:style w:type="paragraph" w:styleId="Heading3">
    <w:name w:val="heading 3"/>
    <w:basedOn w:val="Normal"/>
    <w:next w:val="Normal"/>
    <w:link w:val="Heading3Char"/>
    <w:uiPriority w:val="9"/>
    <w:unhideWhenUsed/>
    <w:qFormat/>
    <w:pPr>
      <w:keepNext/>
      <w:keepLines/>
      <w:numPr>
        <w:ilvl w:val="2"/>
        <w:numId w:val="4"/>
      </w:numPr>
      <w:spacing w:before="80" w:after="80"/>
      <w:ind w:left="709" w:hanging="709"/>
      <w:outlineLvl w:val="2"/>
    </w:pPr>
    <w:rPr>
      <w:rFonts w:ascii="roboto" w:eastAsiaTheme="majorEastAsia" w:hAnsi="roboto" w:cstheme="majorBidi"/>
      <w:b/>
      <w:bCs/>
      <w:color w:val="949494"/>
      <w:sz w:val="28"/>
      <w:szCs w:val="28"/>
    </w:rPr>
  </w:style>
  <w:style w:type="paragraph" w:styleId="Heading4">
    <w:name w:val="heading 4"/>
    <w:basedOn w:val="Normal"/>
    <w:next w:val="Normal"/>
    <w:link w:val="Heading4Char"/>
    <w:uiPriority w:val="9"/>
    <w:semiHidden/>
    <w:unhideWhenUsed/>
    <w:pPr>
      <w:keepNext/>
      <w:keepLines/>
      <w:numPr>
        <w:ilvl w:val="3"/>
        <w:numId w:val="4"/>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pPr>
      <w:keepNext/>
      <w:keepLines/>
      <w:numPr>
        <w:ilvl w:val="4"/>
        <w:numId w:val="4"/>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pPr>
      <w:keepNext/>
      <w:keepLines/>
      <w:numPr>
        <w:ilvl w:val="5"/>
        <w:numId w:val="4"/>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pPr>
      <w:keepNext/>
      <w:keepLines/>
      <w:numPr>
        <w:ilvl w:val="6"/>
        <w:numId w:val="4"/>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TableGridLight1">
    <w:name w:val="Table Grid Light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1">
    <w:name w:val="Grid Table 1 Light - Accent 1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1">
    <w:name w:val="Grid Table 1 Light - Accent 21"/>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1">
    <w:name w:val="Grid Table 1 Light - Accent 61"/>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1">
    <w:name w:val="Grid Table 2 - Accent 1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1">
    <w:name w:val="Grid Table 2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
    <w:name w:val="Grid Table 2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
    <w:name w:val="Grid Table 2 - Accent 51"/>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1">
    <w:name w:val="Grid Table 2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Accent11">
    <w:name w:val="Grid Table 3 - Accent 1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1">
    <w:name w:val="Grid Table 3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
    <w:name w:val="Grid Table 3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
    <w:name w:val="Grid Table 3 - Accent 51"/>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1">
    <w:name w:val="Grid Table 3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Accent11">
    <w:name w:val="Grid Table 4 - Accent 11"/>
    <w:basedOn w:val="Table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1">
    <w:name w:val="Grid Table 4 - Accent 21"/>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
    <w:name w:val="Grid Table 4 - Accent 31"/>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
    <w:name w:val="Grid Table 4 - Accent 51"/>
    <w:basedOn w:val="Table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1">
    <w:name w:val="Grid Table 4 - Accent 61"/>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Accent21">
    <w:name w:val="Grid Table 5 Dark - Accent 2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
    <w:name w:val="Grid Table 5 Dark - Accent 3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51">
    <w:name w:val="Grid Table 5 Dark - Accent 5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1">
    <w:name w:val="Grid Table 5 Dark - Accent 6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Accent11">
    <w:name w:val="Grid Table 6 Colorful - Accent 11"/>
    <w:basedOn w:val="Table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1">
    <w:name w:val="Grid Table 6 Colorful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Table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1">
    <w:name w:val="Grid Table 6 Colorful - Accent 61"/>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Accent11">
    <w:name w:val="Grid Table 7 Colorful - Accent 11"/>
    <w:basedOn w:val="Table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1">
    <w:name w:val="Grid Table 7 Colorful - Accent 21"/>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Table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1">
    <w:name w:val="Grid Table 7 Colorful - Accent 61"/>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Accent11">
    <w:name w:val="List Table 1 Light - Accent 1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1">
    <w:name w:val="List Table 1 Light - Accent 2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
    <w:name w:val="List Table 1 Light - Accent 3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
    <w:name w:val="List Table 1 Light - Accent 5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1">
    <w:name w:val="List Table 1 Light - Accent 6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Accent11">
    <w:name w:val="List Table 2 - Accent 11"/>
    <w:basedOn w:val="Table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1">
    <w:name w:val="List Table 2 - Accent 21"/>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
    <w:name w:val="List Table 2 - Accent 31"/>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
    <w:name w:val="List Table 2 - Accent 51"/>
    <w:basedOn w:val="Table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1">
    <w:name w:val="List Table 2 - Accent 61"/>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Accent11">
    <w:name w:val="List Table 3 - Accent 11"/>
    <w:basedOn w:val="Table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1">
    <w:name w:val="List Table 3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Table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1">
    <w:name w:val="List Table 3 - Accent 61"/>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1">
    <w:name w:val="List Table 4 - Accent 11"/>
    <w:basedOn w:val="Table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1">
    <w:name w:val="List Table 4 - Accent 21"/>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
    <w:name w:val="List Table 4 - Accent 31"/>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
    <w:name w:val="List Table 4 - Accent 51"/>
    <w:basedOn w:val="Table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1">
    <w:name w:val="List Table 4 - Accent 61"/>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Accent11">
    <w:name w:val="List Table 5 Dark - Accent 11"/>
    <w:basedOn w:val="Table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1">
    <w:name w:val="List Table 5 Dark - Accent 21"/>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
    <w:name w:val="List Table 5 Dark - Accent 31"/>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
    <w:name w:val="List Table 5 Dark - Accent 51"/>
    <w:basedOn w:val="Table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1">
    <w:name w:val="List Table 5 Dark - Accent 61"/>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Accent11">
    <w:name w:val="List Table 6 Colorful - Accent 11"/>
    <w:basedOn w:val="Table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1">
    <w:name w:val="List Table 6 Colorful - Accent 21"/>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Table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1">
    <w:name w:val="List Table 6 Colorful - Accent 61"/>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Accent11">
    <w:name w:val="List Table 7 Colorful - Accent 11"/>
    <w:basedOn w:val="Table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1">
    <w:name w:val="List Table 7 Colorful - Accent 21"/>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Table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1">
    <w:name w:val="List Table 7 Colorful - Accent 61"/>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paragraph" w:styleId="Caption">
    <w:name w:val="caption"/>
    <w:basedOn w:val="Normal"/>
    <w:next w:val="Normal"/>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ned-Accent">
    <w:name w:val="Lined - Accent"/>
    <w:basedOn w:val="TableNormal"/>
    <w:uiPriority w:val="99"/>
    <w:pPr>
      <w:spacing w:after="0" w:line="240" w:lineRule="auto"/>
    </w:pPr>
    <w:rPr>
      <w:color w:val="404040"/>
      <w:sz w:val="20"/>
      <w:szCs w:val="20"/>
      <w:lang w:eastAsia="fr-CH"/>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eastAsia="fr-CH"/>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eastAsia="fr-CH"/>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eastAsia="fr-CH"/>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eastAsia="fr-CH"/>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eastAsia="fr-CH"/>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eastAsia="fr-CH"/>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eastAsia="fr-CH"/>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fr-CH"/>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fr-CH"/>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fr-CH"/>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fr-CH"/>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fr-CH"/>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fr-CH"/>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EndnoteText">
    <w:name w:val="endnote text"/>
    <w:basedOn w:val="Normal"/>
    <w:link w:val="EndnoteTextChar"/>
    <w:uiPriority w:val="99"/>
    <w:unhideWhenUsed/>
    <w:pPr>
      <w:spacing w:after="0" w:line="240" w:lineRule="auto"/>
    </w:pPr>
    <w:rPr>
      <w:sz w:val="20"/>
    </w:rPr>
  </w:style>
  <w:style w:type="character" w:customStyle="1" w:styleId="EndnoteTextChar">
    <w:name w:val="Endnote Text Char"/>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ableofFigures">
    <w:name w:val="table of figures"/>
    <w:basedOn w:val="Normal"/>
    <w:next w:val="Normal"/>
    <w:uiPriority w:val="99"/>
    <w:unhideWhenUsed/>
    <w:pPr>
      <w:spacing w:after="0"/>
    </w:pPr>
  </w:style>
  <w:style w:type="paragraph" w:styleId="Header">
    <w:name w:val="header"/>
    <w:basedOn w:val="Normal"/>
    <w:link w:val="HeaderChar"/>
    <w:uiPriority w:val="99"/>
    <w:unhideWhenUsed/>
    <w:pPr>
      <w:tabs>
        <w:tab w:val="center" w:pos="4536"/>
        <w:tab w:val="right" w:pos="9072"/>
      </w:tabs>
      <w:spacing w:after="0" w:line="240" w:lineRule="auto"/>
    </w:pPr>
  </w:style>
  <w:style w:type="character" w:customStyle="1" w:styleId="HeaderChar">
    <w:name w:val="Header Char"/>
    <w:basedOn w:val="DefaultParagraphFont"/>
    <w:link w:val="Header"/>
    <w:uiPriority w:val="99"/>
    <w:rPr>
      <w:lang w:val="en-GB"/>
    </w:rPr>
  </w:style>
  <w:style w:type="paragraph" w:styleId="Footer">
    <w:name w:val="footer"/>
    <w:basedOn w:val="Normal"/>
    <w:link w:val="FooterChar"/>
    <w:uiPriority w:val="99"/>
    <w:unhideWhenUsed/>
    <w:pPr>
      <w:tabs>
        <w:tab w:val="center" w:pos="4536"/>
        <w:tab w:val="right" w:pos="9072"/>
      </w:tabs>
      <w:spacing w:after="0" w:line="240" w:lineRule="auto"/>
    </w:pPr>
  </w:style>
  <w:style w:type="character" w:customStyle="1" w:styleId="FooterChar">
    <w:name w:val="Footer Char"/>
    <w:basedOn w:val="DefaultParagraphFont"/>
    <w:link w:val="Footer"/>
    <w:uiPriority w:val="99"/>
    <w:rPr>
      <w:lang w:val="en-GB"/>
    </w:rPr>
  </w:style>
  <w:style w:type="paragraph" w:styleId="NoSpacing">
    <w:name w:val="No Spacing"/>
    <w:link w:val="NoSpacingChar"/>
    <w:uiPriority w:val="1"/>
    <w:pPr>
      <w:spacing w:after="0" w:line="240" w:lineRule="auto"/>
    </w:pPr>
    <w:rPr>
      <w:rFonts w:eastAsiaTheme="minorEastAsia"/>
      <w:lang w:val="en-US"/>
    </w:rPr>
  </w:style>
  <w:style w:type="character" w:customStyle="1" w:styleId="NoSpacingChar">
    <w:name w:val="No Spacing Char"/>
    <w:basedOn w:val="DefaultParagraphFont"/>
    <w:link w:val="NoSpacing"/>
    <w:uiPriority w:val="1"/>
    <w:rPr>
      <w:rFonts w:eastAsiaTheme="minorEastAsia"/>
      <w:lang w:val="en-US"/>
    </w:rPr>
  </w:style>
  <w:style w:type="paragraph" w:customStyle="1" w:styleId="BasicParagraph">
    <w:name w:val="[Basic Paragraph]"/>
    <w:basedOn w:val="Normal"/>
    <w:uiPriority w:val="99"/>
    <w:pPr>
      <w:spacing w:after="0" w:line="288" w:lineRule="auto"/>
    </w:pPr>
    <w:rPr>
      <w:rFonts w:ascii="minion pro" w:hAnsi="minion pro" w:cs="minion pro"/>
      <w:color w:val="000000"/>
      <w:sz w:val="24"/>
      <w:szCs w:val="24"/>
    </w:rPr>
  </w:style>
  <w:style w:type="character" w:customStyle="1" w:styleId="Heading1Char">
    <w:name w:val="Heading 1 Char"/>
    <w:basedOn w:val="DefaultParagraphFont"/>
    <w:link w:val="Heading1"/>
    <w:uiPriority w:val="9"/>
    <w:rPr>
      <w:rFonts w:ascii="roboto" w:eastAsiaTheme="majorEastAsia" w:hAnsi="roboto" w:cstheme="majorBidi"/>
      <w:b/>
      <w:bCs/>
      <w:color w:val="543192"/>
      <w:sz w:val="48"/>
      <w:szCs w:val="48"/>
      <w:lang w:val="en-GB"/>
    </w:rPr>
  </w:style>
  <w:style w:type="paragraph" w:styleId="TOCHeading">
    <w:name w:val="TOC Heading"/>
    <w:basedOn w:val="Heading1"/>
    <w:next w:val="Normal"/>
    <w:uiPriority w:val="39"/>
    <w:unhideWhenUsed/>
    <w:pPr>
      <w:outlineLvl w:val="9"/>
    </w:pPr>
    <w:rPr>
      <w:lang w:val="en-US"/>
    </w:rPr>
  </w:style>
  <w:style w:type="paragraph" w:styleId="ListParagraph">
    <w:name w:val="List Paragraph"/>
    <w:basedOn w:val="Normal"/>
    <w:uiPriority w:val="34"/>
    <w:pPr>
      <w:ind w:left="720"/>
      <w:contextualSpacing/>
    </w:pPr>
  </w:style>
  <w:style w:type="character" w:styleId="Strong">
    <w:name w:val="Strong"/>
    <w:basedOn w:val="DefaultParagraphFont"/>
    <w:uiPriority w:val="22"/>
    <w:rPr>
      <w:rFonts w:ascii="roboto" w:hAnsi="roboto"/>
    </w:rPr>
  </w:style>
  <w:style w:type="character" w:customStyle="1" w:styleId="Heading2Char">
    <w:name w:val="Heading 2 Char"/>
    <w:basedOn w:val="DefaultParagraphFont"/>
    <w:link w:val="Heading2"/>
    <w:uiPriority w:val="9"/>
    <w:rPr>
      <w:rFonts w:ascii="roboto" w:eastAsiaTheme="majorEastAsia" w:hAnsi="roboto" w:cstheme="majorBidi"/>
      <w:b/>
      <w:bCs/>
      <w:color w:val="555656"/>
      <w:sz w:val="36"/>
      <w:szCs w:val="36"/>
      <w:lang w:val="en-GB"/>
    </w:rPr>
  </w:style>
  <w:style w:type="character" w:customStyle="1" w:styleId="Heading3Char">
    <w:name w:val="Heading 3 Char"/>
    <w:basedOn w:val="DefaultParagraphFont"/>
    <w:link w:val="Heading3"/>
    <w:uiPriority w:val="9"/>
    <w:rPr>
      <w:rFonts w:ascii="roboto" w:eastAsiaTheme="majorEastAsia" w:hAnsi="roboto" w:cstheme="majorBidi"/>
      <w:b/>
      <w:bCs/>
      <w:color w:val="949494"/>
      <w:sz w:val="28"/>
      <w:szCs w:val="28"/>
      <w:lang w:val="en-GB"/>
    </w:rPr>
  </w:style>
  <w:style w:type="paragraph" w:styleId="Subtitle">
    <w:name w:val="Subtitle"/>
    <w:basedOn w:val="Normal"/>
    <w:next w:val="Normal"/>
    <w:link w:val="SubtitleChar"/>
    <w:uiPriority w:val="11"/>
    <w:qFormat/>
    <w:pPr>
      <w:pBdr>
        <w:top w:val="single" w:sz="18" w:space="1" w:color="543192"/>
        <w:left w:val="single" w:sz="18" w:space="4" w:color="543192"/>
        <w:bottom w:val="single" w:sz="18" w:space="1" w:color="543192"/>
        <w:right w:val="single" w:sz="18" w:space="4" w:color="543192"/>
      </w:pBdr>
      <w:spacing w:line="360" w:lineRule="auto"/>
      <w:jc w:val="both"/>
    </w:pPr>
    <w:rPr>
      <w:rFonts w:ascii="roboto" w:hAnsi="roboto" w:cs="Arial"/>
      <w:color w:val="000000"/>
      <w:shd w:val="clear" w:color="auto" w:fill="FFFFFF"/>
    </w:rPr>
  </w:style>
  <w:style w:type="character" w:customStyle="1" w:styleId="SubtitleChar">
    <w:name w:val="Subtitle Char"/>
    <w:basedOn w:val="DefaultParagraphFont"/>
    <w:link w:val="Subtitle"/>
    <w:uiPriority w:val="11"/>
    <w:rPr>
      <w:rFonts w:ascii="roboto" w:hAnsi="roboto" w:cs="Arial"/>
      <w:color w:val="000000"/>
      <w:lang w:val="en-GB"/>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tabs>
        <w:tab w:val="right" w:leader="dot" w:pos="9060"/>
      </w:tabs>
      <w:spacing w:after="100"/>
      <w:ind w:left="440"/>
    </w:pPr>
    <w:rPr>
      <w:rFonts w:ascii="roboto" w:hAnsi="roboto"/>
    </w:rPr>
  </w:style>
  <w:style w:type="character" w:styleId="Hyperlink">
    <w:name w:val="Hyperlink"/>
    <w:basedOn w:val="DefaultParagraphFont"/>
    <w:uiPriority w:val="99"/>
    <w:unhideWhenUsed/>
    <w:rPr>
      <w:color w:val="0563C1" w:themeColor="hyperlink"/>
      <w:u w:val="single"/>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E74B5" w:themeColor="accent1" w:themeShade="BF"/>
      <w:lang w:val="en-GB"/>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E74B5" w:themeColor="accent1" w:themeShade="BF"/>
      <w:lang w:val="en-GB"/>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F4D78" w:themeColor="accent1" w:themeShade="7F"/>
      <w:lang w:val="en-GB"/>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1F4D78" w:themeColor="accent1" w:themeShade="7F"/>
      <w:lang w:val="en-GB"/>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sz w:val="21"/>
      <w:szCs w:val="21"/>
      <w:lang w:val="en-GB"/>
    </w:rPr>
  </w:style>
  <w:style w:type="paragraph" w:styleId="Title">
    <w:name w:val="Title"/>
    <w:basedOn w:val="Normal"/>
    <w:next w:val="Normal"/>
    <w:link w:val="TitleChar"/>
    <w:uiPriority w:val="10"/>
    <w:qFormat/>
    <w:pPr>
      <w:spacing w:before="0" w:after="0" w:line="240" w:lineRule="auto"/>
      <w:contextualSpacing/>
    </w:pPr>
    <w:rPr>
      <w:rFonts w:ascii="roboto" w:eastAsiaTheme="majorEastAsia" w:hAnsi="roboto" w:cstheme="majorBidi"/>
      <w:color w:val="543192"/>
      <w:spacing w:val="-10"/>
      <w:sz w:val="28"/>
      <w:szCs w:val="28"/>
      <w:shd w:val="clear" w:color="auto" w:fill="FFFFFF"/>
    </w:rPr>
  </w:style>
  <w:style w:type="character" w:customStyle="1" w:styleId="TitleChar">
    <w:name w:val="Title Char"/>
    <w:basedOn w:val="DefaultParagraphFont"/>
    <w:link w:val="Title"/>
    <w:uiPriority w:val="10"/>
    <w:rPr>
      <w:rFonts w:ascii="roboto" w:eastAsiaTheme="majorEastAsia" w:hAnsi="roboto" w:cstheme="majorBidi"/>
      <w:color w:val="543192"/>
      <w:spacing w:val="-10"/>
      <w:sz w:val="28"/>
      <w:szCs w:val="28"/>
      <w:lang w:val="en-GB"/>
    </w:rPr>
  </w:style>
  <w:style w:type="character" w:styleId="Emphasis">
    <w:name w:val="Emphasis"/>
    <w:uiPriority w:val="20"/>
    <w:qFormat/>
    <w:rPr>
      <w:rFonts w:ascii="roboto" w:hAnsi="roboto"/>
      <w:i/>
      <w:iCs/>
      <w:color w:val="543192"/>
      <w:sz w:val="24"/>
      <w:szCs w:val="24"/>
    </w:rPr>
  </w:style>
  <w:style w:type="paragraph" w:styleId="FootnoteText">
    <w:name w:val="footnote text"/>
    <w:basedOn w:val="Normal"/>
    <w:link w:val="FootnoteTextChar"/>
    <w:uiPriority w:val="99"/>
    <w:unhideWhenUsed/>
    <w:pPr>
      <w:spacing w:before="0" w:after="0" w:line="240" w:lineRule="auto"/>
    </w:pPr>
    <w:rPr>
      <w:sz w:val="20"/>
      <w:szCs w:val="20"/>
    </w:rPr>
  </w:style>
  <w:style w:type="character" w:customStyle="1" w:styleId="FootnoteTextChar">
    <w:name w:val="Footnote Text Char"/>
    <w:basedOn w:val="DefaultParagraphFont"/>
    <w:link w:val="FootnoteText"/>
    <w:uiPriority w:val="99"/>
    <w:rPr>
      <w:sz w:val="20"/>
      <w:szCs w:val="20"/>
      <w:lang w:val="en-GB"/>
    </w:rPr>
  </w:style>
  <w:style w:type="character" w:styleId="FootnoteReference">
    <w:name w:val="footnote reference"/>
    <w:basedOn w:val="DefaultParagraphFont"/>
    <w:uiPriority w:val="99"/>
    <w:unhideWhenUsed/>
    <w:rPr>
      <w:vertAlign w:val="superscript"/>
    </w:rPr>
  </w:style>
  <w:style w:type="paragraph" w:styleId="Quote">
    <w:name w:val="Quote"/>
    <w:basedOn w:val="Normal"/>
    <w:next w:val="Normal"/>
    <w:link w:val="QuoteChar"/>
    <w:uiPriority w:val="29"/>
    <w:qFormat/>
    <w:pPr>
      <w:spacing w:before="200"/>
      <w:ind w:right="864"/>
    </w:pPr>
    <w:rPr>
      <w:rFonts w:ascii="roboto" w:hAnsi="roboto" w:cs="Arial"/>
      <w:color w:val="555656"/>
      <w:sz w:val="18"/>
      <w:szCs w:val="18"/>
      <w:shd w:val="clear" w:color="auto" w:fill="FFFFFF"/>
    </w:rPr>
  </w:style>
  <w:style w:type="character" w:customStyle="1" w:styleId="QuoteChar">
    <w:name w:val="Quote Char"/>
    <w:basedOn w:val="DefaultParagraphFont"/>
    <w:link w:val="Quote"/>
    <w:uiPriority w:val="29"/>
    <w:rPr>
      <w:rFonts w:ascii="roboto" w:hAnsi="roboto" w:cs="Arial"/>
      <w:color w:val="555656"/>
      <w:sz w:val="18"/>
      <w:szCs w:val="18"/>
      <w:lang w:val="en-GB"/>
    </w:rPr>
  </w:style>
  <w:style w:type="character" w:styleId="SubtleEmphasis">
    <w:name w:val="Subtle Emphasis"/>
    <w:basedOn w:val="Strong"/>
    <w:uiPriority w:val="19"/>
    <w:qFormat/>
    <w:rPr>
      <w:rFonts w:ascii="roboto" w:hAnsi="roboto"/>
      <w:sz w:val="24"/>
    </w:rPr>
  </w:style>
  <w:style w:type="character" w:styleId="SubtleReference">
    <w:name w:val="Subtle Reference"/>
    <w:basedOn w:val="DefaultParagraphFont"/>
    <w:uiPriority w:val="31"/>
    <w:qFormat/>
    <w:rPr>
      <w:smallCaps/>
      <w:color w:val="5A5A5A" w:themeColor="text1" w:themeTint="A5"/>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customStyle="1" w:styleId="Corps">
    <w:name w:val="Corps"/>
    <w:pPr>
      <w:spacing w:after="0" w:line="312" w:lineRule="auto"/>
    </w:pPr>
    <w:rPr>
      <w:rFonts w:ascii="helvetica neue light" w:eastAsia="Arial Unicode MS" w:hAnsi="helvetica neue light" w:cs="Arial Unicode MS"/>
      <w:color w:val="000000"/>
      <w:sz w:val="20"/>
      <w:szCs w:val="20"/>
      <w:lang w:val="fr-FR" w:eastAsia="fr-CH"/>
      <w14:textOutline w14:w="0" w14:cap="flat" w14:cmpd="sng" w14:algn="ctr">
        <w14:noFill/>
        <w14:prstDash w14:val="solid"/>
        <w14:bevel/>
      </w14:textOutline>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lang w:val="en-GB"/>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lang w:val="en-GB"/>
    </w:rPr>
  </w:style>
  <w:style w:type="character" w:customStyle="1" w:styleId="Aucun">
    <w:name w:val="Aucun"/>
  </w:style>
  <w:style w:type="paragraph" w:customStyle="1" w:styleId="Notedepieddepage">
    <w:name w:val="Note de pied de page"/>
    <w:pPr>
      <w:spacing w:after="180" w:line="288" w:lineRule="auto"/>
    </w:pPr>
    <w:rPr>
      <w:rFonts w:ascii="helvetica neue light" w:eastAsia="helvetica neue light" w:hAnsi="helvetica neue light" w:cs="helvetica neue light"/>
      <w:color w:val="000000"/>
      <w:sz w:val="16"/>
      <w:szCs w:val="16"/>
      <w:lang w:eastAsia="fr-CH"/>
      <w14:textOutline w14:w="0" w14:cap="flat" w14:cmpd="sng" w14:algn="ctr">
        <w14:noFill/>
        <w14:prstDash w14:val="solid"/>
        <w14:bevel/>
      </w14:textOutline>
    </w:rPr>
  </w:style>
  <w:style w:type="character" w:customStyle="1" w:styleId="Hyperlink1">
    <w:name w:val="Hyperlink.1"/>
    <w:basedOn w:val="DefaultParagraphFont"/>
    <w:rPr>
      <w:color w:val="004D80"/>
      <w:u w:val="single"/>
    </w:rPr>
  </w:style>
  <w:style w:type="character" w:customStyle="1" w:styleId="Hyperlink2">
    <w:name w:val="Hyperlink.2"/>
    <w:basedOn w:val="DefaultParagraphFont"/>
    <w:rPr>
      <w:color w:val="004D80"/>
      <w:sz w:val="18"/>
      <w:szCs w:val="18"/>
      <w:u w:val="single"/>
    </w:rPr>
  </w:style>
  <w:style w:type="character" w:customStyle="1" w:styleId="Hyperlink0">
    <w:name w:val="Hyperlink.0"/>
    <w:basedOn w:val="DefaultParagraphFont"/>
    <w:rPr>
      <w:color w:val="0076BA"/>
      <w:u w:val="single"/>
    </w:rPr>
  </w:style>
  <w:style w:type="character" w:customStyle="1" w:styleId="Hyperlink3">
    <w:name w:val="Hyperlink.3"/>
    <w:basedOn w:val="DefaultParagraphFont"/>
    <w:rPr>
      <w:color w:val="367DA2"/>
      <w:u w:val="single"/>
    </w:rPr>
  </w:style>
  <w:style w:type="paragraph" w:styleId="BalloonText">
    <w:name w:val="Balloon Text"/>
    <w:basedOn w:val="Normal"/>
    <w:link w:val="BalloonTextChar"/>
    <w:uiPriority w:val="99"/>
    <w:semiHidden/>
    <w:unhideWhenUsed/>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en-GB"/>
    </w:rPr>
  </w:style>
  <w:style w:type="character" w:customStyle="1" w:styleId="UnresolvedMention2">
    <w:name w:val="Unresolved Mention2"/>
    <w:basedOn w:val="DefaultParagraphFont"/>
    <w:uiPriority w:val="99"/>
    <w:semiHidden/>
    <w:unhideWhenUsed/>
    <w:rPr>
      <w:color w:val="605E5C"/>
      <w:shd w:val="clear" w:color="auto" w:fill="E1DFDD"/>
    </w:rPr>
  </w:style>
  <w:style w:type="paragraph" w:styleId="Revision">
    <w:name w:val="Revision"/>
    <w:hidden/>
    <w:uiPriority w:val="99"/>
    <w:semiHidden/>
    <w:pPr>
      <w:spacing w:after="0" w:line="240" w:lineRule="auto"/>
    </w:pPr>
    <w:rPr>
      <w:lang w:val="en-GB"/>
    </w:rPr>
  </w:style>
  <w:style w:type="character" w:customStyle="1" w:styleId="UnresolvedMention3">
    <w:name w:val="Unresolved Mention3"/>
    <w:basedOn w:val="DefaultParagraphFont"/>
    <w:uiPriority w:val="99"/>
    <w:semiHidden/>
    <w:unhideWhenUsed/>
    <w:rPr>
      <w:color w:val="605E5C"/>
      <w:shd w:val="clear" w:color="auto" w:fill="E1DFDD"/>
    </w:rPr>
  </w:style>
  <w:style w:type="character" w:styleId="FollowedHyperlink">
    <w:name w:val="FollowedHyperlink"/>
    <w:basedOn w:val="DefaultParagraphFont"/>
    <w:uiPriority w:val="99"/>
    <w:semiHidden/>
    <w:unhideWhenUsed/>
    <w:rPr>
      <w:color w:val="954F72" w:themeColor="followedHyperlink"/>
      <w:u w:val="single"/>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style>
  <w:style w:type="character" w:customStyle="1" w:styleId="markedcontent">
    <w:name w:val="markedcontent"/>
    <w:basedOn w:val="DefaultParagraphFont"/>
  </w:style>
  <w:style w:type="character" w:customStyle="1" w:styleId="highlight">
    <w:name w:val="highlight"/>
    <w:basedOn w:val="DefaultParagraphFont"/>
  </w:style>
  <w:style w:type="character" w:customStyle="1"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21" Type="http://schemas.onlyoffice.com/commentsExtendedDocument" Target="commentsExtended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nlyoffice.com/commentsDocument" Target="comments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nlyoffice.com/peopleDocument" Target="peopleDocument.xml"/><Relationship Id="rId5" Type="http://schemas.openxmlformats.org/officeDocument/2006/relationships/customXml" Target="../customXml/item5.xml"/><Relationship Id="rId15" Type="http://schemas.openxmlformats.org/officeDocument/2006/relationships/footer" Target="footer1.xml"/><Relationship Id="rId23" Type="http://schemas.onlyoffice.com/commentsIdsDocument" Target="commentsIdsDocument.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nlyoffice.com/commentsExtensibleDocument" Target="commentsExtensibleDocument.xml"/></Relationships>
</file>

<file path=word/_rels/footnotes.xml.rels><?xml version="1.0" encoding="UTF-8" standalone="yes"?>
<Relationships xmlns="http://schemas.openxmlformats.org/package/2006/relationships"><Relationship Id="rId26" Type="http://schemas.openxmlformats.org/officeDocument/2006/relationships/hyperlink" Target="https://www.ohchr.org/sites/default/files/Documents/Issues/Detention/Opinions/Session84/A_HRC_WGAD_2019_28_AdvanceEditedVersion.pdf" TargetMode="External"/><Relationship Id="rId21" Type="http://schemas.openxmlformats.org/officeDocument/2006/relationships/hyperlink" Target="https://www.hrw.org/news/2022/01/07/uae-state-security-retaliates-against-ahmed-mansoor" TargetMode="External"/><Relationship Id="rId42" Type="http://schemas.openxmlformats.org/officeDocument/2006/relationships/hyperlink" Target="https://menarights.org/en/caseprofile/omani-student-detained-uae-amidst-geo-political-tensions" TargetMode="External"/><Relationship Id="rId47" Type="http://schemas.openxmlformats.org/officeDocument/2006/relationships/hyperlink" Target="https://srdefenders.org/uae-syrian-human-rights-defender-at-risk-of-long-term-detention-reports-of-torture-joint-communication/" TargetMode="External"/><Relationship Id="rId63" Type="http://schemas.openxmlformats.org/officeDocument/2006/relationships/hyperlink" Target="https://www.amnesty.org.uk/groups/sutton/spotlight-dr-mohammed-al-roken-uae-prisoner-conscience" TargetMode="External"/><Relationship Id="rId68" Type="http://schemas.openxmlformats.org/officeDocument/2006/relationships/hyperlink" Target="https://documents-dds-ny.un.org/doc/UNDOC/GEN/G20/239/52/PDF/G2023952.pdf?OpenElement" TargetMode="External"/><Relationship Id="rId7" Type="http://schemas.openxmlformats.org/officeDocument/2006/relationships/hyperlink" Target="https://www.aljazeera.com/news/2018/9/26/family-fears-uae-will-deport-uighur-to-china" TargetMode="External"/><Relationship Id="rId2" Type="http://schemas.openxmlformats.org/officeDocument/2006/relationships/hyperlink" Target="https://menarights.org/sites/default/files/2016-11/UAE_Constitution_2004_EN.pdf" TargetMode="External"/><Relationship Id="rId16" Type="http://schemas.openxmlformats.org/officeDocument/2006/relationships/hyperlink" Target="https://www.ohchr.org/en/press-releases/2019/02/uae-terminally-ill-prisoner-alia-abdulnoor-must-be-released-live-final-days?LangID=E&amp;NewsID=24214" TargetMode="External"/><Relationship Id="rId29" Type="http://schemas.openxmlformats.org/officeDocument/2006/relationships/hyperlink" Target="https://spcommreports.ohchr.org/TMResultsBase/DownLoadPublicCommunicationFile?gId=26978" TargetMode="External"/><Relationship Id="rId11" Type="http://schemas.openxmlformats.org/officeDocument/2006/relationships/hyperlink" Target="https://www.amnesty.be/veux-agir/agir-individus/reseau-actions-urgentes/article/confirmation-condamnation-loujain-hathloul" TargetMode="External"/><Relationship Id="rId24" Type="http://schemas.openxmlformats.org/officeDocument/2006/relationships/hyperlink" Target="https://en.edacrights.com/Report/prisoner/21" TargetMode="External"/><Relationship Id="rId32" Type="http://schemas.openxmlformats.org/officeDocument/2006/relationships/hyperlink" Target="https://www.hrw.org/news/2019/07/09/uae-prisoners-held-after-sentences-served" TargetMode="External"/><Relationship Id="rId37" Type="http://schemas.openxmlformats.org/officeDocument/2006/relationships/hyperlink" Target="https://www.gc4hr.org/report/download/156" TargetMode="External"/><Relationship Id="rId40" Type="http://schemas.openxmlformats.org/officeDocument/2006/relationships/hyperlink" Target="https://menarights.org/en/caseprofile/united-arab-emirates-jordanian-activist-sentenced-10-years-prison-criticising" TargetMode="External"/><Relationship Id="rId45" Type="http://schemas.openxmlformats.org/officeDocument/2006/relationships/hyperlink" Target="https://www.hrw.org/news/2021/11/21/uae-dissidents-labeled-terrorists" TargetMode="External"/><Relationship Id="rId53" Type="http://schemas.openxmlformats.org/officeDocument/2006/relationships/hyperlink" Target="https://mwatana.org/wp-content/uploads/2020/06/In-the-Darkness.pdf" TargetMode="External"/><Relationship Id="rId58" Type="http://schemas.openxmlformats.org/officeDocument/2006/relationships/hyperlink" Target="https://www.unodc.org/documents/justice-and-prison-reform/Nelson_Mandela_Rules-E-ebook.pdf" TargetMode="External"/><Relationship Id="rId66" Type="http://schemas.openxmlformats.org/officeDocument/2006/relationships/hyperlink" Target="https://www.menarights.org/en/caseprofile/uae94-detainee-abdulsalam-al-marzooqi-held-arbitrarily-2012" TargetMode="External"/><Relationship Id="rId5" Type="http://schemas.openxmlformats.org/officeDocument/2006/relationships/hyperlink" Target="https://chambers.com/articles/extradition-law-for-chinese-nationals-in-the-uae" TargetMode="External"/><Relationship Id="rId61" Type="http://schemas.openxmlformats.org/officeDocument/2006/relationships/hyperlink" Target="http://www.civicus.org/images/Joint.UPRSubmissionUAE.pdf" TargetMode="External"/><Relationship Id="rId19" Type="http://schemas.openxmlformats.org/officeDocument/2006/relationships/hyperlink" Target="https://en.edacrights.com/post/259" TargetMode="External"/><Relationship Id="rId14" Type="http://schemas.openxmlformats.org/officeDocument/2006/relationships/hyperlink" Target="https://documents-dds-ny.un.org/doc/UNDOC/GEN/G17/190/33/PDF/G1719033.pdf?OpenElement" TargetMode="External"/><Relationship Id="rId22" Type="http://schemas.openxmlformats.org/officeDocument/2006/relationships/hyperlink" Target="https://menarights.org/en/caseprofile/amina-al-abdouli-detained-emirati-authorities-2015" TargetMode="External"/><Relationship Id="rId27" Type="http://schemas.openxmlformats.org/officeDocument/2006/relationships/hyperlink" Target="https://spcommreports.ohchr.org/TMResultsBase/DownLoadPublicCommunicationFile?gId=25663" TargetMode="External"/><Relationship Id="rId30" Type="http://schemas.openxmlformats.org/officeDocument/2006/relationships/hyperlink" Target="https://elaws.moj.gov.ae/UAE-MOJ_LC-Ar/00_%D8%A7%D8%B1%D9%87%D8%A7%D8%A8/UAE-LC-Ar_2019-09-04_00028_Markait.html?val=AL1&amp;Words=%D8%A7%D9%84%D9%85%D9%86%D8%A7%D8%B5%D8%AD%D8%A9" TargetMode="External"/><Relationship Id="rId35" Type="http://schemas.openxmlformats.org/officeDocument/2006/relationships/hyperlink" Target="https://en.edacrights.com/Report/SDetails/111" TargetMode="External"/><Relationship Id="rId43" Type="http://schemas.openxmlformats.org/officeDocument/2006/relationships/hyperlink" Target="https://www.hrw.org/news/2019/12/22/uae-unrelenting-harassment-dissidents-families" TargetMode="External"/><Relationship Id="rId48" Type="http://schemas.openxmlformats.org/officeDocument/2006/relationships/hyperlink" Target="https://www.fidh.org/en/issues/human-rights-defenders/united-arab-emirates-arrest-and-detention-in-a-secret-location-of-mr" TargetMode="External"/><Relationship Id="rId56" Type="http://schemas.openxmlformats.org/officeDocument/2006/relationships/hyperlink" Target="https://www.hrw.org/news/2017/06/22/yemen-uae-backs-abusive-local-forces" TargetMode="External"/><Relationship Id="rId64" Type="http://schemas.openxmlformats.org/officeDocument/2006/relationships/hyperlink" Target="https://www.frontlinedefenders.org/en/case/detention-nasser-bin-ghaith" TargetMode="External"/><Relationship Id="rId69" Type="http://schemas.openxmlformats.org/officeDocument/2006/relationships/hyperlink" Target="https://www.amnesty.org/en/latest/news/2017/05/the-guy-who-saved-your-iphone-from-hackers-is-stuck-in-a-uae-jail/" TargetMode="External"/><Relationship Id="rId8" Type="http://schemas.openxmlformats.org/officeDocument/2006/relationships/hyperlink" Target="https://menarights.org/en/case/abdul-hafeez-muhammad-ramzan" TargetMode="External"/><Relationship Id="rId51" Type="http://schemas.openxmlformats.org/officeDocument/2006/relationships/hyperlink" Target="https://www.menarights.org/en/articles/uae-covid-19-outbreak-puts-al-wathba-prisons-detainees-risk-0" TargetMode="External"/><Relationship Id="rId3" Type="http://schemas.openxmlformats.org/officeDocument/2006/relationships/hyperlink" Target="https://menarights.org/sites/default/files/2016-11/UAE_TerrorismLaw_EN.pdf" TargetMode="External"/><Relationship Id="rId12" Type="http://schemas.openxmlformats.org/officeDocument/2006/relationships/hyperlink" Target="https://www.state.gov/wp-content/uploads/2022/03/313615_UNITED-ARAB-EMIRATES-2021-HUMAN-RIGHTS-REPORT.pdf" TargetMode="External"/><Relationship Id="rId17" Type="http://schemas.openxmlformats.org/officeDocument/2006/relationships/hyperlink" Target="https://spcommreports.ohchr.org/TMResultsBase/DownLoadPublicCommunicationFile?gId=25038" TargetMode="External"/><Relationship Id="rId25" Type="http://schemas.openxmlformats.org/officeDocument/2006/relationships/hyperlink" Target="https://twitter.com/Alshamsi789/status/1207669296920485893?s=20&amp;t=4Cz91EMZahwFfYOPUZ3jFw" TargetMode="External"/><Relationship Id="rId33" Type="http://schemas.openxmlformats.org/officeDocument/2006/relationships/hyperlink" Target="https://www.icfuae.org.uk/sites/default/files/Indefinite%20detention%20in%20the%20United%20Arab%20Emirates-Factsheet.pdf" TargetMode="External"/><Relationship Id="rId38" Type="http://schemas.openxmlformats.org/officeDocument/2006/relationships/hyperlink" Target="https://www.ishr.ch/sites/default/files/documents/uae_-_joint_ngo_submission_to_cat_-_26_june_2020_en_ff12.pdf" TargetMode="External"/><Relationship Id="rId46" Type="http://schemas.openxmlformats.org/officeDocument/2006/relationships/hyperlink" Target="https://www.state.gov/wp-content/uploads/2021/10/UNITED-ARAB-EMIRATES-2020-HUMAN-RIGHTS-REPORT.pdf" TargetMode="External"/><Relationship Id="rId59" Type="http://schemas.openxmlformats.org/officeDocument/2006/relationships/hyperlink" Target="https://www.menarights.org/en/articles/human-rights-ngos-call-uae-immediately-repeal-or-amend-its-new-law-combatting-rumours-and" TargetMode="External"/><Relationship Id="rId67" Type="http://schemas.openxmlformats.org/officeDocument/2006/relationships/hyperlink" Target="https://undocs.org/Home/Mobile?FinalSymbol=A%2FHRC%2F48%2F28&amp;Language=E&amp;DeviceType=Desktop&amp;LangRequested=False" TargetMode="External"/><Relationship Id="rId20" Type="http://schemas.openxmlformats.org/officeDocument/2006/relationships/hyperlink" Target="https://www.ohchr.org/Documents/Issues/Reprisals/A_HRC_48_28.docx" TargetMode="External"/><Relationship Id="rId41" Type="http://schemas.openxmlformats.org/officeDocument/2006/relationships/hyperlink" Target="https://menarights.org/en/caseprofile/uae94-detainee-abdulsalam-al-marzooqi-held-arbitrarily-2012" TargetMode="External"/><Relationship Id="rId54" Type="http://schemas.openxmlformats.org/officeDocument/2006/relationships/hyperlink" Target="https://www.aljazeera.com/news/2019/10/30/uae-withdraws-troops-from-yemens-southern-port-city-of-aden" TargetMode="External"/><Relationship Id="rId62" Type="http://schemas.openxmlformats.org/officeDocument/2006/relationships/hyperlink" Target="https://www.frontlinedefenders.org/fr/profile/mohamed-al-roken" TargetMode="External"/><Relationship Id="rId1" Type="http://schemas.openxmlformats.org/officeDocument/2006/relationships/hyperlink" Target="https://documents-dds-ny.un.org/doc/UNDOC/GEN/G17/269/17/PDF/G1726917.pdf?OpenElement" TargetMode="External"/><Relationship Id="rId6" Type="http://schemas.openxmlformats.org/officeDocument/2006/relationships/hyperlink" Target="https://www.middleeasteye.net/news/uae-china-uighurs-black-sites-deport-target-abroad" TargetMode="External"/><Relationship Id="rId15" Type="http://schemas.openxmlformats.org/officeDocument/2006/relationships/hyperlink" Target="https://documents-dds-ny.un.org/doc/UNDOC/GEN/G18/007/85/PDF/G1800785.pdf?OpenElement" TargetMode="External"/><Relationship Id="rId23" Type="http://schemas.openxmlformats.org/officeDocument/2006/relationships/hyperlink" Target="https://menarights.org/en/caseprofile/maryam-al-balushi-detained-emirati-authorities-2015" TargetMode="External"/><Relationship Id="rId28" Type="http://schemas.openxmlformats.org/officeDocument/2006/relationships/hyperlink" Target="https://www.menarights.org/en/articles/joint-statement-condemning-inclusion-four-emirati-activists-and-members-uae-94-uae" TargetMode="External"/><Relationship Id="rId36" Type="http://schemas.openxmlformats.org/officeDocument/2006/relationships/hyperlink" Target="https://www.ohchr.org/en/NewsEvents/Pages/DisplayNews.aspx?NewsID=23195&amp;LangID=E" TargetMode="External"/><Relationship Id="rId49" Type="http://schemas.openxmlformats.org/officeDocument/2006/relationships/hyperlink" Target="https://www.amnesty.org/en/wp-content/uploads/2021/05/MDE2525942015ENGLISH.pdf" TargetMode="External"/><Relationship Id="rId57" Type="http://schemas.openxmlformats.org/officeDocument/2006/relationships/hyperlink" Target="https://www.menarights.org/en/articles/yemeni-national-secretly-detained-and-tortured-uae-forces-balhaf" TargetMode="External"/><Relationship Id="rId10" Type="http://schemas.openxmlformats.org/officeDocument/2006/relationships/hyperlink" Target="https://www.theguardian.com/technology/2021/dec/09/saudi-womens-rights-activist-loujain-alhathloul-sues-us-intel-operatives-hacking-uae" TargetMode="External"/><Relationship Id="rId31" Type="http://schemas.openxmlformats.org/officeDocument/2006/relationships/hyperlink" Target="https://www.menarights.org/en/documents/use-munasaha-rehabilitation-centres-united-arab-emirates" TargetMode="External"/><Relationship Id="rId44" Type="http://schemas.openxmlformats.org/officeDocument/2006/relationships/hyperlink" Target="https://www.theguardian.com/world/2021/sep/24/new-evidence-suggests-spyware-used-to-surveil-emirati-activist-alaa-al-siddiq" TargetMode="External"/><Relationship Id="rId52" Type="http://schemas.openxmlformats.org/officeDocument/2006/relationships/hyperlink" Target="https://www.aljazeera.com/news/2022/1/31/explainer-a-simple-guide-to-the-uae-houthi-escalation" TargetMode="External"/><Relationship Id="rId60" Type="http://schemas.openxmlformats.org/officeDocument/2006/relationships/hyperlink" Target="https://freedomhouse.org/country/united-arab-emirates/freedom-world/2021" TargetMode="External"/><Relationship Id="rId65" Type="http://schemas.openxmlformats.org/officeDocument/2006/relationships/hyperlink" Target="https://www.amnesty.org/en/latest/news/2017/03/uae-prominent-academic-jailed-for-10-years-over-tweets-in-outrageous-blow-to-freedom-of-expression/" TargetMode="External"/><Relationship Id="rId4" Type="http://schemas.openxmlformats.org/officeDocument/2006/relationships/hyperlink" Target="https://spcommreports.ohchr.org/TMResultsBase/DownLoadPublicCommunicationFile?gId=25663" TargetMode="External"/><Relationship Id="rId9" Type="http://schemas.openxmlformats.org/officeDocument/2006/relationships/hyperlink" Target="https://www.hrw.org/news/2021/06/22/uae-arbitrary-targeting-pakistani-shia-residents" TargetMode="External"/><Relationship Id="rId13" Type="http://schemas.openxmlformats.org/officeDocument/2006/relationships/hyperlink" Target="https://documents-dds-ny.un.org/doc/UNDOC/GEN/G18/248/66/PDF/G1824866.pdf?OpenElement" TargetMode="External"/><Relationship Id="rId18" Type="http://schemas.openxmlformats.org/officeDocument/2006/relationships/hyperlink" Target="https://www.hrw.org/news/2019/01/17/uae-injustice-intolerance-repression" TargetMode="External"/><Relationship Id="rId39" Type="http://schemas.openxmlformats.org/officeDocument/2006/relationships/hyperlink" Target="https://www.ohchr.org/en/NewsEvents/Pages/DisplayNews.aspx?NewsID=17043&amp;LangID=E" TargetMode="External"/><Relationship Id="rId34" Type="http://schemas.openxmlformats.org/officeDocument/2006/relationships/hyperlink" Target="https://icjhr.org/press-releases/uae-three-detainees-granted-presidential-pardon-after-forced-self-incriminating-statements/" TargetMode="External"/><Relationship Id="rId50" Type="http://schemas.openxmlformats.org/officeDocument/2006/relationships/hyperlink" Target="https://www.opendemocracy.net/en/north-africa-west-asia/uae-when-tweets-become-matter-of-national-security/" TargetMode="External"/><Relationship Id="rId55" Type="http://schemas.openxmlformats.org/officeDocument/2006/relationships/hyperlink" Target="https://www.middleeasteye.net/news/uae-yemen-conflict-deeply-involved-experts-say"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3" Type="http://schemas.openxmlformats.org/officeDocument/2006/relationships/image" Target="media/image10.jpg"/><Relationship Id="rId2" Type="http://schemas.openxmlformats.org/officeDocument/2006/relationships/image" Target="media/image1.jpg"/><Relationship Id="rId1" Type="http://schemas.openxmlformats.org/officeDocument/2006/relationships/image" Target="media/image2.png"/><Relationship Id="rId5" Type="http://schemas.openxmlformats.org/officeDocument/2006/relationships/image" Target="media/image20.png"/><Relationship Id="rId4" Type="http://schemas.openxmlformats.org/officeDocument/2006/relationships/image" Target="media/image3.png"/></Relationships>
</file>

<file path=word/_rels/header3.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4.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
</file>

<file path=customXml/item2.xml>
</file>

<file path=customXml/item3.xml>
</file>

<file path=customXml/item4.xml>
</file>

<file path=customXml/item5.xml>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DA031B63-7925-4BE6-B32F-1CBBA5C54677}"/>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368A23FD-DB46-4297-96A6-5D896D49ACAA}"/>
</file>

<file path=customXml/itemProps5.xml><?xml version="1.0" encoding="utf-8"?>
<ds:datastoreItem xmlns:ds="http://schemas.openxmlformats.org/officeDocument/2006/customXml" ds:itemID="{40274841-079F-C242-90C5-E6199AA48A53}"/>
</file>

<file path=customXml/itemProps6.xml><?xml version="1.0" encoding="utf-8"?>
<ds:datastoreItem xmlns:ds="http://schemas.openxmlformats.org/officeDocument/2006/customXml" ds:itemID="{3D2B4E75-F0E9-4F7B-98E3-92962C180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33</Pages>
  <Words>12013</Words>
  <Characters>66077</Characters>
  <Application>Microsoft Office Word</Application>
  <DocSecurity>0</DocSecurity>
  <Lines>550</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 Osman</dc:creator>
  <cp:keywords/>
  <dc:description/>
  <cp:lastModifiedBy>Alexis Thiry</cp:lastModifiedBy>
  <cp:revision>3</cp:revision>
  <dcterms:created xsi:type="dcterms:W3CDTF">2022-06-10T07:12:00Z</dcterms:created>
  <dcterms:modified xsi:type="dcterms:W3CDTF">2022-06-10T08:19:00Z</dcterms:modified>
</cp:coreProperties>
</file>