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7825"/>
      </w:tblGrid>
      <w:tr w:rsidR="00C23B56" w:rsidRPr="000A4DFE" w:rsidTr="00CD2E78">
        <w:tc>
          <w:tcPr>
            <w:tcW w:w="1560" w:type="dxa"/>
          </w:tcPr>
          <w:p w:rsidR="00C23B56" w:rsidRPr="000A4DFE" w:rsidRDefault="00C23B56" w:rsidP="00CD2E78">
            <w:pPr>
              <w:rPr>
                <w:rFonts w:ascii="Times New Roman" w:hAnsi="Times New Roman" w:cs="Times New Roman"/>
                <w:lang w:val="en-US"/>
              </w:rPr>
            </w:pPr>
            <w:r w:rsidRPr="000A4DFE">
              <w:rPr>
                <w:rFonts w:ascii="Times New Roman" w:hAnsi="Times New Roman" w:cs="Times New Roman"/>
                <w:lang w:val="en-US"/>
              </w:rPr>
              <w:drawing>
                <wp:inline distT="0" distB="0" distL="0" distR="0" wp14:anchorId="348C2C67" wp14:editId="00902DBC">
                  <wp:extent cx="927749" cy="468054"/>
                  <wp:effectExtent l="0" t="0" r="0" b="0"/>
                  <wp:docPr id="1926796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96585" name="Picture 19267965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072" cy="488902"/>
                          </a:xfrm>
                          <a:prstGeom prst="rect">
                            <a:avLst/>
                          </a:prstGeom>
                        </pic:spPr>
                      </pic:pic>
                    </a:graphicData>
                  </a:graphic>
                </wp:inline>
              </w:drawing>
            </w:r>
          </w:p>
        </w:tc>
        <w:tc>
          <w:tcPr>
            <w:tcW w:w="7942" w:type="dxa"/>
            <w:vAlign w:val="center"/>
          </w:tcPr>
          <w:p w:rsidR="00C23B56" w:rsidRPr="000A4DFE" w:rsidRDefault="00C23B56" w:rsidP="00CD2E78">
            <w:pPr>
              <w:rPr>
                <w:rFonts w:ascii="Times New Roman" w:hAnsi="Times New Roman" w:cs="Times New Roman"/>
                <w:lang w:val="en-US"/>
              </w:rPr>
            </w:pPr>
            <w:r w:rsidRPr="000A4DFE">
              <w:rPr>
                <w:rFonts w:ascii="Times New Roman" w:hAnsi="Times New Roman" w:cs="Times New Roman"/>
                <w:lang w:val="en-US"/>
              </w:rPr>
              <w:t xml:space="preserve">Non-Governmental Foundation "Nomad Rights" </w:t>
            </w:r>
          </w:p>
          <w:p w:rsidR="00C23B56" w:rsidRPr="000A4DFE" w:rsidRDefault="00C23B56" w:rsidP="00CD2E78">
            <w:pPr>
              <w:rPr>
                <w:rFonts w:ascii="Times New Roman" w:hAnsi="Times New Roman" w:cs="Times New Roman"/>
                <w:lang w:val="en-US"/>
              </w:rPr>
            </w:pPr>
            <w:r w:rsidRPr="000A4DFE">
              <w:rPr>
                <w:rFonts w:ascii="Times New Roman" w:hAnsi="Times New Roman" w:cs="Times New Roman"/>
                <w:lang w:val="en-US"/>
              </w:rPr>
              <w:t>Kazakhstan Non-Governmental Human Rights Organization</w:t>
            </w:r>
          </w:p>
        </w:tc>
      </w:tr>
    </w:tbl>
    <w:p w:rsidR="00C23B56" w:rsidRPr="000A4DFE" w:rsidRDefault="00C23B56">
      <w:pPr>
        <w:rPr>
          <w:rFonts w:ascii="Times New Roman" w:hAnsi="Times New Roman" w:cs="Times New Roman"/>
          <w:lang w:val="en-US"/>
        </w:rPr>
      </w:pPr>
    </w:p>
    <w:p w:rsidR="00C23B56" w:rsidRPr="000A4DFE" w:rsidRDefault="000A4DFE" w:rsidP="000A4DFE">
      <w:pPr>
        <w:jc w:val="both"/>
        <w:rPr>
          <w:rFonts w:ascii="Times New Roman" w:hAnsi="Times New Roman" w:cs="Times New Roman"/>
          <w:b/>
          <w:bCs/>
          <w:sz w:val="32"/>
          <w:szCs w:val="32"/>
          <w:lang w:val="en-US"/>
        </w:rPr>
      </w:pPr>
      <w:r w:rsidRPr="000A4DFE">
        <w:rPr>
          <w:rFonts w:ascii="Times New Roman" w:hAnsi="Times New Roman" w:cs="Times New Roman"/>
          <w:b/>
          <w:bCs/>
          <w:sz w:val="32"/>
          <w:szCs w:val="32"/>
          <w:lang w:val="en-US"/>
        </w:rPr>
        <w:t>Alternative Report on Arbitrary and Preventive Detentions of Homeless People in Kazakhstan</w:t>
      </w:r>
    </w:p>
    <w:p w:rsidR="000A4DFE" w:rsidRP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This submission is presented to the UN Human Rights Committee as part of the 144th session concerning the review of the implementation of the International Covenant on Civil and Political Rights by the Republic of Kazakhstan.</w:t>
      </w:r>
    </w:p>
    <w:p w:rsidR="000A4DFE" w:rsidRDefault="000A4DFE" w:rsidP="000A4DFE">
      <w:pPr>
        <w:jc w:val="both"/>
        <w:rPr>
          <w:rFonts w:ascii="Times New Roman" w:hAnsi="Times New Roman" w:cs="Times New Roman"/>
          <w:lang w:val="en-US"/>
        </w:rPr>
      </w:pPr>
    </w:p>
    <w:p w:rsidR="000A4DFE" w:rsidRP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Submitted by: Nomad Rights</w:t>
      </w: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May 2025</w:t>
      </w:r>
    </w:p>
    <w:p w:rsid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This alternative report has been prepared by the Kazakhstani human rights organization Nomad Rights to inform the UN Human Rights Committee about the ongoing practice of arbitrary and preventive detention of homeless people in the Republic of Kazakhstan. The information presented in this report indicates violations of Article 9 of the International Covenant on Civil and Political Rights, as well as other key provisions of the Covenant, including Articles 7, 14, and 26. Instead of protecting rights and providing social assistance, the state’s policy toward homeless individuals remains repressive and is based on systemic discrimination. The report is based on legislative monitoring, analysis of practices, official data, and testimonies from various regions of the country.</w:t>
      </w:r>
    </w:p>
    <w:p w:rsidR="000A4DFE" w:rsidRDefault="000A4DFE" w:rsidP="000A4DFE">
      <w:pPr>
        <w:jc w:val="both"/>
        <w:rPr>
          <w:rFonts w:ascii="Times New Roman" w:hAnsi="Times New Roman" w:cs="Times New Roman"/>
          <w:lang w:val="en-US"/>
        </w:rPr>
      </w:pPr>
    </w:p>
    <w:p w:rsidR="000A4DFE" w:rsidRP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Nomad Rights</w:t>
      </w:r>
    </w:p>
    <w:p w:rsidR="000A4DFE" w:rsidRP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 xml:space="preserve">Kazakhstan, Astana, 23/2 Sh. </w:t>
      </w:r>
      <w:proofErr w:type="spellStart"/>
      <w:r w:rsidRPr="000A4DFE">
        <w:rPr>
          <w:rFonts w:ascii="Times New Roman" w:hAnsi="Times New Roman" w:cs="Times New Roman"/>
          <w:lang w:val="en-US"/>
        </w:rPr>
        <w:t>Kaldayakov</w:t>
      </w:r>
      <w:proofErr w:type="spellEnd"/>
      <w:r w:rsidRPr="000A4DFE">
        <w:rPr>
          <w:rFonts w:ascii="Times New Roman" w:hAnsi="Times New Roman" w:cs="Times New Roman"/>
          <w:lang w:val="en-US"/>
        </w:rPr>
        <w:t xml:space="preserve"> Street</w:t>
      </w:r>
    </w:p>
    <w:p w:rsidR="000A4DFE" w:rsidRP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 xml:space="preserve">Contact person, position: Alisher </w:t>
      </w:r>
      <w:proofErr w:type="spellStart"/>
      <w:r w:rsidRPr="000A4DFE">
        <w:rPr>
          <w:rFonts w:ascii="Times New Roman" w:hAnsi="Times New Roman" w:cs="Times New Roman"/>
          <w:lang w:val="en-US"/>
        </w:rPr>
        <w:t>Kozhagulov</w:t>
      </w:r>
      <w:proofErr w:type="spellEnd"/>
      <w:r w:rsidRPr="000A4DFE">
        <w:rPr>
          <w:rFonts w:ascii="Times New Roman" w:hAnsi="Times New Roman" w:cs="Times New Roman"/>
          <w:lang w:val="en-US"/>
        </w:rPr>
        <w:t>, Director</w:t>
      </w:r>
    </w:p>
    <w:p w:rsidR="000A4DFE" w:rsidRP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Mobile phone: +7-775-756-23-54</w:t>
      </w: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E-mail:</w:t>
      </w:r>
      <w:r w:rsidRPr="000A4DFE">
        <w:rPr>
          <w:rFonts w:ascii="Times New Roman" w:hAnsi="Times New Roman" w:cs="Times New Roman"/>
          <w:lang w:val="en-US"/>
        </w:rPr>
        <w:t xml:space="preserve"> </w:t>
      </w:r>
      <w:hyperlink r:id="rId9" w:history="1">
        <w:r w:rsidRPr="005E630A">
          <w:rPr>
            <w:rStyle w:val="Hyperlink"/>
            <w:rFonts w:ascii="Times New Roman" w:hAnsi="Times New Roman" w:cs="Times New Roman"/>
            <w:lang w:val="en-US"/>
          </w:rPr>
          <w:t>alisher.kozhagulov@gmail.com</w:t>
        </w:r>
      </w:hyperlink>
      <w:r w:rsidRPr="000A4DFE">
        <w:rPr>
          <w:rFonts w:ascii="Times New Roman" w:hAnsi="Times New Roman" w:cs="Times New Roman"/>
          <w:lang w:val="en-US"/>
        </w:rPr>
        <w:t xml:space="preserve"> </w:t>
      </w:r>
    </w:p>
    <w:p w:rsid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lang w:val="ru-RU"/>
        </w:rPr>
      </w:pPr>
      <w:r>
        <w:rPr>
          <w:rFonts w:ascii="Times New Roman" w:hAnsi="Times New Roman" w:cs="Times New Roman"/>
          <w:lang w:val="ru-RU"/>
        </w:rPr>
        <w:br w:type="page"/>
      </w:r>
    </w:p>
    <w:p w:rsidR="000A4DFE" w:rsidRDefault="000A4DFE" w:rsidP="000A4DFE">
      <w:pPr>
        <w:jc w:val="both"/>
        <w:rPr>
          <w:rFonts w:ascii="Times New Roman" w:hAnsi="Times New Roman" w:cs="Times New Roman"/>
          <w:b/>
          <w:bCs/>
          <w:lang w:val="en-US"/>
        </w:rPr>
      </w:pPr>
      <w:r w:rsidRPr="000A4DFE">
        <w:rPr>
          <w:rFonts w:ascii="Times New Roman" w:hAnsi="Times New Roman" w:cs="Times New Roman"/>
          <w:b/>
          <w:bCs/>
          <w:lang w:val="en-US"/>
        </w:rPr>
        <w:lastRenderedPageBreak/>
        <w:t xml:space="preserve">Concluding Observations of the UN Human Rights Committee (CCPR/C/KAZ/CO/2), </w:t>
      </w:r>
    </w:p>
    <w:p w:rsidR="000A4DFE" w:rsidRPr="000A4DFE" w:rsidRDefault="000A4DFE" w:rsidP="000A4DFE">
      <w:pPr>
        <w:jc w:val="both"/>
        <w:rPr>
          <w:rFonts w:ascii="Times New Roman" w:hAnsi="Times New Roman" w:cs="Times New Roman"/>
          <w:b/>
          <w:bCs/>
          <w:lang w:val="en-US"/>
        </w:rPr>
      </w:pPr>
      <w:r w:rsidRPr="000A4DFE">
        <w:rPr>
          <w:rFonts w:ascii="Times New Roman" w:hAnsi="Times New Roman" w:cs="Times New Roman"/>
          <w:b/>
          <w:bCs/>
          <w:lang w:val="en-US"/>
        </w:rPr>
        <w:t>0</w:t>
      </w:r>
      <w:r w:rsidRPr="000A4DFE">
        <w:rPr>
          <w:rFonts w:ascii="Times New Roman" w:hAnsi="Times New Roman" w:cs="Times New Roman"/>
          <w:b/>
          <w:bCs/>
          <w:lang w:val="en-US"/>
        </w:rPr>
        <w:t>9 August 2016</w:t>
      </w:r>
    </w:p>
    <w:p w:rsidR="000A4DFE" w:rsidRPr="000A4DFE" w:rsidRDefault="000A4DFE" w:rsidP="000A4DFE">
      <w:pPr>
        <w:jc w:val="both"/>
        <w:rPr>
          <w:rFonts w:ascii="Times New Roman" w:hAnsi="Times New Roman" w:cs="Times New Roman"/>
          <w:lang w:val="en-US"/>
        </w:rPr>
      </w:pPr>
    </w:p>
    <w:p w:rsidR="000A4DFE" w:rsidRP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In its concluding observations on the periodic report of the Republic of Kazakhstan, the Human Rights Committee expressed serious concern regarding violations of the right to liberty and personal security, particularly in relation to the practice of administrative detention of vulnerable groups, including individuals without permanent residence (homeless persons).</w:t>
      </w:r>
    </w:p>
    <w:p w:rsidR="000A4DFE" w:rsidRP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29.The Committee is concerned about reports indicating that persons lacking a permanent place of residence or documents verifying their identity can be subjected to administrative arrest for up to 30 days, with the approval of the court. The Committee is further concerned about the use of “preventive detention” of individuals aimed at stopping them from participating in planned demonstrations, including when at least 34 activists were arrested and held in administrative detention for up to 15 days ahead of planned nationwide assemblies on 21 May 2016 to protest against land‑related amendments (arts. 2, 9, 10, 14 and 21).</w:t>
      </w:r>
    </w:p>
    <w:p w:rsid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30. The State party should bring its administrative detention practices in to full compliance with articles 9 and 14 of the Covenant and ensure that due process rights are fully respected, including an effective right of appeal, and that the principles of legality and proportionality are strictly observed in any decisions restricting the right to liberty and security of individuals. It should abolish the practice of preventive detention of activists, which is inconsistent with the State party’s obligations under articles 9, 14, 19 and 21 of the Covenant.</w:t>
      </w:r>
    </w:p>
    <w:p w:rsid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b/>
          <w:bCs/>
          <w:lang w:val="en-US"/>
        </w:rPr>
      </w:pPr>
      <w:r w:rsidRPr="000A4DFE">
        <w:rPr>
          <w:rFonts w:ascii="Times New Roman" w:hAnsi="Times New Roman" w:cs="Times New Roman"/>
          <w:b/>
          <w:bCs/>
          <w:lang w:val="en-US"/>
        </w:rPr>
        <w:t xml:space="preserve">List of Issues Prior to the Submission of the Third Periodic Report of Kazakhstan (CCPR/C/KAZ/QPR/3), </w:t>
      </w:r>
      <w:r w:rsidRPr="000A4DFE">
        <w:rPr>
          <w:rFonts w:ascii="Times New Roman" w:hAnsi="Times New Roman" w:cs="Times New Roman"/>
          <w:b/>
          <w:bCs/>
          <w:lang w:val="en-US"/>
        </w:rPr>
        <w:t>0</w:t>
      </w:r>
      <w:r w:rsidRPr="000A4DFE">
        <w:rPr>
          <w:rFonts w:ascii="Times New Roman" w:hAnsi="Times New Roman" w:cs="Times New Roman"/>
          <w:b/>
          <w:bCs/>
          <w:lang w:val="en-US"/>
        </w:rPr>
        <w:t>5 April 2023</w:t>
      </w:r>
    </w:p>
    <w:p w:rsidR="000A4DFE" w:rsidRDefault="000A4DFE" w:rsidP="000A4DFE">
      <w:pPr>
        <w:jc w:val="both"/>
        <w:rPr>
          <w:rFonts w:ascii="Times New Roman" w:hAnsi="Times New Roman" w:cs="Times New Roman"/>
          <w:b/>
          <w:bCs/>
          <w:lang w:val="en-US"/>
        </w:rPr>
      </w:pPr>
    </w:p>
    <w:p w:rsidR="000A4DFE" w:rsidRDefault="000A4DFE" w:rsidP="000A4DFE">
      <w:pPr>
        <w:jc w:val="both"/>
        <w:rPr>
          <w:rFonts w:ascii="Times New Roman" w:hAnsi="Times New Roman" w:cs="Times New Roman"/>
          <w:lang w:val="en-US"/>
        </w:rPr>
      </w:pPr>
      <w:r w:rsidRPr="000A4DFE">
        <w:rPr>
          <w:rFonts w:ascii="Times New Roman" w:hAnsi="Times New Roman" w:cs="Times New Roman"/>
          <w:lang w:val="en-US"/>
        </w:rPr>
        <w:t>17.</w:t>
      </w:r>
      <w:r w:rsidRPr="000A4DFE">
        <w:rPr>
          <w:rFonts w:ascii="Times New Roman" w:hAnsi="Times New Roman" w:cs="Times New Roman"/>
          <w:lang w:val="en-US"/>
        </w:rPr>
        <w:t xml:space="preserve"> </w:t>
      </w:r>
      <w:r w:rsidRPr="000A4DFE">
        <w:rPr>
          <w:rFonts w:ascii="Times New Roman" w:hAnsi="Times New Roman" w:cs="Times New Roman"/>
          <w:lang w:val="en-US"/>
        </w:rPr>
        <w:t>In light of the Committee’s previous concluding observations (paras. 26, 28 and 30), please indicate all measures taken to bring its legislation and practices into compliance with article 9 of the Covenant, taking into account the Committee’s general comment No. 35 (2014) on liberty and security of person, and to ensure full respect of the fundamental procedural safeguards for detained persons from the very outset of detention, including the rights to be informed promptly of the reason for detention, to have prompt access to a counsel of their own choosing, to be brought before a judge within a prompt and prescribed time frame and to have access to a medical assessment. Please also provide: (a) information on the measures taken to remedy any violations of these rights, including arbitrary arrest and detention; and (b) statistical data on the number of complaints presented, investigations carried out and prosecutions and sanctions handed down, especially in the context of the demonstrations held in June 2019 and January 2022 and of counter-terrorism operations.</w:t>
      </w:r>
    </w:p>
    <w:p w:rsidR="000A4DFE" w:rsidRDefault="000A4DFE" w:rsidP="000A4DFE">
      <w:pPr>
        <w:jc w:val="both"/>
        <w:rPr>
          <w:rFonts w:ascii="Times New Roman" w:hAnsi="Times New Roman" w:cs="Times New Roman"/>
          <w:lang w:val="en-US"/>
        </w:rPr>
      </w:pPr>
    </w:p>
    <w:p w:rsidR="000A4DFE" w:rsidRDefault="000A4DFE" w:rsidP="000A4DFE">
      <w:pPr>
        <w:jc w:val="both"/>
        <w:rPr>
          <w:rFonts w:ascii="Times New Roman" w:hAnsi="Times New Roman" w:cs="Times New Roman"/>
          <w:lang w:val="en-US"/>
        </w:rPr>
      </w:pPr>
      <w:r>
        <w:rPr>
          <w:rFonts w:ascii="Times New Roman" w:hAnsi="Times New Roman" w:cs="Times New Roman"/>
          <w:lang w:val="en-US"/>
        </w:rPr>
        <w:br w:type="page"/>
      </w:r>
    </w:p>
    <w:p w:rsidR="000A4DFE" w:rsidRPr="000A4DFE" w:rsidRDefault="000A4DFE" w:rsidP="000A4DFE">
      <w:pPr>
        <w:jc w:val="both"/>
        <w:rPr>
          <w:rFonts w:ascii="Times New Roman" w:hAnsi="Times New Roman" w:cs="Times New Roman"/>
          <w:b/>
          <w:bCs/>
          <w:lang w:val="en-US"/>
        </w:rPr>
      </w:pPr>
      <w:r w:rsidRPr="000A4DFE">
        <w:rPr>
          <w:rFonts w:ascii="Times New Roman" w:hAnsi="Times New Roman" w:cs="Times New Roman"/>
          <w:b/>
          <w:bCs/>
          <w:lang w:val="en-US"/>
        </w:rPr>
        <w:lastRenderedPageBreak/>
        <w:t>Alternative Report</w:t>
      </w:r>
    </w:p>
    <w:p w:rsidR="000A4DFE" w:rsidRDefault="000A4DFE" w:rsidP="000A4DFE">
      <w:pPr>
        <w:jc w:val="both"/>
        <w:rPr>
          <w:rFonts w:ascii="Times New Roman" w:hAnsi="Times New Roman" w:cs="Times New Roman"/>
          <w:lang w:val="en-US"/>
        </w:rPr>
      </w:pPr>
    </w:p>
    <w:p w:rsidR="000A4DFE" w:rsidRDefault="0055762C" w:rsidP="000A4DFE">
      <w:pPr>
        <w:jc w:val="both"/>
        <w:rPr>
          <w:rFonts w:ascii="Times New Roman" w:hAnsi="Times New Roman" w:cs="Times New Roman"/>
          <w:lang w:val="en-US"/>
        </w:rPr>
      </w:pPr>
      <w:r w:rsidRPr="0055762C">
        <w:rPr>
          <w:rFonts w:ascii="Times New Roman" w:hAnsi="Times New Roman" w:cs="Times New Roman"/>
          <w:lang w:val="en-US"/>
        </w:rPr>
        <w:t>1. Kazakhstan’s legislation provides</w:t>
      </w:r>
      <w:r>
        <w:rPr>
          <w:rStyle w:val="FootnoteReference"/>
          <w:rFonts w:ascii="Times New Roman" w:hAnsi="Times New Roman" w:cs="Times New Roman"/>
          <w:lang w:val="ru-RU"/>
        </w:rPr>
        <w:footnoteReference w:id="1"/>
      </w:r>
      <w:r w:rsidRPr="0055762C">
        <w:rPr>
          <w:rFonts w:ascii="Times New Roman" w:hAnsi="Times New Roman" w:cs="Times New Roman"/>
          <w:lang w:val="en-US"/>
        </w:rPr>
        <w:t xml:space="preserve"> for a measure known as preventive restriction of freedom of movement. It is applied as an individual preventive measure against persons who do not have a permanent place of residence and/or identity documents, even if they have not committed any offense. Based on a court decision, such individuals may be placed in special facilities of the Ministry of Internal Affairs for up to 30 days. This legal provision allows for extremely broad and discretionary application. Detentions occur solely on the basis of social status—such as homelessness or lack of identification—without assessing any real threat posed by the individual or the necessity of intervention. This practice does not comply with international standards, including the principles of legality, necessity, and proportionality. In practice, preventive restriction of liberty becomes a form of quasi-punishment for a person’s social status.</w:t>
      </w:r>
    </w:p>
    <w:p w:rsidR="0055762C" w:rsidRDefault="0055762C" w:rsidP="000A4DFE">
      <w:pPr>
        <w:jc w:val="both"/>
        <w:rPr>
          <w:rFonts w:ascii="Times New Roman" w:hAnsi="Times New Roman" w:cs="Times New Roman"/>
          <w:lang w:val="en-US"/>
        </w:rPr>
      </w:pPr>
    </w:p>
    <w:p w:rsidR="0055762C" w:rsidRDefault="0055762C" w:rsidP="000A4DFE">
      <w:pPr>
        <w:jc w:val="both"/>
        <w:rPr>
          <w:rFonts w:ascii="Times New Roman" w:hAnsi="Times New Roman" w:cs="Times New Roman"/>
          <w:lang w:val="en-US"/>
        </w:rPr>
      </w:pPr>
      <w:r w:rsidRPr="0055762C">
        <w:rPr>
          <w:rFonts w:ascii="Times New Roman" w:hAnsi="Times New Roman" w:cs="Times New Roman"/>
          <w:lang w:val="en-US"/>
        </w:rPr>
        <w:t>2. Moreover, the practice of applying preventive restriction of liberty is systemic and widespread. Every year, in all regions of Kazakhstan, the internal affairs authorities carry out operational-preventive campaigns under code names such as “BOMZH”</w:t>
      </w:r>
      <w:r w:rsidRPr="0055762C">
        <w:rPr>
          <w:rFonts w:ascii="Times New Roman" w:hAnsi="Times New Roman" w:cs="Times New Roman"/>
          <w:lang w:val="en-US"/>
        </w:rPr>
        <w:t>,</w:t>
      </w:r>
      <w:r w:rsidRPr="0055762C">
        <w:rPr>
          <w:rFonts w:ascii="Times New Roman" w:hAnsi="Times New Roman" w:cs="Times New Roman"/>
          <w:lang w:val="en-US"/>
        </w:rPr>
        <w:t xml:space="preserve"> “</w:t>
      </w:r>
      <w:proofErr w:type="spellStart"/>
      <w:r w:rsidRPr="0055762C">
        <w:rPr>
          <w:rFonts w:ascii="Times New Roman" w:hAnsi="Times New Roman" w:cs="Times New Roman"/>
          <w:lang w:val="en-US"/>
        </w:rPr>
        <w:t>Brodyaga</w:t>
      </w:r>
      <w:proofErr w:type="spellEnd"/>
      <w:r w:rsidRPr="0055762C">
        <w:rPr>
          <w:rFonts w:ascii="Times New Roman" w:hAnsi="Times New Roman" w:cs="Times New Roman"/>
          <w:lang w:val="en-US"/>
        </w:rPr>
        <w:t>”</w:t>
      </w:r>
      <w:r w:rsidRPr="0055762C">
        <w:rPr>
          <w:rFonts w:ascii="Times New Roman" w:hAnsi="Times New Roman" w:cs="Times New Roman"/>
          <w:lang w:val="en-US"/>
        </w:rPr>
        <w:t>,</w:t>
      </w:r>
      <w:r w:rsidRPr="0055762C">
        <w:rPr>
          <w:rFonts w:ascii="Times New Roman" w:hAnsi="Times New Roman" w:cs="Times New Roman"/>
          <w:lang w:val="en-US"/>
        </w:rPr>
        <w:t xml:space="preserve"> and “Winter Map”</w:t>
      </w:r>
      <w:r>
        <w:rPr>
          <w:rStyle w:val="FootnoteReference"/>
          <w:rFonts w:ascii="Times New Roman" w:hAnsi="Times New Roman" w:cs="Times New Roman"/>
          <w:lang w:val="en-US"/>
        </w:rPr>
        <w:footnoteReference w:id="2"/>
      </w:r>
      <w:r w:rsidRPr="0055762C">
        <w:rPr>
          <w:rFonts w:ascii="Times New Roman" w:hAnsi="Times New Roman" w:cs="Times New Roman"/>
          <w:lang w:val="en-US"/>
        </w:rPr>
        <w:t>,</w:t>
      </w:r>
      <w:r w:rsidRPr="0055762C">
        <w:rPr>
          <w:rFonts w:ascii="Times New Roman" w:hAnsi="Times New Roman" w:cs="Times New Roman"/>
          <w:lang w:val="en-US"/>
        </w:rPr>
        <w:t xml:space="preserve"> during which police conduct mass detentions of persons without a permanent place of residence, regardless of their behavior or will. These detentions are carried out without assessing any actual threat posed by the individual and are accompanied by forced placement in reception and distribution centers.</w:t>
      </w:r>
    </w:p>
    <w:p w:rsidR="0055762C" w:rsidRDefault="0055762C" w:rsidP="000A4DFE">
      <w:pPr>
        <w:jc w:val="both"/>
        <w:rPr>
          <w:rFonts w:ascii="Times New Roman" w:hAnsi="Times New Roman" w:cs="Times New Roman"/>
          <w:lang w:val="en-US"/>
        </w:rPr>
      </w:pPr>
    </w:p>
    <w:p w:rsidR="0055762C" w:rsidRDefault="0055762C" w:rsidP="000A4DFE">
      <w:pPr>
        <w:jc w:val="both"/>
        <w:rPr>
          <w:rFonts w:ascii="Times New Roman" w:hAnsi="Times New Roman" w:cs="Times New Roman"/>
          <w:lang w:val="en-US"/>
        </w:rPr>
      </w:pPr>
      <w:r w:rsidRPr="0055762C">
        <w:rPr>
          <w:rFonts w:ascii="Times New Roman" w:hAnsi="Times New Roman" w:cs="Times New Roman"/>
          <w:lang w:val="en-US"/>
        </w:rPr>
        <w:t>3. During these operations, police officers draw up reports, conduct fingerprint registration, and enter information about detainees into the Integrated Database of the Ministry of Internal Affairs with the label “</w:t>
      </w:r>
      <w:r>
        <w:rPr>
          <w:rFonts w:ascii="Times New Roman" w:hAnsi="Times New Roman" w:cs="Times New Roman"/>
          <w:lang w:val="en-US"/>
        </w:rPr>
        <w:t>Homeless</w:t>
      </w:r>
      <w:r w:rsidRPr="0055762C">
        <w:rPr>
          <w:rFonts w:ascii="Times New Roman" w:hAnsi="Times New Roman" w:cs="Times New Roman"/>
          <w:lang w:val="en-US"/>
        </w:rPr>
        <w:t>.” This labeling and data collection are carried out outside of legal procedures, with no possibility for appeal or deletion of the record. Taken together, this practice constitutes a repressive and punitive mechanism aimed not at preventing offenses, but at isolating and controlling a vulnerable segment of the population based on social status.</w:t>
      </w:r>
    </w:p>
    <w:p w:rsidR="0055762C" w:rsidRDefault="0055762C" w:rsidP="000A4DFE">
      <w:pPr>
        <w:jc w:val="both"/>
        <w:rPr>
          <w:rFonts w:ascii="Times New Roman" w:hAnsi="Times New Roman" w:cs="Times New Roman"/>
          <w:lang w:val="en-US"/>
        </w:rPr>
      </w:pPr>
    </w:p>
    <w:p w:rsidR="0055762C" w:rsidRDefault="0055762C" w:rsidP="000A4DFE">
      <w:pPr>
        <w:jc w:val="both"/>
        <w:rPr>
          <w:rFonts w:ascii="Times New Roman" w:hAnsi="Times New Roman" w:cs="Times New Roman"/>
          <w:lang w:val="en-US"/>
        </w:rPr>
      </w:pPr>
      <w:r w:rsidRPr="0055762C">
        <w:rPr>
          <w:rFonts w:ascii="Times New Roman" w:hAnsi="Times New Roman" w:cs="Times New Roman"/>
          <w:lang w:val="en-US"/>
        </w:rPr>
        <w:t>4. The scale of these operations itself confirms their systemic nature. According to the Ministry of Internal Affairs, more than 5,500 homeless individuals</w:t>
      </w:r>
      <w:r>
        <w:rPr>
          <w:rStyle w:val="FootnoteReference"/>
          <w:rFonts w:ascii="Times New Roman" w:hAnsi="Times New Roman" w:cs="Times New Roman"/>
          <w:lang w:val="en-US"/>
        </w:rPr>
        <w:footnoteReference w:id="3"/>
      </w:r>
      <w:r w:rsidRPr="0055762C">
        <w:rPr>
          <w:rFonts w:ascii="Times New Roman" w:hAnsi="Times New Roman" w:cs="Times New Roman"/>
          <w:lang w:val="en-US"/>
        </w:rPr>
        <w:t xml:space="preserve"> were detained during a three-day operational-preventive campaign in 2021. Official information indicates that, between 16 September and 15 December 2024, over 3,000 homeless individuals</w:t>
      </w:r>
      <w:r>
        <w:rPr>
          <w:rStyle w:val="FootnoteReference"/>
          <w:rFonts w:ascii="Times New Roman" w:hAnsi="Times New Roman" w:cs="Times New Roman"/>
          <w:lang w:val="en-US"/>
        </w:rPr>
        <w:footnoteReference w:id="4"/>
      </w:r>
      <w:r w:rsidRPr="0055762C">
        <w:rPr>
          <w:rFonts w:ascii="Times New Roman" w:hAnsi="Times New Roman" w:cs="Times New Roman"/>
          <w:lang w:val="en-US"/>
        </w:rPr>
        <w:t xml:space="preserve"> were detained across the country during similar operations. These figures demonstrate that detentions are carried out on a mass scale and without individual assessment of behavior, further underscoring the repressive nature of such campaigns.</w:t>
      </w:r>
    </w:p>
    <w:p w:rsidR="0055762C" w:rsidRDefault="0055762C" w:rsidP="000A4DFE">
      <w:pPr>
        <w:jc w:val="both"/>
        <w:rPr>
          <w:rFonts w:ascii="Times New Roman" w:hAnsi="Times New Roman" w:cs="Times New Roman"/>
          <w:lang w:val="en-US"/>
        </w:rPr>
      </w:pPr>
    </w:p>
    <w:p w:rsidR="0055762C" w:rsidRDefault="0055762C" w:rsidP="000A4DFE">
      <w:pPr>
        <w:jc w:val="both"/>
        <w:rPr>
          <w:rFonts w:ascii="Times New Roman" w:hAnsi="Times New Roman" w:cs="Times New Roman"/>
          <w:lang w:val="en-US"/>
        </w:rPr>
      </w:pPr>
      <w:r w:rsidRPr="0055762C">
        <w:rPr>
          <w:rFonts w:ascii="Times New Roman" w:hAnsi="Times New Roman" w:cs="Times New Roman"/>
          <w:lang w:val="en-US"/>
        </w:rPr>
        <w:t>5. In facilities where homeless individuals are held under preventive restriction of liberty, serious violations of sanitary and hygiene standards are regularly observed</w:t>
      </w:r>
      <w:r>
        <w:rPr>
          <w:rStyle w:val="FootnoteReference"/>
          <w:rFonts w:ascii="Times New Roman" w:hAnsi="Times New Roman" w:cs="Times New Roman"/>
          <w:lang w:val="en-US"/>
        </w:rPr>
        <w:footnoteReference w:id="5"/>
      </w:r>
      <w:r w:rsidRPr="0055762C">
        <w:rPr>
          <w:rFonts w:ascii="Times New Roman" w:hAnsi="Times New Roman" w:cs="Times New Roman"/>
          <w:lang w:val="en-US"/>
        </w:rPr>
        <w:t xml:space="preserve">. In several institutions, there is a lack of proper privacy in sanitary areas, especially in cells with bunk beds, where toilets are often not isolated. Personal hygiene items such as soap, toothpaste, and cleaning supplies are provided irregularly and, in some cases, are purchased by staff at their own expense. Women’s </w:t>
      </w:r>
      <w:r w:rsidRPr="0055762C">
        <w:rPr>
          <w:rFonts w:ascii="Times New Roman" w:hAnsi="Times New Roman" w:cs="Times New Roman"/>
          <w:lang w:val="en-US"/>
        </w:rPr>
        <w:lastRenderedPageBreak/>
        <w:t>hygiene products are entirely unavailable, placing women in an even more vulnerable position. There is also an insufficient number of shower facilities, irregular access to hygiene procedures, and the food provided does not meet the established standards for temporary detention facilities.</w:t>
      </w:r>
    </w:p>
    <w:p w:rsidR="0055762C" w:rsidRDefault="0055762C" w:rsidP="000A4DFE">
      <w:pPr>
        <w:jc w:val="both"/>
        <w:rPr>
          <w:rFonts w:ascii="Times New Roman" w:hAnsi="Times New Roman" w:cs="Times New Roman"/>
          <w:lang w:val="en-US"/>
        </w:rPr>
      </w:pPr>
    </w:p>
    <w:p w:rsidR="0055762C" w:rsidRDefault="0055762C" w:rsidP="000A4DFE">
      <w:pPr>
        <w:jc w:val="both"/>
        <w:rPr>
          <w:rFonts w:ascii="Times New Roman" w:hAnsi="Times New Roman" w:cs="Times New Roman"/>
          <w:lang w:val="en-US"/>
        </w:rPr>
      </w:pPr>
      <w:r w:rsidRPr="0055762C">
        <w:rPr>
          <w:rFonts w:ascii="Times New Roman" w:hAnsi="Times New Roman" w:cs="Times New Roman"/>
          <w:lang w:val="en-US"/>
        </w:rPr>
        <w:t>6. In many reception and distribution centers, there are no</w:t>
      </w:r>
      <w:r>
        <w:rPr>
          <w:rStyle w:val="FootnoteReference"/>
          <w:rFonts w:ascii="Times New Roman" w:hAnsi="Times New Roman" w:cs="Times New Roman"/>
          <w:lang w:val="en-US"/>
        </w:rPr>
        <w:footnoteReference w:id="6"/>
      </w:r>
      <w:r w:rsidRPr="0055762C">
        <w:rPr>
          <w:rFonts w:ascii="Times New Roman" w:hAnsi="Times New Roman" w:cs="Times New Roman"/>
          <w:lang w:val="en-US"/>
        </w:rPr>
        <w:t xml:space="preserve"> regular medical personnel, including paramedics. Medical rooms do not meet sanitary standards, and the list of available medications does not include basic emergency care drugs. These facilities primarily relied on leftover medications, and the procurement of new supplies was delayed by up to 6–7 months. Moreover, staff members reported that they often purchased medicines at their own expense. In one of the centers, 56 emergency medical calls were recorded over the course of several months, indicating a systemic failure to ensure medical safety. Given the combination of these conditions—lack of privacy, inadequate access to hygiene, medical care, and basic sanitary standards—the practice of holding homeless individuals in such facilities may constitute degrading treatment and violates Article 7 of the Covenant.</w:t>
      </w:r>
    </w:p>
    <w:p w:rsidR="0055762C" w:rsidRDefault="0055762C" w:rsidP="000A4DFE">
      <w:pPr>
        <w:jc w:val="both"/>
        <w:rPr>
          <w:rFonts w:ascii="Times New Roman" w:hAnsi="Times New Roman" w:cs="Times New Roman"/>
          <w:lang w:val="en-US"/>
        </w:rPr>
      </w:pPr>
    </w:p>
    <w:p w:rsidR="0055762C" w:rsidRDefault="0055762C" w:rsidP="000A4DFE">
      <w:pPr>
        <w:jc w:val="both"/>
        <w:rPr>
          <w:rFonts w:ascii="Times New Roman" w:hAnsi="Times New Roman" w:cs="Times New Roman"/>
          <w:lang w:val="en-US"/>
        </w:rPr>
      </w:pPr>
      <w:r w:rsidRPr="0055762C">
        <w:rPr>
          <w:rFonts w:ascii="Times New Roman" w:hAnsi="Times New Roman" w:cs="Times New Roman"/>
          <w:lang w:val="en-US"/>
        </w:rPr>
        <w:t>7. The legislation does not provide any effective legal mechanisms for the protection of individuals subjected to preventive restriction of liberty. There is no opportunity to legally challenge the application of this measure, no automatic assignment of a lawyer, and access to legal assistance is practically unavailable in practice. In addition, the state offers no system of social support or rehabilitation for homeless individuals held in isolation. They receive no assistance in restoring identification documents, are not provided with temporary housing, and are not referred to social services.</w:t>
      </w:r>
    </w:p>
    <w:p w:rsidR="00065C59" w:rsidRDefault="00065C59" w:rsidP="000A4DFE">
      <w:pPr>
        <w:jc w:val="both"/>
        <w:rPr>
          <w:rFonts w:ascii="Times New Roman" w:hAnsi="Times New Roman" w:cs="Times New Roman"/>
          <w:lang w:val="en-US"/>
        </w:rPr>
      </w:pPr>
    </w:p>
    <w:p w:rsidR="00065C59" w:rsidRDefault="00065C59" w:rsidP="000A4DFE">
      <w:pPr>
        <w:jc w:val="both"/>
        <w:rPr>
          <w:rFonts w:ascii="Times New Roman" w:hAnsi="Times New Roman" w:cs="Times New Roman"/>
          <w:lang w:val="en-US"/>
        </w:rPr>
      </w:pPr>
      <w:r w:rsidRPr="00065C59">
        <w:rPr>
          <w:rFonts w:ascii="Times New Roman" w:hAnsi="Times New Roman" w:cs="Times New Roman"/>
          <w:lang w:val="en-US"/>
        </w:rPr>
        <w:t>8. As a result, upon completion of the isolation period, individuals are typically released without any changes to their legal or social status and, remaining in a vulnerable position, are subjected to repeated detentions. Instead of receiving the necessary support—such as temporary housing, assistance in restoring identification documents, access to healthcare, and social services—persons without a fixed residence are subjected to repressive measures, repeated detentions, and stigmatization. This not only violates their right to liberty and personal security (Article 9 of the Covenant) but also contradicts the principles of equality, dignity, and non-discrimination enshrined in Article 26 of the International Covenant on Civil and Political Rights.</w:t>
      </w:r>
    </w:p>
    <w:p w:rsidR="00065C59" w:rsidRDefault="00065C59" w:rsidP="000A4DFE">
      <w:pPr>
        <w:jc w:val="both"/>
        <w:rPr>
          <w:rFonts w:ascii="Times New Roman" w:hAnsi="Times New Roman" w:cs="Times New Roman"/>
          <w:lang w:val="en-US"/>
        </w:rPr>
      </w:pPr>
    </w:p>
    <w:p w:rsidR="00065C59" w:rsidRDefault="00065C59" w:rsidP="00065C59">
      <w:pPr>
        <w:jc w:val="both"/>
        <w:rPr>
          <w:rFonts w:ascii="Times New Roman" w:hAnsi="Times New Roman" w:cs="Times New Roman"/>
          <w:b/>
          <w:bCs/>
          <w:lang w:val="en-US"/>
        </w:rPr>
      </w:pPr>
      <w:r>
        <w:rPr>
          <w:rFonts w:ascii="Times New Roman" w:hAnsi="Times New Roman" w:cs="Times New Roman"/>
          <w:b/>
          <w:bCs/>
          <w:lang w:val="en-US"/>
        </w:rPr>
        <w:br w:type="page"/>
      </w:r>
    </w:p>
    <w:p w:rsidR="00065C59" w:rsidRPr="00065C59" w:rsidRDefault="00065C59" w:rsidP="00065C59">
      <w:pPr>
        <w:jc w:val="both"/>
        <w:rPr>
          <w:rFonts w:ascii="Times New Roman" w:hAnsi="Times New Roman" w:cs="Times New Roman"/>
          <w:b/>
          <w:bCs/>
          <w:lang w:val="en-US"/>
        </w:rPr>
      </w:pPr>
      <w:r w:rsidRPr="00065C59">
        <w:rPr>
          <w:rFonts w:ascii="Times New Roman" w:hAnsi="Times New Roman" w:cs="Times New Roman"/>
          <w:b/>
          <w:bCs/>
          <w:lang w:val="en-US"/>
        </w:rPr>
        <w:lastRenderedPageBreak/>
        <w:t>Recommendations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In light of the facts outlined above, we urge the UN Human Rights Committee to recommend that the Republic of Kazakhstan take the following measures: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 Repeal legislative provisions, including the Law “On the Prevention of Offenses” and related by-laws, that allow for the restriction of liberty of persons without permanent residence (homeless individuals) and/or identity documents in the absence of any offense.</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II. Prohibit the application of preventive deprivation of liberty based solely on social status, including coded police operations under names such as “BOMZH,” “</w:t>
      </w:r>
      <w:proofErr w:type="spellStart"/>
      <w:r w:rsidRPr="00065C59">
        <w:rPr>
          <w:rFonts w:ascii="Times New Roman" w:hAnsi="Times New Roman" w:cs="Times New Roman"/>
          <w:lang w:val="en-US"/>
        </w:rPr>
        <w:t>Brodyaga</w:t>
      </w:r>
      <w:proofErr w:type="spellEnd"/>
      <w:r w:rsidRPr="00065C59">
        <w:rPr>
          <w:rFonts w:ascii="Times New Roman" w:hAnsi="Times New Roman" w:cs="Times New Roman"/>
          <w:lang w:val="en-US"/>
        </w:rPr>
        <w:t>,” and “Winter Map.”</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III. Ensure the observance of procedural safeguards for all detained individuals, including:</w:t>
      </w:r>
    </w:p>
    <w:p w:rsidR="00065C59" w:rsidRDefault="00065C59" w:rsidP="00065C59">
      <w:pPr>
        <w:pStyle w:val="ListParagraph"/>
        <w:numPr>
          <w:ilvl w:val="0"/>
          <w:numId w:val="1"/>
        </w:numPr>
        <w:jc w:val="both"/>
        <w:rPr>
          <w:rFonts w:ascii="Times New Roman" w:hAnsi="Times New Roman" w:cs="Times New Roman"/>
          <w:lang w:val="en-US"/>
        </w:rPr>
      </w:pPr>
      <w:r w:rsidRPr="00065C59">
        <w:rPr>
          <w:rFonts w:ascii="Times New Roman" w:hAnsi="Times New Roman" w:cs="Times New Roman"/>
          <w:lang w:val="en-US"/>
        </w:rPr>
        <w:t>immediate notification of the reasons for detention,</w:t>
      </w:r>
    </w:p>
    <w:p w:rsidR="00065C59" w:rsidRDefault="00065C59" w:rsidP="00065C59">
      <w:pPr>
        <w:pStyle w:val="ListParagraph"/>
        <w:numPr>
          <w:ilvl w:val="0"/>
          <w:numId w:val="1"/>
        </w:numPr>
        <w:jc w:val="both"/>
        <w:rPr>
          <w:rFonts w:ascii="Times New Roman" w:hAnsi="Times New Roman" w:cs="Times New Roman"/>
          <w:lang w:val="en-US"/>
        </w:rPr>
      </w:pPr>
      <w:r w:rsidRPr="00065C59">
        <w:rPr>
          <w:rFonts w:ascii="Times New Roman" w:hAnsi="Times New Roman" w:cs="Times New Roman"/>
          <w:lang w:val="en-US"/>
        </w:rPr>
        <w:t>automatic appointment of legal counsel,</w:t>
      </w:r>
    </w:p>
    <w:p w:rsidR="00065C59" w:rsidRDefault="00065C59" w:rsidP="00065C59">
      <w:pPr>
        <w:pStyle w:val="ListParagraph"/>
        <w:numPr>
          <w:ilvl w:val="0"/>
          <w:numId w:val="1"/>
        </w:numPr>
        <w:jc w:val="both"/>
        <w:rPr>
          <w:rFonts w:ascii="Times New Roman" w:hAnsi="Times New Roman" w:cs="Times New Roman"/>
          <w:lang w:val="en-US"/>
        </w:rPr>
      </w:pPr>
      <w:r w:rsidRPr="00065C59">
        <w:rPr>
          <w:rFonts w:ascii="Times New Roman" w:hAnsi="Times New Roman" w:cs="Times New Roman"/>
          <w:lang w:val="en-US"/>
        </w:rPr>
        <w:t>access to medical examination,</w:t>
      </w:r>
    </w:p>
    <w:p w:rsidR="00065C59" w:rsidRPr="00065C59" w:rsidRDefault="00065C59" w:rsidP="00065C59">
      <w:pPr>
        <w:pStyle w:val="ListParagraph"/>
        <w:numPr>
          <w:ilvl w:val="0"/>
          <w:numId w:val="1"/>
        </w:numPr>
        <w:jc w:val="both"/>
        <w:rPr>
          <w:rFonts w:ascii="Times New Roman" w:hAnsi="Times New Roman" w:cs="Times New Roman"/>
          <w:lang w:val="en-US"/>
        </w:rPr>
      </w:pPr>
      <w:r w:rsidRPr="00065C59">
        <w:rPr>
          <w:rFonts w:ascii="Times New Roman" w:hAnsi="Times New Roman" w:cs="Times New Roman"/>
          <w:lang w:val="en-US"/>
        </w:rPr>
        <w:t>the right to immediate judicial review of the detention.</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IV. End the practice of stigmatizing registration of individuals in the Ministry of Internal Affairs’ Integrated Database with the label “</w:t>
      </w:r>
      <w:r>
        <w:rPr>
          <w:rFonts w:ascii="Times New Roman" w:hAnsi="Times New Roman" w:cs="Times New Roman"/>
          <w:lang w:val="en-US"/>
        </w:rPr>
        <w:t>Homeless</w:t>
      </w:r>
      <w:r w:rsidRPr="00065C59">
        <w:rPr>
          <w:rFonts w:ascii="Times New Roman" w:hAnsi="Times New Roman" w:cs="Times New Roman"/>
          <w:lang w:val="en-US"/>
        </w:rPr>
        <w:t>,” as it constitutes a form of discrimination and secondary victimization.</w:t>
      </w:r>
    </w:p>
    <w:p w:rsidR="00065C59" w:rsidRPr="00065C59" w:rsidRDefault="00065C59" w:rsidP="00065C59">
      <w:pPr>
        <w:jc w:val="both"/>
        <w:rPr>
          <w:rFonts w:ascii="Times New Roman" w:hAnsi="Times New Roman" w:cs="Times New Roman"/>
          <w:lang w:val="en-US"/>
        </w:rPr>
      </w:pPr>
    </w:p>
    <w:p w:rsid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V. Collect and publish official statistics on detentions, complaints, investigations, and court proceedings related to the deprivation of liberty of homeless persons, disaggregated by gender, age, and region.</w:t>
      </w:r>
    </w:p>
    <w:p w:rsidR="00065C59" w:rsidRDefault="00065C59" w:rsidP="00065C59">
      <w:pPr>
        <w:jc w:val="both"/>
        <w:rPr>
          <w:rFonts w:ascii="Times New Roman" w:hAnsi="Times New Roman" w:cs="Times New Roman"/>
          <w:lang w:val="en-US"/>
        </w:rPr>
      </w:pPr>
    </w:p>
    <w:p w:rsidR="00065C59" w:rsidRDefault="00065C59" w:rsidP="00065C59">
      <w:pPr>
        <w:jc w:val="both"/>
        <w:rPr>
          <w:rFonts w:ascii="Times New Roman" w:hAnsi="Times New Roman" w:cs="Times New Roman"/>
          <w:lang w:val="en-US"/>
        </w:rPr>
      </w:pPr>
      <w:r>
        <w:rPr>
          <w:rFonts w:ascii="Times New Roman" w:hAnsi="Times New Roman" w:cs="Times New Roman"/>
          <w:lang w:val="en-US"/>
        </w:rPr>
        <w:br w:type="page"/>
      </w:r>
    </w:p>
    <w:p w:rsidR="00065C59" w:rsidRPr="00065C59" w:rsidRDefault="00065C59" w:rsidP="00065C59">
      <w:pPr>
        <w:jc w:val="both"/>
        <w:rPr>
          <w:rFonts w:ascii="Times New Roman" w:hAnsi="Times New Roman" w:cs="Times New Roman"/>
          <w:b/>
          <w:bCs/>
          <w:lang w:val="en-US"/>
        </w:rPr>
      </w:pPr>
      <w:r w:rsidRPr="00065C59">
        <w:rPr>
          <w:rFonts w:ascii="Times New Roman" w:hAnsi="Times New Roman" w:cs="Times New Roman"/>
          <w:b/>
          <w:bCs/>
          <w:lang w:val="en-US"/>
        </w:rPr>
        <w:lastRenderedPageBreak/>
        <w:t>Annex No. 1</w:t>
      </w:r>
    </w:p>
    <w:p w:rsidR="00065C59" w:rsidRPr="00065C59" w:rsidRDefault="00065C59" w:rsidP="00065C59">
      <w:pPr>
        <w:jc w:val="both"/>
        <w:rPr>
          <w:rFonts w:ascii="Times New Roman" w:hAnsi="Times New Roman" w:cs="Times New Roman"/>
          <w:b/>
          <w:bCs/>
          <w:lang w:val="en-US"/>
        </w:rPr>
      </w:pPr>
      <w:r w:rsidRPr="00065C59">
        <w:rPr>
          <w:rFonts w:ascii="Times New Roman" w:hAnsi="Times New Roman" w:cs="Times New Roman"/>
          <w:b/>
          <w:bCs/>
          <w:lang w:val="en-US"/>
        </w:rPr>
        <w:t>Official response of the Ministry of Internal Affairs of the Republic of Kazakhstan, 2021 (original in Russian)</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 xml:space="preserve">In order to prevent, detect, and solve crimes committed by persons without a fixed place of residence who </w:t>
      </w:r>
      <w:proofErr w:type="gramStart"/>
      <w:r w:rsidRPr="00065C59">
        <w:rPr>
          <w:rFonts w:ascii="Times New Roman" w:hAnsi="Times New Roman" w:cs="Times New Roman"/>
          <w:lang w:val="en-US"/>
        </w:rPr>
        <w:t>lead</w:t>
      </w:r>
      <w:proofErr w:type="gramEnd"/>
      <w:r w:rsidRPr="00065C59">
        <w:rPr>
          <w:rFonts w:ascii="Times New Roman" w:hAnsi="Times New Roman" w:cs="Times New Roman"/>
          <w:lang w:val="en-US"/>
        </w:rPr>
        <w:t xml:space="preserve"> a vagrant lifestyle, the Ministry of Internal Affairs annually conducts the operational-preventive campaign “</w:t>
      </w:r>
      <w:proofErr w:type="spellStart"/>
      <w:r w:rsidRPr="00065C59">
        <w:rPr>
          <w:rFonts w:ascii="Times New Roman" w:hAnsi="Times New Roman" w:cs="Times New Roman"/>
          <w:lang w:val="en-US"/>
        </w:rPr>
        <w:t>Brodyaga</w:t>
      </w:r>
      <w:proofErr w:type="spellEnd"/>
      <w:r w:rsidRPr="00065C59">
        <w:rPr>
          <w:rFonts w:ascii="Times New Roman" w:hAnsi="Times New Roman" w:cs="Times New Roman"/>
          <w:lang w:val="en-US"/>
        </w:rPr>
        <w:t>” in accordance with the schedule of operational-preventive measures approved by the Ministry.</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 xml:space="preserve">For reference: analysis shows that crimes committed by persons without a fixed residence who </w:t>
      </w:r>
      <w:proofErr w:type="gramStart"/>
      <w:r w:rsidRPr="00065C59">
        <w:rPr>
          <w:rFonts w:ascii="Times New Roman" w:hAnsi="Times New Roman" w:cs="Times New Roman"/>
          <w:lang w:val="en-US"/>
        </w:rPr>
        <w:t>lead</w:t>
      </w:r>
      <w:proofErr w:type="gramEnd"/>
      <w:r w:rsidRPr="00065C59">
        <w:rPr>
          <w:rFonts w:ascii="Times New Roman" w:hAnsi="Times New Roman" w:cs="Times New Roman"/>
          <w:lang w:val="en-US"/>
        </w:rPr>
        <w:t xml:space="preserve"> a vagrant lifestyle are not isolated cases and often remain unsolved. In practice, such individuals remain outside the field of view of law enforcement officers or deliberately avoid contact with the police.</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There are frequent instances in which individuals without a fixed place of residence themselves become victims of crimes or accidents, and their identities remain unknown for extended periods.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In this regard, at the instruction of the leadership of the Ministry of Internal Affairs, territorial police departments conduct the “</w:t>
      </w:r>
      <w:proofErr w:type="spellStart"/>
      <w:r w:rsidRPr="00065C59">
        <w:rPr>
          <w:rFonts w:ascii="Times New Roman" w:hAnsi="Times New Roman" w:cs="Times New Roman"/>
          <w:lang w:val="en-US"/>
        </w:rPr>
        <w:t>Brodyaga</w:t>
      </w:r>
      <w:proofErr w:type="spellEnd"/>
      <w:r w:rsidRPr="00065C59">
        <w:rPr>
          <w:rFonts w:ascii="Times New Roman" w:hAnsi="Times New Roman" w:cs="Times New Roman"/>
          <w:lang w:val="en-US"/>
        </w:rPr>
        <w:t>” campaign with the participation of officers from criminal, administrative, migration, and local police departments, as well as forensic and other units. Expenses related to the implementation of this operation are covered from the budgets of the respective police departments.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To identify persons without a fixed place of residence and implement the “</w:t>
      </w:r>
      <w:proofErr w:type="spellStart"/>
      <w:r w:rsidRPr="00065C59">
        <w:rPr>
          <w:rFonts w:ascii="Times New Roman" w:hAnsi="Times New Roman" w:cs="Times New Roman"/>
          <w:lang w:val="en-US"/>
        </w:rPr>
        <w:t>Brodyaga</w:t>
      </w:r>
      <w:proofErr w:type="spellEnd"/>
      <w:r w:rsidRPr="00065C59">
        <w:rPr>
          <w:rFonts w:ascii="Times New Roman" w:hAnsi="Times New Roman" w:cs="Times New Roman"/>
          <w:lang w:val="en-US"/>
        </w:rPr>
        <w:t>” campaign, the Criminal Police Department sends a reporting form to the territorial police departments, based on which officers conduct checks of: basements, manholes, abandoned buildings, farms, household waste areas (landfills), and forest plantations.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During the operation carried out in October of the current year, around 5,500 persons without a fixed residence were brought to internal affairs bodies. They were checked against existing databases to establish their identities and determine any involvement in offenses or crimes. Measures were taken to place those brought in on police records.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As a result of the campaign, 55 crimes committed by individuals in this category were solved by police officers.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For example, officers of the Aktobe Region Police Department detained citizen “Z,” a homeless person, who on October 13 of this year committed a robbery in the AZF-13 dacha community in the city of Aktobe, openly stealing personal belongings from a local resident.</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Among the homeless individuals detained, 107 were found to be wanted persons who had been hiding from criminal prosecution for various crimes.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 xml:space="preserve">For instance, the Pavlodar Region Police Department detained an individual wanted by the law enforcement agencies of Omsk Region, Russian Federation, since March 2012 for an armed robbery in the </w:t>
      </w:r>
      <w:proofErr w:type="spellStart"/>
      <w:r w:rsidRPr="00065C59">
        <w:rPr>
          <w:rFonts w:ascii="Times New Roman" w:hAnsi="Times New Roman" w:cs="Times New Roman"/>
          <w:lang w:val="en-US"/>
        </w:rPr>
        <w:t>Isilkul</w:t>
      </w:r>
      <w:proofErr w:type="spellEnd"/>
      <w:r w:rsidRPr="00065C59">
        <w:rPr>
          <w:rFonts w:ascii="Times New Roman" w:hAnsi="Times New Roman" w:cs="Times New Roman"/>
          <w:lang w:val="en-US"/>
        </w:rPr>
        <w:t xml:space="preserve"> district of Omsk Region.</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Seventy-two missing persons were located, including one person who had been sought by law enforcement for more than 10 years.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 xml:space="preserve">During investigative operations in the settlement of </w:t>
      </w:r>
      <w:proofErr w:type="spellStart"/>
      <w:r w:rsidRPr="00065C59">
        <w:rPr>
          <w:rFonts w:ascii="Times New Roman" w:hAnsi="Times New Roman" w:cs="Times New Roman"/>
          <w:lang w:val="en-US"/>
        </w:rPr>
        <w:t>Zhetygen</w:t>
      </w:r>
      <w:proofErr w:type="spellEnd"/>
      <w:r w:rsidRPr="00065C59">
        <w:rPr>
          <w:rFonts w:ascii="Times New Roman" w:hAnsi="Times New Roman" w:cs="Times New Roman"/>
          <w:lang w:val="en-US"/>
        </w:rPr>
        <w:t>, Ili District of Almaty Region, a young man living without a fixed residence was identified who had been missing since October 2009.</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In addition, police officers identified the identities of three unidentified corpses during the campaign.</w:t>
      </w:r>
    </w:p>
    <w:p w:rsidR="00065C59" w:rsidRPr="00065C59" w:rsidRDefault="00065C59" w:rsidP="00065C59">
      <w:pPr>
        <w:jc w:val="both"/>
        <w:rPr>
          <w:rFonts w:ascii="Times New Roman" w:hAnsi="Times New Roman" w:cs="Times New Roman"/>
          <w:lang w:val="en-US"/>
        </w:rPr>
      </w:pPr>
    </w:p>
    <w:p w:rsid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In the Republic of Kazakhstan, the authorized agency for statistical accounting is the Committee on Legal Statistics and Special Records under the General Prosecutor’s Office. As this body does not maintain statistics on homeless persons, the quantitative data on persons labeled “BOMZH” identified during the “</w:t>
      </w:r>
      <w:proofErr w:type="spellStart"/>
      <w:r w:rsidRPr="00065C59">
        <w:rPr>
          <w:rFonts w:ascii="Times New Roman" w:hAnsi="Times New Roman" w:cs="Times New Roman"/>
          <w:lang w:val="en-US"/>
        </w:rPr>
        <w:t>Brodyaga</w:t>
      </w:r>
      <w:proofErr w:type="spellEnd"/>
      <w:r w:rsidRPr="00065C59">
        <w:rPr>
          <w:rFonts w:ascii="Times New Roman" w:hAnsi="Times New Roman" w:cs="Times New Roman"/>
          <w:lang w:val="en-US"/>
        </w:rPr>
        <w:t>” campaign remains part of the operational statistics of the Ministry of Internal Affairs.</w:t>
      </w:r>
    </w:p>
    <w:p w:rsidR="00065C59" w:rsidRDefault="00065C59" w:rsidP="00065C59">
      <w:pPr>
        <w:jc w:val="both"/>
        <w:rPr>
          <w:rFonts w:ascii="Times New Roman" w:hAnsi="Times New Roman" w:cs="Times New Roman"/>
          <w:lang w:val="en-US"/>
        </w:rPr>
      </w:pPr>
    </w:p>
    <w:p w:rsidR="00065C59" w:rsidRDefault="00065C59" w:rsidP="00065C59">
      <w:pPr>
        <w:jc w:val="both"/>
        <w:rPr>
          <w:rFonts w:ascii="Times New Roman" w:hAnsi="Times New Roman" w:cs="Times New Roman"/>
          <w:lang w:val="en-US"/>
        </w:rPr>
      </w:pPr>
      <w:r>
        <w:rPr>
          <w:rFonts w:ascii="Times New Roman" w:hAnsi="Times New Roman" w:cs="Times New Roman"/>
          <w:lang w:val="en-US"/>
        </w:rPr>
        <w:br w:type="page"/>
      </w:r>
    </w:p>
    <w:p w:rsidR="00065C59" w:rsidRPr="00065C59" w:rsidRDefault="00065C59" w:rsidP="00065C59">
      <w:pPr>
        <w:jc w:val="both"/>
        <w:rPr>
          <w:rFonts w:ascii="Times New Roman" w:hAnsi="Times New Roman" w:cs="Times New Roman"/>
          <w:b/>
          <w:bCs/>
          <w:lang w:val="en-US"/>
        </w:rPr>
      </w:pPr>
      <w:r w:rsidRPr="00065C59">
        <w:rPr>
          <w:rFonts w:ascii="Times New Roman" w:hAnsi="Times New Roman" w:cs="Times New Roman"/>
          <w:b/>
          <w:bCs/>
          <w:lang w:val="en-US"/>
        </w:rPr>
        <w:lastRenderedPageBreak/>
        <w:t>Annex No. 2</w:t>
      </w:r>
    </w:p>
    <w:p w:rsidR="00065C59" w:rsidRPr="00065C59" w:rsidRDefault="00065C59" w:rsidP="00065C59">
      <w:pPr>
        <w:jc w:val="both"/>
        <w:rPr>
          <w:rFonts w:ascii="Times New Roman" w:hAnsi="Times New Roman" w:cs="Times New Roman"/>
          <w:b/>
          <w:bCs/>
          <w:lang w:val="en-US"/>
        </w:rPr>
      </w:pPr>
      <w:r w:rsidRPr="00065C59">
        <w:rPr>
          <w:rFonts w:ascii="Times New Roman" w:hAnsi="Times New Roman" w:cs="Times New Roman"/>
          <w:b/>
          <w:bCs/>
          <w:lang w:val="en-US"/>
        </w:rPr>
        <w:t>Official response of the Ministry of Internal Affairs of the Republic of Kazakhstan, 2024 (original in Russian)</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As part of the ongoing operational-preventive campaigns “</w:t>
      </w:r>
      <w:proofErr w:type="spellStart"/>
      <w:r w:rsidRPr="00065C59">
        <w:rPr>
          <w:rFonts w:ascii="Times New Roman" w:hAnsi="Times New Roman" w:cs="Times New Roman"/>
          <w:lang w:val="en-US"/>
        </w:rPr>
        <w:t>Uchastok</w:t>
      </w:r>
      <w:proofErr w:type="spellEnd"/>
      <w:r w:rsidRPr="00065C59">
        <w:rPr>
          <w:rFonts w:ascii="Times New Roman" w:hAnsi="Times New Roman" w:cs="Times New Roman"/>
          <w:lang w:val="en-US"/>
        </w:rPr>
        <w:t>” and “</w:t>
      </w:r>
      <w:proofErr w:type="spellStart"/>
      <w:r w:rsidRPr="00065C59">
        <w:rPr>
          <w:rFonts w:ascii="Times New Roman" w:hAnsi="Times New Roman" w:cs="Times New Roman"/>
          <w:lang w:val="en-US"/>
        </w:rPr>
        <w:t>Pravoporyadok</w:t>
      </w:r>
      <w:proofErr w:type="spellEnd"/>
      <w:r w:rsidRPr="00065C59">
        <w:rPr>
          <w:rFonts w:ascii="Times New Roman" w:hAnsi="Times New Roman" w:cs="Times New Roman"/>
          <w:lang w:val="en-US"/>
        </w:rPr>
        <w:t>,” as well as on a permanent basis, district police inspectors conduct activities aimed at identifying persons without a fixed place of residence, with subsequent placement in special reception and distribution centers (hereinafter – RDCs).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Thus, between 16 September and 15 December 2024, more than 3,000 individuals were placed in RDCs by police officers.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During the reporting period, 1,139 emergency medical calls were recorded at reception and distribution centers. No deaths were reported in these facilities.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Currently, 21 reception and distribution centers are operating across the country for persons without a fixed place of residence and/or identity documents, with a total of 820 beds.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For reference: according to paragraph 8 of Article 2 of the Law “On the Procedure and Conditions of Holding Individuals in Special Facilities Ensuring Temporary Isolation from Society,” a reception and distribution center is a special facility of the internal affairs bodies intended for receiving and holding persons without a fixed place of residence and/or identity documents.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According to Article 46-3 of the same Law, a person without a fixed place of residence and/or identity documents is placed in a reception and distribution center on the basis of a decision by an internal affairs body, sanctioned by a court, to apply preventive restriction of freedom of movement for up to thirty days.</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From July to December 2024, the Ministry of Internal Affairs, with the support of UNHCR and in cooperation with a number of NGOs, conducted a large-scale identification campaign to detect and register undocumented persons and individuals with undetermined nationality. As a result of this campaign, 504 undocumented persons were identified.</w:t>
      </w:r>
    </w:p>
    <w:p w:rsidR="00065C59" w:rsidRPr="00065C59" w:rsidRDefault="00065C59" w:rsidP="00065C59">
      <w:pPr>
        <w:jc w:val="both"/>
        <w:rPr>
          <w:rFonts w:ascii="Times New Roman" w:hAnsi="Times New Roman" w:cs="Times New Roman"/>
          <w:lang w:val="en-US"/>
        </w:rPr>
      </w:pPr>
    </w:p>
    <w:p w:rsidR="00065C59" w:rsidRPr="00065C59" w:rsidRDefault="00065C59" w:rsidP="00065C59">
      <w:pPr>
        <w:jc w:val="both"/>
        <w:rPr>
          <w:rFonts w:ascii="Times New Roman" w:hAnsi="Times New Roman" w:cs="Times New Roman"/>
          <w:lang w:val="en-US"/>
        </w:rPr>
      </w:pPr>
      <w:r w:rsidRPr="00065C59">
        <w:rPr>
          <w:rFonts w:ascii="Times New Roman" w:hAnsi="Times New Roman" w:cs="Times New Roman"/>
          <w:lang w:val="en-US"/>
        </w:rPr>
        <w:t>Of those, the citizenship of 251 persons was confirmed as that of the Republic of Kazakhstan, and 28 individuals were recognized as stateless. Legal status verification procedures are ongoing for 225 individuals.</w:t>
      </w:r>
    </w:p>
    <w:p w:rsidR="00065C59" w:rsidRPr="00065C59" w:rsidRDefault="00065C59" w:rsidP="00065C59">
      <w:pPr>
        <w:jc w:val="both"/>
        <w:rPr>
          <w:rFonts w:ascii="Times New Roman" w:hAnsi="Times New Roman" w:cs="Times New Roman"/>
          <w:lang w:val="en-US"/>
        </w:rPr>
      </w:pPr>
    </w:p>
    <w:p w:rsidR="00065C59" w:rsidRPr="0055762C" w:rsidRDefault="00065C59" w:rsidP="00065C59">
      <w:pPr>
        <w:jc w:val="both"/>
        <w:rPr>
          <w:rFonts w:ascii="Times New Roman" w:hAnsi="Times New Roman" w:cs="Times New Roman"/>
          <w:lang w:val="en-US"/>
        </w:rPr>
      </w:pPr>
      <w:r w:rsidRPr="00065C59">
        <w:rPr>
          <w:rFonts w:ascii="Times New Roman" w:hAnsi="Times New Roman" w:cs="Times New Roman"/>
          <w:lang w:val="en-US"/>
        </w:rPr>
        <w:t>The Ministry of Internal Affairs does not keep records of minors detained during these operations and placed in RDCs.</w:t>
      </w:r>
    </w:p>
    <w:sectPr w:rsidR="00065C59" w:rsidRPr="0055762C" w:rsidSect="0055762C">
      <w:footerReference w:type="even"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42F2" w:rsidRDefault="00AF42F2" w:rsidP="0055762C">
      <w:r>
        <w:separator/>
      </w:r>
    </w:p>
  </w:endnote>
  <w:endnote w:type="continuationSeparator" w:id="0">
    <w:p w:rsidR="00AF42F2" w:rsidRDefault="00AF42F2" w:rsidP="00557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2191311"/>
      <w:docPartObj>
        <w:docPartGallery w:val="Page Numbers (Bottom of Page)"/>
        <w:docPartUnique/>
      </w:docPartObj>
    </w:sdtPr>
    <w:sdtContent>
      <w:p w:rsidR="0055762C" w:rsidRDefault="0055762C" w:rsidP="005E63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5762C" w:rsidRDefault="005576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656684"/>
      <w:docPartObj>
        <w:docPartGallery w:val="Page Numbers (Bottom of Page)"/>
        <w:docPartUnique/>
      </w:docPartObj>
    </w:sdtPr>
    <w:sdtContent>
      <w:p w:rsidR="0055762C" w:rsidRDefault="0055762C" w:rsidP="005E630A">
        <w:pPr>
          <w:pStyle w:val="Footer"/>
          <w:framePr w:wrap="none" w:vAnchor="text" w:hAnchor="margin" w:xAlign="center" w:y="1"/>
          <w:rPr>
            <w:rStyle w:val="PageNumber"/>
          </w:rPr>
        </w:pPr>
        <w:r w:rsidRPr="0055762C">
          <w:rPr>
            <w:rStyle w:val="PageNumber"/>
            <w:rFonts w:ascii="Times New Roman" w:hAnsi="Times New Roman" w:cs="Times New Roman"/>
          </w:rPr>
          <w:fldChar w:fldCharType="begin"/>
        </w:r>
        <w:r w:rsidRPr="0055762C">
          <w:rPr>
            <w:rStyle w:val="PageNumber"/>
            <w:rFonts w:ascii="Times New Roman" w:hAnsi="Times New Roman" w:cs="Times New Roman"/>
          </w:rPr>
          <w:instrText xml:space="preserve"> PAGE </w:instrText>
        </w:r>
        <w:r w:rsidRPr="0055762C">
          <w:rPr>
            <w:rStyle w:val="PageNumber"/>
            <w:rFonts w:ascii="Times New Roman" w:hAnsi="Times New Roman" w:cs="Times New Roman"/>
          </w:rPr>
          <w:fldChar w:fldCharType="separate"/>
        </w:r>
        <w:r w:rsidRPr="0055762C">
          <w:rPr>
            <w:rStyle w:val="PageNumber"/>
            <w:rFonts w:ascii="Times New Roman" w:hAnsi="Times New Roman" w:cs="Times New Roman"/>
            <w:noProof/>
          </w:rPr>
          <w:t>2</w:t>
        </w:r>
        <w:r w:rsidRPr="0055762C">
          <w:rPr>
            <w:rStyle w:val="PageNumber"/>
            <w:rFonts w:ascii="Times New Roman" w:hAnsi="Times New Roman" w:cs="Times New Roman"/>
          </w:rPr>
          <w:fldChar w:fldCharType="end"/>
        </w:r>
      </w:p>
    </w:sdtContent>
  </w:sdt>
  <w:p w:rsidR="0055762C" w:rsidRDefault="00557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42F2" w:rsidRDefault="00AF42F2" w:rsidP="0055762C">
      <w:r>
        <w:separator/>
      </w:r>
    </w:p>
  </w:footnote>
  <w:footnote w:type="continuationSeparator" w:id="0">
    <w:p w:rsidR="00AF42F2" w:rsidRDefault="00AF42F2" w:rsidP="0055762C">
      <w:r>
        <w:continuationSeparator/>
      </w:r>
    </w:p>
  </w:footnote>
  <w:footnote w:id="1">
    <w:p w:rsidR="0055762C" w:rsidRPr="0055762C" w:rsidRDefault="0055762C" w:rsidP="0055762C">
      <w:pPr>
        <w:pStyle w:val="FootnoteText"/>
        <w:jc w:val="both"/>
        <w:rPr>
          <w:rFonts w:ascii="Times New Roman" w:hAnsi="Times New Roman" w:cs="Times New Roman"/>
          <w:lang w:val="en-US"/>
        </w:rPr>
      </w:pPr>
      <w:r w:rsidRPr="0055762C">
        <w:rPr>
          <w:rStyle w:val="FootnoteReference"/>
          <w:rFonts w:ascii="Times New Roman" w:hAnsi="Times New Roman" w:cs="Times New Roman"/>
        </w:rPr>
        <w:footnoteRef/>
      </w:r>
      <w:r w:rsidRPr="0055762C">
        <w:rPr>
          <w:rFonts w:ascii="Times New Roman" w:hAnsi="Times New Roman" w:cs="Times New Roman"/>
        </w:rPr>
        <w:t xml:space="preserve"> </w:t>
      </w:r>
      <w:r w:rsidRPr="0055762C">
        <w:rPr>
          <w:rFonts w:ascii="Times New Roman" w:hAnsi="Times New Roman" w:cs="Times New Roman"/>
        </w:rPr>
        <w:t>See the Law of the Republic of Kazakhstan dated 29 April 2010 No. 271-IV “On the Prevention of Offenses”.</w:t>
      </w:r>
    </w:p>
  </w:footnote>
  <w:footnote w:id="2">
    <w:p w:rsidR="0055762C" w:rsidRPr="0055762C" w:rsidRDefault="0055762C" w:rsidP="0055762C">
      <w:pPr>
        <w:pStyle w:val="FootnoteText"/>
        <w:jc w:val="both"/>
        <w:rPr>
          <w:rFonts w:ascii="Times New Roman" w:hAnsi="Times New Roman" w:cs="Times New Roman"/>
          <w:lang w:val="en-US"/>
        </w:rPr>
      </w:pPr>
      <w:r w:rsidRPr="0055762C">
        <w:rPr>
          <w:rStyle w:val="FootnoteReference"/>
          <w:rFonts w:ascii="Times New Roman" w:hAnsi="Times New Roman" w:cs="Times New Roman"/>
        </w:rPr>
        <w:footnoteRef/>
      </w:r>
      <w:r w:rsidRPr="0055762C">
        <w:rPr>
          <w:rFonts w:ascii="Times New Roman" w:hAnsi="Times New Roman" w:cs="Times New Roman"/>
        </w:rPr>
        <w:t xml:space="preserve"> </w:t>
      </w:r>
      <w:r w:rsidRPr="0055762C">
        <w:rPr>
          <w:rFonts w:ascii="Times New Roman" w:hAnsi="Times New Roman" w:cs="Times New Roman"/>
        </w:rPr>
        <w:t>See the official response of the Ministry of Internal Affairs of the Republic of Kazakhstan, Annex No. 1.</w:t>
      </w:r>
    </w:p>
  </w:footnote>
  <w:footnote w:id="3">
    <w:p w:rsidR="0055762C" w:rsidRPr="0055762C" w:rsidRDefault="0055762C" w:rsidP="0055762C">
      <w:pPr>
        <w:pStyle w:val="FootnoteText"/>
        <w:jc w:val="both"/>
        <w:rPr>
          <w:rFonts w:ascii="Times New Roman" w:hAnsi="Times New Roman" w:cs="Times New Roman"/>
          <w:lang w:val="en-US"/>
        </w:rPr>
      </w:pPr>
      <w:r w:rsidRPr="0055762C">
        <w:rPr>
          <w:rStyle w:val="FootnoteReference"/>
          <w:rFonts w:ascii="Times New Roman" w:hAnsi="Times New Roman" w:cs="Times New Roman"/>
        </w:rPr>
        <w:footnoteRef/>
      </w:r>
      <w:r w:rsidRPr="0055762C">
        <w:rPr>
          <w:rFonts w:ascii="Times New Roman" w:hAnsi="Times New Roman" w:cs="Times New Roman"/>
        </w:rPr>
        <w:t xml:space="preserve"> </w:t>
      </w:r>
      <w:r w:rsidRPr="0055762C">
        <w:rPr>
          <w:rFonts w:ascii="Times New Roman" w:hAnsi="Times New Roman" w:cs="Times New Roman"/>
        </w:rPr>
        <w:t>See the official response of the Ministry of Internal Affairs of the Republic of Kazakhstan, Annex No. 1.</w:t>
      </w:r>
    </w:p>
  </w:footnote>
  <w:footnote w:id="4">
    <w:p w:rsidR="0055762C" w:rsidRPr="0055762C" w:rsidRDefault="0055762C" w:rsidP="0055762C">
      <w:pPr>
        <w:pStyle w:val="FootnoteText"/>
        <w:jc w:val="both"/>
        <w:rPr>
          <w:rFonts w:ascii="Times New Roman" w:hAnsi="Times New Roman" w:cs="Times New Roman"/>
          <w:lang w:val="en-US"/>
        </w:rPr>
      </w:pPr>
      <w:r w:rsidRPr="0055762C">
        <w:rPr>
          <w:rStyle w:val="FootnoteReference"/>
          <w:rFonts w:ascii="Times New Roman" w:hAnsi="Times New Roman" w:cs="Times New Roman"/>
        </w:rPr>
        <w:footnoteRef/>
      </w:r>
      <w:r w:rsidRPr="0055762C">
        <w:rPr>
          <w:rFonts w:ascii="Times New Roman" w:hAnsi="Times New Roman" w:cs="Times New Roman"/>
        </w:rPr>
        <w:t xml:space="preserve"> </w:t>
      </w:r>
      <w:r w:rsidRPr="0055762C">
        <w:rPr>
          <w:rFonts w:ascii="Times New Roman" w:hAnsi="Times New Roman" w:cs="Times New Roman"/>
        </w:rPr>
        <w:t xml:space="preserve">See the official response of the Ministry of Internal Affairs of the Republic of Kazakhstan, Annex No. </w:t>
      </w:r>
      <w:r w:rsidRPr="0055762C">
        <w:rPr>
          <w:rFonts w:ascii="Times New Roman" w:hAnsi="Times New Roman" w:cs="Times New Roman"/>
          <w:lang w:val="en-US"/>
        </w:rPr>
        <w:t>2</w:t>
      </w:r>
      <w:r w:rsidRPr="0055762C">
        <w:rPr>
          <w:rFonts w:ascii="Times New Roman" w:hAnsi="Times New Roman" w:cs="Times New Roman"/>
        </w:rPr>
        <w:t>.</w:t>
      </w:r>
    </w:p>
  </w:footnote>
  <w:footnote w:id="5">
    <w:p w:rsidR="0055762C" w:rsidRPr="0055762C" w:rsidRDefault="0055762C" w:rsidP="0055762C">
      <w:pPr>
        <w:pStyle w:val="FootnoteText"/>
        <w:jc w:val="both"/>
        <w:rPr>
          <w:rFonts w:ascii="Times New Roman" w:hAnsi="Times New Roman" w:cs="Times New Roman"/>
          <w:lang w:val="en-US"/>
        </w:rPr>
      </w:pPr>
      <w:r w:rsidRPr="0055762C">
        <w:rPr>
          <w:rStyle w:val="FootnoteReference"/>
          <w:rFonts w:ascii="Times New Roman" w:hAnsi="Times New Roman" w:cs="Times New Roman"/>
        </w:rPr>
        <w:footnoteRef/>
      </w:r>
      <w:r w:rsidRPr="0055762C">
        <w:rPr>
          <w:rFonts w:ascii="Times New Roman" w:hAnsi="Times New Roman" w:cs="Times New Roman"/>
        </w:rPr>
        <w:t xml:space="preserve"> </w:t>
      </w:r>
      <w:r w:rsidRPr="0055762C">
        <w:rPr>
          <w:rFonts w:ascii="Times New Roman" w:hAnsi="Times New Roman" w:cs="Times New Roman"/>
        </w:rPr>
        <w:t>See the Consolidated Report of the Participants of the National Preventive Mechanism (NPM) for 2019–2020.</w:t>
      </w:r>
    </w:p>
  </w:footnote>
  <w:footnote w:id="6">
    <w:p w:rsidR="0055762C" w:rsidRPr="0055762C" w:rsidRDefault="0055762C" w:rsidP="0055762C">
      <w:pPr>
        <w:pStyle w:val="FootnoteText"/>
        <w:jc w:val="both"/>
        <w:rPr>
          <w:rFonts w:ascii="Times New Roman" w:hAnsi="Times New Roman" w:cs="Times New Roman"/>
          <w:lang w:val="en-US"/>
        </w:rPr>
      </w:pPr>
      <w:r w:rsidRPr="0055762C">
        <w:rPr>
          <w:rStyle w:val="FootnoteReference"/>
          <w:rFonts w:ascii="Times New Roman" w:hAnsi="Times New Roman" w:cs="Times New Roman"/>
        </w:rPr>
        <w:footnoteRef/>
      </w:r>
      <w:r w:rsidRPr="0055762C">
        <w:rPr>
          <w:rFonts w:ascii="Times New Roman" w:hAnsi="Times New Roman" w:cs="Times New Roman"/>
        </w:rPr>
        <w:t xml:space="preserve"> </w:t>
      </w:r>
      <w:r w:rsidRPr="0055762C">
        <w:rPr>
          <w:rFonts w:ascii="Times New Roman" w:hAnsi="Times New Roman" w:cs="Times New Roman"/>
        </w:rPr>
        <w:t>See the Consolidated Report of the Participants of the National Preventive Mechanism (NPM) for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E25BA5"/>
    <w:multiLevelType w:val="hybridMultilevel"/>
    <w:tmpl w:val="32485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174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B56"/>
    <w:rsid w:val="00065C59"/>
    <w:rsid w:val="000A4DFE"/>
    <w:rsid w:val="0055762C"/>
    <w:rsid w:val="00A500CB"/>
    <w:rsid w:val="00AF42F2"/>
    <w:rsid w:val="00C23B56"/>
  </w:rsids>
  <m:mathPr>
    <m:mathFont m:val="Cambria Math"/>
    <m:brkBin m:val="before"/>
    <m:brkBinSub m:val="--"/>
    <m:smallFrac m:val="0"/>
    <m:dispDef/>
    <m:lMargin m:val="0"/>
    <m:rMargin m:val="0"/>
    <m:defJc m:val="centerGroup"/>
    <m:wrapIndent m:val="1440"/>
    <m:intLim m:val="subSup"/>
    <m:naryLim m:val="undOvr"/>
  </m:mathPr>
  <w:themeFontLang w:val="en-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7BE5"/>
  <w15:chartTrackingRefBased/>
  <w15:docId w15:val="{E92CBB3F-AD5E-5D47-8CC8-5406FD36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B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3B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4DFE"/>
    <w:rPr>
      <w:color w:val="0563C1" w:themeColor="hyperlink"/>
      <w:u w:val="single"/>
    </w:rPr>
  </w:style>
  <w:style w:type="character" w:styleId="UnresolvedMention">
    <w:name w:val="Unresolved Mention"/>
    <w:basedOn w:val="DefaultParagraphFont"/>
    <w:uiPriority w:val="99"/>
    <w:semiHidden/>
    <w:unhideWhenUsed/>
    <w:rsid w:val="000A4DFE"/>
    <w:rPr>
      <w:color w:val="605E5C"/>
      <w:shd w:val="clear" w:color="auto" w:fill="E1DFDD"/>
    </w:rPr>
  </w:style>
  <w:style w:type="paragraph" w:styleId="FootnoteText">
    <w:name w:val="footnote text"/>
    <w:basedOn w:val="Normal"/>
    <w:link w:val="FootnoteTextChar"/>
    <w:uiPriority w:val="99"/>
    <w:semiHidden/>
    <w:unhideWhenUsed/>
    <w:rsid w:val="0055762C"/>
    <w:rPr>
      <w:sz w:val="20"/>
      <w:szCs w:val="20"/>
    </w:rPr>
  </w:style>
  <w:style w:type="character" w:customStyle="1" w:styleId="FootnoteTextChar">
    <w:name w:val="Footnote Text Char"/>
    <w:basedOn w:val="DefaultParagraphFont"/>
    <w:link w:val="FootnoteText"/>
    <w:uiPriority w:val="99"/>
    <w:semiHidden/>
    <w:rsid w:val="0055762C"/>
    <w:rPr>
      <w:sz w:val="20"/>
      <w:szCs w:val="20"/>
    </w:rPr>
  </w:style>
  <w:style w:type="character" w:styleId="FootnoteReference">
    <w:name w:val="footnote reference"/>
    <w:basedOn w:val="DefaultParagraphFont"/>
    <w:uiPriority w:val="99"/>
    <w:semiHidden/>
    <w:unhideWhenUsed/>
    <w:rsid w:val="0055762C"/>
    <w:rPr>
      <w:vertAlign w:val="superscript"/>
    </w:rPr>
  </w:style>
  <w:style w:type="paragraph" w:styleId="Footer">
    <w:name w:val="footer"/>
    <w:basedOn w:val="Normal"/>
    <w:link w:val="FooterChar"/>
    <w:uiPriority w:val="99"/>
    <w:unhideWhenUsed/>
    <w:rsid w:val="0055762C"/>
    <w:pPr>
      <w:tabs>
        <w:tab w:val="center" w:pos="4680"/>
        <w:tab w:val="right" w:pos="9360"/>
      </w:tabs>
    </w:pPr>
  </w:style>
  <w:style w:type="character" w:customStyle="1" w:styleId="FooterChar">
    <w:name w:val="Footer Char"/>
    <w:basedOn w:val="DefaultParagraphFont"/>
    <w:link w:val="Footer"/>
    <w:uiPriority w:val="99"/>
    <w:rsid w:val="0055762C"/>
  </w:style>
  <w:style w:type="character" w:styleId="PageNumber">
    <w:name w:val="page number"/>
    <w:basedOn w:val="DefaultParagraphFont"/>
    <w:uiPriority w:val="99"/>
    <w:semiHidden/>
    <w:unhideWhenUsed/>
    <w:rsid w:val="0055762C"/>
  </w:style>
  <w:style w:type="paragraph" w:styleId="Header">
    <w:name w:val="header"/>
    <w:basedOn w:val="Normal"/>
    <w:link w:val="HeaderChar"/>
    <w:uiPriority w:val="99"/>
    <w:unhideWhenUsed/>
    <w:rsid w:val="0055762C"/>
    <w:pPr>
      <w:tabs>
        <w:tab w:val="center" w:pos="4680"/>
        <w:tab w:val="right" w:pos="9360"/>
      </w:tabs>
    </w:pPr>
  </w:style>
  <w:style w:type="character" w:customStyle="1" w:styleId="HeaderChar">
    <w:name w:val="Header Char"/>
    <w:basedOn w:val="DefaultParagraphFont"/>
    <w:link w:val="Header"/>
    <w:uiPriority w:val="99"/>
    <w:rsid w:val="0055762C"/>
  </w:style>
  <w:style w:type="paragraph" w:styleId="ListParagraph">
    <w:name w:val="List Paragraph"/>
    <w:basedOn w:val="Normal"/>
    <w:uiPriority w:val="34"/>
    <w:qFormat/>
    <w:rsid w:val="00065C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isher.kozhagul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51915-E376-6740-86E4-DBC906CBE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2131</Words>
  <Characters>15223</Characters>
  <Application>Microsoft Office Word</Application>
  <DocSecurity>0</DocSecurity>
  <Lines>287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Алишер Кожагулов</dc:creator>
  <cp:keywords/>
  <dc:description/>
  <cp:lastModifiedBy>Алишер Кожагулов</cp:lastModifiedBy>
  <cp:revision>2</cp:revision>
  <dcterms:created xsi:type="dcterms:W3CDTF">2025-05-20T07:56:00Z</dcterms:created>
  <dcterms:modified xsi:type="dcterms:W3CDTF">2025-05-20T14:06:00Z</dcterms:modified>
</cp:coreProperties>
</file>