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17B" w:rsidRPr="005B6636" w:rsidRDefault="007F017B" w:rsidP="007F017B">
      <w:pPr>
        <w:rPr>
          <w:rFonts w:cstheme="minorHAnsi"/>
          <w:b/>
          <w:sz w:val="28"/>
          <w:szCs w:val="28"/>
        </w:rPr>
      </w:pPr>
      <w:bookmarkStart w:id="0" w:name="_GoBack"/>
      <w:bookmarkEnd w:id="0"/>
    </w:p>
    <w:p w:rsidR="007F017B" w:rsidRPr="005B6636" w:rsidRDefault="007F017B" w:rsidP="007F017B">
      <w:pPr>
        <w:jc w:val="center"/>
        <w:rPr>
          <w:rFonts w:cstheme="minorHAnsi"/>
          <w:b/>
          <w:sz w:val="28"/>
          <w:szCs w:val="28"/>
        </w:rPr>
      </w:pPr>
      <w:r w:rsidRPr="005B6636">
        <w:rPr>
          <w:rFonts w:cstheme="minorHAnsi"/>
          <w:b/>
          <w:sz w:val="28"/>
          <w:szCs w:val="28"/>
        </w:rPr>
        <w:t>Alternative Report submitted to the</w:t>
      </w:r>
    </w:p>
    <w:p w:rsidR="007F017B" w:rsidRPr="005B6636" w:rsidRDefault="007F017B" w:rsidP="007F017B">
      <w:pPr>
        <w:jc w:val="center"/>
        <w:rPr>
          <w:rFonts w:cstheme="minorHAnsi"/>
          <w:b/>
          <w:sz w:val="28"/>
          <w:szCs w:val="28"/>
        </w:rPr>
      </w:pPr>
      <w:r w:rsidRPr="005B6636">
        <w:rPr>
          <w:rFonts w:cstheme="minorHAnsi"/>
          <w:b/>
          <w:sz w:val="28"/>
          <w:szCs w:val="28"/>
        </w:rPr>
        <w:t xml:space="preserve">UN Committee on the Economic, Social and Cultural Rights for the </w:t>
      </w:r>
    </w:p>
    <w:p w:rsidR="00C378EA" w:rsidRDefault="007F017B" w:rsidP="007F017B">
      <w:pPr>
        <w:jc w:val="center"/>
        <w:rPr>
          <w:rFonts w:cstheme="minorHAnsi"/>
          <w:b/>
          <w:sz w:val="28"/>
          <w:szCs w:val="28"/>
        </w:rPr>
      </w:pPr>
      <w:r w:rsidRPr="005B6636">
        <w:rPr>
          <w:rFonts w:cstheme="minorHAnsi"/>
          <w:b/>
          <w:sz w:val="28"/>
          <w:szCs w:val="28"/>
        </w:rPr>
        <w:t xml:space="preserve">consideration of the </w:t>
      </w:r>
      <w:r w:rsidR="00636D27">
        <w:rPr>
          <w:rFonts w:cstheme="minorHAnsi"/>
          <w:b/>
          <w:sz w:val="28"/>
          <w:szCs w:val="28"/>
        </w:rPr>
        <w:t>Second</w:t>
      </w:r>
      <w:r w:rsidRPr="005B6636">
        <w:rPr>
          <w:rFonts w:cstheme="minorHAnsi"/>
          <w:b/>
          <w:sz w:val="28"/>
          <w:szCs w:val="28"/>
        </w:rPr>
        <w:t xml:space="preserve"> Report of </w:t>
      </w:r>
      <w:r w:rsidR="008760F1">
        <w:rPr>
          <w:rFonts w:cstheme="minorHAnsi"/>
          <w:b/>
          <w:sz w:val="28"/>
          <w:szCs w:val="28"/>
        </w:rPr>
        <w:t>Indonesia</w:t>
      </w:r>
      <w:r w:rsidRPr="005B6636">
        <w:rPr>
          <w:rFonts w:cstheme="minorHAnsi"/>
          <w:b/>
          <w:sz w:val="28"/>
          <w:szCs w:val="28"/>
        </w:rPr>
        <w:t xml:space="preserve"> </w:t>
      </w:r>
    </w:p>
    <w:p w:rsidR="007F017B" w:rsidRPr="00C378EA" w:rsidRDefault="007F017B" w:rsidP="00C378EA">
      <w:pPr>
        <w:jc w:val="center"/>
        <w:rPr>
          <w:rFonts w:cstheme="minorHAnsi"/>
          <w:b/>
          <w:sz w:val="28"/>
          <w:szCs w:val="28"/>
        </w:rPr>
      </w:pPr>
      <w:r w:rsidRPr="005B6636">
        <w:rPr>
          <w:rFonts w:cstheme="minorHAnsi"/>
          <w:b/>
          <w:sz w:val="28"/>
          <w:szCs w:val="28"/>
        </w:rPr>
        <w:t>during the</w:t>
      </w:r>
      <w:r>
        <w:rPr>
          <w:rFonts w:cstheme="minorHAnsi"/>
          <w:b/>
          <w:sz w:val="28"/>
          <w:szCs w:val="28"/>
        </w:rPr>
        <w:t xml:space="preserve"> </w:t>
      </w:r>
      <w:r w:rsidRPr="005B6636">
        <w:rPr>
          <w:rFonts w:cstheme="minorHAnsi"/>
          <w:b/>
          <w:sz w:val="28"/>
          <w:szCs w:val="28"/>
        </w:rPr>
        <w:t>5</w:t>
      </w:r>
      <w:r w:rsidR="00312EF8">
        <w:rPr>
          <w:rFonts w:cstheme="minorHAnsi"/>
          <w:b/>
          <w:sz w:val="28"/>
          <w:szCs w:val="28"/>
        </w:rPr>
        <w:t>2</w:t>
      </w:r>
      <w:r w:rsidRPr="005B6636">
        <w:rPr>
          <w:rFonts w:cstheme="minorHAnsi"/>
          <w:b/>
          <w:sz w:val="28"/>
          <w:szCs w:val="28"/>
          <w:vertAlign w:val="superscript"/>
        </w:rPr>
        <w:t>th</w:t>
      </w:r>
      <w:r w:rsidRPr="005B6636">
        <w:rPr>
          <w:rFonts w:cstheme="minorHAnsi"/>
          <w:b/>
          <w:sz w:val="28"/>
          <w:szCs w:val="28"/>
        </w:rPr>
        <w:t xml:space="preserve"> </w:t>
      </w:r>
      <w:r>
        <w:rPr>
          <w:rFonts w:cstheme="minorHAnsi"/>
          <w:b/>
          <w:sz w:val="28"/>
          <w:szCs w:val="28"/>
        </w:rPr>
        <w:t>session.</w:t>
      </w:r>
    </w:p>
    <w:p w:rsidR="007F017B" w:rsidRDefault="007F017B" w:rsidP="007F017B">
      <w:pPr>
        <w:jc w:val="center"/>
        <w:rPr>
          <w:rFonts w:cstheme="minorHAnsi"/>
          <w:sz w:val="28"/>
          <w:szCs w:val="28"/>
        </w:rPr>
      </w:pPr>
    </w:p>
    <w:p w:rsidR="007F017B" w:rsidRPr="005B6636" w:rsidRDefault="007F017B" w:rsidP="007F017B">
      <w:pPr>
        <w:jc w:val="center"/>
        <w:rPr>
          <w:rFonts w:cstheme="minorHAnsi"/>
          <w:sz w:val="28"/>
          <w:szCs w:val="28"/>
        </w:rPr>
      </w:pPr>
    </w:p>
    <w:p w:rsidR="007F017B" w:rsidRPr="005B6636" w:rsidRDefault="007F017B" w:rsidP="007F017B">
      <w:pPr>
        <w:jc w:val="center"/>
        <w:rPr>
          <w:rFonts w:cstheme="minorHAnsi"/>
          <w:sz w:val="28"/>
          <w:szCs w:val="28"/>
        </w:rPr>
      </w:pPr>
      <w:r w:rsidRPr="005B6636">
        <w:rPr>
          <w:rFonts w:cstheme="minorHAnsi"/>
          <w:noProof/>
          <w:sz w:val="28"/>
          <w:szCs w:val="28"/>
          <w:lang w:val="en-GB" w:eastAsia="en-GB"/>
        </w:rPr>
        <w:drawing>
          <wp:inline distT="0" distB="0" distL="0" distR="0" wp14:anchorId="64611EC5" wp14:editId="7CE65C08">
            <wp:extent cx="1924493" cy="192449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UNPO1.jpg"/>
                    <pic:cNvPicPr/>
                  </pic:nvPicPr>
                  <pic:blipFill>
                    <a:blip r:embed="rId9">
                      <a:extLst>
                        <a:ext uri="{28A0092B-C50C-407E-A947-70E740481C1C}">
                          <a14:useLocalDpi xmlns:a14="http://schemas.microsoft.com/office/drawing/2010/main" val="0"/>
                        </a:ext>
                      </a:extLst>
                    </a:blip>
                    <a:stretch>
                      <a:fillRect/>
                    </a:stretch>
                  </pic:blipFill>
                  <pic:spPr>
                    <a:xfrm>
                      <a:off x="0" y="0"/>
                      <a:ext cx="1928186" cy="1928186"/>
                    </a:xfrm>
                    <a:prstGeom prst="rect">
                      <a:avLst/>
                    </a:prstGeom>
                  </pic:spPr>
                </pic:pic>
              </a:graphicData>
            </a:graphic>
          </wp:inline>
        </w:drawing>
      </w:r>
    </w:p>
    <w:p w:rsidR="007F017B" w:rsidRDefault="007F017B" w:rsidP="007F017B">
      <w:pPr>
        <w:rPr>
          <w:rFonts w:cstheme="minorHAnsi"/>
          <w:sz w:val="28"/>
          <w:szCs w:val="28"/>
        </w:rPr>
      </w:pPr>
    </w:p>
    <w:p w:rsidR="00C378EA" w:rsidRDefault="00C378EA" w:rsidP="007F017B">
      <w:pPr>
        <w:rPr>
          <w:rFonts w:cstheme="minorHAnsi"/>
          <w:sz w:val="28"/>
          <w:szCs w:val="28"/>
        </w:rPr>
      </w:pPr>
    </w:p>
    <w:p w:rsidR="00636D27" w:rsidRPr="005B6636" w:rsidRDefault="00636D27" w:rsidP="007F017B">
      <w:pPr>
        <w:rPr>
          <w:rFonts w:cstheme="minorHAnsi"/>
          <w:sz w:val="28"/>
          <w:szCs w:val="28"/>
        </w:rPr>
      </w:pPr>
    </w:p>
    <w:p w:rsidR="007F017B" w:rsidRDefault="007F017B" w:rsidP="007F017B">
      <w:pPr>
        <w:spacing w:line="240" w:lineRule="auto"/>
        <w:jc w:val="center"/>
        <w:rPr>
          <w:rFonts w:cstheme="minorHAnsi"/>
          <w:b/>
          <w:sz w:val="32"/>
          <w:szCs w:val="28"/>
        </w:rPr>
      </w:pPr>
      <w:r w:rsidRPr="005B6636">
        <w:rPr>
          <w:rFonts w:cstheme="minorHAnsi"/>
          <w:b/>
          <w:sz w:val="32"/>
          <w:szCs w:val="28"/>
        </w:rPr>
        <w:t>Unrepresented Nations and Peoples Organization</w:t>
      </w:r>
    </w:p>
    <w:p w:rsidR="00C378EA" w:rsidRDefault="00C378EA" w:rsidP="007F017B">
      <w:pPr>
        <w:spacing w:line="240" w:lineRule="auto"/>
        <w:jc w:val="center"/>
        <w:rPr>
          <w:rFonts w:cstheme="minorHAnsi"/>
          <w:b/>
          <w:sz w:val="32"/>
          <w:szCs w:val="28"/>
        </w:rPr>
      </w:pPr>
    </w:p>
    <w:p w:rsidR="00636D27" w:rsidRDefault="00636D27" w:rsidP="007F017B">
      <w:pPr>
        <w:spacing w:line="240" w:lineRule="auto"/>
        <w:jc w:val="center"/>
        <w:rPr>
          <w:rFonts w:cstheme="minorHAnsi"/>
          <w:b/>
          <w:sz w:val="32"/>
          <w:szCs w:val="28"/>
        </w:rPr>
      </w:pPr>
    </w:p>
    <w:p w:rsidR="00C378EA" w:rsidRPr="005B6636" w:rsidRDefault="00C378EA" w:rsidP="007F017B">
      <w:pPr>
        <w:spacing w:line="240" w:lineRule="auto"/>
        <w:jc w:val="center"/>
        <w:rPr>
          <w:rFonts w:cstheme="minorHAnsi"/>
          <w:b/>
          <w:sz w:val="32"/>
          <w:szCs w:val="28"/>
        </w:rPr>
      </w:pPr>
    </w:p>
    <w:p w:rsidR="007F017B" w:rsidRPr="005B6636" w:rsidRDefault="007F017B" w:rsidP="007F017B">
      <w:pPr>
        <w:jc w:val="center"/>
        <w:rPr>
          <w:rFonts w:cstheme="minorHAnsi"/>
          <w:b/>
          <w:sz w:val="28"/>
          <w:szCs w:val="28"/>
        </w:rPr>
      </w:pPr>
      <w:r>
        <w:rPr>
          <w:rFonts w:cstheme="minorHAnsi"/>
          <w:b/>
          <w:sz w:val="28"/>
          <w:szCs w:val="28"/>
        </w:rPr>
        <w:t>March</w:t>
      </w:r>
      <w:r w:rsidRPr="005B6636">
        <w:rPr>
          <w:rFonts w:cstheme="minorHAnsi"/>
          <w:b/>
          <w:sz w:val="28"/>
          <w:szCs w:val="28"/>
        </w:rPr>
        <w:t xml:space="preserve"> 201</w:t>
      </w:r>
      <w:r w:rsidR="008760F1">
        <w:rPr>
          <w:rFonts w:cstheme="minorHAnsi"/>
          <w:b/>
          <w:sz w:val="28"/>
          <w:szCs w:val="28"/>
        </w:rPr>
        <w:t>4</w:t>
      </w:r>
    </w:p>
    <w:p w:rsidR="007F017B" w:rsidRPr="005B6636" w:rsidRDefault="007F017B" w:rsidP="007F017B">
      <w:pPr>
        <w:jc w:val="center"/>
        <w:rPr>
          <w:rFonts w:cstheme="minorHAnsi"/>
          <w:sz w:val="28"/>
          <w:szCs w:val="28"/>
        </w:rPr>
      </w:pPr>
    </w:p>
    <w:p w:rsidR="007F017B" w:rsidRDefault="007F017B">
      <w:r>
        <w:br w:type="page"/>
      </w:r>
    </w:p>
    <w:p w:rsidR="007F017B" w:rsidRDefault="007F017B" w:rsidP="007F017B">
      <w:pPr>
        <w:spacing w:line="360" w:lineRule="auto"/>
        <w:jc w:val="center"/>
        <w:rPr>
          <w:rFonts w:cstheme="minorHAnsi"/>
          <w:b/>
          <w:sz w:val="40"/>
          <w:szCs w:val="32"/>
        </w:rPr>
      </w:pPr>
    </w:p>
    <w:p w:rsidR="007F017B" w:rsidRPr="005B6636" w:rsidRDefault="00D73EF6" w:rsidP="007F017B">
      <w:pPr>
        <w:spacing w:line="360" w:lineRule="auto"/>
        <w:jc w:val="center"/>
        <w:rPr>
          <w:rFonts w:cstheme="minorHAnsi"/>
          <w:b/>
          <w:sz w:val="40"/>
          <w:szCs w:val="32"/>
        </w:rPr>
      </w:pPr>
      <w:r>
        <w:rPr>
          <w:rFonts w:cstheme="minorHAnsi"/>
          <w:b/>
          <w:sz w:val="40"/>
          <w:szCs w:val="32"/>
        </w:rPr>
        <w:t>Table of Contents</w:t>
      </w:r>
    </w:p>
    <w:sdt>
      <w:sdtPr>
        <w:id w:val="-1256744808"/>
        <w:docPartObj>
          <w:docPartGallery w:val="Table of Contents"/>
          <w:docPartUnique/>
        </w:docPartObj>
      </w:sdtPr>
      <w:sdtEndPr>
        <w:rPr>
          <w:b/>
          <w:bCs/>
          <w:noProof/>
        </w:rPr>
      </w:sdtEndPr>
      <w:sdtContent>
        <w:p w:rsidR="007F017B" w:rsidRDefault="007F017B" w:rsidP="007F017B"/>
        <w:p w:rsidR="00D73EF6" w:rsidRDefault="007F017B">
          <w:pPr>
            <w:pStyle w:val="TOC1"/>
            <w:tabs>
              <w:tab w:val="right" w:leader="dot" w:pos="9062"/>
            </w:tabs>
            <w:rPr>
              <w:rFonts w:eastAsiaTheme="minorEastAsia"/>
              <w:noProof/>
            </w:rPr>
          </w:pPr>
          <w:r>
            <w:fldChar w:fldCharType="begin"/>
          </w:r>
          <w:r>
            <w:instrText xml:space="preserve"> TOC \o "1-3" \h \z \u </w:instrText>
          </w:r>
          <w:r>
            <w:fldChar w:fldCharType="separate"/>
          </w:r>
          <w:hyperlink w:anchor="_Toc350766681" w:history="1">
            <w:r w:rsidR="00D73EF6" w:rsidRPr="00D73EF6">
              <w:rPr>
                <w:rStyle w:val="Hyperlink"/>
                <w:b/>
                <w:noProof/>
                <w:sz w:val="24"/>
              </w:rPr>
              <w:t>Section A: Introduction to the Report</w:t>
            </w:r>
            <w:r w:rsidR="00D73EF6">
              <w:rPr>
                <w:noProof/>
                <w:webHidden/>
              </w:rPr>
              <w:tab/>
            </w:r>
            <w:r w:rsidR="00D73EF6">
              <w:rPr>
                <w:noProof/>
                <w:webHidden/>
              </w:rPr>
              <w:fldChar w:fldCharType="begin"/>
            </w:r>
            <w:r w:rsidR="00D73EF6">
              <w:rPr>
                <w:noProof/>
                <w:webHidden/>
              </w:rPr>
              <w:instrText xml:space="preserve"> PAGEREF _Toc350766681 \h </w:instrText>
            </w:r>
            <w:r w:rsidR="00D73EF6">
              <w:rPr>
                <w:noProof/>
                <w:webHidden/>
              </w:rPr>
            </w:r>
            <w:r w:rsidR="00D73EF6">
              <w:rPr>
                <w:noProof/>
                <w:webHidden/>
              </w:rPr>
              <w:fldChar w:fldCharType="separate"/>
            </w:r>
            <w:r w:rsidR="009B150B">
              <w:rPr>
                <w:noProof/>
                <w:webHidden/>
              </w:rPr>
              <w:t>3</w:t>
            </w:r>
            <w:r w:rsidR="00D73EF6">
              <w:rPr>
                <w:noProof/>
                <w:webHidden/>
              </w:rPr>
              <w:fldChar w:fldCharType="end"/>
            </w:r>
          </w:hyperlink>
        </w:p>
        <w:p w:rsidR="00D73EF6" w:rsidRDefault="00B01ED5">
          <w:pPr>
            <w:pStyle w:val="TOC1"/>
            <w:tabs>
              <w:tab w:val="right" w:leader="dot" w:pos="9062"/>
            </w:tabs>
            <w:rPr>
              <w:rFonts w:eastAsiaTheme="minorEastAsia"/>
              <w:noProof/>
            </w:rPr>
          </w:pPr>
          <w:hyperlink w:anchor="_Toc350766682" w:history="1">
            <w:r w:rsidR="008760F1">
              <w:rPr>
                <w:rStyle w:val="Hyperlink"/>
                <w:b/>
                <w:noProof/>
                <w:sz w:val="24"/>
              </w:rPr>
              <w:t>Section B: Introduction to Indonesia</w:t>
            </w:r>
            <w:r w:rsidR="00D73EF6">
              <w:rPr>
                <w:noProof/>
                <w:webHidden/>
              </w:rPr>
              <w:tab/>
            </w:r>
            <w:r w:rsidR="00D73EF6">
              <w:rPr>
                <w:noProof/>
                <w:webHidden/>
              </w:rPr>
              <w:fldChar w:fldCharType="begin"/>
            </w:r>
            <w:r w:rsidR="00D73EF6">
              <w:rPr>
                <w:noProof/>
                <w:webHidden/>
              </w:rPr>
              <w:instrText xml:space="preserve"> PAGEREF _Toc350766682 \h </w:instrText>
            </w:r>
            <w:r w:rsidR="00D73EF6">
              <w:rPr>
                <w:noProof/>
                <w:webHidden/>
              </w:rPr>
            </w:r>
            <w:r w:rsidR="00D73EF6">
              <w:rPr>
                <w:noProof/>
                <w:webHidden/>
              </w:rPr>
              <w:fldChar w:fldCharType="separate"/>
            </w:r>
            <w:r w:rsidR="009B150B">
              <w:rPr>
                <w:noProof/>
                <w:webHidden/>
              </w:rPr>
              <w:t>4</w:t>
            </w:r>
            <w:r w:rsidR="00D73EF6">
              <w:rPr>
                <w:noProof/>
                <w:webHidden/>
              </w:rPr>
              <w:fldChar w:fldCharType="end"/>
            </w:r>
          </w:hyperlink>
        </w:p>
        <w:p w:rsidR="00D73EF6" w:rsidRDefault="00B01ED5">
          <w:pPr>
            <w:pStyle w:val="TOC1"/>
            <w:tabs>
              <w:tab w:val="right" w:leader="dot" w:pos="9062"/>
            </w:tabs>
            <w:rPr>
              <w:rFonts w:eastAsiaTheme="minorEastAsia"/>
              <w:noProof/>
            </w:rPr>
          </w:pPr>
          <w:hyperlink w:anchor="_Toc350766683" w:history="1">
            <w:r w:rsidR="00D73EF6" w:rsidRPr="00D73EF6">
              <w:rPr>
                <w:rStyle w:val="Hyperlink"/>
                <w:b/>
                <w:noProof/>
                <w:sz w:val="24"/>
              </w:rPr>
              <w:t>Section C: Compliance with ICESCR</w:t>
            </w:r>
            <w:r w:rsidR="00D73EF6">
              <w:rPr>
                <w:noProof/>
                <w:webHidden/>
              </w:rPr>
              <w:tab/>
            </w:r>
            <w:r w:rsidR="00D73EF6">
              <w:rPr>
                <w:noProof/>
                <w:webHidden/>
              </w:rPr>
              <w:fldChar w:fldCharType="begin"/>
            </w:r>
            <w:r w:rsidR="00D73EF6">
              <w:rPr>
                <w:noProof/>
                <w:webHidden/>
              </w:rPr>
              <w:instrText xml:space="preserve"> PAGEREF _Toc350766683 \h </w:instrText>
            </w:r>
            <w:r w:rsidR="00D73EF6">
              <w:rPr>
                <w:noProof/>
                <w:webHidden/>
              </w:rPr>
            </w:r>
            <w:r w:rsidR="00D73EF6">
              <w:rPr>
                <w:noProof/>
                <w:webHidden/>
              </w:rPr>
              <w:fldChar w:fldCharType="separate"/>
            </w:r>
            <w:r w:rsidR="009B150B">
              <w:rPr>
                <w:noProof/>
                <w:webHidden/>
              </w:rPr>
              <w:t>5</w:t>
            </w:r>
            <w:r w:rsidR="00D73EF6">
              <w:rPr>
                <w:noProof/>
                <w:webHidden/>
              </w:rPr>
              <w:fldChar w:fldCharType="end"/>
            </w:r>
          </w:hyperlink>
        </w:p>
        <w:p w:rsidR="00D73EF6" w:rsidRDefault="00B01ED5">
          <w:pPr>
            <w:pStyle w:val="TOC2"/>
            <w:tabs>
              <w:tab w:val="right" w:leader="dot" w:pos="9062"/>
            </w:tabs>
            <w:rPr>
              <w:rFonts w:eastAsiaTheme="minorEastAsia"/>
              <w:noProof/>
            </w:rPr>
          </w:pPr>
          <w:hyperlink w:anchor="_Toc350766684" w:history="1">
            <w:r w:rsidR="00D73EF6">
              <w:rPr>
                <w:rStyle w:val="Hyperlink"/>
                <w:noProof/>
              </w:rPr>
              <w:t>Article 1 -</w:t>
            </w:r>
            <w:r w:rsidR="00D73EF6" w:rsidRPr="004D45A3">
              <w:rPr>
                <w:rStyle w:val="Hyperlink"/>
                <w:noProof/>
              </w:rPr>
              <w:t xml:space="preserve"> Right to self-determination</w:t>
            </w:r>
            <w:r w:rsidR="00C56901">
              <w:rPr>
                <w:rStyle w:val="Hyperlink"/>
                <w:noProof/>
              </w:rPr>
              <w:t xml:space="preserve"> and free disposal of wealth and resources</w:t>
            </w:r>
            <w:r w:rsidR="00D73EF6">
              <w:rPr>
                <w:noProof/>
                <w:webHidden/>
              </w:rPr>
              <w:tab/>
            </w:r>
            <w:r w:rsidR="00D73EF6">
              <w:rPr>
                <w:noProof/>
                <w:webHidden/>
              </w:rPr>
              <w:fldChar w:fldCharType="begin"/>
            </w:r>
            <w:r w:rsidR="00D73EF6">
              <w:rPr>
                <w:noProof/>
                <w:webHidden/>
              </w:rPr>
              <w:instrText xml:space="preserve"> PAGEREF _Toc350766684 \h </w:instrText>
            </w:r>
            <w:r w:rsidR="00D73EF6">
              <w:rPr>
                <w:noProof/>
                <w:webHidden/>
              </w:rPr>
            </w:r>
            <w:r w:rsidR="00D73EF6">
              <w:rPr>
                <w:noProof/>
                <w:webHidden/>
              </w:rPr>
              <w:fldChar w:fldCharType="separate"/>
            </w:r>
            <w:r w:rsidR="009B150B">
              <w:rPr>
                <w:noProof/>
                <w:webHidden/>
              </w:rPr>
              <w:t>5</w:t>
            </w:r>
            <w:r w:rsidR="00D73EF6">
              <w:rPr>
                <w:noProof/>
                <w:webHidden/>
              </w:rPr>
              <w:fldChar w:fldCharType="end"/>
            </w:r>
          </w:hyperlink>
        </w:p>
        <w:p w:rsidR="00D73EF6" w:rsidRDefault="00B01ED5">
          <w:pPr>
            <w:pStyle w:val="TOC2"/>
            <w:tabs>
              <w:tab w:val="right" w:leader="dot" w:pos="9062"/>
            </w:tabs>
            <w:rPr>
              <w:rFonts w:eastAsiaTheme="minorEastAsia"/>
              <w:noProof/>
            </w:rPr>
          </w:pPr>
          <w:hyperlink w:anchor="_Toc350766685" w:history="1">
            <w:r w:rsidR="00D73EF6" w:rsidRPr="004D45A3">
              <w:rPr>
                <w:rStyle w:val="Hyperlink"/>
                <w:noProof/>
              </w:rPr>
              <w:t xml:space="preserve">Article 2 </w:t>
            </w:r>
            <w:r w:rsidR="00D73EF6">
              <w:rPr>
                <w:rStyle w:val="Hyperlink"/>
                <w:noProof/>
              </w:rPr>
              <w:t>-</w:t>
            </w:r>
            <w:r w:rsidR="00D73EF6" w:rsidRPr="004D45A3">
              <w:rPr>
                <w:rStyle w:val="Hyperlink"/>
                <w:noProof/>
              </w:rPr>
              <w:t xml:space="preserve"> Non-discrimination</w:t>
            </w:r>
            <w:r w:rsidR="00D73EF6">
              <w:rPr>
                <w:noProof/>
                <w:webHidden/>
              </w:rPr>
              <w:tab/>
            </w:r>
          </w:hyperlink>
          <w:r w:rsidR="005962B9">
            <w:rPr>
              <w:noProof/>
            </w:rPr>
            <w:t>8</w:t>
          </w:r>
        </w:p>
        <w:p w:rsidR="00D73EF6" w:rsidRDefault="00B01ED5">
          <w:pPr>
            <w:pStyle w:val="TOC2"/>
            <w:tabs>
              <w:tab w:val="right" w:leader="dot" w:pos="9062"/>
            </w:tabs>
            <w:rPr>
              <w:rFonts w:eastAsiaTheme="minorEastAsia"/>
              <w:noProof/>
            </w:rPr>
          </w:pPr>
          <w:hyperlink w:anchor="_Toc350766686" w:history="1">
            <w:r w:rsidR="00C56901">
              <w:rPr>
                <w:rStyle w:val="Hyperlink"/>
                <w:noProof/>
              </w:rPr>
              <w:t>Article 6,7</w:t>
            </w:r>
            <w:r w:rsidR="00D73EF6" w:rsidRPr="004D45A3">
              <w:rPr>
                <w:rStyle w:val="Hyperlink"/>
                <w:noProof/>
              </w:rPr>
              <w:t xml:space="preserve"> </w:t>
            </w:r>
            <w:r w:rsidR="00D73EF6">
              <w:rPr>
                <w:rStyle w:val="Hyperlink"/>
                <w:noProof/>
              </w:rPr>
              <w:t>-</w:t>
            </w:r>
            <w:r w:rsidR="00C56901">
              <w:rPr>
                <w:rStyle w:val="Hyperlink"/>
                <w:noProof/>
              </w:rPr>
              <w:t xml:space="preserve"> Right to work</w:t>
            </w:r>
            <w:r w:rsidR="00D73EF6">
              <w:rPr>
                <w:noProof/>
                <w:webHidden/>
              </w:rPr>
              <w:tab/>
            </w:r>
            <w:r w:rsidR="00D73EF6">
              <w:rPr>
                <w:noProof/>
                <w:webHidden/>
              </w:rPr>
              <w:fldChar w:fldCharType="begin"/>
            </w:r>
            <w:r w:rsidR="00D73EF6">
              <w:rPr>
                <w:noProof/>
                <w:webHidden/>
              </w:rPr>
              <w:instrText xml:space="preserve"> PAGEREF _Toc350766686 \h </w:instrText>
            </w:r>
            <w:r w:rsidR="00D73EF6">
              <w:rPr>
                <w:noProof/>
                <w:webHidden/>
              </w:rPr>
            </w:r>
            <w:r w:rsidR="00D73EF6">
              <w:rPr>
                <w:noProof/>
                <w:webHidden/>
              </w:rPr>
              <w:fldChar w:fldCharType="separate"/>
            </w:r>
            <w:r w:rsidR="009B150B">
              <w:rPr>
                <w:noProof/>
                <w:webHidden/>
              </w:rPr>
              <w:t>9</w:t>
            </w:r>
            <w:r w:rsidR="00D73EF6">
              <w:rPr>
                <w:noProof/>
                <w:webHidden/>
              </w:rPr>
              <w:fldChar w:fldCharType="end"/>
            </w:r>
          </w:hyperlink>
        </w:p>
        <w:p w:rsidR="00D73EF6" w:rsidRDefault="00B01ED5">
          <w:pPr>
            <w:pStyle w:val="TOC2"/>
            <w:tabs>
              <w:tab w:val="right" w:leader="dot" w:pos="9062"/>
            </w:tabs>
            <w:rPr>
              <w:rFonts w:eastAsiaTheme="minorEastAsia"/>
              <w:noProof/>
            </w:rPr>
          </w:pPr>
          <w:hyperlink w:anchor="_Toc350766687" w:history="1">
            <w:r w:rsidR="00C56901">
              <w:rPr>
                <w:rStyle w:val="Hyperlink"/>
                <w:noProof/>
              </w:rPr>
              <w:t>Articles 8</w:t>
            </w:r>
            <w:r w:rsidR="00D73EF6" w:rsidRPr="004D45A3">
              <w:rPr>
                <w:rStyle w:val="Hyperlink"/>
                <w:noProof/>
              </w:rPr>
              <w:t xml:space="preserve"> </w:t>
            </w:r>
            <w:r w:rsidR="00D73EF6">
              <w:rPr>
                <w:rStyle w:val="Hyperlink"/>
                <w:noProof/>
              </w:rPr>
              <w:t>-</w:t>
            </w:r>
            <w:r w:rsidR="00C56901">
              <w:rPr>
                <w:rStyle w:val="Hyperlink"/>
                <w:noProof/>
              </w:rPr>
              <w:t xml:space="preserve"> Right to strike</w:t>
            </w:r>
            <w:r w:rsidR="00D73EF6">
              <w:rPr>
                <w:noProof/>
                <w:webHidden/>
              </w:rPr>
              <w:tab/>
            </w:r>
          </w:hyperlink>
          <w:r w:rsidR="005962B9">
            <w:rPr>
              <w:noProof/>
            </w:rPr>
            <w:t>11</w:t>
          </w:r>
        </w:p>
        <w:p w:rsidR="003F1C9A" w:rsidRDefault="00B01ED5">
          <w:pPr>
            <w:pStyle w:val="TOC2"/>
            <w:tabs>
              <w:tab w:val="right" w:leader="dot" w:pos="9062"/>
            </w:tabs>
            <w:rPr>
              <w:noProof/>
            </w:rPr>
          </w:pPr>
          <w:hyperlink w:anchor="_Toc350766688" w:history="1">
            <w:r w:rsidR="00D73EF6" w:rsidRPr="004D45A3">
              <w:rPr>
                <w:rStyle w:val="Hyperlink"/>
                <w:noProof/>
              </w:rPr>
              <w:t>Article</w:t>
            </w:r>
            <w:r w:rsidR="00D73EF6" w:rsidRPr="004D45A3">
              <w:rPr>
                <w:rStyle w:val="Hyperlink"/>
                <w:rFonts w:eastAsia="Cambria" w:cs="Cambria"/>
                <w:noProof/>
              </w:rPr>
              <w:t xml:space="preserve"> </w:t>
            </w:r>
            <w:r w:rsidR="00C56901">
              <w:rPr>
                <w:rStyle w:val="Hyperlink"/>
                <w:noProof/>
              </w:rPr>
              <w:t>11</w:t>
            </w:r>
            <w:r w:rsidR="00D73EF6" w:rsidRPr="004D45A3">
              <w:rPr>
                <w:rStyle w:val="Hyperlink"/>
                <w:noProof/>
              </w:rPr>
              <w:t xml:space="preserve"> -</w:t>
            </w:r>
            <w:r w:rsidR="00D73EF6" w:rsidRPr="004D45A3">
              <w:rPr>
                <w:rStyle w:val="Hyperlink"/>
                <w:rFonts w:eastAsia="Cambria" w:cs="Cambria"/>
                <w:noProof/>
              </w:rPr>
              <w:t xml:space="preserve"> </w:t>
            </w:r>
            <w:r w:rsidR="00C56901">
              <w:rPr>
                <w:rStyle w:val="Hyperlink"/>
                <w:noProof/>
              </w:rPr>
              <w:t>Right to adequate standard of living</w:t>
            </w:r>
            <w:r w:rsidR="00D73EF6">
              <w:rPr>
                <w:noProof/>
                <w:webHidden/>
              </w:rPr>
              <w:tab/>
            </w:r>
            <w:r w:rsidR="003F1C9A">
              <w:rPr>
                <w:noProof/>
                <w:webHidden/>
              </w:rPr>
              <w:t>1</w:t>
            </w:r>
            <w:r w:rsidR="00D73EF6">
              <w:rPr>
                <w:noProof/>
                <w:webHidden/>
              </w:rPr>
              <w:fldChar w:fldCharType="begin"/>
            </w:r>
            <w:r w:rsidR="00D73EF6">
              <w:rPr>
                <w:noProof/>
                <w:webHidden/>
              </w:rPr>
              <w:instrText xml:space="preserve"> PAGEREF _Toc350766688 \h </w:instrText>
            </w:r>
            <w:r w:rsidR="00D73EF6">
              <w:rPr>
                <w:noProof/>
                <w:webHidden/>
              </w:rPr>
            </w:r>
            <w:r w:rsidR="00D73EF6">
              <w:rPr>
                <w:noProof/>
                <w:webHidden/>
              </w:rPr>
              <w:fldChar w:fldCharType="separate"/>
            </w:r>
            <w:r w:rsidR="009B150B">
              <w:rPr>
                <w:noProof/>
                <w:webHidden/>
              </w:rPr>
              <w:t>1</w:t>
            </w:r>
            <w:r w:rsidR="00D73EF6">
              <w:rPr>
                <w:noProof/>
                <w:webHidden/>
              </w:rPr>
              <w:fldChar w:fldCharType="end"/>
            </w:r>
          </w:hyperlink>
        </w:p>
        <w:p w:rsidR="003F1C9A" w:rsidRDefault="00B01ED5">
          <w:pPr>
            <w:pStyle w:val="TOC2"/>
            <w:tabs>
              <w:tab w:val="right" w:leader="dot" w:pos="9062"/>
            </w:tabs>
            <w:rPr>
              <w:noProof/>
            </w:rPr>
          </w:pPr>
          <w:hyperlink w:anchor="_Toc350766689" w:history="1">
            <w:r w:rsidR="00C56901">
              <w:rPr>
                <w:rStyle w:val="Hyperlink"/>
                <w:noProof/>
              </w:rPr>
              <w:t>Article 12</w:t>
            </w:r>
            <w:r w:rsidR="00D73EF6" w:rsidRPr="004D45A3">
              <w:rPr>
                <w:rStyle w:val="Hyperlink"/>
                <w:noProof/>
              </w:rPr>
              <w:t xml:space="preserve"> </w:t>
            </w:r>
            <w:r w:rsidR="00D73EF6">
              <w:rPr>
                <w:rStyle w:val="Hyperlink"/>
                <w:noProof/>
              </w:rPr>
              <w:t>-</w:t>
            </w:r>
            <w:r w:rsidR="00D73EF6" w:rsidRPr="004D45A3">
              <w:rPr>
                <w:rStyle w:val="Hyperlink"/>
                <w:noProof/>
              </w:rPr>
              <w:t xml:space="preserve"> Righ</w:t>
            </w:r>
            <w:r w:rsidR="00C56901">
              <w:rPr>
                <w:rStyle w:val="Hyperlink"/>
                <w:noProof/>
              </w:rPr>
              <w:t>t to health</w:t>
            </w:r>
            <w:r w:rsidR="00D73EF6">
              <w:rPr>
                <w:noProof/>
                <w:webHidden/>
              </w:rPr>
              <w:tab/>
            </w:r>
            <w:r w:rsidR="00D73EF6">
              <w:rPr>
                <w:noProof/>
                <w:webHidden/>
              </w:rPr>
              <w:fldChar w:fldCharType="begin"/>
            </w:r>
            <w:r w:rsidR="00D73EF6">
              <w:rPr>
                <w:noProof/>
                <w:webHidden/>
              </w:rPr>
              <w:instrText xml:space="preserve"> PAGEREF _Toc350766689 \h </w:instrText>
            </w:r>
            <w:r w:rsidR="00D73EF6">
              <w:rPr>
                <w:noProof/>
                <w:webHidden/>
              </w:rPr>
            </w:r>
            <w:r w:rsidR="00D73EF6">
              <w:rPr>
                <w:noProof/>
                <w:webHidden/>
              </w:rPr>
              <w:fldChar w:fldCharType="separate"/>
            </w:r>
            <w:r w:rsidR="009B150B">
              <w:rPr>
                <w:noProof/>
                <w:webHidden/>
              </w:rPr>
              <w:t>1</w:t>
            </w:r>
            <w:r w:rsidR="00D73EF6">
              <w:rPr>
                <w:noProof/>
                <w:webHidden/>
              </w:rPr>
              <w:fldChar w:fldCharType="end"/>
            </w:r>
          </w:hyperlink>
          <w:r w:rsidR="006F1634">
            <w:rPr>
              <w:noProof/>
            </w:rPr>
            <w:t>3</w:t>
          </w:r>
        </w:p>
        <w:p w:rsidR="003F1C9A" w:rsidRDefault="00B01ED5">
          <w:pPr>
            <w:pStyle w:val="TOC2"/>
            <w:tabs>
              <w:tab w:val="right" w:leader="dot" w:pos="9062"/>
            </w:tabs>
            <w:rPr>
              <w:noProof/>
            </w:rPr>
          </w:pPr>
          <w:hyperlink w:anchor="_Toc350766690" w:history="1">
            <w:r w:rsidR="00C56901">
              <w:rPr>
                <w:rStyle w:val="Hyperlink"/>
                <w:noProof/>
              </w:rPr>
              <w:t>Article 13</w:t>
            </w:r>
            <w:r w:rsidR="00D73EF6" w:rsidRPr="004D45A3">
              <w:rPr>
                <w:rStyle w:val="Hyperlink"/>
                <w:noProof/>
              </w:rPr>
              <w:t xml:space="preserve"> </w:t>
            </w:r>
            <w:r w:rsidR="00D73EF6">
              <w:rPr>
                <w:rStyle w:val="Hyperlink"/>
                <w:noProof/>
              </w:rPr>
              <w:t>-</w:t>
            </w:r>
            <w:r w:rsidR="00C56901">
              <w:rPr>
                <w:rStyle w:val="Hyperlink"/>
                <w:noProof/>
              </w:rPr>
              <w:t xml:space="preserve"> Right to education</w:t>
            </w:r>
            <w:r w:rsidR="00D73EF6">
              <w:rPr>
                <w:noProof/>
                <w:webHidden/>
              </w:rPr>
              <w:tab/>
            </w:r>
            <w:r w:rsidR="00D73EF6">
              <w:rPr>
                <w:noProof/>
                <w:webHidden/>
              </w:rPr>
              <w:fldChar w:fldCharType="begin"/>
            </w:r>
            <w:r w:rsidR="00D73EF6">
              <w:rPr>
                <w:noProof/>
                <w:webHidden/>
              </w:rPr>
              <w:instrText xml:space="preserve"> PAGEREF _Toc350766690 \h </w:instrText>
            </w:r>
            <w:r w:rsidR="00D73EF6">
              <w:rPr>
                <w:noProof/>
                <w:webHidden/>
              </w:rPr>
            </w:r>
            <w:r w:rsidR="00D73EF6">
              <w:rPr>
                <w:noProof/>
                <w:webHidden/>
              </w:rPr>
              <w:fldChar w:fldCharType="separate"/>
            </w:r>
            <w:r w:rsidR="009B150B">
              <w:rPr>
                <w:noProof/>
                <w:webHidden/>
              </w:rPr>
              <w:t>1</w:t>
            </w:r>
            <w:r w:rsidR="00D73EF6">
              <w:rPr>
                <w:noProof/>
                <w:webHidden/>
              </w:rPr>
              <w:fldChar w:fldCharType="end"/>
            </w:r>
          </w:hyperlink>
          <w:r w:rsidR="003F1C9A">
            <w:rPr>
              <w:noProof/>
            </w:rPr>
            <w:t>4</w:t>
          </w:r>
        </w:p>
        <w:p w:rsidR="00D73EF6" w:rsidRDefault="00B01ED5">
          <w:pPr>
            <w:pStyle w:val="TOC2"/>
            <w:tabs>
              <w:tab w:val="right" w:leader="dot" w:pos="9062"/>
            </w:tabs>
            <w:rPr>
              <w:rFonts w:eastAsiaTheme="minorEastAsia"/>
              <w:noProof/>
            </w:rPr>
          </w:pPr>
          <w:hyperlink w:anchor="_Toc350766691" w:history="1">
            <w:r w:rsidR="00C56901">
              <w:rPr>
                <w:rStyle w:val="Hyperlink"/>
                <w:noProof/>
              </w:rPr>
              <w:t>Article 15</w:t>
            </w:r>
            <w:r w:rsidR="00D73EF6" w:rsidRPr="004D45A3">
              <w:rPr>
                <w:rStyle w:val="Hyperlink"/>
                <w:noProof/>
              </w:rPr>
              <w:t xml:space="preserve"> </w:t>
            </w:r>
            <w:r w:rsidR="00D73EF6">
              <w:rPr>
                <w:rStyle w:val="Hyperlink"/>
                <w:noProof/>
              </w:rPr>
              <w:t>-</w:t>
            </w:r>
            <w:r w:rsidR="00C56901">
              <w:rPr>
                <w:rStyle w:val="Hyperlink"/>
                <w:noProof/>
              </w:rPr>
              <w:t xml:space="preserve"> Cultural rights</w:t>
            </w:r>
            <w:r w:rsidR="00D73EF6">
              <w:rPr>
                <w:noProof/>
                <w:webHidden/>
              </w:rPr>
              <w:tab/>
            </w:r>
            <w:r w:rsidR="00D73EF6">
              <w:rPr>
                <w:noProof/>
                <w:webHidden/>
              </w:rPr>
              <w:fldChar w:fldCharType="begin"/>
            </w:r>
            <w:r w:rsidR="00D73EF6">
              <w:rPr>
                <w:noProof/>
                <w:webHidden/>
              </w:rPr>
              <w:instrText xml:space="preserve"> PAGEREF _Toc350766691 \h </w:instrText>
            </w:r>
            <w:r w:rsidR="00D73EF6">
              <w:rPr>
                <w:noProof/>
                <w:webHidden/>
              </w:rPr>
            </w:r>
            <w:r w:rsidR="00D73EF6">
              <w:rPr>
                <w:noProof/>
                <w:webHidden/>
              </w:rPr>
              <w:fldChar w:fldCharType="separate"/>
            </w:r>
            <w:r w:rsidR="009B150B">
              <w:rPr>
                <w:noProof/>
                <w:webHidden/>
              </w:rPr>
              <w:t>1</w:t>
            </w:r>
            <w:r w:rsidR="00D73EF6">
              <w:rPr>
                <w:noProof/>
                <w:webHidden/>
              </w:rPr>
              <w:fldChar w:fldCharType="end"/>
            </w:r>
          </w:hyperlink>
          <w:r w:rsidR="003F1C9A">
            <w:rPr>
              <w:noProof/>
            </w:rPr>
            <w:t>5</w:t>
          </w:r>
        </w:p>
        <w:p w:rsidR="007F017B" w:rsidRDefault="00B01ED5" w:rsidP="003F1C9A">
          <w:pPr>
            <w:pStyle w:val="TOC1"/>
            <w:tabs>
              <w:tab w:val="right" w:leader="dot" w:pos="9062"/>
            </w:tabs>
          </w:pPr>
          <w:hyperlink w:anchor="_Toc350766692" w:history="1">
            <w:r w:rsidR="00D73EF6" w:rsidRPr="00D73EF6">
              <w:rPr>
                <w:rStyle w:val="Hyperlink"/>
                <w:b/>
                <w:noProof/>
                <w:sz w:val="24"/>
              </w:rPr>
              <w:t>Section D: Recommendations</w:t>
            </w:r>
            <w:r w:rsidR="00D73EF6">
              <w:rPr>
                <w:noProof/>
                <w:webHidden/>
              </w:rPr>
              <w:tab/>
            </w:r>
            <w:r w:rsidR="00D73EF6">
              <w:rPr>
                <w:noProof/>
                <w:webHidden/>
              </w:rPr>
              <w:fldChar w:fldCharType="begin"/>
            </w:r>
            <w:r w:rsidR="00D73EF6">
              <w:rPr>
                <w:noProof/>
                <w:webHidden/>
              </w:rPr>
              <w:instrText xml:space="preserve"> PAGEREF _Toc350766692 \h </w:instrText>
            </w:r>
            <w:r w:rsidR="00D73EF6">
              <w:rPr>
                <w:noProof/>
                <w:webHidden/>
              </w:rPr>
            </w:r>
            <w:r w:rsidR="00D73EF6">
              <w:rPr>
                <w:noProof/>
                <w:webHidden/>
              </w:rPr>
              <w:fldChar w:fldCharType="separate"/>
            </w:r>
            <w:r w:rsidR="009B150B">
              <w:rPr>
                <w:noProof/>
                <w:webHidden/>
              </w:rPr>
              <w:t>1</w:t>
            </w:r>
            <w:r w:rsidR="00D73EF6">
              <w:rPr>
                <w:noProof/>
                <w:webHidden/>
              </w:rPr>
              <w:fldChar w:fldCharType="end"/>
            </w:r>
          </w:hyperlink>
          <w:r w:rsidR="007F017B">
            <w:rPr>
              <w:b/>
              <w:bCs/>
              <w:noProof/>
            </w:rPr>
            <w:fldChar w:fldCharType="end"/>
          </w:r>
          <w:r w:rsidR="00DA63BB">
            <w:rPr>
              <w:b/>
              <w:bCs/>
              <w:noProof/>
            </w:rPr>
            <w:t>7</w:t>
          </w:r>
        </w:p>
      </w:sdtContent>
    </w:sdt>
    <w:p w:rsidR="00FB71D9" w:rsidRDefault="00FB71D9"/>
    <w:p w:rsidR="007F017B" w:rsidRDefault="007F017B"/>
    <w:p w:rsidR="007F017B" w:rsidRDefault="007F017B"/>
    <w:p w:rsidR="00D73EF6" w:rsidRDefault="00D73EF6"/>
    <w:p w:rsidR="007F017B" w:rsidRPr="00096803" w:rsidRDefault="007F017B" w:rsidP="007F017B">
      <w:pPr>
        <w:rPr>
          <w:rFonts w:cstheme="minorHAnsi"/>
          <w:b/>
          <w:sz w:val="24"/>
          <w:szCs w:val="28"/>
        </w:rPr>
      </w:pPr>
      <w:r w:rsidRPr="00096803">
        <w:rPr>
          <w:rFonts w:cstheme="minorHAnsi"/>
          <w:b/>
          <w:sz w:val="24"/>
          <w:szCs w:val="28"/>
        </w:rPr>
        <w:t>Contact Information</w:t>
      </w:r>
    </w:p>
    <w:p w:rsidR="007F017B" w:rsidRPr="00096803" w:rsidRDefault="007F017B" w:rsidP="007F017B">
      <w:pPr>
        <w:pStyle w:val="NoSpacing"/>
        <w:rPr>
          <w:rFonts w:cstheme="minorHAnsi"/>
          <w:sz w:val="20"/>
        </w:rPr>
      </w:pPr>
    </w:p>
    <w:p w:rsidR="007F017B" w:rsidRPr="00096803" w:rsidRDefault="007F017B" w:rsidP="007F017B">
      <w:pPr>
        <w:pStyle w:val="NoSpacing"/>
        <w:rPr>
          <w:rFonts w:cstheme="minorHAnsi"/>
          <w:b/>
          <w:szCs w:val="24"/>
        </w:rPr>
      </w:pPr>
      <w:r w:rsidRPr="00096803">
        <w:rPr>
          <w:rFonts w:cstheme="minorHAnsi"/>
          <w:b/>
          <w:szCs w:val="24"/>
        </w:rPr>
        <w:t>Unrepresented Nations and Peoples Organization</w:t>
      </w:r>
    </w:p>
    <w:p w:rsidR="007F017B" w:rsidRPr="00B940C6" w:rsidRDefault="007F017B" w:rsidP="007F017B">
      <w:pPr>
        <w:pStyle w:val="NoSpacing"/>
        <w:rPr>
          <w:rFonts w:cstheme="minorHAnsi"/>
          <w:szCs w:val="24"/>
          <w:lang w:val="nl-NL"/>
        </w:rPr>
      </w:pPr>
      <w:r w:rsidRPr="00B940C6">
        <w:rPr>
          <w:rFonts w:cstheme="minorHAnsi"/>
          <w:szCs w:val="24"/>
          <w:lang w:val="nl-NL"/>
        </w:rPr>
        <w:t>International Secretariat</w:t>
      </w:r>
    </w:p>
    <w:p w:rsidR="007F017B" w:rsidRPr="00B940C6" w:rsidRDefault="007F017B" w:rsidP="007F017B">
      <w:pPr>
        <w:pStyle w:val="NoSpacing"/>
        <w:rPr>
          <w:rFonts w:cstheme="minorHAnsi"/>
          <w:szCs w:val="24"/>
          <w:lang w:val="nl-NL"/>
        </w:rPr>
      </w:pPr>
      <w:r w:rsidRPr="00B940C6">
        <w:rPr>
          <w:rFonts w:cstheme="minorHAnsi"/>
          <w:szCs w:val="24"/>
          <w:lang w:val="nl-NL"/>
        </w:rPr>
        <w:t>Laan van Meerdervoort 70</w:t>
      </w:r>
    </w:p>
    <w:p w:rsidR="007F017B" w:rsidRPr="00096803" w:rsidRDefault="007F017B" w:rsidP="007F017B">
      <w:pPr>
        <w:pStyle w:val="NoSpacing"/>
        <w:rPr>
          <w:rFonts w:cstheme="minorHAnsi"/>
          <w:szCs w:val="24"/>
        </w:rPr>
      </w:pPr>
      <w:r w:rsidRPr="00096803">
        <w:rPr>
          <w:rFonts w:cstheme="minorHAnsi"/>
          <w:szCs w:val="24"/>
        </w:rPr>
        <w:t xml:space="preserve">2517AN The Hague </w:t>
      </w:r>
    </w:p>
    <w:p w:rsidR="007F017B" w:rsidRPr="00096803" w:rsidRDefault="007F017B" w:rsidP="007F017B">
      <w:pPr>
        <w:pStyle w:val="NoSpacing"/>
        <w:rPr>
          <w:rFonts w:cstheme="minorHAnsi"/>
          <w:szCs w:val="24"/>
        </w:rPr>
      </w:pPr>
      <w:r w:rsidRPr="00096803">
        <w:rPr>
          <w:rFonts w:cstheme="minorHAnsi"/>
          <w:szCs w:val="24"/>
        </w:rPr>
        <w:t>The Netherlands</w:t>
      </w:r>
    </w:p>
    <w:p w:rsidR="007F017B" w:rsidRDefault="00B01ED5" w:rsidP="007F017B">
      <w:pPr>
        <w:pStyle w:val="NoSpacing"/>
        <w:rPr>
          <w:rFonts w:cstheme="minorHAnsi"/>
          <w:szCs w:val="24"/>
        </w:rPr>
      </w:pPr>
      <w:hyperlink r:id="rId10" w:history="1">
        <w:r w:rsidR="007F017B" w:rsidRPr="00074A98">
          <w:rPr>
            <w:rStyle w:val="Hyperlink"/>
            <w:rFonts w:cstheme="minorHAnsi"/>
            <w:szCs w:val="24"/>
          </w:rPr>
          <w:t>www.unpo.org</w:t>
        </w:r>
      </w:hyperlink>
    </w:p>
    <w:p w:rsidR="007F017B" w:rsidRDefault="007F017B">
      <w:r>
        <w:br w:type="page"/>
      </w:r>
    </w:p>
    <w:p w:rsidR="007F017B" w:rsidRPr="007F017B" w:rsidRDefault="007F017B" w:rsidP="007F017B">
      <w:pPr>
        <w:pStyle w:val="Heading1"/>
        <w:spacing w:before="0" w:line="240" w:lineRule="auto"/>
        <w:rPr>
          <w:sz w:val="20"/>
          <w:szCs w:val="40"/>
        </w:rPr>
      </w:pPr>
      <w:bookmarkStart w:id="1" w:name="_Toc350351037"/>
    </w:p>
    <w:p w:rsidR="007F017B" w:rsidRPr="00096803" w:rsidRDefault="007F017B" w:rsidP="007F017B">
      <w:pPr>
        <w:pStyle w:val="Heading1"/>
        <w:rPr>
          <w:szCs w:val="40"/>
        </w:rPr>
      </w:pPr>
      <w:bookmarkStart w:id="2" w:name="_Toc350766681"/>
      <w:r w:rsidRPr="00096803">
        <w:rPr>
          <w:szCs w:val="40"/>
        </w:rPr>
        <w:t>Section A: Introduction to the Report</w:t>
      </w:r>
      <w:bookmarkEnd w:id="1"/>
      <w:bookmarkEnd w:id="2"/>
    </w:p>
    <w:p w:rsidR="007F017B" w:rsidRPr="00A11523" w:rsidRDefault="007F017B" w:rsidP="007F017B">
      <w:pPr>
        <w:widowControl w:val="0"/>
        <w:spacing w:after="0" w:line="240" w:lineRule="auto"/>
        <w:jc w:val="both"/>
        <w:rPr>
          <w:rFonts w:cstheme="minorHAnsi"/>
          <w:color w:val="000000" w:themeColor="text1"/>
          <w:sz w:val="24"/>
        </w:rPr>
      </w:pPr>
    </w:p>
    <w:p w:rsidR="007F017B" w:rsidRPr="00A11523" w:rsidRDefault="007F017B" w:rsidP="007F017B">
      <w:pPr>
        <w:widowControl w:val="0"/>
        <w:spacing w:after="0" w:line="240" w:lineRule="auto"/>
        <w:jc w:val="both"/>
        <w:rPr>
          <w:rFonts w:cstheme="minorHAnsi"/>
          <w:color w:val="000000" w:themeColor="text1"/>
          <w:sz w:val="24"/>
        </w:rPr>
      </w:pPr>
    </w:p>
    <w:p w:rsidR="008760F1" w:rsidRPr="00E378F1" w:rsidRDefault="008760F1" w:rsidP="008760F1">
      <w:pPr>
        <w:widowControl w:val="0"/>
        <w:spacing w:after="0" w:line="240" w:lineRule="auto"/>
        <w:jc w:val="both"/>
        <w:rPr>
          <w:rFonts w:cstheme="minorHAnsi"/>
        </w:rPr>
      </w:pPr>
      <w:r w:rsidRPr="00E378F1">
        <w:rPr>
          <w:rFonts w:cstheme="minorHAnsi"/>
        </w:rPr>
        <w:t xml:space="preserve">This alternative report was submitted by the Unrepresented Nations and Peoples Organization </w:t>
      </w:r>
      <w:r w:rsidR="00312EF8">
        <w:rPr>
          <w:rFonts w:cstheme="minorHAnsi"/>
        </w:rPr>
        <w:t>(UNPO) on the occasion of the 52</w:t>
      </w:r>
      <w:r w:rsidRPr="005E32DF">
        <w:rPr>
          <w:rFonts w:cstheme="minorHAnsi"/>
          <w:vertAlign w:val="superscript"/>
        </w:rPr>
        <w:t>th</w:t>
      </w:r>
      <w:r>
        <w:rPr>
          <w:rFonts w:cstheme="minorHAnsi"/>
        </w:rPr>
        <w:t xml:space="preserve"> Session </w:t>
      </w:r>
      <w:r w:rsidRPr="00E378F1">
        <w:rPr>
          <w:rFonts w:cstheme="minorHAnsi"/>
        </w:rPr>
        <w:t>of the Committee on Economic, Social and Cultural Rights (henceforth, “the Committee”).</w:t>
      </w:r>
      <w:r w:rsidR="00017E68">
        <w:rPr>
          <w:rFonts w:cstheme="minorHAnsi"/>
        </w:rPr>
        <w:t xml:space="preserve"> UNPO is an international organization devoted to the promotion of democracy, non-violence, human rights, </w:t>
      </w:r>
      <w:r w:rsidR="006E4068">
        <w:rPr>
          <w:rFonts w:cstheme="minorHAnsi"/>
        </w:rPr>
        <w:t xml:space="preserve">tolerance </w:t>
      </w:r>
      <w:r w:rsidR="00017E68">
        <w:rPr>
          <w:rFonts w:cstheme="minorHAnsi"/>
        </w:rPr>
        <w:t xml:space="preserve">and environmental protection among </w:t>
      </w:r>
      <w:r w:rsidR="006E4068">
        <w:rPr>
          <w:rFonts w:cstheme="minorHAnsi"/>
        </w:rPr>
        <w:t xml:space="preserve">indigenous peoples, oppressed communities and minority groups worldwide. </w:t>
      </w:r>
    </w:p>
    <w:p w:rsidR="008760F1" w:rsidRPr="00E378F1" w:rsidRDefault="008760F1" w:rsidP="008760F1">
      <w:pPr>
        <w:widowControl w:val="0"/>
        <w:spacing w:after="0" w:line="240" w:lineRule="auto"/>
        <w:jc w:val="both"/>
        <w:rPr>
          <w:rFonts w:cstheme="minorHAnsi"/>
        </w:rPr>
      </w:pPr>
      <w:r w:rsidRPr="00E378F1">
        <w:rPr>
          <w:rFonts w:cstheme="minorHAnsi"/>
        </w:rPr>
        <w:t xml:space="preserve"> </w:t>
      </w:r>
    </w:p>
    <w:p w:rsidR="008760F1" w:rsidRDefault="00017E68" w:rsidP="008760F1">
      <w:pPr>
        <w:widowControl w:val="0"/>
        <w:spacing w:after="0" w:line="240" w:lineRule="auto"/>
        <w:jc w:val="both"/>
        <w:rPr>
          <w:rFonts w:cstheme="minorHAnsi"/>
        </w:rPr>
      </w:pPr>
      <w:r>
        <w:rPr>
          <w:rFonts w:cstheme="minorHAnsi"/>
        </w:rPr>
        <w:t xml:space="preserve">This </w:t>
      </w:r>
      <w:r w:rsidR="008760F1" w:rsidRPr="00E378F1">
        <w:rPr>
          <w:rFonts w:cstheme="minorHAnsi"/>
        </w:rPr>
        <w:t xml:space="preserve">report will comment upon relevant articles of the International Covenant on Economic, Social and Cultural Rights sequentially.  The final section of the report </w:t>
      </w:r>
      <w:r w:rsidR="00B940C6">
        <w:rPr>
          <w:rFonts w:cstheme="minorHAnsi"/>
        </w:rPr>
        <w:t xml:space="preserve">will </w:t>
      </w:r>
      <w:r>
        <w:rPr>
          <w:rFonts w:cstheme="minorHAnsi"/>
        </w:rPr>
        <w:t>introduce</w:t>
      </w:r>
      <w:r w:rsidR="008760F1">
        <w:rPr>
          <w:rFonts w:cstheme="minorHAnsi"/>
        </w:rPr>
        <w:t xml:space="preserve"> recommendations intended to inform the discussions taking place within the International Covenant on Economic, Social and Cultural Rights (henceforth, “ICESCR” or “the Covenant”) and betwe</w:t>
      </w:r>
      <w:r w:rsidR="00C55A08">
        <w:rPr>
          <w:rFonts w:cstheme="minorHAnsi"/>
        </w:rPr>
        <w:t>en the Committee and the</w:t>
      </w:r>
      <w:r w:rsidR="00312EF8">
        <w:rPr>
          <w:rFonts w:cstheme="minorHAnsi"/>
        </w:rPr>
        <w:t xml:space="preserve"> Indonesian delegation at the 52</w:t>
      </w:r>
      <w:r w:rsidR="008760F1" w:rsidRPr="005E32DF">
        <w:rPr>
          <w:rFonts w:cstheme="minorHAnsi"/>
          <w:vertAlign w:val="superscript"/>
        </w:rPr>
        <w:t>th</w:t>
      </w:r>
      <w:r w:rsidR="008760F1">
        <w:rPr>
          <w:rFonts w:cstheme="minorHAnsi"/>
        </w:rPr>
        <w:t xml:space="preserve"> Session. </w:t>
      </w:r>
    </w:p>
    <w:p w:rsidR="008760F1" w:rsidRDefault="008760F1" w:rsidP="008760F1">
      <w:pPr>
        <w:widowControl w:val="0"/>
        <w:spacing w:after="0" w:line="240" w:lineRule="auto"/>
        <w:jc w:val="both"/>
        <w:rPr>
          <w:rFonts w:cstheme="minorHAnsi"/>
        </w:rPr>
      </w:pPr>
    </w:p>
    <w:p w:rsidR="00B940C6" w:rsidRDefault="00B940C6" w:rsidP="00B940C6">
      <w:pPr>
        <w:pStyle w:val="NoSpacing"/>
        <w:jc w:val="both"/>
        <w:rPr>
          <w:rFonts w:cstheme="minorHAnsi"/>
        </w:rPr>
      </w:pPr>
      <w:r>
        <w:rPr>
          <w:rFonts w:cstheme="minorHAnsi"/>
        </w:rPr>
        <w:t xml:space="preserve">Indonesia’s high cultural diversity is in danger, as members of minority and indigenous communities continue to be subject to discrimination, violence, and displacement. Due to lack of reporting and lack of governments’ interest, violations regarding minorities and indigenous peoples often go unseen. </w:t>
      </w:r>
      <w:r>
        <w:rPr>
          <w:rFonts w:cstheme="minorHAnsi"/>
          <w:color w:val="000000" w:themeColor="text1"/>
        </w:rPr>
        <w:t>I</w:t>
      </w:r>
      <w:r w:rsidRPr="00294572">
        <w:rPr>
          <w:rFonts w:cstheme="minorHAnsi"/>
          <w:color w:val="000000" w:themeColor="text1"/>
        </w:rPr>
        <w:t>n the name of insecurity, foreign j</w:t>
      </w:r>
      <w:r w:rsidRPr="00294572">
        <w:rPr>
          <w:rFonts w:cstheme="minorHAnsi"/>
        </w:rPr>
        <w:t>ournalists and researchers are often restric</w:t>
      </w:r>
      <w:r>
        <w:rPr>
          <w:rFonts w:cstheme="minorHAnsi"/>
        </w:rPr>
        <w:t xml:space="preserve">ted access to some of the areas that are most subject to human rights violations. Therefore, in geographically remote indigenous regions, discrimination and violence often come with impunity.  In order to properly address the violations suffered by these minority communities and indigenous peoples in Indonesia, it is thus necessary to compile a report that particularly focuses on their issues. </w:t>
      </w:r>
    </w:p>
    <w:p w:rsidR="00B940C6" w:rsidRDefault="00B940C6" w:rsidP="008760F1">
      <w:pPr>
        <w:widowControl w:val="0"/>
        <w:spacing w:after="0" w:line="240" w:lineRule="auto"/>
        <w:jc w:val="both"/>
        <w:rPr>
          <w:rFonts w:cstheme="minorHAnsi"/>
        </w:rPr>
      </w:pPr>
    </w:p>
    <w:p w:rsidR="006E4068" w:rsidRDefault="00B940C6" w:rsidP="008760F1">
      <w:pPr>
        <w:pStyle w:val="NoSpacing"/>
        <w:jc w:val="both"/>
      </w:pPr>
      <w:r>
        <w:t xml:space="preserve">In accordance with UNPO’s goal to </w:t>
      </w:r>
      <w:r>
        <w:rPr>
          <w:rFonts w:cstheme="minorHAnsi"/>
        </w:rPr>
        <w:t>raise</w:t>
      </w:r>
      <w:r w:rsidRPr="00DF5BC2">
        <w:rPr>
          <w:rFonts w:cstheme="minorHAnsi"/>
        </w:rPr>
        <w:t xml:space="preserve"> the voice of </w:t>
      </w:r>
      <w:r>
        <w:rPr>
          <w:rFonts w:cstheme="minorHAnsi"/>
        </w:rPr>
        <w:t xml:space="preserve">the unrepresented and marginalized </w:t>
      </w:r>
      <w:r w:rsidR="00BD12C5">
        <w:rPr>
          <w:rFonts w:cstheme="minorHAnsi"/>
        </w:rPr>
        <w:t xml:space="preserve">communities </w:t>
      </w:r>
      <w:r>
        <w:rPr>
          <w:rFonts w:cstheme="minorHAnsi"/>
        </w:rPr>
        <w:t>worldwide,</w:t>
      </w:r>
      <w:r w:rsidRPr="00E378F1">
        <w:t xml:space="preserve"> </w:t>
      </w:r>
      <w:r>
        <w:t>t</w:t>
      </w:r>
      <w:r w:rsidR="008760F1" w:rsidRPr="00E378F1">
        <w:t xml:space="preserve">his alternative report will focus </w:t>
      </w:r>
      <w:r w:rsidR="008760F1">
        <w:t xml:space="preserve">on the </w:t>
      </w:r>
      <w:r w:rsidR="00274421">
        <w:t xml:space="preserve">situation of </w:t>
      </w:r>
      <w:r w:rsidR="00C55A08">
        <w:t>minority communities and indigenou</w:t>
      </w:r>
      <w:r w:rsidR="00E72908">
        <w:t>s peoples in Indonesia</w:t>
      </w:r>
      <w:r w:rsidR="006E4068">
        <w:rPr>
          <w:rFonts w:cstheme="minorHAnsi"/>
        </w:rPr>
        <w:t xml:space="preserve">. </w:t>
      </w:r>
      <w:r w:rsidR="00274421">
        <w:rPr>
          <w:rFonts w:cstheme="minorHAnsi"/>
        </w:rPr>
        <w:t xml:space="preserve">In particular, the report will focus on </w:t>
      </w:r>
      <w:r w:rsidR="006E4068">
        <w:rPr>
          <w:rFonts w:cstheme="minorHAnsi"/>
        </w:rPr>
        <w:t xml:space="preserve">three Indonesian regions: </w:t>
      </w:r>
      <w:r w:rsidR="00274421">
        <w:rPr>
          <w:rFonts w:cstheme="minorHAnsi"/>
        </w:rPr>
        <w:t xml:space="preserve">West Papua, </w:t>
      </w:r>
      <w:r w:rsidR="00BC161C">
        <w:rPr>
          <w:rFonts w:cstheme="minorHAnsi"/>
        </w:rPr>
        <w:t>South Moluccas</w:t>
      </w:r>
      <w:r w:rsidR="00274421">
        <w:rPr>
          <w:rFonts w:cstheme="minorHAnsi"/>
        </w:rPr>
        <w:t>, and Aceh</w:t>
      </w:r>
      <w:r>
        <w:rPr>
          <w:rFonts w:cstheme="minorHAnsi"/>
        </w:rPr>
        <w:t>. T</w:t>
      </w:r>
      <w:r w:rsidR="006E4068">
        <w:rPr>
          <w:rFonts w:cstheme="minorHAnsi"/>
        </w:rPr>
        <w:t>he report will comment</w:t>
      </w:r>
      <w:r w:rsidR="00274421">
        <w:rPr>
          <w:rFonts w:cstheme="minorHAnsi"/>
        </w:rPr>
        <w:t xml:space="preserve"> on the Indonesian</w:t>
      </w:r>
      <w:r w:rsidR="00274421">
        <w:t xml:space="preserve"> government’s compliance to the implementation of the provisions in the International Covenant as it affects these particular groups</w:t>
      </w:r>
      <w:r w:rsidR="00274421">
        <w:rPr>
          <w:rFonts w:cstheme="minorHAnsi"/>
        </w:rPr>
        <w:t xml:space="preserve">. </w:t>
      </w:r>
      <w:r w:rsidR="006E4068">
        <w:rPr>
          <w:rFonts w:cstheme="minorHAnsi"/>
        </w:rPr>
        <w:t>D</w:t>
      </w:r>
      <w:r w:rsidR="00EC7C0A">
        <w:rPr>
          <w:rFonts w:cstheme="minorHAnsi"/>
        </w:rPr>
        <w:t xml:space="preserve">espite the Indonesian government stated commitment to respect </w:t>
      </w:r>
      <w:r>
        <w:rPr>
          <w:rFonts w:cstheme="minorHAnsi"/>
        </w:rPr>
        <w:t>human rights and the develop</w:t>
      </w:r>
      <w:r w:rsidR="00EC7C0A">
        <w:rPr>
          <w:rFonts w:cstheme="minorHAnsi"/>
        </w:rPr>
        <w:t xml:space="preserve"> legislations related to the promotion of economic, social, and cultural rights; </w:t>
      </w:r>
      <w:r w:rsidR="00EC7C0A">
        <w:t>this report will show the country’s failure to comply with several articles of the Covenant</w:t>
      </w:r>
      <w:r w:rsidR="006E4068">
        <w:t xml:space="preserve"> in relation to the selected indigenous and minority communities</w:t>
      </w:r>
      <w:r w:rsidR="00EC7C0A">
        <w:t>.</w:t>
      </w:r>
    </w:p>
    <w:p w:rsidR="00294572" w:rsidRDefault="00294572" w:rsidP="00471EEA">
      <w:pPr>
        <w:pStyle w:val="NoSpacing"/>
        <w:jc w:val="both"/>
        <w:rPr>
          <w:rFonts w:cstheme="minorHAnsi"/>
        </w:rPr>
      </w:pPr>
    </w:p>
    <w:p w:rsidR="008760F1" w:rsidRDefault="008760F1" w:rsidP="008760F1">
      <w:pPr>
        <w:pStyle w:val="NoSpacing"/>
        <w:jc w:val="both"/>
      </w:pPr>
      <w:r>
        <w:t>This repo</w:t>
      </w:r>
      <w:r w:rsidR="00B940C6">
        <w:t>rt will be organized in three main sessions</w:t>
      </w:r>
      <w:r w:rsidR="00EC7C0A">
        <w:t>. Firstly, it will</w:t>
      </w:r>
      <w:r>
        <w:t xml:space="preserve"> introduce the s</w:t>
      </w:r>
      <w:r w:rsidR="00294572">
        <w:t xml:space="preserve">ituation of </w:t>
      </w:r>
      <w:r w:rsidR="00BD12C5">
        <w:t>minority groups and indigenous peoples</w:t>
      </w:r>
      <w:r w:rsidR="00294572">
        <w:t xml:space="preserve"> in Indonesia</w:t>
      </w:r>
      <w:r>
        <w:t xml:space="preserve">, </w:t>
      </w:r>
      <w:r w:rsidR="00294A4D">
        <w:t xml:space="preserve">briefly </w:t>
      </w:r>
      <w:r>
        <w:t>describing the main issues</w:t>
      </w:r>
      <w:r w:rsidR="00B940C6">
        <w:t xml:space="preserve"> they are </w:t>
      </w:r>
      <w:r w:rsidR="00294A4D">
        <w:t xml:space="preserve">confronting as a consequence of </w:t>
      </w:r>
      <w:r>
        <w:t xml:space="preserve">policies adopted by the </w:t>
      </w:r>
      <w:r w:rsidR="00294572">
        <w:t>Indonesian</w:t>
      </w:r>
      <w:r w:rsidR="00EC7C0A">
        <w:t xml:space="preserve"> government.</w:t>
      </w:r>
      <w:r w:rsidR="00294A4D">
        <w:t xml:space="preserve"> Secondly, the report </w:t>
      </w:r>
      <w:r w:rsidR="00EC7C0A">
        <w:t xml:space="preserve">will </w:t>
      </w:r>
      <w:r>
        <w:t>outli</w:t>
      </w:r>
      <w:r w:rsidR="00EC7C0A">
        <w:t>ne the</w:t>
      </w:r>
      <w:r>
        <w:t xml:space="preserve"> article</w:t>
      </w:r>
      <w:r w:rsidR="00EC7C0A">
        <w:t xml:space="preserve">s of the ICESCR that the Indonesian government is found </w:t>
      </w:r>
      <w:r>
        <w:t xml:space="preserve">to have violated, and </w:t>
      </w:r>
      <w:r w:rsidR="00294A4D">
        <w:t xml:space="preserve">will </w:t>
      </w:r>
      <w:r>
        <w:t>address them with a brief description</w:t>
      </w:r>
      <w:r w:rsidR="00B940C6">
        <w:t xml:space="preserve"> focused on </w:t>
      </w:r>
      <w:r w:rsidR="00294A4D">
        <w:t>the selected minority</w:t>
      </w:r>
      <w:r w:rsidR="00B940C6">
        <w:t xml:space="preserve"> and indigenous groups</w:t>
      </w:r>
      <w:r>
        <w:t>. Finally, the report will present a series of recommendatio</w:t>
      </w:r>
      <w:r w:rsidR="00456908">
        <w:t>ns to be discussed</w:t>
      </w:r>
      <w:r w:rsidR="00EC7C0A">
        <w:t xml:space="preserve"> during the 5</w:t>
      </w:r>
      <w:r w:rsidR="00312EF8">
        <w:t>2</w:t>
      </w:r>
      <w:r w:rsidRPr="001A4F4F">
        <w:rPr>
          <w:vertAlign w:val="superscript"/>
        </w:rPr>
        <w:t>th</w:t>
      </w:r>
      <w:r>
        <w:t xml:space="preserve"> Session. </w:t>
      </w:r>
    </w:p>
    <w:p w:rsidR="008760F1" w:rsidRDefault="008760F1" w:rsidP="008760F1"/>
    <w:p w:rsidR="007F017B" w:rsidRDefault="007F017B">
      <w:r>
        <w:br w:type="page"/>
      </w:r>
    </w:p>
    <w:p w:rsidR="00B940C6" w:rsidRPr="00B940C6" w:rsidRDefault="00B940C6" w:rsidP="00B940C6">
      <w:pPr>
        <w:pStyle w:val="Heading1"/>
        <w:rPr>
          <w:sz w:val="20"/>
          <w:szCs w:val="20"/>
        </w:rPr>
      </w:pPr>
      <w:bookmarkStart w:id="3" w:name="_Toc350351038"/>
      <w:bookmarkStart w:id="4" w:name="_Toc350766682"/>
    </w:p>
    <w:p w:rsidR="00B940C6" w:rsidRDefault="007F017B" w:rsidP="00D63530">
      <w:pPr>
        <w:pStyle w:val="Heading1"/>
        <w:rPr>
          <w:szCs w:val="40"/>
        </w:rPr>
      </w:pPr>
      <w:r>
        <w:rPr>
          <w:szCs w:val="40"/>
        </w:rPr>
        <w:t>S</w:t>
      </w:r>
      <w:r w:rsidRPr="00096803">
        <w:rPr>
          <w:szCs w:val="40"/>
        </w:rPr>
        <w:t>ection B: Introduction to I</w:t>
      </w:r>
      <w:bookmarkEnd w:id="3"/>
      <w:bookmarkEnd w:id="4"/>
      <w:r w:rsidR="00456908">
        <w:rPr>
          <w:szCs w:val="40"/>
        </w:rPr>
        <w:t>ndonesia</w:t>
      </w:r>
    </w:p>
    <w:p w:rsidR="00D63530" w:rsidRPr="00D63530" w:rsidRDefault="00D63530" w:rsidP="00D63530"/>
    <w:p w:rsidR="00456908" w:rsidRPr="00456908" w:rsidRDefault="00456908" w:rsidP="00456908">
      <w:pPr>
        <w:spacing w:after="0" w:line="240" w:lineRule="auto"/>
      </w:pPr>
      <w:r>
        <w:t xml:space="preserve">This report will focus on the situation of three </w:t>
      </w:r>
      <w:r w:rsidR="00357395">
        <w:t>groups</w:t>
      </w:r>
      <w:r>
        <w:t xml:space="preserve"> located in Indonesia: West Papua, South Moluccas, and Aceh. These minority </w:t>
      </w:r>
      <w:r w:rsidR="00294A4D">
        <w:t xml:space="preserve">and indigenous </w:t>
      </w:r>
      <w:r>
        <w:t xml:space="preserve">groups share a history of denial of the right of self-determination, political repression, and violation of economic, social, and cultural rights. In order to better understand the context in which this report should be read, this section briefly introduces each </w:t>
      </w:r>
      <w:r w:rsidR="00357395">
        <w:t>of them</w:t>
      </w:r>
      <w:r>
        <w:t>.</w:t>
      </w:r>
    </w:p>
    <w:p w:rsidR="007F017B" w:rsidRDefault="007F017B" w:rsidP="007F017B">
      <w:pPr>
        <w:pStyle w:val="NoSpacing"/>
        <w:rPr>
          <w:rFonts w:cstheme="minorHAnsi"/>
          <w:color w:val="000000" w:themeColor="text1"/>
        </w:rPr>
      </w:pPr>
    </w:p>
    <w:p w:rsidR="003C16C8" w:rsidRDefault="003C16C8" w:rsidP="003C16C8">
      <w:pPr>
        <w:spacing w:after="0"/>
        <w:jc w:val="both"/>
        <w:rPr>
          <w:rStyle w:val="Strong"/>
          <w:rFonts w:cstheme="minorHAnsi"/>
          <w:b w:val="0"/>
          <w:bCs w:val="0"/>
          <w:i/>
          <w:color w:val="222222"/>
        </w:rPr>
      </w:pPr>
      <w:r w:rsidRPr="0072011E">
        <w:rPr>
          <w:rStyle w:val="Strong"/>
          <w:rFonts w:cstheme="minorHAnsi"/>
          <w:b w:val="0"/>
          <w:bCs w:val="0"/>
          <w:i/>
          <w:color w:val="222222"/>
        </w:rPr>
        <w:t xml:space="preserve">Aceh </w:t>
      </w:r>
    </w:p>
    <w:p w:rsidR="003C16C8" w:rsidRPr="0072011E" w:rsidRDefault="003C16C8" w:rsidP="003C16C8">
      <w:pPr>
        <w:spacing w:after="0" w:line="240" w:lineRule="auto"/>
        <w:jc w:val="both"/>
        <w:rPr>
          <w:rStyle w:val="Strong"/>
          <w:rFonts w:cstheme="minorHAnsi"/>
          <w:b w:val="0"/>
          <w:bCs w:val="0"/>
          <w:color w:val="222222"/>
        </w:rPr>
      </w:pPr>
      <w:r>
        <w:rPr>
          <w:rStyle w:val="Strong"/>
          <w:rFonts w:cstheme="minorHAnsi"/>
          <w:b w:val="0"/>
          <w:bCs w:val="0"/>
          <w:color w:val="222222"/>
        </w:rPr>
        <w:t xml:space="preserve">The Aceh province is located at the Northern end of the island of Sumatra. After strenuously resisting Dutch colonial domination, the region was incorporated into the Dutch East Indies and it subsequently became part of Indonesia when the country became independent in 1949. After alternating waves of conflict between local forces demanding independence and the central government, a peace agreement was signed in 2005, resulting in the establishment of a regional government. In addition to the numerous human rights abuses perpetrated during the conflict, which are still to be addressed, Aceh faces issues related to land exploitation and internal displacement caused by the Indonesian government’s transmigration polices. Additionally, Aceh was hit by a deadly Tsunami in 2004 and, despite positive a post-tsunami reconstruction effort, economic life in Aceh has not yet completely recovered. </w:t>
      </w:r>
    </w:p>
    <w:p w:rsidR="003C16C8" w:rsidRDefault="003C16C8" w:rsidP="003C16C8">
      <w:pPr>
        <w:spacing w:after="0" w:line="240" w:lineRule="auto"/>
        <w:jc w:val="both"/>
        <w:rPr>
          <w:rFonts w:cstheme="minorHAnsi"/>
          <w:i/>
        </w:rPr>
      </w:pPr>
    </w:p>
    <w:p w:rsidR="003C16C8" w:rsidRPr="0084282B" w:rsidRDefault="003C16C8" w:rsidP="003C16C8">
      <w:pPr>
        <w:spacing w:after="0"/>
        <w:jc w:val="both"/>
        <w:rPr>
          <w:rFonts w:cstheme="minorHAnsi"/>
          <w:i/>
        </w:rPr>
      </w:pPr>
      <w:r w:rsidRPr="0084282B">
        <w:rPr>
          <w:rFonts w:cstheme="minorHAnsi"/>
          <w:i/>
        </w:rPr>
        <w:t xml:space="preserve">South Moluccas </w:t>
      </w:r>
    </w:p>
    <w:p w:rsidR="003C16C8" w:rsidRDefault="003C16C8" w:rsidP="003C16C8">
      <w:pPr>
        <w:spacing w:after="0" w:line="240" w:lineRule="auto"/>
        <w:jc w:val="both"/>
        <w:rPr>
          <w:rStyle w:val="Strong"/>
          <w:rFonts w:cstheme="minorHAnsi"/>
          <w:b w:val="0"/>
          <w:bCs w:val="0"/>
          <w:color w:val="222222"/>
        </w:rPr>
      </w:pPr>
      <w:r>
        <w:rPr>
          <w:rStyle w:val="Strong"/>
          <w:rFonts w:cstheme="minorHAnsi"/>
          <w:b w:val="0"/>
          <w:bCs w:val="0"/>
          <w:color w:val="222222"/>
        </w:rPr>
        <w:t xml:space="preserve">South Moluccas, corresponding to the Indonesian province called “Maluku”, consist of an archipelago of approximately 150 islands in the Banda Sea originally inhabited by peoples of Melanesian origins. After being part of the Dutch East Indies, South Moluccas were made part of the newly established federal system when Indonesia became an independent federal republic. As a consequence of the Indonesian government’s aim to shift from a federal to a unitary </w:t>
      </w:r>
      <w:r w:rsidR="00357395">
        <w:rPr>
          <w:rStyle w:val="Strong"/>
          <w:rFonts w:cstheme="minorHAnsi"/>
          <w:b w:val="0"/>
          <w:bCs w:val="0"/>
          <w:color w:val="222222"/>
        </w:rPr>
        <w:t>S</w:t>
      </w:r>
      <w:r>
        <w:rPr>
          <w:rStyle w:val="Strong"/>
          <w:rFonts w:cstheme="minorHAnsi"/>
          <w:b w:val="0"/>
          <w:bCs w:val="0"/>
          <w:color w:val="222222"/>
        </w:rPr>
        <w:t>tate</w:t>
      </w:r>
      <w:r w:rsidRPr="0084282B">
        <w:rPr>
          <w:rStyle w:val="Strong"/>
          <w:rFonts w:cstheme="minorHAnsi"/>
          <w:b w:val="0"/>
          <w:bCs w:val="0"/>
          <w:color w:val="222222"/>
        </w:rPr>
        <w:t xml:space="preserve">, </w:t>
      </w:r>
      <w:r>
        <w:rPr>
          <w:rStyle w:val="Strong"/>
          <w:rFonts w:cstheme="minorHAnsi"/>
          <w:b w:val="0"/>
          <w:bCs w:val="0"/>
          <w:color w:val="222222"/>
        </w:rPr>
        <w:t xml:space="preserve">South Moluccas </w:t>
      </w:r>
      <w:r w:rsidRPr="0084282B">
        <w:rPr>
          <w:rStyle w:val="Strong"/>
          <w:rFonts w:cstheme="minorHAnsi"/>
          <w:b w:val="0"/>
          <w:bCs w:val="0"/>
          <w:color w:val="222222"/>
        </w:rPr>
        <w:t xml:space="preserve">declared their </w:t>
      </w:r>
      <w:r>
        <w:rPr>
          <w:rStyle w:val="Strong"/>
          <w:rFonts w:cstheme="minorHAnsi"/>
          <w:b w:val="0"/>
          <w:bCs w:val="0"/>
          <w:color w:val="222222"/>
        </w:rPr>
        <w:t xml:space="preserve">independence, but they were forcefully incorporated </w:t>
      </w:r>
      <w:r w:rsidRPr="0084282B">
        <w:rPr>
          <w:rStyle w:val="Strong"/>
          <w:rFonts w:cstheme="minorHAnsi"/>
          <w:b w:val="0"/>
          <w:bCs w:val="0"/>
          <w:color w:val="222222"/>
        </w:rPr>
        <w:t xml:space="preserve">into </w:t>
      </w:r>
      <w:r>
        <w:rPr>
          <w:rStyle w:val="Strong"/>
          <w:rFonts w:cstheme="minorHAnsi"/>
          <w:b w:val="0"/>
          <w:bCs w:val="0"/>
          <w:color w:val="222222"/>
        </w:rPr>
        <w:t>Indonesia under President Sukarno</w:t>
      </w:r>
      <w:r w:rsidRPr="0084282B">
        <w:rPr>
          <w:rStyle w:val="Strong"/>
          <w:rFonts w:cstheme="minorHAnsi"/>
          <w:b w:val="0"/>
          <w:bCs w:val="0"/>
          <w:color w:val="222222"/>
        </w:rPr>
        <w:t xml:space="preserve">. </w:t>
      </w:r>
      <w:r>
        <w:rPr>
          <w:rStyle w:val="Strong"/>
          <w:rFonts w:cstheme="minorHAnsi"/>
          <w:b w:val="0"/>
          <w:bCs w:val="0"/>
          <w:color w:val="222222"/>
        </w:rPr>
        <w:t xml:space="preserve">Similarly to other minority areas, Indonesian transmigration policies are transforming South Moluccans into </w:t>
      </w:r>
      <w:r w:rsidRPr="0084282B">
        <w:rPr>
          <w:rStyle w:val="Strong"/>
          <w:rFonts w:cstheme="minorHAnsi"/>
          <w:b w:val="0"/>
          <w:bCs w:val="0"/>
          <w:color w:val="222222"/>
        </w:rPr>
        <w:t>a minority in their own homeland.</w:t>
      </w:r>
      <w:r>
        <w:rPr>
          <w:rStyle w:val="Strong"/>
          <w:rFonts w:cstheme="minorHAnsi"/>
          <w:b w:val="0"/>
          <w:bCs w:val="0"/>
          <w:color w:val="222222"/>
        </w:rPr>
        <w:t xml:space="preserve"> Additionally, being a Christian minority in a prevalently Muslim country, South Moluccas are facing serious issues of religious intolerance.</w:t>
      </w:r>
    </w:p>
    <w:p w:rsidR="003C16C8" w:rsidRPr="0084282B" w:rsidRDefault="003C16C8" w:rsidP="003C16C8">
      <w:pPr>
        <w:spacing w:after="0" w:line="240" w:lineRule="auto"/>
        <w:jc w:val="both"/>
        <w:rPr>
          <w:rFonts w:cstheme="minorHAnsi"/>
          <w:i/>
        </w:rPr>
      </w:pPr>
    </w:p>
    <w:p w:rsidR="00456908" w:rsidRDefault="00456908" w:rsidP="007F017B">
      <w:pPr>
        <w:pStyle w:val="NoSpacing"/>
        <w:rPr>
          <w:rFonts w:cstheme="minorHAnsi"/>
          <w:i/>
          <w:color w:val="000000" w:themeColor="text1"/>
        </w:rPr>
      </w:pPr>
      <w:r w:rsidRPr="00456908">
        <w:rPr>
          <w:rFonts w:cstheme="minorHAnsi"/>
          <w:i/>
          <w:color w:val="000000" w:themeColor="text1"/>
        </w:rPr>
        <w:t>West Papua</w:t>
      </w:r>
    </w:p>
    <w:p w:rsidR="00456908" w:rsidRDefault="00A24723" w:rsidP="00170CED">
      <w:pPr>
        <w:spacing w:after="0" w:line="240" w:lineRule="auto"/>
        <w:jc w:val="both"/>
        <w:rPr>
          <w:rFonts w:cstheme="minorHAnsi"/>
        </w:rPr>
      </w:pPr>
      <w:r>
        <w:rPr>
          <w:rFonts w:cstheme="minorHAnsi"/>
        </w:rPr>
        <w:t xml:space="preserve">The region of </w:t>
      </w:r>
      <w:r w:rsidR="0057100A">
        <w:rPr>
          <w:rFonts w:cstheme="minorHAnsi"/>
        </w:rPr>
        <w:t>West Papua, currently split into the two Indone</w:t>
      </w:r>
      <w:r w:rsidR="00533112">
        <w:rPr>
          <w:rFonts w:cstheme="minorHAnsi"/>
        </w:rPr>
        <w:t>sian provinces of Papua and</w:t>
      </w:r>
      <w:r w:rsidR="0057100A">
        <w:rPr>
          <w:rFonts w:cstheme="minorHAnsi"/>
        </w:rPr>
        <w:t xml:space="preserve"> Papua</w:t>
      </w:r>
      <w:r w:rsidR="00533112">
        <w:rPr>
          <w:rFonts w:cstheme="minorHAnsi"/>
        </w:rPr>
        <w:t xml:space="preserve"> Barat</w:t>
      </w:r>
      <w:r>
        <w:rPr>
          <w:rStyle w:val="FootnoteReference"/>
          <w:rFonts w:cstheme="minorHAnsi"/>
        </w:rPr>
        <w:footnoteReference w:id="1"/>
      </w:r>
      <w:r w:rsidR="003C16C8">
        <w:rPr>
          <w:rFonts w:cstheme="minorHAnsi"/>
        </w:rPr>
        <w:t>, consists</w:t>
      </w:r>
      <w:r w:rsidR="0057100A">
        <w:rPr>
          <w:rFonts w:cstheme="minorHAnsi"/>
        </w:rPr>
        <w:t xml:space="preserve"> of the </w:t>
      </w:r>
      <w:r w:rsidR="00456908" w:rsidRPr="00E06D2D">
        <w:rPr>
          <w:rFonts w:cstheme="minorHAnsi"/>
        </w:rPr>
        <w:t>We</w:t>
      </w:r>
      <w:r w:rsidR="00456908">
        <w:rPr>
          <w:rFonts w:cstheme="minorHAnsi"/>
        </w:rPr>
        <w:t>stern half of the Island</w:t>
      </w:r>
      <w:r w:rsidR="003C16C8">
        <w:rPr>
          <w:rFonts w:cstheme="minorHAnsi"/>
        </w:rPr>
        <w:t xml:space="preserve"> whose Eastern part</w:t>
      </w:r>
      <w:r w:rsidR="00BC161C">
        <w:rPr>
          <w:rFonts w:cstheme="minorHAnsi"/>
        </w:rPr>
        <w:t xml:space="preserve"> constitutes </w:t>
      </w:r>
      <w:r w:rsidR="0057100A">
        <w:rPr>
          <w:rFonts w:cstheme="minorHAnsi"/>
        </w:rPr>
        <w:t xml:space="preserve">the Independent </w:t>
      </w:r>
      <w:r w:rsidR="00357395">
        <w:rPr>
          <w:rFonts w:cstheme="minorHAnsi"/>
        </w:rPr>
        <w:t>S</w:t>
      </w:r>
      <w:r w:rsidR="0057100A">
        <w:rPr>
          <w:rFonts w:cstheme="minorHAnsi"/>
        </w:rPr>
        <w:t>tate of Papua New Guinea</w:t>
      </w:r>
      <w:r w:rsidR="00456908" w:rsidRPr="00E06D2D">
        <w:rPr>
          <w:rFonts w:cstheme="minorHAnsi"/>
        </w:rPr>
        <w:t xml:space="preserve">. </w:t>
      </w:r>
      <w:r w:rsidR="003C16C8">
        <w:rPr>
          <w:rFonts w:cstheme="minorHAnsi"/>
        </w:rPr>
        <w:t xml:space="preserve">West Papua </w:t>
      </w:r>
      <w:r w:rsidR="00170CED">
        <w:rPr>
          <w:rFonts w:cstheme="minorHAnsi"/>
        </w:rPr>
        <w:t xml:space="preserve">was </w:t>
      </w:r>
      <w:r w:rsidR="0057100A" w:rsidRPr="00E06D2D">
        <w:rPr>
          <w:rFonts w:cstheme="minorHAnsi"/>
        </w:rPr>
        <w:t>originally inhabited by a diverse group o</w:t>
      </w:r>
      <w:r w:rsidR="0057100A">
        <w:rPr>
          <w:rFonts w:cstheme="minorHAnsi"/>
        </w:rPr>
        <w:t>f indigenous communities of Mela</w:t>
      </w:r>
      <w:r w:rsidR="0057100A" w:rsidRPr="00E06D2D">
        <w:rPr>
          <w:rFonts w:cstheme="minorHAnsi"/>
        </w:rPr>
        <w:t xml:space="preserve">nesian origin which </w:t>
      </w:r>
      <w:r w:rsidR="00170CED">
        <w:rPr>
          <w:rFonts w:cstheme="minorHAnsi"/>
        </w:rPr>
        <w:t xml:space="preserve">currently </w:t>
      </w:r>
      <w:r w:rsidR="003C16C8">
        <w:rPr>
          <w:rFonts w:cstheme="minorHAnsi"/>
        </w:rPr>
        <w:t xml:space="preserve">amount to </w:t>
      </w:r>
      <w:r w:rsidR="0057100A" w:rsidRPr="00E06D2D">
        <w:rPr>
          <w:rFonts w:cstheme="minorHAnsi"/>
        </w:rPr>
        <w:t>more than 200 tribes and respective languages</w:t>
      </w:r>
      <w:r w:rsidR="0057100A">
        <w:rPr>
          <w:rFonts w:cstheme="minorHAnsi"/>
        </w:rPr>
        <w:t xml:space="preserve">. </w:t>
      </w:r>
      <w:r>
        <w:rPr>
          <w:rFonts w:cstheme="minorHAnsi"/>
        </w:rPr>
        <w:t>In 1962, a</w:t>
      </w:r>
      <w:r w:rsidR="0057100A">
        <w:rPr>
          <w:rFonts w:cstheme="minorHAnsi"/>
        </w:rPr>
        <w:t>fter Dutch colonial rule, West Papua became part of Indonesia as a consequence of a UN-ratified agreement between Indonesi</w:t>
      </w:r>
      <w:r w:rsidR="003C16C8">
        <w:rPr>
          <w:rFonts w:cstheme="minorHAnsi"/>
        </w:rPr>
        <w:t>a</w:t>
      </w:r>
      <w:r>
        <w:rPr>
          <w:rFonts w:cstheme="minorHAnsi"/>
        </w:rPr>
        <w:t xml:space="preserve"> and The Netherlands</w:t>
      </w:r>
      <w:r w:rsidR="0057100A">
        <w:rPr>
          <w:rFonts w:cstheme="minorHAnsi"/>
        </w:rPr>
        <w:t xml:space="preserve">. </w:t>
      </w:r>
      <w:r w:rsidR="0057100A" w:rsidRPr="00E06D2D">
        <w:rPr>
          <w:rFonts w:cstheme="minorHAnsi"/>
        </w:rPr>
        <w:t>As a province of Indonesia, West Papua saw the implementation of a number of policies that led to the discrimination and relocation of</w:t>
      </w:r>
      <w:r w:rsidR="00BC161C">
        <w:rPr>
          <w:rFonts w:cstheme="minorHAnsi"/>
        </w:rPr>
        <w:t xml:space="preserve"> a great part of the West Papua’s</w:t>
      </w:r>
      <w:r w:rsidR="0057100A" w:rsidRPr="00E06D2D">
        <w:rPr>
          <w:rFonts w:cstheme="minorHAnsi"/>
        </w:rPr>
        <w:t xml:space="preserve"> indigenous population</w:t>
      </w:r>
      <w:r w:rsidR="0057100A">
        <w:rPr>
          <w:rFonts w:cstheme="minorHAnsi"/>
        </w:rPr>
        <w:t xml:space="preserve">. The main issues of concern for </w:t>
      </w:r>
      <w:r w:rsidR="0084282B">
        <w:rPr>
          <w:rFonts w:cstheme="minorHAnsi"/>
        </w:rPr>
        <w:t xml:space="preserve">indigenous </w:t>
      </w:r>
      <w:r w:rsidR="0057100A">
        <w:rPr>
          <w:rFonts w:cstheme="minorHAnsi"/>
        </w:rPr>
        <w:t xml:space="preserve">West Papuan derive from </w:t>
      </w:r>
      <w:r w:rsidR="0084282B">
        <w:rPr>
          <w:rFonts w:cstheme="minorHAnsi"/>
        </w:rPr>
        <w:t>the exploitation of ancestral lands for industrial purposes, the implementation of transmigration programs that are transforming the ethnic composition of the region, and excessive violence perpetrated by the numerous security pers</w:t>
      </w:r>
      <w:r w:rsidR="00BC161C">
        <w:rPr>
          <w:rFonts w:cstheme="minorHAnsi"/>
        </w:rPr>
        <w:t>onnel stationed in the area</w:t>
      </w:r>
      <w:r w:rsidR="0084282B">
        <w:rPr>
          <w:rFonts w:cstheme="minorHAnsi"/>
        </w:rPr>
        <w:t xml:space="preserve">. </w:t>
      </w:r>
    </w:p>
    <w:p w:rsidR="0084282B" w:rsidRDefault="0084282B" w:rsidP="00170CED">
      <w:pPr>
        <w:spacing w:after="0" w:line="240" w:lineRule="auto"/>
        <w:jc w:val="both"/>
        <w:rPr>
          <w:rFonts w:cstheme="minorHAnsi"/>
        </w:rPr>
      </w:pPr>
    </w:p>
    <w:p w:rsidR="00D63530" w:rsidRPr="00D63530" w:rsidRDefault="0072011E" w:rsidP="00D63530">
      <w:pPr>
        <w:spacing w:before="480" w:after="0" w:line="240" w:lineRule="auto"/>
        <w:jc w:val="both"/>
        <w:rPr>
          <w:rStyle w:val="Strong"/>
          <w:rFonts w:cstheme="minorHAnsi"/>
          <w:bCs w:val="0"/>
          <w:color w:val="222222"/>
          <w:sz w:val="40"/>
          <w:szCs w:val="40"/>
        </w:rPr>
      </w:pPr>
      <w:r>
        <w:rPr>
          <w:rStyle w:val="Strong"/>
          <w:rFonts w:cstheme="minorHAnsi"/>
          <w:b w:val="0"/>
          <w:bCs w:val="0"/>
          <w:color w:val="222222"/>
        </w:rPr>
        <w:lastRenderedPageBreak/>
        <w:t xml:space="preserve">. </w:t>
      </w:r>
      <w:bookmarkStart w:id="5" w:name="_Toc350351039"/>
      <w:bookmarkStart w:id="6" w:name="_Toc350766683"/>
    </w:p>
    <w:p w:rsidR="007F017B" w:rsidRPr="00D63530" w:rsidRDefault="007F017B" w:rsidP="00D63530">
      <w:pPr>
        <w:spacing w:before="480" w:after="0" w:line="240" w:lineRule="auto"/>
        <w:jc w:val="both"/>
        <w:rPr>
          <w:b/>
          <w:sz w:val="40"/>
          <w:szCs w:val="40"/>
        </w:rPr>
      </w:pPr>
      <w:r w:rsidRPr="00D63530">
        <w:rPr>
          <w:b/>
          <w:sz w:val="40"/>
          <w:szCs w:val="40"/>
        </w:rPr>
        <w:t>Section C: Compliance with ICESCR</w:t>
      </w:r>
      <w:bookmarkEnd w:id="5"/>
      <w:bookmarkEnd w:id="6"/>
      <w:r w:rsidRPr="00D63530">
        <w:rPr>
          <w:b/>
          <w:sz w:val="40"/>
          <w:szCs w:val="40"/>
        </w:rPr>
        <w:t xml:space="preserve"> </w:t>
      </w:r>
    </w:p>
    <w:p w:rsidR="007F017B" w:rsidRPr="005B6636" w:rsidRDefault="007F017B" w:rsidP="007F017B">
      <w:pPr>
        <w:spacing w:after="120" w:line="240" w:lineRule="auto"/>
        <w:rPr>
          <w:rFonts w:cstheme="minorHAnsi"/>
          <w:b/>
          <w:sz w:val="24"/>
        </w:rPr>
      </w:pPr>
    </w:p>
    <w:p w:rsidR="007F017B" w:rsidRPr="007F017B" w:rsidRDefault="005202AA" w:rsidP="007F017B">
      <w:pPr>
        <w:pStyle w:val="Heading2"/>
      </w:pPr>
      <w:bookmarkStart w:id="7" w:name="_Toc350351040"/>
      <w:bookmarkStart w:id="8" w:name="_Toc350766684"/>
      <w:r>
        <w:t xml:space="preserve">Article 1 </w:t>
      </w:r>
      <w:bookmarkEnd w:id="7"/>
      <w:bookmarkEnd w:id="8"/>
      <w:r w:rsidR="0030773D">
        <w:t>- Right of self</w:t>
      </w:r>
      <w:r w:rsidR="00357395">
        <w:t>-</w:t>
      </w:r>
      <w:r w:rsidR="0030773D">
        <w:t>d</w:t>
      </w:r>
      <w:r w:rsidR="002B20BC">
        <w:t xml:space="preserve">etermination </w:t>
      </w:r>
      <w:r w:rsidR="00C56901">
        <w:t xml:space="preserve">and free disposal of natural wealth and resources </w:t>
      </w:r>
    </w:p>
    <w:p w:rsidR="007F017B" w:rsidRDefault="007F017B" w:rsidP="00396882">
      <w:pPr>
        <w:tabs>
          <w:tab w:val="left" w:pos="2143"/>
        </w:tabs>
        <w:spacing w:before="100" w:beforeAutospacing="1" w:after="100" w:afterAutospacing="1" w:line="240" w:lineRule="auto"/>
        <w:jc w:val="both"/>
        <w:rPr>
          <w:rFonts w:cstheme="minorHAnsi"/>
          <w:i/>
          <w:sz w:val="24"/>
        </w:rPr>
      </w:pPr>
      <w:r w:rsidRPr="008D3027">
        <w:rPr>
          <w:b/>
          <w:sz w:val="24"/>
        </w:rPr>
        <w:t>Article 1.1</w:t>
      </w:r>
      <w:r w:rsidRPr="008D3027">
        <w:rPr>
          <w:rFonts w:cstheme="minorHAnsi"/>
          <w:i/>
          <w:sz w:val="32"/>
        </w:rPr>
        <w:t xml:space="preserve"> </w:t>
      </w:r>
      <w:r w:rsidRPr="00BC7AB0">
        <w:rPr>
          <w:rFonts w:cstheme="minorHAnsi"/>
          <w:i/>
          <w:sz w:val="24"/>
        </w:rPr>
        <w:t>states that</w:t>
      </w:r>
      <w:r w:rsidRPr="005B6636">
        <w:rPr>
          <w:rFonts w:cstheme="minorHAnsi"/>
          <w:i/>
          <w:sz w:val="24"/>
        </w:rPr>
        <w:t xml:space="preserve"> “All peoples have the right of self-determination. By virtue of that right they freely determine their political status and freely pursue their economic, social and cultural development.”</w:t>
      </w:r>
    </w:p>
    <w:p w:rsidR="002C6B1E" w:rsidRDefault="005D329B" w:rsidP="002C6B1E">
      <w:pPr>
        <w:pStyle w:val="NoSpacing"/>
        <w:jc w:val="both"/>
        <w:rPr>
          <w:rFonts w:cstheme="minorHAnsi"/>
        </w:rPr>
      </w:pPr>
      <w:r>
        <w:rPr>
          <w:rFonts w:cstheme="minorHAnsi"/>
        </w:rPr>
        <w:t>The Indo</w:t>
      </w:r>
      <w:r w:rsidR="00024251">
        <w:rPr>
          <w:rFonts w:cstheme="minorHAnsi"/>
        </w:rPr>
        <w:t>nesian report submitted to the C</w:t>
      </w:r>
      <w:r>
        <w:rPr>
          <w:rFonts w:cstheme="minorHAnsi"/>
        </w:rPr>
        <w:t>ommittee regards the right of self-determination as</w:t>
      </w:r>
      <w:r w:rsidR="0030773D">
        <w:rPr>
          <w:rFonts w:cstheme="minorHAnsi"/>
        </w:rPr>
        <w:t xml:space="preserve"> ultimately</w:t>
      </w:r>
      <w:r>
        <w:rPr>
          <w:rFonts w:cstheme="minorHAnsi"/>
        </w:rPr>
        <w:t xml:space="preserve"> implemented </w:t>
      </w:r>
      <w:r w:rsidR="0089256D">
        <w:rPr>
          <w:rFonts w:cstheme="minorHAnsi"/>
        </w:rPr>
        <w:t>by the Proclamation of I</w:t>
      </w:r>
      <w:r w:rsidR="00EC12FB">
        <w:rPr>
          <w:rFonts w:cstheme="minorHAnsi"/>
        </w:rPr>
        <w:t>ndependence of 1945 with</w:t>
      </w:r>
      <w:r>
        <w:rPr>
          <w:rFonts w:cstheme="minorHAnsi"/>
        </w:rPr>
        <w:t xml:space="preserve"> “the consensus of all Indonesian people”</w:t>
      </w:r>
      <w:r w:rsidR="0089256D">
        <w:rPr>
          <w:rStyle w:val="FootnoteReference"/>
          <w:rFonts w:cstheme="minorHAnsi"/>
        </w:rPr>
        <w:footnoteReference w:id="2"/>
      </w:r>
      <w:r>
        <w:rPr>
          <w:rFonts w:cstheme="minorHAnsi"/>
        </w:rPr>
        <w:t xml:space="preserve">. </w:t>
      </w:r>
      <w:r w:rsidRPr="00CF63A3">
        <w:rPr>
          <w:rFonts w:cstheme="minorHAnsi"/>
        </w:rPr>
        <w:t>Historically, however, consensus was not what led to the incorporation of West Papua, South Moluccas, and Aceh into the Indonesian Republic. Indeed, all these three regions declared</w:t>
      </w:r>
      <w:r>
        <w:rPr>
          <w:rFonts w:cstheme="minorHAnsi"/>
        </w:rPr>
        <w:t xml:space="preserve"> their independence and developed movements opposing the Indonesian central authority</w:t>
      </w:r>
      <w:r w:rsidR="00CF63A3">
        <w:rPr>
          <w:rFonts w:cstheme="minorHAnsi"/>
        </w:rPr>
        <w:t xml:space="preserve"> and unitary ideology</w:t>
      </w:r>
      <w:r>
        <w:rPr>
          <w:rFonts w:cstheme="minorHAnsi"/>
        </w:rPr>
        <w:t xml:space="preserve">. </w:t>
      </w:r>
      <w:r w:rsidR="0047124B">
        <w:rPr>
          <w:rFonts w:cstheme="minorHAnsi"/>
        </w:rPr>
        <w:t>Aceh was forcefully incorporated through mili</w:t>
      </w:r>
      <w:r w:rsidR="00024251">
        <w:rPr>
          <w:rFonts w:cstheme="minorHAnsi"/>
        </w:rPr>
        <w:t>tary conflict first by the Netherlands</w:t>
      </w:r>
      <w:r w:rsidR="0047124B">
        <w:rPr>
          <w:rFonts w:cstheme="minorHAnsi"/>
        </w:rPr>
        <w:t xml:space="preserve"> into the Dutch East Indies, and then by In</w:t>
      </w:r>
      <w:r w:rsidR="00024251">
        <w:rPr>
          <w:rFonts w:cstheme="minorHAnsi"/>
        </w:rPr>
        <w:t>donesia. South Moluccas, initially</w:t>
      </w:r>
      <w:r w:rsidR="0047124B">
        <w:rPr>
          <w:rFonts w:cstheme="minorHAnsi"/>
        </w:rPr>
        <w:t xml:space="preserve"> </w:t>
      </w:r>
      <w:r w:rsidR="0030773D">
        <w:rPr>
          <w:rFonts w:cstheme="minorHAnsi"/>
        </w:rPr>
        <w:t>part of a federal system, was made</w:t>
      </w:r>
      <w:r w:rsidR="0047124B">
        <w:rPr>
          <w:rFonts w:cstheme="minorHAnsi"/>
        </w:rPr>
        <w:t xml:space="preserve"> part of a unitary </w:t>
      </w:r>
      <w:r w:rsidR="00357395">
        <w:rPr>
          <w:rFonts w:cstheme="minorHAnsi"/>
        </w:rPr>
        <w:t>S</w:t>
      </w:r>
      <w:r w:rsidR="0047124B">
        <w:rPr>
          <w:rFonts w:cstheme="minorHAnsi"/>
        </w:rPr>
        <w:t>tat</w:t>
      </w:r>
      <w:r w:rsidR="00024251">
        <w:rPr>
          <w:rFonts w:cstheme="minorHAnsi"/>
        </w:rPr>
        <w:t>e without</w:t>
      </w:r>
      <w:r>
        <w:rPr>
          <w:rFonts w:cstheme="minorHAnsi"/>
        </w:rPr>
        <w:t xml:space="preserve"> </w:t>
      </w:r>
      <w:r w:rsidR="00024251">
        <w:rPr>
          <w:rFonts w:cstheme="minorHAnsi"/>
        </w:rPr>
        <w:t xml:space="preserve">any form of consultation of the local population. </w:t>
      </w:r>
      <w:r w:rsidR="0030773D">
        <w:rPr>
          <w:rFonts w:cstheme="minorHAnsi"/>
        </w:rPr>
        <w:t xml:space="preserve">West Papua was prepared for its own independence by the Dutch rulers, but it was later handed over to Indonesia through an international agreement in which West Papuans had no say. A </w:t>
      </w:r>
      <w:r w:rsidR="00024251">
        <w:rPr>
          <w:rFonts w:cstheme="minorHAnsi"/>
        </w:rPr>
        <w:t>referendum on the status of the region was held in 1969 (the “Act of Free Choice”), but it was far from representative: only a limited number of communities leaders</w:t>
      </w:r>
      <w:r w:rsidR="002C6B1E">
        <w:rPr>
          <w:rFonts w:cstheme="minorHAnsi"/>
        </w:rPr>
        <w:t xml:space="preserve"> (around 1000)</w:t>
      </w:r>
      <w:r w:rsidR="00024251">
        <w:rPr>
          <w:rFonts w:cstheme="minorHAnsi"/>
        </w:rPr>
        <w:t xml:space="preserve"> were selected to vote by the Indonesian authority, and the vote took place under conditions of psychological and physical </w:t>
      </w:r>
      <w:r w:rsidR="0030773D">
        <w:rPr>
          <w:rFonts w:cstheme="minorHAnsi"/>
        </w:rPr>
        <w:t>intimidation</w:t>
      </w:r>
      <w:r w:rsidR="009B3601">
        <w:rPr>
          <w:rStyle w:val="FootnoteReference"/>
          <w:rFonts w:cstheme="minorHAnsi"/>
        </w:rPr>
        <w:footnoteReference w:id="3"/>
      </w:r>
      <w:r w:rsidR="00024251">
        <w:rPr>
          <w:rFonts w:cstheme="minorHAnsi"/>
        </w:rPr>
        <w:t>.</w:t>
      </w:r>
    </w:p>
    <w:p w:rsidR="008F688E" w:rsidRDefault="008F688E" w:rsidP="002C6B1E">
      <w:pPr>
        <w:pStyle w:val="NoSpacing"/>
        <w:jc w:val="both"/>
        <w:rPr>
          <w:rFonts w:cstheme="minorHAnsi"/>
        </w:rPr>
      </w:pPr>
    </w:p>
    <w:p w:rsidR="007B5C40" w:rsidRDefault="002C6B1E" w:rsidP="002C6B1E">
      <w:pPr>
        <w:pStyle w:val="NoSpacing"/>
        <w:jc w:val="both"/>
        <w:rPr>
          <w:rFonts w:cstheme="minorHAnsi"/>
        </w:rPr>
      </w:pPr>
      <w:r>
        <w:rPr>
          <w:rFonts w:cstheme="minorHAnsi"/>
        </w:rPr>
        <w:t>The indigenous people of Aceh, South Moluccas, and West Papua, in different degrees, are also denied the right of internal self-determination.</w:t>
      </w:r>
      <w:r w:rsidR="0062798D">
        <w:rPr>
          <w:rFonts w:cstheme="minorHAnsi"/>
        </w:rPr>
        <w:t xml:space="preserve"> The Indonesian government points at the exist</w:t>
      </w:r>
      <w:r w:rsidR="0030773D">
        <w:rPr>
          <w:rFonts w:cstheme="minorHAnsi"/>
        </w:rPr>
        <w:t>ence of regional autonomy (art.</w:t>
      </w:r>
      <w:r w:rsidR="0062798D">
        <w:rPr>
          <w:rFonts w:cstheme="minorHAnsi"/>
        </w:rPr>
        <w:t xml:space="preserve">18, 18a, and 18b of the 1945 Constitution) and of special autonomy for </w:t>
      </w:r>
      <w:r w:rsidR="0030773D">
        <w:rPr>
          <w:rFonts w:cstheme="minorHAnsi"/>
        </w:rPr>
        <w:t xml:space="preserve">the provinces of </w:t>
      </w:r>
      <w:r w:rsidR="00D03BC2">
        <w:rPr>
          <w:rFonts w:cstheme="minorHAnsi"/>
        </w:rPr>
        <w:t>Papua</w:t>
      </w:r>
      <w:r w:rsidR="00533112">
        <w:rPr>
          <w:rFonts w:cstheme="minorHAnsi"/>
        </w:rPr>
        <w:t xml:space="preserve"> Barat</w:t>
      </w:r>
      <w:r w:rsidR="00D03BC2">
        <w:rPr>
          <w:rFonts w:cstheme="minorHAnsi"/>
        </w:rPr>
        <w:t xml:space="preserve">, </w:t>
      </w:r>
      <w:r w:rsidR="0062798D">
        <w:rPr>
          <w:rFonts w:cstheme="minorHAnsi"/>
        </w:rPr>
        <w:t>Papua</w:t>
      </w:r>
      <w:r w:rsidR="00D03BC2">
        <w:rPr>
          <w:rFonts w:cstheme="minorHAnsi"/>
        </w:rPr>
        <w:t>,</w:t>
      </w:r>
      <w:r w:rsidR="0062798D">
        <w:rPr>
          <w:rFonts w:cstheme="minorHAnsi"/>
        </w:rPr>
        <w:t xml:space="preserve"> and Aceh as ensuring internal </w:t>
      </w:r>
      <w:r w:rsidR="00D03BC2">
        <w:rPr>
          <w:rFonts w:cstheme="minorHAnsi"/>
        </w:rPr>
        <w:t>self-determination for local communities.</w:t>
      </w:r>
      <w:r w:rsidR="00D03BC2">
        <w:rPr>
          <w:rStyle w:val="FootnoteReference"/>
          <w:rFonts w:cstheme="minorHAnsi"/>
        </w:rPr>
        <w:footnoteReference w:id="4"/>
      </w:r>
      <w:r w:rsidR="0062798D">
        <w:rPr>
          <w:rFonts w:cstheme="minorHAnsi"/>
        </w:rPr>
        <w:t xml:space="preserve"> </w:t>
      </w:r>
      <w:r w:rsidR="0030773D">
        <w:rPr>
          <w:rFonts w:cstheme="minorHAnsi"/>
        </w:rPr>
        <w:t xml:space="preserve">However, regional autonomy is given by default to all Indonesian provinces, so that South Moluccas does not enjoy any special recognition. At the same time, </w:t>
      </w:r>
      <w:r w:rsidR="00946F64">
        <w:rPr>
          <w:rFonts w:cstheme="minorHAnsi"/>
        </w:rPr>
        <w:t>special autonomy</w:t>
      </w:r>
      <w:r w:rsidR="0030773D">
        <w:rPr>
          <w:rFonts w:cstheme="minorHAnsi"/>
        </w:rPr>
        <w:t xml:space="preserve"> in Papua and Papua Barat (and to some extent in Aceh)</w:t>
      </w:r>
      <w:r w:rsidR="00946F64">
        <w:rPr>
          <w:rFonts w:cstheme="minorHAnsi"/>
        </w:rPr>
        <w:t xml:space="preserve"> is largely ineffective </w:t>
      </w:r>
      <w:r w:rsidR="00596218">
        <w:rPr>
          <w:rFonts w:cstheme="minorHAnsi"/>
        </w:rPr>
        <w:t>in giving local communities the possibility to determine their political, cultural, social and economic status</w:t>
      </w:r>
      <w:r w:rsidR="0030773D">
        <w:rPr>
          <w:rFonts w:cstheme="minorHAnsi"/>
        </w:rPr>
        <w:t>,</w:t>
      </w:r>
      <w:r w:rsidR="00596218">
        <w:rPr>
          <w:rFonts w:cstheme="minorHAnsi"/>
        </w:rPr>
        <w:t xml:space="preserve"> in practice</w:t>
      </w:r>
      <w:r w:rsidR="008F688E">
        <w:rPr>
          <w:rFonts w:cstheme="minorHAnsi"/>
        </w:rPr>
        <w:t xml:space="preserve">. </w:t>
      </w:r>
      <w:r w:rsidR="00596218">
        <w:rPr>
          <w:rFonts w:cstheme="minorHAnsi"/>
        </w:rPr>
        <w:t xml:space="preserve">For example, regional provisions </w:t>
      </w:r>
      <w:r w:rsidR="008F688E">
        <w:rPr>
          <w:rFonts w:cstheme="minorHAnsi"/>
        </w:rPr>
        <w:t>are often abolished by opposing</w:t>
      </w:r>
      <w:r w:rsidR="00596218">
        <w:rPr>
          <w:rFonts w:cstheme="minorHAnsi"/>
        </w:rPr>
        <w:t xml:space="preserve"> governmental regulations: </w:t>
      </w:r>
      <w:r w:rsidR="008F688E">
        <w:rPr>
          <w:rFonts w:cstheme="minorHAnsi"/>
        </w:rPr>
        <w:t>while Indonesian autonomy law allows the use of regional flags to symbolize a local group’s identity, government regulations specifically prohibit the use of the flags that historically represented West Papua, South Moluccas, and Aceh.</w:t>
      </w:r>
      <w:r w:rsidR="008F688E">
        <w:rPr>
          <w:rStyle w:val="FootnoteReference"/>
          <w:rFonts w:cstheme="minorHAnsi"/>
        </w:rPr>
        <w:footnoteReference w:id="5"/>
      </w:r>
      <w:r w:rsidR="00CF63A3">
        <w:rPr>
          <w:rFonts w:cstheme="minorHAnsi"/>
        </w:rPr>
        <w:t xml:space="preserve"> S</w:t>
      </w:r>
      <w:r w:rsidR="008F688E">
        <w:rPr>
          <w:rFonts w:cstheme="minorHAnsi"/>
        </w:rPr>
        <w:t>ix m</w:t>
      </w:r>
      <w:r w:rsidR="001F3485">
        <w:rPr>
          <w:rFonts w:cstheme="minorHAnsi"/>
        </w:rPr>
        <w:t>e</w:t>
      </w:r>
      <w:r w:rsidR="008F688E">
        <w:rPr>
          <w:rFonts w:cstheme="minorHAnsi"/>
        </w:rPr>
        <w:t>n are currently facing 15-years imprisonment for taking part in a flag-</w:t>
      </w:r>
      <w:r w:rsidR="008F688E">
        <w:rPr>
          <w:rFonts w:cstheme="minorHAnsi"/>
        </w:rPr>
        <w:lastRenderedPageBreak/>
        <w:t>raising ceremony in West Papua on 1 May 2013</w:t>
      </w:r>
      <w:r w:rsidR="008F688E">
        <w:rPr>
          <w:rStyle w:val="FootnoteReference"/>
          <w:rFonts w:cstheme="minorHAnsi"/>
        </w:rPr>
        <w:footnoteReference w:id="6"/>
      </w:r>
      <w:r w:rsidR="008F688E">
        <w:rPr>
          <w:rFonts w:cstheme="minorHAnsi"/>
        </w:rPr>
        <w:t>; and more than 60 were arrested between June and September 2012 for similar peaceful acts</w:t>
      </w:r>
      <w:r w:rsidR="008F688E">
        <w:rPr>
          <w:rStyle w:val="FootnoteReference"/>
          <w:rFonts w:cstheme="minorHAnsi"/>
        </w:rPr>
        <w:footnoteReference w:id="7"/>
      </w:r>
      <w:r w:rsidR="008F688E">
        <w:rPr>
          <w:rFonts w:cstheme="minorHAnsi"/>
        </w:rPr>
        <w:t>.</w:t>
      </w:r>
      <w:r w:rsidR="0030773D">
        <w:rPr>
          <w:rFonts w:cstheme="minorHAnsi"/>
        </w:rPr>
        <w:t xml:space="preserve"> Similarly, Filep Karma has been in jail since 2005</w:t>
      </w:r>
      <w:r w:rsidR="001B1EDD">
        <w:rPr>
          <w:rFonts w:cstheme="minorHAnsi"/>
        </w:rPr>
        <w:t xml:space="preserve"> for raising the </w:t>
      </w:r>
      <w:r w:rsidR="0030773D">
        <w:rPr>
          <w:rFonts w:cstheme="minorHAnsi"/>
        </w:rPr>
        <w:t>West Papuan Morning S</w:t>
      </w:r>
      <w:r w:rsidR="001B1EDD">
        <w:rPr>
          <w:rFonts w:cstheme="minorHAnsi"/>
        </w:rPr>
        <w:t xml:space="preserve">tart flag, and his case has been declared </w:t>
      </w:r>
      <w:r w:rsidR="0030773D">
        <w:rPr>
          <w:rFonts w:cstheme="minorHAnsi"/>
        </w:rPr>
        <w:t>“arbitrary detention”</w:t>
      </w:r>
      <w:r w:rsidR="001B1EDD">
        <w:rPr>
          <w:rFonts w:cstheme="minorHAnsi"/>
        </w:rPr>
        <w:t xml:space="preserve"> by the UN Working Group on Arbitrary Detention.</w:t>
      </w:r>
      <w:r w:rsidR="001B1EDD">
        <w:rPr>
          <w:rStyle w:val="FootnoteReference"/>
          <w:rFonts w:cstheme="minorHAnsi"/>
        </w:rPr>
        <w:footnoteReference w:id="8"/>
      </w:r>
      <w:r w:rsidR="008F688E">
        <w:rPr>
          <w:rFonts w:cstheme="minorHAnsi"/>
        </w:rPr>
        <w:t xml:space="preserve"> This shows that not only indigenous people cannot fully determine </w:t>
      </w:r>
      <w:r w:rsidR="00E3432D">
        <w:rPr>
          <w:rFonts w:cstheme="minorHAnsi"/>
        </w:rPr>
        <w:t xml:space="preserve">their political status, </w:t>
      </w:r>
      <w:r w:rsidR="0030773D">
        <w:rPr>
          <w:rFonts w:cstheme="minorHAnsi"/>
        </w:rPr>
        <w:t>but they are also denied</w:t>
      </w:r>
      <w:r w:rsidR="008F688E">
        <w:rPr>
          <w:rFonts w:cstheme="minorHAnsi"/>
        </w:rPr>
        <w:t xml:space="preserve"> </w:t>
      </w:r>
      <w:r w:rsidR="00E3432D">
        <w:rPr>
          <w:rFonts w:cstheme="minorHAnsi"/>
        </w:rPr>
        <w:t>the possibility to express their political views. Any attempt at asserting self-determination, even when completely peaceful, is regarded by the Indonesian government as an act of “separatism”, which is</w:t>
      </w:r>
      <w:r w:rsidR="0030773D">
        <w:rPr>
          <w:rFonts w:cstheme="minorHAnsi"/>
        </w:rPr>
        <w:t xml:space="preserve"> heavily</w:t>
      </w:r>
      <w:r w:rsidR="00E3432D">
        <w:rPr>
          <w:rFonts w:cstheme="minorHAnsi"/>
        </w:rPr>
        <w:t xml:space="preserve"> criminalized by law as “treason”.</w:t>
      </w:r>
      <w:r w:rsidR="006B2778">
        <w:rPr>
          <w:rStyle w:val="FootnoteReference"/>
          <w:rFonts w:cstheme="minorHAnsi"/>
        </w:rPr>
        <w:footnoteReference w:id="9"/>
      </w:r>
      <w:r w:rsidR="00E3432D">
        <w:rPr>
          <w:rFonts w:cstheme="minorHAnsi"/>
        </w:rPr>
        <w:t xml:space="preserve"> </w:t>
      </w:r>
    </w:p>
    <w:p w:rsidR="007B5C40" w:rsidRDefault="00F86825" w:rsidP="00747D61">
      <w:pPr>
        <w:pStyle w:val="NoSpacing"/>
        <w:spacing w:before="100" w:beforeAutospacing="1" w:after="100" w:afterAutospacing="1"/>
        <w:jc w:val="both"/>
        <w:rPr>
          <w:rFonts w:cstheme="minorHAnsi"/>
        </w:rPr>
      </w:pPr>
      <w:r>
        <w:rPr>
          <w:rFonts w:cstheme="minorHAnsi"/>
        </w:rPr>
        <w:t>Inhabitants of Aceh, South Moluccas, and West Papua are also not recognized a special status as indigenous peoples. Legally, art.</w:t>
      </w:r>
      <w:r w:rsidR="00411FB3" w:rsidRPr="00411FB3">
        <w:rPr>
          <w:rFonts w:cstheme="minorHAnsi"/>
        </w:rPr>
        <w:t xml:space="preserve">18b(2) of the Indonesian Constitution states that </w:t>
      </w:r>
      <w:r w:rsidR="00411FB3">
        <w:rPr>
          <w:rFonts w:cstheme="minorHAnsi"/>
        </w:rPr>
        <w:t>“</w:t>
      </w:r>
      <w:r w:rsidR="00411FB3" w:rsidRPr="00411FB3">
        <w:rPr>
          <w:rFonts w:cstheme="minorHAnsi"/>
        </w:rPr>
        <w:t>the State recogniz</w:t>
      </w:r>
      <w:r w:rsidR="007B5C40" w:rsidRPr="00411FB3">
        <w:rPr>
          <w:rFonts w:cstheme="minorHAnsi"/>
        </w:rPr>
        <w:t>es and respects traditional communities along with their traditional customary rights as long as these remain in existence and are in accordance with the societal development and the principles of the Unitary Sta</w:t>
      </w:r>
      <w:r w:rsidR="00411FB3">
        <w:rPr>
          <w:rFonts w:cstheme="minorHAnsi"/>
        </w:rPr>
        <w:t xml:space="preserve">te of the Republic of Indonesia”. </w:t>
      </w:r>
      <w:r w:rsidR="008F3586">
        <w:rPr>
          <w:rFonts w:cstheme="minorHAnsi"/>
        </w:rPr>
        <w:t xml:space="preserve">This implicit and partial recognition </w:t>
      </w:r>
      <w:r w:rsidR="00411FB3">
        <w:rPr>
          <w:rFonts w:cstheme="minorHAnsi"/>
        </w:rPr>
        <w:t>of indige</w:t>
      </w:r>
      <w:r w:rsidR="008F3586">
        <w:rPr>
          <w:rFonts w:cstheme="minorHAnsi"/>
        </w:rPr>
        <w:t xml:space="preserve">nous peoples is also present in a few legislations on agrarian matters (e.g. </w:t>
      </w:r>
      <w:r w:rsidR="00822130">
        <w:rPr>
          <w:rFonts w:cstheme="minorHAnsi"/>
        </w:rPr>
        <w:t xml:space="preserve">Decree No </w:t>
      </w:r>
      <w:r w:rsidR="008F3586">
        <w:rPr>
          <w:rFonts w:cstheme="minorHAnsi"/>
        </w:rPr>
        <w:t>X/2001 on Agrarian Reform) and</w:t>
      </w:r>
      <w:r w:rsidR="007B5C40" w:rsidRPr="00411FB3">
        <w:rPr>
          <w:rFonts w:cstheme="minorHAnsi"/>
        </w:rPr>
        <w:t xml:space="preserve"> </w:t>
      </w:r>
      <w:r w:rsidR="008F3586">
        <w:rPr>
          <w:rFonts w:cstheme="minorHAnsi"/>
        </w:rPr>
        <w:t>Indonesia is a signatory of the UN Declaration of the Rights of Indigenous Peoples. Nevertheless, the concept of indigenous peoples and “traditional communities” remain broadly defined, so that the indigenous</w:t>
      </w:r>
      <w:r>
        <w:rPr>
          <w:rFonts w:cstheme="minorHAnsi"/>
        </w:rPr>
        <w:t xml:space="preserve"> peoples of Indonesia</w:t>
      </w:r>
      <w:r w:rsidR="008F3586">
        <w:rPr>
          <w:rFonts w:cstheme="minorHAnsi"/>
        </w:rPr>
        <w:t xml:space="preserve"> are not </w:t>
      </w:r>
      <w:r>
        <w:rPr>
          <w:rFonts w:cstheme="minorHAnsi"/>
        </w:rPr>
        <w:t xml:space="preserve">entitled to any special rights in practice. </w:t>
      </w:r>
    </w:p>
    <w:p w:rsidR="00BC7AB0" w:rsidRDefault="00BC7AB0" w:rsidP="00747D61">
      <w:pPr>
        <w:tabs>
          <w:tab w:val="left" w:pos="2143"/>
        </w:tabs>
        <w:spacing w:before="100" w:beforeAutospacing="1" w:after="100" w:afterAutospacing="1" w:line="240" w:lineRule="auto"/>
        <w:jc w:val="both"/>
        <w:rPr>
          <w:rFonts w:cstheme="minorHAnsi"/>
          <w:i/>
          <w:sz w:val="24"/>
        </w:rPr>
      </w:pPr>
      <w:r w:rsidRPr="00BC7AB0">
        <w:rPr>
          <w:rFonts w:cstheme="minorHAnsi"/>
          <w:b/>
          <w:sz w:val="24"/>
        </w:rPr>
        <w:t>Article 1.2</w:t>
      </w:r>
      <w:r w:rsidRPr="00BC7AB0">
        <w:rPr>
          <w:rFonts w:cstheme="minorHAnsi"/>
          <w:i/>
          <w:sz w:val="24"/>
        </w:rPr>
        <w:t xml:space="preserve"> states that, “All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w:t>
      </w:r>
    </w:p>
    <w:p w:rsidR="00702A4C" w:rsidRDefault="005C232B" w:rsidP="00747D61">
      <w:pPr>
        <w:spacing w:before="100" w:beforeAutospacing="1" w:after="100" w:afterAutospacing="1" w:line="240" w:lineRule="auto"/>
        <w:jc w:val="both"/>
        <w:rPr>
          <w:rFonts w:eastAsia="Times New Roman" w:cstheme="minorHAnsi"/>
          <w:color w:val="000000"/>
          <w:lang w:eastAsia="nl-NL"/>
        </w:rPr>
      </w:pPr>
      <w:r>
        <w:rPr>
          <w:rFonts w:eastAsia="Times New Roman" w:cstheme="minorHAnsi"/>
          <w:color w:val="000000"/>
          <w:lang w:eastAsia="nl-NL"/>
        </w:rPr>
        <w:t>Indigenous peoples’ ancestral lands are often appropriated by multi</w:t>
      </w:r>
      <w:r w:rsidR="002D539A">
        <w:rPr>
          <w:rFonts w:eastAsia="Times New Roman" w:cstheme="minorHAnsi"/>
          <w:color w:val="000000"/>
          <w:lang w:eastAsia="nl-NL"/>
        </w:rPr>
        <w:t xml:space="preserve">national and national enterprises </w:t>
      </w:r>
      <w:r>
        <w:rPr>
          <w:rFonts w:eastAsia="Times New Roman" w:cstheme="minorHAnsi"/>
          <w:color w:val="000000"/>
          <w:lang w:eastAsia="nl-NL"/>
        </w:rPr>
        <w:t>for the industrial exploitation of natu</w:t>
      </w:r>
      <w:r w:rsidR="002D539A">
        <w:rPr>
          <w:rFonts w:eastAsia="Times New Roman" w:cstheme="minorHAnsi"/>
          <w:color w:val="000000"/>
          <w:lang w:eastAsia="nl-NL"/>
        </w:rPr>
        <w:t>ral resources through mining,</w:t>
      </w:r>
      <w:r>
        <w:rPr>
          <w:rFonts w:eastAsia="Times New Roman" w:cstheme="minorHAnsi"/>
          <w:color w:val="000000"/>
          <w:lang w:eastAsia="nl-NL"/>
        </w:rPr>
        <w:t xml:space="preserve"> logging</w:t>
      </w:r>
      <w:r w:rsidR="002D539A">
        <w:rPr>
          <w:rFonts w:eastAsia="Times New Roman" w:cstheme="minorHAnsi"/>
          <w:color w:val="000000"/>
          <w:lang w:eastAsia="nl-NL"/>
        </w:rPr>
        <w:t>, and agrarian activities</w:t>
      </w:r>
      <w:r>
        <w:rPr>
          <w:rFonts w:eastAsia="Times New Roman" w:cstheme="minorHAnsi"/>
          <w:color w:val="000000"/>
          <w:lang w:eastAsia="nl-NL"/>
        </w:rPr>
        <w:t xml:space="preserve">. </w:t>
      </w:r>
      <w:r w:rsidR="001B1EDD">
        <w:rPr>
          <w:rFonts w:eastAsia="Times New Roman" w:cstheme="minorHAnsi"/>
          <w:color w:val="000000"/>
          <w:lang w:eastAsia="nl-NL"/>
        </w:rPr>
        <w:t>As a conse</w:t>
      </w:r>
      <w:r>
        <w:rPr>
          <w:rFonts w:eastAsia="Times New Roman" w:cstheme="minorHAnsi"/>
          <w:color w:val="000000"/>
          <w:lang w:eastAsia="nl-NL"/>
        </w:rPr>
        <w:t>quence, i</w:t>
      </w:r>
      <w:r w:rsidR="003811BC">
        <w:rPr>
          <w:rFonts w:eastAsia="Times New Roman" w:cstheme="minorHAnsi"/>
          <w:color w:val="000000"/>
          <w:lang w:eastAsia="nl-NL"/>
        </w:rPr>
        <w:t xml:space="preserve">ndigenous people, who traditionally use forests </w:t>
      </w:r>
      <w:r w:rsidR="002D539A">
        <w:rPr>
          <w:rFonts w:eastAsia="Times New Roman" w:cstheme="minorHAnsi"/>
          <w:color w:val="000000"/>
          <w:lang w:eastAsia="nl-NL"/>
        </w:rPr>
        <w:t xml:space="preserve">and the surrounding natural environment </w:t>
      </w:r>
      <w:r w:rsidR="003811BC">
        <w:rPr>
          <w:rFonts w:eastAsia="Times New Roman" w:cstheme="minorHAnsi"/>
          <w:color w:val="000000"/>
          <w:lang w:eastAsia="nl-NL"/>
        </w:rPr>
        <w:t xml:space="preserve">to sustain themselves, continue to be deprived of their means of subsistence </w:t>
      </w:r>
      <w:r>
        <w:rPr>
          <w:rFonts w:eastAsia="Times New Roman" w:cstheme="minorHAnsi"/>
          <w:color w:val="000000"/>
          <w:lang w:eastAsia="nl-NL"/>
        </w:rPr>
        <w:t>through land-grabbing practices.</w:t>
      </w:r>
    </w:p>
    <w:p w:rsidR="009B5C95" w:rsidRDefault="009B5C95" w:rsidP="00747D61">
      <w:pPr>
        <w:spacing w:before="100" w:beforeAutospacing="1" w:after="100" w:afterAutospacing="1" w:line="240" w:lineRule="auto"/>
        <w:jc w:val="both"/>
        <w:rPr>
          <w:rFonts w:cstheme="minorHAnsi"/>
        </w:rPr>
      </w:pPr>
      <w:r>
        <w:rPr>
          <w:rFonts w:cstheme="minorHAnsi"/>
        </w:rPr>
        <w:t>Between 2004 and 2009, 1</w:t>
      </w:r>
      <w:r w:rsidRPr="00A03A0E">
        <w:rPr>
          <w:rFonts w:cstheme="minorHAnsi"/>
        </w:rPr>
        <w:t xml:space="preserve">.2 million hectares of forests </w:t>
      </w:r>
      <w:r>
        <w:rPr>
          <w:rFonts w:cstheme="minorHAnsi"/>
        </w:rPr>
        <w:t>have been allocated by the Indonesian government</w:t>
      </w:r>
      <w:r w:rsidR="00F86825">
        <w:rPr>
          <w:rFonts w:cstheme="minorHAnsi"/>
        </w:rPr>
        <w:t xml:space="preserve"> only</w:t>
      </w:r>
      <w:r>
        <w:rPr>
          <w:rFonts w:cstheme="minorHAnsi"/>
        </w:rPr>
        <w:t xml:space="preserve"> </w:t>
      </w:r>
      <w:r w:rsidRPr="00A03A0E">
        <w:rPr>
          <w:rFonts w:cstheme="minorHAnsi"/>
        </w:rPr>
        <w:t>for m</w:t>
      </w:r>
      <w:r>
        <w:rPr>
          <w:rFonts w:cstheme="minorHAnsi"/>
        </w:rPr>
        <w:t>ining activities, and this number is estimated to reach 3.4m</w:t>
      </w:r>
      <w:r w:rsidR="00F86825">
        <w:rPr>
          <w:rFonts w:cstheme="minorHAnsi"/>
        </w:rPr>
        <w:t>illion hectares by 2020. Along with mining, much</w:t>
      </w:r>
      <w:r>
        <w:rPr>
          <w:rFonts w:cstheme="minorHAnsi"/>
        </w:rPr>
        <w:t xml:space="preserve"> forest conversation is due to the production of vegetable oil, whose global market is controlled for the 14,3% by Indonesia.</w:t>
      </w:r>
      <w:r>
        <w:rPr>
          <w:rStyle w:val="FootnoteReference"/>
          <w:rFonts w:cstheme="minorHAnsi"/>
        </w:rPr>
        <w:footnoteReference w:id="10"/>
      </w:r>
      <w:r>
        <w:rPr>
          <w:rFonts w:cstheme="minorHAnsi"/>
        </w:rPr>
        <w:t xml:space="preserve"> </w:t>
      </w:r>
      <w:r w:rsidR="009222EB">
        <w:rPr>
          <w:rFonts w:cstheme="minorHAnsi"/>
        </w:rPr>
        <w:t>In West Papua, m</w:t>
      </w:r>
      <w:r w:rsidR="00F86825">
        <w:rPr>
          <w:rFonts w:cstheme="minorHAnsi"/>
        </w:rPr>
        <w:t xml:space="preserve">any of these industrial activities are carried out within the framework </w:t>
      </w:r>
      <w:r>
        <w:rPr>
          <w:rFonts w:cstheme="minorHAnsi"/>
        </w:rPr>
        <w:t xml:space="preserve">of the Merauke Integrated Food and Energy Estate (MIFEE), an agro-industrial mega project launched by the Indonesian government in 2010 and implemented by different corporate entities currently covering more than </w:t>
      </w:r>
      <w:r w:rsidRPr="00F46235">
        <w:t>2.5 million hectares</w:t>
      </w:r>
      <w:r>
        <w:rPr>
          <w:rFonts w:cstheme="minorHAnsi"/>
        </w:rPr>
        <w:t>.</w:t>
      </w:r>
      <w:r>
        <w:rPr>
          <w:rStyle w:val="FootnoteReference"/>
          <w:rFonts w:cstheme="minorHAnsi"/>
        </w:rPr>
        <w:footnoteReference w:id="11"/>
      </w:r>
      <w:r w:rsidRPr="001B1EDD">
        <w:t xml:space="preserve"> </w:t>
      </w:r>
      <w:r>
        <w:t xml:space="preserve"> According to the </w:t>
      </w:r>
      <w:r w:rsidRPr="001B1EDD">
        <w:rPr>
          <w:rFonts w:cstheme="minorHAnsi"/>
        </w:rPr>
        <w:t>Presidential Regulation No.32 of 2011</w:t>
      </w:r>
      <w:r>
        <w:rPr>
          <w:rFonts w:cstheme="minorHAnsi"/>
        </w:rPr>
        <w:t xml:space="preserve">, the MIFEE project is considered a “priority” in the </w:t>
      </w:r>
      <w:r w:rsidRPr="001B1EDD">
        <w:rPr>
          <w:rFonts w:cstheme="minorHAnsi"/>
        </w:rPr>
        <w:t>Master Plan for the Acceleration and Expansion of the Indonesian Economy 2011-</w:t>
      </w:r>
      <w:r>
        <w:rPr>
          <w:rFonts w:cstheme="minorHAnsi"/>
        </w:rPr>
        <w:t xml:space="preserve">2025, which </w:t>
      </w:r>
      <w:r w:rsidRPr="003200D2">
        <w:rPr>
          <w:rFonts w:cstheme="minorHAnsi"/>
        </w:rPr>
        <w:lastRenderedPageBreak/>
        <w:t>further facilitates land-grabbing.</w:t>
      </w:r>
      <w:r w:rsidRPr="003200D2">
        <w:rPr>
          <w:rStyle w:val="FootnoteReference"/>
          <w:rFonts w:cstheme="minorHAnsi"/>
        </w:rPr>
        <w:footnoteReference w:id="12"/>
      </w:r>
      <w:r w:rsidR="009222EB" w:rsidRPr="003200D2">
        <w:rPr>
          <w:rFonts w:cstheme="minorHAnsi"/>
        </w:rPr>
        <w:t xml:space="preserve"> In South Moluccas, 77,2% of Aru Island has been allocated to a conglomerate of 28 companies - Pt. Menara Group- for the production of biofuels through sugarcane plantations, and similar projects are planned for the Masela area by the Japanese company Inpex in collaboration with the Dutch multinational Shell.</w:t>
      </w:r>
      <w:r w:rsidR="009222EB" w:rsidRPr="003200D2">
        <w:rPr>
          <w:rStyle w:val="FootnoteReference"/>
          <w:rFonts w:cstheme="minorHAnsi"/>
        </w:rPr>
        <w:footnoteReference w:id="13"/>
      </w:r>
      <w:r w:rsidR="004B65EA" w:rsidRPr="003200D2">
        <w:rPr>
          <w:rFonts w:cstheme="minorHAnsi"/>
        </w:rPr>
        <w:t xml:space="preserve"> As 75% of the daily needs of the indigenous inhab</w:t>
      </w:r>
      <w:r w:rsidR="00F24157" w:rsidRPr="003200D2">
        <w:rPr>
          <w:rFonts w:cstheme="minorHAnsi"/>
        </w:rPr>
        <w:t>itants of Aru I</w:t>
      </w:r>
      <w:r w:rsidR="004B65EA" w:rsidRPr="003200D2">
        <w:rPr>
          <w:rFonts w:cstheme="minorHAnsi"/>
        </w:rPr>
        <w:t>sland directly depend</w:t>
      </w:r>
      <w:r w:rsidR="00F24157" w:rsidRPr="003200D2">
        <w:rPr>
          <w:rFonts w:cstheme="minorHAnsi"/>
        </w:rPr>
        <w:t>s</w:t>
      </w:r>
      <w:r w:rsidR="0062470F" w:rsidRPr="003200D2">
        <w:rPr>
          <w:rFonts w:cstheme="minorHAnsi"/>
        </w:rPr>
        <w:t xml:space="preserve"> from</w:t>
      </w:r>
      <w:r w:rsidR="004B65EA" w:rsidRPr="003200D2">
        <w:rPr>
          <w:rFonts w:cstheme="minorHAnsi"/>
        </w:rPr>
        <w:t xml:space="preserve"> the island’s forests, massive land transformati</w:t>
      </w:r>
      <w:r w:rsidR="00F24157" w:rsidRPr="003200D2">
        <w:rPr>
          <w:rFonts w:cstheme="minorHAnsi"/>
        </w:rPr>
        <w:t>on is depriving Aru natives of their traditional means of subsistence.</w:t>
      </w:r>
      <w:r w:rsidR="00F24157" w:rsidRPr="003200D2">
        <w:rPr>
          <w:rStyle w:val="FootnoteReference"/>
          <w:rFonts w:cstheme="minorHAnsi"/>
        </w:rPr>
        <w:footnoteReference w:id="14"/>
      </w:r>
      <w:r w:rsidR="00F24157">
        <w:rPr>
          <w:rFonts w:cstheme="minorHAnsi"/>
        </w:rPr>
        <w:t xml:space="preserve"> </w:t>
      </w:r>
    </w:p>
    <w:p w:rsidR="00A5059D" w:rsidRDefault="005C232B" w:rsidP="00747D61">
      <w:pPr>
        <w:spacing w:before="100" w:beforeAutospacing="1" w:after="100" w:afterAutospacing="1" w:line="240" w:lineRule="auto"/>
        <w:jc w:val="both"/>
        <w:rPr>
          <w:rFonts w:cstheme="minorHAnsi"/>
        </w:rPr>
      </w:pPr>
      <w:r>
        <w:rPr>
          <w:rFonts w:eastAsia="Times New Roman" w:cstheme="minorHAnsi"/>
          <w:color w:val="000000"/>
          <w:lang w:eastAsia="nl-NL"/>
        </w:rPr>
        <w:t xml:space="preserve"> The legal framework for land and forest use is legally regulated by a 1999 Forestry law</w:t>
      </w:r>
      <w:r w:rsidRPr="005C232B">
        <w:rPr>
          <w:rFonts w:eastAsia="Times New Roman" w:cstheme="minorHAnsi"/>
          <w:color w:val="000000"/>
          <w:lang w:eastAsia="nl-NL"/>
        </w:rPr>
        <w:t xml:space="preserve">, </w:t>
      </w:r>
      <w:r>
        <w:rPr>
          <w:rFonts w:eastAsia="Times New Roman" w:cstheme="minorHAnsi"/>
          <w:color w:val="000000"/>
          <w:lang w:eastAsia="nl-NL"/>
        </w:rPr>
        <w:t xml:space="preserve">which states that </w:t>
      </w:r>
      <w:r w:rsidR="001B1EDD">
        <w:rPr>
          <w:rFonts w:cstheme="minorHAnsi"/>
        </w:rPr>
        <w:t>“</w:t>
      </w:r>
      <w:r>
        <w:rPr>
          <w:rFonts w:cstheme="minorHAnsi"/>
        </w:rPr>
        <w:t>a</w:t>
      </w:r>
      <w:r w:rsidRPr="005C232B">
        <w:rPr>
          <w:rFonts w:cstheme="minorHAnsi"/>
        </w:rPr>
        <w:t>ll forests in territory of the Republic of Indonesia including natural resources contained therein shall be controlled by State for the maximum prosperity of the people</w:t>
      </w:r>
      <w:r>
        <w:rPr>
          <w:rFonts w:cstheme="minorHAnsi"/>
        </w:rPr>
        <w:t>”</w:t>
      </w:r>
      <w:r w:rsidR="00F2196C">
        <w:rPr>
          <w:rFonts w:cstheme="minorHAnsi"/>
        </w:rPr>
        <w:t>.</w:t>
      </w:r>
      <w:r w:rsidR="00702A4C">
        <w:rPr>
          <w:rStyle w:val="FootnoteReference"/>
          <w:rFonts w:cstheme="minorHAnsi"/>
        </w:rPr>
        <w:footnoteReference w:id="15"/>
      </w:r>
      <w:r w:rsidR="00702A4C">
        <w:rPr>
          <w:rFonts w:cstheme="minorHAnsi"/>
        </w:rPr>
        <w:t xml:space="preserve">  A court ruling on </w:t>
      </w:r>
      <w:r w:rsidR="00F2196C">
        <w:rPr>
          <w:rFonts w:cstheme="minorHAnsi"/>
        </w:rPr>
        <w:t xml:space="preserve">16 </w:t>
      </w:r>
      <w:r w:rsidR="00F86825">
        <w:rPr>
          <w:rFonts w:cstheme="minorHAnsi"/>
        </w:rPr>
        <w:t>May 2013 seemed to improve the</w:t>
      </w:r>
      <w:r w:rsidR="00702A4C">
        <w:rPr>
          <w:rFonts w:cstheme="minorHAnsi"/>
        </w:rPr>
        <w:t xml:space="preserve"> situation by restoring the concept of customary forests as belonging to indigenous people</w:t>
      </w:r>
      <w:r w:rsidR="00F86825">
        <w:rPr>
          <w:rFonts w:cstheme="minorHAnsi"/>
        </w:rPr>
        <w:t>s,</w:t>
      </w:r>
      <w:r w:rsidR="00702A4C">
        <w:rPr>
          <w:rFonts w:cstheme="minorHAnsi"/>
        </w:rPr>
        <w:t xml:space="preserve"> who need to give </w:t>
      </w:r>
      <w:r w:rsidR="009964DF">
        <w:rPr>
          <w:rFonts w:cstheme="minorHAnsi"/>
        </w:rPr>
        <w:t xml:space="preserve">free, </w:t>
      </w:r>
      <w:r w:rsidR="00702A4C">
        <w:rPr>
          <w:rFonts w:cstheme="minorHAnsi"/>
        </w:rPr>
        <w:t>prior</w:t>
      </w:r>
      <w:r w:rsidR="009964DF">
        <w:rPr>
          <w:rFonts w:cstheme="minorHAnsi"/>
        </w:rPr>
        <w:t xml:space="preserve"> and</w:t>
      </w:r>
      <w:r w:rsidR="00702A4C">
        <w:rPr>
          <w:rFonts w:cstheme="minorHAnsi"/>
        </w:rPr>
        <w:t>informed consent for the use of their lands.</w:t>
      </w:r>
      <w:r w:rsidR="00F2196C">
        <w:rPr>
          <w:rStyle w:val="FootnoteReference"/>
          <w:rFonts w:cstheme="minorHAnsi"/>
        </w:rPr>
        <w:footnoteReference w:id="16"/>
      </w:r>
      <w:r w:rsidR="00702A4C">
        <w:rPr>
          <w:rFonts w:cstheme="minorHAnsi"/>
        </w:rPr>
        <w:t xml:space="preserve"> </w:t>
      </w:r>
      <w:r w:rsidR="00F7501C">
        <w:rPr>
          <w:rFonts w:cstheme="minorHAnsi"/>
        </w:rPr>
        <w:t>This, however</w:t>
      </w:r>
      <w:r w:rsidR="00702A4C">
        <w:rPr>
          <w:rFonts w:cstheme="minorHAnsi"/>
        </w:rPr>
        <w:t>, is undermined by other legislations that enable an accelera</w:t>
      </w:r>
      <w:r w:rsidR="00F86825">
        <w:rPr>
          <w:rFonts w:cstheme="minorHAnsi"/>
        </w:rPr>
        <w:t>ted seizure of indigenous lands, such as the prioritization of MIFEE in the government’s economic planning.</w:t>
      </w:r>
      <w:r w:rsidR="00702A4C">
        <w:rPr>
          <w:rFonts w:cstheme="minorHAnsi"/>
        </w:rPr>
        <w:t xml:space="preserve"> For example, </w:t>
      </w:r>
      <w:r w:rsidR="00F2196C">
        <w:rPr>
          <w:rFonts w:cstheme="minorHAnsi"/>
        </w:rPr>
        <w:t xml:space="preserve">in 2012, the Indonesian government </w:t>
      </w:r>
      <w:r w:rsidR="00BC5482">
        <w:rPr>
          <w:rFonts w:cstheme="minorHAnsi"/>
        </w:rPr>
        <w:t>issued a decree</w:t>
      </w:r>
      <w:r w:rsidR="00F2196C">
        <w:rPr>
          <w:rFonts w:cstheme="minorHAnsi"/>
        </w:rPr>
        <w:t xml:space="preserve"> (</w:t>
      </w:r>
      <w:r w:rsidR="00F2196C">
        <w:t>No SK.458/Menhut II/2012)</w:t>
      </w:r>
      <w:r w:rsidR="00F2196C">
        <w:rPr>
          <w:rFonts w:cstheme="minorHAnsi"/>
        </w:rPr>
        <w:t xml:space="preserve"> that changed the designation from forest-zones to non-forest zones or ‘other usage areas’ of </w:t>
      </w:r>
      <w:r w:rsidR="00F86825">
        <w:rPr>
          <w:rFonts w:cstheme="minorHAnsi"/>
        </w:rPr>
        <w:t>West Papuan lands that have consequently</w:t>
      </w:r>
      <w:r w:rsidR="002D539A">
        <w:rPr>
          <w:rFonts w:cstheme="minorHAnsi"/>
        </w:rPr>
        <w:t xml:space="preserve"> been allocated to palm oil</w:t>
      </w:r>
      <w:r w:rsidR="00A03A0E">
        <w:rPr>
          <w:rFonts w:cstheme="minorHAnsi"/>
        </w:rPr>
        <w:t>,</w:t>
      </w:r>
      <w:r w:rsidR="002D539A">
        <w:rPr>
          <w:rFonts w:cstheme="minorHAnsi"/>
        </w:rPr>
        <w:t xml:space="preserve"> </w:t>
      </w:r>
      <w:r w:rsidR="00A03A0E">
        <w:rPr>
          <w:rFonts w:cstheme="minorHAnsi"/>
        </w:rPr>
        <w:t xml:space="preserve">sugar cane, </w:t>
      </w:r>
      <w:r w:rsidR="002D539A">
        <w:rPr>
          <w:rFonts w:cstheme="minorHAnsi"/>
        </w:rPr>
        <w:t xml:space="preserve">logging </w:t>
      </w:r>
      <w:r w:rsidR="00A03A0E">
        <w:rPr>
          <w:rFonts w:cstheme="minorHAnsi"/>
        </w:rPr>
        <w:t xml:space="preserve">and mining </w:t>
      </w:r>
      <w:r w:rsidR="00F2196C">
        <w:rPr>
          <w:rFonts w:cstheme="minorHAnsi"/>
        </w:rPr>
        <w:t>companies.</w:t>
      </w:r>
      <w:r w:rsidR="00F2196C">
        <w:rPr>
          <w:rStyle w:val="FootnoteReference"/>
          <w:rFonts w:cstheme="minorHAnsi"/>
        </w:rPr>
        <w:footnoteReference w:id="17"/>
      </w:r>
      <w:r w:rsidR="00BC5482">
        <w:rPr>
          <w:rFonts w:cstheme="minorHAnsi"/>
        </w:rPr>
        <w:t xml:space="preserve"> </w:t>
      </w:r>
    </w:p>
    <w:p w:rsidR="00695811" w:rsidRDefault="007868D6" w:rsidP="00747D61">
      <w:pPr>
        <w:spacing w:before="100" w:beforeAutospacing="1" w:after="100" w:afterAutospacing="1" w:line="240" w:lineRule="auto"/>
        <w:jc w:val="both"/>
      </w:pPr>
      <w:r>
        <w:rPr>
          <w:rFonts w:cstheme="minorHAnsi"/>
        </w:rPr>
        <w:t xml:space="preserve">In practice, </w:t>
      </w:r>
      <w:r w:rsidR="00F86825">
        <w:rPr>
          <w:rFonts w:cstheme="minorHAnsi"/>
        </w:rPr>
        <w:t xml:space="preserve">land are often allocated through land-grabbing practices, as </w:t>
      </w:r>
      <w:r>
        <w:rPr>
          <w:rFonts w:cstheme="minorHAnsi"/>
        </w:rPr>
        <w:t xml:space="preserve">the </w:t>
      </w:r>
      <w:r w:rsidR="009964DF">
        <w:rPr>
          <w:rFonts w:cstheme="minorHAnsi"/>
        </w:rPr>
        <w:t xml:space="preserve">free, </w:t>
      </w:r>
      <w:r>
        <w:rPr>
          <w:rFonts w:cstheme="minorHAnsi"/>
        </w:rPr>
        <w:t>prior</w:t>
      </w:r>
      <w:r w:rsidR="009964DF">
        <w:rPr>
          <w:rFonts w:cstheme="minorHAnsi"/>
        </w:rPr>
        <w:t xml:space="preserve"> and</w:t>
      </w:r>
      <w:r w:rsidR="009222EB">
        <w:rPr>
          <w:rFonts w:cstheme="minorHAnsi"/>
        </w:rPr>
        <w:t xml:space="preserve"> </w:t>
      </w:r>
      <w:r>
        <w:rPr>
          <w:rFonts w:cstheme="minorHAnsi"/>
        </w:rPr>
        <w:t xml:space="preserve">informed </w:t>
      </w:r>
      <w:r w:rsidR="00F86825">
        <w:rPr>
          <w:rFonts w:cstheme="minorHAnsi"/>
        </w:rPr>
        <w:t>consent of indigenous people to the</w:t>
      </w:r>
      <w:r>
        <w:rPr>
          <w:rFonts w:cstheme="minorHAnsi"/>
        </w:rPr>
        <w:t xml:space="preserve"> use of customary land by</w:t>
      </w:r>
      <w:r w:rsidR="00BB0D8E">
        <w:rPr>
          <w:rFonts w:cstheme="minorHAnsi"/>
        </w:rPr>
        <w:t xml:space="preserve"> corporations is often obtained through coercion or</w:t>
      </w:r>
      <w:r w:rsidR="009B5C95">
        <w:rPr>
          <w:rFonts w:cstheme="minorHAnsi"/>
        </w:rPr>
        <w:t xml:space="preserve"> misinformation</w:t>
      </w:r>
      <w:r w:rsidR="007775F2">
        <w:rPr>
          <w:rFonts w:cstheme="minorHAnsi"/>
        </w:rPr>
        <w:t>. M</w:t>
      </w:r>
      <w:r w:rsidR="00DC0B13">
        <w:rPr>
          <w:rFonts w:cstheme="minorHAnsi"/>
        </w:rPr>
        <w:t xml:space="preserve">eeting between representatives of local communities and </w:t>
      </w:r>
      <w:r w:rsidR="009B5C95">
        <w:rPr>
          <w:rFonts w:cstheme="minorHAnsi"/>
        </w:rPr>
        <w:t xml:space="preserve">industrial enterprises </w:t>
      </w:r>
      <w:r w:rsidR="00DC0B13">
        <w:rPr>
          <w:rFonts w:cstheme="minorHAnsi"/>
        </w:rPr>
        <w:t xml:space="preserve">are often held in the presence of </w:t>
      </w:r>
      <w:r w:rsidR="00DA7802">
        <w:rPr>
          <w:rFonts w:cstheme="minorHAnsi"/>
        </w:rPr>
        <w:t>In</w:t>
      </w:r>
      <w:r w:rsidR="009B5C95">
        <w:rPr>
          <w:rFonts w:cstheme="minorHAnsi"/>
        </w:rPr>
        <w:t>donesia’s</w:t>
      </w:r>
      <w:r w:rsidR="00DC0B13">
        <w:rPr>
          <w:rFonts w:cstheme="minorHAnsi"/>
        </w:rPr>
        <w:t xml:space="preserve"> security personnel, who is paid by companies in exchange for security.</w:t>
      </w:r>
      <w:r w:rsidR="007775F2">
        <w:rPr>
          <w:rStyle w:val="FootnoteReference"/>
          <w:rFonts w:cstheme="minorHAnsi"/>
        </w:rPr>
        <w:footnoteReference w:id="18"/>
      </w:r>
      <w:r w:rsidR="00DC0B13">
        <w:rPr>
          <w:rFonts w:cstheme="minorHAnsi"/>
        </w:rPr>
        <w:t xml:space="preserve">  Given the security forces’ fame for </w:t>
      </w:r>
      <w:r w:rsidR="007775F2">
        <w:rPr>
          <w:rFonts w:cstheme="minorHAnsi"/>
        </w:rPr>
        <w:t>their use of excessive violence</w:t>
      </w:r>
      <w:r w:rsidR="00A5059D">
        <w:rPr>
          <w:rFonts w:cstheme="minorHAnsi"/>
        </w:rPr>
        <w:t xml:space="preserve"> in minority areas</w:t>
      </w:r>
      <w:r w:rsidR="007775F2">
        <w:rPr>
          <w:rFonts w:cstheme="minorHAnsi"/>
        </w:rPr>
        <w:t>, their presence is sufficient to put pressure on local leaders to</w:t>
      </w:r>
      <w:r w:rsidR="002B1F4A">
        <w:rPr>
          <w:rFonts w:cstheme="minorHAnsi"/>
        </w:rPr>
        <w:t xml:space="preserve"> agree to the companies’ terms. </w:t>
      </w:r>
      <w:r w:rsidR="009B5C95">
        <w:rPr>
          <w:rFonts w:cstheme="minorHAnsi"/>
        </w:rPr>
        <w:t>Alarmingly, t</w:t>
      </w:r>
      <w:r w:rsidR="007775F2">
        <w:rPr>
          <w:rFonts w:cstheme="minorHAnsi"/>
        </w:rPr>
        <w:t>here have been reported cases of use of force in the eviction o members of local communities involved in land dispute</w:t>
      </w:r>
      <w:r w:rsidR="002B1F4A">
        <w:rPr>
          <w:rFonts w:cstheme="minorHAnsi"/>
        </w:rPr>
        <w:t>s.</w:t>
      </w:r>
      <w:r w:rsidR="007775F2">
        <w:rPr>
          <w:rStyle w:val="FootnoteReference"/>
          <w:rFonts w:cstheme="minorHAnsi"/>
        </w:rPr>
        <w:footnoteReference w:id="19"/>
      </w:r>
      <w:r w:rsidR="007775F2">
        <w:rPr>
          <w:rFonts w:cstheme="minorHAnsi"/>
        </w:rPr>
        <w:t xml:space="preserve"> </w:t>
      </w:r>
      <w:r w:rsidR="009B5C95">
        <w:rPr>
          <w:rFonts w:cstheme="minorHAnsi"/>
        </w:rPr>
        <w:t>Furthermore, c</w:t>
      </w:r>
      <w:r w:rsidR="007775F2">
        <w:rPr>
          <w:rFonts w:cstheme="minorHAnsi"/>
        </w:rPr>
        <w:t xml:space="preserve">lan leaders from </w:t>
      </w:r>
      <w:r w:rsidR="007775F2" w:rsidRPr="00523B65">
        <w:t>Salor village</w:t>
      </w:r>
      <w:r w:rsidR="007775F2">
        <w:t xml:space="preserve"> and </w:t>
      </w:r>
      <w:r w:rsidR="007775F2" w:rsidRPr="00523B65">
        <w:t>Onggari village</w:t>
      </w:r>
      <w:r w:rsidR="009B5C95">
        <w:t xml:space="preserve"> in West Papua </w:t>
      </w:r>
      <w:r w:rsidR="007775F2">
        <w:t>reported that they had been invited to sign land agreements after being provided with a</w:t>
      </w:r>
      <w:r w:rsidR="002B1F4A">
        <w:t>lcohol and prostitute services.</w:t>
      </w:r>
      <w:r w:rsidR="007775F2">
        <w:rPr>
          <w:rStyle w:val="FootnoteReference"/>
        </w:rPr>
        <w:footnoteReference w:id="20"/>
      </w:r>
      <w:r w:rsidR="002B1F4A">
        <w:t xml:space="preserve"> </w:t>
      </w:r>
      <w:r w:rsidR="007775F2">
        <w:t xml:space="preserve">In other cases, companies exploited indigenous peoples’ lack of knowledge on legal and economic matters by verbally </w:t>
      </w:r>
      <w:r w:rsidR="00695811">
        <w:lastRenderedPageBreak/>
        <w:t xml:space="preserve">explaining agreement terms that did not match the written documents to be signed by community leaders. </w:t>
      </w:r>
      <w:r w:rsidR="00695811">
        <w:rPr>
          <w:rStyle w:val="FootnoteReference"/>
        </w:rPr>
        <w:footnoteReference w:id="21"/>
      </w:r>
    </w:p>
    <w:p w:rsidR="007B5C40" w:rsidRPr="007B5C40" w:rsidRDefault="00695811" w:rsidP="00747D61">
      <w:pPr>
        <w:spacing w:before="100" w:beforeAutospacing="1" w:after="100" w:afterAutospacing="1" w:line="240" w:lineRule="auto"/>
        <w:jc w:val="both"/>
        <w:rPr>
          <w:rFonts w:ascii="Times New Roman" w:eastAsia="Times New Roman" w:hAnsi="Times New Roman" w:cs="Times New Roman"/>
          <w:color w:val="000000"/>
          <w:sz w:val="27"/>
          <w:szCs w:val="27"/>
          <w:lang w:eastAsia="nl-NL"/>
        </w:rPr>
      </w:pPr>
      <w:r>
        <w:rPr>
          <w:rFonts w:cstheme="minorHAnsi"/>
        </w:rPr>
        <w:t xml:space="preserve">On 29 January 2013, AwasMIFEE reported that the Indonesian government is planning to launch a plantation plan similar to the MIFEE project </w:t>
      </w:r>
      <w:r w:rsidR="0046767A">
        <w:rPr>
          <w:rFonts w:cstheme="minorHAnsi"/>
        </w:rPr>
        <w:t>in the Fakfak area in Papua Barat</w:t>
      </w:r>
      <w:r w:rsidR="00F86825">
        <w:rPr>
          <w:rFonts w:cstheme="minorHAnsi"/>
        </w:rPr>
        <w:t xml:space="preserve"> province</w:t>
      </w:r>
      <w:r>
        <w:rPr>
          <w:rFonts w:cstheme="minorHAnsi"/>
        </w:rPr>
        <w:t>. This is likely to lead to more land-grabbing and more deprival of indigenous people</w:t>
      </w:r>
      <w:r w:rsidR="002B1F4A">
        <w:rPr>
          <w:rFonts w:cstheme="minorHAnsi"/>
        </w:rPr>
        <w:t xml:space="preserve">s’ means of subsistence, thus </w:t>
      </w:r>
      <w:r>
        <w:rPr>
          <w:rFonts w:cstheme="minorHAnsi"/>
        </w:rPr>
        <w:t>show</w:t>
      </w:r>
      <w:r w:rsidR="002B1F4A">
        <w:rPr>
          <w:rFonts w:cstheme="minorHAnsi"/>
        </w:rPr>
        <w:t>ing</w:t>
      </w:r>
      <w:r>
        <w:rPr>
          <w:rFonts w:cstheme="minorHAnsi"/>
        </w:rPr>
        <w:t xml:space="preserve"> lack of improvement on the issue of indigenous peoples’ right to land and resources. </w:t>
      </w:r>
      <w:r>
        <w:rPr>
          <w:rStyle w:val="FootnoteReference"/>
          <w:rFonts w:cstheme="minorHAnsi"/>
        </w:rPr>
        <w:footnoteReference w:id="22"/>
      </w:r>
    </w:p>
    <w:p w:rsidR="007F017B" w:rsidRPr="00A522D7" w:rsidRDefault="005202AA" w:rsidP="00747D61">
      <w:pPr>
        <w:pStyle w:val="Heading2"/>
        <w:jc w:val="both"/>
      </w:pPr>
      <w:bookmarkStart w:id="9" w:name="_Toc350351041"/>
      <w:bookmarkStart w:id="10" w:name="_Toc350766685"/>
      <w:r w:rsidRPr="00A522D7">
        <w:t>Article 2 – Non-di</w:t>
      </w:r>
      <w:r w:rsidR="007F017B" w:rsidRPr="00A522D7">
        <w:t>scrimination</w:t>
      </w:r>
      <w:bookmarkEnd w:id="9"/>
      <w:bookmarkEnd w:id="10"/>
    </w:p>
    <w:p w:rsidR="007F017B" w:rsidRPr="00A522D7" w:rsidRDefault="007F017B" w:rsidP="00747D61">
      <w:pPr>
        <w:tabs>
          <w:tab w:val="left" w:pos="2143"/>
        </w:tabs>
        <w:spacing w:before="100" w:beforeAutospacing="1" w:after="100" w:afterAutospacing="1" w:line="240" w:lineRule="auto"/>
        <w:jc w:val="both"/>
        <w:rPr>
          <w:rFonts w:cstheme="minorHAnsi"/>
          <w:i/>
          <w:sz w:val="24"/>
        </w:rPr>
      </w:pPr>
      <w:r w:rsidRPr="00A522D7">
        <w:rPr>
          <w:b/>
          <w:sz w:val="24"/>
        </w:rPr>
        <w:t>Article 2.2</w:t>
      </w:r>
      <w:r w:rsidRPr="00A522D7">
        <w:rPr>
          <w:rFonts w:cstheme="minorHAnsi"/>
          <w:i/>
          <w:sz w:val="32"/>
        </w:rPr>
        <w:t xml:space="preserve"> </w:t>
      </w:r>
      <w:r w:rsidRPr="00A522D7">
        <w:rPr>
          <w:rFonts w:cstheme="minorHAnsi"/>
          <w:i/>
          <w:sz w:val="24"/>
        </w:rPr>
        <w:t>requires the States Parties to the Covenant to undertake steps to “guarantee that the rights enunciated in the present Covenant will be exercised without discrimination of any kind as to race, color, sex, language, religion, political or other opinion, national or social origin, property, birth or other status.”</w:t>
      </w:r>
    </w:p>
    <w:p w:rsidR="003C3FA7" w:rsidRDefault="00E20D33" w:rsidP="00747D61">
      <w:pPr>
        <w:pStyle w:val="NoSpacing"/>
        <w:spacing w:before="100" w:beforeAutospacing="1" w:after="100" w:afterAutospacing="1"/>
        <w:jc w:val="both"/>
        <w:rPr>
          <w:color w:val="000000" w:themeColor="text1"/>
        </w:rPr>
      </w:pPr>
      <w:r>
        <w:t xml:space="preserve">Indigenous populations in Indonesia are </w:t>
      </w:r>
      <w:r w:rsidR="007F017B" w:rsidRPr="00E20D33">
        <w:t>systematically excluded from many benefits of investment and development related to natural resource wealth</w:t>
      </w:r>
      <w:r w:rsidR="007F017B" w:rsidRPr="00E349D7">
        <w:rPr>
          <w:color w:val="548DD4" w:themeColor="text2" w:themeTint="99"/>
        </w:rPr>
        <w:t>.</w:t>
      </w:r>
      <w:r w:rsidR="00A522D7">
        <w:rPr>
          <w:color w:val="548DD4" w:themeColor="text2" w:themeTint="99"/>
        </w:rPr>
        <w:t xml:space="preserve"> </w:t>
      </w:r>
      <w:r>
        <w:rPr>
          <w:color w:val="548DD4" w:themeColor="text2" w:themeTint="99"/>
        </w:rPr>
        <w:t xml:space="preserve"> </w:t>
      </w:r>
      <w:r w:rsidR="003C3FA7">
        <w:rPr>
          <w:color w:val="000000" w:themeColor="text1"/>
        </w:rPr>
        <w:t>W</w:t>
      </w:r>
      <w:r w:rsidR="007E56DF">
        <w:rPr>
          <w:color w:val="000000" w:themeColor="text1"/>
        </w:rPr>
        <w:t xml:space="preserve">hile areas inhabited by indigenous peoples are the richest in terms of natural resources, they tend to remain the ones most suffering from poverty and underdevelopment. </w:t>
      </w:r>
      <w:r w:rsidR="005962B9">
        <w:rPr>
          <w:color w:val="000000" w:themeColor="text1"/>
        </w:rPr>
        <w:t xml:space="preserve">Growth in the </w:t>
      </w:r>
      <w:r w:rsidR="0070530E" w:rsidRPr="003C3FA7">
        <w:rPr>
          <w:color w:val="000000" w:themeColor="text1"/>
        </w:rPr>
        <w:t>economy based on m</w:t>
      </w:r>
      <w:r w:rsidR="005B7837" w:rsidRPr="003C3FA7">
        <w:rPr>
          <w:color w:val="000000" w:themeColor="text1"/>
        </w:rPr>
        <w:t>ining, forestry, and fishery does not correspond</w:t>
      </w:r>
      <w:r w:rsidR="0070530E" w:rsidRPr="003C3FA7">
        <w:rPr>
          <w:color w:val="000000" w:themeColor="text1"/>
        </w:rPr>
        <w:t xml:space="preserve"> to a reduction in poverty of the indige</w:t>
      </w:r>
      <w:r w:rsidR="005962B9">
        <w:rPr>
          <w:color w:val="000000" w:themeColor="text1"/>
        </w:rPr>
        <w:t>nous inhabitants of the</w:t>
      </w:r>
      <w:r w:rsidR="0070530E" w:rsidRPr="003C3FA7">
        <w:rPr>
          <w:color w:val="000000" w:themeColor="text1"/>
        </w:rPr>
        <w:t xml:space="preserve"> regions</w:t>
      </w:r>
      <w:r w:rsidR="005962B9">
        <w:rPr>
          <w:color w:val="000000" w:themeColor="text1"/>
        </w:rPr>
        <w:t xml:space="preserve"> where such industrial activities are carried out</w:t>
      </w:r>
      <w:r w:rsidR="0070530E" w:rsidRPr="003C3FA7">
        <w:rPr>
          <w:color w:val="000000" w:themeColor="text1"/>
        </w:rPr>
        <w:t>, as they tend to be excluded from the economic benefits related to natural resources exploitation.</w:t>
      </w:r>
      <w:r w:rsidR="00C35A5D">
        <w:rPr>
          <w:color w:val="000000" w:themeColor="text1"/>
        </w:rPr>
        <w:t xml:space="preserve"> This exclusion derives from the fact that indigenous peoples are not employed in resource exploitation activities which are dominated by a non-indigenous workforce specifically moved </w:t>
      </w:r>
      <w:r w:rsidR="003C3FA7">
        <w:rPr>
          <w:color w:val="000000" w:themeColor="text1"/>
        </w:rPr>
        <w:t xml:space="preserve">by transmigration programs </w:t>
      </w:r>
      <w:r w:rsidR="00C35A5D">
        <w:rPr>
          <w:color w:val="000000" w:themeColor="text1"/>
        </w:rPr>
        <w:t xml:space="preserve">to minority areas to be </w:t>
      </w:r>
      <w:r w:rsidR="003C3FA7">
        <w:rPr>
          <w:color w:val="000000" w:themeColor="text1"/>
        </w:rPr>
        <w:t>employed</w:t>
      </w:r>
      <w:r w:rsidR="00BC544C">
        <w:rPr>
          <w:color w:val="000000" w:themeColor="text1"/>
        </w:rPr>
        <w:t>.</w:t>
      </w:r>
      <w:r w:rsidR="00D45EC1">
        <w:rPr>
          <w:color w:val="000000" w:themeColor="text1"/>
        </w:rPr>
        <w:t xml:space="preserve"> </w:t>
      </w:r>
    </w:p>
    <w:p w:rsidR="0051197C" w:rsidRDefault="005962B9" w:rsidP="00747D61">
      <w:pPr>
        <w:pStyle w:val="NoSpacing"/>
        <w:spacing w:before="100" w:beforeAutospacing="1" w:after="100" w:afterAutospacing="1"/>
        <w:jc w:val="both"/>
        <w:rPr>
          <w:color w:val="000000" w:themeColor="text1"/>
        </w:rPr>
      </w:pPr>
      <w:r w:rsidRPr="003200D2">
        <w:rPr>
          <w:color w:val="000000" w:themeColor="text1"/>
        </w:rPr>
        <w:t xml:space="preserve">South Moluccas suffer from structural </w:t>
      </w:r>
      <w:r w:rsidR="0062470F" w:rsidRPr="003200D2">
        <w:rPr>
          <w:color w:val="000000" w:themeColor="text1"/>
        </w:rPr>
        <w:t xml:space="preserve">poverty and unemployment </w:t>
      </w:r>
      <w:r w:rsidRPr="003200D2">
        <w:rPr>
          <w:color w:val="000000" w:themeColor="text1"/>
        </w:rPr>
        <w:t>of the local population. Indeed, South Moluccas have one of the lowest Gross Regional Product (GRP) per capita of the country, amounting to 525USD (2011).</w:t>
      </w:r>
      <w:r w:rsidRPr="003200D2">
        <w:rPr>
          <w:rStyle w:val="FootnoteReference"/>
          <w:color w:val="000000" w:themeColor="text1"/>
        </w:rPr>
        <w:footnoteReference w:id="23"/>
      </w:r>
      <w:r w:rsidR="005D7FE3" w:rsidRPr="003200D2">
        <w:rPr>
          <w:color w:val="000000" w:themeColor="text1"/>
        </w:rPr>
        <w:t xml:space="preserve"> While </w:t>
      </w:r>
      <w:r w:rsidR="0062470F" w:rsidRPr="003200D2">
        <w:rPr>
          <w:color w:val="000000" w:themeColor="text1"/>
        </w:rPr>
        <w:t>the industrial projects planned in the Masela area, in the south-east of the Moluccan archipelago, are estimated to lead to</w:t>
      </w:r>
      <w:r w:rsidR="005D7FE3" w:rsidRPr="003200D2">
        <w:rPr>
          <w:color w:val="000000" w:themeColor="text1"/>
        </w:rPr>
        <w:t xml:space="preserve"> a profit of 30billion dollars; local i</w:t>
      </w:r>
      <w:r w:rsidR="0062470F" w:rsidRPr="003200D2">
        <w:rPr>
          <w:color w:val="000000" w:themeColor="text1"/>
        </w:rPr>
        <w:t xml:space="preserve">nhabitants will not </w:t>
      </w:r>
      <w:r w:rsidR="005D7FE3" w:rsidRPr="003200D2">
        <w:rPr>
          <w:color w:val="000000" w:themeColor="text1"/>
        </w:rPr>
        <w:t>benefit from these activities.</w:t>
      </w:r>
      <w:r w:rsidR="005D7FE3" w:rsidRPr="003200D2">
        <w:rPr>
          <w:rStyle w:val="FootnoteReference"/>
          <w:color w:val="000000" w:themeColor="text1"/>
        </w:rPr>
        <w:footnoteReference w:id="24"/>
      </w:r>
      <w:r w:rsidR="005D7FE3" w:rsidRPr="003200D2">
        <w:rPr>
          <w:color w:val="000000" w:themeColor="text1"/>
        </w:rPr>
        <w:t xml:space="preserve"> Indeed, </w:t>
      </w:r>
      <w:r w:rsidR="0062470F" w:rsidRPr="003200D2">
        <w:rPr>
          <w:color w:val="000000" w:themeColor="text1"/>
        </w:rPr>
        <w:t>initial plans to allocate 10% of the profit to the local provincial government</w:t>
      </w:r>
      <w:r w:rsidR="005D7FE3" w:rsidRPr="003200D2">
        <w:rPr>
          <w:color w:val="000000" w:themeColor="text1"/>
        </w:rPr>
        <w:t xml:space="preserve"> were soon withdrawn.</w:t>
      </w:r>
      <w:r w:rsidR="005D7FE3" w:rsidRPr="003200D2">
        <w:rPr>
          <w:rStyle w:val="FootnoteReference"/>
          <w:color w:val="000000" w:themeColor="text1"/>
        </w:rPr>
        <w:footnoteReference w:id="25"/>
      </w:r>
      <w:r w:rsidR="005D7FE3" w:rsidRPr="003200D2">
        <w:rPr>
          <w:color w:val="000000" w:themeColor="text1"/>
        </w:rPr>
        <w:t xml:space="preserve"> </w:t>
      </w:r>
      <w:r w:rsidR="00D45EC1" w:rsidRPr="003200D2">
        <w:rPr>
          <w:color w:val="000000" w:themeColor="text1"/>
        </w:rPr>
        <w:t>Looking at statistical data for</w:t>
      </w:r>
      <w:r w:rsidR="00C35A5D" w:rsidRPr="003200D2">
        <w:rPr>
          <w:color w:val="000000" w:themeColor="text1"/>
        </w:rPr>
        <w:t xml:space="preserve"> </w:t>
      </w:r>
      <w:r w:rsidR="0046767A" w:rsidRPr="003200D2">
        <w:rPr>
          <w:color w:val="000000" w:themeColor="text1"/>
        </w:rPr>
        <w:t xml:space="preserve">Papua and </w:t>
      </w:r>
      <w:r w:rsidR="009E538C" w:rsidRPr="003200D2">
        <w:rPr>
          <w:color w:val="000000" w:themeColor="text1"/>
        </w:rPr>
        <w:t>Papua</w:t>
      </w:r>
      <w:r w:rsidR="0046767A" w:rsidRPr="003200D2">
        <w:rPr>
          <w:color w:val="000000" w:themeColor="text1"/>
        </w:rPr>
        <w:t xml:space="preserve"> Barat</w:t>
      </w:r>
      <w:r w:rsidR="00D45EC1" w:rsidRPr="003200D2">
        <w:rPr>
          <w:color w:val="000000" w:themeColor="text1"/>
        </w:rPr>
        <w:t>, it appe</w:t>
      </w:r>
      <w:r w:rsidR="003C3FA7" w:rsidRPr="003200D2">
        <w:rPr>
          <w:color w:val="000000" w:themeColor="text1"/>
        </w:rPr>
        <w:t>ars that the regions fall among the ten</w:t>
      </w:r>
      <w:r w:rsidR="00D45EC1" w:rsidRPr="003200D2">
        <w:rPr>
          <w:color w:val="000000" w:themeColor="text1"/>
        </w:rPr>
        <w:t xml:space="preserve"> provinces with</w:t>
      </w:r>
      <w:r w:rsidR="00D45EC1">
        <w:rPr>
          <w:color w:val="000000" w:themeColor="text1"/>
        </w:rPr>
        <w:t xml:space="preserve"> the highest </w:t>
      </w:r>
      <w:r w:rsidR="003C3FA7">
        <w:rPr>
          <w:color w:val="000000" w:themeColor="text1"/>
        </w:rPr>
        <w:t>Gross Regional Product (</w:t>
      </w:r>
      <w:r w:rsidR="00D45EC1">
        <w:rPr>
          <w:color w:val="000000" w:themeColor="text1"/>
        </w:rPr>
        <w:t>GRP</w:t>
      </w:r>
      <w:r w:rsidR="003C3FA7">
        <w:rPr>
          <w:color w:val="000000" w:themeColor="text1"/>
        </w:rPr>
        <w:t>)</w:t>
      </w:r>
      <w:r w:rsidR="00D45EC1">
        <w:rPr>
          <w:color w:val="000000" w:themeColor="text1"/>
        </w:rPr>
        <w:t xml:space="preserve"> in Indonesia.</w:t>
      </w:r>
      <w:r w:rsidR="007E477D">
        <w:rPr>
          <w:rStyle w:val="FootnoteReference"/>
          <w:color w:val="000000" w:themeColor="text1"/>
        </w:rPr>
        <w:footnoteReference w:id="26"/>
      </w:r>
      <w:r w:rsidR="00D45EC1">
        <w:rPr>
          <w:color w:val="000000" w:themeColor="text1"/>
        </w:rPr>
        <w:t xml:space="preserve"> At the same time,</w:t>
      </w:r>
      <w:r w:rsidR="00C35A5D">
        <w:rPr>
          <w:color w:val="000000" w:themeColor="text1"/>
        </w:rPr>
        <w:t xml:space="preserve"> </w:t>
      </w:r>
      <w:r w:rsidR="005B7837">
        <w:rPr>
          <w:color w:val="000000" w:themeColor="text1"/>
        </w:rPr>
        <w:t xml:space="preserve">Papua and Papua </w:t>
      </w:r>
      <w:r w:rsidR="0046767A">
        <w:rPr>
          <w:color w:val="000000" w:themeColor="text1"/>
        </w:rPr>
        <w:t xml:space="preserve">Barat </w:t>
      </w:r>
      <w:r w:rsidR="005B7837">
        <w:rPr>
          <w:color w:val="000000" w:themeColor="text1"/>
        </w:rPr>
        <w:t>have</w:t>
      </w:r>
      <w:r w:rsidR="00D45EC1">
        <w:rPr>
          <w:color w:val="000000" w:themeColor="text1"/>
        </w:rPr>
        <w:t xml:space="preserve"> the </w:t>
      </w:r>
      <w:r w:rsidR="009E538C">
        <w:rPr>
          <w:color w:val="000000" w:themeColor="text1"/>
        </w:rPr>
        <w:t>highest percenta</w:t>
      </w:r>
      <w:r w:rsidR="00D45EC1">
        <w:rPr>
          <w:color w:val="000000" w:themeColor="text1"/>
        </w:rPr>
        <w:t>ge of poor people in Indonesia</w:t>
      </w:r>
      <w:r w:rsidR="009E538C">
        <w:rPr>
          <w:color w:val="000000" w:themeColor="text1"/>
        </w:rPr>
        <w:t xml:space="preserve"> amounting to 37% and</w:t>
      </w:r>
      <w:r w:rsidR="007E477D">
        <w:rPr>
          <w:color w:val="000000" w:themeColor="text1"/>
        </w:rPr>
        <w:t xml:space="preserve"> </w:t>
      </w:r>
      <w:r w:rsidR="009E538C">
        <w:rPr>
          <w:color w:val="000000" w:themeColor="text1"/>
        </w:rPr>
        <w:t>40% respectively (with a national average of 11.5%).</w:t>
      </w:r>
      <w:r w:rsidR="007E477D">
        <w:rPr>
          <w:rStyle w:val="FootnoteReference"/>
          <w:color w:val="000000" w:themeColor="text1"/>
        </w:rPr>
        <w:footnoteReference w:id="27"/>
      </w:r>
      <w:r w:rsidR="009E538C">
        <w:rPr>
          <w:color w:val="000000" w:themeColor="text1"/>
        </w:rPr>
        <w:t xml:space="preserve"> </w:t>
      </w:r>
      <w:r w:rsidR="009A019C">
        <w:rPr>
          <w:color w:val="000000" w:themeColor="text1"/>
        </w:rPr>
        <w:t xml:space="preserve"> </w:t>
      </w:r>
      <w:r w:rsidR="00D45EC1">
        <w:rPr>
          <w:color w:val="000000" w:themeColor="text1"/>
        </w:rPr>
        <w:t xml:space="preserve">This is because </w:t>
      </w:r>
      <w:r w:rsidR="00663407">
        <w:rPr>
          <w:color w:val="000000" w:themeColor="text1"/>
        </w:rPr>
        <w:t xml:space="preserve">52% of the GRP </w:t>
      </w:r>
      <w:r w:rsidR="009A019C">
        <w:rPr>
          <w:color w:val="000000" w:themeColor="text1"/>
        </w:rPr>
        <w:t>derives</w:t>
      </w:r>
      <w:r w:rsidR="00C35A5D">
        <w:rPr>
          <w:color w:val="000000" w:themeColor="text1"/>
        </w:rPr>
        <w:t xml:space="preserve"> from the mining sector</w:t>
      </w:r>
      <w:r w:rsidR="009A019C">
        <w:rPr>
          <w:color w:val="000000" w:themeColor="text1"/>
        </w:rPr>
        <w:t xml:space="preserve">, </w:t>
      </w:r>
      <w:r w:rsidR="002D30BC">
        <w:rPr>
          <w:color w:val="000000" w:themeColor="text1"/>
        </w:rPr>
        <w:t xml:space="preserve">in which </w:t>
      </w:r>
      <w:r w:rsidR="009A019C">
        <w:rPr>
          <w:color w:val="000000" w:themeColor="text1"/>
        </w:rPr>
        <w:t>indigenous people are not employed. Excluding the contribution of the mining sector to the regional economy</w:t>
      </w:r>
      <w:r w:rsidR="00D45EC1">
        <w:rPr>
          <w:color w:val="000000" w:themeColor="text1"/>
        </w:rPr>
        <w:t>, the G</w:t>
      </w:r>
      <w:r w:rsidR="007E477D">
        <w:rPr>
          <w:color w:val="000000" w:themeColor="text1"/>
        </w:rPr>
        <w:t>R</w:t>
      </w:r>
      <w:r w:rsidR="009A019C">
        <w:rPr>
          <w:color w:val="000000" w:themeColor="text1"/>
        </w:rPr>
        <w:t>P of Papua and Papua</w:t>
      </w:r>
      <w:r w:rsidR="0046767A">
        <w:rPr>
          <w:color w:val="000000" w:themeColor="text1"/>
        </w:rPr>
        <w:t xml:space="preserve"> Barat </w:t>
      </w:r>
      <w:r w:rsidR="009A019C">
        <w:rPr>
          <w:color w:val="000000" w:themeColor="text1"/>
        </w:rPr>
        <w:t>f</w:t>
      </w:r>
      <w:r w:rsidR="007E477D">
        <w:rPr>
          <w:color w:val="000000" w:themeColor="text1"/>
        </w:rPr>
        <w:t>all among the lowest in Indonesia.</w:t>
      </w:r>
      <w:r w:rsidR="007E477D">
        <w:rPr>
          <w:rStyle w:val="FootnoteReference"/>
          <w:color w:val="000000" w:themeColor="text1"/>
        </w:rPr>
        <w:footnoteReference w:id="28"/>
      </w:r>
      <w:r w:rsidR="00D91772">
        <w:rPr>
          <w:color w:val="000000" w:themeColor="text1"/>
        </w:rPr>
        <w:t xml:space="preserve"> </w:t>
      </w:r>
      <w:r w:rsidR="004B55AF">
        <w:rPr>
          <w:color w:val="000000" w:themeColor="text1"/>
        </w:rPr>
        <w:t>The establishment of the “Papua and West Papua Development Acceleration Unit (UP4B)” at the hand of the Indonesian government did not</w:t>
      </w:r>
      <w:r w:rsidR="003C3FA7">
        <w:rPr>
          <w:color w:val="000000" w:themeColor="text1"/>
        </w:rPr>
        <w:t xml:space="preserve"> reverse discriminatory tendencies</w:t>
      </w:r>
      <w:r w:rsidR="004B55AF">
        <w:rPr>
          <w:color w:val="000000" w:themeColor="text1"/>
        </w:rPr>
        <w:t>. For example, as recent as January 2014,</w:t>
      </w:r>
      <w:r w:rsidR="00CE5E41">
        <w:rPr>
          <w:color w:val="000000" w:themeColor="text1"/>
        </w:rPr>
        <w:t xml:space="preserve"> native Papuans proposed </w:t>
      </w:r>
      <w:r w:rsidR="004B55AF" w:rsidRPr="004B55AF">
        <w:rPr>
          <w:color w:val="000000" w:themeColor="text1"/>
        </w:rPr>
        <w:t xml:space="preserve">by </w:t>
      </w:r>
      <w:r w:rsidR="00CE5E41">
        <w:rPr>
          <w:color w:val="000000" w:themeColor="text1"/>
        </w:rPr>
        <w:t xml:space="preserve">the </w:t>
      </w:r>
      <w:r w:rsidR="004B55AF" w:rsidRPr="004B55AF">
        <w:rPr>
          <w:shd w:val="clear" w:color="auto" w:fill="FFFFFF"/>
        </w:rPr>
        <w:t>Papua Indigenous Entrepreneurs Chamber (KAPP)</w:t>
      </w:r>
      <w:r w:rsidR="00CE5E41">
        <w:rPr>
          <w:shd w:val="clear" w:color="auto" w:fill="FFFFFF"/>
        </w:rPr>
        <w:t xml:space="preserve"> to become contractors for a road-building project in West Papua managed by UP4B</w:t>
      </w:r>
      <w:r w:rsidR="004B55AF" w:rsidRPr="004B55AF">
        <w:rPr>
          <w:sz w:val="27"/>
          <w:szCs w:val="27"/>
          <w:shd w:val="clear" w:color="auto" w:fill="FFFFFF"/>
        </w:rPr>
        <w:t xml:space="preserve"> </w:t>
      </w:r>
      <w:r w:rsidR="00CE5E41">
        <w:rPr>
          <w:shd w:val="clear" w:color="auto" w:fill="FFFFFF"/>
        </w:rPr>
        <w:t>were denied involvement in the project, which was assigned to non-native military contractors.</w:t>
      </w:r>
      <w:r w:rsidR="00CE5E41">
        <w:rPr>
          <w:rStyle w:val="FootnoteReference"/>
          <w:shd w:val="clear" w:color="auto" w:fill="FFFFFF"/>
        </w:rPr>
        <w:footnoteReference w:id="29"/>
      </w:r>
      <w:r w:rsidR="003C3FA7">
        <w:t xml:space="preserve"> </w:t>
      </w:r>
      <w:r w:rsidR="0051197C">
        <w:rPr>
          <w:color w:val="000000" w:themeColor="text1"/>
        </w:rPr>
        <w:t>This structural discrimination of indigenous populations in benefitting from the exploitation of their land’s natural re</w:t>
      </w:r>
      <w:r w:rsidR="00663407">
        <w:rPr>
          <w:color w:val="000000" w:themeColor="text1"/>
        </w:rPr>
        <w:t>sources also takes the form of an</w:t>
      </w:r>
      <w:r w:rsidR="0051197C">
        <w:rPr>
          <w:color w:val="000000" w:themeColor="text1"/>
        </w:rPr>
        <w:t xml:space="preserve"> urban/rural divide. Poverty, lack of access to education </w:t>
      </w:r>
      <w:r w:rsidR="003C3FA7">
        <w:rPr>
          <w:color w:val="000000" w:themeColor="text1"/>
        </w:rPr>
        <w:t>(see p.13-14 of this report</w:t>
      </w:r>
      <w:r w:rsidR="0051197C">
        <w:rPr>
          <w:color w:val="000000" w:themeColor="text1"/>
        </w:rPr>
        <w:t>) and to other public services such as health (</w:t>
      </w:r>
      <w:r w:rsidR="003C3FA7">
        <w:rPr>
          <w:color w:val="000000" w:themeColor="text1"/>
        </w:rPr>
        <w:t xml:space="preserve">see p.12-13 of this report) </w:t>
      </w:r>
      <w:r w:rsidR="0051197C">
        <w:rPr>
          <w:color w:val="000000" w:themeColor="text1"/>
        </w:rPr>
        <w:t>and clean water concentrates in Indonesia’s rural areas, where most indigenous people live.</w:t>
      </w:r>
    </w:p>
    <w:p w:rsidR="00320BDB" w:rsidRDefault="00C35A5D" w:rsidP="00747D61">
      <w:pPr>
        <w:pStyle w:val="NoSpacing"/>
        <w:spacing w:before="100" w:beforeAutospacing="1" w:after="100" w:afterAutospacing="1"/>
        <w:jc w:val="both"/>
      </w:pPr>
      <w:r>
        <w:rPr>
          <w:color w:val="000000" w:themeColor="text1"/>
        </w:rPr>
        <w:t xml:space="preserve"> </w:t>
      </w:r>
      <w:r w:rsidR="006D6C32">
        <w:t>Discrimination also o</w:t>
      </w:r>
      <w:r w:rsidR="00663407">
        <w:t>ccurs on the basis of religion, and e</w:t>
      </w:r>
      <w:r w:rsidR="002405AE">
        <w:t>pisodes of discrimination and violence against members of religious minorities or their sacred plac</w:t>
      </w:r>
      <w:r w:rsidR="00663407">
        <w:t>es are recurrent.</w:t>
      </w:r>
      <w:r w:rsidR="002405AE">
        <w:t xml:space="preserve"> </w:t>
      </w:r>
      <w:r w:rsidR="00787E8D">
        <w:t>South Moluccas and</w:t>
      </w:r>
      <w:r w:rsidR="00BC544C">
        <w:t xml:space="preserve"> West Papua, constituting Christian minorities within a country with Muslim majority, are p</w:t>
      </w:r>
      <w:r w:rsidR="00787E8D">
        <w:t>articularly at risk. While art.</w:t>
      </w:r>
      <w:r w:rsidR="00BC544C">
        <w:t xml:space="preserve">29(2) of the Indonesian </w:t>
      </w:r>
      <w:r w:rsidR="00EE1F2C">
        <w:t>C</w:t>
      </w:r>
      <w:r w:rsidR="00BC544C">
        <w:t>onstitution states that “the State guarantees all persons the freedom of worship, each according to his/her own religion or belief”</w:t>
      </w:r>
      <w:r w:rsidR="006700DB">
        <w:rPr>
          <w:rStyle w:val="FootnoteReference"/>
        </w:rPr>
        <w:footnoteReference w:id="30"/>
      </w:r>
      <w:r w:rsidR="00787E8D">
        <w:t>; art.</w:t>
      </w:r>
      <w:r w:rsidR="006700DB">
        <w:t>156(A) of the Indonesian criminal code regards misusing or disgracing one of the six officially recognized religions as a criminal offense.</w:t>
      </w:r>
      <w:r w:rsidR="009B150B">
        <w:rPr>
          <w:rStyle w:val="FootnoteReference"/>
        </w:rPr>
        <w:footnoteReference w:id="31"/>
      </w:r>
      <w:r w:rsidR="006700DB">
        <w:t xml:space="preserve"> Commonly referred to as “blasphemy law”, this provision is increasingly being used against religious minorities in the name of their disrespect for Islam. I</w:t>
      </w:r>
      <w:r w:rsidR="00BC544C">
        <w:t xml:space="preserve">n practice </w:t>
      </w:r>
      <w:r w:rsidR="00663407">
        <w:t>religious discrimination seems to be steadily increasing: t</w:t>
      </w:r>
      <w:r w:rsidR="002405AE">
        <w:t>he Setara Institute counted 264 cases of religious intolerance against Christians in 2012, a record that amounted to 135 in 2007.</w:t>
      </w:r>
      <w:r w:rsidR="002405AE">
        <w:rPr>
          <w:rStyle w:val="FootnoteReference"/>
        </w:rPr>
        <w:footnoteReference w:id="32"/>
      </w:r>
      <w:r w:rsidR="002405AE">
        <w:t xml:space="preserve"> </w:t>
      </w:r>
      <w:r w:rsidR="00DF64D3">
        <w:t>This is facilitated by the fact that religion is stated on Indonesian ID cards, despite of religious minorities’ demands to abolish this category because of its potential for discrimination in public services and in competition for jobs.</w:t>
      </w:r>
      <w:r w:rsidR="00DF64D3">
        <w:rPr>
          <w:rStyle w:val="FootnoteReference"/>
        </w:rPr>
        <w:footnoteReference w:id="33"/>
      </w:r>
      <w:r w:rsidR="00DF64D3">
        <w:t xml:space="preserve"> </w:t>
      </w:r>
      <w:r w:rsidR="002405AE">
        <w:t>The denial of building permits for Christian communities for the construction of churches in South Moluccas is only one example of such religious discrimination. Religious intolerance in South Moluccas</w:t>
      </w:r>
      <w:r w:rsidR="0046767A">
        <w:t xml:space="preserve"> </w:t>
      </w:r>
      <w:r w:rsidR="002405AE">
        <w:t xml:space="preserve">and West Papua also takes the form of churches demolition and physical assault </w:t>
      </w:r>
      <w:r w:rsidR="00B259DE">
        <w:t>of civilians by security forces.</w:t>
      </w:r>
      <w:r w:rsidR="002405AE">
        <w:t xml:space="preserve"> </w:t>
      </w:r>
      <w:r w:rsidR="007E5A03">
        <w:t>One of the latest instances was the reported beating of the leaders of a church congregation in Dondobaga in January 2014.</w:t>
      </w:r>
      <w:r w:rsidR="007E5A03">
        <w:rPr>
          <w:rStyle w:val="FootnoteReference"/>
        </w:rPr>
        <w:footnoteReference w:id="34"/>
      </w:r>
      <w:r w:rsidR="007E5A03">
        <w:t xml:space="preserve"> </w:t>
      </w:r>
      <w:r w:rsidR="00CD43AE">
        <w:t xml:space="preserve"> </w:t>
      </w:r>
    </w:p>
    <w:p w:rsidR="00B259DE" w:rsidRPr="00B259DE" w:rsidRDefault="00DF64D3" w:rsidP="00747D61">
      <w:pPr>
        <w:pStyle w:val="NoSpacing"/>
        <w:spacing w:before="100" w:beforeAutospacing="1" w:after="100" w:afterAutospacing="1"/>
        <w:jc w:val="both"/>
      </w:pPr>
      <w:r>
        <w:t xml:space="preserve">Overall, while the Indonesian </w:t>
      </w:r>
      <w:r w:rsidR="00D36587">
        <w:t>S</w:t>
      </w:r>
      <w:r>
        <w:t>tate report submitted to the Committee</w:t>
      </w:r>
      <w:r w:rsidR="005D1FAE">
        <w:t xml:space="preserve"> </w:t>
      </w:r>
      <w:r w:rsidR="00B259DE">
        <w:t xml:space="preserve">points at the establishment of the </w:t>
      </w:r>
      <w:r w:rsidR="005D1FAE">
        <w:t>“</w:t>
      </w:r>
      <w:r w:rsidR="00B259DE" w:rsidRPr="00B259DE">
        <w:rPr>
          <w:color w:val="000000"/>
        </w:rPr>
        <w:t>National Commission on Violence ag</w:t>
      </w:r>
      <w:r w:rsidR="00B259DE">
        <w:rPr>
          <w:color w:val="000000"/>
        </w:rPr>
        <w:t>ainst Women</w:t>
      </w:r>
      <w:r w:rsidR="005D1FAE">
        <w:rPr>
          <w:color w:val="000000"/>
        </w:rPr>
        <w:t>”</w:t>
      </w:r>
      <w:r w:rsidR="00B259DE">
        <w:rPr>
          <w:color w:val="000000"/>
        </w:rPr>
        <w:t xml:space="preserve">, the </w:t>
      </w:r>
      <w:r w:rsidR="005D1FAE">
        <w:rPr>
          <w:color w:val="000000"/>
        </w:rPr>
        <w:t>“</w:t>
      </w:r>
      <w:r w:rsidR="00B259DE" w:rsidRPr="00B259DE">
        <w:rPr>
          <w:color w:val="000000"/>
        </w:rPr>
        <w:t xml:space="preserve">Indonesian </w:t>
      </w:r>
      <w:r w:rsidR="00B259DE">
        <w:rPr>
          <w:color w:val="000000"/>
        </w:rPr>
        <w:t>Child Protection Commission</w:t>
      </w:r>
      <w:r w:rsidR="005D1FAE">
        <w:rPr>
          <w:color w:val="000000"/>
        </w:rPr>
        <w:t>”</w:t>
      </w:r>
      <w:r w:rsidR="00B259DE" w:rsidRPr="00B259DE">
        <w:rPr>
          <w:color w:val="000000"/>
        </w:rPr>
        <w:t xml:space="preserve">, and </w:t>
      </w:r>
      <w:r w:rsidR="005D1FAE">
        <w:rPr>
          <w:color w:val="000000"/>
        </w:rPr>
        <w:t>the “</w:t>
      </w:r>
      <w:r w:rsidR="00B259DE" w:rsidRPr="00B259DE">
        <w:rPr>
          <w:color w:val="000000"/>
        </w:rPr>
        <w:t>Na</w:t>
      </w:r>
      <w:r w:rsidR="00B259DE">
        <w:rPr>
          <w:color w:val="000000"/>
        </w:rPr>
        <w:t>tional Committee for Elderlies</w:t>
      </w:r>
      <w:r w:rsidR="005D1FAE">
        <w:rPr>
          <w:color w:val="000000"/>
        </w:rPr>
        <w:t>”</w:t>
      </w:r>
      <w:r w:rsidR="00B259DE">
        <w:rPr>
          <w:color w:val="000000"/>
        </w:rPr>
        <w:t xml:space="preserve"> as positive signs towards protecting vulnerable groups from discrimination</w:t>
      </w:r>
      <w:r w:rsidR="005D1FAE">
        <w:rPr>
          <w:rStyle w:val="FootnoteReference"/>
          <w:color w:val="000000"/>
        </w:rPr>
        <w:footnoteReference w:id="35"/>
      </w:r>
      <w:r w:rsidR="00B259DE">
        <w:rPr>
          <w:color w:val="000000"/>
        </w:rPr>
        <w:t>, a similar framework is still m</w:t>
      </w:r>
      <w:r w:rsidR="00E926FF">
        <w:rPr>
          <w:color w:val="000000"/>
        </w:rPr>
        <w:t xml:space="preserve">issing with regard to religious </w:t>
      </w:r>
      <w:r w:rsidR="00B259DE">
        <w:rPr>
          <w:color w:val="000000"/>
        </w:rPr>
        <w:t xml:space="preserve">minorities and indigenous peoples. </w:t>
      </w:r>
    </w:p>
    <w:p w:rsidR="007570D6" w:rsidRPr="00E349D7" w:rsidRDefault="007570D6" w:rsidP="00747D61">
      <w:pPr>
        <w:pStyle w:val="NoSpacing"/>
        <w:jc w:val="both"/>
        <w:rPr>
          <w:color w:val="548DD4" w:themeColor="text2" w:themeTint="99"/>
        </w:rPr>
      </w:pPr>
    </w:p>
    <w:p w:rsidR="00E26937" w:rsidRPr="00EE4805" w:rsidRDefault="00E26937" w:rsidP="00747D61">
      <w:pPr>
        <w:pStyle w:val="Heading2"/>
        <w:jc w:val="both"/>
      </w:pPr>
      <w:bookmarkStart w:id="11" w:name="_Toc350351042"/>
      <w:bookmarkStart w:id="12" w:name="_Toc350766687"/>
      <w:r>
        <w:t>Article</w:t>
      </w:r>
      <w:r w:rsidR="00396882">
        <w:t>s</w:t>
      </w:r>
      <w:r>
        <w:t xml:space="preserve"> 6</w:t>
      </w:r>
      <w:r w:rsidR="00396882">
        <w:t>,</w:t>
      </w:r>
      <w:r w:rsidR="006748BA">
        <w:t xml:space="preserve"> 7 – Right to </w:t>
      </w:r>
      <w:r w:rsidR="005202AA">
        <w:t>w</w:t>
      </w:r>
      <w:r>
        <w:t>ork</w:t>
      </w:r>
      <w:bookmarkEnd w:id="11"/>
      <w:bookmarkEnd w:id="12"/>
    </w:p>
    <w:p w:rsidR="00E26937" w:rsidRDefault="00E26937" w:rsidP="00747D61">
      <w:pPr>
        <w:spacing w:before="100" w:beforeAutospacing="1" w:after="100" w:afterAutospacing="1"/>
        <w:jc w:val="both"/>
        <w:rPr>
          <w:rStyle w:val="Strong"/>
          <w:b w:val="0"/>
          <w:i/>
          <w:sz w:val="24"/>
        </w:rPr>
      </w:pPr>
      <w:r w:rsidRPr="008D3027">
        <w:rPr>
          <w:rStyle w:val="Strong"/>
          <w:sz w:val="24"/>
        </w:rPr>
        <w:t xml:space="preserve">Article 6.1 </w:t>
      </w:r>
      <w:r w:rsidRPr="00E26937">
        <w:rPr>
          <w:rStyle w:val="Strong"/>
          <w:b w:val="0"/>
          <w:i/>
          <w:sz w:val="24"/>
        </w:rPr>
        <w:t>requests States Parties to “recognize the right to work, which includes the right of everyone to the opportunity to gain his living by work which he freely chooses or accepts, and will take appropriate steps to safeguard this right.”</w:t>
      </w:r>
    </w:p>
    <w:p w:rsidR="00530D5A" w:rsidRDefault="006748BA" w:rsidP="00747D61">
      <w:pPr>
        <w:pStyle w:val="NormalWeb"/>
        <w:shd w:val="clear" w:color="auto" w:fill="FFFFFF"/>
        <w:jc w:val="both"/>
        <w:rPr>
          <w:rFonts w:ascii="Verdana" w:hAnsi="Verdana"/>
          <w:color w:val="000000"/>
          <w:sz w:val="17"/>
          <w:szCs w:val="17"/>
          <w:shd w:val="clear" w:color="auto" w:fill="FFFFFF"/>
        </w:rPr>
      </w:pPr>
      <w:r w:rsidRPr="006748BA">
        <w:rPr>
          <w:rFonts w:asciiTheme="minorHAnsi" w:eastAsiaTheme="minorHAnsi" w:hAnsiTheme="minorHAnsi" w:cstheme="minorHAnsi"/>
          <w:b/>
          <w:szCs w:val="22"/>
        </w:rPr>
        <w:t xml:space="preserve">Article 7 </w:t>
      </w:r>
      <w:r>
        <w:rPr>
          <w:rFonts w:asciiTheme="minorHAnsi" w:eastAsiaTheme="minorHAnsi" w:hAnsiTheme="minorHAnsi" w:cstheme="minorHAnsi"/>
          <w:i/>
          <w:szCs w:val="22"/>
        </w:rPr>
        <w:t>requests State Parties to</w:t>
      </w:r>
      <w:r w:rsidRPr="006748BA">
        <w:rPr>
          <w:rFonts w:asciiTheme="minorHAnsi" w:eastAsiaTheme="minorHAnsi" w:hAnsiTheme="minorHAnsi" w:cstheme="minorHAnsi"/>
          <w:i/>
          <w:szCs w:val="22"/>
        </w:rPr>
        <w:t xml:space="preserve"> “recognize the right of everyone to the enjoyment of just and favorable conditions of work which ensure, in particular</w:t>
      </w:r>
      <w:r w:rsidRPr="00530D5A">
        <w:rPr>
          <w:rFonts w:asciiTheme="minorHAnsi" w:eastAsiaTheme="minorHAnsi" w:hAnsiTheme="minorHAnsi" w:cstheme="minorHAnsi"/>
          <w:i/>
        </w:rPr>
        <w:t>… (a)</w:t>
      </w:r>
      <w:r w:rsidR="00530D5A" w:rsidRPr="00530D5A">
        <w:rPr>
          <w:rFonts w:asciiTheme="minorHAnsi" w:hAnsiTheme="minorHAnsi" w:cstheme="minorHAnsi"/>
          <w:i/>
          <w:color w:val="000000"/>
          <w:shd w:val="clear" w:color="auto" w:fill="FFFFFF"/>
        </w:rPr>
        <w:t>(i)Fair wages and equal remuneration for work of equal value without distinction of any kind</w:t>
      </w:r>
      <w:r w:rsidR="00530D5A">
        <w:rPr>
          <w:rFonts w:asciiTheme="minorHAnsi" w:hAnsiTheme="minorHAnsi" w:cstheme="minorHAnsi"/>
          <w:i/>
          <w:color w:val="000000"/>
          <w:shd w:val="clear" w:color="auto" w:fill="FFFFFF"/>
        </w:rPr>
        <w:t xml:space="preserve"> […]</w:t>
      </w:r>
      <w:r w:rsidR="00530D5A" w:rsidRPr="00530D5A">
        <w:rPr>
          <w:rFonts w:asciiTheme="minorHAnsi" w:eastAsiaTheme="minorHAnsi" w:hAnsiTheme="minorHAnsi" w:cstheme="minorHAnsi"/>
          <w:i/>
        </w:rPr>
        <w:t xml:space="preserve"> </w:t>
      </w:r>
      <w:r w:rsidRPr="00530D5A">
        <w:rPr>
          <w:rFonts w:asciiTheme="minorHAnsi" w:eastAsiaTheme="minorHAnsi" w:hAnsiTheme="minorHAnsi" w:cstheme="minorHAnsi"/>
          <w:i/>
        </w:rPr>
        <w:t>(ii) A decent living for</w:t>
      </w:r>
      <w:r w:rsidRPr="006748BA">
        <w:rPr>
          <w:rFonts w:asciiTheme="minorHAnsi" w:eastAsiaTheme="minorHAnsi" w:hAnsiTheme="minorHAnsi" w:cstheme="minorHAnsi"/>
          <w:i/>
          <w:szCs w:val="22"/>
        </w:rPr>
        <w:t xml:space="preserve"> themselves and their families</w:t>
      </w:r>
      <w:r w:rsidR="00530D5A">
        <w:rPr>
          <w:rFonts w:asciiTheme="minorHAnsi" w:eastAsiaTheme="minorHAnsi" w:hAnsiTheme="minorHAnsi" w:cstheme="minorHAnsi"/>
          <w:i/>
          <w:szCs w:val="22"/>
        </w:rPr>
        <w:t xml:space="preserve"> […] (</w:t>
      </w:r>
      <w:r w:rsidR="00530D5A" w:rsidRPr="00530D5A">
        <w:rPr>
          <w:rFonts w:asciiTheme="minorHAnsi" w:eastAsiaTheme="minorHAnsi" w:hAnsiTheme="minorHAnsi" w:cstheme="minorHAnsi"/>
          <w:i/>
        </w:rPr>
        <w:t>d</w:t>
      </w:r>
      <w:r w:rsidRPr="00530D5A">
        <w:rPr>
          <w:rFonts w:asciiTheme="minorHAnsi" w:eastAsiaTheme="minorHAnsi" w:hAnsiTheme="minorHAnsi" w:cstheme="minorHAnsi"/>
          <w:i/>
        </w:rPr>
        <w:t xml:space="preserve">) </w:t>
      </w:r>
      <w:bookmarkStart w:id="13" w:name="_Toc350766688"/>
      <w:r w:rsidR="00530D5A">
        <w:rPr>
          <w:rFonts w:asciiTheme="minorHAnsi" w:hAnsiTheme="minorHAnsi" w:cstheme="minorHAnsi"/>
          <w:i/>
          <w:color w:val="000000"/>
          <w:shd w:val="clear" w:color="auto" w:fill="FFFFFF"/>
        </w:rPr>
        <w:t>r</w:t>
      </w:r>
      <w:r w:rsidR="00530D5A" w:rsidRPr="00530D5A">
        <w:rPr>
          <w:rFonts w:asciiTheme="minorHAnsi" w:hAnsiTheme="minorHAnsi" w:cstheme="minorHAnsi"/>
          <w:i/>
          <w:color w:val="000000"/>
          <w:shd w:val="clear" w:color="auto" w:fill="FFFFFF"/>
        </w:rPr>
        <w:t>est, leisure and reasonable limitation of working hours</w:t>
      </w:r>
      <w:r w:rsidR="00530D5A">
        <w:rPr>
          <w:rFonts w:ascii="Verdana" w:hAnsi="Verdana"/>
          <w:color w:val="000000"/>
          <w:sz w:val="17"/>
          <w:szCs w:val="17"/>
          <w:shd w:val="clear" w:color="auto" w:fill="FFFFFF"/>
        </w:rPr>
        <w:t xml:space="preserve">”. </w:t>
      </w:r>
    </w:p>
    <w:p w:rsidR="009E7CAA" w:rsidRDefault="00530D5A" w:rsidP="00747D61">
      <w:pPr>
        <w:autoSpaceDE w:val="0"/>
        <w:autoSpaceDN w:val="0"/>
        <w:adjustRightInd w:val="0"/>
        <w:spacing w:after="0" w:line="240" w:lineRule="auto"/>
        <w:jc w:val="both"/>
        <w:rPr>
          <w:rFonts w:cstheme="minorHAnsi"/>
        </w:rPr>
      </w:pPr>
      <w:r>
        <w:rPr>
          <w:rFonts w:cstheme="minorHAnsi"/>
        </w:rPr>
        <w:t>I</w:t>
      </w:r>
      <w:r w:rsidR="009D24DF">
        <w:rPr>
          <w:rFonts w:cstheme="minorHAnsi"/>
        </w:rPr>
        <w:t>ndonesia’s national transmig</w:t>
      </w:r>
      <w:r w:rsidR="00F14696">
        <w:rPr>
          <w:rFonts w:cstheme="minorHAnsi"/>
        </w:rPr>
        <w:t xml:space="preserve">ration programs aimed at moving </w:t>
      </w:r>
      <w:r w:rsidR="00DF64D3">
        <w:rPr>
          <w:rFonts w:cstheme="minorHAnsi"/>
        </w:rPr>
        <w:t xml:space="preserve">workers to resource-rich regions </w:t>
      </w:r>
      <w:r w:rsidR="009D24DF">
        <w:rPr>
          <w:rFonts w:cstheme="minorHAnsi"/>
        </w:rPr>
        <w:t xml:space="preserve">traditionally inhabited by indigenous peoples </w:t>
      </w:r>
      <w:r w:rsidR="009D24DF" w:rsidRPr="00523BA4">
        <w:rPr>
          <w:rFonts w:cstheme="minorHAnsi"/>
        </w:rPr>
        <w:t xml:space="preserve">have resulted in a lack of work opportunities for members of indigenous </w:t>
      </w:r>
      <w:r w:rsidR="00423CD7">
        <w:rPr>
          <w:rFonts w:cstheme="minorHAnsi"/>
        </w:rPr>
        <w:t xml:space="preserve">and </w:t>
      </w:r>
      <w:r w:rsidR="005962B9">
        <w:rPr>
          <w:rFonts w:cstheme="minorHAnsi"/>
        </w:rPr>
        <w:t>minority</w:t>
      </w:r>
      <w:r w:rsidR="009D24DF" w:rsidRPr="00523BA4">
        <w:rPr>
          <w:rFonts w:cstheme="minorHAnsi"/>
        </w:rPr>
        <w:t xml:space="preserve"> communities.</w:t>
      </w:r>
      <w:r w:rsidR="00423CD7">
        <w:rPr>
          <w:rFonts w:cstheme="minorHAnsi"/>
        </w:rPr>
        <w:t xml:space="preserve"> Unemployment rates in provinces inhabited by minority groups are among</w:t>
      </w:r>
      <w:r w:rsidR="00DF64D3">
        <w:rPr>
          <w:rFonts w:cstheme="minorHAnsi"/>
        </w:rPr>
        <w:t xml:space="preserve"> the highest in the country: 8.28</w:t>
      </w:r>
      <w:r w:rsidR="00423CD7">
        <w:rPr>
          <w:rFonts w:cstheme="minorHAnsi"/>
        </w:rPr>
        <w:t xml:space="preserve">% in Papua </w:t>
      </w:r>
      <w:r w:rsidR="00DF64D3">
        <w:rPr>
          <w:rFonts w:cstheme="minorHAnsi"/>
        </w:rPr>
        <w:t>Barat, 8.27</w:t>
      </w:r>
      <w:r w:rsidR="005962B9">
        <w:rPr>
          <w:rFonts w:cstheme="minorHAnsi"/>
        </w:rPr>
        <w:t>%</w:t>
      </w:r>
      <w:r w:rsidR="00DF64D3">
        <w:rPr>
          <w:rFonts w:cstheme="minorHAnsi"/>
        </w:rPr>
        <w:t xml:space="preserve"> in</w:t>
      </w:r>
      <w:r w:rsidR="00423CD7">
        <w:rPr>
          <w:rFonts w:cstheme="minorHAnsi"/>
        </w:rPr>
        <w:t xml:space="preserve"> Aceh, </w:t>
      </w:r>
      <w:r w:rsidR="00DF64D3">
        <w:rPr>
          <w:rFonts w:cstheme="minorHAnsi"/>
        </w:rPr>
        <w:t xml:space="preserve">and </w:t>
      </w:r>
      <w:r w:rsidR="00423CD7">
        <w:rPr>
          <w:rFonts w:cstheme="minorHAnsi"/>
        </w:rPr>
        <w:t>7.</w:t>
      </w:r>
      <w:r w:rsidR="004B7EB3">
        <w:rPr>
          <w:rFonts w:cstheme="minorHAnsi"/>
        </w:rPr>
        <w:t>8</w:t>
      </w:r>
      <w:r w:rsidR="00DF64D3">
        <w:rPr>
          <w:rFonts w:cstheme="minorHAnsi"/>
        </w:rPr>
        <w:t>%</w:t>
      </w:r>
      <w:r w:rsidR="004B7EB3">
        <w:rPr>
          <w:rFonts w:cstheme="minorHAnsi"/>
        </w:rPr>
        <w:t xml:space="preserve"> in Maluku, with a national average of 6.8%.</w:t>
      </w:r>
      <w:r w:rsidR="004B7EB3">
        <w:rPr>
          <w:rStyle w:val="FootnoteReference"/>
          <w:rFonts w:cstheme="minorHAnsi"/>
        </w:rPr>
        <w:footnoteReference w:id="36"/>
      </w:r>
      <w:r w:rsidR="004B7EB3">
        <w:rPr>
          <w:rFonts w:cstheme="minorHAnsi"/>
        </w:rPr>
        <w:t xml:space="preserve"> </w:t>
      </w:r>
      <w:r w:rsidR="00DF64D3">
        <w:rPr>
          <w:rFonts w:cstheme="minorHAnsi"/>
        </w:rPr>
        <w:t>Although the Indonesian National Statistics B</w:t>
      </w:r>
      <w:r w:rsidR="004B7EB3">
        <w:rPr>
          <w:rFonts w:cstheme="minorHAnsi"/>
        </w:rPr>
        <w:t xml:space="preserve">ureau registered a 3.7% unemployment rate in </w:t>
      </w:r>
      <w:r w:rsidR="00DF64D3">
        <w:rPr>
          <w:rFonts w:cstheme="minorHAnsi"/>
        </w:rPr>
        <w:t xml:space="preserve">the province of </w:t>
      </w:r>
      <w:r w:rsidR="004B7EB3">
        <w:rPr>
          <w:rFonts w:cstheme="minorHAnsi"/>
        </w:rPr>
        <w:t>Papua, i</w:t>
      </w:r>
      <w:r w:rsidR="008B7AD4" w:rsidRPr="00523BA4">
        <w:rPr>
          <w:rFonts w:cstheme="minorHAnsi"/>
        </w:rPr>
        <w:t xml:space="preserve">n 2013, </w:t>
      </w:r>
      <w:r w:rsidR="008B7AD4" w:rsidRPr="00523BA4">
        <w:rPr>
          <w:rFonts w:cstheme="minorHAnsi"/>
          <w:shd w:val="clear" w:color="auto" w:fill="FFFFFF"/>
        </w:rPr>
        <w:t xml:space="preserve">only 17% of the </w:t>
      </w:r>
      <w:r w:rsidR="0066607C">
        <w:rPr>
          <w:rFonts w:cstheme="minorHAnsi"/>
          <w:shd w:val="clear" w:color="auto" w:fill="FFFFFF"/>
        </w:rPr>
        <w:t>labo</w:t>
      </w:r>
      <w:r w:rsidR="00523BA4">
        <w:rPr>
          <w:rFonts w:cstheme="minorHAnsi"/>
          <w:shd w:val="clear" w:color="auto" w:fill="FFFFFF"/>
        </w:rPr>
        <w:t xml:space="preserve">r </w:t>
      </w:r>
      <w:r w:rsidR="00DF64D3">
        <w:rPr>
          <w:rFonts w:cstheme="minorHAnsi"/>
          <w:shd w:val="clear" w:color="auto" w:fill="FFFFFF"/>
        </w:rPr>
        <w:t xml:space="preserve">force in </w:t>
      </w:r>
      <w:r w:rsidR="008B7AD4" w:rsidRPr="00523BA4">
        <w:rPr>
          <w:rFonts w:cstheme="minorHAnsi"/>
          <w:shd w:val="clear" w:color="auto" w:fill="FFFFFF"/>
        </w:rPr>
        <w:t>Papua had st</w:t>
      </w:r>
      <w:r w:rsidR="00DF64D3">
        <w:rPr>
          <w:rFonts w:cstheme="minorHAnsi"/>
          <w:shd w:val="clear" w:color="auto" w:fill="FFFFFF"/>
        </w:rPr>
        <w:t xml:space="preserve">eady full-time income, 38% was </w:t>
      </w:r>
      <w:r w:rsidR="008B7AD4" w:rsidRPr="00523BA4">
        <w:rPr>
          <w:rFonts w:cstheme="minorHAnsi"/>
          <w:shd w:val="clear" w:color="auto" w:fill="FFFFFF"/>
        </w:rPr>
        <w:t>classified as unpaid “dom</w:t>
      </w:r>
      <w:r w:rsidR="00E926FF">
        <w:rPr>
          <w:rFonts w:cstheme="minorHAnsi"/>
          <w:shd w:val="clear" w:color="auto" w:fill="FFFFFF"/>
        </w:rPr>
        <w:t>estic he</w:t>
      </w:r>
      <w:r w:rsidR="009E7CAA">
        <w:rPr>
          <w:rFonts w:cstheme="minorHAnsi"/>
          <w:shd w:val="clear" w:color="auto" w:fill="FFFFFF"/>
        </w:rPr>
        <w:t>lp”, and 45% as</w:t>
      </w:r>
      <w:r w:rsidR="008B7AD4" w:rsidRPr="00523BA4">
        <w:rPr>
          <w:rFonts w:cstheme="minorHAnsi"/>
          <w:shd w:val="clear" w:color="auto" w:fill="FFFFFF"/>
        </w:rPr>
        <w:t xml:space="preserve"> self-employed or in part-time work.</w:t>
      </w:r>
      <w:r w:rsidR="00523BA4">
        <w:rPr>
          <w:rStyle w:val="FootnoteReference"/>
          <w:rFonts w:cstheme="minorHAnsi"/>
          <w:shd w:val="clear" w:color="auto" w:fill="FFFFFF"/>
        </w:rPr>
        <w:footnoteReference w:id="37"/>
      </w:r>
      <w:r w:rsidR="009D24DF" w:rsidRPr="00523BA4">
        <w:rPr>
          <w:rFonts w:cstheme="minorHAnsi"/>
        </w:rPr>
        <w:t xml:space="preserve"> </w:t>
      </w:r>
      <w:r w:rsidR="005962B9">
        <w:rPr>
          <w:rFonts w:cstheme="minorHAnsi"/>
        </w:rPr>
        <w:t>Since indigenous inhabitants’ employment opportunities are given to (skilled) migrants from other parts of Indonesia, it is</w:t>
      </w:r>
      <w:r w:rsidR="00F659B6">
        <w:rPr>
          <w:rFonts w:cstheme="minorHAnsi"/>
        </w:rPr>
        <w:t xml:space="preserve"> the</w:t>
      </w:r>
      <w:r w:rsidR="005962B9">
        <w:rPr>
          <w:rFonts w:cstheme="minorHAnsi"/>
        </w:rPr>
        <w:t xml:space="preserve"> indigenous peoples who</w:t>
      </w:r>
      <w:r w:rsidR="00F659B6">
        <w:rPr>
          <w:rFonts w:cstheme="minorHAnsi"/>
        </w:rPr>
        <w:t xml:space="preserve"> suffer</w:t>
      </w:r>
      <w:r w:rsidR="005962B9">
        <w:rPr>
          <w:rFonts w:cstheme="minorHAnsi"/>
        </w:rPr>
        <w:t xml:space="preserve"> from unemploy</w:t>
      </w:r>
      <w:r w:rsidR="00F659B6">
        <w:rPr>
          <w:rFonts w:cstheme="minorHAnsi"/>
        </w:rPr>
        <w:t>ment</w:t>
      </w:r>
      <w:r w:rsidR="005962B9">
        <w:rPr>
          <w:rFonts w:cstheme="minorHAnsi"/>
        </w:rPr>
        <w:t xml:space="preserve"> and underemploy</w:t>
      </w:r>
      <w:r w:rsidR="00F659B6">
        <w:rPr>
          <w:rFonts w:cstheme="minorHAnsi"/>
        </w:rPr>
        <w:t>ment</w:t>
      </w:r>
      <w:r w:rsidR="005962B9">
        <w:rPr>
          <w:rFonts w:cstheme="minorHAnsi"/>
        </w:rPr>
        <w:t xml:space="preserve"> in their regions of origin. </w:t>
      </w:r>
    </w:p>
    <w:p w:rsidR="005962B9" w:rsidRDefault="005962B9" w:rsidP="00747D61">
      <w:pPr>
        <w:autoSpaceDE w:val="0"/>
        <w:autoSpaceDN w:val="0"/>
        <w:adjustRightInd w:val="0"/>
        <w:spacing w:after="0" w:line="240" w:lineRule="auto"/>
        <w:jc w:val="both"/>
        <w:rPr>
          <w:rFonts w:cstheme="minorHAnsi"/>
        </w:rPr>
      </w:pPr>
    </w:p>
    <w:p w:rsidR="00D77FDF" w:rsidRDefault="009E7CAA" w:rsidP="00747D61">
      <w:pPr>
        <w:autoSpaceDE w:val="0"/>
        <w:autoSpaceDN w:val="0"/>
        <w:adjustRightInd w:val="0"/>
        <w:spacing w:after="0" w:line="240" w:lineRule="auto"/>
        <w:jc w:val="both"/>
        <w:rPr>
          <w:rFonts w:cstheme="minorHAnsi"/>
        </w:rPr>
      </w:pPr>
      <w:r>
        <w:rPr>
          <w:rFonts w:cstheme="minorHAnsi"/>
        </w:rPr>
        <w:t>A</w:t>
      </w:r>
      <w:r w:rsidR="007D5303">
        <w:rPr>
          <w:rFonts w:cstheme="minorHAnsi"/>
        </w:rPr>
        <w:t>n effective framework f</w:t>
      </w:r>
      <w:r w:rsidR="005962B9">
        <w:rPr>
          <w:rFonts w:cstheme="minorHAnsi"/>
        </w:rPr>
        <w:t xml:space="preserve">or positive action to promote </w:t>
      </w:r>
      <w:r w:rsidR="007D5303">
        <w:rPr>
          <w:rFonts w:cstheme="minorHAnsi"/>
        </w:rPr>
        <w:t>employment of indigenous peoples in the formal economy is not yet available. For example, In Papua,</w:t>
      </w:r>
      <w:r w:rsidR="00E926FF">
        <w:rPr>
          <w:rFonts w:cstheme="minorHAnsi"/>
        </w:rPr>
        <w:t xml:space="preserve"> Art.62 of the </w:t>
      </w:r>
      <w:r w:rsidR="00D77FDF" w:rsidRPr="00D77FDF">
        <w:rPr>
          <w:rFonts w:cstheme="minorHAnsi"/>
        </w:rPr>
        <w:t>special autonomy legislations states that “Indigenous Papuans</w:t>
      </w:r>
      <w:r w:rsidR="00D77FDF">
        <w:rPr>
          <w:rFonts w:cstheme="minorHAnsi"/>
        </w:rPr>
        <w:t xml:space="preserve"> </w:t>
      </w:r>
      <w:r w:rsidR="00D77FDF" w:rsidRPr="00D77FDF">
        <w:rPr>
          <w:rFonts w:cstheme="minorHAnsi"/>
        </w:rPr>
        <w:t>are entitled to be given priority in employment in all areas of</w:t>
      </w:r>
      <w:r w:rsidR="00D77FDF">
        <w:rPr>
          <w:rFonts w:cstheme="minorHAnsi"/>
        </w:rPr>
        <w:t xml:space="preserve"> </w:t>
      </w:r>
      <w:r w:rsidR="00D77FDF" w:rsidRPr="00D77FDF">
        <w:rPr>
          <w:rFonts w:cstheme="minorHAnsi"/>
        </w:rPr>
        <w:t>work in Papua province based on their skills and expertise”</w:t>
      </w:r>
      <w:r w:rsidR="00D77FDF">
        <w:rPr>
          <w:rFonts w:cstheme="minorHAnsi"/>
        </w:rPr>
        <w:t xml:space="preserve">. Yet, </w:t>
      </w:r>
      <w:r w:rsidR="00523BA4">
        <w:rPr>
          <w:rFonts w:cstheme="minorHAnsi"/>
        </w:rPr>
        <w:t xml:space="preserve">lack of education and skills </w:t>
      </w:r>
      <w:r w:rsidR="00D77FDF">
        <w:rPr>
          <w:rFonts w:cstheme="minorHAnsi"/>
        </w:rPr>
        <w:t xml:space="preserve">(see p. 13 of this report) </w:t>
      </w:r>
      <w:r w:rsidR="00523BA4">
        <w:rPr>
          <w:rFonts w:cstheme="minorHAnsi"/>
        </w:rPr>
        <w:t>and</w:t>
      </w:r>
      <w:r w:rsidR="00D77FDF">
        <w:rPr>
          <w:rFonts w:cstheme="minorHAnsi"/>
        </w:rPr>
        <w:t xml:space="preserve"> the migration of skilled workers from other islands result in structural discrimination:</w:t>
      </w:r>
      <w:r w:rsidR="009D24DF" w:rsidRPr="00523BA4">
        <w:rPr>
          <w:rFonts w:cstheme="minorHAnsi"/>
        </w:rPr>
        <w:t xml:space="preserve"> indigenous </w:t>
      </w:r>
      <w:r w:rsidR="007D5303">
        <w:rPr>
          <w:rFonts w:cstheme="minorHAnsi"/>
        </w:rPr>
        <w:t xml:space="preserve">Papuans </w:t>
      </w:r>
      <w:r w:rsidR="009D24DF" w:rsidRPr="00523BA4">
        <w:rPr>
          <w:rFonts w:cstheme="minorHAnsi"/>
        </w:rPr>
        <w:t xml:space="preserve">are not hired by the companies </w:t>
      </w:r>
      <w:r w:rsidR="009D24DF" w:rsidRPr="008B7AD4">
        <w:rPr>
          <w:rFonts w:cstheme="minorHAnsi"/>
        </w:rPr>
        <w:t xml:space="preserve">that </w:t>
      </w:r>
      <w:r w:rsidR="008B7AD4" w:rsidRPr="008B7AD4">
        <w:rPr>
          <w:rFonts w:cstheme="minorHAnsi"/>
        </w:rPr>
        <w:t>exploit their ancestral lands</w:t>
      </w:r>
      <w:r w:rsidR="002D6EE3" w:rsidRPr="008B7AD4">
        <w:rPr>
          <w:rFonts w:cstheme="minorHAnsi"/>
        </w:rPr>
        <w:t>.</w:t>
      </w:r>
      <w:r w:rsidR="00523BA4">
        <w:rPr>
          <w:rStyle w:val="FootnoteReference"/>
          <w:rFonts w:cstheme="minorHAnsi"/>
        </w:rPr>
        <w:footnoteReference w:id="38"/>
      </w:r>
      <w:r w:rsidR="002D6EE3" w:rsidRPr="008B7AD4">
        <w:rPr>
          <w:rFonts w:cstheme="minorHAnsi"/>
        </w:rPr>
        <w:t xml:space="preserve"> </w:t>
      </w:r>
      <w:r w:rsidR="007D5303">
        <w:rPr>
          <w:rFonts w:cstheme="minorHAnsi"/>
        </w:rPr>
        <w:t xml:space="preserve">The same happens in other minority and indigenous areas, where </w:t>
      </w:r>
      <w:r w:rsidR="00523BA4">
        <w:rPr>
          <w:rFonts w:cstheme="minorHAnsi"/>
        </w:rPr>
        <w:t>large as well as small businesses in any sector of the economy</w:t>
      </w:r>
      <w:r w:rsidR="00423CD7">
        <w:rPr>
          <w:rFonts w:cstheme="minorHAnsi"/>
        </w:rPr>
        <w:t xml:space="preserve"> </w:t>
      </w:r>
      <w:r w:rsidR="00523BA4">
        <w:rPr>
          <w:rFonts w:cstheme="minorHAnsi"/>
        </w:rPr>
        <w:t>tend to be owned and run by non-indigenous arrived</w:t>
      </w:r>
      <w:r w:rsidR="00F14696">
        <w:rPr>
          <w:rFonts w:cstheme="minorHAnsi"/>
        </w:rPr>
        <w:t xml:space="preserve"> through transmigration programs</w:t>
      </w:r>
      <w:r w:rsidR="00523BA4">
        <w:rPr>
          <w:rFonts w:cstheme="minorHAnsi"/>
        </w:rPr>
        <w:t>.</w:t>
      </w:r>
      <w:r w:rsidR="00523BA4">
        <w:rPr>
          <w:rStyle w:val="FootnoteReference"/>
          <w:rFonts w:cstheme="minorHAnsi"/>
        </w:rPr>
        <w:footnoteReference w:id="39"/>
      </w:r>
      <w:r w:rsidR="00523BA4">
        <w:rPr>
          <w:rFonts w:cstheme="minorHAnsi"/>
        </w:rPr>
        <w:t xml:space="preserve"> </w:t>
      </w:r>
    </w:p>
    <w:p w:rsidR="00D77FDF" w:rsidRDefault="00D77FDF" w:rsidP="00747D61">
      <w:pPr>
        <w:autoSpaceDE w:val="0"/>
        <w:autoSpaceDN w:val="0"/>
        <w:adjustRightInd w:val="0"/>
        <w:spacing w:after="0" w:line="240" w:lineRule="auto"/>
        <w:jc w:val="both"/>
        <w:rPr>
          <w:rFonts w:cstheme="minorHAnsi"/>
        </w:rPr>
      </w:pPr>
    </w:p>
    <w:p w:rsidR="002D6EE3" w:rsidRDefault="002D6EE3" w:rsidP="00747D61">
      <w:pPr>
        <w:autoSpaceDE w:val="0"/>
        <w:autoSpaceDN w:val="0"/>
        <w:adjustRightInd w:val="0"/>
        <w:spacing w:after="0" w:line="240" w:lineRule="auto"/>
        <w:jc w:val="both"/>
        <w:rPr>
          <w:rFonts w:cstheme="minorHAnsi"/>
        </w:rPr>
      </w:pPr>
      <w:r w:rsidRPr="008B7AD4">
        <w:rPr>
          <w:rFonts w:cstheme="minorHAnsi"/>
        </w:rPr>
        <w:t>When they happen to</w:t>
      </w:r>
      <w:r w:rsidR="00F14696">
        <w:rPr>
          <w:rFonts w:cstheme="minorHAnsi"/>
        </w:rPr>
        <w:t xml:space="preserve"> be</w:t>
      </w:r>
      <w:r w:rsidRPr="008B7AD4">
        <w:rPr>
          <w:rFonts w:cstheme="minorHAnsi"/>
        </w:rPr>
        <w:t xml:space="preserve"> employed, indigenous inhabitants are given temporary minor jobs such as porters, drivers, or plantation workers, often without a contract. Additionally, their wage </w:t>
      </w:r>
      <w:r w:rsidR="00141D70" w:rsidRPr="008B7AD4">
        <w:rPr>
          <w:rFonts w:cstheme="minorHAnsi"/>
        </w:rPr>
        <w:t>is often reported</w:t>
      </w:r>
      <w:r w:rsidR="009E7CAA">
        <w:rPr>
          <w:rFonts w:cstheme="minorHAnsi"/>
        </w:rPr>
        <w:t xml:space="preserve"> to be significantly</w:t>
      </w:r>
      <w:r w:rsidR="00141D70">
        <w:rPr>
          <w:rFonts w:cstheme="minorHAnsi"/>
        </w:rPr>
        <w:t xml:space="preserve"> lower than the </w:t>
      </w:r>
      <w:r w:rsidR="005962B9">
        <w:rPr>
          <w:rFonts w:cstheme="minorHAnsi"/>
        </w:rPr>
        <w:t xml:space="preserve">regional </w:t>
      </w:r>
      <w:r w:rsidR="00141D70">
        <w:rPr>
          <w:rFonts w:cstheme="minorHAnsi"/>
        </w:rPr>
        <w:t>minimum wage standards</w:t>
      </w:r>
      <w:r w:rsidR="009E7CAA">
        <w:rPr>
          <w:rFonts w:cstheme="minorHAnsi"/>
        </w:rPr>
        <w:t>, even those set by the Indonesia government</w:t>
      </w:r>
      <w:r w:rsidR="00141D70">
        <w:rPr>
          <w:rFonts w:cstheme="minorHAnsi"/>
        </w:rPr>
        <w:t xml:space="preserve">. </w:t>
      </w:r>
      <w:r w:rsidRPr="00141D70">
        <w:rPr>
          <w:rFonts w:cstheme="minorHAnsi"/>
        </w:rPr>
        <w:t>For example, a 29-year</w:t>
      </w:r>
      <w:r w:rsidR="00E50D58" w:rsidRPr="00141D70">
        <w:rPr>
          <w:rFonts w:cstheme="minorHAnsi"/>
          <w:b/>
        </w:rPr>
        <w:t>-</w:t>
      </w:r>
      <w:r w:rsidRPr="00141D70">
        <w:rPr>
          <w:rFonts w:cstheme="minorHAnsi"/>
        </w:rPr>
        <w:t>old native Papuan</w:t>
      </w:r>
      <w:r w:rsidR="00141D70">
        <w:rPr>
          <w:rFonts w:cstheme="minorHAnsi"/>
        </w:rPr>
        <w:t xml:space="preserve"> with a secondary school degree</w:t>
      </w:r>
      <w:r w:rsidRPr="00141D70">
        <w:rPr>
          <w:rFonts w:cstheme="minorHAnsi"/>
        </w:rPr>
        <w:t xml:space="preserve"> reported to </w:t>
      </w:r>
      <w:r w:rsidR="00141D70" w:rsidRPr="00141D70">
        <w:rPr>
          <w:rFonts w:cstheme="minorHAnsi"/>
        </w:rPr>
        <w:t>earn approximately 75USD per month from employment in various construction projects, while the province’s minimum wage amount</w:t>
      </w:r>
      <w:r w:rsidR="00141D70">
        <w:rPr>
          <w:rFonts w:cstheme="minorHAnsi"/>
        </w:rPr>
        <w:t>s</w:t>
      </w:r>
      <w:r w:rsidR="00141D70" w:rsidRPr="00141D70">
        <w:rPr>
          <w:rFonts w:cstheme="minorHAnsi"/>
        </w:rPr>
        <w:t xml:space="preserve"> to more than double (166USD/per month).</w:t>
      </w:r>
      <w:r w:rsidR="00141D70">
        <w:rPr>
          <w:rStyle w:val="FootnoteReference"/>
          <w:rFonts w:cstheme="minorHAnsi"/>
        </w:rPr>
        <w:footnoteReference w:id="40"/>
      </w:r>
      <w:r w:rsidR="00141D70" w:rsidRPr="00141D70">
        <w:rPr>
          <w:rFonts w:cstheme="minorHAnsi"/>
        </w:rPr>
        <w:t xml:space="preserve"> </w:t>
      </w:r>
      <w:r w:rsidR="0066607C">
        <w:rPr>
          <w:rFonts w:cstheme="minorHAnsi"/>
        </w:rPr>
        <w:t>Access to employment opportunities and working conditions are even more difficult for refu</w:t>
      </w:r>
      <w:r w:rsidR="009E7CAA">
        <w:rPr>
          <w:rFonts w:cstheme="minorHAnsi"/>
        </w:rPr>
        <w:t>gees returned to their homeland, even when they return after being promised job opportunities.</w:t>
      </w:r>
      <w:r w:rsidR="0066607C">
        <w:rPr>
          <w:rStyle w:val="FootnoteReference"/>
          <w:rFonts w:cstheme="minorHAnsi"/>
        </w:rPr>
        <w:footnoteReference w:id="41"/>
      </w:r>
      <w:r w:rsidR="0066607C">
        <w:rPr>
          <w:rFonts w:cstheme="minorHAnsi"/>
        </w:rPr>
        <w:t xml:space="preserve"> </w:t>
      </w:r>
      <w:r w:rsidR="00F14696">
        <w:rPr>
          <w:rFonts w:cstheme="minorHAnsi"/>
        </w:rPr>
        <w:t>Furthermore</w:t>
      </w:r>
      <w:r w:rsidR="00992CA6">
        <w:rPr>
          <w:rFonts w:cstheme="minorHAnsi"/>
        </w:rPr>
        <w:t>, it can be questioned whether indigenous peoples working in companies exploiting their resource-rich ancestral lands can be considered as “freely choosing” their type of employment, as they are expropriated of their traditional means of subsistence and left with no other choice than work for such companies or relocate.</w:t>
      </w:r>
      <w:r w:rsidR="00FD696E">
        <w:rPr>
          <w:rStyle w:val="FootnoteReference"/>
          <w:rFonts w:cstheme="minorHAnsi"/>
        </w:rPr>
        <w:footnoteReference w:id="42"/>
      </w:r>
      <w:r w:rsidR="00992CA6">
        <w:rPr>
          <w:rFonts w:cstheme="minorHAnsi"/>
        </w:rPr>
        <w:t xml:space="preserve"> </w:t>
      </w:r>
      <w:r w:rsidR="009E7CAA">
        <w:rPr>
          <w:rFonts w:cstheme="minorHAnsi"/>
        </w:rPr>
        <w:t>Because of this lack of choice in becoming part of corporations’ informal workforce, some activists have been looking at the applicability of the concept of “forced labor” to the case of indigenous workers in West Papua.</w:t>
      </w:r>
      <w:r w:rsidR="009E7CAA">
        <w:rPr>
          <w:rStyle w:val="FootnoteReference"/>
          <w:rFonts w:cstheme="minorHAnsi"/>
        </w:rPr>
        <w:footnoteReference w:id="43"/>
      </w:r>
    </w:p>
    <w:p w:rsidR="005962B9" w:rsidRPr="00141D70" w:rsidRDefault="005962B9" w:rsidP="00747D61">
      <w:pPr>
        <w:autoSpaceDE w:val="0"/>
        <w:autoSpaceDN w:val="0"/>
        <w:adjustRightInd w:val="0"/>
        <w:spacing w:after="0" w:line="240" w:lineRule="auto"/>
        <w:jc w:val="both"/>
        <w:rPr>
          <w:rFonts w:cstheme="minorHAnsi"/>
          <w:b/>
        </w:rPr>
      </w:pPr>
    </w:p>
    <w:p w:rsidR="006748BA" w:rsidRDefault="006748BA" w:rsidP="00747D61">
      <w:pPr>
        <w:pStyle w:val="Heading2"/>
        <w:jc w:val="both"/>
      </w:pPr>
      <w:r>
        <w:t>Article</w:t>
      </w:r>
      <w:r>
        <w:rPr>
          <w:rFonts w:eastAsia="Cambria" w:cs="Cambria"/>
        </w:rPr>
        <w:t xml:space="preserve"> </w:t>
      </w:r>
      <w:r>
        <w:t>8 -</w:t>
      </w:r>
      <w:r>
        <w:rPr>
          <w:rFonts w:eastAsia="Cambria" w:cs="Cambria"/>
        </w:rPr>
        <w:t xml:space="preserve"> </w:t>
      </w:r>
      <w:r>
        <w:t>Right</w:t>
      </w:r>
      <w:r>
        <w:rPr>
          <w:rFonts w:eastAsia="Cambria" w:cs="Cambria"/>
        </w:rPr>
        <w:t xml:space="preserve"> </w:t>
      </w:r>
      <w:r>
        <w:t>to</w:t>
      </w:r>
      <w:bookmarkEnd w:id="13"/>
      <w:r w:rsidR="00626FCC">
        <w:rPr>
          <w:rFonts w:eastAsia="Cambria" w:cs="Cambria"/>
        </w:rPr>
        <w:t xml:space="preserve"> strike</w:t>
      </w:r>
    </w:p>
    <w:p w:rsidR="00A522D7" w:rsidRPr="00626FCC" w:rsidRDefault="00626FCC" w:rsidP="00747D61">
      <w:pPr>
        <w:spacing w:before="100" w:beforeAutospacing="1" w:after="100" w:afterAutospacing="1" w:line="240" w:lineRule="auto"/>
        <w:jc w:val="both"/>
        <w:rPr>
          <w:i/>
          <w:color w:val="FF0000"/>
          <w:sz w:val="24"/>
          <w:szCs w:val="24"/>
        </w:rPr>
      </w:pPr>
      <w:r>
        <w:rPr>
          <w:b/>
          <w:sz w:val="24"/>
        </w:rPr>
        <w:t xml:space="preserve">Article 8.1 </w:t>
      </w:r>
      <w:r w:rsidRPr="00626FCC">
        <w:rPr>
          <w:rFonts w:cstheme="minorHAnsi"/>
          <w:i/>
          <w:sz w:val="24"/>
          <w:szCs w:val="24"/>
        </w:rPr>
        <w:t>(</w:t>
      </w:r>
      <w:r>
        <w:rPr>
          <w:rFonts w:cstheme="minorHAnsi"/>
          <w:i/>
          <w:sz w:val="24"/>
          <w:szCs w:val="24"/>
        </w:rPr>
        <w:t>d)</w:t>
      </w:r>
      <w:r w:rsidRPr="00626FCC">
        <w:rPr>
          <w:rFonts w:cstheme="minorHAnsi"/>
          <w:i/>
          <w:sz w:val="24"/>
          <w:szCs w:val="24"/>
        </w:rPr>
        <w:t xml:space="preserve"> ensures </w:t>
      </w:r>
      <w:r>
        <w:rPr>
          <w:rFonts w:cstheme="minorHAnsi"/>
          <w:i/>
          <w:color w:val="000000"/>
          <w:sz w:val="24"/>
          <w:szCs w:val="24"/>
          <w:shd w:val="clear" w:color="auto" w:fill="FFFFFF"/>
        </w:rPr>
        <w:t>“t</w:t>
      </w:r>
      <w:r w:rsidRPr="00626FCC">
        <w:rPr>
          <w:rFonts w:cstheme="minorHAnsi"/>
          <w:i/>
          <w:color w:val="000000"/>
          <w:sz w:val="24"/>
          <w:szCs w:val="24"/>
          <w:shd w:val="clear" w:color="auto" w:fill="FFFFFF"/>
        </w:rPr>
        <w:t>he right to strike, provided that it is exercised in conformity with the laws of the particular country</w:t>
      </w:r>
      <w:r>
        <w:rPr>
          <w:rFonts w:cstheme="minorHAnsi"/>
          <w:i/>
          <w:color w:val="000000"/>
          <w:sz w:val="24"/>
          <w:szCs w:val="24"/>
          <w:shd w:val="clear" w:color="auto" w:fill="FFFFFF"/>
        </w:rPr>
        <w:t>”</w:t>
      </w:r>
    </w:p>
    <w:p w:rsidR="009070B5" w:rsidRDefault="00CE71E8" w:rsidP="00747D61">
      <w:pPr>
        <w:spacing w:after="0" w:line="240" w:lineRule="auto"/>
        <w:jc w:val="both"/>
      </w:pPr>
      <w:r>
        <w:t xml:space="preserve">According </w:t>
      </w:r>
      <w:r w:rsidR="00BC7675">
        <w:t>to art.137 of Act 13 of 2003 on labor, “strike, which results from failed negotiation, is a fundamental right of workers/ laborers and trade/ labor unions that shall be staged legally, orderly and peacefully”.</w:t>
      </w:r>
      <w:r w:rsidR="00DC4249">
        <w:rPr>
          <w:rStyle w:val="FootnoteReference"/>
        </w:rPr>
        <w:footnoteReference w:id="44"/>
      </w:r>
      <w:r w:rsidR="00BC7675">
        <w:t xml:space="preserve"> </w:t>
      </w:r>
      <w:r>
        <w:t xml:space="preserve">While this article recognizes the right to strike, it also strictly regulates it as </w:t>
      </w:r>
      <w:r w:rsidR="00BC7675">
        <w:t xml:space="preserve">legal </w:t>
      </w:r>
      <w:r w:rsidR="008D7B70">
        <w:t>strikes</w:t>
      </w:r>
      <w:r w:rsidR="00BC7675">
        <w:t xml:space="preserve"> can only take place after the failure of a</w:t>
      </w:r>
      <w:r w:rsidR="008D7B70">
        <w:t xml:space="preserve"> long process of</w:t>
      </w:r>
      <w:r w:rsidR="00282D9B">
        <w:t xml:space="preserve"> negotiations with the employer.</w:t>
      </w:r>
      <w:r w:rsidR="008D7B70">
        <w:t xml:space="preserve"> In practice, strikes are often met by Indonesian police with excessive use of force. This is particularly the case in strikes involving indigenous peoples or minorities</w:t>
      </w:r>
      <w:r w:rsidR="007C6539">
        <w:t xml:space="preserve"> voicing issues of inadequate conditions of work. In the last few years, alarming episodes of poli</w:t>
      </w:r>
      <w:r w:rsidR="000E71BC">
        <w:t>ce violence against strikers have</w:t>
      </w:r>
      <w:r w:rsidR="007C6539">
        <w:t xml:space="preserve"> taken place in </w:t>
      </w:r>
      <w:r w:rsidR="000E71BC">
        <w:t xml:space="preserve">West Papua, </w:t>
      </w:r>
      <w:r w:rsidR="007C6539">
        <w:t>Aceh</w:t>
      </w:r>
      <w:r w:rsidR="000E71BC">
        <w:t>, and South Moluccas</w:t>
      </w:r>
      <w:r w:rsidR="007C6539">
        <w:t xml:space="preserve">. For example, in </w:t>
      </w:r>
      <w:r w:rsidR="000E71BC">
        <w:t>June 2011</w:t>
      </w:r>
      <w:r w:rsidR="007C6539">
        <w:t>, two indigenous West Papuans were shot by the police while taking part into a strike against the US-owned Freeport McMoran’s Grasb mining company, one of the first corporations to exploit West Papua’s lands.</w:t>
      </w:r>
      <w:r w:rsidR="00282D9B">
        <w:rPr>
          <w:rStyle w:val="FootnoteReference"/>
        </w:rPr>
        <w:footnoteReference w:id="45"/>
      </w:r>
      <w:r w:rsidR="007C6539">
        <w:t xml:space="preserve"> </w:t>
      </w:r>
      <w:r w:rsidR="000E71BC">
        <w:t>In March of the same year eight midwives were arrested for striking in a hospital in Jayapura on charges of defamation and incitement to illegal action (art. 335 and 160 of the Indonesian Criminal Code, respectively).</w:t>
      </w:r>
      <w:r w:rsidR="000D2843">
        <w:rPr>
          <w:rStyle w:val="FootnoteReference"/>
        </w:rPr>
        <w:footnoteReference w:id="46"/>
      </w:r>
      <w:r w:rsidR="000E71BC">
        <w:t xml:space="preserve"> Similarly, a trade union chairman was arrested in Aceh after leading a local struggle for workers’ rights.</w:t>
      </w:r>
      <w:r w:rsidR="000D2843">
        <w:rPr>
          <w:rStyle w:val="FootnoteReference"/>
        </w:rPr>
        <w:footnoteReference w:id="47"/>
      </w:r>
      <w:r w:rsidR="000E71BC">
        <w:t xml:space="preserve"> </w:t>
      </w:r>
    </w:p>
    <w:p w:rsidR="00CE71E8" w:rsidRDefault="00CE71E8" w:rsidP="00747D61">
      <w:pPr>
        <w:spacing w:after="0" w:line="240" w:lineRule="auto"/>
        <w:jc w:val="both"/>
      </w:pPr>
    </w:p>
    <w:p w:rsidR="00EC3490" w:rsidRDefault="005202AA" w:rsidP="00747D61">
      <w:pPr>
        <w:pStyle w:val="Heading2"/>
        <w:jc w:val="both"/>
      </w:pPr>
      <w:bookmarkStart w:id="14" w:name="_Toc350766689"/>
      <w:r>
        <w:t>Article 11 – Right to a</w:t>
      </w:r>
      <w:r w:rsidR="00EC3490">
        <w:t xml:space="preserve">dequate </w:t>
      </w:r>
      <w:r>
        <w:t>s</w:t>
      </w:r>
      <w:r w:rsidR="004F4479">
        <w:t xml:space="preserve">tandard of </w:t>
      </w:r>
      <w:r>
        <w:t>l</w:t>
      </w:r>
      <w:r w:rsidR="004F4479">
        <w:t>iving</w:t>
      </w:r>
      <w:bookmarkEnd w:id="14"/>
    </w:p>
    <w:p w:rsidR="00EC3490" w:rsidRDefault="00EC3490" w:rsidP="00747D61">
      <w:pPr>
        <w:spacing w:before="100" w:beforeAutospacing="1" w:after="100" w:afterAutospacing="1" w:line="240" w:lineRule="auto"/>
        <w:jc w:val="both"/>
        <w:rPr>
          <w:i/>
          <w:sz w:val="24"/>
          <w:szCs w:val="24"/>
        </w:rPr>
      </w:pPr>
      <w:r w:rsidRPr="008D3027">
        <w:rPr>
          <w:rStyle w:val="Strong"/>
          <w:sz w:val="24"/>
        </w:rPr>
        <w:t xml:space="preserve">Article </w:t>
      </w:r>
      <w:r>
        <w:rPr>
          <w:rStyle w:val="Strong"/>
          <w:sz w:val="24"/>
        </w:rPr>
        <w:t>11</w:t>
      </w:r>
      <w:r w:rsidR="001E23DD">
        <w:rPr>
          <w:rStyle w:val="Strong"/>
          <w:sz w:val="24"/>
        </w:rPr>
        <w:t>.1</w:t>
      </w:r>
      <w:r w:rsidRPr="008D3027">
        <w:rPr>
          <w:rStyle w:val="Strong"/>
          <w:sz w:val="24"/>
        </w:rPr>
        <w:t xml:space="preserve"> </w:t>
      </w:r>
      <w:r w:rsidRPr="00EC3490">
        <w:rPr>
          <w:rStyle w:val="Strong"/>
          <w:b w:val="0"/>
          <w:i/>
          <w:sz w:val="24"/>
          <w:szCs w:val="24"/>
        </w:rPr>
        <w:t>states that “</w:t>
      </w:r>
      <w:r w:rsidRPr="00EC3490">
        <w:rPr>
          <w:i/>
          <w:sz w:val="24"/>
          <w:szCs w:val="24"/>
        </w:rPr>
        <w:t xml:space="preserve">The States Parties to the present Covenant recognize the right of everyone to an adequate standard of living for himself and his family, including adequate </w:t>
      </w:r>
      <w:r w:rsidRPr="00272035">
        <w:rPr>
          <w:i/>
          <w:sz w:val="24"/>
          <w:szCs w:val="24"/>
        </w:rPr>
        <w:t>food, clothing and housing</w:t>
      </w:r>
      <w:r w:rsidRPr="00EC3490">
        <w:rPr>
          <w:i/>
          <w:sz w:val="24"/>
          <w:szCs w:val="24"/>
        </w:rPr>
        <w:t>, and to the continuous improvement of living conditions. The States Parties will take appropriate steps to ensure the realization of this right, recognizing to this effect the essential importance of international cooperation based on free consent.”</w:t>
      </w:r>
    </w:p>
    <w:p w:rsidR="00DC0A8D" w:rsidRDefault="00272035" w:rsidP="00747D61">
      <w:pPr>
        <w:spacing w:before="100" w:beforeAutospacing="1" w:after="100" w:afterAutospacing="1" w:line="240" w:lineRule="auto"/>
        <w:jc w:val="both"/>
      </w:pPr>
      <w:r w:rsidRPr="00272035">
        <w:t>Indigenous and mi</w:t>
      </w:r>
      <w:r>
        <w:t>nority</w:t>
      </w:r>
      <w:r w:rsidR="007869F5">
        <w:t xml:space="preserve"> communities in Indonesia are</w:t>
      </w:r>
      <w:r>
        <w:t xml:space="preserve"> among the poorest inhabitants of the country, </w:t>
      </w:r>
      <w:r w:rsidR="007869F5">
        <w:t xml:space="preserve">and </w:t>
      </w:r>
      <w:r>
        <w:t xml:space="preserve">often do not enjoy adequate standards of living. </w:t>
      </w:r>
      <w:r w:rsidR="00A474B5">
        <w:t>Papua, Papua</w:t>
      </w:r>
      <w:r w:rsidR="0046767A">
        <w:t xml:space="preserve"> Barat</w:t>
      </w:r>
      <w:r w:rsidR="00A474B5">
        <w:t>, Aceh, and South Moluccas are the Indonesian provinces with the highest perce</w:t>
      </w:r>
      <w:r w:rsidR="00ED333E">
        <w:t>ntage of people living under</w:t>
      </w:r>
      <w:r w:rsidR="00A474B5">
        <w:t xml:space="preserve"> poverty line, ranging from 19% in Aceh to 31% </w:t>
      </w:r>
      <w:r w:rsidR="00ED333E">
        <w:t xml:space="preserve">in Papua </w:t>
      </w:r>
      <w:r w:rsidR="00A474B5">
        <w:t xml:space="preserve">with a national average of </w:t>
      </w:r>
      <w:r w:rsidR="00ED333E">
        <w:t>12%.</w:t>
      </w:r>
      <w:r w:rsidR="00A474B5">
        <w:rPr>
          <w:rStyle w:val="FootnoteReference"/>
        </w:rPr>
        <w:footnoteReference w:id="48"/>
      </w:r>
      <w:r w:rsidR="00ED333E">
        <w:t xml:space="preserve"> </w:t>
      </w:r>
      <w:r w:rsidR="00915984">
        <w:t xml:space="preserve">While the Indonesian government’s National Medium Term Development Plan 2010-2014 </w:t>
      </w:r>
      <w:r w:rsidR="00CE71E8">
        <w:t xml:space="preserve">sets </w:t>
      </w:r>
      <w:r w:rsidR="00DC0A8D">
        <w:t>the development of Papua</w:t>
      </w:r>
      <w:r w:rsidR="00D77FDF">
        <w:t>, Papua</w:t>
      </w:r>
      <w:r w:rsidR="0046767A">
        <w:t xml:space="preserve"> Barat</w:t>
      </w:r>
      <w:r w:rsidR="00D77FDF">
        <w:t>,</w:t>
      </w:r>
      <w:r w:rsidR="00DC0A8D">
        <w:t xml:space="preserve"> and South Moluccas as regional priorities, it does not include any specific provision for the protection of </w:t>
      </w:r>
      <w:r w:rsidR="007869F5">
        <w:t xml:space="preserve">the </w:t>
      </w:r>
      <w:r w:rsidR="00DC0A8D">
        <w:t>indigenous inhabitants of the regions.</w:t>
      </w:r>
      <w:r w:rsidR="00DC0A8D">
        <w:rPr>
          <w:rStyle w:val="FootnoteReference"/>
        </w:rPr>
        <w:footnoteReference w:id="49"/>
      </w:r>
      <w:r w:rsidR="00DC0A8D">
        <w:t xml:space="preserve"> Consequently, </w:t>
      </w:r>
      <w:r w:rsidR="007869F5">
        <w:t xml:space="preserve">while </w:t>
      </w:r>
      <w:r w:rsidR="00DC0A8D">
        <w:t>the plan might lead to economic growth of the regions as a whole</w:t>
      </w:r>
      <w:r w:rsidR="007869F5">
        <w:t xml:space="preserve"> in terms of their GRP,</w:t>
      </w:r>
      <w:r w:rsidR="00DC0A8D">
        <w:t xml:space="preserve"> it is unlikely to improve the living conditions of indigenous people as long as they remain marginalized and unemployed. </w:t>
      </w:r>
      <w:r w:rsidR="004C5092">
        <w:t xml:space="preserve"> In Aceh, the post-tsunami recons</w:t>
      </w:r>
      <w:r w:rsidR="007869F5">
        <w:t xml:space="preserve">truction efforts have led to </w:t>
      </w:r>
      <w:r w:rsidR="004C5092">
        <w:t>improvement</w:t>
      </w:r>
      <w:r w:rsidR="007869F5">
        <w:t>s</w:t>
      </w:r>
      <w:r w:rsidR="004C5092">
        <w:t xml:space="preserve"> in economic conditions in general, but poverty and unemployment remain relatively high.</w:t>
      </w:r>
      <w:r w:rsidR="004C5092">
        <w:rPr>
          <w:rStyle w:val="FootnoteReference"/>
        </w:rPr>
        <w:footnoteReference w:id="50"/>
      </w:r>
      <w:r w:rsidR="004C5092">
        <w:t xml:space="preserve"> </w:t>
      </w:r>
    </w:p>
    <w:p w:rsidR="00CE71E8" w:rsidRDefault="00272035" w:rsidP="00747D61">
      <w:pPr>
        <w:spacing w:before="100" w:beforeAutospacing="1" w:after="100" w:afterAutospacing="1" w:line="240" w:lineRule="auto"/>
        <w:jc w:val="both"/>
        <w:rPr>
          <w:rFonts w:cstheme="minorHAnsi"/>
          <w:color w:val="000000"/>
          <w:shd w:val="clear" w:color="auto" w:fill="FFFFFF"/>
        </w:rPr>
      </w:pPr>
      <w:r>
        <w:t>One of the main issue</w:t>
      </w:r>
      <w:r w:rsidR="00FF2712">
        <w:t>s</w:t>
      </w:r>
      <w:r>
        <w:t xml:space="preserve"> facing </w:t>
      </w:r>
      <w:r w:rsidR="00174B11">
        <w:t>minor</w:t>
      </w:r>
      <w:r w:rsidR="007869F5">
        <w:t>ities</w:t>
      </w:r>
      <w:r w:rsidR="00174B11">
        <w:t xml:space="preserve"> and </w:t>
      </w:r>
      <w:r>
        <w:t xml:space="preserve">indigenous populations is the right to adequate housing. When indigenous peoples’ lands are taken </w:t>
      </w:r>
      <w:r w:rsidR="00FF2712">
        <w:t xml:space="preserve">over </w:t>
      </w:r>
      <w:r>
        <w:t xml:space="preserve">by corporations to be industrially exploited, the indigenous people who traditionally lived on those territories are forced to relocate. </w:t>
      </w:r>
      <w:r w:rsidR="003B7DAE">
        <w:t xml:space="preserve">Such forced relocation is worsened by transmigration programs which bring non-natives to indigenous areas. In 2013, the issue of eviction in Indonesia attracted the concern of the UN Special Rapporteur on Adequate Housing, who pointed at the fact </w:t>
      </w:r>
      <w:r w:rsidR="003B7DAE" w:rsidRPr="003B7DAE">
        <w:rPr>
          <w:rFonts w:cstheme="minorHAnsi"/>
        </w:rPr>
        <w:t>that</w:t>
      </w:r>
      <w:r w:rsidR="003B7DAE">
        <w:rPr>
          <w:rFonts w:cstheme="minorHAnsi"/>
        </w:rPr>
        <w:t xml:space="preserve"> “</w:t>
      </w:r>
      <w:r w:rsidR="003B7DAE" w:rsidRPr="003B7DAE">
        <w:rPr>
          <w:rFonts w:cstheme="minorHAnsi"/>
          <w:color w:val="000000"/>
          <w:shd w:val="clear" w:color="auto" w:fill="FFFFFF"/>
        </w:rPr>
        <w:t>in some cases development is having a retrogressive impact on the right to adequate housing</w:t>
      </w:r>
      <w:r w:rsidR="003B7DAE">
        <w:rPr>
          <w:rFonts w:cstheme="minorHAnsi"/>
          <w:color w:val="000000"/>
          <w:shd w:val="clear" w:color="auto" w:fill="FFFFFF"/>
        </w:rPr>
        <w:t>”.</w:t>
      </w:r>
      <w:r w:rsidR="003B7DAE">
        <w:rPr>
          <w:rStyle w:val="FootnoteReference"/>
          <w:rFonts w:cstheme="minorHAnsi"/>
          <w:color w:val="000000"/>
          <w:shd w:val="clear" w:color="auto" w:fill="FFFFFF"/>
        </w:rPr>
        <w:footnoteReference w:id="51"/>
      </w:r>
      <w:r w:rsidR="00551ECF">
        <w:rPr>
          <w:rFonts w:cstheme="minorHAnsi"/>
          <w:color w:val="000000"/>
          <w:shd w:val="clear" w:color="auto" w:fill="FFFFFF"/>
        </w:rPr>
        <w:t xml:space="preserve">  The situation is particularly critical for refugees returning to West Papua, as they are promised housing and job opportunities that are not</w:t>
      </w:r>
      <w:r w:rsidR="00CE71E8">
        <w:rPr>
          <w:rFonts w:cstheme="minorHAnsi"/>
          <w:color w:val="000000"/>
          <w:shd w:val="clear" w:color="auto" w:fill="FFFFFF"/>
        </w:rPr>
        <w:t xml:space="preserve"> a</w:t>
      </w:r>
      <w:r w:rsidR="00551ECF">
        <w:rPr>
          <w:rFonts w:cstheme="minorHAnsi"/>
          <w:color w:val="000000"/>
          <w:shd w:val="clear" w:color="auto" w:fill="FFFFFF"/>
        </w:rPr>
        <w:t>vailable. For example, a Papuan returnee reported to have lived with his family in a tem</w:t>
      </w:r>
      <w:r w:rsidR="00CE71E8">
        <w:rPr>
          <w:rFonts w:cstheme="minorHAnsi"/>
          <w:color w:val="000000"/>
          <w:shd w:val="clear" w:color="auto" w:fill="FFFFFF"/>
        </w:rPr>
        <w:t>porary shelter for more than three years</w:t>
      </w:r>
      <w:r w:rsidR="00551ECF">
        <w:rPr>
          <w:rFonts w:cstheme="minorHAnsi"/>
          <w:color w:val="000000"/>
          <w:shd w:val="clear" w:color="auto" w:fill="FFFFFF"/>
        </w:rPr>
        <w:t>.</w:t>
      </w:r>
      <w:r w:rsidR="00551ECF">
        <w:rPr>
          <w:rStyle w:val="FootnoteReference"/>
          <w:rFonts w:cstheme="minorHAnsi"/>
          <w:color w:val="000000"/>
          <w:shd w:val="clear" w:color="auto" w:fill="FFFFFF"/>
        </w:rPr>
        <w:footnoteReference w:id="52"/>
      </w:r>
      <w:r w:rsidR="00551ECF">
        <w:rPr>
          <w:rFonts w:cstheme="minorHAnsi"/>
          <w:color w:val="000000"/>
          <w:shd w:val="clear" w:color="auto" w:fill="FFFFFF"/>
        </w:rPr>
        <w:t xml:space="preserve"> </w:t>
      </w:r>
    </w:p>
    <w:p w:rsidR="00423CD7" w:rsidRDefault="00551ECF" w:rsidP="00747D61">
      <w:pPr>
        <w:spacing w:before="100" w:beforeAutospacing="1" w:after="100" w:afterAutospacing="1" w:line="240" w:lineRule="auto"/>
        <w:jc w:val="both"/>
        <w:rPr>
          <w:rFonts w:cstheme="minorHAnsi"/>
          <w:color w:val="000000"/>
          <w:shd w:val="clear" w:color="auto" w:fill="FFFFFF"/>
        </w:rPr>
      </w:pPr>
      <w:r>
        <w:rPr>
          <w:rFonts w:cstheme="minorHAnsi"/>
          <w:color w:val="000000"/>
          <w:shd w:val="clear" w:color="auto" w:fill="FFFFFF"/>
        </w:rPr>
        <w:t xml:space="preserve">Additionally, </w:t>
      </w:r>
      <w:r w:rsidR="006A33AA">
        <w:rPr>
          <w:rFonts w:cstheme="minorHAnsi"/>
          <w:color w:val="000000"/>
          <w:shd w:val="clear" w:color="auto" w:fill="FFFFFF"/>
        </w:rPr>
        <w:t>indigenous peoples’ housing facilities generally present low quality services</w:t>
      </w:r>
      <w:r w:rsidR="00DC0A8D">
        <w:rPr>
          <w:rFonts w:cstheme="minorHAnsi"/>
          <w:color w:val="000000"/>
          <w:shd w:val="clear" w:color="auto" w:fill="FFFFFF"/>
        </w:rPr>
        <w:t xml:space="preserve">, lack electricity, drinking water, and accessibility by road. </w:t>
      </w:r>
      <w:r w:rsidR="00423CD7">
        <w:rPr>
          <w:rFonts w:cstheme="minorHAnsi"/>
          <w:color w:val="000000"/>
          <w:shd w:val="clear" w:color="auto" w:fill="FFFFFF"/>
        </w:rPr>
        <w:t>In Aceh, despite a generally effective post-tsunami reconstruction, some houses remain inhabitable because of lack of water and sanitation facilities.</w:t>
      </w:r>
      <w:r w:rsidR="00423CD7">
        <w:rPr>
          <w:rStyle w:val="FootnoteReference"/>
          <w:rFonts w:cstheme="minorHAnsi"/>
          <w:color w:val="000000"/>
          <w:shd w:val="clear" w:color="auto" w:fill="FFFFFF"/>
        </w:rPr>
        <w:footnoteReference w:id="53"/>
      </w:r>
      <w:r w:rsidR="00CE71E8">
        <w:rPr>
          <w:rFonts w:cstheme="minorHAnsi"/>
          <w:color w:val="000000"/>
          <w:shd w:val="clear" w:color="auto" w:fill="FFFFFF"/>
        </w:rPr>
        <w:t xml:space="preserve"> </w:t>
      </w:r>
      <w:r w:rsidR="00DC0A8D">
        <w:rPr>
          <w:rFonts w:cstheme="minorHAnsi"/>
          <w:color w:val="000000"/>
          <w:shd w:val="clear" w:color="auto" w:fill="FFFFFF"/>
        </w:rPr>
        <w:t>T</w:t>
      </w:r>
      <w:r w:rsidR="006A33AA">
        <w:rPr>
          <w:rFonts w:cstheme="minorHAnsi"/>
          <w:color w:val="000000"/>
          <w:shd w:val="clear" w:color="auto" w:fill="FFFFFF"/>
        </w:rPr>
        <w:t>he percentage of households with access to clean</w:t>
      </w:r>
      <w:r w:rsidR="00FF7332">
        <w:rPr>
          <w:rFonts w:cstheme="minorHAnsi"/>
          <w:color w:val="000000"/>
          <w:shd w:val="clear" w:color="auto" w:fill="FFFFFF"/>
        </w:rPr>
        <w:t xml:space="preserve"> drinking water in Papua (26%) </w:t>
      </w:r>
      <w:r w:rsidR="006A33AA">
        <w:rPr>
          <w:rFonts w:cstheme="minorHAnsi"/>
          <w:color w:val="000000"/>
          <w:shd w:val="clear" w:color="auto" w:fill="FFFFFF"/>
        </w:rPr>
        <w:t>and Aceh</w:t>
      </w:r>
      <w:r w:rsidR="00FF7332">
        <w:rPr>
          <w:rFonts w:cstheme="minorHAnsi"/>
          <w:color w:val="000000"/>
          <w:shd w:val="clear" w:color="auto" w:fill="FFFFFF"/>
        </w:rPr>
        <w:t xml:space="preserve"> </w:t>
      </w:r>
      <w:r w:rsidR="006A33AA">
        <w:rPr>
          <w:rFonts w:cstheme="minorHAnsi"/>
          <w:color w:val="000000"/>
          <w:shd w:val="clear" w:color="auto" w:fill="FFFFFF"/>
        </w:rPr>
        <w:t xml:space="preserve">(28%) is </w:t>
      </w:r>
      <w:r w:rsidR="00FF7332">
        <w:rPr>
          <w:rFonts w:cstheme="minorHAnsi"/>
          <w:color w:val="000000"/>
          <w:shd w:val="clear" w:color="auto" w:fill="FFFFFF"/>
        </w:rPr>
        <w:t xml:space="preserve">significantly </w:t>
      </w:r>
      <w:r w:rsidR="006A33AA">
        <w:rPr>
          <w:rFonts w:cstheme="minorHAnsi"/>
          <w:color w:val="000000"/>
          <w:shd w:val="clear" w:color="auto" w:fill="FFFFFF"/>
        </w:rPr>
        <w:t>inferior to the national average (43%) and the situation in 2011 appears to be deteriorated in comparison with 2009.</w:t>
      </w:r>
      <w:r w:rsidR="006A33AA">
        <w:rPr>
          <w:rStyle w:val="FootnoteReference"/>
          <w:rFonts w:cstheme="minorHAnsi"/>
          <w:color w:val="000000"/>
          <w:shd w:val="clear" w:color="auto" w:fill="FFFFFF"/>
        </w:rPr>
        <w:footnoteReference w:id="54"/>
      </w:r>
      <w:r w:rsidR="006A33AA">
        <w:rPr>
          <w:rFonts w:cstheme="minorHAnsi"/>
          <w:color w:val="000000"/>
          <w:shd w:val="clear" w:color="auto" w:fill="FFFFFF"/>
        </w:rPr>
        <w:t xml:space="preserve"> </w:t>
      </w:r>
      <w:r w:rsidR="00FF7332">
        <w:rPr>
          <w:rFonts w:cstheme="minorHAnsi"/>
          <w:color w:val="000000"/>
          <w:shd w:val="clear" w:color="auto" w:fill="FFFFFF"/>
        </w:rPr>
        <w:t xml:space="preserve"> The</w:t>
      </w:r>
      <w:r w:rsidR="006A33AA">
        <w:rPr>
          <w:rFonts w:cstheme="minorHAnsi"/>
          <w:color w:val="000000"/>
          <w:shd w:val="clear" w:color="auto" w:fill="FFFFFF"/>
        </w:rPr>
        <w:t xml:space="preserve"> alarmin</w:t>
      </w:r>
      <w:r w:rsidR="00FF7332">
        <w:rPr>
          <w:rFonts w:cstheme="minorHAnsi"/>
          <w:color w:val="000000"/>
          <w:shd w:val="clear" w:color="auto" w:fill="FFFFFF"/>
        </w:rPr>
        <w:t>g decrease in access to clean</w:t>
      </w:r>
      <w:r w:rsidR="006A33AA">
        <w:rPr>
          <w:rFonts w:cstheme="minorHAnsi"/>
          <w:color w:val="000000"/>
          <w:shd w:val="clear" w:color="auto" w:fill="FFFFFF"/>
        </w:rPr>
        <w:t xml:space="preserve"> water is certainly worsened by the general envi</w:t>
      </w:r>
      <w:r w:rsidR="00777BAE">
        <w:rPr>
          <w:rFonts w:cstheme="minorHAnsi"/>
          <w:color w:val="000000"/>
          <w:shd w:val="clear" w:color="auto" w:fill="FFFFFF"/>
        </w:rPr>
        <w:t xml:space="preserve">ronmental degradation caused by the massive exploitation of resource-rich indigenous lands at the hand of corporate entities. </w:t>
      </w:r>
    </w:p>
    <w:p w:rsidR="00272035" w:rsidRDefault="00777BAE" w:rsidP="00747D61">
      <w:pPr>
        <w:spacing w:before="100" w:beforeAutospacing="1" w:after="100" w:afterAutospacing="1" w:line="240" w:lineRule="auto"/>
        <w:jc w:val="both"/>
      </w:pPr>
      <w:r>
        <w:t xml:space="preserve">The exploitation of indigenous lands once used for subsistence agriculture and farming has also led to major food insecurity for indigenous peoples in Indonesia. </w:t>
      </w:r>
      <w:r w:rsidR="00617E55">
        <w:t>Unable to</w:t>
      </w:r>
      <w:r w:rsidR="00174B11">
        <w:t xml:space="preserve"> derive food from their forests</w:t>
      </w:r>
      <w:r w:rsidR="00617E55">
        <w:t xml:space="preserve"> </w:t>
      </w:r>
      <w:r w:rsidR="00174B11" w:rsidRPr="003200D2">
        <w:t xml:space="preserve">and to </w:t>
      </w:r>
      <w:r w:rsidR="00617E55" w:rsidRPr="003200D2">
        <w:t>earn en</w:t>
      </w:r>
      <w:r w:rsidR="007869F5" w:rsidRPr="003200D2">
        <w:t>ough money to feed their families</w:t>
      </w:r>
      <w:r w:rsidR="00174B11" w:rsidRPr="003200D2">
        <w:t xml:space="preserve">, </w:t>
      </w:r>
      <w:r w:rsidR="00617E55" w:rsidRPr="003200D2">
        <w:t>indigenous peoples are increasingly becoming victims of malnutrition.</w:t>
      </w:r>
      <w:r w:rsidR="00F24157" w:rsidRPr="003200D2">
        <w:t xml:space="preserve"> For example, industrial activities on Aru island, South Moluccas, resulted in widespread water and soil contamination, making small-scale agriculture and farming extremely difficult. </w:t>
      </w:r>
      <w:r w:rsidR="00617E55" w:rsidRPr="003200D2">
        <w:t xml:space="preserve"> </w:t>
      </w:r>
      <w:r w:rsidRPr="003200D2">
        <w:t>The situation is particularly critical in the regions of West Papua that have become part of the MIFEE project and similar</w:t>
      </w:r>
      <w:r>
        <w:t xml:space="preserve"> large-scale agro-industrial activities. The alarm was launched </w:t>
      </w:r>
      <w:r w:rsidR="00AE461C">
        <w:t>in 2012</w:t>
      </w:r>
      <w:r>
        <w:t xml:space="preserve"> by the Special Rapporteurs on Indigenous Peoples and the Right to Food: “the project to migrate from 1 to 2 million hectares of rainforest and </w:t>
      </w:r>
      <w:r w:rsidR="00AE461C">
        <w:t>small agricultural plots in a large plantation for export to the market of a</w:t>
      </w:r>
      <w:r w:rsidR="00DC4249">
        <w:t>gro fuels, in the region of Mer</w:t>
      </w:r>
      <w:r w:rsidR="00AE461C">
        <w:t>a</w:t>
      </w:r>
      <w:r w:rsidR="00DC4249">
        <w:t>u</w:t>
      </w:r>
      <w:r w:rsidR="00AE461C">
        <w:t>ke, Indonesia, could have an impact on food security of 500,000 people”.</w:t>
      </w:r>
      <w:r w:rsidR="00AE461C">
        <w:rPr>
          <w:rStyle w:val="FootnoteReference"/>
        </w:rPr>
        <w:footnoteReference w:id="55"/>
      </w:r>
      <w:r w:rsidR="00AE461C">
        <w:t xml:space="preserve">   This lack of access to food is particularly impacting children living in villages in the proximity of industrial plantations, such as Zanegi and Baad villages in West Papua, where acute hunger and child malnutrition has been recently documented.</w:t>
      </w:r>
      <w:r w:rsidR="00AE461C">
        <w:rPr>
          <w:rStyle w:val="FootnoteReference"/>
        </w:rPr>
        <w:footnoteReference w:id="56"/>
      </w:r>
      <w:r w:rsidR="00AE461C">
        <w:t xml:space="preserve"> </w:t>
      </w:r>
    </w:p>
    <w:p w:rsidR="007869F5" w:rsidRDefault="007869F5" w:rsidP="00747D61">
      <w:pPr>
        <w:pStyle w:val="Heading2"/>
        <w:jc w:val="both"/>
      </w:pPr>
      <w:bookmarkStart w:id="15" w:name="_Toc350766690"/>
    </w:p>
    <w:p w:rsidR="00EC3490" w:rsidRDefault="0093120A" w:rsidP="00747D61">
      <w:pPr>
        <w:pStyle w:val="Heading2"/>
        <w:jc w:val="both"/>
      </w:pPr>
      <w:r>
        <w:t xml:space="preserve">Article 12 – Right to </w:t>
      </w:r>
      <w:r w:rsidR="005202AA">
        <w:t>h</w:t>
      </w:r>
      <w:r w:rsidR="00EC3490">
        <w:t>ealth</w:t>
      </w:r>
      <w:bookmarkEnd w:id="15"/>
    </w:p>
    <w:p w:rsidR="00EC3490" w:rsidRPr="004F6831" w:rsidRDefault="00EC3490" w:rsidP="00747D61">
      <w:pPr>
        <w:spacing w:before="100" w:beforeAutospacing="1" w:after="100" w:afterAutospacing="1" w:line="240" w:lineRule="auto"/>
        <w:jc w:val="both"/>
        <w:rPr>
          <w:i/>
          <w:sz w:val="24"/>
          <w:szCs w:val="24"/>
        </w:rPr>
      </w:pPr>
      <w:r w:rsidRPr="008D3027">
        <w:rPr>
          <w:rStyle w:val="Strong"/>
          <w:sz w:val="24"/>
        </w:rPr>
        <w:t xml:space="preserve">Article </w:t>
      </w:r>
      <w:r>
        <w:rPr>
          <w:rStyle w:val="Strong"/>
          <w:sz w:val="24"/>
        </w:rPr>
        <w:t>12</w:t>
      </w:r>
      <w:r w:rsidRPr="008D3027">
        <w:rPr>
          <w:rStyle w:val="Strong"/>
          <w:sz w:val="24"/>
        </w:rPr>
        <w:t xml:space="preserve"> </w:t>
      </w:r>
      <w:r>
        <w:rPr>
          <w:rStyle w:val="Strong"/>
          <w:b w:val="0"/>
          <w:i/>
          <w:sz w:val="24"/>
          <w:szCs w:val="24"/>
        </w:rPr>
        <w:t xml:space="preserve">requires State Parties to </w:t>
      </w:r>
      <w:r w:rsidR="00DC4249">
        <w:rPr>
          <w:rStyle w:val="Strong"/>
          <w:b w:val="0"/>
          <w:i/>
          <w:sz w:val="24"/>
          <w:szCs w:val="24"/>
        </w:rPr>
        <w:t>“</w:t>
      </w:r>
      <w:r w:rsidRPr="00EC3490">
        <w:rPr>
          <w:rStyle w:val="Strong"/>
          <w:b w:val="0"/>
          <w:i/>
          <w:sz w:val="24"/>
          <w:szCs w:val="24"/>
        </w:rPr>
        <w:t xml:space="preserve">recognize </w:t>
      </w:r>
      <w:r w:rsidRPr="00EC3490">
        <w:rPr>
          <w:i/>
          <w:sz w:val="24"/>
          <w:szCs w:val="24"/>
        </w:rPr>
        <w:t xml:space="preserve">the right of everyone to the enjoyment of the highest attainable </w:t>
      </w:r>
      <w:r w:rsidRPr="004F6831">
        <w:rPr>
          <w:i/>
          <w:sz w:val="24"/>
          <w:szCs w:val="24"/>
        </w:rPr>
        <w:t>standard of physical and mental health, and the improvement of all aspects of envir</w:t>
      </w:r>
      <w:r w:rsidR="00DC4249">
        <w:rPr>
          <w:i/>
          <w:sz w:val="24"/>
          <w:szCs w:val="24"/>
        </w:rPr>
        <w:t>onmental and industrial hygiene”.</w:t>
      </w:r>
    </w:p>
    <w:p w:rsidR="00831689" w:rsidRDefault="00831689" w:rsidP="00747D61">
      <w:pPr>
        <w:spacing w:before="100" w:beforeAutospacing="1" w:after="100" w:afterAutospacing="1" w:line="240" w:lineRule="auto"/>
        <w:jc w:val="both"/>
      </w:pPr>
      <w:r>
        <w:t>Indigenous peoples and minorities in Indonesia have faced serious challenges in maintaining an adequate standard of health. While art.28H of the Indonesia</w:t>
      </w:r>
      <w:r w:rsidR="00500933">
        <w:t>n</w:t>
      </w:r>
      <w:r>
        <w:t xml:space="preserve"> </w:t>
      </w:r>
      <w:r w:rsidR="00500933">
        <w:t>C</w:t>
      </w:r>
      <w:r>
        <w:t>onstitution recognizes the right to a “healthy environment” and “medical care”; industrial projects promoted by the Indonesian government have generally ignored the health and environmental consequences faced by the people living in neighboring areas. Industrial activities have resulted in intense environmental degradation, which can lead to disease</w:t>
      </w:r>
      <w:r w:rsidR="007869F5">
        <w:t>s</w:t>
      </w:r>
      <w:r>
        <w:t xml:space="preserve"> related to lack of clean drinking water and the dispersion of noxious substances. To give only one example of such environmental degradation, in January 2014, a court ruling estimated that the environmental reparation costs for the environmental degradation caused by a palm oil company in Aceh amounted to 20million USD.</w:t>
      </w:r>
      <w:r>
        <w:rPr>
          <w:rStyle w:val="FootnoteReference"/>
        </w:rPr>
        <w:footnoteReference w:id="57"/>
      </w:r>
      <w:r>
        <w:t xml:space="preserve"> Unfortunately, most environmental damage in other regions goes unrecorded and unpunished. </w:t>
      </w:r>
    </w:p>
    <w:p w:rsidR="00831689" w:rsidRDefault="00831689" w:rsidP="00747D61">
      <w:pPr>
        <w:spacing w:before="100" w:beforeAutospacing="1" w:after="100" w:afterAutospacing="1" w:line="240" w:lineRule="auto"/>
        <w:jc w:val="both"/>
      </w:pPr>
      <w:r>
        <w:t>The food insecurity derived from indigenous peoples’ poverty and lack of access to the forests has led to serious malnutrition and related diseases. Children are the most affected by malnutrition and other diseases, which often lead to elevated child mortality</w:t>
      </w:r>
      <w:r w:rsidR="007869F5">
        <w:t xml:space="preserve"> in minority and indigenous areas</w:t>
      </w:r>
      <w:r>
        <w:t>. South Moluccas is the fourth worse off province of Indonesia, with an infant mortality rate of 60/1000 births, which appears disproportionately high in comparison with a national average of 34/1000.</w:t>
      </w:r>
      <w:r>
        <w:rPr>
          <w:rStyle w:val="FootnoteReference"/>
        </w:rPr>
        <w:footnoteReference w:id="58"/>
      </w:r>
      <w:r>
        <w:t xml:space="preserve"> In Papua</w:t>
      </w:r>
      <w:r w:rsidR="007869F5">
        <w:t>,</w:t>
      </w:r>
      <w:r>
        <w:t xml:space="preserve"> infant mortality amounts t</w:t>
      </w:r>
      <w:r w:rsidR="007869F5">
        <w:t>o 41/1000 and in Papua Barat to 36/1000. Yet,</w:t>
      </w:r>
      <w:r>
        <w:t xml:space="preserve"> when data is broken down for indigenous and non-indigenous inhabitants of the regions, rates go up to 139/1000 for indigenous children in urban areas and to 189/1000</w:t>
      </w:r>
      <w:r w:rsidR="007869F5">
        <w:t xml:space="preserve"> for those</w:t>
      </w:r>
      <w:r>
        <w:t xml:space="preserve"> in rural areas.</w:t>
      </w:r>
      <w:r>
        <w:rPr>
          <w:rStyle w:val="FootnoteReference"/>
        </w:rPr>
        <w:footnoteReference w:id="59"/>
      </w:r>
      <w:r>
        <w:t xml:space="preserve"> A similar disproportion exists with regard to maternal mortality.</w:t>
      </w:r>
      <w:r>
        <w:rPr>
          <w:rStyle w:val="FootnoteReference"/>
        </w:rPr>
        <w:footnoteReference w:id="60"/>
      </w:r>
      <w:r>
        <w:t xml:space="preserve"> This is connected to the fact that most health care facilities are located in urban areas, where most non-natives live.</w:t>
      </w:r>
      <w:r>
        <w:rPr>
          <w:rStyle w:val="FootnoteReference"/>
        </w:rPr>
        <w:footnoteReference w:id="61"/>
      </w:r>
      <w:r>
        <w:t xml:space="preserve"> This trend does not seem to be improving: between January and April 2013, five children have been reported to die because of malnutrition only in one Papua village (Zanegi Village).</w:t>
      </w:r>
      <w:r>
        <w:rPr>
          <w:rStyle w:val="FootnoteReference"/>
        </w:rPr>
        <w:footnoteReference w:id="62"/>
      </w:r>
      <w:r>
        <w:t xml:space="preserve"> </w:t>
      </w:r>
    </w:p>
    <w:p w:rsidR="00831689" w:rsidRDefault="00831689" w:rsidP="00747D61">
      <w:pPr>
        <w:spacing w:before="100" w:beforeAutospacing="1" w:after="100" w:afterAutospacing="1" w:line="240" w:lineRule="auto"/>
        <w:jc w:val="both"/>
      </w:pPr>
      <w:r>
        <w:t xml:space="preserve">Another major health issue for indigenous people is the spreading of AIDS/HIV. According to the Indonesian National AIDS Commission, in 2012 Papua and Papua Barat were subject to a “generalized HIV epidemic” which interested 2.4% of the local population in comparison with a national average of 0.3%. </w:t>
      </w:r>
      <w:r>
        <w:rPr>
          <w:rStyle w:val="FootnoteReference"/>
        </w:rPr>
        <w:footnoteReference w:id="63"/>
      </w:r>
      <w:r>
        <w:t xml:space="preserve"> Along with the lack of </w:t>
      </w:r>
      <w:r w:rsidR="007869F5">
        <w:t xml:space="preserve">health </w:t>
      </w:r>
      <w:r>
        <w:t>care facilities, this high HIV rates may be due to indigenous peoples’ lack of access to education related to health and diseases. While statistics broken down for indigenous and non-indigenous people are not available, people living in urban areas have been found to be 20% more aware of risks related to HIV than rural inhabitants.</w:t>
      </w:r>
      <w:r>
        <w:rPr>
          <w:rStyle w:val="FootnoteReference"/>
        </w:rPr>
        <w:footnoteReference w:id="64"/>
      </w:r>
      <w:r>
        <w:t xml:space="preserve"> </w:t>
      </w:r>
    </w:p>
    <w:p w:rsidR="00831689" w:rsidRDefault="00831689" w:rsidP="00747D61">
      <w:pPr>
        <w:spacing w:before="100" w:beforeAutospacing="1" w:after="100" w:afterAutospacing="1" w:line="240" w:lineRule="auto"/>
        <w:jc w:val="both"/>
      </w:pPr>
      <w:r>
        <w:t>In January 2014, the Indonesian government launched the Social Security Organizing Body (BPJS), which</w:t>
      </w:r>
      <w:r w:rsidR="007869F5">
        <w:t>,</w:t>
      </w:r>
      <w:r>
        <w:t xml:space="preserve"> according to a law on the National Social Security System passed in 2004, will provide universal access to healthcare. However,</w:t>
      </w:r>
      <w:r w:rsidR="007869F5">
        <w:t xml:space="preserve"> external observers estimated that</w:t>
      </w:r>
      <w:r>
        <w:t xml:space="preserve"> the 1.7millionUSD allocated for the plan </w:t>
      </w:r>
      <w:r w:rsidR="007869F5">
        <w:t xml:space="preserve">will only cover </w:t>
      </w:r>
      <w:r>
        <w:t>40% of what would be necessary to provide adequate health to all Indonesians.</w:t>
      </w:r>
      <w:r>
        <w:rPr>
          <w:rStyle w:val="FootnoteReference"/>
        </w:rPr>
        <w:footnoteReference w:id="65"/>
      </w:r>
      <w:r>
        <w:t xml:space="preserve"> Consequently, while the establishment of the BPJS is a step forward, it is unlikely to ensure the right to heath for all Indonesians in the short-term, particularly for indigenous </w:t>
      </w:r>
      <w:r w:rsidR="007869F5">
        <w:t xml:space="preserve">peoples living in remote areas, where building health care facilities results more costly. </w:t>
      </w:r>
    </w:p>
    <w:p w:rsidR="00831689" w:rsidRDefault="00831689" w:rsidP="00747D61">
      <w:pPr>
        <w:spacing w:before="100" w:beforeAutospacing="1" w:after="100" w:afterAutospacing="1" w:line="240" w:lineRule="auto"/>
        <w:jc w:val="both"/>
      </w:pPr>
    </w:p>
    <w:p w:rsidR="001E23DD" w:rsidRDefault="005202AA" w:rsidP="00747D61">
      <w:pPr>
        <w:pStyle w:val="Heading2"/>
        <w:jc w:val="both"/>
      </w:pPr>
      <w:bookmarkStart w:id="16" w:name="_Toc350766691"/>
      <w:bookmarkStart w:id="17" w:name="_Toc350351043"/>
      <w:r>
        <w:t>Article 13 – Right to e</w:t>
      </w:r>
      <w:r w:rsidR="001E23DD">
        <w:t>ducation</w:t>
      </w:r>
      <w:bookmarkEnd w:id="16"/>
    </w:p>
    <w:p w:rsidR="001E23DD" w:rsidRDefault="001E23DD" w:rsidP="00747D61">
      <w:pPr>
        <w:spacing w:before="100" w:beforeAutospacing="1" w:after="100" w:afterAutospacing="1" w:line="240" w:lineRule="auto"/>
        <w:jc w:val="both"/>
        <w:rPr>
          <w:i/>
          <w:sz w:val="24"/>
          <w:szCs w:val="24"/>
        </w:rPr>
      </w:pPr>
      <w:r w:rsidRPr="008D3027">
        <w:rPr>
          <w:rStyle w:val="Strong"/>
          <w:sz w:val="24"/>
        </w:rPr>
        <w:t xml:space="preserve">Article </w:t>
      </w:r>
      <w:r>
        <w:rPr>
          <w:rStyle w:val="Strong"/>
          <w:sz w:val="24"/>
        </w:rPr>
        <w:t>13</w:t>
      </w:r>
      <w:r w:rsidR="00EF4078">
        <w:rPr>
          <w:rStyle w:val="Strong"/>
          <w:sz w:val="24"/>
        </w:rPr>
        <w:t xml:space="preserve"> </w:t>
      </w:r>
      <w:r w:rsidR="00EF4078" w:rsidRPr="00EF4078">
        <w:rPr>
          <w:rStyle w:val="Strong"/>
          <w:b w:val="0"/>
          <w:i/>
          <w:sz w:val="24"/>
        </w:rPr>
        <w:t>states that</w:t>
      </w:r>
      <w:r w:rsidR="00EF4078">
        <w:rPr>
          <w:rStyle w:val="Strong"/>
          <w:sz w:val="24"/>
        </w:rPr>
        <w:t xml:space="preserve"> </w:t>
      </w:r>
      <w:r w:rsidRPr="001E23DD">
        <w:rPr>
          <w:rStyle w:val="Strong"/>
          <w:b w:val="0"/>
          <w:i/>
          <w:sz w:val="24"/>
          <w:szCs w:val="24"/>
        </w:rPr>
        <w:t xml:space="preserve">State Parties “recognize </w:t>
      </w:r>
      <w:r w:rsidRPr="001E23DD">
        <w:rPr>
          <w:i/>
          <w:sz w:val="24"/>
          <w:szCs w:val="24"/>
        </w:rPr>
        <w:t xml:space="preserve">the right of everyone to education. </w:t>
      </w:r>
      <w:r w:rsidRPr="001E23DD">
        <w:rPr>
          <w:i/>
          <w:color w:val="000000"/>
          <w:sz w:val="24"/>
          <w:szCs w:val="24"/>
          <w:shd w:val="clear" w:color="auto" w:fill="FFFFFF"/>
        </w:rPr>
        <w:t>They agree that education shall be directed to the full development of the human personality and the sense of its dignity, and shall strengthen the respect for human r</w:t>
      </w:r>
      <w:r w:rsidR="00EF4078">
        <w:rPr>
          <w:i/>
          <w:color w:val="000000"/>
          <w:sz w:val="24"/>
          <w:szCs w:val="24"/>
          <w:shd w:val="clear" w:color="auto" w:fill="FFFFFF"/>
        </w:rPr>
        <w:t>ights and fundamental freedoms</w:t>
      </w:r>
      <w:r w:rsidR="00BB1101">
        <w:rPr>
          <w:i/>
          <w:color w:val="000000"/>
          <w:sz w:val="24"/>
          <w:szCs w:val="24"/>
          <w:shd w:val="clear" w:color="auto" w:fill="FFFFFF"/>
        </w:rPr>
        <w:t>” and that “</w:t>
      </w:r>
      <w:r w:rsidR="00EF4078">
        <w:rPr>
          <w:i/>
          <w:color w:val="000000"/>
          <w:sz w:val="24"/>
          <w:szCs w:val="24"/>
          <w:shd w:val="clear" w:color="auto" w:fill="FFFFFF"/>
        </w:rPr>
        <w:t xml:space="preserve">(e) </w:t>
      </w:r>
      <w:r w:rsidR="00BB1101">
        <w:rPr>
          <w:rFonts w:cstheme="minorHAnsi"/>
          <w:i/>
          <w:color w:val="000000"/>
          <w:sz w:val="24"/>
          <w:szCs w:val="24"/>
          <w:shd w:val="clear" w:color="auto" w:fill="FFFFFF"/>
        </w:rPr>
        <w:t>t</w:t>
      </w:r>
      <w:r w:rsidR="00EF4078" w:rsidRPr="00EF4078">
        <w:rPr>
          <w:rFonts w:cstheme="minorHAnsi"/>
          <w:i/>
          <w:color w:val="000000"/>
          <w:sz w:val="24"/>
          <w:szCs w:val="24"/>
          <w:shd w:val="clear" w:color="auto" w:fill="FFFFFF"/>
        </w:rPr>
        <w:t>he development of a system of schools at all levels shall be actively pursued, an adequate fellowship system shall be established, and the material conditions of teaching staff shall be continuously improved.</w:t>
      </w:r>
      <w:r w:rsidR="00BB1101">
        <w:rPr>
          <w:rFonts w:cstheme="minorHAnsi"/>
          <w:i/>
          <w:color w:val="000000"/>
          <w:sz w:val="24"/>
          <w:szCs w:val="24"/>
          <w:shd w:val="clear" w:color="auto" w:fill="FFFFFF"/>
        </w:rPr>
        <w:t>”</w:t>
      </w:r>
    </w:p>
    <w:p w:rsidR="00DE0734" w:rsidRDefault="00831689" w:rsidP="00747D61">
      <w:pPr>
        <w:spacing w:before="120" w:after="120" w:line="240" w:lineRule="auto"/>
        <w:jc w:val="both"/>
        <w:rPr>
          <w:szCs w:val="24"/>
        </w:rPr>
      </w:pPr>
      <w:r>
        <w:rPr>
          <w:szCs w:val="24"/>
        </w:rPr>
        <w:t xml:space="preserve">Art.31.1 of the </w:t>
      </w:r>
      <w:r w:rsidR="004E3CEE">
        <w:rPr>
          <w:szCs w:val="24"/>
        </w:rPr>
        <w:t xml:space="preserve">1945 Indonesian </w:t>
      </w:r>
      <w:r w:rsidR="00500933">
        <w:rPr>
          <w:szCs w:val="24"/>
        </w:rPr>
        <w:t>C</w:t>
      </w:r>
      <w:r w:rsidR="004E3CEE">
        <w:rPr>
          <w:szCs w:val="24"/>
        </w:rPr>
        <w:t>onstitution recognizes the right of ever</w:t>
      </w:r>
      <w:r>
        <w:rPr>
          <w:szCs w:val="24"/>
        </w:rPr>
        <w:t>y citizen to receive education.</w:t>
      </w:r>
      <w:r w:rsidR="007869F5">
        <w:rPr>
          <w:rStyle w:val="FootnoteReference"/>
          <w:szCs w:val="24"/>
        </w:rPr>
        <w:footnoteReference w:id="66"/>
      </w:r>
      <w:r>
        <w:rPr>
          <w:szCs w:val="24"/>
        </w:rPr>
        <w:t xml:space="preserve"> </w:t>
      </w:r>
      <w:r w:rsidR="00CA008A">
        <w:rPr>
          <w:szCs w:val="24"/>
        </w:rPr>
        <w:t xml:space="preserve">Overall, Indonesia has a positive history with regard to improvements in education and literacy: </w:t>
      </w:r>
      <w:r w:rsidR="009F73DD">
        <w:rPr>
          <w:szCs w:val="24"/>
        </w:rPr>
        <w:t>on average 93% of the population can read and write, and elementary school enrolment rates exceed 90%.</w:t>
      </w:r>
      <w:r w:rsidR="00DE0734">
        <w:rPr>
          <w:rStyle w:val="FootnoteReference"/>
          <w:szCs w:val="24"/>
        </w:rPr>
        <w:footnoteReference w:id="67"/>
      </w:r>
      <w:r w:rsidR="009F73DD">
        <w:rPr>
          <w:szCs w:val="24"/>
        </w:rPr>
        <w:t xml:space="preserve"> Never</w:t>
      </w:r>
      <w:r w:rsidR="00EF46A8">
        <w:rPr>
          <w:szCs w:val="24"/>
        </w:rPr>
        <w:t>theless, great</w:t>
      </w:r>
      <w:r w:rsidR="009F73DD">
        <w:rPr>
          <w:szCs w:val="24"/>
        </w:rPr>
        <w:t xml:space="preserve"> disparities exist between different regions in Indonesia, and </w:t>
      </w:r>
      <w:r w:rsidR="002E124D">
        <w:rPr>
          <w:szCs w:val="24"/>
        </w:rPr>
        <w:t xml:space="preserve">minority and </w:t>
      </w:r>
      <w:r w:rsidR="009F73DD">
        <w:rPr>
          <w:szCs w:val="24"/>
        </w:rPr>
        <w:t>indigenous populations are often denied the same opportunities to education</w:t>
      </w:r>
      <w:r w:rsidR="002E124D">
        <w:rPr>
          <w:szCs w:val="24"/>
        </w:rPr>
        <w:t xml:space="preserve"> as other inhabitants of the country</w:t>
      </w:r>
      <w:r w:rsidR="009F73DD">
        <w:rPr>
          <w:szCs w:val="24"/>
        </w:rPr>
        <w:t>.</w:t>
      </w:r>
      <w:r w:rsidR="00F06400">
        <w:rPr>
          <w:szCs w:val="24"/>
        </w:rPr>
        <w:t xml:space="preserve"> </w:t>
      </w:r>
    </w:p>
    <w:p w:rsidR="00A43180" w:rsidRDefault="00DE0734" w:rsidP="00747D61">
      <w:pPr>
        <w:spacing w:before="120" w:after="120" w:line="240" w:lineRule="auto"/>
        <w:jc w:val="both"/>
        <w:rPr>
          <w:szCs w:val="24"/>
        </w:rPr>
      </w:pPr>
      <w:r>
        <w:rPr>
          <w:szCs w:val="24"/>
        </w:rPr>
        <w:t>T</w:t>
      </w:r>
      <w:r w:rsidR="009F73DD">
        <w:rPr>
          <w:szCs w:val="24"/>
        </w:rPr>
        <w:t>he province of Papua is the worst off with r</w:t>
      </w:r>
      <w:r w:rsidR="00EF46A8">
        <w:rPr>
          <w:szCs w:val="24"/>
        </w:rPr>
        <w:t>egard to literacy and education: with 36% illiteracy</w:t>
      </w:r>
      <w:r w:rsidR="00F341B9">
        <w:rPr>
          <w:rStyle w:val="FootnoteReference"/>
          <w:szCs w:val="24"/>
        </w:rPr>
        <w:footnoteReference w:id="68"/>
      </w:r>
      <w:r w:rsidR="00EF46A8">
        <w:rPr>
          <w:szCs w:val="24"/>
        </w:rPr>
        <w:t xml:space="preserve"> and only 68% school participation for children between 13 and 15 years of age Papua scores remarkably lower than the national average as well as than any other Indonesian region (the second lowest school participation rate of children between 13 and 15 years of age is 81%, with a national average of 89%).</w:t>
      </w:r>
      <w:r w:rsidR="00F341B9">
        <w:rPr>
          <w:rStyle w:val="FootnoteReference"/>
          <w:szCs w:val="24"/>
        </w:rPr>
        <w:footnoteReference w:id="69"/>
      </w:r>
      <w:r w:rsidR="00EF46A8">
        <w:rPr>
          <w:szCs w:val="24"/>
        </w:rPr>
        <w:t xml:space="preserve"> </w:t>
      </w:r>
      <w:r w:rsidR="00A43180">
        <w:rPr>
          <w:szCs w:val="24"/>
        </w:rPr>
        <w:t xml:space="preserve">One of the main reasons for </w:t>
      </w:r>
      <w:r>
        <w:rPr>
          <w:szCs w:val="24"/>
        </w:rPr>
        <w:t xml:space="preserve">West </w:t>
      </w:r>
      <w:r w:rsidR="00A43180">
        <w:rPr>
          <w:szCs w:val="24"/>
        </w:rPr>
        <w:t xml:space="preserve">Papua’s lack of education is teacher absenteeism: on average, one out of three teachers is not present </w:t>
      </w:r>
      <w:r>
        <w:rPr>
          <w:szCs w:val="24"/>
        </w:rPr>
        <w:t xml:space="preserve">in school </w:t>
      </w:r>
      <w:r w:rsidR="00A43180">
        <w:rPr>
          <w:szCs w:val="24"/>
        </w:rPr>
        <w:t>when he/she</w:t>
      </w:r>
      <w:r w:rsidR="00AA75B3">
        <w:rPr>
          <w:szCs w:val="24"/>
        </w:rPr>
        <w:t xml:space="preserve"> should</w:t>
      </w:r>
      <w:r w:rsidR="00A43180">
        <w:rPr>
          <w:szCs w:val="24"/>
        </w:rPr>
        <w:t xml:space="preserve"> teach, thus leading to a teacher absenteeism rate of 37%.</w:t>
      </w:r>
      <w:r w:rsidR="00A43180">
        <w:rPr>
          <w:rStyle w:val="FootnoteReference"/>
          <w:szCs w:val="24"/>
        </w:rPr>
        <w:footnoteReference w:id="70"/>
      </w:r>
      <w:r w:rsidR="00A43180">
        <w:rPr>
          <w:szCs w:val="24"/>
        </w:rPr>
        <w:t xml:space="preserve"> This is caused by a lack of infrastructure to reach remote rural regions where most indigenous </w:t>
      </w:r>
      <w:r>
        <w:rPr>
          <w:szCs w:val="24"/>
        </w:rPr>
        <w:t xml:space="preserve">West </w:t>
      </w:r>
      <w:r w:rsidR="00A43180">
        <w:rPr>
          <w:szCs w:val="24"/>
        </w:rPr>
        <w:t>Papuan</w:t>
      </w:r>
      <w:r>
        <w:rPr>
          <w:szCs w:val="24"/>
        </w:rPr>
        <w:t>s</w:t>
      </w:r>
      <w:r w:rsidR="00A43180">
        <w:rPr>
          <w:szCs w:val="24"/>
        </w:rPr>
        <w:t xml:space="preserve"> live and by a lack of monitoring by the government. </w:t>
      </w:r>
      <w:r w:rsidR="00AA75B3">
        <w:rPr>
          <w:szCs w:val="24"/>
        </w:rPr>
        <w:t>In order to solve these</w:t>
      </w:r>
      <w:r w:rsidR="00A43180">
        <w:rPr>
          <w:szCs w:val="24"/>
        </w:rPr>
        <w:t xml:space="preserve"> provincial discrepancies, region</w:t>
      </w:r>
      <w:r w:rsidR="00AA75B3">
        <w:rPr>
          <w:szCs w:val="24"/>
        </w:rPr>
        <w:t>al governments created regional school grants (BOSDA). However, funding criteria do not take into consideration differences in operating costs (e.g. buying a book in Papua is more expensive than in other regions), thus ultim</w:t>
      </w:r>
      <w:r w:rsidR="002E124D">
        <w:rPr>
          <w:szCs w:val="24"/>
        </w:rPr>
        <w:t xml:space="preserve">ately allocating more funds to </w:t>
      </w:r>
      <w:r w:rsidR="00AA75B3">
        <w:rPr>
          <w:szCs w:val="24"/>
        </w:rPr>
        <w:t>bigger school in urban areas that already adequately operate.</w:t>
      </w:r>
      <w:r w:rsidR="00AA75B3">
        <w:rPr>
          <w:rStyle w:val="FootnoteReference"/>
          <w:szCs w:val="24"/>
        </w:rPr>
        <w:footnoteReference w:id="71"/>
      </w:r>
      <w:r w:rsidR="00AA75B3">
        <w:rPr>
          <w:szCs w:val="24"/>
        </w:rPr>
        <w:t xml:space="preserve"> </w:t>
      </w:r>
    </w:p>
    <w:p w:rsidR="00DE0734" w:rsidRDefault="00DE0734" w:rsidP="00DE0734">
      <w:pPr>
        <w:spacing w:before="120" w:after="120" w:line="240" w:lineRule="auto"/>
        <w:jc w:val="both"/>
        <w:rPr>
          <w:szCs w:val="24"/>
        </w:rPr>
      </w:pPr>
      <w:r>
        <w:rPr>
          <w:szCs w:val="24"/>
        </w:rPr>
        <w:t>Furthermore, schools operate on the basis of a national curriculum which is not adapted to minority and indigenous peoples’ issues and needs, thus not always being relevant for students belonging to regional minorities. For example, curricula do not include regional history and the teaching of local languages.</w:t>
      </w:r>
      <w:r>
        <w:rPr>
          <w:rStyle w:val="FootnoteReference"/>
          <w:szCs w:val="24"/>
        </w:rPr>
        <w:footnoteReference w:id="72"/>
      </w:r>
      <w:r>
        <w:rPr>
          <w:szCs w:val="24"/>
        </w:rPr>
        <w:t xml:space="preserve"> According to art.33 of the 2003 education system law, Bahasa Indonesian is the official language of education, and local languages can only be used in early stage of education if necessary for communication.</w:t>
      </w:r>
      <w:r>
        <w:rPr>
          <w:rStyle w:val="FootnoteReference"/>
          <w:szCs w:val="24"/>
        </w:rPr>
        <w:footnoteReference w:id="73"/>
      </w:r>
      <w:r>
        <w:rPr>
          <w:szCs w:val="24"/>
        </w:rPr>
        <w:t xml:space="preserve"> </w:t>
      </w:r>
    </w:p>
    <w:p w:rsidR="004E3CEE" w:rsidRDefault="004E3CEE" w:rsidP="00747D61">
      <w:pPr>
        <w:spacing w:before="120" w:after="120" w:line="240" w:lineRule="auto"/>
        <w:jc w:val="both"/>
        <w:rPr>
          <w:szCs w:val="24"/>
        </w:rPr>
      </w:pPr>
    </w:p>
    <w:p w:rsidR="003200D2" w:rsidRDefault="003200D2" w:rsidP="00747D61">
      <w:pPr>
        <w:spacing w:before="120" w:after="120" w:line="240" w:lineRule="auto"/>
        <w:jc w:val="both"/>
        <w:rPr>
          <w:szCs w:val="24"/>
        </w:rPr>
      </w:pPr>
    </w:p>
    <w:p w:rsidR="003200D2" w:rsidRDefault="003200D2" w:rsidP="00747D61">
      <w:pPr>
        <w:spacing w:before="120" w:after="120" w:line="240" w:lineRule="auto"/>
        <w:jc w:val="both"/>
        <w:rPr>
          <w:szCs w:val="24"/>
        </w:rPr>
      </w:pPr>
    </w:p>
    <w:p w:rsidR="003200D2" w:rsidRDefault="003200D2" w:rsidP="00747D61">
      <w:pPr>
        <w:spacing w:before="120" w:after="120" w:line="240" w:lineRule="auto"/>
        <w:jc w:val="both"/>
        <w:rPr>
          <w:szCs w:val="24"/>
        </w:rPr>
      </w:pPr>
    </w:p>
    <w:p w:rsidR="004E3CEE" w:rsidRPr="00CB31B0" w:rsidRDefault="004E3CEE" w:rsidP="00747D61">
      <w:pPr>
        <w:spacing w:before="120" w:after="120" w:line="240" w:lineRule="auto"/>
        <w:jc w:val="both"/>
        <w:rPr>
          <w:b/>
          <w:sz w:val="28"/>
          <w:szCs w:val="28"/>
        </w:rPr>
      </w:pPr>
      <w:r w:rsidRPr="00CB31B0">
        <w:rPr>
          <w:b/>
          <w:sz w:val="28"/>
          <w:szCs w:val="28"/>
        </w:rPr>
        <w:t>Article 15</w:t>
      </w:r>
      <w:r w:rsidR="00CB31B0" w:rsidRPr="00CB31B0">
        <w:rPr>
          <w:b/>
          <w:sz w:val="28"/>
          <w:szCs w:val="28"/>
        </w:rPr>
        <w:t xml:space="preserve">- Cultural </w:t>
      </w:r>
      <w:r w:rsidR="00DE0734">
        <w:rPr>
          <w:b/>
          <w:sz w:val="28"/>
          <w:szCs w:val="28"/>
        </w:rPr>
        <w:t>r</w:t>
      </w:r>
      <w:r w:rsidR="00CB31B0" w:rsidRPr="00CB31B0">
        <w:rPr>
          <w:b/>
          <w:sz w:val="28"/>
          <w:szCs w:val="28"/>
        </w:rPr>
        <w:t>ights</w:t>
      </w:r>
    </w:p>
    <w:p w:rsidR="00CB31B0" w:rsidRPr="00CB31B0" w:rsidRDefault="00CB31B0" w:rsidP="00747D61">
      <w:pPr>
        <w:pStyle w:val="NormalWeb"/>
        <w:shd w:val="clear" w:color="auto" w:fill="FFFFFF"/>
        <w:jc w:val="both"/>
        <w:rPr>
          <w:rFonts w:asciiTheme="minorHAnsi" w:hAnsiTheme="minorHAnsi" w:cstheme="minorHAnsi"/>
          <w:i/>
        </w:rPr>
      </w:pPr>
      <w:r w:rsidRPr="00CB31B0">
        <w:rPr>
          <w:rFonts w:asciiTheme="minorHAnsi" w:hAnsiTheme="minorHAnsi" w:cstheme="minorHAnsi"/>
          <w:b/>
        </w:rPr>
        <w:t>Article 15</w:t>
      </w:r>
      <w:r w:rsidRPr="00CB31B0">
        <w:rPr>
          <w:rFonts w:asciiTheme="minorHAnsi" w:hAnsiTheme="minorHAnsi" w:cstheme="minorHAnsi"/>
          <w:i/>
        </w:rPr>
        <w:t xml:space="preserve"> </w:t>
      </w:r>
      <w:r w:rsidRPr="00CB31B0">
        <w:rPr>
          <w:rFonts w:asciiTheme="minorHAnsi" w:hAnsiTheme="minorHAnsi" w:cstheme="minorHAnsi"/>
        </w:rPr>
        <w:t>states that state parties</w:t>
      </w:r>
      <w:r w:rsidRPr="00CB31B0">
        <w:rPr>
          <w:rFonts w:asciiTheme="minorHAnsi" w:hAnsiTheme="minorHAnsi" w:cstheme="minorHAnsi"/>
          <w:i/>
        </w:rPr>
        <w:t xml:space="preserve"> “</w:t>
      </w:r>
      <w:r>
        <w:rPr>
          <w:rFonts w:asciiTheme="minorHAnsi" w:hAnsiTheme="minorHAnsi" w:cstheme="minorHAnsi"/>
          <w:i/>
        </w:rPr>
        <w:t>r</w:t>
      </w:r>
      <w:r w:rsidRPr="00CB31B0">
        <w:rPr>
          <w:rFonts w:asciiTheme="minorHAnsi" w:hAnsiTheme="minorHAnsi" w:cstheme="minorHAnsi"/>
          <w:i/>
          <w:color w:val="000000"/>
          <w:lang w:eastAsia="nl-NL"/>
        </w:rPr>
        <w:t>ecog</w:t>
      </w:r>
      <w:r w:rsidR="003D51AB">
        <w:rPr>
          <w:rFonts w:asciiTheme="minorHAnsi" w:hAnsiTheme="minorHAnsi" w:cstheme="minorHAnsi"/>
          <w:i/>
          <w:color w:val="000000"/>
          <w:lang w:eastAsia="nl-NL"/>
        </w:rPr>
        <w:t>nize the right of everyone:(a) t</w:t>
      </w:r>
      <w:r w:rsidRPr="00CB31B0">
        <w:rPr>
          <w:rFonts w:asciiTheme="minorHAnsi" w:hAnsiTheme="minorHAnsi" w:cstheme="minorHAnsi"/>
          <w:i/>
          <w:color w:val="000000"/>
          <w:lang w:eastAsia="nl-NL"/>
        </w:rPr>
        <w:t>o take part in cultural life;(b</w:t>
      </w:r>
      <w:r w:rsidR="003D51AB">
        <w:rPr>
          <w:rFonts w:asciiTheme="minorHAnsi" w:hAnsiTheme="minorHAnsi" w:cstheme="minorHAnsi"/>
          <w:i/>
          <w:color w:val="000000"/>
          <w:lang w:eastAsia="nl-NL"/>
        </w:rPr>
        <w:t>) t</w:t>
      </w:r>
      <w:r w:rsidRPr="00CB31B0">
        <w:rPr>
          <w:rFonts w:asciiTheme="minorHAnsi" w:hAnsiTheme="minorHAnsi" w:cstheme="minorHAnsi"/>
          <w:i/>
          <w:color w:val="000000"/>
          <w:lang w:eastAsia="nl-NL"/>
        </w:rPr>
        <w:t>o enjoy the benefits of scientific progress and its applications;</w:t>
      </w:r>
      <w:r>
        <w:rPr>
          <w:rFonts w:asciiTheme="minorHAnsi" w:hAnsiTheme="minorHAnsi" w:cstheme="minorHAnsi"/>
          <w:i/>
          <w:color w:val="000000"/>
          <w:lang w:eastAsia="nl-NL"/>
        </w:rPr>
        <w:t>(c)</w:t>
      </w:r>
      <w:r w:rsidR="003D51AB">
        <w:rPr>
          <w:rFonts w:asciiTheme="minorHAnsi" w:hAnsiTheme="minorHAnsi" w:cstheme="minorHAnsi"/>
          <w:i/>
          <w:color w:val="000000"/>
          <w:lang w:eastAsia="nl-NL"/>
        </w:rPr>
        <w:t xml:space="preserve"> t</w:t>
      </w:r>
      <w:r w:rsidRPr="00CB31B0">
        <w:rPr>
          <w:rFonts w:asciiTheme="minorHAnsi" w:hAnsiTheme="minorHAnsi" w:cstheme="minorHAnsi"/>
          <w:i/>
          <w:color w:val="000000"/>
          <w:lang w:eastAsia="nl-NL"/>
        </w:rPr>
        <w:t>o benefit from the protection of the moral and material interests resulting from any scientific, literary or artistic production of which he is the author.</w:t>
      </w:r>
      <w:r w:rsidR="003D51AB">
        <w:rPr>
          <w:rFonts w:asciiTheme="minorHAnsi" w:hAnsiTheme="minorHAnsi" w:cstheme="minorHAnsi"/>
          <w:i/>
          <w:color w:val="000000"/>
          <w:lang w:eastAsia="nl-NL"/>
        </w:rPr>
        <w:t xml:space="preserve"> (2)</w:t>
      </w:r>
      <w:r w:rsidRPr="00CB31B0">
        <w:rPr>
          <w:rFonts w:asciiTheme="minorHAnsi" w:hAnsiTheme="minorHAnsi" w:cstheme="minorHAnsi"/>
          <w:i/>
          <w:color w:val="000000"/>
          <w:shd w:val="clear" w:color="auto" w:fill="FFFFFF"/>
          <w:lang w:eastAsia="nl-NL"/>
        </w:rPr>
        <w:t xml:space="preserve"> The steps to be taken by the States Parties to the present Covenant to achieve the full realization of this right shall include those necessary for the conservation, the development and the diffusion of science and culture</w:t>
      </w:r>
      <w:r>
        <w:rPr>
          <w:rFonts w:asciiTheme="minorHAnsi" w:hAnsiTheme="minorHAnsi" w:cstheme="minorHAnsi"/>
          <w:i/>
          <w:color w:val="000000"/>
          <w:shd w:val="clear" w:color="auto" w:fill="FFFFFF"/>
          <w:lang w:eastAsia="nl-NL"/>
        </w:rPr>
        <w:t>”</w:t>
      </w:r>
      <w:r w:rsidRPr="00CB31B0">
        <w:rPr>
          <w:rFonts w:asciiTheme="minorHAnsi" w:hAnsiTheme="minorHAnsi" w:cstheme="minorHAnsi"/>
          <w:i/>
          <w:color w:val="000000"/>
          <w:shd w:val="clear" w:color="auto" w:fill="FFFFFF"/>
          <w:lang w:eastAsia="nl-NL"/>
        </w:rPr>
        <w:t>.</w:t>
      </w:r>
    </w:p>
    <w:p w:rsidR="00160321" w:rsidRDefault="00E71701" w:rsidP="00747D61">
      <w:pPr>
        <w:spacing w:before="120" w:after="120" w:line="240" w:lineRule="auto"/>
        <w:jc w:val="both"/>
        <w:rPr>
          <w:rFonts w:cstheme="minorHAnsi"/>
        </w:rPr>
      </w:pPr>
      <w:r w:rsidRPr="00D4607F">
        <w:rPr>
          <w:rFonts w:cstheme="minorHAnsi"/>
        </w:rPr>
        <w:t>The exploitation of indigenous peoples’ forests for industrial purposes does not only represent a threat to indigenous peoples’ means of subsistence, environment, and health. The loss of access to their customary forests or the very destructi</w:t>
      </w:r>
      <w:r w:rsidR="00EE3A3A" w:rsidRPr="00D4607F">
        <w:rPr>
          <w:rFonts w:cstheme="minorHAnsi"/>
        </w:rPr>
        <w:t xml:space="preserve">on of forest-areas threatens their cultural survival. Indeed, Indigenous peoples’ cultural and social practices are closely related to the life in the forest, </w:t>
      </w:r>
      <w:r w:rsidR="00DE0734">
        <w:rPr>
          <w:rFonts w:cstheme="minorHAnsi"/>
        </w:rPr>
        <w:t xml:space="preserve">to </w:t>
      </w:r>
      <w:r w:rsidR="00EE3A3A" w:rsidRPr="00D4607F">
        <w:rPr>
          <w:rFonts w:cstheme="minorHAnsi"/>
        </w:rPr>
        <w:t xml:space="preserve">its plants, and its animals. For example, </w:t>
      </w:r>
      <w:r w:rsidR="00DE0734">
        <w:rPr>
          <w:rFonts w:cstheme="minorHAnsi"/>
        </w:rPr>
        <w:t xml:space="preserve">West </w:t>
      </w:r>
      <w:r w:rsidR="00BA62A1">
        <w:rPr>
          <w:rFonts w:cstheme="minorHAnsi"/>
        </w:rPr>
        <w:t xml:space="preserve">Papuan </w:t>
      </w:r>
      <w:r w:rsidR="00EE3A3A" w:rsidRPr="00D4607F">
        <w:rPr>
          <w:rFonts w:cstheme="minorHAnsi"/>
        </w:rPr>
        <w:t>indigenous tribes have different “totem animals” which they are committed to protect as symbols of the</w:t>
      </w:r>
      <w:r w:rsidR="00DE0734">
        <w:rPr>
          <w:rFonts w:cstheme="minorHAnsi"/>
        </w:rPr>
        <w:t>ir</w:t>
      </w:r>
      <w:r w:rsidR="00EE3A3A" w:rsidRPr="00D4607F">
        <w:rPr>
          <w:rFonts w:cstheme="minorHAnsi"/>
        </w:rPr>
        <w:t xml:space="preserve"> tribe</w:t>
      </w:r>
      <w:r w:rsidR="00DE0734">
        <w:rPr>
          <w:rFonts w:cstheme="minorHAnsi"/>
        </w:rPr>
        <w:t>s. W</w:t>
      </w:r>
      <w:r w:rsidR="00EE3A3A" w:rsidRPr="00D4607F">
        <w:rPr>
          <w:rFonts w:cstheme="minorHAnsi"/>
        </w:rPr>
        <w:t>hen these animals relocate to other areas or die as a consequence of industrial practices, tribes lose their cultural “mission” and their symbol.</w:t>
      </w:r>
      <w:r w:rsidR="00D4607F">
        <w:rPr>
          <w:rStyle w:val="FootnoteReference"/>
          <w:rFonts w:cstheme="minorHAnsi"/>
        </w:rPr>
        <w:footnoteReference w:id="74"/>
      </w:r>
      <w:r w:rsidR="00EE3A3A" w:rsidRPr="00D4607F">
        <w:rPr>
          <w:rFonts w:cstheme="minorHAnsi"/>
        </w:rPr>
        <w:t xml:space="preserve"> </w:t>
      </w:r>
      <w:r w:rsidR="00BA62A1">
        <w:rPr>
          <w:rFonts w:cstheme="minorHAnsi"/>
        </w:rPr>
        <w:t>Similarly, a private tourist company has denied inhabit</w:t>
      </w:r>
      <w:r w:rsidR="00DE0734">
        <w:rPr>
          <w:rFonts w:cstheme="minorHAnsi"/>
        </w:rPr>
        <w:t>ants of Paperu village in South Moluccas</w:t>
      </w:r>
      <w:r w:rsidR="00BA62A1">
        <w:rPr>
          <w:rFonts w:cstheme="minorHAnsi"/>
        </w:rPr>
        <w:t xml:space="preserve"> access to the village’s sea area, where sacred sites for ritual ceremonies are located.</w:t>
      </w:r>
      <w:r w:rsidR="00BA62A1">
        <w:rPr>
          <w:rStyle w:val="FootnoteReference"/>
          <w:rFonts w:cstheme="minorHAnsi"/>
        </w:rPr>
        <w:footnoteReference w:id="75"/>
      </w:r>
      <w:r w:rsidR="00BA62A1">
        <w:rPr>
          <w:rFonts w:cstheme="minorHAnsi"/>
        </w:rPr>
        <w:t xml:space="preserve">  </w:t>
      </w:r>
    </w:p>
    <w:p w:rsidR="00576977" w:rsidRDefault="00160321" w:rsidP="00747D61">
      <w:pPr>
        <w:spacing w:before="120" w:after="120" w:line="240" w:lineRule="auto"/>
        <w:jc w:val="both"/>
        <w:rPr>
          <w:rFonts w:cstheme="minorHAnsi"/>
        </w:rPr>
      </w:pPr>
      <w:r>
        <w:rPr>
          <w:rFonts w:cstheme="minorHAnsi"/>
        </w:rPr>
        <w:t>Furthermore, some aspects of traditional indigenous culture run the risk to be limited by national regulations that are based on the Muslim majority’s cultural and societal norms. For exam</w:t>
      </w:r>
      <w:r w:rsidR="00DE0734">
        <w:rPr>
          <w:rFonts w:cstheme="minorHAnsi"/>
        </w:rPr>
        <w:t xml:space="preserve">ple, </w:t>
      </w:r>
      <w:r>
        <w:rPr>
          <w:rFonts w:cstheme="minorHAnsi"/>
        </w:rPr>
        <w:t>Act n.44</w:t>
      </w:r>
      <w:r w:rsidR="00DE0734">
        <w:rPr>
          <w:rFonts w:cstheme="minorHAnsi"/>
        </w:rPr>
        <w:t xml:space="preserve"> of 2008</w:t>
      </w:r>
      <w:r>
        <w:rPr>
          <w:rFonts w:cstheme="minorHAnsi"/>
        </w:rPr>
        <w:t xml:space="preserve"> on pornography may be used to restrict the use of indigenous traditional clothing on the basis of its potential to violate a widely defined “morality of society”. </w:t>
      </w:r>
      <w:r>
        <w:rPr>
          <w:rStyle w:val="FootnoteReference"/>
          <w:rFonts w:cstheme="minorHAnsi"/>
        </w:rPr>
        <w:footnoteReference w:id="76"/>
      </w:r>
    </w:p>
    <w:p w:rsidR="00160321" w:rsidRDefault="00576977" w:rsidP="00747D61">
      <w:pPr>
        <w:spacing w:before="120" w:after="120" w:line="240" w:lineRule="auto"/>
        <w:jc w:val="both"/>
        <w:rPr>
          <w:rFonts w:cstheme="minorHAnsi"/>
        </w:rPr>
      </w:pPr>
      <w:r>
        <w:rPr>
          <w:rFonts w:cstheme="minorHAnsi"/>
        </w:rPr>
        <w:t>The linguistic cultural heritage of minorities and indigenous peoples in Indo</w:t>
      </w:r>
      <w:r w:rsidR="00E379F6">
        <w:rPr>
          <w:rFonts w:cstheme="minorHAnsi"/>
        </w:rPr>
        <w:t>nesia is also at risk</w:t>
      </w:r>
      <w:r>
        <w:rPr>
          <w:rFonts w:cstheme="minorHAnsi"/>
        </w:rPr>
        <w:t>.</w:t>
      </w:r>
      <w:r w:rsidR="00DE0734">
        <w:rPr>
          <w:rFonts w:cstheme="minorHAnsi"/>
        </w:rPr>
        <w:t xml:space="preserve"> </w:t>
      </w:r>
      <w:r w:rsidR="00E379F6">
        <w:rPr>
          <w:rFonts w:cstheme="minorHAnsi"/>
        </w:rPr>
        <w:t>Under the current language policy, which dates back to 1986, terminology from local languages is to be used to translate foreign languages when no Bahasa Indonesian equivalent exists.</w:t>
      </w:r>
      <w:r w:rsidR="00747D61">
        <w:rPr>
          <w:rStyle w:val="FootnoteReference"/>
          <w:rFonts w:cstheme="minorHAnsi"/>
        </w:rPr>
        <w:footnoteReference w:id="77"/>
      </w:r>
      <w:r w:rsidR="00DE0734">
        <w:rPr>
          <w:rFonts w:cstheme="minorHAnsi"/>
        </w:rPr>
        <w:t xml:space="preserve"> Yet</w:t>
      </w:r>
      <w:r w:rsidR="00747D61">
        <w:rPr>
          <w:rFonts w:cstheme="minorHAnsi"/>
        </w:rPr>
        <w:t>,</w:t>
      </w:r>
      <w:r w:rsidR="00E379F6">
        <w:rPr>
          <w:rFonts w:cstheme="minorHAnsi"/>
        </w:rPr>
        <w:t xml:space="preserve"> Indonesia lacks a clear policy framework for the protection of local languages.</w:t>
      </w:r>
      <w:r w:rsidR="00DE0734">
        <w:rPr>
          <w:rFonts w:cstheme="minorHAnsi"/>
        </w:rPr>
        <w:t xml:space="preserve"> Indeed,</w:t>
      </w:r>
      <w:r w:rsidR="00E379F6">
        <w:rPr>
          <w:rFonts w:cstheme="minorHAnsi"/>
        </w:rPr>
        <w:t xml:space="preserve"> </w:t>
      </w:r>
      <w:r w:rsidR="00DE0734">
        <w:rPr>
          <w:rFonts w:cstheme="minorHAnsi"/>
        </w:rPr>
        <w:t>in the last few years several minority languages have become extinct and more are facing disappearance in the near future</w:t>
      </w:r>
      <w:r w:rsidR="0017427A">
        <w:rPr>
          <w:rFonts w:cstheme="minorHAnsi"/>
        </w:rPr>
        <w:t>.</w:t>
      </w:r>
      <w:r w:rsidR="003D7B88">
        <w:rPr>
          <w:rStyle w:val="FootnoteReference"/>
          <w:rFonts w:cstheme="minorHAnsi"/>
        </w:rPr>
        <w:footnoteReference w:id="78"/>
      </w:r>
    </w:p>
    <w:p w:rsidR="00D4607F" w:rsidRDefault="00D4607F" w:rsidP="00747D61">
      <w:pPr>
        <w:spacing w:before="120" w:after="120" w:line="240" w:lineRule="auto"/>
        <w:jc w:val="both"/>
        <w:rPr>
          <w:rFonts w:cstheme="minorHAnsi"/>
        </w:rPr>
      </w:pPr>
    </w:p>
    <w:p w:rsidR="00747D61" w:rsidRDefault="00747D61" w:rsidP="00747D61">
      <w:pPr>
        <w:spacing w:before="120" w:after="120" w:line="240" w:lineRule="auto"/>
        <w:jc w:val="both"/>
        <w:rPr>
          <w:rFonts w:cstheme="minorHAnsi"/>
        </w:rPr>
      </w:pPr>
    </w:p>
    <w:p w:rsidR="00747D61" w:rsidRDefault="00747D61" w:rsidP="001E23DD">
      <w:pPr>
        <w:spacing w:before="120" w:after="120" w:line="240" w:lineRule="auto"/>
        <w:jc w:val="both"/>
        <w:rPr>
          <w:rFonts w:cstheme="minorHAnsi"/>
        </w:rPr>
      </w:pPr>
    </w:p>
    <w:p w:rsidR="00747D61" w:rsidRDefault="00747D61" w:rsidP="001E23DD">
      <w:pPr>
        <w:spacing w:before="120" w:after="120" w:line="240" w:lineRule="auto"/>
        <w:jc w:val="both"/>
        <w:rPr>
          <w:rFonts w:cstheme="minorHAnsi"/>
        </w:rPr>
      </w:pPr>
    </w:p>
    <w:p w:rsidR="00747D61" w:rsidRDefault="00747D61" w:rsidP="001E23DD">
      <w:pPr>
        <w:spacing w:before="120" w:after="120" w:line="240" w:lineRule="auto"/>
        <w:jc w:val="both"/>
        <w:rPr>
          <w:rFonts w:cstheme="minorHAnsi"/>
        </w:rPr>
      </w:pPr>
    </w:p>
    <w:p w:rsidR="00B72CE4" w:rsidRDefault="00B72CE4" w:rsidP="003A00B3">
      <w:pPr>
        <w:spacing w:after="0" w:line="240" w:lineRule="auto"/>
        <w:jc w:val="both"/>
        <w:rPr>
          <w:rFonts w:cstheme="minorHAnsi"/>
        </w:rPr>
      </w:pPr>
    </w:p>
    <w:p w:rsidR="007F017B" w:rsidRDefault="007F017B" w:rsidP="003A00B3">
      <w:pPr>
        <w:pStyle w:val="Heading1"/>
        <w:spacing w:before="0" w:after="100" w:afterAutospacing="1"/>
      </w:pPr>
      <w:bookmarkStart w:id="18" w:name="_Toc350766692"/>
      <w:r w:rsidRPr="004D20FD">
        <w:t>Section D: Recommendations</w:t>
      </w:r>
      <w:bookmarkEnd w:id="17"/>
      <w:bookmarkEnd w:id="18"/>
    </w:p>
    <w:p w:rsidR="002A03CF" w:rsidRDefault="007F017B" w:rsidP="007F017B">
      <w:pPr>
        <w:jc w:val="both"/>
        <w:rPr>
          <w:rFonts w:ascii="Calibri" w:eastAsia="Times New Roman" w:hAnsi="Calibri" w:cs="Calibri"/>
          <w:i/>
          <w:lang w:eastAsia="nl-NL"/>
        </w:rPr>
      </w:pPr>
      <w:r w:rsidRPr="007F017B">
        <w:rPr>
          <w:rFonts w:cstheme="minorHAnsi"/>
          <w:iCs/>
          <w:szCs w:val="20"/>
        </w:rPr>
        <w:t xml:space="preserve">The Unrepresented Nations and Peoples Organization urges the </w:t>
      </w:r>
      <w:r w:rsidR="00BA28FE">
        <w:rPr>
          <w:rFonts w:cstheme="minorHAnsi"/>
          <w:iCs/>
          <w:szCs w:val="20"/>
        </w:rPr>
        <w:t xml:space="preserve">Republic of Indonesia </w:t>
      </w:r>
      <w:r w:rsidRPr="007F017B">
        <w:rPr>
          <w:rFonts w:cstheme="minorHAnsi"/>
          <w:iCs/>
          <w:szCs w:val="20"/>
        </w:rPr>
        <w:t>to consider the following recommendations:</w:t>
      </w:r>
    </w:p>
    <w:p w:rsidR="00BA28FE" w:rsidRDefault="00762777" w:rsidP="00762777">
      <w:pPr>
        <w:jc w:val="both"/>
        <w:rPr>
          <w:i/>
        </w:rPr>
      </w:pPr>
      <w:r>
        <w:rPr>
          <w:i/>
        </w:rPr>
        <w:t xml:space="preserve">1. </w:t>
      </w:r>
      <w:r w:rsidR="00C56901">
        <w:rPr>
          <w:i/>
        </w:rPr>
        <w:t>F</w:t>
      </w:r>
      <w:r w:rsidR="001E23DD" w:rsidRPr="00A91F25">
        <w:rPr>
          <w:i/>
        </w:rPr>
        <w:t>or</w:t>
      </w:r>
      <w:r w:rsidR="00BA28FE">
        <w:rPr>
          <w:i/>
        </w:rPr>
        <w:t>mally recognize the Acehnese</w:t>
      </w:r>
      <w:r w:rsidR="001E23DD" w:rsidRPr="00A91F25">
        <w:rPr>
          <w:i/>
        </w:rPr>
        <w:t xml:space="preserve">, </w:t>
      </w:r>
      <w:r w:rsidR="00BA28FE">
        <w:rPr>
          <w:i/>
        </w:rPr>
        <w:t>South Moluccans, and West Papuans</w:t>
      </w:r>
      <w:r w:rsidR="001E23DD" w:rsidRPr="00A91F25">
        <w:rPr>
          <w:i/>
        </w:rPr>
        <w:t xml:space="preserve"> as indigenous peoples, and respect the distinct rights to self-governance afforded to them by the United Nations Declaration on the Rights of Indigenous Peoples;</w:t>
      </w:r>
    </w:p>
    <w:p w:rsidR="00E87A40" w:rsidRDefault="00E87A40" w:rsidP="00762777">
      <w:pPr>
        <w:jc w:val="both"/>
        <w:rPr>
          <w:i/>
        </w:rPr>
      </w:pPr>
      <w:r>
        <w:rPr>
          <w:i/>
        </w:rPr>
        <w:t>2. Respect the freedom of expression of indigenous peoples and release political prisoners arbitrarily arrested for acts of peaceful politic</w:t>
      </w:r>
      <w:r w:rsidR="008953AD">
        <w:rPr>
          <w:i/>
        </w:rPr>
        <w:t>al activism</w:t>
      </w:r>
      <w:r w:rsidR="003A3E3A">
        <w:rPr>
          <w:i/>
        </w:rPr>
        <w:t>,</w:t>
      </w:r>
      <w:r w:rsidR="008953AD">
        <w:rPr>
          <w:i/>
        </w:rPr>
        <w:t xml:space="preserve"> </w:t>
      </w:r>
      <w:r w:rsidR="003A3E3A">
        <w:rPr>
          <w:i/>
        </w:rPr>
        <w:t>including</w:t>
      </w:r>
      <w:r w:rsidR="008953AD">
        <w:rPr>
          <w:i/>
        </w:rPr>
        <w:t xml:space="preserve"> raising flags</w:t>
      </w:r>
      <w:r>
        <w:rPr>
          <w:i/>
        </w:rPr>
        <w:t>;</w:t>
      </w:r>
    </w:p>
    <w:p w:rsidR="00762777" w:rsidRDefault="00E87A40" w:rsidP="00762777">
      <w:pPr>
        <w:jc w:val="both"/>
        <w:rPr>
          <w:i/>
        </w:rPr>
      </w:pPr>
      <w:r>
        <w:rPr>
          <w:i/>
        </w:rPr>
        <w:t>3</w:t>
      </w:r>
      <w:r w:rsidR="00762777">
        <w:rPr>
          <w:i/>
        </w:rPr>
        <w:t>.</w:t>
      </w:r>
      <w:r w:rsidR="00762777" w:rsidRPr="00762777">
        <w:rPr>
          <w:i/>
        </w:rPr>
        <w:t xml:space="preserve"> </w:t>
      </w:r>
      <w:r>
        <w:rPr>
          <w:i/>
        </w:rPr>
        <w:t>Stop land-grabbing practices which deprive indigenous peoples of their means of subsistence and e</w:t>
      </w:r>
      <w:r w:rsidR="00762777" w:rsidRPr="00762777">
        <w:rPr>
          <w:i/>
        </w:rPr>
        <w:t>ngage regional ethnic communities affected by resource extraction under the principles of f</w:t>
      </w:r>
      <w:r w:rsidR="00BA28FE">
        <w:rPr>
          <w:i/>
        </w:rPr>
        <w:t>ree, prior and informed consent</w:t>
      </w:r>
      <w:r>
        <w:rPr>
          <w:i/>
        </w:rPr>
        <w:t>;</w:t>
      </w:r>
    </w:p>
    <w:p w:rsidR="00E87A40" w:rsidRDefault="00E87A40" w:rsidP="00762777">
      <w:pPr>
        <w:jc w:val="both"/>
        <w:rPr>
          <w:i/>
        </w:rPr>
      </w:pPr>
      <w:r>
        <w:rPr>
          <w:i/>
        </w:rPr>
        <w:t xml:space="preserve">4. Ensure that the development of industrial projects in indigenous areas </w:t>
      </w:r>
      <w:r w:rsidR="00041C79">
        <w:rPr>
          <w:i/>
        </w:rPr>
        <w:t>brings long-term and sustainable</w:t>
      </w:r>
      <w:r>
        <w:rPr>
          <w:i/>
        </w:rPr>
        <w:t xml:space="preserve"> benefits for </w:t>
      </w:r>
      <w:r w:rsidR="008953AD">
        <w:rPr>
          <w:i/>
        </w:rPr>
        <w:t>indigenous inhabitants, and</w:t>
      </w:r>
      <w:r w:rsidR="008953AD" w:rsidRPr="00762777">
        <w:rPr>
          <w:i/>
        </w:rPr>
        <w:t xml:space="preserve"> that profits from natural resources are reinvested </w:t>
      </w:r>
      <w:r w:rsidR="008953AD">
        <w:rPr>
          <w:i/>
        </w:rPr>
        <w:t>in their respective communities;</w:t>
      </w:r>
    </w:p>
    <w:p w:rsidR="00A35A50" w:rsidRDefault="00E87A40" w:rsidP="001E23DD">
      <w:pPr>
        <w:jc w:val="both"/>
        <w:rPr>
          <w:i/>
        </w:rPr>
      </w:pPr>
      <w:r>
        <w:rPr>
          <w:i/>
        </w:rPr>
        <w:t>5</w:t>
      </w:r>
      <w:r w:rsidR="00762777">
        <w:rPr>
          <w:i/>
        </w:rPr>
        <w:t xml:space="preserve">. </w:t>
      </w:r>
      <w:r>
        <w:rPr>
          <w:i/>
        </w:rPr>
        <w:t xml:space="preserve">Take action against </w:t>
      </w:r>
      <w:r w:rsidR="008953AD">
        <w:rPr>
          <w:i/>
        </w:rPr>
        <w:t xml:space="preserve">the </w:t>
      </w:r>
      <w:r>
        <w:rPr>
          <w:i/>
        </w:rPr>
        <w:t xml:space="preserve">discrimination of religious minorities, by, for example, punishing acts of intolerance and clarifying the use of the “blasphemy law” </w:t>
      </w:r>
      <w:r w:rsidR="00DE0734">
        <w:rPr>
          <w:i/>
        </w:rPr>
        <w:t xml:space="preserve">in a way that it cannot function </w:t>
      </w:r>
      <w:r>
        <w:rPr>
          <w:i/>
        </w:rPr>
        <w:t>as a tool to restrict the rights of religious minorities;</w:t>
      </w:r>
    </w:p>
    <w:p w:rsidR="008953AD" w:rsidRDefault="00762777" w:rsidP="00BC132E">
      <w:pPr>
        <w:jc w:val="both"/>
        <w:rPr>
          <w:i/>
        </w:rPr>
      </w:pPr>
      <w:r>
        <w:rPr>
          <w:i/>
        </w:rPr>
        <w:t xml:space="preserve">6. </w:t>
      </w:r>
      <w:r w:rsidR="00BC132E" w:rsidRPr="00BC132E">
        <w:rPr>
          <w:i/>
        </w:rPr>
        <w:t>Stop the use of practice</w:t>
      </w:r>
      <w:r w:rsidR="008953AD">
        <w:rPr>
          <w:i/>
        </w:rPr>
        <w:t>s</w:t>
      </w:r>
      <w:r w:rsidR="00041C79">
        <w:rPr>
          <w:i/>
        </w:rPr>
        <w:t xml:space="preserve"> that deny</w:t>
      </w:r>
      <w:r w:rsidR="00BC132E" w:rsidRPr="00BC132E">
        <w:rPr>
          <w:i/>
        </w:rPr>
        <w:t xml:space="preserve"> equal employment opportunities to </w:t>
      </w:r>
      <w:r w:rsidR="00041C79">
        <w:rPr>
          <w:i/>
        </w:rPr>
        <w:t>members of indigenous and minority communities, s</w:t>
      </w:r>
      <w:r w:rsidR="008953AD">
        <w:rPr>
          <w:i/>
        </w:rPr>
        <w:t>uch as transmigration programs;</w:t>
      </w:r>
    </w:p>
    <w:p w:rsidR="00041C79" w:rsidRDefault="008953AD" w:rsidP="00BC132E">
      <w:pPr>
        <w:jc w:val="both"/>
        <w:rPr>
          <w:i/>
        </w:rPr>
      </w:pPr>
      <w:r>
        <w:rPr>
          <w:i/>
        </w:rPr>
        <w:t>7. D</w:t>
      </w:r>
      <w:r w:rsidR="00041C79">
        <w:rPr>
          <w:i/>
        </w:rPr>
        <w:t>evelop an effective framework for affirmative actions aimed at indigenous people’s employment in their regions;</w:t>
      </w:r>
    </w:p>
    <w:p w:rsidR="00762777" w:rsidRDefault="00762777" w:rsidP="00BC132E">
      <w:pPr>
        <w:jc w:val="both"/>
        <w:rPr>
          <w:i/>
        </w:rPr>
      </w:pPr>
      <w:r>
        <w:rPr>
          <w:i/>
        </w:rPr>
        <w:t>7.</w:t>
      </w:r>
      <w:r w:rsidR="00041C79">
        <w:rPr>
          <w:i/>
        </w:rPr>
        <w:t xml:space="preserve"> Improve t</w:t>
      </w:r>
      <w:r w:rsidR="00DE0734">
        <w:rPr>
          <w:i/>
        </w:rPr>
        <w:t>he condition of work of minorities</w:t>
      </w:r>
      <w:r w:rsidR="00041C79">
        <w:rPr>
          <w:i/>
        </w:rPr>
        <w:t xml:space="preserve"> and indigenous peoples, including ensuring minimum wages and promoting employment in the formal economy;</w:t>
      </w:r>
    </w:p>
    <w:p w:rsidR="00BC132E" w:rsidRPr="00A91F25" w:rsidRDefault="00762777" w:rsidP="00BC132E">
      <w:pPr>
        <w:jc w:val="both"/>
        <w:rPr>
          <w:i/>
        </w:rPr>
      </w:pPr>
      <w:r>
        <w:rPr>
          <w:i/>
        </w:rPr>
        <w:t xml:space="preserve">8. </w:t>
      </w:r>
      <w:r w:rsidR="00041C79" w:rsidRPr="00BC132E">
        <w:rPr>
          <w:i/>
        </w:rPr>
        <w:t xml:space="preserve">Immediately release labor and independent trade union activists </w:t>
      </w:r>
      <w:r w:rsidR="00041C79">
        <w:rPr>
          <w:i/>
        </w:rPr>
        <w:t>imprisoned for taking part in peaceful strikes;</w:t>
      </w:r>
    </w:p>
    <w:p w:rsidR="008953AD" w:rsidRDefault="00762777" w:rsidP="00762777">
      <w:pPr>
        <w:jc w:val="both"/>
        <w:rPr>
          <w:i/>
        </w:rPr>
      </w:pPr>
      <w:r>
        <w:rPr>
          <w:i/>
        </w:rPr>
        <w:t xml:space="preserve">9. </w:t>
      </w:r>
      <w:r w:rsidR="00041C79">
        <w:rPr>
          <w:i/>
        </w:rPr>
        <w:t xml:space="preserve">Develop </w:t>
      </w:r>
      <w:r w:rsidRPr="00BC132E">
        <w:rPr>
          <w:i/>
        </w:rPr>
        <w:t>poverty-alleviation programs specifically targeting regions and communities wh</w:t>
      </w:r>
      <w:r w:rsidR="00041C79">
        <w:rPr>
          <w:i/>
        </w:rPr>
        <w:t xml:space="preserve">ere regional ethnicities reside, focusing on </w:t>
      </w:r>
      <w:r w:rsidR="008953AD">
        <w:rPr>
          <w:i/>
        </w:rPr>
        <w:t>the needs of indigenous peoples;</w:t>
      </w:r>
    </w:p>
    <w:p w:rsidR="00762777" w:rsidRDefault="00762777" w:rsidP="00762777">
      <w:pPr>
        <w:jc w:val="both"/>
        <w:rPr>
          <w:i/>
        </w:rPr>
      </w:pPr>
      <w:r>
        <w:rPr>
          <w:i/>
        </w:rPr>
        <w:t xml:space="preserve">11. </w:t>
      </w:r>
      <w:r w:rsidR="009803B6">
        <w:rPr>
          <w:i/>
        </w:rPr>
        <w:t xml:space="preserve">Take immediate action to monitor and stop corporate industrial activities that are harmful for the environment and its inhabitants, and develop an adequate </w:t>
      </w:r>
      <w:r w:rsidR="00DE0734">
        <w:rPr>
          <w:i/>
        </w:rPr>
        <w:t xml:space="preserve">legal </w:t>
      </w:r>
      <w:r w:rsidR="009803B6">
        <w:rPr>
          <w:i/>
        </w:rPr>
        <w:t xml:space="preserve">framework for environmental protection; </w:t>
      </w:r>
      <w:r w:rsidR="009803B6" w:rsidRPr="00BC132E">
        <w:rPr>
          <w:i/>
        </w:rPr>
        <w:t xml:space="preserve"> </w:t>
      </w:r>
    </w:p>
    <w:p w:rsidR="009803B6" w:rsidRDefault="00762777" w:rsidP="009803B6">
      <w:pPr>
        <w:jc w:val="both"/>
        <w:rPr>
          <w:i/>
        </w:rPr>
      </w:pPr>
      <w:r>
        <w:rPr>
          <w:i/>
        </w:rPr>
        <w:t xml:space="preserve">12. </w:t>
      </w:r>
      <w:r w:rsidR="009803B6" w:rsidRPr="00762777">
        <w:rPr>
          <w:i/>
        </w:rPr>
        <w:t>Address the significant dispa</w:t>
      </w:r>
      <w:r w:rsidR="009803B6">
        <w:rPr>
          <w:i/>
        </w:rPr>
        <w:t>rity in health and living</w:t>
      </w:r>
      <w:r w:rsidR="009803B6" w:rsidRPr="00762777">
        <w:rPr>
          <w:i/>
        </w:rPr>
        <w:t xml:space="preserve"> standards betwe</w:t>
      </w:r>
      <w:r w:rsidR="009803B6">
        <w:rPr>
          <w:i/>
        </w:rPr>
        <w:t>en regions populated by minorities and</w:t>
      </w:r>
      <w:r w:rsidR="008953AD">
        <w:rPr>
          <w:i/>
        </w:rPr>
        <w:t xml:space="preserve"> majorities</w:t>
      </w:r>
      <w:r w:rsidR="009803B6">
        <w:rPr>
          <w:i/>
        </w:rPr>
        <w:t>, including providing remote geographical areas with adequate health care facilities, fighting child malnutrition, and developing HIV/AIDS related programs to tackle the spreading of HIV in West Papua;</w:t>
      </w:r>
    </w:p>
    <w:p w:rsidR="00BC132E" w:rsidRPr="00A91F25" w:rsidRDefault="00762777" w:rsidP="00BC132E">
      <w:pPr>
        <w:jc w:val="both"/>
        <w:rPr>
          <w:i/>
        </w:rPr>
      </w:pPr>
      <w:r>
        <w:rPr>
          <w:i/>
        </w:rPr>
        <w:t xml:space="preserve">13. </w:t>
      </w:r>
      <w:r w:rsidR="009803B6">
        <w:rPr>
          <w:i/>
        </w:rPr>
        <w:t xml:space="preserve">Ensure equal educational opportunities for minority and indigenous peoples, by </w:t>
      </w:r>
      <w:r w:rsidR="002A03CF">
        <w:rPr>
          <w:i/>
        </w:rPr>
        <w:t>a</w:t>
      </w:r>
      <w:r w:rsidR="002A03CF" w:rsidRPr="00A91F25">
        <w:rPr>
          <w:i/>
        </w:rPr>
        <w:t>ddress</w:t>
      </w:r>
      <w:r w:rsidR="002A03CF">
        <w:rPr>
          <w:i/>
        </w:rPr>
        <w:t>ing</w:t>
      </w:r>
      <w:r w:rsidR="008953AD">
        <w:rPr>
          <w:i/>
        </w:rPr>
        <w:t xml:space="preserve"> the lack or </w:t>
      </w:r>
      <w:r w:rsidR="002A03CF" w:rsidRPr="00A91F25">
        <w:rPr>
          <w:i/>
        </w:rPr>
        <w:t>poor quality of scho</w:t>
      </w:r>
      <w:r w:rsidR="002A03CF">
        <w:rPr>
          <w:i/>
        </w:rPr>
        <w:t xml:space="preserve">ols in regions where minorities reside, </w:t>
      </w:r>
      <w:r w:rsidR="008953AD">
        <w:rPr>
          <w:i/>
        </w:rPr>
        <w:t xml:space="preserve">by  </w:t>
      </w:r>
      <w:r w:rsidR="009803B6">
        <w:rPr>
          <w:i/>
        </w:rPr>
        <w:t>allowing flexibility in the national curriculum to adapt it to indigenous peoples’ needs</w:t>
      </w:r>
      <w:r w:rsidR="002A03CF">
        <w:rPr>
          <w:i/>
        </w:rPr>
        <w:t>, and by tackling the problem of teacher absenteeism in remote geographical areas;</w:t>
      </w:r>
    </w:p>
    <w:p w:rsidR="00A91F25" w:rsidRPr="00A91F25" w:rsidRDefault="00762777" w:rsidP="00B17367">
      <w:pPr>
        <w:jc w:val="both"/>
        <w:rPr>
          <w:i/>
        </w:rPr>
      </w:pPr>
      <w:r>
        <w:rPr>
          <w:i/>
        </w:rPr>
        <w:t xml:space="preserve">14. </w:t>
      </w:r>
      <w:r w:rsidR="002A03CF">
        <w:rPr>
          <w:i/>
        </w:rPr>
        <w:t>Guarantee the conservation of indigenous peoples’ cultural sites and their access to it;</w:t>
      </w:r>
    </w:p>
    <w:p w:rsidR="00A91F25" w:rsidRDefault="00762777" w:rsidP="00A91F25">
      <w:pPr>
        <w:jc w:val="both"/>
        <w:rPr>
          <w:i/>
        </w:rPr>
      </w:pPr>
      <w:r>
        <w:rPr>
          <w:i/>
        </w:rPr>
        <w:t xml:space="preserve">15. </w:t>
      </w:r>
      <w:r w:rsidR="002A03CF">
        <w:rPr>
          <w:i/>
        </w:rPr>
        <w:t>Develop a clear framework for the protection of ind</w:t>
      </w:r>
      <w:r w:rsidR="000C2BBF">
        <w:rPr>
          <w:i/>
        </w:rPr>
        <w:t>igeno</w:t>
      </w:r>
      <w:r w:rsidR="00DE0734">
        <w:rPr>
          <w:i/>
        </w:rPr>
        <w:t>us languages that are gradually b</w:t>
      </w:r>
      <w:r w:rsidR="000C2BBF">
        <w:rPr>
          <w:i/>
        </w:rPr>
        <w:t xml:space="preserve">ecoming </w:t>
      </w:r>
      <w:r w:rsidR="002A03CF">
        <w:rPr>
          <w:i/>
        </w:rPr>
        <w:t xml:space="preserve">extinct. </w:t>
      </w:r>
    </w:p>
    <w:p w:rsidR="00D73EF6" w:rsidRDefault="00D73EF6">
      <w:pPr>
        <w:rPr>
          <w:i/>
        </w:rPr>
      </w:pPr>
      <w:r>
        <w:rPr>
          <w:i/>
        </w:rPr>
        <w:br w:type="page"/>
      </w:r>
    </w:p>
    <w:p w:rsidR="00D73EF6" w:rsidRDefault="00D73EF6" w:rsidP="00D73EF6">
      <w:pPr>
        <w:jc w:val="center"/>
        <w:rPr>
          <w:i/>
        </w:rPr>
      </w:pPr>
    </w:p>
    <w:p w:rsidR="006A3CCD" w:rsidRDefault="006A3CCD" w:rsidP="00D73EF6">
      <w:pPr>
        <w:jc w:val="center"/>
        <w:rPr>
          <w:i/>
        </w:rPr>
      </w:pPr>
    </w:p>
    <w:p w:rsidR="00D73EF6" w:rsidRDefault="00D73EF6" w:rsidP="00D73EF6">
      <w:pPr>
        <w:jc w:val="center"/>
        <w:rPr>
          <w:i/>
        </w:rPr>
      </w:pPr>
    </w:p>
    <w:p w:rsidR="00D73EF6" w:rsidRDefault="00D73EF6" w:rsidP="00D73EF6">
      <w:pPr>
        <w:jc w:val="center"/>
        <w:rPr>
          <w:i/>
        </w:rPr>
      </w:pPr>
    </w:p>
    <w:p w:rsidR="00D73EF6" w:rsidRDefault="00D73EF6" w:rsidP="00D73EF6">
      <w:pPr>
        <w:jc w:val="center"/>
        <w:rPr>
          <w:i/>
        </w:rPr>
      </w:pPr>
      <w:r>
        <w:rPr>
          <w:i/>
          <w:noProof/>
          <w:lang w:val="en-GB" w:eastAsia="en-GB"/>
        </w:rPr>
        <w:drawing>
          <wp:inline distT="0" distB="0" distL="0" distR="0" wp14:anchorId="2C659166" wp14:editId="4F87BE82">
            <wp:extent cx="2553419" cy="2553419"/>
            <wp:effectExtent l="0" t="0" r="0" b="0"/>
            <wp:docPr id="1" name="Picture 1" descr="\\unposerver\General Folder\04 MultiMedia\03 UNPO Logos\logo 14x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poserver\General Folder\04 MultiMedia\03 UNPO Logos\logo 14x1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3311" cy="2553311"/>
                    </a:xfrm>
                    <a:prstGeom prst="rect">
                      <a:avLst/>
                    </a:prstGeom>
                    <a:noFill/>
                    <a:ln>
                      <a:noFill/>
                    </a:ln>
                  </pic:spPr>
                </pic:pic>
              </a:graphicData>
            </a:graphic>
          </wp:inline>
        </w:drawing>
      </w:r>
    </w:p>
    <w:p w:rsidR="00D73EF6" w:rsidRDefault="00D73EF6" w:rsidP="00D73EF6">
      <w:pPr>
        <w:jc w:val="center"/>
        <w:rPr>
          <w:i/>
        </w:rPr>
      </w:pPr>
    </w:p>
    <w:p w:rsidR="00D73EF6" w:rsidRDefault="00D73EF6" w:rsidP="00D73EF6">
      <w:pPr>
        <w:jc w:val="center"/>
        <w:rPr>
          <w:i/>
        </w:rPr>
      </w:pPr>
    </w:p>
    <w:p w:rsidR="00D73EF6" w:rsidRDefault="00D73EF6" w:rsidP="00D73EF6">
      <w:pPr>
        <w:jc w:val="center"/>
        <w:rPr>
          <w:i/>
        </w:rPr>
      </w:pPr>
      <w:r w:rsidRPr="00D73EF6">
        <w:rPr>
          <w:i/>
          <w:noProof/>
          <w:lang w:val="en-GB" w:eastAsia="en-GB"/>
        </w:rPr>
        <mc:AlternateContent>
          <mc:Choice Requires="wps">
            <w:drawing>
              <wp:anchor distT="0" distB="0" distL="114300" distR="114300" simplePos="0" relativeHeight="251659264" behindDoc="0" locked="0" layoutInCell="1" allowOverlap="1" wp14:anchorId="25A473DE" wp14:editId="30FDE20B">
                <wp:simplePos x="0" y="0"/>
                <wp:positionH relativeFrom="column">
                  <wp:align>center</wp:align>
                </wp:positionH>
                <wp:positionV relativeFrom="paragraph">
                  <wp:posOffset>0</wp:posOffset>
                </wp:positionV>
                <wp:extent cx="3603829"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3829" cy="1403985"/>
                        </a:xfrm>
                        <a:prstGeom prst="rect">
                          <a:avLst/>
                        </a:prstGeom>
                        <a:noFill/>
                        <a:ln w="9525">
                          <a:noFill/>
                          <a:miter lim="800000"/>
                          <a:headEnd/>
                          <a:tailEnd/>
                        </a:ln>
                      </wps:spPr>
                      <wps:txbx>
                        <w:txbxContent>
                          <w:p w:rsidR="0062470F" w:rsidRDefault="0062470F" w:rsidP="00D73EF6">
                            <w:pPr>
                              <w:jc w:val="center"/>
                              <w:rPr>
                                <w:i/>
                              </w:rPr>
                            </w:pPr>
                          </w:p>
                          <w:p w:rsidR="0062470F" w:rsidRPr="00D73EF6" w:rsidRDefault="0062470F" w:rsidP="00D73EF6">
                            <w:pPr>
                              <w:jc w:val="both"/>
                              <w:rPr>
                                <w:i/>
                                <w:sz w:val="24"/>
                              </w:rPr>
                            </w:pPr>
                            <w:r w:rsidRPr="00D73EF6">
                              <w:rPr>
                                <w:i/>
                                <w:sz w:val="24"/>
                              </w:rPr>
                              <w:t>The Unrepresented Nations and Peoples Organization (UNPO) is an international, nonviolent, and democratic membership organization founded in 1991. Its Members are indigenous peoples, minorities, and unrecognized or occupied territories who have joined together to protect and promote their human and cultural rights, to preserve their environments, and to find nonviolent solutions to conflicts which affect them.</w:t>
                            </w:r>
                          </w:p>
                          <w:p w:rsidR="0062470F" w:rsidRDefault="0062470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0;width:283.75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" filled="f" stroked="f">
                <v:textbox style="mso-fit-shape-to-text:t">
                  <w:txbxContent>
                    <w:p w:rsidR="0062470F" w:rsidRDefault="0062470F" w:rsidP="00D73EF6">
                      <w:pPr>
                        <w:jc w:val="center"/>
                        <w:rPr>
                          <w:i/>
                        </w:rPr>
                      </w:pPr>
                    </w:p>
                    <w:p w:rsidR="0062470F" w:rsidRPr="00D73EF6" w:rsidRDefault="0062470F" w:rsidP="00D73EF6">
                      <w:pPr>
                        <w:jc w:val="both"/>
                        <w:rPr>
                          <w:i/>
                          <w:sz w:val="24"/>
                        </w:rPr>
                      </w:pPr>
                      <w:r w:rsidRPr="00D73EF6">
                        <w:rPr>
                          <w:i/>
                          <w:sz w:val="24"/>
                        </w:rPr>
                        <w:t>The Unrepresented Nations and Peoples Organization (UNPO) is an international, nonviolent, and democratic membership organization founded in 1991. Its Members are indigenous peoples, minorities, and unrecognized or occupied territories who have joined together to protect and promote their human and cultural rights, to preserve their environments, and to find nonviolent solutions to conflicts which affect them.</w:t>
                      </w:r>
                    </w:p>
                    <w:p w:rsidR="0062470F" w:rsidRDefault="0062470F"/>
                  </w:txbxContent>
                </v:textbox>
              </v:shape>
            </w:pict>
          </mc:Fallback>
        </mc:AlternateContent>
      </w:r>
    </w:p>
    <w:sectPr w:rsidR="00D73EF6">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70F" w:rsidRDefault="0062470F" w:rsidP="007F017B">
      <w:pPr>
        <w:spacing w:after="0" w:line="240" w:lineRule="auto"/>
      </w:pPr>
      <w:r>
        <w:separator/>
      </w:r>
    </w:p>
  </w:endnote>
  <w:endnote w:type="continuationSeparator" w:id="0">
    <w:p w:rsidR="0062470F" w:rsidRDefault="0062470F" w:rsidP="007F0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584701"/>
      <w:docPartObj>
        <w:docPartGallery w:val="Page Numbers (Bottom of Page)"/>
        <w:docPartUnique/>
      </w:docPartObj>
    </w:sdtPr>
    <w:sdtEndPr>
      <w:rPr>
        <w:noProof/>
        <w:color w:val="FFFFFF" w:themeColor="background1"/>
      </w:rPr>
    </w:sdtEndPr>
    <w:sdtContent>
      <w:p w:rsidR="0062470F" w:rsidRPr="009F34D2" w:rsidRDefault="0062470F">
        <w:pPr>
          <w:pStyle w:val="Footer"/>
          <w:jc w:val="right"/>
          <w:rPr>
            <w:color w:val="FFFFFF" w:themeColor="background1"/>
          </w:rPr>
        </w:pPr>
        <w:r w:rsidRPr="009F34D2">
          <w:rPr>
            <w:rFonts w:ascii="Times New Roman" w:hAnsi="Times New Roman" w:cs="Times New Roman"/>
            <w:b/>
            <w:noProof/>
            <w:color w:val="FFFFFF" w:themeColor="background1"/>
            <w:sz w:val="26"/>
            <w:szCs w:val="26"/>
            <w:lang w:val="en-GB" w:eastAsia="en-GB"/>
          </w:rPr>
          <mc:AlternateContent>
            <mc:Choice Requires="wps">
              <w:drawing>
                <wp:anchor distT="0" distB="0" distL="114300" distR="114300" simplePos="0" relativeHeight="251663360" behindDoc="1" locked="0" layoutInCell="1" allowOverlap="1" wp14:anchorId="7FE7EEAB" wp14:editId="7FBC22FC">
                  <wp:simplePos x="0" y="0"/>
                  <wp:positionH relativeFrom="margin">
                    <wp:posOffset>-959485</wp:posOffset>
                  </wp:positionH>
                  <wp:positionV relativeFrom="page">
                    <wp:posOffset>9790430</wp:posOffset>
                  </wp:positionV>
                  <wp:extent cx="7642860" cy="435610"/>
                  <wp:effectExtent l="0" t="0" r="0" b="2540"/>
                  <wp:wrapTight wrapText="bothSides">
                    <wp:wrapPolygon edited="0">
                      <wp:start x="0" y="0"/>
                      <wp:lineTo x="0" y="20781"/>
                      <wp:lineTo x="21535" y="20781"/>
                      <wp:lineTo x="21535" y="0"/>
                      <wp:lineTo x="0" y="0"/>
                    </wp:wrapPolygon>
                  </wp:wrapTight>
                  <wp:docPr id="2" name="Rectangle 4"/>
                  <wp:cNvGraphicFramePr/>
                  <a:graphic xmlns:a="http://schemas.openxmlformats.org/drawingml/2006/main">
                    <a:graphicData uri="http://schemas.microsoft.com/office/word/2010/wordprocessingShape">
                      <wps:wsp>
                        <wps:cNvSpPr/>
                        <wps:spPr>
                          <a:xfrm>
                            <a:off x="0" y="0"/>
                            <a:ext cx="7642860" cy="43561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2470F" w:rsidRPr="00DA009C" w:rsidRDefault="0062470F" w:rsidP="009F34D2">
                              <w:pPr>
                                <w:jc w:val="center"/>
                                <w:rPr>
                                  <w:rFonts w:ascii="Times New Roman" w:hAnsi="Times New Roman" w:cs="Times New Roman"/>
                                  <w:b/>
                                  <w:sz w:val="26"/>
                                  <w:szCs w:val="26"/>
                                </w:rPr>
                              </w:pPr>
                              <w:r w:rsidRPr="00DA009C">
                                <w:rPr>
                                  <w:rFonts w:ascii="Times New Roman" w:hAnsi="Times New Roman" w:cs="Times New Roman"/>
                                  <w:b/>
                                  <w:sz w:val="26"/>
                                  <w:szCs w:val="26"/>
                                </w:rPr>
                                <w:t xml:space="preserve">Unrepresented Nations and Peoples Organization          </w:t>
                              </w:r>
                            </w:p>
                            <w:p w:rsidR="0062470F" w:rsidRPr="00DA009C" w:rsidRDefault="0062470F" w:rsidP="009F34D2">
                              <w:pPr>
                                <w:jc w:val="center"/>
                                <w:rPr>
                                  <w:rFonts w:ascii="Times New Roman" w:hAnsi="Times New Roman" w:cs="Times New Roman"/>
                                  <w:b/>
                                  <w:sz w:val="26"/>
                                  <w:szCs w:val="26"/>
                                </w:rPr>
                              </w:pPr>
                            </w:p>
                            <w:p w:rsidR="0062470F" w:rsidRPr="00DA009C" w:rsidRDefault="0062470F" w:rsidP="009F34D2">
                              <w:pPr>
                                <w:jc w:val="center"/>
                                <w:rPr>
                                  <w:rFonts w:ascii="Times New Roman" w:hAnsi="Times New Roman" w:cs="Times New Roman"/>
                                  <w:b/>
                                  <w:sz w:val="26"/>
                                  <w:szCs w:val="26"/>
                                </w:rPr>
                              </w:pPr>
                            </w:p>
                            <w:p w:rsidR="0062470F" w:rsidRPr="00DA009C" w:rsidRDefault="0062470F" w:rsidP="009F34D2">
                              <w:pPr>
                                <w:jc w:val="right"/>
                                <w:rPr>
                                  <w:rFonts w:ascii="Times New Roman" w:hAnsi="Times New Roman" w:cs="Times New Roman"/>
                                  <w:b/>
                                  <w:sz w:val="26"/>
                                  <w:szCs w:val="26"/>
                                </w:rPr>
                              </w:pPr>
                            </w:p>
                            <w:p w:rsidR="0062470F" w:rsidRPr="00DA009C" w:rsidRDefault="0062470F" w:rsidP="009F34D2">
                              <w:pPr>
                                <w:jc w:val="center"/>
                                <w:rPr>
                                  <w:rFonts w:ascii="Times New Roman" w:hAnsi="Times New Roman" w:cs="Times New Roman"/>
                                  <w:b/>
                                  <w:sz w:val="26"/>
                                  <w:szCs w:val="26"/>
                                </w:rPr>
                              </w:pP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_x0000_s1028" style="position:absolute;left:0;text-align:left;margin-left:-75.55pt;margin-top:770.9pt;width:601.8pt;height:34.3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" fillcolor="#a5a5a5 [2092]" stroked="f" strokeweight="2pt">
                  <v:textbox>
                    <w:txbxContent>
                      <w:p w:rsidR="004C5092" w:rsidRPr="00DA009C" w:rsidRDefault="004C5092" w:rsidP="009F34D2">
                        <w:pPr>
                          <w:jc w:val="center"/>
                          <w:rPr>
                            <w:rFonts w:ascii="Times New Roman" w:hAnsi="Times New Roman" w:cs="Times New Roman"/>
                            <w:b/>
                            <w:sz w:val="26"/>
                            <w:szCs w:val="26"/>
                          </w:rPr>
                        </w:pPr>
                        <w:r w:rsidRPr="00DA009C">
                          <w:rPr>
                            <w:rFonts w:ascii="Times New Roman" w:hAnsi="Times New Roman" w:cs="Times New Roman"/>
                            <w:b/>
                            <w:sz w:val="26"/>
                            <w:szCs w:val="26"/>
                          </w:rPr>
                          <w:t xml:space="preserve">Unrepresented Nations and Peoples Organization          </w:t>
                        </w:r>
                      </w:p>
                      <w:p w:rsidR="004C5092" w:rsidRPr="00DA009C" w:rsidRDefault="004C5092" w:rsidP="009F34D2">
                        <w:pPr>
                          <w:jc w:val="center"/>
                          <w:rPr>
                            <w:rFonts w:ascii="Times New Roman" w:hAnsi="Times New Roman" w:cs="Times New Roman"/>
                            <w:b/>
                            <w:sz w:val="26"/>
                            <w:szCs w:val="26"/>
                          </w:rPr>
                        </w:pPr>
                      </w:p>
                      <w:p w:rsidR="004C5092" w:rsidRPr="00DA009C" w:rsidRDefault="004C5092" w:rsidP="009F34D2">
                        <w:pPr>
                          <w:jc w:val="center"/>
                          <w:rPr>
                            <w:rFonts w:ascii="Times New Roman" w:hAnsi="Times New Roman" w:cs="Times New Roman"/>
                            <w:b/>
                            <w:sz w:val="26"/>
                            <w:szCs w:val="26"/>
                          </w:rPr>
                        </w:pPr>
                      </w:p>
                      <w:p w:rsidR="004C5092" w:rsidRPr="00DA009C" w:rsidRDefault="004C5092" w:rsidP="009F34D2">
                        <w:pPr>
                          <w:jc w:val="right"/>
                          <w:rPr>
                            <w:rFonts w:ascii="Times New Roman" w:hAnsi="Times New Roman" w:cs="Times New Roman"/>
                            <w:b/>
                            <w:sz w:val="26"/>
                            <w:szCs w:val="26"/>
                          </w:rPr>
                        </w:pPr>
                      </w:p>
                      <w:p w:rsidR="004C5092" w:rsidRPr="00DA009C" w:rsidRDefault="004C5092" w:rsidP="009F34D2">
                        <w:pPr>
                          <w:jc w:val="center"/>
                          <w:rPr>
                            <w:rFonts w:ascii="Times New Roman" w:hAnsi="Times New Roman" w:cs="Times New Roman"/>
                            <w:b/>
                            <w:sz w:val="26"/>
                            <w:szCs w:val="26"/>
                          </w:rPr>
                        </w:pPr>
                      </w:p>
                    </w:txbxContent>
                  </v:textbox>
                  <w10:wrap type="tight" anchorx="margin" anchory="page"/>
                </v:rect>
              </w:pict>
            </mc:Fallback>
          </mc:AlternateContent>
        </w:r>
        <w:r w:rsidRPr="009F34D2">
          <w:rPr>
            <w:color w:val="FFFFFF" w:themeColor="background1"/>
          </w:rPr>
          <w:fldChar w:fldCharType="begin"/>
        </w:r>
        <w:r w:rsidRPr="009F34D2">
          <w:rPr>
            <w:color w:val="FFFFFF" w:themeColor="background1"/>
          </w:rPr>
          <w:instrText xml:space="preserve"> PAGE   \* MERGEFORMAT </w:instrText>
        </w:r>
        <w:r w:rsidRPr="009F34D2">
          <w:rPr>
            <w:color w:val="FFFFFF" w:themeColor="background1"/>
          </w:rPr>
          <w:fldChar w:fldCharType="separate"/>
        </w:r>
        <w:r w:rsidR="00B01ED5">
          <w:rPr>
            <w:noProof/>
            <w:color w:val="FFFFFF" w:themeColor="background1"/>
          </w:rPr>
          <w:t>1</w:t>
        </w:r>
        <w:r w:rsidRPr="009F34D2">
          <w:rPr>
            <w:noProof/>
            <w:color w:val="FFFFFF" w:themeColor="background1"/>
          </w:rPr>
          <w:fldChar w:fldCharType="end"/>
        </w:r>
      </w:p>
    </w:sdtContent>
  </w:sdt>
  <w:p w:rsidR="0062470F" w:rsidRDefault="006247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70F" w:rsidRDefault="0062470F" w:rsidP="007F017B">
      <w:pPr>
        <w:spacing w:after="0" w:line="240" w:lineRule="auto"/>
      </w:pPr>
      <w:r>
        <w:separator/>
      </w:r>
    </w:p>
  </w:footnote>
  <w:footnote w:type="continuationSeparator" w:id="0">
    <w:p w:rsidR="0062470F" w:rsidRDefault="0062470F" w:rsidP="007F017B">
      <w:pPr>
        <w:spacing w:after="0" w:line="240" w:lineRule="auto"/>
      </w:pPr>
      <w:r>
        <w:continuationSeparator/>
      </w:r>
    </w:p>
  </w:footnote>
  <w:footnote w:id="1">
    <w:p w:rsidR="0062470F" w:rsidRPr="00A24723" w:rsidRDefault="0062470F">
      <w:pPr>
        <w:pStyle w:val="FootnoteText"/>
      </w:pPr>
      <w:r>
        <w:rPr>
          <w:rStyle w:val="FootnoteReference"/>
        </w:rPr>
        <w:footnoteRef/>
      </w:r>
      <w:r>
        <w:t xml:space="preserve"> </w:t>
      </w:r>
      <w:r w:rsidRPr="00A24723">
        <w:t>In this report, the term “West Papua</w:t>
      </w:r>
      <w:r>
        <w:t xml:space="preserve">” will be used to indicate the region as a whole, while “Papua” and “Papua Barat” will be used to indicate the respective provinces created by the Indonesian Government. </w:t>
      </w:r>
    </w:p>
  </w:footnote>
  <w:footnote w:id="2">
    <w:p w:rsidR="0062470F" w:rsidRPr="009B3601" w:rsidRDefault="0062470F">
      <w:pPr>
        <w:pStyle w:val="FootnoteText"/>
      </w:pPr>
      <w:r>
        <w:rPr>
          <w:rStyle w:val="FootnoteReference"/>
        </w:rPr>
        <w:footnoteRef/>
      </w:r>
      <w:r>
        <w:t xml:space="preserve"> EC.12/IDN/1, January 2012. </w:t>
      </w:r>
    </w:p>
  </w:footnote>
  <w:footnote w:id="3">
    <w:p w:rsidR="0062470F" w:rsidRPr="009B3601" w:rsidRDefault="0062470F">
      <w:pPr>
        <w:pStyle w:val="FootnoteText"/>
      </w:pPr>
      <w:r>
        <w:rPr>
          <w:rStyle w:val="FootnoteReference"/>
        </w:rPr>
        <w:footnoteRef/>
      </w:r>
      <w:r>
        <w:t xml:space="preserve"> Several historical accounts report on the conditions to which the voters of the Act of Free Choice were subjected. See for example: Brundige, E. et al. (2004). </w:t>
      </w:r>
      <w:r w:rsidRPr="000C2BBF">
        <w:rPr>
          <w:i/>
        </w:rPr>
        <w:t>Indonesian Human Rights Abuses in West Papua: Application fo the law of genocide to the history of Indonesian control</w:t>
      </w:r>
      <w:r>
        <w:t xml:space="preserve">. Yale Law School; King, P. (2004). </w:t>
      </w:r>
      <w:r w:rsidRPr="000C2BBF">
        <w:rPr>
          <w:i/>
        </w:rPr>
        <w:t>West Papua and Indonesia since Suharto: Independence, autonomy, or chaos?</w:t>
      </w:r>
      <w:r>
        <w:t xml:space="preserve"> Sidney: UNSW; Tebay, N. (2005). </w:t>
      </w:r>
      <w:r w:rsidRPr="000C2BBF">
        <w:rPr>
          <w:i/>
        </w:rPr>
        <w:t>West Papua: The struggle of peace with Justice.</w:t>
      </w:r>
      <w:r>
        <w:t xml:space="preserve"> London: Catholic Institute for International Relations. </w:t>
      </w:r>
    </w:p>
  </w:footnote>
  <w:footnote w:id="4">
    <w:p w:rsidR="0062470F" w:rsidRPr="00D03BC2" w:rsidRDefault="0062470F">
      <w:pPr>
        <w:pStyle w:val="FootnoteText"/>
      </w:pPr>
      <w:r>
        <w:rPr>
          <w:rStyle w:val="FootnoteReference"/>
        </w:rPr>
        <w:footnoteRef/>
      </w:r>
      <w:r>
        <w:t xml:space="preserve"> EC.12/IDN/1, January 2012. pp. 13-18. </w:t>
      </w:r>
    </w:p>
  </w:footnote>
  <w:footnote w:id="5">
    <w:p w:rsidR="0062470F" w:rsidRPr="007D03C1" w:rsidRDefault="0062470F" w:rsidP="008F688E">
      <w:pPr>
        <w:pStyle w:val="FootnoteText"/>
      </w:pPr>
      <w:r>
        <w:rPr>
          <w:rStyle w:val="FootnoteReference"/>
        </w:rPr>
        <w:footnoteRef/>
      </w:r>
      <w:r>
        <w:t xml:space="preserve"> U.S. Department of State (2012). </w:t>
      </w:r>
      <w:r w:rsidRPr="000C2BBF">
        <w:rPr>
          <w:i/>
        </w:rPr>
        <w:t>Indonesia 2012 Human Rights Report</w:t>
      </w:r>
      <w:r>
        <w:t xml:space="preserve">. Retrived from: </w:t>
      </w:r>
      <w:hyperlink r:id="rId1" w:history="1">
        <w:r w:rsidRPr="00825030">
          <w:rPr>
            <w:rStyle w:val="Hyperlink"/>
            <w:color w:val="auto"/>
            <w:u w:val="none"/>
          </w:rPr>
          <w:t>http://www.state.gov/documents/organization/204415.pdf</w:t>
        </w:r>
      </w:hyperlink>
      <w:r w:rsidRPr="00825030">
        <w:t xml:space="preserve"> </w:t>
      </w:r>
      <w:r>
        <w:t xml:space="preserve"> </w:t>
      </w:r>
    </w:p>
  </w:footnote>
  <w:footnote w:id="6">
    <w:p w:rsidR="0062470F" w:rsidRPr="00825030" w:rsidRDefault="0062470F" w:rsidP="008F688E">
      <w:pPr>
        <w:pStyle w:val="FootnoteText"/>
      </w:pPr>
      <w:r>
        <w:rPr>
          <w:rStyle w:val="FootnoteReference"/>
        </w:rPr>
        <w:footnoteRef/>
      </w:r>
      <w:r>
        <w:t xml:space="preserve"> </w:t>
      </w:r>
      <w:r w:rsidRPr="00825030">
        <w:t xml:space="preserve">Cordell, M. (23 January 2014). </w:t>
      </w:r>
      <w:r>
        <w:t>West Papuans Face Long Jail Term for Raising Mornign Star F</w:t>
      </w:r>
      <w:r w:rsidRPr="00825030">
        <w:t xml:space="preserve">lag. </w:t>
      </w:r>
      <w:r w:rsidRPr="000C2BBF">
        <w:rPr>
          <w:i/>
        </w:rPr>
        <w:t>The Guardian</w:t>
      </w:r>
      <w:r>
        <w:t xml:space="preserve">. </w:t>
      </w:r>
    </w:p>
  </w:footnote>
  <w:footnote w:id="7">
    <w:p w:rsidR="0062470F" w:rsidRPr="00825030" w:rsidRDefault="0062470F" w:rsidP="008F688E">
      <w:pPr>
        <w:pStyle w:val="FootnoteText"/>
      </w:pPr>
      <w:r>
        <w:rPr>
          <w:rStyle w:val="FootnoteReference"/>
        </w:rPr>
        <w:footnoteRef/>
      </w:r>
      <w:r>
        <w:t xml:space="preserve"> U.S. Department of State (2012). </w:t>
      </w:r>
      <w:r w:rsidRPr="000C2BBF">
        <w:rPr>
          <w:i/>
        </w:rPr>
        <w:t>Indonesia 2012 Human Rights Report</w:t>
      </w:r>
      <w:r>
        <w:t xml:space="preserve">. Retrived from: </w:t>
      </w:r>
      <w:hyperlink r:id="rId2" w:history="1">
        <w:r w:rsidRPr="00825030">
          <w:rPr>
            <w:rStyle w:val="Hyperlink"/>
            <w:color w:val="auto"/>
            <w:u w:val="none"/>
          </w:rPr>
          <w:t>http://www.state.gov/documents/organization/204415.pdf</w:t>
        </w:r>
      </w:hyperlink>
      <w:r w:rsidRPr="00825030">
        <w:t xml:space="preserve"> </w:t>
      </w:r>
      <w:r>
        <w:t xml:space="preserve"> </w:t>
      </w:r>
    </w:p>
  </w:footnote>
  <w:footnote w:id="8">
    <w:p w:rsidR="0062470F" w:rsidRPr="001B1EDD" w:rsidRDefault="0062470F">
      <w:pPr>
        <w:pStyle w:val="FootnoteText"/>
        <w:rPr>
          <w:rFonts w:cstheme="minorHAnsi"/>
        </w:rPr>
      </w:pPr>
      <w:r>
        <w:rPr>
          <w:rStyle w:val="FootnoteReference"/>
        </w:rPr>
        <w:footnoteRef/>
      </w:r>
      <w:r>
        <w:t xml:space="preserve">OHCHR (May 2013). </w:t>
      </w:r>
      <w:r w:rsidRPr="00287136">
        <w:rPr>
          <w:i/>
        </w:rPr>
        <w:t>Pillay concerned about persistent violence and abuses in Papua.</w:t>
      </w:r>
      <w:r>
        <w:t xml:space="preserve"> Retrieved from: </w:t>
      </w:r>
      <w:hyperlink r:id="rId3" w:history="1">
        <w:r w:rsidRPr="00287136">
          <w:rPr>
            <w:rStyle w:val="Hyperlink"/>
            <w:color w:val="auto"/>
            <w:u w:val="none"/>
          </w:rPr>
          <w:t>http://www.ohchr.org/EN/NewsEvents/Pages/DisplayNews.aspx?NewsID=13287&amp;LangID=E</w:t>
        </w:r>
      </w:hyperlink>
      <w:r w:rsidRPr="00287136">
        <w:t xml:space="preserve"> </w:t>
      </w:r>
    </w:p>
  </w:footnote>
  <w:footnote w:id="9">
    <w:p w:rsidR="0062470F" w:rsidRPr="006B2778" w:rsidRDefault="0062470F">
      <w:pPr>
        <w:pStyle w:val="FootnoteText"/>
      </w:pPr>
      <w:r>
        <w:rPr>
          <w:rStyle w:val="FootnoteReference"/>
        </w:rPr>
        <w:footnoteRef/>
      </w:r>
      <w:r>
        <w:t xml:space="preserve"> U.S. Department of State (2012). </w:t>
      </w:r>
      <w:r w:rsidRPr="00287136">
        <w:rPr>
          <w:i/>
        </w:rPr>
        <w:t>Indonesia 2012 Human Rights Report</w:t>
      </w:r>
      <w:r>
        <w:t xml:space="preserve">. Retrived from: </w:t>
      </w:r>
      <w:hyperlink r:id="rId4" w:history="1">
        <w:r w:rsidRPr="00825030">
          <w:rPr>
            <w:rStyle w:val="Hyperlink"/>
            <w:color w:val="auto"/>
            <w:u w:val="none"/>
          </w:rPr>
          <w:t>http://www.state.gov/documents/organization/204415.pdf</w:t>
        </w:r>
      </w:hyperlink>
      <w:r w:rsidRPr="00825030">
        <w:t xml:space="preserve"> </w:t>
      </w:r>
      <w:r>
        <w:t xml:space="preserve"> </w:t>
      </w:r>
    </w:p>
  </w:footnote>
  <w:footnote w:id="10">
    <w:p w:rsidR="0062470F" w:rsidRPr="00174B11" w:rsidRDefault="0062470F" w:rsidP="009B5C95">
      <w:pPr>
        <w:pStyle w:val="FootnoteText"/>
        <w:rPr>
          <w:rFonts w:cstheme="minorHAnsi"/>
        </w:rPr>
      </w:pPr>
      <w:r>
        <w:rPr>
          <w:rStyle w:val="FootnoteReference"/>
        </w:rPr>
        <w:footnoteRef/>
      </w:r>
      <w:r>
        <w:t xml:space="preserve"> </w:t>
      </w:r>
      <w:r>
        <w:rPr>
          <w:rFonts w:cstheme="minorHAnsi"/>
        </w:rPr>
        <w:t>UN Human Rights Council (December 2013).</w:t>
      </w:r>
      <w:r w:rsidRPr="00174B11">
        <w:rPr>
          <w:rStyle w:val="apple-converted-space"/>
          <w:rFonts w:cstheme="minorHAnsi"/>
        </w:rPr>
        <w:t> </w:t>
      </w:r>
      <w:r w:rsidRPr="00287136">
        <w:rPr>
          <w:rFonts w:cstheme="minorHAnsi"/>
          <w:i/>
          <w:iCs/>
        </w:rPr>
        <w:t>Report of the Special Rapporteur on adequate housing as a component of the right to an adequate standard of living, and on the right to non-discrimination in this contex</w:t>
      </w:r>
      <w:r>
        <w:rPr>
          <w:rFonts w:cstheme="minorHAnsi"/>
          <w:iCs/>
        </w:rPr>
        <w:t>t, Addendum</w:t>
      </w:r>
      <w:r w:rsidRPr="00174B11">
        <w:rPr>
          <w:rFonts w:cstheme="minorHAnsi"/>
          <w:iCs/>
        </w:rPr>
        <w:t>: Mission to Indonesia</w:t>
      </w:r>
      <w:r>
        <w:rPr>
          <w:rFonts w:cstheme="minorHAnsi"/>
        </w:rPr>
        <w:t>,</w:t>
      </w:r>
      <w:r w:rsidRPr="00174B11">
        <w:rPr>
          <w:rFonts w:cstheme="minorHAnsi"/>
        </w:rPr>
        <w:t xml:space="preserve"> A/HRC/25/54/Add.1. Retrieved from: </w:t>
      </w:r>
      <w:hyperlink r:id="rId5" w:history="1">
        <w:r w:rsidRPr="00174B11">
          <w:rPr>
            <w:rStyle w:val="Hyperlink"/>
            <w:rFonts w:cstheme="minorHAnsi"/>
            <w:color w:val="auto"/>
            <w:u w:val="none"/>
          </w:rPr>
          <w:t>http://www.refworld.org/docid/52e0f5e7a.html</w:t>
        </w:r>
      </w:hyperlink>
      <w:r w:rsidRPr="00174B11">
        <w:rPr>
          <w:rFonts w:cstheme="minorHAnsi"/>
        </w:rPr>
        <w:t xml:space="preserve"> </w:t>
      </w:r>
    </w:p>
  </w:footnote>
  <w:footnote w:id="11">
    <w:p w:rsidR="0062470F" w:rsidRPr="00FD0D46" w:rsidRDefault="0062470F" w:rsidP="009B5C95">
      <w:pPr>
        <w:pStyle w:val="FootnoteText"/>
      </w:pPr>
      <w:r>
        <w:rPr>
          <w:rStyle w:val="FootnoteReference"/>
        </w:rPr>
        <w:footnoteRef/>
      </w:r>
      <w:r>
        <w:t xml:space="preserve"> </w:t>
      </w:r>
      <w:r w:rsidRPr="00FD0D46">
        <w:t>Ibid</w:t>
      </w:r>
    </w:p>
  </w:footnote>
  <w:footnote w:id="12">
    <w:p w:rsidR="0062470F" w:rsidRPr="00D62069" w:rsidRDefault="0062470F" w:rsidP="009B5C95">
      <w:pPr>
        <w:pStyle w:val="FootnoteText"/>
      </w:pPr>
      <w:r>
        <w:rPr>
          <w:rStyle w:val="FootnoteReference"/>
        </w:rPr>
        <w:footnoteRef/>
      </w:r>
      <w:r>
        <w:t xml:space="preserve"> Forest Peoples Programme (July 2013).</w:t>
      </w:r>
      <w:r w:rsidRPr="00287136">
        <w:t xml:space="preserve"> </w:t>
      </w:r>
      <w:r w:rsidRPr="00287136">
        <w:rPr>
          <w:i/>
        </w:rPr>
        <w:t>Request for Further Consideration of the Situation of the Indigenous Peoples of Merauke, Papua Province, Indonesia, under the Committee on the Elimination of Racial iscrimination’s Urgent Action and Early Warning Procedures</w:t>
      </w:r>
      <w:r>
        <w:t xml:space="preserve">. Retrieved from: </w:t>
      </w:r>
      <w:hyperlink r:id="rId6" w:history="1">
        <w:r w:rsidRPr="00D62069">
          <w:rPr>
            <w:rStyle w:val="Hyperlink"/>
            <w:color w:val="auto"/>
            <w:u w:val="none"/>
          </w:rPr>
          <w:t>http://www.forestpeoples</w:t>
        </w:r>
      </w:hyperlink>
      <w:r w:rsidRPr="00D62069">
        <w:t>.</w:t>
      </w:r>
    </w:p>
    <w:p w:rsidR="0062470F" w:rsidRPr="009B5C95" w:rsidRDefault="0062470F" w:rsidP="009B5C95">
      <w:pPr>
        <w:pStyle w:val="FootnoteText"/>
      </w:pPr>
      <w:r w:rsidRPr="00D62069">
        <w:t>org/sites/fpp/files/publication/2013/08/cerduamifeejuly2013english.pdf</w:t>
      </w:r>
      <w:r>
        <w:t xml:space="preserve"> </w:t>
      </w:r>
    </w:p>
  </w:footnote>
  <w:footnote w:id="13">
    <w:p w:rsidR="0062470F" w:rsidRPr="009222EB" w:rsidRDefault="0062470F" w:rsidP="009222EB">
      <w:pPr>
        <w:pStyle w:val="FootnoteText"/>
      </w:pPr>
      <w:r>
        <w:rPr>
          <w:rStyle w:val="FootnoteReference"/>
        </w:rPr>
        <w:footnoteRef/>
      </w:r>
      <w:r>
        <w:t xml:space="preserve"> Republic of the South Moluccas (2014). </w:t>
      </w:r>
      <w:r w:rsidRPr="009222EB">
        <w:rPr>
          <w:i/>
        </w:rPr>
        <w:t xml:space="preserve">Human Rights Violations in the South Moluccas committed by the Republic of Indonesia. </w:t>
      </w:r>
      <w:r>
        <w:t xml:space="preserve">Background information for the side event of UNPO at the 25th  Session of the United Nations Human Rights Commission, Palais de Nations Geneva, March 14th 2014. </w:t>
      </w:r>
    </w:p>
  </w:footnote>
  <w:footnote w:id="14">
    <w:p w:rsidR="0062470F" w:rsidRPr="00F24157" w:rsidRDefault="0062470F">
      <w:pPr>
        <w:pStyle w:val="FootnoteText"/>
      </w:pPr>
      <w:r>
        <w:rPr>
          <w:rStyle w:val="FootnoteReference"/>
        </w:rPr>
        <w:footnoteRef/>
      </w:r>
      <w:r>
        <w:t xml:space="preserve"> Ibid</w:t>
      </w:r>
    </w:p>
  </w:footnote>
  <w:footnote w:id="15">
    <w:p w:rsidR="0062470F" w:rsidRPr="00F2196C" w:rsidRDefault="0062470F">
      <w:pPr>
        <w:pStyle w:val="FootnoteText"/>
      </w:pPr>
      <w:r w:rsidRPr="001B1EDD">
        <w:rPr>
          <w:rStyle w:val="FootnoteReference"/>
          <w:rFonts w:cstheme="minorHAnsi"/>
        </w:rPr>
        <w:footnoteRef/>
      </w:r>
      <w:r w:rsidRPr="001B1EDD">
        <w:rPr>
          <w:rFonts w:cstheme="minorHAnsi"/>
        </w:rPr>
        <w:t xml:space="preserve"> Law o</w:t>
      </w:r>
      <w:r>
        <w:t xml:space="preserve">f the Republic of Indonesia n. 41 of 1999. Art. 4(1). Retrieved from: </w:t>
      </w:r>
      <w:hyperlink r:id="rId7" w:history="1">
        <w:r w:rsidRPr="00F2196C">
          <w:rPr>
            <w:rStyle w:val="Hyperlink"/>
            <w:color w:val="auto"/>
            <w:u w:val="none"/>
          </w:rPr>
          <w:t>http://theredddesk.org/sites/ default/files/uu41_99_en.pdf</w:t>
        </w:r>
      </w:hyperlink>
      <w:r w:rsidRPr="00F2196C">
        <w:t xml:space="preserve"> </w:t>
      </w:r>
    </w:p>
  </w:footnote>
  <w:footnote w:id="16">
    <w:p w:rsidR="0062470F" w:rsidRPr="00F2196C" w:rsidRDefault="0062470F">
      <w:pPr>
        <w:pStyle w:val="FootnoteText"/>
      </w:pPr>
      <w:r w:rsidRPr="00F2196C">
        <w:rPr>
          <w:rStyle w:val="FootnoteReference"/>
        </w:rPr>
        <w:footnoteRef/>
      </w:r>
      <w:r w:rsidRPr="00F2196C">
        <w:t xml:space="preserve"> Decision n. 35/PUU-X/2012. Retrieved from </w:t>
      </w:r>
      <w:hyperlink r:id="rId8" w:history="1">
        <w:r w:rsidRPr="00F2196C">
          <w:rPr>
            <w:rStyle w:val="Hyperlink"/>
            <w:color w:val="auto"/>
            <w:u w:val="none"/>
          </w:rPr>
          <w:t>http://www.aman.or.id/wp-content/plugins/downloads-manager/upload/Constitutional_Court_Ruling_16_May_2013.pdf</w:t>
        </w:r>
      </w:hyperlink>
      <w:r>
        <w:t xml:space="preserve"> </w:t>
      </w:r>
    </w:p>
  </w:footnote>
  <w:footnote w:id="17">
    <w:p w:rsidR="0062470F" w:rsidRPr="00D62069" w:rsidRDefault="0062470F" w:rsidP="00D62069">
      <w:pPr>
        <w:pStyle w:val="FootnoteText"/>
      </w:pPr>
      <w:r>
        <w:rPr>
          <w:rStyle w:val="FootnoteReference"/>
        </w:rPr>
        <w:footnoteRef/>
      </w:r>
      <w:r>
        <w:t xml:space="preserve"> Forest Peoples Programme (July 2013).</w:t>
      </w:r>
      <w:r w:rsidRPr="00287136">
        <w:t xml:space="preserve"> </w:t>
      </w:r>
      <w:r w:rsidRPr="00287136">
        <w:rPr>
          <w:i/>
        </w:rPr>
        <w:t>Request for Further Consideration of the Situation of the Indigenous Peoples of Merauke, Papua Province, Indonesia, under the Committee on the Elimination of Racial iscrimination’s Urgent Action and Early Warning Procedures</w:t>
      </w:r>
      <w:r>
        <w:t xml:space="preserve">Retrieved from: </w:t>
      </w:r>
      <w:hyperlink r:id="rId9" w:history="1">
        <w:r w:rsidRPr="00D62069">
          <w:rPr>
            <w:rStyle w:val="Hyperlink"/>
            <w:color w:val="auto"/>
            <w:u w:val="none"/>
          </w:rPr>
          <w:t>http://www.forestpeoples</w:t>
        </w:r>
      </w:hyperlink>
      <w:r w:rsidRPr="00D62069">
        <w:t>.</w:t>
      </w:r>
    </w:p>
    <w:p w:rsidR="0062470F" w:rsidRPr="00BC5482" w:rsidRDefault="0062470F" w:rsidP="00BC5482">
      <w:pPr>
        <w:pStyle w:val="FootnoteText"/>
      </w:pPr>
      <w:r w:rsidRPr="00D62069">
        <w:t>org/sites/fpp/files/publication/2013/08/cerduamifeejuly2013english.pdf</w:t>
      </w:r>
      <w:r>
        <w:t xml:space="preserve"> </w:t>
      </w:r>
    </w:p>
  </w:footnote>
  <w:footnote w:id="18">
    <w:p w:rsidR="0062470F" w:rsidRPr="007775F2" w:rsidRDefault="0062470F">
      <w:pPr>
        <w:pStyle w:val="FootnoteText"/>
      </w:pPr>
      <w:r>
        <w:rPr>
          <w:rStyle w:val="FootnoteReference"/>
        </w:rPr>
        <w:footnoteRef/>
      </w:r>
      <w:r>
        <w:t xml:space="preserve"> Ibid</w:t>
      </w:r>
    </w:p>
  </w:footnote>
  <w:footnote w:id="19">
    <w:p w:rsidR="0062470F" w:rsidRPr="007775F2" w:rsidRDefault="0062470F">
      <w:pPr>
        <w:pStyle w:val="FootnoteText"/>
      </w:pPr>
      <w:r>
        <w:rPr>
          <w:rStyle w:val="FootnoteReference"/>
        </w:rPr>
        <w:footnoteRef/>
      </w:r>
      <w:r>
        <w:t xml:space="preserve"> U.S. Department of State (2012). </w:t>
      </w:r>
      <w:r w:rsidRPr="00D62069">
        <w:rPr>
          <w:i/>
        </w:rPr>
        <w:t>Indonesia 2012 Human Rights Report</w:t>
      </w:r>
      <w:r>
        <w:t xml:space="preserve">. Retrived from: </w:t>
      </w:r>
      <w:hyperlink r:id="rId10" w:history="1">
        <w:r w:rsidRPr="00825030">
          <w:rPr>
            <w:rStyle w:val="Hyperlink"/>
            <w:color w:val="auto"/>
            <w:u w:val="none"/>
          </w:rPr>
          <w:t>http://www.state.gov/documents/organization/204415.pdf</w:t>
        </w:r>
      </w:hyperlink>
      <w:r w:rsidRPr="00825030">
        <w:t xml:space="preserve"> </w:t>
      </w:r>
      <w:r>
        <w:t xml:space="preserve"> </w:t>
      </w:r>
    </w:p>
  </w:footnote>
  <w:footnote w:id="20">
    <w:p w:rsidR="0062470F" w:rsidRPr="00D62069" w:rsidRDefault="0062470F" w:rsidP="00D62069">
      <w:pPr>
        <w:pStyle w:val="FootnoteText"/>
      </w:pPr>
      <w:r>
        <w:rPr>
          <w:rStyle w:val="FootnoteReference"/>
        </w:rPr>
        <w:footnoteRef/>
      </w:r>
      <w:r>
        <w:t xml:space="preserve"> Forest Peoples Programme (July 2013).</w:t>
      </w:r>
      <w:r w:rsidRPr="00287136">
        <w:t xml:space="preserve"> </w:t>
      </w:r>
      <w:r w:rsidRPr="00287136">
        <w:rPr>
          <w:i/>
        </w:rPr>
        <w:t>Request for Further Consideration of the Situation of the Indigenous Peoples of Merauke, Papua Province, Indonesia, under the Committee on the Elimination of Racial iscrimination’s Urgent Action and Early Warning Procedures</w:t>
      </w:r>
      <w:r>
        <w:rPr>
          <w:i/>
        </w:rPr>
        <w:t xml:space="preserve">. </w:t>
      </w:r>
      <w:r>
        <w:t xml:space="preserve">Retrieved from: </w:t>
      </w:r>
      <w:hyperlink r:id="rId11" w:history="1">
        <w:r w:rsidRPr="00D62069">
          <w:rPr>
            <w:rStyle w:val="Hyperlink"/>
            <w:color w:val="auto"/>
            <w:u w:val="none"/>
          </w:rPr>
          <w:t>http://www.forestpeoples</w:t>
        </w:r>
      </w:hyperlink>
      <w:r w:rsidRPr="00D62069">
        <w:t>.</w:t>
      </w:r>
    </w:p>
    <w:p w:rsidR="0062470F" w:rsidRPr="007775F2" w:rsidRDefault="0062470F">
      <w:pPr>
        <w:pStyle w:val="FootnoteText"/>
      </w:pPr>
      <w:r w:rsidRPr="00D62069">
        <w:t>org/sites/fpp/files/publication/2013/08/cerduamifeejuly2013english.pdf</w:t>
      </w:r>
      <w:r>
        <w:t xml:space="preserve"> </w:t>
      </w:r>
    </w:p>
  </w:footnote>
  <w:footnote w:id="21">
    <w:p w:rsidR="0062470F" w:rsidRPr="00695811" w:rsidRDefault="0062470F">
      <w:pPr>
        <w:pStyle w:val="FootnoteText"/>
      </w:pPr>
      <w:r>
        <w:rPr>
          <w:rStyle w:val="FootnoteReference"/>
        </w:rPr>
        <w:footnoteRef/>
      </w:r>
      <w:r>
        <w:t xml:space="preserve"> </w:t>
      </w:r>
      <w:r w:rsidRPr="00695811">
        <w:t>Ibid</w:t>
      </w:r>
    </w:p>
  </w:footnote>
  <w:footnote w:id="22">
    <w:p w:rsidR="0062470F" w:rsidRPr="00695811" w:rsidRDefault="0062470F">
      <w:pPr>
        <w:pStyle w:val="FootnoteText"/>
      </w:pPr>
      <w:r>
        <w:rPr>
          <w:rStyle w:val="FootnoteReference"/>
        </w:rPr>
        <w:footnoteRef/>
      </w:r>
      <w:r>
        <w:t xml:space="preserve"> </w:t>
      </w:r>
      <w:r w:rsidRPr="00D62069">
        <w:rPr>
          <w:i/>
        </w:rPr>
        <w:t>Awas MIFEE</w:t>
      </w:r>
      <w:r>
        <w:t xml:space="preserve"> (29 January 2013). Plan Similar to MIFEE in Fakfak. Retrieved from: </w:t>
      </w:r>
      <w:hyperlink r:id="rId12" w:history="1">
        <w:r w:rsidRPr="00695811">
          <w:rPr>
            <w:rStyle w:val="Hyperlink"/>
            <w:color w:val="auto"/>
            <w:u w:val="none"/>
          </w:rPr>
          <w:t>https://awasmifee.potager</w:t>
        </w:r>
      </w:hyperlink>
      <w:r w:rsidRPr="00695811">
        <w:t>. org/ ?p=745%204</w:t>
      </w:r>
      <w:r>
        <w:t xml:space="preserve"> (Accessed on 14 February 2014). </w:t>
      </w:r>
    </w:p>
  </w:footnote>
  <w:footnote w:id="23">
    <w:p w:rsidR="0062470F" w:rsidRPr="007E477D" w:rsidRDefault="0062470F" w:rsidP="005962B9">
      <w:pPr>
        <w:pStyle w:val="FootnoteText"/>
        <w:rPr>
          <w:b/>
        </w:rPr>
      </w:pPr>
      <w:r>
        <w:rPr>
          <w:rStyle w:val="FootnoteReference"/>
        </w:rPr>
        <w:footnoteRef/>
      </w:r>
      <w:r>
        <w:t xml:space="preserve"> BPS (2012). </w:t>
      </w:r>
      <w:r w:rsidRPr="00D62069">
        <w:rPr>
          <w:i/>
        </w:rPr>
        <w:t>Trends of Selected Socio-Economic Indicators</w:t>
      </w:r>
      <w:r>
        <w:t xml:space="preserve">. Retrieved from: </w:t>
      </w:r>
      <w:hyperlink r:id="rId13" w:history="1">
        <w:r w:rsidRPr="005A74FF">
          <w:rPr>
            <w:rStyle w:val="Hyperlink"/>
            <w:color w:val="auto"/>
            <w:u w:val="none"/>
          </w:rPr>
          <w:t>http://www.bps.go.id/booklet/</w:t>
        </w:r>
      </w:hyperlink>
      <w:r w:rsidRPr="005A74FF">
        <w:t xml:space="preserve"> </w:t>
      </w:r>
      <w:r w:rsidRPr="007E477D">
        <w:t>Booklet_Agustus_2012.pdf</w:t>
      </w:r>
    </w:p>
  </w:footnote>
  <w:footnote w:id="24">
    <w:p w:rsidR="005D7FE3" w:rsidRPr="005D7FE3" w:rsidRDefault="005D7FE3">
      <w:pPr>
        <w:pStyle w:val="FootnoteText"/>
      </w:pPr>
      <w:r>
        <w:rPr>
          <w:rStyle w:val="FootnoteReference"/>
        </w:rPr>
        <w:footnoteRef/>
      </w:r>
      <w:r>
        <w:t xml:space="preserve"> </w:t>
      </w:r>
      <w:r>
        <w:rPr>
          <w:rStyle w:val="FootnoteReference"/>
        </w:rPr>
        <w:footnoteRef/>
      </w:r>
      <w:r>
        <w:t xml:space="preserve"> Republic of the South Moluccas (2014). </w:t>
      </w:r>
      <w:r w:rsidRPr="009222EB">
        <w:rPr>
          <w:i/>
        </w:rPr>
        <w:t xml:space="preserve">Human Rights Violations in the South Moluccas committed by the Republic of Indonesia. </w:t>
      </w:r>
      <w:r>
        <w:t xml:space="preserve">Background information for the side event of UNPO at the 25th  Session of the United Nations Human Rights Commission, Palais de Nations Geneva, March 14th 2014. </w:t>
      </w:r>
    </w:p>
  </w:footnote>
  <w:footnote w:id="25">
    <w:p w:rsidR="005D7FE3" w:rsidRPr="005D7FE3" w:rsidRDefault="005D7FE3">
      <w:pPr>
        <w:pStyle w:val="FootnoteText"/>
      </w:pPr>
      <w:r>
        <w:rPr>
          <w:rStyle w:val="FootnoteReference"/>
        </w:rPr>
        <w:footnoteRef/>
      </w:r>
      <w:r>
        <w:t xml:space="preserve"> BPS (2012). </w:t>
      </w:r>
      <w:r w:rsidRPr="00D62069">
        <w:rPr>
          <w:i/>
        </w:rPr>
        <w:t>Trends of Selected Socio-Economic Indicators</w:t>
      </w:r>
      <w:r>
        <w:t xml:space="preserve">. Retrieved from: </w:t>
      </w:r>
      <w:hyperlink r:id="rId14" w:history="1">
        <w:r w:rsidRPr="005A74FF">
          <w:rPr>
            <w:rStyle w:val="Hyperlink"/>
            <w:color w:val="auto"/>
            <w:u w:val="none"/>
          </w:rPr>
          <w:t>http://www.bps.go.id/booklet/</w:t>
        </w:r>
      </w:hyperlink>
      <w:r w:rsidRPr="005A74FF">
        <w:t xml:space="preserve"> </w:t>
      </w:r>
      <w:r w:rsidRPr="007E477D">
        <w:t>Booklet_Agustus_2012.pdf</w:t>
      </w:r>
    </w:p>
  </w:footnote>
  <w:footnote w:id="26">
    <w:p w:rsidR="0062470F" w:rsidRPr="007E477D" w:rsidRDefault="0062470F">
      <w:pPr>
        <w:pStyle w:val="FootnoteText"/>
      </w:pPr>
      <w:r>
        <w:rPr>
          <w:rStyle w:val="FootnoteReference"/>
        </w:rPr>
        <w:footnoteRef/>
      </w:r>
      <w:r>
        <w:t xml:space="preserve"> Ibid</w:t>
      </w:r>
    </w:p>
  </w:footnote>
  <w:footnote w:id="27">
    <w:p w:rsidR="0062470F" w:rsidRPr="007E477D" w:rsidRDefault="0062470F">
      <w:pPr>
        <w:pStyle w:val="FootnoteText"/>
      </w:pPr>
      <w:r>
        <w:rPr>
          <w:rStyle w:val="FootnoteReference"/>
        </w:rPr>
        <w:footnoteRef/>
      </w:r>
      <w:r>
        <w:t xml:space="preserve"> </w:t>
      </w:r>
      <w:r w:rsidRPr="007E477D">
        <w:t>ibid</w:t>
      </w:r>
    </w:p>
  </w:footnote>
  <w:footnote w:id="28">
    <w:p w:rsidR="0062470F" w:rsidRPr="007E477D" w:rsidRDefault="0062470F">
      <w:pPr>
        <w:pStyle w:val="FootnoteText"/>
      </w:pPr>
      <w:r>
        <w:rPr>
          <w:rStyle w:val="FootnoteReference"/>
        </w:rPr>
        <w:footnoteRef/>
      </w:r>
      <w:r>
        <w:t xml:space="preserve"> </w:t>
      </w:r>
      <w:r w:rsidRPr="007E477D">
        <w:t xml:space="preserve">Mollet, J.A. (2013). </w:t>
      </w:r>
      <w:r w:rsidRPr="00D62069">
        <w:rPr>
          <w:i/>
        </w:rPr>
        <w:t>Special Autonomy and Poverty Reduction Programs in Papua: Does it Work?</w:t>
      </w:r>
      <w:r w:rsidRPr="00D62069">
        <w:rPr>
          <w:i/>
          <w:color w:val="000000"/>
          <w:sz w:val="128"/>
          <w:szCs w:val="128"/>
          <w:shd w:val="clear" w:color="auto" w:fill="FFFFFF"/>
        </w:rPr>
        <w:t xml:space="preserve"> </w:t>
      </w:r>
      <w:r w:rsidRPr="007E477D">
        <w:rPr>
          <w:color w:val="000000"/>
          <w:shd w:val="clear" w:color="auto" w:fill="FFFFFF"/>
        </w:rPr>
        <w:t>Cenderawasih University</w:t>
      </w:r>
      <w:r>
        <w:t xml:space="preserve">. Retireved from: </w:t>
      </w:r>
      <w:r w:rsidRPr="00AE1A5F">
        <w:t>h</w:t>
      </w:r>
      <w:r>
        <w:t>ttp://www.academia.edu/4577848/</w:t>
      </w:r>
    </w:p>
  </w:footnote>
  <w:footnote w:id="29">
    <w:p w:rsidR="0062470F" w:rsidRPr="00626FCC" w:rsidRDefault="0062470F">
      <w:pPr>
        <w:pStyle w:val="FootnoteText"/>
      </w:pPr>
      <w:r>
        <w:rPr>
          <w:rStyle w:val="FootnoteReference"/>
        </w:rPr>
        <w:footnoteRef/>
      </w:r>
      <w:r>
        <w:t xml:space="preserve"> West Papua Report (January 2014). </w:t>
      </w:r>
      <w:r w:rsidRPr="00D62069">
        <w:rPr>
          <w:i/>
        </w:rPr>
        <w:t>ETAN</w:t>
      </w:r>
      <w:r>
        <w:t xml:space="preserve">. Retrieved from: </w:t>
      </w:r>
      <w:hyperlink r:id="rId15" w:history="1">
        <w:r w:rsidRPr="00626FCC">
          <w:rPr>
            <w:rStyle w:val="Hyperlink"/>
            <w:color w:val="auto"/>
            <w:u w:val="none"/>
          </w:rPr>
          <w:t>http://etan.org/issues/wpapua/2014/1401wpap</w:t>
        </w:r>
      </w:hyperlink>
      <w:r w:rsidRPr="00626FCC">
        <w:t>.</w:t>
      </w:r>
    </w:p>
  </w:footnote>
  <w:footnote w:id="30">
    <w:p w:rsidR="0062470F" w:rsidRPr="006700DB" w:rsidRDefault="0062470F">
      <w:pPr>
        <w:pStyle w:val="FootnoteText"/>
      </w:pPr>
      <w:r>
        <w:rPr>
          <w:rStyle w:val="FootnoteReference"/>
        </w:rPr>
        <w:footnoteRef/>
      </w:r>
      <w:r>
        <w:t xml:space="preserve"> The 1945 Constitution of the Republic of Indonesia. Retrieved from: </w:t>
      </w:r>
      <w:hyperlink r:id="rId16" w:history="1">
        <w:r w:rsidRPr="006700DB">
          <w:rPr>
            <w:rStyle w:val="Hyperlink"/>
            <w:color w:val="auto"/>
            <w:u w:val="none"/>
          </w:rPr>
          <w:t>http://www.embassyofindonesia.org/about / pdf/IndonesianConstitution.pdf</w:t>
        </w:r>
      </w:hyperlink>
      <w:r w:rsidRPr="006700DB">
        <w:t xml:space="preserve"> </w:t>
      </w:r>
    </w:p>
  </w:footnote>
  <w:footnote w:id="31">
    <w:p w:rsidR="0062470F" w:rsidRPr="009B150B" w:rsidRDefault="0062470F">
      <w:pPr>
        <w:pStyle w:val="FootnoteText"/>
      </w:pPr>
      <w:r>
        <w:rPr>
          <w:rStyle w:val="FootnoteReference"/>
        </w:rPr>
        <w:footnoteRef/>
      </w:r>
      <w:r>
        <w:t xml:space="preserve"> Crouch, M. (2012). </w:t>
      </w:r>
      <w:r w:rsidRPr="00D62069">
        <w:rPr>
          <w:i/>
        </w:rPr>
        <w:t>Indonesia’s Blasphemy Law: Bleak outlook for minority rights</w:t>
      </w:r>
      <w:r>
        <w:t xml:space="preserve">. Asia Pacific Bulletin, East-West Center. Retrieved from: </w:t>
      </w:r>
      <w:hyperlink r:id="rId17" w:history="1">
        <w:r w:rsidRPr="009B150B">
          <w:rPr>
            <w:rStyle w:val="Hyperlink"/>
            <w:color w:val="auto"/>
            <w:u w:val="none"/>
          </w:rPr>
          <w:t>http://www.eastwestcenter.org/sites/default/files/private/apb146_0.pdf</w:t>
        </w:r>
      </w:hyperlink>
      <w:r w:rsidRPr="009B150B">
        <w:t xml:space="preserve">  </w:t>
      </w:r>
    </w:p>
  </w:footnote>
  <w:footnote w:id="32">
    <w:p w:rsidR="0062470F" w:rsidRPr="00AE1A5F" w:rsidRDefault="0062470F" w:rsidP="002405AE">
      <w:pPr>
        <w:pStyle w:val="FootnoteText"/>
      </w:pPr>
      <w:r w:rsidRPr="009B150B">
        <w:rPr>
          <w:rStyle w:val="FootnoteReference"/>
        </w:rPr>
        <w:footnoteRef/>
      </w:r>
      <w:r w:rsidRPr="009B150B">
        <w:t xml:space="preserve"> </w:t>
      </w:r>
      <w:r w:rsidRPr="00D62069">
        <w:rPr>
          <w:i/>
        </w:rPr>
        <w:t>Charisma News</w:t>
      </w:r>
      <w:r w:rsidRPr="009B150B">
        <w:t xml:space="preserve"> (19 March </w:t>
      </w:r>
      <w:r>
        <w:t xml:space="preserve">2013). Decade After Maluku Massacre, Indonesia Still Dangerous for Christians. Retrieved from: </w:t>
      </w:r>
      <w:hyperlink r:id="rId18" w:history="1">
        <w:r w:rsidRPr="00AE1A5F">
          <w:rPr>
            <w:rStyle w:val="Hyperlink"/>
            <w:color w:val="auto"/>
            <w:u w:val="none"/>
          </w:rPr>
          <w:t>http://www.charismanews.com/world/38729-decade-after-maluku-massacre-indonesia-still-dangerous-for-christians</w:t>
        </w:r>
      </w:hyperlink>
      <w:r w:rsidRPr="00AE1A5F">
        <w:t xml:space="preserve"> </w:t>
      </w:r>
    </w:p>
  </w:footnote>
  <w:footnote w:id="33">
    <w:p w:rsidR="0062470F" w:rsidRPr="005A74FF" w:rsidRDefault="0062470F" w:rsidP="00DF64D3">
      <w:pPr>
        <w:pStyle w:val="FootnoteText"/>
      </w:pPr>
      <w:r>
        <w:rPr>
          <w:rStyle w:val="FootnoteReference"/>
        </w:rPr>
        <w:footnoteRef/>
      </w:r>
      <w:r>
        <w:t xml:space="preserve"> Palupi, M. (1 January 2014). Remove Religion Listings from Indonesian ID Cards. </w:t>
      </w:r>
      <w:r w:rsidRPr="00D62069">
        <w:rPr>
          <w:i/>
        </w:rPr>
        <w:t>Khabar Southeast Asia</w:t>
      </w:r>
      <w:r>
        <w:t xml:space="preserve">. Retrieved from: </w:t>
      </w:r>
      <w:r w:rsidRPr="005A74FF">
        <w:t>http://khabarsoutheastasia.com/en_GB/articles/apwi/article</w:t>
      </w:r>
      <w:r>
        <w:t>s/features/2014/01/01</w:t>
      </w:r>
    </w:p>
  </w:footnote>
  <w:footnote w:id="34">
    <w:p w:rsidR="0062470F" w:rsidRPr="007E5A03" w:rsidRDefault="0062470F">
      <w:pPr>
        <w:pStyle w:val="FootnoteText"/>
      </w:pPr>
      <w:r>
        <w:rPr>
          <w:rStyle w:val="FootnoteReference"/>
        </w:rPr>
        <w:footnoteRef/>
      </w:r>
      <w:r>
        <w:t xml:space="preserve"> </w:t>
      </w:r>
      <w:r w:rsidRPr="00D62069">
        <w:rPr>
          <w:i/>
        </w:rPr>
        <w:t>West Papua Daily</w:t>
      </w:r>
      <w:r>
        <w:t xml:space="preserve"> (28 January 2014). Police/army stop persecuting ordinary people. Retrieved from: </w:t>
      </w:r>
      <w:hyperlink r:id="rId19" w:history="1">
        <w:r w:rsidRPr="007E5A03">
          <w:rPr>
            <w:rStyle w:val="Hyperlink"/>
            <w:color w:val="auto"/>
            <w:u w:val="none"/>
          </w:rPr>
          <w:t>http://tabloidjubi.com/en/?p=627%20that%20Indonesian</w:t>
        </w:r>
      </w:hyperlink>
      <w:r w:rsidRPr="007E5A03">
        <w:t xml:space="preserve"> (Acc</w:t>
      </w:r>
      <w:r>
        <w:t>essed on 14/02/2014)</w:t>
      </w:r>
    </w:p>
  </w:footnote>
  <w:footnote w:id="35">
    <w:p w:rsidR="0062470F" w:rsidRPr="005D1FAE" w:rsidRDefault="0062470F">
      <w:pPr>
        <w:pStyle w:val="FootnoteText"/>
      </w:pPr>
      <w:r>
        <w:rPr>
          <w:rStyle w:val="FootnoteReference"/>
        </w:rPr>
        <w:footnoteRef/>
      </w:r>
      <w:r>
        <w:t xml:space="preserve"> EC.12/IDN/1, January 2012. p. 39.</w:t>
      </w:r>
    </w:p>
  </w:footnote>
  <w:footnote w:id="36">
    <w:p w:rsidR="0062470F" w:rsidRPr="004B7EB3" w:rsidRDefault="0062470F">
      <w:pPr>
        <w:pStyle w:val="FootnoteText"/>
      </w:pPr>
      <w:r>
        <w:rPr>
          <w:rStyle w:val="FootnoteReference"/>
        </w:rPr>
        <w:footnoteRef/>
      </w:r>
      <w:r>
        <w:t xml:space="preserve"> BPS (2012). </w:t>
      </w:r>
      <w:r w:rsidRPr="00D62069">
        <w:rPr>
          <w:i/>
        </w:rPr>
        <w:t>Trends of Selected Socio-Economic Indicators</w:t>
      </w:r>
      <w:r>
        <w:t xml:space="preserve">. Table 2.25. Retrieved from: </w:t>
      </w:r>
      <w:hyperlink r:id="rId20" w:history="1">
        <w:r w:rsidRPr="005A74FF">
          <w:rPr>
            <w:rStyle w:val="Hyperlink"/>
            <w:color w:val="auto"/>
            <w:u w:val="none"/>
          </w:rPr>
          <w:t>http://www.bps.go.id/booklet/</w:t>
        </w:r>
      </w:hyperlink>
      <w:r w:rsidRPr="005A74FF">
        <w:t xml:space="preserve"> </w:t>
      </w:r>
      <w:r w:rsidRPr="007E477D">
        <w:t>Booklet_Agustus_2012.pdf</w:t>
      </w:r>
    </w:p>
  </w:footnote>
  <w:footnote w:id="37">
    <w:p w:rsidR="0062470F" w:rsidRPr="00523BA4" w:rsidRDefault="0062470F">
      <w:pPr>
        <w:pStyle w:val="FootnoteText"/>
      </w:pPr>
      <w:r>
        <w:rPr>
          <w:rStyle w:val="FootnoteReference"/>
        </w:rPr>
        <w:footnoteRef/>
      </w:r>
      <w:r>
        <w:t xml:space="preserve"> </w:t>
      </w:r>
      <w:r w:rsidRPr="00D62069">
        <w:rPr>
          <w:i/>
        </w:rPr>
        <w:t xml:space="preserve">IRIN </w:t>
      </w:r>
      <w:r>
        <w:t xml:space="preserve">(December 2013). Tackling Indigenous Unemployment in Indonesia’s Papua. Retrieved from: </w:t>
      </w:r>
      <w:r w:rsidRPr="00141D70">
        <w:t>http://www.irinnews.org/fr/report/99267/tackling-indigenous-unemployment-in-indonesia-s-papua</w:t>
      </w:r>
    </w:p>
  </w:footnote>
  <w:footnote w:id="38">
    <w:p w:rsidR="0062470F" w:rsidRPr="00523BA4" w:rsidRDefault="0062470F">
      <w:pPr>
        <w:pStyle w:val="FootnoteText"/>
      </w:pPr>
      <w:r>
        <w:rPr>
          <w:rStyle w:val="FootnoteReference"/>
        </w:rPr>
        <w:footnoteRef/>
      </w:r>
      <w:r>
        <w:t xml:space="preserve"> </w:t>
      </w:r>
      <w:r w:rsidRPr="004F6831">
        <w:t xml:space="preserve">ICG (2012). </w:t>
      </w:r>
      <w:r w:rsidRPr="00D62069">
        <w:rPr>
          <w:i/>
        </w:rPr>
        <w:t>Dynamics of violence in Papua</w:t>
      </w:r>
      <w:r w:rsidRPr="004F6831">
        <w:t xml:space="preserve">. </w:t>
      </w:r>
      <w:hyperlink r:id="rId21" w:history="1">
        <w:r w:rsidRPr="004F6831">
          <w:rPr>
            <w:rStyle w:val="Hyperlink"/>
            <w:color w:val="auto"/>
            <w:u w:val="none"/>
          </w:rPr>
          <w:t>http://www.crisisgroup.org/en/regions/asia/south-east-asia/indonesia/232-indonesia-dynamics-of-violence-in-papua.aspx</w:t>
        </w:r>
      </w:hyperlink>
    </w:p>
  </w:footnote>
  <w:footnote w:id="39">
    <w:p w:rsidR="0062470F" w:rsidRPr="00747D61" w:rsidRDefault="0062470F">
      <w:pPr>
        <w:pStyle w:val="FootnoteText"/>
      </w:pPr>
      <w:r>
        <w:rPr>
          <w:rStyle w:val="FootnoteReference"/>
        </w:rPr>
        <w:footnoteRef/>
      </w:r>
      <w:r>
        <w:t xml:space="preserve"> </w:t>
      </w:r>
      <w:r w:rsidRPr="007E477D">
        <w:t xml:space="preserve">Mollet, J.A. (2013). </w:t>
      </w:r>
      <w:r w:rsidRPr="00D62069">
        <w:rPr>
          <w:i/>
        </w:rPr>
        <w:t>Special Autonomy and Poverty Reduction Programs in Papua: Does it Work?</w:t>
      </w:r>
      <w:r w:rsidRPr="007E477D">
        <w:rPr>
          <w:color w:val="000000"/>
          <w:sz w:val="128"/>
          <w:szCs w:val="128"/>
          <w:shd w:val="clear" w:color="auto" w:fill="FFFFFF"/>
        </w:rPr>
        <w:t xml:space="preserve"> </w:t>
      </w:r>
      <w:r w:rsidRPr="007E477D">
        <w:rPr>
          <w:color w:val="000000"/>
          <w:shd w:val="clear" w:color="auto" w:fill="FFFFFF"/>
        </w:rPr>
        <w:t>Cenderawasih University</w:t>
      </w:r>
      <w:r>
        <w:t xml:space="preserve">. Retireved from: </w:t>
      </w:r>
      <w:r w:rsidRPr="00AE1A5F">
        <w:t>h</w:t>
      </w:r>
      <w:r>
        <w:t>ttp://www.academia.edu/4577848/</w:t>
      </w:r>
    </w:p>
  </w:footnote>
  <w:footnote w:id="40">
    <w:p w:rsidR="0062470F" w:rsidRPr="00141D70" w:rsidRDefault="0062470F">
      <w:pPr>
        <w:pStyle w:val="FootnoteText"/>
      </w:pPr>
      <w:r>
        <w:rPr>
          <w:rStyle w:val="FootnoteReference"/>
        </w:rPr>
        <w:footnoteRef/>
      </w:r>
      <w:r>
        <w:t xml:space="preserve"> </w:t>
      </w:r>
      <w:r w:rsidRPr="00B72CE4">
        <w:rPr>
          <w:i/>
        </w:rPr>
        <w:t>IRIN</w:t>
      </w:r>
      <w:r>
        <w:t xml:space="preserve"> (December 2013). Tackling Indigenous Unemployment in Indonesia’s Papua. Retrieved from: </w:t>
      </w:r>
      <w:r w:rsidRPr="00141D70">
        <w:t>http://www.irinnews.org/fr/report/99267/tackling-indigenous-unemployment-in-indonesia-s-papua</w:t>
      </w:r>
    </w:p>
  </w:footnote>
  <w:footnote w:id="41">
    <w:p w:rsidR="0062470F" w:rsidRPr="0066607C" w:rsidRDefault="0062470F" w:rsidP="00174B11">
      <w:pPr>
        <w:spacing w:after="0"/>
      </w:pPr>
      <w:r>
        <w:rPr>
          <w:rStyle w:val="FootnoteReference"/>
        </w:rPr>
        <w:footnoteRef/>
      </w:r>
      <w:r>
        <w:t xml:space="preserve"> </w:t>
      </w:r>
      <w:r w:rsidRPr="00B72CE4">
        <w:rPr>
          <w:i/>
        </w:rPr>
        <w:t>IRIN</w:t>
      </w:r>
      <w:r w:rsidRPr="0066607C">
        <w:t xml:space="preserve"> </w:t>
      </w:r>
      <w:r>
        <w:t>(December 2013). Papua r</w:t>
      </w:r>
      <w:r w:rsidRPr="0066607C">
        <w:t>eturnee live</w:t>
      </w:r>
      <w:r>
        <w:t>s</w:t>
      </w:r>
      <w:r w:rsidRPr="0066607C">
        <w:t xml:space="preserve"> with broken promises in Indonesia. </w:t>
      </w:r>
      <w:r>
        <w:t xml:space="preserve">Retrieved from: </w:t>
      </w:r>
      <w:hyperlink r:id="rId22" w:history="1">
        <w:r w:rsidRPr="0066607C">
          <w:rPr>
            <w:rStyle w:val="Hyperlink"/>
            <w:rFonts w:cstheme="minorHAnsi"/>
            <w:color w:val="auto"/>
            <w:sz w:val="20"/>
            <w:szCs w:val="20"/>
            <w:u w:val="none"/>
            <w:shd w:val="clear" w:color="auto" w:fill="FFFFFF"/>
          </w:rPr>
          <w:t>http://www.irinnews.org/report/99270/papuan-returnees-live-with-broken-promises-in-indonesia%C2%A0%20papuan%20returnees%20live%20with%20broken%20promises%20in%20indonesi</w:t>
        </w:r>
      </w:hyperlink>
      <w:r>
        <w:rPr>
          <w:rFonts w:cstheme="minorHAnsi"/>
          <w:sz w:val="20"/>
          <w:szCs w:val="20"/>
        </w:rPr>
        <w:t>a</w:t>
      </w:r>
    </w:p>
  </w:footnote>
  <w:footnote w:id="42">
    <w:p w:rsidR="0062470F" w:rsidRPr="00D62069" w:rsidRDefault="0062470F" w:rsidP="00B72CE4">
      <w:pPr>
        <w:pStyle w:val="FootnoteText"/>
      </w:pPr>
      <w:r>
        <w:rPr>
          <w:rStyle w:val="FootnoteReference"/>
        </w:rPr>
        <w:footnoteRef/>
      </w:r>
      <w:r>
        <w:t xml:space="preserve"> Forest Peoples Programme (July 2013).</w:t>
      </w:r>
      <w:r w:rsidRPr="00287136">
        <w:t xml:space="preserve"> </w:t>
      </w:r>
      <w:r w:rsidRPr="00287136">
        <w:rPr>
          <w:i/>
        </w:rPr>
        <w:t>Request for Further Consideration of the Situation of the Indigenous Peoples of Merauke, Papua Province, Indonesia, under the Committee on the Elimination of Racial iscrimination’s Urgent Action and Early Warning Procedures</w:t>
      </w:r>
      <w:r>
        <w:t xml:space="preserve">. Retrieved from: </w:t>
      </w:r>
      <w:hyperlink r:id="rId23" w:history="1">
        <w:r w:rsidRPr="00D62069">
          <w:rPr>
            <w:rStyle w:val="Hyperlink"/>
            <w:color w:val="auto"/>
            <w:u w:val="none"/>
          </w:rPr>
          <w:t>http://www.forestpeoples</w:t>
        </w:r>
      </w:hyperlink>
      <w:r w:rsidRPr="00D62069">
        <w:t>.</w:t>
      </w:r>
    </w:p>
    <w:p w:rsidR="0062470F" w:rsidRPr="008D7B70" w:rsidRDefault="0062470F" w:rsidP="00B72CE4">
      <w:pPr>
        <w:pStyle w:val="FootnoteText"/>
      </w:pPr>
      <w:r w:rsidRPr="00D62069">
        <w:t>org/sites/fpp/files/publication/2013/08/cerduamifeejuly2013english.pdf</w:t>
      </w:r>
    </w:p>
  </w:footnote>
  <w:footnote w:id="43">
    <w:p w:rsidR="0062470F" w:rsidRPr="009E7CAA" w:rsidRDefault="0062470F">
      <w:pPr>
        <w:pStyle w:val="FootnoteText"/>
      </w:pPr>
      <w:r>
        <w:rPr>
          <w:rStyle w:val="FootnoteReference"/>
        </w:rPr>
        <w:footnoteRef/>
      </w:r>
      <w:r>
        <w:t xml:space="preserve"> Ibid. </w:t>
      </w:r>
    </w:p>
  </w:footnote>
  <w:footnote w:id="44">
    <w:p w:rsidR="0062470F" w:rsidRPr="00DC4249" w:rsidRDefault="0062470F">
      <w:pPr>
        <w:pStyle w:val="FootnoteText"/>
      </w:pPr>
      <w:r>
        <w:rPr>
          <w:rStyle w:val="FootnoteReference"/>
        </w:rPr>
        <w:footnoteRef/>
      </w:r>
      <w:r>
        <w:t xml:space="preserve"> Act of the Republic of Indonesia number 13 year 2003. Retrieved from: </w:t>
      </w:r>
      <w:hyperlink r:id="rId24" w:history="1">
        <w:r w:rsidRPr="00DC4249">
          <w:rPr>
            <w:rStyle w:val="Hyperlink"/>
            <w:color w:val="auto"/>
            <w:u w:val="none"/>
          </w:rPr>
          <w:t>http://www.ilo.org/dyn/travail/docs/760/Indonesian%20Labour%20Law%20-%20Act%2013%20of%202003.pdf</w:t>
        </w:r>
      </w:hyperlink>
      <w:r w:rsidRPr="00DC4249">
        <w:t xml:space="preserve"> </w:t>
      </w:r>
    </w:p>
  </w:footnote>
  <w:footnote w:id="45">
    <w:p w:rsidR="0062470F" w:rsidRPr="00282D9B" w:rsidRDefault="0062470F" w:rsidP="00174B11">
      <w:pPr>
        <w:pStyle w:val="Heading1"/>
        <w:shd w:val="clear" w:color="auto" w:fill="FFFFFF"/>
        <w:spacing w:before="0"/>
      </w:pPr>
      <w:r w:rsidRPr="00282D9B">
        <w:rPr>
          <w:rStyle w:val="FootnoteReference"/>
          <w:rFonts w:cstheme="minorHAnsi"/>
          <w:b w:val="0"/>
          <w:sz w:val="20"/>
          <w:szCs w:val="20"/>
        </w:rPr>
        <w:footnoteRef/>
      </w:r>
      <w:r w:rsidRPr="00282D9B">
        <w:rPr>
          <w:rFonts w:cstheme="minorHAnsi"/>
          <w:b w:val="0"/>
          <w:sz w:val="20"/>
          <w:szCs w:val="20"/>
        </w:rPr>
        <w:t xml:space="preserve"> International Trade Union Confederation (June 2012). </w:t>
      </w:r>
      <w:r w:rsidRPr="00B72CE4">
        <w:rPr>
          <w:rFonts w:cstheme="minorHAnsi"/>
          <w:b w:val="0"/>
          <w:i/>
          <w:sz w:val="20"/>
          <w:szCs w:val="20"/>
        </w:rPr>
        <w:t>2012 Annual Survey of Violations of Trade Union</w:t>
      </w:r>
      <w:r w:rsidRPr="00282D9B">
        <w:rPr>
          <w:rFonts w:cstheme="minorHAnsi"/>
          <w:b w:val="0"/>
          <w:sz w:val="20"/>
          <w:szCs w:val="20"/>
        </w:rPr>
        <w:t xml:space="preserve"> </w:t>
      </w:r>
      <w:r w:rsidRPr="00B72CE4">
        <w:rPr>
          <w:rFonts w:cstheme="minorHAnsi"/>
          <w:b w:val="0"/>
          <w:i/>
          <w:sz w:val="20"/>
          <w:szCs w:val="20"/>
        </w:rPr>
        <w:t>Rights/Indonesia</w:t>
      </w:r>
      <w:r>
        <w:rPr>
          <w:rFonts w:cstheme="minorHAnsi"/>
          <w:b w:val="0"/>
          <w:sz w:val="20"/>
          <w:szCs w:val="20"/>
        </w:rPr>
        <w:t xml:space="preserve">. Retrieved from: </w:t>
      </w:r>
      <w:hyperlink r:id="rId25" w:history="1">
        <w:r w:rsidRPr="00282D9B">
          <w:rPr>
            <w:rStyle w:val="Hyperlink"/>
            <w:rFonts w:cstheme="minorHAnsi"/>
            <w:b w:val="0"/>
            <w:color w:val="auto"/>
            <w:sz w:val="20"/>
            <w:szCs w:val="20"/>
            <w:u w:val="none"/>
          </w:rPr>
          <w:t>http://www.refworld.org/docid/4fd8894730.html</w:t>
        </w:r>
      </w:hyperlink>
      <w:r w:rsidRPr="00282D9B">
        <w:rPr>
          <w:rFonts w:cstheme="minorHAnsi"/>
          <w:b w:val="0"/>
          <w:sz w:val="20"/>
          <w:szCs w:val="20"/>
        </w:rPr>
        <w:t xml:space="preserve"> </w:t>
      </w:r>
    </w:p>
  </w:footnote>
  <w:footnote w:id="46">
    <w:p w:rsidR="0062470F" w:rsidRPr="000D2843" w:rsidRDefault="0062470F" w:rsidP="00174B11">
      <w:pPr>
        <w:pStyle w:val="FootnoteText"/>
      </w:pPr>
      <w:r>
        <w:rPr>
          <w:rStyle w:val="FootnoteReference"/>
        </w:rPr>
        <w:footnoteRef/>
      </w:r>
      <w:r>
        <w:t xml:space="preserve"> Ibid</w:t>
      </w:r>
    </w:p>
  </w:footnote>
  <w:footnote w:id="47">
    <w:p w:rsidR="0062470F" w:rsidRPr="000D2843" w:rsidRDefault="0062470F" w:rsidP="00174B11">
      <w:pPr>
        <w:pStyle w:val="FootnoteText"/>
      </w:pPr>
      <w:r>
        <w:rPr>
          <w:rStyle w:val="FootnoteReference"/>
        </w:rPr>
        <w:footnoteRef/>
      </w:r>
      <w:r>
        <w:t xml:space="preserve"> Ibid</w:t>
      </w:r>
    </w:p>
  </w:footnote>
  <w:footnote w:id="48">
    <w:p w:rsidR="0062470F" w:rsidRPr="00A474B5" w:rsidRDefault="0062470F">
      <w:pPr>
        <w:pStyle w:val="FootnoteText"/>
      </w:pPr>
      <w:r>
        <w:rPr>
          <w:rStyle w:val="FootnoteReference"/>
        </w:rPr>
        <w:footnoteRef/>
      </w:r>
      <w:r>
        <w:t xml:space="preserve"> BPS (2012). </w:t>
      </w:r>
      <w:r w:rsidRPr="00B72CE4">
        <w:rPr>
          <w:i/>
        </w:rPr>
        <w:t>Trends of Selected Socio-Economic Indicators</w:t>
      </w:r>
      <w:r>
        <w:t xml:space="preserve">. Table 3.14. Retrieved from: </w:t>
      </w:r>
      <w:hyperlink r:id="rId26" w:history="1">
        <w:r w:rsidRPr="005A74FF">
          <w:rPr>
            <w:rStyle w:val="Hyperlink"/>
            <w:color w:val="auto"/>
            <w:u w:val="none"/>
          </w:rPr>
          <w:t>http://www.bps.go.id/booklet/</w:t>
        </w:r>
      </w:hyperlink>
      <w:r w:rsidRPr="005A74FF">
        <w:t xml:space="preserve"> </w:t>
      </w:r>
      <w:r w:rsidRPr="007E477D">
        <w:t>Booklet_Agustus_2012.pdf</w:t>
      </w:r>
      <w:r>
        <w:t xml:space="preserve"> </w:t>
      </w:r>
    </w:p>
  </w:footnote>
  <w:footnote w:id="49">
    <w:p w:rsidR="0062470F" w:rsidRPr="00DC0A8D" w:rsidRDefault="0062470F">
      <w:pPr>
        <w:pStyle w:val="FootnoteText"/>
      </w:pPr>
      <w:r>
        <w:rPr>
          <w:rStyle w:val="FootnoteReference"/>
        </w:rPr>
        <w:footnoteRef/>
      </w:r>
      <w:r>
        <w:t xml:space="preserve">  Ministry of National Development Planning (2010). </w:t>
      </w:r>
      <w:r w:rsidRPr="00B72CE4">
        <w:rPr>
          <w:i/>
        </w:rPr>
        <w:t>Regulation of the president of the republic of Indonesia number 5 of 2010 regarding the national medium term development plan 2010-2014</w:t>
      </w:r>
      <w:r>
        <w:t xml:space="preserve">. Retrieved from: </w:t>
      </w:r>
      <w:hyperlink r:id="rId27" w:history="1">
        <w:r w:rsidRPr="00DC0A8D">
          <w:rPr>
            <w:rStyle w:val="Hyperlink"/>
            <w:color w:val="auto"/>
            <w:u w:val="none"/>
          </w:rPr>
          <w:t>http://indonesia.unfpa.org/application/assets/files/3/RPJMN_2010-2014_English.pdf</w:t>
        </w:r>
      </w:hyperlink>
      <w:r w:rsidRPr="00DC0A8D">
        <w:t xml:space="preserve"> </w:t>
      </w:r>
    </w:p>
  </w:footnote>
  <w:footnote w:id="50">
    <w:p w:rsidR="0062470F" w:rsidRPr="004C5092" w:rsidRDefault="0062470F">
      <w:pPr>
        <w:pStyle w:val="FootnoteText"/>
      </w:pPr>
      <w:r>
        <w:rPr>
          <w:rStyle w:val="FootnoteReference"/>
        </w:rPr>
        <w:footnoteRef/>
      </w:r>
      <w:r>
        <w:t xml:space="preserve"> </w:t>
      </w:r>
      <w:r w:rsidRPr="004C5092">
        <w:t>Internat</w:t>
      </w:r>
      <w:r>
        <w:t xml:space="preserve">ional Recovery Platform (2012) </w:t>
      </w:r>
      <w:r w:rsidRPr="00B72CE4">
        <w:rPr>
          <w:i/>
        </w:rPr>
        <w:t>Indian Ocean Tsunami 2004: Recovery in Banda Aceh.</w:t>
      </w:r>
      <w:r>
        <w:t xml:space="preserve"> </w:t>
      </w:r>
      <w:hyperlink r:id="rId28" w:history="1">
        <w:r w:rsidRPr="004C5092">
          <w:rPr>
            <w:rStyle w:val="Hyperlink"/>
            <w:color w:val="auto"/>
            <w:u w:val="none"/>
          </w:rPr>
          <w:t>http://www.recoveryplatform.org/assets/recoverycases_reports/RECOVERY%20STATUS%20REPORT%20ACEH%20JAN15.pdf</w:t>
        </w:r>
      </w:hyperlink>
      <w:r w:rsidRPr="004C5092">
        <w:t xml:space="preserve"> </w:t>
      </w:r>
    </w:p>
  </w:footnote>
  <w:footnote w:id="51">
    <w:p w:rsidR="0062470F" w:rsidRPr="00551ECF" w:rsidRDefault="0062470F">
      <w:pPr>
        <w:pStyle w:val="FootnoteText"/>
        <w:rPr>
          <w:rFonts w:cstheme="minorHAnsi"/>
        </w:rPr>
      </w:pPr>
      <w:r>
        <w:rPr>
          <w:rStyle w:val="FootnoteReference"/>
        </w:rPr>
        <w:footnoteRef/>
      </w:r>
      <w:r>
        <w:t xml:space="preserve"> </w:t>
      </w:r>
      <w:r w:rsidRPr="00B72CE4">
        <w:rPr>
          <w:rFonts w:cstheme="minorHAnsi"/>
          <w:i/>
          <w:shd w:val="clear" w:color="auto" w:fill="F9F9F9"/>
        </w:rPr>
        <w:t>UN News Service</w:t>
      </w:r>
      <w:r w:rsidRPr="00551ECF">
        <w:rPr>
          <w:rFonts w:cstheme="minorHAnsi"/>
          <w:shd w:val="clear" w:color="auto" w:fill="F9F9F9"/>
        </w:rPr>
        <w:t xml:space="preserve"> (June 2013).</w:t>
      </w:r>
      <w:r w:rsidRPr="00551ECF">
        <w:rPr>
          <w:rStyle w:val="apple-converted-space"/>
          <w:rFonts w:cstheme="minorHAnsi"/>
          <w:shd w:val="clear" w:color="auto" w:fill="F9F9F9"/>
        </w:rPr>
        <w:t> </w:t>
      </w:r>
      <w:r w:rsidRPr="00551ECF">
        <w:rPr>
          <w:rFonts w:cstheme="minorHAnsi"/>
          <w:iCs/>
        </w:rPr>
        <w:t>Development in Indonesia must not threaten adequate housing for the poor – UN expert</w:t>
      </w:r>
      <w:r>
        <w:rPr>
          <w:rFonts w:cstheme="minorHAnsi"/>
          <w:shd w:val="clear" w:color="auto" w:fill="F9F9F9"/>
        </w:rPr>
        <w:t>.</w:t>
      </w:r>
      <w:r w:rsidRPr="00551ECF">
        <w:rPr>
          <w:rFonts w:cstheme="minorHAnsi"/>
          <w:shd w:val="clear" w:color="auto" w:fill="F9F9F9"/>
        </w:rPr>
        <w:t xml:space="preserve"> Retrieved from: http://www.refworld.org/docid/51baf9d84.html</w:t>
      </w:r>
    </w:p>
  </w:footnote>
  <w:footnote w:id="52">
    <w:p w:rsidR="0062470F" w:rsidRPr="00551ECF" w:rsidRDefault="0062470F">
      <w:pPr>
        <w:pStyle w:val="FootnoteText"/>
      </w:pPr>
      <w:r>
        <w:rPr>
          <w:rStyle w:val="FootnoteReference"/>
        </w:rPr>
        <w:footnoteRef/>
      </w:r>
      <w:r>
        <w:t xml:space="preserve"> </w:t>
      </w:r>
      <w:r w:rsidRPr="00B72CE4">
        <w:rPr>
          <w:i/>
        </w:rPr>
        <w:t>IRIN</w:t>
      </w:r>
      <w:r w:rsidRPr="0066607C">
        <w:t xml:space="preserve"> </w:t>
      </w:r>
      <w:r>
        <w:t>(December 2013). Papua r</w:t>
      </w:r>
      <w:r w:rsidRPr="0066607C">
        <w:t>eturnee live</w:t>
      </w:r>
      <w:r>
        <w:t>s</w:t>
      </w:r>
      <w:r w:rsidRPr="0066607C">
        <w:t xml:space="preserve"> with broken promises in Indonesia. </w:t>
      </w:r>
      <w:r>
        <w:t xml:space="preserve">Retrieved from: </w:t>
      </w:r>
      <w:hyperlink r:id="rId29" w:history="1">
        <w:r w:rsidRPr="0066607C">
          <w:rPr>
            <w:rStyle w:val="Hyperlink"/>
            <w:rFonts w:cstheme="minorHAnsi"/>
            <w:color w:val="auto"/>
            <w:u w:val="none"/>
            <w:shd w:val="clear" w:color="auto" w:fill="FFFFFF"/>
          </w:rPr>
          <w:t>http://www.irinnews.org/report/99270/papuan-returnees-live-with-broken-promises-in-indonesia%C2%A0%20papuan%20returnees%20live%20with%20broken%20promises%20in%20indonesi</w:t>
        </w:r>
      </w:hyperlink>
      <w:r>
        <w:rPr>
          <w:rFonts w:cstheme="minorHAnsi"/>
        </w:rPr>
        <w:t>a</w:t>
      </w:r>
    </w:p>
  </w:footnote>
  <w:footnote w:id="53">
    <w:p w:rsidR="0062470F" w:rsidRPr="00FF7332" w:rsidRDefault="0062470F" w:rsidP="00423CD7">
      <w:pPr>
        <w:pStyle w:val="FootnoteText"/>
      </w:pPr>
      <w:r>
        <w:rPr>
          <w:rStyle w:val="FootnoteReference"/>
        </w:rPr>
        <w:footnoteRef/>
      </w:r>
      <w:r>
        <w:t xml:space="preserve"> </w:t>
      </w:r>
      <w:r w:rsidRPr="004C5092">
        <w:t>Internat</w:t>
      </w:r>
      <w:r>
        <w:t xml:space="preserve">ional Recovery Platform (2012) </w:t>
      </w:r>
      <w:r w:rsidRPr="00B72CE4">
        <w:rPr>
          <w:i/>
        </w:rPr>
        <w:t>Indian Ocean Tsunami 2004: Recovery in Banda Aceh</w:t>
      </w:r>
      <w:r w:rsidRPr="004C5092">
        <w:t>.</w:t>
      </w:r>
      <w:r>
        <w:t xml:space="preserve"> </w:t>
      </w:r>
      <w:hyperlink r:id="rId30" w:history="1">
        <w:r w:rsidRPr="004C5092">
          <w:rPr>
            <w:rStyle w:val="Hyperlink"/>
            <w:color w:val="auto"/>
            <w:u w:val="none"/>
          </w:rPr>
          <w:t>http://www.recoveryplatform.org/assets/recoverycases_reports/RECOVERY%20STATUS%20REPORT%20ACEH%20JAN15.pdf</w:t>
        </w:r>
      </w:hyperlink>
    </w:p>
  </w:footnote>
  <w:footnote w:id="54">
    <w:p w:rsidR="0062470F" w:rsidRPr="006A33AA" w:rsidRDefault="0062470F">
      <w:pPr>
        <w:pStyle w:val="FootnoteText"/>
      </w:pPr>
      <w:r>
        <w:rPr>
          <w:rStyle w:val="FootnoteReference"/>
        </w:rPr>
        <w:footnoteRef/>
      </w:r>
      <w:r>
        <w:t xml:space="preserve"> </w:t>
      </w:r>
      <w:r>
        <w:rPr>
          <w:rStyle w:val="FootnoteReference"/>
        </w:rPr>
        <w:footnoteRef/>
      </w:r>
      <w:r>
        <w:t xml:space="preserve"> BPS (2012). </w:t>
      </w:r>
      <w:r w:rsidRPr="00B72CE4">
        <w:rPr>
          <w:i/>
        </w:rPr>
        <w:t>Trends of Selected Socio-Economic Indicators</w:t>
      </w:r>
      <w:r>
        <w:t xml:space="preserve">. Table 3.10. Retrieved from: </w:t>
      </w:r>
      <w:hyperlink r:id="rId31" w:history="1">
        <w:r w:rsidRPr="005A74FF">
          <w:rPr>
            <w:rStyle w:val="Hyperlink"/>
            <w:color w:val="auto"/>
            <w:u w:val="none"/>
          </w:rPr>
          <w:t>http://www.bps.go.id/booklet/</w:t>
        </w:r>
      </w:hyperlink>
      <w:r w:rsidRPr="005A74FF">
        <w:t xml:space="preserve"> </w:t>
      </w:r>
      <w:r w:rsidRPr="007E477D">
        <w:t>Booklet_Agustus_2012.pdf</w:t>
      </w:r>
    </w:p>
  </w:footnote>
  <w:footnote w:id="55">
    <w:p w:rsidR="0062470F" w:rsidRPr="00AE461C" w:rsidRDefault="0062470F">
      <w:pPr>
        <w:pStyle w:val="FootnoteText"/>
      </w:pPr>
      <w:r>
        <w:rPr>
          <w:rStyle w:val="FootnoteReference"/>
        </w:rPr>
        <w:footnoteRef/>
      </w:r>
      <w:r>
        <w:t xml:space="preserve"> </w:t>
      </w:r>
      <w:r w:rsidRPr="00AE461C">
        <w:t>Camoin, C. (</w:t>
      </w:r>
      <w:r>
        <w:t xml:space="preserve">May 2012). Land-grabbing in Asia, UN experts raise tones. </w:t>
      </w:r>
      <w:r w:rsidRPr="00B72CE4">
        <w:rPr>
          <w:i/>
        </w:rPr>
        <w:t>Atlas.</w:t>
      </w:r>
      <w:r>
        <w:t xml:space="preserve"> Retrieved from: </w:t>
      </w:r>
      <w:hyperlink r:id="rId32" w:history="1">
        <w:r w:rsidRPr="00AE461C">
          <w:rPr>
            <w:rStyle w:val="Hyperlink"/>
            <w:color w:val="auto"/>
            <w:u w:val="none"/>
          </w:rPr>
          <w:t>http://atlasweb.it/2012/05/24/land-grabbing-in-asia-esperti-onu-alzano-i-toni-579.html</w:t>
        </w:r>
      </w:hyperlink>
      <w:r w:rsidRPr="00AE461C">
        <w:t xml:space="preserve"> </w:t>
      </w:r>
    </w:p>
  </w:footnote>
  <w:footnote w:id="56">
    <w:p w:rsidR="0062470F" w:rsidRPr="00B72CE4" w:rsidRDefault="0062470F" w:rsidP="00B72CE4">
      <w:pPr>
        <w:pStyle w:val="FootnoteText"/>
        <w:rPr>
          <w:i/>
        </w:rPr>
      </w:pPr>
      <w:r>
        <w:rPr>
          <w:rStyle w:val="FootnoteReference"/>
        </w:rPr>
        <w:footnoteRef/>
      </w:r>
      <w:r>
        <w:t xml:space="preserve"> Forest Peoples Programme, at al. (September 2013).</w:t>
      </w:r>
      <w:r w:rsidRPr="00B72CE4">
        <w:t xml:space="preserve"> </w:t>
      </w:r>
      <w:r w:rsidRPr="00B72CE4">
        <w:rPr>
          <w:i/>
        </w:rPr>
        <w:t xml:space="preserve">Starvation and poverty in Indonesia: civil society organisations appeal for suspension of MIFEE project in Papua pending redress for local </w:t>
      </w:r>
    </w:p>
    <w:p w:rsidR="0062470F" w:rsidRPr="00B72CE4" w:rsidRDefault="0062470F" w:rsidP="00AE461C">
      <w:pPr>
        <w:pStyle w:val="FootnoteText"/>
      </w:pPr>
      <w:r w:rsidRPr="00B72CE4">
        <w:rPr>
          <w:i/>
        </w:rPr>
        <w:t>communities</w:t>
      </w:r>
      <w:r>
        <w:t xml:space="preserve">. Retrieved from: </w:t>
      </w:r>
      <w:hyperlink r:id="rId33" w:history="1">
        <w:r w:rsidRPr="00B72CE4">
          <w:rPr>
            <w:rStyle w:val="Hyperlink"/>
            <w:color w:val="auto"/>
            <w:u w:val="none"/>
          </w:rPr>
          <w:t>http://www.forestpeoples.org/sites/fpp/files/news/2013/08/ CERD%20MIFEE%20press%20release_Aug2013_Final.pdf</w:t>
        </w:r>
      </w:hyperlink>
      <w:r w:rsidRPr="00B72CE4">
        <w:t xml:space="preserve"> </w:t>
      </w:r>
    </w:p>
  </w:footnote>
  <w:footnote w:id="57">
    <w:p w:rsidR="0062470F" w:rsidRPr="00651752" w:rsidRDefault="0062470F" w:rsidP="00747D61">
      <w:pPr>
        <w:pStyle w:val="FootnoteText"/>
        <w:jc w:val="both"/>
      </w:pPr>
      <w:r>
        <w:rPr>
          <w:rStyle w:val="FootnoteReference"/>
        </w:rPr>
        <w:footnoteRef/>
      </w:r>
      <w:r>
        <w:t xml:space="preserve"> Hasan, N. (January 2014). Aceh court orders palm oil firm to pay for environmental damage. </w:t>
      </w:r>
      <w:r w:rsidRPr="00B72CE4">
        <w:rPr>
          <w:i/>
        </w:rPr>
        <w:t>The Jakarta Globe</w:t>
      </w:r>
      <w:r>
        <w:t xml:space="preserve">. Retrieved from: </w:t>
      </w:r>
      <w:hyperlink r:id="rId34" w:history="1">
        <w:r w:rsidRPr="00651752">
          <w:rPr>
            <w:rStyle w:val="Hyperlink"/>
            <w:color w:val="auto"/>
            <w:u w:val="none"/>
          </w:rPr>
          <w:t>http://www.thejakartaglobe.com/news/aceh-court-orders-palm-oil-firm-to-pay-for-environmental-damage/</w:t>
        </w:r>
      </w:hyperlink>
      <w:r w:rsidRPr="00651752">
        <w:t xml:space="preserve"> </w:t>
      </w:r>
      <w:r>
        <w:t xml:space="preserve"> </w:t>
      </w:r>
    </w:p>
  </w:footnote>
  <w:footnote w:id="58">
    <w:p w:rsidR="0062470F" w:rsidRPr="00535D63" w:rsidRDefault="0062470F" w:rsidP="00747D61">
      <w:pPr>
        <w:pStyle w:val="FootnoteText"/>
        <w:jc w:val="both"/>
      </w:pPr>
      <w:r w:rsidRPr="00651752">
        <w:rPr>
          <w:rStyle w:val="FootnoteReference"/>
        </w:rPr>
        <w:footnoteRef/>
      </w:r>
      <w:r w:rsidRPr="00651752">
        <w:t xml:space="preserve"> UNICEF (October 2012). </w:t>
      </w:r>
      <w:r w:rsidRPr="00B72CE4">
        <w:rPr>
          <w:i/>
        </w:rPr>
        <w:t>MDGs, Equity, and Children: the way forward for Indonesia</w:t>
      </w:r>
      <w:r w:rsidRPr="00535D63">
        <w:t xml:space="preserve">. </w:t>
      </w:r>
      <w:r>
        <w:t xml:space="preserve">Issue Brief. </w:t>
      </w:r>
      <w:r w:rsidRPr="00535D63">
        <w:t xml:space="preserve">Retrieved from: </w:t>
      </w:r>
      <w:hyperlink r:id="rId35" w:history="1">
        <w:r w:rsidRPr="00535D63">
          <w:rPr>
            <w:rStyle w:val="Hyperlink"/>
            <w:color w:val="auto"/>
            <w:u w:val="none"/>
          </w:rPr>
          <w:t>http://www.unicef.org/indonesia/A1-_E_Issue_Brief_MDG_REV.pdf</w:t>
        </w:r>
      </w:hyperlink>
      <w:r w:rsidRPr="00535D63">
        <w:t xml:space="preserve"> </w:t>
      </w:r>
    </w:p>
  </w:footnote>
  <w:footnote w:id="59">
    <w:p w:rsidR="0062470F" w:rsidRPr="00535D63" w:rsidRDefault="0062470F" w:rsidP="00B72CE4">
      <w:pPr>
        <w:autoSpaceDE w:val="0"/>
        <w:autoSpaceDN w:val="0"/>
        <w:adjustRightInd w:val="0"/>
        <w:spacing w:after="0" w:line="240" w:lineRule="auto"/>
      </w:pPr>
      <w:r>
        <w:rPr>
          <w:rStyle w:val="FootnoteReference"/>
        </w:rPr>
        <w:footnoteRef/>
      </w:r>
      <w:r w:rsidRPr="00B72CE4">
        <w:rPr>
          <w:lang w:val="fr-FR"/>
        </w:rPr>
        <w:t xml:space="preserve"> Franciscan International, et al. (October 2013). </w:t>
      </w:r>
      <w:r w:rsidRPr="00B72CE4">
        <w:rPr>
          <w:i/>
          <w:color w:val="000000"/>
          <w:sz w:val="20"/>
          <w:szCs w:val="20"/>
          <w:lang w:val="en-GB"/>
        </w:rPr>
        <w:t>NGO Submission for the List of issues Submitted for the consideration of the 52nd Session of the UN Committee on the Econ</w:t>
      </w:r>
      <w:r>
        <w:rPr>
          <w:i/>
          <w:color w:val="000000"/>
          <w:sz w:val="20"/>
          <w:szCs w:val="20"/>
          <w:lang w:val="en-GB"/>
        </w:rPr>
        <w:t xml:space="preserve">omic Social and Cultural Rights. </w:t>
      </w:r>
      <w:r w:rsidRPr="00B72CE4">
        <w:t xml:space="preserve"> </w:t>
      </w:r>
      <w:r>
        <w:t xml:space="preserve">INT-CESCR-NGO-IDN-15354. </w:t>
      </w:r>
    </w:p>
  </w:footnote>
  <w:footnote w:id="60">
    <w:p w:rsidR="0062470F" w:rsidRPr="004F6831" w:rsidRDefault="0062470F" w:rsidP="00B72CE4">
      <w:pPr>
        <w:pStyle w:val="FootnoteText"/>
        <w:jc w:val="both"/>
      </w:pPr>
      <w:r>
        <w:rPr>
          <w:rStyle w:val="FootnoteReference"/>
        </w:rPr>
        <w:footnoteRef/>
      </w:r>
      <w:r>
        <w:t xml:space="preserve"> </w:t>
      </w:r>
      <w:r w:rsidRPr="004F6831">
        <w:t>Ibid.</w:t>
      </w:r>
    </w:p>
  </w:footnote>
  <w:footnote w:id="61">
    <w:p w:rsidR="0062470F" w:rsidRPr="004F6831" w:rsidRDefault="0062470F" w:rsidP="00B72CE4">
      <w:pPr>
        <w:pStyle w:val="FootnoteText"/>
        <w:jc w:val="both"/>
      </w:pPr>
      <w:r>
        <w:rPr>
          <w:rStyle w:val="FootnoteReference"/>
        </w:rPr>
        <w:footnoteRef/>
      </w:r>
      <w:r>
        <w:t xml:space="preserve"> </w:t>
      </w:r>
      <w:r w:rsidRPr="004F6831">
        <w:t xml:space="preserve">ICG (2012). </w:t>
      </w:r>
      <w:r w:rsidRPr="00B72CE4">
        <w:rPr>
          <w:i/>
        </w:rPr>
        <w:t>Dynamics of violence in Papua</w:t>
      </w:r>
      <w:r w:rsidRPr="004F6831">
        <w:t xml:space="preserve">. </w:t>
      </w:r>
      <w:hyperlink r:id="rId36" w:history="1">
        <w:r w:rsidRPr="004F6831">
          <w:rPr>
            <w:rStyle w:val="Hyperlink"/>
            <w:color w:val="auto"/>
            <w:u w:val="none"/>
          </w:rPr>
          <w:t>http://www.crisisgroup.org/en/regions/asia/south-east-asia/indonesia/232-indonesia-dynamics-of-violence-in-papua.aspx</w:t>
        </w:r>
      </w:hyperlink>
      <w:r>
        <w:t xml:space="preserve"> </w:t>
      </w:r>
    </w:p>
  </w:footnote>
  <w:footnote w:id="62">
    <w:p w:rsidR="0062470F" w:rsidRPr="00B72CE4" w:rsidRDefault="0062470F" w:rsidP="00B72CE4">
      <w:pPr>
        <w:pStyle w:val="FootnoteText"/>
        <w:rPr>
          <w:i/>
        </w:rPr>
      </w:pPr>
      <w:r>
        <w:rPr>
          <w:rStyle w:val="FootnoteReference"/>
        </w:rPr>
        <w:footnoteRef/>
      </w:r>
      <w:r>
        <w:t xml:space="preserve"> Forest Peoples Programme, at al. (September 2013).</w:t>
      </w:r>
      <w:r w:rsidRPr="00B72CE4">
        <w:t xml:space="preserve"> </w:t>
      </w:r>
      <w:r w:rsidRPr="00B72CE4">
        <w:rPr>
          <w:i/>
        </w:rPr>
        <w:t xml:space="preserve">Starvation and poverty in Indonesia: civil society organisations appeal for suspension of MIFEE project in Papua pending redress for local </w:t>
      </w:r>
    </w:p>
    <w:p w:rsidR="0062470F" w:rsidRPr="00A45EDD" w:rsidRDefault="0062470F" w:rsidP="00B72CE4">
      <w:pPr>
        <w:pStyle w:val="FootnoteText"/>
        <w:jc w:val="both"/>
      </w:pPr>
      <w:r w:rsidRPr="00B72CE4">
        <w:rPr>
          <w:i/>
        </w:rPr>
        <w:t>communities</w:t>
      </w:r>
      <w:r>
        <w:t xml:space="preserve">. Retrieved from: </w:t>
      </w:r>
      <w:hyperlink r:id="rId37" w:history="1">
        <w:r w:rsidRPr="00B72CE4">
          <w:rPr>
            <w:rStyle w:val="Hyperlink"/>
            <w:color w:val="auto"/>
            <w:u w:val="none"/>
          </w:rPr>
          <w:t>http://www.forestpeoples.org/sites/fpp/files/news/2013/08/ CERD%20MIFEE%20press%20release_Aug2013_Final.pdf</w:t>
        </w:r>
      </w:hyperlink>
      <w:r>
        <w:tab/>
      </w:r>
    </w:p>
  </w:footnote>
  <w:footnote w:id="63">
    <w:p w:rsidR="0062470F" w:rsidRPr="006F62BD" w:rsidRDefault="0062470F" w:rsidP="00B72CE4">
      <w:pPr>
        <w:pStyle w:val="FootnoteText"/>
      </w:pPr>
      <w:r>
        <w:rPr>
          <w:rStyle w:val="FootnoteReference"/>
        </w:rPr>
        <w:footnoteRef/>
      </w:r>
      <w:r>
        <w:t xml:space="preserve"> Indonesian National AIDS Cimmission (2012). </w:t>
      </w:r>
      <w:r w:rsidRPr="00B72CE4">
        <w:rPr>
          <w:i/>
        </w:rPr>
        <w:t>Country report on the follow up to the declaration of commitment on HIV/AIDS</w:t>
      </w:r>
      <w:r>
        <w:t>. Retireved from</w:t>
      </w:r>
      <w:r w:rsidRPr="006F62BD">
        <w:t xml:space="preserve">: </w:t>
      </w:r>
      <w:hyperlink r:id="rId38" w:history="1">
        <w:r w:rsidRPr="006F62BD">
          <w:rPr>
            <w:rStyle w:val="Hyperlink"/>
            <w:color w:val="auto"/>
            <w:u w:val="none"/>
          </w:rPr>
          <w:t>http://www.unaids.org/en/dataanalysis/knowyourresponse/</w:t>
        </w:r>
      </w:hyperlink>
      <w:r w:rsidRPr="006F62BD">
        <w:t xml:space="preserve"> vcountryprogressreports/2012countries/ce_ID_Narrative_Report.pdf</w:t>
      </w:r>
    </w:p>
  </w:footnote>
  <w:footnote w:id="64">
    <w:p w:rsidR="0062470F" w:rsidRPr="00701315" w:rsidRDefault="0062470F" w:rsidP="00B72CE4">
      <w:pPr>
        <w:pStyle w:val="FootnoteText"/>
      </w:pPr>
      <w:r>
        <w:rPr>
          <w:rStyle w:val="FootnoteReference"/>
        </w:rPr>
        <w:footnoteRef/>
      </w:r>
      <w:r>
        <w:t xml:space="preserve"> </w:t>
      </w:r>
      <w:r w:rsidRPr="00701315">
        <w:t xml:space="preserve">MeasureDHS (2012). </w:t>
      </w:r>
      <w:r w:rsidRPr="00B72CE4">
        <w:rPr>
          <w:i/>
        </w:rPr>
        <w:t>Indoensia Demographic and Health Survey 2012</w:t>
      </w:r>
      <w:r w:rsidRPr="00701315">
        <w:t xml:space="preserve">. </w:t>
      </w:r>
      <w:r>
        <w:t xml:space="preserve">Retrieved from: </w:t>
      </w:r>
      <w:hyperlink r:id="rId39" w:history="1">
        <w:r w:rsidRPr="00701315">
          <w:rPr>
            <w:rStyle w:val="Hyperlink"/>
            <w:color w:val="auto"/>
            <w:u w:val="none"/>
          </w:rPr>
          <w:t>http://www.measuredhs.com/pubs/pdf/PR25/PR25.pdf</w:t>
        </w:r>
      </w:hyperlink>
      <w:r w:rsidRPr="00701315">
        <w:t xml:space="preserve"> </w:t>
      </w:r>
    </w:p>
  </w:footnote>
  <w:footnote w:id="65">
    <w:p w:rsidR="0062470F" w:rsidRPr="005F2009" w:rsidRDefault="0062470F" w:rsidP="00B72CE4">
      <w:pPr>
        <w:pStyle w:val="FootnoteText"/>
      </w:pPr>
      <w:r>
        <w:rPr>
          <w:rStyle w:val="FootnoteReference"/>
        </w:rPr>
        <w:footnoteRef/>
      </w:r>
      <w:r>
        <w:t xml:space="preserve"> Hewson, J. (2014). Indonesia’s innovative health care system. </w:t>
      </w:r>
      <w:r w:rsidRPr="00B72CE4">
        <w:rPr>
          <w:i/>
        </w:rPr>
        <w:t>AlJazeera</w:t>
      </w:r>
      <w:r>
        <w:t xml:space="preserve">. Retrieved from: </w:t>
      </w:r>
      <w:hyperlink r:id="rId40" w:history="1">
        <w:r w:rsidRPr="005F2009">
          <w:rPr>
            <w:rStyle w:val="Hyperlink"/>
            <w:color w:val="auto"/>
            <w:u w:val="none"/>
          </w:rPr>
          <w:t>http://www.aljazeera.com/indepth/features/2014/01/indonesia-innovative-healthcare-scheme-201411485331598453.html</w:t>
        </w:r>
      </w:hyperlink>
      <w:r w:rsidRPr="005F2009">
        <w:t xml:space="preserve"> </w:t>
      </w:r>
    </w:p>
  </w:footnote>
  <w:footnote w:id="66">
    <w:p w:rsidR="0062470F" w:rsidRPr="007869F5" w:rsidRDefault="0062470F">
      <w:pPr>
        <w:pStyle w:val="FootnoteText"/>
      </w:pPr>
      <w:r>
        <w:rPr>
          <w:rStyle w:val="FootnoteReference"/>
        </w:rPr>
        <w:footnoteRef/>
      </w:r>
      <w:r>
        <w:t xml:space="preserve"> The 1945 Constitution of the Republic of Indonesia. Retrieved from: </w:t>
      </w:r>
      <w:hyperlink r:id="rId41" w:history="1">
        <w:r w:rsidRPr="006700DB">
          <w:rPr>
            <w:rStyle w:val="Hyperlink"/>
            <w:color w:val="auto"/>
            <w:u w:val="none"/>
          </w:rPr>
          <w:t>http://www.embassyofindonesia.org/about / pdf/IndonesianConstitution.pdf</w:t>
        </w:r>
      </w:hyperlink>
      <w:r>
        <w:rPr>
          <w:rStyle w:val="Hyperlink"/>
          <w:color w:val="auto"/>
          <w:u w:val="none"/>
        </w:rPr>
        <w:t xml:space="preserve"> </w:t>
      </w:r>
    </w:p>
  </w:footnote>
  <w:footnote w:id="67">
    <w:p w:rsidR="0062470F" w:rsidRPr="007E477D" w:rsidRDefault="0062470F" w:rsidP="00DE0734">
      <w:pPr>
        <w:pStyle w:val="FootnoteText"/>
        <w:rPr>
          <w:b/>
        </w:rPr>
      </w:pPr>
      <w:r>
        <w:rPr>
          <w:rStyle w:val="FootnoteReference"/>
        </w:rPr>
        <w:footnoteRef/>
      </w:r>
      <w:r>
        <w:t xml:space="preserve"> BPS (2012). </w:t>
      </w:r>
      <w:r w:rsidRPr="00D62069">
        <w:rPr>
          <w:i/>
        </w:rPr>
        <w:t>Trends of Selected Socio-Economic Indicators</w:t>
      </w:r>
      <w:r>
        <w:t xml:space="preserve">. Retrieved from: </w:t>
      </w:r>
      <w:hyperlink r:id="rId42" w:history="1">
        <w:r w:rsidRPr="005A74FF">
          <w:rPr>
            <w:rStyle w:val="Hyperlink"/>
            <w:color w:val="auto"/>
            <w:u w:val="none"/>
          </w:rPr>
          <w:t>http://www.bps.go.id/booklet/</w:t>
        </w:r>
      </w:hyperlink>
      <w:r w:rsidRPr="005A74FF">
        <w:t xml:space="preserve"> </w:t>
      </w:r>
      <w:r w:rsidRPr="007E477D">
        <w:t>Booklet_Agustus_2012.pdf</w:t>
      </w:r>
    </w:p>
    <w:p w:rsidR="0062470F" w:rsidRPr="00DE0734" w:rsidRDefault="0062470F">
      <w:pPr>
        <w:pStyle w:val="FootnoteText"/>
      </w:pPr>
      <w:r>
        <w:t xml:space="preserve"> </w:t>
      </w:r>
    </w:p>
  </w:footnote>
  <w:footnote w:id="68">
    <w:p w:rsidR="0062470F" w:rsidRPr="00F341B9" w:rsidRDefault="0062470F">
      <w:pPr>
        <w:pStyle w:val="FootnoteText"/>
      </w:pPr>
      <w:r>
        <w:rPr>
          <w:rStyle w:val="FootnoteReference"/>
        </w:rPr>
        <w:footnoteRef/>
      </w:r>
      <w:r>
        <w:t xml:space="preserve"> </w:t>
      </w:r>
      <w:r w:rsidRPr="00F341B9">
        <w:t>Minist</w:t>
      </w:r>
      <w:r>
        <w:t xml:space="preserve">ry of Education and Culture (2012). </w:t>
      </w:r>
      <w:r w:rsidRPr="00B72CE4">
        <w:rPr>
          <w:i/>
        </w:rPr>
        <w:t>Literacy: Empowerment, Development, and Peace.</w:t>
      </w:r>
      <w:r>
        <w:t xml:space="preserve"> </w:t>
      </w:r>
      <w:hyperlink r:id="rId43" w:history="1">
        <w:r w:rsidRPr="00F341B9">
          <w:rPr>
            <w:rStyle w:val="Hyperlink"/>
            <w:color w:val="auto"/>
            <w:u w:val="none"/>
          </w:rPr>
          <w:t>http://www.unesco.org/new/fileadmin/MULTIMEDIA/HQ/ED/pdf/Indonesia.pdf</w:t>
        </w:r>
      </w:hyperlink>
      <w:r w:rsidRPr="00F341B9">
        <w:t xml:space="preserve"> </w:t>
      </w:r>
    </w:p>
  </w:footnote>
  <w:footnote w:id="69">
    <w:p w:rsidR="0062470F" w:rsidRPr="00F341B9" w:rsidRDefault="0062470F">
      <w:pPr>
        <w:pStyle w:val="FootnoteText"/>
      </w:pPr>
      <w:r>
        <w:rPr>
          <w:rStyle w:val="FootnoteReference"/>
        </w:rPr>
        <w:footnoteRef/>
      </w:r>
      <w:r>
        <w:t xml:space="preserve"> </w:t>
      </w:r>
      <w:r w:rsidRPr="00F341B9">
        <w:t xml:space="preserve">BPS. </w:t>
      </w:r>
      <w:r w:rsidRPr="00B72CE4">
        <w:rPr>
          <w:i/>
        </w:rPr>
        <w:t>School Participation Rate by Province</w:t>
      </w:r>
      <w:r>
        <w:t xml:space="preserve">, </w:t>
      </w:r>
      <w:r w:rsidRPr="00B72CE4">
        <w:rPr>
          <w:i/>
        </w:rPr>
        <w:t>2003-2012.</w:t>
      </w:r>
      <w:r>
        <w:t xml:space="preserve"> Retrieved from: </w:t>
      </w:r>
      <w:hyperlink r:id="rId44" w:history="1">
        <w:r w:rsidRPr="00F341B9">
          <w:rPr>
            <w:rStyle w:val="Hyperlink"/>
            <w:color w:val="auto"/>
            <w:u w:val="none"/>
          </w:rPr>
          <w:t>http://www.bps.go.id/eng/tab_sub/view.php?kat=1&amp;tabel=1&amp;daftar=1&amp;id_subyek=28&amp;notab=3</w:t>
        </w:r>
      </w:hyperlink>
      <w:r w:rsidRPr="00F341B9">
        <w:t xml:space="preserve"> </w:t>
      </w:r>
    </w:p>
  </w:footnote>
  <w:footnote w:id="70">
    <w:p w:rsidR="0062470F" w:rsidRPr="00A43180" w:rsidRDefault="0062470F">
      <w:pPr>
        <w:pStyle w:val="FootnoteText"/>
      </w:pPr>
      <w:r>
        <w:rPr>
          <w:rStyle w:val="FootnoteReference"/>
        </w:rPr>
        <w:footnoteRef/>
      </w:r>
      <w:r>
        <w:t xml:space="preserve"> UNCEN, UNIPA, SMERU, BPS, UNICEF (April 2012). </w:t>
      </w:r>
      <w:r w:rsidRPr="00B72CE4">
        <w:rPr>
          <w:i/>
        </w:rPr>
        <w:t>We Like Being Taught: a study on teacher absenteeism in Papua and West Papua</w:t>
      </w:r>
      <w:r w:rsidRPr="00F06400">
        <w:t>. Retrieved from</w:t>
      </w:r>
      <w:r w:rsidRPr="00B72CE4">
        <w:t xml:space="preserve">: </w:t>
      </w:r>
      <w:hyperlink r:id="rId45" w:history="1">
        <w:r w:rsidRPr="00B72CE4">
          <w:rPr>
            <w:rStyle w:val="Hyperlink"/>
            <w:color w:val="auto"/>
            <w:u w:val="none"/>
          </w:rPr>
          <w:t>http://www.unicef.org/indonesia/Teacher_Absenteeism _Study_Papua_ENGLISH.pdf</w:t>
        </w:r>
      </w:hyperlink>
      <w:r w:rsidRPr="00F06400">
        <w:t xml:space="preserve"> </w:t>
      </w:r>
    </w:p>
  </w:footnote>
  <w:footnote w:id="71">
    <w:p w:rsidR="0062470F" w:rsidRDefault="0062470F" w:rsidP="00160321">
      <w:pPr>
        <w:spacing w:after="0"/>
        <w:rPr>
          <w:sz w:val="20"/>
          <w:szCs w:val="20"/>
        </w:rPr>
      </w:pPr>
      <w:r>
        <w:rPr>
          <w:rStyle w:val="FootnoteReference"/>
        </w:rPr>
        <w:footnoteRef/>
      </w:r>
      <w:r>
        <w:t xml:space="preserve"> </w:t>
      </w:r>
      <w:r w:rsidRPr="00F06400">
        <w:t xml:space="preserve">The World Bank (2012). </w:t>
      </w:r>
      <w:r w:rsidRPr="00B72CE4">
        <w:rPr>
          <w:i/>
        </w:rPr>
        <w:t>The BOSDA Improvement Program</w:t>
      </w:r>
      <w:r w:rsidRPr="00B72CE4">
        <w:rPr>
          <w:i/>
          <w:sz w:val="20"/>
          <w:szCs w:val="20"/>
        </w:rPr>
        <w:t>: Enhancing Equity and Performance through Local School Grants, Human Development Sector</w:t>
      </w:r>
      <w:r>
        <w:rPr>
          <w:sz w:val="20"/>
          <w:szCs w:val="20"/>
        </w:rPr>
        <w:t>.</w:t>
      </w:r>
      <w:r w:rsidRPr="00F06400">
        <w:rPr>
          <w:sz w:val="20"/>
          <w:szCs w:val="20"/>
        </w:rPr>
        <w:t xml:space="preserve"> World Ban</w:t>
      </w:r>
      <w:r>
        <w:rPr>
          <w:sz w:val="20"/>
          <w:szCs w:val="20"/>
        </w:rPr>
        <w:t xml:space="preserve">k Office Jakarta, Policy Brief. Retrieved from: </w:t>
      </w:r>
    </w:p>
    <w:p w:rsidR="0062470F" w:rsidRPr="00B72CE4" w:rsidRDefault="00B01ED5" w:rsidP="00160321">
      <w:pPr>
        <w:spacing w:after="0"/>
      </w:pPr>
      <w:hyperlink r:id="rId46" w:history="1">
        <w:r w:rsidR="0062470F" w:rsidRPr="00B72CE4">
          <w:rPr>
            <w:rStyle w:val="Hyperlink"/>
            <w:color w:val="auto"/>
            <w:u w:val="none"/>
          </w:rPr>
          <w:t>http://www-wds.worldbank.org/external/default/WDSContentServer/WDSP/IB/2012/06/13</w:t>
        </w:r>
      </w:hyperlink>
      <w:r w:rsidR="0062470F" w:rsidRPr="00B72CE4">
        <w:t xml:space="preserve"> /000333037_20120613013418/Rendered/PDF/698700BRI00PUB0ngle0page0small0file.pdf </w:t>
      </w:r>
    </w:p>
  </w:footnote>
  <w:footnote w:id="72">
    <w:p w:rsidR="0062470F" w:rsidRPr="00DE0734" w:rsidRDefault="0062470F" w:rsidP="00DE0734">
      <w:pPr>
        <w:pStyle w:val="FootnoteText"/>
      </w:pPr>
      <w:r>
        <w:rPr>
          <w:rStyle w:val="FootnoteReference"/>
        </w:rPr>
        <w:footnoteRef/>
      </w:r>
      <w:r>
        <w:t xml:space="preserve"> UNCEN, UNIPA, SMERU, BPS, UNICEF (April 2012). </w:t>
      </w:r>
      <w:r w:rsidRPr="00B72CE4">
        <w:rPr>
          <w:i/>
        </w:rPr>
        <w:t>We Like Being Taught: a study on teacher absenteeism in Papua and West Papua</w:t>
      </w:r>
      <w:r w:rsidRPr="00F06400">
        <w:t xml:space="preserve">. Retrieved from: </w:t>
      </w:r>
      <w:hyperlink r:id="rId47" w:history="1">
        <w:r w:rsidRPr="00DE0734">
          <w:rPr>
            <w:rStyle w:val="Hyperlink"/>
            <w:color w:val="auto"/>
            <w:u w:val="none"/>
          </w:rPr>
          <w:t>http://www.unicef.org/indonesia/Teacher_Absenteeism_ Study_Papua_ENGLISH.pdf</w:t>
        </w:r>
      </w:hyperlink>
      <w:r w:rsidRPr="00DE0734">
        <w:t xml:space="preserve"> </w:t>
      </w:r>
    </w:p>
  </w:footnote>
  <w:footnote w:id="73">
    <w:p w:rsidR="0062470F" w:rsidRPr="004E3CEE" w:rsidRDefault="0062470F" w:rsidP="00DE0734">
      <w:pPr>
        <w:pStyle w:val="FootnoteText"/>
      </w:pPr>
      <w:r>
        <w:rPr>
          <w:rStyle w:val="FootnoteReference"/>
        </w:rPr>
        <w:footnoteRef/>
      </w:r>
      <w:r>
        <w:t xml:space="preserve"> Act of the Republic of Indonesia n.20, year 2003. Retrieved from: </w:t>
      </w:r>
      <w:hyperlink r:id="rId48" w:history="1">
        <w:r w:rsidRPr="004E3CEE">
          <w:rPr>
            <w:rStyle w:val="Hyperlink"/>
            <w:color w:val="auto"/>
            <w:u w:val="none"/>
          </w:rPr>
          <w:t>http://planipolis.iiep.unesco.org/upload/Indonesia/Indonesia_Education_Act.pdf</w:t>
        </w:r>
      </w:hyperlink>
      <w:r w:rsidRPr="004E3CEE">
        <w:t xml:space="preserve"> </w:t>
      </w:r>
    </w:p>
  </w:footnote>
  <w:footnote w:id="74">
    <w:p w:rsidR="0062470F" w:rsidRPr="00B72CE4" w:rsidRDefault="0062470F" w:rsidP="00160321">
      <w:pPr>
        <w:pStyle w:val="FootnoteText"/>
      </w:pPr>
      <w:r>
        <w:rPr>
          <w:rStyle w:val="FootnoteReference"/>
        </w:rPr>
        <w:footnoteRef/>
      </w:r>
      <w:r>
        <w:t xml:space="preserve"> </w:t>
      </w:r>
      <w:r w:rsidRPr="00B72CE4">
        <w:rPr>
          <w:i/>
        </w:rPr>
        <w:t>AwasMIFEE</w:t>
      </w:r>
      <w:r w:rsidRPr="00D4607F">
        <w:t xml:space="preserve"> (October 2013). First Villages Feel the Impact </w:t>
      </w:r>
      <w:r>
        <w:t xml:space="preserve">as the Plantation Menace Spreads. Retrieved from: </w:t>
      </w:r>
      <w:hyperlink r:id="rId49" w:history="1">
        <w:r w:rsidRPr="00B72CE4">
          <w:rPr>
            <w:rStyle w:val="Hyperlink"/>
            <w:color w:val="auto"/>
            <w:u w:val="none"/>
          </w:rPr>
          <w:t>http://westpapuamedia.info/2013/10/27/three-years-of-mifee-part-2-first-villages-feel-the-impact-as-the-plantation-menace-spreads/</w:t>
        </w:r>
      </w:hyperlink>
      <w:r w:rsidRPr="00B72CE4">
        <w:t xml:space="preserve"> </w:t>
      </w:r>
    </w:p>
  </w:footnote>
  <w:footnote w:id="75">
    <w:p w:rsidR="0062470F" w:rsidRPr="00B72CE4" w:rsidRDefault="0062470F" w:rsidP="00B72CE4">
      <w:pPr>
        <w:pStyle w:val="FootnoteText"/>
        <w:jc w:val="both"/>
      </w:pPr>
      <w:r>
        <w:rPr>
          <w:rStyle w:val="FootnoteReference"/>
        </w:rPr>
        <w:footnoteRef/>
      </w:r>
      <w:r w:rsidRPr="00B72CE4">
        <w:t xml:space="preserve"> Human Rights Working Groups, et al. </w:t>
      </w:r>
      <w:r>
        <w:t xml:space="preserve">(October 2013). </w:t>
      </w:r>
      <w:r w:rsidRPr="00B72CE4">
        <w:rPr>
          <w:rFonts w:cs="Calibri"/>
          <w:bCs/>
          <w:color w:val="000000"/>
        </w:rPr>
        <w:t>Alternative</w:t>
      </w:r>
      <w:r>
        <w:rPr>
          <w:rFonts w:cs="Calibri"/>
          <w:bCs/>
          <w:color w:val="000000"/>
        </w:rPr>
        <w:t xml:space="preserve"> Report to the Indonesia State </w:t>
      </w:r>
      <w:r w:rsidRPr="00B72CE4">
        <w:rPr>
          <w:rFonts w:cs="Calibri"/>
          <w:bCs/>
          <w:color w:val="000000"/>
        </w:rPr>
        <w:t>Report on the Implementation of ICESCR</w:t>
      </w:r>
      <w:r>
        <w:rPr>
          <w:rFonts w:cs="Calibri"/>
          <w:bCs/>
          <w:color w:val="000000"/>
        </w:rPr>
        <w:t xml:space="preserve">. </w:t>
      </w:r>
      <w:r w:rsidRPr="00B72CE4">
        <w:t>CESCR_NGO_IDN_15360</w:t>
      </w:r>
    </w:p>
  </w:footnote>
  <w:footnote w:id="76">
    <w:p w:rsidR="0062470F" w:rsidRPr="006F1634" w:rsidRDefault="0062470F" w:rsidP="006F1634">
      <w:pPr>
        <w:pStyle w:val="FootnoteText"/>
      </w:pPr>
      <w:r w:rsidRPr="00160321">
        <w:rPr>
          <w:rStyle w:val="FootnoteReference"/>
        </w:rPr>
        <w:footnoteRef/>
      </w:r>
      <w:r w:rsidRPr="006F1634">
        <w:t xml:space="preserve"> International Commission of Jurists</w:t>
      </w:r>
      <w:r>
        <w:t xml:space="preserve"> ((October 2013).</w:t>
      </w:r>
      <w:r w:rsidRPr="006F1634">
        <w:rPr>
          <w:i/>
        </w:rPr>
        <w:t xml:space="preserve">Submission for the preparation by the Committee of Economic, Social and Cultural Rights of a list of </w:t>
      </w:r>
      <w:r>
        <w:rPr>
          <w:i/>
        </w:rPr>
        <w:t>issues for</w:t>
      </w:r>
      <w:r w:rsidRPr="006F1634">
        <w:rPr>
          <w:i/>
        </w:rPr>
        <w:t xml:space="preserve"> the examination of the initial report of Indonesia</w:t>
      </w:r>
      <w:r>
        <w:t xml:space="preserve">. </w:t>
      </w:r>
    </w:p>
    <w:p w:rsidR="0062470F" w:rsidRPr="006F1634" w:rsidRDefault="0062470F" w:rsidP="006F1634">
      <w:pPr>
        <w:pStyle w:val="FootnoteText"/>
      </w:pPr>
      <w:r w:rsidRPr="006F1634">
        <w:t>CESCR_NGO_IDN_15646</w:t>
      </w:r>
    </w:p>
  </w:footnote>
  <w:footnote w:id="77">
    <w:p w:rsidR="0062470F" w:rsidRPr="00747D61" w:rsidRDefault="0062470F">
      <w:pPr>
        <w:pStyle w:val="FootnoteText"/>
      </w:pPr>
      <w:r>
        <w:rPr>
          <w:rStyle w:val="FootnoteReference"/>
        </w:rPr>
        <w:footnoteRef/>
      </w:r>
      <w:r>
        <w:t xml:space="preserve"> </w:t>
      </w:r>
      <w:r w:rsidRPr="00747D61">
        <w:t xml:space="preserve">Sughiharto, S. (October 2013). Indigneous Language Policy as a National Cultural Strategy. </w:t>
      </w:r>
      <w:r w:rsidRPr="006F1634">
        <w:rPr>
          <w:i/>
        </w:rPr>
        <w:t>The Jakarta Post.</w:t>
      </w:r>
      <w:r>
        <w:t xml:space="preserve"> Retrieved from: </w:t>
      </w:r>
      <w:hyperlink r:id="rId50" w:history="1">
        <w:r w:rsidRPr="00747D61">
          <w:rPr>
            <w:rStyle w:val="Hyperlink"/>
            <w:color w:val="auto"/>
            <w:u w:val="none"/>
          </w:rPr>
          <w:t>http://www.thejakartapost.com/news/2013/10/28/indigenous-language-policy-a-national-cultural-strategy.html</w:t>
        </w:r>
      </w:hyperlink>
      <w:r w:rsidRPr="00747D61">
        <w:t xml:space="preserve"> </w:t>
      </w:r>
    </w:p>
  </w:footnote>
  <w:footnote w:id="78">
    <w:p w:rsidR="0062470F" w:rsidRPr="003D7B88" w:rsidRDefault="0062470F">
      <w:pPr>
        <w:pStyle w:val="FootnoteText"/>
      </w:pPr>
      <w:r>
        <w:rPr>
          <w:rStyle w:val="FootnoteReference"/>
        </w:rPr>
        <w:footnoteRef/>
      </w:r>
      <w:r>
        <w:t xml:space="preserve"> </w:t>
      </w:r>
      <w:r w:rsidRPr="003D7B88">
        <w:t xml:space="preserve">Riza, H. (2008). Resource report on languages of Indonesia. </w:t>
      </w:r>
      <w:r>
        <w:t xml:space="preserve">BPPT. Retrieved from: </w:t>
      </w:r>
      <w:hyperlink r:id="rId51" w:history="1">
        <w:r w:rsidRPr="003D7B88">
          <w:rPr>
            <w:rStyle w:val="Hyperlink"/>
            <w:color w:val="auto"/>
            <w:u w:val="none"/>
          </w:rPr>
          <w:t>http://www.aclweb.org/anthology/I/I08/I08-7014.pdf</w:t>
        </w:r>
      </w:hyperlink>
      <w:r w:rsidRPr="003D7B88">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70F" w:rsidRDefault="0062470F">
    <w:pPr>
      <w:pStyle w:val="Header"/>
    </w:pPr>
    <w:r>
      <w:rPr>
        <w:noProof/>
        <w:color w:val="4F81BD" w:themeColor="accent1"/>
        <w:lang w:val="en-GB" w:eastAsia="en-GB"/>
      </w:rPr>
      <mc:AlternateContent>
        <mc:Choice Requires="wps">
          <w:drawing>
            <wp:anchor distT="0" distB="0" distL="114300" distR="114300" simplePos="0" relativeHeight="251661312" behindDoc="1" locked="0" layoutInCell="1" allowOverlap="1" wp14:anchorId="0BA85879" wp14:editId="5456CA49">
              <wp:simplePos x="0" y="0"/>
              <wp:positionH relativeFrom="margin">
                <wp:posOffset>-911225</wp:posOffset>
              </wp:positionH>
              <wp:positionV relativeFrom="page">
                <wp:posOffset>318770</wp:posOffset>
              </wp:positionV>
              <wp:extent cx="7685405" cy="435610"/>
              <wp:effectExtent l="0" t="0" r="0" b="2540"/>
              <wp:wrapTight wrapText="bothSides">
                <wp:wrapPolygon edited="0">
                  <wp:start x="0" y="0"/>
                  <wp:lineTo x="0" y="20781"/>
                  <wp:lineTo x="21523" y="20781"/>
                  <wp:lineTo x="21523" y="0"/>
                  <wp:lineTo x="0" y="0"/>
                </wp:wrapPolygon>
              </wp:wrapTight>
              <wp:docPr id="4" name="Rectangle 4"/>
              <wp:cNvGraphicFramePr/>
              <a:graphic xmlns:a="http://schemas.openxmlformats.org/drawingml/2006/main">
                <a:graphicData uri="http://schemas.microsoft.com/office/word/2010/wordprocessingShape">
                  <wps:wsp>
                    <wps:cNvSpPr/>
                    <wps:spPr>
                      <a:xfrm>
                        <a:off x="0" y="0"/>
                        <a:ext cx="7685405" cy="43561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2470F" w:rsidRPr="00DA0E7E" w:rsidRDefault="0062470F" w:rsidP="007F017B">
                          <w:pPr>
                            <w:jc w:val="center"/>
                            <w:rPr>
                              <w:rFonts w:cstheme="minorHAnsi"/>
                              <w:b/>
                              <w:sz w:val="36"/>
                              <w:szCs w:val="36"/>
                            </w:rPr>
                          </w:pPr>
                          <w:r w:rsidRPr="00DA0E7E">
                            <w:rPr>
                              <w:rFonts w:cstheme="minorHAnsi"/>
                              <w:b/>
                              <w:sz w:val="36"/>
                              <w:szCs w:val="36"/>
                            </w:rPr>
                            <w:t>Alternative Report to CESCR – EC.12/IDN/1</w:t>
                          </w: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Rectangle 4" o:spid="_x0000_s1027" style="position:absolute;margin-left:-71.75pt;margin-top:25.1pt;width:605.15pt;height:34.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" fillcolor="#a5a5a5 [2092]" stroked="f" strokeweight="2pt">
              <v:textbox>
                <w:txbxContent>
                  <w:p w:rsidR="00B72CE4" w:rsidRPr="00DA0E7E" w:rsidRDefault="00B72CE4" w:rsidP="007F017B">
                    <w:pPr>
                      <w:jc w:val="center"/>
                      <w:rPr>
                        <w:rFonts w:cstheme="minorHAnsi"/>
                        <w:b/>
                        <w:sz w:val="36"/>
                        <w:szCs w:val="36"/>
                      </w:rPr>
                    </w:pPr>
                    <w:r w:rsidRPr="00DA0E7E">
                      <w:rPr>
                        <w:rFonts w:cstheme="minorHAnsi"/>
                        <w:b/>
                        <w:sz w:val="36"/>
                        <w:szCs w:val="36"/>
                      </w:rPr>
                      <w:t xml:space="preserve">Alternative Report to CESCR – </w:t>
                    </w:r>
                    <w:r w:rsidR="00DA0E7E" w:rsidRPr="00DA0E7E">
                      <w:rPr>
                        <w:rFonts w:cstheme="minorHAnsi"/>
                        <w:b/>
                        <w:sz w:val="36"/>
                        <w:szCs w:val="36"/>
                      </w:rPr>
                      <w:t>EC.12/IDN/1</w:t>
                    </w:r>
                  </w:p>
                </w:txbxContent>
              </v:textbox>
              <w10:wrap type="tight"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2"/>
    <w:lvl w:ilvl="0">
      <w:numFmt w:val="bullet"/>
      <w:lvlText w:val="-"/>
      <w:lvlJc w:val="left"/>
      <w:pPr>
        <w:tabs>
          <w:tab w:val="num" w:pos="0"/>
        </w:tabs>
        <w:ind w:left="720" w:hanging="360"/>
      </w:pPr>
      <w:rPr>
        <w:rFonts w:ascii="Calibri" w:hAnsi="Calibri" w:cs="Calibri"/>
        <w:b/>
      </w:rPr>
    </w:lvl>
  </w:abstractNum>
  <w:abstractNum w:abstractNumId="1">
    <w:nsid w:val="00000004"/>
    <w:multiLevelType w:val="singleLevel"/>
    <w:tmpl w:val="00000004"/>
    <w:name w:val="WW8Num3"/>
    <w:lvl w:ilvl="0">
      <w:numFmt w:val="bullet"/>
      <w:lvlText w:val=""/>
      <w:lvlJc w:val="left"/>
      <w:pPr>
        <w:tabs>
          <w:tab w:val="num" w:pos="0"/>
        </w:tabs>
        <w:ind w:left="720" w:hanging="360"/>
      </w:pPr>
      <w:rPr>
        <w:rFonts w:ascii="Symbol" w:hAnsi="Symbol" w:cs="Aria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17B"/>
    <w:rsid w:val="00017E68"/>
    <w:rsid w:val="000224AA"/>
    <w:rsid w:val="00024251"/>
    <w:rsid w:val="00041C79"/>
    <w:rsid w:val="000603C6"/>
    <w:rsid w:val="000742BC"/>
    <w:rsid w:val="000752F8"/>
    <w:rsid w:val="000C0B19"/>
    <w:rsid w:val="000C2BBF"/>
    <w:rsid w:val="000D2843"/>
    <w:rsid w:val="000D2DA3"/>
    <w:rsid w:val="000D540D"/>
    <w:rsid w:val="000E71BC"/>
    <w:rsid w:val="00107478"/>
    <w:rsid w:val="00110F65"/>
    <w:rsid w:val="00111658"/>
    <w:rsid w:val="00141D70"/>
    <w:rsid w:val="00160321"/>
    <w:rsid w:val="00170CED"/>
    <w:rsid w:val="0017427A"/>
    <w:rsid w:val="00174B11"/>
    <w:rsid w:val="00184DB3"/>
    <w:rsid w:val="00190B2A"/>
    <w:rsid w:val="001B1EDD"/>
    <w:rsid w:val="001E23DD"/>
    <w:rsid w:val="001F3485"/>
    <w:rsid w:val="0022434D"/>
    <w:rsid w:val="0024004D"/>
    <w:rsid w:val="002405AE"/>
    <w:rsid w:val="0025067E"/>
    <w:rsid w:val="00272035"/>
    <w:rsid w:val="00274421"/>
    <w:rsid w:val="00282D9B"/>
    <w:rsid w:val="0028322B"/>
    <w:rsid w:val="00287136"/>
    <w:rsid w:val="00294572"/>
    <w:rsid w:val="00294A4D"/>
    <w:rsid w:val="002A03CF"/>
    <w:rsid w:val="002B1F4A"/>
    <w:rsid w:val="002B20BC"/>
    <w:rsid w:val="002C6B1E"/>
    <w:rsid w:val="002D30BC"/>
    <w:rsid w:val="002D539A"/>
    <w:rsid w:val="002D6EE3"/>
    <w:rsid w:val="002E124D"/>
    <w:rsid w:val="002F01D2"/>
    <w:rsid w:val="003004D0"/>
    <w:rsid w:val="00303287"/>
    <w:rsid w:val="0030773D"/>
    <w:rsid w:val="00312EF8"/>
    <w:rsid w:val="003200D2"/>
    <w:rsid w:val="00320BDB"/>
    <w:rsid w:val="00330C6B"/>
    <w:rsid w:val="00343234"/>
    <w:rsid w:val="00345797"/>
    <w:rsid w:val="00357395"/>
    <w:rsid w:val="00360A8C"/>
    <w:rsid w:val="003657B4"/>
    <w:rsid w:val="0036733C"/>
    <w:rsid w:val="003808D3"/>
    <w:rsid w:val="003811BC"/>
    <w:rsid w:val="0038158C"/>
    <w:rsid w:val="00396882"/>
    <w:rsid w:val="00396DF9"/>
    <w:rsid w:val="003A00B3"/>
    <w:rsid w:val="003A3E3A"/>
    <w:rsid w:val="003A67B4"/>
    <w:rsid w:val="003A717B"/>
    <w:rsid w:val="003B7DAE"/>
    <w:rsid w:val="003C0264"/>
    <w:rsid w:val="003C16C8"/>
    <w:rsid w:val="003C3FA7"/>
    <w:rsid w:val="003D245E"/>
    <w:rsid w:val="003D51AB"/>
    <w:rsid w:val="003D7B88"/>
    <w:rsid w:val="003F1C9A"/>
    <w:rsid w:val="00411FB3"/>
    <w:rsid w:val="00420C92"/>
    <w:rsid w:val="00423CD7"/>
    <w:rsid w:val="00425F9B"/>
    <w:rsid w:val="00443EA8"/>
    <w:rsid w:val="00456908"/>
    <w:rsid w:val="0046767A"/>
    <w:rsid w:val="0047124B"/>
    <w:rsid w:val="00471EEA"/>
    <w:rsid w:val="00496DEA"/>
    <w:rsid w:val="00497233"/>
    <w:rsid w:val="004A6D06"/>
    <w:rsid w:val="004B55AF"/>
    <w:rsid w:val="004B65EA"/>
    <w:rsid w:val="004B7EB3"/>
    <w:rsid w:val="004C5092"/>
    <w:rsid w:val="004C7A9D"/>
    <w:rsid w:val="004E3CEE"/>
    <w:rsid w:val="004F4479"/>
    <w:rsid w:val="004F6831"/>
    <w:rsid w:val="00500933"/>
    <w:rsid w:val="0051197C"/>
    <w:rsid w:val="005202AA"/>
    <w:rsid w:val="00523BA4"/>
    <w:rsid w:val="00530D5A"/>
    <w:rsid w:val="00533112"/>
    <w:rsid w:val="00535D63"/>
    <w:rsid w:val="00542503"/>
    <w:rsid w:val="00551ECF"/>
    <w:rsid w:val="0056435A"/>
    <w:rsid w:val="005668F8"/>
    <w:rsid w:val="0057100A"/>
    <w:rsid w:val="00576977"/>
    <w:rsid w:val="00596218"/>
    <w:rsid w:val="005962B9"/>
    <w:rsid w:val="005A6AC2"/>
    <w:rsid w:val="005A74FF"/>
    <w:rsid w:val="005B7837"/>
    <w:rsid w:val="005C232B"/>
    <w:rsid w:val="005D1FAE"/>
    <w:rsid w:val="005D329B"/>
    <w:rsid w:val="005D7FE3"/>
    <w:rsid w:val="005F2009"/>
    <w:rsid w:val="005F3E70"/>
    <w:rsid w:val="00617E55"/>
    <w:rsid w:val="00623155"/>
    <w:rsid w:val="0062470F"/>
    <w:rsid w:val="00624DDC"/>
    <w:rsid w:val="00626FCC"/>
    <w:rsid w:val="0062798D"/>
    <w:rsid w:val="00636D27"/>
    <w:rsid w:val="00643685"/>
    <w:rsid w:val="006468BD"/>
    <w:rsid w:val="00651752"/>
    <w:rsid w:val="00652CB0"/>
    <w:rsid w:val="00663407"/>
    <w:rsid w:val="0066607C"/>
    <w:rsid w:val="006700DB"/>
    <w:rsid w:val="006748BA"/>
    <w:rsid w:val="00685032"/>
    <w:rsid w:val="006933C4"/>
    <w:rsid w:val="00695811"/>
    <w:rsid w:val="006A33AA"/>
    <w:rsid w:val="006A3CCD"/>
    <w:rsid w:val="006B2778"/>
    <w:rsid w:val="006B675A"/>
    <w:rsid w:val="006C3E54"/>
    <w:rsid w:val="006C7403"/>
    <w:rsid w:val="006D6C32"/>
    <w:rsid w:val="006E4068"/>
    <w:rsid w:val="006E7323"/>
    <w:rsid w:val="006F1634"/>
    <w:rsid w:val="006F62BD"/>
    <w:rsid w:val="00701315"/>
    <w:rsid w:val="00702A4C"/>
    <w:rsid w:val="0070530E"/>
    <w:rsid w:val="0072011E"/>
    <w:rsid w:val="007241ED"/>
    <w:rsid w:val="00740AA3"/>
    <w:rsid w:val="00741CA4"/>
    <w:rsid w:val="00742EB3"/>
    <w:rsid w:val="00747D61"/>
    <w:rsid w:val="007570D6"/>
    <w:rsid w:val="00762777"/>
    <w:rsid w:val="007775F2"/>
    <w:rsid w:val="00777BAE"/>
    <w:rsid w:val="007868D6"/>
    <w:rsid w:val="007869F5"/>
    <w:rsid w:val="00787E8D"/>
    <w:rsid w:val="00792E5D"/>
    <w:rsid w:val="007A0507"/>
    <w:rsid w:val="007B5C40"/>
    <w:rsid w:val="007C6539"/>
    <w:rsid w:val="007D03C1"/>
    <w:rsid w:val="007D27C1"/>
    <w:rsid w:val="007D3E38"/>
    <w:rsid w:val="007D5303"/>
    <w:rsid w:val="007D54F0"/>
    <w:rsid w:val="007E477D"/>
    <w:rsid w:val="007E56DF"/>
    <w:rsid w:val="007E5A03"/>
    <w:rsid w:val="007F017B"/>
    <w:rsid w:val="00822130"/>
    <w:rsid w:val="00825030"/>
    <w:rsid w:val="00831689"/>
    <w:rsid w:val="0084282B"/>
    <w:rsid w:val="00851B0A"/>
    <w:rsid w:val="00870098"/>
    <w:rsid w:val="008760F1"/>
    <w:rsid w:val="0089256D"/>
    <w:rsid w:val="008953AD"/>
    <w:rsid w:val="008B6B0C"/>
    <w:rsid w:val="008B7AD4"/>
    <w:rsid w:val="008D7B70"/>
    <w:rsid w:val="008F2E50"/>
    <w:rsid w:val="008F3586"/>
    <w:rsid w:val="008F688E"/>
    <w:rsid w:val="009022AB"/>
    <w:rsid w:val="009070B5"/>
    <w:rsid w:val="00911976"/>
    <w:rsid w:val="00915984"/>
    <w:rsid w:val="009222EB"/>
    <w:rsid w:val="0093120A"/>
    <w:rsid w:val="00944FEF"/>
    <w:rsid w:val="00946F64"/>
    <w:rsid w:val="00956A8C"/>
    <w:rsid w:val="009803B6"/>
    <w:rsid w:val="00992CA6"/>
    <w:rsid w:val="009964DF"/>
    <w:rsid w:val="009A019C"/>
    <w:rsid w:val="009B150B"/>
    <w:rsid w:val="009B22D4"/>
    <w:rsid w:val="009B3601"/>
    <w:rsid w:val="009B5C95"/>
    <w:rsid w:val="009D24DF"/>
    <w:rsid w:val="009E538C"/>
    <w:rsid w:val="009E7CAA"/>
    <w:rsid w:val="009F34D2"/>
    <w:rsid w:val="009F73DD"/>
    <w:rsid w:val="00A03A0E"/>
    <w:rsid w:val="00A21516"/>
    <w:rsid w:val="00A24723"/>
    <w:rsid w:val="00A35A50"/>
    <w:rsid w:val="00A43180"/>
    <w:rsid w:val="00A45EDD"/>
    <w:rsid w:val="00A474B5"/>
    <w:rsid w:val="00A5059D"/>
    <w:rsid w:val="00A522D7"/>
    <w:rsid w:val="00A535E0"/>
    <w:rsid w:val="00A57FA3"/>
    <w:rsid w:val="00A71521"/>
    <w:rsid w:val="00A87D67"/>
    <w:rsid w:val="00A90360"/>
    <w:rsid w:val="00A91F25"/>
    <w:rsid w:val="00A93F6D"/>
    <w:rsid w:val="00A95022"/>
    <w:rsid w:val="00A97A58"/>
    <w:rsid w:val="00AA75B3"/>
    <w:rsid w:val="00AE1A5F"/>
    <w:rsid w:val="00AE461C"/>
    <w:rsid w:val="00B01ED5"/>
    <w:rsid w:val="00B15BCB"/>
    <w:rsid w:val="00B17367"/>
    <w:rsid w:val="00B2369E"/>
    <w:rsid w:val="00B259DE"/>
    <w:rsid w:val="00B72CE4"/>
    <w:rsid w:val="00B940C6"/>
    <w:rsid w:val="00B946EC"/>
    <w:rsid w:val="00BA28FE"/>
    <w:rsid w:val="00BA3C1B"/>
    <w:rsid w:val="00BA62A1"/>
    <w:rsid w:val="00BA66F1"/>
    <w:rsid w:val="00BB0D8E"/>
    <w:rsid w:val="00BB1101"/>
    <w:rsid w:val="00BB60CC"/>
    <w:rsid w:val="00BC132E"/>
    <w:rsid w:val="00BC161C"/>
    <w:rsid w:val="00BC544C"/>
    <w:rsid w:val="00BC5482"/>
    <w:rsid w:val="00BC7675"/>
    <w:rsid w:val="00BC7AB0"/>
    <w:rsid w:val="00BD12C5"/>
    <w:rsid w:val="00BD35F2"/>
    <w:rsid w:val="00BE27C4"/>
    <w:rsid w:val="00BF139B"/>
    <w:rsid w:val="00BF4E44"/>
    <w:rsid w:val="00C11914"/>
    <w:rsid w:val="00C322E7"/>
    <w:rsid w:val="00C35A5D"/>
    <w:rsid w:val="00C378EA"/>
    <w:rsid w:val="00C55A08"/>
    <w:rsid w:val="00C56901"/>
    <w:rsid w:val="00C703EA"/>
    <w:rsid w:val="00C779D2"/>
    <w:rsid w:val="00C952E7"/>
    <w:rsid w:val="00C974D5"/>
    <w:rsid w:val="00CA008A"/>
    <w:rsid w:val="00CB31B0"/>
    <w:rsid w:val="00CC63A3"/>
    <w:rsid w:val="00CD43AE"/>
    <w:rsid w:val="00CE5E41"/>
    <w:rsid w:val="00CE71E8"/>
    <w:rsid w:val="00CF5C5C"/>
    <w:rsid w:val="00CF63A3"/>
    <w:rsid w:val="00CF6448"/>
    <w:rsid w:val="00D03BC2"/>
    <w:rsid w:val="00D26071"/>
    <w:rsid w:val="00D36587"/>
    <w:rsid w:val="00D45EC1"/>
    <w:rsid w:val="00D4607F"/>
    <w:rsid w:val="00D4655D"/>
    <w:rsid w:val="00D5009C"/>
    <w:rsid w:val="00D62069"/>
    <w:rsid w:val="00D63530"/>
    <w:rsid w:val="00D73EF6"/>
    <w:rsid w:val="00D77FDF"/>
    <w:rsid w:val="00D91772"/>
    <w:rsid w:val="00DA0E7E"/>
    <w:rsid w:val="00DA63BB"/>
    <w:rsid w:val="00DA7802"/>
    <w:rsid w:val="00DC0A8D"/>
    <w:rsid w:val="00DC0B13"/>
    <w:rsid w:val="00DC4249"/>
    <w:rsid w:val="00DE0734"/>
    <w:rsid w:val="00DE2D4D"/>
    <w:rsid w:val="00DE3845"/>
    <w:rsid w:val="00DF64D3"/>
    <w:rsid w:val="00E20D33"/>
    <w:rsid w:val="00E26937"/>
    <w:rsid w:val="00E3432D"/>
    <w:rsid w:val="00E349D7"/>
    <w:rsid w:val="00E373E8"/>
    <w:rsid w:val="00E379F6"/>
    <w:rsid w:val="00E4358E"/>
    <w:rsid w:val="00E50D58"/>
    <w:rsid w:val="00E53D75"/>
    <w:rsid w:val="00E71701"/>
    <w:rsid w:val="00E72908"/>
    <w:rsid w:val="00E72996"/>
    <w:rsid w:val="00E87A40"/>
    <w:rsid w:val="00E901CC"/>
    <w:rsid w:val="00E926FF"/>
    <w:rsid w:val="00EB1C35"/>
    <w:rsid w:val="00EC12FB"/>
    <w:rsid w:val="00EC3490"/>
    <w:rsid w:val="00EC7C0A"/>
    <w:rsid w:val="00ED0357"/>
    <w:rsid w:val="00ED333E"/>
    <w:rsid w:val="00EE1F2C"/>
    <w:rsid w:val="00EE3A3A"/>
    <w:rsid w:val="00EF4078"/>
    <w:rsid w:val="00EF46A8"/>
    <w:rsid w:val="00F06400"/>
    <w:rsid w:val="00F14696"/>
    <w:rsid w:val="00F2196C"/>
    <w:rsid w:val="00F24157"/>
    <w:rsid w:val="00F341B9"/>
    <w:rsid w:val="00F5693B"/>
    <w:rsid w:val="00F659B6"/>
    <w:rsid w:val="00F7501C"/>
    <w:rsid w:val="00F8394E"/>
    <w:rsid w:val="00F86825"/>
    <w:rsid w:val="00F91037"/>
    <w:rsid w:val="00FB71D9"/>
    <w:rsid w:val="00FC06D3"/>
    <w:rsid w:val="00FD0D46"/>
    <w:rsid w:val="00FD2E5F"/>
    <w:rsid w:val="00FD696E"/>
    <w:rsid w:val="00FF2712"/>
    <w:rsid w:val="00FF4DA9"/>
    <w:rsid w:val="00FF7332"/>
    <w:rsid w:val="00FF7C0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17B"/>
    <w:rPr>
      <w:lang w:val="en-US"/>
    </w:rPr>
  </w:style>
  <w:style w:type="paragraph" w:styleId="Heading1">
    <w:name w:val="heading 1"/>
    <w:basedOn w:val="Normal"/>
    <w:next w:val="Normal"/>
    <w:link w:val="Heading1Char"/>
    <w:uiPriority w:val="9"/>
    <w:qFormat/>
    <w:rsid w:val="007F017B"/>
    <w:pPr>
      <w:keepNext/>
      <w:keepLines/>
      <w:spacing w:before="480" w:after="0"/>
      <w:outlineLvl w:val="0"/>
    </w:pPr>
    <w:rPr>
      <w:rFonts w:eastAsiaTheme="majorEastAsia" w:cstheme="majorBidi"/>
      <w:b/>
      <w:bCs/>
      <w:sz w:val="40"/>
      <w:szCs w:val="28"/>
    </w:rPr>
  </w:style>
  <w:style w:type="paragraph" w:styleId="Heading2">
    <w:name w:val="heading 2"/>
    <w:basedOn w:val="Normal"/>
    <w:next w:val="Normal"/>
    <w:link w:val="Heading2Char"/>
    <w:uiPriority w:val="9"/>
    <w:unhideWhenUsed/>
    <w:qFormat/>
    <w:rsid w:val="007F017B"/>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496DE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96DE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496DE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17B"/>
    <w:rPr>
      <w:rFonts w:eastAsiaTheme="majorEastAsia" w:cstheme="majorBidi"/>
      <w:b/>
      <w:bCs/>
      <w:sz w:val="40"/>
      <w:szCs w:val="28"/>
      <w:lang w:val="en-US"/>
    </w:rPr>
  </w:style>
  <w:style w:type="character" w:customStyle="1" w:styleId="Heading2Char">
    <w:name w:val="Heading 2 Char"/>
    <w:basedOn w:val="DefaultParagraphFont"/>
    <w:link w:val="Heading2"/>
    <w:uiPriority w:val="9"/>
    <w:rsid w:val="007F017B"/>
    <w:rPr>
      <w:rFonts w:eastAsiaTheme="majorEastAsia" w:cstheme="majorBidi"/>
      <w:b/>
      <w:bCs/>
      <w:sz w:val="28"/>
      <w:szCs w:val="26"/>
      <w:lang w:val="en-US"/>
    </w:rPr>
  </w:style>
  <w:style w:type="character" w:customStyle="1" w:styleId="Heading3Char">
    <w:name w:val="Heading 3 Char"/>
    <w:basedOn w:val="DefaultParagraphFont"/>
    <w:link w:val="Heading3"/>
    <w:uiPriority w:val="9"/>
    <w:rsid w:val="00496DE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
    <w:semiHidden/>
    <w:rsid w:val="00496DEA"/>
    <w:rPr>
      <w:rFonts w:asciiTheme="majorHAnsi" w:eastAsiaTheme="majorEastAsia" w:hAnsiTheme="majorHAnsi" w:cstheme="majorBidi"/>
      <w:b/>
      <w:bCs/>
      <w:i/>
      <w:iCs/>
      <w:color w:val="4F81BD" w:themeColor="accent1"/>
      <w:lang w:val="en-US"/>
    </w:rPr>
  </w:style>
  <w:style w:type="character" w:customStyle="1" w:styleId="Heading5Char">
    <w:name w:val="Heading 5 Char"/>
    <w:basedOn w:val="DefaultParagraphFont"/>
    <w:link w:val="Heading5"/>
    <w:uiPriority w:val="9"/>
    <w:semiHidden/>
    <w:rsid w:val="00496DEA"/>
    <w:rPr>
      <w:rFonts w:asciiTheme="majorHAnsi" w:eastAsiaTheme="majorEastAsia" w:hAnsiTheme="majorHAnsi" w:cstheme="majorBidi"/>
      <w:color w:val="243F60" w:themeColor="accent1" w:themeShade="7F"/>
      <w:lang w:val="en-US"/>
    </w:rPr>
  </w:style>
  <w:style w:type="paragraph" w:styleId="Title">
    <w:name w:val="Title"/>
    <w:basedOn w:val="Normal"/>
    <w:next w:val="Normal"/>
    <w:link w:val="TitleChar"/>
    <w:uiPriority w:val="10"/>
    <w:qFormat/>
    <w:rsid w:val="00496DE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496DEA"/>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496DEA"/>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496DEA"/>
    <w:rPr>
      <w:rFonts w:asciiTheme="majorHAnsi" w:eastAsiaTheme="majorEastAsia" w:hAnsiTheme="majorHAnsi" w:cstheme="majorBidi"/>
      <w:i/>
      <w:iCs/>
      <w:color w:val="4F81BD" w:themeColor="accent1"/>
      <w:spacing w:val="15"/>
      <w:sz w:val="24"/>
      <w:szCs w:val="24"/>
      <w:lang w:val="en-US" w:eastAsia="ja-JP"/>
    </w:rPr>
  </w:style>
  <w:style w:type="character" w:styleId="Strong">
    <w:name w:val="Strong"/>
    <w:basedOn w:val="DefaultParagraphFont"/>
    <w:uiPriority w:val="22"/>
    <w:qFormat/>
    <w:rsid w:val="00496DEA"/>
    <w:rPr>
      <w:b/>
      <w:bCs/>
    </w:rPr>
  </w:style>
  <w:style w:type="paragraph" w:styleId="NoSpacing">
    <w:name w:val="No Spacing"/>
    <w:link w:val="NoSpacingChar"/>
    <w:uiPriority w:val="1"/>
    <w:qFormat/>
    <w:rsid w:val="00496DEA"/>
    <w:pPr>
      <w:spacing w:after="0" w:line="240" w:lineRule="auto"/>
    </w:pPr>
    <w:rPr>
      <w:lang w:val="en-US"/>
    </w:rPr>
  </w:style>
  <w:style w:type="character" w:customStyle="1" w:styleId="NoSpacingChar">
    <w:name w:val="No Spacing Char"/>
    <w:basedOn w:val="DefaultParagraphFont"/>
    <w:link w:val="NoSpacing"/>
    <w:uiPriority w:val="1"/>
    <w:rsid w:val="00496DEA"/>
    <w:rPr>
      <w:lang w:val="en-US"/>
    </w:rPr>
  </w:style>
  <w:style w:type="paragraph" w:styleId="ListParagraph">
    <w:name w:val="List Paragraph"/>
    <w:basedOn w:val="Normal"/>
    <w:uiPriority w:val="34"/>
    <w:qFormat/>
    <w:rsid w:val="00496DEA"/>
    <w:pPr>
      <w:ind w:left="720"/>
      <w:contextualSpacing/>
    </w:pPr>
  </w:style>
  <w:style w:type="paragraph" w:styleId="BalloonText">
    <w:name w:val="Balloon Text"/>
    <w:basedOn w:val="Normal"/>
    <w:link w:val="BalloonTextChar"/>
    <w:uiPriority w:val="99"/>
    <w:semiHidden/>
    <w:unhideWhenUsed/>
    <w:rsid w:val="007F017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7F017B"/>
    <w:rPr>
      <w:rFonts w:ascii="Tahoma" w:hAnsi="Tahoma"/>
      <w:sz w:val="16"/>
      <w:szCs w:val="16"/>
      <w:lang w:val="en-US"/>
    </w:rPr>
  </w:style>
  <w:style w:type="paragraph" w:styleId="Header">
    <w:name w:val="header"/>
    <w:basedOn w:val="Normal"/>
    <w:link w:val="HeaderChar"/>
    <w:uiPriority w:val="99"/>
    <w:unhideWhenUsed/>
    <w:rsid w:val="007F01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17B"/>
    <w:rPr>
      <w:lang w:val="en-US"/>
    </w:rPr>
  </w:style>
  <w:style w:type="paragraph" w:styleId="Footer">
    <w:name w:val="footer"/>
    <w:basedOn w:val="Normal"/>
    <w:link w:val="FooterChar"/>
    <w:uiPriority w:val="99"/>
    <w:unhideWhenUsed/>
    <w:rsid w:val="007F01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17B"/>
    <w:rPr>
      <w:lang w:val="en-US"/>
    </w:rPr>
  </w:style>
  <w:style w:type="paragraph" w:styleId="TOCHeading">
    <w:name w:val="TOC Heading"/>
    <w:basedOn w:val="Heading1"/>
    <w:next w:val="Normal"/>
    <w:uiPriority w:val="39"/>
    <w:semiHidden/>
    <w:unhideWhenUsed/>
    <w:qFormat/>
    <w:rsid w:val="007F017B"/>
    <w:pPr>
      <w:outlineLvl w:val="9"/>
    </w:pPr>
    <w:rPr>
      <w:lang w:eastAsia="ja-JP"/>
    </w:rPr>
  </w:style>
  <w:style w:type="character" w:styleId="Hyperlink">
    <w:name w:val="Hyperlink"/>
    <w:basedOn w:val="DefaultParagraphFont"/>
    <w:uiPriority w:val="99"/>
    <w:unhideWhenUsed/>
    <w:rsid w:val="007F017B"/>
    <w:rPr>
      <w:color w:val="0000FF" w:themeColor="hyperlink"/>
      <w:u w:val="single"/>
    </w:rPr>
  </w:style>
  <w:style w:type="paragraph" w:styleId="FootnoteText">
    <w:name w:val="footnote text"/>
    <w:basedOn w:val="Normal"/>
    <w:link w:val="FootnoteTextChar"/>
    <w:uiPriority w:val="99"/>
    <w:unhideWhenUsed/>
    <w:rsid w:val="007F017B"/>
    <w:pPr>
      <w:spacing w:after="0" w:line="240" w:lineRule="auto"/>
    </w:pPr>
    <w:rPr>
      <w:sz w:val="20"/>
      <w:szCs w:val="20"/>
    </w:rPr>
  </w:style>
  <w:style w:type="character" w:customStyle="1" w:styleId="FootnoteTextChar">
    <w:name w:val="Footnote Text Char"/>
    <w:basedOn w:val="DefaultParagraphFont"/>
    <w:link w:val="FootnoteText"/>
    <w:uiPriority w:val="99"/>
    <w:rsid w:val="007F017B"/>
    <w:rPr>
      <w:sz w:val="20"/>
      <w:szCs w:val="20"/>
      <w:lang w:val="en-US"/>
    </w:rPr>
  </w:style>
  <w:style w:type="character" w:styleId="FootnoteReference">
    <w:name w:val="footnote reference"/>
    <w:basedOn w:val="DefaultParagraphFont"/>
    <w:uiPriority w:val="99"/>
    <w:semiHidden/>
    <w:unhideWhenUsed/>
    <w:rsid w:val="007F017B"/>
    <w:rPr>
      <w:vertAlign w:val="superscript"/>
    </w:rPr>
  </w:style>
  <w:style w:type="character" w:customStyle="1" w:styleId="apple-converted-space">
    <w:name w:val="apple-converted-space"/>
    <w:basedOn w:val="DefaultParagraphFont"/>
    <w:rsid w:val="007F017B"/>
  </w:style>
  <w:style w:type="paragraph" w:styleId="TOC1">
    <w:name w:val="toc 1"/>
    <w:basedOn w:val="Normal"/>
    <w:next w:val="Normal"/>
    <w:autoRedefine/>
    <w:uiPriority w:val="39"/>
    <w:unhideWhenUsed/>
    <w:rsid w:val="007F017B"/>
    <w:pPr>
      <w:spacing w:after="100"/>
    </w:pPr>
  </w:style>
  <w:style w:type="paragraph" w:styleId="TOC2">
    <w:name w:val="toc 2"/>
    <w:basedOn w:val="Normal"/>
    <w:next w:val="Normal"/>
    <w:autoRedefine/>
    <w:uiPriority w:val="39"/>
    <w:unhideWhenUsed/>
    <w:rsid w:val="007F017B"/>
    <w:pPr>
      <w:spacing w:after="100"/>
      <w:ind w:left="220"/>
    </w:pPr>
  </w:style>
  <w:style w:type="paragraph" w:styleId="NormalWeb">
    <w:name w:val="Normal (Web)"/>
    <w:basedOn w:val="Normal"/>
    <w:uiPriority w:val="99"/>
    <w:unhideWhenUsed/>
    <w:rsid w:val="00E2693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570D6"/>
    <w:rPr>
      <w:i/>
      <w:iCs/>
    </w:rPr>
  </w:style>
  <w:style w:type="character" w:customStyle="1" w:styleId="arial">
    <w:name w:val="arial"/>
    <w:basedOn w:val="DefaultParagraphFont"/>
    <w:rsid w:val="007570D6"/>
  </w:style>
  <w:style w:type="character" w:customStyle="1" w:styleId="reference-text">
    <w:name w:val="reference-text"/>
    <w:basedOn w:val="DefaultParagraphFont"/>
    <w:rsid w:val="00FF7C04"/>
  </w:style>
  <w:style w:type="character" w:styleId="CommentReference">
    <w:name w:val="annotation reference"/>
    <w:basedOn w:val="DefaultParagraphFont"/>
    <w:uiPriority w:val="99"/>
    <w:semiHidden/>
    <w:unhideWhenUsed/>
    <w:rsid w:val="007241ED"/>
    <w:rPr>
      <w:sz w:val="16"/>
      <w:szCs w:val="16"/>
    </w:rPr>
  </w:style>
  <w:style w:type="paragraph" w:styleId="CommentText">
    <w:name w:val="annotation text"/>
    <w:basedOn w:val="Normal"/>
    <w:link w:val="CommentTextChar"/>
    <w:uiPriority w:val="99"/>
    <w:semiHidden/>
    <w:unhideWhenUsed/>
    <w:rsid w:val="007241ED"/>
    <w:pPr>
      <w:spacing w:line="240" w:lineRule="auto"/>
    </w:pPr>
    <w:rPr>
      <w:sz w:val="20"/>
      <w:szCs w:val="20"/>
    </w:rPr>
  </w:style>
  <w:style w:type="character" w:customStyle="1" w:styleId="CommentTextChar">
    <w:name w:val="Comment Text Char"/>
    <w:basedOn w:val="DefaultParagraphFont"/>
    <w:link w:val="CommentText"/>
    <w:uiPriority w:val="99"/>
    <w:semiHidden/>
    <w:rsid w:val="007241ED"/>
    <w:rPr>
      <w:sz w:val="20"/>
      <w:szCs w:val="20"/>
      <w:lang w:val="en-US"/>
    </w:rPr>
  </w:style>
  <w:style w:type="paragraph" w:styleId="CommentSubject">
    <w:name w:val="annotation subject"/>
    <w:basedOn w:val="CommentText"/>
    <w:next w:val="CommentText"/>
    <w:link w:val="CommentSubjectChar"/>
    <w:uiPriority w:val="99"/>
    <w:semiHidden/>
    <w:unhideWhenUsed/>
    <w:rsid w:val="007241ED"/>
    <w:rPr>
      <w:b/>
      <w:bCs/>
    </w:rPr>
  </w:style>
  <w:style w:type="character" w:customStyle="1" w:styleId="CommentSubjectChar">
    <w:name w:val="Comment Subject Char"/>
    <w:basedOn w:val="CommentTextChar"/>
    <w:link w:val="CommentSubject"/>
    <w:uiPriority w:val="99"/>
    <w:semiHidden/>
    <w:rsid w:val="007241ED"/>
    <w:rPr>
      <w:b/>
      <w:bCs/>
      <w:sz w:val="20"/>
      <w:szCs w:val="20"/>
      <w:lang w:val="en-US"/>
    </w:rPr>
  </w:style>
  <w:style w:type="character" w:styleId="FollowedHyperlink">
    <w:name w:val="FollowedHyperlink"/>
    <w:basedOn w:val="DefaultParagraphFont"/>
    <w:uiPriority w:val="99"/>
    <w:semiHidden/>
    <w:unhideWhenUsed/>
    <w:rsid w:val="0016032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17B"/>
    <w:rPr>
      <w:lang w:val="en-US"/>
    </w:rPr>
  </w:style>
  <w:style w:type="paragraph" w:styleId="Heading1">
    <w:name w:val="heading 1"/>
    <w:basedOn w:val="Normal"/>
    <w:next w:val="Normal"/>
    <w:link w:val="Heading1Char"/>
    <w:uiPriority w:val="9"/>
    <w:qFormat/>
    <w:rsid w:val="007F017B"/>
    <w:pPr>
      <w:keepNext/>
      <w:keepLines/>
      <w:spacing w:before="480" w:after="0"/>
      <w:outlineLvl w:val="0"/>
    </w:pPr>
    <w:rPr>
      <w:rFonts w:eastAsiaTheme="majorEastAsia" w:cstheme="majorBidi"/>
      <w:b/>
      <w:bCs/>
      <w:sz w:val="40"/>
      <w:szCs w:val="28"/>
    </w:rPr>
  </w:style>
  <w:style w:type="paragraph" w:styleId="Heading2">
    <w:name w:val="heading 2"/>
    <w:basedOn w:val="Normal"/>
    <w:next w:val="Normal"/>
    <w:link w:val="Heading2Char"/>
    <w:uiPriority w:val="9"/>
    <w:unhideWhenUsed/>
    <w:qFormat/>
    <w:rsid w:val="007F017B"/>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496DE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96DE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496DE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17B"/>
    <w:rPr>
      <w:rFonts w:eastAsiaTheme="majorEastAsia" w:cstheme="majorBidi"/>
      <w:b/>
      <w:bCs/>
      <w:sz w:val="40"/>
      <w:szCs w:val="28"/>
      <w:lang w:val="en-US"/>
    </w:rPr>
  </w:style>
  <w:style w:type="character" w:customStyle="1" w:styleId="Heading2Char">
    <w:name w:val="Heading 2 Char"/>
    <w:basedOn w:val="DefaultParagraphFont"/>
    <w:link w:val="Heading2"/>
    <w:uiPriority w:val="9"/>
    <w:rsid w:val="007F017B"/>
    <w:rPr>
      <w:rFonts w:eastAsiaTheme="majorEastAsia" w:cstheme="majorBidi"/>
      <w:b/>
      <w:bCs/>
      <w:sz w:val="28"/>
      <w:szCs w:val="26"/>
      <w:lang w:val="en-US"/>
    </w:rPr>
  </w:style>
  <w:style w:type="character" w:customStyle="1" w:styleId="Heading3Char">
    <w:name w:val="Heading 3 Char"/>
    <w:basedOn w:val="DefaultParagraphFont"/>
    <w:link w:val="Heading3"/>
    <w:uiPriority w:val="9"/>
    <w:rsid w:val="00496DE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
    <w:semiHidden/>
    <w:rsid w:val="00496DEA"/>
    <w:rPr>
      <w:rFonts w:asciiTheme="majorHAnsi" w:eastAsiaTheme="majorEastAsia" w:hAnsiTheme="majorHAnsi" w:cstheme="majorBidi"/>
      <w:b/>
      <w:bCs/>
      <w:i/>
      <w:iCs/>
      <w:color w:val="4F81BD" w:themeColor="accent1"/>
      <w:lang w:val="en-US"/>
    </w:rPr>
  </w:style>
  <w:style w:type="character" w:customStyle="1" w:styleId="Heading5Char">
    <w:name w:val="Heading 5 Char"/>
    <w:basedOn w:val="DefaultParagraphFont"/>
    <w:link w:val="Heading5"/>
    <w:uiPriority w:val="9"/>
    <w:semiHidden/>
    <w:rsid w:val="00496DEA"/>
    <w:rPr>
      <w:rFonts w:asciiTheme="majorHAnsi" w:eastAsiaTheme="majorEastAsia" w:hAnsiTheme="majorHAnsi" w:cstheme="majorBidi"/>
      <w:color w:val="243F60" w:themeColor="accent1" w:themeShade="7F"/>
      <w:lang w:val="en-US"/>
    </w:rPr>
  </w:style>
  <w:style w:type="paragraph" w:styleId="Title">
    <w:name w:val="Title"/>
    <w:basedOn w:val="Normal"/>
    <w:next w:val="Normal"/>
    <w:link w:val="TitleChar"/>
    <w:uiPriority w:val="10"/>
    <w:qFormat/>
    <w:rsid w:val="00496DE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496DEA"/>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496DEA"/>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496DEA"/>
    <w:rPr>
      <w:rFonts w:asciiTheme="majorHAnsi" w:eastAsiaTheme="majorEastAsia" w:hAnsiTheme="majorHAnsi" w:cstheme="majorBidi"/>
      <w:i/>
      <w:iCs/>
      <w:color w:val="4F81BD" w:themeColor="accent1"/>
      <w:spacing w:val="15"/>
      <w:sz w:val="24"/>
      <w:szCs w:val="24"/>
      <w:lang w:val="en-US" w:eastAsia="ja-JP"/>
    </w:rPr>
  </w:style>
  <w:style w:type="character" w:styleId="Strong">
    <w:name w:val="Strong"/>
    <w:basedOn w:val="DefaultParagraphFont"/>
    <w:uiPriority w:val="22"/>
    <w:qFormat/>
    <w:rsid w:val="00496DEA"/>
    <w:rPr>
      <w:b/>
      <w:bCs/>
    </w:rPr>
  </w:style>
  <w:style w:type="paragraph" w:styleId="NoSpacing">
    <w:name w:val="No Spacing"/>
    <w:link w:val="NoSpacingChar"/>
    <w:uiPriority w:val="1"/>
    <w:qFormat/>
    <w:rsid w:val="00496DEA"/>
    <w:pPr>
      <w:spacing w:after="0" w:line="240" w:lineRule="auto"/>
    </w:pPr>
    <w:rPr>
      <w:lang w:val="en-US"/>
    </w:rPr>
  </w:style>
  <w:style w:type="character" w:customStyle="1" w:styleId="NoSpacingChar">
    <w:name w:val="No Spacing Char"/>
    <w:basedOn w:val="DefaultParagraphFont"/>
    <w:link w:val="NoSpacing"/>
    <w:uiPriority w:val="1"/>
    <w:rsid w:val="00496DEA"/>
    <w:rPr>
      <w:lang w:val="en-US"/>
    </w:rPr>
  </w:style>
  <w:style w:type="paragraph" w:styleId="ListParagraph">
    <w:name w:val="List Paragraph"/>
    <w:basedOn w:val="Normal"/>
    <w:uiPriority w:val="34"/>
    <w:qFormat/>
    <w:rsid w:val="00496DEA"/>
    <w:pPr>
      <w:ind w:left="720"/>
      <w:contextualSpacing/>
    </w:pPr>
  </w:style>
  <w:style w:type="paragraph" w:styleId="BalloonText">
    <w:name w:val="Balloon Text"/>
    <w:basedOn w:val="Normal"/>
    <w:link w:val="BalloonTextChar"/>
    <w:uiPriority w:val="99"/>
    <w:semiHidden/>
    <w:unhideWhenUsed/>
    <w:rsid w:val="007F017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7F017B"/>
    <w:rPr>
      <w:rFonts w:ascii="Tahoma" w:hAnsi="Tahoma"/>
      <w:sz w:val="16"/>
      <w:szCs w:val="16"/>
      <w:lang w:val="en-US"/>
    </w:rPr>
  </w:style>
  <w:style w:type="paragraph" w:styleId="Header">
    <w:name w:val="header"/>
    <w:basedOn w:val="Normal"/>
    <w:link w:val="HeaderChar"/>
    <w:uiPriority w:val="99"/>
    <w:unhideWhenUsed/>
    <w:rsid w:val="007F01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17B"/>
    <w:rPr>
      <w:lang w:val="en-US"/>
    </w:rPr>
  </w:style>
  <w:style w:type="paragraph" w:styleId="Footer">
    <w:name w:val="footer"/>
    <w:basedOn w:val="Normal"/>
    <w:link w:val="FooterChar"/>
    <w:uiPriority w:val="99"/>
    <w:unhideWhenUsed/>
    <w:rsid w:val="007F01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17B"/>
    <w:rPr>
      <w:lang w:val="en-US"/>
    </w:rPr>
  </w:style>
  <w:style w:type="paragraph" w:styleId="TOCHeading">
    <w:name w:val="TOC Heading"/>
    <w:basedOn w:val="Heading1"/>
    <w:next w:val="Normal"/>
    <w:uiPriority w:val="39"/>
    <w:semiHidden/>
    <w:unhideWhenUsed/>
    <w:qFormat/>
    <w:rsid w:val="007F017B"/>
    <w:pPr>
      <w:outlineLvl w:val="9"/>
    </w:pPr>
    <w:rPr>
      <w:lang w:eastAsia="ja-JP"/>
    </w:rPr>
  </w:style>
  <w:style w:type="character" w:styleId="Hyperlink">
    <w:name w:val="Hyperlink"/>
    <w:basedOn w:val="DefaultParagraphFont"/>
    <w:uiPriority w:val="99"/>
    <w:unhideWhenUsed/>
    <w:rsid w:val="007F017B"/>
    <w:rPr>
      <w:color w:val="0000FF" w:themeColor="hyperlink"/>
      <w:u w:val="single"/>
    </w:rPr>
  </w:style>
  <w:style w:type="paragraph" w:styleId="FootnoteText">
    <w:name w:val="footnote text"/>
    <w:basedOn w:val="Normal"/>
    <w:link w:val="FootnoteTextChar"/>
    <w:uiPriority w:val="99"/>
    <w:unhideWhenUsed/>
    <w:rsid w:val="007F017B"/>
    <w:pPr>
      <w:spacing w:after="0" w:line="240" w:lineRule="auto"/>
    </w:pPr>
    <w:rPr>
      <w:sz w:val="20"/>
      <w:szCs w:val="20"/>
    </w:rPr>
  </w:style>
  <w:style w:type="character" w:customStyle="1" w:styleId="FootnoteTextChar">
    <w:name w:val="Footnote Text Char"/>
    <w:basedOn w:val="DefaultParagraphFont"/>
    <w:link w:val="FootnoteText"/>
    <w:uiPriority w:val="99"/>
    <w:rsid w:val="007F017B"/>
    <w:rPr>
      <w:sz w:val="20"/>
      <w:szCs w:val="20"/>
      <w:lang w:val="en-US"/>
    </w:rPr>
  </w:style>
  <w:style w:type="character" w:styleId="FootnoteReference">
    <w:name w:val="footnote reference"/>
    <w:basedOn w:val="DefaultParagraphFont"/>
    <w:uiPriority w:val="99"/>
    <w:semiHidden/>
    <w:unhideWhenUsed/>
    <w:rsid w:val="007F017B"/>
    <w:rPr>
      <w:vertAlign w:val="superscript"/>
    </w:rPr>
  </w:style>
  <w:style w:type="character" w:customStyle="1" w:styleId="apple-converted-space">
    <w:name w:val="apple-converted-space"/>
    <w:basedOn w:val="DefaultParagraphFont"/>
    <w:rsid w:val="007F017B"/>
  </w:style>
  <w:style w:type="paragraph" w:styleId="TOC1">
    <w:name w:val="toc 1"/>
    <w:basedOn w:val="Normal"/>
    <w:next w:val="Normal"/>
    <w:autoRedefine/>
    <w:uiPriority w:val="39"/>
    <w:unhideWhenUsed/>
    <w:rsid w:val="007F017B"/>
    <w:pPr>
      <w:spacing w:after="100"/>
    </w:pPr>
  </w:style>
  <w:style w:type="paragraph" w:styleId="TOC2">
    <w:name w:val="toc 2"/>
    <w:basedOn w:val="Normal"/>
    <w:next w:val="Normal"/>
    <w:autoRedefine/>
    <w:uiPriority w:val="39"/>
    <w:unhideWhenUsed/>
    <w:rsid w:val="007F017B"/>
    <w:pPr>
      <w:spacing w:after="100"/>
      <w:ind w:left="220"/>
    </w:pPr>
  </w:style>
  <w:style w:type="paragraph" w:styleId="NormalWeb">
    <w:name w:val="Normal (Web)"/>
    <w:basedOn w:val="Normal"/>
    <w:uiPriority w:val="99"/>
    <w:unhideWhenUsed/>
    <w:rsid w:val="00E2693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570D6"/>
    <w:rPr>
      <w:i/>
      <w:iCs/>
    </w:rPr>
  </w:style>
  <w:style w:type="character" w:customStyle="1" w:styleId="arial">
    <w:name w:val="arial"/>
    <w:basedOn w:val="DefaultParagraphFont"/>
    <w:rsid w:val="007570D6"/>
  </w:style>
  <w:style w:type="character" w:customStyle="1" w:styleId="reference-text">
    <w:name w:val="reference-text"/>
    <w:basedOn w:val="DefaultParagraphFont"/>
    <w:rsid w:val="00FF7C04"/>
  </w:style>
  <w:style w:type="character" w:styleId="CommentReference">
    <w:name w:val="annotation reference"/>
    <w:basedOn w:val="DefaultParagraphFont"/>
    <w:uiPriority w:val="99"/>
    <w:semiHidden/>
    <w:unhideWhenUsed/>
    <w:rsid w:val="007241ED"/>
    <w:rPr>
      <w:sz w:val="16"/>
      <w:szCs w:val="16"/>
    </w:rPr>
  </w:style>
  <w:style w:type="paragraph" w:styleId="CommentText">
    <w:name w:val="annotation text"/>
    <w:basedOn w:val="Normal"/>
    <w:link w:val="CommentTextChar"/>
    <w:uiPriority w:val="99"/>
    <w:semiHidden/>
    <w:unhideWhenUsed/>
    <w:rsid w:val="007241ED"/>
    <w:pPr>
      <w:spacing w:line="240" w:lineRule="auto"/>
    </w:pPr>
    <w:rPr>
      <w:sz w:val="20"/>
      <w:szCs w:val="20"/>
    </w:rPr>
  </w:style>
  <w:style w:type="character" w:customStyle="1" w:styleId="CommentTextChar">
    <w:name w:val="Comment Text Char"/>
    <w:basedOn w:val="DefaultParagraphFont"/>
    <w:link w:val="CommentText"/>
    <w:uiPriority w:val="99"/>
    <w:semiHidden/>
    <w:rsid w:val="007241ED"/>
    <w:rPr>
      <w:sz w:val="20"/>
      <w:szCs w:val="20"/>
      <w:lang w:val="en-US"/>
    </w:rPr>
  </w:style>
  <w:style w:type="paragraph" w:styleId="CommentSubject">
    <w:name w:val="annotation subject"/>
    <w:basedOn w:val="CommentText"/>
    <w:next w:val="CommentText"/>
    <w:link w:val="CommentSubjectChar"/>
    <w:uiPriority w:val="99"/>
    <w:semiHidden/>
    <w:unhideWhenUsed/>
    <w:rsid w:val="007241ED"/>
    <w:rPr>
      <w:b/>
      <w:bCs/>
    </w:rPr>
  </w:style>
  <w:style w:type="character" w:customStyle="1" w:styleId="CommentSubjectChar">
    <w:name w:val="Comment Subject Char"/>
    <w:basedOn w:val="CommentTextChar"/>
    <w:link w:val="CommentSubject"/>
    <w:uiPriority w:val="99"/>
    <w:semiHidden/>
    <w:rsid w:val="007241ED"/>
    <w:rPr>
      <w:b/>
      <w:bCs/>
      <w:sz w:val="20"/>
      <w:szCs w:val="20"/>
      <w:lang w:val="en-US"/>
    </w:rPr>
  </w:style>
  <w:style w:type="character" w:styleId="FollowedHyperlink">
    <w:name w:val="FollowedHyperlink"/>
    <w:basedOn w:val="DefaultParagraphFont"/>
    <w:uiPriority w:val="99"/>
    <w:semiHidden/>
    <w:unhideWhenUsed/>
    <w:rsid w:val="0016032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73810">
      <w:bodyDiv w:val="1"/>
      <w:marLeft w:val="0"/>
      <w:marRight w:val="0"/>
      <w:marTop w:val="0"/>
      <w:marBottom w:val="0"/>
      <w:divBdr>
        <w:top w:val="none" w:sz="0" w:space="0" w:color="auto"/>
        <w:left w:val="none" w:sz="0" w:space="0" w:color="auto"/>
        <w:bottom w:val="none" w:sz="0" w:space="0" w:color="auto"/>
        <w:right w:val="none" w:sz="0" w:space="0" w:color="auto"/>
      </w:divBdr>
    </w:div>
    <w:div w:id="182060515">
      <w:bodyDiv w:val="1"/>
      <w:marLeft w:val="0"/>
      <w:marRight w:val="0"/>
      <w:marTop w:val="0"/>
      <w:marBottom w:val="0"/>
      <w:divBdr>
        <w:top w:val="none" w:sz="0" w:space="0" w:color="auto"/>
        <w:left w:val="none" w:sz="0" w:space="0" w:color="auto"/>
        <w:bottom w:val="none" w:sz="0" w:space="0" w:color="auto"/>
        <w:right w:val="none" w:sz="0" w:space="0" w:color="auto"/>
      </w:divBdr>
    </w:div>
    <w:div w:id="336687612">
      <w:bodyDiv w:val="1"/>
      <w:marLeft w:val="0"/>
      <w:marRight w:val="0"/>
      <w:marTop w:val="0"/>
      <w:marBottom w:val="0"/>
      <w:divBdr>
        <w:top w:val="none" w:sz="0" w:space="0" w:color="auto"/>
        <w:left w:val="none" w:sz="0" w:space="0" w:color="auto"/>
        <w:bottom w:val="none" w:sz="0" w:space="0" w:color="auto"/>
        <w:right w:val="none" w:sz="0" w:space="0" w:color="auto"/>
      </w:divBdr>
    </w:div>
    <w:div w:id="355422666">
      <w:bodyDiv w:val="1"/>
      <w:marLeft w:val="0"/>
      <w:marRight w:val="0"/>
      <w:marTop w:val="0"/>
      <w:marBottom w:val="0"/>
      <w:divBdr>
        <w:top w:val="none" w:sz="0" w:space="0" w:color="auto"/>
        <w:left w:val="none" w:sz="0" w:space="0" w:color="auto"/>
        <w:bottom w:val="none" w:sz="0" w:space="0" w:color="auto"/>
        <w:right w:val="none" w:sz="0" w:space="0" w:color="auto"/>
      </w:divBdr>
    </w:div>
    <w:div w:id="549146033">
      <w:bodyDiv w:val="1"/>
      <w:marLeft w:val="0"/>
      <w:marRight w:val="0"/>
      <w:marTop w:val="0"/>
      <w:marBottom w:val="0"/>
      <w:divBdr>
        <w:top w:val="none" w:sz="0" w:space="0" w:color="auto"/>
        <w:left w:val="none" w:sz="0" w:space="0" w:color="auto"/>
        <w:bottom w:val="none" w:sz="0" w:space="0" w:color="auto"/>
        <w:right w:val="none" w:sz="0" w:space="0" w:color="auto"/>
      </w:divBdr>
      <w:divsChild>
        <w:div w:id="1246037853">
          <w:marLeft w:val="0"/>
          <w:marRight w:val="0"/>
          <w:marTop w:val="0"/>
          <w:marBottom w:val="0"/>
          <w:divBdr>
            <w:top w:val="none" w:sz="0" w:space="0" w:color="auto"/>
            <w:left w:val="none" w:sz="0" w:space="0" w:color="auto"/>
            <w:bottom w:val="none" w:sz="0" w:space="0" w:color="auto"/>
            <w:right w:val="none" w:sz="0" w:space="0" w:color="auto"/>
          </w:divBdr>
          <w:divsChild>
            <w:div w:id="829562717">
              <w:marLeft w:val="0"/>
              <w:marRight w:val="0"/>
              <w:marTop w:val="0"/>
              <w:marBottom w:val="0"/>
              <w:divBdr>
                <w:top w:val="none" w:sz="0" w:space="0" w:color="auto"/>
                <w:left w:val="none" w:sz="0" w:space="0" w:color="auto"/>
                <w:bottom w:val="none" w:sz="0" w:space="0" w:color="auto"/>
                <w:right w:val="none" w:sz="0" w:space="0" w:color="auto"/>
              </w:divBdr>
              <w:divsChild>
                <w:div w:id="1186797371">
                  <w:marLeft w:val="0"/>
                  <w:marRight w:val="0"/>
                  <w:marTop w:val="0"/>
                  <w:marBottom w:val="0"/>
                  <w:divBdr>
                    <w:top w:val="none" w:sz="0" w:space="0" w:color="auto"/>
                    <w:left w:val="none" w:sz="0" w:space="0" w:color="auto"/>
                    <w:bottom w:val="none" w:sz="0" w:space="0" w:color="auto"/>
                    <w:right w:val="none" w:sz="0" w:space="0" w:color="auto"/>
                  </w:divBdr>
                  <w:divsChild>
                    <w:div w:id="171114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623504">
      <w:bodyDiv w:val="1"/>
      <w:marLeft w:val="0"/>
      <w:marRight w:val="0"/>
      <w:marTop w:val="0"/>
      <w:marBottom w:val="0"/>
      <w:divBdr>
        <w:top w:val="none" w:sz="0" w:space="0" w:color="auto"/>
        <w:left w:val="none" w:sz="0" w:space="0" w:color="auto"/>
        <w:bottom w:val="none" w:sz="0" w:space="0" w:color="auto"/>
        <w:right w:val="none" w:sz="0" w:space="0" w:color="auto"/>
      </w:divBdr>
    </w:div>
    <w:div w:id="584919152">
      <w:bodyDiv w:val="1"/>
      <w:marLeft w:val="0"/>
      <w:marRight w:val="0"/>
      <w:marTop w:val="0"/>
      <w:marBottom w:val="0"/>
      <w:divBdr>
        <w:top w:val="none" w:sz="0" w:space="0" w:color="auto"/>
        <w:left w:val="none" w:sz="0" w:space="0" w:color="auto"/>
        <w:bottom w:val="none" w:sz="0" w:space="0" w:color="auto"/>
        <w:right w:val="none" w:sz="0" w:space="0" w:color="auto"/>
      </w:divBdr>
    </w:div>
    <w:div w:id="651836810">
      <w:bodyDiv w:val="1"/>
      <w:marLeft w:val="0"/>
      <w:marRight w:val="0"/>
      <w:marTop w:val="0"/>
      <w:marBottom w:val="0"/>
      <w:divBdr>
        <w:top w:val="none" w:sz="0" w:space="0" w:color="auto"/>
        <w:left w:val="none" w:sz="0" w:space="0" w:color="auto"/>
        <w:bottom w:val="none" w:sz="0" w:space="0" w:color="auto"/>
        <w:right w:val="none" w:sz="0" w:space="0" w:color="auto"/>
      </w:divBdr>
    </w:div>
    <w:div w:id="939096923">
      <w:bodyDiv w:val="1"/>
      <w:marLeft w:val="0"/>
      <w:marRight w:val="0"/>
      <w:marTop w:val="0"/>
      <w:marBottom w:val="0"/>
      <w:divBdr>
        <w:top w:val="none" w:sz="0" w:space="0" w:color="auto"/>
        <w:left w:val="none" w:sz="0" w:space="0" w:color="auto"/>
        <w:bottom w:val="none" w:sz="0" w:space="0" w:color="auto"/>
        <w:right w:val="none" w:sz="0" w:space="0" w:color="auto"/>
      </w:divBdr>
    </w:div>
    <w:div w:id="1049381066">
      <w:bodyDiv w:val="1"/>
      <w:marLeft w:val="0"/>
      <w:marRight w:val="0"/>
      <w:marTop w:val="0"/>
      <w:marBottom w:val="0"/>
      <w:divBdr>
        <w:top w:val="none" w:sz="0" w:space="0" w:color="auto"/>
        <w:left w:val="none" w:sz="0" w:space="0" w:color="auto"/>
        <w:bottom w:val="none" w:sz="0" w:space="0" w:color="auto"/>
        <w:right w:val="none" w:sz="0" w:space="0" w:color="auto"/>
      </w:divBdr>
    </w:div>
    <w:div w:id="1057972154">
      <w:bodyDiv w:val="1"/>
      <w:marLeft w:val="0"/>
      <w:marRight w:val="0"/>
      <w:marTop w:val="0"/>
      <w:marBottom w:val="0"/>
      <w:divBdr>
        <w:top w:val="none" w:sz="0" w:space="0" w:color="auto"/>
        <w:left w:val="none" w:sz="0" w:space="0" w:color="auto"/>
        <w:bottom w:val="none" w:sz="0" w:space="0" w:color="auto"/>
        <w:right w:val="none" w:sz="0" w:space="0" w:color="auto"/>
      </w:divBdr>
    </w:div>
    <w:div w:id="1092970721">
      <w:bodyDiv w:val="1"/>
      <w:marLeft w:val="0"/>
      <w:marRight w:val="0"/>
      <w:marTop w:val="0"/>
      <w:marBottom w:val="0"/>
      <w:divBdr>
        <w:top w:val="none" w:sz="0" w:space="0" w:color="auto"/>
        <w:left w:val="none" w:sz="0" w:space="0" w:color="auto"/>
        <w:bottom w:val="none" w:sz="0" w:space="0" w:color="auto"/>
        <w:right w:val="none" w:sz="0" w:space="0" w:color="auto"/>
      </w:divBdr>
    </w:div>
    <w:div w:id="1173644013">
      <w:bodyDiv w:val="1"/>
      <w:marLeft w:val="0"/>
      <w:marRight w:val="0"/>
      <w:marTop w:val="0"/>
      <w:marBottom w:val="0"/>
      <w:divBdr>
        <w:top w:val="none" w:sz="0" w:space="0" w:color="auto"/>
        <w:left w:val="none" w:sz="0" w:space="0" w:color="auto"/>
        <w:bottom w:val="none" w:sz="0" w:space="0" w:color="auto"/>
        <w:right w:val="none" w:sz="0" w:space="0" w:color="auto"/>
      </w:divBdr>
    </w:div>
    <w:div w:id="1336344939">
      <w:bodyDiv w:val="1"/>
      <w:marLeft w:val="0"/>
      <w:marRight w:val="0"/>
      <w:marTop w:val="0"/>
      <w:marBottom w:val="0"/>
      <w:divBdr>
        <w:top w:val="none" w:sz="0" w:space="0" w:color="auto"/>
        <w:left w:val="none" w:sz="0" w:space="0" w:color="auto"/>
        <w:bottom w:val="none" w:sz="0" w:space="0" w:color="auto"/>
        <w:right w:val="none" w:sz="0" w:space="0" w:color="auto"/>
      </w:divBdr>
    </w:div>
    <w:div w:id="1509640557">
      <w:bodyDiv w:val="1"/>
      <w:marLeft w:val="0"/>
      <w:marRight w:val="0"/>
      <w:marTop w:val="0"/>
      <w:marBottom w:val="0"/>
      <w:divBdr>
        <w:top w:val="none" w:sz="0" w:space="0" w:color="auto"/>
        <w:left w:val="none" w:sz="0" w:space="0" w:color="auto"/>
        <w:bottom w:val="none" w:sz="0" w:space="0" w:color="auto"/>
        <w:right w:val="none" w:sz="0" w:space="0" w:color="auto"/>
      </w:divBdr>
    </w:div>
    <w:div w:id="1531531254">
      <w:bodyDiv w:val="1"/>
      <w:marLeft w:val="0"/>
      <w:marRight w:val="0"/>
      <w:marTop w:val="0"/>
      <w:marBottom w:val="0"/>
      <w:divBdr>
        <w:top w:val="none" w:sz="0" w:space="0" w:color="auto"/>
        <w:left w:val="none" w:sz="0" w:space="0" w:color="auto"/>
        <w:bottom w:val="none" w:sz="0" w:space="0" w:color="auto"/>
        <w:right w:val="none" w:sz="0" w:space="0" w:color="auto"/>
      </w:divBdr>
    </w:div>
    <w:div w:id="1544780686">
      <w:bodyDiv w:val="1"/>
      <w:marLeft w:val="0"/>
      <w:marRight w:val="0"/>
      <w:marTop w:val="0"/>
      <w:marBottom w:val="0"/>
      <w:divBdr>
        <w:top w:val="none" w:sz="0" w:space="0" w:color="auto"/>
        <w:left w:val="none" w:sz="0" w:space="0" w:color="auto"/>
        <w:bottom w:val="none" w:sz="0" w:space="0" w:color="auto"/>
        <w:right w:val="none" w:sz="0" w:space="0" w:color="auto"/>
      </w:divBdr>
    </w:div>
    <w:div w:id="1857184330">
      <w:bodyDiv w:val="1"/>
      <w:marLeft w:val="0"/>
      <w:marRight w:val="0"/>
      <w:marTop w:val="0"/>
      <w:marBottom w:val="0"/>
      <w:divBdr>
        <w:top w:val="none" w:sz="0" w:space="0" w:color="auto"/>
        <w:left w:val="none" w:sz="0" w:space="0" w:color="auto"/>
        <w:bottom w:val="none" w:sz="0" w:space="0" w:color="auto"/>
        <w:right w:val="none" w:sz="0" w:space="0" w:color="auto"/>
      </w:divBdr>
    </w:div>
    <w:div w:id="190213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npo.org"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www.bps.go.id/booklet/" TargetMode="External"/><Relationship Id="rId18" Type="http://schemas.openxmlformats.org/officeDocument/2006/relationships/hyperlink" Target="http://www.charismanews.com/world/38729-decade-after-maluku-massacre-indonesia-still-dangerous-for-christians" TargetMode="External"/><Relationship Id="rId26" Type="http://schemas.openxmlformats.org/officeDocument/2006/relationships/hyperlink" Target="http://www.bps.go.id/booklet/" TargetMode="External"/><Relationship Id="rId39" Type="http://schemas.openxmlformats.org/officeDocument/2006/relationships/hyperlink" Target="http://www.measuredhs.com/pubs/pdf/PR25/PR25.pdf" TargetMode="External"/><Relationship Id="rId3" Type="http://schemas.openxmlformats.org/officeDocument/2006/relationships/hyperlink" Target="http://www.ohchr.org/EN/NewsEvents/Pages/DisplayNews.aspx?NewsID=13287&amp;LangID=E" TargetMode="External"/><Relationship Id="rId21" Type="http://schemas.openxmlformats.org/officeDocument/2006/relationships/hyperlink" Target="http://www.crisisgroup.org/en/regions/asia/south-east-asia/indonesia/232-indonesia-dynamics-of-violence-in-papua.aspx" TargetMode="External"/><Relationship Id="rId34" Type="http://schemas.openxmlformats.org/officeDocument/2006/relationships/hyperlink" Target="http://www.thejakartaglobe.com/news/aceh-court-orders-palm-oil-firm-to-pay-for-environmental-damage/" TargetMode="External"/><Relationship Id="rId42" Type="http://schemas.openxmlformats.org/officeDocument/2006/relationships/hyperlink" Target="http://www.bps.go.id/booklet/" TargetMode="External"/><Relationship Id="rId47" Type="http://schemas.openxmlformats.org/officeDocument/2006/relationships/hyperlink" Target="http://www.unicef.org/indonesia/Teacher_Absenteeism_%20Study_Papua_ENGLISH.pdf" TargetMode="External"/><Relationship Id="rId50" Type="http://schemas.openxmlformats.org/officeDocument/2006/relationships/hyperlink" Target="http://www.thejakartapost.com/news/2013/10/28/indigenous-language-policy-a-national-cultural-strategy.html" TargetMode="External"/><Relationship Id="rId7" Type="http://schemas.openxmlformats.org/officeDocument/2006/relationships/hyperlink" Target="http://theredddesk.org/sites/%20default/files/uu41_99_en.pdf" TargetMode="External"/><Relationship Id="rId12" Type="http://schemas.openxmlformats.org/officeDocument/2006/relationships/hyperlink" Target="https://awasmifee.potager" TargetMode="External"/><Relationship Id="rId17" Type="http://schemas.openxmlformats.org/officeDocument/2006/relationships/hyperlink" Target="http://www.eastwestcenter.org/sites/default/files/private/apb146_0.pdf" TargetMode="External"/><Relationship Id="rId25" Type="http://schemas.openxmlformats.org/officeDocument/2006/relationships/hyperlink" Target="http://www.refworld.org/docid/4fd8894730.html" TargetMode="External"/><Relationship Id="rId33" Type="http://schemas.openxmlformats.org/officeDocument/2006/relationships/hyperlink" Target="http://www.forestpeoples.org/sites/fpp/files/news/2013/08/%20CERD%20MIFEE%20press%20release_Aug2013_Final.pdf" TargetMode="External"/><Relationship Id="rId38" Type="http://schemas.openxmlformats.org/officeDocument/2006/relationships/hyperlink" Target="http://www.unaids.org/en/dataanalysis/knowyourresponse/" TargetMode="External"/><Relationship Id="rId46" Type="http://schemas.openxmlformats.org/officeDocument/2006/relationships/hyperlink" Target="http://www-wds.worldbank.org/external/default/WDSContentServer/WDSP/IB/2012/06/13" TargetMode="External"/><Relationship Id="rId2" Type="http://schemas.openxmlformats.org/officeDocument/2006/relationships/hyperlink" Target="http://www.state.gov/documents/organization/204415.pdf" TargetMode="External"/><Relationship Id="rId16" Type="http://schemas.openxmlformats.org/officeDocument/2006/relationships/hyperlink" Target="http://www.embassyofindonesia.org/about%20/%20pdf/IndonesianConstitution.pdf" TargetMode="External"/><Relationship Id="rId20" Type="http://schemas.openxmlformats.org/officeDocument/2006/relationships/hyperlink" Target="http://www.bps.go.id/booklet/" TargetMode="External"/><Relationship Id="rId29" Type="http://schemas.openxmlformats.org/officeDocument/2006/relationships/hyperlink" Target="http://www.irinnews.org/report/99270/papuan-returnees-live-with-broken-promises-in-indonesia%C2%A0%20papuan%20returnees%20live%20with%20broken%20promises%20in%20indonesia" TargetMode="External"/><Relationship Id="rId41" Type="http://schemas.openxmlformats.org/officeDocument/2006/relationships/hyperlink" Target="http://www.embassyofindonesia.org/about%20/%20pdf/IndonesianConstitution.pdf" TargetMode="External"/><Relationship Id="rId1" Type="http://schemas.openxmlformats.org/officeDocument/2006/relationships/hyperlink" Target="http://www.state.gov/documents/organization/204415.pdf" TargetMode="External"/><Relationship Id="rId6" Type="http://schemas.openxmlformats.org/officeDocument/2006/relationships/hyperlink" Target="http://www.forestpeoples" TargetMode="External"/><Relationship Id="rId11" Type="http://schemas.openxmlformats.org/officeDocument/2006/relationships/hyperlink" Target="http://www.forestpeoples" TargetMode="External"/><Relationship Id="rId24" Type="http://schemas.openxmlformats.org/officeDocument/2006/relationships/hyperlink" Target="http://www.ilo.org/dyn/travail/docs/760/Indonesian%20Labour%20Law%20-%20Act%2013%20of%202003.pdf" TargetMode="External"/><Relationship Id="rId32" Type="http://schemas.openxmlformats.org/officeDocument/2006/relationships/hyperlink" Target="http://atlasweb.it/2012/05/24/land-grabbing-in-asia-esperti-onu-alzano-i-toni-579.html" TargetMode="External"/><Relationship Id="rId37" Type="http://schemas.openxmlformats.org/officeDocument/2006/relationships/hyperlink" Target="http://www.forestpeoples.org/sites/fpp/files/news/2013/08/%20CERD%20MIFEE%20press%20release_Aug2013_Final.pdf" TargetMode="External"/><Relationship Id="rId40" Type="http://schemas.openxmlformats.org/officeDocument/2006/relationships/hyperlink" Target="http://www.aljazeera.com/indepth/features/2014/01/indonesia-innovative-healthcare-scheme-201411485331598453.html" TargetMode="External"/><Relationship Id="rId45" Type="http://schemas.openxmlformats.org/officeDocument/2006/relationships/hyperlink" Target="http://www.unicef.org/indonesia/Teacher_Absenteeism%20_Study_Papua_ENGLISH.pdf" TargetMode="External"/><Relationship Id="rId5" Type="http://schemas.openxmlformats.org/officeDocument/2006/relationships/hyperlink" Target="http://www.refworld.org/docid/52e0f5e7a.html" TargetMode="External"/><Relationship Id="rId15" Type="http://schemas.openxmlformats.org/officeDocument/2006/relationships/hyperlink" Target="http://etan.org/issues/wpapua/2014/1401wpap" TargetMode="External"/><Relationship Id="rId23" Type="http://schemas.openxmlformats.org/officeDocument/2006/relationships/hyperlink" Target="http://www.forestpeoples" TargetMode="External"/><Relationship Id="rId28" Type="http://schemas.openxmlformats.org/officeDocument/2006/relationships/hyperlink" Target="http://www.recoveryplatform.org/assets/recoverycases_reports/RECOVERY%20STATUS%20REPORT%20ACEH%20JAN15.pdf" TargetMode="External"/><Relationship Id="rId36" Type="http://schemas.openxmlformats.org/officeDocument/2006/relationships/hyperlink" Target="http://www.crisisgroup.org/en/regions/asia/south-east-asia/indonesia/232-indonesia-dynamics-of-violence-in-papua.aspx" TargetMode="External"/><Relationship Id="rId49" Type="http://schemas.openxmlformats.org/officeDocument/2006/relationships/hyperlink" Target="http://westpapuamedia.info/2013/10/27/three-years-of-mifee-part-2-first-villages-feel-the-impact-as-the-plantation-menace-spreads/" TargetMode="External"/><Relationship Id="rId10" Type="http://schemas.openxmlformats.org/officeDocument/2006/relationships/hyperlink" Target="http://www.state.gov/documents/organization/204415.pdf" TargetMode="External"/><Relationship Id="rId19" Type="http://schemas.openxmlformats.org/officeDocument/2006/relationships/hyperlink" Target="http://tabloidjubi.com/en/?p=627%20that%20Indonesian" TargetMode="External"/><Relationship Id="rId31" Type="http://schemas.openxmlformats.org/officeDocument/2006/relationships/hyperlink" Target="http://www.bps.go.id/booklet/" TargetMode="External"/><Relationship Id="rId44" Type="http://schemas.openxmlformats.org/officeDocument/2006/relationships/hyperlink" Target="http://www.bps.go.id/eng/tab_sub/view.php?kat=1&amp;tabel=1&amp;daftar=1&amp;id_subyek=28&amp;notab=3" TargetMode="External"/><Relationship Id="rId4" Type="http://schemas.openxmlformats.org/officeDocument/2006/relationships/hyperlink" Target="http://www.state.gov/documents/organization/204415.pdf" TargetMode="External"/><Relationship Id="rId9" Type="http://schemas.openxmlformats.org/officeDocument/2006/relationships/hyperlink" Target="http://www.forestpeoples" TargetMode="External"/><Relationship Id="rId14" Type="http://schemas.openxmlformats.org/officeDocument/2006/relationships/hyperlink" Target="http://www.bps.go.id/booklet/" TargetMode="External"/><Relationship Id="rId22" Type="http://schemas.openxmlformats.org/officeDocument/2006/relationships/hyperlink" Target="http://www.irinnews.org/report/99270/papuan-returnees-live-with-broken-promises-in-indonesia%C2%A0%20papuan%20returnees%20live%20with%20broken%20promises%20in%20indonesia" TargetMode="External"/><Relationship Id="rId27" Type="http://schemas.openxmlformats.org/officeDocument/2006/relationships/hyperlink" Target="http://indonesia.unfpa.org/application/assets/files/3/RPJMN_2010-2014_English.pdf" TargetMode="External"/><Relationship Id="rId30" Type="http://schemas.openxmlformats.org/officeDocument/2006/relationships/hyperlink" Target="http://www.recoveryplatform.org/assets/recoverycases_reports/RECOVERY%20STATUS%20REPORT%20ACEH%20JAN15.pdf" TargetMode="External"/><Relationship Id="rId35" Type="http://schemas.openxmlformats.org/officeDocument/2006/relationships/hyperlink" Target="http://www.unicef.org/indonesia/A1-_E_Issue_Brief_MDG_REV.pdf" TargetMode="External"/><Relationship Id="rId43" Type="http://schemas.openxmlformats.org/officeDocument/2006/relationships/hyperlink" Target="http://www.unesco.org/new/fileadmin/MULTIMEDIA/HQ/ED/pdf/Indonesia.pdf" TargetMode="External"/><Relationship Id="rId48" Type="http://schemas.openxmlformats.org/officeDocument/2006/relationships/hyperlink" Target="http://planipolis.iiep.unesco.org/upload/Indonesia/Indonesia_Education_Act.pdf" TargetMode="External"/><Relationship Id="rId8" Type="http://schemas.openxmlformats.org/officeDocument/2006/relationships/hyperlink" Target="http://www.aman.or.id/wp-content/plugins/downloads-manager/upload/Constitutional_Court_Ruling_16_May_2013.pdf" TargetMode="External"/><Relationship Id="rId51" Type="http://schemas.openxmlformats.org/officeDocument/2006/relationships/hyperlink" Target="http://www.aclweb.org/anthology/I/I08/I08-7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D89240-AB56-4C92-B8A1-C9C47AD9D868}"/>
</file>

<file path=customXml/itemProps2.xml><?xml version="1.0" encoding="utf-8"?>
<ds:datastoreItem xmlns:ds="http://schemas.openxmlformats.org/officeDocument/2006/customXml" ds:itemID="{F6388F19-22FB-4289-8CFA-4583831A8659}"/>
</file>

<file path=customXml/itemProps3.xml><?xml version="1.0" encoding="utf-8"?>
<ds:datastoreItem xmlns:ds="http://schemas.openxmlformats.org/officeDocument/2006/customXml" ds:itemID="{C8FD6AFD-343D-4DA5-B807-E25DC4AD76D6}"/>
</file>

<file path=customXml/itemProps4.xml><?xml version="1.0" encoding="utf-8"?>
<ds:datastoreItem xmlns:ds="http://schemas.openxmlformats.org/officeDocument/2006/customXml" ds:itemID="{71385800-AD38-4E1E-8D18-991124A70008}"/>
</file>

<file path=docProps/app.xml><?xml version="1.0" encoding="utf-8"?>
<Properties xmlns="http://schemas.openxmlformats.org/officeDocument/2006/extended-properties" xmlns:vt="http://schemas.openxmlformats.org/officeDocument/2006/docPropsVTypes">
  <Template>Normal</Template>
  <TotalTime>1</TotalTime>
  <Pages>8</Pages>
  <Words>6586</Words>
  <Characters>37542</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Unrepresented Nations &amp; Peoples Organization</Company>
  <LinksUpToDate>false</LinksUpToDate>
  <CharactersWithSpaces>44040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UNPO</dc:creator>
  <cp:lastModifiedBy>CESCR Intern</cp:lastModifiedBy>
  <cp:revision>2</cp:revision>
  <cp:lastPrinted>2014-02-14T13:30:00Z</cp:lastPrinted>
  <dcterms:created xsi:type="dcterms:W3CDTF">2014-03-31T12:18:00Z</dcterms:created>
  <dcterms:modified xsi:type="dcterms:W3CDTF">2014-03-31T12:18:00Z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