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Parallel Report on the Fourth Periodic Review of the Republic of Korea Submitted to the UN Committee on Economic, Social and Cultural Rights Artificial Intelligence and Economic, Social and Cultural Rights.</w:t>
      </w:r>
    </w:p>
    <w:p w:rsidR="00000000" w:rsidDel="00000000" w:rsidP="00000000" w:rsidRDefault="00000000" w:rsidRPr="00000000" w14:paraId="00000002">
      <w:pPr>
        <w:spacing w:after="240" w:before="240" w:lineRule="auto"/>
        <w:rPr>
          <w:b w:val="1"/>
        </w:rPr>
      </w:pPr>
      <w:r w:rsidDel="00000000" w:rsidR="00000000" w:rsidRPr="00000000">
        <w:rPr>
          <w:b w:val="1"/>
          <w:rtl w:val="0"/>
        </w:rPr>
        <w:t xml:space="preserve">Submitted by Korean Progressive Network Jinbonet, 2025.</w:t>
      </w:r>
    </w:p>
    <w:p w:rsidR="00000000" w:rsidDel="00000000" w:rsidP="00000000" w:rsidRDefault="00000000" w:rsidRPr="00000000" w14:paraId="00000003">
      <w:pPr>
        <w:spacing w:after="240" w:before="240" w:lineRule="auto"/>
        <w:rPr>
          <w:b w:val="1"/>
        </w:rPr>
      </w:pPr>
      <w:r w:rsidDel="00000000" w:rsidR="00000000" w:rsidRPr="00000000">
        <w:rPr>
          <w:b w:val="1"/>
          <w:rtl w:val="0"/>
        </w:rPr>
        <w:br w:type="textWrapping"/>
        <w:t xml:space="preserve">1. Inadequate Protection of Economic, Social Rights and Other Human Rights in Korea’s AI Policy</w:t>
      </w:r>
    </w:p>
    <w:p w:rsidR="00000000" w:rsidDel="00000000" w:rsidP="00000000" w:rsidRDefault="00000000" w:rsidRPr="00000000" w14:paraId="00000004">
      <w:pPr>
        <w:spacing w:after="240" w:before="240" w:lineRule="auto"/>
        <w:rPr/>
      </w:pPr>
      <w:r w:rsidDel="00000000" w:rsidR="00000000" w:rsidRPr="00000000">
        <w:rPr>
          <w:rtl w:val="0"/>
        </w:rPr>
        <w:t xml:space="preserve">In 2024, the Republic of Korea enacted the “Framework Act on the Advancement of Artificial Intelligence and the Establishment of a Trust-Based Ecosystem.” Although the law presents itself as a foundational statute for AI governance, it lacks effective regulatory mechanisms and is instead heavily skewed toward promoting the AI industry.</w:t>
      </w:r>
    </w:p>
    <w:p w:rsidR="00000000" w:rsidDel="00000000" w:rsidP="00000000" w:rsidRDefault="00000000" w:rsidRPr="00000000" w14:paraId="00000005">
      <w:pPr>
        <w:spacing w:after="240" w:before="240" w:lineRule="auto"/>
        <w:rPr/>
      </w:pPr>
      <w:r w:rsidDel="00000000" w:rsidR="00000000" w:rsidRPr="00000000">
        <w:rPr>
          <w:rtl w:val="0"/>
        </w:rPr>
        <w:t xml:space="preserve">First, the law contains no provisions banning certain high-risk AI systems, and the enforcement mechanisms for violations of obligations by high-risk AI operators are insufficient. The only sanction available is an administrative fine, and even that is imposed only when the operator fails to comply with a corrective order issued by the Ministry of Science and ICT. While the law introduces the concept of “affected persons,” it does not define their rights nor provide any means of redress. It also fails to impose obligations on general-purpose AI developers, such as the disclosure of training data. No redress procedures are established in the event of harm, and human rights impact assessments are required only on a best-effort basis</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06">
      <w:pPr>
        <w:spacing w:after="240" w:before="240" w:lineRule="auto"/>
        <w:rPr/>
      </w:pPr>
      <w:r w:rsidDel="00000000" w:rsidR="00000000" w:rsidRPr="00000000">
        <w:rPr>
          <w:rtl w:val="0"/>
        </w:rPr>
        <w:t xml:space="preserve">The Ministry of Science and ICT, which is primarily tasked with promoting industrial innovation, has been designated as the lead authority. As such, it lacks the institutional independence and human rights expertise needed to provide effective oversight. In short, while the law provides basic administrative procedures for the deployment of AI technology, it falls short of establishing a framework that substantively protects economic, social, and other fundamental rights.</w:t>
      </w:r>
    </w:p>
    <w:p w:rsidR="00000000" w:rsidDel="00000000" w:rsidP="00000000" w:rsidRDefault="00000000" w:rsidRPr="00000000" w14:paraId="00000007">
      <w:pPr>
        <w:spacing w:after="240" w:before="240" w:lineRule="auto"/>
        <w:rPr/>
      </w:pPr>
      <w:r w:rsidDel="00000000" w:rsidR="00000000" w:rsidRPr="00000000">
        <w:rPr>
          <w:rtl w:val="0"/>
        </w:rPr>
        <w:t xml:space="preserve">Meanwhile, real-world incidents are increasingly revealing the adverse impact of AI systems on everyday life and human rights. These include biased responses from AI chatbots</w:t>
      </w:r>
      <w:r w:rsidDel="00000000" w:rsidR="00000000" w:rsidRPr="00000000">
        <w:rPr>
          <w:vertAlign w:val="superscript"/>
        </w:rPr>
        <w:footnoteReference w:customMarkFollows="0" w:id="1"/>
      </w:r>
      <w:r w:rsidDel="00000000" w:rsidR="00000000" w:rsidRPr="00000000">
        <w:rPr>
          <w:rtl w:val="0"/>
        </w:rPr>
        <w:t xml:space="preserve"> and the opaque use of algorithmic systems by public institutions</w:t>
      </w:r>
      <w:r w:rsidDel="00000000" w:rsidR="00000000" w:rsidRPr="00000000">
        <w:rPr>
          <w:vertAlign w:val="superscript"/>
        </w:rPr>
        <w:footnoteReference w:customMarkFollows="0" w:id="2"/>
      </w:r>
      <w:r w:rsidDel="00000000" w:rsidR="00000000" w:rsidRPr="00000000">
        <w:rPr>
          <w:rtl w:val="0"/>
        </w:rPr>
        <w:t xml:space="preserve">, which raise concerns about accountability. UN Human Rights Council Resolutions 43/29 and 57/5 emphasize that the development and use of AI must be grounded in the principles of participation, accountability, transparency, and access to remedy. However, the Korean legal framework does not meet these international standards</w:t>
      </w:r>
      <w:r w:rsidDel="00000000" w:rsidR="00000000" w:rsidRPr="00000000">
        <w:rPr>
          <w:vertAlign w:val="superscript"/>
        </w:rPr>
        <w:footnoteReference w:customMarkFollows="0" w:id="3"/>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after="240" w:before="240" w:lineRule="auto"/>
        <w:rPr>
          <w:b w:val="1"/>
        </w:rPr>
      </w:pPr>
      <w:r w:rsidDel="00000000" w:rsidR="00000000" w:rsidRPr="00000000">
        <w:rPr>
          <w:b w:val="1"/>
          <w:rtl w:val="0"/>
        </w:rPr>
        <w:t xml:space="preserve">2. The Right to Non-Discrimination and AI</w:t>
      </w:r>
    </w:p>
    <w:p w:rsidR="00000000" w:rsidDel="00000000" w:rsidP="00000000" w:rsidRDefault="00000000" w:rsidRPr="00000000" w14:paraId="0000000A">
      <w:pPr>
        <w:spacing w:after="240" w:before="240" w:lineRule="auto"/>
        <w:rPr/>
      </w:pPr>
      <w:r w:rsidDel="00000000" w:rsidR="00000000" w:rsidRPr="00000000">
        <w:rPr>
          <w:rtl w:val="0"/>
        </w:rPr>
        <w:t xml:space="preserve">Artificial intelligence systems typically rely on human-generated data for training, which makes them susceptible to replicating existing human biases and discrimination. Accordingly, there is a need to ensure that AI systems do not violate the right to non-discrimination, which is a fundamental component of economic and social rights. In Korea, however, both public and private sectors are actively adopting AI-based hiring systems without establishing safeguards to prevent algorithmic discrimination.</w:t>
      </w:r>
    </w:p>
    <w:p w:rsidR="00000000" w:rsidDel="00000000" w:rsidP="00000000" w:rsidRDefault="00000000" w:rsidRPr="00000000" w14:paraId="0000000B">
      <w:pPr>
        <w:spacing w:after="240" w:before="240" w:lineRule="auto"/>
        <w:rPr/>
      </w:pPr>
      <w:r w:rsidDel="00000000" w:rsidR="00000000" w:rsidRPr="00000000">
        <w:rPr>
          <w:rtl w:val="0"/>
        </w:rPr>
        <w:t xml:space="preserve">These AI hiring systems may reinforce existing social prejudices based on gender, appearance, educational background, or regional dialect. Some public institutions in Korea have introduced AI interview systems that assess non-verbal characteristics such as facial expressions and intonation, yet the accuracy and bias of these systems have not been adequately evaluated. Moreover, citing trade secrets, these institutions refuse to disclose operational details or system data, thereby undermining transparency and accountability in public hiring practices</w:t>
      </w:r>
      <w:r w:rsidDel="00000000" w:rsidR="00000000" w:rsidRPr="00000000">
        <w:rPr>
          <w:vertAlign w:val="superscript"/>
        </w:rPr>
        <w:footnoteReference w:customMarkFollows="0" w:id="5"/>
      </w:r>
      <w:r w:rsidDel="00000000" w:rsidR="00000000" w:rsidRPr="00000000">
        <w:rPr>
          <w:rtl w:val="0"/>
        </w:rPr>
        <w:t xml:space="preserve">. The lack of information and explanation impedes job seekers from understanding or challenging automated decisions, and obscures institutional responsibility for potential discrimination.</w:t>
      </w:r>
    </w:p>
    <w:p w:rsidR="00000000" w:rsidDel="00000000" w:rsidP="00000000" w:rsidRDefault="00000000" w:rsidRPr="00000000" w14:paraId="0000000C">
      <w:pPr>
        <w:spacing w:after="240" w:before="240" w:lineRule="auto"/>
        <w:rPr/>
      </w:pPr>
      <w:r w:rsidDel="00000000" w:rsidR="00000000" w:rsidRPr="00000000">
        <w:rPr>
          <w:rtl w:val="0"/>
        </w:rPr>
        <w:t xml:space="preserve">According to a 2018 survey conducted by the National Human Rights Commission of Korea, 54.6% of respondents stated that AI-based interviews were not fair, while 64.5% felt the evaluation criteria were unclear</w:t>
      </w:r>
      <w:r w:rsidDel="00000000" w:rsidR="00000000" w:rsidRPr="00000000">
        <w:rPr>
          <w:vertAlign w:val="superscript"/>
        </w:rPr>
        <w:footnoteReference w:customMarkFollows="0" w:id="6"/>
      </w:r>
      <w:r w:rsidDel="00000000" w:rsidR="00000000" w:rsidRPr="00000000">
        <w:rPr>
          <w:rtl w:val="0"/>
        </w:rPr>
        <w:t xml:space="preserve">. Although AI is often promoted as a tool for administrative efficiency and cost reduction, the state's obligation in protecting social rights includes establishing a human rights–based regulatory framework that prevents discrimination, ensures access to information, and guarantees effective remedies. In this respect, Korea’s current approach falls short of international human rights standards and recommendations from UN human rights mechanisms.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3. AI and the Right to Education</w:t>
      </w:r>
    </w:p>
    <w:p w:rsidR="00000000" w:rsidDel="00000000" w:rsidP="00000000" w:rsidRDefault="00000000" w:rsidRPr="00000000" w14:paraId="0000000F">
      <w:pPr>
        <w:spacing w:after="240" w:before="240" w:lineRule="auto"/>
        <w:rPr/>
      </w:pPr>
      <w:r w:rsidDel="00000000" w:rsidR="00000000" w:rsidRPr="00000000">
        <w:rPr>
          <w:rtl w:val="0"/>
        </w:rPr>
        <w:t xml:space="preserve">In 2025, the Korean Ministry of Education began the phased implementation of “AI digital textbooks” in elementary and secondary schools</w:t>
      </w:r>
      <w:r w:rsidDel="00000000" w:rsidR="00000000" w:rsidRPr="00000000">
        <w:rPr>
          <w:vertAlign w:val="superscript"/>
        </w:rPr>
        <w:footnoteReference w:customMarkFollows="0" w:id="7"/>
      </w:r>
      <w:r w:rsidDel="00000000" w:rsidR="00000000" w:rsidRPr="00000000">
        <w:rPr>
          <w:rtl w:val="0"/>
        </w:rPr>
        <w:t xml:space="preserve">. These textbooks analyze students’ learning activities in real time and provide personalized content based on metrics such as progress, accuracy, and study time. However, serious concerns have been raised about student privacy, as the system collects vast amounts of personal learning data and monitors study behavior even after school hours.</w:t>
      </w:r>
    </w:p>
    <w:p w:rsidR="00000000" w:rsidDel="00000000" w:rsidP="00000000" w:rsidRDefault="00000000" w:rsidRPr="00000000" w14:paraId="00000010">
      <w:pPr>
        <w:spacing w:after="240" w:before="240" w:lineRule="auto"/>
        <w:rPr/>
      </w:pPr>
      <w:r w:rsidDel="00000000" w:rsidR="00000000" w:rsidRPr="00000000">
        <w:rPr>
          <w:rtl w:val="0"/>
        </w:rPr>
        <w:t xml:space="preserve">The scope, purpose, and usage of data collection are not clearly disclosed, making it difficult for students or their guardians to understand how their data are being used. Moreover, there are no effective mechanisms for them to request explanations, give or withdraw consent, or opt out of the system</w:t>
      </w:r>
      <w:r w:rsidDel="00000000" w:rsidR="00000000" w:rsidRPr="00000000">
        <w:rPr>
          <w:vertAlign w:val="superscript"/>
        </w:rPr>
        <w:footnoteReference w:customMarkFollows="0" w:id="8"/>
      </w:r>
      <w:r w:rsidDel="00000000" w:rsidR="00000000" w:rsidRPr="00000000">
        <w:rPr>
          <w:rtl w:val="0"/>
        </w:rPr>
        <w:t xml:space="preserve">. The surveillance of students’ after-school activities, in particular, poses a significant threat to their privacy and autonomy.</w:t>
      </w:r>
    </w:p>
    <w:p w:rsidR="00000000" w:rsidDel="00000000" w:rsidP="00000000" w:rsidRDefault="00000000" w:rsidRPr="00000000" w14:paraId="00000011">
      <w:pPr>
        <w:spacing w:after="240" w:before="240" w:lineRule="auto"/>
        <w:rPr/>
      </w:pPr>
      <w:r w:rsidDel="00000000" w:rsidR="00000000" w:rsidRPr="00000000">
        <w:rPr>
          <w:rtl w:val="0"/>
        </w:rPr>
        <w:t xml:space="preserve">Despite the policy’s direct impact on core rights such as the right to education, participation in educational policymaking, and informational self-determination, the government implemented it unilaterally without adequate consultation with key stakeholders including teachers, students, parents, and persons with disabilities. Basic accessibility measures—such as alternative text, sign language interpretation or captions, and plain-language information for students with disabilities—were also insufficient or absent</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12">
      <w:pPr>
        <w:spacing w:after="240" w:before="240" w:lineRule="auto"/>
        <w:rPr/>
      </w:pPr>
      <w:r w:rsidDel="00000000" w:rsidR="00000000" w:rsidRPr="00000000">
        <w:rPr>
          <w:rtl w:val="0"/>
        </w:rPr>
        <w:t xml:space="preserve">This approach runs counter to Article 13 of the International Covenant on Economic, Social and Cultural Rights (ICESCR), which stipulates that “education shall be directed to the full development of the human personality and the sense of its dignity, and shall strengthen the respect for human rights and fundamental freedoms.” It also falls short of standards set by the UN Committee on the Rights of the Child and the Convention on the Rights of Persons with Disabilities (CRPD), which emphasize participation, accessibility, and privacy in digital learning environments.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after="240" w:before="240" w:lineRule="auto"/>
        <w:rPr>
          <w:b w:val="1"/>
        </w:rPr>
      </w:pPr>
      <w:r w:rsidDel="00000000" w:rsidR="00000000" w:rsidRPr="00000000">
        <w:rPr>
          <w:b w:val="1"/>
          <w:rtl w:val="0"/>
        </w:rPr>
        <w:t xml:space="preserve">4. AI and the Right to Information and Cultural Life: The Right Not to Be Subject to Surveillance</w:t>
      </w:r>
    </w:p>
    <w:p w:rsidR="00000000" w:rsidDel="00000000" w:rsidP="00000000" w:rsidRDefault="00000000" w:rsidRPr="00000000" w14:paraId="00000015">
      <w:pPr>
        <w:spacing w:after="240" w:before="240" w:lineRule="auto"/>
        <w:rPr/>
      </w:pPr>
      <w:r w:rsidDel="00000000" w:rsidR="00000000" w:rsidRPr="00000000">
        <w:rPr>
          <w:rtl w:val="0"/>
        </w:rPr>
        <w:t xml:space="preserve">Everyone has the right to enjoy the benefits of scientific progress and its applications. This right entails not only access to technological advancements, but also the ability to actively participate in their development and use, rather than being treated as passive subjects or objects of surveillance. However, AI technologies—especially those deployed by state institutions—significantly enhance surveillance capacities, increasing the risk that individuals may be monitored or controlled without their knowledge or consent.</w:t>
      </w:r>
    </w:p>
    <w:p w:rsidR="00000000" w:rsidDel="00000000" w:rsidP="00000000" w:rsidRDefault="00000000" w:rsidRPr="00000000" w14:paraId="00000016">
      <w:pPr>
        <w:spacing w:after="240" w:before="240" w:lineRule="auto"/>
        <w:rPr/>
      </w:pPr>
      <w:r w:rsidDel="00000000" w:rsidR="00000000" w:rsidRPr="00000000">
        <w:rPr>
          <w:rtl w:val="0"/>
        </w:rPr>
        <w:t xml:space="preserve">In Korea, such surveillance technologies are being developed and deployed without meaningful public participation or oversight by independent institutions. The Ministry of Justice provided massive facial recognition datasets to private companies to develop an immigration-related AI system</w:t>
      </w:r>
      <w:r w:rsidDel="00000000" w:rsidR="00000000" w:rsidRPr="00000000">
        <w:rPr>
          <w:vertAlign w:val="superscript"/>
        </w:rPr>
        <w:footnoteReference w:customMarkFollows="0" w:id="10"/>
      </w:r>
      <w:r w:rsidDel="00000000" w:rsidR="00000000" w:rsidRPr="00000000">
        <w:rPr>
          <w:rtl w:val="0"/>
        </w:rPr>
        <w:t xml:space="preserve">. No notification or consent procedures were given to the individuals whose biometric data were used, and requests to access information about whether one’s own data were shared were denied. The Ministry of Justice sought to develop a system for real-time identification and tracking of individuals through facial recognition and deploy it at airport immigration terminals—an example of “real-time remote biometric identification” that the EU AI Act classifies as high-risk and, in principle, prohibits in public spaces</w:t>
      </w:r>
      <w:r w:rsidDel="00000000" w:rsidR="00000000" w:rsidRPr="00000000">
        <w:rPr>
          <w:vertAlign w:val="superscript"/>
        </w:rPr>
        <w:footnoteReference w:customMarkFollows="0" w:id="11"/>
      </w:r>
      <w:r w:rsidDel="00000000" w:rsidR="00000000" w:rsidRPr="00000000">
        <w:rPr>
          <w:rtl w:val="0"/>
        </w:rPr>
        <w:t xml:space="preserve">. Such practices pose a serious threat to anonymity and freedom of movement, and may lead to pervasive, disproportionate state surveillance.</w:t>
      </w:r>
    </w:p>
    <w:p w:rsidR="00000000" w:rsidDel="00000000" w:rsidP="00000000" w:rsidRDefault="00000000" w:rsidRPr="00000000" w14:paraId="00000017">
      <w:pPr>
        <w:spacing w:after="240" w:before="240" w:lineRule="auto"/>
        <w:rPr/>
      </w:pPr>
      <w:r w:rsidDel="00000000" w:rsidR="00000000" w:rsidRPr="00000000">
        <w:rPr>
          <w:rtl w:val="0"/>
        </w:rPr>
        <w:t xml:space="preserve">Similarly, the National Police Agency has promoted a series of high-risk AI technologies under its Second Basic Plan for Scientific Policing, including “predictive policing,” “real-time analysis,” and “intelligent integrated surveillance.” These policies have been formulated through internal administrative procedures without public consultation or participation. Furthermore, there is a lack of clear legal basis for the large-scale collection and use of personal data in these initiatives. The UN High Commissioner for Human Rights has warned that unregulated facial recognition technologies may violate rights to freedom of expression and peaceful assembly, and recommended a moratorium on their use until adequate safeguards are in place</w:t>
      </w:r>
      <w:r w:rsidDel="00000000" w:rsidR="00000000" w:rsidRPr="00000000">
        <w:rPr>
          <w:vertAlign w:val="superscript"/>
        </w:rPr>
        <w:footnoteReference w:customMarkFollows="0" w:id="12"/>
      </w:r>
      <w:r w:rsidDel="00000000" w:rsidR="00000000" w:rsidRPr="00000000">
        <w:rPr>
          <w:rtl w:val="0"/>
        </w:rPr>
        <w:t xml:space="preserve">.</w:t>
      </w:r>
    </w:p>
    <w:p w:rsidR="00000000" w:rsidDel="00000000" w:rsidP="00000000" w:rsidRDefault="00000000" w:rsidRPr="00000000" w14:paraId="00000018">
      <w:pPr>
        <w:spacing w:after="240" w:before="240" w:lineRule="auto"/>
        <w:rPr/>
      </w:pPr>
      <w:r w:rsidDel="00000000" w:rsidR="00000000" w:rsidRPr="00000000">
        <w:rPr>
          <w:rtl w:val="0"/>
        </w:rPr>
        <w:t xml:space="preserve">Currently, Korea lacks an independent human rights oversight mechanism or legal framework to assess the legality and social legitimacy of these high-risk technologies. The internal human rights impact assessments conducted by the National Police Agency are not subject to external review and fail to provide meaningful protection or remedies for affected individuals.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5. Misalignment with International Human Rights Standards</w:t>
      </w:r>
    </w:p>
    <w:p w:rsidR="00000000" w:rsidDel="00000000" w:rsidP="00000000" w:rsidRDefault="00000000" w:rsidRPr="00000000" w14:paraId="0000001B">
      <w:pPr>
        <w:spacing w:after="240" w:before="240" w:lineRule="auto"/>
        <w:rPr/>
      </w:pPr>
      <w:r w:rsidDel="00000000" w:rsidR="00000000" w:rsidRPr="00000000">
        <w:rPr>
          <w:rtl w:val="0"/>
        </w:rPr>
        <w:t xml:space="preserve">UN Human Rights Council Resolution 43/29 highlights the significant impact that artificial intelligence can have on economic, social and cultural rights, and calls for human rights–based and risk-based regulation throughout the entire life cycle of AI systems, including their development, design, and deployment</w:t>
      </w:r>
      <w:r w:rsidDel="00000000" w:rsidR="00000000" w:rsidRPr="00000000">
        <w:rPr>
          <w:vertAlign w:val="superscript"/>
        </w:rPr>
        <w:footnoteReference w:customMarkFollows="0" w:id="13"/>
      </w:r>
      <w:r w:rsidDel="00000000" w:rsidR="00000000" w:rsidRPr="00000000">
        <w:rPr>
          <w:rtl w:val="0"/>
        </w:rPr>
        <w:t xml:space="preserve">. Resolution 57/5 further emphasizes that core governance principles—such as explainability, participation, transparency, and accountability—must be applied to the development and use of AI technologies</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1C">
      <w:pPr>
        <w:spacing w:after="240" w:before="240" w:lineRule="auto"/>
        <w:rPr/>
      </w:pPr>
      <w:r w:rsidDel="00000000" w:rsidR="00000000" w:rsidRPr="00000000">
        <w:rPr>
          <w:rtl w:val="0"/>
        </w:rPr>
        <w:t xml:space="preserve">The EU Artificial Intelligence Act explicitly prohibits certain AI practices, including biometric surveillance and social scoring, and mandates prior risk assessments and transparency obligations for high-risk AI systems. The OECD has also adopted key principles emphasizing human rights–centered design, independent oversight bodies, and effective avenues for redress as essential components of trustworthy AI governance</w:t>
      </w:r>
      <w:r w:rsidDel="00000000" w:rsidR="00000000" w:rsidRPr="00000000">
        <w:rPr>
          <w:vertAlign w:val="superscript"/>
        </w:rPr>
        <w:footnoteReference w:customMarkFollows="0" w:id="15"/>
      </w:r>
      <w:r w:rsidDel="00000000" w:rsidR="00000000" w:rsidRPr="00000000">
        <w:rPr>
          <w:rtl w:val="0"/>
        </w:rPr>
        <w:t xml:space="preserve">.</w:t>
      </w:r>
    </w:p>
    <w:p w:rsidR="00000000" w:rsidDel="00000000" w:rsidP="00000000" w:rsidRDefault="00000000" w:rsidRPr="00000000" w14:paraId="0000001D">
      <w:pPr>
        <w:spacing w:after="240" w:before="240" w:lineRule="auto"/>
        <w:rPr/>
      </w:pPr>
      <w:r w:rsidDel="00000000" w:rsidR="00000000" w:rsidRPr="00000000">
        <w:rPr>
          <w:rtl w:val="0"/>
        </w:rPr>
        <w:t xml:space="preserve">By contrast, Korea lacks binding provisions banning harmful AI systems, has no independent oversight authority dedicated to AI governance, and offers no enforceable mechanisms for remedy in cases of harm. These elements are either absent or remain at a declarative level. Most notably, Korea’s AI policy-making process is heavily dominated by industrial stakeholders, with minimal involvement of rights-holders. This has led to a policy structure in which the acceleration of technological development takes precedence over the protection of fundamental rights.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240" w:before="240" w:lineRule="auto"/>
        <w:rPr>
          <w:b w:val="1"/>
        </w:rPr>
      </w:pPr>
      <w:r w:rsidDel="00000000" w:rsidR="00000000" w:rsidRPr="00000000">
        <w:rPr>
          <w:b w:val="1"/>
          <w:rtl w:val="0"/>
        </w:rPr>
        <w:t xml:space="preserve">Suggested Questions for the Committee</w:t>
      </w:r>
    </w:p>
    <w:p w:rsidR="00000000" w:rsidDel="00000000" w:rsidP="00000000" w:rsidRDefault="00000000" w:rsidRPr="00000000" w14:paraId="00000020">
      <w:pPr>
        <w:numPr>
          <w:ilvl w:val="0"/>
          <w:numId w:val="1"/>
        </w:numPr>
        <w:spacing w:after="0" w:afterAutospacing="0" w:before="240" w:lineRule="auto"/>
        <w:ind w:left="720" w:hanging="360"/>
      </w:pPr>
      <w:r w:rsidDel="00000000" w:rsidR="00000000" w:rsidRPr="00000000">
        <w:rPr>
          <w:rtl w:val="0"/>
        </w:rPr>
        <w:t xml:space="preserve">Does the State party have concrete plans to establish a human rights–based regulatory framework, an independent oversight body, and effective remedies to protect the economic and social rights of individuals in the development and deployment of artificial intelligence technologies?</w:t>
        <w:br w:type="textWrapping"/>
      </w:r>
    </w:p>
    <w:p w:rsidR="00000000" w:rsidDel="00000000" w:rsidP="00000000" w:rsidRDefault="00000000" w:rsidRPr="00000000" w14:paraId="00000021">
      <w:pPr>
        <w:numPr>
          <w:ilvl w:val="0"/>
          <w:numId w:val="1"/>
        </w:numPr>
        <w:spacing w:after="240" w:before="0" w:beforeAutospacing="0" w:lineRule="auto"/>
        <w:ind w:left="720" w:hanging="360"/>
      </w:pPr>
      <w:r w:rsidDel="00000000" w:rsidR="00000000" w:rsidRPr="00000000">
        <w:rPr>
          <w:rtl w:val="0"/>
        </w:rPr>
        <w:t xml:space="preserve">In cases where AI systems used in the public sector significantly affect individuals’ rights and obligations, what specific procedures and safeguards are in place to ensure the participation of affected persons, the provision of prior information, and the conduct of human rights impact assessments?</w:t>
        <w:br w:type="textWrapping"/>
      </w:r>
    </w:p>
    <w:p w:rsidR="00000000" w:rsidDel="00000000" w:rsidP="00000000" w:rsidRDefault="00000000" w:rsidRPr="00000000" w14:paraId="00000022">
      <w:pPr>
        <w:rPr/>
      </w:pPr>
      <w:r w:rsidDel="00000000" w:rsidR="00000000" w:rsidRPr="00000000">
        <w:rPr>
          <w:rtl w:val="0"/>
        </w:rPr>
      </w:r>
    </w:p>
    <w:sectPr>
      <w:pgSz w:h="15840" w:w="12240" w:orient="portrait"/>
      <w:pgMar w:bottom="1133.8582677165355" w:top="1133.8582677165355"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'AI Basic Act’ passed the National Assembly… Civil society: “Industry-focused, ignores human rights”, Korea NGO News, 27 December 2024, </w:t>
      </w:r>
      <w:hyperlink r:id="rId1">
        <w:r w:rsidDel="00000000" w:rsidR="00000000" w:rsidRPr="00000000">
          <w:rPr>
            <w:color w:val="1155cc"/>
            <w:sz w:val="20"/>
            <w:szCs w:val="20"/>
            <w:u w:val="single"/>
            <w:rtl w:val="0"/>
          </w:rPr>
          <w:t xml:space="preserve">https://www.ngonews.kr/news/articleView.html?idxno=200787</w:t>
        </w:r>
      </w:hyperlink>
      <w:r w:rsidDel="00000000" w:rsidR="00000000" w:rsidRPr="00000000">
        <w:rPr>
          <w:rtl w:val="0"/>
        </w:rPr>
      </w:r>
    </w:p>
  </w:footnote>
  <w:footnote w:id="1">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“Chatbot ‘Iruda’ exposes deep-rooted misogyny and discrimination,” Kyunghyang Shinmun, 11 January 2021, </w:t>
      </w:r>
      <w:hyperlink r:id="rId2">
        <w:r w:rsidDel="00000000" w:rsidR="00000000" w:rsidRPr="00000000">
          <w:rPr>
            <w:color w:val="1155cc"/>
            <w:sz w:val="20"/>
            <w:szCs w:val="20"/>
            <w:u w:val="single"/>
            <w:rtl w:val="0"/>
          </w:rPr>
          <w:t xml:space="preserve">https://www.khan.co.kr/article/202101111031011</w:t>
        </w:r>
      </w:hyperlink>
      <w:r w:rsidDel="00000000" w:rsidR="00000000" w:rsidRPr="00000000">
        <w:rPr>
          <w:rtl w:val="0"/>
        </w:rPr>
      </w:r>
    </w:p>
  </w:footnote>
  <w:footnote w:id="2">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“Despite fairness concerns, 45 public institutions adopt AI hiring… But are you fair?”, Hankyoreh, 7 September 2022, </w:t>
      </w:r>
      <w:hyperlink r:id="rId3">
        <w:r w:rsidDel="00000000" w:rsidR="00000000" w:rsidRPr="00000000">
          <w:rPr>
            <w:color w:val="1155cc"/>
            <w:sz w:val="20"/>
            <w:szCs w:val="20"/>
            <w:u w:val="single"/>
            <w:rtl w:val="0"/>
          </w:rPr>
          <w:t xml:space="preserve">https://www.hani.co.kr/arti/economy/it/1057938.html</w:t>
        </w:r>
      </w:hyperlink>
      <w:r w:rsidDel="00000000" w:rsidR="00000000" w:rsidRPr="00000000">
        <w:rPr>
          <w:rtl w:val="0"/>
        </w:rPr>
      </w:r>
    </w:p>
  </w:footnote>
  <w:footnote w:id="3">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A/HRC/43/29</w:t>
      </w:r>
    </w:p>
  </w:footnote>
  <w:footnote w:id="4">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A/HRC/RES/57/5</w:t>
      </w:r>
    </w:p>
  </w:footnote>
  <w:footnote w:id="5">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“Despite fairness concerns, 45 public institutions adopt AI hiring… But are you fair?”, Hankyoreh, 7 September 2022, https://www.hani.co.kr/arti/economy/it/1057938.html</w:t>
      </w:r>
    </w:p>
  </w:footnote>
  <w:footnote w:id="6">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National Human Rights Commission of Korea, A Study on the Protection of the Right to Information in the Era of the Fourth Industrial Revolution, 8 January 2019. https://www.humanrights.go.kr/base/board/read?boardManagementNo=17&amp;boardNo=7603678&amp;searchCategory=&amp;page=34&amp;searchType=&amp;searchWord=&amp;menuLevel=&amp;menuNo=</w:t>
      </w:r>
    </w:p>
  </w:footnote>
  <w:footnote w:id="7">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Ministry of Education, Republic of Korea, </w:t>
      </w:r>
      <w:r w:rsidDel="00000000" w:rsidR="00000000" w:rsidRPr="00000000">
        <w:rPr>
          <w:i w:val="1"/>
          <w:sz w:val="20"/>
          <w:szCs w:val="20"/>
          <w:rtl w:val="0"/>
        </w:rPr>
        <w:t xml:space="preserve">“Announcement of the Implementation Plan for AI Digital Textbooks,”</w:t>
      </w:r>
      <w:r w:rsidDel="00000000" w:rsidR="00000000" w:rsidRPr="00000000">
        <w:rPr>
          <w:sz w:val="20"/>
          <w:szCs w:val="20"/>
          <w:rtl w:val="0"/>
        </w:rPr>
        <w:t xml:space="preserve"> 8 June 2023.</w:t>
      </w:r>
    </w:p>
  </w:footnote>
  <w:footnote w:id="8">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Jinbonet &amp; Institute for Digital Rights, </w:t>
      </w:r>
      <w:r w:rsidDel="00000000" w:rsidR="00000000" w:rsidRPr="00000000">
        <w:rPr>
          <w:i w:val="1"/>
          <w:sz w:val="20"/>
          <w:szCs w:val="20"/>
          <w:rtl w:val="0"/>
        </w:rPr>
        <w:t xml:space="preserve">Study on AI Policy and Issues in Key Sectors: Public Administration, Law Enforcement, Education, Social Welfare</w:t>
      </w:r>
      <w:r w:rsidDel="00000000" w:rsidR="00000000" w:rsidRPr="00000000">
        <w:rPr>
          <w:sz w:val="20"/>
          <w:szCs w:val="20"/>
          <w:rtl w:val="0"/>
        </w:rPr>
        <w:t xml:space="preserve">, December 2024.</w:t>
      </w:r>
      <w:hyperlink r:id="rId4">
        <w:r w:rsidDel="00000000" w:rsidR="00000000" w:rsidRPr="00000000">
          <w:rPr>
            <w:sz w:val="20"/>
            <w:szCs w:val="20"/>
            <w:rtl w:val="0"/>
          </w:rPr>
          <w:t xml:space="preserve"> </w:t>
        </w:r>
      </w:hyperlink>
      <w:hyperlink r:id="rId5">
        <w:r w:rsidDel="00000000" w:rsidR="00000000" w:rsidRPr="00000000">
          <w:rPr>
            <w:color w:val="1155cc"/>
            <w:sz w:val="20"/>
            <w:szCs w:val="20"/>
            <w:u w:val="single"/>
            <w:rtl w:val="0"/>
          </w:rPr>
          <w:t xml:space="preserve">https://act.jinbo.net/wp/wp-content/uploads/2025/02/온라인_인공지능정보인권_이슈리포트_202412_통권제17호.pdf</w:t>
        </w:r>
      </w:hyperlink>
      <w:r w:rsidDel="00000000" w:rsidR="00000000" w:rsidRPr="00000000">
        <w:rPr>
          <w:rtl w:val="0"/>
        </w:rPr>
      </w:r>
    </w:p>
    <w:p w:rsidR="00000000" w:rsidDel="00000000" w:rsidP="00000000" w:rsidRDefault="00000000" w:rsidRPr="00000000" w14:paraId="0000002C">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“AI digital textbooks have a long way to go in addressing accessibility issues,”</w:t>
      </w:r>
      <w:r w:rsidDel="00000000" w:rsidR="00000000" w:rsidRPr="00000000">
        <w:rPr>
          <w:sz w:val="20"/>
          <w:szCs w:val="20"/>
          <w:rtl w:val="0"/>
        </w:rPr>
        <w:t xml:space="preserve"> IT Chosun, 21 October 2024.</w:t>
      </w:r>
      <w:hyperlink r:id="rId6">
        <w:r w:rsidDel="00000000" w:rsidR="00000000" w:rsidRPr="00000000">
          <w:rPr>
            <w:sz w:val="20"/>
            <w:szCs w:val="20"/>
            <w:rtl w:val="0"/>
          </w:rPr>
          <w:t xml:space="preserve"> </w:t>
        </w:r>
      </w:hyperlink>
      <w:hyperlink r:id="rId7">
        <w:r w:rsidDel="00000000" w:rsidR="00000000" w:rsidRPr="00000000">
          <w:rPr>
            <w:color w:val="1155cc"/>
            <w:sz w:val="20"/>
            <w:szCs w:val="20"/>
            <w:u w:val="single"/>
            <w:rtl w:val="0"/>
          </w:rPr>
          <w:t xml:space="preserve">https://it.chosun.com/news/articleView.html?idxno=2023092125273</w:t>
        </w:r>
      </w:hyperlink>
      <w:r w:rsidDel="00000000" w:rsidR="00000000" w:rsidRPr="00000000">
        <w:rPr>
          <w:rtl w:val="0"/>
        </w:rPr>
      </w:r>
    </w:p>
  </w:footnote>
  <w:footnote w:id="10">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“Government handed over 170 million immigration photos to AI companies,”</w:t>
      </w:r>
      <w:r w:rsidDel="00000000" w:rsidR="00000000" w:rsidRPr="00000000">
        <w:rPr>
          <w:sz w:val="20"/>
          <w:szCs w:val="20"/>
          <w:rtl w:val="0"/>
        </w:rPr>
        <w:t xml:space="preserve"> Hankyoreh, 21 October 2021,</w:t>
      </w:r>
      <w:hyperlink r:id="rId8">
        <w:r w:rsidDel="00000000" w:rsidR="00000000" w:rsidRPr="00000000">
          <w:rPr>
            <w:sz w:val="20"/>
            <w:szCs w:val="20"/>
            <w:rtl w:val="0"/>
          </w:rPr>
          <w:t xml:space="preserve"> </w:t>
        </w:r>
      </w:hyperlink>
      <w:hyperlink r:id="rId9">
        <w:r w:rsidDel="00000000" w:rsidR="00000000" w:rsidRPr="00000000">
          <w:rPr>
            <w:color w:val="1155cc"/>
            <w:sz w:val="20"/>
            <w:szCs w:val="20"/>
            <w:u w:val="single"/>
            <w:rtl w:val="0"/>
          </w:rPr>
          <w:t xml:space="preserve">https://www.hani.co.kr/arti/economy/it/1016022.html</w:t>
        </w:r>
      </w:hyperlink>
      <w:r w:rsidDel="00000000" w:rsidR="00000000" w:rsidRPr="00000000">
        <w:rPr>
          <w:rtl w:val="0"/>
        </w:rPr>
      </w:r>
    </w:p>
  </w:footnote>
  <w:footnote w:id="11">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 Artificial Intelligence Act (EU AI Act), 2024.</w:t>
      </w:r>
    </w:p>
  </w:footnote>
  <w:footnote w:id="12">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OHCHR, “The Right to Privacy in the Digital Age,” A/HRC/48/31, 2021</w:t>
      </w:r>
    </w:p>
  </w:footnote>
  <w:footnote w:id="14">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A/HRC/RES/57/5</w:t>
      </w:r>
    </w:p>
  </w:footnote>
  <w:footnote w:id="13">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A/HRC/43/29</w:t>
      </w:r>
    </w:p>
  </w:footnote>
  <w:footnote w:id="15">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OECD, </w:t>
      </w:r>
      <w:r w:rsidDel="00000000" w:rsidR="00000000" w:rsidRPr="00000000">
        <w:rPr>
          <w:i w:val="1"/>
          <w:sz w:val="20"/>
          <w:szCs w:val="20"/>
          <w:rtl w:val="0"/>
        </w:rPr>
        <w:t xml:space="preserve">Recommendation of the Council on Artificial Intelligence</w:t>
      </w:r>
      <w:r w:rsidDel="00000000" w:rsidR="00000000" w:rsidRPr="00000000">
        <w:rPr>
          <w:sz w:val="20"/>
          <w:szCs w:val="20"/>
          <w:rtl w:val="0"/>
        </w:rPr>
        <w:t xml:space="preserve">, 2019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ngonews.kr/news/articleView.html?idxno=200787" TargetMode="External"/><Relationship Id="rId2" Type="http://schemas.openxmlformats.org/officeDocument/2006/relationships/hyperlink" Target="https://www.khan.co.kr/article/202101111031011" TargetMode="External"/><Relationship Id="rId3" Type="http://schemas.openxmlformats.org/officeDocument/2006/relationships/hyperlink" Target="https://www.hani.co.kr/arti/economy/it/1057938.html" TargetMode="External"/><Relationship Id="rId4" Type="http://schemas.openxmlformats.org/officeDocument/2006/relationships/hyperlink" Target="https://act.jinbo.net/wp/wp-content/uploads/2025/02/%EC%98%A8%EB%9D%BC%EC%9D%B8_%EC%9D%B8%EA%B3%B5%EC%A7%80%EB%8A%A5%EC%A0%95%EB%B3%B4%EC%9D%B8%EA%B6%8C_%EC%9D%B4%EC%8A%88%EB%A6%AC%ED%8F%AC%ED%8A%B8_202412_%ED%86%B5%EA%B6%8C%EC%A0%9C17%ED%98%B8.pdf" TargetMode="External"/><Relationship Id="rId9" Type="http://schemas.openxmlformats.org/officeDocument/2006/relationships/hyperlink" Target="https://www.hani.co.kr/arti/economy/it/1016022.html" TargetMode="External"/><Relationship Id="rId5" Type="http://schemas.openxmlformats.org/officeDocument/2006/relationships/hyperlink" Target="https://act.jinbo.net/wp/wp-content/uploads/2025/02/%EC%98%A8%EB%9D%BC%EC%9D%B8_%EC%9D%B8%EA%B3%B5%EC%A7%80%EB%8A%A5%EC%A0%95%EB%B3%B4%EC%9D%B8%EA%B6%8C_%EC%9D%B4%EC%8A%88%EB%A6%AC%ED%8F%AC%ED%8A%B8_202412_%ED%86%B5%EA%B6%8C%EC%A0%9C17%ED%98%B8.pdf" TargetMode="External"/><Relationship Id="rId6" Type="http://schemas.openxmlformats.org/officeDocument/2006/relationships/hyperlink" Target="https://it.chosun.com/news/articleView.html?idxno=2023092125273" TargetMode="External"/><Relationship Id="rId7" Type="http://schemas.openxmlformats.org/officeDocument/2006/relationships/hyperlink" Target="https://it.chosun.com/news/articleView.html?idxno=2023092125273" TargetMode="External"/><Relationship Id="rId8" Type="http://schemas.openxmlformats.org/officeDocument/2006/relationships/hyperlink" Target="https://www.hani.co.kr/arti/economy/it/10160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