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2A154" w14:textId="3DB4255A" w:rsidR="00BE4019" w:rsidRDefault="003550A8" w:rsidP="000810BC">
      <w:pPr>
        <w:ind w:left="360" w:hanging="360"/>
        <w:jc w:val="center"/>
        <w:rPr>
          <w:b/>
          <w:sz w:val="24"/>
        </w:rPr>
      </w:pPr>
      <w:r>
        <w:rPr>
          <w:noProof/>
        </w:rPr>
        <w:drawing>
          <wp:inline distT="0" distB="0" distL="0" distR="0" wp14:anchorId="5253FE88" wp14:editId="0BB55B25">
            <wp:extent cx="2343967" cy="732804"/>
            <wp:effectExtent l="0" t="0" r="5715"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8233" t="32098" r="45437" b="42152"/>
                    <a:stretch/>
                  </pic:blipFill>
                  <pic:spPr bwMode="auto">
                    <a:xfrm>
                      <a:off x="0" y="0"/>
                      <a:ext cx="2392050" cy="747836"/>
                    </a:xfrm>
                    <a:prstGeom prst="rect">
                      <a:avLst/>
                    </a:prstGeom>
                    <a:ln>
                      <a:noFill/>
                    </a:ln>
                    <a:extLst>
                      <a:ext uri="{53640926-AAD7-44D8-BBD7-CCE9431645EC}">
                        <a14:shadowObscured xmlns:a14="http://schemas.microsoft.com/office/drawing/2010/main"/>
                      </a:ext>
                    </a:extLst>
                  </pic:spPr>
                </pic:pic>
              </a:graphicData>
            </a:graphic>
          </wp:inline>
        </w:drawing>
      </w:r>
      <w:r w:rsidR="006B4924">
        <w:rPr>
          <w:noProof/>
        </w:rPr>
        <w:drawing>
          <wp:inline distT="0" distB="0" distL="0" distR="0" wp14:anchorId="4309CE34" wp14:editId="6FAF33F8">
            <wp:extent cx="3444240" cy="586703"/>
            <wp:effectExtent l="0" t="0" r="0" b="0"/>
            <wp:docPr id="2" name="Imagen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Graphical user interface, text&#10;&#10;Description automatically generated"/>
                    <pic:cNvPicPr/>
                  </pic:nvPicPr>
                  <pic:blipFill rotWithShape="1">
                    <a:blip r:embed="rId8"/>
                    <a:srcRect l="8233" t="58377" r="10814" b="17108"/>
                    <a:stretch/>
                  </pic:blipFill>
                  <pic:spPr bwMode="auto">
                    <a:xfrm>
                      <a:off x="0" y="0"/>
                      <a:ext cx="3527974" cy="600967"/>
                    </a:xfrm>
                    <a:prstGeom prst="rect">
                      <a:avLst/>
                    </a:prstGeom>
                    <a:ln>
                      <a:noFill/>
                    </a:ln>
                    <a:extLst>
                      <a:ext uri="{53640926-AAD7-44D8-BBD7-CCE9431645EC}">
                        <a14:shadowObscured xmlns:a14="http://schemas.microsoft.com/office/drawing/2010/main"/>
                      </a:ext>
                    </a:extLst>
                  </pic:spPr>
                </pic:pic>
              </a:graphicData>
            </a:graphic>
          </wp:inline>
        </w:drawing>
      </w:r>
    </w:p>
    <w:p w14:paraId="597C027A" w14:textId="4B9152E0" w:rsidR="003550A8" w:rsidRDefault="003550A8" w:rsidP="006B4924">
      <w:pPr>
        <w:rPr>
          <w:b/>
          <w:sz w:val="24"/>
        </w:rPr>
      </w:pPr>
    </w:p>
    <w:p w14:paraId="1B22E98A" w14:textId="77777777" w:rsidR="006B4924" w:rsidRDefault="006B4924" w:rsidP="000810BC">
      <w:pPr>
        <w:ind w:left="360" w:hanging="360"/>
        <w:jc w:val="center"/>
        <w:rPr>
          <w:b/>
          <w:sz w:val="44"/>
          <w:szCs w:val="44"/>
        </w:rPr>
      </w:pPr>
    </w:p>
    <w:p w14:paraId="2640451A" w14:textId="77777777" w:rsidR="006B4924" w:rsidRDefault="006B4924" w:rsidP="00F741E3">
      <w:pPr>
        <w:rPr>
          <w:b/>
          <w:sz w:val="44"/>
          <w:szCs w:val="44"/>
        </w:rPr>
      </w:pPr>
    </w:p>
    <w:p w14:paraId="29302E1D" w14:textId="25661299" w:rsidR="0049725A" w:rsidRPr="007F7A05" w:rsidRDefault="0049725A" w:rsidP="000810BC">
      <w:pPr>
        <w:ind w:left="360" w:hanging="360"/>
        <w:jc w:val="center"/>
        <w:rPr>
          <w:b/>
          <w:sz w:val="44"/>
          <w:szCs w:val="44"/>
        </w:rPr>
      </w:pPr>
      <w:r w:rsidRPr="007F7A05">
        <w:rPr>
          <w:b/>
          <w:sz w:val="44"/>
          <w:szCs w:val="44"/>
        </w:rPr>
        <w:t xml:space="preserve">Derechos </w:t>
      </w:r>
      <w:r w:rsidR="00186031" w:rsidRPr="007F7A05">
        <w:rPr>
          <w:b/>
          <w:sz w:val="44"/>
          <w:szCs w:val="44"/>
        </w:rPr>
        <w:t>h</w:t>
      </w:r>
      <w:r w:rsidRPr="007F7A05">
        <w:rPr>
          <w:b/>
          <w:sz w:val="44"/>
          <w:szCs w:val="44"/>
        </w:rPr>
        <w:t xml:space="preserve">umanos de las </w:t>
      </w:r>
      <w:r w:rsidR="00186031" w:rsidRPr="007F7A05">
        <w:rPr>
          <w:b/>
          <w:sz w:val="44"/>
          <w:szCs w:val="44"/>
        </w:rPr>
        <w:t>m</w:t>
      </w:r>
      <w:r w:rsidRPr="007F7A05">
        <w:rPr>
          <w:b/>
          <w:sz w:val="44"/>
          <w:szCs w:val="44"/>
        </w:rPr>
        <w:t>ujeres en Colombia</w:t>
      </w:r>
    </w:p>
    <w:p w14:paraId="0D28CED1" w14:textId="791D9D7F" w:rsidR="006B4924" w:rsidRPr="006B4924" w:rsidRDefault="006B4924" w:rsidP="006B4924">
      <w:pPr>
        <w:jc w:val="center"/>
        <w:rPr>
          <w:sz w:val="24"/>
        </w:rPr>
      </w:pPr>
      <w:r w:rsidRPr="007F7A05">
        <w:rPr>
          <w:sz w:val="24"/>
        </w:rPr>
        <w:t>INFORME CONJUNTO PRESENTADO A</w:t>
      </w:r>
      <w:r>
        <w:rPr>
          <w:sz w:val="24"/>
        </w:rPr>
        <w:t xml:space="preserve">L </w:t>
      </w:r>
      <w:r w:rsidRPr="006B4924">
        <w:rPr>
          <w:sz w:val="24"/>
        </w:rPr>
        <w:t>COMITÉ DE DERECHOS HUMANOS</w:t>
      </w:r>
    </w:p>
    <w:p w14:paraId="26CD9A44" w14:textId="3C018852" w:rsidR="000810BC" w:rsidRDefault="006B4924" w:rsidP="006B4924">
      <w:pPr>
        <w:jc w:val="center"/>
        <w:rPr>
          <w:sz w:val="24"/>
        </w:rPr>
      </w:pPr>
      <w:r w:rsidRPr="006B4924">
        <w:rPr>
          <w:sz w:val="24"/>
        </w:rPr>
        <w:t>EXAMEN DE</w:t>
      </w:r>
      <w:r>
        <w:rPr>
          <w:sz w:val="24"/>
        </w:rPr>
        <w:t>L</w:t>
      </w:r>
      <w:r w:rsidRPr="006B4924">
        <w:rPr>
          <w:sz w:val="24"/>
        </w:rPr>
        <w:t xml:space="preserve"> OCTAVO INFORME PERIÓDICO DE COLOMBIA</w:t>
      </w:r>
      <w:r w:rsidR="00F741E3">
        <w:rPr>
          <w:sz w:val="24"/>
        </w:rPr>
        <w:t>, POR:</w:t>
      </w:r>
    </w:p>
    <w:p w14:paraId="7DCAABF6" w14:textId="63340017" w:rsidR="00F741E3" w:rsidRDefault="00F741E3" w:rsidP="006B4924">
      <w:pPr>
        <w:jc w:val="center"/>
        <w:rPr>
          <w:sz w:val="24"/>
        </w:rPr>
      </w:pPr>
    </w:p>
    <w:p w14:paraId="7B76B312" w14:textId="77777777" w:rsidR="00F741E3" w:rsidRPr="00F741E3" w:rsidRDefault="00F741E3" w:rsidP="00F741E3">
      <w:pPr>
        <w:jc w:val="center"/>
        <w:rPr>
          <w:b/>
          <w:color w:val="404040" w:themeColor="text1" w:themeTint="BF"/>
          <w:sz w:val="24"/>
        </w:rPr>
      </w:pPr>
      <w:r w:rsidRPr="00F741E3">
        <w:rPr>
          <w:b/>
          <w:color w:val="404040" w:themeColor="text1" w:themeTint="BF"/>
          <w:sz w:val="24"/>
        </w:rPr>
        <w:t>Liga Internacional de las Mujeres por la Paz y la Libertad (LIMPAL) Colombia</w:t>
      </w:r>
    </w:p>
    <w:p w14:paraId="13C0B76C" w14:textId="77777777" w:rsidR="00F741E3" w:rsidRPr="00F741E3" w:rsidRDefault="00F741E3" w:rsidP="00F741E3">
      <w:pPr>
        <w:jc w:val="center"/>
        <w:rPr>
          <w:b/>
          <w:color w:val="404040" w:themeColor="text1" w:themeTint="BF"/>
          <w:sz w:val="24"/>
        </w:rPr>
      </w:pPr>
      <w:r w:rsidRPr="00F741E3">
        <w:rPr>
          <w:b/>
          <w:color w:val="404040" w:themeColor="text1" w:themeTint="BF"/>
          <w:sz w:val="24"/>
        </w:rPr>
        <w:t xml:space="preserve">Católicas por el Derecho a Decidir – CDD </w:t>
      </w:r>
    </w:p>
    <w:p w14:paraId="634963B4" w14:textId="77777777" w:rsidR="00F741E3" w:rsidRPr="00F741E3" w:rsidRDefault="00F741E3" w:rsidP="00F741E3">
      <w:pPr>
        <w:jc w:val="center"/>
        <w:rPr>
          <w:b/>
          <w:color w:val="404040" w:themeColor="text1" w:themeTint="BF"/>
          <w:sz w:val="24"/>
        </w:rPr>
      </w:pPr>
      <w:r w:rsidRPr="00F741E3">
        <w:rPr>
          <w:b/>
          <w:color w:val="404040" w:themeColor="text1" w:themeTint="BF"/>
          <w:sz w:val="24"/>
        </w:rPr>
        <w:t>Corporación de Apoyo a Comunidades Populares – CODACOP</w:t>
      </w:r>
    </w:p>
    <w:p w14:paraId="5CF458C8" w14:textId="77777777" w:rsidR="00F741E3" w:rsidRPr="00F741E3" w:rsidRDefault="00F741E3" w:rsidP="006B4924">
      <w:pPr>
        <w:jc w:val="center"/>
        <w:rPr>
          <w:sz w:val="24"/>
        </w:rPr>
      </w:pPr>
    </w:p>
    <w:p w14:paraId="067B5BB0" w14:textId="457930CD" w:rsidR="006B4924" w:rsidRDefault="006B4924" w:rsidP="00F741E3">
      <w:pPr>
        <w:rPr>
          <w:sz w:val="24"/>
        </w:rPr>
      </w:pPr>
    </w:p>
    <w:p w14:paraId="340D27F5" w14:textId="26233463" w:rsidR="006B4924" w:rsidRDefault="006B4924">
      <w:pPr>
        <w:rPr>
          <w:b/>
          <w:sz w:val="28"/>
        </w:rPr>
      </w:pPr>
    </w:p>
    <w:p w14:paraId="50B40B52" w14:textId="77777777" w:rsidR="003F358E" w:rsidRDefault="003F358E" w:rsidP="006B4924"/>
    <w:p w14:paraId="05BE32DC" w14:textId="7052DD32" w:rsidR="003F358E" w:rsidRDefault="003F358E" w:rsidP="000810BC">
      <w:pPr>
        <w:ind w:left="360" w:hanging="360"/>
        <w:jc w:val="center"/>
      </w:pPr>
    </w:p>
    <w:p w14:paraId="35FCB396" w14:textId="3A82550A" w:rsidR="006B4924" w:rsidRDefault="006B4924" w:rsidP="000810BC">
      <w:pPr>
        <w:ind w:left="360" w:hanging="360"/>
        <w:jc w:val="center"/>
      </w:pPr>
    </w:p>
    <w:p w14:paraId="3505286A" w14:textId="77777777" w:rsidR="006B4924" w:rsidRDefault="006B4924" w:rsidP="000810BC">
      <w:pPr>
        <w:ind w:left="360" w:hanging="360"/>
        <w:jc w:val="center"/>
      </w:pPr>
    </w:p>
    <w:p w14:paraId="7C1849F3" w14:textId="77777777" w:rsidR="003F358E" w:rsidRDefault="003F358E" w:rsidP="000810BC">
      <w:pPr>
        <w:ind w:left="360" w:hanging="360"/>
        <w:jc w:val="center"/>
      </w:pPr>
    </w:p>
    <w:p w14:paraId="4224A56F" w14:textId="2C43F0CD" w:rsidR="006B4924" w:rsidRDefault="00F50C55" w:rsidP="000810BC">
      <w:pPr>
        <w:ind w:left="360" w:hanging="360"/>
        <w:jc w:val="center"/>
        <w:rPr>
          <w:b/>
          <w:sz w:val="28"/>
        </w:rPr>
      </w:pPr>
      <w:r w:rsidRPr="007F7A05">
        <w:rPr>
          <w:b/>
          <w:sz w:val="28"/>
        </w:rPr>
        <w:t xml:space="preserve">Bogotá, </w:t>
      </w:r>
      <w:r w:rsidR="006B4924">
        <w:rPr>
          <w:b/>
          <w:sz w:val="28"/>
        </w:rPr>
        <w:t>mayo</w:t>
      </w:r>
      <w:r w:rsidR="000810BC" w:rsidRPr="007F7A05">
        <w:rPr>
          <w:b/>
          <w:sz w:val="28"/>
        </w:rPr>
        <w:t xml:space="preserve"> de 2023</w:t>
      </w:r>
    </w:p>
    <w:p w14:paraId="5A5F169D" w14:textId="00181B3B" w:rsidR="003F358E" w:rsidRPr="006B4924" w:rsidRDefault="006B4924" w:rsidP="006B4924">
      <w:pPr>
        <w:rPr>
          <w:b/>
          <w:sz w:val="28"/>
        </w:rPr>
      </w:pPr>
      <w:r>
        <w:rPr>
          <w:b/>
          <w:sz w:val="28"/>
        </w:rPr>
        <w:br w:type="page"/>
      </w:r>
    </w:p>
    <w:p w14:paraId="1633BEB7" w14:textId="1617ED68" w:rsidR="006B4924" w:rsidRPr="00C0248A" w:rsidRDefault="006B4924" w:rsidP="00C0248A">
      <w:pPr>
        <w:rPr>
          <w:rFonts w:ascii="Open Sans" w:hAnsi="Open Sans" w:cs="Open Sans"/>
          <w:b/>
          <w:bCs/>
          <w:color w:val="0000FF"/>
          <w:sz w:val="28"/>
          <w:szCs w:val="28"/>
          <w:u w:val="single"/>
          <w:lang w:val="es-ES"/>
        </w:rPr>
      </w:pPr>
      <w:r w:rsidRPr="00C0248A">
        <w:rPr>
          <w:b/>
          <w:bCs/>
          <w:sz w:val="28"/>
          <w:szCs w:val="28"/>
        </w:rPr>
        <w:lastRenderedPageBreak/>
        <w:t xml:space="preserve">Siglas </w:t>
      </w:r>
    </w:p>
    <w:p w14:paraId="5A282CC6" w14:textId="77777777" w:rsidR="006B4924" w:rsidRDefault="006B4924" w:rsidP="00797864">
      <w:pPr>
        <w:spacing w:line="240" w:lineRule="auto"/>
        <w:jc w:val="both"/>
        <w:rPr>
          <w:rFonts w:ascii="Open Sans" w:hAnsi="Open Sans" w:cs="Open Sans"/>
          <w:b/>
          <w:sz w:val="20"/>
          <w:szCs w:val="20"/>
        </w:rPr>
      </w:pPr>
      <w:bookmarkStart w:id="0" w:name="_Hlk131414159"/>
      <w:r>
        <w:rPr>
          <w:rFonts w:ascii="Open Sans" w:hAnsi="Open Sans"/>
          <w:b/>
          <w:bCs/>
          <w:color w:val="000000"/>
          <w:sz w:val="20"/>
          <w:szCs w:val="20"/>
        </w:rPr>
        <w:t xml:space="preserve">AETCR: </w:t>
      </w:r>
      <w:r w:rsidRPr="00C535FB">
        <w:rPr>
          <w:rFonts w:ascii="Open Sans" w:hAnsi="Open Sans" w:cs="Open Sans"/>
          <w:sz w:val="20"/>
          <w:szCs w:val="20"/>
        </w:rPr>
        <w:t>Antiguos Espacios de Reincorporación y normalización</w:t>
      </w:r>
      <w:r w:rsidRPr="00B35A01">
        <w:rPr>
          <w:rFonts w:ascii="Open Sans" w:hAnsi="Open Sans" w:cs="Open Sans"/>
          <w:b/>
          <w:sz w:val="20"/>
          <w:szCs w:val="20"/>
        </w:rPr>
        <w:t xml:space="preserve"> </w:t>
      </w:r>
    </w:p>
    <w:bookmarkEnd w:id="0"/>
    <w:p w14:paraId="524A8DE8" w14:textId="77777777" w:rsidR="006B4924" w:rsidRDefault="006B4924" w:rsidP="00797864">
      <w:pPr>
        <w:spacing w:line="240" w:lineRule="auto"/>
        <w:jc w:val="both"/>
        <w:rPr>
          <w:rFonts w:ascii="Open Sans" w:hAnsi="Open Sans" w:cs="Open Sans"/>
          <w:b/>
          <w:sz w:val="20"/>
          <w:szCs w:val="20"/>
        </w:rPr>
      </w:pPr>
      <w:r w:rsidRPr="00E7787C">
        <w:rPr>
          <w:rFonts w:ascii="Open Sans" w:hAnsi="Open Sans" w:cs="Open Sans"/>
          <w:b/>
          <w:sz w:val="20"/>
          <w:szCs w:val="20"/>
        </w:rPr>
        <w:t xml:space="preserve">CDD: </w:t>
      </w:r>
      <w:r w:rsidRPr="00E7787C">
        <w:rPr>
          <w:rFonts w:ascii="Open Sans" w:hAnsi="Open Sans" w:cs="Open Sans"/>
          <w:sz w:val="20"/>
          <w:szCs w:val="20"/>
        </w:rPr>
        <w:t>Católicas por el Derecho a Decidir</w:t>
      </w:r>
      <w:r w:rsidRPr="00E7787C">
        <w:rPr>
          <w:rFonts w:ascii="Open Sans" w:hAnsi="Open Sans" w:cs="Open Sans"/>
          <w:b/>
          <w:sz w:val="20"/>
          <w:szCs w:val="20"/>
        </w:rPr>
        <w:t xml:space="preserve"> </w:t>
      </w:r>
    </w:p>
    <w:p w14:paraId="1132DF4A" w14:textId="77777777" w:rsidR="006B4924" w:rsidRDefault="006B4924" w:rsidP="00797864">
      <w:pPr>
        <w:spacing w:line="240" w:lineRule="auto"/>
        <w:jc w:val="both"/>
        <w:rPr>
          <w:rFonts w:ascii="Open Sans" w:hAnsi="Open Sans" w:cs="Open Sans"/>
          <w:b/>
          <w:sz w:val="20"/>
          <w:szCs w:val="20"/>
        </w:rPr>
      </w:pPr>
      <w:r w:rsidRPr="00B35A01">
        <w:rPr>
          <w:rFonts w:ascii="Open Sans" w:hAnsi="Open Sans" w:cs="Open Sans"/>
          <w:b/>
          <w:sz w:val="20"/>
          <w:szCs w:val="20"/>
        </w:rPr>
        <w:t xml:space="preserve">CENPAZ: </w:t>
      </w:r>
      <w:r w:rsidRPr="00E7787C">
        <w:rPr>
          <w:rFonts w:ascii="Open Sans" w:hAnsi="Open Sans" w:cs="Open Sans"/>
          <w:sz w:val="20"/>
          <w:szCs w:val="20"/>
        </w:rPr>
        <w:t>Coordinación Étnica Nacional de Paz</w:t>
      </w:r>
      <w:r w:rsidRPr="00B35A01">
        <w:rPr>
          <w:rFonts w:ascii="Open Sans" w:hAnsi="Open Sans" w:cs="Open Sans"/>
          <w:b/>
          <w:sz w:val="20"/>
          <w:szCs w:val="20"/>
        </w:rPr>
        <w:t xml:space="preserve"> </w:t>
      </w:r>
    </w:p>
    <w:p w14:paraId="67ACE3D6" w14:textId="77777777" w:rsidR="006B4924" w:rsidRDefault="006B4924" w:rsidP="00797864">
      <w:pPr>
        <w:spacing w:line="240" w:lineRule="auto"/>
        <w:jc w:val="both"/>
        <w:rPr>
          <w:rFonts w:ascii="Open Sans" w:hAnsi="Open Sans" w:cs="Open Sans"/>
          <w:b/>
          <w:sz w:val="20"/>
          <w:szCs w:val="20"/>
        </w:rPr>
      </w:pPr>
      <w:r w:rsidRPr="000810BC">
        <w:rPr>
          <w:rFonts w:ascii="Open Sans" w:hAnsi="Open Sans" w:cs="Open Sans"/>
          <w:b/>
          <w:sz w:val="20"/>
          <w:szCs w:val="20"/>
        </w:rPr>
        <w:t>CGR:</w:t>
      </w:r>
      <w:r w:rsidRPr="00447243">
        <w:rPr>
          <w:rFonts w:ascii="Open Sans" w:hAnsi="Open Sans" w:cs="Open Sans"/>
          <w:sz w:val="20"/>
          <w:szCs w:val="20"/>
        </w:rPr>
        <w:t xml:space="preserve"> Contraloría General de la República</w:t>
      </w:r>
    </w:p>
    <w:p w14:paraId="6EAD6D4B" w14:textId="77777777" w:rsidR="006B4924" w:rsidRPr="00233FA9" w:rsidRDefault="006B4924" w:rsidP="00797864">
      <w:pPr>
        <w:spacing w:line="240" w:lineRule="auto"/>
        <w:jc w:val="both"/>
        <w:rPr>
          <w:rFonts w:ascii="Open Sans" w:hAnsi="Open Sans" w:cs="Open Sans"/>
          <w:sz w:val="20"/>
          <w:szCs w:val="20"/>
        </w:rPr>
      </w:pPr>
      <w:r w:rsidRPr="00233FA9">
        <w:rPr>
          <w:rFonts w:ascii="Open Sans" w:hAnsi="Open Sans" w:cs="Open Sans"/>
          <w:b/>
          <w:sz w:val="20"/>
          <w:szCs w:val="20"/>
        </w:rPr>
        <w:t xml:space="preserve">CODACOP: </w:t>
      </w:r>
      <w:r w:rsidRPr="00233FA9">
        <w:rPr>
          <w:rFonts w:ascii="Open Sans" w:hAnsi="Open Sans" w:cs="Open Sans"/>
          <w:sz w:val="20"/>
          <w:szCs w:val="20"/>
        </w:rPr>
        <w:t>Corporación de Apoyo a Comunidades Populares</w:t>
      </w:r>
    </w:p>
    <w:p w14:paraId="0E46CD4F" w14:textId="77777777" w:rsidR="006B4924" w:rsidRDefault="006B4924" w:rsidP="00797864">
      <w:pPr>
        <w:spacing w:line="240" w:lineRule="auto"/>
        <w:ind w:left="708" w:hanging="708"/>
        <w:jc w:val="both"/>
        <w:rPr>
          <w:rFonts w:ascii="Open Sans" w:hAnsi="Open Sans" w:cs="Open Sans"/>
          <w:bCs/>
          <w:sz w:val="20"/>
          <w:szCs w:val="20"/>
        </w:rPr>
      </w:pPr>
      <w:r w:rsidRPr="00233FA9">
        <w:rPr>
          <w:rFonts w:ascii="Open Sans" w:hAnsi="Open Sans" w:cs="Open Sans"/>
          <w:b/>
          <w:sz w:val="20"/>
          <w:szCs w:val="20"/>
          <w:lang w:val="es-ES"/>
        </w:rPr>
        <w:t xml:space="preserve">CPEM: </w:t>
      </w:r>
      <w:r w:rsidRPr="00233FA9">
        <w:rPr>
          <w:rFonts w:ascii="Open Sans" w:hAnsi="Open Sans" w:cs="Open Sans"/>
          <w:bCs/>
          <w:sz w:val="20"/>
          <w:szCs w:val="20"/>
        </w:rPr>
        <w:t>Consejería Presidencial para la Equidad de la Mujer</w:t>
      </w:r>
    </w:p>
    <w:p w14:paraId="4D3F1B4D" w14:textId="63260767" w:rsidR="006B4924" w:rsidRDefault="006B4924" w:rsidP="00797864">
      <w:pPr>
        <w:spacing w:line="240" w:lineRule="auto"/>
        <w:ind w:left="708" w:hanging="708"/>
        <w:jc w:val="both"/>
        <w:rPr>
          <w:rFonts w:ascii="Open Sans" w:hAnsi="Open Sans" w:cs="Open Sans"/>
          <w:bCs/>
          <w:sz w:val="20"/>
          <w:szCs w:val="20"/>
        </w:rPr>
      </w:pPr>
      <w:r w:rsidRPr="00233FA9">
        <w:rPr>
          <w:rFonts w:ascii="Open Sans" w:hAnsi="Open Sans" w:cs="Open Sans"/>
          <w:b/>
          <w:sz w:val="20"/>
          <w:szCs w:val="20"/>
          <w:lang w:val="es-ES"/>
        </w:rPr>
        <w:t>ELN:</w:t>
      </w:r>
      <w:r w:rsidRPr="00233FA9">
        <w:rPr>
          <w:rFonts w:ascii="Open Sans" w:hAnsi="Open Sans" w:cs="Open Sans"/>
          <w:bCs/>
          <w:sz w:val="20"/>
          <w:szCs w:val="20"/>
        </w:rPr>
        <w:t xml:space="preserve"> Ejército de Liberación Nacional</w:t>
      </w:r>
    </w:p>
    <w:p w14:paraId="44F6E617" w14:textId="6523E031" w:rsidR="00F741E3" w:rsidRPr="00233FA9" w:rsidRDefault="00F741E3" w:rsidP="00F741E3">
      <w:pPr>
        <w:ind w:left="708" w:hanging="708"/>
        <w:jc w:val="both"/>
        <w:rPr>
          <w:rFonts w:ascii="Open Sans" w:hAnsi="Open Sans" w:cs="Open Sans"/>
          <w:bCs/>
          <w:sz w:val="20"/>
          <w:szCs w:val="20"/>
        </w:rPr>
      </w:pPr>
      <w:r w:rsidRPr="00233FA9">
        <w:rPr>
          <w:rFonts w:ascii="Open Sans" w:hAnsi="Open Sans" w:cs="Open Sans"/>
          <w:b/>
          <w:sz w:val="20"/>
          <w:szCs w:val="20"/>
          <w:lang w:val="es-ES"/>
        </w:rPr>
        <w:t>EPU:</w:t>
      </w:r>
      <w:r w:rsidRPr="00233FA9">
        <w:rPr>
          <w:rFonts w:ascii="Open Sans" w:hAnsi="Open Sans" w:cs="Open Sans"/>
          <w:bCs/>
          <w:sz w:val="20"/>
          <w:szCs w:val="20"/>
        </w:rPr>
        <w:t xml:space="preserve"> Examen Periódico Universal</w:t>
      </w:r>
    </w:p>
    <w:p w14:paraId="75CA74FF" w14:textId="77777777" w:rsidR="006B4924" w:rsidRPr="00233FA9" w:rsidRDefault="006B4924" w:rsidP="00797864">
      <w:pPr>
        <w:spacing w:line="240" w:lineRule="auto"/>
        <w:ind w:left="1416" w:hanging="1416"/>
        <w:jc w:val="both"/>
        <w:rPr>
          <w:rFonts w:ascii="Open Sans" w:hAnsi="Open Sans" w:cs="Open Sans"/>
          <w:bCs/>
          <w:sz w:val="20"/>
          <w:szCs w:val="20"/>
        </w:rPr>
      </w:pPr>
      <w:r w:rsidRPr="00233FA9">
        <w:rPr>
          <w:rFonts w:ascii="Open Sans" w:hAnsi="Open Sans" w:cs="Open Sans"/>
          <w:b/>
          <w:sz w:val="20"/>
          <w:szCs w:val="20"/>
          <w:lang w:val="es-ES"/>
        </w:rPr>
        <w:t>FARC:</w:t>
      </w:r>
      <w:r w:rsidRPr="00233FA9">
        <w:rPr>
          <w:rFonts w:ascii="Open Sans" w:hAnsi="Open Sans" w:cs="Open Sans"/>
          <w:bCs/>
          <w:sz w:val="20"/>
          <w:szCs w:val="20"/>
        </w:rPr>
        <w:t xml:space="preserve"> Fuerzas Armadas Revolucionarias del Común</w:t>
      </w:r>
    </w:p>
    <w:p w14:paraId="72F754C4" w14:textId="77777777" w:rsidR="006B4924" w:rsidRPr="00233FA9" w:rsidRDefault="006B4924" w:rsidP="00797864">
      <w:pPr>
        <w:spacing w:line="240" w:lineRule="auto"/>
        <w:jc w:val="both"/>
        <w:rPr>
          <w:rFonts w:ascii="Open Sans" w:hAnsi="Open Sans" w:cs="Open Sans"/>
          <w:sz w:val="20"/>
          <w:szCs w:val="20"/>
          <w:lang w:val="es-ES"/>
        </w:rPr>
      </w:pPr>
      <w:r w:rsidRPr="00233FA9">
        <w:rPr>
          <w:rFonts w:ascii="Open Sans" w:hAnsi="Open Sans" w:cs="Open Sans"/>
          <w:b/>
          <w:sz w:val="20"/>
          <w:szCs w:val="20"/>
          <w:lang w:val="es-ES"/>
        </w:rPr>
        <w:t>FIP:</w:t>
      </w:r>
      <w:r w:rsidRPr="00233FA9">
        <w:rPr>
          <w:rFonts w:ascii="Open Sans" w:hAnsi="Open Sans" w:cs="Open Sans"/>
          <w:sz w:val="20"/>
          <w:szCs w:val="20"/>
          <w:lang w:val="es-ES"/>
        </w:rPr>
        <w:t xml:space="preserve"> Fundación Ideas para la Paz</w:t>
      </w:r>
    </w:p>
    <w:p w14:paraId="157BE668" w14:textId="77777777" w:rsidR="006B4924" w:rsidRPr="00233FA9" w:rsidRDefault="006B4924" w:rsidP="00797864">
      <w:pPr>
        <w:spacing w:line="240" w:lineRule="auto"/>
        <w:jc w:val="both"/>
        <w:rPr>
          <w:rFonts w:ascii="Open Sans" w:hAnsi="Open Sans" w:cs="Open Sans"/>
          <w:sz w:val="20"/>
          <w:szCs w:val="20"/>
          <w:lang w:val="es-ES"/>
        </w:rPr>
      </w:pPr>
      <w:r w:rsidRPr="000810BC">
        <w:rPr>
          <w:rFonts w:ascii="Open Sans" w:hAnsi="Open Sans" w:cs="Open Sans"/>
          <w:b/>
          <w:sz w:val="20"/>
          <w:szCs w:val="20"/>
          <w:lang w:val="es-ES"/>
        </w:rPr>
        <w:t xml:space="preserve">INDEPAZ: </w:t>
      </w:r>
      <w:r w:rsidRPr="00233FA9">
        <w:rPr>
          <w:rFonts w:ascii="Open Sans" w:hAnsi="Open Sans" w:cs="Open Sans"/>
          <w:sz w:val="20"/>
          <w:szCs w:val="20"/>
          <w:lang w:val="es-ES"/>
        </w:rPr>
        <w:t>Instituto de estudios para el desarrollo y la paz</w:t>
      </w:r>
    </w:p>
    <w:p w14:paraId="4D42D95B" w14:textId="77777777" w:rsidR="006B4924" w:rsidRPr="00233FA9" w:rsidRDefault="006B4924" w:rsidP="00797864">
      <w:pPr>
        <w:spacing w:line="240" w:lineRule="auto"/>
        <w:jc w:val="both"/>
        <w:rPr>
          <w:rFonts w:ascii="Open Sans" w:hAnsi="Open Sans" w:cs="Open Sans"/>
          <w:sz w:val="20"/>
          <w:szCs w:val="20"/>
          <w:lang w:val="es-ES"/>
        </w:rPr>
      </w:pPr>
      <w:r w:rsidRPr="000810BC">
        <w:rPr>
          <w:rFonts w:ascii="Open Sans" w:hAnsi="Open Sans" w:cs="Open Sans"/>
          <w:b/>
          <w:sz w:val="20"/>
          <w:szCs w:val="20"/>
          <w:lang w:val="es-ES"/>
        </w:rPr>
        <w:t xml:space="preserve">IVE: </w:t>
      </w:r>
      <w:r w:rsidRPr="00233FA9">
        <w:rPr>
          <w:rFonts w:ascii="Open Sans" w:hAnsi="Open Sans" w:cs="Open Sans"/>
          <w:sz w:val="20"/>
          <w:szCs w:val="20"/>
          <w:lang w:val="es-ES"/>
        </w:rPr>
        <w:t>Interrupción Voluntaria del Embarazo</w:t>
      </w:r>
    </w:p>
    <w:p w14:paraId="18994D08" w14:textId="77777777" w:rsidR="006B4924" w:rsidRPr="00233FA9" w:rsidRDefault="006B4924" w:rsidP="00797864">
      <w:pPr>
        <w:spacing w:line="240" w:lineRule="auto"/>
        <w:jc w:val="both"/>
        <w:rPr>
          <w:rFonts w:ascii="Open Sans" w:hAnsi="Open Sans" w:cs="Open Sans"/>
          <w:sz w:val="20"/>
          <w:szCs w:val="20"/>
          <w:lang w:val="es-ES"/>
        </w:rPr>
      </w:pPr>
      <w:r w:rsidRPr="00233FA9">
        <w:rPr>
          <w:rFonts w:ascii="Open Sans" w:hAnsi="Open Sans" w:cs="Open Sans"/>
          <w:b/>
          <w:sz w:val="20"/>
          <w:szCs w:val="20"/>
          <w:lang w:val="es-ES"/>
        </w:rPr>
        <w:t xml:space="preserve">LIMPAL: </w:t>
      </w:r>
      <w:r w:rsidRPr="00233FA9">
        <w:rPr>
          <w:rFonts w:ascii="Open Sans" w:hAnsi="Open Sans" w:cs="Open Sans"/>
          <w:sz w:val="20"/>
          <w:szCs w:val="20"/>
          <w:lang w:val="es-ES"/>
        </w:rPr>
        <w:t>Liga Internacional de Mujeres por la Paz y la Libertad</w:t>
      </w:r>
    </w:p>
    <w:p w14:paraId="4C2CDEA2" w14:textId="77777777" w:rsidR="006B4924" w:rsidRPr="00233FA9" w:rsidRDefault="006B4924" w:rsidP="00797864">
      <w:pPr>
        <w:spacing w:line="240" w:lineRule="auto"/>
        <w:jc w:val="both"/>
        <w:rPr>
          <w:rFonts w:ascii="Open Sans" w:hAnsi="Open Sans" w:cs="Open Sans"/>
          <w:sz w:val="20"/>
          <w:szCs w:val="20"/>
          <w:lang w:val="es-ES"/>
        </w:rPr>
      </w:pPr>
      <w:r w:rsidRPr="00233FA9">
        <w:rPr>
          <w:rFonts w:ascii="Open Sans" w:hAnsi="Open Sans" w:cs="Open Sans"/>
          <w:b/>
          <w:sz w:val="20"/>
          <w:szCs w:val="20"/>
          <w:lang w:val="es-ES"/>
        </w:rPr>
        <w:t>MOE:</w:t>
      </w:r>
      <w:r w:rsidRPr="00233FA9">
        <w:rPr>
          <w:rFonts w:ascii="Open Sans" w:hAnsi="Open Sans" w:cs="Open Sans"/>
          <w:sz w:val="20"/>
          <w:szCs w:val="20"/>
          <w:lang w:val="es-ES"/>
        </w:rPr>
        <w:t xml:space="preserve"> Misión de Observación Electoral</w:t>
      </w:r>
    </w:p>
    <w:p w14:paraId="7065C590" w14:textId="77777777" w:rsidR="006B4924" w:rsidRPr="00233FA9" w:rsidRDefault="006B4924" w:rsidP="00797864">
      <w:pPr>
        <w:spacing w:line="240" w:lineRule="auto"/>
        <w:jc w:val="both"/>
        <w:rPr>
          <w:rFonts w:ascii="Open Sans" w:hAnsi="Open Sans" w:cs="Open Sans"/>
          <w:sz w:val="20"/>
          <w:szCs w:val="20"/>
          <w:lang w:val="es-ES"/>
        </w:rPr>
      </w:pPr>
      <w:r w:rsidRPr="00233FA9">
        <w:rPr>
          <w:rFonts w:ascii="Open Sans" w:hAnsi="Open Sans" w:cs="Open Sans"/>
          <w:b/>
          <w:sz w:val="20"/>
          <w:szCs w:val="20"/>
          <w:lang w:val="es-ES"/>
        </w:rPr>
        <w:t xml:space="preserve">OSIGD: </w:t>
      </w:r>
      <w:r w:rsidRPr="00233FA9">
        <w:rPr>
          <w:rFonts w:ascii="Open Sans" w:hAnsi="Open Sans" w:cs="Open Sans"/>
          <w:sz w:val="20"/>
          <w:szCs w:val="20"/>
          <w:lang w:val="es-ES"/>
        </w:rPr>
        <w:t xml:space="preserve">Orientación Sexual e </w:t>
      </w:r>
      <w:r w:rsidRPr="00233FA9">
        <w:rPr>
          <w:rFonts w:ascii="Open Sans" w:hAnsi="Open Sans" w:cs="Open Sans"/>
          <w:sz w:val="20"/>
          <w:szCs w:val="20"/>
        </w:rPr>
        <w:t>Identidad de Género diversas</w:t>
      </w:r>
    </w:p>
    <w:p w14:paraId="0B5927EB" w14:textId="77777777" w:rsidR="006B4924" w:rsidRPr="00233FA9" w:rsidRDefault="006B4924" w:rsidP="00797864">
      <w:pPr>
        <w:spacing w:line="240" w:lineRule="auto"/>
        <w:jc w:val="both"/>
        <w:rPr>
          <w:rFonts w:ascii="Open Sans" w:hAnsi="Open Sans" w:cs="Open Sans"/>
          <w:sz w:val="20"/>
          <w:szCs w:val="20"/>
          <w:lang w:val="es-ES"/>
        </w:rPr>
      </w:pPr>
      <w:r w:rsidRPr="00233FA9">
        <w:rPr>
          <w:rFonts w:ascii="Open Sans" w:hAnsi="Open Sans" w:cs="Open Sans"/>
          <w:b/>
          <w:sz w:val="20"/>
          <w:szCs w:val="20"/>
          <w:lang w:val="es-ES"/>
        </w:rPr>
        <w:t xml:space="preserve">PMI: </w:t>
      </w:r>
      <w:r w:rsidRPr="00233FA9">
        <w:rPr>
          <w:rFonts w:ascii="Open Sans" w:hAnsi="Open Sans" w:cs="Open Sans"/>
          <w:sz w:val="20"/>
          <w:szCs w:val="20"/>
          <w:lang w:val="es-ES"/>
        </w:rPr>
        <w:t>Plan Marco de Implementación del Acuerdo Final</w:t>
      </w:r>
    </w:p>
    <w:p w14:paraId="5A3A4429" w14:textId="57C72D12" w:rsidR="006B4924" w:rsidRPr="001645D9" w:rsidRDefault="006B4924" w:rsidP="001645D9">
      <w:pPr>
        <w:rPr>
          <w:rFonts w:ascii="Open Sans" w:hAnsi="Open Sans" w:cs="Open Sans"/>
          <w:b/>
          <w:sz w:val="20"/>
          <w:szCs w:val="20"/>
          <w:lang w:val="es-ES"/>
        </w:rPr>
      </w:pPr>
      <w:r>
        <w:br w:type="page"/>
      </w:r>
    </w:p>
    <w:p w14:paraId="19580050" w14:textId="77777777" w:rsidR="006B4924" w:rsidRDefault="006B4924" w:rsidP="00FF5CED">
      <w:pPr>
        <w:pStyle w:val="Estilo2"/>
        <w:ind w:left="0"/>
        <w:rPr>
          <w:sz w:val="24"/>
        </w:rPr>
      </w:pPr>
    </w:p>
    <w:p w14:paraId="5CEE4F54" w14:textId="768F5280" w:rsidR="00953E36" w:rsidRPr="00FF5CED" w:rsidRDefault="00953E36" w:rsidP="00FF5CED">
      <w:pPr>
        <w:pStyle w:val="Estilo2"/>
        <w:ind w:left="0"/>
        <w:rPr>
          <w:sz w:val="24"/>
        </w:rPr>
      </w:pPr>
      <w:r w:rsidRPr="00FF5CED">
        <w:rPr>
          <w:sz w:val="24"/>
        </w:rPr>
        <w:t>Tabla de contenido</w:t>
      </w:r>
    </w:p>
    <w:p w14:paraId="4ECCCC7B" w14:textId="70B11E0B" w:rsidR="00797864" w:rsidRDefault="00287EF3">
      <w:pPr>
        <w:pStyle w:val="TOC1"/>
        <w:tabs>
          <w:tab w:val="right" w:leader="dot" w:pos="10070"/>
        </w:tabs>
        <w:rPr>
          <w:rFonts w:eastAsiaTheme="minorEastAsia"/>
          <w:noProof/>
          <w:sz w:val="24"/>
          <w:szCs w:val="24"/>
          <w:lang w:val="en-CH"/>
        </w:rPr>
      </w:pPr>
      <w:r>
        <w:rPr>
          <w:rFonts w:ascii="Open Sans" w:hAnsi="Open Sans" w:cs="Open Sans"/>
          <w:b/>
          <w:sz w:val="20"/>
          <w:szCs w:val="20"/>
          <w:lang w:val="es-ES"/>
        </w:rPr>
        <w:fldChar w:fldCharType="begin"/>
      </w:r>
      <w:r>
        <w:rPr>
          <w:rFonts w:ascii="Open Sans" w:hAnsi="Open Sans" w:cs="Open Sans"/>
          <w:b/>
          <w:sz w:val="20"/>
          <w:szCs w:val="20"/>
          <w:lang w:val="es-ES"/>
        </w:rPr>
        <w:instrText xml:space="preserve"> TOC \o "1-3" \h \z \t "Estilo3;1" </w:instrText>
      </w:r>
      <w:r>
        <w:rPr>
          <w:rFonts w:ascii="Open Sans" w:hAnsi="Open Sans" w:cs="Open Sans"/>
          <w:b/>
          <w:sz w:val="20"/>
          <w:szCs w:val="20"/>
          <w:lang w:val="es-ES"/>
        </w:rPr>
        <w:fldChar w:fldCharType="separate"/>
      </w:r>
      <w:hyperlink w:anchor="_Toc136246236" w:history="1">
        <w:r w:rsidR="00797864" w:rsidRPr="00894E5A">
          <w:rPr>
            <w:rStyle w:val="Hyperlink"/>
            <w:noProof/>
          </w:rPr>
          <w:t>Introd</w:t>
        </w:r>
        <w:r w:rsidR="00797864" w:rsidRPr="00894E5A">
          <w:rPr>
            <w:rStyle w:val="Hyperlink"/>
            <w:noProof/>
          </w:rPr>
          <w:t>u</w:t>
        </w:r>
        <w:r w:rsidR="00797864" w:rsidRPr="00894E5A">
          <w:rPr>
            <w:rStyle w:val="Hyperlink"/>
            <w:noProof/>
          </w:rPr>
          <w:t>cción</w:t>
        </w:r>
        <w:r w:rsidR="00797864">
          <w:rPr>
            <w:noProof/>
            <w:webHidden/>
          </w:rPr>
          <w:tab/>
        </w:r>
        <w:r w:rsidR="00797864">
          <w:rPr>
            <w:noProof/>
            <w:webHidden/>
          </w:rPr>
          <w:fldChar w:fldCharType="begin"/>
        </w:r>
        <w:r w:rsidR="00797864">
          <w:rPr>
            <w:noProof/>
            <w:webHidden/>
          </w:rPr>
          <w:instrText xml:space="preserve"> PAGEREF _Toc136246236 \h </w:instrText>
        </w:r>
        <w:r w:rsidR="00797864">
          <w:rPr>
            <w:noProof/>
            <w:webHidden/>
          </w:rPr>
        </w:r>
        <w:r w:rsidR="00797864">
          <w:rPr>
            <w:noProof/>
            <w:webHidden/>
          </w:rPr>
          <w:fldChar w:fldCharType="separate"/>
        </w:r>
        <w:r w:rsidR="00797864">
          <w:rPr>
            <w:noProof/>
            <w:webHidden/>
          </w:rPr>
          <w:t>4</w:t>
        </w:r>
        <w:r w:rsidR="00797864">
          <w:rPr>
            <w:noProof/>
            <w:webHidden/>
          </w:rPr>
          <w:fldChar w:fldCharType="end"/>
        </w:r>
      </w:hyperlink>
    </w:p>
    <w:p w14:paraId="21CD67BF" w14:textId="3F694A11" w:rsidR="00797864" w:rsidRDefault="00797864">
      <w:pPr>
        <w:pStyle w:val="TOC1"/>
        <w:tabs>
          <w:tab w:val="right" w:leader="dot" w:pos="10070"/>
        </w:tabs>
        <w:rPr>
          <w:rFonts w:eastAsiaTheme="minorEastAsia"/>
          <w:noProof/>
          <w:sz w:val="24"/>
          <w:szCs w:val="24"/>
          <w:lang w:val="en-CH"/>
        </w:rPr>
      </w:pPr>
      <w:hyperlink w:anchor="_Toc136246237" w:history="1">
        <w:r w:rsidRPr="00894E5A">
          <w:rPr>
            <w:rStyle w:val="Hyperlink"/>
            <w:noProof/>
            <w:lang w:val="es-ES"/>
          </w:rPr>
          <w:t>Informe conjunto presentado a la 44 sesión del Grupo de Trabajo sobre el Examen Periódico Universal el 5 de abril de 2023.</w:t>
        </w:r>
        <w:r>
          <w:rPr>
            <w:noProof/>
            <w:webHidden/>
          </w:rPr>
          <w:tab/>
        </w:r>
        <w:r>
          <w:rPr>
            <w:noProof/>
            <w:webHidden/>
          </w:rPr>
          <w:fldChar w:fldCharType="begin"/>
        </w:r>
        <w:r>
          <w:rPr>
            <w:noProof/>
            <w:webHidden/>
          </w:rPr>
          <w:instrText xml:space="preserve"> PAGEREF _Toc136246237 \h </w:instrText>
        </w:r>
        <w:r>
          <w:rPr>
            <w:noProof/>
            <w:webHidden/>
          </w:rPr>
        </w:r>
        <w:r>
          <w:rPr>
            <w:noProof/>
            <w:webHidden/>
          </w:rPr>
          <w:fldChar w:fldCharType="separate"/>
        </w:r>
        <w:r>
          <w:rPr>
            <w:noProof/>
            <w:webHidden/>
          </w:rPr>
          <w:t>4</w:t>
        </w:r>
        <w:r>
          <w:rPr>
            <w:noProof/>
            <w:webHidden/>
          </w:rPr>
          <w:fldChar w:fldCharType="end"/>
        </w:r>
      </w:hyperlink>
    </w:p>
    <w:p w14:paraId="6011D4CA" w14:textId="758BDB1C" w:rsidR="00797864" w:rsidRDefault="00797864">
      <w:pPr>
        <w:pStyle w:val="TOC1"/>
        <w:tabs>
          <w:tab w:val="left" w:pos="440"/>
          <w:tab w:val="right" w:leader="dot" w:pos="10070"/>
        </w:tabs>
        <w:rPr>
          <w:rFonts w:eastAsiaTheme="minorEastAsia"/>
          <w:noProof/>
          <w:sz w:val="24"/>
          <w:szCs w:val="24"/>
          <w:lang w:val="en-CH"/>
        </w:rPr>
      </w:pPr>
      <w:hyperlink w:anchor="_Toc136246238" w:history="1">
        <w:r w:rsidRPr="00894E5A">
          <w:rPr>
            <w:rStyle w:val="Hyperlink"/>
            <w:noProof/>
          </w:rPr>
          <w:t>I.</w:t>
        </w:r>
        <w:r>
          <w:rPr>
            <w:rFonts w:eastAsiaTheme="minorEastAsia"/>
            <w:noProof/>
            <w:sz w:val="24"/>
            <w:szCs w:val="24"/>
            <w:lang w:val="en-CH"/>
          </w:rPr>
          <w:tab/>
        </w:r>
        <w:r w:rsidRPr="00894E5A">
          <w:rPr>
            <w:rStyle w:val="Hyperlink"/>
            <w:noProof/>
          </w:rPr>
          <w:t>Implementación de las medidas de género del Acuerdo Final de Paz</w:t>
        </w:r>
        <w:r>
          <w:rPr>
            <w:noProof/>
            <w:webHidden/>
          </w:rPr>
          <w:tab/>
        </w:r>
        <w:r>
          <w:rPr>
            <w:noProof/>
            <w:webHidden/>
          </w:rPr>
          <w:fldChar w:fldCharType="begin"/>
        </w:r>
        <w:r>
          <w:rPr>
            <w:noProof/>
            <w:webHidden/>
          </w:rPr>
          <w:instrText xml:space="preserve"> PAGEREF _Toc136246238 \h </w:instrText>
        </w:r>
        <w:r>
          <w:rPr>
            <w:noProof/>
            <w:webHidden/>
          </w:rPr>
        </w:r>
        <w:r>
          <w:rPr>
            <w:noProof/>
            <w:webHidden/>
          </w:rPr>
          <w:fldChar w:fldCharType="separate"/>
        </w:r>
        <w:r>
          <w:rPr>
            <w:noProof/>
            <w:webHidden/>
          </w:rPr>
          <w:t>5</w:t>
        </w:r>
        <w:r>
          <w:rPr>
            <w:noProof/>
            <w:webHidden/>
          </w:rPr>
          <w:fldChar w:fldCharType="end"/>
        </w:r>
      </w:hyperlink>
    </w:p>
    <w:p w14:paraId="271D3163" w14:textId="1114B16F" w:rsidR="00797864" w:rsidRDefault="00797864">
      <w:pPr>
        <w:pStyle w:val="TOC3"/>
        <w:tabs>
          <w:tab w:val="right" w:leader="dot" w:pos="10070"/>
        </w:tabs>
        <w:rPr>
          <w:rFonts w:cstheme="minorBidi"/>
          <w:noProof/>
          <w:sz w:val="24"/>
          <w:szCs w:val="24"/>
          <w:lang w:val="en-CH" w:eastAsia="en-US"/>
        </w:rPr>
      </w:pPr>
      <w:hyperlink w:anchor="_Toc136246239" w:history="1">
        <w:r w:rsidRPr="00894E5A">
          <w:rPr>
            <w:rStyle w:val="Hyperlink"/>
            <w:noProof/>
          </w:rPr>
          <w:t>Recomendaciones:</w:t>
        </w:r>
        <w:r>
          <w:rPr>
            <w:noProof/>
            <w:webHidden/>
          </w:rPr>
          <w:tab/>
        </w:r>
        <w:r>
          <w:rPr>
            <w:noProof/>
            <w:webHidden/>
          </w:rPr>
          <w:fldChar w:fldCharType="begin"/>
        </w:r>
        <w:r>
          <w:rPr>
            <w:noProof/>
            <w:webHidden/>
          </w:rPr>
          <w:instrText xml:space="preserve"> PAGEREF _Toc136246239 \h </w:instrText>
        </w:r>
        <w:r>
          <w:rPr>
            <w:noProof/>
            <w:webHidden/>
          </w:rPr>
        </w:r>
        <w:r>
          <w:rPr>
            <w:noProof/>
            <w:webHidden/>
          </w:rPr>
          <w:fldChar w:fldCharType="separate"/>
        </w:r>
        <w:r>
          <w:rPr>
            <w:noProof/>
            <w:webHidden/>
          </w:rPr>
          <w:t>6</w:t>
        </w:r>
        <w:r>
          <w:rPr>
            <w:noProof/>
            <w:webHidden/>
          </w:rPr>
          <w:fldChar w:fldCharType="end"/>
        </w:r>
      </w:hyperlink>
    </w:p>
    <w:p w14:paraId="25FC5AF0" w14:textId="72F04923" w:rsidR="00797864" w:rsidRDefault="00797864">
      <w:pPr>
        <w:pStyle w:val="TOC1"/>
        <w:tabs>
          <w:tab w:val="left" w:pos="440"/>
          <w:tab w:val="right" w:leader="dot" w:pos="10070"/>
        </w:tabs>
        <w:rPr>
          <w:rFonts w:eastAsiaTheme="minorEastAsia"/>
          <w:noProof/>
          <w:sz w:val="24"/>
          <w:szCs w:val="24"/>
          <w:lang w:val="en-CH"/>
        </w:rPr>
      </w:pPr>
      <w:hyperlink w:anchor="_Toc136246240" w:history="1">
        <w:r w:rsidRPr="00894E5A">
          <w:rPr>
            <w:rStyle w:val="Hyperlink"/>
            <w:noProof/>
          </w:rPr>
          <w:t>II.</w:t>
        </w:r>
        <w:r>
          <w:rPr>
            <w:rFonts w:eastAsiaTheme="minorEastAsia"/>
            <w:noProof/>
            <w:sz w:val="24"/>
            <w:szCs w:val="24"/>
            <w:lang w:val="en-CH"/>
          </w:rPr>
          <w:tab/>
        </w:r>
        <w:r w:rsidRPr="00894E5A">
          <w:rPr>
            <w:rStyle w:val="Hyperlink"/>
            <w:noProof/>
          </w:rPr>
          <w:t>Implementación del capítulo étnico del Acuerdo Final de Paz</w:t>
        </w:r>
        <w:r>
          <w:rPr>
            <w:noProof/>
            <w:webHidden/>
          </w:rPr>
          <w:tab/>
        </w:r>
        <w:r>
          <w:rPr>
            <w:noProof/>
            <w:webHidden/>
          </w:rPr>
          <w:fldChar w:fldCharType="begin"/>
        </w:r>
        <w:r>
          <w:rPr>
            <w:noProof/>
            <w:webHidden/>
          </w:rPr>
          <w:instrText xml:space="preserve"> PAGEREF _Toc136246240 \h </w:instrText>
        </w:r>
        <w:r>
          <w:rPr>
            <w:noProof/>
            <w:webHidden/>
          </w:rPr>
        </w:r>
        <w:r>
          <w:rPr>
            <w:noProof/>
            <w:webHidden/>
          </w:rPr>
          <w:fldChar w:fldCharType="separate"/>
        </w:r>
        <w:r>
          <w:rPr>
            <w:noProof/>
            <w:webHidden/>
          </w:rPr>
          <w:t>6</w:t>
        </w:r>
        <w:r>
          <w:rPr>
            <w:noProof/>
            <w:webHidden/>
          </w:rPr>
          <w:fldChar w:fldCharType="end"/>
        </w:r>
      </w:hyperlink>
    </w:p>
    <w:p w14:paraId="5D3976F6" w14:textId="52565BE6" w:rsidR="00797864" w:rsidRDefault="00797864">
      <w:pPr>
        <w:pStyle w:val="TOC3"/>
        <w:tabs>
          <w:tab w:val="right" w:leader="dot" w:pos="10070"/>
        </w:tabs>
        <w:rPr>
          <w:rFonts w:cstheme="minorBidi"/>
          <w:noProof/>
          <w:sz w:val="24"/>
          <w:szCs w:val="24"/>
          <w:lang w:val="en-CH" w:eastAsia="en-US"/>
        </w:rPr>
      </w:pPr>
      <w:hyperlink w:anchor="_Toc136246241" w:history="1">
        <w:r w:rsidRPr="00894E5A">
          <w:rPr>
            <w:rStyle w:val="Hyperlink"/>
            <w:noProof/>
          </w:rPr>
          <w:t>Recomendaciones:</w:t>
        </w:r>
        <w:r>
          <w:rPr>
            <w:noProof/>
            <w:webHidden/>
          </w:rPr>
          <w:tab/>
        </w:r>
        <w:r>
          <w:rPr>
            <w:noProof/>
            <w:webHidden/>
          </w:rPr>
          <w:fldChar w:fldCharType="begin"/>
        </w:r>
        <w:r>
          <w:rPr>
            <w:noProof/>
            <w:webHidden/>
          </w:rPr>
          <w:instrText xml:space="preserve"> PAGEREF _Toc136246241 \h </w:instrText>
        </w:r>
        <w:r>
          <w:rPr>
            <w:noProof/>
            <w:webHidden/>
          </w:rPr>
        </w:r>
        <w:r>
          <w:rPr>
            <w:noProof/>
            <w:webHidden/>
          </w:rPr>
          <w:fldChar w:fldCharType="separate"/>
        </w:r>
        <w:r>
          <w:rPr>
            <w:noProof/>
            <w:webHidden/>
          </w:rPr>
          <w:t>7</w:t>
        </w:r>
        <w:r>
          <w:rPr>
            <w:noProof/>
            <w:webHidden/>
          </w:rPr>
          <w:fldChar w:fldCharType="end"/>
        </w:r>
      </w:hyperlink>
    </w:p>
    <w:p w14:paraId="0095AA0A" w14:textId="22C5E6B8" w:rsidR="00797864" w:rsidRDefault="00797864">
      <w:pPr>
        <w:pStyle w:val="TOC1"/>
        <w:tabs>
          <w:tab w:val="left" w:pos="720"/>
          <w:tab w:val="right" w:leader="dot" w:pos="10070"/>
        </w:tabs>
        <w:rPr>
          <w:rFonts w:eastAsiaTheme="minorEastAsia"/>
          <w:noProof/>
          <w:sz w:val="24"/>
          <w:szCs w:val="24"/>
          <w:lang w:val="en-CH"/>
        </w:rPr>
      </w:pPr>
      <w:hyperlink w:anchor="_Toc136246242" w:history="1">
        <w:r w:rsidRPr="00894E5A">
          <w:rPr>
            <w:rStyle w:val="Hyperlink"/>
            <w:noProof/>
          </w:rPr>
          <w:t>III.</w:t>
        </w:r>
        <w:r>
          <w:rPr>
            <w:rFonts w:eastAsiaTheme="minorEastAsia"/>
            <w:noProof/>
            <w:sz w:val="24"/>
            <w:szCs w:val="24"/>
            <w:lang w:val="en-CH"/>
          </w:rPr>
          <w:tab/>
        </w:r>
        <w:r w:rsidRPr="00894E5A">
          <w:rPr>
            <w:rStyle w:val="Hyperlink"/>
            <w:noProof/>
          </w:rPr>
          <w:t>Violencia política contra las mujeres: Participación electoral y liderazgos sociales y comunitarios</w:t>
        </w:r>
        <w:r>
          <w:rPr>
            <w:noProof/>
            <w:webHidden/>
          </w:rPr>
          <w:tab/>
        </w:r>
        <w:r>
          <w:rPr>
            <w:noProof/>
            <w:webHidden/>
          </w:rPr>
          <w:fldChar w:fldCharType="begin"/>
        </w:r>
        <w:r>
          <w:rPr>
            <w:noProof/>
            <w:webHidden/>
          </w:rPr>
          <w:instrText xml:space="preserve"> PAGEREF _Toc136246242 \h </w:instrText>
        </w:r>
        <w:r>
          <w:rPr>
            <w:noProof/>
            <w:webHidden/>
          </w:rPr>
        </w:r>
        <w:r>
          <w:rPr>
            <w:noProof/>
            <w:webHidden/>
          </w:rPr>
          <w:fldChar w:fldCharType="separate"/>
        </w:r>
        <w:r>
          <w:rPr>
            <w:noProof/>
            <w:webHidden/>
          </w:rPr>
          <w:t>8</w:t>
        </w:r>
        <w:r>
          <w:rPr>
            <w:noProof/>
            <w:webHidden/>
          </w:rPr>
          <w:fldChar w:fldCharType="end"/>
        </w:r>
      </w:hyperlink>
    </w:p>
    <w:p w14:paraId="08A8FFFA" w14:textId="2BA09DDE" w:rsidR="00797864" w:rsidRDefault="00797864">
      <w:pPr>
        <w:pStyle w:val="TOC2"/>
        <w:tabs>
          <w:tab w:val="right" w:leader="dot" w:pos="10070"/>
        </w:tabs>
        <w:rPr>
          <w:rFonts w:cstheme="minorBidi"/>
          <w:noProof/>
          <w:sz w:val="24"/>
          <w:szCs w:val="24"/>
          <w:lang w:val="en-CH" w:eastAsia="en-US"/>
        </w:rPr>
      </w:pPr>
      <w:hyperlink w:anchor="_Toc136246243" w:history="1">
        <w:r w:rsidRPr="00894E5A">
          <w:rPr>
            <w:rStyle w:val="Hyperlink"/>
            <w:noProof/>
            <w:lang w:val="es-ES"/>
          </w:rPr>
          <w:t>Participación electoral</w:t>
        </w:r>
        <w:r>
          <w:rPr>
            <w:noProof/>
            <w:webHidden/>
          </w:rPr>
          <w:tab/>
        </w:r>
        <w:r>
          <w:rPr>
            <w:noProof/>
            <w:webHidden/>
          </w:rPr>
          <w:fldChar w:fldCharType="begin"/>
        </w:r>
        <w:r>
          <w:rPr>
            <w:noProof/>
            <w:webHidden/>
          </w:rPr>
          <w:instrText xml:space="preserve"> PAGEREF _Toc136246243 \h </w:instrText>
        </w:r>
        <w:r>
          <w:rPr>
            <w:noProof/>
            <w:webHidden/>
          </w:rPr>
        </w:r>
        <w:r>
          <w:rPr>
            <w:noProof/>
            <w:webHidden/>
          </w:rPr>
          <w:fldChar w:fldCharType="separate"/>
        </w:r>
        <w:r>
          <w:rPr>
            <w:noProof/>
            <w:webHidden/>
          </w:rPr>
          <w:t>8</w:t>
        </w:r>
        <w:r>
          <w:rPr>
            <w:noProof/>
            <w:webHidden/>
          </w:rPr>
          <w:fldChar w:fldCharType="end"/>
        </w:r>
      </w:hyperlink>
    </w:p>
    <w:p w14:paraId="5670D217" w14:textId="259AD705" w:rsidR="00797864" w:rsidRDefault="00797864">
      <w:pPr>
        <w:pStyle w:val="TOC3"/>
        <w:tabs>
          <w:tab w:val="right" w:leader="dot" w:pos="10070"/>
        </w:tabs>
        <w:rPr>
          <w:rFonts w:cstheme="minorBidi"/>
          <w:noProof/>
          <w:sz w:val="24"/>
          <w:szCs w:val="24"/>
          <w:lang w:val="en-CH" w:eastAsia="en-US"/>
        </w:rPr>
      </w:pPr>
      <w:hyperlink w:anchor="_Toc136246244" w:history="1">
        <w:r w:rsidRPr="00894E5A">
          <w:rPr>
            <w:rStyle w:val="Hyperlink"/>
            <w:noProof/>
          </w:rPr>
          <w:t>Recomendaciones:</w:t>
        </w:r>
        <w:r>
          <w:rPr>
            <w:noProof/>
            <w:webHidden/>
          </w:rPr>
          <w:tab/>
        </w:r>
        <w:r>
          <w:rPr>
            <w:noProof/>
            <w:webHidden/>
          </w:rPr>
          <w:fldChar w:fldCharType="begin"/>
        </w:r>
        <w:r>
          <w:rPr>
            <w:noProof/>
            <w:webHidden/>
          </w:rPr>
          <w:instrText xml:space="preserve"> PAGEREF _Toc136246244 \h </w:instrText>
        </w:r>
        <w:r>
          <w:rPr>
            <w:noProof/>
            <w:webHidden/>
          </w:rPr>
        </w:r>
        <w:r>
          <w:rPr>
            <w:noProof/>
            <w:webHidden/>
          </w:rPr>
          <w:fldChar w:fldCharType="separate"/>
        </w:r>
        <w:r>
          <w:rPr>
            <w:noProof/>
            <w:webHidden/>
          </w:rPr>
          <w:t>9</w:t>
        </w:r>
        <w:r>
          <w:rPr>
            <w:noProof/>
            <w:webHidden/>
          </w:rPr>
          <w:fldChar w:fldCharType="end"/>
        </w:r>
      </w:hyperlink>
    </w:p>
    <w:p w14:paraId="4138B182" w14:textId="2EA74FBB" w:rsidR="00797864" w:rsidRDefault="00797864">
      <w:pPr>
        <w:pStyle w:val="TOC2"/>
        <w:tabs>
          <w:tab w:val="right" w:leader="dot" w:pos="10070"/>
        </w:tabs>
        <w:rPr>
          <w:rFonts w:cstheme="minorBidi"/>
          <w:noProof/>
          <w:sz w:val="24"/>
          <w:szCs w:val="24"/>
          <w:lang w:val="en-CH" w:eastAsia="en-US"/>
        </w:rPr>
      </w:pPr>
      <w:hyperlink w:anchor="_Toc136246245" w:history="1">
        <w:r w:rsidRPr="00894E5A">
          <w:rPr>
            <w:rStyle w:val="Hyperlink"/>
            <w:noProof/>
            <w:lang w:val="es-ES"/>
          </w:rPr>
          <w:t>Violencias contra las defensoras de derechos humanos y lideresas</w:t>
        </w:r>
        <w:r>
          <w:rPr>
            <w:noProof/>
            <w:webHidden/>
          </w:rPr>
          <w:tab/>
        </w:r>
        <w:r>
          <w:rPr>
            <w:noProof/>
            <w:webHidden/>
          </w:rPr>
          <w:fldChar w:fldCharType="begin"/>
        </w:r>
        <w:r>
          <w:rPr>
            <w:noProof/>
            <w:webHidden/>
          </w:rPr>
          <w:instrText xml:space="preserve"> PAGEREF _Toc136246245 \h </w:instrText>
        </w:r>
        <w:r>
          <w:rPr>
            <w:noProof/>
            <w:webHidden/>
          </w:rPr>
        </w:r>
        <w:r>
          <w:rPr>
            <w:noProof/>
            <w:webHidden/>
          </w:rPr>
          <w:fldChar w:fldCharType="separate"/>
        </w:r>
        <w:r>
          <w:rPr>
            <w:noProof/>
            <w:webHidden/>
          </w:rPr>
          <w:t>9</w:t>
        </w:r>
        <w:r>
          <w:rPr>
            <w:noProof/>
            <w:webHidden/>
          </w:rPr>
          <w:fldChar w:fldCharType="end"/>
        </w:r>
      </w:hyperlink>
    </w:p>
    <w:p w14:paraId="36FE8EA9" w14:textId="55DF1209" w:rsidR="00797864" w:rsidRDefault="00797864">
      <w:pPr>
        <w:pStyle w:val="TOC3"/>
        <w:tabs>
          <w:tab w:val="right" w:leader="dot" w:pos="10070"/>
        </w:tabs>
        <w:rPr>
          <w:rFonts w:cstheme="minorBidi"/>
          <w:noProof/>
          <w:sz w:val="24"/>
          <w:szCs w:val="24"/>
          <w:lang w:val="en-CH" w:eastAsia="en-US"/>
        </w:rPr>
      </w:pPr>
      <w:hyperlink w:anchor="_Toc136246246" w:history="1">
        <w:r w:rsidRPr="00894E5A">
          <w:rPr>
            <w:rStyle w:val="Hyperlink"/>
            <w:noProof/>
          </w:rPr>
          <w:t>Recomendaciones:</w:t>
        </w:r>
        <w:r>
          <w:rPr>
            <w:noProof/>
            <w:webHidden/>
          </w:rPr>
          <w:tab/>
        </w:r>
        <w:r>
          <w:rPr>
            <w:noProof/>
            <w:webHidden/>
          </w:rPr>
          <w:fldChar w:fldCharType="begin"/>
        </w:r>
        <w:r>
          <w:rPr>
            <w:noProof/>
            <w:webHidden/>
          </w:rPr>
          <w:instrText xml:space="preserve"> PAGEREF _Toc136246246 \h </w:instrText>
        </w:r>
        <w:r>
          <w:rPr>
            <w:noProof/>
            <w:webHidden/>
          </w:rPr>
        </w:r>
        <w:r>
          <w:rPr>
            <w:noProof/>
            <w:webHidden/>
          </w:rPr>
          <w:fldChar w:fldCharType="separate"/>
        </w:r>
        <w:r>
          <w:rPr>
            <w:noProof/>
            <w:webHidden/>
          </w:rPr>
          <w:t>10</w:t>
        </w:r>
        <w:r>
          <w:rPr>
            <w:noProof/>
            <w:webHidden/>
          </w:rPr>
          <w:fldChar w:fldCharType="end"/>
        </w:r>
      </w:hyperlink>
    </w:p>
    <w:p w14:paraId="5EB3B957" w14:textId="37A9FF6B" w:rsidR="00797864" w:rsidRDefault="00797864">
      <w:pPr>
        <w:pStyle w:val="TOC1"/>
        <w:tabs>
          <w:tab w:val="left" w:pos="440"/>
          <w:tab w:val="right" w:leader="dot" w:pos="10070"/>
        </w:tabs>
        <w:rPr>
          <w:rFonts w:eastAsiaTheme="minorEastAsia"/>
          <w:noProof/>
          <w:sz w:val="24"/>
          <w:szCs w:val="24"/>
          <w:lang w:val="en-CH"/>
        </w:rPr>
      </w:pPr>
      <w:hyperlink w:anchor="_Toc136246247" w:history="1">
        <w:r w:rsidRPr="00894E5A">
          <w:rPr>
            <w:rStyle w:val="Hyperlink"/>
            <w:noProof/>
            <w:lang w:val="es-ES"/>
          </w:rPr>
          <w:t>V.</w:t>
        </w:r>
        <w:r>
          <w:rPr>
            <w:rFonts w:eastAsiaTheme="minorEastAsia"/>
            <w:noProof/>
            <w:sz w:val="24"/>
            <w:szCs w:val="24"/>
            <w:lang w:val="en-CH"/>
          </w:rPr>
          <w:tab/>
        </w:r>
        <w:r w:rsidRPr="00894E5A">
          <w:rPr>
            <w:rStyle w:val="Hyperlink"/>
            <w:noProof/>
            <w:lang w:val="es-ES"/>
          </w:rPr>
          <w:t>Violencia contra mujeres excombatientes</w:t>
        </w:r>
        <w:r>
          <w:rPr>
            <w:noProof/>
            <w:webHidden/>
          </w:rPr>
          <w:tab/>
        </w:r>
        <w:r>
          <w:rPr>
            <w:noProof/>
            <w:webHidden/>
          </w:rPr>
          <w:fldChar w:fldCharType="begin"/>
        </w:r>
        <w:r>
          <w:rPr>
            <w:noProof/>
            <w:webHidden/>
          </w:rPr>
          <w:instrText xml:space="preserve"> PAGEREF _Toc136246247 \h </w:instrText>
        </w:r>
        <w:r>
          <w:rPr>
            <w:noProof/>
            <w:webHidden/>
          </w:rPr>
        </w:r>
        <w:r>
          <w:rPr>
            <w:noProof/>
            <w:webHidden/>
          </w:rPr>
          <w:fldChar w:fldCharType="separate"/>
        </w:r>
        <w:r>
          <w:rPr>
            <w:noProof/>
            <w:webHidden/>
          </w:rPr>
          <w:t>10</w:t>
        </w:r>
        <w:r>
          <w:rPr>
            <w:noProof/>
            <w:webHidden/>
          </w:rPr>
          <w:fldChar w:fldCharType="end"/>
        </w:r>
      </w:hyperlink>
    </w:p>
    <w:p w14:paraId="2FDA378B" w14:textId="414EEB75" w:rsidR="00797864" w:rsidRDefault="00797864">
      <w:pPr>
        <w:pStyle w:val="TOC3"/>
        <w:tabs>
          <w:tab w:val="right" w:leader="dot" w:pos="10070"/>
        </w:tabs>
        <w:rPr>
          <w:rFonts w:cstheme="minorBidi"/>
          <w:noProof/>
          <w:sz w:val="24"/>
          <w:szCs w:val="24"/>
          <w:lang w:val="en-CH" w:eastAsia="en-US"/>
        </w:rPr>
      </w:pPr>
      <w:hyperlink w:anchor="_Toc136246248" w:history="1">
        <w:r w:rsidRPr="00894E5A">
          <w:rPr>
            <w:rStyle w:val="Hyperlink"/>
            <w:noProof/>
          </w:rPr>
          <w:t>Recomendaciones:</w:t>
        </w:r>
        <w:r>
          <w:rPr>
            <w:noProof/>
            <w:webHidden/>
          </w:rPr>
          <w:tab/>
        </w:r>
        <w:r>
          <w:rPr>
            <w:noProof/>
            <w:webHidden/>
          </w:rPr>
          <w:fldChar w:fldCharType="begin"/>
        </w:r>
        <w:r>
          <w:rPr>
            <w:noProof/>
            <w:webHidden/>
          </w:rPr>
          <w:instrText xml:space="preserve"> PAGEREF _Toc136246248 \h </w:instrText>
        </w:r>
        <w:r>
          <w:rPr>
            <w:noProof/>
            <w:webHidden/>
          </w:rPr>
        </w:r>
        <w:r>
          <w:rPr>
            <w:noProof/>
            <w:webHidden/>
          </w:rPr>
          <w:fldChar w:fldCharType="separate"/>
        </w:r>
        <w:r>
          <w:rPr>
            <w:noProof/>
            <w:webHidden/>
          </w:rPr>
          <w:t>11</w:t>
        </w:r>
        <w:r>
          <w:rPr>
            <w:noProof/>
            <w:webHidden/>
          </w:rPr>
          <w:fldChar w:fldCharType="end"/>
        </w:r>
      </w:hyperlink>
    </w:p>
    <w:p w14:paraId="6191896A" w14:textId="36BF155A" w:rsidR="00797864" w:rsidRDefault="00797864">
      <w:pPr>
        <w:pStyle w:val="TOC1"/>
        <w:tabs>
          <w:tab w:val="left" w:pos="720"/>
          <w:tab w:val="right" w:leader="dot" w:pos="10070"/>
        </w:tabs>
        <w:rPr>
          <w:rFonts w:eastAsiaTheme="minorEastAsia"/>
          <w:noProof/>
          <w:sz w:val="24"/>
          <w:szCs w:val="24"/>
          <w:lang w:val="en-CH"/>
        </w:rPr>
      </w:pPr>
      <w:hyperlink w:anchor="_Toc136246249" w:history="1">
        <w:r w:rsidRPr="00894E5A">
          <w:rPr>
            <w:rStyle w:val="Hyperlink"/>
            <w:noProof/>
            <w:lang w:val="es-ES"/>
          </w:rPr>
          <w:t>VI.</w:t>
        </w:r>
        <w:r>
          <w:rPr>
            <w:rFonts w:eastAsiaTheme="minorEastAsia"/>
            <w:noProof/>
            <w:sz w:val="24"/>
            <w:szCs w:val="24"/>
            <w:lang w:val="en-CH"/>
          </w:rPr>
          <w:tab/>
        </w:r>
        <w:r w:rsidRPr="00894E5A">
          <w:rPr>
            <w:rStyle w:val="Hyperlink"/>
            <w:noProof/>
            <w:lang w:val="es-ES"/>
          </w:rPr>
          <w:t>Interrupción voluntaria del embarazo - IVE</w:t>
        </w:r>
        <w:r>
          <w:rPr>
            <w:noProof/>
            <w:webHidden/>
          </w:rPr>
          <w:tab/>
        </w:r>
        <w:r>
          <w:rPr>
            <w:noProof/>
            <w:webHidden/>
          </w:rPr>
          <w:fldChar w:fldCharType="begin"/>
        </w:r>
        <w:r>
          <w:rPr>
            <w:noProof/>
            <w:webHidden/>
          </w:rPr>
          <w:instrText xml:space="preserve"> PAGEREF _Toc136246249 \h </w:instrText>
        </w:r>
        <w:r>
          <w:rPr>
            <w:noProof/>
            <w:webHidden/>
          </w:rPr>
        </w:r>
        <w:r>
          <w:rPr>
            <w:noProof/>
            <w:webHidden/>
          </w:rPr>
          <w:fldChar w:fldCharType="separate"/>
        </w:r>
        <w:r>
          <w:rPr>
            <w:noProof/>
            <w:webHidden/>
          </w:rPr>
          <w:t>11</w:t>
        </w:r>
        <w:r>
          <w:rPr>
            <w:noProof/>
            <w:webHidden/>
          </w:rPr>
          <w:fldChar w:fldCharType="end"/>
        </w:r>
      </w:hyperlink>
    </w:p>
    <w:p w14:paraId="27519102" w14:textId="7E164B55" w:rsidR="00797864" w:rsidRDefault="00797864">
      <w:pPr>
        <w:pStyle w:val="TOC3"/>
        <w:tabs>
          <w:tab w:val="right" w:leader="dot" w:pos="10070"/>
        </w:tabs>
        <w:rPr>
          <w:rFonts w:cstheme="minorBidi"/>
          <w:noProof/>
          <w:sz w:val="24"/>
          <w:szCs w:val="24"/>
          <w:lang w:val="en-CH" w:eastAsia="en-US"/>
        </w:rPr>
      </w:pPr>
      <w:hyperlink w:anchor="_Toc136246250" w:history="1">
        <w:r w:rsidRPr="00894E5A">
          <w:rPr>
            <w:rStyle w:val="Hyperlink"/>
            <w:noProof/>
          </w:rPr>
          <w:t>Recomendaciones</w:t>
        </w:r>
        <w:r>
          <w:rPr>
            <w:noProof/>
            <w:webHidden/>
          </w:rPr>
          <w:tab/>
        </w:r>
        <w:r>
          <w:rPr>
            <w:noProof/>
            <w:webHidden/>
          </w:rPr>
          <w:fldChar w:fldCharType="begin"/>
        </w:r>
        <w:r>
          <w:rPr>
            <w:noProof/>
            <w:webHidden/>
          </w:rPr>
          <w:instrText xml:space="preserve"> PAGEREF _Toc136246250 \h </w:instrText>
        </w:r>
        <w:r>
          <w:rPr>
            <w:noProof/>
            <w:webHidden/>
          </w:rPr>
        </w:r>
        <w:r>
          <w:rPr>
            <w:noProof/>
            <w:webHidden/>
          </w:rPr>
          <w:fldChar w:fldCharType="separate"/>
        </w:r>
        <w:r>
          <w:rPr>
            <w:noProof/>
            <w:webHidden/>
          </w:rPr>
          <w:t>13</w:t>
        </w:r>
        <w:r>
          <w:rPr>
            <w:noProof/>
            <w:webHidden/>
          </w:rPr>
          <w:fldChar w:fldCharType="end"/>
        </w:r>
      </w:hyperlink>
    </w:p>
    <w:p w14:paraId="7F34C9F9" w14:textId="56E32F98" w:rsidR="00797864" w:rsidRDefault="00797864">
      <w:pPr>
        <w:pStyle w:val="TOC1"/>
        <w:tabs>
          <w:tab w:val="left" w:pos="720"/>
          <w:tab w:val="right" w:leader="dot" w:pos="10070"/>
        </w:tabs>
        <w:rPr>
          <w:rFonts w:eastAsiaTheme="minorEastAsia"/>
          <w:noProof/>
          <w:sz w:val="24"/>
          <w:szCs w:val="24"/>
          <w:lang w:val="en-CH"/>
        </w:rPr>
      </w:pPr>
      <w:hyperlink w:anchor="_Toc136246251" w:history="1">
        <w:r w:rsidRPr="00894E5A">
          <w:rPr>
            <w:rStyle w:val="Hyperlink"/>
            <w:noProof/>
          </w:rPr>
          <w:t>VII.</w:t>
        </w:r>
        <w:r>
          <w:rPr>
            <w:rFonts w:eastAsiaTheme="minorEastAsia"/>
            <w:noProof/>
            <w:sz w:val="24"/>
            <w:szCs w:val="24"/>
            <w:lang w:val="en-CH"/>
          </w:rPr>
          <w:tab/>
        </w:r>
        <w:r w:rsidRPr="00894E5A">
          <w:rPr>
            <w:rStyle w:val="Hyperlink"/>
            <w:noProof/>
          </w:rPr>
          <w:t>Trata de personas</w:t>
        </w:r>
        <w:r>
          <w:rPr>
            <w:noProof/>
            <w:webHidden/>
          </w:rPr>
          <w:tab/>
        </w:r>
        <w:r>
          <w:rPr>
            <w:noProof/>
            <w:webHidden/>
          </w:rPr>
          <w:fldChar w:fldCharType="begin"/>
        </w:r>
        <w:r>
          <w:rPr>
            <w:noProof/>
            <w:webHidden/>
          </w:rPr>
          <w:instrText xml:space="preserve"> PAGEREF _Toc136246251 \h </w:instrText>
        </w:r>
        <w:r>
          <w:rPr>
            <w:noProof/>
            <w:webHidden/>
          </w:rPr>
        </w:r>
        <w:r>
          <w:rPr>
            <w:noProof/>
            <w:webHidden/>
          </w:rPr>
          <w:fldChar w:fldCharType="separate"/>
        </w:r>
        <w:r>
          <w:rPr>
            <w:noProof/>
            <w:webHidden/>
          </w:rPr>
          <w:t>13</w:t>
        </w:r>
        <w:r>
          <w:rPr>
            <w:noProof/>
            <w:webHidden/>
          </w:rPr>
          <w:fldChar w:fldCharType="end"/>
        </w:r>
      </w:hyperlink>
    </w:p>
    <w:p w14:paraId="273543E7" w14:textId="5A01E60E" w:rsidR="00797864" w:rsidRDefault="00797864">
      <w:pPr>
        <w:pStyle w:val="TOC3"/>
        <w:tabs>
          <w:tab w:val="right" w:leader="dot" w:pos="10070"/>
        </w:tabs>
        <w:rPr>
          <w:rFonts w:cstheme="minorBidi"/>
          <w:noProof/>
          <w:sz w:val="24"/>
          <w:szCs w:val="24"/>
          <w:lang w:val="en-CH" w:eastAsia="en-US"/>
        </w:rPr>
      </w:pPr>
      <w:hyperlink w:anchor="_Toc136246252" w:history="1">
        <w:r w:rsidRPr="00894E5A">
          <w:rPr>
            <w:rStyle w:val="Hyperlink"/>
            <w:noProof/>
          </w:rPr>
          <w:t>Recomendaciones:</w:t>
        </w:r>
        <w:r>
          <w:rPr>
            <w:noProof/>
            <w:webHidden/>
          </w:rPr>
          <w:tab/>
        </w:r>
        <w:r>
          <w:rPr>
            <w:noProof/>
            <w:webHidden/>
          </w:rPr>
          <w:fldChar w:fldCharType="begin"/>
        </w:r>
        <w:r>
          <w:rPr>
            <w:noProof/>
            <w:webHidden/>
          </w:rPr>
          <w:instrText xml:space="preserve"> PAGEREF _Toc136246252 \h </w:instrText>
        </w:r>
        <w:r>
          <w:rPr>
            <w:noProof/>
            <w:webHidden/>
          </w:rPr>
        </w:r>
        <w:r>
          <w:rPr>
            <w:noProof/>
            <w:webHidden/>
          </w:rPr>
          <w:fldChar w:fldCharType="separate"/>
        </w:r>
        <w:r>
          <w:rPr>
            <w:noProof/>
            <w:webHidden/>
          </w:rPr>
          <w:t>14</w:t>
        </w:r>
        <w:r>
          <w:rPr>
            <w:noProof/>
            <w:webHidden/>
          </w:rPr>
          <w:fldChar w:fldCharType="end"/>
        </w:r>
      </w:hyperlink>
    </w:p>
    <w:p w14:paraId="417AC4DE" w14:textId="3366EAF3" w:rsidR="00797864" w:rsidRDefault="00797864">
      <w:pPr>
        <w:pStyle w:val="TOC1"/>
        <w:tabs>
          <w:tab w:val="left" w:pos="720"/>
          <w:tab w:val="right" w:leader="dot" w:pos="10070"/>
        </w:tabs>
        <w:rPr>
          <w:rFonts w:eastAsiaTheme="minorEastAsia"/>
          <w:noProof/>
          <w:sz w:val="24"/>
          <w:szCs w:val="24"/>
          <w:lang w:val="en-CH"/>
        </w:rPr>
      </w:pPr>
      <w:hyperlink w:anchor="_Toc136246253" w:history="1">
        <w:r w:rsidRPr="00894E5A">
          <w:rPr>
            <w:rStyle w:val="Hyperlink"/>
            <w:noProof/>
          </w:rPr>
          <w:t>VIII.</w:t>
        </w:r>
        <w:r>
          <w:rPr>
            <w:rFonts w:eastAsiaTheme="minorEastAsia"/>
            <w:noProof/>
            <w:sz w:val="24"/>
            <w:szCs w:val="24"/>
            <w:lang w:val="en-CH"/>
          </w:rPr>
          <w:tab/>
        </w:r>
        <w:r w:rsidRPr="00894E5A">
          <w:rPr>
            <w:rStyle w:val="Hyperlink"/>
            <w:noProof/>
          </w:rPr>
          <w:t>Militarización del gasto público y compra de armas</w:t>
        </w:r>
        <w:r>
          <w:rPr>
            <w:noProof/>
            <w:webHidden/>
          </w:rPr>
          <w:tab/>
        </w:r>
        <w:r>
          <w:rPr>
            <w:noProof/>
            <w:webHidden/>
          </w:rPr>
          <w:fldChar w:fldCharType="begin"/>
        </w:r>
        <w:r>
          <w:rPr>
            <w:noProof/>
            <w:webHidden/>
          </w:rPr>
          <w:instrText xml:space="preserve"> PAGEREF _Toc136246253 \h </w:instrText>
        </w:r>
        <w:r>
          <w:rPr>
            <w:noProof/>
            <w:webHidden/>
          </w:rPr>
        </w:r>
        <w:r>
          <w:rPr>
            <w:noProof/>
            <w:webHidden/>
          </w:rPr>
          <w:fldChar w:fldCharType="separate"/>
        </w:r>
        <w:r>
          <w:rPr>
            <w:noProof/>
            <w:webHidden/>
          </w:rPr>
          <w:t>14</w:t>
        </w:r>
        <w:r>
          <w:rPr>
            <w:noProof/>
            <w:webHidden/>
          </w:rPr>
          <w:fldChar w:fldCharType="end"/>
        </w:r>
      </w:hyperlink>
    </w:p>
    <w:p w14:paraId="1DDF4B39" w14:textId="5C68EA4E" w:rsidR="00797864" w:rsidRDefault="00797864">
      <w:pPr>
        <w:pStyle w:val="TOC2"/>
        <w:tabs>
          <w:tab w:val="right" w:leader="dot" w:pos="10070"/>
        </w:tabs>
        <w:rPr>
          <w:rFonts w:cstheme="minorBidi"/>
          <w:noProof/>
          <w:sz w:val="24"/>
          <w:szCs w:val="24"/>
          <w:lang w:val="en-CH" w:eastAsia="en-US"/>
        </w:rPr>
      </w:pPr>
      <w:hyperlink w:anchor="_Toc136246254" w:history="1">
        <w:r w:rsidRPr="00894E5A">
          <w:rPr>
            <w:rStyle w:val="Hyperlink"/>
            <w:rFonts w:eastAsia="Times New Roman"/>
            <w:noProof/>
          </w:rPr>
          <w:t>Militarización del gasto público</w:t>
        </w:r>
        <w:r>
          <w:rPr>
            <w:noProof/>
            <w:webHidden/>
          </w:rPr>
          <w:tab/>
        </w:r>
        <w:r>
          <w:rPr>
            <w:noProof/>
            <w:webHidden/>
          </w:rPr>
          <w:fldChar w:fldCharType="begin"/>
        </w:r>
        <w:r>
          <w:rPr>
            <w:noProof/>
            <w:webHidden/>
          </w:rPr>
          <w:instrText xml:space="preserve"> PAGEREF _Toc136246254 \h </w:instrText>
        </w:r>
        <w:r>
          <w:rPr>
            <w:noProof/>
            <w:webHidden/>
          </w:rPr>
        </w:r>
        <w:r>
          <w:rPr>
            <w:noProof/>
            <w:webHidden/>
          </w:rPr>
          <w:fldChar w:fldCharType="separate"/>
        </w:r>
        <w:r>
          <w:rPr>
            <w:noProof/>
            <w:webHidden/>
          </w:rPr>
          <w:t>14</w:t>
        </w:r>
        <w:r>
          <w:rPr>
            <w:noProof/>
            <w:webHidden/>
          </w:rPr>
          <w:fldChar w:fldCharType="end"/>
        </w:r>
      </w:hyperlink>
    </w:p>
    <w:p w14:paraId="1A5583A1" w14:textId="2DED898A" w:rsidR="00797864" w:rsidRDefault="00797864">
      <w:pPr>
        <w:pStyle w:val="TOC3"/>
        <w:tabs>
          <w:tab w:val="right" w:leader="dot" w:pos="10070"/>
        </w:tabs>
        <w:rPr>
          <w:rFonts w:cstheme="minorBidi"/>
          <w:noProof/>
          <w:sz w:val="24"/>
          <w:szCs w:val="24"/>
          <w:lang w:val="en-CH" w:eastAsia="en-US"/>
        </w:rPr>
      </w:pPr>
      <w:hyperlink w:anchor="_Toc136246255" w:history="1">
        <w:r w:rsidRPr="00894E5A">
          <w:rPr>
            <w:rStyle w:val="Hyperlink"/>
            <w:noProof/>
          </w:rPr>
          <w:t>Recomendaciones:</w:t>
        </w:r>
        <w:r>
          <w:rPr>
            <w:noProof/>
            <w:webHidden/>
          </w:rPr>
          <w:tab/>
        </w:r>
        <w:r>
          <w:rPr>
            <w:noProof/>
            <w:webHidden/>
          </w:rPr>
          <w:fldChar w:fldCharType="begin"/>
        </w:r>
        <w:r>
          <w:rPr>
            <w:noProof/>
            <w:webHidden/>
          </w:rPr>
          <w:instrText xml:space="preserve"> PAGEREF _Toc136246255 \h </w:instrText>
        </w:r>
        <w:r>
          <w:rPr>
            <w:noProof/>
            <w:webHidden/>
          </w:rPr>
        </w:r>
        <w:r>
          <w:rPr>
            <w:noProof/>
            <w:webHidden/>
          </w:rPr>
          <w:fldChar w:fldCharType="separate"/>
        </w:r>
        <w:r>
          <w:rPr>
            <w:noProof/>
            <w:webHidden/>
          </w:rPr>
          <w:t>15</w:t>
        </w:r>
        <w:r>
          <w:rPr>
            <w:noProof/>
            <w:webHidden/>
          </w:rPr>
          <w:fldChar w:fldCharType="end"/>
        </w:r>
      </w:hyperlink>
    </w:p>
    <w:p w14:paraId="5DA77A9F" w14:textId="007071F9" w:rsidR="00797864" w:rsidRDefault="00797864">
      <w:pPr>
        <w:pStyle w:val="TOC2"/>
        <w:tabs>
          <w:tab w:val="right" w:leader="dot" w:pos="10070"/>
        </w:tabs>
        <w:rPr>
          <w:rFonts w:cstheme="minorBidi"/>
          <w:noProof/>
          <w:sz w:val="24"/>
          <w:szCs w:val="24"/>
          <w:lang w:val="en-CH" w:eastAsia="en-US"/>
        </w:rPr>
      </w:pPr>
      <w:hyperlink w:anchor="_Toc136246256" w:history="1">
        <w:r w:rsidRPr="00894E5A">
          <w:rPr>
            <w:rStyle w:val="Hyperlink"/>
            <w:noProof/>
            <w:lang w:val="es-ES"/>
          </w:rPr>
          <w:t>Compra y comercio de armas</w:t>
        </w:r>
        <w:r>
          <w:rPr>
            <w:noProof/>
            <w:webHidden/>
          </w:rPr>
          <w:tab/>
        </w:r>
        <w:r>
          <w:rPr>
            <w:noProof/>
            <w:webHidden/>
          </w:rPr>
          <w:fldChar w:fldCharType="begin"/>
        </w:r>
        <w:r>
          <w:rPr>
            <w:noProof/>
            <w:webHidden/>
          </w:rPr>
          <w:instrText xml:space="preserve"> PAGEREF _Toc136246256 \h </w:instrText>
        </w:r>
        <w:r>
          <w:rPr>
            <w:noProof/>
            <w:webHidden/>
          </w:rPr>
        </w:r>
        <w:r>
          <w:rPr>
            <w:noProof/>
            <w:webHidden/>
          </w:rPr>
          <w:fldChar w:fldCharType="separate"/>
        </w:r>
        <w:r>
          <w:rPr>
            <w:noProof/>
            <w:webHidden/>
          </w:rPr>
          <w:t>15</w:t>
        </w:r>
        <w:r>
          <w:rPr>
            <w:noProof/>
            <w:webHidden/>
          </w:rPr>
          <w:fldChar w:fldCharType="end"/>
        </w:r>
      </w:hyperlink>
    </w:p>
    <w:p w14:paraId="7D181C5F" w14:textId="073B2512" w:rsidR="00797864" w:rsidRDefault="00797864">
      <w:pPr>
        <w:pStyle w:val="TOC3"/>
        <w:tabs>
          <w:tab w:val="right" w:leader="dot" w:pos="10070"/>
        </w:tabs>
        <w:rPr>
          <w:rFonts w:cstheme="minorBidi"/>
          <w:noProof/>
          <w:sz w:val="24"/>
          <w:szCs w:val="24"/>
          <w:lang w:val="en-CH" w:eastAsia="en-US"/>
        </w:rPr>
      </w:pPr>
      <w:hyperlink w:anchor="_Toc136246257" w:history="1">
        <w:r w:rsidRPr="00894E5A">
          <w:rPr>
            <w:rStyle w:val="Hyperlink"/>
            <w:noProof/>
          </w:rPr>
          <w:t>Recomendaciones:</w:t>
        </w:r>
        <w:r>
          <w:rPr>
            <w:noProof/>
            <w:webHidden/>
          </w:rPr>
          <w:tab/>
        </w:r>
        <w:r>
          <w:rPr>
            <w:noProof/>
            <w:webHidden/>
          </w:rPr>
          <w:fldChar w:fldCharType="begin"/>
        </w:r>
        <w:r>
          <w:rPr>
            <w:noProof/>
            <w:webHidden/>
          </w:rPr>
          <w:instrText xml:space="preserve"> PAGEREF _Toc136246257 \h </w:instrText>
        </w:r>
        <w:r>
          <w:rPr>
            <w:noProof/>
            <w:webHidden/>
          </w:rPr>
        </w:r>
        <w:r>
          <w:rPr>
            <w:noProof/>
            <w:webHidden/>
          </w:rPr>
          <w:fldChar w:fldCharType="separate"/>
        </w:r>
        <w:r>
          <w:rPr>
            <w:noProof/>
            <w:webHidden/>
          </w:rPr>
          <w:t>16</w:t>
        </w:r>
        <w:r>
          <w:rPr>
            <w:noProof/>
            <w:webHidden/>
          </w:rPr>
          <w:fldChar w:fldCharType="end"/>
        </w:r>
      </w:hyperlink>
    </w:p>
    <w:p w14:paraId="1DD617D8" w14:textId="210556F5" w:rsidR="00D0493E" w:rsidRDefault="00287EF3" w:rsidP="00400C74">
      <w:pPr>
        <w:pStyle w:val="ListParagraph"/>
        <w:ind w:left="360"/>
        <w:jc w:val="both"/>
        <w:rPr>
          <w:rFonts w:ascii="Open Sans" w:hAnsi="Open Sans" w:cs="Open Sans"/>
          <w:b/>
          <w:sz w:val="20"/>
          <w:szCs w:val="20"/>
          <w:lang w:val="es-ES"/>
        </w:rPr>
      </w:pPr>
      <w:r>
        <w:rPr>
          <w:rFonts w:ascii="Open Sans" w:hAnsi="Open Sans" w:cs="Open Sans"/>
          <w:b/>
          <w:sz w:val="20"/>
          <w:szCs w:val="20"/>
          <w:lang w:val="es-ES"/>
        </w:rPr>
        <w:fldChar w:fldCharType="end"/>
      </w:r>
    </w:p>
    <w:p w14:paraId="0ED1076C" w14:textId="77777777" w:rsidR="00D0493E" w:rsidRDefault="00D0493E">
      <w:pPr>
        <w:rPr>
          <w:rFonts w:ascii="Open Sans" w:hAnsi="Open Sans" w:cs="Open Sans"/>
          <w:b/>
          <w:sz w:val="20"/>
          <w:szCs w:val="20"/>
          <w:lang w:val="es-ES"/>
        </w:rPr>
      </w:pPr>
      <w:r>
        <w:rPr>
          <w:rFonts w:ascii="Open Sans" w:hAnsi="Open Sans" w:cs="Open Sans"/>
          <w:b/>
          <w:sz w:val="20"/>
          <w:szCs w:val="20"/>
          <w:lang w:val="es-ES"/>
        </w:rPr>
        <w:br w:type="page"/>
      </w:r>
    </w:p>
    <w:p w14:paraId="5D2AB9A7" w14:textId="3FF79E2F" w:rsidR="006B4924" w:rsidRPr="00DB43E6" w:rsidRDefault="006B4924" w:rsidP="001645D9">
      <w:pPr>
        <w:pStyle w:val="Heading1"/>
      </w:pPr>
      <w:bookmarkStart w:id="1" w:name="_Toc136246236"/>
      <w:r w:rsidRPr="00DB43E6">
        <w:lastRenderedPageBreak/>
        <w:t>Introducción</w:t>
      </w:r>
      <w:bookmarkEnd w:id="1"/>
      <w:r w:rsidRPr="00DB43E6">
        <w:t xml:space="preserve"> </w:t>
      </w:r>
    </w:p>
    <w:p w14:paraId="4B2136B3" w14:textId="77777777" w:rsidR="006B4924" w:rsidRDefault="006B4924" w:rsidP="006B4924">
      <w:pPr>
        <w:rPr>
          <w:lang w:val="es-ES"/>
        </w:rPr>
      </w:pPr>
    </w:p>
    <w:p w14:paraId="2986A782" w14:textId="5A2EDC0E" w:rsidR="006B4924" w:rsidRPr="00321C39" w:rsidRDefault="006B4924" w:rsidP="00797864">
      <w:pPr>
        <w:rPr>
          <w:lang w:val="es-ES"/>
        </w:rPr>
      </w:pPr>
      <w:r w:rsidRPr="00321C39">
        <w:rPr>
          <w:lang w:val="es-ES"/>
        </w:rPr>
        <w:t>La Liga Internacional de las Mujeres por la Paz y la Libertad (</w:t>
      </w:r>
      <w:r w:rsidRPr="00797864">
        <w:rPr>
          <w:b/>
          <w:bCs/>
          <w:lang w:val="es-ES"/>
        </w:rPr>
        <w:t>L</w:t>
      </w:r>
      <w:r w:rsidR="00797864" w:rsidRPr="00797864">
        <w:rPr>
          <w:b/>
          <w:bCs/>
          <w:lang w:val="es-ES"/>
        </w:rPr>
        <w:t>impal</w:t>
      </w:r>
      <w:r w:rsidRPr="00797864">
        <w:rPr>
          <w:b/>
          <w:bCs/>
          <w:lang w:val="es-ES"/>
        </w:rPr>
        <w:t>) Colombia</w:t>
      </w:r>
      <w:r w:rsidRPr="00321C39">
        <w:rPr>
          <w:lang w:val="es-ES"/>
        </w:rPr>
        <w:t xml:space="preserve">; </w:t>
      </w:r>
      <w:proofErr w:type="gramStart"/>
      <w:r w:rsidRPr="00321C39">
        <w:rPr>
          <w:lang w:val="es-ES"/>
        </w:rPr>
        <w:t>Católicas</w:t>
      </w:r>
      <w:proofErr w:type="gramEnd"/>
      <w:r w:rsidRPr="00321C39">
        <w:rPr>
          <w:lang w:val="es-ES"/>
        </w:rPr>
        <w:t xml:space="preserve"> por el Derecho a Decidir – </w:t>
      </w:r>
      <w:r w:rsidRPr="00797864">
        <w:rPr>
          <w:b/>
          <w:bCs/>
          <w:lang w:val="es-ES"/>
        </w:rPr>
        <w:t>CDD</w:t>
      </w:r>
      <w:r w:rsidR="00797864" w:rsidRPr="00797864">
        <w:rPr>
          <w:b/>
          <w:bCs/>
          <w:lang w:val="es-ES"/>
        </w:rPr>
        <w:t xml:space="preserve"> Colombia</w:t>
      </w:r>
      <w:r w:rsidRPr="00321C39">
        <w:rPr>
          <w:lang w:val="es-ES"/>
        </w:rPr>
        <w:t xml:space="preserve"> y la Corporación de Apoyo a Comunidades Populares – </w:t>
      </w:r>
      <w:r w:rsidRPr="00797864">
        <w:rPr>
          <w:b/>
          <w:bCs/>
          <w:lang w:val="es-ES"/>
        </w:rPr>
        <w:t>CODACOP</w:t>
      </w:r>
      <w:r w:rsidRPr="00321C39">
        <w:rPr>
          <w:lang w:val="es-ES"/>
        </w:rPr>
        <w:t>, somos tres organizaciones sociales feministas, comprometidas con la promoción, defensa y protección de los derechos humanos de las mujeres y con el logro de la paz.</w:t>
      </w:r>
      <w:r w:rsidR="00797864">
        <w:rPr>
          <w:rStyle w:val="FootnoteReference"/>
          <w:lang w:val="es-ES"/>
        </w:rPr>
        <w:footnoteReference w:id="1"/>
      </w:r>
    </w:p>
    <w:p w14:paraId="5F92DC4B" w14:textId="640A6632" w:rsidR="006B4924" w:rsidRPr="00321C39" w:rsidRDefault="006B4924" w:rsidP="00797864">
      <w:pPr>
        <w:rPr>
          <w:lang w:val="es-ES"/>
        </w:rPr>
      </w:pPr>
      <w:r w:rsidRPr="00321C39">
        <w:rPr>
          <w:lang w:val="es-ES"/>
        </w:rPr>
        <w:t xml:space="preserve">El 5 de abril de 2023, presentamos un informe conjunto al </w:t>
      </w:r>
      <w:r w:rsidRPr="00DB43E6">
        <w:rPr>
          <w:lang w:val="es-ES"/>
        </w:rPr>
        <w:t>Examen Periódico Universal</w:t>
      </w:r>
      <w:r w:rsidRPr="00321C39">
        <w:rPr>
          <w:lang w:val="es-ES"/>
        </w:rPr>
        <w:t xml:space="preserve"> </w:t>
      </w:r>
      <w:r w:rsidR="00797864">
        <w:rPr>
          <w:lang w:val="es-ES"/>
        </w:rPr>
        <w:t>(</w:t>
      </w:r>
      <w:r w:rsidR="00797864" w:rsidRPr="006953EB">
        <w:rPr>
          <w:b/>
          <w:bCs/>
          <w:lang w:val="es-ES"/>
        </w:rPr>
        <w:t>EPU</w:t>
      </w:r>
      <w:r w:rsidR="00797864">
        <w:rPr>
          <w:lang w:val="es-ES"/>
        </w:rPr>
        <w:t xml:space="preserve">) </w:t>
      </w:r>
      <w:r w:rsidRPr="00321C39">
        <w:rPr>
          <w:lang w:val="es-ES"/>
        </w:rPr>
        <w:t>de Colombia en el cual hemos empleado el enfoque interseccional para visibilizar en 5 capítulos la emergencia por el aumento de violencias contra las mujeres y los impactos diferenciados y desproporcionados en el marco de la violencia armada. También, ofrecimos un análisis sobre la militarización del gasto público y la necesidad de hacer un tránsito progresivo hacia la priorización de recursos para el logro de la paz y la consolidación del estado social de derecho.</w:t>
      </w:r>
    </w:p>
    <w:p w14:paraId="7DB5BD78" w14:textId="755C005E" w:rsidR="006B4924" w:rsidRDefault="006B4924" w:rsidP="00797864">
      <w:pPr>
        <w:rPr>
          <w:lang w:val="es-ES"/>
        </w:rPr>
      </w:pPr>
      <w:r w:rsidRPr="00321C39">
        <w:rPr>
          <w:lang w:val="es-ES"/>
        </w:rPr>
        <w:t>Dado que muchas de las cuestiones abordadas en nuestro informe conjunto para el EPU son pertinentes para el examen por el Comité de Derechos Humanos del octavo informe periódico de Colombia, nuestras organizaciones someten</w:t>
      </w:r>
      <w:r>
        <w:rPr>
          <w:lang w:val="es-ES"/>
        </w:rPr>
        <w:t xml:space="preserve"> </w:t>
      </w:r>
      <w:r w:rsidRPr="00321C39">
        <w:rPr>
          <w:lang w:val="es-ES"/>
        </w:rPr>
        <w:t xml:space="preserve">dicho informe a la atención del Comité. </w:t>
      </w:r>
    </w:p>
    <w:p w14:paraId="40C66A12" w14:textId="1FBE6AC6" w:rsidR="00797864" w:rsidRDefault="006B4924" w:rsidP="00797864">
      <w:pPr>
        <w:rPr>
          <w:lang w:val="es-ES"/>
        </w:rPr>
      </w:pPr>
      <w:r>
        <w:rPr>
          <w:lang w:val="es-ES"/>
        </w:rPr>
        <w:t>E</w:t>
      </w:r>
      <w:r w:rsidRPr="00DD2137">
        <w:rPr>
          <w:lang w:val="es-ES"/>
        </w:rPr>
        <w:t xml:space="preserve">stamos a disposición para responder a preguntas de los miembros del Comité sobre las cuestiones </w:t>
      </w:r>
      <w:r>
        <w:rPr>
          <w:lang w:val="es-ES"/>
        </w:rPr>
        <w:t xml:space="preserve">abordadas en </w:t>
      </w:r>
      <w:r w:rsidR="00816FC0">
        <w:rPr>
          <w:lang w:val="es-ES"/>
        </w:rPr>
        <w:t>el</w:t>
      </w:r>
      <w:r>
        <w:rPr>
          <w:lang w:val="es-ES"/>
        </w:rPr>
        <w:t xml:space="preserve"> informe conjunto. </w:t>
      </w:r>
    </w:p>
    <w:p w14:paraId="76A24E5E" w14:textId="4DF2381E" w:rsidR="00723843" w:rsidRDefault="00723843">
      <w:pPr>
        <w:rPr>
          <w:lang w:val="es-ES"/>
        </w:rPr>
      </w:pPr>
      <w:bookmarkStart w:id="2" w:name="_Toc136246237"/>
      <w:r>
        <w:rPr>
          <w:lang w:val="es-ES"/>
        </w:rPr>
        <w:br w:type="page"/>
      </w:r>
    </w:p>
    <w:p w14:paraId="0F7BDBC3" w14:textId="4E805B3A" w:rsidR="006B4924" w:rsidRPr="00797864" w:rsidRDefault="00797864" w:rsidP="001645D9">
      <w:pPr>
        <w:pStyle w:val="Heading1"/>
        <w:rPr>
          <w:lang w:val="es-ES"/>
        </w:rPr>
      </w:pPr>
      <w:r>
        <w:rPr>
          <w:lang w:val="es-ES"/>
        </w:rPr>
        <w:lastRenderedPageBreak/>
        <w:t>I</w:t>
      </w:r>
      <w:r w:rsidR="006B4924" w:rsidRPr="00797864">
        <w:rPr>
          <w:lang w:val="es-ES"/>
        </w:rPr>
        <w:t>nforme conjunto presentado a la 44 sesión del Grupo de Trabajo sobre el Examen Periódico Universal el 5 de abril de 2023.</w:t>
      </w:r>
      <w:bookmarkEnd w:id="2"/>
    </w:p>
    <w:p w14:paraId="16818906" w14:textId="77777777" w:rsidR="00FF5CED" w:rsidRDefault="00FF5CED" w:rsidP="00700673">
      <w:pPr>
        <w:jc w:val="both"/>
        <w:rPr>
          <w:rFonts w:ascii="Open Sans" w:hAnsi="Open Sans" w:cs="Open Sans"/>
          <w:sz w:val="20"/>
          <w:szCs w:val="20"/>
          <w:lang w:val="es-ES"/>
        </w:rPr>
      </w:pPr>
    </w:p>
    <w:p w14:paraId="297CD3CA" w14:textId="37D8E2CC" w:rsidR="00700673" w:rsidRPr="00700673" w:rsidRDefault="00700673" w:rsidP="0022182F">
      <w:pPr>
        <w:rPr>
          <w:lang w:val="es-ES"/>
        </w:rPr>
      </w:pPr>
      <w:r w:rsidRPr="00700673">
        <w:rPr>
          <w:lang w:val="es-ES"/>
        </w:rPr>
        <w:t xml:space="preserve">Desde la última evaluación del EPU en 2018, el país ha experimentado un aumento en los niveles de violencia por las disputas por el control territorial y economías ilegales entre Grupos armados no estatales y organizaciones criminales, afectando severamente los liderazgos y la vida comunitaria rural, con impactos diferenciales en las mujeres y población con Orientación Sexual e Identidades de Género diversas, en adelante </w:t>
      </w:r>
      <w:r w:rsidRPr="00E01558">
        <w:rPr>
          <w:b/>
          <w:lang w:val="es-ES"/>
        </w:rPr>
        <w:t>OSIGD</w:t>
      </w:r>
      <w:r w:rsidRPr="00700673">
        <w:rPr>
          <w:lang w:val="es-ES"/>
        </w:rPr>
        <w:t xml:space="preserve">. Otra importante característica de este periodo es la baja implementación del Acuerdo </w:t>
      </w:r>
      <w:r w:rsidR="0080650F">
        <w:rPr>
          <w:lang w:val="es-ES"/>
        </w:rPr>
        <w:t>Final de Paz</w:t>
      </w:r>
      <w:r w:rsidR="006F2FAE">
        <w:rPr>
          <w:lang w:val="es-ES"/>
        </w:rPr>
        <w:t xml:space="preserve">, </w:t>
      </w:r>
      <w:r w:rsidRPr="00700673">
        <w:rPr>
          <w:lang w:val="es-ES"/>
        </w:rPr>
        <w:t>especialmente de las medidas de género y del capítulo étnico.</w:t>
      </w:r>
    </w:p>
    <w:p w14:paraId="34D5A448" w14:textId="45FD644B" w:rsidR="00700673" w:rsidRPr="00700673" w:rsidRDefault="00700673" w:rsidP="0022182F">
      <w:pPr>
        <w:rPr>
          <w:lang w:val="es-ES"/>
        </w:rPr>
      </w:pPr>
      <w:r w:rsidRPr="00700673">
        <w:rPr>
          <w:lang w:val="es-ES"/>
        </w:rPr>
        <w:t>Si bien, gracias al impulso de mujeres y feministas, ha habido avances legislativos importantes en materia de equidad de género</w:t>
      </w:r>
      <w:r w:rsidR="0080650F">
        <w:rPr>
          <w:rStyle w:val="FootnoteReference"/>
          <w:rFonts w:ascii="Open Sans" w:hAnsi="Open Sans" w:cs="Open Sans"/>
          <w:sz w:val="20"/>
          <w:szCs w:val="20"/>
          <w:lang w:val="es-ES"/>
        </w:rPr>
        <w:footnoteReference w:id="2"/>
      </w:r>
      <w:r w:rsidRPr="00700673">
        <w:rPr>
          <w:lang w:val="es-ES"/>
        </w:rPr>
        <w:t xml:space="preserve">, las recomendaciones del ciclo anterior relativas a los </w:t>
      </w:r>
      <w:r w:rsidRPr="006C0300">
        <w:rPr>
          <w:lang w:val="es-ES"/>
        </w:rPr>
        <w:t xml:space="preserve">derechos de las mujeres fueron parcialmente implementadas. </w:t>
      </w:r>
      <w:r w:rsidR="0080650F" w:rsidRPr="006C0300">
        <w:rPr>
          <w:lang w:val="es-ES"/>
        </w:rPr>
        <w:t>Por el contrario, h</w:t>
      </w:r>
      <w:r w:rsidRPr="006C0300">
        <w:rPr>
          <w:lang w:val="es-ES"/>
        </w:rPr>
        <w:t xml:space="preserve">a habido un incremento en las </w:t>
      </w:r>
      <w:r w:rsidR="00C535FB" w:rsidRPr="006C0300">
        <w:rPr>
          <w:lang w:val="es-ES"/>
        </w:rPr>
        <w:t>violencias contra las mujeres</w:t>
      </w:r>
      <w:r w:rsidRPr="006C0300">
        <w:rPr>
          <w:lang w:val="es-ES"/>
        </w:rPr>
        <w:t xml:space="preserve"> y población OSIGD, </w:t>
      </w:r>
      <w:r w:rsidR="0080650F" w:rsidRPr="006C0300">
        <w:rPr>
          <w:lang w:val="es-ES"/>
        </w:rPr>
        <w:t>de modo que el</w:t>
      </w:r>
      <w:r w:rsidRPr="006C0300">
        <w:rPr>
          <w:lang w:val="es-ES"/>
        </w:rPr>
        <w:t xml:space="preserve"> movimiento social de mujeres ha pedido al gobierno declarar emergencia nacional por la violencia machista</w:t>
      </w:r>
      <w:r w:rsidR="0080650F" w:rsidRPr="006C0300">
        <w:rPr>
          <w:lang w:val="es-ES"/>
        </w:rPr>
        <w:t>.</w:t>
      </w:r>
      <w:r w:rsidRPr="006C0300">
        <w:rPr>
          <w:lang w:val="es-ES"/>
        </w:rPr>
        <w:t xml:space="preserve"> </w:t>
      </w:r>
      <w:r w:rsidR="00C53BE1" w:rsidRPr="006C0300">
        <w:rPr>
          <w:lang w:val="es-ES"/>
        </w:rPr>
        <w:t xml:space="preserve">De 2018 a 2022, el Observatorio Feminicidios Colombia registró 3.106 feminicidios y </w:t>
      </w:r>
      <w:proofErr w:type="spellStart"/>
      <w:r w:rsidR="00C53BE1" w:rsidRPr="006C0300">
        <w:rPr>
          <w:lang w:val="es-ES"/>
        </w:rPr>
        <w:t>transfeminicidios</w:t>
      </w:r>
      <w:proofErr w:type="spellEnd"/>
      <w:r w:rsidR="00C53BE1" w:rsidRPr="006C0300">
        <w:rPr>
          <w:lang w:val="es-ES"/>
        </w:rPr>
        <w:t xml:space="preserve"> en el país. La mayoría de ellos fueron cometidos con arma de fuego por sicarios y hombres conocidos. El parentesco predominante es la pareja sentimental de la víctima y el lugar de los hechos, la vivienda. El rango de edad de las víctimas se ubica predominantemente entre los 20 y 34 años. En lo que va del 2023 se han registrado 49 feminicidios. Así mismo, La incursión educativa de las mujeres en el país no ha sido suficiente para cerrar las brechas laborales y la feminización de la pobreza: las mujeres participan menos en el mercado laboral que los hombres, se insertan en condiciones desfavorables de informalidad, reciben menos salario por su trabajo y tienen menos acceso a mecanismos de protección social. Además, la probabilidad de no contar con un sustento económico propio de las mujeres (27,5%) es casi tres veces mayor que la de los hombres (10,2%). Esta diferencia se agrava en el ámbito rural, donde la probabilidad de una mujer de no contar con ingresos propios es cinco veces mayor a la de un hombre (35,9% y 7,8%, respectivamente).</w:t>
      </w:r>
    </w:p>
    <w:p w14:paraId="49D006A3" w14:textId="049BA040" w:rsidR="00D3468A" w:rsidRPr="00233FA9" w:rsidRDefault="00700673" w:rsidP="0022182F">
      <w:pPr>
        <w:rPr>
          <w:lang w:val="es-ES"/>
        </w:rPr>
      </w:pPr>
      <w:r w:rsidRPr="00700673">
        <w:rPr>
          <w:lang w:val="es-ES"/>
        </w:rPr>
        <w:t>El gobierno actual se ha declarado comprometido con el logro de la paz</w:t>
      </w:r>
      <w:r w:rsidR="00273FC7">
        <w:rPr>
          <w:rStyle w:val="FootnoteReference"/>
          <w:rFonts w:ascii="Open Sans" w:hAnsi="Open Sans" w:cs="Open Sans"/>
          <w:sz w:val="20"/>
          <w:szCs w:val="20"/>
          <w:lang w:val="es-ES"/>
        </w:rPr>
        <w:footnoteReference w:id="3"/>
      </w:r>
      <w:r w:rsidRPr="00700673">
        <w:rPr>
          <w:lang w:val="es-ES"/>
        </w:rPr>
        <w:t xml:space="preserve">, con la reducción de las brechas sociales y con superar las violencias, la discriminación y las desigualdades basadas en el género, de modo que este informe es relevante para identificar algunas de las mayores vulneraciones de </w:t>
      </w:r>
      <w:r w:rsidR="00186031">
        <w:rPr>
          <w:lang w:val="es-ES"/>
        </w:rPr>
        <w:t>d</w:t>
      </w:r>
      <w:r w:rsidRPr="00700673">
        <w:rPr>
          <w:lang w:val="es-ES"/>
        </w:rPr>
        <w:t xml:space="preserve">erechos </w:t>
      </w:r>
      <w:r w:rsidR="00186031">
        <w:rPr>
          <w:lang w:val="es-ES"/>
        </w:rPr>
        <w:t>h</w:t>
      </w:r>
      <w:r w:rsidRPr="00700673">
        <w:rPr>
          <w:lang w:val="es-ES"/>
        </w:rPr>
        <w:t>umanos de las mujeres, desde un enfoque interseccional, y algunas recomendaciones producto del trabajo de seguimiento y exigibilidad que por años hemos adelantado.</w:t>
      </w:r>
    </w:p>
    <w:p w14:paraId="4C9B658B" w14:textId="08202808" w:rsidR="00303FEB" w:rsidRPr="00FF5CED" w:rsidRDefault="008F1A64" w:rsidP="0022182F">
      <w:pPr>
        <w:pStyle w:val="Heading1"/>
        <w:numPr>
          <w:ilvl w:val="0"/>
          <w:numId w:val="30"/>
        </w:numPr>
      </w:pPr>
      <w:bookmarkStart w:id="3" w:name="_Toc136246238"/>
      <w:r w:rsidRPr="00FF5CED">
        <w:t>Implementación de las medidas de género del Acuerdo Final de Paz</w:t>
      </w:r>
      <w:bookmarkEnd w:id="3"/>
      <w:r w:rsidR="00A36DFB" w:rsidRPr="00FF5CED">
        <w:t xml:space="preserve"> </w:t>
      </w:r>
    </w:p>
    <w:p w14:paraId="5459B14E" w14:textId="77777777" w:rsidR="00A21882" w:rsidRDefault="00A21882" w:rsidP="006C315C">
      <w:pPr>
        <w:jc w:val="both"/>
        <w:rPr>
          <w:rFonts w:ascii="Open Sans" w:hAnsi="Open Sans" w:cs="Open Sans"/>
          <w:sz w:val="20"/>
          <w:szCs w:val="20"/>
          <w:lang w:val="es-ES"/>
        </w:rPr>
      </w:pPr>
      <w:bookmarkStart w:id="4" w:name="_Hlk126333353"/>
    </w:p>
    <w:p w14:paraId="00936688" w14:textId="2EF6FD21" w:rsidR="00C87760" w:rsidRPr="00233FA9" w:rsidRDefault="00BD60C4" w:rsidP="0022182F">
      <w:pPr>
        <w:rPr>
          <w:lang w:val="es-ES"/>
        </w:rPr>
      </w:pPr>
      <w:r w:rsidRPr="00233FA9">
        <w:rPr>
          <w:lang w:val="es-ES"/>
        </w:rPr>
        <w:t xml:space="preserve">El </w:t>
      </w:r>
      <w:r w:rsidR="006F2FAE" w:rsidRPr="00700673">
        <w:rPr>
          <w:lang w:val="es-ES"/>
        </w:rPr>
        <w:t xml:space="preserve">Acuerdo </w:t>
      </w:r>
      <w:r w:rsidR="006F2FAE">
        <w:rPr>
          <w:lang w:val="es-ES"/>
        </w:rPr>
        <w:t>Final de Paz</w:t>
      </w:r>
      <w:r w:rsidR="006F2FAE" w:rsidRPr="00233FA9">
        <w:rPr>
          <w:lang w:val="es-ES"/>
        </w:rPr>
        <w:t xml:space="preserve"> </w:t>
      </w:r>
      <w:r w:rsidRPr="00233FA9">
        <w:rPr>
          <w:lang w:val="es-ES"/>
        </w:rPr>
        <w:t xml:space="preserve">es innovador </w:t>
      </w:r>
      <w:r w:rsidR="00C27A0C" w:rsidRPr="00233FA9">
        <w:rPr>
          <w:lang w:val="es-ES"/>
        </w:rPr>
        <w:t xml:space="preserve">porque </w:t>
      </w:r>
      <w:r w:rsidRPr="00233FA9">
        <w:rPr>
          <w:lang w:val="es-ES"/>
        </w:rPr>
        <w:t>ha incorporado</w:t>
      </w:r>
      <w:r w:rsidR="00C27A0C" w:rsidRPr="00233FA9">
        <w:rPr>
          <w:lang w:val="es-ES"/>
        </w:rPr>
        <w:t>,</w:t>
      </w:r>
      <w:r w:rsidRPr="00233FA9">
        <w:rPr>
          <w:lang w:val="es-ES"/>
        </w:rPr>
        <w:t xml:space="preserve"> por primera vez </w:t>
      </w:r>
      <w:r w:rsidR="008E0ED1" w:rsidRPr="00233FA9">
        <w:rPr>
          <w:lang w:val="es-ES"/>
        </w:rPr>
        <w:t>en el mundo</w:t>
      </w:r>
      <w:r w:rsidR="00C27A0C" w:rsidRPr="00233FA9">
        <w:rPr>
          <w:lang w:val="es-ES"/>
        </w:rPr>
        <w:t>,</w:t>
      </w:r>
      <w:r w:rsidR="00495B56" w:rsidRPr="00233FA9">
        <w:rPr>
          <w:lang w:val="es-ES"/>
        </w:rPr>
        <w:t xml:space="preserve"> </w:t>
      </w:r>
      <w:r w:rsidRPr="00233FA9">
        <w:rPr>
          <w:lang w:val="es-ES"/>
        </w:rPr>
        <w:t xml:space="preserve">el enfoque de género y </w:t>
      </w:r>
      <w:r w:rsidR="00A976D9" w:rsidRPr="00233FA9">
        <w:rPr>
          <w:lang w:val="es-ES"/>
        </w:rPr>
        <w:t>de</w:t>
      </w:r>
      <w:r w:rsidRPr="00233FA9">
        <w:rPr>
          <w:lang w:val="es-ES"/>
        </w:rPr>
        <w:t xml:space="preserve"> </w:t>
      </w:r>
      <w:r w:rsidR="00186031">
        <w:rPr>
          <w:lang w:val="es-ES"/>
        </w:rPr>
        <w:t>d</w:t>
      </w:r>
      <w:r w:rsidRPr="00233FA9">
        <w:rPr>
          <w:lang w:val="es-ES"/>
        </w:rPr>
        <w:t xml:space="preserve">erechos </w:t>
      </w:r>
      <w:r w:rsidR="00186031">
        <w:rPr>
          <w:lang w:val="es-ES"/>
        </w:rPr>
        <w:t>h</w:t>
      </w:r>
      <w:r w:rsidR="00F55130" w:rsidRPr="00233FA9">
        <w:rPr>
          <w:lang w:val="es-ES"/>
        </w:rPr>
        <w:t xml:space="preserve">umanos </w:t>
      </w:r>
      <w:r w:rsidRPr="00233FA9">
        <w:rPr>
          <w:lang w:val="es-ES"/>
        </w:rPr>
        <w:t xml:space="preserve">de las </w:t>
      </w:r>
      <w:r w:rsidR="002052C8" w:rsidRPr="00233FA9">
        <w:rPr>
          <w:lang w:val="es-ES"/>
        </w:rPr>
        <w:t>m</w:t>
      </w:r>
      <w:r w:rsidRPr="00233FA9">
        <w:rPr>
          <w:lang w:val="es-ES"/>
        </w:rPr>
        <w:t>ujeres</w:t>
      </w:r>
      <w:r w:rsidR="00B32A77" w:rsidRPr="00233FA9">
        <w:rPr>
          <w:lang w:val="es-ES"/>
        </w:rPr>
        <w:t xml:space="preserve"> de manera transversal</w:t>
      </w:r>
      <w:r w:rsidR="008E0ED1" w:rsidRPr="00233FA9">
        <w:rPr>
          <w:lang w:val="es-ES"/>
        </w:rPr>
        <w:t xml:space="preserve">. </w:t>
      </w:r>
      <w:r w:rsidRPr="00233FA9">
        <w:rPr>
          <w:lang w:val="es-ES"/>
        </w:rPr>
        <w:t xml:space="preserve">Sin embargo, </w:t>
      </w:r>
      <w:r w:rsidR="008E0ED1" w:rsidRPr="00233FA9">
        <w:rPr>
          <w:lang w:val="es-ES"/>
        </w:rPr>
        <w:t>la implementación alcanzada</w:t>
      </w:r>
      <w:r w:rsidR="007300C1" w:rsidRPr="00233FA9">
        <w:rPr>
          <w:lang w:val="es-ES"/>
        </w:rPr>
        <w:t xml:space="preserve"> hasta ahora</w:t>
      </w:r>
      <w:r w:rsidR="008E0ED1" w:rsidRPr="00233FA9">
        <w:rPr>
          <w:lang w:val="es-ES"/>
        </w:rPr>
        <w:t xml:space="preserve"> es </w:t>
      </w:r>
      <w:r w:rsidR="008C6EB8" w:rsidRPr="00233FA9">
        <w:rPr>
          <w:lang w:val="es-ES"/>
        </w:rPr>
        <w:t>insuficiente</w:t>
      </w:r>
      <w:r w:rsidR="00252116" w:rsidRPr="00233FA9">
        <w:rPr>
          <w:lang w:val="es-ES"/>
        </w:rPr>
        <w:t xml:space="preserve"> y ha resultado en que el enfoque de género se materialice en la </w:t>
      </w:r>
      <w:r w:rsidR="00252116" w:rsidRPr="00233FA9">
        <w:rPr>
          <w:lang w:val="es-ES"/>
        </w:rPr>
        <w:lastRenderedPageBreak/>
        <w:t>“identificación de beneficiarios por sexo, o en la definición de cuotas mínimas de género, pero no en la puesta en marcha de acciones para la superación de barreras”</w:t>
      </w:r>
      <w:r w:rsidR="00AA055E">
        <w:rPr>
          <w:rStyle w:val="FootnoteReference"/>
          <w:rFonts w:ascii="Open Sans" w:hAnsi="Open Sans" w:cs="Open Sans"/>
          <w:sz w:val="20"/>
          <w:szCs w:val="20"/>
          <w:lang w:val="es-ES"/>
        </w:rPr>
        <w:footnoteReference w:id="4"/>
      </w:r>
      <w:r w:rsidR="00AA055E">
        <w:rPr>
          <w:lang w:val="es-ES"/>
        </w:rPr>
        <w:t xml:space="preserve">, </w:t>
      </w:r>
      <w:r w:rsidR="007A04BF" w:rsidRPr="00233FA9">
        <w:rPr>
          <w:lang w:val="es-ES"/>
        </w:rPr>
        <w:t xml:space="preserve">ni en la participación plena y paritaria de las mujeres. </w:t>
      </w:r>
    </w:p>
    <w:p w14:paraId="407E9AE7" w14:textId="071737F3" w:rsidR="00C87760" w:rsidRPr="00233FA9" w:rsidRDefault="00C87760" w:rsidP="0022182F">
      <w:pPr>
        <w:rPr>
          <w:lang w:val="es-ES"/>
        </w:rPr>
      </w:pPr>
      <w:r w:rsidRPr="006C0300">
        <w:rPr>
          <w:lang w:val="es-ES"/>
        </w:rPr>
        <w:t xml:space="preserve">Aunque el gobierno reporta </w:t>
      </w:r>
      <w:r w:rsidR="00AA055E" w:rsidRPr="006C0300">
        <w:rPr>
          <w:lang w:val="es-ES"/>
        </w:rPr>
        <w:t>que,</w:t>
      </w:r>
      <w:r w:rsidRPr="006C0300">
        <w:rPr>
          <w:lang w:val="es-ES"/>
        </w:rPr>
        <w:t xml:space="preserve"> a enero de 2023, el 65% de los indicadores de género del </w:t>
      </w:r>
      <w:r w:rsidR="007D5C07" w:rsidRPr="006C0300">
        <w:rPr>
          <w:color w:val="000000"/>
        </w:rPr>
        <w:t>Plan Marco de Implementación del Acuerdo Final (</w:t>
      </w:r>
      <w:r w:rsidR="007D5C07" w:rsidRPr="006C0300">
        <w:rPr>
          <w:b/>
          <w:bCs/>
          <w:color w:val="000000"/>
        </w:rPr>
        <w:t>PMI</w:t>
      </w:r>
      <w:r w:rsidR="007D5C07" w:rsidRPr="006C0300">
        <w:rPr>
          <w:color w:val="000000"/>
        </w:rPr>
        <w:t xml:space="preserve">) </w:t>
      </w:r>
      <w:r w:rsidRPr="006C0300">
        <w:rPr>
          <w:lang w:val="es-ES"/>
        </w:rPr>
        <w:t>“ya se cumplieron o tienen un alto nivel de transversalización”</w:t>
      </w:r>
      <w:r w:rsidR="0022182F">
        <w:rPr>
          <w:rStyle w:val="FootnoteReference"/>
          <w:lang w:val="es-ES"/>
        </w:rPr>
        <w:footnoteReference w:id="5"/>
      </w:r>
      <w:r w:rsidR="001F0C43" w:rsidRPr="006C0300">
        <w:rPr>
          <w:lang w:val="es-ES"/>
        </w:rPr>
        <w:t xml:space="preserve">, </w:t>
      </w:r>
      <w:r w:rsidRPr="006C0300">
        <w:rPr>
          <w:lang w:val="es-ES"/>
        </w:rPr>
        <w:t xml:space="preserve">la </w:t>
      </w:r>
      <w:r w:rsidR="007D5C07" w:rsidRPr="006C0300">
        <w:rPr>
          <w:color w:val="000000"/>
        </w:rPr>
        <w:t>Contraloría General de la República</w:t>
      </w:r>
      <w:r w:rsidR="007D5C07" w:rsidRPr="006C0300">
        <w:rPr>
          <w:b/>
          <w:color w:val="000000"/>
        </w:rPr>
        <w:t xml:space="preserve"> (</w:t>
      </w:r>
      <w:r w:rsidR="007D5C07" w:rsidRPr="006C0300">
        <w:rPr>
          <w:b/>
          <w:bCs/>
          <w:color w:val="000000"/>
        </w:rPr>
        <w:t>CGR</w:t>
      </w:r>
      <w:r w:rsidR="007D5C07" w:rsidRPr="006C0300">
        <w:rPr>
          <w:b/>
          <w:color w:val="000000"/>
        </w:rPr>
        <w:t>)</w:t>
      </w:r>
      <w:r w:rsidR="007D5C07" w:rsidRPr="006C0300">
        <w:rPr>
          <w:color w:val="000000"/>
        </w:rPr>
        <w:t xml:space="preserve"> </w:t>
      </w:r>
      <w:r w:rsidRPr="006C0300">
        <w:rPr>
          <w:lang w:val="es-ES"/>
        </w:rPr>
        <w:t>alertó en 2021 que el ritmo de avances alcanzados no sería suficiente para alcanzar las metas en los tiempos establecidos y que la destinación de recursos para incorpora</w:t>
      </w:r>
      <w:r w:rsidR="00FA1FD8" w:rsidRPr="006C0300">
        <w:rPr>
          <w:lang w:val="es-ES"/>
        </w:rPr>
        <w:t>r</w:t>
      </w:r>
      <w:r w:rsidR="00FA1FD8" w:rsidRPr="00AA055E">
        <w:rPr>
          <w:lang w:val="es-ES"/>
        </w:rPr>
        <w:t xml:space="preserve"> </w:t>
      </w:r>
      <w:r w:rsidRPr="00AA055E">
        <w:rPr>
          <w:lang w:val="es-ES"/>
        </w:rPr>
        <w:t>transversal</w:t>
      </w:r>
      <w:r w:rsidR="00FA1FD8" w:rsidRPr="00AA055E">
        <w:rPr>
          <w:lang w:val="es-ES"/>
        </w:rPr>
        <w:t xml:space="preserve">mente </w:t>
      </w:r>
      <w:r w:rsidRPr="00AA055E">
        <w:rPr>
          <w:lang w:val="es-ES"/>
        </w:rPr>
        <w:t>el enfoque de género es marginal e insuficiente</w:t>
      </w:r>
      <w:r w:rsidR="0022182F">
        <w:rPr>
          <w:rStyle w:val="FootnoteReference"/>
          <w:lang w:val="es-ES"/>
        </w:rPr>
        <w:footnoteReference w:id="6"/>
      </w:r>
      <w:r w:rsidRPr="00233FA9">
        <w:rPr>
          <w:lang w:val="es-ES"/>
        </w:rPr>
        <w:t xml:space="preserve">. </w:t>
      </w:r>
      <w:r w:rsidR="00FA1FD8" w:rsidRPr="00233FA9">
        <w:rPr>
          <w:lang w:val="es-ES"/>
        </w:rPr>
        <w:t>De otro modo, en e</w:t>
      </w:r>
      <w:r w:rsidRPr="00233FA9">
        <w:rPr>
          <w:lang w:val="es-ES"/>
        </w:rPr>
        <w:t>l</w:t>
      </w:r>
      <w:r w:rsidR="00FA1FD8" w:rsidRPr="00233FA9">
        <w:rPr>
          <w:lang w:val="es-ES"/>
        </w:rPr>
        <w:t xml:space="preserve"> </w:t>
      </w:r>
      <w:r w:rsidRPr="00233FA9">
        <w:rPr>
          <w:lang w:val="es-ES"/>
        </w:rPr>
        <w:t xml:space="preserve">PMI </w:t>
      </w:r>
      <w:r w:rsidR="00FA1FD8" w:rsidRPr="00233FA9">
        <w:rPr>
          <w:lang w:val="es-ES"/>
        </w:rPr>
        <w:t>se crearon</w:t>
      </w:r>
      <w:r w:rsidRPr="00233FA9">
        <w:rPr>
          <w:lang w:val="es-ES"/>
        </w:rPr>
        <w:t xml:space="preserve"> </w:t>
      </w:r>
      <w:r w:rsidR="006A6225" w:rsidRPr="00233FA9">
        <w:rPr>
          <w:lang w:val="es-ES"/>
        </w:rPr>
        <w:t xml:space="preserve">menos metas de las necesarias para dar cumplimiento al </w:t>
      </w:r>
      <w:r w:rsidR="005C462A" w:rsidRPr="00700673">
        <w:rPr>
          <w:lang w:val="es-ES"/>
        </w:rPr>
        <w:t xml:space="preserve">Acuerdo </w:t>
      </w:r>
      <w:r w:rsidR="005C462A">
        <w:rPr>
          <w:lang w:val="es-ES"/>
        </w:rPr>
        <w:t>Final de Paz</w:t>
      </w:r>
      <w:r w:rsidR="0022182F">
        <w:rPr>
          <w:rStyle w:val="FootnoteReference"/>
          <w:lang w:val="es-ES"/>
        </w:rPr>
        <w:footnoteReference w:id="7"/>
      </w:r>
      <w:r w:rsidR="005C462A" w:rsidRPr="00233FA9">
        <w:rPr>
          <w:rStyle w:val="FootnoteReference"/>
          <w:rFonts w:ascii="Open Sans" w:hAnsi="Open Sans" w:cs="Open Sans"/>
          <w:sz w:val="20"/>
          <w:szCs w:val="20"/>
          <w:lang w:val="es-ES"/>
        </w:rPr>
        <w:t xml:space="preserve"> </w:t>
      </w:r>
      <w:r w:rsidR="00D22FFD" w:rsidRPr="00233FA9">
        <w:rPr>
          <w:lang w:val="es-ES"/>
        </w:rPr>
        <w:t xml:space="preserve"> </w:t>
      </w:r>
      <w:r w:rsidR="00FA1FD8" w:rsidRPr="00233FA9">
        <w:rPr>
          <w:lang w:val="es-ES"/>
        </w:rPr>
        <w:t xml:space="preserve">y se establecieron indicadores que no miden los objetivos establecidos en el </w:t>
      </w:r>
      <w:r w:rsidR="005C462A" w:rsidRPr="00700673">
        <w:rPr>
          <w:lang w:val="es-ES"/>
        </w:rPr>
        <w:t xml:space="preserve">Acuerdo </w:t>
      </w:r>
      <w:r w:rsidR="005C462A">
        <w:rPr>
          <w:lang w:val="es-ES"/>
        </w:rPr>
        <w:t>Final de Paz</w:t>
      </w:r>
      <w:r w:rsidR="00FA1FD8" w:rsidRPr="00233FA9">
        <w:rPr>
          <w:lang w:val="es-ES"/>
        </w:rPr>
        <w:t xml:space="preserve">, </w:t>
      </w:r>
      <w:r w:rsidR="008E0ED1" w:rsidRPr="00233FA9">
        <w:rPr>
          <w:lang w:val="es-ES"/>
        </w:rPr>
        <w:t>lo que implica que</w:t>
      </w:r>
      <w:r w:rsidR="00FA1FD8" w:rsidRPr="00233FA9">
        <w:rPr>
          <w:lang w:val="es-ES"/>
        </w:rPr>
        <w:t>,</w:t>
      </w:r>
      <w:r w:rsidR="008E0ED1" w:rsidRPr="00233FA9">
        <w:rPr>
          <w:lang w:val="es-ES"/>
        </w:rPr>
        <w:t xml:space="preserve"> más de la mitad de las medidas </w:t>
      </w:r>
      <w:r w:rsidR="00FA1FD8" w:rsidRPr="00233FA9">
        <w:rPr>
          <w:lang w:val="es-ES"/>
        </w:rPr>
        <w:t>de género</w:t>
      </w:r>
      <w:r w:rsidR="007A04BF" w:rsidRPr="00233FA9">
        <w:rPr>
          <w:lang w:val="es-ES"/>
        </w:rPr>
        <w:t xml:space="preserve"> del </w:t>
      </w:r>
      <w:r w:rsidR="005C462A" w:rsidRPr="00700673">
        <w:rPr>
          <w:lang w:val="es-ES"/>
        </w:rPr>
        <w:t xml:space="preserve">Acuerdo </w:t>
      </w:r>
      <w:r w:rsidR="005C462A">
        <w:rPr>
          <w:lang w:val="es-ES"/>
        </w:rPr>
        <w:t>Final de Paz</w:t>
      </w:r>
      <w:r w:rsidR="00FA1FD8" w:rsidRPr="00233FA9">
        <w:rPr>
          <w:lang w:val="es-ES"/>
        </w:rPr>
        <w:t xml:space="preserve">, </w:t>
      </w:r>
      <w:r w:rsidR="008E0ED1" w:rsidRPr="00233FA9">
        <w:rPr>
          <w:lang w:val="es-ES"/>
        </w:rPr>
        <w:t>no cuenta</w:t>
      </w:r>
      <w:r w:rsidR="007300C1" w:rsidRPr="00233FA9">
        <w:rPr>
          <w:lang w:val="es-ES"/>
        </w:rPr>
        <w:t>n</w:t>
      </w:r>
      <w:r w:rsidR="008E0ED1" w:rsidRPr="00233FA9">
        <w:rPr>
          <w:lang w:val="es-ES"/>
        </w:rPr>
        <w:t xml:space="preserve"> con una estrategia consolidada de implementación y </w:t>
      </w:r>
      <w:r w:rsidR="00FA1FD8" w:rsidRPr="00233FA9">
        <w:rPr>
          <w:lang w:val="es-ES"/>
        </w:rPr>
        <w:t>que</w:t>
      </w:r>
      <w:r w:rsidR="007A04BF" w:rsidRPr="00233FA9">
        <w:rPr>
          <w:lang w:val="es-ES"/>
        </w:rPr>
        <w:t xml:space="preserve"> la mayoría de</w:t>
      </w:r>
      <w:r w:rsidR="00FA1FD8" w:rsidRPr="00233FA9">
        <w:rPr>
          <w:lang w:val="es-ES"/>
        </w:rPr>
        <w:t xml:space="preserve"> </w:t>
      </w:r>
      <w:proofErr w:type="gramStart"/>
      <w:r w:rsidR="00FA1FD8" w:rsidRPr="00233FA9">
        <w:rPr>
          <w:lang w:val="es-ES"/>
        </w:rPr>
        <w:t>indicadores</w:t>
      </w:r>
      <w:proofErr w:type="gramEnd"/>
      <w:r w:rsidR="00FA1FD8" w:rsidRPr="00233FA9">
        <w:rPr>
          <w:lang w:val="es-ES"/>
        </w:rPr>
        <w:t xml:space="preserve"> no están diseñados para medir los cambios pactados</w:t>
      </w:r>
      <w:r w:rsidR="00AA055E">
        <w:rPr>
          <w:lang w:val="es-ES"/>
        </w:rPr>
        <w:t>.</w:t>
      </w:r>
    </w:p>
    <w:p w14:paraId="5409673F" w14:textId="5F2DEAE9" w:rsidR="00B509C5" w:rsidRPr="00233FA9" w:rsidRDefault="00B71D37" w:rsidP="0022182F">
      <w:pPr>
        <w:rPr>
          <w:lang w:val="es-ES"/>
        </w:rPr>
      </w:pPr>
      <w:r w:rsidRPr="00233FA9">
        <w:rPr>
          <w:lang w:val="es-ES"/>
        </w:rPr>
        <w:t>El avance para la</w:t>
      </w:r>
      <w:r w:rsidR="00C27A0C" w:rsidRPr="00233FA9">
        <w:rPr>
          <w:lang w:val="es-ES"/>
        </w:rPr>
        <w:t xml:space="preserve"> población OSIGD y mujeres con pertenencia étnica</w:t>
      </w:r>
      <w:r w:rsidRPr="00233FA9">
        <w:rPr>
          <w:lang w:val="es-ES"/>
        </w:rPr>
        <w:t xml:space="preserve"> es aún más preocupante</w:t>
      </w:r>
      <w:r w:rsidR="001F0C43" w:rsidRPr="00233FA9">
        <w:rPr>
          <w:lang w:val="es-ES"/>
        </w:rPr>
        <w:t>;</w:t>
      </w:r>
      <w:r w:rsidR="00C27A0C" w:rsidRPr="00233FA9">
        <w:rPr>
          <w:lang w:val="es-ES"/>
        </w:rPr>
        <w:t xml:space="preserve"> </w:t>
      </w:r>
      <w:r w:rsidR="00B509C5" w:rsidRPr="00233FA9">
        <w:rPr>
          <w:lang w:val="es-ES"/>
        </w:rPr>
        <w:t xml:space="preserve">la CGR observa pocas </w:t>
      </w:r>
      <w:r w:rsidR="00C27A0C" w:rsidRPr="00233FA9">
        <w:rPr>
          <w:lang w:val="es-ES"/>
        </w:rPr>
        <w:t>referencias en los reportes oficiales</w:t>
      </w:r>
      <w:r w:rsidRPr="00233FA9">
        <w:rPr>
          <w:lang w:val="es-ES"/>
        </w:rPr>
        <w:t>,</w:t>
      </w:r>
      <w:r w:rsidR="00C27A0C" w:rsidRPr="00233FA9">
        <w:rPr>
          <w:lang w:val="es-ES"/>
        </w:rPr>
        <w:t xml:space="preserve"> </w:t>
      </w:r>
      <w:r w:rsidR="00B509C5" w:rsidRPr="00233FA9">
        <w:rPr>
          <w:lang w:val="es-ES"/>
        </w:rPr>
        <w:t>lo que refleja</w:t>
      </w:r>
      <w:r w:rsidRPr="00233FA9">
        <w:rPr>
          <w:lang w:val="es-ES"/>
        </w:rPr>
        <w:t xml:space="preserve"> las </w:t>
      </w:r>
      <w:r w:rsidR="00B509C5" w:rsidRPr="00233FA9">
        <w:rPr>
          <w:lang w:val="es-ES"/>
        </w:rPr>
        <w:t>“dificultades en la desagregación de los datos y en la forma de medir el avance de los indicadores”</w:t>
      </w:r>
      <w:r w:rsidR="00A36DFB">
        <w:rPr>
          <w:rStyle w:val="FootnoteReference"/>
          <w:rFonts w:ascii="Open Sans" w:hAnsi="Open Sans" w:cs="Open Sans"/>
          <w:sz w:val="20"/>
          <w:szCs w:val="20"/>
          <w:lang w:val="es-ES"/>
        </w:rPr>
        <w:footnoteReference w:id="8"/>
      </w:r>
      <w:r w:rsidR="00A36DFB">
        <w:rPr>
          <w:lang w:val="es-ES"/>
        </w:rPr>
        <w:t>.</w:t>
      </w:r>
    </w:p>
    <w:p w14:paraId="07CABD72" w14:textId="64D8EA22" w:rsidR="007A04BF" w:rsidRPr="006C0300" w:rsidRDefault="0009290C" w:rsidP="0022182F">
      <w:pPr>
        <w:rPr>
          <w:lang w:val="es-ES"/>
        </w:rPr>
      </w:pPr>
      <w:r w:rsidRPr="00233FA9">
        <w:rPr>
          <w:lang w:val="es-ES"/>
        </w:rPr>
        <w:t xml:space="preserve">Por lo anterior, se puede afirmar que </w:t>
      </w:r>
      <w:r w:rsidR="007A04BF" w:rsidRPr="00233FA9">
        <w:rPr>
          <w:lang w:val="es-ES"/>
        </w:rPr>
        <w:t>las recomendaciones del tercer examen</w:t>
      </w:r>
      <w:r w:rsidRPr="00233FA9">
        <w:rPr>
          <w:lang w:val="es-ES"/>
        </w:rPr>
        <w:t>,</w:t>
      </w:r>
      <w:r w:rsidR="007A04BF" w:rsidRPr="00233FA9">
        <w:rPr>
          <w:lang w:val="es-ES"/>
        </w:rPr>
        <w:t xml:space="preserve"> </w:t>
      </w:r>
      <w:r w:rsidRPr="006C0300">
        <w:rPr>
          <w:lang w:val="es-ES"/>
        </w:rPr>
        <w:t>relacionadas con garantizar la incorporación del enfoque de género, garantizar la participación efectiva de las mujeres en la aplicación y asignar fondos suficientes en el presupuesto nacional</w:t>
      </w:r>
      <w:r w:rsidR="00524A25" w:rsidRPr="006C0300">
        <w:rPr>
          <w:lang w:val="es-ES"/>
        </w:rPr>
        <w:t xml:space="preserve"> para situar la igualdad de género en el centro de la consolidación de la paz</w:t>
      </w:r>
      <w:r w:rsidR="001F0C43" w:rsidRPr="006C0300">
        <w:rPr>
          <w:rStyle w:val="FootnoteReference"/>
          <w:rFonts w:ascii="Open Sans" w:hAnsi="Open Sans" w:cs="Open Sans"/>
          <w:sz w:val="20"/>
          <w:szCs w:val="20"/>
          <w:lang w:val="es-ES"/>
        </w:rPr>
        <w:footnoteReference w:id="9"/>
      </w:r>
      <w:r w:rsidRPr="006C0300">
        <w:rPr>
          <w:lang w:val="es-ES"/>
        </w:rPr>
        <w:t xml:space="preserve"> </w:t>
      </w:r>
      <w:r w:rsidR="00524A25" w:rsidRPr="006C0300">
        <w:rPr>
          <w:lang w:val="es-ES"/>
        </w:rPr>
        <w:t xml:space="preserve">sólo </w:t>
      </w:r>
      <w:r w:rsidR="007A04BF" w:rsidRPr="006C0300">
        <w:rPr>
          <w:lang w:val="es-ES"/>
        </w:rPr>
        <w:t>han</w:t>
      </w:r>
      <w:r w:rsidR="002052C8" w:rsidRPr="006C0300">
        <w:rPr>
          <w:lang w:val="es-ES"/>
        </w:rPr>
        <w:t xml:space="preserve"> sido</w:t>
      </w:r>
      <w:r w:rsidR="007A04BF" w:rsidRPr="006C0300">
        <w:rPr>
          <w:lang w:val="es-ES"/>
        </w:rPr>
        <w:t xml:space="preserve"> </w:t>
      </w:r>
      <w:r w:rsidR="003B6966" w:rsidRPr="006C0300">
        <w:rPr>
          <w:lang w:val="es-ES"/>
        </w:rPr>
        <w:t>parcialmente implementadas</w:t>
      </w:r>
      <w:r w:rsidR="00AA055E" w:rsidRPr="006C0300">
        <w:rPr>
          <w:rStyle w:val="FootnoteReference"/>
          <w:rFonts w:ascii="Open Sans" w:hAnsi="Open Sans" w:cs="Open Sans"/>
          <w:sz w:val="20"/>
          <w:szCs w:val="20"/>
          <w:lang w:val="es-ES"/>
        </w:rPr>
        <w:footnoteReference w:id="10"/>
      </w:r>
      <w:r w:rsidRPr="006C0300">
        <w:rPr>
          <w:lang w:val="es-ES"/>
        </w:rPr>
        <w:t>.</w:t>
      </w:r>
    </w:p>
    <w:p w14:paraId="07D284ED" w14:textId="77777777" w:rsidR="00CD34B4" w:rsidRPr="0022182F" w:rsidRDefault="00B509C5" w:rsidP="0022182F">
      <w:pPr>
        <w:pStyle w:val="Heading3"/>
      </w:pPr>
      <w:bookmarkStart w:id="6" w:name="_Toc136246239"/>
      <w:r w:rsidRPr="0022182F">
        <w:t>Recomendaciones:</w:t>
      </w:r>
      <w:bookmarkEnd w:id="6"/>
    </w:p>
    <w:bookmarkEnd w:id="4"/>
    <w:p w14:paraId="324228A7" w14:textId="77777777" w:rsidR="00C27A0C" w:rsidRPr="0022182F" w:rsidRDefault="00C27A0C" w:rsidP="0022182F">
      <w:pPr>
        <w:pStyle w:val="ListParagraph"/>
        <w:numPr>
          <w:ilvl w:val="0"/>
          <w:numId w:val="31"/>
        </w:numPr>
        <w:rPr>
          <w:lang w:val="es-ES"/>
        </w:rPr>
      </w:pPr>
      <w:r w:rsidRPr="0022182F">
        <w:rPr>
          <w:lang w:val="es-ES"/>
        </w:rPr>
        <w:t>Crear un plan de aceleración para la implementación integral de las medidas de género y destinar recursos específicos para su implementación, que aseguren un impacto equitativo y no aleatorio para las mujeres.</w:t>
      </w:r>
    </w:p>
    <w:p w14:paraId="08412EE6" w14:textId="71CD9600" w:rsidR="006A6E66" w:rsidRPr="00BD589E" w:rsidRDefault="00C27A0C" w:rsidP="0022182F">
      <w:pPr>
        <w:pStyle w:val="ListParagraph"/>
        <w:numPr>
          <w:ilvl w:val="0"/>
          <w:numId w:val="31"/>
        </w:numPr>
      </w:pPr>
      <w:r w:rsidRPr="0022182F">
        <w:rPr>
          <w:lang w:val="es-ES"/>
        </w:rPr>
        <w:t>Incluir indicadores de género y étnicos en todas las medidas del</w:t>
      </w:r>
      <w:r w:rsidR="009F4E35" w:rsidRPr="0022182F">
        <w:rPr>
          <w:lang w:val="es-ES"/>
        </w:rPr>
        <w:t xml:space="preserve"> </w:t>
      </w:r>
      <w:r w:rsidR="009F4E35" w:rsidRPr="0022182F">
        <w:rPr>
          <w:color w:val="000000"/>
        </w:rPr>
        <w:t>Plan Marco de Implementación del Acuerdo Final (PMI)</w:t>
      </w:r>
      <w:r w:rsidRPr="0022182F">
        <w:rPr>
          <w:lang w:val="es-ES"/>
        </w:rPr>
        <w:t xml:space="preserve"> además de medidas específicas para las mujeres y población OSIGD, con indicadores </w:t>
      </w:r>
      <w:r w:rsidRPr="0022182F">
        <w:rPr>
          <w:lang w:val="es-ES"/>
        </w:rPr>
        <w:lastRenderedPageBreak/>
        <w:t>de impacto que permitan medir de manera efectiva la reparación, la satisfacción de necesidades diferenciales y el cierre de brechas de género.</w:t>
      </w:r>
    </w:p>
    <w:p w14:paraId="77007B0D" w14:textId="77777777" w:rsidR="00BD589E" w:rsidRPr="006A6E66" w:rsidRDefault="00BD589E" w:rsidP="00BD589E">
      <w:pPr>
        <w:pStyle w:val="ListParagraph"/>
      </w:pPr>
    </w:p>
    <w:p w14:paraId="3BAE2D41" w14:textId="63E4B672" w:rsidR="00A21882" w:rsidRPr="0022182F" w:rsidRDefault="00303FEB" w:rsidP="00D0493E">
      <w:pPr>
        <w:pStyle w:val="Heading1"/>
        <w:numPr>
          <w:ilvl w:val="0"/>
          <w:numId w:val="30"/>
        </w:numPr>
      </w:pPr>
      <w:bookmarkStart w:id="7" w:name="_Toc136246240"/>
      <w:r w:rsidRPr="00FF5CED">
        <w:t>Implementación del capítulo étnico</w:t>
      </w:r>
      <w:r w:rsidR="00F276EE" w:rsidRPr="00FF5CED">
        <w:t xml:space="preserve"> del </w:t>
      </w:r>
      <w:r w:rsidR="005C462A" w:rsidRPr="00FF5CED">
        <w:t>Acuerdo Final de Paz</w:t>
      </w:r>
      <w:bookmarkEnd w:id="7"/>
    </w:p>
    <w:p w14:paraId="71668E1B" w14:textId="77777777" w:rsidR="0022182F" w:rsidRDefault="0022182F" w:rsidP="0022182F">
      <w:pPr>
        <w:rPr>
          <w:lang w:val="es-ES"/>
        </w:rPr>
      </w:pPr>
    </w:p>
    <w:p w14:paraId="65F40EBE" w14:textId="11227170" w:rsidR="006C0632" w:rsidRPr="00233FA9" w:rsidRDefault="006C0632" w:rsidP="0022182F">
      <w:pPr>
        <w:rPr>
          <w:lang w:val="es-ES"/>
        </w:rPr>
      </w:pPr>
      <w:r w:rsidRPr="00233FA9">
        <w:rPr>
          <w:lang w:val="es-ES"/>
        </w:rPr>
        <w:t>Además de las medidas de género</w:t>
      </w:r>
      <w:r w:rsidRPr="006C0300">
        <w:rPr>
          <w:lang w:val="es-ES"/>
        </w:rPr>
        <w:t xml:space="preserve">, el </w:t>
      </w:r>
      <w:r w:rsidR="005C462A" w:rsidRPr="006C0300">
        <w:rPr>
          <w:lang w:val="es-ES"/>
        </w:rPr>
        <w:t xml:space="preserve">Acuerdo Final de Paz </w:t>
      </w:r>
      <w:r w:rsidRPr="006C0300">
        <w:rPr>
          <w:lang w:val="es-ES"/>
        </w:rPr>
        <w:t xml:space="preserve">cuenta con </w:t>
      </w:r>
      <w:r w:rsidR="00594B6C" w:rsidRPr="006C0300">
        <w:rPr>
          <w:lang w:val="es-ES"/>
        </w:rPr>
        <w:t>80 disposiciones</w:t>
      </w:r>
      <w:r w:rsidRPr="006C0300">
        <w:rPr>
          <w:lang w:val="es-ES"/>
        </w:rPr>
        <w:t xml:space="preserve"> </w:t>
      </w:r>
      <w:r w:rsidR="00795796" w:rsidRPr="006C0300">
        <w:rPr>
          <w:lang w:val="es-ES"/>
        </w:rPr>
        <w:t>incluidas</w:t>
      </w:r>
      <w:r w:rsidRPr="006C0300">
        <w:rPr>
          <w:lang w:val="es-ES"/>
        </w:rPr>
        <w:t xml:space="preserve"> en el Capítulo Étnico</w:t>
      </w:r>
      <w:r w:rsidR="009147D6" w:rsidRPr="006C0300">
        <w:rPr>
          <w:rStyle w:val="FootnoteReference"/>
          <w:rFonts w:ascii="Open Sans" w:hAnsi="Open Sans" w:cs="Open Sans"/>
          <w:sz w:val="20"/>
          <w:szCs w:val="20"/>
          <w:lang w:val="es-ES"/>
        </w:rPr>
        <w:footnoteReference w:id="11"/>
      </w:r>
      <w:r w:rsidR="009147D6" w:rsidRPr="006C0300">
        <w:rPr>
          <w:lang w:val="es-ES"/>
        </w:rPr>
        <w:t xml:space="preserve">, </w:t>
      </w:r>
      <w:r w:rsidR="00795796" w:rsidRPr="006C0300">
        <w:rPr>
          <w:lang w:val="es-ES"/>
        </w:rPr>
        <w:t xml:space="preserve">cuyo bajísimo nivel de implementación </w:t>
      </w:r>
      <w:r w:rsidR="00683149" w:rsidRPr="006C0300">
        <w:rPr>
          <w:lang w:val="es-ES"/>
        </w:rPr>
        <w:t>es alarmante</w:t>
      </w:r>
      <w:r w:rsidR="00B35A01" w:rsidRPr="006C0300">
        <w:rPr>
          <w:rStyle w:val="FootnoteReference"/>
          <w:rFonts w:ascii="Open Sans" w:hAnsi="Open Sans" w:cs="Open Sans"/>
          <w:sz w:val="20"/>
          <w:szCs w:val="20"/>
          <w:lang w:val="es-ES"/>
        </w:rPr>
        <w:footnoteReference w:id="12"/>
      </w:r>
      <w:r w:rsidRPr="006C0300">
        <w:rPr>
          <w:lang w:val="es-ES"/>
        </w:rPr>
        <w:t xml:space="preserve">. </w:t>
      </w:r>
      <w:r w:rsidR="00683149" w:rsidRPr="006C0300">
        <w:rPr>
          <w:lang w:val="es-ES"/>
        </w:rPr>
        <w:t>L</w:t>
      </w:r>
      <w:r w:rsidRPr="006C0300">
        <w:rPr>
          <w:lang w:val="es-ES"/>
        </w:rPr>
        <w:t>os pueblos indígenas</w:t>
      </w:r>
      <w:r w:rsidR="009147D6" w:rsidRPr="006C0300">
        <w:rPr>
          <w:rStyle w:val="FootnoteReference"/>
          <w:rFonts w:ascii="Open Sans" w:hAnsi="Open Sans" w:cs="Open Sans"/>
          <w:sz w:val="20"/>
          <w:szCs w:val="20"/>
          <w:lang w:val="es-ES"/>
        </w:rPr>
        <w:footnoteReference w:id="13"/>
      </w:r>
      <w:r w:rsidRPr="006C0300">
        <w:rPr>
          <w:lang w:val="es-ES"/>
        </w:rPr>
        <w:t xml:space="preserve"> en Colombia viven en medio de una profunda crisis humanitaria y la agudización del conflicto armado, situación que impacta de manera desproporcionada a las mujeres y</w:t>
      </w:r>
      <w:r w:rsidR="000451A9" w:rsidRPr="006C0300">
        <w:rPr>
          <w:lang w:val="es-ES"/>
        </w:rPr>
        <w:t xml:space="preserve"> a las</w:t>
      </w:r>
      <w:r w:rsidRPr="006C0300">
        <w:rPr>
          <w:lang w:val="es-ES"/>
        </w:rPr>
        <w:t xml:space="preserve"> niñas</w:t>
      </w:r>
      <w:r w:rsidR="002052C8" w:rsidRPr="006C0300">
        <w:rPr>
          <w:lang w:val="es-ES"/>
        </w:rPr>
        <w:t>,</w:t>
      </w:r>
      <w:r w:rsidRPr="006C0300">
        <w:rPr>
          <w:lang w:val="es-ES"/>
        </w:rPr>
        <w:t xml:space="preserve"> y que pone en grave riesgo la pervivencia física y cultural de los pueblos.</w:t>
      </w:r>
      <w:r w:rsidR="002052C8" w:rsidRPr="006C0300">
        <w:rPr>
          <w:lang w:val="es-ES"/>
        </w:rPr>
        <w:t xml:space="preserve"> </w:t>
      </w:r>
      <w:r w:rsidR="00683149" w:rsidRPr="006C0300">
        <w:rPr>
          <w:lang w:val="es-ES"/>
        </w:rPr>
        <w:t>La</w:t>
      </w:r>
      <w:r w:rsidRPr="006C0300">
        <w:rPr>
          <w:lang w:val="es-ES"/>
        </w:rPr>
        <w:t xml:space="preserve"> </w:t>
      </w:r>
      <w:r w:rsidR="000451A9" w:rsidRPr="006C0300">
        <w:rPr>
          <w:lang w:val="es-ES"/>
        </w:rPr>
        <w:t>C</w:t>
      </w:r>
      <w:r w:rsidRPr="006C0300">
        <w:rPr>
          <w:lang w:val="es-ES"/>
        </w:rPr>
        <w:t>G</w:t>
      </w:r>
      <w:r w:rsidR="000451A9" w:rsidRPr="006C0300">
        <w:rPr>
          <w:lang w:val="es-ES"/>
        </w:rPr>
        <w:t>R</w:t>
      </w:r>
      <w:r w:rsidRPr="006C0300">
        <w:rPr>
          <w:lang w:val="es-ES"/>
        </w:rPr>
        <w:t xml:space="preserve"> y el informe </w:t>
      </w:r>
      <w:r w:rsidR="00617AF7">
        <w:rPr>
          <w:lang w:val="es-ES"/>
        </w:rPr>
        <w:t xml:space="preserve">(2022) </w:t>
      </w:r>
      <w:r w:rsidRPr="006C0300">
        <w:rPr>
          <w:lang w:val="es-ES"/>
        </w:rPr>
        <w:t xml:space="preserve">de </w:t>
      </w:r>
      <w:r w:rsidR="00255B18" w:rsidRPr="006C0300">
        <w:rPr>
          <w:lang w:val="es-ES"/>
        </w:rPr>
        <w:t>Informe de la Alta Comisionada de las Naciones Unidas para los Derechos Humanos</w:t>
      </w:r>
      <w:r w:rsidR="00255B18" w:rsidRPr="006C0300">
        <w:rPr>
          <w:rStyle w:val="FootnoteReference"/>
          <w:rFonts w:ascii="Open Sans" w:hAnsi="Open Sans" w:cs="Open Sans"/>
          <w:sz w:val="20"/>
          <w:szCs w:val="20"/>
          <w:lang w:val="es-ES"/>
        </w:rPr>
        <w:footnoteReference w:id="14"/>
      </w:r>
      <w:r w:rsidRPr="006C0300">
        <w:rPr>
          <w:lang w:val="es-ES"/>
        </w:rPr>
        <w:t xml:space="preserve"> ratifican el balance </w:t>
      </w:r>
      <w:r w:rsidR="00683149" w:rsidRPr="006C0300">
        <w:rPr>
          <w:lang w:val="es-ES"/>
        </w:rPr>
        <w:t>de la</w:t>
      </w:r>
      <w:r w:rsidRPr="006C0300">
        <w:rPr>
          <w:lang w:val="es-ES"/>
        </w:rPr>
        <w:t xml:space="preserve"> Comisión Interétnica: </w:t>
      </w:r>
      <w:r w:rsidR="00683149" w:rsidRPr="006C0300">
        <w:rPr>
          <w:lang w:val="es-ES"/>
        </w:rPr>
        <w:t xml:space="preserve">con base en las metas establecidas en el PMI, </w:t>
      </w:r>
      <w:r w:rsidRPr="006C0300">
        <w:rPr>
          <w:lang w:val="es-ES"/>
        </w:rPr>
        <w:t xml:space="preserve">la implementación </w:t>
      </w:r>
      <w:r w:rsidR="00683149" w:rsidRPr="006C0300">
        <w:rPr>
          <w:lang w:val="es-ES"/>
        </w:rPr>
        <w:t>del capítulo étnico</w:t>
      </w:r>
      <w:r w:rsidR="00683149" w:rsidRPr="00C655C6">
        <w:rPr>
          <w:lang w:val="es-ES"/>
        </w:rPr>
        <w:t xml:space="preserve"> </w:t>
      </w:r>
      <w:r w:rsidRPr="00C655C6">
        <w:rPr>
          <w:lang w:val="es-ES"/>
        </w:rPr>
        <w:t>está por debajo del 2,4%</w:t>
      </w:r>
      <w:r w:rsidR="00683149" w:rsidRPr="00C655C6">
        <w:rPr>
          <w:lang w:val="es-ES"/>
        </w:rPr>
        <w:t>, especialmente las</w:t>
      </w:r>
      <w:r w:rsidRPr="00C655C6">
        <w:rPr>
          <w:lang w:val="es-ES"/>
        </w:rPr>
        <w:t xml:space="preserve"> medidas relac</w:t>
      </w:r>
      <w:r w:rsidRPr="00233FA9">
        <w:rPr>
          <w:lang w:val="es-ES"/>
        </w:rPr>
        <w:t xml:space="preserve">ionadas con el uso y propiedad de la tierra y las medidas con enfoque de género </w:t>
      </w:r>
      <w:r w:rsidR="00F276EE" w:rsidRPr="00233FA9">
        <w:rPr>
          <w:lang w:val="es-ES"/>
        </w:rPr>
        <w:t xml:space="preserve">que </w:t>
      </w:r>
      <w:r w:rsidRPr="00233FA9">
        <w:rPr>
          <w:lang w:val="es-ES"/>
        </w:rPr>
        <w:t xml:space="preserve">no superan el 12% de </w:t>
      </w:r>
      <w:r w:rsidR="00683149" w:rsidRPr="00233FA9">
        <w:rPr>
          <w:lang w:val="es-ES"/>
        </w:rPr>
        <w:t xml:space="preserve">implementación. </w:t>
      </w:r>
    </w:p>
    <w:p w14:paraId="4F08AFCC" w14:textId="77777777" w:rsidR="00865579" w:rsidRDefault="00C86D8B" w:rsidP="0022182F">
      <w:pPr>
        <w:rPr>
          <w:lang w:val="es-ES"/>
        </w:rPr>
      </w:pPr>
      <w:r w:rsidRPr="00233FA9">
        <w:rPr>
          <w:lang w:val="es-ES"/>
        </w:rPr>
        <w:t>N</w:t>
      </w:r>
      <w:r w:rsidR="000451A9" w:rsidRPr="00233FA9">
        <w:rPr>
          <w:lang w:val="es-ES"/>
        </w:rPr>
        <w:t xml:space="preserve">o hay garantías de participación </w:t>
      </w:r>
      <w:r w:rsidRPr="00233FA9">
        <w:rPr>
          <w:lang w:val="es-ES"/>
        </w:rPr>
        <w:t xml:space="preserve">efectiva para las mujeres y las medidas colectivas no priorizan </w:t>
      </w:r>
      <w:r w:rsidR="002052C8" w:rsidRPr="00233FA9">
        <w:rPr>
          <w:lang w:val="es-ES"/>
        </w:rPr>
        <w:t xml:space="preserve">sus </w:t>
      </w:r>
      <w:r w:rsidRPr="00233FA9">
        <w:rPr>
          <w:lang w:val="es-ES"/>
        </w:rPr>
        <w:t>necesidades particulares, como la entrega, tenencia y uso de la tierra. Así mismo, e</w:t>
      </w:r>
      <w:r w:rsidR="000451A9" w:rsidRPr="00233FA9">
        <w:rPr>
          <w:lang w:val="es-ES"/>
        </w:rPr>
        <w:t xml:space="preserve">n la medida </w:t>
      </w:r>
      <w:r w:rsidR="008F7440" w:rsidRPr="00233FA9">
        <w:rPr>
          <w:lang w:val="es-ES"/>
        </w:rPr>
        <w:t xml:space="preserve">en </w:t>
      </w:r>
      <w:r w:rsidR="000451A9" w:rsidRPr="00233FA9">
        <w:rPr>
          <w:lang w:val="es-ES"/>
        </w:rPr>
        <w:t>que emergen las mujeres indígenas como lideresas</w:t>
      </w:r>
      <w:r w:rsidR="00F276EE" w:rsidRPr="00233FA9">
        <w:rPr>
          <w:lang w:val="es-ES"/>
        </w:rPr>
        <w:t>,</w:t>
      </w:r>
      <w:r w:rsidR="000451A9" w:rsidRPr="00233FA9">
        <w:rPr>
          <w:lang w:val="es-ES"/>
        </w:rPr>
        <w:t xml:space="preserve"> se incrementan los asesinatos contra ellas</w:t>
      </w:r>
      <w:r w:rsidRPr="00233FA9">
        <w:rPr>
          <w:lang w:val="es-ES"/>
        </w:rPr>
        <w:t>. S</w:t>
      </w:r>
      <w:r w:rsidR="000451A9" w:rsidRPr="00233FA9">
        <w:rPr>
          <w:lang w:val="es-ES"/>
        </w:rPr>
        <w:t>i bien los sistemas de información no dan cuenta de información desagrada por género y perten</w:t>
      </w:r>
      <w:r w:rsidRPr="00233FA9">
        <w:rPr>
          <w:lang w:val="es-ES"/>
        </w:rPr>
        <w:t>en</w:t>
      </w:r>
      <w:r w:rsidR="001F0C43" w:rsidRPr="00233FA9">
        <w:rPr>
          <w:lang w:val="es-ES"/>
        </w:rPr>
        <w:t>cia étnica, sí</w:t>
      </w:r>
      <w:r w:rsidR="000451A9" w:rsidRPr="00233FA9">
        <w:rPr>
          <w:lang w:val="es-ES"/>
        </w:rPr>
        <w:t xml:space="preserve"> es evidente el incremento de asesinatos de mujeres indígenas lideresas y defensoras territoriales: “las mujeres y la </w:t>
      </w:r>
      <w:r w:rsidRPr="00233FA9">
        <w:rPr>
          <w:lang w:val="es-ES"/>
        </w:rPr>
        <w:t>población</w:t>
      </w:r>
      <w:r w:rsidR="000451A9" w:rsidRPr="00233FA9">
        <w:rPr>
          <w:lang w:val="es-ES"/>
        </w:rPr>
        <w:t xml:space="preserve"> </w:t>
      </w:r>
      <w:r w:rsidR="00865579">
        <w:rPr>
          <w:lang w:val="es-ES"/>
        </w:rPr>
        <w:t>LGBTIQ+</w:t>
      </w:r>
      <w:r w:rsidR="000451A9" w:rsidRPr="00233FA9">
        <w:rPr>
          <w:lang w:val="es-ES"/>
        </w:rPr>
        <w:t xml:space="preserve">, experimentamos el recrudecimiento en la </w:t>
      </w:r>
      <w:r w:rsidRPr="00233FA9">
        <w:rPr>
          <w:lang w:val="es-ES"/>
        </w:rPr>
        <w:t>persecución</w:t>
      </w:r>
      <w:r w:rsidR="000451A9" w:rsidRPr="00233FA9">
        <w:rPr>
          <w:lang w:val="es-ES"/>
        </w:rPr>
        <w:t xml:space="preserve"> </w:t>
      </w:r>
      <w:r w:rsidRPr="00233FA9">
        <w:rPr>
          <w:lang w:val="es-ES"/>
        </w:rPr>
        <w:t>política</w:t>
      </w:r>
      <w:r w:rsidR="000451A9" w:rsidRPr="00233FA9">
        <w:rPr>
          <w:lang w:val="es-ES"/>
        </w:rPr>
        <w:t xml:space="preserve">, asesinatos, amenazas, </w:t>
      </w:r>
      <w:proofErr w:type="spellStart"/>
      <w:r w:rsidR="000451A9" w:rsidRPr="00233FA9">
        <w:rPr>
          <w:lang w:val="es-ES"/>
        </w:rPr>
        <w:t>señalamientos</w:t>
      </w:r>
      <w:proofErr w:type="spellEnd"/>
      <w:r w:rsidR="000451A9" w:rsidRPr="00233FA9">
        <w:rPr>
          <w:lang w:val="es-ES"/>
        </w:rPr>
        <w:t xml:space="preserve">, desapariciones forzadas, confinamientos y desplazamiento forzado para negar el derecho a la </w:t>
      </w:r>
      <w:r w:rsidRPr="00233FA9">
        <w:rPr>
          <w:lang w:val="es-ES"/>
        </w:rPr>
        <w:t>participación</w:t>
      </w:r>
      <w:r w:rsidR="000451A9" w:rsidRPr="00233FA9">
        <w:rPr>
          <w:lang w:val="es-ES"/>
        </w:rPr>
        <w:t xml:space="preserve"> real y efectiva”</w:t>
      </w:r>
      <w:r w:rsidR="00865579">
        <w:rPr>
          <w:rStyle w:val="FootnoteReference"/>
          <w:rFonts w:ascii="Open Sans" w:hAnsi="Open Sans" w:cs="Open Sans"/>
          <w:sz w:val="20"/>
          <w:szCs w:val="20"/>
          <w:lang w:val="es-ES"/>
        </w:rPr>
        <w:footnoteReference w:id="15"/>
      </w:r>
      <w:r w:rsidR="00594B6C" w:rsidRPr="00233FA9">
        <w:rPr>
          <w:lang w:val="es-ES"/>
        </w:rPr>
        <w:t xml:space="preserve">. </w:t>
      </w:r>
    </w:p>
    <w:p w14:paraId="0CE43E89" w14:textId="1631A7C0" w:rsidR="00BD589E" w:rsidRDefault="00127AD5" w:rsidP="00BD589E">
      <w:pPr>
        <w:rPr>
          <w:lang w:val="es-ES"/>
        </w:rPr>
      </w:pPr>
      <w:r w:rsidRPr="00233FA9">
        <w:rPr>
          <w:lang w:val="es-ES"/>
        </w:rPr>
        <w:t xml:space="preserve">Este retroceso en la protección de los derechos a la vida, la movilidad, al territorio y al gobierno propio de los pueblos indígenas en </w:t>
      </w:r>
      <w:r w:rsidR="00725659" w:rsidRPr="00233FA9">
        <w:rPr>
          <w:lang w:val="es-ES"/>
        </w:rPr>
        <w:t>a</w:t>
      </w:r>
      <w:r w:rsidRPr="00233FA9">
        <w:rPr>
          <w:lang w:val="es-ES"/>
        </w:rPr>
        <w:t>l menos 9 territorios del país</w:t>
      </w:r>
      <w:r w:rsidR="00457F72" w:rsidRPr="00233FA9">
        <w:rPr>
          <w:rStyle w:val="FootnoteReference"/>
          <w:rFonts w:ascii="Open Sans" w:hAnsi="Open Sans" w:cs="Open Sans"/>
          <w:sz w:val="20"/>
          <w:szCs w:val="20"/>
          <w:lang w:val="es-ES"/>
        </w:rPr>
        <w:footnoteReference w:id="16"/>
      </w:r>
      <w:r w:rsidRPr="00233FA9">
        <w:rPr>
          <w:lang w:val="es-ES"/>
        </w:rPr>
        <w:t>, sugiere que la</w:t>
      </w:r>
      <w:r w:rsidR="00F01729">
        <w:rPr>
          <w:lang w:val="es-ES"/>
        </w:rPr>
        <w:t>s</w:t>
      </w:r>
      <w:r w:rsidRPr="00233FA9">
        <w:rPr>
          <w:lang w:val="es-ES"/>
        </w:rPr>
        <w:t xml:space="preserve"> recomendaci</w:t>
      </w:r>
      <w:r w:rsidR="00F01729">
        <w:rPr>
          <w:lang w:val="es-ES"/>
        </w:rPr>
        <w:t>o</w:t>
      </w:r>
      <w:r w:rsidRPr="00233FA9">
        <w:rPr>
          <w:lang w:val="es-ES"/>
        </w:rPr>
        <w:t>n</w:t>
      </w:r>
      <w:r w:rsidR="00F01729">
        <w:rPr>
          <w:lang w:val="es-ES"/>
        </w:rPr>
        <w:t>es</w:t>
      </w:r>
      <w:r w:rsidRPr="00233FA9">
        <w:rPr>
          <w:lang w:val="es-ES"/>
        </w:rPr>
        <w:t xml:space="preserve"> </w:t>
      </w:r>
      <w:r w:rsidR="00725659" w:rsidRPr="00233FA9">
        <w:rPr>
          <w:lang w:val="es-ES"/>
        </w:rPr>
        <w:t>de intensificar los esfuerzos para proteger a los pueblos indígenas</w:t>
      </w:r>
      <w:r w:rsidR="00A77E76" w:rsidRPr="00233FA9">
        <w:rPr>
          <w:lang w:val="es-ES"/>
        </w:rPr>
        <w:t>, particularmente de los grupos armados,</w:t>
      </w:r>
      <w:r w:rsidR="00725659" w:rsidRPr="00233FA9">
        <w:rPr>
          <w:lang w:val="es-ES"/>
        </w:rPr>
        <w:t xml:space="preserve"> y establecer un sistema eficaz de consultas</w:t>
      </w:r>
      <w:r w:rsidR="00865579">
        <w:rPr>
          <w:lang w:val="es-ES"/>
        </w:rPr>
        <w:t>,</w:t>
      </w:r>
      <w:r w:rsidR="00F01729">
        <w:rPr>
          <w:rStyle w:val="FootnoteReference"/>
          <w:rFonts w:ascii="Open Sans" w:hAnsi="Open Sans" w:cs="Open Sans"/>
          <w:sz w:val="20"/>
          <w:szCs w:val="20"/>
          <w:lang w:val="es-ES"/>
        </w:rPr>
        <w:footnoteReference w:id="17"/>
      </w:r>
      <w:r w:rsidR="00725659" w:rsidRPr="00233FA9">
        <w:rPr>
          <w:lang w:val="es-ES"/>
        </w:rPr>
        <w:t xml:space="preserve"> aún no ha</w:t>
      </w:r>
      <w:r w:rsidR="00F01729">
        <w:rPr>
          <w:lang w:val="es-ES"/>
        </w:rPr>
        <w:t>n</w:t>
      </w:r>
      <w:r w:rsidR="00725659" w:rsidRPr="00233FA9">
        <w:rPr>
          <w:lang w:val="es-ES"/>
        </w:rPr>
        <w:t xml:space="preserve"> sido implementa</w:t>
      </w:r>
      <w:r w:rsidR="00725659" w:rsidRPr="006C0300">
        <w:rPr>
          <w:lang w:val="es-ES"/>
        </w:rPr>
        <w:t>da</w:t>
      </w:r>
      <w:r w:rsidR="00F01729">
        <w:rPr>
          <w:lang w:val="es-ES"/>
        </w:rPr>
        <w:t>s</w:t>
      </w:r>
      <w:r w:rsidR="0036776D" w:rsidRPr="006C0300">
        <w:rPr>
          <w:lang w:val="es-ES"/>
        </w:rPr>
        <w:t>.</w:t>
      </w:r>
      <w:r w:rsidR="00725659" w:rsidRPr="00233FA9">
        <w:rPr>
          <w:lang w:val="es-ES"/>
        </w:rPr>
        <w:t xml:space="preserve"> </w:t>
      </w:r>
    </w:p>
    <w:p w14:paraId="0225A376" w14:textId="77777777" w:rsidR="00725659" w:rsidRPr="00233FA9" w:rsidRDefault="00725659" w:rsidP="0022182F">
      <w:pPr>
        <w:rPr>
          <w:lang w:val="es-ES"/>
        </w:rPr>
      </w:pPr>
    </w:p>
    <w:p w14:paraId="1B6031C3" w14:textId="77777777" w:rsidR="00F276EE" w:rsidRPr="00B0286C" w:rsidRDefault="00F276EE" w:rsidP="00D0493E">
      <w:pPr>
        <w:pStyle w:val="Heading3"/>
      </w:pPr>
      <w:bookmarkStart w:id="8" w:name="_Toc136246241"/>
      <w:r w:rsidRPr="00B0286C">
        <w:t>Recomendaciones:</w:t>
      </w:r>
      <w:bookmarkEnd w:id="8"/>
    </w:p>
    <w:p w14:paraId="5461BCE9" w14:textId="77777777" w:rsidR="00F276EE" w:rsidRPr="0022182F" w:rsidRDefault="00F276EE" w:rsidP="0022182F">
      <w:pPr>
        <w:pStyle w:val="ListParagraph"/>
        <w:numPr>
          <w:ilvl w:val="0"/>
          <w:numId w:val="32"/>
        </w:numPr>
        <w:rPr>
          <w:lang w:val="es-ES"/>
        </w:rPr>
      </w:pPr>
      <w:r w:rsidRPr="0022182F">
        <w:rPr>
          <w:lang w:val="es-ES"/>
        </w:rPr>
        <w:t xml:space="preserve">Crear un plan de aceleración para la implementación integral del </w:t>
      </w:r>
      <w:r w:rsidR="00A77E76" w:rsidRPr="0022182F">
        <w:rPr>
          <w:lang w:val="es-ES"/>
        </w:rPr>
        <w:t>capítulo</w:t>
      </w:r>
      <w:r w:rsidRPr="0022182F">
        <w:rPr>
          <w:lang w:val="es-ES"/>
        </w:rPr>
        <w:t xml:space="preserve"> étnico con </w:t>
      </w:r>
      <w:r w:rsidR="00A77E76" w:rsidRPr="0022182F">
        <w:rPr>
          <w:lang w:val="es-ES"/>
        </w:rPr>
        <w:t xml:space="preserve">medidas específicas para las mujeres que aseguren su participación en la implementación del Acuerdo de Paz. </w:t>
      </w:r>
    </w:p>
    <w:p w14:paraId="4202B539" w14:textId="495D9277" w:rsidR="00F276EE" w:rsidRDefault="00F276EE" w:rsidP="0022182F">
      <w:pPr>
        <w:pStyle w:val="ListParagraph"/>
        <w:numPr>
          <w:ilvl w:val="0"/>
          <w:numId w:val="32"/>
        </w:numPr>
        <w:rPr>
          <w:lang w:val="es-ES"/>
        </w:rPr>
      </w:pPr>
      <w:r w:rsidRPr="0022182F">
        <w:rPr>
          <w:lang w:val="es-ES"/>
        </w:rPr>
        <w:t>Garantizar la consulta previa, libre e informada en programa</w:t>
      </w:r>
      <w:r w:rsidR="00865579" w:rsidRPr="0022182F">
        <w:rPr>
          <w:lang w:val="es-ES"/>
        </w:rPr>
        <w:t xml:space="preserve">s </w:t>
      </w:r>
      <w:r w:rsidRPr="0022182F">
        <w:rPr>
          <w:lang w:val="es-ES"/>
        </w:rPr>
        <w:t>y proyectos para la implementación del Acuerdo de Paz</w:t>
      </w:r>
      <w:r w:rsidR="0077603F" w:rsidRPr="0022182F">
        <w:rPr>
          <w:lang w:val="es-ES"/>
        </w:rPr>
        <w:t>.</w:t>
      </w:r>
    </w:p>
    <w:p w14:paraId="25C8C86F" w14:textId="77777777" w:rsidR="00BD589E" w:rsidRPr="0022182F" w:rsidRDefault="00BD589E" w:rsidP="00BD589E">
      <w:pPr>
        <w:pStyle w:val="ListParagraph"/>
        <w:rPr>
          <w:lang w:val="es-ES"/>
        </w:rPr>
      </w:pPr>
    </w:p>
    <w:p w14:paraId="7E749289" w14:textId="1EE0356E" w:rsidR="00303FEB" w:rsidRPr="00FF5CED" w:rsidRDefault="00303FEB" w:rsidP="0022182F">
      <w:pPr>
        <w:pStyle w:val="Heading1"/>
        <w:numPr>
          <w:ilvl w:val="0"/>
          <w:numId w:val="30"/>
        </w:numPr>
      </w:pPr>
      <w:bookmarkStart w:id="9" w:name="_Toc136246242"/>
      <w:r w:rsidRPr="00FF5CED">
        <w:t>Violencia política contra las mujeres</w:t>
      </w:r>
      <w:r w:rsidR="00440064" w:rsidRPr="00FF5CED">
        <w:t>: Participación electoral y liderazgos sociales y comunitarios</w:t>
      </w:r>
      <w:bookmarkEnd w:id="9"/>
    </w:p>
    <w:p w14:paraId="2ECF529B" w14:textId="77777777" w:rsidR="00A21882" w:rsidRDefault="00A21882" w:rsidP="00A21882">
      <w:pPr>
        <w:jc w:val="both"/>
        <w:rPr>
          <w:rFonts w:ascii="Open Sans" w:hAnsi="Open Sans" w:cs="Open Sans"/>
          <w:b/>
          <w:sz w:val="20"/>
          <w:szCs w:val="20"/>
          <w:lang w:val="es-ES"/>
        </w:rPr>
      </w:pPr>
    </w:p>
    <w:p w14:paraId="1F24B0B6" w14:textId="70F88A47" w:rsidR="00A21882" w:rsidRPr="0022182F" w:rsidRDefault="00A21882" w:rsidP="0022182F">
      <w:pPr>
        <w:pStyle w:val="Heading2"/>
        <w:rPr>
          <w:lang w:val="es-ES"/>
        </w:rPr>
      </w:pPr>
      <w:bookmarkStart w:id="10" w:name="_Toc136246243"/>
      <w:r>
        <w:rPr>
          <w:lang w:val="es-ES"/>
        </w:rPr>
        <w:t>Participación electoral</w:t>
      </w:r>
      <w:bookmarkEnd w:id="10"/>
      <w:r>
        <w:rPr>
          <w:lang w:val="es-ES"/>
        </w:rPr>
        <w:t xml:space="preserve"> </w:t>
      </w:r>
    </w:p>
    <w:p w14:paraId="330378C2" w14:textId="1B8DF338" w:rsidR="008A796C" w:rsidRPr="00865579" w:rsidRDefault="008A796C" w:rsidP="0022182F">
      <w:r w:rsidRPr="006C0300">
        <w:rPr>
          <w:lang w:val="es-ES"/>
        </w:rPr>
        <w:t>Aumentar la</w:t>
      </w:r>
      <w:r w:rsidRPr="006C0300">
        <w:t xml:space="preserve"> participación política figura bajo los compromisos que asumió el Estado colombiano </w:t>
      </w:r>
      <w:r w:rsidR="000508E2" w:rsidRPr="006C0300">
        <w:t xml:space="preserve">para la implementación de </w:t>
      </w:r>
      <w:r w:rsidRPr="006C0300">
        <w:t xml:space="preserve">la </w:t>
      </w:r>
      <w:r w:rsidR="00440064" w:rsidRPr="006C0300">
        <w:t>R</w:t>
      </w:r>
      <w:r w:rsidRPr="006C0300">
        <w:t>esolución 1325 del Consejo de Seguridad de las Naciones Unidas</w:t>
      </w:r>
      <w:r w:rsidR="00EA0634" w:rsidRPr="006C0300">
        <w:t xml:space="preserve"> </w:t>
      </w:r>
      <w:r w:rsidR="00E55CA4" w:rsidRPr="006C0300">
        <w:t>y, en términos generales, de la Agenda Mujer, Paz y Seguridad.</w:t>
      </w:r>
      <w:r w:rsidRPr="006C0300">
        <w:t xml:space="preserve"> </w:t>
      </w:r>
      <w:r w:rsidR="006E1AD8" w:rsidRPr="006C0300">
        <w:t>En este marco, d</w:t>
      </w:r>
      <w:r w:rsidRPr="006C0300">
        <w:t>urante el año 2022</w:t>
      </w:r>
      <w:r w:rsidR="00440064" w:rsidRPr="006C0300">
        <w:t xml:space="preserve"> </w:t>
      </w:r>
      <w:r w:rsidRPr="006C0300">
        <w:t>se constató en las elecciones parlamentarias un incremento en el acceso de las mujeres a cargos públicos con poder de decisión</w:t>
      </w:r>
      <w:r w:rsidRPr="006C0300">
        <w:rPr>
          <w:rStyle w:val="FootnoteReference"/>
          <w:rFonts w:ascii="Open Sans" w:eastAsia="Times New Roman" w:hAnsi="Open Sans" w:cs="Open Sans"/>
          <w:bCs/>
          <w:sz w:val="20"/>
          <w:szCs w:val="20"/>
        </w:rPr>
        <w:footnoteReference w:id="18"/>
      </w:r>
      <w:r w:rsidR="00001597" w:rsidRPr="006C0300">
        <w:t>.</w:t>
      </w:r>
      <w:r w:rsidRPr="006C0300">
        <w:t xml:space="preserve"> </w:t>
      </w:r>
      <w:r w:rsidR="00001597" w:rsidRPr="006C0300">
        <w:t>E</w:t>
      </w:r>
      <w:r w:rsidRPr="006C0300">
        <w:t xml:space="preserve">ste </w:t>
      </w:r>
      <w:proofErr w:type="spellStart"/>
      <w:r w:rsidRPr="006C0300">
        <w:t>incrmento</w:t>
      </w:r>
      <w:proofErr w:type="spellEnd"/>
      <w:r w:rsidRPr="006C0300">
        <w:t xml:space="preserve">, no obstante, </w:t>
      </w:r>
      <w:r w:rsidR="00001597" w:rsidRPr="006C0300">
        <w:t>no significa el logro de</w:t>
      </w:r>
      <w:r w:rsidR="00001597" w:rsidRPr="00865579">
        <w:t xml:space="preserve"> la paridad ni la garantía del derecho </w:t>
      </w:r>
      <w:r w:rsidR="006E1AD8" w:rsidRPr="00865579">
        <w:t>de</w:t>
      </w:r>
      <w:r w:rsidR="00001597" w:rsidRPr="00865579">
        <w:t xml:space="preserve"> las mujeres </w:t>
      </w:r>
      <w:r w:rsidR="006E1AD8" w:rsidRPr="00865579">
        <w:t xml:space="preserve">a </w:t>
      </w:r>
      <w:r w:rsidR="00001597" w:rsidRPr="00865579">
        <w:t>participar en igualdad de condiciones y libres de violencias.</w:t>
      </w:r>
    </w:p>
    <w:p w14:paraId="273C679F" w14:textId="1D96D144" w:rsidR="00D91A99" w:rsidRPr="00865579" w:rsidRDefault="00021586" w:rsidP="0022182F">
      <w:r w:rsidRPr="00865579">
        <w:t>El 2022 se ha posicionado como el tercer año más violento desde el 2017 para las lideresas políticas, sociales y comunales, con un saldo de 90 agresiones</w:t>
      </w:r>
      <w:r w:rsidR="00BB6210">
        <w:rPr>
          <w:rStyle w:val="FootnoteReference"/>
          <w:rFonts w:ascii="Open Sans" w:hAnsi="Open Sans" w:cs="Open Sans"/>
          <w:bCs/>
          <w:sz w:val="20"/>
          <w:szCs w:val="20"/>
        </w:rPr>
        <w:footnoteReference w:id="19"/>
      </w:r>
      <w:r w:rsidR="00BB6210">
        <w:t xml:space="preserve">. </w:t>
      </w:r>
      <w:r w:rsidR="00D91A99" w:rsidRPr="00865579">
        <w:t>Aunque este número es menor que el año anterior (109 registros en 2021), no representa una disminución significativa y por el contrario señala un incremento del 60.7% frente al 2018</w:t>
      </w:r>
      <w:r w:rsidRPr="00865579">
        <w:t xml:space="preserve">. De las 90 agresiones, 55 (el 61,1%) fueron en contra de lideresas políticas, principales participantes de los </w:t>
      </w:r>
      <w:r w:rsidRPr="006C0300">
        <w:t>procesos electorales</w:t>
      </w:r>
      <w:r w:rsidR="00E55CA4" w:rsidRPr="006C0300">
        <w:rPr>
          <w:rStyle w:val="FootnoteReference"/>
          <w:rFonts w:ascii="Open Sans" w:hAnsi="Open Sans" w:cs="Open Sans"/>
          <w:bCs/>
          <w:sz w:val="20"/>
          <w:szCs w:val="20"/>
        </w:rPr>
        <w:footnoteReference w:id="20"/>
      </w:r>
      <w:r w:rsidR="006E1AD8" w:rsidRPr="006C0300">
        <w:t>.</w:t>
      </w:r>
      <w:r w:rsidR="006E1AD8" w:rsidRPr="00865579">
        <w:t xml:space="preserve"> </w:t>
      </w:r>
    </w:p>
    <w:p w14:paraId="535FFAA1" w14:textId="651FF159" w:rsidR="00F402E7" w:rsidRPr="00233FA9" w:rsidRDefault="00BC3FF1" w:rsidP="0022182F">
      <w:pPr>
        <w:rPr>
          <w:color w:val="7030A0"/>
        </w:rPr>
      </w:pPr>
      <w:r w:rsidRPr="00865579">
        <w:t>Las candidatas enfrentan violencias diferenciales</w:t>
      </w:r>
      <w:r w:rsidR="00D91A99" w:rsidRPr="00865579">
        <w:t xml:space="preserve"> en razón a su género</w:t>
      </w:r>
      <w:r w:rsidRPr="00865579">
        <w:t>: violencia sexual, acoso, agresiones verbales y amenazas con mensajes discriminatorios sobre su papel en el hogar, sus familias y su apariencia física</w:t>
      </w:r>
      <w:r w:rsidR="00F41A09">
        <w:rPr>
          <w:rStyle w:val="FootnoteReference"/>
          <w:rFonts w:ascii="Open Sans" w:hAnsi="Open Sans" w:cs="Open Sans"/>
          <w:bCs/>
          <w:sz w:val="20"/>
          <w:szCs w:val="20"/>
        </w:rPr>
        <w:footnoteReference w:id="21"/>
      </w:r>
      <w:r w:rsidRPr="00865579">
        <w:t xml:space="preserve"> que sirven como </w:t>
      </w:r>
      <w:r w:rsidR="006E1AD8" w:rsidRPr="00865579">
        <w:t xml:space="preserve">castigo por su participación y como </w:t>
      </w:r>
      <w:r w:rsidRPr="00865579">
        <w:t xml:space="preserve">medida de disuasión contra otras mujeres a </w:t>
      </w:r>
      <w:r w:rsidRPr="00865579">
        <w:lastRenderedPageBreak/>
        <w:t>participar en esos mismos espacios</w:t>
      </w:r>
      <w:r w:rsidR="00BB6210">
        <w:rPr>
          <w:rStyle w:val="FootnoteReference"/>
          <w:rFonts w:ascii="Open Sans" w:hAnsi="Open Sans" w:cs="Open Sans"/>
          <w:bCs/>
          <w:sz w:val="20"/>
          <w:szCs w:val="20"/>
        </w:rPr>
        <w:footnoteReference w:id="22"/>
      </w:r>
      <w:r w:rsidR="00BB6210">
        <w:t xml:space="preserve">. </w:t>
      </w:r>
      <w:r w:rsidR="00E3647C" w:rsidRPr="00865579">
        <w:t xml:space="preserve">Particularmente, las </w:t>
      </w:r>
      <w:r w:rsidR="00E3647C" w:rsidRPr="00865579">
        <w:rPr>
          <w:rFonts w:eastAsia="Open Sans"/>
        </w:rPr>
        <w:t xml:space="preserve">elecciones presidenciales de 2022 se caracterizaron por discursos </w:t>
      </w:r>
      <w:r w:rsidR="00E3647C" w:rsidRPr="00233FA9">
        <w:rPr>
          <w:rFonts w:eastAsia="Open Sans"/>
        </w:rPr>
        <w:t>de odio</w:t>
      </w:r>
      <w:r w:rsidR="00CB3EC8" w:rsidRPr="00233FA9">
        <w:rPr>
          <w:rFonts w:eastAsia="Open Sans"/>
        </w:rPr>
        <w:t>,</w:t>
      </w:r>
      <w:r w:rsidR="00E3647C" w:rsidRPr="00233FA9">
        <w:rPr>
          <w:rFonts w:eastAsia="Open Sans"/>
        </w:rPr>
        <w:t xml:space="preserve"> racistas, sexista</w:t>
      </w:r>
      <w:r w:rsidR="00A258BA" w:rsidRPr="00233FA9">
        <w:rPr>
          <w:rFonts w:eastAsia="Open Sans"/>
        </w:rPr>
        <w:t>s</w:t>
      </w:r>
      <w:r w:rsidR="00E3647C" w:rsidRPr="00233FA9">
        <w:rPr>
          <w:rFonts w:eastAsia="Open Sans"/>
        </w:rPr>
        <w:t xml:space="preserve"> y clasistas y que recayeron principalmente sobre </w:t>
      </w:r>
      <w:r w:rsidR="00CB3EC8" w:rsidRPr="00233FA9">
        <w:rPr>
          <w:rFonts w:eastAsia="Open Sans"/>
        </w:rPr>
        <w:t>dos candidatas mujeres</w:t>
      </w:r>
      <w:r w:rsidR="00E3647C" w:rsidRPr="00233FA9">
        <w:rPr>
          <w:rFonts w:eastAsia="Open Sans"/>
        </w:rPr>
        <w:t xml:space="preserve">. </w:t>
      </w:r>
      <w:r w:rsidR="00A258BA" w:rsidRPr="00233FA9">
        <w:rPr>
          <w:rFonts w:eastAsia="Open Sans"/>
        </w:rPr>
        <w:t>Es importante señalar que</w:t>
      </w:r>
      <w:r w:rsidR="004331D4" w:rsidRPr="00233FA9">
        <w:rPr>
          <w:rFonts w:eastAsia="Open Sans"/>
        </w:rPr>
        <w:t xml:space="preserve"> la amenaza</w:t>
      </w:r>
      <w:r w:rsidR="00A258BA" w:rsidRPr="00233FA9">
        <w:rPr>
          <w:rFonts w:eastAsia="Open Sans"/>
        </w:rPr>
        <w:t xml:space="preserve"> </w:t>
      </w:r>
      <w:r w:rsidR="004331D4" w:rsidRPr="00233FA9">
        <w:rPr>
          <w:rFonts w:eastAsia="Open Sans"/>
        </w:rPr>
        <w:t>se posicionó como el hecho más reiterativo contra hombres y mujeres</w:t>
      </w:r>
      <w:r w:rsidR="008F7440" w:rsidRPr="00233FA9">
        <w:rPr>
          <w:rFonts w:eastAsia="Open Sans"/>
        </w:rPr>
        <w:t>,</w:t>
      </w:r>
      <w:r w:rsidR="004331D4" w:rsidRPr="00233FA9">
        <w:rPr>
          <w:rFonts w:eastAsia="Open Sans"/>
        </w:rPr>
        <w:t xml:space="preserve"> y que para ambos sexos se han registrado casos de violencia letal</w:t>
      </w:r>
      <w:r w:rsidR="002E1BD9">
        <w:rPr>
          <w:rStyle w:val="FootnoteReference"/>
          <w:rFonts w:ascii="Open Sans" w:eastAsia="Open Sans" w:hAnsi="Open Sans" w:cs="Open Sans"/>
          <w:sz w:val="20"/>
          <w:szCs w:val="20"/>
        </w:rPr>
        <w:footnoteReference w:id="23"/>
      </w:r>
      <w:r w:rsidR="008F7440" w:rsidRPr="00233FA9">
        <w:rPr>
          <w:rFonts w:eastAsia="Open Sans"/>
        </w:rPr>
        <w:t>.</w:t>
      </w:r>
    </w:p>
    <w:p w14:paraId="2C4B66A6" w14:textId="284A1D79" w:rsidR="00777156" w:rsidRPr="0022182F" w:rsidRDefault="00F402E7" w:rsidP="0022182F">
      <w:r w:rsidRPr="009147D6">
        <w:rPr>
          <w:rFonts w:eastAsia="Times New Roman"/>
          <w:bCs/>
        </w:rPr>
        <w:t xml:space="preserve">En </w:t>
      </w:r>
      <w:r w:rsidR="006E1AD8" w:rsidRPr="009147D6">
        <w:rPr>
          <w:rFonts w:eastAsia="Times New Roman"/>
          <w:bCs/>
        </w:rPr>
        <w:t>el ejercicio del</w:t>
      </w:r>
      <w:r w:rsidRPr="009147D6">
        <w:rPr>
          <w:rFonts w:eastAsia="Times New Roman"/>
          <w:bCs/>
        </w:rPr>
        <w:t xml:space="preserve"> voto, las mujeres también enfrentan barreras diferenciales:</w:t>
      </w:r>
      <w:r w:rsidRPr="009147D6">
        <w:t xml:space="preserve"> posibles </w:t>
      </w:r>
      <w:r w:rsidRPr="00233FA9">
        <w:t>riesgos en el recorrido</w:t>
      </w:r>
      <w:r w:rsidR="00CB3EC8" w:rsidRPr="00233FA9">
        <w:t xml:space="preserve"> hacia los puestos de votación</w:t>
      </w:r>
      <w:r w:rsidRPr="00233FA9">
        <w:t>, como violencias de género</w:t>
      </w:r>
      <w:r w:rsidR="00CB3EC8" w:rsidRPr="00233FA9">
        <w:t>;</w:t>
      </w:r>
      <w:r w:rsidR="004331D4" w:rsidRPr="00233FA9">
        <w:t xml:space="preserve"> </w:t>
      </w:r>
      <w:r w:rsidRPr="00233FA9">
        <w:t xml:space="preserve">falta de tiempo y </w:t>
      </w:r>
      <w:r w:rsidR="00CB3EC8" w:rsidRPr="00233FA9">
        <w:t xml:space="preserve">menor </w:t>
      </w:r>
      <w:r w:rsidRPr="00233FA9">
        <w:t xml:space="preserve">posibilidad de salir de sus hogares </w:t>
      </w:r>
      <w:r w:rsidR="00CB3EC8" w:rsidRPr="00233FA9">
        <w:t>dadas</w:t>
      </w:r>
      <w:r w:rsidRPr="00233FA9">
        <w:t xml:space="preserve"> las tareas domésticas y de cuidados que están a su cargo. En algunos casos</w:t>
      </w:r>
      <w:r w:rsidR="008F7440" w:rsidRPr="00233FA9">
        <w:t>,</w:t>
      </w:r>
      <w:r w:rsidR="00440064" w:rsidRPr="00233FA9">
        <w:t xml:space="preserve"> las mujeres enfrentan barreras comunes con los hombres</w:t>
      </w:r>
      <w:r w:rsidR="00B0001B" w:rsidRPr="00233FA9">
        <w:t>,</w:t>
      </w:r>
      <w:r w:rsidR="006E1AD8" w:rsidRPr="00233FA9">
        <w:t xml:space="preserve"> </w:t>
      </w:r>
      <w:r w:rsidR="00440064" w:rsidRPr="00233FA9">
        <w:t>pero e</w:t>
      </w:r>
      <w:r w:rsidR="006E1AD8" w:rsidRPr="00233FA9">
        <w:t>n</w:t>
      </w:r>
      <w:r w:rsidR="00440064" w:rsidRPr="00233FA9">
        <w:t xml:space="preserve"> mayor porcentaje</w:t>
      </w:r>
      <w:r w:rsidR="006E1AD8" w:rsidRPr="00233FA9">
        <w:t>,</w:t>
      </w:r>
      <w:r w:rsidR="00440064" w:rsidRPr="00233FA9">
        <w:t xml:space="preserve"> como</w:t>
      </w:r>
      <w:r w:rsidRPr="00233FA9">
        <w:t xml:space="preserve"> las migraciones y desplazamientos </w:t>
      </w:r>
      <w:r w:rsidR="00440064" w:rsidRPr="00233FA9">
        <w:t xml:space="preserve">que </w:t>
      </w:r>
      <w:r w:rsidRPr="00233FA9">
        <w:t xml:space="preserve">las llevan a residir en lugares distintos </w:t>
      </w:r>
      <w:r w:rsidR="006E1AD8" w:rsidRPr="00233FA9">
        <w:t xml:space="preserve">de </w:t>
      </w:r>
      <w:r w:rsidRPr="00233FA9">
        <w:t xml:space="preserve">en </w:t>
      </w:r>
      <w:r w:rsidR="006E1AD8" w:rsidRPr="00233FA9">
        <w:t xml:space="preserve">los que </w:t>
      </w:r>
      <w:r w:rsidRPr="00233FA9">
        <w:t>deben emitir su voto</w:t>
      </w:r>
      <w:r w:rsidR="00440064" w:rsidRPr="00233FA9">
        <w:rPr>
          <w:rStyle w:val="FootnoteReference"/>
          <w:rFonts w:ascii="Open Sans" w:eastAsia="Open Sans" w:hAnsi="Open Sans" w:cs="Open Sans"/>
          <w:sz w:val="20"/>
          <w:szCs w:val="20"/>
        </w:rPr>
        <w:footnoteReference w:id="24"/>
      </w:r>
      <w:r w:rsidR="00440064" w:rsidRPr="00233FA9">
        <w:t xml:space="preserve"> y la dificultad de acceso a los puestos de votación (distancia, costos de transporte, condiciones precarias de las vías de comunicación, </w:t>
      </w:r>
      <w:r w:rsidR="00E3647C" w:rsidRPr="00233FA9">
        <w:t xml:space="preserve">presencia de actores armados, </w:t>
      </w:r>
      <w:r w:rsidR="00440064" w:rsidRPr="00233FA9">
        <w:t>etc.)</w:t>
      </w:r>
      <w:r w:rsidR="008F7440" w:rsidRPr="00233FA9">
        <w:t>.</w:t>
      </w:r>
    </w:p>
    <w:p w14:paraId="61F6B580" w14:textId="59BFC091" w:rsidR="00AB43F5" w:rsidRPr="00B0286C" w:rsidRDefault="00AB43F5" w:rsidP="0022182F">
      <w:pPr>
        <w:pStyle w:val="Heading3"/>
      </w:pPr>
      <w:bookmarkStart w:id="11" w:name="_Toc136246244"/>
      <w:r w:rsidRPr="00B0286C">
        <w:t>Recomendaciones:</w:t>
      </w:r>
      <w:bookmarkEnd w:id="11"/>
    </w:p>
    <w:p w14:paraId="509DD6D3" w14:textId="49FFFA18" w:rsidR="00F402E7" w:rsidRDefault="00780394" w:rsidP="0022182F">
      <w:pPr>
        <w:pStyle w:val="ListParagraph"/>
        <w:numPr>
          <w:ilvl w:val="0"/>
          <w:numId w:val="33"/>
        </w:numPr>
      </w:pPr>
      <w:r w:rsidRPr="00233FA9">
        <w:t>En la reforma política que adelanta el gobierno actual y en su implementación, considerar, prevenir y atender las violencias políticas basadas en el género, incluidas medidas de atención psicosocial.</w:t>
      </w:r>
    </w:p>
    <w:p w14:paraId="7C2A48FA" w14:textId="77777777" w:rsidR="001D512C" w:rsidRPr="00233FA9" w:rsidRDefault="001D512C" w:rsidP="001D512C">
      <w:pPr>
        <w:pStyle w:val="ListParagraph"/>
      </w:pPr>
    </w:p>
    <w:p w14:paraId="35B98D46" w14:textId="2A6D8F39" w:rsidR="00A21882" w:rsidRPr="00A21882" w:rsidRDefault="00A21882" w:rsidP="0022182F">
      <w:pPr>
        <w:pStyle w:val="Heading2"/>
        <w:rPr>
          <w:lang w:val="es-ES"/>
        </w:rPr>
      </w:pPr>
      <w:bookmarkStart w:id="12" w:name="_Toc136246245"/>
      <w:r w:rsidRPr="00A21882">
        <w:rPr>
          <w:lang w:val="es-ES"/>
        </w:rPr>
        <w:t>Violencias contra las defensoras de derechos humanos y lideresas</w:t>
      </w:r>
      <w:bookmarkEnd w:id="12"/>
    </w:p>
    <w:p w14:paraId="13C85181" w14:textId="5C4DF4EA" w:rsidR="00DB6071" w:rsidRPr="00233FA9" w:rsidRDefault="00D719D8" w:rsidP="0022182F">
      <w:pPr>
        <w:rPr>
          <w:lang w:val="es-ES"/>
        </w:rPr>
      </w:pPr>
      <w:r w:rsidRPr="00233FA9">
        <w:rPr>
          <w:lang w:val="es-ES"/>
        </w:rPr>
        <w:t>L</w:t>
      </w:r>
      <w:r w:rsidR="00076EE9" w:rsidRPr="00233FA9">
        <w:rPr>
          <w:lang w:val="es-ES"/>
        </w:rPr>
        <w:t xml:space="preserve">as garantías de seguridad para la defensa de los </w:t>
      </w:r>
      <w:r w:rsidR="00186031">
        <w:rPr>
          <w:lang w:val="es-ES"/>
        </w:rPr>
        <w:t>d</w:t>
      </w:r>
      <w:r w:rsidR="00076EE9" w:rsidRPr="00233FA9">
        <w:rPr>
          <w:lang w:val="es-ES"/>
        </w:rPr>
        <w:t xml:space="preserve">erechos </w:t>
      </w:r>
      <w:r w:rsidR="00186031">
        <w:rPr>
          <w:lang w:val="es-ES"/>
        </w:rPr>
        <w:t>h</w:t>
      </w:r>
      <w:r w:rsidR="00076EE9" w:rsidRPr="00233FA9">
        <w:rPr>
          <w:lang w:val="es-ES"/>
        </w:rPr>
        <w:t xml:space="preserve">umanos y el liderazgo político son insuficientes. </w:t>
      </w:r>
      <w:r w:rsidR="00021586" w:rsidRPr="00233FA9">
        <w:rPr>
          <w:lang w:val="es-ES"/>
        </w:rPr>
        <w:t xml:space="preserve">En los últimos tres años se han registrado un total de 616 asesinatos a líderes y lideresas sociales; y </w:t>
      </w:r>
      <w:proofErr w:type="gramStart"/>
      <w:r w:rsidR="00021586" w:rsidRPr="00233FA9">
        <w:rPr>
          <w:lang w:val="es-ES"/>
        </w:rPr>
        <w:t>defensores y defensoras</w:t>
      </w:r>
      <w:proofErr w:type="gramEnd"/>
      <w:r w:rsidR="00021586" w:rsidRPr="00233FA9">
        <w:rPr>
          <w:lang w:val="es-ES"/>
        </w:rPr>
        <w:t xml:space="preserve"> de </w:t>
      </w:r>
      <w:r w:rsidR="00186031">
        <w:rPr>
          <w:lang w:val="es-ES"/>
        </w:rPr>
        <w:t>d</w:t>
      </w:r>
      <w:r w:rsidR="008F7440" w:rsidRPr="00233FA9">
        <w:rPr>
          <w:lang w:val="es-ES"/>
        </w:rPr>
        <w:t xml:space="preserve">erechos </w:t>
      </w:r>
      <w:r w:rsidR="00186031">
        <w:rPr>
          <w:lang w:val="es-ES"/>
        </w:rPr>
        <w:t>h</w:t>
      </w:r>
      <w:r w:rsidR="008F7440" w:rsidRPr="00233FA9">
        <w:rPr>
          <w:lang w:val="es-ES"/>
        </w:rPr>
        <w:t>umanos. D</w:t>
      </w:r>
      <w:r w:rsidR="00021586" w:rsidRPr="00233FA9">
        <w:rPr>
          <w:lang w:val="es-ES"/>
        </w:rPr>
        <w:t xml:space="preserve">e estos casos, 81 han sido mujeres, que en su mayoría pertenecían a comunidades indígenas, seguidas de campesinas, sindicalistas, lideresas comunales </w:t>
      </w:r>
      <w:r w:rsidR="00777156" w:rsidRPr="00233FA9">
        <w:rPr>
          <w:lang w:val="es-ES"/>
        </w:rPr>
        <w:t>y,</w:t>
      </w:r>
      <w:r w:rsidR="00021586" w:rsidRPr="00233FA9">
        <w:rPr>
          <w:lang w:val="es-ES"/>
        </w:rPr>
        <w:t xml:space="preserve"> por último</w:t>
      </w:r>
      <w:r w:rsidR="008F7440" w:rsidRPr="00233FA9">
        <w:rPr>
          <w:lang w:val="es-ES"/>
        </w:rPr>
        <w:t>,</w:t>
      </w:r>
      <w:r w:rsidR="00021586" w:rsidRPr="00233FA9">
        <w:rPr>
          <w:lang w:val="es-ES"/>
        </w:rPr>
        <w:t xml:space="preserve"> civiles</w:t>
      </w:r>
      <w:r w:rsidR="00777156">
        <w:rPr>
          <w:rStyle w:val="FootnoteReference"/>
          <w:rFonts w:ascii="Open Sans" w:hAnsi="Open Sans" w:cs="Open Sans"/>
          <w:sz w:val="20"/>
          <w:szCs w:val="20"/>
          <w:lang w:val="es-ES"/>
        </w:rPr>
        <w:footnoteReference w:id="25"/>
      </w:r>
      <w:r w:rsidR="00021586" w:rsidRPr="00233FA9">
        <w:rPr>
          <w:lang w:val="es-ES"/>
        </w:rPr>
        <w:t xml:space="preserve">. </w:t>
      </w:r>
    </w:p>
    <w:p w14:paraId="06EB86CD" w14:textId="66B86C23" w:rsidR="00D91A99" w:rsidRPr="00233FA9" w:rsidRDefault="00DB6071" w:rsidP="0022182F">
      <w:pPr>
        <w:rPr>
          <w:lang w:val="es-ES"/>
        </w:rPr>
      </w:pPr>
      <w:r w:rsidRPr="00233FA9">
        <w:rPr>
          <w:lang w:val="es-ES"/>
        </w:rPr>
        <w:t>Los asesinatos no han sido la única forma de acallar y silenciar estos liderazgos, sino que también se registra una serie de amenazas</w:t>
      </w:r>
      <w:r w:rsidRPr="00777156">
        <w:rPr>
          <w:rStyle w:val="FootnoteReference"/>
          <w:rFonts w:ascii="Open Sans" w:eastAsia="Times New Roman" w:hAnsi="Open Sans" w:cs="Open Sans"/>
          <w:bCs/>
          <w:sz w:val="20"/>
          <w:szCs w:val="20"/>
        </w:rPr>
        <w:footnoteReference w:id="26"/>
      </w:r>
      <w:r w:rsidRPr="00233FA9">
        <w:rPr>
          <w:lang w:val="es-ES"/>
        </w:rPr>
        <w:t xml:space="preserve"> y amedrentamientos, incluso sobre sus familias, que han instaurado el miedo para el cese de </w:t>
      </w:r>
      <w:r w:rsidR="00777156">
        <w:rPr>
          <w:lang w:val="es-ES"/>
        </w:rPr>
        <w:t xml:space="preserve">sus </w:t>
      </w:r>
      <w:r w:rsidRPr="00233FA9">
        <w:rPr>
          <w:lang w:val="es-ES"/>
        </w:rPr>
        <w:t xml:space="preserve">actividades políticas en función de la defensa de los territorios y sus habitantes. Las mujeres sufren todo un deterioro del bienestar mental y emocional por las constantes “amenazas telefónicas, escritas y personales </w:t>
      </w:r>
      <w:r w:rsidRPr="00233FA9">
        <w:rPr>
          <w:lang w:val="es-ES"/>
        </w:rPr>
        <w:lastRenderedPageBreak/>
        <w:t>(de actores conocidos o desconocidos), agresiones físicas, violencia sexual</w:t>
      </w:r>
      <w:r w:rsidR="00F21A16" w:rsidRPr="00233FA9">
        <w:rPr>
          <w:lang w:val="es-ES"/>
        </w:rPr>
        <w:t xml:space="preserve"> que en diversos casos se repite, causando ciclos de re victimización</w:t>
      </w:r>
      <w:r w:rsidRPr="00233FA9">
        <w:rPr>
          <w:lang w:val="es-ES"/>
        </w:rPr>
        <w:t xml:space="preserve">, prejuicios </w:t>
      </w:r>
      <w:r w:rsidR="00CB3EC8" w:rsidRPr="00233FA9">
        <w:rPr>
          <w:lang w:val="es-ES"/>
        </w:rPr>
        <w:t>por</w:t>
      </w:r>
      <w:r w:rsidRPr="00233FA9">
        <w:rPr>
          <w:lang w:val="es-ES"/>
        </w:rPr>
        <w:t xml:space="preserve"> parte de funcionarios y funcionarias del sector público y profesionales de la salud, desplazamiento forzado y separación familiar, junto con otras situaciones que causaron miedo, desconfianza, ansiedad, evitación emocional y aislamiento social</w:t>
      </w:r>
      <w:r w:rsidR="008F7440" w:rsidRPr="00233FA9">
        <w:rPr>
          <w:lang w:val="es-ES"/>
        </w:rPr>
        <w:t>”</w:t>
      </w:r>
      <w:r w:rsidR="0000261A">
        <w:rPr>
          <w:rStyle w:val="FootnoteReference"/>
          <w:rFonts w:ascii="Open Sans" w:hAnsi="Open Sans" w:cs="Open Sans"/>
          <w:sz w:val="20"/>
          <w:szCs w:val="20"/>
          <w:lang w:val="es-ES"/>
        </w:rPr>
        <w:footnoteReference w:id="27"/>
      </w:r>
      <w:r w:rsidR="00ED390A">
        <w:rPr>
          <w:lang w:val="es-ES"/>
        </w:rPr>
        <w:t>.</w:t>
      </w:r>
    </w:p>
    <w:p w14:paraId="149F1E26" w14:textId="30C305E0" w:rsidR="00D91A99" w:rsidRPr="00233FA9" w:rsidRDefault="00F21A16" w:rsidP="0022182F">
      <w:pPr>
        <w:rPr>
          <w:lang w:val="es-ES"/>
        </w:rPr>
      </w:pPr>
      <w:r w:rsidRPr="00233FA9">
        <w:rPr>
          <w:lang w:val="es-ES"/>
        </w:rPr>
        <w:t xml:space="preserve">Todo ello ocurre sin que el Estado </w:t>
      </w:r>
      <w:r w:rsidR="008F7440" w:rsidRPr="00233FA9">
        <w:rPr>
          <w:lang w:val="es-ES"/>
        </w:rPr>
        <w:t>c</w:t>
      </w:r>
      <w:r w:rsidRPr="00233FA9">
        <w:rPr>
          <w:lang w:val="es-ES"/>
        </w:rPr>
        <w:t xml:space="preserve">olombiano alcance avances significativos en la efectividad de la respuesta y la atención a casos de violencias basadas en género, así como la incorporación de un enfoque de </w:t>
      </w:r>
      <w:r w:rsidR="00186031">
        <w:rPr>
          <w:lang w:val="es-ES"/>
        </w:rPr>
        <w:t>d</w:t>
      </w:r>
      <w:r w:rsidR="008F7440" w:rsidRPr="00233FA9">
        <w:rPr>
          <w:lang w:val="es-ES"/>
        </w:rPr>
        <w:t xml:space="preserve">erechos </w:t>
      </w:r>
      <w:r w:rsidR="00186031">
        <w:rPr>
          <w:lang w:val="es-ES"/>
        </w:rPr>
        <w:t>h</w:t>
      </w:r>
      <w:r w:rsidR="008F7440" w:rsidRPr="00233FA9">
        <w:rPr>
          <w:lang w:val="es-ES"/>
        </w:rPr>
        <w:t xml:space="preserve">umanos </w:t>
      </w:r>
      <w:r w:rsidRPr="00233FA9">
        <w:rPr>
          <w:lang w:val="es-ES"/>
        </w:rPr>
        <w:t xml:space="preserve">de las mujeres y feminista </w:t>
      </w:r>
      <w:r w:rsidR="00A5567C">
        <w:rPr>
          <w:lang w:val="es-ES"/>
        </w:rPr>
        <w:t>en</w:t>
      </w:r>
      <w:r w:rsidRPr="00233FA9">
        <w:rPr>
          <w:lang w:val="es-ES"/>
        </w:rPr>
        <w:t xml:space="preserve"> las instituciones que reciben estos casos, haciéndolas</w:t>
      </w:r>
      <w:r w:rsidR="008F7440" w:rsidRPr="00233FA9">
        <w:rPr>
          <w:lang w:val="es-ES"/>
        </w:rPr>
        <w:t xml:space="preserve"> </w:t>
      </w:r>
      <w:r w:rsidRPr="00233FA9">
        <w:rPr>
          <w:lang w:val="es-ES"/>
        </w:rPr>
        <w:t>también, espacios inseguros que dificultan la denuncia y</w:t>
      </w:r>
      <w:r w:rsidR="00A71BA4">
        <w:rPr>
          <w:lang w:val="es-ES"/>
        </w:rPr>
        <w:t>,</w:t>
      </w:r>
      <w:r w:rsidRPr="00233FA9">
        <w:rPr>
          <w:lang w:val="es-ES"/>
        </w:rPr>
        <w:t xml:space="preserve"> por ende</w:t>
      </w:r>
      <w:r w:rsidR="00A5567C">
        <w:rPr>
          <w:lang w:val="es-ES"/>
        </w:rPr>
        <w:t>,</w:t>
      </w:r>
      <w:r w:rsidRPr="00233FA9">
        <w:rPr>
          <w:lang w:val="es-ES"/>
        </w:rPr>
        <w:t xml:space="preserve"> las garantías de protección y el acceso a la justicia</w:t>
      </w:r>
      <w:r w:rsidR="00D91A99" w:rsidRPr="00233FA9">
        <w:rPr>
          <w:lang w:val="es-ES"/>
        </w:rPr>
        <w:t>.</w:t>
      </w:r>
    </w:p>
    <w:p w14:paraId="379C7D8B" w14:textId="54B1F8A9" w:rsidR="00127150" w:rsidRPr="00233FA9" w:rsidRDefault="00D91A99" w:rsidP="0022182F">
      <w:pPr>
        <w:rPr>
          <w:lang w:val="es-ES"/>
        </w:rPr>
      </w:pPr>
      <w:r w:rsidRPr="00233FA9">
        <w:rPr>
          <w:lang w:val="es-ES"/>
        </w:rPr>
        <w:t>N</w:t>
      </w:r>
      <w:r w:rsidR="00AA4A9C" w:rsidRPr="00233FA9">
        <w:rPr>
          <w:lang w:val="es-ES"/>
        </w:rPr>
        <w:t xml:space="preserve">o obstante, </w:t>
      </w:r>
      <w:r w:rsidR="008F7440" w:rsidRPr="00233FA9">
        <w:rPr>
          <w:lang w:val="es-ES"/>
        </w:rPr>
        <w:t xml:space="preserve">“este </w:t>
      </w:r>
      <w:r w:rsidR="00121F15" w:rsidRPr="00233FA9">
        <w:rPr>
          <w:lang w:val="es-ES"/>
        </w:rPr>
        <w:t xml:space="preserve">panorama no ha frenado las acciones de incidencia y resistencia en la agenda de paz, pues en la mayoría de los casos los obstáculos son un motor para continuar con su labor de liderazgo y defensa de </w:t>
      </w:r>
      <w:r w:rsidR="00186031">
        <w:rPr>
          <w:lang w:val="es-ES"/>
        </w:rPr>
        <w:t>d</w:t>
      </w:r>
      <w:r w:rsidR="008F7440" w:rsidRPr="00233FA9">
        <w:rPr>
          <w:lang w:val="es-ES"/>
        </w:rPr>
        <w:t xml:space="preserve">erechos </w:t>
      </w:r>
      <w:r w:rsidR="00186031">
        <w:rPr>
          <w:lang w:val="es-ES"/>
        </w:rPr>
        <w:t>h</w:t>
      </w:r>
      <w:r w:rsidR="008F7440" w:rsidRPr="00233FA9">
        <w:rPr>
          <w:lang w:val="es-ES"/>
        </w:rPr>
        <w:t>umanos</w:t>
      </w:r>
      <w:r w:rsidR="00121F15" w:rsidRPr="00233FA9">
        <w:rPr>
          <w:lang w:val="es-ES"/>
        </w:rPr>
        <w:t>”</w:t>
      </w:r>
      <w:r w:rsidR="00121F15" w:rsidRPr="00233FA9">
        <w:rPr>
          <w:rStyle w:val="FootnoteReference"/>
          <w:rFonts w:ascii="Open Sans" w:hAnsi="Open Sans" w:cs="Open Sans"/>
          <w:sz w:val="20"/>
          <w:szCs w:val="20"/>
        </w:rPr>
        <w:footnoteReference w:id="28"/>
      </w:r>
      <w:r w:rsidR="00FC1D39" w:rsidRPr="00233FA9">
        <w:rPr>
          <w:lang w:val="es-ES"/>
        </w:rPr>
        <w:t xml:space="preserve">. </w:t>
      </w:r>
      <w:r w:rsidR="00127150" w:rsidRPr="00233FA9">
        <w:rPr>
          <w:lang w:val="es-ES"/>
        </w:rPr>
        <w:t>Cabe mencionar que</w:t>
      </w:r>
      <w:r w:rsidR="00CB3EC8" w:rsidRPr="00233FA9">
        <w:rPr>
          <w:lang w:val="es-ES"/>
        </w:rPr>
        <w:t xml:space="preserve">, </w:t>
      </w:r>
      <w:r w:rsidR="00127150" w:rsidRPr="00233FA9">
        <w:rPr>
          <w:lang w:val="es-ES"/>
        </w:rPr>
        <w:t xml:space="preserve">en el marco del </w:t>
      </w:r>
      <w:r w:rsidR="005C462A" w:rsidRPr="00700673">
        <w:rPr>
          <w:lang w:val="es-ES"/>
        </w:rPr>
        <w:t xml:space="preserve">Acuerdo </w:t>
      </w:r>
      <w:r w:rsidR="005C462A">
        <w:rPr>
          <w:lang w:val="es-ES"/>
        </w:rPr>
        <w:t>Final de Paz</w:t>
      </w:r>
      <w:r w:rsidR="00127150" w:rsidRPr="00233FA9">
        <w:rPr>
          <w:lang w:val="es-ES"/>
        </w:rPr>
        <w:t xml:space="preserve">, el </w:t>
      </w:r>
      <w:r w:rsidR="00127150" w:rsidRPr="008F47A0">
        <w:rPr>
          <w:lang w:val="es-ES"/>
        </w:rPr>
        <w:t xml:space="preserve">punto </w:t>
      </w:r>
      <w:r w:rsidR="002D1FDF" w:rsidRPr="008F47A0">
        <w:rPr>
          <w:lang w:val="es-ES"/>
        </w:rPr>
        <w:t>2</w:t>
      </w:r>
      <w:r w:rsidR="00127150" w:rsidRPr="008F47A0">
        <w:rPr>
          <w:lang w:val="es-ES"/>
        </w:rPr>
        <w:t xml:space="preserve"> sobre</w:t>
      </w:r>
      <w:r w:rsidR="00127150" w:rsidRPr="00233FA9">
        <w:rPr>
          <w:lang w:val="es-ES"/>
        </w:rPr>
        <w:t xml:space="preserve"> participación política</w:t>
      </w:r>
      <w:r w:rsidR="00CB3EC8" w:rsidRPr="00233FA9">
        <w:rPr>
          <w:lang w:val="es-ES"/>
        </w:rPr>
        <w:t xml:space="preserve"> es el que registra menor avance en la implementación y que su presupuesto se redujo en un 95% en el 2021 frente al reporte de 2020</w:t>
      </w:r>
      <w:r w:rsidR="00A71BA4">
        <w:rPr>
          <w:rStyle w:val="FootnoteReference"/>
          <w:rFonts w:ascii="Open Sans" w:hAnsi="Open Sans" w:cs="Open Sans"/>
          <w:sz w:val="20"/>
          <w:szCs w:val="20"/>
          <w:lang w:val="es-ES"/>
        </w:rPr>
        <w:footnoteReference w:id="29"/>
      </w:r>
      <w:r w:rsidR="00127150" w:rsidRPr="00233FA9">
        <w:rPr>
          <w:lang w:val="es-ES"/>
        </w:rPr>
        <w:t>.</w:t>
      </w:r>
    </w:p>
    <w:p w14:paraId="098920B4" w14:textId="77777777" w:rsidR="00243B13" w:rsidRPr="00B0286C" w:rsidRDefault="002B21E9" w:rsidP="0022182F">
      <w:pPr>
        <w:pStyle w:val="Heading3"/>
      </w:pPr>
      <w:bookmarkStart w:id="13" w:name="_Toc136246246"/>
      <w:r w:rsidRPr="00B0286C">
        <w:t>Recomendaciones:</w:t>
      </w:r>
      <w:bookmarkEnd w:id="13"/>
    </w:p>
    <w:p w14:paraId="6CB85FBF" w14:textId="77777777" w:rsidR="00CD447B" w:rsidRPr="0022182F" w:rsidRDefault="0076678C" w:rsidP="0022182F">
      <w:pPr>
        <w:pStyle w:val="ListParagraph"/>
        <w:numPr>
          <w:ilvl w:val="0"/>
          <w:numId w:val="34"/>
        </w:numPr>
        <w:rPr>
          <w:rFonts w:eastAsia="Times New Roman"/>
          <w:b/>
          <w:bCs/>
          <w:iCs/>
          <w:color w:val="7030A0"/>
        </w:rPr>
      </w:pPr>
      <w:r w:rsidRPr="0022182F">
        <w:rPr>
          <w:lang w:val="es-ES"/>
        </w:rPr>
        <w:t>M</w:t>
      </w:r>
      <w:r w:rsidR="00CD447B" w:rsidRPr="0022182F">
        <w:rPr>
          <w:lang w:val="es-ES"/>
        </w:rPr>
        <w:t>ejorar los mecanismos de respuesta rápida y de los procesos de investigación y juzgamiento, y develar las marcas de género asociadas a la violencia sociopolítica.</w:t>
      </w:r>
    </w:p>
    <w:p w14:paraId="783E11BA" w14:textId="44087786" w:rsidR="002B21E9" w:rsidRPr="0022182F" w:rsidRDefault="00CD447B" w:rsidP="0022182F">
      <w:pPr>
        <w:pStyle w:val="ListParagraph"/>
        <w:numPr>
          <w:ilvl w:val="0"/>
          <w:numId w:val="34"/>
        </w:numPr>
        <w:rPr>
          <w:lang w:val="es-ES"/>
        </w:rPr>
      </w:pPr>
      <w:r w:rsidRPr="0022182F">
        <w:rPr>
          <w:lang w:val="es-ES"/>
        </w:rPr>
        <w:t xml:space="preserve">Destinar </w:t>
      </w:r>
      <w:r w:rsidR="002B21E9" w:rsidRPr="0022182F">
        <w:rPr>
          <w:lang w:val="es-ES"/>
        </w:rPr>
        <w:t xml:space="preserve">recursos </w:t>
      </w:r>
      <w:r w:rsidRPr="0022182F">
        <w:rPr>
          <w:lang w:val="es-ES"/>
        </w:rPr>
        <w:t xml:space="preserve">específicos </w:t>
      </w:r>
      <w:r w:rsidR="002B21E9" w:rsidRPr="0022182F">
        <w:rPr>
          <w:lang w:val="es-ES"/>
        </w:rPr>
        <w:t xml:space="preserve">para la implementación a nivel nacional del Programa Integral de garantías para lideresas y defensoras de </w:t>
      </w:r>
      <w:r w:rsidR="00186031" w:rsidRPr="0022182F">
        <w:rPr>
          <w:lang w:val="es-ES"/>
        </w:rPr>
        <w:t>d</w:t>
      </w:r>
      <w:r w:rsidR="00FC1D39" w:rsidRPr="0022182F">
        <w:rPr>
          <w:lang w:val="es-ES"/>
        </w:rPr>
        <w:t xml:space="preserve">erechos </w:t>
      </w:r>
      <w:r w:rsidR="00186031" w:rsidRPr="0022182F">
        <w:rPr>
          <w:lang w:val="es-ES"/>
        </w:rPr>
        <w:t>h</w:t>
      </w:r>
      <w:r w:rsidR="00FC1D39" w:rsidRPr="0022182F">
        <w:rPr>
          <w:lang w:val="es-ES"/>
        </w:rPr>
        <w:t>umanos</w:t>
      </w:r>
      <w:r w:rsidRPr="0022182F">
        <w:rPr>
          <w:lang w:val="es-ES"/>
        </w:rPr>
        <w:t>.</w:t>
      </w:r>
    </w:p>
    <w:p w14:paraId="073807C9" w14:textId="69A12284" w:rsidR="008A45EF" w:rsidRDefault="008A45EF" w:rsidP="0022182F">
      <w:pPr>
        <w:pStyle w:val="ListParagraph"/>
        <w:numPr>
          <w:ilvl w:val="0"/>
          <w:numId w:val="34"/>
        </w:numPr>
        <w:rPr>
          <w:lang w:val="es-ES"/>
        </w:rPr>
      </w:pPr>
      <w:r w:rsidRPr="0022182F">
        <w:rPr>
          <w:lang w:val="es-ES"/>
        </w:rPr>
        <w:t>Reestructurar las medidas de protección que, en la mayoría de los casos, resultan insuficientes e incluso inconvenientes para las mujeres y person</w:t>
      </w:r>
      <w:r w:rsidR="005E34AB" w:rsidRPr="0022182F">
        <w:rPr>
          <w:lang w:val="es-ES"/>
        </w:rPr>
        <w:t>a</w:t>
      </w:r>
      <w:r w:rsidRPr="0022182F">
        <w:rPr>
          <w:lang w:val="es-ES"/>
        </w:rPr>
        <w:t>s en situación de riesgo.</w:t>
      </w:r>
    </w:p>
    <w:p w14:paraId="65B61B1C" w14:textId="77777777" w:rsidR="00BD589E" w:rsidRPr="0022182F" w:rsidRDefault="00BD589E" w:rsidP="00BD589E">
      <w:pPr>
        <w:pStyle w:val="ListParagraph"/>
        <w:rPr>
          <w:lang w:val="es-ES"/>
        </w:rPr>
      </w:pPr>
    </w:p>
    <w:p w14:paraId="0E5F2960" w14:textId="41DDBD3C" w:rsidR="00A21882" w:rsidRPr="00A21882" w:rsidRDefault="0022182F" w:rsidP="00800546">
      <w:pPr>
        <w:pStyle w:val="Heading1"/>
        <w:rPr>
          <w:lang w:val="es-ES"/>
        </w:rPr>
      </w:pPr>
      <w:bookmarkStart w:id="14" w:name="_Toc136246247"/>
      <w:r>
        <w:rPr>
          <w:lang w:val="es-ES"/>
        </w:rPr>
        <w:t>V.</w:t>
      </w:r>
      <w:r>
        <w:rPr>
          <w:lang w:val="es-ES"/>
        </w:rPr>
        <w:tab/>
      </w:r>
      <w:r w:rsidR="00A21882" w:rsidRPr="00A21882">
        <w:rPr>
          <w:lang w:val="es-ES"/>
        </w:rPr>
        <w:t>Violencia contra mujeres excombatientes</w:t>
      </w:r>
      <w:bookmarkEnd w:id="14"/>
    </w:p>
    <w:p w14:paraId="65624741" w14:textId="77777777" w:rsidR="00800546" w:rsidRDefault="00800546" w:rsidP="006C315C">
      <w:pPr>
        <w:spacing w:line="312" w:lineRule="auto"/>
        <w:jc w:val="both"/>
        <w:rPr>
          <w:rFonts w:ascii="Open Sans" w:hAnsi="Open Sans" w:cs="Open Sans"/>
          <w:sz w:val="20"/>
          <w:szCs w:val="20"/>
          <w:lang w:val="es-ES"/>
        </w:rPr>
      </w:pPr>
    </w:p>
    <w:p w14:paraId="1BDCB474" w14:textId="17D8708B" w:rsidR="00B016A2" w:rsidRDefault="00076EE9" w:rsidP="0022182F">
      <w:r w:rsidRPr="00233FA9">
        <w:rPr>
          <w:lang w:val="es-ES"/>
        </w:rPr>
        <w:t xml:space="preserve">A pesar de la invaluable contribución a la democracia tras la firma del </w:t>
      </w:r>
      <w:r w:rsidR="005C462A" w:rsidRPr="00700673">
        <w:rPr>
          <w:lang w:val="es-ES"/>
        </w:rPr>
        <w:t xml:space="preserve">Acuerdo </w:t>
      </w:r>
      <w:r w:rsidR="005C462A">
        <w:rPr>
          <w:lang w:val="es-ES"/>
        </w:rPr>
        <w:t>Final de Paz</w:t>
      </w:r>
      <w:r w:rsidR="005C462A" w:rsidRPr="00233FA9">
        <w:rPr>
          <w:lang w:val="es-ES"/>
        </w:rPr>
        <w:t xml:space="preserve"> </w:t>
      </w:r>
      <w:r w:rsidRPr="00233FA9">
        <w:rPr>
          <w:lang w:val="es-ES"/>
        </w:rPr>
        <w:t xml:space="preserve">y la dejación de armas, el 27 de enero de 2022 la Corte Constitucional </w:t>
      </w:r>
      <w:r w:rsidR="00FC1D39" w:rsidRPr="00233FA9">
        <w:rPr>
          <w:lang w:val="es-ES"/>
        </w:rPr>
        <w:t>c</w:t>
      </w:r>
      <w:r w:rsidRPr="00233FA9">
        <w:rPr>
          <w:lang w:val="es-ES"/>
        </w:rPr>
        <w:t>olombiana declaró el estado de cosas inconstitucional</w:t>
      </w:r>
      <w:r w:rsidR="00132178">
        <w:rPr>
          <w:rStyle w:val="FootnoteReference"/>
          <w:rFonts w:ascii="Open Sans" w:hAnsi="Open Sans" w:cs="Open Sans"/>
          <w:sz w:val="20"/>
          <w:szCs w:val="20"/>
          <w:lang w:val="es-ES"/>
        </w:rPr>
        <w:footnoteReference w:id="30"/>
      </w:r>
      <w:r w:rsidRPr="00233FA9">
        <w:rPr>
          <w:lang w:val="es-ES"/>
        </w:rPr>
        <w:t xml:space="preserve"> por el bajo nivel de cumplimiento en la implementación del componente de garantías de seguridad, a favor de la población en proceso de reincorporación, de sus familias y de quienes integran el nuevo partido político Comunes. </w:t>
      </w:r>
      <w:r w:rsidRPr="00233FA9">
        <w:t xml:space="preserve">Desde la firma del </w:t>
      </w:r>
      <w:r w:rsidR="005C462A" w:rsidRPr="00700673">
        <w:rPr>
          <w:lang w:val="es-ES"/>
        </w:rPr>
        <w:t xml:space="preserve">Acuerdo </w:t>
      </w:r>
      <w:r w:rsidR="005C462A">
        <w:rPr>
          <w:lang w:val="es-ES"/>
        </w:rPr>
        <w:t>Final de Paz</w:t>
      </w:r>
      <w:r w:rsidR="005C462A" w:rsidRPr="00233FA9">
        <w:t xml:space="preserve"> </w:t>
      </w:r>
      <w:r w:rsidRPr="00233FA9">
        <w:t xml:space="preserve">hasta el 26 de diciembre de 2022, la Misión de Verificación </w:t>
      </w:r>
      <w:r w:rsidR="00197973" w:rsidRPr="008F47A0">
        <w:t>de las Naciones Unidas en Colombia</w:t>
      </w:r>
      <w:r w:rsidR="00197973" w:rsidRPr="00197973">
        <w:t xml:space="preserve"> </w:t>
      </w:r>
      <w:r w:rsidRPr="00233FA9">
        <w:t xml:space="preserve">registró 355 asesinatos de firmantes del </w:t>
      </w:r>
      <w:r w:rsidR="005C462A" w:rsidRPr="00700673">
        <w:rPr>
          <w:lang w:val="es-ES"/>
        </w:rPr>
        <w:t xml:space="preserve">Acuerdo </w:t>
      </w:r>
      <w:r w:rsidR="005C462A">
        <w:rPr>
          <w:lang w:val="es-ES"/>
        </w:rPr>
        <w:t>Final de Paz</w:t>
      </w:r>
      <w:r w:rsidRPr="00233FA9">
        <w:t xml:space="preserve">, de los cuales 11 </w:t>
      </w:r>
      <w:r w:rsidRPr="00233FA9">
        <w:lastRenderedPageBreak/>
        <w:t>corresponden a mujeres, 48 a personas afrodescendientes y 33 a indígenas. Además, registró 110 tentativas de homicidio, 8 de ellas a mujeres y 27 desapariciones de hombres</w:t>
      </w:r>
      <w:r w:rsidR="00943F16">
        <w:rPr>
          <w:rStyle w:val="FootnoteReference"/>
          <w:rFonts w:ascii="Open Sans" w:hAnsi="Open Sans" w:cs="Open Sans"/>
          <w:sz w:val="20"/>
          <w:szCs w:val="20"/>
        </w:rPr>
        <w:footnoteReference w:id="31"/>
      </w:r>
      <w:r w:rsidRPr="00233FA9">
        <w:t xml:space="preserve">. </w:t>
      </w:r>
    </w:p>
    <w:p w14:paraId="69479811" w14:textId="14D3CB05" w:rsidR="00943F16" w:rsidRPr="00233FA9" w:rsidRDefault="0003364C" w:rsidP="0022182F">
      <w:r>
        <w:t>En</w:t>
      </w:r>
      <w:r w:rsidR="00943F16">
        <w:t xml:space="preserve"> </w:t>
      </w:r>
      <w:r>
        <w:t xml:space="preserve">marzo de 2023 el país presenció el desplazamiento de más de 200 familias firmantes del </w:t>
      </w:r>
      <w:r w:rsidR="005C462A" w:rsidRPr="00700673">
        <w:rPr>
          <w:lang w:val="es-ES"/>
        </w:rPr>
        <w:t xml:space="preserve">Acuerdo </w:t>
      </w:r>
      <w:r w:rsidR="005C462A">
        <w:rPr>
          <w:lang w:val="es-ES"/>
        </w:rPr>
        <w:t>Final de Paz</w:t>
      </w:r>
      <w:r w:rsidR="005C462A">
        <w:t xml:space="preserve"> </w:t>
      </w:r>
      <w:r>
        <w:t>del AETCR</w:t>
      </w:r>
      <w:r w:rsidR="00B016A2">
        <w:rPr>
          <w:rStyle w:val="FootnoteReference"/>
          <w:rFonts w:ascii="Open Sans" w:hAnsi="Open Sans" w:cs="Open Sans"/>
          <w:sz w:val="20"/>
          <w:szCs w:val="20"/>
        </w:rPr>
        <w:footnoteReference w:id="32"/>
      </w:r>
      <w:r>
        <w:t xml:space="preserve"> Mariana Páez en </w:t>
      </w:r>
      <w:r w:rsidR="00B016A2">
        <w:t>M</w:t>
      </w:r>
      <w:r>
        <w:t xml:space="preserve">esetas - Meta, completando </w:t>
      </w:r>
      <w:r w:rsidR="000558AD">
        <w:t xml:space="preserve">al menos </w:t>
      </w:r>
      <w:r>
        <w:t xml:space="preserve">dos hechos de desplazamiento en </w:t>
      </w:r>
      <w:r w:rsidR="00F302C2">
        <w:t>estos espacios de reincorporación</w:t>
      </w:r>
      <w:r>
        <w:rPr>
          <w:rStyle w:val="FootnoteReference"/>
          <w:rFonts w:ascii="Open Sans" w:hAnsi="Open Sans" w:cs="Open Sans"/>
          <w:sz w:val="20"/>
          <w:szCs w:val="20"/>
        </w:rPr>
        <w:footnoteReference w:id="33"/>
      </w:r>
      <w:r>
        <w:t xml:space="preserve">. Este hecho, sumado al asesinato de </w:t>
      </w:r>
      <w:r w:rsidR="00B016A2">
        <w:t>personas firmantes que ejercían roles de liderazgo en procesos políticos y emprendimientos económicos</w:t>
      </w:r>
      <w:r w:rsidR="000558AD">
        <w:t xml:space="preserve"> comunitarios,</w:t>
      </w:r>
      <w:r>
        <w:t xml:space="preserve"> permite observar el interés de debilitar los procesos colectivos</w:t>
      </w:r>
      <w:r w:rsidR="00B016A2">
        <w:t xml:space="preserve"> y el riesgo que enfrenta el proceso de reincorporación y las personas firmantes.</w:t>
      </w:r>
    </w:p>
    <w:p w14:paraId="32DB1BA2" w14:textId="59F5BB7D" w:rsidR="00076EE9" w:rsidRPr="0022182F" w:rsidRDefault="00076EE9" w:rsidP="0022182F">
      <w:pPr>
        <w:rPr>
          <w:lang w:val="es-ES"/>
        </w:rPr>
      </w:pPr>
      <w:r w:rsidRPr="00233FA9">
        <w:rPr>
          <w:lang w:val="es-ES"/>
        </w:rPr>
        <w:t xml:space="preserve">LIMPAL </w:t>
      </w:r>
      <w:r w:rsidR="00197973" w:rsidRPr="008F47A0">
        <w:rPr>
          <w:lang w:val="es-ES"/>
        </w:rPr>
        <w:t>Colombia</w:t>
      </w:r>
      <w:r w:rsidR="00197973">
        <w:rPr>
          <w:lang w:val="es-ES"/>
        </w:rPr>
        <w:t xml:space="preserve"> </w:t>
      </w:r>
      <w:r w:rsidRPr="00233FA9">
        <w:rPr>
          <w:lang w:val="es-ES"/>
        </w:rPr>
        <w:t xml:space="preserve">ha documentado atentados contra mujeres, quienes han manifestado no haber recibido suficiente información sobre las rutas de protección ante situaciones de riesgo para su vida. En </w:t>
      </w:r>
      <w:r w:rsidR="000558AD">
        <w:rPr>
          <w:lang w:val="es-ES"/>
        </w:rPr>
        <w:t>estas situaciones</w:t>
      </w:r>
      <w:r w:rsidRPr="00233FA9">
        <w:rPr>
          <w:lang w:val="es-ES"/>
        </w:rPr>
        <w:t>, han recurrido al Sistema de Naciones Unidas, organizaciones acompañantes no gubernamentales nacionales e internacionales</w:t>
      </w:r>
      <w:r w:rsidR="00FC1D39" w:rsidRPr="00233FA9">
        <w:rPr>
          <w:lang w:val="es-ES"/>
        </w:rPr>
        <w:t>,</w:t>
      </w:r>
      <w:r w:rsidRPr="00233FA9">
        <w:rPr>
          <w:lang w:val="es-ES"/>
        </w:rPr>
        <w:t xml:space="preserve"> o a estrategias de autoprotección, sin que la respuesta de las entidades públicas </w:t>
      </w:r>
      <w:r w:rsidR="00FC1D39" w:rsidRPr="00233FA9">
        <w:rPr>
          <w:lang w:val="es-ES"/>
        </w:rPr>
        <w:t xml:space="preserve">haya </w:t>
      </w:r>
      <w:r w:rsidRPr="00233FA9">
        <w:rPr>
          <w:lang w:val="es-ES"/>
        </w:rPr>
        <w:t>sido oportuna ni satisfactoria</w:t>
      </w:r>
      <w:r w:rsidR="008A45EF">
        <w:rPr>
          <w:rStyle w:val="FootnoteReference"/>
          <w:rFonts w:ascii="Open Sans" w:hAnsi="Open Sans" w:cs="Open Sans"/>
          <w:sz w:val="20"/>
          <w:szCs w:val="20"/>
          <w:lang w:val="es-ES"/>
        </w:rPr>
        <w:footnoteReference w:id="34"/>
      </w:r>
      <w:r w:rsidRPr="00233FA9">
        <w:rPr>
          <w:lang w:val="es-ES"/>
        </w:rPr>
        <w:t xml:space="preserve">. Los asesinatos, atentados y amenazas han implicado la reserva de su identidad como excombatientes y el abandono del ejercicio de la participación política, pactado en el </w:t>
      </w:r>
      <w:r w:rsidR="005C462A" w:rsidRPr="00700673">
        <w:rPr>
          <w:lang w:val="es-ES"/>
        </w:rPr>
        <w:t xml:space="preserve">Acuerdo </w:t>
      </w:r>
      <w:r w:rsidR="005C462A">
        <w:rPr>
          <w:lang w:val="es-ES"/>
        </w:rPr>
        <w:t>Final de Paz</w:t>
      </w:r>
      <w:r w:rsidRPr="00233FA9">
        <w:rPr>
          <w:lang w:val="es-ES"/>
        </w:rPr>
        <w:t xml:space="preserve">, </w:t>
      </w:r>
      <w:r w:rsidR="000558AD">
        <w:rPr>
          <w:lang w:val="es-ES"/>
        </w:rPr>
        <w:t>como estrategia para</w:t>
      </w:r>
      <w:r w:rsidRPr="00233FA9">
        <w:rPr>
          <w:lang w:val="es-ES"/>
        </w:rPr>
        <w:t xml:space="preserve"> disminuir los riesgos de exclusión y ataques violentos.</w:t>
      </w:r>
    </w:p>
    <w:p w14:paraId="5171FE6D" w14:textId="0896656E" w:rsidR="00076EE9" w:rsidRPr="0022182F" w:rsidRDefault="00F302C2" w:rsidP="0022182F">
      <w:pPr>
        <w:rPr>
          <w:lang w:val="es-ES"/>
        </w:rPr>
      </w:pPr>
      <w:r>
        <w:rPr>
          <w:lang w:val="es-ES"/>
        </w:rPr>
        <w:t>Otra forma en que se ha visto amenazada la reincorporación</w:t>
      </w:r>
      <w:r w:rsidR="00076EE9" w:rsidRPr="00233FA9">
        <w:rPr>
          <w:lang w:val="es-ES"/>
        </w:rPr>
        <w:t xml:space="preserve"> </w:t>
      </w:r>
      <w:r>
        <w:rPr>
          <w:lang w:val="es-ES"/>
        </w:rPr>
        <w:t xml:space="preserve">colectiva, así </w:t>
      </w:r>
      <w:r w:rsidR="00076EE9" w:rsidRPr="00233FA9">
        <w:rPr>
          <w:lang w:val="es-ES"/>
        </w:rPr>
        <w:t>quedó estipulad</w:t>
      </w:r>
      <w:r>
        <w:rPr>
          <w:lang w:val="es-ES"/>
        </w:rPr>
        <w:t>a</w:t>
      </w:r>
      <w:r w:rsidR="00076EE9" w:rsidRPr="00233FA9">
        <w:rPr>
          <w:lang w:val="es-ES"/>
        </w:rPr>
        <w:t xml:space="preserve"> en el </w:t>
      </w:r>
      <w:r w:rsidR="005C462A" w:rsidRPr="00700673">
        <w:rPr>
          <w:lang w:val="es-ES"/>
        </w:rPr>
        <w:t xml:space="preserve">Acuerdo </w:t>
      </w:r>
      <w:r w:rsidR="005C462A">
        <w:rPr>
          <w:lang w:val="es-ES"/>
        </w:rPr>
        <w:t>Final de Paz</w:t>
      </w:r>
      <w:r>
        <w:rPr>
          <w:lang w:val="es-ES"/>
        </w:rPr>
        <w:t>, como un proceso colectivo, es</w:t>
      </w:r>
      <w:r w:rsidR="00B47965" w:rsidRPr="00233FA9">
        <w:rPr>
          <w:lang w:val="es-ES"/>
        </w:rPr>
        <w:t xml:space="preserve"> </w:t>
      </w:r>
      <w:r>
        <w:rPr>
          <w:lang w:val="es-ES"/>
        </w:rPr>
        <w:t>a</w:t>
      </w:r>
      <w:r w:rsidRPr="00233FA9">
        <w:rPr>
          <w:lang w:val="es-ES"/>
        </w:rPr>
        <w:t xml:space="preserve"> través</w:t>
      </w:r>
      <w:r w:rsidR="00076EE9" w:rsidRPr="00233FA9">
        <w:rPr>
          <w:lang w:val="es-ES"/>
        </w:rPr>
        <w:t xml:space="preserve"> de la entrega de capital semilla</w:t>
      </w:r>
      <w:r w:rsidR="00BF0960">
        <w:rPr>
          <w:lang w:val="es-ES"/>
        </w:rPr>
        <w:t xml:space="preserve">. </w:t>
      </w:r>
      <w:r>
        <w:rPr>
          <w:lang w:val="es-ES"/>
        </w:rPr>
        <w:t>L</w:t>
      </w:r>
      <w:r w:rsidR="00076EE9" w:rsidRPr="00233FA9">
        <w:rPr>
          <w:lang w:val="es-ES"/>
        </w:rPr>
        <w:t>os proyectos productivos no son impulsados como iniciativas colectivas, pues se entregan a individuos y no a procesos y son insertadas en economías de mercado que desestimulan la cooperación. La entrega de capital, además, no se acompaña de estrategias complementarias como la formación para la preparación, producción, cadenas de comercialización, publicidad, entre otras, ni con el acceso titulado a las tierras, haciendo insostenibles los proyectos</w:t>
      </w:r>
      <w:r>
        <w:rPr>
          <w:rStyle w:val="FootnoteReference"/>
          <w:rFonts w:ascii="Open Sans" w:hAnsi="Open Sans" w:cs="Open Sans"/>
          <w:sz w:val="20"/>
          <w:szCs w:val="20"/>
          <w:lang w:val="es-ES"/>
        </w:rPr>
        <w:footnoteReference w:id="35"/>
      </w:r>
      <w:r>
        <w:rPr>
          <w:lang w:val="es-ES"/>
        </w:rPr>
        <w:t xml:space="preserve">, lo que desestimula la asociatividad. </w:t>
      </w:r>
    </w:p>
    <w:p w14:paraId="69FC95B9" w14:textId="4106A64D" w:rsidR="001D512C" w:rsidRDefault="00076EE9" w:rsidP="0022182F">
      <w:pPr>
        <w:rPr>
          <w:lang w:val="es-ES"/>
        </w:rPr>
      </w:pPr>
      <w:r w:rsidRPr="00233FA9">
        <w:rPr>
          <w:lang w:val="es-ES"/>
        </w:rPr>
        <w:t>En el caso de las mujeres, el incumplimiento de garantías para la reincorporación y el tránsito a una cultura, aún hoy patriarcal, ha ubicado a muchas de ellas de manera involuntaria y, en ocasiones, de manera exclusiva, en el ámbito de la familia y del trabajo del cuidado. La oferta institucional desconoce las barreras que implica para ellas el trabajo del cuidado, afectando significativamente su participación y permanencia en los programas</w:t>
      </w:r>
      <w:r w:rsidR="008A45EF">
        <w:rPr>
          <w:lang w:val="es-ES"/>
        </w:rPr>
        <w:t>. P</w:t>
      </w:r>
      <w:r w:rsidRPr="00233FA9">
        <w:rPr>
          <w:lang w:val="es-ES"/>
        </w:rPr>
        <w:t>or ejemplo, no hay garantías frente a los costos de desplazamiento para quienes tienen personas a cargo y están ubicadas en zonas dispersas</w:t>
      </w:r>
      <w:r w:rsidR="008A45EF">
        <w:rPr>
          <w:lang w:val="es-ES"/>
        </w:rPr>
        <w:t xml:space="preserve">, </w:t>
      </w:r>
      <w:r w:rsidRPr="00233FA9">
        <w:rPr>
          <w:lang w:val="es-ES"/>
        </w:rPr>
        <w:t>y no se cuenta con suficientes centros para el cuidado de menores</w:t>
      </w:r>
      <w:r w:rsidR="008A45EF">
        <w:rPr>
          <w:lang w:val="es-ES"/>
        </w:rPr>
        <w:t>,</w:t>
      </w:r>
      <w:r w:rsidRPr="00233FA9">
        <w:rPr>
          <w:lang w:val="es-ES"/>
        </w:rPr>
        <w:t xml:space="preserve"> equipados con</w:t>
      </w:r>
      <w:r w:rsidR="00B47965" w:rsidRPr="00233FA9">
        <w:rPr>
          <w:lang w:val="es-ES"/>
        </w:rPr>
        <w:t xml:space="preserve"> los</w:t>
      </w:r>
      <w:r w:rsidRPr="00233FA9">
        <w:rPr>
          <w:lang w:val="es-ES"/>
        </w:rPr>
        <w:t xml:space="preserve"> servicios ni </w:t>
      </w:r>
      <w:r w:rsidR="008A45EF">
        <w:rPr>
          <w:lang w:val="es-ES"/>
        </w:rPr>
        <w:t xml:space="preserve">con la </w:t>
      </w:r>
      <w:r w:rsidRPr="00233FA9">
        <w:rPr>
          <w:lang w:val="es-ES"/>
        </w:rPr>
        <w:t xml:space="preserve">dotación </w:t>
      </w:r>
      <w:r w:rsidR="008A45EF">
        <w:rPr>
          <w:lang w:val="es-ES"/>
        </w:rPr>
        <w:t>adecuada</w:t>
      </w:r>
      <w:r w:rsidRPr="00233FA9">
        <w:rPr>
          <w:lang w:val="es-ES"/>
        </w:rPr>
        <w:t>.</w:t>
      </w:r>
    </w:p>
    <w:p w14:paraId="638D5BC6" w14:textId="5EB3E2E0" w:rsidR="00076EE9" w:rsidRPr="0022182F" w:rsidRDefault="001D512C" w:rsidP="001D512C">
      <w:pPr>
        <w:rPr>
          <w:lang w:val="es-ES"/>
        </w:rPr>
      </w:pPr>
      <w:r>
        <w:rPr>
          <w:lang w:val="es-ES"/>
        </w:rPr>
        <w:br w:type="page"/>
      </w:r>
    </w:p>
    <w:p w14:paraId="1A08CFFF" w14:textId="77777777" w:rsidR="00A57B09" w:rsidRPr="00B0286C" w:rsidRDefault="00A57B09" w:rsidP="0022182F">
      <w:pPr>
        <w:pStyle w:val="Heading3"/>
      </w:pPr>
      <w:bookmarkStart w:id="15" w:name="_Toc136246248"/>
      <w:r w:rsidRPr="00B0286C">
        <w:lastRenderedPageBreak/>
        <w:t>Recomendaciones</w:t>
      </w:r>
      <w:r w:rsidR="00D719D8" w:rsidRPr="00B0286C">
        <w:t>:</w:t>
      </w:r>
      <w:bookmarkEnd w:id="15"/>
    </w:p>
    <w:p w14:paraId="5F2031CB" w14:textId="12DF9BD6" w:rsidR="00D719D8" w:rsidRPr="0022182F" w:rsidRDefault="00D719D8" w:rsidP="0022182F">
      <w:pPr>
        <w:pStyle w:val="ListParagraph"/>
        <w:numPr>
          <w:ilvl w:val="0"/>
          <w:numId w:val="35"/>
        </w:numPr>
        <w:rPr>
          <w:lang w:val="es-ES"/>
        </w:rPr>
      </w:pPr>
      <w:r w:rsidRPr="0022182F">
        <w:rPr>
          <w:lang w:val="es-ES" w:eastAsia="es-CO"/>
        </w:rPr>
        <w:t xml:space="preserve">Estructurar estrategias efectivas de protección y seguridad para las mujeres firmantes del </w:t>
      </w:r>
      <w:r w:rsidR="005C462A" w:rsidRPr="0022182F">
        <w:rPr>
          <w:lang w:val="es-ES"/>
        </w:rPr>
        <w:t>Acuerdo Final de Paz</w:t>
      </w:r>
      <w:r w:rsidR="005C462A" w:rsidRPr="0022182F">
        <w:rPr>
          <w:lang w:val="es-ES" w:eastAsia="es-CO"/>
        </w:rPr>
        <w:t xml:space="preserve"> </w:t>
      </w:r>
      <w:r w:rsidRPr="0022182F">
        <w:rPr>
          <w:lang w:val="es-ES" w:eastAsia="es-CO"/>
        </w:rPr>
        <w:t xml:space="preserve">y sus familias, que respondan a los riesgos particulares </w:t>
      </w:r>
      <w:r w:rsidR="007705D5" w:rsidRPr="0022182F">
        <w:rPr>
          <w:lang w:val="es-ES" w:eastAsia="es-CO"/>
        </w:rPr>
        <w:t>asociados al género</w:t>
      </w:r>
      <w:r w:rsidR="00B47965" w:rsidRPr="0022182F">
        <w:rPr>
          <w:lang w:val="es-ES" w:eastAsia="es-CO"/>
        </w:rPr>
        <w:t>,</w:t>
      </w:r>
      <w:r w:rsidRPr="0022182F">
        <w:rPr>
          <w:lang w:val="es-ES" w:eastAsia="es-CO"/>
        </w:rPr>
        <w:t xml:space="preserve"> así como adecuar la oferta institucional a la nueva distribución geográfica: la oferta institucional se concentra en su mayoría en los </w:t>
      </w:r>
      <w:r w:rsidR="00334CAE" w:rsidRPr="0022182F">
        <w:rPr>
          <w:lang w:val="es-ES" w:eastAsia="es-CO"/>
        </w:rPr>
        <w:t>Antiguos Espacios Territoriales de Capacitación y Reincorporación (</w:t>
      </w:r>
      <w:r w:rsidRPr="0022182F">
        <w:rPr>
          <w:lang w:val="es-ES" w:eastAsia="es-CO"/>
        </w:rPr>
        <w:t>AETCR</w:t>
      </w:r>
      <w:r w:rsidR="00334CAE" w:rsidRPr="0022182F">
        <w:rPr>
          <w:lang w:val="es-ES" w:eastAsia="es-CO"/>
        </w:rPr>
        <w:t>)</w:t>
      </w:r>
      <w:r w:rsidRPr="0022182F">
        <w:rPr>
          <w:lang w:val="es-ES" w:eastAsia="es-CO"/>
        </w:rPr>
        <w:t xml:space="preserve">, aun cuando el 80% de las personas en reincorporación se encuentran fuera de ellos. </w:t>
      </w:r>
    </w:p>
    <w:p w14:paraId="71230F83" w14:textId="6E5DB352" w:rsidR="007705D5" w:rsidRDefault="00D719D8" w:rsidP="0022182F">
      <w:pPr>
        <w:pStyle w:val="ListParagraph"/>
        <w:numPr>
          <w:ilvl w:val="0"/>
          <w:numId w:val="35"/>
        </w:numPr>
        <w:rPr>
          <w:lang w:val="es-ES" w:eastAsia="es-CO"/>
        </w:rPr>
      </w:pPr>
      <w:r w:rsidRPr="0022182F">
        <w:rPr>
          <w:lang w:val="es-ES" w:eastAsia="es-CO"/>
        </w:rPr>
        <w:t xml:space="preserve">Dadas las negociaciones de paz con </w:t>
      </w:r>
      <w:r w:rsidR="00746D1C" w:rsidRPr="0022182F">
        <w:rPr>
          <w:lang w:val="es-ES" w:eastAsia="es-CO"/>
        </w:rPr>
        <w:t>el grupo guerrillero “</w:t>
      </w:r>
      <w:r w:rsidR="00746D1C" w:rsidRPr="0022182F">
        <w:rPr>
          <w:bCs/>
        </w:rPr>
        <w:t xml:space="preserve">Ejército de Liberación Nacional” - </w:t>
      </w:r>
      <w:r w:rsidRPr="0022182F">
        <w:rPr>
          <w:b/>
          <w:lang w:val="es-ES" w:eastAsia="es-CO"/>
        </w:rPr>
        <w:t>ELN</w:t>
      </w:r>
      <w:r w:rsidRPr="0022182F">
        <w:rPr>
          <w:lang w:val="es-ES" w:eastAsia="es-CO"/>
        </w:rPr>
        <w:t xml:space="preserve"> y los posteriores procesos de sometimiento a la justicia, se recomienda crear una política de reincorporación con enfoque de género que garantice la satisfacción de las necesidades especiales de mujeres en proceso de reincorporación.</w:t>
      </w:r>
    </w:p>
    <w:p w14:paraId="1BB534D2" w14:textId="77777777" w:rsidR="00BD589E" w:rsidRPr="0022182F" w:rsidRDefault="00BD589E" w:rsidP="00BD589E">
      <w:pPr>
        <w:pStyle w:val="ListParagraph"/>
        <w:rPr>
          <w:lang w:val="es-ES" w:eastAsia="es-CO"/>
        </w:rPr>
      </w:pPr>
    </w:p>
    <w:p w14:paraId="2ED12619" w14:textId="2B210AAA" w:rsidR="00A21882" w:rsidRPr="0022182F" w:rsidRDefault="007705D5" w:rsidP="00D0493E">
      <w:pPr>
        <w:pStyle w:val="Heading1"/>
        <w:numPr>
          <w:ilvl w:val="0"/>
          <w:numId w:val="39"/>
        </w:numPr>
        <w:rPr>
          <w:lang w:val="es-ES"/>
        </w:rPr>
      </w:pPr>
      <w:bookmarkStart w:id="16" w:name="_Toc136246249"/>
      <w:r w:rsidRPr="00233FA9">
        <w:rPr>
          <w:lang w:val="es-ES"/>
        </w:rPr>
        <w:t>Interrupción voluntaria del embarazo - IVE</w:t>
      </w:r>
      <w:bookmarkEnd w:id="16"/>
    </w:p>
    <w:p w14:paraId="3F87395B" w14:textId="77777777" w:rsidR="006A2F65" w:rsidRDefault="006A2F65" w:rsidP="0022182F"/>
    <w:p w14:paraId="26B4C0EC" w14:textId="30797B98" w:rsidR="001F66AE" w:rsidRPr="00E63D80" w:rsidRDefault="00526A52" w:rsidP="0022182F">
      <w:r w:rsidRPr="00DE5214">
        <w:t>En anteriores ciclos del EPU, Colombia ha respaldado recomendaciones relativas al acceso al aborto</w:t>
      </w:r>
      <w:r w:rsidRPr="00DE5214">
        <w:rPr>
          <w:rStyle w:val="FootnoteReference"/>
          <w:rFonts w:ascii="Open Sans" w:hAnsi="Open Sans" w:cs="Open Sans"/>
          <w:sz w:val="20"/>
          <w:szCs w:val="20"/>
        </w:rPr>
        <w:footnoteReference w:id="36"/>
      </w:r>
      <w:r w:rsidR="00A21882">
        <w:t xml:space="preserve">. </w:t>
      </w:r>
      <w:r w:rsidR="001F66AE" w:rsidRPr="00233FA9">
        <w:t xml:space="preserve">Entre 2018 y </w:t>
      </w:r>
      <w:r w:rsidR="001F66AE" w:rsidRPr="00DE5214">
        <w:t>202</w:t>
      </w:r>
      <w:r w:rsidRPr="00DE5214">
        <w:t>3</w:t>
      </w:r>
      <w:r w:rsidR="001F66AE" w:rsidRPr="00DE5214">
        <w:t>,</w:t>
      </w:r>
      <w:r w:rsidR="001F66AE" w:rsidRPr="00233FA9">
        <w:t xml:space="preserve"> al país registró avances </w:t>
      </w:r>
      <w:r w:rsidR="003C335D" w:rsidRPr="00233FA9">
        <w:t>importantes</w:t>
      </w:r>
      <w:r w:rsidR="001F66AE" w:rsidRPr="00233FA9">
        <w:t xml:space="preserve">: </w:t>
      </w:r>
      <w:r w:rsidR="00B47965" w:rsidRPr="00233FA9">
        <w:t>e</w:t>
      </w:r>
      <w:r w:rsidR="001F66AE" w:rsidRPr="00233FA9">
        <w:t xml:space="preserve">l primero, que la Corte Constitucional, a partir del estudio de un caso en concreto, </w:t>
      </w:r>
      <w:r w:rsidR="001F66AE" w:rsidRPr="00DE5214">
        <w:t>ratificó</w:t>
      </w:r>
      <w:r w:rsidR="00E55EF2" w:rsidRPr="00DE5214">
        <w:t xml:space="preserve"> en 2018</w:t>
      </w:r>
      <w:r w:rsidR="001F66AE" w:rsidRPr="00DE5214">
        <w:t xml:space="preserve"> que</w:t>
      </w:r>
      <w:r w:rsidR="001F66AE" w:rsidRPr="00233FA9">
        <w:t xml:space="preserve"> el derecho a la IVE pertenece a la categoría de los </w:t>
      </w:r>
      <w:r w:rsidR="00186031">
        <w:t>d</w:t>
      </w:r>
      <w:r w:rsidR="001F66AE" w:rsidRPr="00233FA9">
        <w:t xml:space="preserve">erechos </w:t>
      </w:r>
      <w:r w:rsidR="00186031" w:rsidRPr="00DE5214">
        <w:t>r</w:t>
      </w:r>
      <w:r w:rsidR="001F66AE" w:rsidRPr="00DE5214">
        <w:t>eproductivos</w:t>
      </w:r>
      <w:r w:rsidR="001F66AE" w:rsidRPr="00DE5214">
        <w:rPr>
          <w:rStyle w:val="FootnoteReference"/>
          <w:rFonts w:ascii="Open Sans" w:hAnsi="Open Sans" w:cs="Open Sans"/>
          <w:sz w:val="20"/>
          <w:szCs w:val="20"/>
        </w:rPr>
        <w:footnoteReference w:id="37"/>
      </w:r>
      <w:r w:rsidR="00B47965" w:rsidRPr="00DE5214">
        <w:t>,</w:t>
      </w:r>
      <w:r w:rsidR="001F66AE" w:rsidRPr="00DE5214">
        <w:t xml:space="preserve"> y unificó los criterios y los estándares de interpretación de cada una de las causales reconocidas </w:t>
      </w:r>
      <w:r w:rsidR="00784FA1" w:rsidRPr="00DE5214">
        <w:t>desde el</w:t>
      </w:r>
      <w:r w:rsidR="001F66AE" w:rsidRPr="00DE5214">
        <w:t xml:space="preserve"> 2006</w:t>
      </w:r>
      <w:r w:rsidR="001F66AE" w:rsidRPr="00DE5214">
        <w:rPr>
          <w:rStyle w:val="FootnoteReference"/>
          <w:rFonts w:ascii="Open Sans" w:hAnsi="Open Sans" w:cs="Open Sans"/>
          <w:sz w:val="20"/>
          <w:szCs w:val="20"/>
        </w:rPr>
        <w:footnoteReference w:id="38"/>
      </w:r>
      <w:r w:rsidR="00617AF7">
        <w:t>.</w:t>
      </w:r>
      <w:r w:rsidR="001224B5" w:rsidRPr="00DE5214">
        <w:t xml:space="preserve"> Así mismo, </w:t>
      </w:r>
      <w:r w:rsidR="00E55EF2" w:rsidRPr="00DE5214">
        <w:t>d</w:t>
      </w:r>
      <w:r w:rsidR="001224B5" w:rsidRPr="00DE5214">
        <w:t xml:space="preserve">ispuso la expedición de una regulación por parte del Ministerio de Salud, compilatoria de las normas sobre IVE.  </w:t>
      </w:r>
      <w:r w:rsidR="001F66AE" w:rsidRPr="00DE5214">
        <w:t xml:space="preserve">El segundo, </w:t>
      </w:r>
      <w:r w:rsidR="00784FA1" w:rsidRPr="00DE5214">
        <w:t xml:space="preserve">a partir de una demanda de inconstitucionalidad, </w:t>
      </w:r>
      <w:r w:rsidR="001F66AE" w:rsidRPr="00DE5214">
        <w:t xml:space="preserve">la </w:t>
      </w:r>
      <w:r w:rsidR="00784FA1" w:rsidRPr="00DE5214">
        <w:t xml:space="preserve">corte despenalizó </w:t>
      </w:r>
      <w:r w:rsidR="001F66AE" w:rsidRPr="00DE5214">
        <w:t xml:space="preserve">el aborto </w:t>
      </w:r>
      <w:r w:rsidR="003C335D" w:rsidRPr="00DE5214">
        <w:t>hasta la semana 24</w:t>
      </w:r>
      <w:r w:rsidR="00E82559" w:rsidRPr="00DE5214">
        <w:t xml:space="preserve"> de gestación</w:t>
      </w:r>
      <w:r w:rsidR="003C335D" w:rsidRPr="00DE5214">
        <w:t>, tipificado por el artículo 122 del Código Penal como delito</w:t>
      </w:r>
      <w:r w:rsidR="001F66AE" w:rsidRPr="00DE5214">
        <w:t xml:space="preserve">, </w:t>
      </w:r>
      <w:r w:rsidR="00E82559" w:rsidRPr="00DE5214">
        <w:t>y mantuvo</w:t>
      </w:r>
      <w:r w:rsidR="001F66AE" w:rsidRPr="00DE5214">
        <w:t xml:space="preserve"> las 3 causales ya introducidas en el 2006</w:t>
      </w:r>
      <w:r w:rsidR="00E82559" w:rsidRPr="00DE5214">
        <w:t xml:space="preserve"> sin límite de edad gestacional</w:t>
      </w:r>
      <w:r w:rsidR="001F66AE" w:rsidRPr="00DE5214">
        <w:rPr>
          <w:rStyle w:val="FootnoteReference"/>
          <w:rFonts w:ascii="Open Sans" w:hAnsi="Open Sans" w:cs="Open Sans"/>
          <w:sz w:val="20"/>
          <w:szCs w:val="20"/>
        </w:rPr>
        <w:footnoteReference w:id="39"/>
      </w:r>
      <w:r w:rsidR="00E82559" w:rsidRPr="00DE5214">
        <w:t>.</w:t>
      </w:r>
      <w:r w:rsidR="001224B5" w:rsidRPr="00DE5214">
        <w:t xml:space="preserve"> Adicionalmente, exhortó al Congreso de la República para que expida una política pública integral que evite los amplios márgenes de desprotección para la dignidad y los derechos reproductivos de las mujeres gestantes.</w:t>
      </w:r>
      <w:r w:rsidR="003C335D" w:rsidRPr="00DE5214">
        <w:t xml:space="preserve"> </w:t>
      </w:r>
      <w:r w:rsidR="001224B5" w:rsidRPr="00DE5214">
        <w:t xml:space="preserve">El tercero, </w:t>
      </w:r>
      <w:r w:rsidR="00E82559" w:rsidRPr="00DE5214">
        <w:rPr>
          <w:color w:val="000000"/>
        </w:rPr>
        <w:t>la adopción por el Ministerio de Salud y Protección Social en enero 2023 de una regulación única para la atención integral en salud de IVE</w:t>
      </w:r>
      <w:r w:rsidR="00E82559" w:rsidRPr="00DE5214">
        <w:rPr>
          <w:rStyle w:val="FootnoteReference"/>
          <w:rFonts w:ascii="Open Sans" w:hAnsi="Open Sans" w:cs="Open Sans"/>
          <w:sz w:val="20"/>
          <w:szCs w:val="20"/>
        </w:rPr>
        <w:t xml:space="preserve"> </w:t>
      </w:r>
      <w:r w:rsidR="003C335D" w:rsidRPr="00DE5214">
        <w:rPr>
          <w:rStyle w:val="FootnoteReference"/>
          <w:rFonts w:ascii="Open Sans" w:hAnsi="Open Sans" w:cs="Open Sans"/>
          <w:sz w:val="20"/>
          <w:szCs w:val="20"/>
        </w:rPr>
        <w:footnoteReference w:id="40"/>
      </w:r>
      <w:r w:rsidR="003C335D" w:rsidRPr="00DE5214">
        <w:t xml:space="preserve"> estableciendo que su cumplimiento es obligatorio para todas las entidades responsables de la garantía del derecho y prestación de los servicios de salud, </w:t>
      </w:r>
      <w:r w:rsidR="0030635B" w:rsidRPr="00DE5214">
        <w:t xml:space="preserve">estableciendo </w:t>
      </w:r>
      <w:r w:rsidR="003C335D" w:rsidRPr="00DE5214">
        <w:t xml:space="preserve">estándares de calidad </w:t>
      </w:r>
      <w:r w:rsidR="003C335D" w:rsidRPr="00E63D80">
        <w:t xml:space="preserve">con los que se debe garantizar las IVE, así como los principios orientadores. </w:t>
      </w:r>
      <w:r w:rsidR="001224B5" w:rsidRPr="00E63D80">
        <w:t xml:space="preserve">Adicionalmente se incluye un anexo que da lineamientos técnicos y operativos para la prestación del servicio.   </w:t>
      </w:r>
    </w:p>
    <w:p w14:paraId="68C19D86" w14:textId="44552D1B" w:rsidR="00BD589E" w:rsidRDefault="00E82559" w:rsidP="00BD589E">
      <w:pPr>
        <w:rPr>
          <w:lang w:eastAsia="es-CO"/>
        </w:rPr>
      </w:pPr>
      <w:r w:rsidRPr="00E63D80">
        <w:rPr>
          <w:rFonts w:ascii="Calibri" w:hAnsi="Calibri" w:cs="Calibri"/>
          <w:color w:val="000000"/>
        </w:rPr>
        <w:lastRenderedPageBreak/>
        <w:t>A</w:t>
      </w:r>
      <w:r w:rsidRPr="00E63D80">
        <w:rPr>
          <w:color w:val="000000"/>
        </w:rPr>
        <w:t xml:space="preserve"> pesar de esos avances,</w:t>
      </w:r>
      <w:r w:rsidR="003C335D" w:rsidRPr="00E63D80">
        <w:t xml:space="preserve"> el</w:t>
      </w:r>
      <w:r w:rsidR="00131777" w:rsidRPr="00E63D80">
        <w:t xml:space="preserve"> aborto sigue existiendo </w:t>
      </w:r>
      <w:r w:rsidRPr="00E63D80">
        <w:t xml:space="preserve">como delito castigado </w:t>
      </w:r>
      <w:r w:rsidR="00131777" w:rsidRPr="00E63D80">
        <w:t>en el Código Penal y mantiene latente la posibilidad de que mujeres y personas con capacidad de gestar sean denunciadas, investigadas y condenadas por abortar</w:t>
      </w:r>
      <w:r w:rsidR="00131777" w:rsidRPr="00E63D80">
        <w:rPr>
          <w:rStyle w:val="FootnoteReference"/>
          <w:rFonts w:ascii="Open Sans" w:hAnsi="Open Sans" w:cs="Open Sans"/>
          <w:sz w:val="20"/>
          <w:szCs w:val="20"/>
        </w:rPr>
        <w:footnoteReference w:id="41"/>
      </w:r>
      <w:r w:rsidR="00131777" w:rsidRPr="00E63D80">
        <w:t>.</w:t>
      </w:r>
      <w:r w:rsidR="00131777" w:rsidRPr="00E63D80">
        <w:rPr>
          <w:lang w:eastAsia="es-CO"/>
        </w:rPr>
        <w:t xml:space="preserve"> </w:t>
      </w:r>
      <w:r w:rsidR="001F66AE" w:rsidRPr="00E63D80">
        <w:rPr>
          <w:lang w:eastAsia="es-CO"/>
        </w:rPr>
        <w:t>Así mismo</w:t>
      </w:r>
      <w:r w:rsidR="00D157AB" w:rsidRPr="00E63D80">
        <w:rPr>
          <w:lang w:eastAsia="es-CO"/>
        </w:rPr>
        <w:t xml:space="preserve">, persiste la </w:t>
      </w:r>
      <w:r w:rsidR="008F164D" w:rsidRPr="00E63D80">
        <w:rPr>
          <w:lang w:eastAsia="es-CO"/>
        </w:rPr>
        <w:t>f</w:t>
      </w:r>
      <w:r w:rsidR="0030635B" w:rsidRPr="00E63D80">
        <w:rPr>
          <w:lang w:eastAsia="es-CO"/>
        </w:rPr>
        <w:t>alta de acceso a la IVE, como servicio de salud sexual y reproductiva</w:t>
      </w:r>
      <w:r w:rsidR="00122FE6" w:rsidRPr="00E63D80">
        <w:rPr>
          <w:rStyle w:val="FootnoteReference"/>
          <w:rFonts w:ascii="Open Sans" w:hAnsi="Open Sans" w:cs="Open Sans"/>
          <w:sz w:val="20"/>
          <w:szCs w:val="20"/>
          <w:lang w:eastAsia="es-CO"/>
        </w:rPr>
        <w:footnoteReference w:id="42"/>
      </w:r>
      <w:r w:rsidR="0030635B" w:rsidRPr="00E63D80">
        <w:rPr>
          <w:lang w:eastAsia="es-CO"/>
        </w:rPr>
        <w:t>, por la imposición de barreras en las instituciones de salud, que incluyen el inadecuado ejercicio de la objeción de conciencia</w:t>
      </w:r>
      <w:r w:rsidR="00E73AF5" w:rsidRPr="00E63D80">
        <w:rPr>
          <w:rStyle w:val="FootnoteReference"/>
          <w:rFonts w:ascii="Open Sans" w:hAnsi="Open Sans" w:cs="Open Sans"/>
          <w:sz w:val="20"/>
          <w:szCs w:val="20"/>
          <w:lang w:eastAsia="es-CO"/>
        </w:rPr>
        <w:footnoteReference w:id="43"/>
      </w:r>
      <w:r w:rsidR="0030635B" w:rsidRPr="00E63D80">
        <w:rPr>
          <w:lang w:eastAsia="es-CO"/>
        </w:rPr>
        <w:t>, así como el estigma social asociado al aborto, debido a las condiciones socioeconómicas y geográficas que enfrentan las mujeres y las personas con capacidad de gestar.</w:t>
      </w:r>
      <w:r w:rsidR="0030635B" w:rsidRPr="00233FA9">
        <w:rPr>
          <w:lang w:eastAsia="es-CO"/>
        </w:rPr>
        <w:t xml:space="preserve">  </w:t>
      </w:r>
    </w:p>
    <w:p w14:paraId="12B043BF" w14:textId="77777777" w:rsidR="00BD589E" w:rsidRPr="00233FA9" w:rsidRDefault="00BD589E" w:rsidP="00BD589E">
      <w:pPr>
        <w:rPr>
          <w:lang w:eastAsia="es-CO"/>
        </w:rPr>
      </w:pPr>
    </w:p>
    <w:p w14:paraId="1BC81FE3" w14:textId="1D2560E5" w:rsidR="008F164D" w:rsidRPr="00C21B3B" w:rsidRDefault="008F164D" w:rsidP="0022182F">
      <w:pPr>
        <w:pStyle w:val="Heading3"/>
        <w:rPr>
          <w:lang w:eastAsia="es-CO"/>
        </w:rPr>
      </w:pPr>
      <w:bookmarkStart w:id="17" w:name="_Toc136246250"/>
      <w:r w:rsidRPr="00C21B3B">
        <w:rPr>
          <w:lang w:eastAsia="es-CO"/>
        </w:rPr>
        <w:t>Recomendaciones</w:t>
      </w:r>
      <w:bookmarkEnd w:id="17"/>
    </w:p>
    <w:p w14:paraId="3795C9EE" w14:textId="19A7A39E" w:rsidR="0030635B" w:rsidRPr="00E63D80" w:rsidRDefault="0030635B" w:rsidP="0022182F">
      <w:pPr>
        <w:pStyle w:val="ListParagraph"/>
        <w:numPr>
          <w:ilvl w:val="0"/>
          <w:numId w:val="36"/>
        </w:numPr>
      </w:pPr>
      <w:r w:rsidRPr="00C21B3B">
        <w:t xml:space="preserve">Implementación de los estándares jurisprudenciales contenidos en las 25 Sentencias de la Corte Constitucional, los lineamientos del Ministerio de </w:t>
      </w:r>
      <w:r w:rsidRPr="00E63D80">
        <w:t>Salud</w:t>
      </w:r>
      <w:r w:rsidRPr="00E63D80">
        <w:rPr>
          <w:rStyle w:val="FootnoteReference"/>
          <w:rFonts w:ascii="Open Sans" w:hAnsi="Open Sans" w:cs="Open Sans"/>
          <w:sz w:val="20"/>
          <w:szCs w:val="20"/>
        </w:rPr>
        <w:footnoteReference w:id="44"/>
      </w:r>
      <w:r w:rsidR="00664B45" w:rsidRPr="00E63D80">
        <w:t>,</w:t>
      </w:r>
      <w:r w:rsidRPr="00E63D80">
        <w:t xml:space="preserve"> los</w:t>
      </w:r>
      <w:r w:rsidRPr="00C21B3B">
        <w:t xml:space="preserve"> estándares normativos nacionales</w:t>
      </w:r>
      <w:r w:rsidRPr="00233FA9">
        <w:rPr>
          <w:rStyle w:val="FootnoteReference"/>
          <w:rFonts w:ascii="Open Sans" w:hAnsi="Open Sans" w:cs="Open Sans"/>
          <w:sz w:val="20"/>
          <w:szCs w:val="20"/>
        </w:rPr>
        <w:footnoteReference w:id="45"/>
      </w:r>
      <w:r w:rsidR="006953EB">
        <w:t xml:space="preserve"> </w:t>
      </w:r>
      <w:r w:rsidRPr="00C21B3B">
        <w:t>e</w:t>
      </w:r>
      <w:r w:rsidR="00EF29BB">
        <w:t xml:space="preserve"> </w:t>
      </w:r>
      <w:r w:rsidRPr="00C21B3B">
        <w:t>internacionales</w:t>
      </w:r>
      <w:r w:rsidRPr="00E63D80">
        <w:rPr>
          <w:rStyle w:val="FootnoteReference"/>
          <w:rFonts w:ascii="Open Sans" w:hAnsi="Open Sans" w:cs="Open Sans"/>
          <w:sz w:val="20"/>
          <w:szCs w:val="20"/>
        </w:rPr>
        <w:footnoteReference w:id="46"/>
      </w:r>
      <w:r w:rsidR="00664B45" w:rsidRPr="00E63D80">
        <w:t xml:space="preserve"> </w:t>
      </w:r>
      <w:r w:rsidR="00664B45" w:rsidRPr="0022182F">
        <w:rPr>
          <w:color w:val="000000"/>
        </w:rPr>
        <w:t>y recomendaciones de mecanismos de derechos humanos a Colombia</w:t>
      </w:r>
      <w:r w:rsidR="00664B45" w:rsidRPr="00E63D80">
        <w:rPr>
          <w:rStyle w:val="FootnoteReference"/>
          <w:rFonts w:ascii="Open Sans" w:hAnsi="Open Sans" w:cs="Open Sans"/>
          <w:color w:val="000000"/>
          <w:sz w:val="20"/>
          <w:szCs w:val="20"/>
        </w:rPr>
        <w:footnoteReference w:id="47"/>
      </w:r>
      <w:r w:rsidR="00664B45" w:rsidRPr="0022182F">
        <w:rPr>
          <w:color w:val="000000"/>
        </w:rPr>
        <w:t xml:space="preserve"> </w:t>
      </w:r>
      <w:r w:rsidRPr="00E63D80">
        <w:t xml:space="preserve">que garanticen el derecho al aborto y el acceso a la prestación del servicio sin la imposición de barreras. </w:t>
      </w:r>
    </w:p>
    <w:p w14:paraId="35E61846" w14:textId="77777777" w:rsidR="00C21B3B" w:rsidRPr="00E63D80" w:rsidRDefault="00C21B3B" w:rsidP="00C21B3B">
      <w:pPr>
        <w:pStyle w:val="ListParagraph"/>
        <w:jc w:val="both"/>
        <w:rPr>
          <w:rFonts w:ascii="Open Sans" w:hAnsi="Open Sans" w:cs="Open Sans"/>
          <w:sz w:val="20"/>
          <w:szCs w:val="20"/>
        </w:rPr>
      </w:pPr>
    </w:p>
    <w:p w14:paraId="37B110F6" w14:textId="4CFE8DDE" w:rsidR="00BD589E" w:rsidRDefault="00784FA1" w:rsidP="0083759E">
      <w:pPr>
        <w:pStyle w:val="ListParagraph"/>
        <w:numPr>
          <w:ilvl w:val="0"/>
          <w:numId w:val="36"/>
        </w:numPr>
      </w:pPr>
      <w:r w:rsidRPr="00E63D80">
        <w:t>Se elimine el delito de aborto del código penal</w:t>
      </w:r>
      <w:r w:rsidR="0030635B" w:rsidRPr="00E63D80">
        <w:t xml:space="preserve">, de cara a las recomendaciones de </w:t>
      </w:r>
      <w:r w:rsidR="00664B45" w:rsidRPr="00E63D80">
        <w:t>mecanismos</w:t>
      </w:r>
      <w:r w:rsidR="0030635B" w:rsidRPr="00E63D80">
        <w:t xml:space="preserve"> internacionales de </w:t>
      </w:r>
      <w:r w:rsidR="00186031" w:rsidRPr="00E63D80">
        <w:t>d</w:t>
      </w:r>
      <w:r w:rsidR="008F164D" w:rsidRPr="00E63D80">
        <w:t xml:space="preserve">erechos </w:t>
      </w:r>
      <w:r w:rsidR="00186031" w:rsidRPr="00E63D80">
        <w:t>h</w:t>
      </w:r>
      <w:r w:rsidR="008F164D" w:rsidRPr="00E63D80">
        <w:t>umanos</w:t>
      </w:r>
      <w:r w:rsidR="0030635B" w:rsidRPr="00E63D80">
        <w:rPr>
          <w:rStyle w:val="FootnoteReference"/>
          <w:rFonts w:ascii="Open Sans" w:hAnsi="Open Sans" w:cs="Open Sans"/>
          <w:sz w:val="20"/>
          <w:szCs w:val="20"/>
        </w:rPr>
        <w:footnoteReference w:id="48"/>
      </w:r>
      <w:r w:rsidR="0030635B" w:rsidRPr="00E63D80">
        <w:t>.</w:t>
      </w:r>
      <w:r w:rsidR="00BD589E">
        <w:br w:type="page"/>
      </w:r>
    </w:p>
    <w:p w14:paraId="45E57350" w14:textId="77777777" w:rsidR="0030635B" w:rsidRPr="00E63D80" w:rsidRDefault="0030635B" w:rsidP="00BD589E">
      <w:pPr>
        <w:pStyle w:val="ListParagraph"/>
      </w:pPr>
    </w:p>
    <w:p w14:paraId="6124D713" w14:textId="1BA30951" w:rsidR="007705D5" w:rsidRPr="006A6E66" w:rsidRDefault="009A0D1D" w:rsidP="00D0493E">
      <w:pPr>
        <w:pStyle w:val="Heading1"/>
        <w:numPr>
          <w:ilvl w:val="0"/>
          <w:numId w:val="39"/>
        </w:numPr>
      </w:pPr>
      <w:bookmarkStart w:id="18" w:name="_Hlk130239306"/>
      <w:bookmarkStart w:id="19" w:name="_Toc136246251"/>
      <w:r w:rsidRPr="006A6E66">
        <w:t>Trata de personas</w:t>
      </w:r>
      <w:bookmarkEnd w:id="19"/>
    </w:p>
    <w:p w14:paraId="1F247B57" w14:textId="77777777" w:rsidR="00A21882" w:rsidRDefault="00A21882" w:rsidP="006C315C">
      <w:pPr>
        <w:jc w:val="both"/>
        <w:rPr>
          <w:rFonts w:ascii="Open Sans" w:hAnsi="Open Sans" w:cs="Open Sans"/>
          <w:color w:val="000000"/>
          <w:sz w:val="20"/>
          <w:szCs w:val="20"/>
          <w:lang w:val="es-ES"/>
        </w:rPr>
      </w:pPr>
      <w:bookmarkStart w:id="20" w:name="_Hlk130239851"/>
    </w:p>
    <w:p w14:paraId="5D5BCF3D" w14:textId="43E40F1C" w:rsidR="0029050A" w:rsidRPr="00233FA9" w:rsidRDefault="004F5C29" w:rsidP="0022182F">
      <w:pPr>
        <w:rPr>
          <w:b/>
          <w:lang w:val="es-ES"/>
        </w:rPr>
      </w:pPr>
      <w:r w:rsidRPr="00233FA9">
        <w:rPr>
          <w:lang w:val="es-ES"/>
        </w:rPr>
        <w:t>A pesar del subregistro, l</w:t>
      </w:r>
      <w:r w:rsidR="0029050A" w:rsidRPr="00233FA9">
        <w:rPr>
          <w:lang w:val="es-ES"/>
        </w:rPr>
        <w:t>a trata de personas va en aumento debido a las inequidades socioeconómicas y de género y a la explotación de las personas refugiadas y migrantes en situación de vul</w:t>
      </w:r>
      <w:r w:rsidR="0029050A" w:rsidRPr="00233FA9">
        <w:rPr>
          <w:lang w:val="es-ES"/>
        </w:rPr>
        <w:softHyphen/>
        <w:t xml:space="preserve">nerabilidad. </w:t>
      </w:r>
      <w:r w:rsidR="00672BE0">
        <w:t> </w:t>
      </w:r>
      <w:r w:rsidR="00672BE0" w:rsidRPr="00E63D80">
        <w:t>Según un diagnóstico de la OIM</w:t>
      </w:r>
      <w:r w:rsidR="00672BE0" w:rsidRPr="00E63D80">
        <w:rPr>
          <w:lang w:val="es-ES"/>
        </w:rPr>
        <w:t>, d</w:t>
      </w:r>
      <w:r w:rsidR="0029050A" w:rsidRPr="00233FA9">
        <w:rPr>
          <w:lang w:val="es-ES"/>
        </w:rPr>
        <w:t xml:space="preserve">esde el 2013 hasta julio de 2020 se han registrado 686 casos de trata de personas en Colombia, de los cuales el 82% corresponde a mujeres y el 18% a hombres. Además, el promedio de edad de las víctimas oscila entre los 18 y 30 años (55%), seguido de personas entre los 31 y 50 años (22%) y, por último, se presentan los niños, niñas y adolescentes (12%). Las finalidades </w:t>
      </w:r>
      <w:bookmarkStart w:id="21" w:name="_Hlk130239860"/>
      <w:bookmarkEnd w:id="20"/>
      <w:r w:rsidR="0029050A" w:rsidRPr="00233FA9">
        <w:rPr>
          <w:lang w:val="es-ES"/>
        </w:rPr>
        <w:t xml:space="preserve">de la trata de personas que cuentan con más casos reportados desde el 2013 son: </w:t>
      </w:r>
      <w:r w:rsidR="00837343">
        <w:rPr>
          <w:lang w:val="es-ES"/>
        </w:rPr>
        <w:t>e</w:t>
      </w:r>
      <w:r w:rsidR="0029050A" w:rsidRPr="00233FA9">
        <w:rPr>
          <w:lang w:val="es-ES"/>
        </w:rPr>
        <w:t xml:space="preserve">xplotación sexual: 408 casos; </w:t>
      </w:r>
      <w:r w:rsidR="00A042C7">
        <w:rPr>
          <w:lang w:val="es-ES"/>
        </w:rPr>
        <w:t>t</w:t>
      </w:r>
      <w:r w:rsidR="0029050A" w:rsidRPr="00233FA9">
        <w:rPr>
          <w:lang w:val="es-ES"/>
        </w:rPr>
        <w:t xml:space="preserve">rabajos forzados: 134 casos; y </w:t>
      </w:r>
      <w:r w:rsidR="00837343">
        <w:rPr>
          <w:lang w:val="es-ES"/>
        </w:rPr>
        <w:t>m</w:t>
      </w:r>
      <w:r w:rsidR="0029050A" w:rsidRPr="00233FA9">
        <w:rPr>
          <w:lang w:val="es-ES"/>
        </w:rPr>
        <w:t>atrimonio servil: 48 casos</w:t>
      </w:r>
      <w:r w:rsidR="0029050A" w:rsidRPr="00E63D80">
        <w:rPr>
          <w:rStyle w:val="FootnoteReference"/>
          <w:rFonts w:ascii="Open Sans" w:hAnsi="Open Sans" w:cs="Open Sans"/>
          <w:color w:val="000000"/>
          <w:sz w:val="20"/>
          <w:szCs w:val="20"/>
          <w:lang w:val="es-ES"/>
        </w:rPr>
        <w:footnoteReference w:id="49"/>
      </w:r>
      <w:r w:rsidR="007420FC" w:rsidRPr="00E63D80">
        <w:rPr>
          <w:lang w:val="es-ES"/>
        </w:rPr>
        <w:t>.</w:t>
      </w:r>
    </w:p>
    <w:p w14:paraId="262A411C" w14:textId="5DDD0D2C" w:rsidR="008D4B9A" w:rsidRPr="00233FA9" w:rsidRDefault="008D4B9A" w:rsidP="0022182F">
      <w:pPr>
        <w:rPr>
          <w:lang w:val="es-ES"/>
        </w:rPr>
      </w:pPr>
      <w:r w:rsidRPr="00233FA9">
        <w:rPr>
          <w:lang w:val="es-AR"/>
        </w:rPr>
        <w:t>E</w:t>
      </w:r>
      <w:r w:rsidRPr="00233FA9">
        <w:rPr>
          <w:lang w:val="es-ES"/>
        </w:rPr>
        <w:t xml:space="preserve">l conflicto armado en Colombia es uno de los factores que se asocia al delito de la trata de personas, dadas las imbricaciones con el negocio de las armas y las drogas, dos de los delitos asociados a la trata de personas. Las víctimas son obligadas por miembros de grupos armados ilegales, bandas y redes de organizaciones criminales a la explotación sexual y al trabajo forzoso, particularmente </w:t>
      </w:r>
      <w:r w:rsidR="00A042C7">
        <w:rPr>
          <w:lang w:val="es-ES"/>
        </w:rPr>
        <w:t>a</w:t>
      </w:r>
      <w:r w:rsidRPr="00233FA9">
        <w:rPr>
          <w:lang w:val="es-ES"/>
        </w:rPr>
        <w:t xml:space="preserve"> la venta y transporte de narcóticos ilegales, así como </w:t>
      </w:r>
      <w:r w:rsidR="00A042C7">
        <w:rPr>
          <w:lang w:val="es-ES"/>
        </w:rPr>
        <w:t>a</w:t>
      </w:r>
      <w:r w:rsidRPr="00233FA9">
        <w:rPr>
          <w:lang w:val="es-ES"/>
        </w:rPr>
        <w:t xml:space="preserve"> la minería, agricultura y servidumbre doméstica</w:t>
      </w:r>
      <w:r w:rsidR="00A042C7">
        <w:rPr>
          <w:rStyle w:val="FootnoteReference"/>
          <w:rFonts w:ascii="Open Sans" w:hAnsi="Open Sans" w:cs="Open Sans"/>
          <w:sz w:val="20"/>
          <w:szCs w:val="20"/>
          <w:lang w:val="es-ES"/>
        </w:rPr>
        <w:footnoteReference w:id="50"/>
      </w:r>
      <w:r w:rsidRPr="00233FA9">
        <w:rPr>
          <w:lang w:val="es-ES"/>
        </w:rPr>
        <w:t xml:space="preserve">. </w:t>
      </w:r>
    </w:p>
    <w:p w14:paraId="049A7941" w14:textId="4474AA13" w:rsidR="001D512C" w:rsidRDefault="008D4B9A" w:rsidP="001D512C">
      <w:pPr>
        <w:rPr>
          <w:color w:val="000000"/>
          <w:shd w:val="clear" w:color="auto" w:fill="FFFFFF" w:themeFill="background1"/>
          <w:lang w:val="es-ES"/>
        </w:rPr>
      </w:pPr>
      <w:r w:rsidRPr="00233FA9">
        <w:rPr>
          <w:color w:val="000000"/>
          <w:lang w:val="es-ES"/>
        </w:rPr>
        <w:t xml:space="preserve">Del mismo modo, </w:t>
      </w:r>
      <w:r w:rsidRPr="00233FA9">
        <w:rPr>
          <w:lang w:val="es-ES"/>
        </w:rPr>
        <w:t>las zonas de alta movilidad por flujos migratorios internos o hacia el exterior incrementan la vulnerabilidad</w:t>
      </w:r>
      <w:r w:rsidR="00A042C7">
        <w:rPr>
          <w:rStyle w:val="FootnoteReference"/>
          <w:rFonts w:ascii="Open Sans" w:hAnsi="Open Sans" w:cs="Open Sans"/>
          <w:sz w:val="20"/>
          <w:szCs w:val="20"/>
          <w:lang w:val="es-ES"/>
        </w:rPr>
        <w:footnoteReference w:id="51"/>
      </w:r>
      <w:r w:rsidR="00A042C7">
        <w:rPr>
          <w:lang w:val="es-ES"/>
        </w:rPr>
        <w:t xml:space="preserve">, </w:t>
      </w:r>
      <w:r w:rsidRPr="00233FA9">
        <w:rPr>
          <w:lang w:val="es-ES"/>
        </w:rPr>
        <w:t xml:space="preserve">particularmente para </w:t>
      </w:r>
      <w:r w:rsidR="00A042C7">
        <w:rPr>
          <w:lang w:val="es-ES"/>
        </w:rPr>
        <w:t xml:space="preserve">personas </w:t>
      </w:r>
      <w:r w:rsidRPr="00233FA9">
        <w:rPr>
          <w:lang w:val="es-ES"/>
        </w:rPr>
        <w:t>migrantes venezolan</w:t>
      </w:r>
      <w:r w:rsidR="00A042C7">
        <w:rPr>
          <w:lang w:val="es-ES"/>
        </w:rPr>
        <w:t>a</w:t>
      </w:r>
      <w:r w:rsidRPr="00233FA9">
        <w:rPr>
          <w:lang w:val="es-ES"/>
        </w:rPr>
        <w:t xml:space="preserve">s </w:t>
      </w:r>
      <w:r w:rsidRPr="00233FA9">
        <w:rPr>
          <w:color w:val="000000"/>
          <w:lang w:val="es-ES"/>
        </w:rPr>
        <w:t>por la precariedad de los recorridos</w:t>
      </w:r>
      <w:r w:rsidR="00A042C7">
        <w:rPr>
          <w:color w:val="000000"/>
          <w:lang w:val="es-ES"/>
        </w:rPr>
        <w:t xml:space="preserve"> y los hospedajes</w:t>
      </w:r>
      <w:r w:rsidRPr="00233FA9">
        <w:rPr>
          <w:color w:val="000000"/>
          <w:lang w:val="es-ES"/>
        </w:rPr>
        <w:t>, la fragmentación familiar</w:t>
      </w:r>
      <w:r w:rsidR="00A042C7">
        <w:rPr>
          <w:color w:val="000000"/>
          <w:lang w:val="es-ES"/>
        </w:rPr>
        <w:t xml:space="preserve">, </w:t>
      </w:r>
      <w:r w:rsidR="008E392D" w:rsidRPr="00233FA9">
        <w:rPr>
          <w:color w:val="000000"/>
          <w:lang w:val="es-ES"/>
        </w:rPr>
        <w:t>l</w:t>
      </w:r>
      <w:r w:rsidRPr="00233FA9">
        <w:rPr>
          <w:color w:val="000000"/>
          <w:lang w:val="es-ES"/>
        </w:rPr>
        <w:t>a falta de documentos de identidad y/o de viaje, la irregularidad migratoria y laboral</w:t>
      </w:r>
      <w:r w:rsidR="00A042C7">
        <w:rPr>
          <w:color w:val="000000"/>
          <w:lang w:val="es-ES"/>
        </w:rPr>
        <w:t>, entre otros factores</w:t>
      </w:r>
      <w:r w:rsidR="00A042C7">
        <w:rPr>
          <w:rStyle w:val="FootnoteReference"/>
          <w:rFonts w:ascii="Open Sans" w:hAnsi="Open Sans" w:cs="Open Sans"/>
          <w:color w:val="000000"/>
          <w:sz w:val="20"/>
          <w:szCs w:val="20"/>
          <w:lang w:val="es-ES"/>
        </w:rPr>
        <w:footnoteReference w:id="52"/>
      </w:r>
      <w:r w:rsidRPr="00233FA9">
        <w:rPr>
          <w:color w:val="000000"/>
          <w:lang w:val="es-ES"/>
        </w:rPr>
        <w:t xml:space="preserve">. </w:t>
      </w:r>
      <w:r w:rsidRPr="00233FA9">
        <w:rPr>
          <w:lang w:val="es-ES"/>
        </w:rPr>
        <w:t>En contextos de migraciones y de frontera, la necesidad y la desinformación lleva</w:t>
      </w:r>
      <w:r w:rsidR="00D157AB" w:rsidRPr="00233FA9">
        <w:rPr>
          <w:lang w:val="es-ES"/>
        </w:rPr>
        <w:t>n</w:t>
      </w:r>
      <w:r w:rsidRPr="00233FA9">
        <w:rPr>
          <w:lang w:val="es-ES"/>
        </w:rPr>
        <w:t xml:space="preserve"> a muchas personas a ser engañadas con falsas oportunidades de </w:t>
      </w:r>
      <w:r w:rsidRPr="00E63D80">
        <w:rPr>
          <w:lang w:val="es-ES"/>
        </w:rPr>
        <w:t>trabajo</w:t>
      </w:r>
      <w:r w:rsidR="00F87C2C" w:rsidRPr="00E63D80">
        <w:rPr>
          <w:lang w:val="es-ES"/>
        </w:rPr>
        <w:t xml:space="preserve"> lo</w:t>
      </w:r>
      <w:r w:rsidRPr="00E63D80">
        <w:rPr>
          <w:lang w:val="es-ES"/>
        </w:rPr>
        <w:t xml:space="preserve"> que</w:t>
      </w:r>
      <w:r w:rsidRPr="00233FA9">
        <w:rPr>
          <w:lang w:val="es-ES"/>
        </w:rPr>
        <w:t xml:space="preserve"> facilita la trata de personas</w:t>
      </w:r>
      <w:r w:rsidR="008E392D" w:rsidRPr="00233FA9">
        <w:rPr>
          <w:lang w:val="es-ES"/>
        </w:rPr>
        <w:t xml:space="preserve">. Otros grupos </w:t>
      </w:r>
      <w:r w:rsidR="008E392D" w:rsidRPr="00233FA9">
        <w:rPr>
          <w:color w:val="000000"/>
          <w:lang w:val="es-ES"/>
        </w:rPr>
        <w:t>en alto riesgo son las personas desplazadas internamente</w:t>
      </w:r>
      <w:r w:rsidR="004F5C29" w:rsidRPr="00233FA9">
        <w:rPr>
          <w:color w:val="000000"/>
          <w:lang w:val="es-ES"/>
        </w:rPr>
        <w:t>;</w:t>
      </w:r>
      <w:r w:rsidR="008E392D" w:rsidRPr="00233FA9">
        <w:rPr>
          <w:color w:val="000000"/>
          <w:lang w:val="es-ES"/>
        </w:rPr>
        <w:t xml:space="preserve"> afrocolombianos/as</w:t>
      </w:r>
      <w:r w:rsidR="004F5C29" w:rsidRPr="00233FA9">
        <w:rPr>
          <w:color w:val="000000"/>
          <w:lang w:val="es-ES"/>
        </w:rPr>
        <w:t xml:space="preserve">; </w:t>
      </w:r>
      <w:r w:rsidR="008E392D" w:rsidRPr="00233FA9">
        <w:rPr>
          <w:color w:val="000000"/>
          <w:lang w:val="es-ES"/>
        </w:rPr>
        <w:t>ciudadanos/as na</w:t>
      </w:r>
      <w:r w:rsidR="008E392D" w:rsidRPr="00233FA9">
        <w:rPr>
          <w:color w:val="000000"/>
          <w:lang w:val="es-ES"/>
        </w:rPr>
        <w:softHyphen/>
        <w:t>cionales con discapacidad</w:t>
      </w:r>
      <w:r w:rsidR="004F5C29" w:rsidRPr="00233FA9">
        <w:rPr>
          <w:color w:val="000000"/>
          <w:lang w:val="es-ES"/>
        </w:rPr>
        <w:t>;</w:t>
      </w:r>
      <w:r w:rsidR="008E392D" w:rsidRPr="00233FA9">
        <w:rPr>
          <w:color w:val="000000"/>
          <w:lang w:val="es-ES"/>
        </w:rPr>
        <w:t xml:space="preserve"> poblaciones indígenas,</w:t>
      </w:r>
      <w:r w:rsidR="004F5C29" w:rsidRPr="00233FA9">
        <w:rPr>
          <w:color w:val="000000"/>
          <w:lang w:val="es-ES"/>
        </w:rPr>
        <w:t xml:space="preserve"> particularmente </w:t>
      </w:r>
      <w:r w:rsidR="00B0286C">
        <w:rPr>
          <w:color w:val="000000"/>
          <w:lang w:val="es-ES"/>
        </w:rPr>
        <w:t>frente al</w:t>
      </w:r>
      <w:r w:rsidR="004F5C29" w:rsidRPr="00233FA9">
        <w:rPr>
          <w:color w:val="000000"/>
          <w:lang w:val="es-ES"/>
        </w:rPr>
        <w:t xml:space="preserve"> trabajo </w:t>
      </w:r>
      <w:r w:rsidR="004F5C29" w:rsidRPr="00E63D80">
        <w:rPr>
          <w:rFonts w:eastAsia="Open Sans"/>
          <w:color w:val="000000"/>
        </w:rPr>
        <w:t xml:space="preserve">forzado; </w:t>
      </w:r>
      <w:r w:rsidR="008E392D" w:rsidRPr="00E63D80">
        <w:rPr>
          <w:color w:val="000000"/>
          <w:lang w:val="es-ES"/>
        </w:rPr>
        <w:t>y co</w:t>
      </w:r>
      <w:r w:rsidR="008E392D" w:rsidRPr="00E63D80">
        <w:rPr>
          <w:color w:val="000000"/>
          <w:lang w:val="es-ES"/>
        </w:rPr>
        <w:softHyphen/>
        <w:t>lombianos/as viviendo en áreas donde existen grupos armados ilegales y organizaciones criminales activas</w:t>
      </w:r>
      <w:r w:rsidR="00B0286C" w:rsidRPr="00E63D80">
        <w:rPr>
          <w:rStyle w:val="FootnoteReference"/>
          <w:rFonts w:ascii="Open Sans" w:hAnsi="Open Sans" w:cs="Open Sans"/>
          <w:color w:val="000000"/>
          <w:sz w:val="20"/>
          <w:szCs w:val="20"/>
          <w:shd w:val="clear" w:color="auto" w:fill="FFFFFF" w:themeFill="background1"/>
          <w:lang w:val="es-ES"/>
        </w:rPr>
        <w:footnoteReference w:id="53"/>
      </w:r>
      <w:r w:rsidR="00EC3601" w:rsidRPr="00E63D80">
        <w:rPr>
          <w:color w:val="000000"/>
          <w:shd w:val="clear" w:color="auto" w:fill="FFFFFF" w:themeFill="background1"/>
          <w:lang w:val="es-ES"/>
        </w:rPr>
        <w:t>.</w:t>
      </w:r>
    </w:p>
    <w:p w14:paraId="4AAD7724" w14:textId="77777777" w:rsidR="001D512C" w:rsidRDefault="001D512C">
      <w:pPr>
        <w:rPr>
          <w:color w:val="000000"/>
          <w:shd w:val="clear" w:color="auto" w:fill="FFFFFF" w:themeFill="background1"/>
          <w:lang w:val="es-ES"/>
        </w:rPr>
      </w:pPr>
      <w:r>
        <w:rPr>
          <w:color w:val="000000"/>
          <w:shd w:val="clear" w:color="auto" w:fill="FFFFFF" w:themeFill="background1"/>
          <w:lang w:val="es-ES"/>
        </w:rPr>
        <w:br w:type="page"/>
      </w:r>
    </w:p>
    <w:p w14:paraId="1F44F45E" w14:textId="77777777" w:rsidR="007705D5" w:rsidRPr="00E63D80" w:rsidRDefault="008E392D" w:rsidP="0022182F">
      <w:pPr>
        <w:pStyle w:val="Heading3"/>
      </w:pPr>
      <w:bookmarkStart w:id="24" w:name="_Toc136246252"/>
      <w:r w:rsidRPr="00E63D80">
        <w:lastRenderedPageBreak/>
        <w:t>Recomendaciones:</w:t>
      </w:r>
      <w:bookmarkEnd w:id="24"/>
    </w:p>
    <w:p w14:paraId="335F8C32" w14:textId="3C17A271" w:rsidR="008E392D" w:rsidRPr="00BD589E" w:rsidRDefault="0003768B" w:rsidP="0022182F">
      <w:pPr>
        <w:pStyle w:val="ListParagraph"/>
        <w:numPr>
          <w:ilvl w:val="0"/>
          <w:numId w:val="37"/>
        </w:numPr>
        <w:rPr>
          <w:lang w:val="es-ES"/>
        </w:rPr>
      </w:pPr>
      <w:r w:rsidRPr="0022182F">
        <w:rPr>
          <w:lang w:val="es-ES"/>
        </w:rPr>
        <w:t xml:space="preserve">Incorporar en la </w:t>
      </w:r>
      <w:r w:rsidRPr="00E63D80">
        <w:t>Estrategia Nacional de Trata de Personas criterios concretos y uniformes para la</w:t>
      </w:r>
      <w:r w:rsidRPr="00233FA9">
        <w:t xml:space="preserve"> atención y protección de las víctimas en todos los territorios, desde un enfoque centrado en las víctimas e intersectorial y no en el enfoque de seguridad y persecución penal</w:t>
      </w:r>
      <w:r w:rsidRPr="00233FA9">
        <w:rPr>
          <w:rStyle w:val="FootnoteReference"/>
          <w:rFonts w:ascii="Open Sans" w:eastAsia="Open Sans" w:hAnsi="Open Sans" w:cs="Open Sans"/>
          <w:color w:val="000000"/>
          <w:sz w:val="20"/>
          <w:szCs w:val="20"/>
        </w:rPr>
        <w:footnoteReference w:id="54"/>
      </w:r>
      <w:r w:rsidRPr="00233FA9">
        <w:t xml:space="preserve">. </w:t>
      </w:r>
    </w:p>
    <w:p w14:paraId="71BF9720" w14:textId="77777777" w:rsidR="00BD589E" w:rsidRPr="0022182F" w:rsidRDefault="00BD589E" w:rsidP="00BD589E">
      <w:pPr>
        <w:pStyle w:val="ListParagraph"/>
        <w:rPr>
          <w:lang w:val="es-ES"/>
        </w:rPr>
      </w:pPr>
    </w:p>
    <w:p w14:paraId="4A4982E4" w14:textId="4F057B62" w:rsidR="009A0D1D" w:rsidRPr="00FF5CED" w:rsidRDefault="002864F9" w:rsidP="00D0493E">
      <w:pPr>
        <w:pStyle w:val="Heading1"/>
        <w:numPr>
          <w:ilvl w:val="0"/>
          <w:numId w:val="39"/>
        </w:numPr>
      </w:pPr>
      <w:bookmarkStart w:id="26" w:name="_Toc136246253"/>
      <w:bookmarkEnd w:id="18"/>
      <w:bookmarkEnd w:id="21"/>
      <w:r w:rsidRPr="00FF5CED">
        <w:t>Militarización del gasto público y co</w:t>
      </w:r>
      <w:r w:rsidR="009A0D1D" w:rsidRPr="00FF5CED">
        <w:t>mpra de armas</w:t>
      </w:r>
      <w:bookmarkEnd w:id="26"/>
    </w:p>
    <w:p w14:paraId="72043896" w14:textId="77777777" w:rsidR="00A21882" w:rsidRDefault="00A21882" w:rsidP="006C315C">
      <w:pPr>
        <w:jc w:val="both"/>
        <w:rPr>
          <w:rFonts w:ascii="Open Sans" w:hAnsi="Open Sans" w:cs="Open Sans"/>
          <w:b/>
          <w:sz w:val="20"/>
          <w:szCs w:val="20"/>
          <w:lang w:val="es-ES"/>
        </w:rPr>
      </w:pPr>
    </w:p>
    <w:p w14:paraId="3FC3A193" w14:textId="77777777" w:rsidR="00A21882" w:rsidRPr="00A21882" w:rsidRDefault="00A21882" w:rsidP="0022182F">
      <w:pPr>
        <w:pStyle w:val="Heading2"/>
        <w:rPr>
          <w:rFonts w:eastAsia="Times New Roman"/>
          <w:lang w:eastAsia="es-CO"/>
        </w:rPr>
      </w:pPr>
      <w:bookmarkStart w:id="27" w:name="_Toc136246254"/>
      <w:r w:rsidRPr="00A21882">
        <w:rPr>
          <w:rFonts w:eastAsia="Times New Roman"/>
          <w:lang w:eastAsia="es-CO"/>
        </w:rPr>
        <w:t>Militarización del gasto público</w:t>
      </w:r>
      <w:bookmarkEnd w:id="27"/>
    </w:p>
    <w:p w14:paraId="7536FDD9" w14:textId="5CDDB05C" w:rsidR="00F07D2C" w:rsidRPr="00233FA9" w:rsidRDefault="00F07D2C" w:rsidP="0022182F">
      <w:r w:rsidRPr="00233FA9">
        <w:rPr>
          <w:rFonts w:eastAsia="Times New Roman"/>
          <w:lang w:eastAsia="es-CO"/>
        </w:rPr>
        <w:t xml:space="preserve">Pese a lo anterior y a que el gobierno actual ha </w:t>
      </w:r>
      <w:r w:rsidRPr="00233FA9">
        <w:t>presentado una política denominada “Paz Total”</w:t>
      </w:r>
      <w:r w:rsidRPr="00233FA9">
        <w:rPr>
          <w:rStyle w:val="FootnoteReference"/>
          <w:rFonts w:ascii="Open Sans" w:hAnsi="Open Sans" w:cs="Open Sans"/>
          <w:sz w:val="20"/>
          <w:szCs w:val="20"/>
        </w:rPr>
        <w:footnoteReference w:id="55"/>
      </w:r>
      <w:r w:rsidRPr="00233FA9">
        <w:t xml:space="preserve"> que comprende diálogos de paz con grupos </w:t>
      </w:r>
      <w:r w:rsidR="00F32000">
        <w:t xml:space="preserve">armados </w:t>
      </w:r>
      <w:r w:rsidRPr="00233FA9">
        <w:t>con carácter político</w:t>
      </w:r>
      <w:r w:rsidR="00F32000">
        <w:t xml:space="preserve"> (guerrillas)</w:t>
      </w:r>
      <w:r w:rsidRPr="00233FA9">
        <w:t xml:space="preserve">, como el Ejército de Liberación Nacional - </w:t>
      </w:r>
      <w:r w:rsidRPr="00BF7895">
        <w:t>ELN</w:t>
      </w:r>
      <w:r w:rsidRPr="00233FA9">
        <w:t xml:space="preserve">, y el sometimiento a la justicia de organizaciones criminales, grupos armados organizados o narcotraficantes, </w:t>
      </w:r>
      <w:r w:rsidR="001F4A75" w:rsidRPr="00233FA9">
        <w:t xml:space="preserve">el </w:t>
      </w:r>
      <w:r w:rsidR="00897433" w:rsidRPr="00233FA9">
        <w:t>presupuesto para el sector Defensa para el 2023 ha tenido un incremento del 9% respecto al 2022</w:t>
      </w:r>
      <w:r w:rsidR="00897433" w:rsidRPr="00233FA9">
        <w:rPr>
          <w:rStyle w:val="FootnoteReference"/>
          <w:rFonts w:ascii="Open Sans" w:hAnsi="Open Sans" w:cs="Open Sans"/>
          <w:sz w:val="20"/>
          <w:szCs w:val="20"/>
        </w:rPr>
        <w:footnoteReference w:id="56"/>
      </w:r>
      <w:r w:rsidR="00897433" w:rsidRPr="00233FA9">
        <w:t xml:space="preserve"> y es 23.59% mayor que el asignado a la implementación del </w:t>
      </w:r>
      <w:r w:rsidR="005C462A" w:rsidRPr="00700673">
        <w:rPr>
          <w:lang w:val="es-ES"/>
        </w:rPr>
        <w:t xml:space="preserve">Acuerdo </w:t>
      </w:r>
      <w:r w:rsidR="005C462A">
        <w:rPr>
          <w:lang w:val="es-ES"/>
        </w:rPr>
        <w:t>Final de Paz</w:t>
      </w:r>
      <w:r w:rsidR="005C462A" w:rsidRPr="00233FA9">
        <w:t xml:space="preserve"> </w:t>
      </w:r>
      <w:r w:rsidR="00AE5144" w:rsidRPr="00233FA9">
        <w:t xml:space="preserve">y 93.24% mayor que el asignado al logro de la “equidad de la mujer”. </w:t>
      </w:r>
    </w:p>
    <w:p w14:paraId="789E73CE" w14:textId="58E8F9E0" w:rsidR="00BD589E" w:rsidRDefault="00AE5144" w:rsidP="001D512C">
      <w:r w:rsidRPr="00233FA9">
        <w:t xml:space="preserve">Comparativamente, Colombia es el segundo país en Latinoamérica con la asignación presupuestal al área de Seguridad y Defensa más </w:t>
      </w:r>
      <w:r w:rsidRPr="00BF7895">
        <w:t>alta</w:t>
      </w:r>
      <w:r w:rsidRPr="00BF7895">
        <w:rPr>
          <w:rStyle w:val="FootnoteReference"/>
          <w:rFonts w:ascii="Open Sans" w:hAnsi="Open Sans" w:cs="Open Sans"/>
          <w:sz w:val="20"/>
          <w:szCs w:val="20"/>
        </w:rPr>
        <w:footnoteReference w:id="57"/>
      </w:r>
      <w:r w:rsidR="00531D30" w:rsidRPr="00BF7895">
        <w:t>,</w:t>
      </w:r>
      <w:r w:rsidRPr="00233FA9">
        <w:t xml:space="preserve"> hecho que señala la centralidad de la militarización y el uso de armas en las políticas de seguridad.  </w:t>
      </w:r>
      <w:r w:rsidR="00BD589E">
        <w:br w:type="page"/>
      </w:r>
    </w:p>
    <w:p w14:paraId="51322D7B" w14:textId="77777777" w:rsidR="00440BFD" w:rsidRPr="00233FA9" w:rsidRDefault="00440BFD" w:rsidP="0022182F"/>
    <w:p w14:paraId="1CEE37B7" w14:textId="77777777" w:rsidR="00AE5144" w:rsidRPr="00B0286C" w:rsidRDefault="00AE5144" w:rsidP="0022182F">
      <w:pPr>
        <w:pStyle w:val="Heading3"/>
      </w:pPr>
      <w:bookmarkStart w:id="28" w:name="_Toc136246255"/>
      <w:r w:rsidRPr="00B0286C">
        <w:t>Recomendaciones:</w:t>
      </w:r>
      <w:bookmarkEnd w:id="28"/>
    </w:p>
    <w:p w14:paraId="79DC249E" w14:textId="2E9DCBAE" w:rsidR="00AE5144" w:rsidRPr="00233FA9" w:rsidRDefault="00AE5144" w:rsidP="0022182F">
      <w:pPr>
        <w:pStyle w:val="ListParagraph"/>
        <w:numPr>
          <w:ilvl w:val="0"/>
          <w:numId w:val="37"/>
        </w:numPr>
      </w:pPr>
      <w:r w:rsidRPr="00233FA9">
        <w:t>Disminuir progresivamente la asignación presupuestal para el sector de defensa y</w:t>
      </w:r>
      <w:r w:rsidR="009B327A">
        <w:t>,</w:t>
      </w:r>
      <w:r w:rsidRPr="00233FA9">
        <w:t xml:space="preserve"> </w:t>
      </w:r>
      <w:r w:rsidR="00754FF3" w:rsidRPr="00233FA9">
        <w:t>en su lugar</w:t>
      </w:r>
      <w:r w:rsidR="009B327A">
        <w:t>,</w:t>
      </w:r>
      <w:r w:rsidR="00754FF3" w:rsidRPr="00233FA9">
        <w:t xml:space="preserve"> </w:t>
      </w:r>
      <w:r w:rsidRPr="00233FA9">
        <w:t>priorizar las políticas de paz</w:t>
      </w:r>
      <w:r w:rsidR="00754FF3" w:rsidRPr="00233FA9">
        <w:t xml:space="preserve"> </w:t>
      </w:r>
      <w:r w:rsidRPr="00233FA9">
        <w:t>y equidad de género</w:t>
      </w:r>
      <w:r w:rsidR="00754FF3" w:rsidRPr="00233FA9">
        <w:t xml:space="preserve">. </w:t>
      </w:r>
    </w:p>
    <w:p w14:paraId="0D75C9FF" w14:textId="77777777" w:rsidR="00754FF3" w:rsidRPr="00233FA9" w:rsidRDefault="00E347C4" w:rsidP="0022182F">
      <w:pPr>
        <w:pStyle w:val="ListParagraph"/>
        <w:numPr>
          <w:ilvl w:val="0"/>
          <w:numId w:val="37"/>
        </w:numPr>
      </w:pPr>
      <w:r w:rsidRPr="00233FA9">
        <w:t xml:space="preserve">Adelantar una </w:t>
      </w:r>
      <w:r w:rsidR="00754FF3" w:rsidRPr="00233FA9">
        <w:t xml:space="preserve">reforma </w:t>
      </w:r>
      <w:r w:rsidRPr="00233FA9">
        <w:t>al sector seguridad y defensa</w:t>
      </w:r>
      <w:r w:rsidR="00FA033D" w:rsidRPr="00233FA9">
        <w:t xml:space="preserve"> que amplíe la noción de seguridad humana, considerando y poniendo en el centro, la vida de las mujeres y sus experiencias cotidianas de violencia, y que reconozca y transforme el vínculo entre el militarismo, masculinidades guerreras y los riesgos de violencia sexual, discriminación y explotación por agentes del estado. Esta reforma debe incluir sanciones a través de la justicia ordinaria en lugar de en la justicia penal militar. </w:t>
      </w:r>
    </w:p>
    <w:p w14:paraId="73DF57CC" w14:textId="77777777" w:rsidR="001D512C" w:rsidRDefault="001D512C" w:rsidP="0022182F">
      <w:pPr>
        <w:pStyle w:val="Heading2"/>
        <w:rPr>
          <w:lang w:val="es-ES"/>
        </w:rPr>
      </w:pPr>
      <w:bookmarkStart w:id="29" w:name="_Hlk130239739"/>
      <w:bookmarkStart w:id="30" w:name="_Hlk130239170"/>
      <w:bookmarkStart w:id="31" w:name="_Toc136246256"/>
    </w:p>
    <w:p w14:paraId="783DA2D7" w14:textId="7CC6DB7D" w:rsidR="00A21882" w:rsidRPr="00A21882" w:rsidRDefault="00A21882" w:rsidP="0022182F">
      <w:pPr>
        <w:pStyle w:val="Heading2"/>
        <w:rPr>
          <w:lang w:val="es-ES"/>
        </w:rPr>
      </w:pPr>
      <w:r w:rsidRPr="00A21882">
        <w:rPr>
          <w:lang w:val="es-ES"/>
        </w:rPr>
        <w:t>Compra y comercio de armas</w:t>
      </w:r>
      <w:bookmarkEnd w:id="31"/>
    </w:p>
    <w:p w14:paraId="09EF746B" w14:textId="3EB31BC8" w:rsidR="00FD03B5" w:rsidRPr="00233FA9" w:rsidRDefault="00FD03B5" w:rsidP="0022182F">
      <w:pPr>
        <w:rPr>
          <w:color w:val="252525"/>
          <w:shd w:val="clear" w:color="auto" w:fill="FFFFFF"/>
        </w:rPr>
      </w:pPr>
      <w:r w:rsidRPr="00233FA9">
        <w:rPr>
          <w:lang w:val="es-ES"/>
        </w:rPr>
        <w:t>Según el Banco Interamericano de Desarrollo</w:t>
      </w:r>
      <w:r w:rsidRPr="00233FA9">
        <w:rPr>
          <w:rStyle w:val="FootnoteReference"/>
          <w:rFonts w:ascii="Open Sans" w:hAnsi="Open Sans" w:cs="Open Sans"/>
          <w:sz w:val="20"/>
          <w:szCs w:val="20"/>
          <w:lang w:val="es-ES"/>
        </w:rPr>
        <w:footnoteReference w:id="58"/>
      </w:r>
      <w:r w:rsidRPr="00233FA9">
        <w:rPr>
          <w:lang w:val="es-ES"/>
        </w:rPr>
        <w:t>, América Latina y el Caribe ha sido la región más violenta del planeta en los últimos 20 años, concentrando entre el 29% y el 39% de los homicidios registrados en el mundo, 75% de ellos relacionados con armas de fuego</w:t>
      </w:r>
      <w:r w:rsidRPr="00233FA9">
        <w:rPr>
          <w:rStyle w:val="FootnoteReference"/>
          <w:rFonts w:ascii="Open Sans" w:hAnsi="Open Sans" w:cs="Open Sans"/>
          <w:sz w:val="20"/>
          <w:szCs w:val="20"/>
          <w:lang w:val="es-ES"/>
        </w:rPr>
        <w:footnoteReference w:id="59"/>
      </w:r>
      <w:r w:rsidRPr="00233FA9">
        <w:rPr>
          <w:lang w:val="es-ES"/>
        </w:rPr>
        <w:t>. Así mismo, Colombia tiene una de las tasas más altas de homicidios con armas de fuego en la región</w:t>
      </w:r>
      <w:r w:rsidRPr="00233FA9">
        <w:rPr>
          <w:rStyle w:val="FootnoteReference"/>
          <w:rFonts w:ascii="Open Sans" w:hAnsi="Open Sans" w:cs="Open Sans"/>
          <w:sz w:val="20"/>
          <w:szCs w:val="20"/>
          <w:lang w:val="es-ES"/>
        </w:rPr>
        <w:footnoteReference w:id="60"/>
      </w:r>
      <w:r w:rsidRPr="00233FA9">
        <w:rPr>
          <w:lang w:val="es-ES"/>
        </w:rPr>
        <w:t xml:space="preserve"> y ocupa el quinto lugar a nivel mundial en muertes por armas de fuego</w:t>
      </w:r>
      <w:r w:rsidRPr="00233FA9">
        <w:rPr>
          <w:rStyle w:val="FootnoteReference"/>
          <w:rFonts w:ascii="Open Sans" w:hAnsi="Open Sans" w:cs="Open Sans"/>
          <w:sz w:val="20"/>
          <w:szCs w:val="20"/>
          <w:lang w:val="es-ES"/>
        </w:rPr>
        <w:footnoteReference w:id="61"/>
      </w:r>
      <w:r w:rsidRPr="00233FA9">
        <w:rPr>
          <w:lang w:val="es-ES"/>
        </w:rPr>
        <w:t xml:space="preserve">. </w:t>
      </w:r>
      <w:r w:rsidR="00AC0D23" w:rsidRPr="00233FA9">
        <w:rPr>
          <w:lang w:val="es-ES"/>
        </w:rPr>
        <w:t xml:space="preserve"> </w:t>
      </w:r>
      <w:r w:rsidRPr="00233FA9">
        <w:rPr>
          <w:lang w:val="es-ES"/>
        </w:rPr>
        <w:t xml:space="preserve">Las armas de fuego, incluso las de propiedad legal, son también empleadas en hechos de violencia contra las mujeres. </w:t>
      </w:r>
      <w:r w:rsidRPr="00233FA9">
        <w:rPr>
          <w:color w:val="252525"/>
          <w:shd w:val="clear" w:color="auto" w:fill="FFFFFF"/>
        </w:rPr>
        <w:t>En Colombia durante el 2019, el 56,8 % de los homicidios de mujeres fueron cometido</w:t>
      </w:r>
      <w:r w:rsidR="00400C74">
        <w:rPr>
          <w:color w:val="252525"/>
          <w:shd w:val="clear" w:color="auto" w:fill="FFFFFF"/>
        </w:rPr>
        <w:t>s</w:t>
      </w:r>
      <w:r w:rsidRPr="00233FA9">
        <w:rPr>
          <w:color w:val="252525"/>
          <w:shd w:val="clear" w:color="auto" w:fill="FFFFFF"/>
        </w:rPr>
        <w:t xml:space="preserve"> con armas pequeñas y ligeras, el 55,6 % por proyectil de arma de fuego y el 1,1 % por agentes y mecanismos explosivos</w:t>
      </w:r>
      <w:bookmarkStart w:id="32" w:name="_Hlk130239267"/>
      <w:r w:rsidR="00400C74">
        <w:rPr>
          <w:rStyle w:val="FootnoteReference"/>
          <w:rFonts w:ascii="Open Sans" w:hAnsi="Open Sans" w:cs="Open Sans"/>
          <w:color w:val="252525"/>
          <w:sz w:val="20"/>
          <w:szCs w:val="20"/>
          <w:shd w:val="clear" w:color="auto" w:fill="FFFFFF"/>
        </w:rPr>
        <w:footnoteReference w:id="62"/>
      </w:r>
      <w:r w:rsidR="00400C74">
        <w:rPr>
          <w:color w:val="252525"/>
          <w:shd w:val="clear" w:color="auto" w:fill="FFFFFF"/>
        </w:rPr>
        <w:t xml:space="preserve">. </w:t>
      </w:r>
      <w:r w:rsidRPr="00233FA9">
        <w:rPr>
          <w:color w:val="252525"/>
          <w:shd w:val="clear" w:color="auto" w:fill="FFFFFF"/>
        </w:rPr>
        <w:t xml:space="preserve">El reporte dinámico del Observatorio de Feminicidios en Colombia contiene información similar para el año 2022: 336 feminicidios de los 614 casos </w:t>
      </w:r>
      <w:r w:rsidRPr="00BF7895">
        <w:rPr>
          <w:color w:val="252525"/>
          <w:shd w:val="clear" w:color="auto" w:fill="FFFFFF"/>
        </w:rPr>
        <w:t>registrados fueron</w:t>
      </w:r>
      <w:r w:rsidRPr="00233FA9">
        <w:rPr>
          <w:color w:val="252525"/>
          <w:shd w:val="clear" w:color="auto" w:fill="FFFFFF"/>
        </w:rPr>
        <w:t xml:space="preserve"> cometidos con armas de fuego y 157 con armas cortopunzantes</w:t>
      </w:r>
      <w:bookmarkEnd w:id="32"/>
      <w:r w:rsidRPr="00233FA9">
        <w:rPr>
          <w:color w:val="252525"/>
          <w:shd w:val="clear" w:color="auto" w:fill="FFFFFF"/>
        </w:rPr>
        <w:t xml:space="preserve">. Estas cifras reflejan el vínculo entre el sistema patriarcal, la militarización de la sociedad y la violencia contra las mujeres. </w:t>
      </w:r>
    </w:p>
    <w:p w14:paraId="4251D45C" w14:textId="77777777" w:rsidR="00F07D2C" w:rsidRPr="00233FA9" w:rsidRDefault="00FD03B5" w:rsidP="0022182F">
      <w:pPr>
        <w:rPr>
          <w:rFonts w:eastAsia="Times New Roman"/>
          <w:lang w:eastAsia="es-CO"/>
        </w:rPr>
      </w:pPr>
      <w:r w:rsidRPr="00233FA9">
        <w:rPr>
          <w:shd w:val="clear" w:color="auto" w:fill="FFFFFF"/>
        </w:rPr>
        <w:t>Durante los últimos años, el mercado ilegal de armas en Colombia ha tenido un crecimiento, que facilita el acceso a ellas</w:t>
      </w:r>
      <w:r w:rsidRPr="00233FA9">
        <w:rPr>
          <w:rStyle w:val="FootnoteReference"/>
          <w:rFonts w:ascii="Open Sans" w:hAnsi="Open Sans" w:cs="Open Sans"/>
          <w:color w:val="252525"/>
          <w:sz w:val="20"/>
          <w:szCs w:val="20"/>
          <w:shd w:val="clear" w:color="auto" w:fill="FFFFFF"/>
        </w:rPr>
        <w:footnoteReference w:id="63"/>
      </w:r>
      <w:r w:rsidRPr="00233FA9">
        <w:rPr>
          <w:shd w:val="clear" w:color="auto" w:fill="FFFFFF"/>
        </w:rPr>
        <w:t xml:space="preserve"> y que demuestra que el control realizado a la circulación por parte del Estado es muy bajo e </w:t>
      </w:r>
      <w:r w:rsidRPr="00233FA9">
        <w:rPr>
          <w:shd w:val="clear" w:color="auto" w:fill="FFFFFF"/>
        </w:rPr>
        <w:lastRenderedPageBreak/>
        <w:t xml:space="preserve">inefectivo. </w:t>
      </w:r>
      <w:r w:rsidR="00CC7DB6" w:rsidRPr="00233FA9">
        <w:t>En lo que respecta a las exportaciones realizadas a Colombia de 2016 a 2021, el portal</w:t>
      </w:r>
      <w:r w:rsidRPr="00233FA9">
        <w:t xml:space="preserve"> </w:t>
      </w:r>
      <w:r w:rsidRPr="00233FA9">
        <w:rPr>
          <w:bCs/>
        </w:rPr>
        <w:t>SIPRI</w:t>
      </w:r>
      <w:r w:rsidR="00CC7DB6" w:rsidRPr="00233FA9">
        <w:t xml:space="preserve"> reporta que en el 2017 las exportaciones por parte de diferentes Estados, como Alemania, Israel y Estados Unidos aumentaron considerablemente</w:t>
      </w:r>
      <w:r w:rsidR="00CC7DB6" w:rsidRPr="00233FA9">
        <w:rPr>
          <w:rStyle w:val="FootnoteReference"/>
          <w:rFonts w:ascii="Open Sans" w:hAnsi="Open Sans" w:cs="Open Sans"/>
          <w:bCs/>
          <w:sz w:val="20"/>
          <w:szCs w:val="20"/>
        </w:rPr>
        <w:footnoteReference w:id="64"/>
      </w:r>
      <w:r w:rsidR="00CC7DB6" w:rsidRPr="00233FA9">
        <w:rPr>
          <w:bCs/>
        </w:rPr>
        <w:t>.</w:t>
      </w:r>
    </w:p>
    <w:p w14:paraId="584C9CB2" w14:textId="77777777" w:rsidR="00FD03B5" w:rsidRPr="00B0286C" w:rsidRDefault="00FD03B5" w:rsidP="0022182F">
      <w:pPr>
        <w:pStyle w:val="Heading3"/>
      </w:pPr>
      <w:bookmarkStart w:id="33" w:name="_Toc136246257"/>
      <w:r w:rsidRPr="00B0286C">
        <w:t>Recomendaciones:</w:t>
      </w:r>
      <w:bookmarkEnd w:id="33"/>
    </w:p>
    <w:p w14:paraId="1C246578" w14:textId="5604E06E" w:rsidR="008E00BA" w:rsidRDefault="008E00BA" w:rsidP="0022182F">
      <w:pPr>
        <w:pStyle w:val="ListParagraph"/>
        <w:numPr>
          <w:ilvl w:val="0"/>
          <w:numId w:val="38"/>
        </w:numPr>
      </w:pPr>
      <w:r>
        <w:t xml:space="preserve">Depositar </w:t>
      </w:r>
      <w:r w:rsidRPr="008E00BA">
        <w:t xml:space="preserve">lo antes posible </w:t>
      </w:r>
      <w:r>
        <w:t xml:space="preserve">la </w:t>
      </w:r>
      <w:r w:rsidRPr="008E00BA">
        <w:t>ratificación</w:t>
      </w:r>
      <w:r>
        <w:t xml:space="preserve"> del </w:t>
      </w:r>
      <w:r w:rsidRPr="00233FA9">
        <w:t>Tratado sobre el Comercio de Armas</w:t>
      </w:r>
      <w:r>
        <w:t xml:space="preserve">, </w:t>
      </w:r>
      <w:r w:rsidRPr="00BF7895">
        <w:t>Ley 2289 de 2023</w:t>
      </w:r>
      <w:r>
        <w:t xml:space="preserve">, </w:t>
      </w:r>
      <w:r w:rsidRPr="008E00BA">
        <w:t>ante el Secretario General de la ONU para que el proceso de ratificación a nivel internacional sea finalizado.</w:t>
      </w:r>
    </w:p>
    <w:p w14:paraId="0E243940" w14:textId="0896CC33" w:rsidR="00AC0D23" w:rsidRPr="0022182F" w:rsidRDefault="00AC0D23" w:rsidP="0022182F">
      <w:pPr>
        <w:pStyle w:val="ListParagraph"/>
        <w:numPr>
          <w:ilvl w:val="0"/>
          <w:numId w:val="38"/>
        </w:numPr>
        <w:rPr>
          <w:rFonts w:ascii="Open Sans" w:hAnsi="Open Sans" w:cs="Open Sans"/>
          <w:sz w:val="20"/>
          <w:szCs w:val="20"/>
        </w:rPr>
      </w:pPr>
      <w:r w:rsidRPr="0022182F">
        <w:rPr>
          <w:rFonts w:ascii="Open Sans" w:hAnsi="Open Sans" w:cs="Open Sans"/>
          <w:sz w:val="20"/>
          <w:szCs w:val="20"/>
        </w:rPr>
        <w:t xml:space="preserve">Que las acciones y estrategias desarrolladas en el marco del Tratado sobre el Comercio de Armas, </w:t>
      </w:r>
      <w:r w:rsidR="004C201B" w:rsidRPr="0022182F">
        <w:rPr>
          <w:rFonts w:ascii="Open Sans" w:hAnsi="Open Sans" w:cs="Open Sans"/>
          <w:sz w:val="20"/>
          <w:szCs w:val="20"/>
        </w:rPr>
        <w:t xml:space="preserve">firmado por Colombia </w:t>
      </w:r>
      <w:r w:rsidR="00B31650" w:rsidRPr="0022182F">
        <w:rPr>
          <w:rFonts w:ascii="Open Sans" w:hAnsi="Open Sans" w:cs="Open Sans"/>
          <w:sz w:val="20"/>
          <w:szCs w:val="20"/>
        </w:rPr>
        <w:t xml:space="preserve">y </w:t>
      </w:r>
      <w:r w:rsidR="008E00BA" w:rsidRPr="0022182F">
        <w:rPr>
          <w:rFonts w:ascii="Open Sans" w:hAnsi="Open Sans" w:cs="Open Sans"/>
          <w:sz w:val="20"/>
          <w:szCs w:val="20"/>
        </w:rPr>
        <w:t xml:space="preserve">cuya ratificación fue aprobada </w:t>
      </w:r>
      <w:r w:rsidR="00B31650" w:rsidRPr="0022182F">
        <w:rPr>
          <w:rFonts w:ascii="Open Sans" w:hAnsi="Open Sans" w:cs="Open Sans"/>
          <w:sz w:val="20"/>
          <w:szCs w:val="20"/>
        </w:rPr>
        <w:t>por la Ley 2289 de 2023</w:t>
      </w:r>
      <w:r w:rsidRPr="0022182F">
        <w:rPr>
          <w:rFonts w:ascii="Open Sans" w:hAnsi="Open Sans" w:cs="Open Sans"/>
          <w:sz w:val="20"/>
          <w:szCs w:val="20"/>
        </w:rPr>
        <w:t>, incorporen el enfoque de género. Puntualmente, es urgente una política de desarme que incluya el control efectivo sobre su comercialización local e internacional y sobre el manejo que le dan otro tipo de consumidores, como el sector militar, de la vigilancia privada y el ciudadano del común</w:t>
      </w:r>
      <w:r w:rsidR="00121538" w:rsidRPr="0022182F">
        <w:rPr>
          <w:rFonts w:ascii="Open Sans" w:hAnsi="Open Sans" w:cs="Open Sans"/>
          <w:sz w:val="20"/>
          <w:szCs w:val="20"/>
        </w:rPr>
        <w:t>. Además, es necesario articular iniciativas locales, regionales y nacionales, así como el mejoramiento de los sistemas de registro de información.</w:t>
      </w:r>
    </w:p>
    <w:p w14:paraId="1EB504E6" w14:textId="77777777" w:rsidR="00873684" w:rsidRPr="0022182F" w:rsidRDefault="00873684" w:rsidP="0022182F">
      <w:pPr>
        <w:pStyle w:val="ListParagraph"/>
        <w:numPr>
          <w:ilvl w:val="0"/>
          <w:numId w:val="38"/>
        </w:numPr>
        <w:rPr>
          <w:rFonts w:ascii="Open Sans" w:hAnsi="Open Sans" w:cs="Open Sans"/>
          <w:sz w:val="20"/>
          <w:szCs w:val="20"/>
        </w:rPr>
      </w:pPr>
      <w:r w:rsidRPr="0022182F">
        <w:rPr>
          <w:rFonts w:ascii="Open Sans" w:hAnsi="Open Sans" w:cs="Open Sans"/>
          <w:sz w:val="20"/>
          <w:szCs w:val="20"/>
        </w:rPr>
        <w:t>Regular el alto nivel de comercialización de armas del país, sobre el que se ejerce poco o ningún control y que alimenta los conflictos en el mundo.</w:t>
      </w:r>
    </w:p>
    <w:p w14:paraId="44B554BF" w14:textId="7340C316" w:rsidR="002C0DC0" w:rsidRPr="006B4924" w:rsidRDefault="00873684" w:rsidP="006B4924">
      <w:pPr>
        <w:pStyle w:val="ListParagraph"/>
        <w:numPr>
          <w:ilvl w:val="0"/>
          <w:numId w:val="38"/>
        </w:numPr>
        <w:rPr>
          <w:rFonts w:ascii="Open Sans" w:hAnsi="Open Sans" w:cs="Open Sans"/>
          <w:sz w:val="20"/>
          <w:szCs w:val="20"/>
        </w:rPr>
      </w:pPr>
      <w:r w:rsidRPr="0022182F">
        <w:rPr>
          <w:rFonts w:ascii="Open Sans" w:hAnsi="Open Sans" w:cs="Open Sans"/>
          <w:sz w:val="20"/>
          <w:szCs w:val="20"/>
        </w:rPr>
        <w:t>Lo anterior debe enmarcarse en una estrategia estructural por redireccionar el gasto militar hacia el incremento de la inversión social</w:t>
      </w:r>
      <w:r w:rsidR="00B31650">
        <w:rPr>
          <w:rStyle w:val="FootnoteReference"/>
          <w:rFonts w:ascii="Open Sans" w:hAnsi="Open Sans" w:cs="Open Sans"/>
          <w:sz w:val="20"/>
          <w:szCs w:val="20"/>
        </w:rPr>
        <w:footnoteReference w:id="65"/>
      </w:r>
      <w:r w:rsidRPr="0022182F">
        <w:rPr>
          <w:rFonts w:ascii="Open Sans" w:hAnsi="Open Sans" w:cs="Open Sans"/>
          <w:sz w:val="20"/>
          <w:szCs w:val="20"/>
        </w:rPr>
        <w:t xml:space="preserve"> y el tránsito a una cultura de paz respetuosa de la diversidad y de los </w:t>
      </w:r>
      <w:r w:rsidR="00186031" w:rsidRPr="0022182F">
        <w:rPr>
          <w:rFonts w:ascii="Open Sans" w:hAnsi="Open Sans" w:cs="Open Sans"/>
          <w:sz w:val="20"/>
          <w:szCs w:val="20"/>
        </w:rPr>
        <w:t>d</w:t>
      </w:r>
      <w:r w:rsidRPr="0022182F">
        <w:rPr>
          <w:rFonts w:ascii="Open Sans" w:hAnsi="Open Sans" w:cs="Open Sans"/>
          <w:sz w:val="20"/>
          <w:szCs w:val="20"/>
        </w:rPr>
        <w:t xml:space="preserve">erechos </w:t>
      </w:r>
      <w:r w:rsidR="00186031" w:rsidRPr="0022182F">
        <w:rPr>
          <w:rFonts w:ascii="Open Sans" w:hAnsi="Open Sans" w:cs="Open Sans"/>
          <w:sz w:val="20"/>
          <w:szCs w:val="20"/>
        </w:rPr>
        <w:t>h</w:t>
      </w:r>
      <w:r w:rsidRPr="0022182F">
        <w:rPr>
          <w:rFonts w:ascii="Open Sans" w:hAnsi="Open Sans" w:cs="Open Sans"/>
          <w:sz w:val="20"/>
          <w:szCs w:val="20"/>
        </w:rPr>
        <w:t>umanos de las mujeres.</w:t>
      </w:r>
      <w:bookmarkEnd w:id="29"/>
      <w:bookmarkEnd w:id="30"/>
    </w:p>
    <w:sectPr w:rsidR="002C0DC0" w:rsidRPr="006B4924" w:rsidSect="001C22BC">
      <w:headerReference w:type="default" r:id="rId9"/>
      <w:footerReference w:type="even" r:id="rId10"/>
      <w:footerReference w:type="default" r:id="rId11"/>
      <w:footerReference w:type="first" r:id="rId12"/>
      <w:type w:val="continuous"/>
      <w:pgSz w:w="12240" w:h="15840"/>
      <w:pgMar w:top="1440" w:right="1080" w:bottom="1440" w:left="108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39DB5" w14:textId="77777777" w:rsidR="00CD0631" w:rsidRDefault="00CD0631" w:rsidP="00D17338">
      <w:pPr>
        <w:spacing w:after="0" w:line="240" w:lineRule="auto"/>
      </w:pPr>
      <w:r>
        <w:separator/>
      </w:r>
    </w:p>
  </w:endnote>
  <w:endnote w:type="continuationSeparator" w:id="0">
    <w:p w14:paraId="2BB78597" w14:textId="77777777" w:rsidR="00CD0631" w:rsidRDefault="00CD0631" w:rsidP="00D17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panose1 w:val="020B0604020202020204"/>
    <w:charset w:val="00"/>
    <w:family w:val="swiss"/>
    <w:pitch w:val="variable"/>
    <w:sig w:usb0="E00002EF" w:usb1="4000205B" w:usb2="00000028" w:usb3="00000000" w:csb0="0000019F" w:csb1="00000000"/>
  </w:font>
  <w:font w:name="Segoe UI">
    <w:panose1 w:val="020B0604020202020204"/>
    <w:charset w:val="00"/>
    <w:family w:val="swiss"/>
    <w:pitch w:val="variable"/>
    <w:sig w:usb0="E4002EFF" w:usb1="C000E47F" w:usb2="00000009" w:usb3="00000000" w:csb0="000001FF" w:csb1="00000000"/>
  </w:font>
  <w:font w:name="Gill Sans">
    <w:altName w:val="Arial"/>
    <w:panose1 w:val="020B0502020104020203"/>
    <w:charset w:val="B1"/>
    <w:family w:val="swiss"/>
    <w:pitch w:val="variable"/>
    <w:sig w:usb0="80000A67" w:usb1="00000000" w:usb2="00000000" w:usb3="00000000" w:csb0="000001F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3301373"/>
      <w:docPartObj>
        <w:docPartGallery w:val="Page Numbers (Bottom of Page)"/>
        <w:docPartUnique/>
      </w:docPartObj>
    </w:sdtPr>
    <w:sdtContent>
      <w:p w14:paraId="4C5B5B44" w14:textId="2BBA1A94" w:rsidR="001C22BC" w:rsidRDefault="001C22BC" w:rsidP="001C22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21605214"/>
      <w:docPartObj>
        <w:docPartGallery w:val="Page Numbers (Bottom of Page)"/>
        <w:docPartUnique/>
      </w:docPartObj>
    </w:sdtPr>
    <w:sdtContent>
      <w:p w14:paraId="6308E601" w14:textId="4FB6F797" w:rsidR="00BE4019" w:rsidRDefault="00BE4019" w:rsidP="001C22BC">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10158431"/>
      <w:docPartObj>
        <w:docPartGallery w:val="Page Numbers (Bottom of Page)"/>
        <w:docPartUnique/>
      </w:docPartObj>
    </w:sdtPr>
    <w:sdtContent>
      <w:p w14:paraId="772FE73C" w14:textId="7EDD2E3A" w:rsidR="00BE4019" w:rsidRDefault="00BE4019" w:rsidP="001C22BC">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02E939" w14:textId="77777777" w:rsidR="00BE4019" w:rsidRDefault="00BE4019" w:rsidP="00BE40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6200941"/>
      <w:docPartObj>
        <w:docPartGallery w:val="Page Numbers (Bottom of Page)"/>
        <w:docPartUnique/>
      </w:docPartObj>
    </w:sdtPr>
    <w:sdtContent>
      <w:p w14:paraId="29C03D8A" w14:textId="3CCB18B9" w:rsidR="001C22BC" w:rsidRDefault="001C22BC" w:rsidP="009667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DB9DBE" w14:textId="33107E80" w:rsidR="001C22BC" w:rsidRDefault="001C22BC" w:rsidP="001C22BC">
    <w:pPr>
      <w:pStyle w:val="Footer"/>
      <w:framePr w:wrap="none" w:vAnchor="text" w:hAnchor="margin" w:xAlign="right" w:y="1"/>
      <w:ind w:right="360"/>
      <w:rPr>
        <w:rStyle w:val="PageNumber"/>
      </w:rPr>
    </w:pPr>
  </w:p>
  <w:sdt>
    <w:sdtPr>
      <w:rPr>
        <w:rStyle w:val="PageNumber"/>
      </w:rPr>
      <w:id w:val="-1298300164"/>
      <w:docPartObj>
        <w:docPartGallery w:val="Page Numbers (Bottom of Page)"/>
        <w:docPartUnique/>
      </w:docPartObj>
    </w:sdtPr>
    <w:sdtContent>
      <w:p w14:paraId="06F171C3" w14:textId="05753AC2" w:rsidR="00BE4019" w:rsidRDefault="00000000" w:rsidP="001C22BC">
        <w:pPr>
          <w:pStyle w:val="Footer"/>
          <w:framePr w:wrap="none" w:vAnchor="text" w:hAnchor="margin" w:xAlign="right" w:y="1"/>
          <w:ind w:right="360"/>
          <w:rPr>
            <w:rStyle w:val="PageNumber"/>
          </w:rPr>
        </w:pPr>
      </w:p>
    </w:sdtContent>
  </w:sdt>
  <w:p w14:paraId="36F2A044" w14:textId="2233BD06" w:rsidR="00BE4019" w:rsidRDefault="00BE4019" w:rsidP="00BE4019">
    <w:pPr>
      <w:pStyle w:val="Footer"/>
      <w:framePr w:wrap="none" w:vAnchor="text" w:hAnchor="margin" w:xAlign="right" w:y="1"/>
      <w:ind w:right="360"/>
      <w:rPr>
        <w:rStyle w:val="PageNumber"/>
      </w:rPr>
    </w:pPr>
  </w:p>
  <w:p w14:paraId="43B1E4C9" w14:textId="6F8A5351" w:rsidR="00795796" w:rsidRDefault="00795796" w:rsidP="00BE4019">
    <w:pPr>
      <w:pStyle w:val="Footer"/>
      <w:ind w:right="360"/>
      <w:jc w:val="right"/>
    </w:pPr>
  </w:p>
  <w:p w14:paraId="4DFFAF06" w14:textId="3F63B9A3" w:rsidR="00795796" w:rsidRDefault="00795796" w:rsidP="00E40B1B">
    <w:pPr>
      <w:pBdr>
        <w:top w:val="single" w:sz="4" w:space="1" w:color="000000"/>
        <w:left w:val="nil"/>
        <w:bottom w:val="nil"/>
        <w:right w:val="nil"/>
        <w:between w:val="nil"/>
      </w:pBdr>
      <w:tabs>
        <w:tab w:val="center" w:pos="4419"/>
        <w:tab w:val="right" w:pos="8838"/>
        <w:tab w:val="right" w:pos="8931"/>
      </w:tabs>
      <w:contextualSpacing/>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53B01" w14:textId="77777777" w:rsidR="00BE4019" w:rsidRDefault="00BE4019" w:rsidP="00BE40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AEA0F" w14:textId="77777777" w:rsidR="00CD0631" w:rsidRDefault="00CD0631" w:rsidP="00D17338">
      <w:pPr>
        <w:spacing w:after="0" w:line="240" w:lineRule="auto"/>
      </w:pPr>
      <w:r>
        <w:separator/>
      </w:r>
    </w:p>
  </w:footnote>
  <w:footnote w:type="continuationSeparator" w:id="0">
    <w:p w14:paraId="33FB5A37" w14:textId="77777777" w:rsidR="00CD0631" w:rsidRDefault="00CD0631" w:rsidP="00D17338">
      <w:pPr>
        <w:spacing w:after="0" w:line="240" w:lineRule="auto"/>
      </w:pPr>
      <w:r>
        <w:continuationSeparator/>
      </w:r>
    </w:p>
  </w:footnote>
  <w:footnote w:id="1">
    <w:p w14:paraId="1675DFC6" w14:textId="77777777" w:rsidR="00797864" w:rsidRPr="00797864" w:rsidRDefault="00797864" w:rsidP="00797864">
      <w:pPr>
        <w:pStyle w:val="FootnoteText"/>
        <w:rPr>
          <w:color w:val="404040" w:themeColor="text1" w:themeTint="BF"/>
          <w:lang w:val="es-ES"/>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lang w:val="es-ES"/>
        </w:rPr>
        <w:t xml:space="preserve">La </w:t>
      </w:r>
      <w:r w:rsidRPr="00797864">
        <w:rPr>
          <w:b/>
          <w:color w:val="404040" w:themeColor="text1" w:themeTint="BF"/>
          <w:lang w:val="es-ES"/>
        </w:rPr>
        <w:t xml:space="preserve">Liga Internacional de Mujeres por la Paz y la Libertad (Limpal Colombia) </w:t>
      </w:r>
      <w:r w:rsidRPr="00797864">
        <w:rPr>
          <w:color w:val="404040" w:themeColor="text1" w:themeTint="BF"/>
          <w:lang w:val="es-ES"/>
        </w:rPr>
        <w:t xml:space="preserve">es una organización feminista, pacifista y antimilitarista; somos seccional en Colombia del movimiento </w:t>
      </w:r>
      <w:proofErr w:type="spellStart"/>
      <w:r w:rsidRPr="001645D9">
        <w:rPr>
          <w:color w:val="404040" w:themeColor="text1" w:themeTint="BF"/>
          <w:lang w:val="fr-CH"/>
        </w:rPr>
        <w:t>Women’s</w:t>
      </w:r>
      <w:proofErr w:type="spellEnd"/>
      <w:r w:rsidRPr="001645D9">
        <w:rPr>
          <w:color w:val="404040" w:themeColor="text1" w:themeTint="BF"/>
          <w:lang w:val="fr-CH"/>
        </w:rPr>
        <w:t xml:space="preserve"> International League for </w:t>
      </w:r>
      <w:proofErr w:type="spellStart"/>
      <w:r w:rsidRPr="001645D9">
        <w:rPr>
          <w:color w:val="404040" w:themeColor="text1" w:themeTint="BF"/>
          <w:lang w:val="fr-CH"/>
        </w:rPr>
        <w:t>Peace</w:t>
      </w:r>
      <w:proofErr w:type="spellEnd"/>
      <w:r w:rsidRPr="001645D9">
        <w:rPr>
          <w:color w:val="404040" w:themeColor="text1" w:themeTint="BF"/>
          <w:lang w:val="fr-CH"/>
        </w:rPr>
        <w:t xml:space="preserve"> and Freedom</w:t>
      </w:r>
      <w:r w:rsidRPr="00797864">
        <w:rPr>
          <w:color w:val="404040" w:themeColor="text1" w:themeTint="BF"/>
          <w:lang w:val="es-ES"/>
        </w:rPr>
        <w:t xml:space="preserve"> (WILPF) reconocida como la organización pacifista de mujeres más antigua del mundo, con 108 años de activismo por la paz en 46 países del mundo, potenciando las voces de las mujeres para que sean ellas quienes generen alternativas a crisis y conflictos priorizando la paz. WILPF tiene el estatus consultivo ante el Consejo Económico y Social de la ONU (ECOSOC).  En el 2022 Limpal Colombia recibió el premio nacional de derechos humanos en la categoría ONG en reconocimiento a su trabajo en la construcción de paz feminista en Colombia a través de la incidencia y del fortalecimiento de procesos colectivos que potencian la agencia política de las mujeres. </w:t>
      </w:r>
      <w:hyperlink r:id="rId1" w:history="1">
        <w:r w:rsidRPr="00797864">
          <w:rPr>
            <w:rStyle w:val="Hyperlink"/>
            <w:color w:val="404040" w:themeColor="text1" w:themeTint="BF"/>
            <w:lang w:val="es-ES"/>
          </w:rPr>
          <w:t>https://www.limpalcolombia.org/es/limpal-colombia/sobre-nosotras</w:t>
        </w:r>
      </w:hyperlink>
    </w:p>
    <w:p w14:paraId="3AC8AC36" w14:textId="77777777" w:rsidR="00797864" w:rsidRPr="00797864" w:rsidRDefault="00797864" w:rsidP="00797864">
      <w:pPr>
        <w:pStyle w:val="FootnoteText"/>
        <w:rPr>
          <w:b/>
          <w:color w:val="404040" w:themeColor="text1" w:themeTint="BF"/>
          <w:lang w:val="es-ES"/>
        </w:rPr>
      </w:pPr>
    </w:p>
    <w:p w14:paraId="43165A03" w14:textId="27A9DE7A" w:rsidR="00797864" w:rsidRPr="00797864" w:rsidRDefault="00797864" w:rsidP="00797864">
      <w:pPr>
        <w:pStyle w:val="FootnoteText"/>
        <w:rPr>
          <w:color w:val="404040" w:themeColor="text1" w:themeTint="BF"/>
          <w:lang w:val="es-ES"/>
        </w:rPr>
      </w:pPr>
      <w:r w:rsidRPr="00797864">
        <w:rPr>
          <w:b/>
          <w:color w:val="404040" w:themeColor="text1" w:themeTint="BF"/>
          <w:lang w:val="es-ES"/>
        </w:rPr>
        <w:t>Católicas por el Derecho a Decidir Colombia (CDD-Colombia)</w:t>
      </w:r>
      <w:r w:rsidRPr="00797864">
        <w:rPr>
          <w:color w:val="404040" w:themeColor="text1" w:themeTint="BF"/>
          <w:lang w:val="es-ES"/>
        </w:rPr>
        <w:t xml:space="preserve">, es un movimiento autónomo de feministas católicas, comprometidas con la defensa de los derechos de las mujeres, especialmente los que se refieren a la sexualidad y a la reproducción humana, y a una vida libre de violencias y discriminación </w:t>
      </w:r>
      <w:hyperlink r:id="rId2" w:history="1">
        <w:r w:rsidRPr="00797864">
          <w:rPr>
            <w:rStyle w:val="Hyperlink"/>
            <w:color w:val="404040" w:themeColor="text1" w:themeTint="BF"/>
            <w:lang w:val="es-ES"/>
          </w:rPr>
          <w:t>https://cddcolombia.org/quienes-somos/</w:t>
        </w:r>
      </w:hyperlink>
      <w:r w:rsidRPr="00797864">
        <w:rPr>
          <w:color w:val="404040" w:themeColor="text1" w:themeTint="BF"/>
          <w:lang w:val="es-ES"/>
        </w:rPr>
        <w:t> </w:t>
      </w:r>
    </w:p>
    <w:p w14:paraId="303EB0D9" w14:textId="77777777" w:rsidR="00797864" w:rsidRPr="00797864" w:rsidRDefault="00797864" w:rsidP="00797864">
      <w:pPr>
        <w:pStyle w:val="FootnoteText"/>
        <w:rPr>
          <w:b/>
          <w:color w:val="404040" w:themeColor="text1" w:themeTint="BF"/>
          <w:lang w:val="es-ES"/>
        </w:rPr>
      </w:pPr>
    </w:p>
    <w:p w14:paraId="4B880FF0" w14:textId="3F836ECE" w:rsidR="00797864" w:rsidRPr="00797864" w:rsidRDefault="00797864" w:rsidP="00797864">
      <w:pPr>
        <w:pStyle w:val="FootnoteText"/>
        <w:rPr>
          <w:color w:val="404040" w:themeColor="text1" w:themeTint="BF"/>
          <w:u w:val="single"/>
          <w:lang w:val="es-ES"/>
        </w:rPr>
      </w:pPr>
      <w:r w:rsidRPr="00797864">
        <w:rPr>
          <w:b/>
          <w:color w:val="404040" w:themeColor="text1" w:themeTint="BF"/>
          <w:lang w:val="es-ES"/>
        </w:rPr>
        <w:t>Corporación de Apoyo a Comunidades Populares - CODACOP</w:t>
      </w:r>
      <w:r w:rsidRPr="00797864">
        <w:rPr>
          <w:color w:val="404040" w:themeColor="text1" w:themeTint="BF"/>
          <w:lang w:val="es-ES"/>
        </w:rPr>
        <w:t xml:space="preserve"> es una organización sin ánimo de lucro, que nace en el año 1984 - y se constituye legalmente en 1990 - como un equipo de acompañamiento a procesos organizativos de comunidades y organizaciones de base indígenas, campesinas y urbano-populares. </w:t>
      </w:r>
      <w:hyperlink r:id="rId3" w:history="1">
        <w:r w:rsidRPr="00797864">
          <w:rPr>
            <w:rStyle w:val="Hyperlink"/>
            <w:color w:val="404040" w:themeColor="text1" w:themeTint="BF"/>
            <w:lang w:val="es-ES"/>
          </w:rPr>
          <w:t>https://codacop.org.co/quienes-somos/</w:t>
        </w:r>
      </w:hyperlink>
    </w:p>
    <w:p w14:paraId="2AA5AF2C" w14:textId="3DD844C7" w:rsidR="00797864" w:rsidRPr="00797864" w:rsidRDefault="00797864">
      <w:pPr>
        <w:pStyle w:val="FootnoteText"/>
        <w:rPr>
          <w:color w:val="404040" w:themeColor="text1" w:themeTint="BF"/>
        </w:rPr>
      </w:pPr>
    </w:p>
  </w:footnote>
  <w:footnote w:id="2">
    <w:p w14:paraId="31A63318" w14:textId="39BC2F75" w:rsidR="00795796" w:rsidRPr="00797864" w:rsidRDefault="00795796" w:rsidP="0022182F">
      <w:pPr>
        <w:pStyle w:val="FootnoteText"/>
        <w:rPr>
          <w:color w:val="404040" w:themeColor="text1" w:themeTint="BF"/>
          <w:lang w:val="es-ES"/>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Como la despenalización del aborto hasta la semana 24 y el anuncio del gobierno de consolidar el primer plan de acción de la Resolución 1325 del Consejo de Seguridad de Naciones Unidas.</w:t>
      </w:r>
    </w:p>
  </w:footnote>
  <w:footnote w:id="3">
    <w:p w14:paraId="615F70F1" w14:textId="2BE2FC90" w:rsidR="00795796" w:rsidRPr="00797864" w:rsidRDefault="00795796" w:rsidP="0022182F">
      <w:pPr>
        <w:pStyle w:val="FootnoteText"/>
        <w:rPr>
          <w:color w:val="404040" w:themeColor="text1" w:themeTint="BF"/>
          <w:lang w:val="es-ES"/>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El gobierno del presidente Gustavo Petro Urrego, que inició en agosto de 2022, ha desarrollado una política denominada “paz total” que hace el logro de la paz una política de Estado. Este proceso comprende diálogos de paz con grupos con carácter político, como el Ejército de Liberación Nacional - ELN, y el sometimiento a la justicia de organizaciones criminales, grupos armados organizados o narcotraficantes.</w:t>
      </w:r>
    </w:p>
  </w:footnote>
  <w:footnote w:id="4">
    <w:p w14:paraId="7F1FEFA9" w14:textId="77777777" w:rsidR="00795796" w:rsidRPr="00797864" w:rsidRDefault="00795796"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Controlaría General de la República (2021). Informe sobre la transversalización del enfoque de género en el Acuerdo Final de Paz desde la perspectiva presupuestal. Disponible en: </w:t>
      </w:r>
    </w:p>
    <w:p w14:paraId="41ADE1AC" w14:textId="1449351C" w:rsidR="001B595B" w:rsidRPr="00797864" w:rsidRDefault="00000000" w:rsidP="001B595B">
      <w:pPr>
        <w:pStyle w:val="FootnoteText"/>
        <w:contextualSpacing/>
        <w:jc w:val="both"/>
        <w:rPr>
          <w:rFonts w:ascii="Open Sans" w:hAnsi="Open Sans" w:cs="Open Sans"/>
          <w:bCs/>
          <w:color w:val="404040" w:themeColor="text1" w:themeTint="BF"/>
          <w:sz w:val="16"/>
        </w:rPr>
      </w:pPr>
      <w:hyperlink r:id="rId4" w:history="1">
        <w:r w:rsidR="001B595B" w:rsidRPr="00797864">
          <w:rPr>
            <w:rStyle w:val="Hyperlink"/>
            <w:rFonts w:ascii="Open Sans" w:hAnsi="Open Sans" w:cs="Open Sans"/>
            <w:bCs/>
            <w:color w:val="404040" w:themeColor="text1" w:themeTint="BF"/>
            <w:sz w:val="16"/>
          </w:rPr>
          <w:t>https://res.cloudinary.com/hi1erte0h/image/upload/v1639593717/webapp/r5ikvj4ch3uzicrffp7q.pdf</w:t>
        </w:r>
      </w:hyperlink>
    </w:p>
  </w:footnote>
  <w:footnote w:id="5">
    <w:p w14:paraId="70D2F906" w14:textId="12BB9B92" w:rsidR="0022182F" w:rsidRPr="00797864" w:rsidRDefault="0022182F" w:rsidP="002C44DD">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Herramienta digital "Así avanzan las Mujeres en la Paz" para el seguimiento a la implementación de las medidas de género del Acuerdo Final de Paz. Consejería Presidencial para la Equidad de la Mujer: </w:t>
      </w:r>
    </w:p>
    <w:p w14:paraId="16C97211" w14:textId="68A85A55" w:rsidR="0022182F" w:rsidRPr="00797864" w:rsidRDefault="0022182F" w:rsidP="002C44DD">
      <w:pPr>
        <w:pStyle w:val="FootnoteText"/>
        <w:rPr>
          <w:color w:val="404040" w:themeColor="text1" w:themeTint="BF"/>
        </w:rPr>
      </w:pPr>
      <w:r w:rsidRPr="00797864">
        <w:rPr>
          <w:color w:val="404040" w:themeColor="text1" w:themeTint="BF"/>
        </w:rPr>
        <w:t>https://app.powerbi.com/view?r=eyJrIjoiY2VhZDU3MmEtNzNkYS00NTQ4LTgyZGYtNmFmMGY3OTIyYmY1IiwidCI6IjNiZTE0NDNkLTFlZGItNDU1Zi05MTIwLTk3YTg0ZTc4YTJiZCJ9&amp;pageName=ReportSection59c699f4bf8e3011eb27</w:t>
      </w:r>
    </w:p>
  </w:footnote>
  <w:footnote w:id="6">
    <w:p w14:paraId="7215991D" w14:textId="394880EB" w:rsidR="0022182F" w:rsidRPr="00797864" w:rsidRDefault="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En las vigencias 2020 y 2021 representaron solo el 3% del total del Presupuesto General de la Nación asignado a la implementación del Acuerdo Final de Paz (2022, </w:t>
      </w:r>
      <w:bookmarkStart w:id="5" w:name="_Hlk128144137"/>
      <w:r w:rsidRPr="00797864">
        <w:rPr>
          <w:color w:val="404040" w:themeColor="text1" w:themeTint="BF"/>
        </w:rPr>
        <w:t>CGR</w:t>
      </w:r>
      <w:bookmarkEnd w:id="5"/>
      <w:r w:rsidRPr="00797864">
        <w:rPr>
          <w:color w:val="404040" w:themeColor="text1" w:themeTint="BF"/>
        </w:rPr>
        <w:t>, p. 251) registrando “un comportamiento regresivo"(CGN, 2021, p.102).</w:t>
      </w:r>
    </w:p>
  </w:footnote>
  <w:footnote w:id="7">
    <w:p w14:paraId="20CA12B0" w14:textId="45641EF3" w:rsidR="0022182F" w:rsidRPr="00797864" w:rsidRDefault="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El Acuerdo Final de Paz prevé más de 100 medidas específicas de género sin embargo en el PMI se establecieron únicamente 51 indicadores.</w:t>
      </w:r>
    </w:p>
  </w:footnote>
  <w:footnote w:id="8">
    <w:p w14:paraId="77A5F72E" w14:textId="77777777" w:rsidR="001B595B" w:rsidRPr="00797864" w:rsidRDefault="00795796"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Secretaría Técnica del Componente Internacional de Verificación CINEP/PPP-CERAC (2022). Undécimo informe de verificación de la implementación del Acuerdo Final de Paz en Colombia. Disponible en: </w:t>
      </w:r>
    </w:p>
    <w:p w14:paraId="7F99E13B" w14:textId="57872BBE" w:rsidR="00795796" w:rsidRPr="00797864" w:rsidRDefault="00795796" w:rsidP="0022182F">
      <w:pPr>
        <w:pStyle w:val="FootnoteText"/>
        <w:rPr>
          <w:color w:val="404040" w:themeColor="text1" w:themeTint="BF"/>
          <w:lang w:val="es-ES"/>
        </w:rPr>
      </w:pPr>
      <w:r w:rsidRPr="00797864">
        <w:rPr>
          <w:rStyle w:val="Hyperlink"/>
          <w:color w:val="404040" w:themeColor="text1" w:themeTint="BF"/>
          <w:u w:val="none"/>
        </w:rPr>
        <w:t>https://www.cinep.org.co/es/undecimo-informe-de-verificacion-de-la-implementacion-del-acuerdo-final-de-paz-en-colombia/</w:t>
      </w:r>
    </w:p>
  </w:footnote>
  <w:footnote w:id="9">
    <w:p w14:paraId="2C1F29CF" w14:textId="4CFC2612" w:rsidR="00795796" w:rsidRPr="00797864" w:rsidRDefault="00795796" w:rsidP="00A36DFB">
      <w:pPr>
        <w:pStyle w:val="FootnoteText"/>
        <w:jc w:val="both"/>
        <w:rPr>
          <w:rFonts w:ascii="Open Sans" w:hAnsi="Open Sans" w:cs="Open Sans"/>
          <w:bCs/>
          <w:color w:val="404040" w:themeColor="text1" w:themeTint="BF"/>
          <w:sz w:val="16"/>
        </w:rPr>
      </w:pPr>
      <w:r w:rsidRPr="00797864">
        <w:rPr>
          <w:rStyle w:val="FootnoteReference"/>
          <w:color w:val="404040" w:themeColor="text1" w:themeTint="BF"/>
        </w:rPr>
        <w:footnoteRef/>
      </w:r>
      <w:r w:rsidRPr="00797864">
        <w:rPr>
          <w:rStyle w:val="FootnoteReference"/>
          <w:color w:val="404040" w:themeColor="text1" w:themeTint="BF"/>
        </w:rPr>
        <w:t xml:space="preserve"> </w:t>
      </w:r>
      <w:r w:rsidRPr="00797864">
        <w:rPr>
          <w:color w:val="404040" w:themeColor="text1" w:themeTint="BF"/>
        </w:rPr>
        <w:t xml:space="preserve">120.147 </w:t>
      </w:r>
      <w:r w:rsidR="00255B18" w:rsidRPr="00797864">
        <w:rPr>
          <w:color w:val="404040" w:themeColor="text1" w:themeTint="BF"/>
        </w:rPr>
        <w:t>(</w:t>
      </w:r>
      <w:r w:rsidRPr="00797864">
        <w:rPr>
          <w:color w:val="404040" w:themeColor="text1" w:themeTint="BF"/>
        </w:rPr>
        <w:t>España</w:t>
      </w:r>
      <w:r w:rsidR="00255B18" w:rsidRPr="00797864">
        <w:rPr>
          <w:color w:val="404040" w:themeColor="text1" w:themeTint="BF"/>
        </w:rPr>
        <w:t>)</w:t>
      </w:r>
      <w:r w:rsidRPr="00797864">
        <w:rPr>
          <w:color w:val="404040" w:themeColor="text1" w:themeTint="BF"/>
        </w:rPr>
        <w:t>; 120.83</w:t>
      </w:r>
      <w:r w:rsidR="00255B18" w:rsidRPr="00797864">
        <w:rPr>
          <w:color w:val="404040" w:themeColor="text1" w:themeTint="BF"/>
        </w:rPr>
        <w:t xml:space="preserve"> (Afganistán) </w:t>
      </w:r>
      <w:r w:rsidRPr="00797864">
        <w:rPr>
          <w:color w:val="404040" w:themeColor="text1" w:themeTint="BF"/>
        </w:rPr>
        <w:t xml:space="preserve">y 120.13 </w:t>
      </w:r>
      <w:r w:rsidR="00255B18" w:rsidRPr="00797864">
        <w:rPr>
          <w:color w:val="404040" w:themeColor="text1" w:themeTint="BF"/>
        </w:rPr>
        <w:t>(</w:t>
      </w:r>
      <w:r w:rsidRPr="00797864">
        <w:rPr>
          <w:color w:val="404040" w:themeColor="text1" w:themeTint="BF"/>
        </w:rPr>
        <w:t>Canadá</w:t>
      </w:r>
      <w:r w:rsidR="00255B18" w:rsidRPr="00797864">
        <w:rPr>
          <w:color w:val="404040" w:themeColor="text1" w:themeTint="BF"/>
        </w:rPr>
        <w:t>)</w:t>
      </w:r>
      <w:r w:rsidRPr="00797864">
        <w:rPr>
          <w:color w:val="404040" w:themeColor="text1" w:themeTint="BF"/>
        </w:rPr>
        <w:t>.</w:t>
      </w:r>
    </w:p>
  </w:footnote>
  <w:footnote w:id="10">
    <w:p w14:paraId="4BAA949F" w14:textId="77777777" w:rsidR="00795796" w:rsidRPr="00797864" w:rsidRDefault="00795796"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Controlaría General de la República (2021). Informe sobre la transversalización del enfoque de género en el Acuerdo Final de Paz desde la perspectiva presupuestal. Disponible en: </w:t>
      </w:r>
    </w:p>
    <w:p w14:paraId="0CF73001" w14:textId="39AA0C67" w:rsidR="00795796" w:rsidRPr="00797864" w:rsidRDefault="00795796" w:rsidP="0022182F">
      <w:pPr>
        <w:pStyle w:val="FootnoteText"/>
        <w:rPr>
          <w:color w:val="404040" w:themeColor="text1" w:themeTint="BF"/>
          <w:lang w:val="es-ES"/>
        </w:rPr>
      </w:pPr>
      <w:r w:rsidRPr="00797864">
        <w:rPr>
          <w:rStyle w:val="Hyperlink"/>
          <w:color w:val="404040" w:themeColor="text1" w:themeTint="BF"/>
          <w:u w:val="none"/>
        </w:rPr>
        <w:t>https://res.cloudinary.com/hi1erte0h/image/upload/v1639593717/webapp/r5ikvj4ch3uzicrffp7q.pdf</w:t>
      </w:r>
    </w:p>
  </w:footnote>
  <w:footnote w:id="11">
    <w:p w14:paraId="3804761F" w14:textId="521EF668" w:rsidR="00795796" w:rsidRPr="00797864" w:rsidRDefault="00795796" w:rsidP="0022182F">
      <w:pPr>
        <w:pStyle w:val="FootnoteText"/>
        <w:rPr>
          <w:color w:val="404040" w:themeColor="text1" w:themeTint="BF"/>
          <w:lang w:val="es-ES"/>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En el capítulo étnico se adopta como transversal el enfoque de Mujer, Familia y Generación como una Salvaguarda del Capítulo y medida de protección a los pueblos indígenas. El mismo es monitoreado por la Coordinación Étnica Nacional de Paz – CENPAZ</w:t>
      </w:r>
    </w:p>
  </w:footnote>
  <w:footnote w:id="12">
    <w:p w14:paraId="1CA8ACB9" w14:textId="5B3DFAA4" w:rsidR="00795796" w:rsidRPr="00797864" w:rsidRDefault="00795796" w:rsidP="0022182F">
      <w:pPr>
        <w:pStyle w:val="FootnoteText"/>
        <w:rPr>
          <w:color w:val="404040" w:themeColor="text1" w:themeTint="BF"/>
          <w:lang w:val="es-ES"/>
        </w:rPr>
      </w:pPr>
      <w:r w:rsidRPr="00797864">
        <w:rPr>
          <w:rStyle w:val="FootnoteReference"/>
          <w:color w:val="404040" w:themeColor="text1" w:themeTint="BF"/>
        </w:rPr>
        <w:footnoteRef/>
      </w:r>
      <w:r w:rsidRPr="00797864">
        <w:rPr>
          <w:color w:val="404040" w:themeColor="text1" w:themeTint="BF"/>
        </w:rPr>
        <w:t xml:space="preserve"> </w:t>
      </w:r>
      <w:r w:rsidRPr="00797864">
        <w:rPr>
          <w:bCs/>
          <w:color w:val="404040" w:themeColor="text1" w:themeTint="BF"/>
        </w:rPr>
        <w:t xml:space="preserve">Procuraduría General de la </w:t>
      </w:r>
      <w:r w:rsidRPr="00797864">
        <w:rPr>
          <w:color w:val="404040" w:themeColor="text1" w:themeTint="BF"/>
        </w:rPr>
        <w:t>República</w:t>
      </w:r>
      <w:r w:rsidRPr="00797864">
        <w:rPr>
          <w:bCs/>
          <w:color w:val="404040" w:themeColor="text1" w:themeTint="BF"/>
        </w:rPr>
        <w:t xml:space="preserve">: Disponible en: </w:t>
      </w:r>
      <w:r w:rsidRPr="00797864">
        <w:rPr>
          <w:rStyle w:val="Hyperlink"/>
          <w:rFonts w:ascii="Open Sans" w:hAnsi="Open Sans" w:cs="Open Sans"/>
          <w:color w:val="404040" w:themeColor="text1" w:themeTint="BF"/>
          <w:sz w:val="16"/>
          <w:szCs w:val="16"/>
          <w:shd w:val="clear" w:color="auto" w:fill="FFFFFF"/>
        </w:rPr>
        <w:t>https://www.procuraduria.gov.co/portal/media/file/Tercer%20informe%20Acuerdo%20de%20 Paz%202021%20.pdf.</w:t>
      </w:r>
    </w:p>
  </w:footnote>
  <w:footnote w:id="13">
    <w:p w14:paraId="661DF903" w14:textId="08D05EB0" w:rsidR="00795796" w:rsidRPr="00797864" w:rsidRDefault="00795796" w:rsidP="0022182F">
      <w:pPr>
        <w:pStyle w:val="FootnoteText"/>
        <w:rPr>
          <w:color w:val="404040" w:themeColor="text1" w:themeTint="BF"/>
          <w:lang w:val="es-ES"/>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Se reportan 115 pueblos indígenas que perviven en Colombia, representan el 4,4% de la población total del país, de la cual se presume más de 50% son mujeres y niñas.</w:t>
      </w:r>
    </w:p>
  </w:footnote>
  <w:footnote w:id="14">
    <w:p w14:paraId="6183D91D" w14:textId="77777777" w:rsidR="001B595B" w:rsidRPr="00797864" w:rsidRDefault="00255B18"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Situación de los derechos humanos en Colombia (A/HRC/49/19): </w:t>
      </w:r>
    </w:p>
    <w:p w14:paraId="55E1333F" w14:textId="42160327" w:rsidR="00255B18" w:rsidRPr="00797864" w:rsidRDefault="00255B18" w:rsidP="00A84696">
      <w:pPr>
        <w:pStyle w:val="FootnoteText"/>
        <w:jc w:val="both"/>
        <w:rPr>
          <w:color w:val="404040" w:themeColor="text1" w:themeTint="BF"/>
          <w:highlight w:val="yellow"/>
        </w:rPr>
      </w:pPr>
      <w:r w:rsidRPr="00797864">
        <w:rPr>
          <w:rStyle w:val="Hyperlink"/>
          <w:rFonts w:ascii="Open Sans" w:hAnsi="Open Sans" w:cs="Open Sans"/>
          <w:color w:val="404040" w:themeColor="text1" w:themeTint="BF"/>
          <w:sz w:val="16"/>
          <w:szCs w:val="16"/>
          <w:shd w:val="clear" w:color="auto" w:fill="FFFFFF"/>
        </w:rPr>
        <w:t>https://www.ohchr.org/sites/default/files/2022-03/A_HRC_49_19_AdvanceUneditedVersion_SP.pdf</w:t>
      </w:r>
    </w:p>
  </w:footnote>
  <w:footnote w:id="15">
    <w:p w14:paraId="01B7B5AE" w14:textId="0D96A0D5" w:rsidR="00795796" w:rsidRPr="00797864" w:rsidRDefault="00795796" w:rsidP="0022182F">
      <w:pPr>
        <w:pStyle w:val="FootnoteText"/>
        <w:rPr>
          <w:bCs/>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shd w:val="clear" w:color="auto" w:fill="FFFFFF"/>
        </w:rPr>
        <w:t xml:space="preserve">Las Mujeres Pariremos la Paz. Balance de seguimiento a la implementación del enfoque transversal de género, mujer, familia y generación del acuerdo final de paz de la habana desde la </w:t>
      </w:r>
      <w:r w:rsidR="005E26D1" w:rsidRPr="00797864">
        <w:rPr>
          <w:color w:val="404040" w:themeColor="text1" w:themeTint="BF"/>
          <w:shd w:val="clear" w:color="auto" w:fill="FFFFFF"/>
        </w:rPr>
        <w:t>C</w:t>
      </w:r>
      <w:r w:rsidRPr="00797864">
        <w:rPr>
          <w:color w:val="404040" w:themeColor="text1" w:themeTint="BF"/>
          <w:shd w:val="clear" w:color="auto" w:fill="FFFFFF"/>
        </w:rPr>
        <w:t xml:space="preserve">oordinación </w:t>
      </w:r>
      <w:r w:rsidR="005E26D1" w:rsidRPr="00797864">
        <w:rPr>
          <w:color w:val="404040" w:themeColor="text1" w:themeTint="BF"/>
          <w:shd w:val="clear" w:color="auto" w:fill="FFFFFF"/>
        </w:rPr>
        <w:t>É</w:t>
      </w:r>
      <w:r w:rsidRPr="00797864">
        <w:rPr>
          <w:color w:val="404040" w:themeColor="text1" w:themeTint="BF"/>
          <w:shd w:val="clear" w:color="auto" w:fill="FFFFFF"/>
        </w:rPr>
        <w:t xml:space="preserve">tnica </w:t>
      </w:r>
      <w:r w:rsidR="005E26D1" w:rsidRPr="00797864">
        <w:rPr>
          <w:color w:val="404040" w:themeColor="text1" w:themeTint="BF"/>
          <w:shd w:val="clear" w:color="auto" w:fill="FFFFFF"/>
        </w:rPr>
        <w:t>N</w:t>
      </w:r>
      <w:r w:rsidRPr="00797864">
        <w:rPr>
          <w:color w:val="404040" w:themeColor="text1" w:themeTint="BF"/>
          <w:shd w:val="clear" w:color="auto" w:fill="FFFFFF"/>
        </w:rPr>
        <w:t xml:space="preserve">acional de </w:t>
      </w:r>
      <w:r w:rsidR="005E26D1" w:rsidRPr="00797864">
        <w:rPr>
          <w:color w:val="404040" w:themeColor="text1" w:themeTint="BF"/>
          <w:shd w:val="clear" w:color="auto" w:fill="FFFFFF"/>
        </w:rPr>
        <w:t>P</w:t>
      </w:r>
      <w:r w:rsidRPr="00797864">
        <w:rPr>
          <w:color w:val="404040" w:themeColor="text1" w:themeTint="BF"/>
          <w:shd w:val="clear" w:color="auto" w:fill="FFFFFF"/>
        </w:rPr>
        <w:t xml:space="preserve">az -CENPAZ- diciembre 2020. </w:t>
      </w:r>
      <w:r w:rsidR="005E26D1" w:rsidRPr="00797864">
        <w:rPr>
          <w:color w:val="404040" w:themeColor="text1" w:themeTint="BF"/>
          <w:shd w:val="clear" w:color="auto" w:fill="FFFFFF"/>
        </w:rPr>
        <w:t xml:space="preserve">Disponible en: </w:t>
      </w:r>
      <w:hyperlink r:id="rId5" w:history="1">
        <w:r w:rsidR="005E26D1" w:rsidRPr="00797864">
          <w:rPr>
            <w:rStyle w:val="Hyperlink"/>
            <w:rFonts w:ascii="Open Sans" w:hAnsi="Open Sans" w:cs="Open Sans"/>
            <w:color w:val="404040" w:themeColor="text1" w:themeTint="BF"/>
            <w:sz w:val="16"/>
            <w:szCs w:val="16"/>
            <w:shd w:val="clear" w:color="auto" w:fill="FFFFFF"/>
          </w:rPr>
          <w:t>https://www.cenpaz.com/2021/04/las-mujeres-pariremos-la-paz-balance-de.html</w:t>
        </w:r>
      </w:hyperlink>
    </w:p>
  </w:footnote>
  <w:footnote w:id="16">
    <w:p w14:paraId="4293A265" w14:textId="2E58A0B7" w:rsidR="00795796" w:rsidRPr="00797864" w:rsidRDefault="00795796" w:rsidP="0022182F">
      <w:pPr>
        <w:pStyle w:val="FootnoteText"/>
        <w:rPr>
          <w:color w:val="404040" w:themeColor="text1" w:themeTint="BF"/>
          <w:sz w:val="18"/>
          <w:szCs w:val="18"/>
          <w:lang w:val="es-ES"/>
        </w:rPr>
      </w:pPr>
      <w:r w:rsidRPr="00797864">
        <w:rPr>
          <w:rStyle w:val="FootnoteReference"/>
          <w:rFonts w:ascii="Open Sans" w:hAnsi="Open Sans" w:cs="Open Sans"/>
          <w:color w:val="404040" w:themeColor="text1" w:themeTint="BF"/>
          <w:sz w:val="18"/>
          <w:szCs w:val="18"/>
        </w:rPr>
        <w:footnoteRef/>
      </w:r>
      <w:r w:rsidRPr="00797864">
        <w:rPr>
          <w:color w:val="404040" w:themeColor="text1" w:themeTint="BF"/>
          <w:sz w:val="18"/>
          <w:szCs w:val="18"/>
        </w:rPr>
        <w:t xml:space="preserve"> </w:t>
      </w:r>
      <w:r w:rsidRPr="00797864">
        <w:rPr>
          <w:color w:val="404040" w:themeColor="text1" w:themeTint="BF"/>
        </w:rPr>
        <w:t>Arauca, Cauca, Chocó, Córdoba, Huila, Nariño, Norte de Santander, Putumayo y Valle del Cauca. (ACNUDH, 2023)</w:t>
      </w:r>
      <w:r w:rsidR="0022182F" w:rsidRPr="00797864">
        <w:rPr>
          <w:color w:val="404040" w:themeColor="text1" w:themeTint="BF"/>
        </w:rPr>
        <w:t>.</w:t>
      </w:r>
    </w:p>
  </w:footnote>
  <w:footnote w:id="17">
    <w:p w14:paraId="7F5F8A98" w14:textId="2FA7FC04" w:rsidR="00F01729" w:rsidRPr="00797864" w:rsidRDefault="00F01729" w:rsidP="00F01729">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Recomendación del segundo ciclo del EPU: 116.106 Introducir medidas más contundentes para proteger a los pueblos indígenas y los afrocolombianos de los ataques de grupos armados y adoptar iniciativas para garantizar sus derechos (República de Corea); Recomendación del primer ciclo del EPU  87.59 Intensificar los esfuerzos por proteger a los pueblos indígenas del país y establecer un sistema eficaz de consultas con dichos pueblos (Dinamarca). </w:t>
      </w:r>
    </w:p>
  </w:footnote>
  <w:footnote w:id="18">
    <w:p w14:paraId="34C9DF5F" w14:textId="77777777" w:rsidR="00795796" w:rsidRPr="00797864" w:rsidRDefault="00795796" w:rsidP="0022182F">
      <w:pPr>
        <w:pStyle w:val="FootnoteText"/>
        <w:rPr>
          <w:color w:val="404040" w:themeColor="text1" w:themeTint="BF"/>
          <w:sz w:val="18"/>
          <w:szCs w:val="18"/>
        </w:rPr>
      </w:pPr>
      <w:r w:rsidRPr="00797864">
        <w:rPr>
          <w:rStyle w:val="FootnoteReference"/>
          <w:rFonts w:ascii="Open Sans" w:hAnsi="Open Sans" w:cs="Open Sans"/>
          <w:color w:val="404040" w:themeColor="text1" w:themeTint="BF"/>
          <w:sz w:val="18"/>
          <w:szCs w:val="18"/>
        </w:rPr>
        <w:footnoteRef/>
      </w:r>
      <w:r w:rsidRPr="00797864">
        <w:rPr>
          <w:color w:val="404040" w:themeColor="text1" w:themeTint="BF"/>
          <w:sz w:val="18"/>
          <w:szCs w:val="18"/>
        </w:rPr>
        <w:t xml:space="preserve"> </w:t>
      </w:r>
      <w:r w:rsidRPr="00797864">
        <w:rPr>
          <w:color w:val="404040" w:themeColor="text1" w:themeTint="BF"/>
        </w:rPr>
        <w:t xml:space="preserve">En total se posicionaron 86 mujeres (29,15%) en el congreso, lo cual representa un incremento de 9,44%, comparado con el anterior periodo electoral en el 2018 donde habían sido electas 55 congresistas que representaban el 19,71%. Así mismo, 132 mujeres fueron electas en 2019 como alcaldesas, lo que corresponde al 12,0% de las 1.099 alcaldías del país. Mujeres, Paz y Seguridad. Miradas desde el feminismo. </w:t>
      </w:r>
      <w:proofErr w:type="spellStart"/>
      <w:r w:rsidRPr="00797864">
        <w:rPr>
          <w:color w:val="404040" w:themeColor="text1" w:themeTint="BF"/>
        </w:rPr>
        <w:t>Limpal</w:t>
      </w:r>
      <w:proofErr w:type="spellEnd"/>
      <w:r w:rsidRPr="00797864">
        <w:rPr>
          <w:color w:val="404040" w:themeColor="text1" w:themeTint="BF"/>
        </w:rPr>
        <w:t xml:space="preserve"> Colombia, octubre 2022</w:t>
      </w:r>
    </w:p>
  </w:footnote>
  <w:footnote w:id="19">
    <w:p w14:paraId="093CDD38" w14:textId="77777777" w:rsidR="001B595B" w:rsidRPr="00797864" w:rsidRDefault="00795796"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Misión de Observación Electoral (2022). Informe: Manifestaciones de violencia política contra liderazgo y candidaturas de mujeres en un año de campañas electorales</w:t>
      </w:r>
      <w:r w:rsidR="00193979" w:rsidRPr="00797864">
        <w:rPr>
          <w:color w:val="404040" w:themeColor="text1" w:themeTint="BF"/>
        </w:rPr>
        <w:t>, página 7</w:t>
      </w:r>
      <w:r w:rsidRPr="00797864">
        <w:rPr>
          <w:color w:val="404040" w:themeColor="text1" w:themeTint="BF"/>
        </w:rPr>
        <w:t>.</w:t>
      </w:r>
      <w:r w:rsidR="00E55CA4" w:rsidRPr="00797864">
        <w:rPr>
          <w:color w:val="404040" w:themeColor="text1" w:themeTint="BF"/>
        </w:rPr>
        <w:t xml:space="preserve"> Disponible en: </w:t>
      </w:r>
    </w:p>
    <w:p w14:paraId="7709734D" w14:textId="7DE1F37F" w:rsidR="00795796" w:rsidRPr="00797864" w:rsidRDefault="00000000" w:rsidP="0022182F">
      <w:pPr>
        <w:pStyle w:val="FootnoteText"/>
        <w:rPr>
          <w:color w:val="404040" w:themeColor="text1" w:themeTint="BF"/>
          <w:lang w:val="es-ES"/>
        </w:rPr>
      </w:pPr>
      <w:hyperlink r:id="rId6" w:history="1">
        <w:r w:rsidR="0022182F" w:rsidRPr="00797864">
          <w:rPr>
            <w:rStyle w:val="Hyperlink"/>
            <w:color w:val="404040" w:themeColor="text1" w:themeTint="BF"/>
          </w:rPr>
          <w:t>https://www.moe.org.co/informe-moe-manifestaciones-de-violencia-politica-contra-liderazgos-y-candidaturas-de-mujeres-en-un-ano-de-campanas-electorales/</w:t>
        </w:r>
      </w:hyperlink>
      <w:r w:rsidR="0022182F" w:rsidRPr="00797864">
        <w:rPr>
          <w:rStyle w:val="Hyperlink"/>
          <w:color w:val="404040" w:themeColor="text1" w:themeTint="BF"/>
          <w:u w:val="none"/>
        </w:rPr>
        <w:t xml:space="preserve"> .</w:t>
      </w:r>
    </w:p>
  </w:footnote>
  <w:footnote w:id="20">
    <w:p w14:paraId="26CD62FB" w14:textId="77777777" w:rsidR="001B595B" w:rsidRPr="00797864" w:rsidRDefault="00E55CA4"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Misión de Observación Electoral (2022). Informe: Manifestaciones de violencia política contra liderazgo y candidaturas de mujeres en un año de campañas electorales</w:t>
      </w:r>
      <w:r w:rsidR="00DC6DDE" w:rsidRPr="00797864">
        <w:rPr>
          <w:color w:val="404040" w:themeColor="text1" w:themeTint="BF"/>
        </w:rPr>
        <w:t>, página 8</w:t>
      </w:r>
      <w:r w:rsidRPr="00797864">
        <w:rPr>
          <w:color w:val="404040" w:themeColor="text1" w:themeTint="BF"/>
        </w:rPr>
        <w:t>. Disponible en:</w:t>
      </w:r>
    </w:p>
    <w:p w14:paraId="3DE6CFAE" w14:textId="305AF1DB" w:rsidR="00E55CA4" w:rsidRPr="00797864" w:rsidRDefault="00E55CA4" w:rsidP="0022182F">
      <w:pPr>
        <w:pStyle w:val="FootnoteText"/>
        <w:rPr>
          <w:color w:val="404040" w:themeColor="text1" w:themeTint="BF"/>
        </w:rPr>
      </w:pPr>
      <w:r w:rsidRPr="00797864">
        <w:rPr>
          <w:rStyle w:val="Hyperlink"/>
          <w:color w:val="404040" w:themeColor="text1" w:themeTint="BF"/>
          <w:u w:val="none"/>
        </w:rPr>
        <w:t>https://www.moe.org.co/informe-moe-manifestaciones-de-violencia-politica-contra-liderazgos-y-candidaturas-de-mujeres-en-un-ano-de-campanas-electorales/</w:t>
      </w:r>
    </w:p>
  </w:footnote>
  <w:footnote w:id="21">
    <w:p w14:paraId="27F44612" w14:textId="77777777" w:rsidR="001B595B" w:rsidRPr="00797864" w:rsidRDefault="00F41A09"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Misión de Observación Electoral (2022). Informe: Manifestaciones de violencia política contra liderazgo y candidaturas de mujeres en un año de campañas electorales. Disponible en: </w:t>
      </w:r>
    </w:p>
    <w:p w14:paraId="619A10CF" w14:textId="2BFD1AA7" w:rsidR="00F41A09" w:rsidRPr="00797864" w:rsidRDefault="00F41A09" w:rsidP="0022182F">
      <w:pPr>
        <w:pStyle w:val="FootnoteText"/>
        <w:rPr>
          <w:color w:val="404040" w:themeColor="text1" w:themeTint="BF"/>
          <w:lang w:val="es-ES"/>
        </w:rPr>
      </w:pPr>
      <w:r w:rsidRPr="00797864">
        <w:rPr>
          <w:rStyle w:val="Hyperlink"/>
          <w:color w:val="404040" w:themeColor="text1" w:themeTint="BF"/>
          <w:u w:val="none"/>
        </w:rPr>
        <w:t>https://www.moe.org.co/informe-moe-manifestaciones-de-violencia-politica-contra-liderazgos-y-candidaturas-de-mujeres-en-un-ano-de-campanas-electorales/</w:t>
      </w:r>
    </w:p>
  </w:footnote>
  <w:footnote w:id="22">
    <w:p w14:paraId="1F89166C" w14:textId="2317823E" w:rsidR="00795796" w:rsidRPr="00797864" w:rsidRDefault="00795796" w:rsidP="00A84696">
      <w:pPr>
        <w:pStyle w:val="FootnoteText"/>
        <w:jc w:val="both"/>
        <w:rPr>
          <w:color w:val="404040" w:themeColor="text1" w:themeTint="BF"/>
          <w:sz w:val="18"/>
          <w:lang w:val="es-ES"/>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Mujeres, Paz y Seguridad. Miradas desde el feminismo. </w:t>
      </w:r>
      <w:proofErr w:type="spellStart"/>
      <w:r w:rsidRPr="00797864">
        <w:rPr>
          <w:color w:val="404040" w:themeColor="text1" w:themeTint="BF"/>
        </w:rPr>
        <w:t>Limpal</w:t>
      </w:r>
      <w:proofErr w:type="spellEnd"/>
      <w:r w:rsidRPr="00797864">
        <w:rPr>
          <w:color w:val="404040" w:themeColor="text1" w:themeTint="BF"/>
        </w:rPr>
        <w:t xml:space="preserve"> Colombia</w:t>
      </w:r>
      <w:r w:rsidR="0057764B" w:rsidRPr="00797864">
        <w:rPr>
          <w:color w:val="404040" w:themeColor="text1" w:themeTint="BF"/>
        </w:rPr>
        <w:t xml:space="preserve"> (</w:t>
      </w:r>
      <w:r w:rsidRPr="00797864">
        <w:rPr>
          <w:color w:val="404040" w:themeColor="text1" w:themeTint="BF"/>
        </w:rPr>
        <w:t>octubre 2022</w:t>
      </w:r>
      <w:r w:rsidR="0057764B" w:rsidRPr="00797864">
        <w:rPr>
          <w:color w:val="404040" w:themeColor="text1" w:themeTint="BF"/>
        </w:rPr>
        <w:t>)</w:t>
      </w:r>
      <w:r w:rsidR="00F41A09" w:rsidRPr="00797864">
        <w:rPr>
          <w:color w:val="404040" w:themeColor="text1" w:themeTint="BF"/>
        </w:rPr>
        <w:t>. Informe sin publicar</w:t>
      </w:r>
    </w:p>
  </w:footnote>
  <w:footnote w:id="23">
    <w:p w14:paraId="5A4C5207" w14:textId="77777777" w:rsidR="001B595B" w:rsidRPr="00797864" w:rsidRDefault="002E1BD9"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Misión de Observación Electoral (2022). Informe: Manifestaciones de violencia política contra liderazgo y candidaturas de mujeres en un año de campañas electorales. Página 12. Disponible en: </w:t>
      </w:r>
    </w:p>
    <w:p w14:paraId="0A16B326" w14:textId="5B8D6443" w:rsidR="002E1BD9" w:rsidRPr="00797864" w:rsidRDefault="002E1BD9" w:rsidP="0022182F">
      <w:pPr>
        <w:pStyle w:val="FootnoteText"/>
        <w:rPr>
          <w:color w:val="404040" w:themeColor="text1" w:themeTint="BF"/>
          <w:lang w:val="es-ES"/>
        </w:rPr>
      </w:pPr>
      <w:r w:rsidRPr="00797864">
        <w:rPr>
          <w:rStyle w:val="Hyperlink"/>
          <w:color w:val="404040" w:themeColor="text1" w:themeTint="BF"/>
          <w:u w:val="none"/>
        </w:rPr>
        <w:t>https://www.moe.org.co/informe-moe-manifestaciones-de-violencia-politica-contra-liderazgos-y-candidaturas-de-mujeres-en-un-ano-de-campanas-electorales/</w:t>
      </w:r>
    </w:p>
  </w:footnote>
  <w:footnote w:id="24">
    <w:p w14:paraId="3F8B21D1" w14:textId="62832A8E" w:rsidR="00795796" w:rsidRPr="00797864" w:rsidRDefault="00795796" w:rsidP="00232514">
      <w:pPr>
        <w:spacing w:after="0" w:line="276" w:lineRule="auto"/>
        <w:jc w:val="both"/>
        <w:rPr>
          <w:rFonts w:ascii="Open Sans" w:hAnsi="Open Sans" w:cs="Open Sans"/>
          <w:color w:val="404040" w:themeColor="text1" w:themeTint="BF"/>
          <w:sz w:val="18"/>
          <w:szCs w:val="18"/>
        </w:rPr>
      </w:pPr>
      <w:r w:rsidRPr="00797864">
        <w:rPr>
          <w:rStyle w:val="FootnoteReference"/>
          <w:rFonts w:ascii="Open Sans" w:hAnsi="Open Sans" w:cs="Open Sans"/>
          <w:color w:val="404040" w:themeColor="text1" w:themeTint="BF"/>
          <w:sz w:val="18"/>
          <w:szCs w:val="18"/>
        </w:rPr>
        <w:footnoteRef/>
      </w:r>
      <w:r w:rsidRPr="00797864">
        <w:rPr>
          <w:rFonts w:ascii="Open Sans" w:hAnsi="Open Sans" w:cs="Open Sans"/>
          <w:color w:val="404040" w:themeColor="text1" w:themeTint="BF"/>
          <w:sz w:val="18"/>
          <w:szCs w:val="18"/>
        </w:rPr>
        <w:t xml:space="preserve"> </w:t>
      </w:r>
      <w:r w:rsidR="00A84696" w:rsidRPr="00797864">
        <w:rPr>
          <w:rStyle w:val="FootnoteTextChar"/>
          <w:color w:val="404040" w:themeColor="text1" w:themeTint="BF"/>
        </w:rPr>
        <w:t>Departamento Administrativo Nacional de Estadísticas (DANE), Consejería Presidencial para la Equidad de la Mujer</w:t>
      </w:r>
      <w:r w:rsidR="00232514" w:rsidRPr="00797864">
        <w:rPr>
          <w:rStyle w:val="FootnoteTextChar"/>
          <w:color w:val="404040" w:themeColor="text1" w:themeTint="BF"/>
        </w:rPr>
        <w:t xml:space="preserve"> (CPEM)</w:t>
      </w:r>
      <w:r w:rsidR="00A84696" w:rsidRPr="00797864">
        <w:rPr>
          <w:rStyle w:val="FootnoteTextChar"/>
          <w:color w:val="404040" w:themeColor="text1" w:themeTint="BF"/>
        </w:rPr>
        <w:t>, ONU Mujeres</w:t>
      </w:r>
      <w:r w:rsidR="00232514" w:rsidRPr="00797864">
        <w:rPr>
          <w:rStyle w:val="FootnoteTextChar"/>
          <w:color w:val="404040" w:themeColor="text1" w:themeTint="BF"/>
        </w:rPr>
        <w:t xml:space="preserve"> (2020). Informe:</w:t>
      </w:r>
      <w:r w:rsidR="00A84696" w:rsidRPr="00797864">
        <w:rPr>
          <w:rStyle w:val="FootnoteTextChar"/>
          <w:color w:val="404040" w:themeColor="text1" w:themeTint="BF"/>
        </w:rPr>
        <w:t xml:space="preserve"> Mujeres y hombres: Brechas de género en Colombia, </w:t>
      </w:r>
      <w:r w:rsidRPr="00797864">
        <w:rPr>
          <w:rStyle w:val="FootnoteTextChar"/>
          <w:color w:val="404040" w:themeColor="text1" w:themeTint="BF"/>
        </w:rPr>
        <w:t>p</w:t>
      </w:r>
      <w:r w:rsidR="00A84696" w:rsidRPr="00797864">
        <w:rPr>
          <w:rStyle w:val="FootnoteTextChar"/>
          <w:color w:val="404040" w:themeColor="text1" w:themeTint="BF"/>
        </w:rPr>
        <w:t>ágina</w:t>
      </w:r>
      <w:r w:rsidRPr="00797864">
        <w:rPr>
          <w:rStyle w:val="FootnoteTextChar"/>
          <w:color w:val="404040" w:themeColor="text1" w:themeTint="BF"/>
        </w:rPr>
        <w:t xml:space="preserve"> 93.</w:t>
      </w:r>
      <w:r w:rsidR="00232514" w:rsidRPr="00797864">
        <w:rPr>
          <w:rStyle w:val="FootnoteTextChar"/>
          <w:color w:val="404040" w:themeColor="text1" w:themeTint="BF"/>
        </w:rPr>
        <w:t xml:space="preserve"> Disponible en: https://www.dane.gov.co/files/investigaciones/genero/publicaciones/mujeres-y-hombre-brechas-de-genero-colombia-informe.pdf</w:t>
      </w:r>
    </w:p>
  </w:footnote>
  <w:footnote w:id="25">
    <w:p w14:paraId="6FA9000F" w14:textId="3F6A1029" w:rsidR="00795796" w:rsidRPr="00797864" w:rsidRDefault="00795796" w:rsidP="0022182F">
      <w:pPr>
        <w:pStyle w:val="FootnoteText"/>
        <w:rPr>
          <w:color w:val="404040" w:themeColor="text1" w:themeTint="BF"/>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Observatorio Indepaz.</w:t>
      </w:r>
      <w:r w:rsidR="00175209" w:rsidRPr="00797864">
        <w:rPr>
          <w:color w:val="404040" w:themeColor="text1" w:themeTint="BF"/>
        </w:rPr>
        <w:t xml:space="preserve"> Base de datos</w:t>
      </w:r>
      <w:r w:rsidR="001A6DC8" w:rsidRPr="00797864">
        <w:rPr>
          <w:color w:val="404040" w:themeColor="text1" w:themeTint="BF"/>
        </w:rPr>
        <w:t xml:space="preserve"> de líderes sociales, defensores de DD.HH y firmantes de acuerdo asesinados en 2020, 2021 y 2022</w:t>
      </w:r>
      <w:r w:rsidR="00175209" w:rsidRPr="00797864">
        <w:rPr>
          <w:color w:val="404040" w:themeColor="text1" w:themeTint="BF"/>
        </w:rPr>
        <w:t>. Disponible en:</w:t>
      </w:r>
      <w:r w:rsidR="001A6DC8" w:rsidRPr="00797864">
        <w:rPr>
          <w:color w:val="404040" w:themeColor="text1" w:themeTint="BF"/>
        </w:rPr>
        <w:t xml:space="preserve"> </w:t>
      </w:r>
    </w:p>
    <w:p w14:paraId="57FF5C16" w14:textId="7A7C9D71" w:rsidR="0022182F" w:rsidRPr="00797864" w:rsidRDefault="001A6DC8" w:rsidP="0022182F">
      <w:pPr>
        <w:pStyle w:val="FootnoteText"/>
        <w:rPr>
          <w:rStyle w:val="Hyperlink"/>
          <w:color w:val="404040" w:themeColor="text1" w:themeTint="BF"/>
          <w:u w:val="none"/>
        </w:rPr>
      </w:pPr>
      <w:r w:rsidRPr="00797864">
        <w:rPr>
          <w:color w:val="404040" w:themeColor="text1" w:themeTint="BF"/>
        </w:rPr>
        <w:t xml:space="preserve">2020: </w:t>
      </w:r>
      <w:hyperlink r:id="rId7" w:history="1">
        <w:r w:rsidRPr="00797864">
          <w:rPr>
            <w:rStyle w:val="Hyperlink"/>
            <w:color w:val="404040" w:themeColor="text1" w:themeTint="BF"/>
            <w:u w:val="none"/>
          </w:rPr>
          <w:t>https://indepaz.org.co/lideres/</w:t>
        </w:r>
      </w:hyperlink>
    </w:p>
    <w:p w14:paraId="122FD7D9" w14:textId="34461E49" w:rsidR="001A6DC8" w:rsidRPr="00797864" w:rsidRDefault="001A6DC8" w:rsidP="0022182F">
      <w:pPr>
        <w:pStyle w:val="FootnoteText"/>
        <w:rPr>
          <w:rStyle w:val="Hyperlink"/>
          <w:color w:val="404040" w:themeColor="text1" w:themeTint="BF"/>
          <w:u w:val="none"/>
        </w:rPr>
      </w:pPr>
      <w:r w:rsidRPr="00797864">
        <w:rPr>
          <w:color w:val="404040" w:themeColor="text1" w:themeTint="BF"/>
        </w:rPr>
        <w:t xml:space="preserve">2021: </w:t>
      </w:r>
      <w:hyperlink r:id="rId8" w:history="1">
        <w:r w:rsidRPr="00797864">
          <w:rPr>
            <w:rStyle w:val="Hyperlink"/>
            <w:color w:val="404040" w:themeColor="text1" w:themeTint="BF"/>
            <w:u w:val="none"/>
          </w:rPr>
          <w:t>https://indepaz.org.co/lideres-sociales-y-defensores-de-derechos-humanos-asesinados-en-2021/</w:t>
        </w:r>
      </w:hyperlink>
      <w:r w:rsidR="0022182F" w:rsidRPr="00797864">
        <w:rPr>
          <w:rStyle w:val="Hyperlink"/>
          <w:color w:val="404040" w:themeColor="text1" w:themeTint="BF"/>
          <w:u w:val="none"/>
        </w:rPr>
        <w:t xml:space="preserve"> </w:t>
      </w:r>
    </w:p>
    <w:p w14:paraId="5C9D05FF" w14:textId="4FBD828C" w:rsidR="001A6DC8" w:rsidRPr="00797864" w:rsidRDefault="001A6DC8" w:rsidP="0022182F">
      <w:pPr>
        <w:pStyle w:val="FootnoteText"/>
        <w:rPr>
          <w:color w:val="404040" w:themeColor="text1" w:themeTint="BF"/>
          <w:sz w:val="18"/>
          <w:lang w:val="es-ES"/>
        </w:rPr>
      </w:pPr>
      <w:r w:rsidRPr="00797864">
        <w:rPr>
          <w:color w:val="404040" w:themeColor="text1" w:themeTint="BF"/>
        </w:rPr>
        <w:t xml:space="preserve">2022: </w:t>
      </w:r>
      <w:hyperlink r:id="rId9" w:history="1">
        <w:r w:rsidR="0022182F" w:rsidRPr="00797864">
          <w:rPr>
            <w:rStyle w:val="Hyperlink"/>
            <w:color w:val="404040" w:themeColor="text1" w:themeTint="BF"/>
          </w:rPr>
          <w:t>https://indepaz.org.co/lideres-sociales-defensores-de-dd-hh-y-firmantes-de-acuerdo-asesinados-en-2022/</w:t>
        </w:r>
      </w:hyperlink>
      <w:r w:rsidR="0022182F" w:rsidRPr="00797864">
        <w:rPr>
          <w:rStyle w:val="Hyperlink"/>
          <w:color w:val="404040" w:themeColor="text1" w:themeTint="BF"/>
          <w:u w:val="none"/>
        </w:rPr>
        <w:t xml:space="preserve">. </w:t>
      </w:r>
    </w:p>
  </w:footnote>
  <w:footnote w:id="26">
    <w:p w14:paraId="579D34C1" w14:textId="3B12BE4A" w:rsidR="00795796" w:rsidRPr="00797864" w:rsidRDefault="00795796" w:rsidP="001B595B">
      <w:pPr>
        <w:spacing w:line="240" w:lineRule="auto"/>
        <w:contextualSpacing/>
        <w:jc w:val="both"/>
        <w:rPr>
          <w:rStyle w:val="Hyperlink"/>
          <w:color w:val="404040" w:themeColor="text1" w:themeTint="BF"/>
          <w:szCs w:val="16"/>
          <w:shd w:val="clear" w:color="auto" w:fill="FFFFFF"/>
        </w:rPr>
      </w:pPr>
      <w:r w:rsidRPr="00797864">
        <w:rPr>
          <w:rFonts w:ascii="Open Sans" w:hAnsi="Open Sans" w:cs="Open Sans"/>
          <w:color w:val="404040" w:themeColor="text1" w:themeTint="BF"/>
          <w:sz w:val="18"/>
          <w:szCs w:val="18"/>
          <w:vertAlign w:val="superscript"/>
        </w:rPr>
        <w:footnoteRef/>
      </w:r>
      <w:r w:rsidRPr="00797864">
        <w:rPr>
          <w:rFonts w:ascii="Open Sans" w:hAnsi="Open Sans" w:cs="Open Sans"/>
          <w:color w:val="404040" w:themeColor="text1" w:themeTint="BF"/>
          <w:sz w:val="18"/>
          <w:szCs w:val="18"/>
        </w:rPr>
        <w:t xml:space="preserve"> </w:t>
      </w:r>
      <w:r w:rsidRPr="00797864">
        <w:rPr>
          <w:rStyle w:val="FootnoteTextChar"/>
          <w:color w:val="404040" w:themeColor="text1" w:themeTint="BF"/>
        </w:rPr>
        <w:t xml:space="preserve">Después de la firma del acuerdo de paz, en el periodo comprendido entre el 2016 y 2022, las amenazas han sido el segundo hecho </w:t>
      </w:r>
      <w:proofErr w:type="spellStart"/>
      <w:r w:rsidRPr="00797864">
        <w:rPr>
          <w:rStyle w:val="FootnoteTextChar"/>
          <w:color w:val="404040" w:themeColor="text1" w:themeTint="BF"/>
        </w:rPr>
        <w:t>victimizante</w:t>
      </w:r>
      <w:proofErr w:type="spellEnd"/>
      <w:r w:rsidRPr="00797864">
        <w:rPr>
          <w:rStyle w:val="FootnoteTextChar"/>
          <w:color w:val="404040" w:themeColor="text1" w:themeTint="BF"/>
        </w:rPr>
        <w:t xml:space="preserve"> más frecuente con una cifra de 198.256, de las cuales 100.234 son </w:t>
      </w:r>
      <w:r w:rsidR="00D35E94" w:rsidRPr="00797864">
        <w:rPr>
          <w:rStyle w:val="FootnoteTextChar"/>
          <w:color w:val="404040" w:themeColor="text1" w:themeTint="BF"/>
        </w:rPr>
        <w:t xml:space="preserve">a </w:t>
      </w:r>
      <w:r w:rsidRPr="00797864">
        <w:rPr>
          <w:rStyle w:val="FootnoteTextChar"/>
          <w:color w:val="404040" w:themeColor="text1" w:themeTint="BF"/>
        </w:rPr>
        <w:t>mujeres</w:t>
      </w:r>
      <w:r w:rsidR="008C080C" w:rsidRPr="00797864">
        <w:rPr>
          <w:rStyle w:val="FootnoteTextChar"/>
          <w:color w:val="404040" w:themeColor="text1" w:themeTint="BF"/>
        </w:rPr>
        <w:t>. Registro de la Unidad para la Atención y Reparación Integral a las Víctimas (UARIV). Acceso el día 9 de octubre de 2022. Disponible en: https://www.unidadvictimas.gov.co/es/registro-unico-de-victimas-ruv/37394</w:t>
      </w:r>
      <w:r w:rsidRPr="00797864">
        <w:rPr>
          <w:rStyle w:val="FootnoteTextChar"/>
          <w:color w:val="404040" w:themeColor="text1" w:themeTint="BF"/>
        </w:rPr>
        <w:t>.</w:t>
      </w:r>
    </w:p>
  </w:footnote>
  <w:footnote w:id="27">
    <w:p w14:paraId="670E5730" w14:textId="2EB25020" w:rsidR="00795796" w:rsidRPr="00797864" w:rsidRDefault="00795796" w:rsidP="001B595B">
      <w:pPr>
        <w:pStyle w:val="FootnoteText"/>
        <w:contextualSpacing/>
        <w:jc w:val="both"/>
        <w:rPr>
          <w:color w:val="404040" w:themeColor="text1" w:themeTint="BF"/>
          <w:lang w:val="es-ES"/>
        </w:rPr>
      </w:pPr>
      <w:r w:rsidRPr="00797864">
        <w:rPr>
          <w:rStyle w:val="FootnoteReference"/>
          <w:color w:val="404040" w:themeColor="text1" w:themeTint="BF"/>
        </w:rPr>
        <w:footnoteRef/>
      </w:r>
      <w:r w:rsidRPr="00797864">
        <w:rPr>
          <w:color w:val="404040" w:themeColor="text1" w:themeTint="BF"/>
        </w:rPr>
        <w:t xml:space="preserve"> </w:t>
      </w:r>
      <w:r w:rsidRPr="00797864">
        <w:rPr>
          <w:color w:val="404040" w:themeColor="text1" w:themeTint="BF"/>
        </w:rPr>
        <w:t xml:space="preserve">Mujeres, Paz y Seguridad. Miradas desde el feminismo. </w:t>
      </w:r>
      <w:proofErr w:type="spellStart"/>
      <w:r w:rsidRPr="00797864">
        <w:rPr>
          <w:color w:val="404040" w:themeColor="text1" w:themeTint="BF"/>
        </w:rPr>
        <w:t>Limpal</w:t>
      </w:r>
      <w:proofErr w:type="spellEnd"/>
      <w:r w:rsidRPr="00797864">
        <w:rPr>
          <w:color w:val="404040" w:themeColor="text1" w:themeTint="BF"/>
        </w:rPr>
        <w:t xml:space="preserve"> Colombia, octubre 2022</w:t>
      </w:r>
      <w:r w:rsidR="008F47A0" w:rsidRPr="00797864">
        <w:rPr>
          <w:color w:val="404040" w:themeColor="text1" w:themeTint="BF"/>
        </w:rPr>
        <w:t>. Informe sin publicar.</w:t>
      </w:r>
    </w:p>
  </w:footnote>
  <w:footnote w:id="28">
    <w:p w14:paraId="44FDA42F" w14:textId="365120BB" w:rsidR="00795796" w:rsidRPr="00797864" w:rsidRDefault="00795796" w:rsidP="0003364C">
      <w:pPr>
        <w:pStyle w:val="FootnoteText"/>
        <w:jc w:val="both"/>
        <w:rPr>
          <w:rFonts w:ascii="Open Sans" w:hAnsi="Open Sans" w:cs="Open Sans"/>
          <w:color w:val="404040" w:themeColor="text1" w:themeTint="BF"/>
          <w:sz w:val="16"/>
          <w:szCs w:val="18"/>
        </w:rPr>
      </w:pPr>
      <w:r w:rsidRPr="00797864">
        <w:rPr>
          <w:rStyle w:val="FootnoteReference"/>
          <w:rFonts w:ascii="Open Sans" w:hAnsi="Open Sans" w:cs="Open Sans"/>
          <w:color w:val="404040" w:themeColor="text1" w:themeTint="BF"/>
          <w:sz w:val="16"/>
          <w:szCs w:val="18"/>
        </w:rPr>
        <w:footnoteRef/>
      </w:r>
      <w:r w:rsidRPr="00797864">
        <w:rPr>
          <w:rFonts w:ascii="Open Sans" w:hAnsi="Open Sans" w:cs="Open Sans"/>
          <w:color w:val="404040" w:themeColor="text1" w:themeTint="BF"/>
          <w:sz w:val="16"/>
          <w:szCs w:val="18"/>
        </w:rPr>
        <w:t xml:space="preserve"> </w:t>
      </w:r>
      <w:r w:rsidRPr="00797864">
        <w:rPr>
          <w:color w:val="404040" w:themeColor="text1" w:themeTint="BF"/>
        </w:rPr>
        <w:t xml:space="preserve">Mujeres, Paz y Seguridad. Miradas desde el feminismo. </w:t>
      </w:r>
      <w:proofErr w:type="spellStart"/>
      <w:r w:rsidRPr="00797864">
        <w:rPr>
          <w:color w:val="404040" w:themeColor="text1" w:themeTint="BF"/>
        </w:rPr>
        <w:t>Limpal</w:t>
      </w:r>
      <w:proofErr w:type="spellEnd"/>
      <w:r w:rsidRPr="00797864">
        <w:rPr>
          <w:color w:val="404040" w:themeColor="text1" w:themeTint="BF"/>
        </w:rPr>
        <w:t xml:space="preserve"> Colombia, octubre 2022</w:t>
      </w:r>
      <w:r w:rsidR="008F47A0" w:rsidRPr="00797864">
        <w:rPr>
          <w:color w:val="404040" w:themeColor="text1" w:themeTint="BF"/>
        </w:rPr>
        <w:t>. Informe sin publicar.</w:t>
      </w:r>
    </w:p>
  </w:footnote>
  <w:footnote w:id="29">
    <w:p w14:paraId="5A68672E" w14:textId="77777777" w:rsidR="00795796" w:rsidRPr="00797864" w:rsidRDefault="00795796" w:rsidP="0022182F">
      <w:pPr>
        <w:pStyle w:val="FootnoteText"/>
        <w:rPr>
          <w:color w:val="404040" w:themeColor="text1" w:themeTint="BF"/>
        </w:rPr>
      </w:pPr>
      <w:r w:rsidRPr="00797864">
        <w:rPr>
          <w:rStyle w:val="FootnoteReference"/>
          <w:color w:val="404040" w:themeColor="text1" w:themeTint="BF"/>
          <w:sz w:val="18"/>
        </w:rPr>
        <w:footnoteRef/>
      </w:r>
      <w:r w:rsidRPr="00797864">
        <w:rPr>
          <w:color w:val="404040" w:themeColor="text1" w:themeTint="BF"/>
          <w:sz w:val="18"/>
        </w:rPr>
        <w:t xml:space="preserve"> </w:t>
      </w:r>
      <w:r w:rsidRPr="00797864">
        <w:rPr>
          <w:color w:val="404040" w:themeColor="text1" w:themeTint="BF"/>
        </w:rPr>
        <w:t xml:space="preserve">Controlaría General de la República (2022). Sexto informe sobre la ejecución de los recursos y cumplimiento de las metas del componente para la paz del Plan Plurianual de Inversiones. Disponible en: </w:t>
      </w:r>
    </w:p>
    <w:p w14:paraId="62A1D3D7" w14:textId="6C02B701" w:rsidR="00795796" w:rsidRPr="00797864" w:rsidRDefault="00000000" w:rsidP="0022182F">
      <w:pPr>
        <w:pStyle w:val="FootnoteText"/>
        <w:rPr>
          <w:rStyle w:val="Hyperlink"/>
          <w:rFonts w:ascii="Open Sans" w:hAnsi="Open Sans" w:cs="Open Sans"/>
          <w:color w:val="404040" w:themeColor="text1" w:themeTint="BF"/>
          <w:sz w:val="16"/>
          <w:szCs w:val="16"/>
          <w:shd w:val="clear" w:color="auto" w:fill="FFFFFF"/>
        </w:rPr>
      </w:pPr>
      <w:hyperlink r:id="rId10" w:history="1">
        <w:r w:rsidR="0022182F" w:rsidRPr="00797864">
          <w:rPr>
            <w:rStyle w:val="Hyperlink"/>
            <w:color w:val="404040" w:themeColor="text1" w:themeTint="BF"/>
          </w:rPr>
          <w:t>https://res.cloudinary.com/hi1erte0h/image/upload/v1639593717/webapp/r5ikvj4ch3uzicrffp7q.pdf</w:t>
        </w:r>
      </w:hyperlink>
      <w:r w:rsidR="0022182F" w:rsidRPr="00797864">
        <w:rPr>
          <w:rStyle w:val="Hyperlink"/>
          <w:color w:val="404040" w:themeColor="text1" w:themeTint="BF"/>
          <w:u w:val="none"/>
        </w:rPr>
        <w:t xml:space="preserve">. </w:t>
      </w:r>
    </w:p>
  </w:footnote>
  <w:footnote w:id="30">
    <w:p w14:paraId="6B9E65EE" w14:textId="1FF103FC" w:rsidR="00132178" w:rsidRPr="00797864" w:rsidRDefault="00132178" w:rsidP="00132178">
      <w:pPr>
        <w:pStyle w:val="FootnoteText"/>
        <w:jc w:val="both"/>
        <w:rPr>
          <w:color w:val="404040" w:themeColor="text1" w:themeTint="BF"/>
          <w:sz w:val="18"/>
          <w:lang w:val="es-ES"/>
        </w:rPr>
      </w:pPr>
      <w:r w:rsidRPr="00797864">
        <w:rPr>
          <w:rStyle w:val="FootnoteReference"/>
          <w:color w:val="404040" w:themeColor="text1" w:themeTint="BF"/>
          <w:sz w:val="18"/>
        </w:rPr>
        <w:footnoteRef/>
      </w:r>
      <w:r w:rsidRPr="00797864">
        <w:rPr>
          <w:color w:val="404040" w:themeColor="text1" w:themeTint="BF"/>
          <w:sz w:val="18"/>
        </w:rPr>
        <w:t xml:space="preserve"> </w:t>
      </w:r>
      <w:r w:rsidRPr="00797864">
        <w:rPr>
          <w:color w:val="404040" w:themeColor="text1" w:themeTint="BF"/>
        </w:rPr>
        <w:t>El Estado de Cosas Institucional es una decisión judicial, por medio de la cual la Corte Constitucional declara que se ha configurado una violación masiva, generalizada y estructural de los derechos fundamentales, en este caso garantías de seguridad.</w:t>
      </w:r>
      <w:r w:rsidRPr="00797864">
        <w:rPr>
          <w:rFonts w:ascii="Open Sans" w:hAnsi="Open Sans" w:cs="Open Sans"/>
          <w:color w:val="404040" w:themeColor="text1" w:themeTint="BF"/>
          <w:sz w:val="18"/>
          <w:lang w:val="es-ES"/>
        </w:rPr>
        <w:t xml:space="preserve"> </w:t>
      </w:r>
    </w:p>
  </w:footnote>
  <w:footnote w:id="31">
    <w:p w14:paraId="688F0740" w14:textId="7AB7B97B" w:rsidR="00795796" w:rsidRPr="00797864" w:rsidRDefault="00795796" w:rsidP="0022182F">
      <w:pPr>
        <w:pStyle w:val="FootnoteText"/>
        <w:rPr>
          <w:rStyle w:val="Hyperlink"/>
          <w:rFonts w:ascii="Open Sans" w:hAnsi="Open Sans" w:cs="Open Sans"/>
          <w:color w:val="404040" w:themeColor="text1" w:themeTint="BF"/>
          <w:szCs w:val="16"/>
          <w:shd w:val="clear" w:color="auto" w:fill="FFFFFF"/>
        </w:rPr>
      </w:pPr>
      <w:r w:rsidRPr="00797864">
        <w:rPr>
          <w:rStyle w:val="FootnoteReference"/>
          <w:color w:val="404040" w:themeColor="text1" w:themeTint="BF"/>
          <w:sz w:val="18"/>
        </w:rPr>
        <w:footnoteRef/>
      </w:r>
      <w:r w:rsidRPr="00797864">
        <w:rPr>
          <w:color w:val="404040" w:themeColor="text1" w:themeTint="BF"/>
          <w:sz w:val="18"/>
        </w:rPr>
        <w:t xml:space="preserve"> </w:t>
      </w:r>
      <w:r w:rsidRPr="00797864">
        <w:rPr>
          <w:color w:val="404040" w:themeColor="text1" w:themeTint="BF"/>
        </w:rPr>
        <w:t xml:space="preserve">Misión de verificación de las </w:t>
      </w:r>
      <w:r w:rsidR="00197973" w:rsidRPr="00797864">
        <w:rPr>
          <w:color w:val="404040" w:themeColor="text1" w:themeTint="BF"/>
        </w:rPr>
        <w:t>N</w:t>
      </w:r>
      <w:r w:rsidRPr="00797864">
        <w:rPr>
          <w:color w:val="404040" w:themeColor="text1" w:themeTint="BF"/>
        </w:rPr>
        <w:t xml:space="preserve">aciones </w:t>
      </w:r>
      <w:r w:rsidR="00197973" w:rsidRPr="00797864">
        <w:rPr>
          <w:color w:val="404040" w:themeColor="text1" w:themeTint="BF"/>
        </w:rPr>
        <w:t>U</w:t>
      </w:r>
      <w:r w:rsidRPr="00797864">
        <w:rPr>
          <w:color w:val="404040" w:themeColor="text1" w:themeTint="BF"/>
        </w:rPr>
        <w:t xml:space="preserve">nidas en Colombia (2023). Informe trimestral del </w:t>
      </w:r>
      <w:r w:rsidR="00197973" w:rsidRPr="00797864">
        <w:rPr>
          <w:color w:val="404040" w:themeColor="text1" w:themeTint="BF"/>
        </w:rPr>
        <w:t>S</w:t>
      </w:r>
      <w:r w:rsidRPr="00797864">
        <w:rPr>
          <w:color w:val="404040" w:themeColor="text1" w:themeTint="BF"/>
        </w:rPr>
        <w:t xml:space="preserve">ecretario </w:t>
      </w:r>
      <w:r w:rsidR="00197973" w:rsidRPr="00797864">
        <w:rPr>
          <w:color w:val="404040" w:themeColor="text1" w:themeTint="BF"/>
        </w:rPr>
        <w:t>G</w:t>
      </w:r>
      <w:r w:rsidRPr="00797864">
        <w:rPr>
          <w:color w:val="404040" w:themeColor="text1" w:themeTint="BF"/>
        </w:rPr>
        <w:t xml:space="preserve">eneral </w:t>
      </w:r>
      <w:r w:rsidR="00197973" w:rsidRPr="00797864">
        <w:rPr>
          <w:color w:val="404040" w:themeColor="text1" w:themeTint="BF"/>
        </w:rPr>
        <w:t xml:space="preserve">(S/2022/1004). </w:t>
      </w:r>
      <w:r w:rsidRPr="00797864">
        <w:rPr>
          <w:color w:val="404040" w:themeColor="text1" w:themeTint="BF"/>
        </w:rPr>
        <w:t xml:space="preserve">Disponible en: </w:t>
      </w:r>
      <w:hyperlink r:id="rId11" w:history="1">
        <w:r w:rsidR="0022182F" w:rsidRPr="00797864">
          <w:rPr>
            <w:color w:val="404040" w:themeColor="text1" w:themeTint="BF"/>
          </w:rPr>
          <w:t>https://colombia.unmissions.org/sites/default/files/infografia_informe_enero_2023.pdf</w:t>
        </w:r>
      </w:hyperlink>
      <w:r w:rsidR="0022182F" w:rsidRPr="00797864">
        <w:rPr>
          <w:color w:val="404040" w:themeColor="text1" w:themeTint="BF"/>
        </w:rPr>
        <w:t>.</w:t>
      </w:r>
      <w:r w:rsidR="0022182F" w:rsidRPr="00797864">
        <w:rPr>
          <w:rStyle w:val="Hyperlink"/>
          <w:rFonts w:ascii="Open Sans" w:hAnsi="Open Sans" w:cs="Open Sans"/>
          <w:color w:val="404040" w:themeColor="text1" w:themeTint="BF"/>
          <w:sz w:val="16"/>
          <w:szCs w:val="16"/>
          <w:shd w:val="clear" w:color="auto" w:fill="FFFFFF"/>
        </w:rPr>
        <w:t xml:space="preserve"> </w:t>
      </w:r>
    </w:p>
  </w:footnote>
  <w:footnote w:id="32">
    <w:p w14:paraId="62800A34" w14:textId="25DEA202" w:rsidR="00795796" w:rsidRPr="00797864" w:rsidRDefault="00795796" w:rsidP="00B016A2">
      <w:pPr>
        <w:pStyle w:val="FootnoteText"/>
        <w:jc w:val="both"/>
        <w:rPr>
          <w:rFonts w:ascii="Open Sans" w:hAnsi="Open Sans" w:cs="Open Sans"/>
          <w:color w:val="404040" w:themeColor="text1" w:themeTint="BF"/>
          <w:sz w:val="16"/>
          <w:szCs w:val="18"/>
        </w:rPr>
      </w:pPr>
      <w:r w:rsidRPr="00797864">
        <w:rPr>
          <w:rStyle w:val="FootnoteReference"/>
          <w:color w:val="404040" w:themeColor="text1" w:themeTint="BF"/>
          <w:sz w:val="18"/>
        </w:rPr>
        <w:footnoteRef/>
      </w:r>
      <w:r w:rsidRPr="00797864">
        <w:rPr>
          <w:color w:val="404040" w:themeColor="text1" w:themeTint="BF"/>
          <w:sz w:val="18"/>
        </w:rPr>
        <w:t xml:space="preserve"> </w:t>
      </w:r>
      <w:r w:rsidRPr="00797864">
        <w:rPr>
          <w:color w:val="404040" w:themeColor="text1" w:themeTint="BF"/>
        </w:rPr>
        <w:t xml:space="preserve">Los Antiguos Espacios </w:t>
      </w:r>
      <w:r w:rsidR="00ED390A" w:rsidRPr="00797864">
        <w:rPr>
          <w:color w:val="404040" w:themeColor="text1" w:themeTint="BF"/>
        </w:rPr>
        <w:t xml:space="preserve">Territoriales </w:t>
      </w:r>
      <w:r w:rsidRPr="00797864">
        <w:rPr>
          <w:color w:val="404040" w:themeColor="text1" w:themeTint="BF"/>
        </w:rPr>
        <w:t>de</w:t>
      </w:r>
      <w:r w:rsidR="00ED390A" w:rsidRPr="00797864">
        <w:rPr>
          <w:color w:val="404040" w:themeColor="text1" w:themeTint="BF"/>
        </w:rPr>
        <w:t xml:space="preserve"> Capacitación y </w:t>
      </w:r>
      <w:r w:rsidRPr="00797864">
        <w:rPr>
          <w:color w:val="404040" w:themeColor="text1" w:themeTint="BF"/>
        </w:rPr>
        <w:t>Reincorporación– AETCR son los predios establecidos por el gobierno para la reincorporación. Allí las personas firmantes del Acuerdo Final de Paz adelantan procesos productivos, comunitarios, entre otros.</w:t>
      </w:r>
      <w:r w:rsidRPr="00797864">
        <w:rPr>
          <w:rFonts w:ascii="Open Sans" w:hAnsi="Open Sans" w:cs="Open Sans"/>
          <w:color w:val="404040" w:themeColor="text1" w:themeTint="BF"/>
          <w:sz w:val="16"/>
          <w:szCs w:val="18"/>
        </w:rPr>
        <w:t xml:space="preserve">  </w:t>
      </w:r>
    </w:p>
  </w:footnote>
  <w:footnote w:id="33">
    <w:p w14:paraId="4303B35C" w14:textId="01F50E31" w:rsidR="00795796" w:rsidRPr="00797864" w:rsidRDefault="00795796">
      <w:pPr>
        <w:pStyle w:val="FootnoteText"/>
        <w:rPr>
          <w:color w:val="404040" w:themeColor="text1" w:themeTint="BF"/>
          <w:lang w:val="es-ES"/>
        </w:rPr>
      </w:pPr>
      <w:r w:rsidRPr="00797864">
        <w:rPr>
          <w:rStyle w:val="FootnoteReference"/>
          <w:color w:val="404040" w:themeColor="text1" w:themeTint="BF"/>
          <w:sz w:val="18"/>
        </w:rPr>
        <w:footnoteRef/>
      </w:r>
      <w:r w:rsidRPr="00797864">
        <w:rPr>
          <w:color w:val="404040" w:themeColor="text1" w:themeTint="BF"/>
          <w:sz w:val="18"/>
        </w:rPr>
        <w:t xml:space="preserve"> </w:t>
      </w:r>
      <w:r w:rsidRPr="00797864">
        <w:rPr>
          <w:color w:val="404040" w:themeColor="text1" w:themeTint="BF"/>
        </w:rPr>
        <w:t xml:space="preserve">El primero se registró en </w:t>
      </w:r>
      <w:proofErr w:type="spellStart"/>
      <w:r w:rsidRPr="00797864">
        <w:rPr>
          <w:color w:val="404040" w:themeColor="text1" w:themeTint="BF"/>
        </w:rPr>
        <w:t>Yarí</w:t>
      </w:r>
      <w:proofErr w:type="spellEnd"/>
      <w:r w:rsidRPr="00797864">
        <w:rPr>
          <w:color w:val="404040" w:themeColor="text1" w:themeTint="BF"/>
        </w:rPr>
        <w:t>, en Meta en 2021.</w:t>
      </w:r>
    </w:p>
  </w:footnote>
  <w:footnote w:id="34">
    <w:p w14:paraId="31405D58" w14:textId="77777777" w:rsidR="00795796" w:rsidRPr="00797864" w:rsidRDefault="00795796" w:rsidP="0022182F">
      <w:pPr>
        <w:pStyle w:val="FootnoteText"/>
        <w:rPr>
          <w:color w:val="404040" w:themeColor="text1" w:themeTint="BF"/>
          <w:szCs w:val="18"/>
        </w:rPr>
      </w:pPr>
      <w:r w:rsidRPr="00797864">
        <w:rPr>
          <w:rStyle w:val="FootnoteReference"/>
          <w:color w:val="404040" w:themeColor="text1" w:themeTint="BF"/>
          <w:sz w:val="16"/>
          <w:szCs w:val="16"/>
        </w:rPr>
        <w:footnoteRef/>
      </w:r>
      <w:r w:rsidRPr="00797864">
        <w:rPr>
          <w:color w:val="404040" w:themeColor="text1" w:themeTint="BF"/>
        </w:rPr>
        <w:t xml:space="preserve"> </w:t>
      </w:r>
      <w:r w:rsidRPr="00797864">
        <w:rPr>
          <w:color w:val="404040" w:themeColor="text1" w:themeTint="BF"/>
        </w:rPr>
        <w:t xml:space="preserve">LIMPAL (2022). Realidades de la paz territorial: perspectivas de las mujeres de Meta y Bolívar. Informe de seguimiento a indicadores de género del Acuerdo de Paz firmado entre el Gobierno y las FARC-EP. Disponible en: </w:t>
      </w:r>
    </w:p>
    <w:p w14:paraId="7FB5426F" w14:textId="276D702A" w:rsidR="00EF29BB" w:rsidRPr="00797864" w:rsidRDefault="00000000" w:rsidP="008A45EF">
      <w:pPr>
        <w:pStyle w:val="FootnoteText"/>
        <w:jc w:val="both"/>
        <w:rPr>
          <w:rFonts w:ascii="Open Sans" w:hAnsi="Open Sans" w:cs="Open Sans"/>
          <w:color w:val="404040" w:themeColor="text1" w:themeTint="BF"/>
          <w:sz w:val="16"/>
          <w:szCs w:val="18"/>
        </w:rPr>
      </w:pPr>
      <w:hyperlink r:id="rId12" w:history="1">
        <w:r w:rsidR="00EF29BB" w:rsidRPr="00797864">
          <w:rPr>
            <w:rStyle w:val="Hyperlink"/>
            <w:rFonts w:ascii="Open Sans" w:hAnsi="Open Sans" w:cs="Open Sans"/>
            <w:color w:val="404040" w:themeColor="text1" w:themeTint="BF"/>
            <w:sz w:val="16"/>
            <w:szCs w:val="18"/>
          </w:rPr>
          <w:t>https://www.limpalcolombia.org/images/documentos/Realidades_de_la_paz_territorial_Limpal2021.pdf</w:t>
        </w:r>
      </w:hyperlink>
    </w:p>
  </w:footnote>
  <w:footnote w:id="35">
    <w:p w14:paraId="7253A77D" w14:textId="77777777" w:rsidR="00795796"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 xml:space="preserve">LIMPAL (2022). Realidades de la paz territorial: perspectivas de las mujeres de Meta y Bolívar. Informe de seguimiento a indicadores de género del Acuerdo de Paz firmado entre el Gobierno y las FARC-EP. Disponible en: </w:t>
      </w:r>
    </w:p>
    <w:p w14:paraId="18737984" w14:textId="593B7389" w:rsidR="00EF29BB" w:rsidRPr="00797864" w:rsidRDefault="00000000" w:rsidP="0022182F">
      <w:pPr>
        <w:pStyle w:val="FootnoteText"/>
        <w:rPr>
          <w:color w:val="404040" w:themeColor="text1" w:themeTint="BF"/>
        </w:rPr>
      </w:pPr>
      <w:hyperlink r:id="rId13" w:history="1">
        <w:r w:rsidR="00EF29BB" w:rsidRPr="00797864">
          <w:rPr>
            <w:rStyle w:val="Hyperlink"/>
            <w:color w:val="404040" w:themeColor="text1" w:themeTint="BF"/>
            <w:u w:val="none"/>
          </w:rPr>
          <w:t>https://www.limpalcolombia.org/images/documentos/Realidades_de_la_paz_territorial_Limpal2021.pdf</w:t>
        </w:r>
      </w:hyperlink>
    </w:p>
  </w:footnote>
  <w:footnote w:id="36">
    <w:p w14:paraId="19A3AB1A" w14:textId="2221D07B" w:rsidR="00526A52" w:rsidRPr="00797864" w:rsidRDefault="00526A52" w:rsidP="00526A52">
      <w:pPr>
        <w:pStyle w:val="FootnoteText"/>
        <w:jc w:val="both"/>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rFonts w:ascii="Open Sans" w:hAnsi="Open Sans" w:cs="Open Sans"/>
          <w:color w:val="404040" w:themeColor="text1" w:themeTint="BF"/>
          <w:sz w:val="16"/>
          <w:szCs w:val="16"/>
        </w:rPr>
        <w:t xml:space="preserve"> </w:t>
      </w:r>
      <w:r w:rsidRPr="00797864">
        <w:rPr>
          <w:color w:val="404040" w:themeColor="text1" w:themeTint="BF"/>
        </w:rPr>
        <w:t>Recomendación del segundo ciclo del EPU: 120.114 Garantizar el pleno acceso al aborto sin riesgo, dentro del marco jurídico existente, en todas las regiones del país (Dinamarca); Recomendación del primer ciclo del EPU 116.98 Tomar medidas para garantizar que los profesionales de la salud actúen de plena conformidad con el fallo de la Corte Constitucional que despenaliza el aborto en determinadas circunstancias (Nueva Zelandia).</w:t>
      </w:r>
    </w:p>
  </w:footnote>
  <w:footnote w:id="37">
    <w:p w14:paraId="51907145" w14:textId="6A3E5A2B" w:rsidR="00795796" w:rsidRPr="00797864" w:rsidRDefault="00795796" w:rsidP="0022182F">
      <w:pPr>
        <w:pStyle w:val="FootnoteText"/>
        <w:rPr>
          <w:color w:val="404040" w:themeColor="text1" w:themeTint="BF"/>
          <w:lang w:val="es-ES"/>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Sentencia SU – 096 de 2018</w:t>
      </w:r>
      <w:r w:rsidR="0022182F" w:rsidRPr="00797864">
        <w:rPr>
          <w:color w:val="404040" w:themeColor="text1" w:themeTint="BF"/>
        </w:rPr>
        <w:t xml:space="preserve">. </w:t>
      </w:r>
    </w:p>
  </w:footnote>
  <w:footnote w:id="38">
    <w:p w14:paraId="2D5647DF" w14:textId="77777777" w:rsidR="00795796"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 xml:space="preserve">En la Sentencia C – 355 de 2006, la Corte despenalizó el delito de aborto contenido en el artículo 122 del Código Penal, en tres circunstancias: </w:t>
      </w:r>
    </w:p>
    <w:p w14:paraId="62100DC0" w14:textId="77777777" w:rsidR="00795796" w:rsidRPr="00797864" w:rsidRDefault="00795796" w:rsidP="0022182F">
      <w:pPr>
        <w:pStyle w:val="FootnoteText"/>
        <w:rPr>
          <w:color w:val="404040" w:themeColor="text1" w:themeTint="BF"/>
        </w:rPr>
      </w:pPr>
      <w:r w:rsidRPr="00797864">
        <w:rPr>
          <w:color w:val="404040" w:themeColor="text1" w:themeTint="BF"/>
        </w:rPr>
        <w:t>a) Cuando está en peligro la vida o la salud de la mujer</w:t>
      </w:r>
    </w:p>
    <w:p w14:paraId="1CEC737E" w14:textId="77777777" w:rsidR="00795796" w:rsidRPr="00797864" w:rsidRDefault="00795796" w:rsidP="0022182F">
      <w:pPr>
        <w:pStyle w:val="FootnoteText"/>
        <w:rPr>
          <w:color w:val="404040" w:themeColor="text1" w:themeTint="BF"/>
        </w:rPr>
      </w:pPr>
      <w:r w:rsidRPr="00797864">
        <w:rPr>
          <w:color w:val="404040" w:themeColor="text1" w:themeTint="BF"/>
        </w:rPr>
        <w:t>b) Cuando se presenta malformación del feto incompatible con la vida</w:t>
      </w:r>
    </w:p>
    <w:p w14:paraId="36175C1A" w14:textId="77777777" w:rsidR="00795796" w:rsidRPr="00797864" w:rsidRDefault="00795796" w:rsidP="0022182F">
      <w:pPr>
        <w:pStyle w:val="FootnoteText"/>
        <w:rPr>
          <w:color w:val="404040" w:themeColor="text1" w:themeTint="BF"/>
        </w:rPr>
      </w:pPr>
      <w:r w:rsidRPr="00797864">
        <w:rPr>
          <w:color w:val="404040" w:themeColor="text1" w:themeTint="BF"/>
        </w:rPr>
        <w:t>c) Cuando el embarazo es producto de abuso, violación, incesto, transferencia de óvulo o inseminación no consentida.</w:t>
      </w:r>
    </w:p>
  </w:footnote>
  <w:footnote w:id="39">
    <w:p w14:paraId="3935152E" w14:textId="730DD9EB" w:rsidR="00795796" w:rsidRPr="00797864" w:rsidRDefault="00795796" w:rsidP="006C315C">
      <w:pPr>
        <w:pStyle w:val="FootnoteText"/>
        <w:jc w:val="both"/>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rFonts w:ascii="Open Sans" w:hAnsi="Open Sans" w:cs="Open Sans"/>
          <w:color w:val="404040" w:themeColor="text1" w:themeTint="BF"/>
          <w:sz w:val="16"/>
          <w:szCs w:val="16"/>
        </w:rPr>
        <w:t xml:space="preserve"> </w:t>
      </w:r>
      <w:r w:rsidRPr="00797864">
        <w:rPr>
          <w:color w:val="404040" w:themeColor="text1" w:themeTint="BF"/>
        </w:rPr>
        <w:t>Sentencia C – 055 de 2022. Después de la C – 355 de 2006, es el segundo hito jurisprudencial más importante en la historia del derecho a la IVE</w:t>
      </w:r>
      <w:r w:rsidR="00182D26" w:rsidRPr="00797864">
        <w:rPr>
          <w:color w:val="404040" w:themeColor="text1" w:themeTint="BF"/>
        </w:rPr>
        <w:t>.</w:t>
      </w:r>
    </w:p>
  </w:footnote>
  <w:footnote w:id="40">
    <w:p w14:paraId="447A6758" w14:textId="77777777" w:rsidR="00795796" w:rsidRPr="00797864" w:rsidRDefault="00795796" w:rsidP="006C315C">
      <w:pPr>
        <w:pStyle w:val="FootnoteText"/>
        <w:jc w:val="both"/>
        <w:rPr>
          <w:rFonts w:ascii="Open Sans" w:hAnsi="Open Sans" w:cs="Open Sans"/>
          <w:color w:val="404040" w:themeColor="text1" w:themeTint="BF"/>
          <w:sz w:val="16"/>
          <w:szCs w:val="16"/>
          <w:lang w:val="es-ES"/>
        </w:rPr>
      </w:pPr>
      <w:r w:rsidRPr="00797864">
        <w:rPr>
          <w:rStyle w:val="FootnoteReference"/>
          <w:rFonts w:ascii="Open Sans" w:hAnsi="Open Sans" w:cs="Open Sans"/>
          <w:color w:val="404040" w:themeColor="text1" w:themeTint="BF"/>
          <w:sz w:val="16"/>
          <w:szCs w:val="16"/>
        </w:rPr>
        <w:footnoteRef/>
      </w:r>
      <w:r w:rsidRPr="00797864">
        <w:rPr>
          <w:rFonts w:ascii="Open Sans" w:hAnsi="Open Sans" w:cs="Open Sans"/>
          <w:color w:val="404040" w:themeColor="text1" w:themeTint="BF"/>
          <w:sz w:val="16"/>
          <w:szCs w:val="16"/>
        </w:rPr>
        <w:t xml:space="preserve"> </w:t>
      </w:r>
      <w:r w:rsidRPr="00797864">
        <w:rPr>
          <w:color w:val="404040" w:themeColor="text1" w:themeTint="BF"/>
        </w:rPr>
        <w:t>Resolución 051 de 2023: Se expide en cumplimiento de la orden de la Corte Constitucional a través de la Sentencia SU – 096 de 2018.</w:t>
      </w:r>
    </w:p>
  </w:footnote>
  <w:footnote w:id="41">
    <w:p w14:paraId="26DB6872" w14:textId="6A707E38" w:rsidR="00795796" w:rsidRPr="00797864" w:rsidRDefault="00795796" w:rsidP="006C315C">
      <w:pPr>
        <w:pStyle w:val="FootnoteText"/>
        <w:jc w:val="both"/>
        <w:rPr>
          <w:rFonts w:ascii="Open Sans" w:hAnsi="Open Sans" w:cs="Open Sans"/>
          <w:color w:val="404040" w:themeColor="text1" w:themeTint="BF"/>
          <w:sz w:val="16"/>
          <w:szCs w:val="16"/>
          <w:lang w:val="es-ES" w:eastAsia="es-ES_tradnl"/>
        </w:rPr>
      </w:pPr>
      <w:r w:rsidRPr="00797864">
        <w:rPr>
          <w:rStyle w:val="FootnoteReference"/>
          <w:rFonts w:ascii="Open Sans" w:hAnsi="Open Sans" w:cs="Open Sans"/>
          <w:color w:val="404040" w:themeColor="text1" w:themeTint="BF"/>
          <w:sz w:val="16"/>
          <w:szCs w:val="16"/>
        </w:rPr>
        <w:footnoteRef/>
      </w:r>
      <w:r w:rsidRPr="00797864">
        <w:rPr>
          <w:rFonts w:ascii="Open Sans" w:hAnsi="Open Sans" w:cs="Open Sans"/>
          <w:color w:val="404040" w:themeColor="text1" w:themeTint="BF"/>
          <w:sz w:val="16"/>
          <w:szCs w:val="16"/>
        </w:rPr>
        <w:t xml:space="preserve"> </w:t>
      </w:r>
      <w:r w:rsidR="004D1AAA" w:rsidRPr="00797864">
        <w:rPr>
          <w:color w:val="404040" w:themeColor="text1" w:themeTint="BF"/>
        </w:rPr>
        <w:t xml:space="preserve">Según datos oficiales de la Fiscalía General de la Nación en 2018 se dio apertura a más de 437 casos relacionados con el delito de aborto, en 2019: 326 casos, en 2020: 246 casos, en 2021: 217 casos, en 2022: 115 casos, y en lo que va corrido de 2023: 11 casos.  (se pueden consultar en la siguiente página </w:t>
      </w:r>
      <w:hyperlink r:id="rId14" w:history="1">
        <w:r w:rsidR="004D1AAA" w:rsidRPr="00797864">
          <w:rPr>
            <w:color w:val="404040" w:themeColor="text1" w:themeTint="BF"/>
          </w:rPr>
          <w:t>https://www.fiscalia.gov.co/colombia/gestion/estadisticas/delitos/</w:t>
        </w:r>
      </w:hyperlink>
      <w:r w:rsidR="004D1AAA" w:rsidRPr="00797864">
        <w:rPr>
          <w:color w:val="404040" w:themeColor="text1" w:themeTint="BF"/>
        </w:rPr>
        <w:t xml:space="preserve"> introduciendo el tipo penal, artículo 122 y el año que se desea conocer).</w:t>
      </w:r>
      <w:r w:rsidR="004D1AAA" w:rsidRPr="00797864">
        <w:rPr>
          <w:rFonts w:ascii="Open Sans" w:hAnsi="Open Sans" w:cs="Open Sans"/>
          <w:color w:val="404040" w:themeColor="text1" w:themeTint="BF"/>
          <w:sz w:val="16"/>
          <w:szCs w:val="16"/>
        </w:rPr>
        <w:t xml:space="preserve">  </w:t>
      </w:r>
    </w:p>
  </w:footnote>
  <w:footnote w:id="42">
    <w:p w14:paraId="6C96EB10" w14:textId="4A020418" w:rsidR="00795796" w:rsidRPr="00797864" w:rsidRDefault="00795796" w:rsidP="0022182F">
      <w:pPr>
        <w:pStyle w:val="FootnoteText"/>
        <w:rPr>
          <w:color w:val="404040" w:themeColor="text1" w:themeTint="BF"/>
          <w:lang w:val="es-ES"/>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Incluido como servicio en el Plan de Beneficios en Salud, actualizado con la Resolución 2808 de 2022 del Ministerio de Salud y Protección Social.</w:t>
      </w:r>
    </w:p>
  </w:footnote>
  <w:footnote w:id="43">
    <w:p w14:paraId="2BBFC330" w14:textId="24205085" w:rsidR="00EF29BB" w:rsidRPr="00797864" w:rsidRDefault="00E73AF5"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 xml:space="preserve">En su documento “Aborto sin riesgos </w:t>
      </w:r>
      <w:r w:rsidR="00334CAE" w:rsidRPr="00797864">
        <w:rPr>
          <w:color w:val="404040" w:themeColor="text1" w:themeTint="BF"/>
        </w:rPr>
        <w:t>guía</w:t>
      </w:r>
      <w:r w:rsidRPr="00797864">
        <w:rPr>
          <w:color w:val="404040" w:themeColor="text1" w:themeTint="BF"/>
        </w:rPr>
        <w:t xml:space="preserve"> </w:t>
      </w:r>
      <w:r w:rsidR="00334CAE" w:rsidRPr="00797864">
        <w:rPr>
          <w:color w:val="404040" w:themeColor="text1" w:themeTint="BF"/>
        </w:rPr>
        <w:t>técnica</w:t>
      </w:r>
      <w:r w:rsidRPr="00797864">
        <w:rPr>
          <w:color w:val="404040" w:themeColor="text1" w:themeTint="BF"/>
        </w:rPr>
        <w:t xml:space="preserve"> y de </w:t>
      </w:r>
      <w:r w:rsidR="00334CAE" w:rsidRPr="00797864">
        <w:rPr>
          <w:color w:val="404040" w:themeColor="text1" w:themeTint="BF"/>
        </w:rPr>
        <w:t>políticas</w:t>
      </w:r>
      <w:r w:rsidRPr="00797864">
        <w:rPr>
          <w:color w:val="404040" w:themeColor="text1" w:themeTint="BF"/>
        </w:rPr>
        <w:t xml:space="preserve"> para sistemas de salud”, la Organización Mundial de la Salud - OMS reconoce que los servicios de salud deben organizarse para garantizar que el ejercicio de la objeción de conciencia por parte de los profesionales sanitarios no impida a las pacientes acceder a los servicios.  Véase la recomendación completa “4.2.2.5 Objeciones de conciencia”, en la página 96 de la guía disponible en: </w:t>
      </w:r>
    </w:p>
    <w:p w14:paraId="53A8598D" w14:textId="591E73C5" w:rsidR="00EF29BB" w:rsidRPr="00797864" w:rsidRDefault="00000000" w:rsidP="00E73AF5">
      <w:pPr>
        <w:pStyle w:val="FootnoteText"/>
        <w:jc w:val="both"/>
        <w:rPr>
          <w:rFonts w:ascii="Open Sans" w:hAnsi="Open Sans" w:cs="Open Sans"/>
          <w:color w:val="404040" w:themeColor="text1" w:themeTint="BF"/>
          <w:sz w:val="16"/>
          <w:szCs w:val="16"/>
        </w:rPr>
      </w:pPr>
      <w:hyperlink r:id="rId15" w:history="1">
        <w:r w:rsidR="00EF29BB" w:rsidRPr="00797864">
          <w:rPr>
            <w:rStyle w:val="Hyperlink"/>
            <w:rFonts w:ascii="Open Sans" w:hAnsi="Open Sans" w:cs="Open Sans"/>
            <w:color w:val="404040" w:themeColor="text1" w:themeTint="BF"/>
            <w:sz w:val="16"/>
            <w:szCs w:val="16"/>
          </w:rPr>
          <w:t>https://apps.who.int/iris/bitstream/handle/10665/77079/9789243548432_spa.pdf?sequence=1</w:t>
        </w:r>
      </w:hyperlink>
    </w:p>
  </w:footnote>
  <w:footnote w:id="44">
    <w:p w14:paraId="4A42B036" w14:textId="77777777" w:rsidR="00795796"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 xml:space="preserve">Resolución 051 de 2023 y la Ruta de Atención Materno Perinatal. </w:t>
      </w:r>
    </w:p>
  </w:footnote>
  <w:footnote w:id="45">
    <w:p w14:paraId="7B6ED670" w14:textId="77777777" w:rsidR="00795796" w:rsidRPr="00797864" w:rsidRDefault="00795796" w:rsidP="0022182F">
      <w:pPr>
        <w:pStyle w:val="FootnoteText"/>
        <w:rPr>
          <w:color w:val="404040" w:themeColor="text1" w:themeTint="BF"/>
          <w:sz w:val="18"/>
          <w:szCs w:val="18"/>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Ley 1751 de 2015 – Ley estatutaria de Salud, Directiva 006 de 2016 de la Fiscalía General de la Nación.</w:t>
      </w:r>
      <w:r w:rsidRPr="00797864">
        <w:rPr>
          <w:color w:val="404040" w:themeColor="text1" w:themeTint="BF"/>
          <w:sz w:val="18"/>
          <w:szCs w:val="18"/>
        </w:rPr>
        <w:t xml:space="preserve"> </w:t>
      </w:r>
    </w:p>
  </w:footnote>
  <w:footnote w:id="46">
    <w:p w14:paraId="66258A2F" w14:textId="04939322" w:rsidR="00795796" w:rsidRPr="00797864" w:rsidRDefault="00795796" w:rsidP="00664B45">
      <w:pPr>
        <w:pStyle w:val="FootnoteText"/>
        <w:jc w:val="both"/>
        <w:rPr>
          <w:rFonts w:ascii="Open Sans" w:hAnsi="Open Sans" w:cs="Open Sans"/>
          <w:color w:val="404040" w:themeColor="text1" w:themeTint="BF"/>
          <w:sz w:val="16"/>
          <w:szCs w:val="18"/>
        </w:rPr>
      </w:pPr>
      <w:r w:rsidRPr="00797864">
        <w:rPr>
          <w:rStyle w:val="FootnoteReference"/>
          <w:rFonts w:ascii="Open Sans" w:hAnsi="Open Sans" w:cs="Open Sans"/>
          <w:color w:val="404040" w:themeColor="text1" w:themeTint="BF"/>
          <w:sz w:val="16"/>
          <w:szCs w:val="18"/>
        </w:rPr>
        <w:footnoteRef/>
      </w:r>
      <w:r w:rsidRPr="00797864">
        <w:rPr>
          <w:rFonts w:ascii="Open Sans" w:hAnsi="Open Sans" w:cs="Open Sans"/>
          <w:color w:val="404040" w:themeColor="text1" w:themeTint="BF"/>
          <w:sz w:val="16"/>
          <w:szCs w:val="18"/>
        </w:rPr>
        <w:t xml:space="preserve"> </w:t>
      </w:r>
      <w:r w:rsidR="004E0064" w:rsidRPr="00797864">
        <w:rPr>
          <w:color w:val="404040" w:themeColor="text1" w:themeTint="BF"/>
        </w:rPr>
        <w:t xml:space="preserve">Véase, por ejemplo, </w:t>
      </w:r>
      <w:r w:rsidRPr="00797864">
        <w:rPr>
          <w:color w:val="404040" w:themeColor="text1" w:themeTint="BF"/>
        </w:rPr>
        <w:t xml:space="preserve">Observación General No. 22 de 2016, sobre el derecho a la salud sexual y reproductiva, del Comité de Derechos Económicos Sociales y Culturales. La observación tiene como causa: “los numerosos obstáculos jurídicos, procedimentales, prácticos y sociales para el acceso a todos los establecimientos, servicios, bienes e información en materia de salud sexual y reproductiva” que ha evidenciado el Comité, de allí que pretenda dar pautas a los Estados –en particular, a los órganos con competencias normativas: administraciones y legisladores– </w:t>
      </w:r>
      <w:r w:rsidR="004E0064" w:rsidRPr="00797864">
        <w:rPr>
          <w:color w:val="404040" w:themeColor="text1" w:themeTint="BF"/>
        </w:rPr>
        <w:t xml:space="preserve">para cumplir “la obligación a  de los Estados partes de </w:t>
      </w:r>
      <w:r w:rsidRPr="00797864">
        <w:rPr>
          <w:color w:val="404040" w:themeColor="text1" w:themeTint="BF"/>
        </w:rPr>
        <w:t>“asegurar a todas las personas el disfrute del derecho a la salud sexual y reproductiva prescrito en virtud del artículo 12” del PIDESC.</w:t>
      </w:r>
      <w:r w:rsidR="004E0064" w:rsidRPr="00797864">
        <w:rPr>
          <w:color w:val="404040" w:themeColor="text1" w:themeTint="BF"/>
        </w:rPr>
        <w:t xml:space="preserve"> Véase también: “Aborto sin riesgos </w:t>
      </w:r>
      <w:r w:rsidR="00EF29BB" w:rsidRPr="00797864">
        <w:rPr>
          <w:color w:val="404040" w:themeColor="text1" w:themeTint="BF"/>
        </w:rPr>
        <w:t>guía</w:t>
      </w:r>
      <w:r w:rsidR="004E0064" w:rsidRPr="00797864">
        <w:rPr>
          <w:color w:val="404040" w:themeColor="text1" w:themeTint="BF"/>
        </w:rPr>
        <w:t xml:space="preserve"> </w:t>
      </w:r>
      <w:r w:rsidR="00EF29BB" w:rsidRPr="00797864">
        <w:rPr>
          <w:color w:val="404040" w:themeColor="text1" w:themeTint="BF"/>
        </w:rPr>
        <w:t>técnica</w:t>
      </w:r>
      <w:r w:rsidR="004E0064" w:rsidRPr="00797864">
        <w:rPr>
          <w:color w:val="404040" w:themeColor="text1" w:themeTint="BF"/>
        </w:rPr>
        <w:t xml:space="preserve"> y de </w:t>
      </w:r>
      <w:r w:rsidR="00EF29BB" w:rsidRPr="00797864">
        <w:rPr>
          <w:color w:val="404040" w:themeColor="text1" w:themeTint="BF"/>
        </w:rPr>
        <w:t>políticas</w:t>
      </w:r>
      <w:r w:rsidR="004E0064" w:rsidRPr="00797864">
        <w:rPr>
          <w:color w:val="404040" w:themeColor="text1" w:themeTint="BF"/>
        </w:rPr>
        <w:t xml:space="preserve"> para sistemas de salud”, la Organización Mundial de la Salud </w:t>
      </w:r>
      <w:r w:rsidR="0022182F" w:rsidRPr="00797864">
        <w:rPr>
          <w:color w:val="404040" w:themeColor="text1" w:themeTint="BF"/>
        </w:rPr>
        <w:t>–</w:t>
      </w:r>
      <w:r w:rsidR="004E0064" w:rsidRPr="00797864">
        <w:rPr>
          <w:color w:val="404040" w:themeColor="text1" w:themeTint="BF"/>
        </w:rPr>
        <w:t xml:space="preserve"> OMS</w:t>
      </w:r>
      <w:r w:rsidR="0022182F" w:rsidRPr="00797864">
        <w:rPr>
          <w:color w:val="404040" w:themeColor="text1" w:themeTint="BF"/>
        </w:rPr>
        <w:t xml:space="preserve">. </w:t>
      </w:r>
    </w:p>
  </w:footnote>
  <w:footnote w:id="47">
    <w:p w14:paraId="0FD15B70" w14:textId="21FBB338" w:rsidR="00664B45" w:rsidRPr="00797864" w:rsidRDefault="00664B45" w:rsidP="00664B45">
      <w:pPr>
        <w:pStyle w:val="FootnoteText"/>
        <w:jc w:val="both"/>
        <w:rPr>
          <w:color w:val="404040" w:themeColor="text1" w:themeTint="BF"/>
          <w:sz w:val="18"/>
          <w:lang w:val="es-ES"/>
        </w:rPr>
      </w:pPr>
      <w:r w:rsidRPr="00797864">
        <w:rPr>
          <w:rStyle w:val="FootnoteReference"/>
          <w:color w:val="404040" w:themeColor="text1" w:themeTint="BF"/>
          <w:sz w:val="18"/>
        </w:rPr>
        <w:footnoteRef/>
      </w:r>
      <w:r w:rsidRPr="00797864">
        <w:rPr>
          <w:color w:val="404040" w:themeColor="text1" w:themeTint="BF"/>
          <w:sz w:val="18"/>
        </w:rPr>
        <w:t xml:space="preserve"> </w:t>
      </w:r>
      <w:r w:rsidRPr="00797864">
        <w:rPr>
          <w:color w:val="404040" w:themeColor="text1" w:themeTint="BF"/>
        </w:rPr>
        <w:t>Entre otras, Comité de Derechos Humanos, Observaciones finales sobre el séptimo informe periódico de Colombia, CCPR/C/COL/CO/7 (17 de noviembre de 2016); Comité para la Eliminación de la Discriminación contra la Mujer, Observaciones finales sobre el noveno informe periódico de Colombia, CEDAW/C/COL/CO/9 (14 de marzo de 2019).</w:t>
      </w:r>
    </w:p>
  </w:footnote>
  <w:footnote w:id="48">
    <w:p w14:paraId="493324E2" w14:textId="0622AE48" w:rsidR="00795796" w:rsidRPr="00797864" w:rsidRDefault="00795796" w:rsidP="00664B45">
      <w:pPr>
        <w:pStyle w:val="FootnoteText"/>
        <w:jc w:val="both"/>
        <w:rPr>
          <w:rFonts w:ascii="Open Sans" w:hAnsi="Open Sans" w:cs="Open Sans"/>
          <w:color w:val="404040" w:themeColor="text1" w:themeTint="BF"/>
          <w:sz w:val="16"/>
          <w:szCs w:val="18"/>
        </w:rPr>
      </w:pPr>
      <w:r w:rsidRPr="00797864">
        <w:rPr>
          <w:rStyle w:val="FootnoteReference"/>
          <w:rFonts w:ascii="Open Sans" w:hAnsi="Open Sans" w:cs="Open Sans"/>
          <w:color w:val="404040" w:themeColor="text1" w:themeTint="BF"/>
          <w:sz w:val="16"/>
          <w:szCs w:val="18"/>
        </w:rPr>
        <w:footnoteRef/>
      </w:r>
      <w:r w:rsidR="00B1265C" w:rsidRPr="00797864">
        <w:rPr>
          <w:rFonts w:ascii="Open Sans" w:hAnsi="Open Sans" w:cs="Open Sans"/>
          <w:color w:val="404040" w:themeColor="text1" w:themeTint="BF"/>
          <w:sz w:val="16"/>
          <w:szCs w:val="18"/>
        </w:rPr>
        <w:t xml:space="preserve"> </w:t>
      </w:r>
      <w:r w:rsidR="00B1265C" w:rsidRPr="00797864">
        <w:rPr>
          <w:color w:val="404040" w:themeColor="text1" w:themeTint="BF"/>
        </w:rPr>
        <w:t>Véase, por ejemplo, e</w:t>
      </w:r>
      <w:r w:rsidRPr="00797864">
        <w:rPr>
          <w:color w:val="404040" w:themeColor="text1" w:themeTint="BF"/>
        </w:rPr>
        <w:t xml:space="preserve">l informe sobre </w:t>
      </w:r>
      <w:r w:rsidR="007420FC" w:rsidRPr="00797864">
        <w:rPr>
          <w:color w:val="404040" w:themeColor="text1" w:themeTint="BF"/>
        </w:rPr>
        <w:t>“</w:t>
      </w:r>
      <w:r w:rsidRPr="00797864">
        <w:rPr>
          <w:color w:val="404040" w:themeColor="text1" w:themeTint="BF"/>
        </w:rPr>
        <w:t>la interacción entre las leyes penales y otras restricciones jurídicas relativas a la salud sexual y reproductiva y el derecho a la salud</w:t>
      </w:r>
      <w:r w:rsidR="007420FC" w:rsidRPr="00797864">
        <w:rPr>
          <w:color w:val="404040" w:themeColor="text1" w:themeTint="BF"/>
        </w:rPr>
        <w:t>” del Relator Especial de Naciones Unidas sobre el derecho de toda persona al disfrute del más alto nivel posible de salud física y mental</w:t>
      </w:r>
      <w:r w:rsidR="006A5528" w:rsidRPr="00797864">
        <w:rPr>
          <w:color w:val="404040" w:themeColor="text1" w:themeTint="BF"/>
        </w:rPr>
        <w:t>.</w:t>
      </w:r>
      <w:r w:rsidR="007420FC" w:rsidRPr="00797864">
        <w:rPr>
          <w:color w:val="404040" w:themeColor="text1" w:themeTint="BF"/>
        </w:rPr>
        <w:t xml:space="preserve">  A/66/254 (3 de agosto de 2011), párrafo 65, h.</w:t>
      </w:r>
    </w:p>
  </w:footnote>
  <w:footnote w:id="49">
    <w:p w14:paraId="59FF9654" w14:textId="77777777" w:rsidR="00EF29BB"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8"/>
        </w:rPr>
        <w:footnoteRef/>
      </w:r>
      <w:r w:rsidRPr="00797864">
        <w:rPr>
          <w:color w:val="404040" w:themeColor="text1" w:themeTint="BF"/>
        </w:rPr>
        <w:t xml:space="preserve"> </w:t>
      </w:r>
      <w:r w:rsidRPr="00797864">
        <w:rPr>
          <w:color w:val="404040" w:themeColor="text1" w:themeTint="BF"/>
        </w:rPr>
        <w:t>Organización Internacional para las Migraciones (OIM ONU Migración Colombia).</w:t>
      </w:r>
      <w:r w:rsidR="00672BE0" w:rsidRPr="00797864">
        <w:rPr>
          <w:color w:val="404040" w:themeColor="text1" w:themeTint="BF"/>
        </w:rPr>
        <w:t xml:space="preserve"> Comunicado local, 31 octubre de 2020. 6 datos relevantes sobre la trata de personas en Colombia. Disponible en:</w:t>
      </w:r>
    </w:p>
    <w:p w14:paraId="08FA16DC" w14:textId="67ED6CAA" w:rsidR="00EF29BB" w:rsidRPr="00797864" w:rsidRDefault="00000000" w:rsidP="0022182F">
      <w:pPr>
        <w:pStyle w:val="FootnoteText"/>
        <w:rPr>
          <w:color w:val="404040" w:themeColor="text1" w:themeTint="BF"/>
        </w:rPr>
      </w:pPr>
      <w:hyperlink r:id="rId16" w:history="1">
        <w:r w:rsidR="00EF29BB" w:rsidRPr="00797864">
          <w:rPr>
            <w:rStyle w:val="Hyperlink"/>
            <w:color w:val="404040" w:themeColor="text1" w:themeTint="BF"/>
            <w:u w:val="none"/>
          </w:rPr>
          <w:t>https://colombia.iom.int/es/news/6-datos-relevantes-sobre-la-trata-de-personas-en-colombia</w:t>
        </w:r>
      </w:hyperlink>
    </w:p>
  </w:footnote>
  <w:footnote w:id="50">
    <w:p w14:paraId="506D2C74" w14:textId="77777777" w:rsidR="008636AA" w:rsidRPr="00797864" w:rsidRDefault="00795796" w:rsidP="0022182F">
      <w:pPr>
        <w:pStyle w:val="FootnoteText"/>
        <w:rPr>
          <w:color w:val="404040" w:themeColor="text1" w:themeTint="BF"/>
        </w:rPr>
      </w:pPr>
      <w:r w:rsidRPr="00797864">
        <w:rPr>
          <w:rStyle w:val="FootnoteReference"/>
          <w:color w:val="404040" w:themeColor="text1" w:themeTint="BF"/>
          <w:sz w:val="18"/>
        </w:rPr>
        <w:footnoteRef/>
      </w:r>
      <w:r w:rsidRPr="00797864">
        <w:rPr>
          <w:color w:val="404040" w:themeColor="text1" w:themeTint="BF"/>
        </w:rPr>
        <w:t xml:space="preserve"> </w:t>
      </w:r>
      <w:proofErr w:type="spellStart"/>
      <w:r w:rsidR="00164543" w:rsidRPr="00797864">
        <w:rPr>
          <w:color w:val="404040" w:themeColor="text1" w:themeTint="BF"/>
        </w:rPr>
        <w:t>Women</w:t>
      </w:r>
      <w:r w:rsidR="00075C54" w:rsidRPr="00797864">
        <w:rPr>
          <w:color w:val="404040" w:themeColor="text1" w:themeTint="BF"/>
        </w:rPr>
        <w:t>’</w:t>
      </w:r>
      <w:r w:rsidR="00164543" w:rsidRPr="00797864">
        <w:rPr>
          <w:color w:val="404040" w:themeColor="text1" w:themeTint="BF"/>
        </w:rPr>
        <w:t>s</w:t>
      </w:r>
      <w:proofErr w:type="spellEnd"/>
      <w:r w:rsidR="00164543" w:rsidRPr="00797864">
        <w:rPr>
          <w:color w:val="404040" w:themeColor="text1" w:themeTint="BF"/>
        </w:rPr>
        <w:t xml:space="preserve"> Link </w:t>
      </w:r>
      <w:proofErr w:type="spellStart"/>
      <w:r w:rsidR="00164543" w:rsidRPr="00797864">
        <w:rPr>
          <w:color w:val="404040" w:themeColor="text1" w:themeTint="BF"/>
        </w:rPr>
        <w:t>Worldwide</w:t>
      </w:r>
      <w:proofErr w:type="spellEnd"/>
      <w:r w:rsidR="00164543" w:rsidRPr="00797864">
        <w:rPr>
          <w:color w:val="404040" w:themeColor="text1" w:themeTint="BF"/>
        </w:rPr>
        <w:t xml:space="preserve"> (2021) La trata de personas en Colombia - Principales fallas en el sistema de protección. Disponible en: </w:t>
      </w:r>
    </w:p>
    <w:p w14:paraId="0506AB27" w14:textId="075669D3" w:rsidR="008636AA" w:rsidRPr="00797864" w:rsidRDefault="00000000" w:rsidP="0022182F">
      <w:pPr>
        <w:pStyle w:val="FootnoteText"/>
        <w:rPr>
          <w:color w:val="404040" w:themeColor="text1" w:themeTint="BF"/>
        </w:rPr>
      </w:pPr>
      <w:hyperlink r:id="rId17" w:history="1">
        <w:r w:rsidR="008636AA" w:rsidRPr="00797864">
          <w:rPr>
            <w:rStyle w:val="Hyperlink"/>
            <w:color w:val="404040" w:themeColor="text1" w:themeTint="BF"/>
            <w:u w:val="none"/>
          </w:rPr>
          <w:t>https://www.womenslinkworldwide.org/files/3127/principales-fallas-en-el-sistema-de-proteccion-para-victimas-de-trata-en-colombia.pdf</w:t>
        </w:r>
      </w:hyperlink>
      <w:r w:rsidR="0022182F" w:rsidRPr="00797864">
        <w:rPr>
          <w:rStyle w:val="Hyperlink"/>
          <w:color w:val="404040" w:themeColor="text1" w:themeTint="BF"/>
          <w:u w:val="none"/>
        </w:rPr>
        <w:t xml:space="preserve">. </w:t>
      </w:r>
    </w:p>
  </w:footnote>
  <w:footnote w:id="51">
    <w:p w14:paraId="650F2DDD" w14:textId="14796793" w:rsidR="00EF29BB" w:rsidRPr="00797864" w:rsidRDefault="00795796" w:rsidP="0022182F">
      <w:pPr>
        <w:pStyle w:val="FootnoteText"/>
        <w:rPr>
          <w:rFonts w:ascii="Open Sans" w:hAnsi="Open Sans" w:cs="Open Sans"/>
          <w:color w:val="404040" w:themeColor="text1" w:themeTint="BF"/>
          <w:sz w:val="16"/>
          <w:szCs w:val="18"/>
        </w:rPr>
      </w:pPr>
      <w:r w:rsidRPr="00797864">
        <w:rPr>
          <w:rStyle w:val="FootnoteReference"/>
          <w:color w:val="404040" w:themeColor="text1" w:themeTint="BF"/>
          <w:sz w:val="18"/>
        </w:rPr>
        <w:footnoteRef/>
      </w:r>
      <w:r w:rsidRPr="00797864">
        <w:rPr>
          <w:color w:val="404040" w:themeColor="text1" w:themeTint="BF"/>
          <w:sz w:val="18"/>
        </w:rPr>
        <w:t xml:space="preserve"> </w:t>
      </w:r>
      <w:r w:rsidRPr="00797864">
        <w:rPr>
          <w:color w:val="404040" w:themeColor="text1" w:themeTint="BF"/>
        </w:rPr>
        <w:t>Corporación Espacios de Mujer, 2017</w:t>
      </w:r>
      <w:r w:rsidR="00F87C2C" w:rsidRPr="00797864">
        <w:rPr>
          <w:color w:val="404040" w:themeColor="text1" w:themeTint="BF"/>
        </w:rPr>
        <w:t xml:space="preserve">. Informe La trata de personas en Colombia: La esclavitud moderna. Disponible en: </w:t>
      </w:r>
      <w:hyperlink r:id="rId18" w:history="1">
        <w:r w:rsidR="00EF29BB" w:rsidRPr="00797864">
          <w:rPr>
            <w:color w:val="404040" w:themeColor="text1" w:themeTint="BF"/>
          </w:rPr>
          <w:t>https://www.espaciosdemujer.org/wp-content/uploads/4.CEM_La-Trata-en-Colombia_2017.pdf</w:t>
        </w:r>
      </w:hyperlink>
      <w:r w:rsidR="0022182F" w:rsidRPr="00797864">
        <w:rPr>
          <w:color w:val="404040" w:themeColor="text1" w:themeTint="BF"/>
        </w:rPr>
        <w:t xml:space="preserve">. </w:t>
      </w:r>
    </w:p>
  </w:footnote>
  <w:footnote w:id="52">
    <w:p w14:paraId="056FB94D" w14:textId="368100C5" w:rsidR="00795796" w:rsidRPr="00797864" w:rsidRDefault="00795796" w:rsidP="0022182F">
      <w:pPr>
        <w:pStyle w:val="FootnoteText"/>
        <w:rPr>
          <w:color w:val="404040" w:themeColor="text1" w:themeTint="BF"/>
        </w:rPr>
      </w:pPr>
      <w:r w:rsidRPr="00797864">
        <w:rPr>
          <w:rStyle w:val="FootnoteReference"/>
          <w:color w:val="404040" w:themeColor="text1" w:themeTint="BF"/>
          <w:sz w:val="18"/>
        </w:rPr>
        <w:footnoteRef/>
      </w:r>
      <w:r w:rsidRPr="00797864">
        <w:rPr>
          <w:color w:val="404040" w:themeColor="text1" w:themeTint="BF"/>
          <w:sz w:val="18"/>
        </w:rPr>
        <w:t xml:space="preserve"> </w:t>
      </w:r>
      <w:r w:rsidRPr="00797864">
        <w:rPr>
          <w:color w:val="404040" w:themeColor="text1" w:themeTint="BF"/>
        </w:rPr>
        <w:t>Organización Internacional para las Migraciones (OIM). Diagnóstico sobre la situación e incidencia de la trata de personas en contextos humanitarios en América del Sur. OIM, Panamá, 2020.</w:t>
      </w:r>
    </w:p>
    <w:bookmarkStart w:id="22" w:name="_Hlk131415991"/>
    <w:p w14:paraId="0B2E62E6" w14:textId="35AB51F3" w:rsidR="00EF29BB" w:rsidRPr="00797864" w:rsidRDefault="00571B07" w:rsidP="0022182F">
      <w:pPr>
        <w:pStyle w:val="FootnoteText"/>
        <w:rPr>
          <w:color w:val="404040" w:themeColor="text1" w:themeTint="BF"/>
          <w:lang w:val="es-ES"/>
        </w:rPr>
      </w:pPr>
      <w:r w:rsidRPr="00797864">
        <w:rPr>
          <w:rStyle w:val="Hyperlink"/>
          <w:color w:val="404040" w:themeColor="text1" w:themeTint="BF"/>
          <w:u w:val="none"/>
        </w:rPr>
        <w:fldChar w:fldCharType="begin"/>
      </w:r>
      <w:r w:rsidRPr="00797864">
        <w:rPr>
          <w:rStyle w:val="Hyperlink"/>
          <w:color w:val="404040" w:themeColor="text1" w:themeTint="BF"/>
          <w:u w:val="none"/>
        </w:rPr>
        <w:instrText xml:space="preserve"> HYPERLINK "https://repository.iom.int/bitstream/handle/20.500.11788/2301/ROBUE-OIM%20033.pdf?sequence=1&amp;isAllowed=y" </w:instrText>
      </w:r>
      <w:r w:rsidRPr="00797864">
        <w:rPr>
          <w:rStyle w:val="Hyperlink"/>
          <w:color w:val="404040" w:themeColor="text1" w:themeTint="BF"/>
          <w:u w:val="none"/>
        </w:rPr>
      </w:r>
      <w:r w:rsidRPr="00797864">
        <w:rPr>
          <w:rStyle w:val="Hyperlink"/>
          <w:color w:val="404040" w:themeColor="text1" w:themeTint="BF"/>
          <w:u w:val="none"/>
        </w:rPr>
        <w:fldChar w:fldCharType="separate"/>
      </w:r>
      <w:r w:rsidR="00EF29BB" w:rsidRPr="00797864">
        <w:rPr>
          <w:rStyle w:val="Hyperlink"/>
          <w:color w:val="404040" w:themeColor="text1" w:themeTint="BF"/>
          <w:u w:val="none"/>
        </w:rPr>
        <w:t>https://repository.iom.int/bitstream/handle/20.500.11788/2301/ROBUE-OIM%20033.pdf?sequence=1&amp;isAllowed=y</w:t>
      </w:r>
      <w:r w:rsidRPr="00797864">
        <w:rPr>
          <w:rStyle w:val="Hyperlink"/>
          <w:color w:val="404040" w:themeColor="text1" w:themeTint="BF"/>
          <w:u w:val="none"/>
        </w:rPr>
        <w:fldChar w:fldCharType="end"/>
      </w:r>
    </w:p>
    <w:bookmarkEnd w:id="22"/>
  </w:footnote>
  <w:footnote w:id="53">
    <w:p w14:paraId="6C869389" w14:textId="5577418E" w:rsidR="00795796" w:rsidRPr="00797864" w:rsidRDefault="00795796" w:rsidP="0022182F">
      <w:pPr>
        <w:pStyle w:val="FootnoteText"/>
        <w:rPr>
          <w:color w:val="404040" w:themeColor="text1" w:themeTint="BF"/>
        </w:rPr>
      </w:pPr>
      <w:r w:rsidRPr="00797864">
        <w:rPr>
          <w:rStyle w:val="FootnoteReference"/>
          <w:color w:val="404040" w:themeColor="text1" w:themeTint="BF"/>
          <w:sz w:val="16"/>
          <w:szCs w:val="16"/>
        </w:rPr>
        <w:footnoteRef/>
      </w:r>
      <w:r w:rsidRPr="00797864">
        <w:rPr>
          <w:color w:val="404040" w:themeColor="text1" w:themeTint="BF"/>
        </w:rPr>
        <w:t xml:space="preserve"> </w:t>
      </w:r>
      <w:r w:rsidRPr="00797864">
        <w:rPr>
          <w:color w:val="404040" w:themeColor="text1" w:themeTint="BF"/>
        </w:rPr>
        <w:t>Organización Internacional para las Migraciones (OIM). Diagnóstico sobre la situación e incidencia de la trata de personas en contextos humanitarios en América del Sur. OIM, Panamá, 2020.</w:t>
      </w:r>
      <w:r w:rsidR="00EF29BB" w:rsidRPr="00797864">
        <w:rPr>
          <w:color w:val="404040" w:themeColor="text1" w:themeTint="BF"/>
        </w:rPr>
        <w:t xml:space="preserve"> Disponible en:</w:t>
      </w:r>
      <w:bookmarkStart w:id="23" w:name="_Hlk131416019"/>
    </w:p>
    <w:p w14:paraId="39A4825F" w14:textId="57BED6B1" w:rsidR="00EF29BB" w:rsidRPr="00797864" w:rsidRDefault="00000000" w:rsidP="0022182F">
      <w:pPr>
        <w:pStyle w:val="FootnoteText"/>
        <w:rPr>
          <w:color w:val="404040" w:themeColor="text1" w:themeTint="BF"/>
          <w:lang w:val="es-ES"/>
        </w:rPr>
      </w:pPr>
      <w:hyperlink r:id="rId19" w:history="1">
        <w:r w:rsidR="00EF29BB" w:rsidRPr="00797864">
          <w:rPr>
            <w:rStyle w:val="Hyperlink"/>
            <w:color w:val="404040" w:themeColor="text1" w:themeTint="BF"/>
            <w:u w:val="none"/>
          </w:rPr>
          <w:t>https://repository.iom.int/bitstream/handle/20.500.11788/2301/ROBUE-OIM%20033.pdf?sequence=1&amp;isAllowed=y</w:t>
        </w:r>
      </w:hyperlink>
      <w:bookmarkEnd w:id="23"/>
      <w:r w:rsidR="0022182F" w:rsidRPr="00797864">
        <w:rPr>
          <w:rStyle w:val="Hyperlink"/>
          <w:color w:val="404040" w:themeColor="text1" w:themeTint="BF"/>
          <w:u w:val="none"/>
        </w:rPr>
        <w:t xml:space="preserve">. </w:t>
      </w:r>
    </w:p>
  </w:footnote>
  <w:footnote w:id="54">
    <w:p w14:paraId="73AE7F46" w14:textId="3D25F6A9" w:rsidR="00795796"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00481B51" w:rsidRPr="00797864">
        <w:rPr>
          <w:color w:val="404040" w:themeColor="text1" w:themeTint="BF"/>
        </w:rPr>
        <w:t>Recomendación basada</w:t>
      </w:r>
      <w:r w:rsidRPr="00797864">
        <w:rPr>
          <w:color w:val="404040" w:themeColor="text1" w:themeTint="BF"/>
        </w:rPr>
        <w:t xml:space="preserve"> en el artículo La trata de personas en Colombia - Principales Fallas en el Sistema de Protección (</w:t>
      </w:r>
      <w:proofErr w:type="spellStart"/>
      <w:r w:rsidRPr="00797864">
        <w:rPr>
          <w:color w:val="404040" w:themeColor="text1" w:themeTint="BF"/>
        </w:rPr>
        <w:t>Woman</w:t>
      </w:r>
      <w:proofErr w:type="spellEnd"/>
      <w:r w:rsidRPr="00797864">
        <w:rPr>
          <w:color w:val="404040" w:themeColor="text1" w:themeTint="BF"/>
        </w:rPr>
        <w:t xml:space="preserve"> Link </w:t>
      </w:r>
      <w:proofErr w:type="spellStart"/>
      <w:r w:rsidRPr="00797864">
        <w:rPr>
          <w:color w:val="404040" w:themeColor="text1" w:themeTint="BF"/>
        </w:rPr>
        <w:t>World</w:t>
      </w:r>
      <w:proofErr w:type="spellEnd"/>
      <w:r w:rsidRPr="00797864">
        <w:rPr>
          <w:color w:val="404040" w:themeColor="text1" w:themeTint="BF"/>
        </w:rPr>
        <w:t xml:space="preserve">  </w:t>
      </w:r>
      <w:proofErr w:type="spellStart"/>
      <w:r w:rsidRPr="00797864">
        <w:rPr>
          <w:color w:val="404040" w:themeColor="text1" w:themeTint="BF"/>
        </w:rPr>
        <w:t>Wid</w:t>
      </w:r>
      <w:proofErr w:type="spellEnd"/>
      <w:r w:rsidRPr="00797864">
        <w:rPr>
          <w:color w:val="404040" w:themeColor="text1" w:themeTint="BF"/>
        </w:rPr>
        <w:t>, 2021).</w:t>
      </w:r>
      <w:r w:rsidR="00EF29BB" w:rsidRPr="00797864">
        <w:rPr>
          <w:color w:val="404040" w:themeColor="text1" w:themeTint="BF"/>
        </w:rPr>
        <w:t xml:space="preserve"> Disponible en:</w:t>
      </w:r>
    </w:p>
    <w:p w14:paraId="74748802" w14:textId="581161C2" w:rsidR="00EF29BB" w:rsidRPr="00797864" w:rsidRDefault="00EF29BB" w:rsidP="0022182F">
      <w:pPr>
        <w:pStyle w:val="FootnoteText"/>
        <w:rPr>
          <w:color w:val="404040" w:themeColor="text1" w:themeTint="BF"/>
          <w:sz w:val="18"/>
          <w:szCs w:val="18"/>
          <w:lang w:val="es-ES"/>
        </w:rPr>
      </w:pPr>
      <w:bookmarkStart w:id="25" w:name="_Hlk131416054"/>
      <w:r w:rsidRPr="00797864">
        <w:rPr>
          <w:rStyle w:val="Hyperlink"/>
          <w:color w:val="404040" w:themeColor="text1" w:themeTint="BF"/>
          <w:u w:val="none"/>
        </w:rPr>
        <w:t>https://www.womenslinkworldwide.org/files/3127/principales-fallas-en-el-sistema-de-proteccion-para-victimas-de-trata-en-colombia.pdf</w:t>
      </w:r>
      <w:bookmarkEnd w:id="25"/>
    </w:p>
  </w:footnote>
  <w:footnote w:id="55">
    <w:p w14:paraId="276DF2C1" w14:textId="4952AD71" w:rsidR="00795796"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8"/>
        </w:rPr>
        <w:footnoteRef/>
      </w:r>
      <w:r w:rsidRPr="00797864">
        <w:rPr>
          <w:color w:val="404040" w:themeColor="text1" w:themeTint="BF"/>
        </w:rPr>
        <w:t xml:space="preserve"> </w:t>
      </w:r>
      <w:r w:rsidRPr="00797864">
        <w:rPr>
          <w:color w:val="404040" w:themeColor="text1" w:themeTint="BF"/>
        </w:rPr>
        <w:t>Ley 418 de 2022. La política denominada “Paz Total”, presentada por el gobierno del presidente Gustavo Petro, hace de la paz una política de Estado. Este proceso comprende diálogos de paz con grupos con carácter político, como el Ejército de Liberación Nacional - ELN, y el sometimiento a la justicia de organizaciones criminales, grupos armados organizados o narcotraficantes.</w:t>
      </w:r>
    </w:p>
  </w:footnote>
  <w:footnote w:id="56">
    <w:p w14:paraId="2D4483E8" w14:textId="4D31FBC6" w:rsidR="001256D9"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8"/>
        </w:rPr>
        <w:footnoteRef/>
      </w:r>
      <w:r w:rsidRPr="00797864">
        <w:rPr>
          <w:color w:val="404040" w:themeColor="text1" w:themeTint="BF"/>
        </w:rPr>
        <w:t xml:space="preserve"> </w:t>
      </w:r>
      <w:r w:rsidRPr="00797864">
        <w:rPr>
          <w:color w:val="404040" w:themeColor="text1" w:themeTint="BF"/>
        </w:rPr>
        <w:t xml:space="preserve">La asignación para el sector de Seguridad y defensa para 2023, según el Presupuesto General de la Nación es de 45,5 billones de pesos, aumentando 9% con respecto al 2022, en el que la misma asignación fue de 41,6 billones. </w:t>
      </w:r>
      <w:r w:rsidR="001256D9" w:rsidRPr="00797864">
        <w:rPr>
          <w:color w:val="404040" w:themeColor="text1" w:themeTint="BF"/>
        </w:rPr>
        <w:t xml:space="preserve">Análisis elaborado con base en la ley 2276 de 2022 por la cual se decreta el </w:t>
      </w:r>
      <w:r w:rsidR="00795810" w:rsidRPr="00797864">
        <w:rPr>
          <w:color w:val="404040" w:themeColor="text1" w:themeTint="BF"/>
        </w:rPr>
        <w:t>P</w:t>
      </w:r>
      <w:r w:rsidR="001256D9" w:rsidRPr="00797864">
        <w:rPr>
          <w:color w:val="404040" w:themeColor="text1" w:themeTint="BF"/>
        </w:rPr>
        <w:t xml:space="preserve">resupuesto </w:t>
      </w:r>
      <w:r w:rsidR="00795810" w:rsidRPr="00797864">
        <w:rPr>
          <w:color w:val="404040" w:themeColor="text1" w:themeTint="BF"/>
        </w:rPr>
        <w:t>G</w:t>
      </w:r>
      <w:r w:rsidR="001256D9" w:rsidRPr="00797864">
        <w:rPr>
          <w:color w:val="404040" w:themeColor="text1" w:themeTint="BF"/>
        </w:rPr>
        <w:t xml:space="preserve">eneral de la </w:t>
      </w:r>
      <w:r w:rsidR="00795810" w:rsidRPr="00797864">
        <w:rPr>
          <w:color w:val="404040" w:themeColor="text1" w:themeTint="BF"/>
        </w:rPr>
        <w:t>N</w:t>
      </w:r>
      <w:r w:rsidR="001256D9" w:rsidRPr="00797864">
        <w:rPr>
          <w:color w:val="404040" w:themeColor="text1" w:themeTint="BF"/>
        </w:rPr>
        <w:t xml:space="preserve">ación para la vigencia 2023. Véase en: </w:t>
      </w:r>
    </w:p>
    <w:p w14:paraId="40068FBC" w14:textId="1AF10B9E" w:rsidR="00795796" w:rsidRPr="00797864" w:rsidRDefault="00000000" w:rsidP="00866FC0">
      <w:pPr>
        <w:pStyle w:val="FootnoteText"/>
        <w:jc w:val="both"/>
        <w:rPr>
          <w:rFonts w:ascii="Open Sans" w:hAnsi="Open Sans" w:cs="Open Sans"/>
          <w:color w:val="404040" w:themeColor="text1" w:themeTint="BF"/>
          <w:sz w:val="16"/>
          <w:szCs w:val="18"/>
        </w:rPr>
      </w:pPr>
      <w:hyperlink r:id="rId20" w:history="1">
        <w:r w:rsidR="00942198" w:rsidRPr="00797864">
          <w:rPr>
            <w:rStyle w:val="Hyperlink"/>
            <w:rFonts w:ascii="Open Sans" w:hAnsi="Open Sans" w:cs="Open Sans"/>
            <w:color w:val="404040" w:themeColor="text1" w:themeTint="BF"/>
            <w:sz w:val="16"/>
            <w:szCs w:val="18"/>
          </w:rPr>
          <w:t>https://www.minhacienda.gov.co/webcenter/ShowProperty?nodeId=%2FConexionContent%2FWCC_CLUSTER-208233%2F%2FidcPrimaryFile&amp;revision=latestreleased</w:t>
        </w:r>
      </w:hyperlink>
    </w:p>
  </w:footnote>
  <w:footnote w:id="57">
    <w:p w14:paraId="3BB2942D" w14:textId="39B049BF" w:rsidR="00795796" w:rsidRPr="00797864" w:rsidRDefault="00795796" w:rsidP="0022182F">
      <w:pPr>
        <w:pStyle w:val="FootnoteText"/>
        <w:rPr>
          <w:rStyle w:val="normaltextrun"/>
          <w:color w:val="404040" w:themeColor="text1" w:themeTint="BF"/>
        </w:rPr>
      </w:pPr>
      <w:r w:rsidRPr="00797864">
        <w:rPr>
          <w:rStyle w:val="FootnoteReference"/>
          <w:rFonts w:ascii="Open Sans" w:hAnsi="Open Sans" w:cs="Open Sans"/>
          <w:color w:val="404040" w:themeColor="text1" w:themeTint="BF"/>
          <w:sz w:val="16"/>
          <w:szCs w:val="18"/>
        </w:rPr>
        <w:footnoteRef/>
      </w:r>
      <w:r w:rsidRPr="00797864">
        <w:rPr>
          <w:color w:val="404040" w:themeColor="text1" w:themeTint="BF"/>
        </w:rPr>
        <w:t xml:space="preserve"> </w:t>
      </w:r>
      <w:r w:rsidRPr="00797864">
        <w:rPr>
          <w:color w:val="404040" w:themeColor="text1" w:themeTint="BF"/>
        </w:rPr>
        <w:t>Colombia tuvo un 9,6% del total del gasto del gobierno central asignado a las fuerzas militares en 2021, ocupando el primer puesto en la región</w:t>
      </w:r>
      <w:r w:rsidR="00531D30" w:rsidRPr="00797864">
        <w:rPr>
          <w:color w:val="404040" w:themeColor="text1" w:themeTint="BF"/>
        </w:rPr>
        <w:t xml:space="preserve">. </w:t>
      </w:r>
      <w:r w:rsidRPr="00797864">
        <w:rPr>
          <w:color w:val="404040" w:themeColor="text1" w:themeTint="BF"/>
        </w:rPr>
        <w:t>Teniendo en cuenta la medida del porcentaje del PIB que es asignado a esta misma área, Colombia ocupó en el 2021 el puesto 16 entre los países con mayor gasto militar del mundo y el primero en América Latina. Ese mismo año registró un gasto de 10 millones de dólares para los gastos militares, ocupando el segundo puesto en la región después de Brasil, con 18 millones de dólares</w:t>
      </w:r>
      <w:r w:rsidR="00531D30" w:rsidRPr="00797864">
        <w:rPr>
          <w:color w:val="404040" w:themeColor="text1" w:themeTint="BF"/>
        </w:rPr>
        <w:t>. Análisis basado en reporte del Instituto Internacional de Investigación por la Paz DE Estocolmo – SIPRI.</w:t>
      </w:r>
      <w:r w:rsidR="008B6F3F" w:rsidRPr="00797864">
        <w:rPr>
          <w:rStyle w:val="normaltextrun"/>
          <w:color w:val="404040" w:themeColor="text1" w:themeTint="BF"/>
          <w:sz w:val="18"/>
          <w:bdr w:val="none" w:sz="0" w:space="0" w:color="auto" w:frame="1"/>
        </w:rPr>
        <w:t xml:space="preserve"> </w:t>
      </w:r>
      <w:r w:rsidR="008B6F3F" w:rsidRPr="00797864">
        <w:rPr>
          <w:rStyle w:val="normaltextrun"/>
          <w:color w:val="404040" w:themeColor="text1" w:themeTint="BF"/>
        </w:rPr>
        <w:t>Disponible en:</w:t>
      </w:r>
    </w:p>
    <w:p w14:paraId="5AC1722A" w14:textId="77777777" w:rsidR="008B6F3F" w:rsidRPr="00797864" w:rsidRDefault="008B6F3F" w:rsidP="0022182F">
      <w:pPr>
        <w:pStyle w:val="FootnoteText"/>
        <w:rPr>
          <w:rStyle w:val="Hyperlink"/>
          <w:color w:val="404040" w:themeColor="text1" w:themeTint="BF"/>
          <w:u w:val="none"/>
        </w:rPr>
      </w:pPr>
      <w:r w:rsidRPr="00797864">
        <w:rPr>
          <w:rStyle w:val="normaltextrun"/>
          <w:color w:val="404040" w:themeColor="text1" w:themeTint="BF"/>
        </w:rPr>
        <w:t>Transferencias de armamento, importaciones:</w:t>
      </w:r>
      <w:r w:rsidRPr="00797864">
        <w:rPr>
          <w:rStyle w:val="Hyperlink"/>
          <w:color w:val="404040" w:themeColor="text1" w:themeTint="BF"/>
          <w:u w:val="none"/>
        </w:rPr>
        <w:t xml:space="preserve"> </w:t>
      </w:r>
      <w:hyperlink r:id="rId21" w:history="1">
        <w:r w:rsidRPr="00797864">
          <w:rPr>
            <w:rStyle w:val="Hyperlink"/>
            <w:color w:val="404040" w:themeColor="text1" w:themeTint="BF"/>
            <w:u w:val="none"/>
          </w:rPr>
          <w:t>https://datos.bancomundial.org/indicator/MS.MIL.MPRT.KD</w:t>
        </w:r>
      </w:hyperlink>
    </w:p>
    <w:p w14:paraId="7E2D62D2" w14:textId="70C543A8" w:rsidR="008B6F3F" w:rsidRPr="00797864" w:rsidRDefault="008B6F3F" w:rsidP="0022182F">
      <w:pPr>
        <w:pStyle w:val="FootnoteText"/>
        <w:rPr>
          <w:rStyle w:val="Hyperlink"/>
          <w:color w:val="404040" w:themeColor="text1" w:themeTint="BF"/>
          <w:u w:val="none"/>
        </w:rPr>
      </w:pPr>
      <w:r w:rsidRPr="00797864">
        <w:rPr>
          <w:rStyle w:val="normaltextrun"/>
          <w:color w:val="404040" w:themeColor="text1" w:themeTint="BF"/>
        </w:rPr>
        <w:t xml:space="preserve">Transferencias de armamento, exportaciones: </w:t>
      </w:r>
      <w:hyperlink r:id="rId22" w:history="1">
        <w:r w:rsidRPr="00797864">
          <w:rPr>
            <w:rStyle w:val="Hyperlink"/>
            <w:color w:val="404040" w:themeColor="text1" w:themeTint="BF"/>
            <w:u w:val="none"/>
          </w:rPr>
          <w:t>https://datos.bancomundial.org/indicator/MS.MIL.XPRT.KD</w:t>
        </w:r>
      </w:hyperlink>
    </w:p>
    <w:p w14:paraId="762CD5D1" w14:textId="079518FD" w:rsidR="008B6F3F" w:rsidRPr="00797864" w:rsidRDefault="008B6F3F" w:rsidP="0022182F">
      <w:pPr>
        <w:pStyle w:val="FootnoteText"/>
        <w:rPr>
          <w:rStyle w:val="Hyperlink"/>
          <w:color w:val="404040" w:themeColor="text1" w:themeTint="BF"/>
          <w:u w:val="none"/>
        </w:rPr>
      </w:pPr>
      <w:r w:rsidRPr="00797864">
        <w:rPr>
          <w:rStyle w:val="normaltextrun"/>
          <w:color w:val="404040" w:themeColor="text1" w:themeTint="BF"/>
        </w:rPr>
        <w:t>Gasto militar (% del PIB).</w:t>
      </w:r>
      <w:r w:rsidRPr="00797864">
        <w:rPr>
          <w:color w:val="404040" w:themeColor="text1" w:themeTint="BF"/>
        </w:rPr>
        <w:t xml:space="preserve"> </w:t>
      </w:r>
      <w:hyperlink r:id="rId23" w:history="1">
        <w:r w:rsidRPr="00797864">
          <w:rPr>
            <w:rStyle w:val="Hyperlink"/>
            <w:color w:val="404040" w:themeColor="text1" w:themeTint="BF"/>
            <w:u w:val="none"/>
          </w:rPr>
          <w:t>https://datos.bancomundial.org/indicator/MS.MIL.XPND.GD.ZS</w:t>
        </w:r>
      </w:hyperlink>
    </w:p>
    <w:p w14:paraId="3B09E580" w14:textId="5D50E154" w:rsidR="008B6F3F" w:rsidRPr="00797864" w:rsidRDefault="008B6F3F" w:rsidP="0022182F">
      <w:pPr>
        <w:pStyle w:val="FootnoteText"/>
        <w:rPr>
          <w:color w:val="404040" w:themeColor="text1" w:themeTint="BF"/>
        </w:rPr>
      </w:pPr>
      <w:r w:rsidRPr="00797864">
        <w:rPr>
          <w:rStyle w:val="normaltextrun"/>
          <w:color w:val="404040" w:themeColor="text1" w:themeTint="BF"/>
        </w:rPr>
        <w:t>Gasto militar (% del gasto del gobierno central).</w:t>
      </w:r>
      <w:r w:rsidRPr="00797864">
        <w:rPr>
          <w:color w:val="404040" w:themeColor="text1" w:themeTint="BF"/>
        </w:rPr>
        <w:t xml:space="preserve"> </w:t>
      </w:r>
      <w:hyperlink r:id="rId24" w:history="1">
        <w:r w:rsidRPr="00797864">
          <w:rPr>
            <w:rStyle w:val="Hyperlink"/>
            <w:color w:val="404040" w:themeColor="text1" w:themeTint="BF"/>
            <w:u w:val="none"/>
          </w:rPr>
          <w:t>https://datos.bancomundial.org/indicator/MS.MIL.XPND.ZS</w:t>
        </w:r>
      </w:hyperlink>
    </w:p>
  </w:footnote>
  <w:footnote w:id="58">
    <w:p w14:paraId="1A1D9A3B" w14:textId="77777777" w:rsidR="00866FC0"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8"/>
        </w:rPr>
        <w:footnoteRef/>
      </w:r>
      <w:r w:rsidRPr="00797864">
        <w:rPr>
          <w:color w:val="404040" w:themeColor="text1" w:themeTint="BF"/>
        </w:rPr>
        <w:t xml:space="preserve"> </w:t>
      </w:r>
      <w:r w:rsidRPr="00797864">
        <w:rPr>
          <w:color w:val="404040" w:themeColor="text1" w:themeTint="BF"/>
        </w:rPr>
        <w:t xml:space="preserve">Citado por la Fundación Ideas para la Paz – FIP. (27 de julio de 2020). Colombia: un gran mercado de armas sin incentivos para reducirlo. Disponible en: </w:t>
      </w:r>
    </w:p>
    <w:p w14:paraId="6909AA50" w14:textId="13E020F2" w:rsidR="00866FC0" w:rsidRPr="00797864" w:rsidRDefault="00000000" w:rsidP="006C315C">
      <w:pPr>
        <w:pStyle w:val="FootnoteText"/>
        <w:jc w:val="both"/>
        <w:rPr>
          <w:rFonts w:ascii="Open Sans" w:hAnsi="Open Sans" w:cs="Open Sans"/>
          <w:color w:val="404040" w:themeColor="text1" w:themeTint="BF"/>
          <w:sz w:val="14"/>
          <w:szCs w:val="18"/>
        </w:rPr>
      </w:pPr>
      <w:hyperlink r:id="rId25" w:history="1">
        <w:r w:rsidR="00866FC0" w:rsidRPr="00797864">
          <w:rPr>
            <w:rStyle w:val="Hyperlink"/>
            <w:rFonts w:ascii="Open Sans" w:hAnsi="Open Sans" w:cs="Open Sans"/>
            <w:color w:val="404040" w:themeColor="text1" w:themeTint="BF"/>
            <w:sz w:val="16"/>
            <w:szCs w:val="18"/>
          </w:rPr>
          <w:t>https://ideaspaz.org/publicaciones/investigaciones-analisis/2020-07/colombia-un-gran-mercado-de-armas-sin-incentivos-</w:t>
        </w:r>
        <w:r w:rsidR="00866FC0" w:rsidRPr="00797864">
          <w:rPr>
            <w:rStyle w:val="Hyperlink"/>
            <w:rFonts w:ascii="Open Sans" w:hAnsi="Open Sans" w:cs="Open Sans"/>
            <w:color w:val="404040" w:themeColor="text1" w:themeTint="BF"/>
            <w:sz w:val="14"/>
            <w:szCs w:val="18"/>
          </w:rPr>
          <w:t>para-reducirlo</w:t>
        </w:r>
      </w:hyperlink>
    </w:p>
  </w:footnote>
  <w:footnote w:id="59">
    <w:p w14:paraId="7CD7A81F" w14:textId="77777777" w:rsidR="00795796" w:rsidRPr="00797864" w:rsidRDefault="00795796" w:rsidP="0022182F">
      <w:pPr>
        <w:pStyle w:val="FootnoteText"/>
        <w:rPr>
          <w:color w:val="404040" w:themeColor="text1" w:themeTint="BF"/>
          <w:sz w:val="18"/>
          <w:lang w:val="es-ES"/>
        </w:rPr>
      </w:pPr>
      <w:r w:rsidRPr="00797864">
        <w:rPr>
          <w:rStyle w:val="FootnoteReference"/>
          <w:rFonts w:ascii="Open Sans" w:hAnsi="Open Sans" w:cs="Open Sans"/>
          <w:color w:val="404040" w:themeColor="text1" w:themeTint="BF"/>
          <w:sz w:val="16"/>
          <w:szCs w:val="18"/>
        </w:rPr>
        <w:footnoteRef/>
      </w:r>
      <w:r w:rsidRPr="00797864">
        <w:rPr>
          <w:rStyle w:val="FootnoteReference"/>
          <w:rFonts w:ascii="Open Sans" w:hAnsi="Open Sans" w:cs="Open Sans"/>
          <w:color w:val="404040" w:themeColor="text1" w:themeTint="BF"/>
          <w:sz w:val="16"/>
          <w:szCs w:val="18"/>
        </w:rPr>
        <w:t xml:space="preserve"> </w:t>
      </w:r>
      <w:r w:rsidRPr="00797864">
        <w:rPr>
          <w:color w:val="404040" w:themeColor="text1" w:themeTint="BF"/>
        </w:rPr>
        <w:t>Las estimaciones más recientes sugieren que habría alrededor de 71 millones de armas pequeñas en América Latina, de las cuales el 86 % estaría en manos de civiles (Sanjurjo, 2021).</w:t>
      </w:r>
    </w:p>
  </w:footnote>
  <w:footnote w:id="60">
    <w:p w14:paraId="7859B4A7" w14:textId="77777777" w:rsidR="00795796" w:rsidRPr="00797864" w:rsidRDefault="00795796" w:rsidP="0022182F">
      <w:pPr>
        <w:pStyle w:val="FootnoteText"/>
        <w:rPr>
          <w:color w:val="404040" w:themeColor="text1" w:themeTint="BF"/>
          <w:lang w:val="es-ES"/>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18 por cada 100 mil habitantes en 2019, con cifras superiores a Estados Unidos (4,5 para 2017) y México (16,5 para 2017). (Fundación Ideas para la Paz, 2020).</w:t>
      </w:r>
    </w:p>
  </w:footnote>
  <w:footnote w:id="61">
    <w:p w14:paraId="24747390" w14:textId="77777777" w:rsidR="00795796" w:rsidRPr="00797864" w:rsidRDefault="00795796" w:rsidP="0022182F">
      <w:pPr>
        <w:pStyle w:val="FootnoteText"/>
        <w:rPr>
          <w:color w:val="404040" w:themeColor="text1" w:themeTint="BF"/>
          <w:lang w:val="es-ES"/>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Se estima que, entre el 70% y el 80% de los homicidios, se han realizado con armas de fuego, la mayoría de los casos en zonas rurales, siendo utilizadas también en el suicidio y en otros delitos como amenazas, intimidación y hurto (FIP, 2020). (</w:t>
      </w:r>
      <w:proofErr w:type="spellStart"/>
      <w:r w:rsidRPr="00797864">
        <w:rPr>
          <w:color w:val="404040" w:themeColor="text1" w:themeTint="BF"/>
        </w:rPr>
        <w:t>Journal</w:t>
      </w:r>
      <w:proofErr w:type="spellEnd"/>
      <w:r w:rsidRPr="00797864">
        <w:rPr>
          <w:color w:val="404040" w:themeColor="text1" w:themeTint="BF"/>
        </w:rPr>
        <w:t xml:space="preserve"> </w:t>
      </w:r>
      <w:proofErr w:type="spellStart"/>
      <w:r w:rsidRPr="00797864">
        <w:rPr>
          <w:color w:val="404040" w:themeColor="text1" w:themeTint="BF"/>
        </w:rPr>
        <w:t>of</w:t>
      </w:r>
      <w:proofErr w:type="spellEnd"/>
      <w:r w:rsidRPr="00797864">
        <w:rPr>
          <w:color w:val="404040" w:themeColor="text1" w:themeTint="BF"/>
        </w:rPr>
        <w:t xml:space="preserve"> </w:t>
      </w:r>
      <w:proofErr w:type="spellStart"/>
      <w:r w:rsidRPr="00797864">
        <w:rPr>
          <w:color w:val="404040" w:themeColor="text1" w:themeTint="BF"/>
        </w:rPr>
        <w:t>the</w:t>
      </w:r>
      <w:proofErr w:type="spellEnd"/>
      <w:r w:rsidRPr="00797864">
        <w:rPr>
          <w:color w:val="404040" w:themeColor="text1" w:themeTint="BF"/>
        </w:rPr>
        <w:t xml:space="preserve"> American Medical </w:t>
      </w:r>
      <w:proofErr w:type="spellStart"/>
      <w:r w:rsidRPr="00797864">
        <w:rPr>
          <w:color w:val="404040" w:themeColor="text1" w:themeTint="BF"/>
        </w:rPr>
        <w:t>Association</w:t>
      </w:r>
      <w:proofErr w:type="spellEnd"/>
      <w:r w:rsidRPr="00797864">
        <w:rPr>
          <w:color w:val="404040" w:themeColor="text1" w:themeTint="BF"/>
        </w:rPr>
        <w:t xml:space="preserve"> - JAMA)</w:t>
      </w:r>
    </w:p>
  </w:footnote>
  <w:footnote w:id="62">
    <w:p w14:paraId="36FC7AC0" w14:textId="77777777" w:rsidR="00B8703A"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Colombia Diversa, Corporación Casa de la Mujer, Corporación de Apoyo a Comunidades Populares [</w:t>
      </w:r>
      <w:proofErr w:type="spellStart"/>
      <w:r w:rsidRPr="00797864">
        <w:rPr>
          <w:color w:val="404040" w:themeColor="text1" w:themeTint="BF"/>
        </w:rPr>
        <w:t>Codacop</w:t>
      </w:r>
      <w:proofErr w:type="spellEnd"/>
      <w:r w:rsidRPr="00797864">
        <w:rPr>
          <w:color w:val="404040" w:themeColor="text1" w:themeTint="BF"/>
        </w:rPr>
        <w:t>], Corporación Humanas – Centro Regional de Derechos Humanos y Justicia de Género, Corporación Sisma Mujer, Liga Internacional de Mujeres por la Paz y la Libertad [</w:t>
      </w:r>
      <w:proofErr w:type="spellStart"/>
      <w:r w:rsidRPr="00797864">
        <w:rPr>
          <w:color w:val="404040" w:themeColor="text1" w:themeTint="BF"/>
        </w:rPr>
        <w:t>Limpal</w:t>
      </w:r>
      <w:proofErr w:type="spellEnd"/>
      <w:r w:rsidRPr="00797864">
        <w:rPr>
          <w:color w:val="404040" w:themeColor="text1" w:themeTint="BF"/>
        </w:rPr>
        <w:t xml:space="preserve"> Colombia], Fundación Oriéntame, Red Nacional de Mujeres, Ruta Pacífica de las Mujeres y Tejido Mujer de la </w:t>
      </w:r>
      <w:proofErr w:type="spellStart"/>
      <w:r w:rsidRPr="00797864">
        <w:rPr>
          <w:color w:val="404040" w:themeColor="text1" w:themeTint="BF"/>
        </w:rPr>
        <w:t>Çxhab</w:t>
      </w:r>
      <w:proofErr w:type="spellEnd"/>
      <w:r w:rsidRPr="00797864">
        <w:rPr>
          <w:color w:val="404040" w:themeColor="text1" w:themeTint="BF"/>
        </w:rPr>
        <w:t xml:space="preserve"> </w:t>
      </w:r>
      <w:proofErr w:type="spellStart"/>
      <w:r w:rsidRPr="00797864">
        <w:rPr>
          <w:color w:val="404040" w:themeColor="text1" w:themeTint="BF"/>
        </w:rPr>
        <w:t>Wala</w:t>
      </w:r>
      <w:proofErr w:type="spellEnd"/>
      <w:r w:rsidRPr="00797864">
        <w:rPr>
          <w:color w:val="404040" w:themeColor="text1" w:themeTint="BF"/>
        </w:rPr>
        <w:t xml:space="preserve"> </w:t>
      </w:r>
      <w:proofErr w:type="spellStart"/>
      <w:r w:rsidRPr="00797864">
        <w:rPr>
          <w:color w:val="404040" w:themeColor="text1" w:themeTint="BF"/>
        </w:rPr>
        <w:t>Kiwe</w:t>
      </w:r>
      <w:proofErr w:type="spellEnd"/>
      <w:r w:rsidRPr="00797864">
        <w:rPr>
          <w:color w:val="404040" w:themeColor="text1" w:themeTint="BF"/>
        </w:rPr>
        <w:t xml:space="preserve">. (2020). A 20 años de la Resolución 1325. Las organizaciones de mujeres revisan su implementación en Colombia durante 2019. Bogotá, Colombia: A.F. Impresores S.A.S. Disponible en: </w:t>
      </w:r>
    </w:p>
    <w:p w14:paraId="3F357F03" w14:textId="4C9F9111" w:rsidR="00B8703A" w:rsidRPr="00797864" w:rsidRDefault="00000000" w:rsidP="00400C74">
      <w:pPr>
        <w:pStyle w:val="FootnoteText"/>
        <w:jc w:val="both"/>
        <w:rPr>
          <w:rFonts w:ascii="Open Sans" w:hAnsi="Open Sans" w:cs="Open Sans"/>
          <w:color w:val="404040" w:themeColor="text1" w:themeTint="BF"/>
          <w:sz w:val="16"/>
          <w:szCs w:val="16"/>
        </w:rPr>
      </w:pPr>
      <w:hyperlink r:id="rId26" w:history="1">
        <w:r w:rsidR="00B8703A" w:rsidRPr="00797864">
          <w:rPr>
            <w:rStyle w:val="Hyperlink"/>
            <w:rFonts w:ascii="Open Sans" w:hAnsi="Open Sans" w:cs="Open Sans"/>
            <w:color w:val="404040" w:themeColor="text1" w:themeTint="BF"/>
            <w:sz w:val="16"/>
            <w:szCs w:val="16"/>
          </w:rPr>
          <w:t>https://www.humanas.org.co/wp-content/uploads/2021/03/Informe-Resolución-1325-2021-.pdf</w:t>
        </w:r>
      </w:hyperlink>
    </w:p>
  </w:footnote>
  <w:footnote w:id="63">
    <w:p w14:paraId="7C513514" w14:textId="77777777" w:rsidR="004B45CC" w:rsidRPr="00797864" w:rsidRDefault="00795796" w:rsidP="0022182F">
      <w:pPr>
        <w:pStyle w:val="FootnoteText"/>
        <w:rPr>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La proporción de armas en manos de los colombianos —legales e ilegales— es similar que hace 24 años: 9.497 armas por cada 100 mil habitantes en 1994 versus 10.091 en 2017</w:t>
      </w:r>
      <w:r w:rsidR="002A096F" w:rsidRPr="00797864">
        <w:rPr>
          <w:color w:val="404040" w:themeColor="text1" w:themeTint="BF"/>
        </w:rPr>
        <w:t xml:space="preserve">. Fundación Ideas para la Paz – FIP. Documento de análisis “Colombia: un gran mercado de armas sin incentivos para reducirlo” (27 de julio de 2020). Disponible en: </w:t>
      </w:r>
    </w:p>
    <w:p w14:paraId="3189B42E" w14:textId="115B3DDA" w:rsidR="00B8703A" w:rsidRPr="00797864" w:rsidRDefault="00000000" w:rsidP="00400C74">
      <w:pPr>
        <w:pStyle w:val="FootnoteText"/>
        <w:jc w:val="both"/>
        <w:rPr>
          <w:rFonts w:ascii="Open Sans" w:hAnsi="Open Sans" w:cs="Open Sans"/>
          <w:color w:val="404040" w:themeColor="text1" w:themeTint="BF"/>
          <w:sz w:val="16"/>
          <w:szCs w:val="16"/>
        </w:rPr>
      </w:pPr>
      <w:hyperlink r:id="rId27" w:history="1">
        <w:r w:rsidR="00B8703A" w:rsidRPr="00797864">
          <w:rPr>
            <w:rStyle w:val="Hyperlink"/>
            <w:rFonts w:ascii="Open Sans" w:hAnsi="Open Sans" w:cs="Open Sans"/>
            <w:color w:val="404040" w:themeColor="text1" w:themeTint="BF"/>
            <w:sz w:val="16"/>
            <w:szCs w:val="16"/>
          </w:rPr>
          <w:t>https://ideaspaz.org/publicaciones/investigaciones-analisis/2020-07/colombia-un-gran-mercado-de-armas-sin-incentivos-para-reducirlo</w:t>
        </w:r>
      </w:hyperlink>
    </w:p>
  </w:footnote>
  <w:footnote w:id="64">
    <w:p w14:paraId="7F360BBA" w14:textId="77777777" w:rsidR="004B45CC" w:rsidRPr="00797864" w:rsidRDefault="00795796" w:rsidP="0022182F">
      <w:pPr>
        <w:pStyle w:val="FootnoteText"/>
        <w:rPr>
          <w:rStyle w:val="normaltextrun"/>
          <w:rFonts w:ascii="Open Sans" w:hAnsi="Open Sans" w:cs="Open Sans"/>
          <w:color w:val="404040" w:themeColor="text1" w:themeTint="BF"/>
          <w:sz w:val="16"/>
          <w:szCs w:val="16"/>
          <w:bdr w:val="none" w:sz="0" w:space="0" w:color="auto" w:frame="1"/>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Pr="00797864">
        <w:rPr>
          <w:color w:val="404040" w:themeColor="text1" w:themeTint="BF"/>
        </w:rPr>
        <w:t xml:space="preserve">Según lo reportado por </w:t>
      </w:r>
      <w:r w:rsidR="003E29BD" w:rsidRPr="00797864">
        <w:rPr>
          <w:color w:val="404040" w:themeColor="text1" w:themeTint="BF"/>
        </w:rPr>
        <w:t xml:space="preserve">el </w:t>
      </w:r>
      <w:r w:rsidR="003E29BD" w:rsidRPr="00797864">
        <w:rPr>
          <w:rStyle w:val="normaltextrun"/>
          <w:rFonts w:ascii="Open Sans" w:hAnsi="Open Sans" w:cs="Open Sans"/>
          <w:color w:val="404040" w:themeColor="text1" w:themeTint="BF"/>
          <w:sz w:val="16"/>
          <w:szCs w:val="16"/>
          <w:bdr w:val="none" w:sz="0" w:space="0" w:color="auto" w:frame="1"/>
        </w:rPr>
        <w:t>Instituto Internacional de Investigación por la Paz DE Estocolmo – SIPRI,</w:t>
      </w:r>
      <w:r w:rsidRPr="00797864">
        <w:rPr>
          <w:color w:val="404040" w:themeColor="text1" w:themeTint="BF"/>
        </w:rPr>
        <w:t xml:space="preserve"> las armas exportadas hacia Colombia en 2017 – expresadas en millones – </w:t>
      </w:r>
      <w:r w:rsidR="003E29BD" w:rsidRPr="00797864">
        <w:rPr>
          <w:color w:val="404040" w:themeColor="text1" w:themeTint="BF"/>
        </w:rPr>
        <w:t xml:space="preserve">fueron: 36 </w:t>
      </w:r>
      <w:r w:rsidRPr="00797864">
        <w:rPr>
          <w:color w:val="404040" w:themeColor="text1" w:themeTint="BF"/>
        </w:rPr>
        <w:t xml:space="preserve">desde Alemania, </w:t>
      </w:r>
      <w:r w:rsidR="003E29BD" w:rsidRPr="00797864">
        <w:rPr>
          <w:color w:val="404040" w:themeColor="text1" w:themeTint="BF"/>
        </w:rPr>
        <w:t xml:space="preserve">15 </w:t>
      </w:r>
      <w:r w:rsidRPr="00797864">
        <w:rPr>
          <w:color w:val="404040" w:themeColor="text1" w:themeTint="BF"/>
        </w:rPr>
        <w:t xml:space="preserve">desde Israel </w:t>
      </w:r>
      <w:r w:rsidR="003E29BD" w:rsidRPr="00797864">
        <w:rPr>
          <w:color w:val="404040" w:themeColor="text1" w:themeTint="BF"/>
        </w:rPr>
        <w:t>y 30</w:t>
      </w:r>
      <w:r w:rsidRPr="00797864">
        <w:rPr>
          <w:color w:val="404040" w:themeColor="text1" w:themeTint="BF"/>
        </w:rPr>
        <w:t xml:space="preserve"> desde Estados Unidos</w:t>
      </w:r>
      <w:r w:rsidR="003E29BD" w:rsidRPr="00797864">
        <w:rPr>
          <w:color w:val="404040" w:themeColor="text1" w:themeTint="BF"/>
        </w:rPr>
        <w:t xml:space="preserve">. </w:t>
      </w:r>
      <w:r w:rsidR="003E29BD" w:rsidRPr="00797864">
        <w:rPr>
          <w:rStyle w:val="normaltextrun"/>
          <w:rFonts w:ascii="Open Sans" w:hAnsi="Open Sans" w:cs="Open Sans"/>
          <w:color w:val="404040" w:themeColor="text1" w:themeTint="BF"/>
          <w:sz w:val="16"/>
          <w:szCs w:val="16"/>
          <w:bdr w:val="none" w:sz="0" w:space="0" w:color="auto" w:frame="1"/>
        </w:rPr>
        <w:t xml:space="preserve">Análisis basado en </w:t>
      </w:r>
      <w:r w:rsidR="003E29BD" w:rsidRPr="00797864">
        <w:rPr>
          <w:rStyle w:val="normaltextrun"/>
          <w:color w:val="404040" w:themeColor="text1" w:themeTint="BF"/>
        </w:rPr>
        <w:t>reporte</w:t>
      </w:r>
      <w:r w:rsidR="003E29BD" w:rsidRPr="00797864">
        <w:rPr>
          <w:rStyle w:val="normaltextrun"/>
          <w:rFonts w:ascii="Open Sans" w:hAnsi="Open Sans" w:cs="Open Sans"/>
          <w:color w:val="404040" w:themeColor="text1" w:themeTint="BF"/>
          <w:sz w:val="16"/>
          <w:szCs w:val="16"/>
          <w:bdr w:val="none" w:sz="0" w:space="0" w:color="auto" w:frame="1"/>
        </w:rPr>
        <w:t xml:space="preserve"> del SIPRI. Disponible en:</w:t>
      </w:r>
    </w:p>
    <w:p w14:paraId="776EF426" w14:textId="576CDE2C" w:rsidR="00795796" w:rsidRPr="00797864" w:rsidRDefault="00000000" w:rsidP="006C315C">
      <w:pPr>
        <w:pStyle w:val="FootnoteText"/>
        <w:jc w:val="both"/>
        <w:rPr>
          <w:rFonts w:ascii="Open Sans" w:hAnsi="Open Sans" w:cs="Open Sans"/>
          <w:color w:val="404040" w:themeColor="text1" w:themeTint="BF"/>
          <w:sz w:val="16"/>
          <w:szCs w:val="16"/>
          <w:u w:val="single"/>
        </w:rPr>
      </w:pPr>
      <w:hyperlink r:id="rId28" w:history="1">
        <w:r w:rsidR="003E29BD" w:rsidRPr="00797864">
          <w:rPr>
            <w:rStyle w:val="Hyperlink"/>
            <w:rFonts w:ascii="Open Sans" w:hAnsi="Open Sans" w:cs="Open Sans"/>
            <w:color w:val="404040" w:themeColor="text1" w:themeTint="BF"/>
            <w:sz w:val="16"/>
            <w:szCs w:val="16"/>
          </w:rPr>
          <w:t>https://datos.bancomundial.org/indicator/MS.MIL.MPRT.KD</w:t>
        </w:r>
      </w:hyperlink>
    </w:p>
  </w:footnote>
  <w:footnote w:id="65">
    <w:p w14:paraId="36DFA2FB" w14:textId="77777777" w:rsidR="004B45CC" w:rsidRPr="00797864" w:rsidRDefault="00B31650" w:rsidP="0022182F">
      <w:pPr>
        <w:pStyle w:val="FootnoteText"/>
        <w:rPr>
          <w:rStyle w:val="normaltextrun"/>
          <w:color w:val="404040" w:themeColor="text1" w:themeTint="BF"/>
        </w:rPr>
      </w:pPr>
      <w:r w:rsidRPr="00797864">
        <w:rPr>
          <w:rStyle w:val="FootnoteReference"/>
          <w:rFonts w:ascii="Open Sans" w:hAnsi="Open Sans" w:cs="Open Sans"/>
          <w:color w:val="404040" w:themeColor="text1" w:themeTint="BF"/>
          <w:sz w:val="16"/>
          <w:szCs w:val="16"/>
        </w:rPr>
        <w:footnoteRef/>
      </w:r>
      <w:r w:rsidRPr="00797864">
        <w:rPr>
          <w:color w:val="404040" w:themeColor="text1" w:themeTint="BF"/>
        </w:rPr>
        <w:t xml:space="preserve"> </w:t>
      </w:r>
      <w:r w:rsidR="008F6B91" w:rsidRPr="00797864">
        <w:rPr>
          <w:rStyle w:val="normaltextrun"/>
          <w:color w:val="404040" w:themeColor="text1" w:themeTint="BF"/>
        </w:rPr>
        <w:t>Comisión de la Verdad. (2022).  Informe final. Hay futuro si hay verdad, tomo “Mi cuerpo es la verdad. Experiencias de mujeres y personas LGBTIQ+ en el conflicto armado” página 205. Disponible en:</w:t>
      </w:r>
    </w:p>
    <w:p w14:paraId="177F0653" w14:textId="5D3220AE" w:rsidR="00B8703A" w:rsidRPr="00797864" w:rsidRDefault="00000000" w:rsidP="0022182F">
      <w:pPr>
        <w:pStyle w:val="FootnoteText"/>
        <w:rPr>
          <w:color w:val="404040" w:themeColor="text1" w:themeTint="BF"/>
          <w:bdr w:val="none" w:sz="0" w:space="0" w:color="auto" w:frame="1"/>
        </w:rPr>
      </w:pPr>
      <w:hyperlink r:id="rId29" w:history="1">
        <w:r w:rsidR="00B8703A" w:rsidRPr="00797864">
          <w:rPr>
            <w:rStyle w:val="Hyperlink"/>
            <w:color w:val="404040" w:themeColor="text1" w:themeTint="BF"/>
            <w:u w:val="none"/>
          </w:rPr>
          <w:t>https://www.comisiondelaverdad.co/mi-cuerpo-es-la-verdas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3E8DF" w14:textId="77777777" w:rsidR="00795796" w:rsidRDefault="00795796" w:rsidP="00E40B1B">
    <w:pPr>
      <w:pBdr>
        <w:top w:val="nil"/>
        <w:left w:val="nil"/>
        <w:bottom w:val="nil"/>
        <w:right w:val="nil"/>
        <w:between w:val="nil"/>
      </w:pBdr>
      <w:tabs>
        <w:tab w:val="center" w:pos="4419"/>
        <w:tab w:val="right" w:pos="8838"/>
      </w:tabs>
      <w:jc w:val="right"/>
      <w:rPr>
        <w:rFonts w:ascii="Gill Sans" w:eastAsia="Gill Sans" w:hAnsi="Gill Sans" w:cs="Gill Sans"/>
        <w:b/>
        <w:color w:val="8064A2"/>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3F13"/>
    <w:multiLevelType w:val="hybridMultilevel"/>
    <w:tmpl w:val="05608370"/>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2216584"/>
    <w:multiLevelType w:val="hybridMultilevel"/>
    <w:tmpl w:val="85A460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2B04A7B"/>
    <w:multiLevelType w:val="hybridMultilevel"/>
    <w:tmpl w:val="464A1AEE"/>
    <w:lvl w:ilvl="0" w:tplc="EACC56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E0F1F"/>
    <w:multiLevelType w:val="hybridMultilevel"/>
    <w:tmpl w:val="CEF63252"/>
    <w:lvl w:ilvl="0" w:tplc="D2E4FA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F6349B"/>
    <w:multiLevelType w:val="hybridMultilevel"/>
    <w:tmpl w:val="47949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36B554C"/>
    <w:multiLevelType w:val="hybridMultilevel"/>
    <w:tmpl w:val="DEC02F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3ED381B"/>
    <w:multiLevelType w:val="hybridMultilevel"/>
    <w:tmpl w:val="31C49968"/>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131DBF"/>
    <w:multiLevelType w:val="hybridMultilevel"/>
    <w:tmpl w:val="A336F1A6"/>
    <w:lvl w:ilvl="0" w:tplc="7AF46F6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1A2178"/>
    <w:multiLevelType w:val="hybridMultilevel"/>
    <w:tmpl w:val="796CA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D35E1B"/>
    <w:multiLevelType w:val="hybridMultilevel"/>
    <w:tmpl w:val="A66E592C"/>
    <w:lvl w:ilvl="0" w:tplc="EB42E4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63764D"/>
    <w:multiLevelType w:val="hybridMultilevel"/>
    <w:tmpl w:val="84E6C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CA50FE"/>
    <w:multiLevelType w:val="multilevel"/>
    <w:tmpl w:val="E594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CD2AAE"/>
    <w:multiLevelType w:val="hybridMultilevel"/>
    <w:tmpl w:val="10EC74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E53C3C"/>
    <w:multiLevelType w:val="hybridMultilevel"/>
    <w:tmpl w:val="A190AB44"/>
    <w:lvl w:ilvl="0" w:tplc="60ECA90C">
      <w:start w:val="132"/>
      <w:numFmt w:val="bullet"/>
      <w:lvlText w:val="-"/>
      <w:lvlJc w:val="left"/>
      <w:pPr>
        <w:ind w:left="720" w:hanging="360"/>
      </w:pPr>
      <w:rPr>
        <w:rFonts w:ascii="Times New Roman" w:eastAsia="Times New Roman" w:hAnsi="Times New Roman" w:cs="Times New Roman" w:hint="default"/>
        <w:i/>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10221DCC"/>
    <w:multiLevelType w:val="hybridMultilevel"/>
    <w:tmpl w:val="99B4F79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0E26333"/>
    <w:multiLevelType w:val="hybridMultilevel"/>
    <w:tmpl w:val="C212B0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B80ECA"/>
    <w:multiLevelType w:val="hybridMultilevel"/>
    <w:tmpl w:val="2444A932"/>
    <w:lvl w:ilvl="0" w:tplc="81FE6C50">
      <w:start w:val="1"/>
      <w:numFmt w:val="upperRoman"/>
      <w:pStyle w:val="Estilo3"/>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82F7F0D"/>
    <w:multiLevelType w:val="hybridMultilevel"/>
    <w:tmpl w:val="A4641C72"/>
    <w:lvl w:ilvl="0" w:tplc="FB2C54D4">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E101CE"/>
    <w:multiLevelType w:val="hybridMultilevel"/>
    <w:tmpl w:val="4AB8F170"/>
    <w:lvl w:ilvl="0" w:tplc="240A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B47234E"/>
    <w:multiLevelType w:val="hybridMultilevel"/>
    <w:tmpl w:val="2C681DCE"/>
    <w:lvl w:ilvl="0" w:tplc="E21CD556">
      <w:start w:val="1"/>
      <w:numFmt w:val="bullet"/>
      <w:lvlText w:val=""/>
      <w:lvlJc w:val="left"/>
      <w:pPr>
        <w:ind w:left="720" w:hanging="360"/>
      </w:pPr>
      <w:rPr>
        <w:rFonts w:ascii="Symbol" w:hAnsi="Symbol" w:hint="default"/>
        <w:i/>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1B9A1501"/>
    <w:multiLevelType w:val="hybridMultilevel"/>
    <w:tmpl w:val="6794F680"/>
    <w:lvl w:ilvl="0" w:tplc="196474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613743"/>
    <w:multiLevelType w:val="hybridMultilevel"/>
    <w:tmpl w:val="974CDA66"/>
    <w:lvl w:ilvl="0" w:tplc="240A0001">
      <w:start w:val="1"/>
      <w:numFmt w:val="bullet"/>
      <w:lvlText w:val=""/>
      <w:lvlJc w:val="left"/>
      <w:pPr>
        <w:ind w:left="720" w:hanging="720"/>
      </w:pPr>
      <w:rPr>
        <w:rFonts w:ascii="Symbol" w:hAnsi="Symbo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04248B6"/>
    <w:multiLevelType w:val="hybridMultilevel"/>
    <w:tmpl w:val="6772F0DE"/>
    <w:lvl w:ilvl="0" w:tplc="E21CD556">
      <w:start w:val="1"/>
      <w:numFmt w:val="bullet"/>
      <w:lvlText w:val=""/>
      <w:lvlJc w:val="left"/>
      <w:pPr>
        <w:ind w:left="720" w:hanging="360"/>
      </w:pPr>
      <w:rPr>
        <w:rFonts w:ascii="Symbol" w:hAnsi="Symbol"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BD2346"/>
    <w:multiLevelType w:val="hybridMultilevel"/>
    <w:tmpl w:val="E8FCB12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6930E32"/>
    <w:multiLevelType w:val="hybridMultilevel"/>
    <w:tmpl w:val="4D7C1442"/>
    <w:lvl w:ilvl="0" w:tplc="86A633C4">
      <w:start w:val="5"/>
      <w:numFmt w:val="upperRoman"/>
      <w:lvlText w:val="%1."/>
      <w:lvlJc w:val="left"/>
      <w:pPr>
        <w:ind w:left="1080" w:hanging="720"/>
      </w:pPr>
      <w:rPr>
        <w:rFonts w:eastAsiaTheme="minorHAns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E83031E"/>
    <w:multiLevelType w:val="hybridMultilevel"/>
    <w:tmpl w:val="7570C6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FB57C6E"/>
    <w:multiLevelType w:val="hybridMultilevel"/>
    <w:tmpl w:val="EC74A1C6"/>
    <w:lvl w:ilvl="0" w:tplc="C532B196">
      <w:start w:val="1"/>
      <w:numFmt w:val="bullet"/>
      <w:pStyle w:val="Estilo1"/>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38BE1A0B"/>
    <w:multiLevelType w:val="hybridMultilevel"/>
    <w:tmpl w:val="BB148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8B67AD"/>
    <w:multiLevelType w:val="hybridMultilevel"/>
    <w:tmpl w:val="774CFD6C"/>
    <w:lvl w:ilvl="0" w:tplc="240A0003">
      <w:start w:val="1"/>
      <w:numFmt w:val="bullet"/>
      <w:lvlText w:val="o"/>
      <w:lvlJc w:val="left"/>
      <w:pPr>
        <w:ind w:left="1080" w:hanging="360"/>
      </w:pPr>
      <w:rPr>
        <w:rFonts w:ascii="Courier New" w:hAnsi="Courier New" w:cs="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15:restartNumberingAfterBreak="0">
    <w:nsid w:val="412267FB"/>
    <w:multiLevelType w:val="hybridMultilevel"/>
    <w:tmpl w:val="9DCAE5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3E2164"/>
    <w:multiLevelType w:val="hybridMultilevel"/>
    <w:tmpl w:val="6CAC8214"/>
    <w:lvl w:ilvl="0" w:tplc="E21CD556">
      <w:start w:val="1"/>
      <w:numFmt w:val="bullet"/>
      <w:lvlText w:val=""/>
      <w:lvlJc w:val="left"/>
      <w:pPr>
        <w:ind w:left="720" w:hanging="360"/>
      </w:pPr>
      <w:rPr>
        <w:rFonts w:ascii="Symbol" w:hAnsi="Symbol"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22138"/>
    <w:multiLevelType w:val="hybridMultilevel"/>
    <w:tmpl w:val="3EFCDB24"/>
    <w:lvl w:ilvl="0" w:tplc="240A0001">
      <w:start w:val="1"/>
      <w:numFmt w:val="bullet"/>
      <w:lvlText w:val=""/>
      <w:lvlJc w:val="left"/>
      <w:pPr>
        <w:ind w:left="1080" w:hanging="72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9307D09"/>
    <w:multiLevelType w:val="hybridMultilevel"/>
    <w:tmpl w:val="1AAA3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CF1B3E"/>
    <w:multiLevelType w:val="hybridMultilevel"/>
    <w:tmpl w:val="A49EF3B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B3702B"/>
    <w:multiLevelType w:val="multilevel"/>
    <w:tmpl w:val="DDC0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B32292"/>
    <w:multiLevelType w:val="hybridMultilevel"/>
    <w:tmpl w:val="D782541A"/>
    <w:lvl w:ilvl="0" w:tplc="24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641C18"/>
    <w:multiLevelType w:val="hybridMultilevel"/>
    <w:tmpl w:val="E58A6102"/>
    <w:lvl w:ilvl="0" w:tplc="240A0001">
      <w:start w:val="1"/>
      <w:numFmt w:val="bullet"/>
      <w:lvlText w:val=""/>
      <w:lvlJc w:val="left"/>
      <w:pPr>
        <w:ind w:left="1080" w:hanging="72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95F02"/>
    <w:multiLevelType w:val="hybridMultilevel"/>
    <w:tmpl w:val="2D1A82DE"/>
    <w:lvl w:ilvl="0" w:tplc="E21CD556">
      <w:start w:val="1"/>
      <w:numFmt w:val="bullet"/>
      <w:lvlText w:val=""/>
      <w:lvlJc w:val="left"/>
      <w:pPr>
        <w:ind w:left="720" w:hanging="360"/>
      </w:pPr>
      <w:rPr>
        <w:rFonts w:ascii="Symbol" w:hAnsi="Symbol"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AF1116"/>
    <w:multiLevelType w:val="hybridMultilevel"/>
    <w:tmpl w:val="8E664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BD33C6"/>
    <w:multiLevelType w:val="hybridMultilevel"/>
    <w:tmpl w:val="8A7C629E"/>
    <w:lvl w:ilvl="0" w:tplc="E21CD556">
      <w:start w:val="1"/>
      <w:numFmt w:val="bullet"/>
      <w:lvlText w:val=""/>
      <w:lvlJc w:val="left"/>
      <w:pPr>
        <w:ind w:left="720" w:hanging="360"/>
      </w:pPr>
      <w:rPr>
        <w:rFonts w:ascii="Symbol" w:hAnsi="Symbol"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CB5FE3"/>
    <w:multiLevelType w:val="hybridMultilevel"/>
    <w:tmpl w:val="8F067E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90435B"/>
    <w:multiLevelType w:val="hybridMultilevel"/>
    <w:tmpl w:val="F09AECE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96E4F0C"/>
    <w:multiLevelType w:val="hybridMultilevel"/>
    <w:tmpl w:val="9BB62A92"/>
    <w:lvl w:ilvl="0" w:tplc="240A0001">
      <w:start w:val="1"/>
      <w:numFmt w:val="bullet"/>
      <w:lvlText w:val=""/>
      <w:lvlJc w:val="left"/>
      <w:pPr>
        <w:ind w:left="1080" w:hanging="72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9799106">
    <w:abstractNumId w:val="26"/>
  </w:num>
  <w:num w:numId="2" w16cid:durableId="1804537873">
    <w:abstractNumId w:val="41"/>
  </w:num>
  <w:num w:numId="3" w16cid:durableId="1917594341">
    <w:abstractNumId w:val="0"/>
  </w:num>
  <w:num w:numId="4" w16cid:durableId="1235092081">
    <w:abstractNumId w:val="11"/>
  </w:num>
  <w:num w:numId="5" w16cid:durableId="791676270">
    <w:abstractNumId w:val="34"/>
  </w:num>
  <w:num w:numId="6" w16cid:durableId="949699566">
    <w:abstractNumId w:val="7"/>
  </w:num>
  <w:num w:numId="7" w16cid:durableId="1091010045">
    <w:abstractNumId w:val="16"/>
  </w:num>
  <w:num w:numId="8" w16cid:durableId="840395632">
    <w:abstractNumId w:val="1"/>
  </w:num>
  <w:num w:numId="9" w16cid:durableId="1775439447">
    <w:abstractNumId w:val="25"/>
  </w:num>
  <w:num w:numId="10" w16cid:durableId="1485076644">
    <w:abstractNumId w:val="8"/>
  </w:num>
  <w:num w:numId="11" w16cid:durableId="1745491235">
    <w:abstractNumId w:val="28"/>
  </w:num>
  <w:num w:numId="12" w16cid:durableId="933435104">
    <w:abstractNumId w:val="13"/>
  </w:num>
  <w:num w:numId="13" w16cid:durableId="1709715897">
    <w:abstractNumId w:val="19"/>
  </w:num>
  <w:num w:numId="14" w16cid:durableId="1701012403">
    <w:abstractNumId w:val="40"/>
  </w:num>
  <w:num w:numId="15" w16cid:durableId="928007913">
    <w:abstractNumId w:val="6"/>
  </w:num>
  <w:num w:numId="16" w16cid:durableId="903494416">
    <w:abstractNumId w:val="14"/>
  </w:num>
  <w:num w:numId="17" w16cid:durableId="888564822">
    <w:abstractNumId w:val="38"/>
  </w:num>
  <w:num w:numId="18" w16cid:durableId="924649222">
    <w:abstractNumId w:val="4"/>
  </w:num>
  <w:num w:numId="19" w16cid:durableId="1530219361">
    <w:abstractNumId w:val="15"/>
  </w:num>
  <w:num w:numId="20" w16cid:durableId="11958010">
    <w:abstractNumId w:val="18"/>
  </w:num>
  <w:num w:numId="21" w16cid:durableId="60257005">
    <w:abstractNumId w:val="24"/>
  </w:num>
  <w:num w:numId="22" w16cid:durableId="499076226">
    <w:abstractNumId w:val="5"/>
  </w:num>
  <w:num w:numId="23" w16cid:durableId="1359159313">
    <w:abstractNumId w:val="21"/>
  </w:num>
  <w:num w:numId="24" w16cid:durableId="389157607">
    <w:abstractNumId w:val="31"/>
  </w:num>
  <w:num w:numId="25" w16cid:durableId="1950045450">
    <w:abstractNumId w:val="42"/>
  </w:num>
  <w:num w:numId="26" w16cid:durableId="1277903963">
    <w:abstractNumId w:val="36"/>
  </w:num>
  <w:num w:numId="27" w16cid:durableId="2018076733">
    <w:abstractNumId w:val="12"/>
  </w:num>
  <w:num w:numId="28" w16cid:durableId="159394560">
    <w:abstractNumId w:val="23"/>
  </w:num>
  <w:num w:numId="29" w16cid:durableId="1845315711">
    <w:abstractNumId w:val="33"/>
  </w:num>
  <w:num w:numId="30" w16cid:durableId="1817645738">
    <w:abstractNumId w:val="20"/>
  </w:num>
  <w:num w:numId="31" w16cid:durableId="114832763">
    <w:abstractNumId w:val="32"/>
  </w:num>
  <w:num w:numId="32" w16cid:durableId="1198398371">
    <w:abstractNumId w:val="10"/>
  </w:num>
  <w:num w:numId="33" w16cid:durableId="1972399832">
    <w:abstractNumId w:val="27"/>
  </w:num>
  <w:num w:numId="34" w16cid:durableId="693187136">
    <w:abstractNumId w:val="39"/>
  </w:num>
  <w:num w:numId="35" w16cid:durableId="1840196175">
    <w:abstractNumId w:val="30"/>
  </w:num>
  <w:num w:numId="36" w16cid:durableId="2062241848">
    <w:abstractNumId w:val="37"/>
  </w:num>
  <w:num w:numId="37" w16cid:durableId="443694568">
    <w:abstractNumId w:val="22"/>
  </w:num>
  <w:num w:numId="38" w16cid:durableId="2144228156">
    <w:abstractNumId w:val="35"/>
  </w:num>
  <w:num w:numId="39" w16cid:durableId="372927775">
    <w:abstractNumId w:val="17"/>
  </w:num>
  <w:num w:numId="40" w16cid:durableId="1570917771">
    <w:abstractNumId w:val="2"/>
  </w:num>
  <w:num w:numId="41" w16cid:durableId="1807971528">
    <w:abstractNumId w:val="3"/>
  </w:num>
  <w:num w:numId="42" w16cid:durableId="1649357202">
    <w:abstractNumId w:val="9"/>
  </w:num>
  <w:num w:numId="43" w16cid:durableId="8697984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9D"/>
    <w:rsid w:val="00001597"/>
    <w:rsid w:val="0000261A"/>
    <w:rsid w:val="000047BA"/>
    <w:rsid w:val="00015004"/>
    <w:rsid w:val="00021586"/>
    <w:rsid w:val="00024C3E"/>
    <w:rsid w:val="0003364C"/>
    <w:rsid w:val="0003768B"/>
    <w:rsid w:val="000451A9"/>
    <w:rsid w:val="0004578C"/>
    <w:rsid w:val="000508E2"/>
    <w:rsid w:val="000558AD"/>
    <w:rsid w:val="00071E80"/>
    <w:rsid w:val="00075C54"/>
    <w:rsid w:val="00076EE9"/>
    <w:rsid w:val="00076FAA"/>
    <w:rsid w:val="000810BC"/>
    <w:rsid w:val="0009290C"/>
    <w:rsid w:val="000A3BEE"/>
    <w:rsid w:val="000B1777"/>
    <w:rsid w:val="000B69D4"/>
    <w:rsid w:val="000F667F"/>
    <w:rsid w:val="00106FAF"/>
    <w:rsid w:val="00110AC8"/>
    <w:rsid w:val="00114068"/>
    <w:rsid w:val="001154A6"/>
    <w:rsid w:val="00121538"/>
    <w:rsid w:val="00121F15"/>
    <w:rsid w:val="001224B5"/>
    <w:rsid w:val="00122FE6"/>
    <w:rsid w:val="00123E49"/>
    <w:rsid w:val="001256D9"/>
    <w:rsid w:val="00127150"/>
    <w:rsid w:val="00127AD5"/>
    <w:rsid w:val="00131777"/>
    <w:rsid w:val="00131C5E"/>
    <w:rsid w:val="00132178"/>
    <w:rsid w:val="00142A07"/>
    <w:rsid w:val="001453B1"/>
    <w:rsid w:val="001520A8"/>
    <w:rsid w:val="00162EB2"/>
    <w:rsid w:val="00164543"/>
    <w:rsid w:val="001645D9"/>
    <w:rsid w:val="001676C1"/>
    <w:rsid w:val="00167A93"/>
    <w:rsid w:val="00171764"/>
    <w:rsid w:val="00175209"/>
    <w:rsid w:val="00182D26"/>
    <w:rsid w:val="00184623"/>
    <w:rsid w:val="00186031"/>
    <w:rsid w:val="00193979"/>
    <w:rsid w:val="00197010"/>
    <w:rsid w:val="00197973"/>
    <w:rsid w:val="001A64C4"/>
    <w:rsid w:val="001A6DC8"/>
    <w:rsid w:val="001B46E8"/>
    <w:rsid w:val="001B595B"/>
    <w:rsid w:val="001C22BC"/>
    <w:rsid w:val="001D512C"/>
    <w:rsid w:val="001D7528"/>
    <w:rsid w:val="001E3558"/>
    <w:rsid w:val="001F0C43"/>
    <w:rsid w:val="001F4A75"/>
    <w:rsid w:val="001F66AE"/>
    <w:rsid w:val="00201A23"/>
    <w:rsid w:val="002052C8"/>
    <w:rsid w:val="00214B9D"/>
    <w:rsid w:val="0022182F"/>
    <w:rsid w:val="00232514"/>
    <w:rsid w:val="00233FA9"/>
    <w:rsid w:val="00236496"/>
    <w:rsid w:val="00242321"/>
    <w:rsid w:val="00243B13"/>
    <w:rsid w:val="00243E60"/>
    <w:rsid w:val="00252116"/>
    <w:rsid w:val="00255B18"/>
    <w:rsid w:val="002576EA"/>
    <w:rsid w:val="00265488"/>
    <w:rsid w:val="00273FC7"/>
    <w:rsid w:val="002864F9"/>
    <w:rsid w:val="00287EF3"/>
    <w:rsid w:val="0029050A"/>
    <w:rsid w:val="00291B41"/>
    <w:rsid w:val="00295209"/>
    <w:rsid w:val="002A096F"/>
    <w:rsid w:val="002B21E9"/>
    <w:rsid w:val="002B5761"/>
    <w:rsid w:val="002C0DC0"/>
    <w:rsid w:val="002C35F0"/>
    <w:rsid w:val="002C44DD"/>
    <w:rsid w:val="002D109A"/>
    <w:rsid w:val="002D1FDF"/>
    <w:rsid w:val="002E1BD9"/>
    <w:rsid w:val="00303FEB"/>
    <w:rsid w:val="0030635B"/>
    <w:rsid w:val="00334CAE"/>
    <w:rsid w:val="003519D0"/>
    <w:rsid w:val="003550A8"/>
    <w:rsid w:val="00364D1B"/>
    <w:rsid w:val="0036776D"/>
    <w:rsid w:val="00383C49"/>
    <w:rsid w:val="00384272"/>
    <w:rsid w:val="00395312"/>
    <w:rsid w:val="003B6966"/>
    <w:rsid w:val="003C335D"/>
    <w:rsid w:val="003C782C"/>
    <w:rsid w:val="003D299C"/>
    <w:rsid w:val="003D38E4"/>
    <w:rsid w:val="003E29BD"/>
    <w:rsid w:val="003F358E"/>
    <w:rsid w:val="003F3627"/>
    <w:rsid w:val="003F785D"/>
    <w:rsid w:val="00400C74"/>
    <w:rsid w:val="00401CD8"/>
    <w:rsid w:val="004036CA"/>
    <w:rsid w:val="00404EFC"/>
    <w:rsid w:val="00425F88"/>
    <w:rsid w:val="004331D4"/>
    <w:rsid w:val="00440064"/>
    <w:rsid w:val="00440BFD"/>
    <w:rsid w:val="00442813"/>
    <w:rsid w:val="00447243"/>
    <w:rsid w:val="00457F72"/>
    <w:rsid w:val="00464D95"/>
    <w:rsid w:val="00465979"/>
    <w:rsid w:val="00481B51"/>
    <w:rsid w:val="0049137D"/>
    <w:rsid w:val="00495B56"/>
    <w:rsid w:val="0049725A"/>
    <w:rsid w:val="00497DD0"/>
    <w:rsid w:val="004B45CC"/>
    <w:rsid w:val="004C201B"/>
    <w:rsid w:val="004D1AAA"/>
    <w:rsid w:val="004D394D"/>
    <w:rsid w:val="004E0064"/>
    <w:rsid w:val="004E0568"/>
    <w:rsid w:val="004E2B91"/>
    <w:rsid w:val="004E3D89"/>
    <w:rsid w:val="004E67EB"/>
    <w:rsid w:val="004F2399"/>
    <w:rsid w:val="004F4AE4"/>
    <w:rsid w:val="004F5C29"/>
    <w:rsid w:val="004F6F3F"/>
    <w:rsid w:val="00500882"/>
    <w:rsid w:val="005031E5"/>
    <w:rsid w:val="00505939"/>
    <w:rsid w:val="00511769"/>
    <w:rsid w:val="00524339"/>
    <w:rsid w:val="00524A25"/>
    <w:rsid w:val="00526A52"/>
    <w:rsid w:val="0053045B"/>
    <w:rsid w:val="00531D30"/>
    <w:rsid w:val="00536C93"/>
    <w:rsid w:val="00564B9F"/>
    <w:rsid w:val="00571B07"/>
    <w:rsid w:val="00576572"/>
    <w:rsid w:val="0057764B"/>
    <w:rsid w:val="00594B6C"/>
    <w:rsid w:val="005A0958"/>
    <w:rsid w:val="005A18FA"/>
    <w:rsid w:val="005A2241"/>
    <w:rsid w:val="005A55AA"/>
    <w:rsid w:val="005B7518"/>
    <w:rsid w:val="005C26C8"/>
    <w:rsid w:val="005C462A"/>
    <w:rsid w:val="005C7AF1"/>
    <w:rsid w:val="005D44A9"/>
    <w:rsid w:val="005D62A3"/>
    <w:rsid w:val="005E135B"/>
    <w:rsid w:val="005E1C35"/>
    <w:rsid w:val="005E26D1"/>
    <w:rsid w:val="005E34AB"/>
    <w:rsid w:val="0061146C"/>
    <w:rsid w:val="006149A1"/>
    <w:rsid w:val="00617AF7"/>
    <w:rsid w:val="00633CA3"/>
    <w:rsid w:val="00637DFF"/>
    <w:rsid w:val="00646F9A"/>
    <w:rsid w:val="006548B4"/>
    <w:rsid w:val="00657AFB"/>
    <w:rsid w:val="00664B45"/>
    <w:rsid w:val="00667CF7"/>
    <w:rsid w:val="006710FF"/>
    <w:rsid w:val="00672BE0"/>
    <w:rsid w:val="00680923"/>
    <w:rsid w:val="00683149"/>
    <w:rsid w:val="006953EB"/>
    <w:rsid w:val="006A2F65"/>
    <w:rsid w:val="006A5528"/>
    <w:rsid w:val="006A6225"/>
    <w:rsid w:val="006A6E66"/>
    <w:rsid w:val="006B4924"/>
    <w:rsid w:val="006B6F55"/>
    <w:rsid w:val="006C0300"/>
    <w:rsid w:val="006C0632"/>
    <w:rsid w:val="006C17FD"/>
    <w:rsid w:val="006C315C"/>
    <w:rsid w:val="006E1AD8"/>
    <w:rsid w:val="006E41A0"/>
    <w:rsid w:val="006F1A02"/>
    <w:rsid w:val="006F2FAE"/>
    <w:rsid w:val="00700673"/>
    <w:rsid w:val="00701620"/>
    <w:rsid w:val="0071781F"/>
    <w:rsid w:val="00723843"/>
    <w:rsid w:val="00725659"/>
    <w:rsid w:val="007300C1"/>
    <w:rsid w:val="00735A62"/>
    <w:rsid w:val="007420FC"/>
    <w:rsid w:val="00744A0E"/>
    <w:rsid w:val="00746D1C"/>
    <w:rsid w:val="00754FF3"/>
    <w:rsid w:val="0076678C"/>
    <w:rsid w:val="007705D5"/>
    <w:rsid w:val="0077603F"/>
    <w:rsid w:val="00777156"/>
    <w:rsid w:val="00780394"/>
    <w:rsid w:val="007848A8"/>
    <w:rsid w:val="00784FA1"/>
    <w:rsid w:val="00786C5D"/>
    <w:rsid w:val="0079314B"/>
    <w:rsid w:val="00795796"/>
    <w:rsid w:val="00795810"/>
    <w:rsid w:val="00797864"/>
    <w:rsid w:val="007A04BF"/>
    <w:rsid w:val="007A2E6F"/>
    <w:rsid w:val="007B29F5"/>
    <w:rsid w:val="007B5051"/>
    <w:rsid w:val="007B7407"/>
    <w:rsid w:val="007D5C07"/>
    <w:rsid w:val="007E4E24"/>
    <w:rsid w:val="007F7A05"/>
    <w:rsid w:val="00800546"/>
    <w:rsid w:val="0080650F"/>
    <w:rsid w:val="00812160"/>
    <w:rsid w:val="0081266E"/>
    <w:rsid w:val="00813ED7"/>
    <w:rsid w:val="00816FC0"/>
    <w:rsid w:val="00837343"/>
    <w:rsid w:val="0083759E"/>
    <w:rsid w:val="00842684"/>
    <w:rsid w:val="00845E32"/>
    <w:rsid w:val="00850FB9"/>
    <w:rsid w:val="008636AA"/>
    <w:rsid w:val="0086429D"/>
    <w:rsid w:val="00865579"/>
    <w:rsid w:val="00866630"/>
    <w:rsid w:val="00866FC0"/>
    <w:rsid w:val="00873684"/>
    <w:rsid w:val="00887BE5"/>
    <w:rsid w:val="00897433"/>
    <w:rsid w:val="008A45EF"/>
    <w:rsid w:val="008A53EA"/>
    <w:rsid w:val="008A796C"/>
    <w:rsid w:val="008B563B"/>
    <w:rsid w:val="008B69A3"/>
    <w:rsid w:val="008B6F3F"/>
    <w:rsid w:val="008C080C"/>
    <w:rsid w:val="008C61CD"/>
    <w:rsid w:val="008C6EB8"/>
    <w:rsid w:val="008D277E"/>
    <w:rsid w:val="008D35BD"/>
    <w:rsid w:val="008D4B9A"/>
    <w:rsid w:val="008D50FA"/>
    <w:rsid w:val="008E00BA"/>
    <w:rsid w:val="008E0C48"/>
    <w:rsid w:val="008E0ED1"/>
    <w:rsid w:val="008E392D"/>
    <w:rsid w:val="008F164D"/>
    <w:rsid w:val="008F1A64"/>
    <w:rsid w:val="008F47A0"/>
    <w:rsid w:val="008F6B91"/>
    <w:rsid w:val="008F7440"/>
    <w:rsid w:val="00901EEA"/>
    <w:rsid w:val="009074C8"/>
    <w:rsid w:val="009147D6"/>
    <w:rsid w:val="00914CBA"/>
    <w:rsid w:val="00940141"/>
    <w:rsid w:val="00942198"/>
    <w:rsid w:val="00943F16"/>
    <w:rsid w:val="00953E36"/>
    <w:rsid w:val="00965AA2"/>
    <w:rsid w:val="009736CC"/>
    <w:rsid w:val="009841A1"/>
    <w:rsid w:val="00986E27"/>
    <w:rsid w:val="009A0D1D"/>
    <w:rsid w:val="009B327A"/>
    <w:rsid w:val="009C1917"/>
    <w:rsid w:val="009D68AE"/>
    <w:rsid w:val="009F4557"/>
    <w:rsid w:val="009F4E35"/>
    <w:rsid w:val="00A042C7"/>
    <w:rsid w:val="00A21882"/>
    <w:rsid w:val="00A258BA"/>
    <w:rsid w:val="00A33DE5"/>
    <w:rsid w:val="00A34DBA"/>
    <w:rsid w:val="00A36DFB"/>
    <w:rsid w:val="00A36FA5"/>
    <w:rsid w:val="00A4266B"/>
    <w:rsid w:val="00A52F2B"/>
    <w:rsid w:val="00A5567C"/>
    <w:rsid w:val="00A57B09"/>
    <w:rsid w:val="00A679A5"/>
    <w:rsid w:val="00A71BA4"/>
    <w:rsid w:val="00A7534D"/>
    <w:rsid w:val="00A7774F"/>
    <w:rsid w:val="00A77E76"/>
    <w:rsid w:val="00A84696"/>
    <w:rsid w:val="00A93FFD"/>
    <w:rsid w:val="00A95BF5"/>
    <w:rsid w:val="00A976D9"/>
    <w:rsid w:val="00AA055E"/>
    <w:rsid w:val="00AA3711"/>
    <w:rsid w:val="00AA4A9C"/>
    <w:rsid w:val="00AA7933"/>
    <w:rsid w:val="00AB43F5"/>
    <w:rsid w:val="00AC0D23"/>
    <w:rsid w:val="00AE04B8"/>
    <w:rsid w:val="00AE2244"/>
    <w:rsid w:val="00AE5144"/>
    <w:rsid w:val="00B0001B"/>
    <w:rsid w:val="00B00A57"/>
    <w:rsid w:val="00B016A2"/>
    <w:rsid w:val="00B01D95"/>
    <w:rsid w:val="00B0286C"/>
    <w:rsid w:val="00B05F26"/>
    <w:rsid w:val="00B1265C"/>
    <w:rsid w:val="00B148B2"/>
    <w:rsid w:val="00B22FD5"/>
    <w:rsid w:val="00B31650"/>
    <w:rsid w:val="00B32A77"/>
    <w:rsid w:val="00B34696"/>
    <w:rsid w:val="00B35A01"/>
    <w:rsid w:val="00B47965"/>
    <w:rsid w:val="00B509C5"/>
    <w:rsid w:val="00B71D37"/>
    <w:rsid w:val="00B755E6"/>
    <w:rsid w:val="00B819FD"/>
    <w:rsid w:val="00B835EE"/>
    <w:rsid w:val="00B8703A"/>
    <w:rsid w:val="00B91590"/>
    <w:rsid w:val="00B97D34"/>
    <w:rsid w:val="00BA7251"/>
    <w:rsid w:val="00BB0413"/>
    <w:rsid w:val="00BB4BEC"/>
    <w:rsid w:val="00BB6210"/>
    <w:rsid w:val="00BB747C"/>
    <w:rsid w:val="00BC3FF1"/>
    <w:rsid w:val="00BD589E"/>
    <w:rsid w:val="00BD60C4"/>
    <w:rsid w:val="00BE1D0D"/>
    <w:rsid w:val="00BE4019"/>
    <w:rsid w:val="00BE7AB2"/>
    <w:rsid w:val="00BF0960"/>
    <w:rsid w:val="00BF3730"/>
    <w:rsid w:val="00BF7895"/>
    <w:rsid w:val="00C01690"/>
    <w:rsid w:val="00C0248A"/>
    <w:rsid w:val="00C12D34"/>
    <w:rsid w:val="00C20C4F"/>
    <w:rsid w:val="00C21B3B"/>
    <w:rsid w:val="00C27A0C"/>
    <w:rsid w:val="00C431B9"/>
    <w:rsid w:val="00C535FB"/>
    <w:rsid w:val="00C53BE1"/>
    <w:rsid w:val="00C54276"/>
    <w:rsid w:val="00C557FB"/>
    <w:rsid w:val="00C606E0"/>
    <w:rsid w:val="00C655C6"/>
    <w:rsid w:val="00C8380F"/>
    <w:rsid w:val="00C86D8B"/>
    <w:rsid w:val="00C87760"/>
    <w:rsid w:val="00CA0281"/>
    <w:rsid w:val="00CB3EC8"/>
    <w:rsid w:val="00CC7DB6"/>
    <w:rsid w:val="00CD0631"/>
    <w:rsid w:val="00CD34B4"/>
    <w:rsid w:val="00CD447B"/>
    <w:rsid w:val="00CE3795"/>
    <w:rsid w:val="00CE6E6B"/>
    <w:rsid w:val="00D01B4A"/>
    <w:rsid w:val="00D0493E"/>
    <w:rsid w:val="00D157AB"/>
    <w:rsid w:val="00D17338"/>
    <w:rsid w:val="00D2178F"/>
    <w:rsid w:val="00D22FFD"/>
    <w:rsid w:val="00D3468A"/>
    <w:rsid w:val="00D35994"/>
    <w:rsid w:val="00D35E94"/>
    <w:rsid w:val="00D6669B"/>
    <w:rsid w:val="00D70A18"/>
    <w:rsid w:val="00D719D8"/>
    <w:rsid w:val="00D72F3E"/>
    <w:rsid w:val="00D74149"/>
    <w:rsid w:val="00D833A4"/>
    <w:rsid w:val="00D8431B"/>
    <w:rsid w:val="00D91A99"/>
    <w:rsid w:val="00D931ED"/>
    <w:rsid w:val="00D93F54"/>
    <w:rsid w:val="00DB07A5"/>
    <w:rsid w:val="00DB6071"/>
    <w:rsid w:val="00DC6DDE"/>
    <w:rsid w:val="00DD016D"/>
    <w:rsid w:val="00DD3CA9"/>
    <w:rsid w:val="00DE3F41"/>
    <w:rsid w:val="00DE5214"/>
    <w:rsid w:val="00E01558"/>
    <w:rsid w:val="00E03013"/>
    <w:rsid w:val="00E055D8"/>
    <w:rsid w:val="00E11ABC"/>
    <w:rsid w:val="00E21237"/>
    <w:rsid w:val="00E27FF9"/>
    <w:rsid w:val="00E347C4"/>
    <w:rsid w:val="00E3647C"/>
    <w:rsid w:val="00E40B1B"/>
    <w:rsid w:val="00E40EBC"/>
    <w:rsid w:val="00E533BC"/>
    <w:rsid w:val="00E55CA4"/>
    <w:rsid w:val="00E55EF2"/>
    <w:rsid w:val="00E608BA"/>
    <w:rsid w:val="00E61FAD"/>
    <w:rsid w:val="00E62F7F"/>
    <w:rsid w:val="00E63D80"/>
    <w:rsid w:val="00E73AF5"/>
    <w:rsid w:val="00E76E37"/>
    <w:rsid w:val="00E7787C"/>
    <w:rsid w:val="00E82559"/>
    <w:rsid w:val="00E86FA8"/>
    <w:rsid w:val="00EA0634"/>
    <w:rsid w:val="00EA4654"/>
    <w:rsid w:val="00EB4212"/>
    <w:rsid w:val="00EC3037"/>
    <w:rsid w:val="00EC3601"/>
    <w:rsid w:val="00ED390A"/>
    <w:rsid w:val="00EE6504"/>
    <w:rsid w:val="00EF29BB"/>
    <w:rsid w:val="00F01729"/>
    <w:rsid w:val="00F07D2C"/>
    <w:rsid w:val="00F130A4"/>
    <w:rsid w:val="00F21A16"/>
    <w:rsid w:val="00F2433C"/>
    <w:rsid w:val="00F276EE"/>
    <w:rsid w:val="00F302C2"/>
    <w:rsid w:val="00F32000"/>
    <w:rsid w:val="00F362EF"/>
    <w:rsid w:val="00F377F1"/>
    <w:rsid w:val="00F37DA1"/>
    <w:rsid w:val="00F402E7"/>
    <w:rsid w:val="00F41A09"/>
    <w:rsid w:val="00F422A6"/>
    <w:rsid w:val="00F43EE6"/>
    <w:rsid w:val="00F50C55"/>
    <w:rsid w:val="00F55130"/>
    <w:rsid w:val="00F61008"/>
    <w:rsid w:val="00F716E4"/>
    <w:rsid w:val="00F741E3"/>
    <w:rsid w:val="00F77F0B"/>
    <w:rsid w:val="00F87C2C"/>
    <w:rsid w:val="00FA033D"/>
    <w:rsid w:val="00FA1FD8"/>
    <w:rsid w:val="00FB7A6E"/>
    <w:rsid w:val="00FB7B1A"/>
    <w:rsid w:val="00FC0954"/>
    <w:rsid w:val="00FC1D39"/>
    <w:rsid w:val="00FD03B5"/>
    <w:rsid w:val="00FD613D"/>
    <w:rsid w:val="00FE2BA8"/>
    <w:rsid w:val="00FF5CE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2AB1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CED"/>
    <w:pPr>
      <w:keepNext/>
      <w:keepLines/>
      <w:spacing w:before="240" w:after="0"/>
      <w:outlineLvl w:val="0"/>
    </w:pPr>
    <w:rPr>
      <w:rFonts w:ascii="Open Sans" w:eastAsiaTheme="majorEastAsia" w:hAnsi="Open Sans" w:cstheme="majorBidi"/>
      <w:b/>
      <w:sz w:val="24"/>
      <w:szCs w:val="32"/>
    </w:rPr>
  </w:style>
  <w:style w:type="paragraph" w:styleId="Heading2">
    <w:name w:val="heading 2"/>
    <w:basedOn w:val="Normal"/>
    <w:next w:val="Normal"/>
    <w:link w:val="Heading2Char"/>
    <w:uiPriority w:val="9"/>
    <w:unhideWhenUsed/>
    <w:rsid w:val="00A21882"/>
    <w:pPr>
      <w:keepNext/>
      <w:keepLines/>
      <w:spacing w:before="40" w:after="0"/>
      <w:outlineLvl w:val="1"/>
    </w:pPr>
    <w:rPr>
      <w:rFonts w:ascii="Open Sans" w:eastAsiaTheme="majorEastAsia" w:hAnsi="Open Sans" w:cstheme="majorBidi"/>
      <w:b/>
      <w:sz w:val="20"/>
      <w:szCs w:val="26"/>
    </w:rPr>
  </w:style>
  <w:style w:type="paragraph" w:styleId="Heading3">
    <w:name w:val="heading 3"/>
    <w:basedOn w:val="Normal"/>
    <w:next w:val="Normal"/>
    <w:link w:val="Heading3Char"/>
    <w:uiPriority w:val="9"/>
    <w:unhideWhenUsed/>
    <w:qFormat/>
    <w:rsid w:val="0022182F"/>
    <w:pPr>
      <w:ind w:left="357"/>
      <w:jc w:val="both"/>
      <w:outlineLvl w:val="2"/>
    </w:pPr>
    <w:rPr>
      <w:rFonts w:ascii="Open Sans" w:hAnsi="Open Sans" w:cs="Open Sans"/>
      <w:b/>
      <w:sz w:val="20"/>
      <w:szCs w:val="20"/>
      <w:u w:val="single"/>
      <w:lang w:val="es-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ootnote,Colorful List - Accent 11,Ha,List Paragraph1,lp1,List Paragraph2,List1,titulo 3,Párrafo de lista1,Bullets,Párrafo de lista2,Lista vistosa - Énfasis 11,Cuadrícula clara - Énfasis 31,Dot pt,F5 List Paragraph,No Spacing1"/>
    <w:basedOn w:val="Normal"/>
    <w:link w:val="ListParagraphChar"/>
    <w:uiPriority w:val="34"/>
    <w:qFormat/>
    <w:rsid w:val="00303FEB"/>
    <w:pPr>
      <w:ind w:left="720"/>
      <w:contextualSpacing/>
    </w:pPr>
  </w:style>
  <w:style w:type="paragraph" w:styleId="NormalWeb">
    <w:name w:val="Normal (Web)"/>
    <w:basedOn w:val="Normal"/>
    <w:uiPriority w:val="99"/>
    <w:unhideWhenUsed/>
    <w:rsid w:val="009A0D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yperlink">
    <w:name w:val="Hyperlink"/>
    <w:basedOn w:val="DefaultParagraphFont"/>
    <w:uiPriority w:val="99"/>
    <w:unhideWhenUsed/>
    <w:rsid w:val="009A0D1D"/>
    <w:rPr>
      <w:color w:val="0000FF"/>
      <w:u w:val="single"/>
    </w:rPr>
  </w:style>
  <w:style w:type="paragraph" w:styleId="FootnoteText">
    <w:name w:val="footnote text"/>
    <w:aliases w:val="Ref. de nota al pie1,Texto de nota al pie,Fago Fußnotenzeichen,Appel note de bas de page,referencia nota al pie,Footnotes refss,Pie de Página,FC,Nota de pie,Texto nota al pie,Footnote number,BVI fnr,f,4_G,16 Point,Superscript 6 Point"/>
    <w:basedOn w:val="Normal"/>
    <w:link w:val="FootnoteTextChar"/>
    <w:uiPriority w:val="99"/>
    <w:unhideWhenUsed/>
    <w:qFormat/>
    <w:rsid w:val="0022182F"/>
    <w:pPr>
      <w:spacing w:after="0" w:line="240" w:lineRule="auto"/>
    </w:pPr>
    <w:rPr>
      <w:color w:val="3B3838" w:themeColor="background2" w:themeShade="40"/>
      <w:sz w:val="20"/>
      <w:szCs w:val="20"/>
    </w:rPr>
  </w:style>
  <w:style w:type="character" w:customStyle="1" w:styleId="FootnoteTextChar">
    <w:name w:val="Footnote Text Char"/>
    <w:aliases w:val="Ref. de nota al pie1 Char,Texto de nota al pie Char,Fago Fußnotenzeichen Char,Appel note de bas de page Char,referencia nota al pie Char,Footnotes refss Char,Pie de Página Char,FC Char,Nota de pie Char,Texto nota al pie Char,f Char"/>
    <w:basedOn w:val="DefaultParagraphFont"/>
    <w:link w:val="FootnoteText"/>
    <w:uiPriority w:val="99"/>
    <w:qFormat/>
    <w:rsid w:val="0022182F"/>
    <w:rPr>
      <w:color w:val="3B3838" w:themeColor="background2" w:themeShade="40"/>
      <w:sz w:val="20"/>
      <w:szCs w:val="20"/>
    </w:rPr>
  </w:style>
  <w:style w:type="character" w:styleId="FootnoteReference">
    <w:name w:val="footnote reference"/>
    <w:basedOn w:val="DefaultParagraphFont"/>
    <w:uiPriority w:val="99"/>
    <w:semiHidden/>
    <w:unhideWhenUsed/>
    <w:rsid w:val="00D17338"/>
    <w:rPr>
      <w:vertAlign w:val="superscript"/>
    </w:rPr>
  </w:style>
  <w:style w:type="character" w:customStyle="1" w:styleId="Mencinsinresolver1">
    <w:name w:val="Mención sin resolver1"/>
    <w:basedOn w:val="DefaultParagraphFont"/>
    <w:uiPriority w:val="99"/>
    <w:semiHidden/>
    <w:unhideWhenUsed/>
    <w:rsid w:val="00D17338"/>
    <w:rPr>
      <w:color w:val="605E5C"/>
      <w:shd w:val="clear" w:color="auto" w:fill="E1DFDD"/>
    </w:rPr>
  </w:style>
  <w:style w:type="character" w:customStyle="1" w:styleId="ListParagraphChar">
    <w:name w:val="List Paragraph Char"/>
    <w:aliases w:val="Footnote Char,Colorful List - Accent 11 Char,Ha Char,List Paragraph1 Char,lp1 Char,List Paragraph2 Char,List1 Char,titulo 3 Char,Párrafo de lista1 Char,Bullets Char,Párrafo de lista2 Char,Lista vistosa - Énfasis 11 Char,Dot pt Char"/>
    <w:link w:val="ListParagraph"/>
    <w:uiPriority w:val="1"/>
    <w:locked/>
    <w:rsid w:val="0030635B"/>
  </w:style>
  <w:style w:type="character" w:customStyle="1" w:styleId="normaltextrun">
    <w:name w:val="normaltextrun"/>
    <w:basedOn w:val="DefaultParagraphFont"/>
    <w:rsid w:val="00AE5144"/>
  </w:style>
  <w:style w:type="character" w:styleId="CommentReference">
    <w:name w:val="annotation reference"/>
    <w:basedOn w:val="DefaultParagraphFont"/>
    <w:uiPriority w:val="99"/>
    <w:semiHidden/>
    <w:unhideWhenUsed/>
    <w:rsid w:val="00D8431B"/>
    <w:rPr>
      <w:sz w:val="16"/>
      <w:szCs w:val="16"/>
    </w:rPr>
  </w:style>
  <w:style w:type="paragraph" w:styleId="CommentText">
    <w:name w:val="annotation text"/>
    <w:basedOn w:val="Normal"/>
    <w:link w:val="CommentTextChar"/>
    <w:uiPriority w:val="99"/>
    <w:semiHidden/>
    <w:unhideWhenUsed/>
    <w:rsid w:val="00D8431B"/>
    <w:pPr>
      <w:spacing w:line="240" w:lineRule="auto"/>
    </w:pPr>
    <w:rPr>
      <w:sz w:val="20"/>
      <w:szCs w:val="20"/>
    </w:rPr>
  </w:style>
  <w:style w:type="character" w:customStyle="1" w:styleId="CommentTextChar">
    <w:name w:val="Comment Text Char"/>
    <w:basedOn w:val="DefaultParagraphFont"/>
    <w:link w:val="CommentText"/>
    <w:uiPriority w:val="99"/>
    <w:semiHidden/>
    <w:rsid w:val="00D8431B"/>
    <w:rPr>
      <w:sz w:val="20"/>
      <w:szCs w:val="20"/>
    </w:rPr>
  </w:style>
  <w:style w:type="paragraph" w:styleId="CommentSubject">
    <w:name w:val="annotation subject"/>
    <w:basedOn w:val="CommentText"/>
    <w:next w:val="CommentText"/>
    <w:link w:val="CommentSubjectChar"/>
    <w:uiPriority w:val="99"/>
    <w:semiHidden/>
    <w:unhideWhenUsed/>
    <w:rsid w:val="00D8431B"/>
    <w:rPr>
      <w:b/>
      <w:bCs/>
    </w:rPr>
  </w:style>
  <w:style w:type="character" w:customStyle="1" w:styleId="CommentSubjectChar">
    <w:name w:val="Comment Subject Char"/>
    <w:basedOn w:val="CommentTextChar"/>
    <w:link w:val="CommentSubject"/>
    <w:uiPriority w:val="99"/>
    <w:semiHidden/>
    <w:rsid w:val="00D8431B"/>
    <w:rPr>
      <w:b/>
      <w:bCs/>
      <w:sz w:val="20"/>
      <w:szCs w:val="20"/>
    </w:rPr>
  </w:style>
  <w:style w:type="paragraph" w:styleId="BalloonText">
    <w:name w:val="Balloon Text"/>
    <w:basedOn w:val="Normal"/>
    <w:link w:val="BalloonTextChar"/>
    <w:uiPriority w:val="99"/>
    <w:semiHidden/>
    <w:unhideWhenUsed/>
    <w:rsid w:val="00D843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31B"/>
    <w:rPr>
      <w:rFonts w:ascii="Segoe UI" w:hAnsi="Segoe UI" w:cs="Segoe UI"/>
      <w:sz w:val="18"/>
      <w:szCs w:val="18"/>
    </w:rPr>
  </w:style>
  <w:style w:type="character" w:styleId="Strong">
    <w:name w:val="Strong"/>
    <w:basedOn w:val="DefaultParagraphFont"/>
    <w:uiPriority w:val="22"/>
    <w:qFormat/>
    <w:rsid w:val="00E21237"/>
    <w:rPr>
      <w:b/>
      <w:bCs/>
    </w:rPr>
  </w:style>
  <w:style w:type="character" w:customStyle="1" w:styleId="Heading3Char">
    <w:name w:val="Heading 3 Char"/>
    <w:basedOn w:val="DefaultParagraphFont"/>
    <w:link w:val="Heading3"/>
    <w:uiPriority w:val="9"/>
    <w:rsid w:val="0022182F"/>
    <w:rPr>
      <w:rFonts w:ascii="Open Sans" w:hAnsi="Open Sans" w:cs="Open Sans"/>
      <w:b/>
      <w:sz w:val="20"/>
      <w:szCs w:val="20"/>
      <w:u w:val="single"/>
      <w:lang w:val="es-ES"/>
    </w:rPr>
  </w:style>
  <w:style w:type="paragraph" w:styleId="HTMLPreformatted">
    <w:name w:val="HTML Preformatted"/>
    <w:basedOn w:val="Normal"/>
    <w:link w:val="HTMLPreformattedChar"/>
    <w:uiPriority w:val="99"/>
    <w:semiHidden/>
    <w:unhideWhenUsed/>
    <w:rsid w:val="000810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PreformattedChar">
    <w:name w:val="HTML Preformatted Char"/>
    <w:basedOn w:val="DefaultParagraphFont"/>
    <w:link w:val="HTMLPreformatted"/>
    <w:uiPriority w:val="99"/>
    <w:semiHidden/>
    <w:rsid w:val="000810BC"/>
    <w:rPr>
      <w:rFonts w:ascii="Courier New" w:eastAsia="Times New Roman" w:hAnsi="Courier New" w:cs="Courier New"/>
      <w:sz w:val="20"/>
      <w:szCs w:val="20"/>
      <w:lang w:eastAsia="es-CO"/>
    </w:rPr>
  </w:style>
  <w:style w:type="character" w:customStyle="1" w:styleId="y2iqfc">
    <w:name w:val="y2iqfc"/>
    <w:basedOn w:val="DefaultParagraphFont"/>
    <w:rsid w:val="000810BC"/>
  </w:style>
  <w:style w:type="paragraph" w:styleId="Revision">
    <w:name w:val="Revision"/>
    <w:hidden/>
    <w:uiPriority w:val="99"/>
    <w:semiHidden/>
    <w:rsid w:val="00447243"/>
    <w:pPr>
      <w:spacing w:after="0" w:line="240" w:lineRule="auto"/>
    </w:pPr>
  </w:style>
  <w:style w:type="paragraph" w:styleId="Header">
    <w:name w:val="header"/>
    <w:basedOn w:val="Normal"/>
    <w:link w:val="HeaderChar"/>
    <w:uiPriority w:val="99"/>
    <w:unhideWhenUsed/>
    <w:rsid w:val="00400C74"/>
    <w:pPr>
      <w:tabs>
        <w:tab w:val="center" w:pos="4419"/>
        <w:tab w:val="right" w:pos="8838"/>
      </w:tabs>
      <w:spacing w:after="0" w:line="240" w:lineRule="auto"/>
    </w:pPr>
  </w:style>
  <w:style w:type="character" w:customStyle="1" w:styleId="HeaderChar">
    <w:name w:val="Header Char"/>
    <w:basedOn w:val="DefaultParagraphFont"/>
    <w:link w:val="Header"/>
    <w:uiPriority w:val="99"/>
    <w:rsid w:val="00400C74"/>
  </w:style>
  <w:style w:type="paragraph" w:styleId="Footer">
    <w:name w:val="footer"/>
    <w:basedOn w:val="Normal"/>
    <w:link w:val="FooterChar"/>
    <w:uiPriority w:val="99"/>
    <w:unhideWhenUsed/>
    <w:rsid w:val="00400C74"/>
    <w:pPr>
      <w:tabs>
        <w:tab w:val="center" w:pos="4419"/>
        <w:tab w:val="right" w:pos="8838"/>
      </w:tabs>
      <w:spacing w:after="0" w:line="240" w:lineRule="auto"/>
    </w:pPr>
  </w:style>
  <w:style w:type="character" w:customStyle="1" w:styleId="FooterChar">
    <w:name w:val="Footer Char"/>
    <w:basedOn w:val="DefaultParagraphFont"/>
    <w:link w:val="Footer"/>
    <w:uiPriority w:val="99"/>
    <w:rsid w:val="00400C74"/>
  </w:style>
  <w:style w:type="paragraph" w:styleId="BodyText">
    <w:name w:val="Body Text"/>
    <w:basedOn w:val="Normal"/>
    <w:link w:val="BodyTextChar"/>
    <w:uiPriority w:val="99"/>
    <w:semiHidden/>
    <w:unhideWhenUsed/>
    <w:rsid w:val="00E40B1B"/>
    <w:pPr>
      <w:spacing w:after="120"/>
    </w:pPr>
  </w:style>
  <w:style w:type="character" w:customStyle="1" w:styleId="BodyTextChar">
    <w:name w:val="Body Text Char"/>
    <w:basedOn w:val="DefaultParagraphFont"/>
    <w:link w:val="BodyText"/>
    <w:uiPriority w:val="99"/>
    <w:semiHidden/>
    <w:rsid w:val="00E40B1B"/>
  </w:style>
  <w:style w:type="paragraph" w:styleId="BodyTextFirstIndent">
    <w:name w:val="Body Text First Indent"/>
    <w:basedOn w:val="BodyText"/>
    <w:link w:val="BodyTextFirstIndentChar"/>
    <w:uiPriority w:val="99"/>
    <w:semiHidden/>
    <w:unhideWhenUsed/>
    <w:rsid w:val="00E40B1B"/>
    <w:pPr>
      <w:suppressAutoHyphens/>
      <w:spacing w:line="240" w:lineRule="auto"/>
      <w:ind w:firstLine="210"/>
    </w:pPr>
    <w:rPr>
      <w:rFonts w:ascii="Times New Roman" w:eastAsia="Times New Roman" w:hAnsi="Times New Roman" w:cs="Times New Roman"/>
      <w:sz w:val="20"/>
      <w:szCs w:val="20"/>
      <w:lang w:val="es-ES" w:eastAsia="ar-SA"/>
    </w:rPr>
  </w:style>
  <w:style w:type="character" w:customStyle="1" w:styleId="BodyTextFirstIndentChar">
    <w:name w:val="Body Text First Indent Char"/>
    <w:basedOn w:val="BodyTextChar"/>
    <w:link w:val="BodyTextFirstIndent"/>
    <w:uiPriority w:val="99"/>
    <w:semiHidden/>
    <w:rsid w:val="00E40B1B"/>
    <w:rPr>
      <w:rFonts w:ascii="Times New Roman" w:eastAsia="Times New Roman" w:hAnsi="Times New Roman" w:cs="Times New Roman"/>
      <w:sz w:val="20"/>
      <w:szCs w:val="20"/>
      <w:lang w:val="es-ES" w:eastAsia="ar-SA"/>
    </w:rPr>
  </w:style>
  <w:style w:type="paragraph" w:customStyle="1" w:styleId="Estilo1">
    <w:name w:val="Estilo1"/>
    <w:basedOn w:val="ListParagraph"/>
    <w:link w:val="Estilo1Car"/>
    <w:rsid w:val="002D109A"/>
    <w:pPr>
      <w:numPr>
        <w:numId w:val="1"/>
      </w:numPr>
      <w:jc w:val="both"/>
    </w:pPr>
    <w:rPr>
      <w:rFonts w:ascii="Open Sans" w:hAnsi="Open Sans" w:cs="Open Sans"/>
      <w:b/>
      <w:sz w:val="20"/>
      <w:szCs w:val="20"/>
      <w:lang w:val="es-ES"/>
    </w:rPr>
  </w:style>
  <w:style w:type="paragraph" w:customStyle="1" w:styleId="Estilo2">
    <w:name w:val="Estilo2"/>
    <w:link w:val="Estilo2Car"/>
    <w:qFormat/>
    <w:rsid w:val="006B6F55"/>
    <w:pPr>
      <w:ind w:left="360"/>
      <w:jc w:val="both"/>
    </w:pPr>
    <w:rPr>
      <w:rFonts w:ascii="Open Sans" w:hAnsi="Open Sans" w:cs="Open Sans"/>
      <w:b/>
      <w:sz w:val="20"/>
      <w:szCs w:val="20"/>
      <w:lang w:val="es-ES"/>
    </w:rPr>
  </w:style>
  <w:style w:type="character" w:customStyle="1" w:styleId="Estilo1Car">
    <w:name w:val="Estilo1 Car"/>
    <w:basedOn w:val="ListParagraphChar"/>
    <w:link w:val="Estilo1"/>
    <w:rsid w:val="002D109A"/>
    <w:rPr>
      <w:rFonts w:ascii="Open Sans" w:hAnsi="Open Sans" w:cs="Open Sans"/>
      <w:b/>
      <w:sz w:val="20"/>
      <w:szCs w:val="20"/>
      <w:lang w:val="es-ES"/>
    </w:rPr>
  </w:style>
  <w:style w:type="paragraph" w:customStyle="1" w:styleId="Estilo3">
    <w:name w:val="Estilo3"/>
    <w:basedOn w:val="ListParagraph"/>
    <w:link w:val="Estilo3Car"/>
    <w:qFormat/>
    <w:rsid w:val="006B6F55"/>
    <w:pPr>
      <w:numPr>
        <w:numId w:val="7"/>
      </w:numPr>
      <w:jc w:val="both"/>
    </w:pPr>
    <w:rPr>
      <w:rFonts w:ascii="Open Sans" w:hAnsi="Open Sans" w:cs="Open Sans"/>
      <w:b/>
      <w:sz w:val="20"/>
      <w:szCs w:val="20"/>
      <w:lang w:val="es-ES"/>
    </w:rPr>
  </w:style>
  <w:style w:type="character" w:customStyle="1" w:styleId="Estilo2Car">
    <w:name w:val="Estilo2 Car"/>
    <w:basedOn w:val="ListParagraphChar"/>
    <w:link w:val="Estilo2"/>
    <w:rsid w:val="006B6F55"/>
    <w:rPr>
      <w:rFonts w:ascii="Open Sans" w:hAnsi="Open Sans" w:cs="Open Sans"/>
      <w:b/>
      <w:sz w:val="20"/>
      <w:szCs w:val="20"/>
      <w:lang w:val="es-ES"/>
    </w:rPr>
  </w:style>
  <w:style w:type="character" w:customStyle="1" w:styleId="Heading1Char">
    <w:name w:val="Heading 1 Char"/>
    <w:basedOn w:val="DefaultParagraphFont"/>
    <w:link w:val="Heading1"/>
    <w:uiPriority w:val="9"/>
    <w:rsid w:val="00FF5CED"/>
    <w:rPr>
      <w:rFonts w:ascii="Open Sans" w:eastAsiaTheme="majorEastAsia" w:hAnsi="Open Sans" w:cstheme="majorBidi"/>
      <w:b/>
      <w:sz w:val="24"/>
      <w:szCs w:val="32"/>
    </w:rPr>
  </w:style>
  <w:style w:type="character" w:customStyle="1" w:styleId="Estilo3Car">
    <w:name w:val="Estilo3 Car"/>
    <w:basedOn w:val="ListParagraphChar"/>
    <w:link w:val="Estilo3"/>
    <w:rsid w:val="006B6F55"/>
    <w:rPr>
      <w:rFonts w:ascii="Open Sans" w:hAnsi="Open Sans" w:cs="Open Sans"/>
      <w:b/>
      <w:sz w:val="20"/>
      <w:szCs w:val="20"/>
      <w:lang w:val="es-ES"/>
    </w:rPr>
  </w:style>
  <w:style w:type="paragraph" w:styleId="TOC1">
    <w:name w:val="toc 1"/>
    <w:basedOn w:val="Normal"/>
    <w:next w:val="Normal"/>
    <w:autoRedefine/>
    <w:uiPriority w:val="39"/>
    <w:unhideWhenUsed/>
    <w:rsid w:val="00287EF3"/>
    <w:pPr>
      <w:spacing w:after="100"/>
    </w:pPr>
  </w:style>
  <w:style w:type="paragraph" w:styleId="TOCHeading">
    <w:name w:val="TOC Heading"/>
    <w:basedOn w:val="Heading1"/>
    <w:next w:val="Normal"/>
    <w:uiPriority w:val="39"/>
    <w:unhideWhenUsed/>
    <w:qFormat/>
    <w:rsid w:val="00287EF3"/>
    <w:pPr>
      <w:outlineLvl w:val="9"/>
    </w:pPr>
    <w:rPr>
      <w:lang w:eastAsia="es-CO"/>
    </w:rPr>
  </w:style>
  <w:style w:type="paragraph" w:styleId="TOC2">
    <w:name w:val="toc 2"/>
    <w:basedOn w:val="Normal"/>
    <w:next w:val="Normal"/>
    <w:autoRedefine/>
    <w:uiPriority w:val="39"/>
    <w:unhideWhenUsed/>
    <w:rsid w:val="00287EF3"/>
    <w:pPr>
      <w:spacing w:after="100"/>
      <w:ind w:left="220"/>
    </w:pPr>
    <w:rPr>
      <w:rFonts w:eastAsiaTheme="minorEastAsia" w:cs="Times New Roman"/>
      <w:lang w:eastAsia="es-CO"/>
    </w:rPr>
  </w:style>
  <w:style w:type="paragraph" w:styleId="TOC3">
    <w:name w:val="toc 3"/>
    <w:basedOn w:val="Normal"/>
    <w:next w:val="Normal"/>
    <w:autoRedefine/>
    <w:uiPriority w:val="39"/>
    <w:unhideWhenUsed/>
    <w:rsid w:val="00287EF3"/>
    <w:pPr>
      <w:spacing w:after="100"/>
      <w:ind w:left="440"/>
    </w:pPr>
    <w:rPr>
      <w:rFonts w:eastAsiaTheme="minorEastAsia" w:cs="Times New Roman"/>
      <w:lang w:eastAsia="es-CO"/>
    </w:rPr>
  </w:style>
  <w:style w:type="character" w:styleId="UnresolvedMention">
    <w:name w:val="Unresolved Mention"/>
    <w:basedOn w:val="DefaultParagraphFont"/>
    <w:uiPriority w:val="99"/>
    <w:semiHidden/>
    <w:unhideWhenUsed/>
    <w:rsid w:val="001A6DC8"/>
    <w:rPr>
      <w:color w:val="605E5C"/>
      <w:shd w:val="clear" w:color="auto" w:fill="E1DFDD"/>
    </w:rPr>
  </w:style>
  <w:style w:type="character" w:customStyle="1" w:styleId="Heading2Char">
    <w:name w:val="Heading 2 Char"/>
    <w:basedOn w:val="DefaultParagraphFont"/>
    <w:link w:val="Heading2"/>
    <w:uiPriority w:val="9"/>
    <w:rsid w:val="00A21882"/>
    <w:rPr>
      <w:rFonts w:ascii="Open Sans" w:eastAsiaTheme="majorEastAsia" w:hAnsi="Open Sans" w:cstheme="majorBidi"/>
      <w:b/>
      <w:sz w:val="20"/>
      <w:szCs w:val="26"/>
    </w:rPr>
  </w:style>
  <w:style w:type="character" w:styleId="PageNumber">
    <w:name w:val="page number"/>
    <w:basedOn w:val="DefaultParagraphFont"/>
    <w:uiPriority w:val="99"/>
    <w:semiHidden/>
    <w:unhideWhenUsed/>
    <w:rsid w:val="00BE4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6482">
      <w:bodyDiv w:val="1"/>
      <w:marLeft w:val="0"/>
      <w:marRight w:val="0"/>
      <w:marTop w:val="0"/>
      <w:marBottom w:val="0"/>
      <w:divBdr>
        <w:top w:val="none" w:sz="0" w:space="0" w:color="auto"/>
        <w:left w:val="none" w:sz="0" w:space="0" w:color="auto"/>
        <w:bottom w:val="none" w:sz="0" w:space="0" w:color="auto"/>
        <w:right w:val="none" w:sz="0" w:space="0" w:color="auto"/>
      </w:divBdr>
    </w:div>
    <w:div w:id="222523709">
      <w:bodyDiv w:val="1"/>
      <w:marLeft w:val="0"/>
      <w:marRight w:val="0"/>
      <w:marTop w:val="0"/>
      <w:marBottom w:val="0"/>
      <w:divBdr>
        <w:top w:val="none" w:sz="0" w:space="0" w:color="auto"/>
        <w:left w:val="none" w:sz="0" w:space="0" w:color="auto"/>
        <w:bottom w:val="none" w:sz="0" w:space="0" w:color="auto"/>
        <w:right w:val="none" w:sz="0" w:space="0" w:color="auto"/>
      </w:divBdr>
    </w:div>
    <w:div w:id="237980496">
      <w:bodyDiv w:val="1"/>
      <w:marLeft w:val="0"/>
      <w:marRight w:val="0"/>
      <w:marTop w:val="0"/>
      <w:marBottom w:val="0"/>
      <w:divBdr>
        <w:top w:val="none" w:sz="0" w:space="0" w:color="auto"/>
        <w:left w:val="none" w:sz="0" w:space="0" w:color="auto"/>
        <w:bottom w:val="none" w:sz="0" w:space="0" w:color="auto"/>
        <w:right w:val="none" w:sz="0" w:space="0" w:color="auto"/>
      </w:divBdr>
    </w:div>
    <w:div w:id="270741899">
      <w:bodyDiv w:val="1"/>
      <w:marLeft w:val="0"/>
      <w:marRight w:val="0"/>
      <w:marTop w:val="0"/>
      <w:marBottom w:val="0"/>
      <w:divBdr>
        <w:top w:val="none" w:sz="0" w:space="0" w:color="auto"/>
        <w:left w:val="none" w:sz="0" w:space="0" w:color="auto"/>
        <w:bottom w:val="none" w:sz="0" w:space="0" w:color="auto"/>
        <w:right w:val="none" w:sz="0" w:space="0" w:color="auto"/>
      </w:divBdr>
    </w:div>
    <w:div w:id="487789905">
      <w:bodyDiv w:val="1"/>
      <w:marLeft w:val="0"/>
      <w:marRight w:val="0"/>
      <w:marTop w:val="0"/>
      <w:marBottom w:val="0"/>
      <w:divBdr>
        <w:top w:val="none" w:sz="0" w:space="0" w:color="auto"/>
        <w:left w:val="none" w:sz="0" w:space="0" w:color="auto"/>
        <w:bottom w:val="none" w:sz="0" w:space="0" w:color="auto"/>
        <w:right w:val="none" w:sz="0" w:space="0" w:color="auto"/>
      </w:divBdr>
    </w:div>
    <w:div w:id="609358953">
      <w:bodyDiv w:val="1"/>
      <w:marLeft w:val="0"/>
      <w:marRight w:val="0"/>
      <w:marTop w:val="0"/>
      <w:marBottom w:val="0"/>
      <w:divBdr>
        <w:top w:val="none" w:sz="0" w:space="0" w:color="auto"/>
        <w:left w:val="none" w:sz="0" w:space="0" w:color="auto"/>
        <w:bottom w:val="none" w:sz="0" w:space="0" w:color="auto"/>
        <w:right w:val="none" w:sz="0" w:space="0" w:color="auto"/>
      </w:divBdr>
    </w:div>
    <w:div w:id="633675700">
      <w:bodyDiv w:val="1"/>
      <w:marLeft w:val="0"/>
      <w:marRight w:val="0"/>
      <w:marTop w:val="0"/>
      <w:marBottom w:val="0"/>
      <w:divBdr>
        <w:top w:val="none" w:sz="0" w:space="0" w:color="auto"/>
        <w:left w:val="none" w:sz="0" w:space="0" w:color="auto"/>
        <w:bottom w:val="none" w:sz="0" w:space="0" w:color="auto"/>
        <w:right w:val="none" w:sz="0" w:space="0" w:color="auto"/>
      </w:divBdr>
    </w:div>
    <w:div w:id="934165164">
      <w:bodyDiv w:val="1"/>
      <w:marLeft w:val="0"/>
      <w:marRight w:val="0"/>
      <w:marTop w:val="0"/>
      <w:marBottom w:val="0"/>
      <w:divBdr>
        <w:top w:val="none" w:sz="0" w:space="0" w:color="auto"/>
        <w:left w:val="none" w:sz="0" w:space="0" w:color="auto"/>
        <w:bottom w:val="none" w:sz="0" w:space="0" w:color="auto"/>
        <w:right w:val="none" w:sz="0" w:space="0" w:color="auto"/>
      </w:divBdr>
    </w:div>
    <w:div w:id="1120493298">
      <w:bodyDiv w:val="1"/>
      <w:marLeft w:val="0"/>
      <w:marRight w:val="0"/>
      <w:marTop w:val="0"/>
      <w:marBottom w:val="0"/>
      <w:divBdr>
        <w:top w:val="none" w:sz="0" w:space="0" w:color="auto"/>
        <w:left w:val="none" w:sz="0" w:space="0" w:color="auto"/>
        <w:bottom w:val="none" w:sz="0" w:space="0" w:color="auto"/>
        <w:right w:val="none" w:sz="0" w:space="0" w:color="auto"/>
      </w:divBdr>
      <w:divsChild>
        <w:div w:id="1108935366">
          <w:marLeft w:val="0"/>
          <w:marRight w:val="0"/>
          <w:marTop w:val="0"/>
          <w:marBottom w:val="0"/>
          <w:divBdr>
            <w:top w:val="none" w:sz="0" w:space="0" w:color="auto"/>
            <w:left w:val="none" w:sz="0" w:space="0" w:color="auto"/>
            <w:bottom w:val="none" w:sz="0" w:space="0" w:color="auto"/>
            <w:right w:val="none" w:sz="0" w:space="0" w:color="auto"/>
          </w:divBdr>
        </w:div>
        <w:div w:id="1758331589">
          <w:marLeft w:val="0"/>
          <w:marRight w:val="0"/>
          <w:marTop w:val="0"/>
          <w:marBottom w:val="0"/>
          <w:divBdr>
            <w:top w:val="none" w:sz="0" w:space="0" w:color="auto"/>
            <w:left w:val="none" w:sz="0" w:space="0" w:color="auto"/>
            <w:bottom w:val="none" w:sz="0" w:space="0" w:color="auto"/>
            <w:right w:val="none" w:sz="0" w:space="0" w:color="auto"/>
          </w:divBdr>
        </w:div>
      </w:divsChild>
    </w:div>
    <w:div w:id="1337227669">
      <w:bodyDiv w:val="1"/>
      <w:marLeft w:val="0"/>
      <w:marRight w:val="0"/>
      <w:marTop w:val="0"/>
      <w:marBottom w:val="0"/>
      <w:divBdr>
        <w:top w:val="none" w:sz="0" w:space="0" w:color="auto"/>
        <w:left w:val="none" w:sz="0" w:space="0" w:color="auto"/>
        <w:bottom w:val="none" w:sz="0" w:space="0" w:color="auto"/>
        <w:right w:val="none" w:sz="0" w:space="0" w:color="auto"/>
      </w:divBdr>
    </w:div>
    <w:div w:id="1366104632">
      <w:bodyDiv w:val="1"/>
      <w:marLeft w:val="0"/>
      <w:marRight w:val="0"/>
      <w:marTop w:val="0"/>
      <w:marBottom w:val="0"/>
      <w:divBdr>
        <w:top w:val="none" w:sz="0" w:space="0" w:color="auto"/>
        <w:left w:val="none" w:sz="0" w:space="0" w:color="auto"/>
        <w:bottom w:val="none" w:sz="0" w:space="0" w:color="auto"/>
        <w:right w:val="none" w:sz="0" w:space="0" w:color="auto"/>
      </w:divBdr>
    </w:div>
    <w:div w:id="1415393395">
      <w:bodyDiv w:val="1"/>
      <w:marLeft w:val="0"/>
      <w:marRight w:val="0"/>
      <w:marTop w:val="0"/>
      <w:marBottom w:val="0"/>
      <w:divBdr>
        <w:top w:val="none" w:sz="0" w:space="0" w:color="auto"/>
        <w:left w:val="none" w:sz="0" w:space="0" w:color="auto"/>
        <w:bottom w:val="none" w:sz="0" w:space="0" w:color="auto"/>
        <w:right w:val="none" w:sz="0" w:space="0" w:color="auto"/>
      </w:divBdr>
    </w:div>
    <w:div w:id="1510556140">
      <w:bodyDiv w:val="1"/>
      <w:marLeft w:val="0"/>
      <w:marRight w:val="0"/>
      <w:marTop w:val="0"/>
      <w:marBottom w:val="0"/>
      <w:divBdr>
        <w:top w:val="none" w:sz="0" w:space="0" w:color="auto"/>
        <w:left w:val="none" w:sz="0" w:space="0" w:color="auto"/>
        <w:bottom w:val="none" w:sz="0" w:space="0" w:color="auto"/>
        <w:right w:val="none" w:sz="0" w:space="0" w:color="auto"/>
      </w:divBdr>
    </w:div>
    <w:div w:id="1559583721">
      <w:bodyDiv w:val="1"/>
      <w:marLeft w:val="0"/>
      <w:marRight w:val="0"/>
      <w:marTop w:val="0"/>
      <w:marBottom w:val="0"/>
      <w:divBdr>
        <w:top w:val="none" w:sz="0" w:space="0" w:color="auto"/>
        <w:left w:val="none" w:sz="0" w:space="0" w:color="auto"/>
        <w:bottom w:val="none" w:sz="0" w:space="0" w:color="auto"/>
        <w:right w:val="none" w:sz="0" w:space="0" w:color="auto"/>
      </w:divBdr>
    </w:div>
    <w:div w:id="1611667566">
      <w:bodyDiv w:val="1"/>
      <w:marLeft w:val="0"/>
      <w:marRight w:val="0"/>
      <w:marTop w:val="0"/>
      <w:marBottom w:val="0"/>
      <w:divBdr>
        <w:top w:val="none" w:sz="0" w:space="0" w:color="auto"/>
        <w:left w:val="none" w:sz="0" w:space="0" w:color="auto"/>
        <w:bottom w:val="none" w:sz="0" w:space="0" w:color="auto"/>
        <w:right w:val="none" w:sz="0" w:space="0" w:color="auto"/>
      </w:divBdr>
    </w:div>
    <w:div w:id="1620843763">
      <w:bodyDiv w:val="1"/>
      <w:marLeft w:val="0"/>
      <w:marRight w:val="0"/>
      <w:marTop w:val="0"/>
      <w:marBottom w:val="0"/>
      <w:divBdr>
        <w:top w:val="none" w:sz="0" w:space="0" w:color="auto"/>
        <w:left w:val="none" w:sz="0" w:space="0" w:color="auto"/>
        <w:bottom w:val="none" w:sz="0" w:space="0" w:color="auto"/>
        <w:right w:val="none" w:sz="0" w:space="0" w:color="auto"/>
      </w:divBdr>
    </w:div>
    <w:div w:id="1753627904">
      <w:bodyDiv w:val="1"/>
      <w:marLeft w:val="0"/>
      <w:marRight w:val="0"/>
      <w:marTop w:val="0"/>
      <w:marBottom w:val="0"/>
      <w:divBdr>
        <w:top w:val="none" w:sz="0" w:space="0" w:color="auto"/>
        <w:left w:val="none" w:sz="0" w:space="0" w:color="auto"/>
        <w:bottom w:val="none" w:sz="0" w:space="0" w:color="auto"/>
        <w:right w:val="none" w:sz="0" w:space="0" w:color="auto"/>
      </w:divBdr>
    </w:div>
    <w:div w:id="211670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indepaz.org.co/lideres-sociales-y-defensores-de-derechos-humanos-asesinados-en-2021/" TargetMode="External"/><Relationship Id="rId13" Type="http://schemas.openxmlformats.org/officeDocument/2006/relationships/hyperlink" Target="https://www.limpalcolombia.org/images/documentos/Realidades_de_la_paz_territorial_Limpal2021.pdf" TargetMode="External"/><Relationship Id="rId18" Type="http://schemas.openxmlformats.org/officeDocument/2006/relationships/hyperlink" Target="https://www.espaciosdemujer.org/wp-content/uploads/4.CEM_La-Trata-en-Colombia_2017.pdf" TargetMode="External"/><Relationship Id="rId26" Type="http://schemas.openxmlformats.org/officeDocument/2006/relationships/hyperlink" Target="https://www.humanas.org.co/wp-content/uploads/2021/03/Informe-Resolucio&#769;n-1325-2021-.pdf" TargetMode="External"/><Relationship Id="rId3" Type="http://schemas.openxmlformats.org/officeDocument/2006/relationships/hyperlink" Target="https://codacop.org.co/quienes-somos/" TargetMode="External"/><Relationship Id="rId21" Type="http://schemas.openxmlformats.org/officeDocument/2006/relationships/hyperlink" Target="https://datos.bancomundial.org/indicator/MS.MIL.MPRT.KD" TargetMode="External"/><Relationship Id="rId7" Type="http://schemas.openxmlformats.org/officeDocument/2006/relationships/hyperlink" Target="https://indepaz.org.co/lideres/" TargetMode="External"/><Relationship Id="rId12" Type="http://schemas.openxmlformats.org/officeDocument/2006/relationships/hyperlink" Target="https://www.limpalcolombia.org/images/documentos/Realidades_de_la_paz_territorial_Limpal2021.pdf" TargetMode="External"/><Relationship Id="rId17" Type="http://schemas.openxmlformats.org/officeDocument/2006/relationships/hyperlink" Target="https://www.womenslinkworldwide.org/files/3127/principales-fallas-en-el-sistema-de-proteccion-para-victimas-de-trata-en-colombia.pdf" TargetMode="External"/><Relationship Id="rId25" Type="http://schemas.openxmlformats.org/officeDocument/2006/relationships/hyperlink" Target="https://ideaspaz.org/publicaciones/investigaciones-analisis/2020-07/colombia-un-gran-mercado-de-armas-sin-incentivos-para-reducirlo" TargetMode="External"/><Relationship Id="rId2" Type="http://schemas.openxmlformats.org/officeDocument/2006/relationships/hyperlink" Target="https://cddcolombia.org/quienes-somos/" TargetMode="External"/><Relationship Id="rId16" Type="http://schemas.openxmlformats.org/officeDocument/2006/relationships/hyperlink" Target="https://colombia.iom.int/es/news/6-datos-relevantes-sobre-la-trata-de-personas-en-colombia" TargetMode="External"/><Relationship Id="rId20" Type="http://schemas.openxmlformats.org/officeDocument/2006/relationships/hyperlink" Target="https://www.minhacienda.gov.co/webcenter/ShowProperty?nodeId=%2FConexionContent%2FWCC_CLUSTER-208233%2F%2FidcPrimaryFile&amp;revision=latestreleased" TargetMode="External"/><Relationship Id="rId29" Type="http://schemas.openxmlformats.org/officeDocument/2006/relationships/hyperlink" Target="https://www.comisiondelaverdad.co/mi-cuerpo-es-la-verdas" TargetMode="External"/><Relationship Id="rId1" Type="http://schemas.openxmlformats.org/officeDocument/2006/relationships/hyperlink" Target="https://www.limpalcolombia.org/es/limpal-colombia/sobre-nosotras" TargetMode="External"/><Relationship Id="rId6" Type="http://schemas.openxmlformats.org/officeDocument/2006/relationships/hyperlink" Target="https://www.moe.org.co/informe-moe-manifestaciones-de-violencia-politica-contra-liderazgos-y-candidaturas-de-mujeres-en-un-ano-de-campanas-electorales/" TargetMode="External"/><Relationship Id="rId11" Type="http://schemas.openxmlformats.org/officeDocument/2006/relationships/hyperlink" Target="https://colombia.unmissions.org/sites/default/files/infografia_informe_enero_2023.pdf" TargetMode="External"/><Relationship Id="rId24" Type="http://schemas.openxmlformats.org/officeDocument/2006/relationships/hyperlink" Target="https://datos.bancomundial.org/indicator/MS.MIL.XPND.ZS" TargetMode="External"/><Relationship Id="rId5" Type="http://schemas.openxmlformats.org/officeDocument/2006/relationships/hyperlink" Target="https://www.cenpaz.com/2021/04/las-mujeres-pariremos-la-paz-balance-de.html" TargetMode="External"/><Relationship Id="rId15" Type="http://schemas.openxmlformats.org/officeDocument/2006/relationships/hyperlink" Target="https://apps.who.int/iris/bitstream/handle/10665/77079/9789243548432_spa.pdf?sequence=1" TargetMode="External"/><Relationship Id="rId23" Type="http://schemas.openxmlformats.org/officeDocument/2006/relationships/hyperlink" Target="https://datos.bancomundial.org/indicator/MS.MIL.XPND.GD.ZS" TargetMode="External"/><Relationship Id="rId28" Type="http://schemas.openxmlformats.org/officeDocument/2006/relationships/hyperlink" Target="https://datos.bancomundial.org/indicator/MS.MIL.MPRT.KD" TargetMode="External"/><Relationship Id="rId10" Type="http://schemas.openxmlformats.org/officeDocument/2006/relationships/hyperlink" Target="https://res.cloudinary.com/hi1erte0h/image/upload/v1639593717/webapp/r5ikvj4ch3uzicrffp7q.pdf" TargetMode="External"/><Relationship Id="rId19" Type="http://schemas.openxmlformats.org/officeDocument/2006/relationships/hyperlink" Target="https://repository.iom.int/bitstream/handle/20.500.11788/2301/ROBUE-OIM%20033.pdf?sequence=1&amp;isAllowed=y" TargetMode="External"/><Relationship Id="rId4" Type="http://schemas.openxmlformats.org/officeDocument/2006/relationships/hyperlink" Target="https://res.cloudinary.com/hi1erte0h/image/upload/v1639593717/webapp/r5ikvj4ch3uzicrffp7q.pdf" TargetMode="External"/><Relationship Id="rId9" Type="http://schemas.openxmlformats.org/officeDocument/2006/relationships/hyperlink" Target="https://indepaz.org.co/lideres-sociales-defensores-de-dd-hh-y-firmantes-de-acuerdo-asesinados-en-2022/" TargetMode="External"/><Relationship Id="rId14" Type="http://schemas.openxmlformats.org/officeDocument/2006/relationships/hyperlink" Target="https://www.fiscalia.gov.co/colombia/gestion/estadisticas/delitos/" TargetMode="External"/><Relationship Id="rId22" Type="http://schemas.openxmlformats.org/officeDocument/2006/relationships/hyperlink" Target="https://datos.bancomundial.org/indicator/MS.MIL.XPRT.KD" TargetMode="External"/><Relationship Id="rId27" Type="http://schemas.openxmlformats.org/officeDocument/2006/relationships/hyperlink" Target="https://ideaspaz.org/publicaciones/investigaciones-analisis/2020-07/colombia-un-gran-mercado-de-armas-sin-incentivos-para-reducirl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E7315-3DDB-49C8-BDBB-21B08181A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4850</Words>
  <Characters>27645</Characters>
  <Application>Microsoft Office Word</Application>
  <DocSecurity>0</DocSecurity>
  <Lines>230</Lines>
  <Paragraphs>64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2023-05-29T07:59:00Z</dcterms:created>
  <dcterms:modified xsi:type="dcterms:W3CDTF">2023-05-29T08:02:00Z</dcterms:modified>
</cp:coreProperties>
</file>