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E9F" w:rsidRPr="00D32E9F" w:rsidRDefault="00D32E9F" w:rsidP="00D32E9F">
      <w:pPr>
        <w:spacing w:line="360" w:lineRule="auto"/>
        <w:jc w:val="center"/>
        <w:rPr>
          <w:rFonts w:ascii="Albertus Extra Bold" w:eastAsia="Times New Roman" w:hAnsi="Albertus Extra Bold" w:cs="Tahoma"/>
          <w:b/>
          <w:spacing w:val="160"/>
          <w:sz w:val="24"/>
          <w:szCs w:val="24"/>
          <w:u w:val="single"/>
          <w:lang w:val="fr-CH" w:eastAsia="en-GB"/>
        </w:rPr>
      </w:pPr>
      <w:r w:rsidRPr="00D32E9F">
        <w:rPr>
          <w:rFonts w:ascii="Albertus Extra Bold" w:eastAsia="Times New Roman" w:hAnsi="Albertus Extra Bold" w:cs="Tahoma"/>
          <w:b/>
          <w:spacing w:val="160"/>
          <w:sz w:val="24"/>
          <w:szCs w:val="24"/>
          <w:u w:val="single"/>
          <w:lang w:val="fr-CH" w:eastAsia="en-GB"/>
        </w:rPr>
        <w:t>ANNEXE</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Articles 5, 6, 7, 8 et 9</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 xml:space="preserve">12. </w:t>
      </w:r>
      <w:r w:rsidRPr="00D32E9F">
        <w:rPr>
          <w:rFonts w:ascii="Tahoma" w:eastAsia="Times New Roman" w:hAnsi="Tahoma" w:cs="Tahoma"/>
          <w:b/>
          <w:sz w:val="18"/>
          <w:szCs w:val="18"/>
          <w:lang w:val="fr-SN" w:eastAsia="en-GB"/>
        </w:rPr>
        <w:t xml:space="preserve">« </w:t>
      </w:r>
      <w:r w:rsidRPr="00D32E9F">
        <w:rPr>
          <w:rFonts w:ascii="Tahoma" w:eastAsia="Times New Roman" w:hAnsi="Tahoma" w:cs="Tahoma"/>
          <w:b/>
          <w:i/>
          <w:sz w:val="18"/>
          <w:szCs w:val="18"/>
          <w:lang w:val="fr-SN" w:eastAsia="en-GB"/>
        </w:rPr>
        <w:t>A la lumière des précédentes observations finales du Comité (par. 12), et de la réponse apportée par l’Etat partie au titre du suivi, veuillez fournir des renseignements sur la mise en œuvre de l’accord de coopération conclu avec le Tchad relatif au procès de M. Hissène Habré et sur le fonctionnement des Chambres africaines extraordinaires. Y joindre des informations sur les moyens mis en œuvre pour assurer la protection des victimes et des témoins dans le cadre de ce procès</w:t>
      </w:r>
      <w:r w:rsidRPr="00D32E9F">
        <w:rPr>
          <w:rFonts w:ascii="Tahoma" w:eastAsia="Times New Roman" w:hAnsi="Tahoma" w:cs="Tahoma"/>
          <w:b/>
          <w:sz w:val="20"/>
          <w:szCs w:val="20"/>
          <w:lang w:val="fr-SN" w:eastAsia="en-GB"/>
        </w:rPr>
        <w:t>».</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L’article 5 de la Convention contre la torture dispose :</w:t>
      </w:r>
    </w:p>
    <w:p w:rsidR="00D32E9F" w:rsidRPr="00D32E9F" w:rsidRDefault="00D32E9F" w:rsidP="00D32E9F">
      <w:pPr>
        <w:numPr>
          <w:ilvl w:val="0"/>
          <w:numId w:val="1"/>
        </w:numPr>
        <w:spacing w:line="360" w:lineRule="auto"/>
        <w:contextualSpacing/>
        <w:jc w:val="both"/>
        <w:rPr>
          <w:rFonts w:ascii="Tahoma" w:eastAsia="Times New Roman" w:hAnsi="Tahoma" w:cs="Tahoma"/>
          <w:b/>
          <w:i/>
          <w:sz w:val="18"/>
          <w:szCs w:val="18"/>
          <w:lang w:val="fr-SN" w:eastAsia="en-GB"/>
        </w:rPr>
      </w:pPr>
      <w:r w:rsidRPr="00D32E9F">
        <w:rPr>
          <w:rFonts w:ascii="Tahoma" w:eastAsia="Times New Roman" w:hAnsi="Tahoma" w:cs="Tahoma"/>
          <w:i/>
          <w:sz w:val="18"/>
          <w:szCs w:val="18"/>
          <w:lang w:val="fr-SN" w:eastAsia="en-GB"/>
        </w:rPr>
        <w:t>« </w:t>
      </w:r>
      <w:r w:rsidRPr="00D32E9F">
        <w:rPr>
          <w:rFonts w:ascii="Tahoma" w:eastAsia="Times New Roman" w:hAnsi="Tahoma" w:cs="Tahoma"/>
          <w:b/>
          <w:i/>
          <w:sz w:val="18"/>
          <w:szCs w:val="18"/>
          <w:lang w:val="fr-SN" w:eastAsia="en-GB"/>
        </w:rPr>
        <w:t>Tout Etat partie prend les mesures nécessaires pour établir sa compétence aux fins de connaître des infractions visées à l’article 4 dans les cas suivants :</w:t>
      </w:r>
    </w:p>
    <w:p w:rsidR="00D32E9F" w:rsidRPr="00D32E9F" w:rsidRDefault="00D32E9F" w:rsidP="00D32E9F">
      <w:pPr>
        <w:spacing w:line="360" w:lineRule="auto"/>
        <w:ind w:left="720"/>
        <w:contextualSpacing/>
        <w:jc w:val="both"/>
        <w:rPr>
          <w:rFonts w:ascii="Tahoma" w:eastAsia="Times New Roman" w:hAnsi="Tahoma" w:cs="Tahoma"/>
          <w:b/>
          <w:i/>
          <w:sz w:val="18"/>
          <w:szCs w:val="18"/>
          <w:lang w:val="fr-SN" w:eastAsia="en-GB"/>
        </w:rPr>
      </w:pPr>
    </w:p>
    <w:p w:rsidR="00D32E9F" w:rsidRPr="00D32E9F" w:rsidRDefault="00D32E9F" w:rsidP="00D32E9F">
      <w:pPr>
        <w:numPr>
          <w:ilvl w:val="0"/>
          <w:numId w:val="2"/>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Quand l’infraction a été commise sur tout territoire sous la juridiction dudit Etat ou à bord d’aéronefs ou de navires immatriculés dans cet Etat ;</w:t>
      </w:r>
    </w:p>
    <w:p w:rsidR="00D32E9F" w:rsidRPr="00D32E9F" w:rsidRDefault="00D32E9F" w:rsidP="00D32E9F">
      <w:pPr>
        <w:numPr>
          <w:ilvl w:val="0"/>
          <w:numId w:val="2"/>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Quand l’auteur présumé de l’infraction est un ressortissant dudit Etat ;</w:t>
      </w:r>
    </w:p>
    <w:p w:rsidR="00D32E9F" w:rsidRPr="00D32E9F" w:rsidRDefault="00D32E9F" w:rsidP="00D32E9F">
      <w:pPr>
        <w:numPr>
          <w:ilvl w:val="0"/>
          <w:numId w:val="2"/>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Quand la victime est un ressortissant dudit Etat et que ce dernier le juge approprié.</w:t>
      </w:r>
    </w:p>
    <w:p w:rsidR="00D32E9F" w:rsidRPr="00D32E9F" w:rsidRDefault="00D32E9F" w:rsidP="00D32E9F">
      <w:pPr>
        <w:ind w:left="720"/>
        <w:contextualSpacing/>
        <w:jc w:val="both"/>
        <w:rPr>
          <w:rFonts w:ascii="Times New Roman" w:eastAsia="Times New Roman" w:hAnsi="Times New Roman" w:cs="Times New Roman"/>
          <w:b/>
          <w:i/>
          <w:sz w:val="18"/>
          <w:szCs w:val="18"/>
          <w:lang w:val="fr-SN" w:eastAsia="en-GB"/>
        </w:rPr>
      </w:pPr>
    </w:p>
    <w:p w:rsidR="00D32E9F" w:rsidRPr="00D32E9F" w:rsidRDefault="00D32E9F" w:rsidP="00D32E9F">
      <w:pPr>
        <w:numPr>
          <w:ilvl w:val="0"/>
          <w:numId w:val="1"/>
        </w:numPr>
        <w:spacing w:line="360" w:lineRule="auto"/>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Tout Etat partie prend également les mesures nécessaires pour établir sa compétence aux fins de connaître desdites infractions dans le cas où l’auteur présumé de celles-ci se trouve sur tout territoire sous sa juridiction et ou ledit Etat ne l’extrade pas conformément à l’article 8 vers l’un des Etats visés au paragraphe 1 du présent article.</w:t>
      </w:r>
    </w:p>
    <w:p w:rsidR="00D32E9F" w:rsidRPr="00D32E9F" w:rsidRDefault="00D32E9F" w:rsidP="00D32E9F">
      <w:pPr>
        <w:spacing w:line="360" w:lineRule="auto"/>
        <w:ind w:left="720"/>
        <w:contextualSpacing/>
        <w:jc w:val="both"/>
        <w:rPr>
          <w:rFonts w:ascii="Tahoma" w:eastAsia="Times New Roman" w:hAnsi="Tahoma" w:cs="Tahoma"/>
          <w:b/>
          <w:i/>
          <w:sz w:val="18"/>
          <w:szCs w:val="18"/>
          <w:lang w:val="fr-SN" w:eastAsia="en-GB"/>
        </w:rPr>
      </w:pPr>
    </w:p>
    <w:p w:rsidR="00D32E9F" w:rsidRPr="00D32E9F" w:rsidRDefault="00D32E9F" w:rsidP="00D32E9F">
      <w:pPr>
        <w:numPr>
          <w:ilvl w:val="0"/>
          <w:numId w:val="1"/>
        </w:numPr>
        <w:spacing w:line="360" w:lineRule="auto"/>
        <w:contextualSpacing/>
        <w:jc w:val="both"/>
        <w:rPr>
          <w:rFonts w:ascii="Tahoma" w:eastAsia="Times New Roman" w:hAnsi="Tahoma" w:cs="Tahoma"/>
          <w:i/>
          <w:sz w:val="18"/>
          <w:szCs w:val="18"/>
          <w:lang w:val="fr-SN" w:eastAsia="en-GB"/>
        </w:rPr>
      </w:pPr>
      <w:r w:rsidRPr="00D32E9F">
        <w:rPr>
          <w:rFonts w:ascii="Tahoma" w:eastAsia="Times New Roman" w:hAnsi="Tahoma" w:cs="Tahoma"/>
          <w:b/>
          <w:i/>
          <w:sz w:val="18"/>
          <w:szCs w:val="18"/>
          <w:lang w:val="fr-SN" w:eastAsia="en-GB"/>
        </w:rPr>
        <w:t>La présente convention n’écarte aucune compétence pénale exercée conformément aux lois nationales »</w:t>
      </w:r>
      <w:r w:rsidRPr="00D32E9F">
        <w:rPr>
          <w:rFonts w:ascii="Tahoma" w:eastAsia="Times New Roman" w:hAnsi="Tahoma" w:cs="Tahoma"/>
          <w:i/>
          <w:sz w:val="18"/>
          <w:szCs w:val="18"/>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Sénégal est partie à la convention de New York du 10 décembre 1984 contre la torture et autres peines ou traitements cruels, inhumains ou dégradants. Il a ratifié cette convention le 21 août 1986 et a fait la déclaration prévue à l’article 22 en reconnaissant la compétence du Comité contre la torture à statuer sur les violations des articles 5 et 7 de ladite convention. En vertu de ces dispositions, le Sénégal en tant qu’Etat partie devait, dans l’intérêt des victimes, d’abord prendre les mesures nécessaires pour établir  sa compétence à connaître de ces infractions, et poursuivre les auteurs présumés qui se trouvent sous sa juridiction ou procéder à leur extradition.</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Par la loi n° 96-15 du 26 août 1996, le Sénégal a inséré dans son Code pénal un article 295-1 qui incrimine la torture conformément à la définition consacrée par la convention.</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lastRenderedPageBreak/>
        <w:t xml:space="preserve">Cette loi devait être complétée par la réforme du Code de procédure pénale pour asseoir l’effectivité de la compétence universelle des tribunaux sénégalais en la matière. C’est ce qui ressort de l’arrêt de la Cour de cassation rendu le 20 mars 2001 qui mettait fin aux poursuites engagées contre M. Habré à la suite de la plainte avec constitution de partie civile déposée par les victimes le 25 janvier 2000. La Cour avait estimé qu’  </w:t>
      </w:r>
      <w:r w:rsidRPr="00D32E9F">
        <w:rPr>
          <w:rFonts w:ascii="Tahoma" w:eastAsia="Times New Roman" w:hAnsi="Tahoma" w:cs="Tahoma"/>
          <w:sz w:val="18"/>
          <w:szCs w:val="18"/>
          <w:lang w:val="fr-SN" w:eastAsia="en-GB"/>
        </w:rPr>
        <w:t>« </w:t>
      </w:r>
      <w:r w:rsidRPr="00D32E9F">
        <w:rPr>
          <w:rFonts w:ascii="Tahoma" w:eastAsia="Times New Roman" w:hAnsi="Tahoma" w:cs="Tahoma"/>
          <w:b/>
          <w:i/>
          <w:sz w:val="18"/>
          <w:szCs w:val="18"/>
          <w:lang w:val="fr-SN" w:eastAsia="en-GB"/>
        </w:rPr>
        <w:t>aucun</w:t>
      </w:r>
      <w:r w:rsidRPr="00D32E9F">
        <w:rPr>
          <w:rFonts w:ascii="Tahoma" w:eastAsia="Times New Roman" w:hAnsi="Tahoma" w:cs="Tahoma"/>
          <w:i/>
          <w:sz w:val="18"/>
          <w:szCs w:val="18"/>
          <w:lang w:val="fr-SN" w:eastAsia="en-GB"/>
        </w:rPr>
        <w:t xml:space="preserve"> </w:t>
      </w:r>
      <w:r w:rsidRPr="00D32E9F">
        <w:rPr>
          <w:rFonts w:ascii="Tahoma" w:eastAsia="Times New Roman" w:hAnsi="Tahoma" w:cs="Tahoma"/>
          <w:b/>
          <w:i/>
          <w:sz w:val="18"/>
          <w:szCs w:val="18"/>
          <w:lang w:val="fr-SN" w:eastAsia="en-GB"/>
        </w:rPr>
        <w:t>texte de procédure ne reconnaît une compétence universelle aux juridictions sénégalaises en vue de poursuivre et de juger, s’ils sont trouvés sur le territoire de la République, les présumés auteurs ou complices de faits de torture lorsque ces faits ont été commis hors du Sénégal par des étrangers ; que la présence au Sénégal d’Hissein Habré ne saurait à elle seule justifier les poursuites intentées contre lui</w:t>
      </w:r>
      <w:r w:rsidRPr="00D32E9F">
        <w:rPr>
          <w:rFonts w:ascii="Tahoma" w:eastAsia="Times New Roman" w:hAnsi="Tahoma" w:cs="Tahoma"/>
          <w:i/>
          <w:sz w:val="18"/>
          <w:szCs w:val="18"/>
          <w:lang w:val="fr-SN" w:eastAsia="en-GB"/>
        </w:rPr>
        <w:t> </w:t>
      </w:r>
      <w:r w:rsidRPr="00D32E9F">
        <w:rPr>
          <w:rFonts w:ascii="Tahoma" w:eastAsia="Times New Roman" w:hAnsi="Tahoma" w:cs="Tahoma"/>
          <w:sz w:val="18"/>
          <w:szCs w:val="18"/>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Comité des Nations unies contre la torture a été saisi le 18 avril 2001 par les plaignants pour violation par le Sénégal de la convention contre la torture. Il a conclu dans sa décision du 17 mai 2006 que le Sénégal, Etat partie, a manqué à ses obligations découlant des articles 5 et 7 de la convention et demandé que lui soit communiqués des renseignements sur les mesures prises pour donner effet à ses recommandations.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Par la loi n° 2007-05 du 12 février 2007, le Sénégal a modifié l’article 669 de son Code de procédure pénale en étendant la compétence de ses juridictions à la torture, aux crimes contre l’humanité, crimes de guerre et génocide qui seraient commis par tout étranger hors du territoire de la République lorsque celui-ci est arrêté au Sénégal ou si une victime réside sur le territoire de la République du Sénégal, ou si le Gouvernement obtient son extradition.</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Pour assurer la poursuite de ces crimes internationaux, le Sénégal, se fondant sur les dispositions de l’article 15 du Pacte International relatif aux Droits Civils et Politiques, a réaffirmé à l’article 9 de sa Constitution modifiée le 7 août 2008, le principe de non rétroactivité, tout en précisant que ce principe ne s’oppose pas au jugement et à la condamnation de tout individu en raison  d’actes ou omissions qui, au moment où ils ont été commis, étaient tenus pour criminels d’après les règles du droit international relatives aux faits de génocide, crimes contre l’humanité et crimes de guerre.</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lastRenderedPageBreak/>
        <w:t>L’adoption de l’ensemble de ces textes permettait au Sénégal de respecter ses engagements découlant tant des conventions internationales que de l’arrêt de la Cour internationale de justice rendu le 20 juillet 2012 qui a enjoint à notre pays de soumettre, sans autre délai, le cas de M. Hissein Habré à ses autorités compétentes pour l’exercice de l’action pénale, s’il ne l’extradait pas.</w:t>
      </w:r>
    </w:p>
    <w:p w:rsidR="00D32E9F" w:rsidRPr="00D32E9F" w:rsidRDefault="00D32E9F" w:rsidP="00D32E9F">
      <w:pPr>
        <w:spacing w:line="360" w:lineRule="auto"/>
        <w:jc w:val="both"/>
        <w:rPr>
          <w:rFonts w:ascii="Tahoma" w:eastAsia="Times New Roman" w:hAnsi="Tahoma" w:cs="Tahoma"/>
          <w:sz w:val="18"/>
          <w:szCs w:val="18"/>
          <w:lang w:val="fr-SN" w:eastAsia="en-GB"/>
        </w:rPr>
      </w:pPr>
      <w:r w:rsidRPr="00D32E9F">
        <w:rPr>
          <w:rFonts w:ascii="Tahoma" w:eastAsia="Times New Roman" w:hAnsi="Tahoma" w:cs="Tahoma"/>
          <w:sz w:val="24"/>
          <w:szCs w:val="24"/>
          <w:lang w:val="fr-SN" w:eastAsia="en-GB"/>
        </w:rPr>
        <w:t xml:space="preserve">Mais, dès le 6 octobre 2008, estimant que ses droits étaient violés par les réformes législatives et constitutionnelles, M. Hssein Habré a saisi la Cour de justice de la Communauté économique des Etats de l’Afrique de l’Ouest qui, dans un arrêt n° ECW/CCJ/JUD/06/10 rendu le 8 novembre 2010, a abordé le mandat de l’Union africaine donné au Sénégal en indiquant que ledit mandat conférait plutôt au Sénégal une mission de conception et de suggestion de toutes modalités propres à poursuivre et à faire juger M. Habré dans le cadre strict d’une procédure spéciale </w:t>
      </w:r>
      <w:r w:rsidRPr="00D32E9F">
        <w:rPr>
          <w:rFonts w:ascii="Tahoma" w:eastAsia="Times New Roman" w:hAnsi="Tahoma" w:cs="Tahoma"/>
          <w:i/>
          <w:sz w:val="24"/>
          <w:szCs w:val="24"/>
          <w:lang w:val="fr-SN" w:eastAsia="en-GB"/>
        </w:rPr>
        <w:t>ad hoc</w:t>
      </w:r>
      <w:r w:rsidRPr="00D32E9F">
        <w:rPr>
          <w:rFonts w:ascii="Tahoma" w:eastAsia="Times New Roman" w:hAnsi="Tahoma" w:cs="Tahoma"/>
          <w:sz w:val="24"/>
          <w:szCs w:val="24"/>
          <w:lang w:val="fr-SN" w:eastAsia="en-GB"/>
        </w:rPr>
        <w:t xml:space="preserve"> à caractère international. Ce mandat fait suite à différentes péripéties dans le traitement du cas Habré. Le 26 novembre 2005, le Ministre de l’Intérieur du Sénégal a pris un arrêté mettant Habré à la disposition du Président de l’Union africaine, Olusegun Obasanjo, Président du Nigéria. En juillet 2006, la Conférence des chefs d’Etats et de gouvernements de l’Union africaine a décidé  </w:t>
      </w:r>
      <w:r w:rsidRPr="00D32E9F">
        <w:rPr>
          <w:rFonts w:ascii="Tahoma" w:eastAsia="Times New Roman" w:hAnsi="Tahoma" w:cs="Tahoma"/>
          <w:sz w:val="18"/>
          <w:szCs w:val="18"/>
          <w:lang w:val="fr-SN" w:eastAsia="en-GB"/>
        </w:rPr>
        <w:t>« </w:t>
      </w:r>
      <w:r w:rsidRPr="00D32E9F">
        <w:rPr>
          <w:rFonts w:ascii="Tahoma" w:eastAsia="Times New Roman" w:hAnsi="Tahoma" w:cs="Tahoma"/>
          <w:b/>
          <w:i/>
          <w:sz w:val="18"/>
          <w:szCs w:val="18"/>
          <w:lang w:val="fr-SN" w:eastAsia="en-GB"/>
        </w:rPr>
        <w:t>de considérer le dossier Hissein Habré comme le dossier de l’Union africaine,…  et donner mandat à la République du Sénégal de poursuivre et de faire juger, au nom de l’Afrique, Hissein Habré par une juridiction sénégalaise compétente avec les garanties d’un procès juste et donne mandat au président de l’Union africaine, en concertation avec le président de la Commission d’apporter au Sénégal l’assistance nécessaire pour le bon déroulement et le bon fonctionnement du procès</w:t>
      </w:r>
      <w:r w:rsidRPr="00D32E9F">
        <w:rPr>
          <w:rFonts w:ascii="Tahoma" w:eastAsia="Times New Roman" w:hAnsi="Tahoma" w:cs="Tahoma"/>
          <w:i/>
          <w:sz w:val="18"/>
          <w:szCs w:val="18"/>
          <w:lang w:val="fr-SN" w:eastAsia="en-GB"/>
        </w:rPr>
        <w:t> </w:t>
      </w:r>
      <w:r w:rsidRPr="00D32E9F">
        <w:rPr>
          <w:rFonts w:ascii="Tahoma" w:eastAsia="Times New Roman" w:hAnsi="Tahoma" w:cs="Tahoma"/>
          <w:sz w:val="18"/>
          <w:szCs w:val="18"/>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 xml:space="preserve">La Conférence des chefs d’Etats de janvier 2011 a </w:t>
      </w:r>
      <w:r w:rsidRPr="00D32E9F">
        <w:rPr>
          <w:rFonts w:ascii="Tahoma" w:eastAsia="Times New Roman" w:hAnsi="Tahoma" w:cs="Tahoma"/>
          <w:sz w:val="18"/>
          <w:szCs w:val="18"/>
          <w:lang w:val="fr-SN" w:eastAsia="en-GB"/>
        </w:rPr>
        <w:t>« </w:t>
      </w:r>
      <w:r w:rsidRPr="00D32E9F">
        <w:rPr>
          <w:rFonts w:ascii="Tahoma" w:eastAsia="Times New Roman" w:hAnsi="Tahoma" w:cs="Tahoma"/>
          <w:b/>
          <w:i/>
          <w:sz w:val="18"/>
          <w:szCs w:val="18"/>
          <w:lang w:val="fr-SN" w:eastAsia="en-GB"/>
        </w:rPr>
        <w:t>demandé à la Commission d’entreprendre des consultations avec le Gouvernement du Sénégal afin de finaliser les modalités pour l’organisation rapide du procès de Hissein Habré par un tribunal spécial à caractère international, conformément à la décision de la Cour de justice de la CEDEAO sur la question</w:t>
      </w:r>
      <w:r w:rsidRPr="00D32E9F">
        <w:rPr>
          <w:rFonts w:ascii="Tahoma" w:eastAsia="Times New Roman" w:hAnsi="Tahoma" w:cs="Tahoma"/>
          <w:sz w:val="18"/>
          <w:szCs w:val="18"/>
          <w:lang w:val="fr-SN" w:eastAsia="en-GB"/>
        </w:rPr>
        <w:t> »</w:t>
      </w:r>
      <w:r w:rsidRPr="00D32E9F">
        <w:rPr>
          <w:rFonts w:ascii="Tahoma" w:eastAsia="Times New Roman" w:hAnsi="Tahoma" w:cs="Tahoma"/>
          <w:sz w:val="24"/>
          <w:szCs w:val="24"/>
          <w:lang w:val="fr-SN" w:eastAsia="en-GB"/>
        </w:rPr>
        <w:t xml:space="preserve"> et lors de sa 17</w:t>
      </w:r>
      <w:r w:rsidRPr="00D32E9F">
        <w:rPr>
          <w:rFonts w:ascii="Tahoma" w:eastAsia="Times New Roman" w:hAnsi="Tahoma" w:cs="Tahoma"/>
          <w:sz w:val="24"/>
          <w:szCs w:val="24"/>
          <w:vertAlign w:val="superscript"/>
          <w:lang w:val="fr-SN" w:eastAsia="en-GB"/>
        </w:rPr>
        <w:t>e</w:t>
      </w:r>
      <w:r w:rsidRPr="00D32E9F">
        <w:rPr>
          <w:rFonts w:ascii="Tahoma" w:eastAsia="Times New Roman" w:hAnsi="Tahoma" w:cs="Tahoma"/>
          <w:sz w:val="24"/>
          <w:szCs w:val="24"/>
          <w:lang w:val="fr-SN" w:eastAsia="en-GB"/>
        </w:rPr>
        <w:t xml:space="preserve"> session, tenue en juillet 2011, la Conférence a « </w:t>
      </w:r>
      <w:r w:rsidRPr="00D32E9F">
        <w:rPr>
          <w:rFonts w:ascii="Tahoma" w:eastAsia="Times New Roman" w:hAnsi="Tahoma" w:cs="Tahoma"/>
          <w:b/>
          <w:i/>
          <w:sz w:val="18"/>
          <w:szCs w:val="18"/>
          <w:lang w:val="fr-SN" w:eastAsia="en-GB"/>
        </w:rPr>
        <w:t>confirmé le mandat confié au Sénégal de juger Hissein Habré au nom de l’Afrique</w:t>
      </w:r>
      <w:r w:rsidRPr="00D32E9F">
        <w:rPr>
          <w:rFonts w:ascii="Tahoma" w:eastAsia="Times New Roman" w:hAnsi="Tahoma" w:cs="Tahoma"/>
          <w:b/>
          <w:sz w:val="18"/>
          <w:szCs w:val="18"/>
          <w:lang w:val="fr-SN" w:eastAsia="en-GB"/>
        </w:rPr>
        <w:t> </w:t>
      </w:r>
      <w:r w:rsidRPr="00D32E9F">
        <w:rPr>
          <w:rFonts w:ascii="Tahoma" w:eastAsia="Times New Roman" w:hAnsi="Tahoma" w:cs="Tahoma"/>
          <w:sz w:val="18"/>
          <w:szCs w:val="18"/>
          <w:lang w:val="fr-SN" w:eastAsia="en-GB"/>
        </w:rPr>
        <w:t>»</w:t>
      </w:r>
      <w:r w:rsidRPr="00D32E9F">
        <w:rPr>
          <w:rFonts w:ascii="Tahoma" w:eastAsia="Times New Roman" w:hAnsi="Tahoma" w:cs="Tahoma"/>
          <w:sz w:val="24"/>
          <w:szCs w:val="24"/>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 xml:space="preserve">Au moment où les experts de la Commission de l’Union africaine et le Sénégal étaient en train de finaliser les documents portant projet de création d’une Cour pénale internationale </w:t>
      </w:r>
      <w:r w:rsidRPr="00D32E9F">
        <w:rPr>
          <w:rFonts w:ascii="Tahoma" w:eastAsia="Times New Roman" w:hAnsi="Tahoma" w:cs="Tahoma"/>
          <w:i/>
          <w:sz w:val="24"/>
          <w:szCs w:val="24"/>
          <w:lang w:val="fr-SN" w:eastAsia="en-GB"/>
        </w:rPr>
        <w:t>ad hoc</w:t>
      </w:r>
      <w:r w:rsidRPr="00D32E9F">
        <w:rPr>
          <w:rFonts w:ascii="Tahoma" w:eastAsia="Times New Roman" w:hAnsi="Tahoma" w:cs="Tahoma"/>
          <w:sz w:val="24"/>
          <w:szCs w:val="24"/>
          <w:lang w:val="fr-SN" w:eastAsia="en-GB"/>
        </w:rPr>
        <w:t>, l’arrêt de la Cour internationale de justice intervint.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lastRenderedPageBreak/>
        <w:t>Le 22 août 2012, un mois après l’arrêt de la Cour internationale de justice, un Accord a été signé entre le Gouvernement de la République du Sénégal et l’Union africaine (UA) sur la création des Chambres africaines extraordinaires au sein des juridictions sénégalaises chargées de poursuivre le ou les principaux responsables des crimes et violations graves du droit international, de la coutume internationale, et des Conventions internationales ratifiées par le Tchad et le Sénégal commis sur le territoire tchadien du 7 juin 1982 au 1</w:t>
      </w:r>
      <w:r w:rsidRPr="00D32E9F">
        <w:rPr>
          <w:rFonts w:ascii="Tahoma" w:eastAsia="Times New Roman" w:hAnsi="Tahoma" w:cs="Tahoma"/>
          <w:sz w:val="24"/>
          <w:szCs w:val="24"/>
          <w:vertAlign w:val="superscript"/>
          <w:lang w:val="fr-SN" w:eastAsia="en-GB"/>
        </w:rPr>
        <w:t>er</w:t>
      </w:r>
      <w:r w:rsidRPr="00D32E9F">
        <w:rPr>
          <w:rFonts w:ascii="Tahoma" w:eastAsia="Times New Roman" w:hAnsi="Tahoma" w:cs="Tahoma"/>
          <w:sz w:val="24"/>
          <w:szCs w:val="24"/>
          <w:lang w:val="fr-SN" w:eastAsia="en-GB"/>
        </w:rPr>
        <w:t xml:space="preserve"> décembre 1990. Le Statut desdites Chambres a aussi été adopté et annexé à l’Accord. Une loi de ratification a été votée et l’organisation judiciaire du Sénégal a été modifiée.</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 xml:space="preserve">L’article 14 de la Convention contre la torture et autres peines, traitements cruels, inhumains ou dégradants prévoit : </w:t>
      </w:r>
    </w:p>
    <w:p w:rsidR="00D32E9F" w:rsidRPr="00D32E9F" w:rsidRDefault="00D32E9F" w:rsidP="00D32E9F">
      <w:pPr>
        <w:numPr>
          <w:ilvl w:val="0"/>
          <w:numId w:val="3"/>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i/>
          <w:sz w:val="18"/>
          <w:szCs w:val="18"/>
          <w:lang w:val="fr-SN" w:eastAsia="en-GB"/>
        </w:rPr>
        <w:t>« </w:t>
      </w:r>
      <w:r w:rsidRPr="00D32E9F">
        <w:rPr>
          <w:rFonts w:ascii="Tahoma" w:eastAsia="Times New Roman" w:hAnsi="Tahoma" w:cs="Tahoma"/>
          <w:b/>
          <w:i/>
          <w:sz w:val="18"/>
          <w:szCs w:val="18"/>
          <w:lang w:val="fr-SN" w:eastAsia="en-GB"/>
        </w:rPr>
        <w:t>Tout Etat partie garantit, dans son système juridique, à la victime d’un acte de torture le droit d’obtenir réparation et d’être indemnisée équitablement et de manière adéquate, y compris les moyens nécessaires à sa réadaptation la plus complète possible. En cas de mort de la victime résultant d’un acte de torture, les ayants droits de celle-ci ont droit à indemnisation.</w:t>
      </w:r>
    </w:p>
    <w:p w:rsidR="00D32E9F" w:rsidRPr="00D32E9F" w:rsidRDefault="00D32E9F" w:rsidP="00D32E9F">
      <w:pPr>
        <w:ind w:left="720"/>
        <w:contextualSpacing/>
        <w:jc w:val="both"/>
        <w:rPr>
          <w:rFonts w:ascii="Times New Roman" w:eastAsia="Times New Roman" w:hAnsi="Times New Roman" w:cs="Times New Roman"/>
          <w:b/>
          <w:i/>
          <w:sz w:val="18"/>
          <w:szCs w:val="18"/>
          <w:lang w:val="fr-SN" w:eastAsia="en-GB"/>
        </w:rPr>
      </w:pPr>
    </w:p>
    <w:p w:rsidR="00D32E9F" w:rsidRPr="00D32E9F" w:rsidRDefault="00D32E9F" w:rsidP="00D32E9F">
      <w:pPr>
        <w:numPr>
          <w:ilvl w:val="0"/>
          <w:numId w:val="3"/>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Le présent article n’exclut aucun droit à indemnisation qu’aurait la victime ou toute autre personne en vertu des lois nationales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Cette exigence de la Convention est prise en compte à travers les dispositions des articles 14, 15, 27 et 28 du Statut des CAE ci-après.</w:t>
      </w:r>
    </w:p>
    <w:p w:rsidR="00D32E9F" w:rsidRPr="00D32E9F" w:rsidRDefault="00D32E9F" w:rsidP="00D32E9F">
      <w:pPr>
        <w:numPr>
          <w:ilvl w:val="0"/>
          <w:numId w:val="4"/>
        </w:numPr>
        <w:contextualSpacing/>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Statut des CAE</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14 – Principes généraux relatifs à la participation des victimes en qualité de partie civile</w:t>
      </w:r>
    </w:p>
    <w:p w:rsidR="00D32E9F" w:rsidRPr="00D32E9F" w:rsidRDefault="00D32E9F" w:rsidP="00D32E9F">
      <w:pPr>
        <w:numPr>
          <w:ilvl w:val="0"/>
          <w:numId w:val="5"/>
        </w:numPr>
        <w:spacing w:line="360" w:lineRule="auto"/>
        <w:ind w:left="714" w:hanging="357"/>
        <w:contextualSpacing/>
        <w:jc w:val="both"/>
        <w:rPr>
          <w:rFonts w:ascii="Tahoma" w:eastAsia="Times New Roman" w:hAnsi="Tahoma" w:cs="Tahoma"/>
          <w:i/>
          <w:sz w:val="18"/>
          <w:szCs w:val="18"/>
          <w:lang w:val="fr-SN" w:eastAsia="en-GB"/>
        </w:rPr>
      </w:pPr>
      <w:r w:rsidRPr="00D32E9F">
        <w:rPr>
          <w:rFonts w:ascii="Tahoma" w:eastAsia="Times New Roman" w:hAnsi="Tahoma" w:cs="Tahoma"/>
          <w:i/>
          <w:sz w:val="18"/>
          <w:szCs w:val="18"/>
          <w:lang w:val="fr-SN" w:eastAsia="en-GB"/>
        </w:rPr>
        <w:t>« </w:t>
      </w:r>
      <w:r w:rsidRPr="00D32E9F">
        <w:rPr>
          <w:rFonts w:ascii="Tahoma" w:eastAsia="Times New Roman" w:hAnsi="Tahoma" w:cs="Tahoma"/>
          <w:b/>
          <w:i/>
          <w:sz w:val="18"/>
          <w:szCs w:val="18"/>
          <w:lang w:val="fr-SN" w:eastAsia="en-GB"/>
        </w:rPr>
        <w:t>La constitution de partie civile peut avoir lieu à tout moment au cours de l’instruction et se fait par demande écrite de la victime ou son ayant droit au greffier. Le greffier communique la demande à la Chambre compétente, ainsi qu’au ministère public et à la défense</w:t>
      </w:r>
      <w:r w:rsidRPr="00D32E9F">
        <w:rPr>
          <w:rFonts w:ascii="Tahoma" w:eastAsia="Times New Roman" w:hAnsi="Tahoma" w:cs="Tahoma"/>
          <w:i/>
          <w:sz w:val="18"/>
          <w:szCs w:val="18"/>
          <w:lang w:val="fr-SN" w:eastAsia="en-GB"/>
        </w:rPr>
        <w:t>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 xml:space="preserve">En application de la disposition ci-dessus, la Chambre extraordinaire d’instruction a enregistré à son greffe et reçu plusieurs demandes de constitution de partie civile déposées devant elle. Ces demandes de constitution déposées au début, en cours ou en fin d’instruction ont été reçues à l’exception de celle de l’Etat du Tchad portant sur des crimes économiques qui a été rejetée tant en première instance qu’en appel par arrêt confirmatif n° 3 de la Chambre africaine extraordinaire d’accusation rendu </w:t>
      </w:r>
      <w:r w:rsidRPr="00D32E9F">
        <w:rPr>
          <w:rFonts w:ascii="Tahoma" w:eastAsia="Times New Roman" w:hAnsi="Tahoma" w:cs="Tahoma"/>
          <w:sz w:val="24"/>
          <w:szCs w:val="24"/>
          <w:lang w:val="fr-SN" w:eastAsia="en-GB"/>
        </w:rPr>
        <w:lastRenderedPageBreak/>
        <w:t>le 27 août 2014. Toutes ces demandes ont été communiquées au Parquet et à la Défense.</w:t>
      </w:r>
    </w:p>
    <w:p w:rsidR="00D32E9F" w:rsidRPr="00D32E9F" w:rsidRDefault="00D32E9F" w:rsidP="00D32E9F">
      <w:pPr>
        <w:numPr>
          <w:ilvl w:val="0"/>
          <w:numId w:val="5"/>
        </w:numPr>
        <w:spacing w:line="360" w:lineRule="auto"/>
        <w:ind w:left="714" w:hanging="357"/>
        <w:contextualSpacing/>
        <w:jc w:val="both"/>
        <w:rPr>
          <w:rFonts w:ascii="Tahoma" w:eastAsia="Times New Roman" w:hAnsi="Tahoma" w:cs="Tahoma"/>
          <w:i/>
          <w:sz w:val="18"/>
          <w:szCs w:val="18"/>
          <w:lang w:val="fr-SN" w:eastAsia="en-GB"/>
        </w:rPr>
      </w:pPr>
      <w:r w:rsidRPr="00D32E9F">
        <w:rPr>
          <w:rFonts w:ascii="Tahoma" w:eastAsia="Times New Roman" w:hAnsi="Tahoma" w:cs="Tahoma"/>
          <w:i/>
          <w:sz w:val="18"/>
          <w:szCs w:val="18"/>
          <w:lang w:val="fr-SN" w:eastAsia="en-GB"/>
        </w:rPr>
        <w:t>« </w:t>
      </w:r>
      <w:r w:rsidRPr="00D32E9F">
        <w:rPr>
          <w:rFonts w:ascii="Tahoma" w:eastAsia="Times New Roman" w:hAnsi="Tahoma" w:cs="Tahoma"/>
          <w:b/>
          <w:i/>
          <w:sz w:val="18"/>
          <w:szCs w:val="18"/>
          <w:lang w:val="fr-SN" w:eastAsia="en-GB"/>
        </w:rPr>
        <w:t>Les victimes peuvent former des groupes et décider d’être représentées par un représentant choisi  en commun. Lorsque l’intérêt de la justice le requiert, les chambres africaines extraordinaires peuvent exiger des victimes ou d’un groupe particulier de victimes  le choix, au besoin avec l’assistance de l’Administrateur, d’un ou de plusieurs représentants en commun. Le mandat ainsi donné peut être révoqué à tout moment</w:t>
      </w:r>
      <w:r w:rsidRPr="00D32E9F">
        <w:rPr>
          <w:rFonts w:ascii="Tahoma" w:eastAsia="Times New Roman" w:hAnsi="Tahoma" w:cs="Tahoma"/>
          <w:i/>
          <w:sz w:val="18"/>
          <w:szCs w:val="18"/>
          <w:lang w:val="fr-SN" w:eastAsia="en-GB"/>
        </w:rPr>
        <w:t>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Plusieurs victimes se sont regroupées en associations tchadiennes et se sont constituées parties civiles devant la Chambre africaine extraordinaire d’instruction. Il s’agit notamment de l’Association des Victimes des Crimes de Répression Politique (AVCRP), l’Association des Victimes des Crimes du Régime de Hissein Habré (AVCRHH), le Réseau des Associations des Droits de l’Homme (RADH), la Cellule des Associations de Droits de l’Homme (CADH) et  la Cellule des Réseaux de Droits de l’Homme du Tchad contre Hissein Habré (CRADHTHH).</w:t>
      </w:r>
    </w:p>
    <w:p w:rsidR="00D32E9F" w:rsidRPr="00D32E9F" w:rsidRDefault="00D32E9F" w:rsidP="00D32E9F">
      <w:pPr>
        <w:numPr>
          <w:ilvl w:val="0"/>
          <w:numId w:val="5"/>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i/>
          <w:sz w:val="18"/>
          <w:szCs w:val="18"/>
          <w:lang w:val="fr-SN" w:eastAsia="en-GB"/>
        </w:rPr>
        <w:t>« </w:t>
      </w:r>
      <w:r w:rsidRPr="00D32E9F">
        <w:rPr>
          <w:rFonts w:ascii="Tahoma" w:eastAsia="Times New Roman" w:hAnsi="Tahoma" w:cs="Tahoma"/>
          <w:b/>
          <w:i/>
          <w:sz w:val="18"/>
          <w:szCs w:val="18"/>
          <w:lang w:val="fr-SN" w:eastAsia="en-GB"/>
        </w:rPr>
        <w:t>Si les victimes ne sont pas en mesure de choisir un ou plusieurs représentants communs dans le délai imparti par la Chambre compétente, celle-ci peut demander à l’Administrateur de désigner un ou plusieurs représentants.</w:t>
      </w:r>
    </w:p>
    <w:p w:rsidR="00D32E9F" w:rsidRPr="00D32E9F" w:rsidRDefault="00D32E9F" w:rsidP="00D32E9F">
      <w:pPr>
        <w:ind w:left="720"/>
        <w:contextualSpacing/>
        <w:jc w:val="both"/>
        <w:rPr>
          <w:rFonts w:ascii="Times New Roman" w:eastAsia="Times New Roman" w:hAnsi="Times New Roman" w:cs="Times New Roman"/>
          <w:b/>
          <w:i/>
          <w:sz w:val="18"/>
          <w:szCs w:val="18"/>
          <w:lang w:val="fr-SN" w:eastAsia="en-GB"/>
        </w:rPr>
      </w:pPr>
    </w:p>
    <w:p w:rsidR="00D32E9F" w:rsidRPr="00D32E9F" w:rsidRDefault="00D32E9F" w:rsidP="00D32E9F">
      <w:pPr>
        <w:numPr>
          <w:ilvl w:val="0"/>
          <w:numId w:val="5"/>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Si un groupe de victimes n’a pas les moyens de rémunérer un représentant commun, il peut demander l’assistance de l’Administrateur qui statue sur la demande.</w:t>
      </w:r>
    </w:p>
    <w:p w:rsidR="00D32E9F" w:rsidRPr="00D32E9F" w:rsidRDefault="00D32E9F" w:rsidP="00D32E9F">
      <w:pPr>
        <w:ind w:left="720"/>
        <w:contextualSpacing/>
        <w:rPr>
          <w:rFonts w:ascii="Times New Roman" w:eastAsia="Times New Roman" w:hAnsi="Times New Roman" w:cs="Times New Roman"/>
          <w:b/>
          <w:i/>
          <w:sz w:val="18"/>
          <w:szCs w:val="18"/>
          <w:lang w:val="fr-SN" w:eastAsia="en-GB"/>
        </w:rPr>
      </w:pPr>
    </w:p>
    <w:p w:rsidR="00D32E9F" w:rsidRPr="00D32E9F" w:rsidRDefault="00D32E9F" w:rsidP="00D32E9F">
      <w:pPr>
        <w:numPr>
          <w:ilvl w:val="0"/>
          <w:numId w:val="5"/>
        </w:numPr>
        <w:spacing w:line="360" w:lineRule="auto"/>
        <w:ind w:left="714" w:hanging="357"/>
        <w:contextualSpacing/>
        <w:jc w:val="both"/>
        <w:rPr>
          <w:rFonts w:ascii="Tahoma" w:eastAsia="Times New Roman" w:hAnsi="Tahoma" w:cs="Tahoma"/>
          <w:i/>
          <w:sz w:val="18"/>
          <w:szCs w:val="18"/>
          <w:lang w:val="fr-SN" w:eastAsia="en-GB"/>
        </w:rPr>
      </w:pPr>
      <w:r w:rsidRPr="00D32E9F">
        <w:rPr>
          <w:rFonts w:ascii="Tahoma" w:eastAsia="Times New Roman" w:hAnsi="Tahoma" w:cs="Tahoma"/>
          <w:b/>
          <w:i/>
          <w:sz w:val="18"/>
          <w:szCs w:val="18"/>
          <w:lang w:val="fr-SN" w:eastAsia="en-GB"/>
        </w:rPr>
        <w:t>Sous réserve des dispositions du présent Statut, les modalités de la participation des victimes sont régies par le Code de procédure pénale sénégalais </w:t>
      </w:r>
      <w:r w:rsidRPr="00D32E9F">
        <w:rPr>
          <w:rFonts w:ascii="Tahoma" w:eastAsia="Times New Roman" w:hAnsi="Tahoma" w:cs="Tahoma"/>
          <w:i/>
          <w:sz w:val="18"/>
          <w:szCs w:val="18"/>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Bureau de l’Administrateur est en étroite collaboration avec les représentants des victimes, avocats ou dirigeants d’association. Le Bureau a aussi contribué financièrement à l’assistance des victimes.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Les constitutions de partie civile des victimes ont été appréciées sur leurs aspects non régis par le Statut sur la base du Code de procédure pénale notamment en ses articles 2, 78.</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15 in fine – Administration des Chambres africaines extraordinaires</w:t>
      </w:r>
    </w:p>
    <w:p w:rsidR="00D32E9F" w:rsidRPr="00D32E9F" w:rsidRDefault="00D32E9F" w:rsidP="00D32E9F">
      <w:pPr>
        <w:spacing w:line="360" w:lineRule="auto"/>
        <w:ind w:left="720"/>
        <w:contextualSpacing/>
        <w:jc w:val="both"/>
        <w:rPr>
          <w:rFonts w:ascii="Tahoma" w:eastAsia="Times New Roman" w:hAnsi="Tahoma" w:cs="Tahoma"/>
          <w:i/>
          <w:sz w:val="24"/>
          <w:szCs w:val="24"/>
          <w:lang w:val="fr-SN" w:eastAsia="en-GB"/>
        </w:rPr>
      </w:pPr>
      <w:proofErr w:type="gramStart"/>
      <w:r w:rsidRPr="00D32E9F">
        <w:rPr>
          <w:rFonts w:ascii="Times New Roman" w:eastAsia="Times New Roman" w:hAnsi="Times New Roman" w:cs="Times New Roman"/>
          <w:sz w:val="26"/>
          <w:szCs w:val="26"/>
          <w:lang w:val="fr-SN" w:eastAsia="en-GB"/>
        </w:rPr>
        <w:t>4.«</w:t>
      </w:r>
      <w:proofErr w:type="gramEnd"/>
      <w:r w:rsidRPr="00D32E9F">
        <w:rPr>
          <w:rFonts w:ascii="Times New Roman" w:eastAsia="Times New Roman" w:hAnsi="Times New Roman" w:cs="Times New Roman"/>
          <w:sz w:val="26"/>
          <w:szCs w:val="26"/>
          <w:lang w:val="fr-SN" w:eastAsia="en-GB"/>
        </w:rPr>
        <w:t> </w:t>
      </w:r>
      <w:r w:rsidRPr="00D32E9F">
        <w:rPr>
          <w:rFonts w:ascii="Tahoma" w:eastAsia="Times New Roman" w:hAnsi="Tahoma" w:cs="Tahoma"/>
          <w:b/>
          <w:i/>
          <w:sz w:val="18"/>
          <w:szCs w:val="18"/>
          <w:lang w:val="fr-SN" w:eastAsia="en-GB"/>
        </w:rPr>
        <w:t xml:space="preserve">L’Administrateur est chargé d’orienter et d’aider de toute manière appropriée les témoins et les victimes qui comparaissent devant les Chambres africaines extraordinaires ainsi que les autres personnes auxquelles les dépositions de ces témoins peuvent faire courir un risque, ainsi que de prévoir les mesures et les dispositions à prendre pour assurer </w:t>
      </w:r>
      <w:r w:rsidRPr="00D32E9F">
        <w:rPr>
          <w:rFonts w:ascii="Tahoma" w:eastAsia="Times New Roman" w:hAnsi="Tahoma" w:cs="Tahoma"/>
          <w:b/>
          <w:i/>
          <w:sz w:val="18"/>
          <w:szCs w:val="18"/>
          <w:lang w:val="fr-SN" w:eastAsia="en-GB"/>
        </w:rPr>
        <w:lastRenderedPageBreak/>
        <w:t>leur protection et leur sécurité. A cet effet, l’Administrateur coordonne son action avec les gouvernements du Tchad, du Sénégal et d’autres Etats concernés</w:t>
      </w:r>
      <w:r w:rsidRPr="00D32E9F">
        <w:rPr>
          <w:rFonts w:ascii="Tahoma" w:eastAsia="Times New Roman" w:hAnsi="Tahoma" w:cs="Tahoma"/>
          <w:b/>
          <w:i/>
          <w:sz w:val="20"/>
          <w:szCs w:val="20"/>
          <w:lang w:val="fr-SN" w:eastAsia="en-GB"/>
        </w:rPr>
        <w:t>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L’Administrateur prend en charge les témoins et victimes qui comparaissent devant les Chambres à toutes les étapes de la procédure. Il assure les frais de voyage, à l’aller comme au retour, l’hébergement, le transport entre lieux d’hébergement et Palais de justice ainsi que l’alimentation.</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budget réaménagé en avril 2014 prévoit la comparution de cent (100) témoins victimes confondus pour déposer au cours du procès sur plus de deux mille cinq cent (2500) victimes et témoins entendus.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La protection des victimes et témoins est assuré par les agents spécialement requis pour cette tâche par l’Administrateur. Ces agents sont rémunérés par l’Administrateur sur le budget des CAE.</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Ce dispositif en personnel de protection comprend dix (10) éléments de la Brigade d’Intervention Polyvalente (BIP) de la police nationale et deux (2) assistants sociaux chargés de prodiguer aux victimes un accompagnement personnalisé.</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Pour l’hébergement, un contrat est passé entre l’Administrateur et l’hôtel Ndiambour en vue d’assurer pendant le procès leur logement en pension complète et dans des chambres individuelles confortables.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transport entre le lieu d’hébergement et le Palais de justice Lat-Dior où se tiennent les audiences est assuré par un véhicule minibus acquis pour les besoins des déplacements des victimes et témoins.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Certaines victimes qui n’ont pas eu l’opportunité de comparaître sont entendues par la Chambre africaine d’assises depuis N’Djamena par vidéoconférence.</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L’installation du matériel et l’animation de la visio sont assurées par la société « Visio contact » qui a été retenue sur marché d’appel d’offres financé par le budget des CAE. Un membre du personnel de cette société est mobilisé en permanence durant les audiences.</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25 – Procédures d’appel</w:t>
      </w:r>
    </w:p>
    <w:p w:rsidR="00D32E9F" w:rsidRPr="00D32E9F" w:rsidRDefault="00D32E9F" w:rsidP="00D32E9F">
      <w:pPr>
        <w:numPr>
          <w:ilvl w:val="0"/>
          <w:numId w:val="6"/>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i/>
          <w:sz w:val="18"/>
          <w:szCs w:val="18"/>
          <w:lang w:val="fr-SN" w:eastAsia="en-GB"/>
        </w:rPr>
        <w:lastRenderedPageBreak/>
        <w:t>« </w:t>
      </w:r>
      <w:r w:rsidRPr="00D32E9F">
        <w:rPr>
          <w:rFonts w:ascii="Tahoma" w:eastAsia="Times New Roman" w:hAnsi="Tahoma" w:cs="Tahoma"/>
          <w:b/>
          <w:i/>
          <w:sz w:val="18"/>
          <w:szCs w:val="18"/>
          <w:lang w:val="fr-SN" w:eastAsia="en-GB"/>
        </w:rPr>
        <w:t>La Chambre africaine extraordinaire d’assises d’appel est compétente pour examiner en dernier ressort les appels interjetés par le Procureur ou les personnes condamnées ou les victimes seulement quant à ses [sic] intérêts civils par la Chambre africaine extraordinaire d’assises pour les motifs suivants</w:t>
      </w:r>
      <w:r w:rsidRPr="00D32E9F">
        <w:rPr>
          <w:rFonts w:ascii="Tahoma" w:eastAsia="Times New Roman" w:hAnsi="Tahoma" w:cs="Tahoma"/>
          <w:b/>
          <w:i/>
          <w:sz w:val="20"/>
          <w:szCs w:val="20"/>
          <w:lang w:val="fr-SN" w:eastAsia="en-GB"/>
        </w:rPr>
        <w:t> :</w:t>
      </w:r>
    </w:p>
    <w:p w:rsidR="00D32E9F" w:rsidRPr="00D32E9F" w:rsidRDefault="00D32E9F" w:rsidP="00D32E9F">
      <w:pPr>
        <w:ind w:left="720"/>
        <w:contextualSpacing/>
        <w:jc w:val="both"/>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7"/>
        </w:numPr>
        <w:spacing w:line="360" w:lineRule="auto"/>
        <w:ind w:left="1077"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une erreur de procédure ;</w:t>
      </w:r>
    </w:p>
    <w:p w:rsidR="00D32E9F" w:rsidRPr="00D32E9F" w:rsidRDefault="00D32E9F" w:rsidP="00D32E9F">
      <w:pPr>
        <w:numPr>
          <w:ilvl w:val="0"/>
          <w:numId w:val="7"/>
        </w:numPr>
        <w:spacing w:line="360" w:lineRule="auto"/>
        <w:ind w:left="1077"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une erreur sur une question de droit matériel qui invalide la décision, y compris une erreur sur la compétence</w:t>
      </w:r>
      <w:r w:rsidRPr="00D32E9F">
        <w:rPr>
          <w:rFonts w:ascii="Tahoma" w:eastAsia="Times New Roman" w:hAnsi="Tahoma" w:cs="Tahoma"/>
          <w:b/>
          <w:i/>
          <w:sz w:val="20"/>
          <w:szCs w:val="20"/>
          <w:lang w:val="fr-SN" w:eastAsia="en-GB"/>
        </w:rPr>
        <w:t> ;</w:t>
      </w:r>
    </w:p>
    <w:p w:rsidR="00D32E9F" w:rsidRPr="00D32E9F" w:rsidRDefault="00D32E9F" w:rsidP="00D32E9F">
      <w:pPr>
        <w:numPr>
          <w:ilvl w:val="0"/>
          <w:numId w:val="7"/>
        </w:numPr>
        <w:spacing w:line="360" w:lineRule="auto"/>
        <w:ind w:left="1077"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une erreur de fait qui a entraîné un déni de justice.</w:t>
      </w:r>
    </w:p>
    <w:p w:rsidR="00D32E9F" w:rsidRPr="00D32E9F" w:rsidRDefault="00D32E9F" w:rsidP="00D32E9F">
      <w:pPr>
        <w:spacing w:line="360" w:lineRule="auto"/>
        <w:ind w:left="1077"/>
        <w:contextualSpacing/>
        <w:jc w:val="both"/>
        <w:rPr>
          <w:rFonts w:ascii="Times New Roman" w:eastAsia="Times New Roman" w:hAnsi="Times New Roman" w:cs="Times New Roman"/>
          <w:b/>
          <w:i/>
          <w:sz w:val="16"/>
          <w:szCs w:val="16"/>
          <w:lang w:val="fr-SN" w:eastAsia="en-GB"/>
        </w:rPr>
      </w:pPr>
    </w:p>
    <w:p w:rsidR="00D32E9F" w:rsidRPr="00D32E9F" w:rsidRDefault="00D32E9F" w:rsidP="00D32E9F">
      <w:pPr>
        <w:numPr>
          <w:ilvl w:val="0"/>
          <w:numId w:val="6"/>
        </w:numPr>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La Chambre africaine extraordinaire d’assises peut, selon le cas, confirmer, annuler ou réformer les décisions prises par la Chambre africaine extraordinaire d’assises</w:t>
      </w:r>
      <w:r w:rsidRPr="00D32E9F">
        <w:rPr>
          <w:rFonts w:ascii="Tahoma" w:eastAsia="Times New Roman" w:hAnsi="Tahoma" w:cs="Tahoma"/>
          <w:b/>
          <w:i/>
          <w:sz w:val="20"/>
          <w:szCs w:val="20"/>
          <w:lang w:val="fr-SN" w:eastAsia="en-GB"/>
        </w:rPr>
        <w:t>.</w:t>
      </w:r>
    </w:p>
    <w:p w:rsidR="00D32E9F" w:rsidRPr="00D32E9F" w:rsidRDefault="00D32E9F" w:rsidP="00D32E9F">
      <w:pPr>
        <w:ind w:left="720"/>
        <w:contextualSpacing/>
        <w:jc w:val="both"/>
        <w:rPr>
          <w:rFonts w:ascii="Tahoma" w:eastAsia="Times New Roman" w:hAnsi="Tahoma" w:cs="Tahoma"/>
          <w:b/>
          <w:i/>
          <w:sz w:val="20"/>
          <w:szCs w:val="20"/>
          <w:lang w:val="fr-SN" w:eastAsia="en-GB"/>
        </w:rPr>
      </w:pPr>
    </w:p>
    <w:p w:rsidR="00D32E9F" w:rsidRPr="00D32E9F" w:rsidRDefault="00D32E9F" w:rsidP="00D32E9F">
      <w:pPr>
        <w:numPr>
          <w:ilvl w:val="0"/>
          <w:numId w:val="6"/>
        </w:numPr>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Les arrêts rendus par la Chambre africaine extraordinaire d’appel d’assises peuvent s’inspirer de la jurisprudence des cours ou tribunaux pénaux internationaux</w:t>
      </w:r>
      <w:r w:rsidRPr="00D32E9F">
        <w:rPr>
          <w:rFonts w:ascii="Tahoma" w:eastAsia="Times New Roman" w:hAnsi="Tahoma" w:cs="Tahoma"/>
          <w:b/>
          <w:i/>
          <w:sz w:val="20"/>
          <w:szCs w:val="20"/>
          <w:lang w:val="fr-SN" w:eastAsia="en-GB"/>
        </w:rPr>
        <w:t>.</w:t>
      </w:r>
    </w:p>
    <w:p w:rsidR="00D32E9F" w:rsidRPr="00D32E9F" w:rsidRDefault="00D32E9F" w:rsidP="00D32E9F">
      <w:pPr>
        <w:ind w:left="720"/>
        <w:contextualSpacing/>
        <w:rPr>
          <w:rFonts w:ascii="Tahoma" w:eastAsia="Times New Roman" w:hAnsi="Tahoma" w:cs="Tahoma"/>
          <w:b/>
          <w:i/>
          <w:sz w:val="20"/>
          <w:szCs w:val="20"/>
          <w:lang w:val="fr-SN" w:eastAsia="en-GB"/>
        </w:rPr>
      </w:pPr>
    </w:p>
    <w:p w:rsidR="00D32E9F" w:rsidRPr="00D32E9F" w:rsidRDefault="00D32E9F" w:rsidP="00D32E9F">
      <w:pPr>
        <w:numPr>
          <w:ilvl w:val="0"/>
          <w:numId w:val="6"/>
        </w:numPr>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Les arrêts de la Chambre africaine extraordinaire d’assises d’appel sont définitifs. Ils ne sont susceptibles d’aucune voie de recours même extraordinaire</w:t>
      </w:r>
      <w:r w:rsidRPr="00D32E9F">
        <w:rPr>
          <w:rFonts w:ascii="Tahoma" w:eastAsia="Times New Roman" w:hAnsi="Tahoma" w:cs="Tahoma"/>
          <w:b/>
          <w:i/>
          <w:sz w:val="20"/>
          <w:szCs w:val="20"/>
          <w:lang w:val="fr-SN" w:eastAsia="en-GB"/>
        </w:rPr>
        <w:t> ».</w:t>
      </w:r>
    </w:p>
    <w:p w:rsidR="00D32E9F" w:rsidRPr="00D32E9F" w:rsidRDefault="00D32E9F" w:rsidP="00D32E9F">
      <w:pPr>
        <w:ind w:left="720"/>
        <w:contextualSpacing/>
        <w:rPr>
          <w:rFonts w:ascii="Times New Roman" w:eastAsia="Times New Roman" w:hAnsi="Times New Roman" w:cs="Times New Roman"/>
          <w:i/>
          <w:sz w:val="26"/>
          <w:szCs w:val="26"/>
          <w:lang w:val="fr-SN" w:eastAsia="en-GB"/>
        </w:rPr>
      </w:pP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droit des victimes consacré par cette disposition n’a pas encore connu d’application en raison du fait que la Chambre africaine d’assises n’a pas encore rendu de décision sur l’action civile.</w:t>
      </w:r>
    </w:p>
    <w:p w:rsidR="00D32E9F" w:rsidRPr="00D32E9F" w:rsidRDefault="00D32E9F" w:rsidP="00D32E9F">
      <w:pPr>
        <w:jc w:val="both"/>
        <w:rPr>
          <w:rFonts w:ascii="Tahoma" w:eastAsia="Times New Roman" w:hAnsi="Tahoma" w:cs="Tahoma"/>
          <w:b/>
          <w:i/>
          <w:sz w:val="20"/>
          <w:szCs w:val="20"/>
          <w:lang w:val="fr-SN" w:eastAsia="en-GB"/>
        </w:rPr>
      </w:pPr>
      <w:r w:rsidRPr="00D32E9F">
        <w:rPr>
          <w:rFonts w:ascii="Tahoma" w:eastAsia="Times New Roman" w:hAnsi="Tahoma" w:cs="Tahoma"/>
          <w:b/>
          <w:sz w:val="20"/>
          <w:szCs w:val="20"/>
          <w:lang w:val="fr-SN" w:eastAsia="en-GB"/>
        </w:rPr>
        <w:t xml:space="preserve">Article 27 - Réparations </w:t>
      </w:r>
      <w:r w:rsidRPr="00D32E9F">
        <w:rPr>
          <w:rFonts w:ascii="Tahoma" w:eastAsia="Times New Roman" w:hAnsi="Tahoma" w:cs="Tahoma"/>
          <w:b/>
          <w:i/>
          <w:sz w:val="20"/>
          <w:szCs w:val="20"/>
          <w:lang w:val="fr-SN" w:eastAsia="en-GB"/>
        </w:rPr>
        <w:t xml:space="preserve"> </w:t>
      </w:r>
    </w:p>
    <w:p w:rsidR="00D32E9F" w:rsidRPr="00D32E9F" w:rsidRDefault="00D32E9F" w:rsidP="00D32E9F">
      <w:pPr>
        <w:numPr>
          <w:ilvl w:val="0"/>
          <w:numId w:val="8"/>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i/>
          <w:sz w:val="18"/>
          <w:szCs w:val="18"/>
          <w:lang w:val="fr-SN" w:eastAsia="en-GB"/>
        </w:rPr>
        <w:t>« </w:t>
      </w:r>
      <w:r w:rsidRPr="00D32E9F">
        <w:rPr>
          <w:rFonts w:ascii="Tahoma" w:eastAsia="Times New Roman" w:hAnsi="Tahoma" w:cs="Tahoma"/>
          <w:i/>
          <w:sz w:val="24"/>
          <w:szCs w:val="24"/>
          <w:lang w:val="fr-SN" w:eastAsia="en-GB"/>
        </w:rPr>
        <w:t xml:space="preserve"> </w:t>
      </w:r>
      <w:r w:rsidRPr="00D32E9F">
        <w:rPr>
          <w:rFonts w:ascii="Tahoma" w:eastAsia="Times New Roman" w:hAnsi="Tahoma" w:cs="Tahoma"/>
          <w:b/>
          <w:i/>
          <w:sz w:val="18"/>
          <w:szCs w:val="18"/>
          <w:lang w:val="fr-SN" w:eastAsia="en-GB"/>
        </w:rPr>
        <w:t>Les réparations accordées par les Chambres africaines extraordinaires sont la restitution, l’indemnisation et la réhabilitation.</w:t>
      </w:r>
    </w:p>
    <w:p w:rsidR="00D32E9F" w:rsidRPr="00D32E9F" w:rsidRDefault="00D32E9F" w:rsidP="00D32E9F">
      <w:pPr>
        <w:numPr>
          <w:ilvl w:val="0"/>
          <w:numId w:val="8"/>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Les Chambres africaines extraordinaires peuvent décider que l’indemnité accordée à titre de réparation soit versée par l’intermédiaire du fonds visé à l’article 28 du présent Statut.</w:t>
      </w:r>
    </w:p>
    <w:p w:rsidR="00D32E9F" w:rsidRPr="00D32E9F" w:rsidRDefault="00D32E9F" w:rsidP="00D32E9F">
      <w:pPr>
        <w:numPr>
          <w:ilvl w:val="0"/>
          <w:numId w:val="8"/>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Avant de rendre une décision en vertu du présent article, les Chambres africaines extraordinaires peuvent solliciter les observations de la personne condamnée, des victimes et des autres personnes ou Etats intéressés.</w:t>
      </w:r>
    </w:p>
    <w:p w:rsidR="00D32E9F" w:rsidRPr="00D32E9F" w:rsidRDefault="00D32E9F" w:rsidP="00D32E9F">
      <w:pPr>
        <w:numPr>
          <w:ilvl w:val="0"/>
          <w:numId w:val="8"/>
        </w:numPr>
        <w:spacing w:line="360" w:lineRule="auto"/>
        <w:ind w:left="714" w:hanging="357"/>
        <w:contextualSpacing/>
        <w:jc w:val="both"/>
        <w:rPr>
          <w:rFonts w:ascii="Tahoma" w:eastAsia="Times New Roman" w:hAnsi="Tahoma" w:cs="Tahoma"/>
          <w:i/>
          <w:sz w:val="24"/>
          <w:szCs w:val="24"/>
          <w:lang w:val="fr-SN" w:eastAsia="en-GB"/>
        </w:rPr>
      </w:pPr>
      <w:r w:rsidRPr="00D32E9F">
        <w:rPr>
          <w:rFonts w:ascii="Tahoma" w:eastAsia="Times New Roman" w:hAnsi="Tahoma" w:cs="Tahoma"/>
          <w:b/>
          <w:i/>
          <w:sz w:val="18"/>
          <w:szCs w:val="18"/>
          <w:lang w:val="fr-SN" w:eastAsia="en-GB"/>
        </w:rPr>
        <w:t>Les dispositions du présent article s’entendent sans préjudice des droits que le droit interne ou le droit international reconnaissent aux victimes</w:t>
      </w:r>
      <w:r w:rsidRPr="00D32E9F">
        <w:rPr>
          <w:rFonts w:ascii="Tahoma" w:eastAsia="Times New Roman" w:hAnsi="Tahoma" w:cs="Tahoma"/>
          <w:i/>
          <w:sz w:val="24"/>
          <w:szCs w:val="24"/>
          <w:lang w:val="fr-SN" w:eastAsia="en-GB"/>
        </w:rPr>
        <w:t> </w:t>
      </w:r>
      <w:r w:rsidRPr="00D32E9F">
        <w:rPr>
          <w:rFonts w:ascii="Tahoma" w:eastAsia="Times New Roman" w:hAnsi="Tahoma" w:cs="Tahoma"/>
          <w:i/>
          <w:sz w:val="18"/>
          <w:szCs w:val="18"/>
          <w:lang w:val="fr-SN" w:eastAsia="en-GB"/>
        </w:rPr>
        <w:t>»</w:t>
      </w:r>
      <w:r w:rsidRPr="00D32E9F">
        <w:rPr>
          <w:rFonts w:ascii="Tahoma" w:eastAsia="Times New Roman" w:hAnsi="Tahoma" w:cs="Tahoma"/>
          <w:i/>
          <w:sz w:val="24"/>
          <w:szCs w:val="24"/>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droit à réparation prévu par cette disposition n’a pas encore connu d’application mais dans le procès en cours, la Chambre entend les victimes sur la nature des préjudices physiques et morales occasionnés par les crimes dénoncés.</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28 – Le fonds au profit des victimes</w:t>
      </w:r>
    </w:p>
    <w:p w:rsidR="00D32E9F" w:rsidRPr="00D32E9F" w:rsidRDefault="00D32E9F" w:rsidP="00D32E9F">
      <w:pPr>
        <w:numPr>
          <w:ilvl w:val="0"/>
          <w:numId w:val="9"/>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i/>
          <w:sz w:val="24"/>
          <w:szCs w:val="24"/>
          <w:lang w:val="fr-SN" w:eastAsia="en-GB"/>
        </w:rPr>
        <w:t>« </w:t>
      </w:r>
      <w:r w:rsidRPr="00D32E9F">
        <w:rPr>
          <w:rFonts w:ascii="Tahoma" w:eastAsia="Times New Roman" w:hAnsi="Tahoma" w:cs="Tahoma"/>
          <w:b/>
          <w:i/>
          <w:sz w:val="18"/>
          <w:szCs w:val="18"/>
          <w:lang w:val="fr-SN" w:eastAsia="en-GB"/>
        </w:rPr>
        <w:t xml:space="preserve">Un fonds est créé, au profit des victimes de crimes relevant de la compétence des Chambres africaines extraordinaires et de leurs ayants droits. Ce fonds est alimenté par des contributions volontaires de gouvernements étrangers, d’institutions internationales, </w:t>
      </w:r>
      <w:r w:rsidRPr="00D32E9F">
        <w:rPr>
          <w:rFonts w:ascii="Tahoma" w:eastAsia="Times New Roman" w:hAnsi="Tahoma" w:cs="Tahoma"/>
          <w:b/>
          <w:i/>
          <w:sz w:val="18"/>
          <w:szCs w:val="18"/>
          <w:lang w:val="fr-SN" w:eastAsia="en-GB"/>
        </w:rPr>
        <w:lastRenderedPageBreak/>
        <w:t>d’organisations non gouvernementales, et d’autres sources désireuses d’apporter un soutien aux victimes.</w:t>
      </w:r>
    </w:p>
    <w:p w:rsidR="00D32E9F" w:rsidRPr="00D32E9F" w:rsidRDefault="00D32E9F" w:rsidP="00D32E9F">
      <w:pPr>
        <w:numPr>
          <w:ilvl w:val="0"/>
          <w:numId w:val="9"/>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Les réparations peuvent être attribuées aux victimes individuellement ou collectivement, qu’elles aient ou non participé aux procédures devant les Chambres africaines extraordinaires</w:t>
      </w:r>
      <w:r w:rsidRPr="00D32E9F">
        <w:rPr>
          <w:rFonts w:ascii="Tahoma" w:eastAsia="Times New Roman" w:hAnsi="Tahoma" w:cs="Tahoma"/>
          <w:b/>
          <w:i/>
          <w:sz w:val="20"/>
          <w:szCs w:val="20"/>
          <w:lang w:val="fr-SN" w:eastAsia="en-GB"/>
        </w:rPr>
        <w:t> ».</w:t>
      </w:r>
    </w:p>
    <w:p w:rsidR="00D32E9F" w:rsidRPr="00D32E9F" w:rsidRDefault="00D32E9F" w:rsidP="00D32E9F">
      <w:pPr>
        <w:jc w:val="both"/>
        <w:rPr>
          <w:rFonts w:ascii="Tahoma" w:eastAsia="Times New Roman" w:hAnsi="Tahoma" w:cs="Tahoma"/>
          <w:sz w:val="24"/>
          <w:szCs w:val="24"/>
          <w:lang w:val="fr-SN" w:eastAsia="en-GB"/>
        </w:rPr>
      </w:pPr>
    </w:p>
    <w:p w:rsidR="00D32E9F" w:rsidRPr="00D32E9F" w:rsidRDefault="00D32E9F" w:rsidP="00D32E9F">
      <w:pPr>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droit à réparation prévu par cette disposition n’a pas encore connu d’application.</w:t>
      </w:r>
    </w:p>
    <w:p w:rsidR="00D32E9F" w:rsidRPr="00D32E9F" w:rsidRDefault="00D32E9F" w:rsidP="00D32E9F">
      <w:pPr>
        <w:jc w:val="both"/>
        <w:rPr>
          <w:rFonts w:ascii="Tahoma" w:eastAsia="Times New Roman" w:hAnsi="Tahoma" w:cs="Tahoma"/>
          <w:sz w:val="24"/>
          <w:szCs w:val="24"/>
          <w:lang w:val="fr-SN" w:eastAsia="en-GB"/>
        </w:rPr>
      </w:pPr>
    </w:p>
    <w:p w:rsidR="00D32E9F" w:rsidRPr="00D32E9F" w:rsidRDefault="00D32E9F" w:rsidP="00D32E9F">
      <w:pPr>
        <w:numPr>
          <w:ilvl w:val="0"/>
          <w:numId w:val="10"/>
        </w:numPr>
        <w:spacing w:line="360" w:lineRule="auto"/>
        <w:ind w:left="714" w:hanging="357"/>
        <w:contextualSpacing/>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Accord de coopération entre la République du Sénégal et la République du Tchad signé le 4 mai 2013</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Les dispositions protectrices des droits des victimes édictées par la Convention sont contenues dans les articles de l’Accord ci-après :</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10 – Témoignage au Tchad</w:t>
      </w:r>
    </w:p>
    <w:p w:rsidR="00D32E9F" w:rsidRPr="00D32E9F" w:rsidRDefault="00D32E9F" w:rsidP="00D32E9F">
      <w:pPr>
        <w:numPr>
          <w:ilvl w:val="0"/>
          <w:numId w:val="11"/>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20"/>
          <w:szCs w:val="20"/>
          <w:lang w:val="fr-SN" w:eastAsia="en-GB"/>
        </w:rPr>
        <w:t>« </w:t>
      </w:r>
      <w:r w:rsidRPr="00D32E9F">
        <w:rPr>
          <w:rFonts w:ascii="Tahoma" w:eastAsia="Times New Roman" w:hAnsi="Tahoma" w:cs="Tahoma"/>
          <w:b/>
          <w:i/>
          <w:sz w:val="18"/>
          <w:szCs w:val="18"/>
          <w:lang w:val="fr-SN" w:eastAsia="en-GB"/>
        </w:rPr>
        <w:t>Sur la demande du Sénégal, toute personne se trouvant au Tchad peut être citée à comparaître conformément à la législation du Tchad pour déposer devant l’autorité compétente, qui pourra être le magistrat des Chambres africaines extraordinaires exécutant une commission rogatoire sur le territoire de la République du Tchad, conformément aux dispositions de l’article 16 du présent Accord, et fournir des documents, antécédents ou des éléments de preuve.</w:t>
      </w:r>
    </w:p>
    <w:p w:rsidR="00D32E9F" w:rsidRPr="00D32E9F" w:rsidRDefault="00D32E9F" w:rsidP="00D32E9F">
      <w:pPr>
        <w:numPr>
          <w:ilvl w:val="0"/>
          <w:numId w:val="11"/>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La possibilité de témoignages par enregistrement audiovisuel est expressément approuvée et reconnue par les Parties.</w:t>
      </w:r>
    </w:p>
    <w:p w:rsidR="00D32E9F" w:rsidRPr="00D32E9F" w:rsidRDefault="00D32E9F" w:rsidP="00D32E9F">
      <w:pPr>
        <w:numPr>
          <w:ilvl w:val="0"/>
          <w:numId w:val="11"/>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Si les personnes invitées à témoigner refusent de comparaître, les autorités requises devront user des moyens de contrainte prévus par la loi de l’Etat où doit avoir lieu la comparution</w:t>
      </w:r>
      <w:r w:rsidRPr="00D32E9F">
        <w:rPr>
          <w:rFonts w:ascii="Tahoma" w:eastAsia="Times New Roman" w:hAnsi="Tahoma" w:cs="Tahoma"/>
          <w:b/>
          <w:i/>
          <w:sz w:val="20"/>
          <w:szCs w:val="20"/>
          <w:lang w:val="fr-SN" w:eastAsia="en-GB"/>
        </w:rPr>
        <w:t>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En application de cette disposition, la Chambre africaine extraordinaire d’instruction a entendu plusieurs victimes et témoins tant au Tchad par le biais de commissions rogatoires qu’au siège des Chambres africaines à la suite de citations délivrées aux intéressés.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Au Tchad, les quatre commissions rogatoires exécutées ont permis d’entendre plus de deux mille cinq cent parties civiles et témoins. La plus grande partie de ces auditions a été faite par les officiers de police judiciaire (OPJ) tchadiens requis par le Doyen des juges du Tribunal de Grande Instance de N’Djamena sur subdélégation, assistés par les OPJ sénégalais relevant de la Division des Investigations Criminelles.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lastRenderedPageBreak/>
        <w:t xml:space="preserve">D’autres auditions se faisaient au même moment devant les trois juges d’instructions tchadiens en présence des magistrats de l’instruction et du Parquet général des CAE.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Au siège des CAE à Dakar, la Chambre d’instruction a procédé aux auditions de huit parties civiles et quatre témoins auxquelles il convient d’ajouter les deux confrontations faites entre l’accusé Hissein Habré et deux victimes.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 Gouvernement de la République du Tchad a pleinement coopéré dans le recueil des preuves. L’ensemble des archives de la Direction de la Documentation et de la Sécurité (DDS) a été mis à la disposition des CAE, facilitant ainsi l’identification des victimes des exactions à travers des fiches, procès-verbaux d’interrogatoires dressés pas les agents de la DDS, notes, certificats de décès ou d’élargissement et autres comptes-rendus. Les autorités du Tchad ont aussi facilité les investigations des experts anthropologue, légiste, archéologue et balisticien qui ont procédé à des excavations des restes humains sur la base desquelles des tests ADN positifs ont été pratiqués sur des parents des victimes. Elles ont enfin, sur commission rogatoire, fourni aux juges des CAE tous les antécédents judiciaires composés de décisions et dossiers judiciaires portant sur les faits poursuivis.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Les victimes citées qui n’ont pas pu comparaître aux audiences de la Chambre africaine extraordinaire d’assises seront entendues par visioconférence à partir de N’Djamena.</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11 – Comparution de personnes autres que des détenus en qualité de témoins ou pour aider à enquêter</w:t>
      </w:r>
    </w:p>
    <w:p w:rsidR="00D32E9F" w:rsidRPr="00D32E9F" w:rsidRDefault="00D32E9F" w:rsidP="00D32E9F">
      <w:pPr>
        <w:numPr>
          <w:ilvl w:val="0"/>
          <w:numId w:val="12"/>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t>« </w:t>
      </w:r>
      <w:r w:rsidRPr="00D32E9F">
        <w:rPr>
          <w:rFonts w:ascii="Tahoma" w:eastAsia="Times New Roman" w:hAnsi="Tahoma" w:cs="Tahoma"/>
          <w:b/>
          <w:i/>
          <w:sz w:val="18"/>
          <w:szCs w:val="18"/>
          <w:lang w:val="fr-SN" w:eastAsia="en-GB"/>
        </w:rPr>
        <w:t>Lorsque le Sénégal demande la comparution d’une personne sur son territoire pour déposer ou faire un rapport, le Tchad invite le témoin ou l’expert à comparaître volontairement et sans qu’il ait besoin d’avoir recours à des mesures d’intimidation ou coercitives. Le cas échéant, l’Autorité centrale du Tchad peut prendre acte par écrit du consentement de la personne à comparaître au Sénégal. L’autorité centrale du Tchad informe immédiatement l’Autorité centrale du Sénégal de cette réponse</w:t>
      </w:r>
      <w:r w:rsidRPr="00D32E9F">
        <w:rPr>
          <w:rFonts w:ascii="Tahoma" w:eastAsia="Times New Roman" w:hAnsi="Tahoma" w:cs="Tahoma"/>
          <w:b/>
          <w:i/>
          <w:sz w:val="20"/>
          <w:szCs w:val="20"/>
          <w:lang w:val="fr-SN" w:eastAsia="en-GB"/>
        </w:rPr>
        <w:t>.</w:t>
      </w:r>
    </w:p>
    <w:p w:rsidR="00D32E9F" w:rsidRPr="00D32E9F" w:rsidRDefault="00D32E9F" w:rsidP="00D32E9F">
      <w:pPr>
        <w:ind w:left="720"/>
        <w:contextualSpacing/>
        <w:jc w:val="both"/>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2"/>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Le cas échéant, les indemnités de voyage et de séjour, calculées depuis la résidence du témoin, seront au moins égales à celles accordées d’après les tarifs et réglementations en vigueur dans l’Etat où l’audition devra avoir lieu.</w:t>
      </w:r>
    </w:p>
    <w:p w:rsidR="00D32E9F" w:rsidRPr="00D32E9F" w:rsidRDefault="00D32E9F" w:rsidP="00D32E9F">
      <w:pPr>
        <w:ind w:left="720"/>
        <w:contextualSpacing/>
        <w:jc w:val="both"/>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2"/>
        </w:numPr>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Sur demande du témoin, les frais de voyage lui seront avancés.</w:t>
      </w:r>
    </w:p>
    <w:p w:rsidR="00D32E9F" w:rsidRPr="00D32E9F" w:rsidRDefault="00D32E9F" w:rsidP="00D32E9F">
      <w:pPr>
        <w:ind w:left="720"/>
        <w:contextualSpacing/>
        <w:jc w:val="both"/>
        <w:rPr>
          <w:rFonts w:ascii="Times New Roman" w:eastAsia="Times New Roman" w:hAnsi="Times New Roman" w:cs="Times New Roman"/>
          <w:b/>
          <w:i/>
          <w:sz w:val="18"/>
          <w:szCs w:val="18"/>
          <w:lang w:val="fr-SN" w:eastAsia="en-GB"/>
        </w:rPr>
      </w:pPr>
    </w:p>
    <w:p w:rsidR="00D32E9F" w:rsidRPr="00D32E9F" w:rsidRDefault="00D32E9F" w:rsidP="00D32E9F">
      <w:pPr>
        <w:numPr>
          <w:ilvl w:val="0"/>
          <w:numId w:val="12"/>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lastRenderedPageBreak/>
        <w:t>Le Tchad s’engage à garantir, par tout moyen ou dispositif approprié, la protection effective de tout témoin sur son territoire, avant et après sa déposition</w:t>
      </w:r>
      <w:r w:rsidRPr="00D32E9F">
        <w:rPr>
          <w:rFonts w:ascii="Tahoma" w:eastAsia="Times New Roman" w:hAnsi="Tahoma" w:cs="Tahoma"/>
          <w:b/>
          <w:i/>
          <w:sz w:val="20"/>
          <w:szCs w:val="20"/>
          <w:lang w:val="fr-SN" w:eastAsia="en-GB"/>
        </w:rPr>
        <w:t>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La procédure décrite par cette disposition a été respectée dans toutes les demandes de comparution de tous les témoins et victimes tchadiens invités à comparaître devant les CAE. Ces demandes ont été formulées soit sous forme de commissions rogatoires internationales soit sous forme d’actes judiciaires transmis par canal diplomatique.</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Les témoins qui ont comparu ont eu droit à des indemnités conformément au barème en vigueur de l’Union africaine en sus de la prise en charge de leur sécurité, hébergement et déplacement à l’intérieur de Dakar.</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Lors des auditions dans le cadre de l’exécution des commissions rogatoires, le gouvernement du Tchad a pris toutes les dispositions nécessaires pour assurer la sécurité des personnes entendues dans les lieux d’audition des victimes.</w:t>
      </w:r>
    </w:p>
    <w:p w:rsidR="00D32E9F" w:rsidRPr="00D32E9F" w:rsidRDefault="00D32E9F" w:rsidP="00D32E9F">
      <w:pPr>
        <w:spacing w:line="360" w:lineRule="auto"/>
        <w:jc w:val="both"/>
        <w:rPr>
          <w:rFonts w:ascii="Tahoma" w:eastAsia="Times New Roman" w:hAnsi="Tahoma" w:cs="Tahoma"/>
          <w:sz w:val="24"/>
          <w:szCs w:val="24"/>
          <w:lang w:val="fr-SN" w:eastAsia="en-GB"/>
        </w:rPr>
      </w:pPr>
    </w:p>
    <w:p w:rsidR="00D32E9F" w:rsidRPr="00D32E9F" w:rsidRDefault="00D32E9F" w:rsidP="00D32E9F">
      <w:pPr>
        <w:spacing w:line="360" w:lineRule="auto"/>
        <w:jc w:val="both"/>
        <w:rPr>
          <w:rFonts w:ascii="Tahoma" w:eastAsia="Times New Roman" w:hAnsi="Tahoma" w:cs="Tahoma"/>
          <w:sz w:val="24"/>
          <w:szCs w:val="24"/>
          <w:lang w:val="fr-SN" w:eastAsia="en-GB"/>
        </w:rPr>
      </w:pP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12 – Comparution de détenus en qualité de témoins ou pour aider à enquêter</w:t>
      </w:r>
    </w:p>
    <w:p w:rsidR="00D32E9F" w:rsidRPr="00D32E9F" w:rsidRDefault="00D32E9F" w:rsidP="00D32E9F">
      <w:pPr>
        <w:numPr>
          <w:ilvl w:val="0"/>
          <w:numId w:val="13"/>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t>« </w:t>
      </w:r>
      <w:r w:rsidRPr="00D32E9F">
        <w:rPr>
          <w:rFonts w:ascii="Tahoma" w:eastAsia="Times New Roman" w:hAnsi="Tahoma" w:cs="Tahoma"/>
          <w:b/>
          <w:i/>
          <w:sz w:val="18"/>
          <w:szCs w:val="18"/>
          <w:lang w:val="fr-SN" w:eastAsia="en-GB"/>
        </w:rPr>
        <w:t>La personne sujette à une procédure pénale au Tchad, dont la comparution s’avère nécessaire en vertu de l’entraide visée dans le présent Accord, est transférée temporairement à cette fin au Sénégal dès lors que cette personne ainsi que le Tchad donnent leur consentement à ce transfert</w:t>
      </w:r>
      <w:r w:rsidRPr="00D32E9F">
        <w:rPr>
          <w:rFonts w:ascii="Tahoma" w:eastAsia="Times New Roman" w:hAnsi="Tahoma" w:cs="Tahoma"/>
          <w:b/>
          <w:i/>
          <w:sz w:val="20"/>
          <w:szCs w:val="20"/>
          <w:lang w:val="fr-SN" w:eastAsia="en-GB"/>
        </w:rPr>
        <w:t>.</w:t>
      </w:r>
    </w:p>
    <w:p w:rsidR="00D32E9F" w:rsidRPr="00D32E9F" w:rsidRDefault="00D32E9F" w:rsidP="00D32E9F">
      <w:pPr>
        <w:ind w:left="720"/>
        <w:contextualSpacing/>
        <w:jc w:val="both"/>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3"/>
        </w:numPr>
        <w:spacing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18"/>
          <w:szCs w:val="18"/>
          <w:lang w:val="fr-SN" w:eastAsia="en-GB"/>
        </w:rPr>
        <w:t>Les frais occasionnés par le transfert sont financés par le budget des Chambres africaines extraordinaires</w:t>
      </w:r>
      <w:r w:rsidRPr="00D32E9F">
        <w:rPr>
          <w:rFonts w:ascii="Tahoma" w:eastAsia="Times New Roman" w:hAnsi="Tahoma" w:cs="Tahoma"/>
          <w:b/>
          <w:i/>
          <w:sz w:val="20"/>
          <w:szCs w:val="20"/>
          <w:lang w:val="fr-SN" w:eastAsia="en-GB"/>
        </w:rPr>
        <w:t>.</w:t>
      </w:r>
    </w:p>
    <w:p w:rsidR="00D32E9F" w:rsidRPr="00D32E9F" w:rsidRDefault="00D32E9F" w:rsidP="00D32E9F">
      <w:pPr>
        <w:ind w:left="720"/>
        <w:contextualSpacing/>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3"/>
        </w:numPr>
        <w:spacing w:line="360" w:lineRule="auto"/>
        <w:ind w:left="714"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Les dispositions des deux alinéas précédents ne s’appliquent pas dans les cas suivants :</w:t>
      </w:r>
    </w:p>
    <w:p w:rsidR="00D32E9F" w:rsidRPr="00D32E9F" w:rsidRDefault="00D32E9F" w:rsidP="00D32E9F">
      <w:pPr>
        <w:ind w:left="720"/>
        <w:contextualSpacing/>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4"/>
        </w:numPr>
        <w:spacing w:line="360" w:lineRule="auto"/>
        <w:ind w:left="1077"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si la personne détenue ou purgeant une peine refuse d’accorder son consentement à ce transfert ;</w:t>
      </w:r>
    </w:p>
    <w:p w:rsidR="00D32E9F" w:rsidRPr="00D32E9F" w:rsidRDefault="00D32E9F" w:rsidP="00D32E9F">
      <w:pPr>
        <w:numPr>
          <w:ilvl w:val="0"/>
          <w:numId w:val="14"/>
        </w:numPr>
        <w:spacing w:line="360" w:lineRule="auto"/>
        <w:ind w:left="1077" w:hanging="357"/>
        <w:contextualSpacing/>
        <w:jc w:val="both"/>
        <w:rPr>
          <w:rFonts w:ascii="Tahoma" w:eastAsia="Times New Roman" w:hAnsi="Tahoma" w:cs="Tahoma"/>
          <w:b/>
          <w:i/>
          <w:sz w:val="18"/>
          <w:szCs w:val="18"/>
          <w:lang w:val="fr-SN" w:eastAsia="en-GB"/>
        </w:rPr>
      </w:pPr>
      <w:r w:rsidRPr="00D32E9F">
        <w:rPr>
          <w:rFonts w:ascii="Tahoma" w:eastAsia="Times New Roman" w:hAnsi="Tahoma" w:cs="Tahoma"/>
          <w:b/>
          <w:i/>
          <w:sz w:val="18"/>
          <w:szCs w:val="18"/>
          <w:lang w:val="fr-SN" w:eastAsia="en-GB"/>
        </w:rPr>
        <w:t>tant que sa présence est nécessaire dans une instance ou une procédure pénale en cours dans la juridiction dont elle relève ;</w:t>
      </w:r>
    </w:p>
    <w:p w:rsidR="00D32E9F" w:rsidRPr="00D32E9F" w:rsidRDefault="00D32E9F" w:rsidP="00D32E9F">
      <w:pPr>
        <w:numPr>
          <w:ilvl w:val="0"/>
          <w:numId w:val="14"/>
        </w:numPr>
        <w:spacing w:line="360" w:lineRule="auto"/>
        <w:ind w:left="1077" w:hanging="357"/>
        <w:contextualSpacing/>
        <w:jc w:val="both"/>
        <w:rPr>
          <w:rFonts w:ascii="Tahoma" w:eastAsia="Times New Roman" w:hAnsi="Tahoma" w:cs="Tahoma"/>
          <w:i/>
          <w:sz w:val="24"/>
          <w:szCs w:val="24"/>
          <w:lang w:val="fr-SN" w:eastAsia="en-GB"/>
        </w:rPr>
      </w:pPr>
      <w:r w:rsidRPr="00D32E9F">
        <w:rPr>
          <w:rFonts w:ascii="Tahoma" w:eastAsia="Times New Roman" w:hAnsi="Tahoma" w:cs="Tahoma"/>
          <w:b/>
          <w:i/>
          <w:sz w:val="18"/>
          <w:szCs w:val="18"/>
          <w:lang w:val="fr-SN" w:eastAsia="en-GB"/>
        </w:rPr>
        <w:t>s’il existe d’autres considérations d’ordre légal ou de toute autre nature, déterminée par l’autorité compétente du Tchad ou du Sénégal </w:t>
      </w:r>
      <w:r w:rsidRPr="00D32E9F">
        <w:rPr>
          <w:rFonts w:ascii="Tahoma" w:eastAsia="Times New Roman" w:hAnsi="Tahoma" w:cs="Tahoma"/>
          <w:b/>
          <w:i/>
          <w:sz w:val="20"/>
          <w:szCs w:val="20"/>
          <w:lang w:val="fr-SN" w:eastAsia="en-GB"/>
        </w:rPr>
        <w:t>»</w:t>
      </w:r>
      <w:r w:rsidRPr="00D32E9F">
        <w:rPr>
          <w:rFonts w:ascii="Tahoma" w:eastAsia="Times New Roman" w:hAnsi="Tahoma" w:cs="Tahoma"/>
          <w:i/>
          <w:sz w:val="24"/>
          <w:szCs w:val="24"/>
          <w:lang w:val="fr-SN" w:eastAsia="en-GB"/>
        </w:rPr>
        <w: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 xml:space="preserve">La mise en œuvre de cette disposition s’est heurtée à des obstacles qui ont empêché la Chambre africaine extraordinaire d’instruction d’obtenir le transfert de deux des </w:t>
      </w:r>
      <w:r w:rsidRPr="00D32E9F">
        <w:rPr>
          <w:rFonts w:ascii="Tahoma" w:eastAsia="Times New Roman" w:hAnsi="Tahoma" w:cs="Tahoma"/>
          <w:sz w:val="24"/>
          <w:szCs w:val="24"/>
          <w:lang w:val="fr-SN" w:eastAsia="en-GB"/>
        </w:rPr>
        <w:lastRenderedPageBreak/>
        <w:t>cinq principaux co-responsables visés dans l’acte de poursuite en même temps que Hissein Habré et faisant l’objet de mandats d’arrêts internationaux.</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 xml:space="preserve">Il s’agit de Saleh Younouss et Mahamat Djibrine dit El Djonto, qui, </w:t>
      </w:r>
      <w:proofErr w:type="gramStart"/>
      <w:r w:rsidRPr="00D32E9F">
        <w:rPr>
          <w:rFonts w:ascii="Tahoma" w:eastAsia="Times New Roman" w:hAnsi="Tahoma" w:cs="Tahoma"/>
          <w:sz w:val="24"/>
          <w:szCs w:val="24"/>
          <w:lang w:val="fr-SN" w:eastAsia="en-GB"/>
        </w:rPr>
        <w:t>étaient</w:t>
      </w:r>
      <w:proofErr w:type="gramEnd"/>
      <w:r w:rsidRPr="00D32E9F">
        <w:rPr>
          <w:rFonts w:ascii="Tahoma" w:eastAsia="Times New Roman" w:hAnsi="Tahoma" w:cs="Tahoma"/>
          <w:sz w:val="24"/>
          <w:szCs w:val="24"/>
          <w:lang w:val="fr-SN" w:eastAsia="en-GB"/>
        </w:rPr>
        <w:t xml:space="preserve"> détenus à la Maison d’arrêt de N’Djamena, dans le cadre de la procédure pendante devant le doyen des juges du Tribunal de Grande Instance de N’Djamena.</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Aux fins de faire exécuter les mandats d’arrêt les concernant, le Parquet général a, par courriers n° 000046/PG/CAE et 00052/PG/CAE datés respectivement des 17 septembre et 29 octobre 2013, saisi les autorités judiciaires tchadiennes par le canal de la Chancellerie, et sollicité la notification des mandats d’arrêt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Lesdits courriers constituaient des rappels de l’exécution de la demande d’entraide internationale régulièrement formulée et transmise par les voies appropriées à cet effet.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Toutes ces demandes de notification et tous ces rappels sont restés sans réponse de la part de l’autorité tchadienne. Face à ce blocage, la Chambre d’instruction dont le mandat devait expirer en janvier 2015 a estimé devoir, en raison de l’urgence, agir par voie de commission rogatoire internationale datée du 3 octobre 2014 aux fins d’assister, du 18 octobre au 1</w:t>
      </w:r>
      <w:r w:rsidRPr="00D32E9F">
        <w:rPr>
          <w:rFonts w:ascii="Tahoma" w:eastAsia="Times New Roman" w:hAnsi="Tahoma" w:cs="Tahoma"/>
          <w:sz w:val="24"/>
          <w:szCs w:val="24"/>
          <w:vertAlign w:val="superscript"/>
          <w:lang w:val="fr-SN" w:eastAsia="en-GB"/>
        </w:rPr>
        <w:t>er</w:t>
      </w:r>
      <w:r w:rsidRPr="00D32E9F">
        <w:rPr>
          <w:rFonts w:ascii="Tahoma" w:eastAsia="Times New Roman" w:hAnsi="Tahoma" w:cs="Tahoma"/>
          <w:sz w:val="24"/>
          <w:szCs w:val="24"/>
          <w:lang w:val="fr-SN" w:eastAsia="en-GB"/>
        </w:rPr>
        <w:t xml:space="preserve"> novembre 2014, à l’inculpation et l’interrogatoire au fond des susnommés.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Ce n’est que le 14 octobre 2014 que Monsieur Souleyman Haroun, magistrat, point focal des CAE à N’Djamena et membre du Comité de pilotage, a signifié par courriel au coordonnateur de la Chambre d’instruction le refus du Tchad en ces termes : « </w:t>
      </w:r>
      <w:r w:rsidRPr="00D32E9F">
        <w:rPr>
          <w:rFonts w:ascii="Tahoma" w:eastAsia="Times New Roman" w:hAnsi="Tahoma" w:cs="Tahoma"/>
          <w:b/>
          <w:i/>
          <w:sz w:val="18"/>
          <w:szCs w:val="18"/>
          <w:lang w:val="fr-SN" w:eastAsia="en-GB"/>
        </w:rPr>
        <w:t>si l’objet de votre présence au Tchad du 18 octobre au 1</w:t>
      </w:r>
      <w:r w:rsidRPr="00D32E9F">
        <w:rPr>
          <w:rFonts w:ascii="Tahoma" w:eastAsia="Times New Roman" w:hAnsi="Tahoma" w:cs="Tahoma"/>
          <w:b/>
          <w:i/>
          <w:sz w:val="18"/>
          <w:szCs w:val="18"/>
          <w:vertAlign w:val="superscript"/>
          <w:lang w:val="fr-SN" w:eastAsia="en-GB"/>
        </w:rPr>
        <w:t>er</w:t>
      </w:r>
      <w:r w:rsidRPr="00D32E9F">
        <w:rPr>
          <w:rFonts w:ascii="Tahoma" w:eastAsia="Times New Roman" w:hAnsi="Tahoma" w:cs="Tahoma"/>
          <w:b/>
          <w:i/>
          <w:sz w:val="18"/>
          <w:szCs w:val="18"/>
          <w:lang w:val="fr-SN" w:eastAsia="en-GB"/>
        </w:rPr>
        <w:t xml:space="preserve"> novembre 2014 consiste à inculper les détenus Saleh Younouss et Mahamat Djibrine dit El Djonto, comme vous l’avez signalé dans votre commission rogatoire internationale du 3 octobre 2014, nous sommes au regret de vous informer que les mêmes personnes ne pourront pas faire l’objet d’une deuxième inculpation</w:t>
      </w:r>
      <w:r w:rsidRPr="00D32E9F">
        <w:rPr>
          <w:rFonts w:ascii="Times New Roman" w:eastAsia="Times New Roman" w:hAnsi="Times New Roman" w:cs="Times New Roman"/>
          <w:b/>
          <w:i/>
          <w:sz w:val="18"/>
          <w:szCs w:val="18"/>
          <w:lang w:val="fr-SN" w:eastAsia="en-GB"/>
        </w:rPr>
        <w:t xml:space="preserve"> </w:t>
      </w:r>
      <w:r w:rsidRPr="00D32E9F">
        <w:rPr>
          <w:rFonts w:ascii="Tahoma" w:eastAsia="Times New Roman" w:hAnsi="Tahoma" w:cs="Tahoma"/>
          <w:b/>
          <w:i/>
          <w:sz w:val="18"/>
          <w:szCs w:val="18"/>
          <w:lang w:val="fr-SN" w:eastAsia="en-GB"/>
        </w:rPr>
        <w:t>pour les mêmes faits car elles ont été déjà inculpées par le juge d’instruction en charge du dossier Habré et ses complices (volet Tchad)</w:t>
      </w:r>
      <w:r w:rsidRPr="00D32E9F">
        <w:rPr>
          <w:rFonts w:ascii="Tahoma" w:eastAsia="Times New Roman" w:hAnsi="Tahoma" w:cs="Tahoma"/>
          <w:sz w:val="24"/>
          <w:szCs w:val="24"/>
          <w:lang w:val="fr-SN" w:eastAsia="en-GB"/>
        </w:rPr>
        <w:t> ». Il est évident que cette réponse reflétait la position officielle de l’Etat tchadien.</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lastRenderedPageBreak/>
        <w:t>Prenant acte du refus réservé à la demande d’inculpation de Saleh Younouss et Mahamat Djibrine dit El Djonto, la Chambre d’instruction a renvoyé le seul accusé Hissein Habré devant la Chambre africaine extraordinaire d’assises pour jugement.</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Aussi, en prélude au procès dont le démarrage était fixé le 7 septembre 2015, le Parquet général a encore adressé en juin 2015, une demande d’entraide judiciaire internationale aux autorités judiciaires tchadiennes pour solliciter cette fois-ci la comparution aux audiences des détenus Saleh Younouss et Mahamat Djibrine dit El Djonto en qualité de témoins « insiders ». Les susnommés ont entre temps été condamnés par la Cour criminelle du Tchad pour des crimes de droit commun portant sur les violations commises par le régime de Hissein Habré.</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En réponse à cette demande, le Ministre de la Justice et des Droits de l’Homme a par correspondance formellement exprimé le refus du gouvernement du Tchad d’y faire droit.</w:t>
      </w:r>
    </w:p>
    <w:p w:rsidR="00D32E9F" w:rsidRPr="00D32E9F" w:rsidRDefault="00D32E9F" w:rsidP="00D32E9F">
      <w:pPr>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14 – Immunités</w:t>
      </w:r>
    </w:p>
    <w:p w:rsidR="00D32E9F" w:rsidRPr="00D32E9F" w:rsidRDefault="00D32E9F" w:rsidP="00D32E9F">
      <w:pPr>
        <w:numPr>
          <w:ilvl w:val="0"/>
          <w:numId w:val="15"/>
        </w:numPr>
        <w:tabs>
          <w:tab w:val="left" w:pos="426"/>
        </w:tabs>
        <w:spacing w:after="0"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i/>
          <w:sz w:val="24"/>
          <w:szCs w:val="24"/>
          <w:lang w:val="fr-SN" w:eastAsia="en-GB"/>
        </w:rPr>
        <w:t>« </w:t>
      </w:r>
      <w:r w:rsidRPr="00D32E9F">
        <w:rPr>
          <w:rFonts w:ascii="Tahoma" w:eastAsia="Times New Roman" w:hAnsi="Tahoma" w:cs="Tahoma"/>
          <w:b/>
          <w:i/>
          <w:sz w:val="20"/>
          <w:szCs w:val="20"/>
          <w:lang w:val="fr-SN" w:eastAsia="en-GB"/>
        </w:rPr>
        <w:t>Aucun témoin, cité dans l’un des Etats, comparaissant volontairement devant les juges de l’autre Etat, ne pourra y être poursuivi ou détenu pour des faits ou condamnations antérieurs à son départ du territoire du Tchad. Cette immunité cessera trente (30) jours après la date à laquelle la déposition aura pris fin où [sic] le retour du témoin aura été possible.</w:t>
      </w:r>
    </w:p>
    <w:p w:rsidR="00D32E9F" w:rsidRPr="00D32E9F" w:rsidRDefault="00D32E9F" w:rsidP="00D32E9F">
      <w:pPr>
        <w:ind w:left="720"/>
        <w:contextualSpacing/>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5"/>
        </w:numPr>
        <w:tabs>
          <w:tab w:val="left" w:pos="426"/>
        </w:tabs>
        <w:spacing w:after="0" w:line="360" w:lineRule="auto"/>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t xml:space="preserve">Le cas échéant, la comparution ou le transfert de la personne qui consent à faire des déclarations et à déposer conformément aux dispositions du présent Accord, est assujetti, si la personne ou le Tchad le demandent [sic] préalablement à la comparution ou au transfert, à l’octroi par le Sénégal d’une immunité en vertu de laquelle, tant qu’elle se trouve dans cet Etat, elle ne peut : </w:t>
      </w:r>
    </w:p>
    <w:p w:rsidR="00D32E9F" w:rsidRPr="00D32E9F" w:rsidRDefault="00D32E9F" w:rsidP="00D32E9F">
      <w:pPr>
        <w:spacing w:line="360" w:lineRule="auto"/>
        <w:ind w:left="720"/>
        <w:contextualSpacing/>
        <w:rPr>
          <w:rFonts w:ascii="Tahoma" w:eastAsia="Times New Roman" w:hAnsi="Tahoma" w:cs="Tahoma"/>
          <w:b/>
          <w:i/>
          <w:sz w:val="20"/>
          <w:szCs w:val="20"/>
          <w:lang w:val="fr-SN" w:eastAsia="en-GB"/>
        </w:rPr>
      </w:pPr>
    </w:p>
    <w:p w:rsidR="00D32E9F" w:rsidRPr="00D32E9F" w:rsidRDefault="00D32E9F" w:rsidP="00D32E9F">
      <w:pPr>
        <w:numPr>
          <w:ilvl w:val="0"/>
          <w:numId w:val="16"/>
        </w:numPr>
        <w:tabs>
          <w:tab w:val="left" w:pos="426"/>
        </w:tabs>
        <w:spacing w:after="0" w:line="360" w:lineRule="auto"/>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t>être détenue ou traduite en justice pour des délits antérieurs à sa sortie du Tchad ;</w:t>
      </w:r>
    </w:p>
    <w:p w:rsidR="00D32E9F" w:rsidRPr="00D32E9F" w:rsidRDefault="00D32E9F" w:rsidP="00D32E9F">
      <w:pPr>
        <w:numPr>
          <w:ilvl w:val="0"/>
          <w:numId w:val="16"/>
        </w:numPr>
        <w:tabs>
          <w:tab w:val="left" w:pos="426"/>
        </w:tabs>
        <w:spacing w:after="0" w:line="360" w:lineRule="auto"/>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t>être requise de faire des déclarations ou de déposer dans des procédures non précisées dans la requête ;</w:t>
      </w:r>
    </w:p>
    <w:p w:rsidR="00D32E9F" w:rsidRPr="00D32E9F" w:rsidRDefault="00D32E9F" w:rsidP="00D32E9F">
      <w:pPr>
        <w:numPr>
          <w:ilvl w:val="0"/>
          <w:numId w:val="16"/>
        </w:numPr>
        <w:tabs>
          <w:tab w:val="left" w:pos="426"/>
        </w:tabs>
        <w:spacing w:after="0" w:line="360" w:lineRule="auto"/>
        <w:ind w:left="1077"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t>être détenue ou traduite en justice sur la base de la déclaration qu’elle fait, sauf dans le cas d’infraction ou de faux témoignage.</w:t>
      </w:r>
    </w:p>
    <w:p w:rsidR="00D32E9F" w:rsidRPr="00D32E9F" w:rsidRDefault="00D32E9F" w:rsidP="00D32E9F">
      <w:pPr>
        <w:ind w:left="1080"/>
        <w:contextualSpacing/>
        <w:rPr>
          <w:rFonts w:ascii="Times New Roman" w:eastAsia="Times New Roman" w:hAnsi="Times New Roman" w:cs="Times New Roman"/>
          <w:b/>
          <w:i/>
          <w:sz w:val="20"/>
          <w:szCs w:val="20"/>
          <w:lang w:val="fr-SN" w:eastAsia="en-GB"/>
        </w:rPr>
      </w:pPr>
    </w:p>
    <w:p w:rsidR="00D32E9F" w:rsidRPr="00D32E9F" w:rsidRDefault="00D32E9F" w:rsidP="00D32E9F">
      <w:pPr>
        <w:numPr>
          <w:ilvl w:val="0"/>
          <w:numId w:val="15"/>
        </w:numPr>
        <w:tabs>
          <w:tab w:val="left" w:pos="426"/>
        </w:tabs>
        <w:spacing w:after="0" w:line="360" w:lineRule="auto"/>
        <w:ind w:left="714" w:hanging="357"/>
        <w:contextualSpacing/>
        <w:jc w:val="both"/>
        <w:rPr>
          <w:rFonts w:ascii="Tahoma" w:eastAsia="Times New Roman" w:hAnsi="Tahoma" w:cs="Tahoma"/>
          <w:b/>
          <w:i/>
          <w:sz w:val="20"/>
          <w:szCs w:val="20"/>
          <w:lang w:val="fr-SN" w:eastAsia="en-GB"/>
        </w:rPr>
      </w:pPr>
      <w:r w:rsidRPr="00D32E9F">
        <w:rPr>
          <w:rFonts w:ascii="Tahoma" w:eastAsia="Times New Roman" w:hAnsi="Tahoma" w:cs="Tahoma"/>
          <w:b/>
          <w:i/>
          <w:sz w:val="20"/>
          <w:szCs w:val="20"/>
          <w:lang w:val="fr-SN" w:eastAsia="en-GB"/>
        </w:rPr>
        <w:lastRenderedPageBreak/>
        <w:t>L’immunité visée au paragraphe précédent cesse de produire ses effets lorsque la personne prolonge volontairement son séjour sur le territoire du Sénégal pour plus de trente (30) jours à partir du moment où sa présence n’est plus nécessaire dans cet Etat, après que le Tchad en a été informé ».</w:t>
      </w:r>
    </w:p>
    <w:p w:rsidR="00D32E9F" w:rsidRPr="00D32E9F" w:rsidRDefault="00D32E9F" w:rsidP="00D32E9F">
      <w:pPr>
        <w:jc w:val="both"/>
        <w:rPr>
          <w:rFonts w:ascii="Times New Roman" w:eastAsia="Times New Roman" w:hAnsi="Times New Roman" w:cs="Times New Roman"/>
          <w:sz w:val="26"/>
          <w:szCs w:val="26"/>
          <w:lang w:val="fr-SN" w:eastAsia="en-GB"/>
        </w:rPr>
      </w:pP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La disposition n’a pas connu d’application en raison du fait que jusqu’ici, aucune victime ou aucun témoin n’a été poursuivi(e) pendant son séjour ou pour des déclarations ou présentations d’éléments de preuve devant les CAE.</w:t>
      </w:r>
    </w:p>
    <w:p w:rsidR="00D32E9F" w:rsidRPr="00D32E9F" w:rsidRDefault="00D32E9F" w:rsidP="00D32E9F">
      <w:pPr>
        <w:spacing w:line="360" w:lineRule="auto"/>
        <w:jc w:val="both"/>
        <w:rPr>
          <w:rFonts w:ascii="Tahoma" w:eastAsia="Times New Roman" w:hAnsi="Tahoma" w:cs="Tahoma"/>
          <w:b/>
          <w:sz w:val="20"/>
          <w:szCs w:val="20"/>
          <w:lang w:val="fr-SN" w:eastAsia="en-GB"/>
        </w:rPr>
      </w:pPr>
      <w:r w:rsidRPr="00D32E9F">
        <w:rPr>
          <w:rFonts w:ascii="Tahoma" w:eastAsia="Times New Roman" w:hAnsi="Tahoma" w:cs="Tahoma"/>
          <w:b/>
          <w:sz w:val="20"/>
          <w:szCs w:val="20"/>
          <w:lang w:val="fr-SN" w:eastAsia="en-GB"/>
        </w:rPr>
        <w:t>Article 15 – Protection des témoins et experts</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L’application de cette disposition est similaire à celle consacrée par l’article 15 in fine du Statut intitulé « Administration des Chambres africaines extraordinaires ».</w:t>
      </w:r>
    </w:p>
    <w:p w:rsidR="00D32E9F" w:rsidRPr="00D32E9F" w:rsidRDefault="00D32E9F" w:rsidP="00D32E9F">
      <w:pPr>
        <w:spacing w:line="360" w:lineRule="auto"/>
        <w:jc w:val="both"/>
        <w:rPr>
          <w:rFonts w:ascii="Tahoma" w:eastAsia="Times New Roman" w:hAnsi="Tahoma" w:cs="Tahoma"/>
          <w:sz w:val="24"/>
          <w:szCs w:val="24"/>
          <w:lang w:val="fr-SN" w:eastAsia="en-GB"/>
        </w:rPr>
      </w:pPr>
      <w:r w:rsidRPr="00D32E9F">
        <w:rPr>
          <w:rFonts w:ascii="Tahoma" w:eastAsia="Times New Roman" w:hAnsi="Tahoma" w:cs="Tahoma"/>
          <w:sz w:val="24"/>
          <w:szCs w:val="24"/>
          <w:lang w:val="fr-SN" w:eastAsia="en-GB"/>
        </w:rPr>
        <w:t>Telle est l’économie des dispositions législatives et mesures prises pour l’assistance et la protection des victimes dans le cadre de la mission des CAE définies par l’Accord de coopération entre l’Union africaine et la République du Sénégal sur la création des Chambres africaines extraordinaires au sein des juridictions sénégalaises chargées de poursuivre le ou les principaux responsables des crimes et violations graves du droit international, de la coutume internationale, et des Conventions internationales ratifiées par le Tchad et le Sénégal commis sur le territoire tchadien du 7 juin 1982 au 1</w:t>
      </w:r>
      <w:r w:rsidRPr="00D32E9F">
        <w:rPr>
          <w:rFonts w:ascii="Tahoma" w:eastAsia="Times New Roman" w:hAnsi="Tahoma" w:cs="Tahoma"/>
          <w:sz w:val="24"/>
          <w:szCs w:val="24"/>
          <w:vertAlign w:val="superscript"/>
          <w:lang w:val="fr-SN" w:eastAsia="en-GB"/>
        </w:rPr>
        <w:t>er</w:t>
      </w:r>
      <w:r w:rsidRPr="00D32E9F">
        <w:rPr>
          <w:rFonts w:ascii="Tahoma" w:eastAsia="Times New Roman" w:hAnsi="Tahoma" w:cs="Tahoma"/>
          <w:sz w:val="24"/>
          <w:szCs w:val="24"/>
          <w:lang w:val="fr-SN" w:eastAsia="en-GB"/>
        </w:rPr>
        <w:t xml:space="preserve"> décembre 1990, dont la convention de New York du 10 décembre 1984 contre la torture et autres peines ou traitements cruels, inhumains ou dégradants.</w:t>
      </w:r>
    </w:p>
    <w:p w:rsidR="00D32E9F" w:rsidRPr="00D32E9F" w:rsidRDefault="00D32E9F" w:rsidP="00D32E9F">
      <w:pPr>
        <w:spacing w:line="360" w:lineRule="auto"/>
        <w:jc w:val="both"/>
        <w:rPr>
          <w:rFonts w:ascii="Tahoma" w:eastAsia="Times New Roman" w:hAnsi="Tahoma" w:cs="Tahoma"/>
          <w:sz w:val="24"/>
          <w:szCs w:val="24"/>
          <w:lang w:val="fr-CH" w:eastAsia="en-GB"/>
        </w:rPr>
      </w:pPr>
    </w:p>
    <w:p w:rsidR="007430D7" w:rsidRPr="00D32E9F" w:rsidRDefault="007430D7">
      <w:pPr>
        <w:rPr>
          <w:lang w:val="fr-CH"/>
        </w:rPr>
      </w:pPr>
      <w:bookmarkStart w:id="0" w:name="_GoBack"/>
      <w:bookmarkEnd w:id="0"/>
    </w:p>
    <w:sectPr w:rsidR="007430D7" w:rsidRPr="00D32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lbertus Extra Bold">
    <w:altName w:val="Berlin Sans FB Dem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5EB"/>
    <w:multiLevelType w:val="hybridMultilevel"/>
    <w:tmpl w:val="FE5CA4E2"/>
    <w:lvl w:ilvl="0" w:tplc="26447A22">
      <w:start w:val="1"/>
      <w:numFmt w:val="lowerLetter"/>
      <w:lvlText w:val="%1."/>
      <w:lvlJc w:val="left"/>
      <w:pPr>
        <w:ind w:left="1080" w:hanging="360"/>
      </w:pPr>
      <w:rPr>
        <w:b/>
        <w:i w:val="0"/>
        <w:sz w:val="18"/>
        <w:szCs w:val="18"/>
      </w:rPr>
    </w:lvl>
    <w:lvl w:ilvl="1" w:tplc="04880019">
      <w:start w:val="1"/>
      <w:numFmt w:val="lowerLetter"/>
      <w:lvlText w:val="%2."/>
      <w:lvlJc w:val="left"/>
      <w:pPr>
        <w:ind w:left="1800" w:hanging="360"/>
      </w:pPr>
    </w:lvl>
    <w:lvl w:ilvl="2" w:tplc="0488001B">
      <w:start w:val="1"/>
      <w:numFmt w:val="lowerRoman"/>
      <w:lvlText w:val="%3."/>
      <w:lvlJc w:val="right"/>
      <w:pPr>
        <w:ind w:left="2520" w:hanging="180"/>
      </w:pPr>
    </w:lvl>
    <w:lvl w:ilvl="3" w:tplc="0488000F">
      <w:start w:val="1"/>
      <w:numFmt w:val="decimal"/>
      <w:lvlText w:val="%4."/>
      <w:lvlJc w:val="left"/>
      <w:pPr>
        <w:ind w:left="3240" w:hanging="360"/>
      </w:pPr>
    </w:lvl>
    <w:lvl w:ilvl="4" w:tplc="04880019">
      <w:start w:val="1"/>
      <w:numFmt w:val="lowerLetter"/>
      <w:lvlText w:val="%5."/>
      <w:lvlJc w:val="left"/>
      <w:pPr>
        <w:ind w:left="3960" w:hanging="360"/>
      </w:pPr>
    </w:lvl>
    <w:lvl w:ilvl="5" w:tplc="0488001B">
      <w:start w:val="1"/>
      <w:numFmt w:val="lowerRoman"/>
      <w:lvlText w:val="%6."/>
      <w:lvlJc w:val="right"/>
      <w:pPr>
        <w:ind w:left="4680" w:hanging="180"/>
      </w:pPr>
    </w:lvl>
    <w:lvl w:ilvl="6" w:tplc="0488000F">
      <w:start w:val="1"/>
      <w:numFmt w:val="decimal"/>
      <w:lvlText w:val="%7."/>
      <w:lvlJc w:val="left"/>
      <w:pPr>
        <w:ind w:left="5400" w:hanging="360"/>
      </w:pPr>
    </w:lvl>
    <w:lvl w:ilvl="7" w:tplc="04880019">
      <w:start w:val="1"/>
      <w:numFmt w:val="lowerLetter"/>
      <w:lvlText w:val="%8."/>
      <w:lvlJc w:val="left"/>
      <w:pPr>
        <w:ind w:left="6120" w:hanging="360"/>
      </w:pPr>
    </w:lvl>
    <w:lvl w:ilvl="8" w:tplc="0488001B">
      <w:start w:val="1"/>
      <w:numFmt w:val="lowerRoman"/>
      <w:lvlText w:val="%9."/>
      <w:lvlJc w:val="right"/>
      <w:pPr>
        <w:ind w:left="6840" w:hanging="180"/>
      </w:pPr>
    </w:lvl>
  </w:abstractNum>
  <w:abstractNum w:abstractNumId="1">
    <w:nsid w:val="04032780"/>
    <w:multiLevelType w:val="hybridMultilevel"/>
    <w:tmpl w:val="E2DA55FA"/>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2">
    <w:nsid w:val="08333BE1"/>
    <w:multiLevelType w:val="hybridMultilevel"/>
    <w:tmpl w:val="FB8E0522"/>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3">
    <w:nsid w:val="129B0912"/>
    <w:multiLevelType w:val="hybridMultilevel"/>
    <w:tmpl w:val="CDF6EFC6"/>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4">
    <w:nsid w:val="14302FEE"/>
    <w:multiLevelType w:val="hybridMultilevel"/>
    <w:tmpl w:val="459262A2"/>
    <w:lvl w:ilvl="0" w:tplc="7208FC34">
      <w:start w:val="1"/>
      <w:numFmt w:val="decimal"/>
      <w:lvlText w:val="%1."/>
      <w:lvlJc w:val="left"/>
      <w:pPr>
        <w:ind w:left="720" w:hanging="360"/>
      </w:pPr>
      <w:rPr>
        <w:b/>
        <w:i w:val="0"/>
        <w:sz w:val="18"/>
        <w:szCs w:val="18"/>
      </w:r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5">
    <w:nsid w:val="14773E1B"/>
    <w:multiLevelType w:val="hybridMultilevel"/>
    <w:tmpl w:val="75ACA67E"/>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6">
    <w:nsid w:val="311402F0"/>
    <w:multiLevelType w:val="hybridMultilevel"/>
    <w:tmpl w:val="575E1CFE"/>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7">
    <w:nsid w:val="343D4BAA"/>
    <w:multiLevelType w:val="hybridMultilevel"/>
    <w:tmpl w:val="12D6DEC2"/>
    <w:lvl w:ilvl="0" w:tplc="0488000B">
      <w:start w:val="1"/>
      <w:numFmt w:val="bullet"/>
      <w:lvlText w:val=""/>
      <w:lvlJc w:val="left"/>
      <w:pPr>
        <w:ind w:left="720" w:hanging="360"/>
      </w:pPr>
      <w:rPr>
        <w:rFonts w:ascii="Wingdings" w:hAnsi="Wingdings" w:hint="default"/>
      </w:rPr>
    </w:lvl>
    <w:lvl w:ilvl="1" w:tplc="04880003">
      <w:start w:val="1"/>
      <w:numFmt w:val="bullet"/>
      <w:lvlText w:val="o"/>
      <w:lvlJc w:val="left"/>
      <w:pPr>
        <w:ind w:left="1440" w:hanging="360"/>
      </w:pPr>
      <w:rPr>
        <w:rFonts w:ascii="Courier New" w:hAnsi="Courier New" w:cs="Courier New" w:hint="default"/>
      </w:rPr>
    </w:lvl>
    <w:lvl w:ilvl="2" w:tplc="04880005">
      <w:start w:val="1"/>
      <w:numFmt w:val="bullet"/>
      <w:lvlText w:val=""/>
      <w:lvlJc w:val="left"/>
      <w:pPr>
        <w:ind w:left="2160" w:hanging="360"/>
      </w:pPr>
      <w:rPr>
        <w:rFonts w:ascii="Wingdings" w:hAnsi="Wingdings" w:hint="default"/>
      </w:rPr>
    </w:lvl>
    <w:lvl w:ilvl="3" w:tplc="04880001">
      <w:start w:val="1"/>
      <w:numFmt w:val="bullet"/>
      <w:lvlText w:val=""/>
      <w:lvlJc w:val="left"/>
      <w:pPr>
        <w:ind w:left="2880" w:hanging="360"/>
      </w:pPr>
      <w:rPr>
        <w:rFonts w:ascii="Symbol" w:hAnsi="Symbol" w:hint="default"/>
      </w:rPr>
    </w:lvl>
    <w:lvl w:ilvl="4" w:tplc="04880003">
      <w:start w:val="1"/>
      <w:numFmt w:val="bullet"/>
      <w:lvlText w:val="o"/>
      <w:lvlJc w:val="left"/>
      <w:pPr>
        <w:ind w:left="3600" w:hanging="360"/>
      </w:pPr>
      <w:rPr>
        <w:rFonts w:ascii="Courier New" w:hAnsi="Courier New" w:cs="Courier New" w:hint="default"/>
      </w:rPr>
    </w:lvl>
    <w:lvl w:ilvl="5" w:tplc="04880005">
      <w:start w:val="1"/>
      <w:numFmt w:val="bullet"/>
      <w:lvlText w:val=""/>
      <w:lvlJc w:val="left"/>
      <w:pPr>
        <w:ind w:left="4320" w:hanging="360"/>
      </w:pPr>
      <w:rPr>
        <w:rFonts w:ascii="Wingdings" w:hAnsi="Wingdings" w:hint="default"/>
      </w:rPr>
    </w:lvl>
    <w:lvl w:ilvl="6" w:tplc="04880001">
      <w:start w:val="1"/>
      <w:numFmt w:val="bullet"/>
      <w:lvlText w:val=""/>
      <w:lvlJc w:val="left"/>
      <w:pPr>
        <w:ind w:left="5040" w:hanging="360"/>
      </w:pPr>
      <w:rPr>
        <w:rFonts w:ascii="Symbol" w:hAnsi="Symbol" w:hint="default"/>
      </w:rPr>
    </w:lvl>
    <w:lvl w:ilvl="7" w:tplc="04880003">
      <w:start w:val="1"/>
      <w:numFmt w:val="bullet"/>
      <w:lvlText w:val="o"/>
      <w:lvlJc w:val="left"/>
      <w:pPr>
        <w:ind w:left="5760" w:hanging="360"/>
      </w:pPr>
      <w:rPr>
        <w:rFonts w:ascii="Courier New" w:hAnsi="Courier New" w:cs="Courier New" w:hint="default"/>
      </w:rPr>
    </w:lvl>
    <w:lvl w:ilvl="8" w:tplc="04880005">
      <w:start w:val="1"/>
      <w:numFmt w:val="bullet"/>
      <w:lvlText w:val=""/>
      <w:lvlJc w:val="left"/>
      <w:pPr>
        <w:ind w:left="6480" w:hanging="360"/>
      </w:pPr>
      <w:rPr>
        <w:rFonts w:ascii="Wingdings" w:hAnsi="Wingdings" w:hint="default"/>
      </w:rPr>
    </w:lvl>
  </w:abstractNum>
  <w:abstractNum w:abstractNumId="8">
    <w:nsid w:val="37D17FC0"/>
    <w:multiLevelType w:val="hybridMultilevel"/>
    <w:tmpl w:val="5B4A820E"/>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9">
    <w:nsid w:val="3C2F20AF"/>
    <w:multiLevelType w:val="hybridMultilevel"/>
    <w:tmpl w:val="22EE64E0"/>
    <w:lvl w:ilvl="0" w:tplc="5FF84158">
      <w:start w:val="1"/>
      <w:numFmt w:val="lowerLetter"/>
      <w:lvlText w:val="%1."/>
      <w:lvlJc w:val="left"/>
      <w:pPr>
        <w:ind w:left="1080" w:hanging="360"/>
      </w:pPr>
    </w:lvl>
    <w:lvl w:ilvl="1" w:tplc="04880019">
      <w:start w:val="1"/>
      <w:numFmt w:val="lowerLetter"/>
      <w:lvlText w:val="%2."/>
      <w:lvlJc w:val="left"/>
      <w:pPr>
        <w:ind w:left="1800" w:hanging="360"/>
      </w:pPr>
    </w:lvl>
    <w:lvl w:ilvl="2" w:tplc="0488001B">
      <w:start w:val="1"/>
      <w:numFmt w:val="lowerRoman"/>
      <w:lvlText w:val="%3."/>
      <w:lvlJc w:val="right"/>
      <w:pPr>
        <w:ind w:left="2520" w:hanging="180"/>
      </w:pPr>
    </w:lvl>
    <w:lvl w:ilvl="3" w:tplc="0488000F">
      <w:start w:val="1"/>
      <w:numFmt w:val="decimal"/>
      <w:lvlText w:val="%4."/>
      <w:lvlJc w:val="left"/>
      <w:pPr>
        <w:ind w:left="3240" w:hanging="360"/>
      </w:pPr>
    </w:lvl>
    <w:lvl w:ilvl="4" w:tplc="04880019">
      <w:start w:val="1"/>
      <w:numFmt w:val="lowerLetter"/>
      <w:lvlText w:val="%5."/>
      <w:lvlJc w:val="left"/>
      <w:pPr>
        <w:ind w:left="3960" w:hanging="360"/>
      </w:pPr>
    </w:lvl>
    <w:lvl w:ilvl="5" w:tplc="0488001B">
      <w:start w:val="1"/>
      <w:numFmt w:val="lowerRoman"/>
      <w:lvlText w:val="%6."/>
      <w:lvlJc w:val="right"/>
      <w:pPr>
        <w:ind w:left="4680" w:hanging="180"/>
      </w:pPr>
    </w:lvl>
    <w:lvl w:ilvl="6" w:tplc="0488000F">
      <w:start w:val="1"/>
      <w:numFmt w:val="decimal"/>
      <w:lvlText w:val="%7."/>
      <w:lvlJc w:val="left"/>
      <w:pPr>
        <w:ind w:left="5400" w:hanging="360"/>
      </w:pPr>
    </w:lvl>
    <w:lvl w:ilvl="7" w:tplc="04880019">
      <w:start w:val="1"/>
      <w:numFmt w:val="lowerLetter"/>
      <w:lvlText w:val="%8."/>
      <w:lvlJc w:val="left"/>
      <w:pPr>
        <w:ind w:left="6120" w:hanging="360"/>
      </w:pPr>
    </w:lvl>
    <w:lvl w:ilvl="8" w:tplc="0488001B">
      <w:start w:val="1"/>
      <w:numFmt w:val="lowerRoman"/>
      <w:lvlText w:val="%9."/>
      <w:lvlJc w:val="right"/>
      <w:pPr>
        <w:ind w:left="6840" w:hanging="180"/>
      </w:pPr>
    </w:lvl>
  </w:abstractNum>
  <w:abstractNum w:abstractNumId="10">
    <w:nsid w:val="4C2A1E64"/>
    <w:multiLevelType w:val="hybridMultilevel"/>
    <w:tmpl w:val="4BDCCFF0"/>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11">
    <w:nsid w:val="4D4D5665"/>
    <w:multiLevelType w:val="hybridMultilevel"/>
    <w:tmpl w:val="2D0EBCFA"/>
    <w:lvl w:ilvl="0" w:tplc="04880017">
      <w:start w:val="1"/>
      <w:numFmt w:val="lowerLetter"/>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12">
    <w:nsid w:val="57E006CE"/>
    <w:multiLevelType w:val="hybridMultilevel"/>
    <w:tmpl w:val="7F5EA9E4"/>
    <w:lvl w:ilvl="0" w:tplc="064CF546">
      <w:start w:val="1"/>
      <w:numFmt w:val="decimal"/>
      <w:lvlText w:val="%1."/>
      <w:lvlJc w:val="left"/>
      <w:pPr>
        <w:ind w:left="720" w:hanging="360"/>
      </w:pPr>
      <w:rPr>
        <w:b/>
        <w:i w:val="0"/>
      </w:r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13">
    <w:nsid w:val="5AC8016C"/>
    <w:multiLevelType w:val="hybridMultilevel"/>
    <w:tmpl w:val="DDE092D4"/>
    <w:lvl w:ilvl="0" w:tplc="0488000F">
      <w:start w:val="1"/>
      <w:numFmt w:val="decimal"/>
      <w:lvlText w:val="%1."/>
      <w:lvlJc w:val="left"/>
      <w:pPr>
        <w:ind w:left="720" w:hanging="360"/>
      </w:pPr>
    </w:lvl>
    <w:lvl w:ilvl="1" w:tplc="04880019">
      <w:start w:val="1"/>
      <w:numFmt w:val="lowerLetter"/>
      <w:lvlText w:val="%2."/>
      <w:lvlJc w:val="left"/>
      <w:pPr>
        <w:ind w:left="1440" w:hanging="360"/>
      </w:pPr>
    </w:lvl>
    <w:lvl w:ilvl="2" w:tplc="0488001B">
      <w:start w:val="1"/>
      <w:numFmt w:val="lowerRoman"/>
      <w:lvlText w:val="%3."/>
      <w:lvlJc w:val="right"/>
      <w:pPr>
        <w:ind w:left="2160" w:hanging="180"/>
      </w:pPr>
    </w:lvl>
    <w:lvl w:ilvl="3" w:tplc="0488000F">
      <w:start w:val="1"/>
      <w:numFmt w:val="decimal"/>
      <w:lvlText w:val="%4."/>
      <w:lvlJc w:val="left"/>
      <w:pPr>
        <w:ind w:left="2880" w:hanging="360"/>
      </w:pPr>
    </w:lvl>
    <w:lvl w:ilvl="4" w:tplc="04880019">
      <w:start w:val="1"/>
      <w:numFmt w:val="lowerLetter"/>
      <w:lvlText w:val="%5."/>
      <w:lvlJc w:val="left"/>
      <w:pPr>
        <w:ind w:left="3600" w:hanging="360"/>
      </w:pPr>
    </w:lvl>
    <w:lvl w:ilvl="5" w:tplc="0488001B">
      <w:start w:val="1"/>
      <w:numFmt w:val="lowerRoman"/>
      <w:lvlText w:val="%6."/>
      <w:lvlJc w:val="right"/>
      <w:pPr>
        <w:ind w:left="4320" w:hanging="180"/>
      </w:pPr>
    </w:lvl>
    <w:lvl w:ilvl="6" w:tplc="0488000F">
      <w:start w:val="1"/>
      <w:numFmt w:val="decimal"/>
      <w:lvlText w:val="%7."/>
      <w:lvlJc w:val="left"/>
      <w:pPr>
        <w:ind w:left="5040" w:hanging="360"/>
      </w:pPr>
    </w:lvl>
    <w:lvl w:ilvl="7" w:tplc="04880019">
      <w:start w:val="1"/>
      <w:numFmt w:val="lowerLetter"/>
      <w:lvlText w:val="%8."/>
      <w:lvlJc w:val="left"/>
      <w:pPr>
        <w:ind w:left="5760" w:hanging="360"/>
      </w:pPr>
    </w:lvl>
    <w:lvl w:ilvl="8" w:tplc="0488001B">
      <w:start w:val="1"/>
      <w:numFmt w:val="lowerRoman"/>
      <w:lvlText w:val="%9."/>
      <w:lvlJc w:val="right"/>
      <w:pPr>
        <w:ind w:left="6480" w:hanging="180"/>
      </w:pPr>
    </w:lvl>
  </w:abstractNum>
  <w:abstractNum w:abstractNumId="14">
    <w:nsid w:val="66964B9A"/>
    <w:multiLevelType w:val="hybridMultilevel"/>
    <w:tmpl w:val="14FC7716"/>
    <w:lvl w:ilvl="0" w:tplc="0488000B">
      <w:start w:val="1"/>
      <w:numFmt w:val="bullet"/>
      <w:lvlText w:val=""/>
      <w:lvlJc w:val="left"/>
      <w:pPr>
        <w:ind w:left="720" w:hanging="360"/>
      </w:pPr>
      <w:rPr>
        <w:rFonts w:ascii="Wingdings" w:hAnsi="Wingdings" w:hint="default"/>
      </w:rPr>
    </w:lvl>
    <w:lvl w:ilvl="1" w:tplc="04880003">
      <w:start w:val="1"/>
      <w:numFmt w:val="bullet"/>
      <w:lvlText w:val="o"/>
      <w:lvlJc w:val="left"/>
      <w:pPr>
        <w:ind w:left="1440" w:hanging="360"/>
      </w:pPr>
      <w:rPr>
        <w:rFonts w:ascii="Courier New" w:hAnsi="Courier New" w:cs="Courier New" w:hint="default"/>
      </w:rPr>
    </w:lvl>
    <w:lvl w:ilvl="2" w:tplc="04880005">
      <w:start w:val="1"/>
      <w:numFmt w:val="bullet"/>
      <w:lvlText w:val=""/>
      <w:lvlJc w:val="left"/>
      <w:pPr>
        <w:ind w:left="2160" w:hanging="360"/>
      </w:pPr>
      <w:rPr>
        <w:rFonts w:ascii="Wingdings" w:hAnsi="Wingdings" w:hint="default"/>
      </w:rPr>
    </w:lvl>
    <w:lvl w:ilvl="3" w:tplc="04880001">
      <w:start w:val="1"/>
      <w:numFmt w:val="bullet"/>
      <w:lvlText w:val=""/>
      <w:lvlJc w:val="left"/>
      <w:pPr>
        <w:ind w:left="2880" w:hanging="360"/>
      </w:pPr>
      <w:rPr>
        <w:rFonts w:ascii="Symbol" w:hAnsi="Symbol" w:hint="default"/>
      </w:rPr>
    </w:lvl>
    <w:lvl w:ilvl="4" w:tplc="04880003">
      <w:start w:val="1"/>
      <w:numFmt w:val="bullet"/>
      <w:lvlText w:val="o"/>
      <w:lvlJc w:val="left"/>
      <w:pPr>
        <w:ind w:left="3600" w:hanging="360"/>
      </w:pPr>
      <w:rPr>
        <w:rFonts w:ascii="Courier New" w:hAnsi="Courier New" w:cs="Courier New" w:hint="default"/>
      </w:rPr>
    </w:lvl>
    <w:lvl w:ilvl="5" w:tplc="04880005">
      <w:start w:val="1"/>
      <w:numFmt w:val="bullet"/>
      <w:lvlText w:val=""/>
      <w:lvlJc w:val="left"/>
      <w:pPr>
        <w:ind w:left="4320" w:hanging="360"/>
      </w:pPr>
      <w:rPr>
        <w:rFonts w:ascii="Wingdings" w:hAnsi="Wingdings" w:hint="default"/>
      </w:rPr>
    </w:lvl>
    <w:lvl w:ilvl="6" w:tplc="04880001">
      <w:start w:val="1"/>
      <w:numFmt w:val="bullet"/>
      <w:lvlText w:val=""/>
      <w:lvlJc w:val="left"/>
      <w:pPr>
        <w:ind w:left="5040" w:hanging="360"/>
      </w:pPr>
      <w:rPr>
        <w:rFonts w:ascii="Symbol" w:hAnsi="Symbol" w:hint="default"/>
      </w:rPr>
    </w:lvl>
    <w:lvl w:ilvl="7" w:tplc="04880003">
      <w:start w:val="1"/>
      <w:numFmt w:val="bullet"/>
      <w:lvlText w:val="o"/>
      <w:lvlJc w:val="left"/>
      <w:pPr>
        <w:ind w:left="5760" w:hanging="360"/>
      </w:pPr>
      <w:rPr>
        <w:rFonts w:ascii="Courier New" w:hAnsi="Courier New" w:cs="Courier New" w:hint="default"/>
      </w:rPr>
    </w:lvl>
    <w:lvl w:ilvl="8" w:tplc="04880005">
      <w:start w:val="1"/>
      <w:numFmt w:val="bullet"/>
      <w:lvlText w:val=""/>
      <w:lvlJc w:val="left"/>
      <w:pPr>
        <w:ind w:left="6480" w:hanging="360"/>
      </w:pPr>
      <w:rPr>
        <w:rFonts w:ascii="Wingdings" w:hAnsi="Wingdings" w:hint="default"/>
      </w:rPr>
    </w:lvl>
  </w:abstractNum>
  <w:abstractNum w:abstractNumId="15">
    <w:nsid w:val="70AB0F39"/>
    <w:multiLevelType w:val="hybridMultilevel"/>
    <w:tmpl w:val="57C821F2"/>
    <w:lvl w:ilvl="0" w:tplc="186082C6">
      <w:start w:val="1"/>
      <w:numFmt w:val="lowerLetter"/>
      <w:lvlText w:val="%1)"/>
      <w:lvlJc w:val="left"/>
      <w:pPr>
        <w:ind w:left="1080" w:hanging="360"/>
      </w:pPr>
    </w:lvl>
    <w:lvl w:ilvl="1" w:tplc="04880019">
      <w:start w:val="1"/>
      <w:numFmt w:val="lowerLetter"/>
      <w:lvlText w:val="%2."/>
      <w:lvlJc w:val="left"/>
      <w:pPr>
        <w:ind w:left="1800" w:hanging="360"/>
      </w:pPr>
    </w:lvl>
    <w:lvl w:ilvl="2" w:tplc="0488001B">
      <w:start w:val="1"/>
      <w:numFmt w:val="lowerRoman"/>
      <w:lvlText w:val="%3."/>
      <w:lvlJc w:val="right"/>
      <w:pPr>
        <w:ind w:left="2520" w:hanging="180"/>
      </w:pPr>
    </w:lvl>
    <w:lvl w:ilvl="3" w:tplc="0488000F">
      <w:start w:val="1"/>
      <w:numFmt w:val="decimal"/>
      <w:lvlText w:val="%4."/>
      <w:lvlJc w:val="left"/>
      <w:pPr>
        <w:ind w:left="3240" w:hanging="360"/>
      </w:pPr>
    </w:lvl>
    <w:lvl w:ilvl="4" w:tplc="04880019">
      <w:start w:val="1"/>
      <w:numFmt w:val="lowerLetter"/>
      <w:lvlText w:val="%5."/>
      <w:lvlJc w:val="left"/>
      <w:pPr>
        <w:ind w:left="3960" w:hanging="360"/>
      </w:pPr>
    </w:lvl>
    <w:lvl w:ilvl="5" w:tplc="0488001B">
      <w:start w:val="1"/>
      <w:numFmt w:val="lowerRoman"/>
      <w:lvlText w:val="%6."/>
      <w:lvlJc w:val="right"/>
      <w:pPr>
        <w:ind w:left="4680" w:hanging="180"/>
      </w:pPr>
    </w:lvl>
    <w:lvl w:ilvl="6" w:tplc="0488000F">
      <w:start w:val="1"/>
      <w:numFmt w:val="decimal"/>
      <w:lvlText w:val="%7."/>
      <w:lvlJc w:val="left"/>
      <w:pPr>
        <w:ind w:left="5400" w:hanging="360"/>
      </w:pPr>
    </w:lvl>
    <w:lvl w:ilvl="7" w:tplc="04880019">
      <w:start w:val="1"/>
      <w:numFmt w:val="lowerLetter"/>
      <w:lvlText w:val="%8."/>
      <w:lvlJc w:val="left"/>
      <w:pPr>
        <w:ind w:left="6120" w:hanging="360"/>
      </w:pPr>
    </w:lvl>
    <w:lvl w:ilvl="8" w:tplc="0488001B">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lvlOverride w:ilvl="2"/>
    <w:lvlOverride w:ilvl="3"/>
    <w:lvlOverride w:ilvl="4"/>
    <w:lvlOverride w:ilvl="5"/>
    <w:lvlOverride w:ilvl="6"/>
    <w:lvlOverride w:ilvl="7"/>
    <w:lvlOverride w:ilv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lvlOverride w:ilvl="2"/>
    <w:lvlOverride w:ilvl="3"/>
    <w:lvlOverride w:ilvl="4"/>
    <w:lvlOverride w:ilvl="5"/>
    <w:lvlOverride w:ilvl="6"/>
    <w:lvlOverride w:ilvl="7"/>
    <w:lvlOverride w:ilvl="8"/>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E9F"/>
    <w:rsid w:val="007430D7"/>
    <w:rsid w:val="00D32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29E92D-5839-4F7D-8048-FD6DCFE34B95}"/>
</file>

<file path=customXml/itemProps2.xml><?xml version="1.0" encoding="utf-8"?>
<ds:datastoreItem xmlns:ds="http://schemas.openxmlformats.org/officeDocument/2006/customXml" ds:itemID="{A6F7EB84-8817-44CA-8061-A5C5095ED7D5}"/>
</file>

<file path=customXml/itemProps3.xml><?xml version="1.0" encoding="utf-8"?>
<ds:datastoreItem xmlns:ds="http://schemas.openxmlformats.org/officeDocument/2006/customXml" ds:itemID="{245065A0-D045-4B99-841F-1540C7B2D238}"/>
</file>

<file path=docProps/app.xml><?xml version="1.0" encoding="utf-8"?>
<Properties xmlns="http://schemas.openxmlformats.org/officeDocument/2006/extended-properties" xmlns:vt="http://schemas.openxmlformats.org/officeDocument/2006/docPropsVTypes">
  <Template>Normal.dotm</Template>
  <TotalTime>0</TotalTime>
  <Pages>13</Pages>
  <Words>4277</Words>
  <Characters>24382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Patrice GILLIBERT</dc:creator>
  <cp:lastModifiedBy>Patrice GILLIBERT</cp:lastModifiedBy>
  <cp:revision>1</cp:revision>
  <dcterms:created xsi:type="dcterms:W3CDTF">2017-02-03T11:20:00Z</dcterms:created>
  <dcterms:modified xsi:type="dcterms:W3CDTF">2017-02-03T11:20:00Z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