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1EBD" w:rsidRPr="00AB6D25" w:rsidRDefault="008D1EBD" w:rsidP="008D1EBD">
      <w:pPr>
        <w:rPr>
          <w:rFonts w:ascii="Book Antiqua" w:hAnsi="Book Antiqua" w:cs="Times New Roman"/>
          <w:sz w:val="24"/>
          <w:szCs w:val="24"/>
        </w:rPr>
      </w:pPr>
      <w:r w:rsidRPr="00AB6D25">
        <w:rPr>
          <w:rFonts w:ascii="Book Antiqua" w:hAnsi="Book Antiqua"/>
          <w:noProof/>
        </w:rPr>
        <w:drawing>
          <wp:anchor distT="0" distB="0" distL="114300" distR="114300" simplePos="0" relativeHeight="251658240" behindDoc="0" locked="0" layoutInCell="1" allowOverlap="1" wp14:anchorId="78CD1D32" wp14:editId="6FE61094">
            <wp:simplePos x="0" y="0"/>
            <wp:positionH relativeFrom="column">
              <wp:posOffset>-60960</wp:posOffset>
            </wp:positionH>
            <wp:positionV relativeFrom="paragraph">
              <wp:posOffset>3810</wp:posOffset>
            </wp:positionV>
            <wp:extent cx="1692910" cy="1196340"/>
            <wp:effectExtent l="0" t="0" r="0" b="0"/>
            <wp:wrapSquare wrapText="bothSides"/>
            <wp:docPr id="151228611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2910" cy="1196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6D25">
        <w:rPr>
          <w:rFonts w:ascii="Book Antiqua" w:hAnsi="Book Antiqua" w:cs="Times New Roman"/>
          <w:sz w:val="24"/>
          <w:szCs w:val="24"/>
        </w:rPr>
        <w:br w:type="textWrapping" w:clear="all"/>
      </w:r>
    </w:p>
    <w:p w:rsidR="008D1EBD" w:rsidRPr="00AB6D25" w:rsidRDefault="00AB6D25" w:rsidP="008D1EBD">
      <w:pPr>
        <w:jc w:val="center"/>
        <w:rPr>
          <w:rFonts w:ascii="Book Antiqua" w:hAnsi="Book Antiqua" w:cs="Times New Roman"/>
          <w:b/>
          <w:bCs/>
          <w:color w:val="ED7D31" w:themeColor="accent2"/>
          <w:sz w:val="24"/>
          <w:szCs w:val="24"/>
          <w:u w:val="single"/>
        </w:rPr>
      </w:pPr>
      <w:r w:rsidRPr="00AB6D25">
        <w:rPr>
          <w:rFonts w:ascii="Book Antiqua" w:hAnsi="Book Antiqua" w:cs="Times New Roman"/>
          <w:b/>
          <w:bCs/>
          <w:color w:val="ED7D31" w:themeColor="accent2"/>
          <w:sz w:val="24"/>
          <w:szCs w:val="24"/>
          <w:u w:val="single"/>
        </w:rPr>
        <w:t>Report on Egypt for the 96</w:t>
      </w:r>
      <w:r w:rsidRPr="00AB6D25">
        <w:rPr>
          <w:rFonts w:ascii="Book Antiqua" w:hAnsi="Book Antiqua" w:cs="Times New Roman"/>
          <w:b/>
          <w:bCs/>
          <w:color w:val="ED7D31" w:themeColor="accent2"/>
          <w:sz w:val="24"/>
          <w:szCs w:val="24"/>
          <w:u w:val="single"/>
          <w:vertAlign w:val="superscript"/>
        </w:rPr>
        <w:t>th</w:t>
      </w:r>
      <w:r w:rsidRPr="00AB6D25">
        <w:rPr>
          <w:rFonts w:ascii="Book Antiqua" w:hAnsi="Book Antiqua" w:cs="Times New Roman"/>
          <w:b/>
          <w:bCs/>
          <w:color w:val="ED7D31" w:themeColor="accent2"/>
          <w:sz w:val="24"/>
          <w:szCs w:val="24"/>
          <w:u w:val="single"/>
        </w:rPr>
        <w:t xml:space="preserve"> Session </w:t>
      </w:r>
    </w:p>
    <w:p w:rsidR="008D1EBD" w:rsidRPr="00AB6D25" w:rsidRDefault="008D1EBD" w:rsidP="008D1EBD">
      <w:pPr>
        <w:rPr>
          <w:rFonts w:ascii="Book Antiqua" w:hAnsi="Book Antiqua" w:cs="Times New Roman"/>
          <w:b/>
          <w:bCs/>
          <w:sz w:val="24"/>
          <w:szCs w:val="24"/>
        </w:rPr>
      </w:pPr>
      <w:r w:rsidRPr="00AB6D25">
        <w:rPr>
          <w:rFonts w:ascii="Book Antiqua" w:hAnsi="Book Antiqua" w:cs="Times New Roman"/>
          <w:b/>
          <w:bCs/>
          <w:sz w:val="24"/>
          <w:szCs w:val="24"/>
        </w:rPr>
        <w:t>Submitted to: Committee on the Rights of the Child</w:t>
      </w:r>
    </w:p>
    <w:p w:rsidR="00161771" w:rsidRPr="00AB6D25" w:rsidRDefault="008D1EBD" w:rsidP="00AB6D25">
      <w:pPr>
        <w:rPr>
          <w:rFonts w:ascii="Book Antiqua" w:hAnsi="Book Antiqua" w:cs="Times New Roman"/>
          <w:b/>
          <w:bCs/>
          <w:sz w:val="24"/>
          <w:szCs w:val="24"/>
        </w:rPr>
      </w:pPr>
      <w:r w:rsidRPr="00AB6D25">
        <w:rPr>
          <w:rFonts w:ascii="Book Antiqua" w:hAnsi="Book Antiqua" w:cs="Times New Roman"/>
          <w:b/>
          <w:bCs/>
          <w:sz w:val="24"/>
          <w:szCs w:val="24"/>
        </w:rPr>
        <w:t>Submitted by: Mandela Foundation for Rights and Democracy</w:t>
      </w:r>
      <w:r w:rsidR="008679B6" w:rsidRPr="00AB6D25">
        <w:rPr>
          <w:rFonts w:ascii="Book Antiqua" w:hAnsi="Book Antiqua" w:cs="Times New Roman"/>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260790</wp:posOffset>
                </wp:positionV>
                <wp:extent cx="6304182"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63041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539B3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0.55pt" to="496.4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" strokecolor="black [3200]" strokeweight=".5pt">
                <v:stroke joinstyle="miter"/>
              </v:line>
            </w:pict>
          </mc:Fallback>
        </mc:AlternateContent>
      </w:r>
    </w:p>
    <w:p w:rsidR="008679B6" w:rsidRPr="00AB6D25" w:rsidRDefault="008679B6"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Introduction</w:t>
      </w:r>
    </w:p>
    <w:p w:rsidR="008679B6" w:rsidRPr="00AB6D25" w:rsidRDefault="008679B6" w:rsidP="00AB6D25">
      <w:pPr>
        <w:jc w:val="both"/>
        <w:rPr>
          <w:rFonts w:ascii="Book Antiqua" w:hAnsi="Book Antiqua" w:cs="Times New Roman"/>
          <w:sz w:val="24"/>
          <w:szCs w:val="24"/>
        </w:rPr>
      </w:pPr>
      <w:r w:rsidRPr="00AB6D25">
        <w:rPr>
          <w:rFonts w:ascii="Book Antiqua" w:hAnsi="Book Antiqua" w:cs="Times New Roman"/>
          <w:sz w:val="24"/>
          <w:szCs w:val="24"/>
        </w:rPr>
        <w:t xml:space="preserve">According to official statistics issued by the Central Agency for Public Mobilization and Statistics (CAPMAS), the number of children in Egypt is about 40 million, equivalent to about 37.7 % of the total population. This means that more than a third of Egyptians are in childhood. This statistic imposes additional obligations on the Egyptian government to increase programs dedicated to protecting children and guaranteeing their rights contained in the Convention on the Rights of the Child (CRC). </w:t>
      </w:r>
      <w:r w:rsidR="003C40A2" w:rsidRPr="00AB6D25">
        <w:rPr>
          <w:rFonts w:ascii="Book Antiqua" w:hAnsi="Book Antiqua" w:cs="Times New Roman"/>
          <w:sz w:val="24"/>
          <w:szCs w:val="24"/>
        </w:rPr>
        <w:t xml:space="preserve">Indeed, Mandela Foundation noted that over the past years, the Egyptian government has </w:t>
      </w:r>
      <w:r w:rsidR="0056162A" w:rsidRPr="00AB6D25">
        <w:rPr>
          <w:rFonts w:ascii="Book Antiqua" w:hAnsi="Book Antiqua" w:cs="Times New Roman"/>
          <w:sz w:val="24"/>
          <w:szCs w:val="24"/>
        </w:rPr>
        <w:t>implemented</w:t>
      </w:r>
      <w:r w:rsidR="003C40A2" w:rsidRPr="00AB6D25">
        <w:rPr>
          <w:rFonts w:ascii="Book Antiqua" w:hAnsi="Book Antiqua" w:cs="Times New Roman"/>
          <w:sz w:val="24"/>
          <w:szCs w:val="24"/>
        </w:rPr>
        <w:t xml:space="preserve"> a range of legislative and executive measures, policies and programs aimed at ensuring </w:t>
      </w:r>
      <w:r w:rsidR="0056162A" w:rsidRPr="00AB6D25">
        <w:rPr>
          <w:rFonts w:ascii="Book Antiqua" w:hAnsi="Book Antiqua" w:cs="Times New Roman"/>
          <w:sz w:val="24"/>
          <w:szCs w:val="24"/>
        </w:rPr>
        <w:t>the children’s enjoyment of</w:t>
      </w:r>
      <w:r w:rsidR="003C40A2" w:rsidRPr="00AB6D25">
        <w:rPr>
          <w:rFonts w:ascii="Book Antiqua" w:hAnsi="Book Antiqua" w:cs="Times New Roman"/>
          <w:sz w:val="24"/>
          <w:szCs w:val="24"/>
        </w:rPr>
        <w:t xml:space="preserve"> the rights </w:t>
      </w:r>
      <w:r w:rsidR="0056162A" w:rsidRPr="00AB6D25">
        <w:rPr>
          <w:rFonts w:ascii="Book Antiqua" w:hAnsi="Book Antiqua" w:cs="Times New Roman"/>
          <w:sz w:val="24"/>
          <w:szCs w:val="24"/>
        </w:rPr>
        <w:t>outlined</w:t>
      </w:r>
      <w:r w:rsidR="003C40A2" w:rsidRPr="00AB6D25">
        <w:rPr>
          <w:rFonts w:ascii="Book Antiqua" w:hAnsi="Book Antiqua" w:cs="Times New Roman"/>
          <w:sz w:val="24"/>
          <w:szCs w:val="24"/>
        </w:rPr>
        <w:t xml:space="preserve"> in the </w:t>
      </w:r>
      <w:r w:rsidR="0056162A" w:rsidRPr="00AB6D25">
        <w:rPr>
          <w:rFonts w:ascii="Book Antiqua" w:hAnsi="Book Antiqua" w:cs="Times New Roman"/>
          <w:sz w:val="24"/>
          <w:szCs w:val="24"/>
        </w:rPr>
        <w:t>UN</w:t>
      </w:r>
      <w:r w:rsidRPr="00AB6D25">
        <w:rPr>
          <w:rFonts w:ascii="Book Antiqua" w:hAnsi="Book Antiqua" w:cs="Times New Roman"/>
          <w:sz w:val="24"/>
          <w:szCs w:val="24"/>
        </w:rPr>
        <w:t xml:space="preserve"> Convention on the Rights of the Child</w:t>
      </w:r>
      <w:r w:rsidR="003C40A2" w:rsidRPr="00AB6D25">
        <w:rPr>
          <w:rFonts w:ascii="Book Antiqua" w:hAnsi="Book Antiqua" w:cs="Times New Roman"/>
          <w:sz w:val="24"/>
          <w:szCs w:val="24"/>
        </w:rPr>
        <w:t xml:space="preserve"> (UNCRC)</w:t>
      </w:r>
      <w:r w:rsidR="0056162A" w:rsidRPr="00AB6D25">
        <w:rPr>
          <w:rFonts w:ascii="Book Antiqua" w:hAnsi="Book Antiqua" w:cs="Times New Roman"/>
          <w:sz w:val="24"/>
          <w:szCs w:val="24"/>
        </w:rPr>
        <w:t>.</w:t>
      </w:r>
      <w:r w:rsidRPr="00AB6D25">
        <w:rPr>
          <w:rFonts w:ascii="Book Antiqua" w:hAnsi="Book Antiqua" w:cs="Times New Roman"/>
          <w:sz w:val="24"/>
          <w:szCs w:val="24"/>
        </w:rPr>
        <w:t xml:space="preserve"> </w:t>
      </w:r>
      <w:r w:rsidR="0056162A" w:rsidRPr="00AB6D25">
        <w:rPr>
          <w:rFonts w:ascii="Book Antiqua" w:hAnsi="Book Antiqua" w:cs="Times New Roman"/>
          <w:sz w:val="24"/>
          <w:szCs w:val="24"/>
        </w:rPr>
        <w:t>These include</w:t>
      </w:r>
      <w:r w:rsidRPr="00AB6D25">
        <w:rPr>
          <w:rFonts w:ascii="Book Antiqua" w:hAnsi="Book Antiqua" w:cs="Times New Roman"/>
          <w:sz w:val="24"/>
          <w:szCs w:val="24"/>
        </w:rPr>
        <w:t xml:space="preserve"> the right to a nationality, the right to Protection from violence and economic exploit</w:t>
      </w:r>
      <w:r w:rsidR="003C40A2" w:rsidRPr="00AB6D25">
        <w:rPr>
          <w:rFonts w:ascii="Book Antiqua" w:hAnsi="Book Antiqua" w:cs="Times New Roman"/>
          <w:sz w:val="24"/>
          <w:szCs w:val="24"/>
        </w:rPr>
        <w:t xml:space="preserve">ation, </w:t>
      </w:r>
      <w:r w:rsidR="0056162A" w:rsidRPr="00AB6D25">
        <w:rPr>
          <w:rFonts w:ascii="Book Antiqua" w:hAnsi="Book Antiqua" w:cs="Times New Roman"/>
          <w:sz w:val="24"/>
          <w:szCs w:val="24"/>
        </w:rPr>
        <w:t>access to health care,</w:t>
      </w:r>
      <w:r w:rsidRPr="00AB6D25">
        <w:rPr>
          <w:rFonts w:ascii="Book Antiqua" w:hAnsi="Book Antiqua" w:cs="Times New Roman"/>
          <w:sz w:val="24"/>
          <w:szCs w:val="24"/>
        </w:rPr>
        <w:t xml:space="preserve"> protection from harmful </w:t>
      </w:r>
      <w:r w:rsidR="0056162A" w:rsidRPr="00AB6D25">
        <w:rPr>
          <w:rFonts w:ascii="Book Antiqua" w:hAnsi="Book Antiqua" w:cs="Times New Roman"/>
          <w:sz w:val="24"/>
          <w:szCs w:val="24"/>
        </w:rPr>
        <w:t xml:space="preserve">substances and </w:t>
      </w:r>
      <w:r w:rsidRPr="00AB6D25">
        <w:rPr>
          <w:rFonts w:ascii="Book Antiqua" w:hAnsi="Book Antiqua" w:cs="Times New Roman"/>
          <w:sz w:val="24"/>
          <w:szCs w:val="24"/>
        </w:rPr>
        <w:t>drugs</w:t>
      </w:r>
      <w:r w:rsidR="0056162A" w:rsidRPr="00AB6D25">
        <w:rPr>
          <w:rFonts w:ascii="Book Antiqua" w:hAnsi="Book Antiqua" w:cs="Times New Roman"/>
          <w:sz w:val="24"/>
          <w:szCs w:val="24"/>
        </w:rPr>
        <w:t>,</w:t>
      </w:r>
      <w:r w:rsidRPr="00AB6D25">
        <w:rPr>
          <w:rFonts w:ascii="Book Antiqua" w:hAnsi="Book Antiqua" w:cs="Times New Roman"/>
          <w:sz w:val="24"/>
          <w:szCs w:val="24"/>
        </w:rPr>
        <w:t xml:space="preserve"> </w:t>
      </w:r>
      <w:r w:rsidR="003C40A2" w:rsidRPr="00AB6D25">
        <w:rPr>
          <w:rFonts w:ascii="Book Antiqua" w:hAnsi="Book Antiqua" w:cs="Times New Roman"/>
          <w:sz w:val="24"/>
          <w:szCs w:val="24"/>
        </w:rPr>
        <w:t>as well as enhancing criminal justice for children and the rights of street children.</w:t>
      </w:r>
      <w:r w:rsidRPr="00AB6D25">
        <w:rPr>
          <w:rFonts w:ascii="Book Antiqua" w:hAnsi="Book Antiqua" w:cs="Times New Roman"/>
          <w:sz w:val="24"/>
          <w:szCs w:val="24"/>
        </w:rPr>
        <w:t xml:space="preserve"> However, the Egyptian government still has a long way to go in advancing and implementing children’s rights, and the Egyptian government must still make further efforts to confront the fundamental challenges and phenomena that threaten the enjoyment by a wide range of children in Egypt of their human rights stipulated in the Convention. </w:t>
      </w:r>
      <w:r w:rsidR="00C278C6" w:rsidRPr="00AB6D25">
        <w:rPr>
          <w:rFonts w:ascii="Book Antiqua" w:hAnsi="Book Antiqua" w:cs="Times New Roman"/>
          <w:sz w:val="24"/>
          <w:szCs w:val="24"/>
        </w:rPr>
        <w:t>Consequently</w:t>
      </w:r>
      <w:r w:rsidRPr="00AB6D25">
        <w:rPr>
          <w:rFonts w:ascii="Book Antiqua" w:hAnsi="Book Antiqua" w:cs="Times New Roman"/>
          <w:sz w:val="24"/>
          <w:szCs w:val="24"/>
        </w:rPr>
        <w:t xml:space="preserve">, Mandela Foundation submits </w:t>
      </w:r>
      <w:r w:rsidR="00C278C6" w:rsidRPr="00AB6D25">
        <w:rPr>
          <w:rFonts w:ascii="Book Antiqua" w:hAnsi="Book Antiqua" w:cs="Times New Roman"/>
          <w:sz w:val="24"/>
          <w:szCs w:val="24"/>
        </w:rPr>
        <w:t>this report to the Committee on the Rights of the Child regarding the review of the Arab Republic of Egypt before the Committee at its 96th session, in order to examine the progress made by the State party in implementing the provisions of the Convention.</w:t>
      </w:r>
    </w:p>
    <w:p w:rsidR="00C278C6" w:rsidRPr="00AB6D25" w:rsidRDefault="00C278C6"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First: name and nationality</w:t>
      </w:r>
    </w:p>
    <w:p w:rsidR="000D6058" w:rsidRPr="00AB6D25" w:rsidRDefault="00C278C6" w:rsidP="00AB6D25">
      <w:pPr>
        <w:jc w:val="both"/>
        <w:rPr>
          <w:rFonts w:ascii="Book Antiqua" w:hAnsi="Book Antiqua" w:cs="Times New Roman"/>
          <w:sz w:val="24"/>
          <w:szCs w:val="24"/>
        </w:rPr>
      </w:pPr>
      <w:r w:rsidRPr="00AB6D25">
        <w:rPr>
          <w:rFonts w:ascii="Book Antiqua" w:hAnsi="Book Antiqua" w:cs="Times New Roman"/>
          <w:sz w:val="24"/>
          <w:szCs w:val="24"/>
        </w:rPr>
        <w:t xml:space="preserve">Article Seven of the </w:t>
      </w:r>
      <w:r w:rsidR="00F73CFE" w:rsidRPr="00AB6D25">
        <w:rPr>
          <w:rFonts w:ascii="Book Antiqua" w:hAnsi="Book Antiqua" w:cs="Times New Roman"/>
          <w:sz w:val="24"/>
          <w:szCs w:val="24"/>
        </w:rPr>
        <w:t xml:space="preserve">CRC </w:t>
      </w:r>
      <w:r w:rsidR="00D52547" w:rsidRPr="00AB6D25">
        <w:rPr>
          <w:rFonts w:ascii="Book Antiqua" w:hAnsi="Book Antiqua" w:cs="Times New Roman"/>
          <w:sz w:val="24"/>
          <w:szCs w:val="24"/>
        </w:rPr>
        <w:t>obliges states parties to ensure that children are registered immediately</w:t>
      </w:r>
      <w:r w:rsidRPr="00AB6D25">
        <w:rPr>
          <w:rFonts w:ascii="Book Antiqua" w:hAnsi="Book Antiqua" w:cs="Times New Roman"/>
          <w:sz w:val="24"/>
          <w:szCs w:val="24"/>
        </w:rPr>
        <w:t xml:space="preserve"> after their birth, and to grant every child the right to acquire a name and nationality. In this context, </w:t>
      </w:r>
      <w:r w:rsidR="00F73CFE" w:rsidRPr="00AB6D25">
        <w:rPr>
          <w:rFonts w:ascii="Book Antiqua" w:hAnsi="Book Antiqua" w:cs="Times New Roman"/>
          <w:sz w:val="24"/>
          <w:szCs w:val="24"/>
        </w:rPr>
        <w:t xml:space="preserve">the </w:t>
      </w:r>
      <w:r w:rsidRPr="00AB6D25">
        <w:rPr>
          <w:rFonts w:ascii="Book Antiqua" w:hAnsi="Book Antiqua" w:cs="Times New Roman"/>
          <w:sz w:val="24"/>
          <w:szCs w:val="24"/>
        </w:rPr>
        <w:t xml:space="preserve">Mandela Foundation notes that the constitutional and legislative framework in Egypt has granted children born to an </w:t>
      </w:r>
      <w:r w:rsidR="000D6058" w:rsidRPr="00AB6D25">
        <w:rPr>
          <w:rFonts w:ascii="Book Antiqua" w:hAnsi="Book Antiqua" w:cs="Times New Roman"/>
          <w:sz w:val="24"/>
          <w:szCs w:val="24"/>
        </w:rPr>
        <w:t>Egyptian parent</w:t>
      </w:r>
      <w:r w:rsidRPr="00AB6D25">
        <w:rPr>
          <w:rFonts w:ascii="Book Antiqua" w:hAnsi="Book Antiqua" w:cs="Times New Roman"/>
          <w:sz w:val="24"/>
          <w:szCs w:val="24"/>
        </w:rPr>
        <w:t xml:space="preserve"> and children of unknown parentage the right to obtain a name and acquire Egyptian nationality, </w:t>
      </w:r>
      <w:r w:rsidR="00D52547" w:rsidRPr="00AB6D25">
        <w:rPr>
          <w:rFonts w:ascii="Book Antiqua" w:hAnsi="Book Antiqua" w:cs="Times New Roman"/>
          <w:sz w:val="24"/>
          <w:szCs w:val="24"/>
        </w:rPr>
        <w:t>in accordance with the State party's obligations under Article 7 of the Convention</w:t>
      </w:r>
      <w:r w:rsidRPr="00AB6D25">
        <w:rPr>
          <w:rFonts w:ascii="Book Antiqua" w:hAnsi="Book Antiqua" w:cs="Times New Roman"/>
          <w:sz w:val="24"/>
          <w:szCs w:val="24"/>
        </w:rPr>
        <w:t xml:space="preserve">. </w:t>
      </w:r>
      <w:r w:rsidR="00D52547" w:rsidRPr="00AB6D25">
        <w:rPr>
          <w:rFonts w:ascii="Book Antiqua" w:hAnsi="Book Antiqua" w:cs="Times New Roman"/>
          <w:sz w:val="24"/>
          <w:szCs w:val="24"/>
        </w:rPr>
        <w:t xml:space="preserve">In the same context, upon reviewing the provisions of the Egyptian constitution and law, the Mandela Foundation found that the Egyptian constitution </w:t>
      </w:r>
      <w:r w:rsidR="00D52547" w:rsidRPr="00AB6D25">
        <w:rPr>
          <w:rFonts w:ascii="Book Antiqua" w:hAnsi="Book Antiqua" w:cs="Times New Roman"/>
          <w:sz w:val="24"/>
          <w:szCs w:val="24"/>
        </w:rPr>
        <w:lastRenderedPageBreak/>
        <w:t>stipulates in Articles 80 and 6 that "every child has the right to a name and identity papers" and that "nationality is</w:t>
      </w:r>
      <w:r w:rsidRPr="00AB6D25">
        <w:rPr>
          <w:rFonts w:ascii="Book Antiqua" w:hAnsi="Book Antiqua" w:cs="Times New Roman"/>
          <w:sz w:val="24"/>
          <w:szCs w:val="24"/>
        </w:rPr>
        <w:t xml:space="preserve"> a right </w:t>
      </w:r>
      <w:r w:rsidR="00736530" w:rsidRPr="00AB6D25">
        <w:rPr>
          <w:rFonts w:ascii="Book Antiqua" w:hAnsi="Book Antiqua" w:cs="Times New Roman"/>
          <w:sz w:val="24"/>
          <w:szCs w:val="24"/>
        </w:rPr>
        <w:t>to all individuals born to an Egyptian parent.”</w:t>
      </w:r>
      <w:r w:rsidRPr="00AB6D25">
        <w:rPr>
          <w:rFonts w:ascii="Book Antiqua" w:hAnsi="Book Antiqua" w:cs="Times New Roman"/>
          <w:sz w:val="24"/>
          <w:szCs w:val="24"/>
        </w:rPr>
        <w:t xml:space="preserve"> </w:t>
      </w:r>
      <w:r w:rsidR="00736530" w:rsidRPr="00AB6D25">
        <w:rPr>
          <w:rFonts w:ascii="Book Antiqua" w:hAnsi="Book Antiqua" w:cs="Times New Roman"/>
          <w:sz w:val="24"/>
          <w:szCs w:val="24"/>
        </w:rPr>
        <w:t>This has been affirmed in Egyptian laws</w:t>
      </w:r>
      <w:r w:rsidRPr="00AB6D25">
        <w:rPr>
          <w:rFonts w:ascii="Book Antiqua" w:hAnsi="Book Antiqua" w:cs="Times New Roman"/>
          <w:sz w:val="24"/>
          <w:szCs w:val="24"/>
        </w:rPr>
        <w:t xml:space="preserve">, especially the Children’s Law and the Nationality Law, where the Children’s Law stipulates in Articles (4, 5, and 20) that “Every child has the right to have a name that distinguishes him and </w:t>
      </w:r>
      <w:r w:rsidR="00736530" w:rsidRPr="00AB6D25">
        <w:rPr>
          <w:rFonts w:ascii="Book Antiqua" w:hAnsi="Book Antiqua" w:cs="Times New Roman"/>
          <w:sz w:val="24"/>
          <w:szCs w:val="24"/>
        </w:rPr>
        <w:t>to be registered at birth in</w:t>
      </w:r>
      <w:r w:rsidR="00F73CFE" w:rsidRPr="00AB6D25">
        <w:rPr>
          <w:rFonts w:ascii="Book Antiqua" w:hAnsi="Book Antiqua" w:cs="Times New Roman"/>
          <w:sz w:val="24"/>
          <w:szCs w:val="24"/>
        </w:rPr>
        <w:t xml:space="preserve"> the</w:t>
      </w:r>
      <w:r w:rsidR="00736530" w:rsidRPr="00AB6D25">
        <w:rPr>
          <w:rFonts w:ascii="Book Antiqua" w:hAnsi="Book Antiqua" w:cs="Times New Roman"/>
          <w:sz w:val="24"/>
          <w:szCs w:val="24"/>
        </w:rPr>
        <w:t xml:space="preserve"> </w:t>
      </w:r>
      <w:r w:rsidR="009E200B" w:rsidRPr="00AB6D25">
        <w:rPr>
          <w:rFonts w:ascii="Book Antiqua" w:hAnsi="Book Antiqua" w:cs="Times New Roman"/>
          <w:sz w:val="24"/>
          <w:szCs w:val="24"/>
        </w:rPr>
        <w:t>birth registry</w:t>
      </w:r>
      <w:r w:rsidRPr="00AB6D25">
        <w:rPr>
          <w:rFonts w:ascii="Book Antiqua" w:hAnsi="Book Antiqua" w:cs="Times New Roman"/>
          <w:sz w:val="24"/>
          <w:szCs w:val="24"/>
        </w:rPr>
        <w:t xml:space="preserve">. </w:t>
      </w:r>
      <w:r w:rsidR="009E200B" w:rsidRPr="00AB6D25">
        <w:rPr>
          <w:rFonts w:ascii="Book Antiqua" w:hAnsi="Book Antiqua" w:cs="Times New Roman"/>
          <w:sz w:val="24"/>
          <w:szCs w:val="24"/>
        </w:rPr>
        <w:t>The child's name may not be derogatory or insulting to the child's dignity or contrary to religious beliefs</w:t>
      </w:r>
      <w:r w:rsidRPr="00AB6D25">
        <w:rPr>
          <w:rFonts w:ascii="Book Antiqua" w:hAnsi="Book Antiqua" w:cs="Times New Roman"/>
          <w:sz w:val="24"/>
          <w:szCs w:val="24"/>
        </w:rPr>
        <w:t xml:space="preserve">.” The Egyptian Nationality Law No. 26 of 1975 was amended by Law No. 154 of 2004, which stipulated in Articles </w:t>
      </w:r>
      <w:r w:rsidR="00F73CFE" w:rsidRPr="00AB6D25">
        <w:rPr>
          <w:rFonts w:ascii="Book Antiqua" w:hAnsi="Book Antiqua" w:cs="Times New Roman"/>
          <w:sz w:val="24"/>
          <w:szCs w:val="24"/>
        </w:rPr>
        <w:t>2 &amp; 3</w:t>
      </w:r>
      <w:r w:rsidRPr="00AB6D25">
        <w:rPr>
          <w:rFonts w:ascii="Book Antiqua" w:hAnsi="Book Antiqua" w:cs="Times New Roman"/>
          <w:sz w:val="24"/>
          <w:szCs w:val="24"/>
        </w:rPr>
        <w:t xml:space="preserve"> that </w:t>
      </w:r>
      <w:r w:rsidR="00F73CFE" w:rsidRPr="00AB6D25">
        <w:rPr>
          <w:rFonts w:ascii="Book Antiqua" w:hAnsi="Book Antiqua" w:cs="Times New Roman"/>
          <w:sz w:val="24"/>
          <w:szCs w:val="24"/>
        </w:rPr>
        <w:t>Egyptian nationality is granted to anyone born to</w:t>
      </w:r>
      <w:r w:rsidRPr="00AB6D25">
        <w:rPr>
          <w:rFonts w:ascii="Book Antiqua" w:hAnsi="Book Antiqua" w:cs="Times New Roman"/>
          <w:sz w:val="24"/>
          <w:szCs w:val="24"/>
        </w:rPr>
        <w:t xml:space="preserve"> an Egyptian father, an Egyptian mother, or </w:t>
      </w:r>
      <w:r w:rsidR="00F73CFE" w:rsidRPr="00AB6D25">
        <w:rPr>
          <w:rFonts w:ascii="Book Antiqua" w:hAnsi="Book Antiqua" w:cs="Times New Roman"/>
          <w:sz w:val="24"/>
          <w:szCs w:val="24"/>
        </w:rPr>
        <w:t xml:space="preserve">born </w:t>
      </w:r>
      <w:r w:rsidR="009E200B" w:rsidRPr="00AB6D25">
        <w:rPr>
          <w:rFonts w:ascii="Book Antiqua" w:hAnsi="Book Antiqua" w:cs="Times New Roman"/>
          <w:sz w:val="24"/>
          <w:szCs w:val="24"/>
        </w:rPr>
        <w:t>within Egypt to unknown parents</w:t>
      </w:r>
      <w:r w:rsidR="00F73CFE" w:rsidRPr="00AB6D25">
        <w:rPr>
          <w:rFonts w:ascii="Book Antiqua" w:hAnsi="Book Antiqua" w:cs="Times New Roman"/>
          <w:sz w:val="24"/>
          <w:szCs w:val="24"/>
        </w:rPr>
        <w:t>. T</w:t>
      </w:r>
      <w:r w:rsidRPr="00AB6D25">
        <w:rPr>
          <w:rFonts w:ascii="Book Antiqua" w:hAnsi="Book Antiqua" w:cs="Times New Roman"/>
          <w:sz w:val="24"/>
          <w:szCs w:val="24"/>
        </w:rPr>
        <w:t xml:space="preserve">herefore, under these two articles, </w:t>
      </w:r>
      <w:r w:rsidR="009E200B" w:rsidRPr="00AB6D25">
        <w:rPr>
          <w:rFonts w:ascii="Book Antiqua" w:hAnsi="Book Antiqua" w:cs="Times New Roman"/>
          <w:sz w:val="24"/>
          <w:szCs w:val="24"/>
        </w:rPr>
        <w:t>Egyptian law has granted equal rights to parents in granting nationality to their children, with Egyptian mothers now empowered to confer nationality to children born to foreign fathers, a privilege previously exclusive to Egyptian fathers</w:t>
      </w:r>
      <w:r w:rsidR="00F73CFE" w:rsidRPr="00AB6D25">
        <w:rPr>
          <w:rStyle w:val="FootnoteReference"/>
          <w:rFonts w:ascii="Book Antiqua" w:hAnsi="Book Antiqua" w:cs="Times New Roman"/>
          <w:sz w:val="24"/>
          <w:szCs w:val="24"/>
        </w:rPr>
        <w:footnoteReference w:id="1"/>
      </w:r>
      <w:r w:rsidR="009E200B" w:rsidRPr="00AB6D25">
        <w:rPr>
          <w:rFonts w:ascii="Book Antiqua" w:hAnsi="Book Antiqua" w:cs="Times New Roman"/>
          <w:sz w:val="24"/>
          <w:szCs w:val="24"/>
        </w:rPr>
        <w:t>.</w:t>
      </w:r>
    </w:p>
    <w:p w:rsidR="000B46EB" w:rsidRPr="00AB6D25" w:rsidRDefault="000D6058" w:rsidP="00AB6D25">
      <w:pPr>
        <w:jc w:val="both"/>
        <w:rPr>
          <w:rFonts w:ascii="Book Antiqua" w:hAnsi="Book Antiqua" w:cs="Times New Roman"/>
          <w:sz w:val="24"/>
          <w:szCs w:val="24"/>
        </w:rPr>
      </w:pPr>
      <w:r w:rsidRPr="00AB6D25">
        <w:rPr>
          <w:rFonts w:ascii="Book Antiqua" w:hAnsi="Book Antiqua" w:cs="Times New Roman"/>
          <w:sz w:val="24"/>
          <w:szCs w:val="24"/>
        </w:rPr>
        <w:t>Egyptian legislative efforts that seek to achieve full gender equality in granting Egyptian citi</w:t>
      </w:r>
      <w:r w:rsidR="000B46EB" w:rsidRPr="00AB6D25">
        <w:rPr>
          <w:rFonts w:ascii="Book Antiqua" w:hAnsi="Book Antiqua" w:cs="Times New Roman"/>
          <w:sz w:val="24"/>
          <w:szCs w:val="24"/>
        </w:rPr>
        <w:t>zenship to children continued. A</w:t>
      </w:r>
      <w:r w:rsidRPr="00AB6D25">
        <w:rPr>
          <w:rFonts w:ascii="Book Antiqua" w:hAnsi="Book Antiqua" w:cs="Times New Roman"/>
          <w:sz w:val="24"/>
          <w:szCs w:val="24"/>
        </w:rPr>
        <w:t>s the Egyptian House of Representatives approved on 2 May 2023, an amendment to Article 6 of the Egyptian Nationality Law No. 26 of 1975 to grant the children of Egyptian women the right to obtain Egyptian nationality similar to the right granted by the law to the children of Egyptian men by naturalization.</w:t>
      </w:r>
      <w:r w:rsidR="00F74D45" w:rsidRPr="00AB6D25">
        <w:rPr>
          <w:rFonts w:ascii="Book Antiqua" w:hAnsi="Book Antiqua" w:cs="Times New Roman"/>
          <w:sz w:val="24"/>
          <w:szCs w:val="24"/>
        </w:rPr>
        <w:t xml:space="preserve"> </w:t>
      </w:r>
      <w:r w:rsidR="000B46EB" w:rsidRPr="00AB6D25">
        <w:rPr>
          <w:rFonts w:ascii="Book Antiqua" w:hAnsi="Book Antiqua" w:cs="Times New Roman"/>
          <w:sz w:val="24"/>
          <w:szCs w:val="24"/>
        </w:rPr>
        <w:t>The amendments were made in response to the Constitutional Court's ruling declaring the unconstitutionality of the second paragraph of Article (6) of the amended law</w:t>
      </w:r>
      <w:r w:rsidR="00F74D45" w:rsidRPr="00AB6D25">
        <w:rPr>
          <w:rFonts w:ascii="Book Antiqua" w:hAnsi="Book Antiqua" w:cs="Times New Roman"/>
          <w:sz w:val="24"/>
          <w:szCs w:val="24"/>
        </w:rPr>
        <w:t>. The changes now allow minor children to obtain Egyptian nationality through their father, regardless of the mother's nationality</w:t>
      </w:r>
      <w:r w:rsidR="000B46EB" w:rsidRPr="00AB6D25">
        <w:rPr>
          <w:rStyle w:val="FootnoteReference"/>
          <w:rFonts w:ascii="Book Antiqua" w:hAnsi="Book Antiqua" w:cs="Times New Roman"/>
          <w:sz w:val="24"/>
          <w:szCs w:val="24"/>
        </w:rPr>
        <w:footnoteReference w:id="2"/>
      </w:r>
      <w:r w:rsidR="00F74D45" w:rsidRPr="00AB6D25">
        <w:rPr>
          <w:rFonts w:ascii="Book Antiqua" w:hAnsi="Book Antiqua" w:cs="Times New Roman"/>
          <w:sz w:val="24"/>
          <w:szCs w:val="24"/>
        </w:rPr>
        <w:t>.</w:t>
      </w:r>
    </w:p>
    <w:p w:rsidR="000B46EB" w:rsidRPr="00AB6D25" w:rsidRDefault="000B46EB"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Second: Children with disabilities</w:t>
      </w:r>
    </w:p>
    <w:p w:rsidR="000B46EB" w:rsidRPr="00AB6D25" w:rsidRDefault="000B46EB" w:rsidP="00AB6D25">
      <w:pPr>
        <w:jc w:val="both"/>
        <w:rPr>
          <w:rFonts w:ascii="Book Antiqua" w:hAnsi="Book Antiqua" w:cs="Times New Roman"/>
          <w:sz w:val="24"/>
          <w:szCs w:val="24"/>
        </w:rPr>
      </w:pPr>
      <w:r w:rsidRPr="00AB6D25">
        <w:rPr>
          <w:rFonts w:ascii="Book Antiqua" w:hAnsi="Book Antiqua" w:cs="Times New Roman"/>
          <w:sz w:val="24"/>
          <w:szCs w:val="24"/>
        </w:rPr>
        <w:t>Article 23 of the Convention obliges states parties to work to ensure the best possible life for children with disabilities in society, removing barriers to their active participation and guaranteeing their access to education, training, and healthcare services.</w:t>
      </w:r>
    </w:p>
    <w:p w:rsidR="00110254" w:rsidRPr="00AB6D25" w:rsidRDefault="00B95534" w:rsidP="00AB6D25">
      <w:pPr>
        <w:jc w:val="both"/>
        <w:rPr>
          <w:rFonts w:ascii="Book Antiqua" w:hAnsi="Book Antiqua" w:cs="Times New Roman"/>
          <w:sz w:val="24"/>
          <w:szCs w:val="24"/>
        </w:rPr>
      </w:pPr>
      <w:r w:rsidRPr="00AB6D25">
        <w:rPr>
          <w:rFonts w:ascii="Book Antiqua" w:hAnsi="Book Antiqua" w:cs="Times New Roman"/>
          <w:sz w:val="24"/>
          <w:szCs w:val="24"/>
        </w:rPr>
        <w:t>Mandela Foundation noted that the Egyptian government has made commendable efforts at the legislative and executive levels to ensure that children with disabilities in Egypt enjoy the rights stipulated in the Convention. In this context, the Egyptian Constitution, in Articles 80 and 81, guarantees the protection and promotion of the rights of those children, their rehabilitation, and their integration into society.</w:t>
      </w:r>
      <w:r w:rsidR="000B46EB" w:rsidRPr="00AB6D25">
        <w:rPr>
          <w:rFonts w:ascii="Book Antiqua" w:hAnsi="Book Antiqua" w:cs="Times New Roman"/>
          <w:sz w:val="24"/>
          <w:szCs w:val="24"/>
        </w:rPr>
        <w:t xml:space="preserve"> </w:t>
      </w:r>
      <w:r w:rsidRPr="00AB6D25">
        <w:rPr>
          <w:rFonts w:ascii="Book Antiqua" w:hAnsi="Book Antiqua" w:cs="Times New Roman"/>
          <w:sz w:val="24"/>
          <w:szCs w:val="24"/>
        </w:rPr>
        <w:t>The Egyptian authorities issued Law No. 10 of 2018 on Persons with Disabilities, which includes a number of commitments and general principles aimed at achieving the best interests of children with disabilities, ensuring their enjoyment of a wide range of rights stipulated in the CRC, especially the right to maintain their identity and express their opinions freely on all matters that affect them.</w:t>
      </w:r>
      <w:r w:rsidR="000B46EB" w:rsidRPr="00AB6D25">
        <w:rPr>
          <w:rFonts w:ascii="Book Antiqua" w:hAnsi="Book Antiqua" w:cs="Times New Roman"/>
          <w:sz w:val="24"/>
          <w:szCs w:val="24"/>
        </w:rPr>
        <w:t xml:space="preserve"> </w:t>
      </w:r>
      <w:r w:rsidRPr="00AB6D25">
        <w:rPr>
          <w:rFonts w:ascii="Book Antiqua" w:hAnsi="Book Antiqua" w:cs="Times New Roman"/>
          <w:sz w:val="24"/>
          <w:szCs w:val="24"/>
        </w:rPr>
        <w:t>In addition, the Egyptian government introduced Law No. 200 of 2020 to create the “Able to Differently</w:t>
      </w:r>
      <w:r w:rsidR="00110254" w:rsidRPr="00AB6D25">
        <w:rPr>
          <w:rFonts w:ascii="Book Antiqua" w:hAnsi="Book Antiqua" w:cs="Times New Roman"/>
          <w:sz w:val="24"/>
          <w:szCs w:val="24"/>
        </w:rPr>
        <w:t>”</w:t>
      </w:r>
      <w:r w:rsidRPr="00AB6D25">
        <w:rPr>
          <w:rFonts w:ascii="Book Antiqua" w:hAnsi="Book Antiqua" w:cs="Times New Roman"/>
          <w:sz w:val="24"/>
          <w:szCs w:val="24"/>
        </w:rPr>
        <w:t xml:space="preserve"> Fund, which aims to assist individuals, including children, with disabilities by offering essential care and support services in </w:t>
      </w:r>
      <w:r w:rsidRPr="00AB6D25">
        <w:rPr>
          <w:rFonts w:ascii="Book Antiqua" w:hAnsi="Book Antiqua" w:cs="Times New Roman"/>
          <w:sz w:val="24"/>
          <w:szCs w:val="24"/>
        </w:rPr>
        <w:lastRenderedPageBreak/>
        <w:t>various areas. This fund received backing through Law No. 161 of 2023 in August 2023 with an initial allocation of one billion pounds, and later on February 28, 2024</w:t>
      </w:r>
      <w:r w:rsidR="0041646D" w:rsidRPr="00AB6D25">
        <w:rPr>
          <w:rStyle w:val="FootnoteReference"/>
          <w:rFonts w:ascii="Book Antiqua" w:hAnsi="Book Antiqua" w:cs="Times New Roman"/>
          <w:sz w:val="24"/>
          <w:szCs w:val="24"/>
        </w:rPr>
        <w:footnoteReference w:id="3"/>
      </w:r>
      <w:r w:rsidRPr="00AB6D25">
        <w:rPr>
          <w:rFonts w:ascii="Book Antiqua" w:hAnsi="Book Antiqua" w:cs="Times New Roman"/>
          <w:sz w:val="24"/>
          <w:szCs w:val="24"/>
        </w:rPr>
        <w:t>, it was further supported with 10 billion pounds</w:t>
      </w:r>
      <w:r w:rsidR="0041646D" w:rsidRPr="00AB6D25">
        <w:rPr>
          <w:rStyle w:val="FootnoteReference"/>
          <w:rFonts w:ascii="Book Antiqua" w:hAnsi="Book Antiqua" w:cs="Times New Roman"/>
          <w:sz w:val="24"/>
          <w:szCs w:val="24"/>
        </w:rPr>
        <w:footnoteReference w:id="4"/>
      </w:r>
      <w:r w:rsidRPr="00AB6D25">
        <w:rPr>
          <w:rFonts w:ascii="Book Antiqua" w:hAnsi="Book Antiqua" w:cs="Times New Roman"/>
          <w:sz w:val="24"/>
          <w:szCs w:val="24"/>
        </w:rPr>
        <w:t>.</w:t>
      </w:r>
    </w:p>
    <w:p w:rsidR="0041646D" w:rsidRPr="00AB6D25" w:rsidRDefault="00110254" w:rsidP="00AB6D25">
      <w:pPr>
        <w:jc w:val="both"/>
        <w:rPr>
          <w:rFonts w:ascii="Book Antiqua" w:hAnsi="Book Antiqua" w:cs="Times New Roman"/>
          <w:sz w:val="24"/>
          <w:szCs w:val="24"/>
        </w:rPr>
      </w:pPr>
      <w:r w:rsidRPr="00AB6D25">
        <w:rPr>
          <w:rFonts w:ascii="Book Antiqua" w:hAnsi="Book Antiqua" w:cs="Times New Roman"/>
          <w:sz w:val="24"/>
          <w:szCs w:val="24"/>
        </w:rPr>
        <w:t>Nevertheless, the Egyptian government has significant progress to make in ensuring the full realization of the rights of children with disabilities, particularly in terms of their right to education. Reports examined by Mandela Foundation reveal that children with disabilities encounter substantial barriers and obstacles in accessing education compared to their peers. According to the data obtained by the foundation, nearly one million children with disabilities are out of the educational process in Egypt</w:t>
      </w:r>
      <w:r w:rsidR="0041646D" w:rsidRPr="00AB6D25">
        <w:rPr>
          <w:rStyle w:val="FootnoteReference"/>
          <w:rFonts w:ascii="Book Antiqua" w:hAnsi="Book Antiqua" w:cs="Times New Roman"/>
          <w:sz w:val="24"/>
          <w:szCs w:val="24"/>
        </w:rPr>
        <w:footnoteReference w:id="5"/>
      </w:r>
      <w:r w:rsidRPr="00AB6D25">
        <w:rPr>
          <w:rFonts w:ascii="Book Antiqua" w:hAnsi="Book Antiqua" w:cs="Times New Roman"/>
          <w:sz w:val="24"/>
          <w:szCs w:val="24"/>
        </w:rPr>
        <w:t>. The Egyptian government sought to overcome the challenges that hinder the integration of those children into the educational process by directing financial in</w:t>
      </w:r>
      <w:r w:rsidR="00DF3A04" w:rsidRPr="00AB6D25">
        <w:rPr>
          <w:rFonts w:ascii="Book Antiqua" w:hAnsi="Book Antiqua" w:cs="Times New Roman"/>
          <w:sz w:val="24"/>
          <w:szCs w:val="24"/>
        </w:rPr>
        <w:t>vestments to equip some schools</w:t>
      </w:r>
      <w:r w:rsidRPr="00AB6D25">
        <w:rPr>
          <w:rFonts w:ascii="Book Antiqua" w:hAnsi="Book Antiqua" w:cs="Times New Roman"/>
          <w:sz w:val="24"/>
          <w:szCs w:val="24"/>
        </w:rPr>
        <w:t xml:space="preserve"> </w:t>
      </w:r>
      <w:r w:rsidR="00DF3A04" w:rsidRPr="00AB6D25">
        <w:rPr>
          <w:rFonts w:ascii="Book Antiqua" w:hAnsi="Book Antiqua" w:cs="Times New Roman"/>
          <w:sz w:val="24"/>
          <w:szCs w:val="24"/>
        </w:rPr>
        <w:t>to transform them into qualified inclusive schools to accommodate children with mild disabilities. During the fiscal year 2023/2024, approximately 72 million pounds were directed towards establishing and equipping special education classrooms in several government schools in different regions, allowing them to accommodate children with mild disabilities and provide tailored educational services</w:t>
      </w:r>
      <w:r w:rsidR="0041646D" w:rsidRPr="00AB6D25">
        <w:rPr>
          <w:rStyle w:val="FootnoteReference"/>
          <w:rFonts w:ascii="Book Antiqua" w:hAnsi="Book Antiqua" w:cs="Times New Roman"/>
          <w:sz w:val="24"/>
          <w:szCs w:val="24"/>
        </w:rPr>
        <w:footnoteReference w:id="6"/>
      </w:r>
      <w:r w:rsidRPr="00AB6D25">
        <w:rPr>
          <w:rFonts w:ascii="Book Antiqua" w:hAnsi="Book Antiqua" w:cs="Times New Roman"/>
          <w:sz w:val="24"/>
          <w:szCs w:val="24"/>
        </w:rPr>
        <w:t xml:space="preserve">. </w:t>
      </w:r>
      <w:r w:rsidR="00DF3A04" w:rsidRPr="00AB6D25">
        <w:rPr>
          <w:rFonts w:ascii="Book Antiqua" w:hAnsi="Book Antiqua" w:cs="Times New Roman"/>
          <w:sz w:val="24"/>
          <w:szCs w:val="24"/>
        </w:rPr>
        <w:t>According to the latest figures from the Ministry of Education, around 38,000 students with disabilities are registered in the education system, constituting approximately 0.19% of total enrollment in Egypt. Unfortunately, the data on the enrollment of refugee and asylum seeker children with disabilities remains unavailable also there has been a delay in the Ministry of Solidarity's establishment of a database for individuals with disabilities as mandated by the National Human Rights Strategy and in compliance with the regulations of the Persons with Disabilities Law, which also included the requirement to create such a database.</w:t>
      </w:r>
    </w:p>
    <w:p w:rsidR="0041646D" w:rsidRPr="00AB6D25" w:rsidRDefault="0041646D"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Third: Health care for children</w:t>
      </w:r>
    </w:p>
    <w:p w:rsidR="007B7FB8" w:rsidRPr="00AB6D25" w:rsidRDefault="007B7FB8" w:rsidP="00AB6D25">
      <w:pPr>
        <w:jc w:val="both"/>
        <w:rPr>
          <w:rFonts w:ascii="Book Antiqua" w:hAnsi="Book Antiqua" w:cs="Times New Roman"/>
          <w:sz w:val="24"/>
          <w:szCs w:val="24"/>
        </w:rPr>
      </w:pPr>
      <w:r w:rsidRPr="00AB6D25">
        <w:rPr>
          <w:rFonts w:ascii="Book Antiqua" w:hAnsi="Book Antiqua" w:cs="Times New Roman"/>
          <w:sz w:val="24"/>
          <w:szCs w:val="24"/>
        </w:rPr>
        <w:t>Article 24 of the Convention requires State parties to work towards ensuring that every child enjoys the highest attainable standard of health, reducing infant and child mortality rates, providing necessary healthcare for all children, combating diseases and malnutrition</w:t>
      </w:r>
      <w:r w:rsidR="0041646D" w:rsidRPr="00AB6D25">
        <w:rPr>
          <w:rFonts w:ascii="Book Antiqua" w:hAnsi="Book Antiqua" w:cs="Times New Roman"/>
          <w:sz w:val="24"/>
          <w:szCs w:val="24"/>
        </w:rPr>
        <w:t xml:space="preserve">. </w:t>
      </w:r>
      <w:r w:rsidRPr="00AB6D25">
        <w:rPr>
          <w:rFonts w:ascii="Book Antiqua" w:hAnsi="Book Antiqua" w:cs="Times New Roman"/>
          <w:sz w:val="24"/>
          <w:szCs w:val="24"/>
        </w:rPr>
        <w:t>Mandela Foundation assessed Egypt's actions towards enhancing child health, as detailed in its report to the committee, and commended the progress made, particularly in decreasing child mortality rates, ensuring healthcare access for all children, and bolstering preventive measures in primary healthcare.</w:t>
      </w:r>
    </w:p>
    <w:p w:rsidR="00E81BDB" w:rsidRPr="00AB6D25" w:rsidRDefault="0041646D" w:rsidP="00AB6D25">
      <w:pPr>
        <w:jc w:val="both"/>
        <w:rPr>
          <w:rFonts w:ascii="Book Antiqua" w:hAnsi="Book Antiqua" w:cs="Times New Roman"/>
          <w:sz w:val="24"/>
          <w:szCs w:val="24"/>
        </w:rPr>
      </w:pPr>
      <w:r w:rsidRPr="00AB6D25">
        <w:rPr>
          <w:rFonts w:ascii="Book Antiqua" w:hAnsi="Book Antiqua" w:cs="Times New Roman"/>
          <w:sz w:val="24"/>
          <w:szCs w:val="24"/>
        </w:rPr>
        <w:t xml:space="preserve">In a related context, Mandela noted that the Egyptian government has expanded over the past years in implementing primary health care programs for children up to the age of 5 years, </w:t>
      </w:r>
      <w:r w:rsidR="007B7FB8" w:rsidRPr="00AB6D25">
        <w:rPr>
          <w:rFonts w:ascii="Book Antiqua" w:hAnsi="Book Antiqua" w:cs="Times New Roman"/>
          <w:sz w:val="24"/>
          <w:szCs w:val="24"/>
        </w:rPr>
        <w:t xml:space="preserve">resulting in a notable decline in mortality rates to their lowest </w:t>
      </w:r>
      <w:r w:rsidRPr="00AB6D25">
        <w:rPr>
          <w:rFonts w:ascii="Book Antiqua" w:hAnsi="Book Antiqua" w:cs="Times New Roman"/>
          <w:sz w:val="24"/>
          <w:szCs w:val="24"/>
        </w:rPr>
        <w:t xml:space="preserve">level. According to </w:t>
      </w:r>
      <w:r w:rsidRPr="00AB6D25">
        <w:rPr>
          <w:rFonts w:ascii="Book Antiqua" w:hAnsi="Book Antiqua" w:cs="Times New Roman"/>
          <w:sz w:val="24"/>
          <w:szCs w:val="24"/>
        </w:rPr>
        <w:lastRenderedPageBreak/>
        <w:t xml:space="preserve">reports obtained by Mandela, the Egyptian authorities have implemented </w:t>
      </w:r>
      <w:r w:rsidR="007B7FB8" w:rsidRPr="00AB6D25">
        <w:rPr>
          <w:rFonts w:ascii="Book Antiqua" w:hAnsi="Book Antiqua" w:cs="Times New Roman"/>
          <w:sz w:val="24"/>
          <w:szCs w:val="24"/>
        </w:rPr>
        <w:t>a</w:t>
      </w:r>
      <w:r w:rsidRPr="00AB6D25">
        <w:rPr>
          <w:rFonts w:ascii="Book Antiqua" w:hAnsi="Book Antiqua" w:cs="Times New Roman"/>
          <w:sz w:val="24"/>
          <w:szCs w:val="24"/>
        </w:rPr>
        <w:t xml:space="preserve"> number of programs and initiatives aimed at reducing the mortality rate of newborns, </w:t>
      </w:r>
      <w:r w:rsidR="007B7FB8" w:rsidRPr="00AB6D25">
        <w:rPr>
          <w:rFonts w:ascii="Book Antiqua" w:hAnsi="Book Antiqua" w:cs="Times New Roman"/>
          <w:sz w:val="24"/>
          <w:szCs w:val="24"/>
        </w:rPr>
        <w:t>leading to a decrease in mortality rates among children aged one to four years to just 3 children per thousand births in 2021</w:t>
      </w:r>
      <w:r w:rsidR="007B7FB8" w:rsidRPr="00AB6D25">
        <w:rPr>
          <w:rStyle w:val="FootnoteReference"/>
          <w:rFonts w:ascii="Book Antiqua" w:hAnsi="Book Antiqua" w:cs="Times New Roman"/>
          <w:sz w:val="24"/>
          <w:szCs w:val="24"/>
        </w:rPr>
        <w:footnoteReference w:id="7"/>
      </w:r>
      <w:r w:rsidR="007B7FB8" w:rsidRPr="00AB6D25">
        <w:rPr>
          <w:rFonts w:ascii="Book Antiqua" w:hAnsi="Book Antiqua" w:cs="Times New Roman"/>
          <w:sz w:val="24"/>
          <w:szCs w:val="24"/>
        </w:rPr>
        <w:t>.</w:t>
      </w:r>
    </w:p>
    <w:p w:rsidR="00E81BDB" w:rsidRPr="00AB6D25" w:rsidRDefault="00E81BDB" w:rsidP="00AB6D25">
      <w:pPr>
        <w:jc w:val="both"/>
        <w:rPr>
          <w:rFonts w:ascii="Book Antiqua" w:hAnsi="Book Antiqua" w:cs="Times New Roman"/>
          <w:sz w:val="24"/>
          <w:szCs w:val="24"/>
        </w:rPr>
      </w:pPr>
      <w:r w:rsidRPr="00AB6D25">
        <w:rPr>
          <w:rFonts w:ascii="Book Antiqua" w:hAnsi="Book Antiqua" w:cs="Times New Roman"/>
          <w:sz w:val="24"/>
          <w:szCs w:val="24"/>
        </w:rPr>
        <w:t>In addition, the Egyptian authorities have implemented a number of programs and initiatives to support children’s health, including the Counseling Corner Program, which aims to stimulate the development of children under the age of five, and decrease developmental delays in children at risk like their peers. The Counseling Corner Program has had approximately 286,000 beneficiaries in 2023, as estimated by the government. Additionally, over 2.8 million primary school children have benefited from the presidential initiative for the early detection of anemia, obesity, and stunting</w:t>
      </w:r>
      <w:r w:rsidRPr="00AB6D25">
        <w:rPr>
          <w:rStyle w:val="FootnoteReference"/>
          <w:rFonts w:ascii="Book Antiqua" w:hAnsi="Book Antiqua" w:cs="Times New Roman"/>
          <w:sz w:val="24"/>
          <w:szCs w:val="24"/>
        </w:rPr>
        <w:footnoteReference w:id="8"/>
      </w:r>
      <w:r w:rsidRPr="00AB6D25">
        <w:rPr>
          <w:rFonts w:ascii="Book Antiqua" w:hAnsi="Book Antiqua" w:cs="Times New Roman"/>
          <w:sz w:val="24"/>
          <w:szCs w:val="24"/>
        </w:rPr>
        <w:t>, as well as the early detection of hereditary diseases in newborns</w:t>
      </w:r>
      <w:r w:rsidRPr="00AB6D25">
        <w:rPr>
          <w:rStyle w:val="FootnoteReference"/>
          <w:rFonts w:ascii="Book Antiqua" w:hAnsi="Book Antiqua" w:cs="Times New Roman"/>
          <w:sz w:val="24"/>
          <w:szCs w:val="24"/>
        </w:rPr>
        <w:footnoteReference w:id="9"/>
      </w:r>
      <w:r w:rsidRPr="00AB6D25">
        <w:rPr>
          <w:rFonts w:ascii="Book Antiqua" w:hAnsi="Book Antiqua" w:cs="Times New Roman"/>
          <w:sz w:val="24"/>
          <w:szCs w:val="24"/>
        </w:rPr>
        <w:t>. More than 399,000 newborn children have benefited from the presidential initiative for early detection and treatment of hearing disability, while more than 6 million and 153 thousand children have benefited from it overall</w:t>
      </w:r>
      <w:r w:rsidRPr="00AB6D25">
        <w:rPr>
          <w:rStyle w:val="FootnoteReference"/>
          <w:rFonts w:ascii="Book Antiqua" w:hAnsi="Book Antiqua" w:cs="Times New Roman"/>
          <w:sz w:val="24"/>
          <w:szCs w:val="24"/>
        </w:rPr>
        <w:footnoteReference w:id="10"/>
      </w:r>
      <w:r w:rsidRPr="00AB6D25">
        <w:rPr>
          <w:rFonts w:ascii="Book Antiqua" w:hAnsi="Book Antiqua" w:cs="Times New Roman"/>
          <w:sz w:val="24"/>
          <w:szCs w:val="24"/>
        </w:rPr>
        <w:t>. Mandela highlights the necessity for additional efforts to provide healthcare to millions of Egyptian children, particularly those affected by stunting and anemia. Unofficial reports suggest that approximately 4 million children are dealing with obesity, 8 million with anemia, as well as stunting and other diseases due to malnutrition</w:t>
      </w:r>
      <w:r w:rsidRPr="00AB6D25">
        <w:rPr>
          <w:rStyle w:val="FootnoteReference"/>
          <w:rFonts w:ascii="Book Antiqua" w:hAnsi="Book Antiqua" w:cs="Times New Roman"/>
          <w:sz w:val="24"/>
          <w:szCs w:val="24"/>
        </w:rPr>
        <w:footnoteReference w:id="11"/>
      </w:r>
      <w:r w:rsidRPr="00AB6D25">
        <w:rPr>
          <w:rFonts w:ascii="Book Antiqua" w:hAnsi="Book Antiqua" w:cs="Times New Roman"/>
          <w:sz w:val="24"/>
          <w:szCs w:val="24"/>
        </w:rPr>
        <w:t>.</w:t>
      </w:r>
    </w:p>
    <w:p w:rsidR="00E81BDB" w:rsidRPr="00AB6D25" w:rsidRDefault="00E81BDB"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Fourth: Protecting children from harmful drugs</w:t>
      </w:r>
    </w:p>
    <w:p w:rsidR="003F72C8" w:rsidRPr="00AB6D25" w:rsidRDefault="00E81BDB" w:rsidP="00AB6D25">
      <w:pPr>
        <w:jc w:val="both"/>
        <w:rPr>
          <w:rFonts w:ascii="Book Antiqua" w:hAnsi="Book Antiqua" w:cs="Times New Roman"/>
          <w:sz w:val="24"/>
          <w:szCs w:val="24"/>
        </w:rPr>
      </w:pPr>
      <w:r w:rsidRPr="00AB6D25">
        <w:rPr>
          <w:rFonts w:ascii="Book Antiqua" w:hAnsi="Book Antiqua" w:cs="Times New Roman"/>
          <w:sz w:val="24"/>
          <w:szCs w:val="24"/>
        </w:rPr>
        <w:t xml:space="preserve">Article 33 of the </w:t>
      </w:r>
      <w:r w:rsidR="00336B07" w:rsidRPr="00AB6D25">
        <w:rPr>
          <w:rFonts w:ascii="Book Antiqua" w:hAnsi="Book Antiqua" w:cs="Times New Roman"/>
          <w:sz w:val="24"/>
          <w:szCs w:val="24"/>
        </w:rPr>
        <w:t>UN</w:t>
      </w:r>
      <w:r w:rsidRPr="00AB6D25">
        <w:rPr>
          <w:rFonts w:ascii="Book Antiqua" w:hAnsi="Book Antiqua" w:cs="Times New Roman"/>
          <w:sz w:val="24"/>
          <w:szCs w:val="24"/>
        </w:rPr>
        <w:t xml:space="preserve"> Convention on the Rights of the Child obliges states parties to work to protect children from the use of harmful and prohibited narcotic substances, and to prevent the use of children in the illegal production and trafficking of such substances. Mandela Foundation has reviewed the efforts mentioned by the Egyptian government in its national report to protect children from the use of harmful drugs, and praises the efforts made by the Egyptian authorities in this regard, especially the efforts made by the National Council for Motherhood and Childhood to protect children from smoking and drugs. In a related context, </w:t>
      </w:r>
      <w:r w:rsidR="00336B07" w:rsidRPr="00AB6D25">
        <w:rPr>
          <w:rFonts w:ascii="Book Antiqua" w:hAnsi="Book Antiqua" w:cs="Times New Roman"/>
          <w:sz w:val="24"/>
          <w:szCs w:val="24"/>
        </w:rPr>
        <w:t xml:space="preserve">Mandela noticed that the Egyptian government had made commendable efforts to protect children and youth from harmful drugs. According to reports received by the institution, the Egyptian government has implemented within the framework of the Anti-Addiction and Treatment Fund several programs aimed at protecting children from drug use, including educational and preventive programs to raise children's awareness of the dangers of addiction. In this context, the Anti-Addiction and Treatment Fund carried out a preventive initiative in 2023 to educate students about the risks of addiction in 9,438 schools in collaboration with the Ministry of Education. </w:t>
      </w:r>
      <w:r w:rsidR="00336B07" w:rsidRPr="00AB6D25">
        <w:rPr>
          <w:rFonts w:ascii="Book Antiqua" w:hAnsi="Book Antiqua" w:cs="Times New Roman"/>
          <w:sz w:val="24"/>
          <w:szCs w:val="24"/>
        </w:rPr>
        <w:lastRenderedPageBreak/>
        <w:t>This program utilized visual aids and educational videos to inform children about the negative impacts of drug abuse. Moreover, as part of a prevention effort, the Fund conducted 170,000 follow-up home visits in in seven improved areas rather than slums in 2023 to educate families about early detection methods.</w:t>
      </w:r>
      <w:r w:rsidRPr="00AB6D25">
        <w:rPr>
          <w:rFonts w:ascii="Book Antiqua" w:hAnsi="Book Antiqua" w:cs="Times New Roman"/>
          <w:sz w:val="24"/>
          <w:szCs w:val="24"/>
        </w:rPr>
        <w:t xml:space="preserve"> The Fund also worked on producing and broadcasting a series of media campaigns to protect children and adolescents from the harms of drug abuse. The average views per year for each campaign reached about 25 million views on social media</w:t>
      </w:r>
      <w:r w:rsidR="003F72C8" w:rsidRPr="00AB6D25">
        <w:rPr>
          <w:rStyle w:val="FootnoteReference"/>
          <w:rFonts w:ascii="Book Antiqua" w:hAnsi="Book Antiqua" w:cs="Times New Roman"/>
          <w:sz w:val="24"/>
          <w:szCs w:val="24"/>
        </w:rPr>
        <w:footnoteReference w:id="12"/>
      </w:r>
      <w:r w:rsidRPr="00AB6D25">
        <w:rPr>
          <w:rFonts w:ascii="Book Antiqua" w:hAnsi="Book Antiqua" w:cs="Times New Roman"/>
          <w:sz w:val="24"/>
          <w:szCs w:val="24"/>
        </w:rPr>
        <w:t xml:space="preserve">. </w:t>
      </w:r>
      <w:r w:rsidR="00336B07" w:rsidRPr="00AB6D25">
        <w:rPr>
          <w:rFonts w:ascii="Book Antiqua" w:hAnsi="Book Antiqua" w:cs="Times New Roman"/>
          <w:sz w:val="24"/>
          <w:szCs w:val="24"/>
        </w:rPr>
        <w:t>Nevertheless, there is still a need for the Egyptian government to intensify efforts in protecting children and young individuals from the dangers of substance abuse, particularly given the rising trend of drug misuse among children in recent years</w:t>
      </w:r>
      <w:r w:rsidRPr="00AB6D25">
        <w:rPr>
          <w:rFonts w:ascii="Book Antiqua" w:hAnsi="Book Antiqua" w:cs="Times New Roman"/>
          <w:sz w:val="24"/>
          <w:szCs w:val="24"/>
        </w:rPr>
        <w:t xml:space="preserve">. </w:t>
      </w:r>
      <w:r w:rsidR="003F72C8" w:rsidRPr="00AB6D25">
        <w:rPr>
          <w:rFonts w:ascii="Book Antiqua" w:hAnsi="Book Antiqua" w:cs="Times New Roman"/>
          <w:sz w:val="24"/>
          <w:szCs w:val="24"/>
        </w:rPr>
        <w:t>According to the reports that Mandela has reviewed, the use of drugs among children is becoming an increasing source of concern in Egypt, especially among teenagers. According to data from the Fund for Combating Addiction and Drug Abuse, the rate of drug use among high school students in Egypt has reached about 12 %</w:t>
      </w:r>
      <w:r w:rsidR="003F72C8" w:rsidRPr="00AB6D25">
        <w:rPr>
          <w:rStyle w:val="FootnoteReference"/>
          <w:rFonts w:ascii="Book Antiqua" w:hAnsi="Book Antiqua" w:cs="Times New Roman"/>
          <w:sz w:val="24"/>
          <w:szCs w:val="24"/>
        </w:rPr>
        <w:footnoteReference w:id="13"/>
      </w:r>
      <w:r w:rsidR="003F72C8" w:rsidRPr="00AB6D25">
        <w:rPr>
          <w:rFonts w:ascii="Book Antiqua" w:hAnsi="Book Antiqua" w:cs="Times New Roman"/>
          <w:sz w:val="24"/>
          <w:szCs w:val="24"/>
        </w:rPr>
        <w:t>.</w:t>
      </w:r>
    </w:p>
    <w:p w:rsidR="003F72C8" w:rsidRPr="00AB6D25" w:rsidRDefault="003F72C8"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Fifth: Criminal justice for children</w:t>
      </w:r>
    </w:p>
    <w:p w:rsidR="003F72C8" w:rsidRPr="00AB6D25" w:rsidRDefault="003F72C8" w:rsidP="00AB6D25">
      <w:pPr>
        <w:jc w:val="both"/>
        <w:rPr>
          <w:rFonts w:ascii="Book Antiqua" w:hAnsi="Book Antiqua" w:cs="Times New Roman"/>
          <w:sz w:val="24"/>
          <w:szCs w:val="24"/>
        </w:rPr>
      </w:pPr>
      <w:r w:rsidRPr="00AB6D25">
        <w:rPr>
          <w:rFonts w:ascii="Book Antiqua" w:hAnsi="Book Antiqua" w:cs="Times New Roman"/>
          <w:sz w:val="24"/>
          <w:szCs w:val="24"/>
        </w:rPr>
        <w:t>Mandela Foundation noted that within the framework of strengthening the criminal justice system for children in Egypt, Executive Decision No. 189 of 2022 was issued by the Ministry of Solidarity to form the Coordinating Committee for Children’s Criminal Justice. The committee included representatives of all stakeholders concerned with criminal justice in Egypt, including (the Ministry of Justice, the Public Prosecution, the National Council for Childhood and Motherhood, the Ministry of Interior, the Ministry of Foreign Affairs, the Ministry of Education, the Supreme Council of Universities, and the Egyptian Association for the Advancement of Conditions of Childhood). The committee’s terms of reference stated in the decision included developing national strategies and plans for the criminal justice system for children; Proposing legislative amendments for the purpose of developing the criminal justice system, encouraging the application of restorative justice forms, and limiting the application of detention and restriction of liberty measures; In addition to studying the problems and challenges of the criminal justice system for children in Egypt and developing solutions for them, and contributing to the activation of alternative measures to detention for children, in addition to studying the problems and challenges of the criminal justice system for children in Egypt and developing solutions for them, and contributing to the activation of alternative measures to detention. The Ministry of Justice also signed a memorandum of understanding with the United Nations Children and Motherhood Fund to cooperate in the field of criminal justice for children and the protection of child victims and witnesses, which may help achieve some of the targeted results in the third sub-item of the first axis on civil and political rights in the National Human Rights Strategy</w:t>
      </w:r>
      <w:r w:rsidRPr="00AB6D25">
        <w:rPr>
          <w:rStyle w:val="FootnoteReference"/>
          <w:rFonts w:ascii="Book Antiqua" w:hAnsi="Book Antiqua" w:cs="Times New Roman"/>
          <w:sz w:val="24"/>
          <w:szCs w:val="24"/>
        </w:rPr>
        <w:footnoteReference w:id="14"/>
      </w:r>
      <w:r w:rsidRPr="00AB6D25">
        <w:rPr>
          <w:rFonts w:ascii="Book Antiqua" w:hAnsi="Book Antiqua" w:cs="Times New Roman"/>
          <w:sz w:val="24"/>
          <w:szCs w:val="24"/>
        </w:rPr>
        <w:t>.</w:t>
      </w:r>
    </w:p>
    <w:p w:rsidR="003F72C8" w:rsidRPr="00AB6D25" w:rsidRDefault="003F72C8"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lastRenderedPageBreak/>
        <w:t>Sixth: Street children (homeless children)</w:t>
      </w:r>
    </w:p>
    <w:p w:rsidR="00CA4978" w:rsidRPr="00AB6D25" w:rsidRDefault="003F72C8" w:rsidP="00AB6D25">
      <w:pPr>
        <w:jc w:val="both"/>
        <w:rPr>
          <w:rFonts w:ascii="Book Antiqua" w:hAnsi="Book Antiqua" w:cs="Times New Roman"/>
          <w:sz w:val="24"/>
          <w:szCs w:val="24"/>
        </w:rPr>
      </w:pPr>
      <w:r w:rsidRPr="00AB6D25">
        <w:rPr>
          <w:rFonts w:ascii="Book Antiqua" w:hAnsi="Book Antiqua" w:cs="Times New Roman"/>
          <w:sz w:val="24"/>
          <w:szCs w:val="24"/>
        </w:rPr>
        <w:t>The Homeless Children Protection Program at the Ministry of Social Solidarity is making efforts to protect homeless children by providing care and rehabilitation services to them and integrating them into society in parallel with the Ministry’s policy of draining the source and the environment that it adopts</w:t>
      </w:r>
      <w:r w:rsidR="00CA4978" w:rsidRPr="00AB6D25">
        <w:rPr>
          <w:rStyle w:val="FootnoteReference"/>
          <w:rFonts w:ascii="Book Antiqua" w:hAnsi="Book Antiqua" w:cs="Times New Roman"/>
          <w:sz w:val="24"/>
          <w:szCs w:val="24"/>
        </w:rPr>
        <w:footnoteReference w:id="15"/>
      </w:r>
      <w:r w:rsidRPr="00AB6D25">
        <w:rPr>
          <w:rFonts w:ascii="Book Antiqua" w:hAnsi="Book Antiqua" w:cs="Times New Roman"/>
          <w:sz w:val="24"/>
          <w:szCs w:val="24"/>
        </w:rPr>
        <w:t>. The Ministry of Social Solidarity provided shelters for street children, but many children chose not to use them, and the Ministry of Health and Population provided mobile health clinics staffed by nurses and social workers. The Ministry of Social Solidarity also provided 17 mobile units in 10 governorates providing emergency services, including food and health care to these children. The National Council for Childhood and Motherhood and the United Nations Office on Drugs and Crime also implemented targeted interventions to reduce drug abuse among displaced children</w:t>
      </w:r>
      <w:r w:rsidRPr="00AB6D25">
        <w:rPr>
          <w:rStyle w:val="FootnoteReference"/>
          <w:rFonts w:ascii="Book Antiqua" w:hAnsi="Book Antiqua" w:cs="Times New Roman"/>
          <w:sz w:val="24"/>
          <w:szCs w:val="24"/>
        </w:rPr>
        <w:footnoteReference w:id="16"/>
      </w:r>
      <w:r w:rsidRPr="00AB6D25">
        <w:rPr>
          <w:rFonts w:ascii="Book Antiqua" w:hAnsi="Book Antiqua" w:cs="Times New Roman"/>
          <w:sz w:val="24"/>
          <w:szCs w:val="24"/>
        </w:rPr>
        <w:t>. The Ministry also runs 51 facilities for children rescued from the street and 43 facilities for homeless children. Despite this, there are no official statistics on the number of street children. Previous approximations by the United Nations and local organizations varied from 300,000 to three million children, depending on the source and time frame. Reports from human rights groups indicate elevated instances of violence, prostitution, and drug-related activities within these shelters</w:t>
      </w:r>
      <w:r w:rsidR="00CA4978" w:rsidRPr="00AB6D25">
        <w:rPr>
          <w:rStyle w:val="FootnoteReference"/>
          <w:rFonts w:ascii="Book Antiqua" w:hAnsi="Book Antiqua" w:cs="Times New Roman"/>
          <w:sz w:val="24"/>
          <w:szCs w:val="24"/>
        </w:rPr>
        <w:footnoteReference w:id="17"/>
      </w:r>
      <w:r w:rsidRPr="00AB6D25">
        <w:rPr>
          <w:rFonts w:ascii="Book Antiqua" w:hAnsi="Book Antiqua" w:cs="Times New Roman"/>
          <w:sz w:val="24"/>
          <w:szCs w:val="24"/>
        </w:rPr>
        <w:t>.</w:t>
      </w:r>
    </w:p>
    <w:p w:rsidR="00CA4978" w:rsidRPr="00AB6D25" w:rsidRDefault="00CA4978" w:rsidP="00AB6D25">
      <w:pPr>
        <w:jc w:val="both"/>
        <w:rPr>
          <w:rFonts w:ascii="Book Antiqua" w:hAnsi="Book Antiqua" w:cs="Times New Roman"/>
          <w:b/>
          <w:bCs/>
          <w:color w:val="ED7D31" w:themeColor="accent2"/>
          <w:sz w:val="24"/>
          <w:szCs w:val="24"/>
        </w:rPr>
      </w:pPr>
      <w:r w:rsidRPr="00AB6D25">
        <w:rPr>
          <w:rFonts w:ascii="Book Antiqua" w:hAnsi="Book Antiqua" w:cs="Times New Roman"/>
          <w:b/>
          <w:bCs/>
          <w:color w:val="ED7D31" w:themeColor="accent2"/>
          <w:sz w:val="24"/>
          <w:szCs w:val="24"/>
        </w:rPr>
        <w:t>Recommendations:</w:t>
      </w:r>
    </w:p>
    <w:p w:rsidR="00CA4978" w:rsidRPr="00AB6D25" w:rsidRDefault="00CA4978" w:rsidP="00AB6D25">
      <w:pPr>
        <w:jc w:val="both"/>
        <w:rPr>
          <w:rFonts w:ascii="Book Antiqua" w:hAnsi="Book Antiqua" w:cs="Times New Roman"/>
          <w:sz w:val="24"/>
          <w:szCs w:val="24"/>
        </w:rPr>
      </w:pPr>
      <w:r w:rsidRPr="00AB6D25">
        <w:rPr>
          <w:rFonts w:ascii="Book Antiqua" w:hAnsi="Book Antiqua" w:cs="Times New Roman"/>
          <w:sz w:val="24"/>
          <w:szCs w:val="24"/>
        </w:rPr>
        <w:t>In light of the above, Mandela Foundation for Rights and Democracy makes the following recommendations to the Egyptian government:</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Expanding access to high-quality healthcare services for all children, including affordable preventive care, immunizations and treatment.</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Continuing and expanding immunization campaigns to protect children from preventable diseases.</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Providing data disaggregated based on sex and gender on the number of refugee and asylum seeker children with disabilities enrolled in education.</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Urging the Ministry of Solidarity to create a database for persons with disabilities in the implementation of what is stated in the National Human Rights Strategy and consistent with the executive regulations of the Persons with Disabilities Law.</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Expanding programs and initiatives aimed at integrating children with disabilities into the educational process.</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Promoting inclusive education for children with disabilities by providing adequate resources, trained teachers and accessible facilities.</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lastRenderedPageBreak/>
        <w:t>Expanding the implementation of preventive programs aimed at educating children and protecting them from the use of narcotic drugs, especially programs aimed at educating secondary school students.</w:t>
      </w:r>
    </w:p>
    <w:p w:rsidR="00CA4978"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Working to enforce the law against drug trafficking and distribution, especially near schools.</w:t>
      </w:r>
    </w:p>
    <w:p w:rsidR="00C278C6" w:rsidRPr="00AB6D25" w:rsidRDefault="00CA4978" w:rsidP="00AB6D25">
      <w:pPr>
        <w:pStyle w:val="ListParagraph"/>
        <w:numPr>
          <w:ilvl w:val="0"/>
          <w:numId w:val="1"/>
        </w:numPr>
        <w:jc w:val="both"/>
        <w:rPr>
          <w:rFonts w:ascii="Book Antiqua" w:hAnsi="Book Antiqua" w:cs="Times New Roman"/>
          <w:sz w:val="24"/>
          <w:szCs w:val="24"/>
        </w:rPr>
      </w:pPr>
      <w:r w:rsidRPr="00AB6D25">
        <w:rPr>
          <w:rFonts w:ascii="Book Antiqua" w:hAnsi="Book Antiqua" w:cs="Times New Roman"/>
          <w:sz w:val="24"/>
          <w:szCs w:val="24"/>
        </w:rPr>
        <w:t>Expanding the establishment of rehabilitation services for children affected by drug abuse to ensure their reintegration into society.</w:t>
      </w:r>
    </w:p>
    <w:sectPr w:rsidR="00C278C6" w:rsidRPr="00AB6D25" w:rsidSect="00AB6D25">
      <w:pgSz w:w="12240" w:h="15840"/>
      <w:pgMar w:top="2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306E" w:rsidRDefault="0065306E" w:rsidP="00F73CFE">
      <w:pPr>
        <w:spacing w:after="0" w:line="240" w:lineRule="auto"/>
      </w:pPr>
      <w:r>
        <w:separator/>
      </w:r>
    </w:p>
  </w:endnote>
  <w:endnote w:type="continuationSeparator" w:id="0">
    <w:p w:rsidR="0065306E" w:rsidRDefault="0065306E" w:rsidP="00F73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306E" w:rsidRDefault="0065306E" w:rsidP="00F73CFE">
      <w:pPr>
        <w:spacing w:after="0" w:line="240" w:lineRule="auto"/>
      </w:pPr>
      <w:r>
        <w:separator/>
      </w:r>
    </w:p>
  </w:footnote>
  <w:footnote w:type="continuationSeparator" w:id="0">
    <w:p w:rsidR="0065306E" w:rsidRDefault="0065306E" w:rsidP="00F73CFE">
      <w:pPr>
        <w:spacing w:after="0" w:line="240" w:lineRule="auto"/>
      </w:pPr>
      <w:r>
        <w:continuationSeparator/>
      </w:r>
    </w:p>
  </w:footnote>
  <w:footnote w:id="1">
    <w:p w:rsidR="00F73CFE" w:rsidRDefault="00F73CFE">
      <w:pPr>
        <w:pStyle w:val="FootnoteText"/>
      </w:pPr>
      <w:r>
        <w:rPr>
          <w:rStyle w:val="FootnoteReference"/>
        </w:rPr>
        <w:footnoteRef/>
      </w:r>
      <w:r>
        <w:t xml:space="preserve"> </w:t>
      </w:r>
      <w:r w:rsidR="00CA4978" w:rsidRPr="00B53A12">
        <w:rPr>
          <w:rFonts w:cs="Arial"/>
          <w:rtl/>
        </w:rPr>
        <w:t>المادتين رقم (2 و3)</w:t>
      </w:r>
      <w:r w:rsidR="00CA4978">
        <w:rPr>
          <w:rFonts w:cs="Arial" w:hint="cs"/>
          <w:rtl/>
        </w:rPr>
        <w:t xml:space="preserve"> من </w:t>
      </w:r>
      <w:r w:rsidR="00CA4978" w:rsidRPr="00D67373">
        <w:rPr>
          <w:rFonts w:cs="Arial"/>
          <w:rtl/>
        </w:rPr>
        <w:t>القانون رقم 154 لسنة 2004 بتعديل القانون رقم 26 لسنة 1975 بشأن الجنسية المصرية</w:t>
      </w:r>
      <w:r w:rsidR="00CA4978">
        <w:rPr>
          <w:rFonts w:cs="Arial" w:hint="cs"/>
          <w:rtl/>
        </w:rPr>
        <w:t xml:space="preserve">، الرابط: </w:t>
      </w:r>
      <w:hyperlink r:id="rId1" w:history="1">
        <w:r w:rsidR="00CA4978" w:rsidRPr="007A71AA">
          <w:rPr>
            <w:rStyle w:val="Hyperlink"/>
            <w:rFonts w:cs="Arial"/>
          </w:rPr>
          <w:t>https://bit.ly/3qNOj5w</w:t>
        </w:r>
      </w:hyperlink>
    </w:p>
  </w:footnote>
  <w:footnote w:id="2">
    <w:p w:rsidR="000B46EB" w:rsidRDefault="000B46EB">
      <w:pPr>
        <w:pStyle w:val="FootnoteText"/>
      </w:pPr>
      <w:r>
        <w:rPr>
          <w:rStyle w:val="FootnoteReference"/>
        </w:rPr>
        <w:footnoteRef/>
      </w:r>
      <w:r>
        <w:t xml:space="preserve"> </w:t>
      </w:r>
      <w:r w:rsidR="00CA4978" w:rsidRPr="0025287D">
        <w:rPr>
          <w:rFonts w:cs="Arial"/>
          <w:rtl/>
        </w:rPr>
        <w:t>التعديل التشريعي لـ"قانون الجنسية المصرية" في إطار جهود تنفيذ "الاستراتيجية الوطنية لحقوق الإنسان"</w:t>
      </w:r>
      <w:r w:rsidR="00CA4978">
        <w:rPr>
          <w:rFonts w:cs="Arial" w:hint="cs"/>
          <w:rtl/>
        </w:rPr>
        <w:t xml:space="preserve">، </w:t>
      </w:r>
      <w:r w:rsidR="00CA4978" w:rsidRPr="00002385">
        <w:rPr>
          <w:rFonts w:cs="Arial"/>
          <w:rtl/>
        </w:rPr>
        <w:t>اللجنة العليا الدائمة لحقوق الإنسان</w:t>
      </w:r>
      <w:r w:rsidR="00CA4978">
        <w:rPr>
          <w:rFonts w:cs="Arial" w:hint="cs"/>
          <w:rtl/>
        </w:rPr>
        <w:t xml:space="preserve">، 2 مايو 2023، الرابط: </w:t>
      </w:r>
      <w:hyperlink r:id="rId2" w:history="1">
        <w:r w:rsidR="00CA4978" w:rsidRPr="00B26B24">
          <w:rPr>
            <w:rStyle w:val="Hyperlink"/>
            <w:rFonts w:cs="Arial"/>
          </w:rPr>
          <w:t>https://tinyl.io/ALPw</w:t>
        </w:r>
      </w:hyperlink>
    </w:p>
  </w:footnote>
  <w:footnote w:id="3">
    <w:p w:rsidR="0041646D" w:rsidRDefault="0041646D">
      <w:pPr>
        <w:pStyle w:val="FootnoteText"/>
      </w:pPr>
      <w:r>
        <w:rPr>
          <w:rStyle w:val="FootnoteReference"/>
        </w:rPr>
        <w:footnoteRef/>
      </w:r>
      <w:r>
        <w:t xml:space="preserve"> </w:t>
      </w:r>
      <w:r w:rsidR="00CA4978" w:rsidRPr="008C04C5">
        <w:rPr>
          <w:rFonts w:cs="Arial"/>
          <w:rtl/>
        </w:rPr>
        <w:t>الرئيس السيسي يصدر قانون بدعم صندوق قادرون باختلاف بـ1.1 مليار جنيه</w:t>
      </w:r>
      <w:r w:rsidR="00CA4978">
        <w:rPr>
          <w:rFonts w:cs="Arial" w:hint="cs"/>
          <w:rtl/>
        </w:rPr>
        <w:t>، الاخبار المسائي، 7</w:t>
      </w:r>
      <w:r w:rsidR="00CA4978" w:rsidRPr="008C04C5">
        <w:rPr>
          <w:rFonts w:cs="Arial"/>
          <w:rtl/>
        </w:rPr>
        <w:t xml:space="preserve"> أغسطس 2023</w:t>
      </w:r>
      <w:r w:rsidR="00CA4978">
        <w:rPr>
          <w:rFonts w:cs="Arial" w:hint="cs"/>
          <w:rtl/>
        </w:rPr>
        <w:t xml:space="preserve">، الرابط: </w:t>
      </w:r>
      <w:hyperlink r:id="rId3" w:history="1">
        <w:r w:rsidR="00CA4978" w:rsidRPr="00B26B24">
          <w:rPr>
            <w:rStyle w:val="Hyperlink"/>
            <w:rFonts w:cs="Arial"/>
          </w:rPr>
          <w:t>https://tinyl.io/ALR9</w:t>
        </w:r>
      </w:hyperlink>
    </w:p>
  </w:footnote>
  <w:footnote w:id="4">
    <w:p w:rsidR="00CA4978" w:rsidRDefault="0041646D" w:rsidP="00CA4978">
      <w:pPr>
        <w:pStyle w:val="FootnoteText"/>
        <w:bidi/>
        <w:rPr>
          <w:rtl/>
          <w:lang w:bidi="ar-EG"/>
        </w:rPr>
      </w:pPr>
      <w:r>
        <w:rPr>
          <w:rStyle w:val="FootnoteReference"/>
        </w:rPr>
        <w:footnoteRef/>
      </w:r>
      <w:r>
        <w:t xml:space="preserve"> </w:t>
      </w:r>
      <w:r w:rsidR="00CA4978">
        <w:rPr>
          <w:rFonts w:hint="cs"/>
          <w:rtl/>
          <w:lang w:bidi="ar-EG"/>
        </w:rPr>
        <w:t>شباب النواب:إعلان الرئيس دعم صندوق قادرون باختلاف بـ 10 مليارات اهتماما غير مسبوق، اليوم السابع، 28 فبراير 2024.</w:t>
      </w:r>
    </w:p>
    <w:p w:rsidR="00CA4978" w:rsidRPr="00241ED0" w:rsidRDefault="00000000" w:rsidP="00CA4978">
      <w:pPr>
        <w:pStyle w:val="FootnoteText"/>
        <w:bidi/>
        <w:rPr>
          <w:rtl/>
          <w:lang w:bidi="ar-EG"/>
        </w:rPr>
      </w:pPr>
      <w:hyperlink r:id="rId4" w:history="1">
        <w:r w:rsidR="00CA4978" w:rsidRPr="007D2F0C">
          <w:rPr>
            <w:rStyle w:val="Hyperlink"/>
            <w:lang w:bidi="ar-EG"/>
          </w:rPr>
          <w:t>https://2u.pw/xhnwTMiA</w:t>
        </w:r>
      </w:hyperlink>
    </w:p>
    <w:p w:rsidR="0041646D" w:rsidRDefault="0041646D">
      <w:pPr>
        <w:pStyle w:val="FootnoteText"/>
      </w:pPr>
    </w:p>
  </w:footnote>
  <w:footnote w:id="5">
    <w:p w:rsidR="0041646D" w:rsidRDefault="0041646D">
      <w:pPr>
        <w:pStyle w:val="FootnoteText"/>
      </w:pPr>
      <w:r>
        <w:rPr>
          <w:rStyle w:val="FootnoteReference"/>
        </w:rPr>
        <w:footnoteRef/>
      </w:r>
      <w:r>
        <w:t xml:space="preserve"> </w:t>
      </w:r>
      <w:r w:rsidR="00CA4978" w:rsidRPr="00AD1BD5">
        <w:t xml:space="preserve">PROTECTING AND FULFILLING THE RIGHTS OF CHILDREN IN EGYPT, </w:t>
      </w:r>
      <w:hyperlink r:id="rId5" w:history="1">
        <w:r w:rsidR="00CA4978" w:rsidRPr="00B26B24">
          <w:rPr>
            <w:rStyle w:val="Hyperlink"/>
          </w:rPr>
          <w:t>https://tinyl.io/ALRV</w:t>
        </w:r>
      </w:hyperlink>
    </w:p>
  </w:footnote>
  <w:footnote w:id="6">
    <w:p w:rsidR="0041646D" w:rsidRDefault="0041646D">
      <w:pPr>
        <w:pStyle w:val="FootnoteText"/>
      </w:pPr>
      <w:r>
        <w:rPr>
          <w:rStyle w:val="FootnoteReference"/>
        </w:rPr>
        <w:footnoteRef/>
      </w:r>
      <w:r>
        <w:t xml:space="preserve"> </w:t>
      </w:r>
      <w:r w:rsidR="00CA4978" w:rsidRPr="00DD5FC7">
        <w:rPr>
          <w:rFonts w:cs="Arial"/>
          <w:rtl/>
        </w:rPr>
        <w:t>التعليم العادل للأشخاص ذوي الإعاقة : 72 مليون جنيه لتجهيز فصول التربية الخاصة بالمحافظات</w:t>
      </w:r>
      <w:r w:rsidR="00CA4978">
        <w:rPr>
          <w:rFonts w:cs="Arial" w:hint="cs"/>
          <w:rtl/>
        </w:rPr>
        <w:t xml:space="preserve">، برلماني، </w:t>
      </w:r>
      <w:r w:rsidR="00CA4978" w:rsidRPr="00DD5FC7">
        <w:rPr>
          <w:rFonts w:cs="Arial"/>
          <w:rtl/>
        </w:rPr>
        <w:t>16 فبراير 2024</w:t>
      </w:r>
      <w:r w:rsidR="00CA4978">
        <w:rPr>
          <w:rFonts w:cs="Arial" w:hint="cs"/>
          <w:rtl/>
        </w:rPr>
        <w:t xml:space="preserve">، الرابط: </w:t>
      </w:r>
      <w:hyperlink r:id="rId6" w:history="1">
        <w:r w:rsidR="00CA4978" w:rsidRPr="00B26B24">
          <w:rPr>
            <w:rStyle w:val="Hyperlink"/>
            <w:rFonts w:cs="Arial"/>
          </w:rPr>
          <w:t>https://tinyl.io/ALRW</w:t>
        </w:r>
      </w:hyperlink>
    </w:p>
  </w:footnote>
  <w:footnote w:id="7">
    <w:p w:rsidR="007B7FB8" w:rsidRDefault="007B7FB8">
      <w:pPr>
        <w:pStyle w:val="FootnoteText"/>
      </w:pPr>
      <w:r>
        <w:rPr>
          <w:rStyle w:val="FootnoteReference"/>
        </w:rPr>
        <w:footnoteRef/>
      </w:r>
      <w:r>
        <w:t xml:space="preserve"> </w:t>
      </w:r>
      <w:r w:rsidR="00CA4978" w:rsidRPr="00DB311C">
        <w:rPr>
          <w:rFonts w:cs="Arial"/>
          <w:rtl/>
        </w:rPr>
        <w:t>الإحصاء» تعلن انخفاض عدد وفيات الأطفال في مصر حتى 4 سنوات</w:t>
      </w:r>
      <w:r w:rsidR="00CA4978">
        <w:rPr>
          <w:rFonts w:cs="Arial" w:hint="cs"/>
          <w:rtl/>
        </w:rPr>
        <w:t xml:space="preserve">، أخبار اليوم، </w:t>
      </w:r>
      <w:r w:rsidR="00CA4978" w:rsidRPr="00BC7334">
        <w:rPr>
          <w:rFonts w:cs="Arial"/>
          <w:rtl/>
        </w:rPr>
        <w:t>21 نوفمبر 2022</w:t>
      </w:r>
      <w:r w:rsidR="00CA4978">
        <w:rPr>
          <w:rFonts w:cs="Arial" w:hint="cs"/>
          <w:rtl/>
        </w:rPr>
        <w:t xml:space="preserve">، الرابط: </w:t>
      </w:r>
      <w:hyperlink r:id="rId7" w:history="1">
        <w:r w:rsidR="00CA4978" w:rsidRPr="00B26B24">
          <w:rPr>
            <w:rStyle w:val="Hyperlink"/>
            <w:rFonts w:cs="Arial"/>
          </w:rPr>
          <w:t>https://tinyl.io/ALSK</w:t>
        </w:r>
      </w:hyperlink>
    </w:p>
  </w:footnote>
  <w:footnote w:id="8">
    <w:p w:rsidR="00E81BDB" w:rsidRDefault="00E81BDB">
      <w:pPr>
        <w:pStyle w:val="FootnoteText"/>
      </w:pPr>
      <w:r>
        <w:rPr>
          <w:rStyle w:val="FootnoteReference"/>
        </w:rPr>
        <w:footnoteRef/>
      </w:r>
      <w:r>
        <w:t xml:space="preserve"> </w:t>
      </w:r>
      <w:r w:rsidR="00CA4978" w:rsidRPr="000A1F6A">
        <w:rPr>
          <w:rFonts w:cs="Arial"/>
          <w:rtl/>
        </w:rPr>
        <w:t>الصحة: فحص 2 مليون و883 ألف طالب بمبادرة الكشف عن الأنيميا والسمنة</w:t>
      </w:r>
      <w:r w:rsidR="00CA4978">
        <w:rPr>
          <w:rFonts w:cs="Arial" w:hint="cs"/>
          <w:rtl/>
        </w:rPr>
        <w:t>، الهيئة العامة للاستعلامات، 25</w:t>
      </w:r>
      <w:r w:rsidR="00CA4978" w:rsidRPr="0083210C">
        <w:rPr>
          <w:rFonts w:cs="Arial"/>
          <w:rtl/>
        </w:rPr>
        <w:t xml:space="preserve"> يناير 2024</w:t>
      </w:r>
      <w:r w:rsidR="00CA4978">
        <w:rPr>
          <w:rFonts w:cs="Arial" w:hint="cs"/>
          <w:rtl/>
        </w:rPr>
        <w:t xml:space="preserve">، الرابط: </w:t>
      </w:r>
      <w:hyperlink r:id="rId8" w:history="1">
        <w:r w:rsidR="00CA4978" w:rsidRPr="00565D69">
          <w:rPr>
            <w:rStyle w:val="Hyperlink"/>
            <w:rFonts w:cs="Arial"/>
          </w:rPr>
          <w:t>https://tinyl.io/ALgh</w:t>
        </w:r>
      </w:hyperlink>
    </w:p>
  </w:footnote>
  <w:footnote w:id="9">
    <w:p w:rsidR="00E81BDB" w:rsidRDefault="00E81BDB">
      <w:pPr>
        <w:pStyle w:val="FootnoteText"/>
      </w:pPr>
      <w:r>
        <w:rPr>
          <w:rStyle w:val="FootnoteReference"/>
        </w:rPr>
        <w:footnoteRef/>
      </w:r>
      <w:r>
        <w:t xml:space="preserve"> </w:t>
      </w:r>
      <w:r w:rsidR="00CA4978" w:rsidRPr="0083210C">
        <w:rPr>
          <w:rFonts w:cs="Arial"/>
          <w:rtl/>
        </w:rPr>
        <w:t>ص 399 ألف طفل حديث الولادة ضمن مبادرة الكشف المبكر عن الأمراض الوراثية</w:t>
      </w:r>
      <w:r w:rsidR="00CA4978">
        <w:rPr>
          <w:rFonts w:cs="Arial" w:hint="cs"/>
          <w:rtl/>
        </w:rPr>
        <w:t xml:space="preserve">، الهيئة العامة للاستعلامات، </w:t>
      </w:r>
      <w:r w:rsidR="00CA4978" w:rsidRPr="0083210C">
        <w:rPr>
          <w:rFonts w:cs="Arial"/>
          <w:rtl/>
        </w:rPr>
        <w:t>28 يناير 2024</w:t>
      </w:r>
      <w:r w:rsidR="00CA4978">
        <w:rPr>
          <w:rFonts w:cs="Arial" w:hint="cs"/>
          <w:rtl/>
        </w:rPr>
        <w:t xml:space="preserve">، الرابط: </w:t>
      </w:r>
      <w:hyperlink r:id="rId9" w:history="1">
        <w:r w:rsidR="00CA4978" w:rsidRPr="00B26B24">
          <w:rPr>
            <w:rStyle w:val="Hyperlink"/>
            <w:rFonts w:cs="Arial"/>
          </w:rPr>
          <w:t>https://tinyl.io/ALSj</w:t>
        </w:r>
      </w:hyperlink>
    </w:p>
  </w:footnote>
  <w:footnote w:id="10">
    <w:p w:rsidR="00E81BDB" w:rsidRDefault="00E81BDB">
      <w:pPr>
        <w:pStyle w:val="FootnoteText"/>
      </w:pPr>
      <w:r>
        <w:rPr>
          <w:rStyle w:val="FootnoteReference"/>
        </w:rPr>
        <w:footnoteRef/>
      </w:r>
      <w:r>
        <w:t xml:space="preserve"> </w:t>
      </w:r>
      <w:r w:rsidR="00CA4978" w:rsidRPr="00575ACD">
        <w:rPr>
          <w:rFonts w:cs="Arial"/>
          <w:rtl/>
        </w:rPr>
        <w:t>فحص 6 ملايين و153ألف طفل ضمن مبادرة علاج ضعف السمع</w:t>
      </w:r>
      <w:r w:rsidR="00CA4978">
        <w:rPr>
          <w:rFonts w:cs="Arial" w:hint="cs"/>
          <w:rtl/>
        </w:rPr>
        <w:t xml:space="preserve">، الهيئة العامة للاستعلامات، </w:t>
      </w:r>
      <w:r w:rsidR="00CA4978" w:rsidRPr="00621EA0">
        <w:rPr>
          <w:rFonts w:cs="Arial"/>
          <w:rtl/>
        </w:rPr>
        <w:t>24 فبراير 2024</w:t>
      </w:r>
      <w:r w:rsidR="00CA4978">
        <w:rPr>
          <w:rFonts w:cs="Arial" w:hint="cs"/>
          <w:rtl/>
        </w:rPr>
        <w:t xml:space="preserve">، الرابط: </w:t>
      </w:r>
      <w:hyperlink r:id="rId10" w:history="1">
        <w:r w:rsidR="00CA4978" w:rsidRPr="00B26B24">
          <w:rPr>
            <w:rStyle w:val="Hyperlink"/>
            <w:rFonts w:cs="Arial"/>
          </w:rPr>
          <w:t>https://tinyl.io/ALSp</w:t>
        </w:r>
      </w:hyperlink>
    </w:p>
  </w:footnote>
  <w:footnote w:id="11">
    <w:p w:rsidR="00E81BDB" w:rsidRDefault="00E81BDB">
      <w:pPr>
        <w:pStyle w:val="FootnoteText"/>
      </w:pPr>
      <w:r>
        <w:rPr>
          <w:rStyle w:val="FootnoteReference"/>
        </w:rPr>
        <w:footnoteRef/>
      </w:r>
      <w:r>
        <w:t xml:space="preserve"> </w:t>
      </w:r>
      <w:r w:rsidR="00CA4978" w:rsidRPr="00C4649A">
        <w:rPr>
          <w:rFonts w:cs="Arial"/>
          <w:rtl/>
        </w:rPr>
        <w:t>أمراض سوء التغذية.. 4 ملايين طفل يعانون السمنة</w:t>
      </w:r>
      <w:r w:rsidR="00CA4978">
        <w:rPr>
          <w:rFonts w:cs="Arial" w:hint="cs"/>
          <w:rtl/>
        </w:rPr>
        <w:t>، علي الرابط التالي:</w:t>
      </w:r>
      <w:r w:rsidR="00CA4978" w:rsidRPr="004D68D3">
        <w:t xml:space="preserve"> </w:t>
      </w:r>
      <w:hyperlink r:id="rId11" w:history="1">
        <w:r w:rsidR="00CA4978" w:rsidRPr="001B66BC">
          <w:rPr>
            <w:rStyle w:val="Hyperlink"/>
            <w:rFonts w:cs="Arial"/>
          </w:rPr>
          <w:t>https://tinyurl.com/y38kexu8</w:t>
        </w:r>
      </w:hyperlink>
    </w:p>
  </w:footnote>
  <w:footnote w:id="12">
    <w:p w:rsidR="003F72C8" w:rsidRDefault="003F72C8" w:rsidP="00CA4978">
      <w:pPr>
        <w:pStyle w:val="FootnoteText"/>
      </w:pPr>
      <w:r>
        <w:rPr>
          <w:rStyle w:val="FootnoteReference"/>
        </w:rPr>
        <w:footnoteRef/>
      </w:r>
      <w:r>
        <w:t xml:space="preserve"> </w:t>
      </w:r>
      <w:r w:rsidR="00CA4978" w:rsidRPr="0009003A">
        <w:rPr>
          <w:rFonts w:cs="Arial"/>
          <w:rtl/>
        </w:rPr>
        <w:t>رئيس الوزراء يترأس الاجتماع الأول لمجلس أمناء صندوق مكافحة وعلاج الإدمان والتعاطي في تشكيله الجديد</w:t>
      </w:r>
      <w:r w:rsidR="00CA4978">
        <w:rPr>
          <w:rFonts w:cs="Arial" w:hint="cs"/>
          <w:rtl/>
        </w:rPr>
        <w:t>، رئاسة مجلس الوزراء، 4</w:t>
      </w:r>
      <w:r w:rsidR="00CA4978" w:rsidRPr="00037767">
        <w:rPr>
          <w:rFonts w:cs="Arial"/>
          <w:rtl/>
        </w:rPr>
        <w:t xml:space="preserve"> يناير2024</w:t>
      </w:r>
      <w:r w:rsidR="00CA4978">
        <w:rPr>
          <w:rFonts w:cs="Arial" w:hint="cs"/>
          <w:rtl/>
        </w:rPr>
        <w:t xml:space="preserve">،  الرابط: </w:t>
      </w:r>
      <w:hyperlink r:id="rId12" w:history="1">
        <w:r w:rsidR="00CA4978" w:rsidRPr="00E545C5">
          <w:rPr>
            <w:rStyle w:val="Hyperlink"/>
            <w:rFonts w:cs="Arial"/>
          </w:rPr>
          <w:t>https://tinyl.io/ALih</w:t>
        </w:r>
      </w:hyperlink>
    </w:p>
  </w:footnote>
  <w:footnote w:id="13">
    <w:p w:rsidR="003F72C8" w:rsidRDefault="003F72C8" w:rsidP="00CA4978">
      <w:pPr>
        <w:pStyle w:val="FootnoteText"/>
      </w:pPr>
      <w:r>
        <w:rPr>
          <w:rStyle w:val="FootnoteReference"/>
        </w:rPr>
        <w:footnoteRef/>
      </w:r>
      <w:r>
        <w:t xml:space="preserve"> </w:t>
      </w:r>
      <w:r w:rsidR="00CA4978" w:rsidRPr="008F1ECF">
        <w:rPr>
          <w:rFonts w:cs="Arial"/>
          <w:rtl/>
        </w:rPr>
        <w:t>صندوق مكافحة وعلاج الإدمان: نسبة التعاطي في المدارس بالمرحلة الثانوية تصل لـ12%</w:t>
      </w:r>
      <w:r w:rsidR="00CA4978">
        <w:rPr>
          <w:rFonts w:cs="Arial" w:hint="cs"/>
          <w:rtl/>
        </w:rPr>
        <w:t xml:space="preserve">،  الشروق، </w:t>
      </w:r>
      <w:r w:rsidR="00CA4978" w:rsidRPr="00116F15">
        <w:rPr>
          <w:rFonts w:cs="Arial"/>
          <w:rtl/>
        </w:rPr>
        <w:t>20 أغسطس 2023</w:t>
      </w:r>
      <w:r w:rsidR="00CA4978">
        <w:rPr>
          <w:rFonts w:cs="Arial" w:hint="cs"/>
          <w:rtl/>
        </w:rPr>
        <w:t xml:space="preserve">، الرابط: </w:t>
      </w:r>
      <w:hyperlink r:id="rId13" w:history="1">
        <w:r w:rsidR="00CA4978" w:rsidRPr="00E545C5">
          <w:rPr>
            <w:rStyle w:val="Hyperlink"/>
            <w:rFonts w:cs="Arial"/>
          </w:rPr>
          <w:t>https://tinyl.io/ALj3</w:t>
        </w:r>
      </w:hyperlink>
    </w:p>
  </w:footnote>
  <w:footnote w:id="14">
    <w:p w:rsidR="003F72C8" w:rsidRDefault="003F72C8">
      <w:pPr>
        <w:pStyle w:val="FootnoteText"/>
      </w:pPr>
      <w:r>
        <w:rPr>
          <w:rStyle w:val="FootnoteReference"/>
        </w:rPr>
        <w:footnoteRef/>
      </w:r>
      <w:r>
        <w:t xml:space="preserve"> </w:t>
      </w:r>
      <w:r w:rsidR="00CA4978">
        <w:rPr>
          <w:rFonts w:hint="cs"/>
          <w:rtl/>
          <w:lang w:bidi="ar-EG"/>
        </w:rPr>
        <w:t xml:space="preserve">مصدر سبق ذكره، ص 22، </w:t>
      </w:r>
      <w:hyperlink r:id="rId14" w:history="1">
        <w:r w:rsidR="00CA4978" w:rsidRPr="0041191F">
          <w:rPr>
            <w:rStyle w:val="Hyperlink"/>
            <w:lang w:bidi="ar-EG"/>
          </w:rPr>
          <w:t>https://sschr.gov.eg/media/xaonutei/arabic-strategy-final.pdf</w:t>
        </w:r>
      </w:hyperlink>
    </w:p>
  </w:footnote>
  <w:footnote w:id="15">
    <w:p w:rsidR="00CA4978" w:rsidRDefault="00CA4978">
      <w:pPr>
        <w:pStyle w:val="FootnoteText"/>
      </w:pPr>
      <w:r>
        <w:rPr>
          <w:rStyle w:val="FootnoteReference"/>
        </w:rPr>
        <w:footnoteRef/>
      </w:r>
      <w:r>
        <w:t xml:space="preserve"> </w:t>
      </w:r>
      <w:r w:rsidRPr="00025D1C">
        <w:t>Homeless Children Initiative,  State Information Service (SIS) - Egypt, 4 Nov 2023, link,</w:t>
      </w:r>
      <w:r>
        <w:t xml:space="preserve"> </w:t>
      </w:r>
      <w:hyperlink r:id="rId15" w:history="1">
        <w:r w:rsidRPr="00345C78">
          <w:rPr>
            <w:rStyle w:val="Hyperlink"/>
          </w:rPr>
          <w:t>https://beta.sis.gov.eg/en/egypt/society/child-welfare/homeless-children-initiative/</w:t>
        </w:r>
      </w:hyperlink>
    </w:p>
  </w:footnote>
  <w:footnote w:id="16">
    <w:p w:rsidR="003F72C8" w:rsidRDefault="003F72C8">
      <w:pPr>
        <w:pStyle w:val="FootnoteText"/>
      </w:pPr>
      <w:r>
        <w:rPr>
          <w:rStyle w:val="FootnoteReference"/>
        </w:rPr>
        <w:footnoteRef/>
      </w:r>
      <w:r>
        <w:t xml:space="preserve"> </w:t>
      </w:r>
      <w:r w:rsidR="00CA4978" w:rsidRPr="004E623C">
        <w:t>Egypt takes steps to develop care system of homeless individuals, Egypt today, 13 Aug 2023, link,</w:t>
      </w:r>
      <w:r w:rsidR="00CA4978">
        <w:t xml:space="preserve"> </w:t>
      </w:r>
      <w:hyperlink r:id="rId16" w:history="1">
        <w:r w:rsidR="00CA4978" w:rsidRPr="00345C78">
          <w:rPr>
            <w:rStyle w:val="Hyperlink"/>
          </w:rPr>
          <w:t>https://www.egypttoday.com/Article/1/126260/Egypt-takes-steps-to-develop-care-system-of-homeless-individuals</w:t>
        </w:r>
      </w:hyperlink>
    </w:p>
  </w:footnote>
  <w:footnote w:id="17">
    <w:p w:rsidR="00CA4978" w:rsidRDefault="00CA4978">
      <w:pPr>
        <w:pStyle w:val="FootnoteText"/>
      </w:pPr>
      <w:r>
        <w:rPr>
          <w:rStyle w:val="FootnoteReference"/>
        </w:rPr>
        <w:footnoteRef/>
      </w:r>
      <w:r>
        <w:t xml:space="preserve"> </w:t>
      </w:r>
      <w:r w:rsidRPr="00BC61A9">
        <w:t>2022 Country Reports on Human Rights Practices: Egypt, Bureau of Democracy, Human Rights, and Labor, 2023, link,</w:t>
      </w:r>
      <w:r>
        <w:t xml:space="preserve"> </w:t>
      </w:r>
      <w:hyperlink r:id="rId17" w:history="1">
        <w:r w:rsidRPr="00345C78">
          <w:rPr>
            <w:rStyle w:val="Hyperlink"/>
          </w:rPr>
          <w:t>https://www.state.gov/reports/2022-country-reports-on-human-rights-practices/egypt/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A51B24"/>
    <w:multiLevelType w:val="hybridMultilevel"/>
    <w:tmpl w:val="BDA62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2940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EBD"/>
    <w:rsid w:val="000B46EB"/>
    <w:rsid w:val="000D6058"/>
    <w:rsid w:val="00110254"/>
    <w:rsid w:val="00161771"/>
    <w:rsid w:val="00336B07"/>
    <w:rsid w:val="003C40A2"/>
    <w:rsid w:val="003F72C8"/>
    <w:rsid w:val="0041646D"/>
    <w:rsid w:val="0056162A"/>
    <w:rsid w:val="00572F7A"/>
    <w:rsid w:val="0065306E"/>
    <w:rsid w:val="00736530"/>
    <w:rsid w:val="007B7FB8"/>
    <w:rsid w:val="008679B6"/>
    <w:rsid w:val="008D1EBD"/>
    <w:rsid w:val="009E200B"/>
    <w:rsid w:val="00AB6D25"/>
    <w:rsid w:val="00B95534"/>
    <w:rsid w:val="00C075B2"/>
    <w:rsid w:val="00C278C6"/>
    <w:rsid w:val="00CA4978"/>
    <w:rsid w:val="00CA6392"/>
    <w:rsid w:val="00D52547"/>
    <w:rsid w:val="00DF3A04"/>
    <w:rsid w:val="00E81BDB"/>
    <w:rsid w:val="00F61EE6"/>
    <w:rsid w:val="00F73CFE"/>
    <w:rsid w:val="00F74D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06D779-1E7A-4F0E-80D1-D7A24D89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F73CFE"/>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F73CFE"/>
    <w:rPr>
      <w:sz w:val="20"/>
      <w:szCs w:val="20"/>
    </w:rPr>
  </w:style>
  <w:style w:type="character" w:styleId="FootnoteReference">
    <w:name w:val="footnote reference"/>
    <w:basedOn w:val="DefaultParagraphFont"/>
    <w:uiPriority w:val="99"/>
    <w:semiHidden/>
    <w:unhideWhenUsed/>
    <w:rsid w:val="00F73CFE"/>
    <w:rPr>
      <w:vertAlign w:val="superscript"/>
    </w:rPr>
  </w:style>
  <w:style w:type="character" w:styleId="Hyperlink">
    <w:name w:val="Hyperlink"/>
    <w:basedOn w:val="DefaultParagraphFont"/>
    <w:uiPriority w:val="99"/>
    <w:unhideWhenUsed/>
    <w:rsid w:val="003F72C8"/>
    <w:rPr>
      <w:color w:val="0563C1" w:themeColor="hyperlink"/>
      <w:u w:val="single"/>
    </w:rPr>
  </w:style>
  <w:style w:type="character" w:styleId="FollowedHyperlink">
    <w:name w:val="FollowedHyperlink"/>
    <w:basedOn w:val="DefaultParagraphFont"/>
    <w:uiPriority w:val="99"/>
    <w:semiHidden/>
    <w:unhideWhenUsed/>
    <w:rsid w:val="00CA4978"/>
    <w:rPr>
      <w:color w:val="954F72" w:themeColor="followedHyperlink"/>
      <w:u w:val="single"/>
    </w:rPr>
  </w:style>
  <w:style w:type="paragraph" w:styleId="ListParagraph">
    <w:name w:val="List Paragraph"/>
    <w:basedOn w:val="Normal"/>
    <w:uiPriority w:val="34"/>
    <w:qFormat/>
    <w:rsid w:val="00CA4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l.io/ALgh" TargetMode="External"/><Relationship Id="rId13" Type="http://schemas.openxmlformats.org/officeDocument/2006/relationships/hyperlink" Target="https://tinyl.io/ALj3" TargetMode="External"/><Relationship Id="rId3" Type="http://schemas.openxmlformats.org/officeDocument/2006/relationships/hyperlink" Target="https://tinyl.io/ALR9" TargetMode="External"/><Relationship Id="rId7" Type="http://schemas.openxmlformats.org/officeDocument/2006/relationships/hyperlink" Target="https://tinyl.io/ALSK" TargetMode="External"/><Relationship Id="rId12" Type="http://schemas.openxmlformats.org/officeDocument/2006/relationships/hyperlink" Target="https://tinyl.io/ALih" TargetMode="External"/><Relationship Id="rId17" Type="http://schemas.openxmlformats.org/officeDocument/2006/relationships/hyperlink" Target="https://www.state.gov/reports/2022-country-reports-on-human-rights-practices/egypt/" TargetMode="External"/><Relationship Id="rId2" Type="http://schemas.openxmlformats.org/officeDocument/2006/relationships/hyperlink" Target="https://tinyl.io/ALPw" TargetMode="External"/><Relationship Id="rId16" Type="http://schemas.openxmlformats.org/officeDocument/2006/relationships/hyperlink" Target="https://www.egypttoday.com/Article/1/126260/Egypt-takes-steps-to-develop-care-system-of-homeless-individuals" TargetMode="External"/><Relationship Id="rId1" Type="http://schemas.openxmlformats.org/officeDocument/2006/relationships/hyperlink" Target="https://bit.ly/3qNOj5w" TargetMode="External"/><Relationship Id="rId6" Type="http://schemas.openxmlformats.org/officeDocument/2006/relationships/hyperlink" Target="https://tinyl.io/ALRW" TargetMode="External"/><Relationship Id="rId11" Type="http://schemas.openxmlformats.org/officeDocument/2006/relationships/hyperlink" Target="https://tinyurl.com/y38kexu8" TargetMode="External"/><Relationship Id="rId5" Type="http://schemas.openxmlformats.org/officeDocument/2006/relationships/hyperlink" Target="https://tinyl.io/ALRV" TargetMode="External"/><Relationship Id="rId15" Type="http://schemas.openxmlformats.org/officeDocument/2006/relationships/hyperlink" Target="https://beta.sis.gov.eg/en/egypt/society/child-welfare/homeless-children-initiative/" TargetMode="External"/><Relationship Id="rId10" Type="http://schemas.openxmlformats.org/officeDocument/2006/relationships/hyperlink" Target="https://tinyl.io/ALSp" TargetMode="External"/><Relationship Id="rId4" Type="http://schemas.openxmlformats.org/officeDocument/2006/relationships/hyperlink" Target="https://2u.pw/xhnwTMiA" TargetMode="External"/><Relationship Id="rId9" Type="http://schemas.openxmlformats.org/officeDocument/2006/relationships/hyperlink" Target="https://tinyl.io/ALSj" TargetMode="External"/><Relationship Id="rId14" Type="http://schemas.openxmlformats.org/officeDocument/2006/relationships/hyperlink" Target="https://sschr.gov.eg/media/xaonutei/arabic-strategy-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A23EB-2339-494F-AA72-BA5422AE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2024-04-21T11:06:00Z</dcterms:created>
  <dcterms:modified xsi:type="dcterms:W3CDTF">2024-04-21T11:06:00Z</dcterms:modified>
</cp:coreProperties>
</file>