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4BF463" w14:textId="77777777" w:rsidR="00A31CFC" w:rsidRDefault="00A31CFC" w:rsidP="00A74D88">
      <w:pPr>
        <w:ind w:left="1080" w:hanging="720"/>
      </w:pPr>
    </w:p>
    <w:p w14:paraId="67F930FF" w14:textId="3190024F" w:rsidR="00A74D88" w:rsidRPr="00A74D88" w:rsidRDefault="00A74D88" w:rsidP="00A74D88">
      <w:pPr>
        <w:pStyle w:val="ListParagraph"/>
        <w:numPr>
          <w:ilvl w:val="0"/>
          <w:numId w:val="1"/>
        </w:numPr>
        <w:rPr>
          <w:b/>
          <w:bCs/>
        </w:rPr>
      </w:pPr>
      <w:r w:rsidRPr="00A74D88">
        <w:rPr>
          <w:b/>
          <w:bCs/>
        </w:rPr>
        <w:t>Introduction et méthodologie</w:t>
      </w:r>
    </w:p>
    <w:p w14:paraId="73BAC9B4" w14:textId="77777777" w:rsidR="00A74D88" w:rsidRPr="00A74D88" w:rsidRDefault="00A74D88" w:rsidP="00A74D88">
      <w:pPr>
        <w:pStyle w:val="ListParagraph"/>
        <w:numPr>
          <w:ilvl w:val="0"/>
          <w:numId w:val="1"/>
        </w:numPr>
        <w:rPr>
          <w:b/>
          <w:bCs/>
        </w:rPr>
      </w:pPr>
      <w:r w:rsidRPr="00A74D88">
        <w:rPr>
          <w:b/>
          <w:bCs/>
        </w:rPr>
        <w:t>II. Obligations internationales du Tchad en matière de prévention et d’interdiction de la torture</w:t>
      </w:r>
    </w:p>
    <w:p w14:paraId="22A3CBCC" w14:textId="49D8CEA6" w:rsidR="00A74D88" w:rsidRDefault="00A74D88" w:rsidP="00A74D88">
      <w:pPr>
        <w:pStyle w:val="ListParagraph"/>
        <w:ind w:left="1080"/>
        <w:rPr>
          <w:b/>
          <w:bCs/>
        </w:rPr>
      </w:pPr>
      <w:r>
        <w:rPr>
          <w:b/>
          <w:bCs/>
        </w:rPr>
        <w:t>A</w:t>
      </w:r>
      <w:r w:rsidRPr="00A74D88">
        <w:rPr>
          <w:b/>
          <w:bCs/>
        </w:rPr>
        <w:t>. Situation après le cycle de l’EPU de 2023</w:t>
      </w:r>
    </w:p>
    <w:p w14:paraId="3F14C652" w14:textId="4DAFF8C1" w:rsidR="00A74D88" w:rsidRDefault="00A74D88" w:rsidP="00A74D88">
      <w:pPr>
        <w:pStyle w:val="ListParagraph"/>
        <w:ind w:left="1080"/>
        <w:rPr>
          <w:b/>
          <w:bCs/>
        </w:rPr>
      </w:pPr>
      <w:r>
        <w:rPr>
          <w:b/>
          <w:bCs/>
        </w:rPr>
        <w:t>B</w:t>
      </w:r>
      <w:r w:rsidRPr="00A74D88">
        <w:rPr>
          <w:b/>
          <w:bCs/>
        </w:rPr>
        <w:t>. Traités non ratifiés malgré les recommandations acceptées</w:t>
      </w:r>
    </w:p>
    <w:p w14:paraId="144F8A6F" w14:textId="1F33C6BB" w:rsidR="00A74D88" w:rsidRDefault="00A74D88" w:rsidP="00A74D88">
      <w:pPr>
        <w:pStyle w:val="ListParagraph"/>
        <w:ind w:left="1080"/>
        <w:rPr>
          <w:b/>
          <w:bCs/>
        </w:rPr>
      </w:pPr>
      <w:r>
        <w:rPr>
          <w:b/>
          <w:bCs/>
        </w:rPr>
        <w:t>C</w:t>
      </w:r>
      <w:r w:rsidRPr="00A74D88">
        <w:rPr>
          <w:b/>
          <w:bCs/>
        </w:rPr>
        <w:t>. Application des recommandations des mécanismes internationaux</w:t>
      </w:r>
    </w:p>
    <w:p w14:paraId="07C93FCB" w14:textId="26C6CEFE" w:rsidR="00A74D88" w:rsidRDefault="00A74D88" w:rsidP="00A74D88">
      <w:pPr>
        <w:rPr>
          <w:b/>
          <w:bCs/>
        </w:rPr>
      </w:pPr>
      <w:bookmarkStart w:id="0" w:name="_Hlk221267865"/>
      <w:r>
        <w:rPr>
          <w:b/>
          <w:bCs/>
        </w:rPr>
        <w:t xml:space="preserve">     </w:t>
      </w:r>
      <w:r w:rsidRPr="00A74D88">
        <w:rPr>
          <w:b/>
          <w:bCs/>
        </w:rPr>
        <w:t>I</w:t>
      </w:r>
      <w:r>
        <w:rPr>
          <w:b/>
          <w:bCs/>
        </w:rPr>
        <w:t>II</w:t>
      </w:r>
      <w:r w:rsidRPr="00A74D88">
        <w:rPr>
          <w:b/>
          <w:bCs/>
        </w:rPr>
        <w:t>. Cadre national de prévention et de répression de la torture</w:t>
      </w:r>
    </w:p>
    <w:bookmarkEnd w:id="0"/>
    <w:p w14:paraId="6D009974" w14:textId="6097C76C" w:rsidR="00A74D88" w:rsidRPr="00A74D88" w:rsidRDefault="00A74D88" w:rsidP="00A74D88">
      <w:pPr>
        <w:pStyle w:val="ListParagraph"/>
        <w:numPr>
          <w:ilvl w:val="0"/>
          <w:numId w:val="2"/>
        </w:numPr>
        <w:rPr>
          <w:b/>
          <w:bCs/>
        </w:rPr>
      </w:pPr>
      <w:r w:rsidRPr="00A74D88">
        <w:rPr>
          <w:b/>
          <w:bCs/>
        </w:rPr>
        <w:t xml:space="preserve">Cadre constitutionnel et législatif </w:t>
      </w:r>
    </w:p>
    <w:p w14:paraId="78C2B49C" w14:textId="0243F4DA" w:rsidR="00A74D88" w:rsidRPr="00A74D88" w:rsidRDefault="00A74D88" w:rsidP="00A74D88">
      <w:pPr>
        <w:pStyle w:val="ListParagraph"/>
        <w:numPr>
          <w:ilvl w:val="0"/>
          <w:numId w:val="2"/>
        </w:numPr>
        <w:rPr>
          <w:b/>
          <w:bCs/>
        </w:rPr>
      </w:pPr>
      <w:r w:rsidRPr="00A74D88">
        <w:rPr>
          <w:b/>
          <w:bCs/>
        </w:rPr>
        <w:t>B. Cadre institutionnel et mécanismes nationaux de prévention</w:t>
      </w:r>
    </w:p>
    <w:p w14:paraId="4C9C2E46" w14:textId="73AD80B7" w:rsidR="00A74D88" w:rsidRPr="00A74D88" w:rsidRDefault="00A74D88" w:rsidP="00A74D88">
      <w:pPr>
        <w:rPr>
          <w:b/>
          <w:bCs/>
        </w:rPr>
      </w:pPr>
      <w:r>
        <w:rPr>
          <w:b/>
          <w:bCs/>
        </w:rPr>
        <w:t xml:space="preserve">    </w:t>
      </w:r>
      <w:r w:rsidRPr="00A74D88">
        <w:rPr>
          <w:b/>
          <w:bCs/>
        </w:rPr>
        <w:t>V. Situation de la torture et des mauvais traitements au Tchad</w:t>
      </w:r>
    </w:p>
    <w:p w14:paraId="1BE3C214" w14:textId="1EA81151" w:rsidR="00A74D88" w:rsidRDefault="00A74D88" w:rsidP="00A74D88">
      <w:pPr>
        <w:pStyle w:val="ListParagraph"/>
        <w:ind w:left="1080"/>
        <w:rPr>
          <w:b/>
          <w:bCs/>
        </w:rPr>
      </w:pPr>
      <w:r w:rsidRPr="00A74D88">
        <w:rPr>
          <w:b/>
          <w:bCs/>
        </w:rPr>
        <w:t>A. Pratiques de torture et mauvais traitements dans les lieux de détention</w:t>
      </w:r>
    </w:p>
    <w:p w14:paraId="6C5FD6E5" w14:textId="08222406" w:rsidR="00A74D88" w:rsidRDefault="00A74D88" w:rsidP="00A74D88">
      <w:pPr>
        <w:pStyle w:val="ListParagraph"/>
        <w:ind w:left="1080"/>
        <w:rPr>
          <w:b/>
          <w:bCs/>
        </w:rPr>
      </w:pPr>
      <w:r w:rsidRPr="00A74D88">
        <w:rPr>
          <w:b/>
          <w:bCs/>
        </w:rPr>
        <w:t>B. Impunité, accès à la justice et mécanismes de plainte</w:t>
      </w:r>
    </w:p>
    <w:p w14:paraId="3F4DDE79" w14:textId="2781454A" w:rsidR="00A31CFC" w:rsidRPr="00A31CFC" w:rsidRDefault="00A31CFC" w:rsidP="00A31CFC">
      <w:pPr>
        <w:rPr>
          <w:b/>
          <w:bCs/>
        </w:rPr>
      </w:pPr>
      <w:r>
        <w:rPr>
          <w:b/>
          <w:bCs/>
        </w:rPr>
        <w:t xml:space="preserve">   </w:t>
      </w:r>
      <w:r w:rsidRPr="00A31CFC">
        <w:rPr>
          <w:b/>
          <w:bCs/>
        </w:rPr>
        <w:t>VII. Recommandations</w:t>
      </w:r>
    </w:p>
    <w:p w14:paraId="55FF7C7B" w14:textId="77777777" w:rsidR="00A31CFC" w:rsidRDefault="00A31CFC" w:rsidP="00A74D88">
      <w:pPr>
        <w:rPr>
          <w:b/>
          <w:bCs/>
        </w:rPr>
      </w:pPr>
    </w:p>
    <w:p w14:paraId="45DEC17C" w14:textId="77777777" w:rsidR="00A31CFC" w:rsidRDefault="00A31CFC" w:rsidP="00A74D88">
      <w:pPr>
        <w:rPr>
          <w:b/>
          <w:bCs/>
        </w:rPr>
      </w:pPr>
    </w:p>
    <w:p w14:paraId="087BF658" w14:textId="45576C33" w:rsidR="00A74D88" w:rsidRPr="00A74D88" w:rsidRDefault="00A74D88" w:rsidP="00A74D88">
      <w:pPr>
        <w:rPr>
          <w:b/>
          <w:bCs/>
        </w:rPr>
      </w:pPr>
      <w:r w:rsidRPr="00A74D88">
        <w:rPr>
          <w:b/>
          <w:bCs/>
        </w:rPr>
        <w:t>I. Introduction et méthodologie</w:t>
      </w:r>
    </w:p>
    <w:p w14:paraId="16A63383" w14:textId="77777777" w:rsidR="00A74D88" w:rsidRDefault="00A74D88" w:rsidP="00A74D88">
      <w:r>
        <w:t>Le Tchad fait face à de nombreux défis structurels en matière de prévention et de lutte contre la torture. Ces difficultés se traduisent notamment par une impunité largement répandue et l’absence d’enquêtes crédibles sur les violations commises. Le cadre législatif national demeure insuffisant pour prévenir, sanctionner et garantir réparation aux victimes d’actes de torture. Par ailleurs, les institutions nationales chargées de la protection des droits humains restent limitées en termes d’indépendance, de ressources et de compétences techniques, ce qui affaiblit leur capacité d’action.</w:t>
      </w:r>
    </w:p>
    <w:p w14:paraId="0112DC25" w14:textId="77777777" w:rsidR="00A74D88" w:rsidRPr="00A74D88" w:rsidRDefault="00A74D88" w:rsidP="00A74D88">
      <w:pPr>
        <w:rPr>
          <w:b/>
          <w:bCs/>
        </w:rPr>
      </w:pPr>
      <w:r w:rsidRPr="00A74D88">
        <w:rPr>
          <w:b/>
          <w:bCs/>
        </w:rPr>
        <w:t>II. Obligations internationales du Tchad en matière de prévention et d’interdiction de la torture</w:t>
      </w:r>
    </w:p>
    <w:p w14:paraId="4B9429B8" w14:textId="15617E14" w:rsidR="00A74D88" w:rsidRPr="00A74D88" w:rsidRDefault="00A74D88" w:rsidP="00A74D88">
      <w:pPr>
        <w:rPr>
          <w:b/>
          <w:bCs/>
        </w:rPr>
      </w:pPr>
      <w:r>
        <w:rPr>
          <w:b/>
          <w:bCs/>
        </w:rPr>
        <w:t>A</w:t>
      </w:r>
      <w:r w:rsidRPr="00A74D88">
        <w:rPr>
          <w:b/>
          <w:bCs/>
        </w:rPr>
        <w:t>. Situation après le cycle de l’EPU de 2023</w:t>
      </w:r>
    </w:p>
    <w:p w14:paraId="0E114D1E" w14:textId="77777777" w:rsidR="00A74D88" w:rsidRDefault="00A74D88" w:rsidP="00A74D88">
      <w:r>
        <w:t>À la suite du quatrième cycle de l’Examen périodique universel (EPU) en 2023, aucun progrès notable n’a été enregistré concernant la ratification d’instruments internationaux spécifiquement dédiés à la prévention de la torture. Le cadre juridique international du Tchad demeure donc inchangé, malgré les recommandations répétées formulées par le Conseil des droits de l’homme des Nations unies.</w:t>
      </w:r>
    </w:p>
    <w:p w14:paraId="48C82B99" w14:textId="77777777" w:rsidR="00A74D88" w:rsidRDefault="00A74D88" w:rsidP="00A74D88">
      <w:r>
        <w:t>Ces recommandations insistent en particulier sur :</w:t>
      </w:r>
    </w:p>
    <w:p w14:paraId="423D7329" w14:textId="77777777" w:rsidR="00A74D88" w:rsidRDefault="00A74D88" w:rsidP="00A74D88">
      <w:r>
        <w:t>•</w:t>
      </w:r>
      <w:r>
        <w:tab/>
        <w:t>la ratification du Protocole facultatif à la Convention contre la torture (OPCAT) ;</w:t>
      </w:r>
    </w:p>
    <w:p w14:paraId="4A77B8EC" w14:textId="77777777" w:rsidR="00A74D88" w:rsidRDefault="00A74D88" w:rsidP="00A74D88">
      <w:r>
        <w:lastRenderedPageBreak/>
        <w:t>•</w:t>
      </w:r>
      <w:r>
        <w:tab/>
        <w:t>la création d’un mécanisme national indépendant de prévention de la torture ;</w:t>
      </w:r>
    </w:p>
    <w:p w14:paraId="6DFE0515" w14:textId="77777777" w:rsidR="00A74D88" w:rsidRDefault="00A74D88" w:rsidP="00A74D88">
      <w:r>
        <w:t>•</w:t>
      </w:r>
      <w:r>
        <w:tab/>
        <w:t>le renforcement de l’accès aux recours effectifs et aux réparations pour les victimes.</w:t>
      </w:r>
    </w:p>
    <w:p w14:paraId="4515DE2E" w14:textId="77777777" w:rsidR="00A74D88" w:rsidRDefault="00A74D88" w:rsidP="00A74D88">
      <w:r>
        <w:t>L’absence de ratification de l’OPCAT constitue une lacune majeure. En effet, ce Protocole permettrait la mise en place d’un Mécanisme National de Prévention doté d’un mandat indépendant, habilité à effectuer des visites régulières dans tous les lieux de privation de liberté, conformément aux articles 17 à 23.</w:t>
      </w:r>
    </w:p>
    <w:p w14:paraId="72F965BF" w14:textId="77777777" w:rsidR="00A74D88" w:rsidRDefault="00A74D88" w:rsidP="00A74D88">
      <w:r>
        <w:t>De plus, le refus de ratifier les instruments permettant les plaintes individuelles limite l’accès des victimes à la justice internationale et contribue à affaiblir la lutte contre l’impunité.</w:t>
      </w:r>
    </w:p>
    <w:p w14:paraId="64C144D3" w14:textId="0C08899C" w:rsidR="00A74D88" w:rsidRPr="00A74D88" w:rsidRDefault="00A74D88" w:rsidP="00A74D88">
      <w:pPr>
        <w:rPr>
          <w:b/>
          <w:bCs/>
        </w:rPr>
      </w:pPr>
      <w:r>
        <w:rPr>
          <w:b/>
          <w:bCs/>
        </w:rPr>
        <w:t>B</w:t>
      </w:r>
      <w:r w:rsidRPr="00A74D88">
        <w:rPr>
          <w:b/>
          <w:bCs/>
        </w:rPr>
        <w:t>. Traités non ratifiés malgré les recommandations acceptées</w:t>
      </w:r>
    </w:p>
    <w:p w14:paraId="657A36FB" w14:textId="77777777" w:rsidR="00A74D88" w:rsidRDefault="00A74D88" w:rsidP="00A74D88">
      <w:r>
        <w:t>Un nombre important d’instruments fondamentaux demeurent non ratifiés, notamment :</w:t>
      </w:r>
    </w:p>
    <w:p w14:paraId="1C9C1D58" w14:textId="77777777" w:rsidR="00A74D88" w:rsidRDefault="00A74D88" w:rsidP="00A74D88">
      <w:r>
        <w:t>•</w:t>
      </w:r>
      <w:r>
        <w:tab/>
        <w:t>le Protocole facultatif à la Convention contre la torture (OPCAT, 2002) ;</w:t>
      </w:r>
    </w:p>
    <w:p w14:paraId="2C1E6A7F" w14:textId="77777777" w:rsidR="00A74D88" w:rsidRDefault="00A74D88" w:rsidP="00A74D88">
      <w:r>
        <w:t>•</w:t>
      </w:r>
      <w:r>
        <w:tab/>
        <w:t>le Deuxième Protocole facultatif au PIDCP visant l’abolition de la peine de mort ;</w:t>
      </w:r>
    </w:p>
    <w:p w14:paraId="25E86673" w14:textId="77777777" w:rsidR="00A74D88" w:rsidRDefault="00A74D88" w:rsidP="00A74D88">
      <w:r>
        <w:t>•</w:t>
      </w:r>
      <w:r>
        <w:tab/>
        <w:t>le Protocole facultatif au PIDESC relatif aux communications individuelles ;</w:t>
      </w:r>
    </w:p>
    <w:p w14:paraId="5FAF1B39" w14:textId="77777777" w:rsidR="00A74D88" w:rsidRDefault="00A74D88" w:rsidP="00A74D88">
      <w:r>
        <w:t>•</w:t>
      </w:r>
      <w:r>
        <w:tab/>
        <w:t>le Protocole OP3-CDE sur les droits de l’enfant ;</w:t>
      </w:r>
    </w:p>
    <w:p w14:paraId="5BB4448E" w14:textId="77777777" w:rsidR="00A74D88" w:rsidRDefault="00A74D88" w:rsidP="00A74D88">
      <w:r>
        <w:t>•</w:t>
      </w:r>
      <w:r>
        <w:tab/>
        <w:t>les Protocoles facultatifs à la CDPH et à la CEDAW ;</w:t>
      </w:r>
    </w:p>
    <w:p w14:paraId="2DB6D62D" w14:textId="77777777" w:rsidR="00A74D88" w:rsidRDefault="00A74D88" w:rsidP="00A74D88">
      <w:r>
        <w:t>•</w:t>
      </w:r>
      <w:r>
        <w:tab/>
        <w:t>la Convention contre les disparitions forcées (2006) ;</w:t>
      </w:r>
    </w:p>
    <w:p w14:paraId="5A4346FA" w14:textId="77777777" w:rsidR="00A74D88" w:rsidRDefault="00A74D88" w:rsidP="00A74D88">
      <w:r>
        <w:t>•</w:t>
      </w:r>
      <w:r>
        <w:tab/>
        <w:t>le Protocole de Maputo (2003) relatif aux droits des femmes ;</w:t>
      </w:r>
    </w:p>
    <w:p w14:paraId="6206BB5C" w14:textId="77777777" w:rsidR="00A74D88" w:rsidRDefault="00A74D88" w:rsidP="00A74D88">
      <w:r>
        <w:t>•</w:t>
      </w:r>
      <w:r>
        <w:tab/>
        <w:t>la Convention de l’UNESCO (1960) sur la lutte contre la discrimination dans l’enseignement.</w:t>
      </w:r>
    </w:p>
    <w:p w14:paraId="374EB0C2" w14:textId="42C498D7" w:rsidR="00A74D88" w:rsidRDefault="00A74D88" w:rsidP="00A74D88">
      <w:r>
        <w:t>•</w:t>
      </w:r>
      <w:r>
        <w:tab/>
        <w:t xml:space="preserve">Par ailleurs, malgré l’acceptation de considérer la ratification de la Convention sur le génocide (1948), aucun progrès concret n’a été observé. </w:t>
      </w:r>
    </w:p>
    <w:p w14:paraId="60DFD160" w14:textId="77777777" w:rsidR="00A74D88" w:rsidRPr="00A74D88" w:rsidRDefault="00A74D88" w:rsidP="00A74D88">
      <w:pPr>
        <w:rPr>
          <w:b/>
          <w:bCs/>
        </w:rPr>
      </w:pPr>
      <w:r w:rsidRPr="00A74D88">
        <w:rPr>
          <w:b/>
          <w:bCs/>
        </w:rPr>
        <w:t>B. Application des recommandations des mécanismes internationaux</w:t>
      </w:r>
    </w:p>
    <w:p w14:paraId="057033FC" w14:textId="33860B8E" w:rsidR="00A74D88" w:rsidRDefault="00A74D88" w:rsidP="00A74D88">
      <w:r>
        <w:t>La torture et les mauvais traitements persistent au Tchad, dans un contexte marqué par un climat d’impunité. Ces pratiques demeurent contraires aux engagements internationaux du pays, notamment) l’article 7 du Pacte international relatif aux droits civils et politiques (PIDCP) ;</w:t>
      </w:r>
    </w:p>
    <w:p w14:paraId="3C86F16F" w14:textId="77777777" w:rsidR="00A74D88" w:rsidRDefault="00A74D88" w:rsidP="00A74D88">
      <w:r>
        <w:t>En 2023, le Groupe de travail de l’EPU avait recommandé :</w:t>
      </w:r>
    </w:p>
    <w:p w14:paraId="1FE91395" w14:textId="34FF40FA" w:rsidR="00A74D88" w:rsidRDefault="00A74D88" w:rsidP="00A74D88">
      <w:r>
        <w:t>-d ’enquêter sur les violations commises par les forces de sécurité, y compris la torture et les exécutions extrajudiciaires ;</w:t>
      </w:r>
    </w:p>
    <w:p w14:paraId="4BA0EFF4" w14:textId="77777777" w:rsidR="00A74D88" w:rsidRDefault="00A74D88" w:rsidP="00A74D88">
      <w:proofErr w:type="gramStart"/>
      <w:r>
        <w:t>de</w:t>
      </w:r>
      <w:proofErr w:type="gramEnd"/>
      <w:r>
        <w:t xml:space="preserve"> poursuivre les auteurs conformément aux articles 12 et 13 de la Convention contre la torture (CAT), ainsi qu’aux Principes de Minnesota sur l’enquête efficace des exécutions extrajudiciaires.</w:t>
      </w:r>
    </w:p>
    <w:p w14:paraId="487C054D" w14:textId="77777777" w:rsidR="00A039DE" w:rsidRDefault="00A039DE" w:rsidP="00A039DE">
      <w:r>
        <w:lastRenderedPageBreak/>
        <w:t>Cependant, aucune enquête crédible n’a été menée sur le terrain. Cette situation s’explique notamment par un climat persistant d’impunité et de protection des auteurs, le manque d’indépendance du système judiciaire, la peur des victimes et des témoins de subir des représailles, ainsi que l’insécurité et les difficultés d’accès aux zones concernées. À cela s’ajoute une insuffisante volonté politique de lutter efficacement contre ces pratiques.</w:t>
      </w:r>
    </w:p>
    <w:p w14:paraId="2F073027" w14:textId="77777777" w:rsidR="00A039DE" w:rsidRDefault="00A039DE" w:rsidP="00A039DE">
      <w:r>
        <w:t>En conséquence, la majorité des auteurs présumés demeurent impunis, en contradiction avec l’obligation internationale de l’État de poursuivre ou d’extrader les responsables d’actes de torture.</w:t>
      </w:r>
    </w:p>
    <w:p w14:paraId="721C4085" w14:textId="77777777" w:rsidR="00D33FFB" w:rsidRDefault="00D33FFB" w:rsidP="00D33FFB">
      <w:r>
        <w:t>Dans ce contexte, les organisations de la société civile, notamment l’Association Jeunesse pour la Paix et la Non-Violence, ainsi que d’autres acteurs engagés, continuent de déployer des efforts importants en matière de documentation et de suivi des cas de torture et de mauvais traitements.</w:t>
      </w:r>
    </w:p>
    <w:p w14:paraId="40E41053" w14:textId="77777777" w:rsidR="00D33FFB" w:rsidRDefault="00D33FFB" w:rsidP="00D33FFB"/>
    <w:p w14:paraId="74B7925C" w14:textId="0542C2A7" w:rsidR="00D33FFB" w:rsidRDefault="00D33FFB" w:rsidP="00D33FFB">
      <w:r>
        <w:t>Ces initiatives ont permis de mettre en lumière de nombreux cas, de recueillir des témoignages et de constituer des dossiers étayés, renforçant ainsi les actions de plaidoyer aux niveaux national et international. Elles ont également contribué à orienter les survivants vers des services de prise en charge médicale, psychosociale et juridique adaptés.</w:t>
      </w:r>
    </w:p>
    <w:p w14:paraId="3B9C8EE1" w14:textId="77777777" w:rsidR="00D33FFB" w:rsidRDefault="00D33FFB" w:rsidP="00D33FFB">
      <w:r>
        <w:t>Néanmoins, les résultats demeurent limités en termes de poursuites judiciaires, en raison de la persistance de l’impunité, du manque d’enquêtes crédibles et des obstacles institutionnels qui freinent encore une réponse effective contre la torture.</w:t>
      </w:r>
    </w:p>
    <w:p w14:paraId="33D9A05A" w14:textId="6D323EB5" w:rsidR="00A74D88" w:rsidRPr="00A74D88" w:rsidRDefault="00A74D88" w:rsidP="00D33FFB">
      <w:pPr>
        <w:rPr>
          <w:b/>
          <w:bCs/>
        </w:rPr>
      </w:pPr>
      <w:r w:rsidRPr="00A74D88">
        <w:rPr>
          <w:b/>
          <w:bCs/>
        </w:rPr>
        <w:t>2. Protection et réparation des victimes</w:t>
      </w:r>
    </w:p>
    <w:p w14:paraId="3EE97CC1" w14:textId="77777777" w:rsidR="00A74D88" w:rsidRDefault="00A74D88" w:rsidP="00A74D88">
      <w:r>
        <w:t xml:space="preserve">Les victimes de torture, en particulier celles des événements du 20 octobre 2022, n’ont généralement pas bénéficié de réparations effectives. Même si certaines victimes du régime de Hissène Habré ont reçu des réparations partielles, sous forme de compensation financière, ces mesures demeurent insuffisantes et ne répondent pas pleinement aux obligations internationales de réparation qui s’imposent à l’État tchadien. En effet, aucune mesure collective de réparation n’a été mise en œuvre, ni reconnaissance de leur responsabilité par les autorités publiques. </w:t>
      </w:r>
    </w:p>
    <w:p w14:paraId="1E63CCB6" w14:textId="77777777" w:rsidR="00A74D88" w:rsidRDefault="00A74D88" w:rsidP="00A74D88">
      <w:r>
        <w:t>En conséquence, le Tchad doit adopter un cadre juridique spécifique en matière de réparations et mettre en place un programme national de réhabilitation et d’indemnisation des victimes, conformément à l’article 14 de la Convention des Nations unies contre la torture (UNCAT) ainsi qu’aux Principes fondamentaux des Nations unies relatifs au droit à réparation (Résolution 60/147).</w:t>
      </w:r>
    </w:p>
    <w:p w14:paraId="75B1185D" w14:textId="77777777" w:rsidR="00A74D88" w:rsidRDefault="00A74D88" w:rsidP="00A74D88">
      <w:r>
        <w:t>3. Libertés fondamentales et manifestations publiques</w:t>
      </w:r>
    </w:p>
    <w:p w14:paraId="2600951C" w14:textId="77777777" w:rsidR="00A74D88" w:rsidRDefault="00A74D88" w:rsidP="00A74D88">
      <w:r>
        <w:t>Le Groupe de travail de l’EPU avait également recommandé de garantir :</w:t>
      </w:r>
    </w:p>
    <w:p w14:paraId="7F65073E" w14:textId="77777777" w:rsidR="00A74D88" w:rsidRDefault="00A74D88" w:rsidP="00A74D88">
      <w:r>
        <w:t>-</w:t>
      </w:r>
      <w:r>
        <w:tab/>
        <w:t xml:space="preserve">La liberté d’opinion et d’expression </w:t>
      </w:r>
    </w:p>
    <w:p w14:paraId="61D3DEF1" w14:textId="77777777" w:rsidR="00A74D88" w:rsidRDefault="00A74D88" w:rsidP="00A74D88">
      <w:r>
        <w:lastRenderedPageBreak/>
        <w:t>-</w:t>
      </w:r>
      <w:r>
        <w:tab/>
        <w:t>La liberté de réunion pacifique et d’association ;</w:t>
      </w:r>
    </w:p>
    <w:p w14:paraId="181CA27D" w14:textId="77777777" w:rsidR="00A74D88" w:rsidRDefault="00A74D88" w:rsidP="00A74D88">
      <w:r>
        <w:t>-</w:t>
      </w:r>
      <w:r>
        <w:tab/>
        <w:t>La liberté de la presse</w:t>
      </w:r>
    </w:p>
    <w:p w14:paraId="1D924E35" w14:textId="77777777" w:rsidR="00A74D88" w:rsidRDefault="00A74D88" w:rsidP="00A74D88">
      <w:r>
        <w:t>À ce jour, aucune réforme substantielle n’a été adoptée pour encadrer les manifestations publiques ou renforcer ces libertés. Le cadre juridique reste insuffisant et restrictif, limitant l’exercice effectif des droits fondamentaux au Tchad.</w:t>
      </w:r>
    </w:p>
    <w:p w14:paraId="358F3E98" w14:textId="77777777" w:rsidR="00A31CFC" w:rsidRDefault="00A31CFC" w:rsidP="00A74D88">
      <w:pPr>
        <w:rPr>
          <w:b/>
          <w:bCs/>
        </w:rPr>
      </w:pPr>
      <w:r w:rsidRPr="00A31CFC">
        <w:rPr>
          <w:b/>
          <w:bCs/>
        </w:rPr>
        <w:t xml:space="preserve">     III. Cadre national de prévention et de répression de la torture</w:t>
      </w:r>
    </w:p>
    <w:p w14:paraId="7363BC57" w14:textId="258D374D" w:rsidR="00A74D88" w:rsidRPr="00A74D88" w:rsidRDefault="00A74D88" w:rsidP="00A74D88">
      <w:pPr>
        <w:rPr>
          <w:b/>
          <w:bCs/>
        </w:rPr>
      </w:pPr>
      <w:r w:rsidRPr="00A74D88">
        <w:rPr>
          <w:b/>
          <w:bCs/>
        </w:rPr>
        <w:t>A. Cadre constitutionnel et législatif</w:t>
      </w:r>
    </w:p>
    <w:p w14:paraId="54985317" w14:textId="77777777" w:rsidR="00CD3629" w:rsidRDefault="00CD3629" w:rsidP="00CD3629">
      <w:r>
        <w:t>L’interdiction de la torture ainsi que des traitements cruels, inhumains ou dégradants est explicitement consacrée par l’article 18 de la Constitution de la République du Tchad du 4 mai 2018, qui stipule que « nul ne peut être soumis à des sévices, à des traitements dégradants ou humiliants, ni à la torture ».</w:t>
      </w:r>
    </w:p>
    <w:p w14:paraId="72B8822D" w14:textId="77777777" w:rsidR="00CD3629" w:rsidRDefault="00CD3629" w:rsidP="00CD3629"/>
    <w:p w14:paraId="2903A36A" w14:textId="23E0B5C3" w:rsidR="00CD3629" w:rsidRDefault="00CD3629" w:rsidP="00CD3629">
      <w:r>
        <w:t>Conformément à cette disposition constitutionnelle, l’article 323 de la loi n°01/PR/2017 du 8 mai 2017 portant nouveau Code pénal reprend la définition de la torture telle qu’elle est formulée dans la Convention contre la torture et autres peines ou traitements cruels, inhumains ou dégradants. Les peines prévues pour ces actes vont de deux à vingt ans d’emprisonnement, traduisant la gravité accordée par le législateur à la répression de ces violations graves des droits humains.</w:t>
      </w:r>
    </w:p>
    <w:p w14:paraId="38B88E19" w14:textId="7EA9ACF0" w:rsidR="00CD3629" w:rsidRDefault="00CD3629" w:rsidP="00CD3629">
      <w:r>
        <w:t>S’agissant de la prescription, les délais de droit commun fixés aux articles 3 à 5 du Code de procédure pénale s’appliquent, soit trois ans pour les délits et dix ans pour les crimes, conformément au cadre juridique national.</w:t>
      </w:r>
    </w:p>
    <w:p w14:paraId="4B115D18" w14:textId="77777777" w:rsidR="00CD3629" w:rsidRDefault="00CD3629" w:rsidP="00CD3629">
      <w:r>
        <w:t>Cependant, malgré l’existence de ce dispositif légal, sa mise en œuvre effective reste confrontée à des défis importants, notamment en matière de poursuites judiciaires et de sanction des auteurs, en raison de l’impunité persistante et de la protection dont bénéficient certains responsables. Cette situation constitue un point d’attention majeur pour le respect par l’État de ses obligations internationales en matière de lutte contre la torture.</w:t>
      </w:r>
    </w:p>
    <w:p w14:paraId="4C90E04C" w14:textId="4E5C6EBE" w:rsidR="00A74D88" w:rsidRPr="00A74D88" w:rsidRDefault="00A74D88" w:rsidP="00CD3629">
      <w:pPr>
        <w:rPr>
          <w:b/>
          <w:bCs/>
        </w:rPr>
      </w:pPr>
      <w:r w:rsidRPr="00A74D88">
        <w:rPr>
          <w:b/>
          <w:bCs/>
        </w:rPr>
        <w:t>B. Cadre institutionnel et mécanismes nationaux de prévention</w:t>
      </w:r>
    </w:p>
    <w:p w14:paraId="3332FAED" w14:textId="77777777" w:rsidR="00CD3629" w:rsidRDefault="00CD3629" w:rsidP="00A74D88">
      <w:r w:rsidRPr="00CD3629">
        <w:t>Plusieurs institutions nationales, telles que le ministère de la Justice et la Commission Nationale des Droits de l’Homme, sont chargées de la surveillance et de la protection des droits fondamentaux. Cependant, elles demeurent confrontées à un déficit d’indépendance, à des ressources financières et humaines limitées, ainsi qu’à des capacités techniques insuffisantes. À ce jour, aucun mécanisme national de prévention de la torture pleinement opérationnel, conformément aux recommandations du Protocole facultatif à la Convention contre la torture (OPCAT), n’a été mis en place. Cette carence entrave la prévention systématique des violations dans les lieux de détention et autres contextes à risque.</w:t>
      </w:r>
    </w:p>
    <w:p w14:paraId="3D4B4B45" w14:textId="73162269" w:rsidR="00A74D88" w:rsidRPr="00A74D88" w:rsidRDefault="00A74D88" w:rsidP="00A74D88">
      <w:pPr>
        <w:rPr>
          <w:b/>
          <w:bCs/>
        </w:rPr>
      </w:pPr>
      <w:r w:rsidRPr="00A74D88">
        <w:rPr>
          <w:b/>
          <w:bCs/>
        </w:rPr>
        <w:lastRenderedPageBreak/>
        <w:t>V. Situation de la torture et des mauvais traitements au Tchad</w:t>
      </w:r>
    </w:p>
    <w:p w14:paraId="0C937AD9" w14:textId="77777777" w:rsidR="00A74D88" w:rsidRPr="00A74D88" w:rsidRDefault="00A74D88" w:rsidP="00A74D88">
      <w:pPr>
        <w:rPr>
          <w:b/>
          <w:bCs/>
        </w:rPr>
      </w:pPr>
      <w:r w:rsidRPr="00A74D88">
        <w:rPr>
          <w:b/>
          <w:bCs/>
        </w:rPr>
        <w:t>A. Pratiques de torture et mauvais traitements dans les lieux de détention</w:t>
      </w:r>
    </w:p>
    <w:p w14:paraId="10DC9613" w14:textId="77777777" w:rsidR="00A74D88" w:rsidRDefault="00A74D88" w:rsidP="00A74D88">
      <w:r>
        <w:t>La torture et les mauvais traitements restent fréquents dans les prisons, commissariats et centres de détention provisoire. Ces pratiques créent des conditions de détention inhumaines ou dégradantes et incluent des coups, des privations de nourriture et de soins médicaux, des humiliations... Certaines catégories de population sont plus exposées aux actes de torture et aux mauvais traitements : les femmes et enfants, les réfugiés, les détenus, les défenseurs des droits humains et les personnes politiquement engagées. Ces groupes font face à un double risque : la violence directe et l’absence de recours efficace ou de protection juridique.</w:t>
      </w:r>
    </w:p>
    <w:p w14:paraId="423968BC" w14:textId="6656D70A" w:rsidR="00A74D88" w:rsidRPr="00A74D88" w:rsidRDefault="00A74D88" w:rsidP="00A74D88">
      <w:pPr>
        <w:rPr>
          <w:b/>
          <w:bCs/>
        </w:rPr>
      </w:pPr>
      <w:r w:rsidRPr="00A74D88">
        <w:rPr>
          <w:b/>
          <w:bCs/>
        </w:rPr>
        <w:t>B. Impunité, accès à la justice et mécanismes de plainte</w:t>
      </w:r>
    </w:p>
    <w:p w14:paraId="2F73D721" w14:textId="77777777" w:rsidR="00A74D88" w:rsidRDefault="00A74D88" w:rsidP="00A74D88">
      <w:r>
        <w:t>L’impunité demeure largement répandue au Tchad et constitue un obstacle majeur à la prévention et à la lutte contre la torture. Les enquêtes indépendantes et crédibles restent rares, tout comme les poursuites judiciaires contre les auteurs présumés de violations graves.</w:t>
      </w:r>
    </w:p>
    <w:p w14:paraId="0A10D6DF" w14:textId="77777777" w:rsidR="00A74D88" w:rsidRDefault="00A74D88" w:rsidP="00A74D88">
      <w:r>
        <w:t>Dans ce contexte, les victimes rencontrent de nombreux obstacles pour accéder à la justice, notamment la peur de représailles, le manque d’assistance juridique, la méconnaissance de leurs droits à la réhabilitation et à la réparation, ainsi que l’absence de mécanismes de plainte accessibles et confidentiels.</w:t>
      </w:r>
    </w:p>
    <w:p w14:paraId="430FE03C" w14:textId="77777777" w:rsidR="00A74D88" w:rsidRDefault="00A74D88" w:rsidP="00A74D88">
      <w:r>
        <w:t>La faiblesse des recours nationaux limite ainsi que la dénonciation des abus et l’obtention de réparations, renforçant la vulnérabilité des survivants et compromettant les efforts de lutte contre la torture.VI. Défis, bonnes pratiques et perspectives</w:t>
      </w:r>
    </w:p>
    <w:p w14:paraId="531A329D" w14:textId="77777777" w:rsidR="00A74D88" w:rsidRDefault="00A74D88" w:rsidP="00A74D88">
      <w:r>
        <w:t>Défis et bonnes pratiques dans la lutte contre la torture au Tchad</w:t>
      </w:r>
    </w:p>
    <w:p w14:paraId="2F14A28E" w14:textId="77777777" w:rsidR="00A74D88" w:rsidRDefault="00A74D88" w:rsidP="00A74D88">
      <w:r>
        <w:t>La lutte contre la torture au Tchad demeure un enjeu majeur de protection des droits humains. Malgré certaines avancées institutionnelles et l’engagement de la société civile, de nombreux défis persistent et entravent l’éradication de cette pratique.</w:t>
      </w:r>
    </w:p>
    <w:p w14:paraId="59AEC369" w14:textId="77777777" w:rsidR="00A74D88" w:rsidRPr="00A74D88" w:rsidRDefault="00A74D88" w:rsidP="00A74D88">
      <w:pPr>
        <w:rPr>
          <w:b/>
          <w:bCs/>
        </w:rPr>
      </w:pPr>
      <w:r w:rsidRPr="00A74D88">
        <w:rPr>
          <w:b/>
          <w:bCs/>
        </w:rPr>
        <w:t>2. Bonnes pratiques et avancées observées</w:t>
      </w:r>
    </w:p>
    <w:p w14:paraId="208B8A48" w14:textId="77777777" w:rsidR="00A74D88" w:rsidRPr="00A31CFC" w:rsidRDefault="00A74D88" w:rsidP="00A74D88">
      <w:r w:rsidRPr="00A31CFC">
        <w:t>Malgré ces défis, certaines initiatives positives contribuent progressivement à renforcer la lutte contre la torture :</w:t>
      </w:r>
    </w:p>
    <w:p w14:paraId="2444BEA8" w14:textId="77777777" w:rsidR="00A74D88" w:rsidRDefault="00A74D88" w:rsidP="00A74D88">
      <w:r>
        <w:t>Engagement de la société civile : des organisations nationales, telles que l’Association Jeunesse pour la Paix et la Non-Violence et la Ligue tchadienne des droits de l’homme, jouent un rôle essentiel dans la documentation des violations, la sensibilisation et l’éducation des survivants de la torture sur leurs droits, ainsi que dans l’accompagnement des victimes et le plaidoyer en faveur de la justice et de la lutte contre l’impunité.</w:t>
      </w:r>
    </w:p>
    <w:p w14:paraId="134DBBCF" w14:textId="2C84797E" w:rsidR="00A74D88" w:rsidRDefault="00A74D88" w:rsidP="00A74D88">
      <w:r>
        <w:t>Assistance aux survivants : des programmes d’appui médical, psychosocial et juridique commencent à être mis en œuvre pour répondre aux besoins des victimes de torture.</w:t>
      </w:r>
    </w:p>
    <w:p w14:paraId="282A9DC9" w14:textId="77777777" w:rsidR="00A74D88" w:rsidRDefault="00A74D88" w:rsidP="00A74D88">
      <w:r>
        <w:lastRenderedPageBreak/>
        <w:t>Coopération avec les mécanismes internationaux : le Tchad participe aux cycles de l’EPU et reçoit des recommandations visant à améliorer la prévention et la répression de la torture.</w:t>
      </w:r>
    </w:p>
    <w:p w14:paraId="05F3FA98" w14:textId="77777777" w:rsidR="00A74D88" w:rsidRDefault="00A74D88" w:rsidP="00A74D88">
      <w:r>
        <w:t>Ratification de certains instruments internationaux : des progrès ont été réalisés dans l’adhésion à des conventions relatives aux droits humains, notamment la Convention relative aux droits des personnes handicapées et celle sur les droits des travailleurs migrants.</w:t>
      </w:r>
    </w:p>
    <w:p w14:paraId="7BE15323" w14:textId="77777777" w:rsidR="00A74D88" w:rsidRDefault="00A74D88" w:rsidP="00A74D88">
      <w:r>
        <w:t>Sensibilisation et formation : certaines actions de renforcement des capacités des acteurs judiciaires et des forces de sécurité sont menées avec l’appui de partenaires internationaux</w:t>
      </w:r>
    </w:p>
    <w:p w14:paraId="0E3F4F38" w14:textId="77777777" w:rsidR="00A74D88" w:rsidRPr="00A74D88" w:rsidRDefault="00A74D88" w:rsidP="00A74D88">
      <w:pPr>
        <w:rPr>
          <w:b/>
          <w:bCs/>
        </w:rPr>
      </w:pPr>
      <w:r w:rsidRPr="00A74D88">
        <w:rPr>
          <w:b/>
          <w:bCs/>
        </w:rPr>
        <w:t>Conclusion</w:t>
      </w:r>
    </w:p>
    <w:p w14:paraId="2DCEC13B" w14:textId="77777777" w:rsidR="00A74D88" w:rsidRDefault="00A74D88" w:rsidP="00A74D88">
      <w:r>
        <w:t xml:space="preserve">La lutte contre la torture au Tchad nécessite des réformes profondes, notamment la fin de l’impunité, la mise en place de mécanismes indépendants de prévention, l’amélioration de l’accès à la justice et l’adoption de politiques nationales de réparation et de réhabilitation. Les efforts de la société civile et les engagements internationaux constituent toutefois des bases importantes sur lesquelles renforcer une stratégie durable de prévention. </w:t>
      </w:r>
    </w:p>
    <w:p w14:paraId="6FD7BC83" w14:textId="77777777" w:rsidR="00A74D88" w:rsidRPr="00A74D88" w:rsidRDefault="00A74D88" w:rsidP="00A74D88">
      <w:pPr>
        <w:rPr>
          <w:b/>
          <w:bCs/>
        </w:rPr>
      </w:pPr>
      <w:bookmarkStart w:id="1" w:name="_Hlk221267951"/>
      <w:r w:rsidRPr="00A74D88">
        <w:rPr>
          <w:b/>
          <w:bCs/>
        </w:rPr>
        <w:t>VII. Recommandations</w:t>
      </w:r>
    </w:p>
    <w:bookmarkEnd w:id="1"/>
    <w:p w14:paraId="4267E3C0" w14:textId="77777777" w:rsidR="00A74D88" w:rsidRDefault="00A74D88" w:rsidP="00A74D88">
      <w:r>
        <w:t>Afin de renforcer la lutte contre la torture au Tchad et de garantir une meilleure protection des droits fondamentaux, nous appelons l’État tchadien et l’ensemble des acteurs concernés à prendre des mesures concrètes et urgentes.</w:t>
      </w:r>
    </w:p>
    <w:p w14:paraId="269927D3" w14:textId="77777777" w:rsidR="00A74D88" w:rsidRDefault="00A74D88" w:rsidP="00A74D88">
      <w:r>
        <w:t>Nous recommandons notamment de :</w:t>
      </w:r>
    </w:p>
    <w:p w14:paraId="5C9992C8" w14:textId="77777777" w:rsidR="00A74D88" w:rsidRDefault="00A74D88" w:rsidP="00A74D88">
      <w:r>
        <w:t>Adopter une législation spécifique criminalisant clairement la torture, en y intégrant des dispositions effectives de prévention, de poursuite des auteurs et de réparation des violations commises.</w:t>
      </w:r>
    </w:p>
    <w:p w14:paraId="0AA0E74A" w14:textId="77777777" w:rsidR="00A74D88" w:rsidRDefault="00A74D88" w:rsidP="00A74D88">
      <w:r>
        <w:t>Mettre en place un mécanisme national indépendant de prévention de la torture, conforme aux standards internationaux, en particulier ceux prévus par le Protocole facultatif à la Convention contre la torture (OPCAT).</w:t>
      </w:r>
    </w:p>
    <w:p w14:paraId="59D5B32F" w14:textId="77777777" w:rsidR="00A74D88" w:rsidRDefault="00A74D88" w:rsidP="00A74D88">
      <w:r>
        <w:t>Garantir un accès réel et effectif à la justice pour toutes les victimes, en assurant la conduite d’enquêtes rapides, impartiales et transparentes, ainsi que la poursuite systématique des responsables de violations graves.</w:t>
      </w:r>
    </w:p>
    <w:p w14:paraId="7647FFD7" w14:textId="77777777" w:rsidR="00A74D88" w:rsidRDefault="00A74D88" w:rsidP="00A74D88">
      <w:r>
        <w:t>Élaborer un programme national de réparation et de réhabilitation, permettant aux survivants de torture et de mauvais traitements de bénéficier d’une prise en charge médicale, psychosociale et juridique adaptée.</w:t>
      </w:r>
    </w:p>
    <w:p w14:paraId="432EDF47" w14:textId="77777777" w:rsidR="00A74D88" w:rsidRDefault="00A74D88" w:rsidP="00A74D88">
      <w:r>
        <w:t>Renforcer la protection des groupes les plus vulnérables, notamment les femmes, les enfants, les réfugiés, ainsi que les défenseurs des droits humains, souvent exposés à des risques accrus de violence et de représailles.</w:t>
      </w:r>
    </w:p>
    <w:p w14:paraId="78389084" w14:textId="77777777" w:rsidR="00A74D88" w:rsidRDefault="00A74D88" w:rsidP="00A74D88">
      <w:r>
        <w:lastRenderedPageBreak/>
        <w:t>Former et sensibiliser les forces de sécurité, les personnels pénitentiaires et les acteurs judiciaires aux normes internationales relatives aux droits humains et à l’interdiction absolue de la torture.</w:t>
      </w:r>
    </w:p>
    <w:p w14:paraId="2E840B38" w14:textId="2D0CFD1C" w:rsidR="002E0B8A" w:rsidRPr="00A74D88" w:rsidRDefault="00A74D88" w:rsidP="00A74D88">
      <w:r>
        <w:t>Soutenir et renforcer les capacités des organisations de la société civile engagées dans la prévention, la documentation des violations et l’accompagnement des victimes, afin qu’elles puissent poursuivre leur action de manière efficace et indépendante.</w:t>
      </w:r>
    </w:p>
    <w:sectPr w:rsidR="002E0B8A" w:rsidRPr="00A74D88">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852E19" w14:textId="77777777" w:rsidR="00D33FFB" w:rsidRDefault="00D33FFB" w:rsidP="00D33FFB">
      <w:pPr>
        <w:spacing w:after="0" w:line="240" w:lineRule="auto"/>
      </w:pPr>
      <w:r>
        <w:separator/>
      </w:r>
    </w:p>
  </w:endnote>
  <w:endnote w:type="continuationSeparator" w:id="0">
    <w:p w14:paraId="19F4B80E" w14:textId="77777777" w:rsidR="00D33FFB" w:rsidRDefault="00D33FFB" w:rsidP="00D33F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C2267" w14:textId="77777777" w:rsidR="00D33FFB" w:rsidRDefault="00D33FFB">
    <w:pPr>
      <w:pStyle w:val="Footer"/>
      <w:jc w:val="center"/>
      <w:rPr>
        <w:caps/>
        <w:color w:val="4472C4" w:themeColor="accent1"/>
      </w:rPr>
    </w:pPr>
    <w:r>
      <w:rPr>
        <w:caps/>
        <w:color w:val="4472C4" w:themeColor="accent1"/>
      </w:rPr>
      <w:fldChar w:fldCharType="begin"/>
    </w:r>
    <w:r>
      <w:rPr>
        <w:caps/>
        <w:color w:val="4472C4" w:themeColor="accent1"/>
      </w:rPr>
      <w:instrText>PAGE   \* MERGEFORMAT</w:instrText>
    </w:r>
    <w:r>
      <w:rPr>
        <w:caps/>
        <w:color w:val="4472C4" w:themeColor="accent1"/>
      </w:rPr>
      <w:fldChar w:fldCharType="separate"/>
    </w:r>
    <w:r>
      <w:rPr>
        <w:caps/>
        <w:color w:val="4472C4" w:themeColor="accent1"/>
      </w:rPr>
      <w:t>2</w:t>
    </w:r>
    <w:r>
      <w:rPr>
        <w:caps/>
        <w:color w:val="4472C4" w:themeColor="accent1"/>
      </w:rPr>
      <w:fldChar w:fldCharType="end"/>
    </w:r>
  </w:p>
  <w:p w14:paraId="0D73CAC1" w14:textId="77777777" w:rsidR="00D33FFB" w:rsidRDefault="00D33F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9ACCAD" w14:textId="77777777" w:rsidR="00D33FFB" w:rsidRDefault="00D33FFB" w:rsidP="00D33FFB">
      <w:pPr>
        <w:spacing w:after="0" w:line="240" w:lineRule="auto"/>
      </w:pPr>
      <w:r>
        <w:separator/>
      </w:r>
    </w:p>
  </w:footnote>
  <w:footnote w:type="continuationSeparator" w:id="0">
    <w:p w14:paraId="32C5CBA8" w14:textId="77777777" w:rsidR="00D33FFB" w:rsidRDefault="00D33FFB" w:rsidP="00D33F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FB7D1A"/>
    <w:multiLevelType w:val="hybridMultilevel"/>
    <w:tmpl w:val="37529314"/>
    <w:lvl w:ilvl="0" w:tplc="BDB2FFBA">
      <w:start w:val="1"/>
      <w:numFmt w:val="upperLetter"/>
      <w:lvlText w:val="%1."/>
      <w:lvlJc w:val="left"/>
      <w:pPr>
        <w:ind w:left="1290" w:hanging="360"/>
      </w:pPr>
      <w:rPr>
        <w:rFonts w:hint="default"/>
      </w:rPr>
    </w:lvl>
    <w:lvl w:ilvl="1" w:tplc="040C0019" w:tentative="1">
      <w:start w:val="1"/>
      <w:numFmt w:val="lowerLetter"/>
      <w:lvlText w:val="%2."/>
      <w:lvlJc w:val="left"/>
      <w:pPr>
        <w:ind w:left="2010" w:hanging="360"/>
      </w:pPr>
    </w:lvl>
    <w:lvl w:ilvl="2" w:tplc="040C001B" w:tentative="1">
      <w:start w:val="1"/>
      <w:numFmt w:val="lowerRoman"/>
      <w:lvlText w:val="%3."/>
      <w:lvlJc w:val="right"/>
      <w:pPr>
        <w:ind w:left="2730" w:hanging="180"/>
      </w:pPr>
    </w:lvl>
    <w:lvl w:ilvl="3" w:tplc="040C000F" w:tentative="1">
      <w:start w:val="1"/>
      <w:numFmt w:val="decimal"/>
      <w:lvlText w:val="%4."/>
      <w:lvlJc w:val="left"/>
      <w:pPr>
        <w:ind w:left="3450" w:hanging="360"/>
      </w:pPr>
    </w:lvl>
    <w:lvl w:ilvl="4" w:tplc="040C0019" w:tentative="1">
      <w:start w:val="1"/>
      <w:numFmt w:val="lowerLetter"/>
      <w:lvlText w:val="%5."/>
      <w:lvlJc w:val="left"/>
      <w:pPr>
        <w:ind w:left="4170" w:hanging="360"/>
      </w:pPr>
    </w:lvl>
    <w:lvl w:ilvl="5" w:tplc="040C001B" w:tentative="1">
      <w:start w:val="1"/>
      <w:numFmt w:val="lowerRoman"/>
      <w:lvlText w:val="%6."/>
      <w:lvlJc w:val="right"/>
      <w:pPr>
        <w:ind w:left="4890" w:hanging="180"/>
      </w:pPr>
    </w:lvl>
    <w:lvl w:ilvl="6" w:tplc="040C000F" w:tentative="1">
      <w:start w:val="1"/>
      <w:numFmt w:val="decimal"/>
      <w:lvlText w:val="%7."/>
      <w:lvlJc w:val="left"/>
      <w:pPr>
        <w:ind w:left="5610" w:hanging="360"/>
      </w:pPr>
    </w:lvl>
    <w:lvl w:ilvl="7" w:tplc="040C0019" w:tentative="1">
      <w:start w:val="1"/>
      <w:numFmt w:val="lowerLetter"/>
      <w:lvlText w:val="%8."/>
      <w:lvlJc w:val="left"/>
      <w:pPr>
        <w:ind w:left="6330" w:hanging="360"/>
      </w:pPr>
    </w:lvl>
    <w:lvl w:ilvl="8" w:tplc="040C001B" w:tentative="1">
      <w:start w:val="1"/>
      <w:numFmt w:val="lowerRoman"/>
      <w:lvlText w:val="%9."/>
      <w:lvlJc w:val="right"/>
      <w:pPr>
        <w:ind w:left="7050" w:hanging="180"/>
      </w:pPr>
    </w:lvl>
  </w:abstractNum>
  <w:abstractNum w:abstractNumId="1" w15:restartNumberingAfterBreak="0">
    <w:nsid w:val="7C6C7E44"/>
    <w:multiLevelType w:val="hybridMultilevel"/>
    <w:tmpl w:val="BBDA3250"/>
    <w:lvl w:ilvl="0" w:tplc="60D09B48">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464473127">
    <w:abstractNumId w:val="1"/>
  </w:num>
  <w:num w:numId="2" w16cid:durableId="10043580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0B8A"/>
    <w:rsid w:val="002E0B8A"/>
    <w:rsid w:val="004F5DED"/>
    <w:rsid w:val="006815BD"/>
    <w:rsid w:val="006F1D4E"/>
    <w:rsid w:val="00960545"/>
    <w:rsid w:val="00A039DE"/>
    <w:rsid w:val="00A31CFC"/>
    <w:rsid w:val="00A74D88"/>
    <w:rsid w:val="00C87975"/>
    <w:rsid w:val="00C930B4"/>
    <w:rsid w:val="00CD3629"/>
    <w:rsid w:val="00D33FF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6B85A"/>
  <w15:chartTrackingRefBased/>
  <w15:docId w15:val="{AF733115-6B97-46E8-B52E-A19BF334D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F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0B8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E0B8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E0B8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E0B8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E0B8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E0B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0B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0B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0B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0B8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E0B8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E0B8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E0B8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E0B8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E0B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0B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0B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0B8A"/>
    <w:rPr>
      <w:rFonts w:eastAsiaTheme="majorEastAsia" w:cstheme="majorBidi"/>
      <w:color w:val="272727" w:themeColor="text1" w:themeTint="D8"/>
    </w:rPr>
  </w:style>
  <w:style w:type="paragraph" w:styleId="Title">
    <w:name w:val="Title"/>
    <w:basedOn w:val="Normal"/>
    <w:next w:val="Normal"/>
    <w:link w:val="TitleChar"/>
    <w:uiPriority w:val="10"/>
    <w:qFormat/>
    <w:rsid w:val="002E0B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0B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0B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0B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0B8A"/>
    <w:pPr>
      <w:spacing w:before="160"/>
      <w:jc w:val="center"/>
    </w:pPr>
    <w:rPr>
      <w:i/>
      <w:iCs/>
      <w:color w:val="404040" w:themeColor="text1" w:themeTint="BF"/>
    </w:rPr>
  </w:style>
  <w:style w:type="character" w:customStyle="1" w:styleId="QuoteChar">
    <w:name w:val="Quote Char"/>
    <w:basedOn w:val="DefaultParagraphFont"/>
    <w:link w:val="Quote"/>
    <w:uiPriority w:val="29"/>
    <w:rsid w:val="002E0B8A"/>
    <w:rPr>
      <w:i/>
      <w:iCs/>
      <w:color w:val="404040" w:themeColor="text1" w:themeTint="BF"/>
    </w:rPr>
  </w:style>
  <w:style w:type="paragraph" w:styleId="ListParagraph">
    <w:name w:val="List Paragraph"/>
    <w:basedOn w:val="Normal"/>
    <w:uiPriority w:val="34"/>
    <w:qFormat/>
    <w:rsid w:val="002E0B8A"/>
    <w:pPr>
      <w:ind w:left="720"/>
      <w:contextualSpacing/>
    </w:pPr>
  </w:style>
  <w:style w:type="character" w:styleId="IntenseEmphasis">
    <w:name w:val="Intense Emphasis"/>
    <w:basedOn w:val="DefaultParagraphFont"/>
    <w:uiPriority w:val="21"/>
    <w:qFormat/>
    <w:rsid w:val="002E0B8A"/>
    <w:rPr>
      <w:i/>
      <w:iCs/>
      <w:color w:val="2F5496" w:themeColor="accent1" w:themeShade="BF"/>
    </w:rPr>
  </w:style>
  <w:style w:type="paragraph" w:styleId="IntenseQuote">
    <w:name w:val="Intense Quote"/>
    <w:basedOn w:val="Normal"/>
    <w:next w:val="Normal"/>
    <w:link w:val="IntenseQuoteChar"/>
    <w:uiPriority w:val="30"/>
    <w:qFormat/>
    <w:rsid w:val="002E0B8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E0B8A"/>
    <w:rPr>
      <w:i/>
      <w:iCs/>
      <w:color w:val="2F5496" w:themeColor="accent1" w:themeShade="BF"/>
    </w:rPr>
  </w:style>
  <w:style w:type="character" w:styleId="IntenseReference">
    <w:name w:val="Intense Reference"/>
    <w:basedOn w:val="DefaultParagraphFont"/>
    <w:uiPriority w:val="32"/>
    <w:qFormat/>
    <w:rsid w:val="002E0B8A"/>
    <w:rPr>
      <w:b/>
      <w:bCs/>
      <w:smallCaps/>
      <w:color w:val="2F5496" w:themeColor="accent1" w:themeShade="BF"/>
      <w:spacing w:val="5"/>
    </w:rPr>
  </w:style>
  <w:style w:type="paragraph" w:styleId="Header">
    <w:name w:val="header"/>
    <w:basedOn w:val="Normal"/>
    <w:link w:val="HeaderChar"/>
    <w:uiPriority w:val="99"/>
    <w:unhideWhenUsed/>
    <w:rsid w:val="00D33FFB"/>
    <w:pPr>
      <w:tabs>
        <w:tab w:val="center" w:pos="4536"/>
        <w:tab w:val="right" w:pos="9072"/>
      </w:tabs>
      <w:spacing w:after="0" w:line="240" w:lineRule="auto"/>
    </w:pPr>
  </w:style>
  <w:style w:type="character" w:customStyle="1" w:styleId="HeaderChar">
    <w:name w:val="Header Char"/>
    <w:basedOn w:val="DefaultParagraphFont"/>
    <w:link w:val="Header"/>
    <w:uiPriority w:val="99"/>
    <w:rsid w:val="00D33FFB"/>
  </w:style>
  <w:style w:type="paragraph" w:styleId="Footer">
    <w:name w:val="footer"/>
    <w:basedOn w:val="Normal"/>
    <w:link w:val="FooterChar"/>
    <w:uiPriority w:val="99"/>
    <w:unhideWhenUsed/>
    <w:rsid w:val="00D33FFB"/>
    <w:pPr>
      <w:tabs>
        <w:tab w:val="center" w:pos="4536"/>
        <w:tab w:val="right" w:pos="9072"/>
      </w:tabs>
      <w:spacing w:after="0" w:line="240" w:lineRule="auto"/>
    </w:pPr>
  </w:style>
  <w:style w:type="character" w:customStyle="1" w:styleId="FooterChar">
    <w:name w:val="Footer Char"/>
    <w:basedOn w:val="DefaultParagraphFont"/>
    <w:link w:val="Footer"/>
    <w:uiPriority w:val="99"/>
    <w:rsid w:val="00D33F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2277</Words>
  <Characters>12979</Characters>
  <Application>Microsoft Office Word</Application>
  <DocSecurity>0</DocSecurity>
  <Lines>108</Lines>
  <Paragraphs>30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15226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CHARBONEL</dc:creator>
  <cp:keywords/>
  <dc:description/>
  <cp:lastModifiedBy>Maeva Réné-Barry</cp:lastModifiedBy>
  <cp:revision>2</cp:revision>
  <dcterms:created xsi:type="dcterms:W3CDTF">2026-02-06T16:20:00Z</dcterms:created>
  <dcterms:modified xsi:type="dcterms:W3CDTF">2026-02-06T16:20:00Z</dcterms:modified>
</cp:coreProperties>
</file>