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790270" w14:textId="77777777" w:rsidR="00E65DAC" w:rsidRPr="0090395B" w:rsidRDefault="00E65DAC">
      <w:pPr>
        <w:ind w:left="360"/>
        <w:jc w:val="center"/>
        <w:rPr>
          <w:b/>
          <w:color w:val="000000" w:themeColor="text1"/>
          <w:sz w:val="28"/>
          <w:szCs w:val="28"/>
        </w:rPr>
      </w:pPr>
    </w:p>
    <w:p w14:paraId="425F6F2F" w14:textId="77777777" w:rsidR="00E65DAC" w:rsidRPr="0090395B" w:rsidRDefault="00CD35D0">
      <w:pPr>
        <w:spacing w:after="160" w:line="259" w:lineRule="auto"/>
        <w:jc w:val="center"/>
        <w:rPr>
          <w:b/>
          <w:color w:val="000000" w:themeColor="text1"/>
          <w:sz w:val="28"/>
          <w:szCs w:val="28"/>
        </w:rPr>
      </w:pPr>
      <w:r w:rsidRPr="0090395B">
        <w:rPr>
          <w:b/>
          <w:color w:val="000000" w:themeColor="text1"/>
          <w:sz w:val="28"/>
          <w:szCs w:val="28"/>
        </w:rPr>
        <w:t>INFORME SOBRE TRATA DE PERSONAS Y EXPLOTACIÓN DE LA PROSTITUCIÓN</w:t>
      </w:r>
    </w:p>
    <w:p w14:paraId="62393883" w14:textId="77777777" w:rsidR="00415BAE" w:rsidRPr="0090395B" w:rsidRDefault="00415BAE">
      <w:pPr>
        <w:spacing w:after="160" w:line="259" w:lineRule="auto"/>
        <w:jc w:val="center"/>
        <w:rPr>
          <w:b/>
          <w:color w:val="000000" w:themeColor="text1"/>
          <w:sz w:val="28"/>
          <w:szCs w:val="28"/>
        </w:rPr>
      </w:pPr>
      <w:r w:rsidRPr="0090395B">
        <w:rPr>
          <w:b/>
          <w:color w:val="000000" w:themeColor="text1"/>
          <w:sz w:val="28"/>
          <w:szCs w:val="28"/>
        </w:rPr>
        <w:t>ECUADOR</w:t>
      </w:r>
    </w:p>
    <w:p w14:paraId="4839DCA5" w14:textId="77777777" w:rsidR="0033556E" w:rsidRPr="0090395B" w:rsidRDefault="0033556E">
      <w:pPr>
        <w:spacing w:after="160" w:line="259" w:lineRule="auto"/>
        <w:jc w:val="center"/>
        <w:rPr>
          <w:color w:val="000000" w:themeColor="text1"/>
          <w:sz w:val="28"/>
          <w:szCs w:val="28"/>
        </w:rPr>
      </w:pPr>
      <w:r w:rsidRPr="0090395B">
        <w:rPr>
          <w:noProof/>
          <w:color w:val="000000" w:themeColor="text1"/>
        </w:rPr>
        <w:drawing>
          <wp:inline distT="0" distB="0" distL="0" distR="0" wp14:anchorId="2F3A393F" wp14:editId="67B2FCBA">
            <wp:extent cx="3238500" cy="914400"/>
            <wp:effectExtent l="0" t="0" r="0" b="0"/>
            <wp:docPr id="11" name="Imagen 11" descr="C:\Users\LIZI\Downloads\ISO DIGNIDAD + DERECH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LIZI\Downloads\ISO DIGNIDAD + DERECHO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38500" cy="914400"/>
                    </a:xfrm>
                    <a:prstGeom prst="rect">
                      <a:avLst/>
                    </a:prstGeom>
                    <a:noFill/>
                    <a:ln>
                      <a:noFill/>
                    </a:ln>
                  </pic:spPr>
                </pic:pic>
              </a:graphicData>
            </a:graphic>
          </wp:inline>
        </w:drawing>
      </w:r>
      <w:r w:rsidR="00415BAE" w:rsidRPr="0090395B">
        <w:rPr>
          <w:noProof/>
          <w:color w:val="000000" w:themeColor="text1"/>
          <w:sz w:val="28"/>
          <w:szCs w:val="28"/>
        </w:rPr>
        <w:drawing>
          <wp:inline distT="0" distB="0" distL="0" distR="0" wp14:anchorId="5896596A" wp14:editId="1AF11C4A">
            <wp:extent cx="2393315" cy="904875"/>
            <wp:effectExtent l="0" t="0" r="0" b="0"/>
            <wp:docPr id="7" name="Picture 1" descr="/Users/walleskaparejadiaz/Desktop/Screen Shot 2020-09-29 at 23.16.4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sers/walleskaparejadiaz/Desktop/Screen Shot 2020-09-29 at 23.16.47.png"/>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93315" cy="904875"/>
                    </a:xfrm>
                    <a:prstGeom prst="rect">
                      <a:avLst/>
                    </a:prstGeom>
                    <a:noFill/>
                    <a:ln>
                      <a:noFill/>
                    </a:ln>
                  </pic:spPr>
                </pic:pic>
              </a:graphicData>
            </a:graphic>
          </wp:inline>
        </w:drawing>
      </w:r>
    </w:p>
    <w:p w14:paraId="6ED284B9" w14:textId="77777777" w:rsidR="00E65DAC" w:rsidRPr="0090395B" w:rsidRDefault="0060446D">
      <w:pPr>
        <w:spacing w:after="160" w:line="259" w:lineRule="auto"/>
        <w:jc w:val="center"/>
        <w:rPr>
          <w:color w:val="000000" w:themeColor="text1"/>
          <w:sz w:val="28"/>
          <w:szCs w:val="28"/>
        </w:rPr>
      </w:pPr>
      <w:r>
        <w:rPr>
          <w:noProof/>
          <w:color w:val="000000" w:themeColor="text1"/>
          <w:sz w:val="28"/>
          <w:szCs w:val="28"/>
        </w:rPr>
        <w:pict w14:anchorId="2ED70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sers/walleskaparejadiaz/Desktop/CNME/LOGO FEDACC - copia.jpg" style="width:153.5pt;height:153.5pt;mso-width-percent:0;mso-height-percent:0;mso-width-percent:0;mso-height-percent:0">
            <v:imagedata r:id="rId9" o:title="LOGO FEDACC - copia"/>
          </v:shape>
        </w:pict>
      </w:r>
      <w:r w:rsidR="00140667" w:rsidRPr="0090395B">
        <w:rPr>
          <w:noProof/>
          <w:color w:val="000000" w:themeColor="text1"/>
        </w:rPr>
        <w:drawing>
          <wp:inline distT="0" distB="0" distL="0" distR="0" wp14:anchorId="097944CB" wp14:editId="0C50D7F2">
            <wp:extent cx="1750979" cy="1100323"/>
            <wp:effectExtent l="0" t="0" r="1905" b="5080"/>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70509" cy="1112596"/>
                    </a:xfrm>
                    <a:prstGeom prst="rect">
                      <a:avLst/>
                    </a:prstGeom>
                  </pic:spPr>
                </pic:pic>
              </a:graphicData>
            </a:graphic>
          </wp:inline>
        </w:drawing>
      </w:r>
      <w:r w:rsidR="00140667" w:rsidRPr="0090395B">
        <w:rPr>
          <w:noProof/>
          <w:color w:val="000000" w:themeColor="text1"/>
          <w:sz w:val="28"/>
          <w:szCs w:val="28"/>
        </w:rPr>
        <w:drawing>
          <wp:inline distT="0" distB="0" distL="0" distR="0" wp14:anchorId="14791B3C" wp14:editId="051688BE">
            <wp:extent cx="1436816" cy="2032053"/>
            <wp:effectExtent l="0" t="5715" r="0" b="5715"/>
            <wp:docPr id="6" name="Picture 6" descr="/Users/walleskaparejadiaz/Desktop/CNME/Logo F. Alas de Colibrí.jp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walleskaparejadiaz/Desktop/CNME/Logo F. Alas de Colibrí.jpg.pd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1473267" cy="2083605"/>
                    </a:xfrm>
                    <a:prstGeom prst="rect">
                      <a:avLst/>
                    </a:prstGeom>
                    <a:noFill/>
                    <a:ln>
                      <a:noFill/>
                    </a:ln>
                  </pic:spPr>
                </pic:pic>
              </a:graphicData>
            </a:graphic>
          </wp:inline>
        </w:drawing>
      </w:r>
    </w:p>
    <w:p w14:paraId="1D3AA4CC" w14:textId="77777777" w:rsidR="00E65DAC" w:rsidRPr="0090395B" w:rsidRDefault="00E65DAC">
      <w:pPr>
        <w:spacing w:after="160" w:line="259" w:lineRule="auto"/>
        <w:jc w:val="center"/>
        <w:rPr>
          <w:color w:val="000000" w:themeColor="text1"/>
          <w:sz w:val="28"/>
          <w:szCs w:val="28"/>
        </w:rPr>
      </w:pPr>
    </w:p>
    <w:p w14:paraId="6DD0D5B0" w14:textId="77777777" w:rsidR="007454E8" w:rsidRPr="0090395B" w:rsidRDefault="0060446D">
      <w:pPr>
        <w:jc w:val="center"/>
        <w:rPr>
          <w:color w:val="000000" w:themeColor="text1"/>
          <w:sz w:val="28"/>
          <w:szCs w:val="28"/>
        </w:rPr>
      </w:pPr>
      <w:r>
        <w:rPr>
          <w:noProof/>
          <w:color w:val="000000" w:themeColor="text1"/>
          <w:sz w:val="28"/>
          <w:szCs w:val="28"/>
        </w:rPr>
        <w:pict w14:anchorId="4C88A07D">
          <v:shape id="_x0000_i1026" type="#_x0000_t75" alt="/Users/walleskaparejadiaz/Desktop/CNME/MOVIMIENTO DE MUJERES DE EL ORO.jpg" style="width:225.5pt;height:102pt;mso-width-percent:0;mso-height-percent:0;mso-width-percent:0;mso-height-percent:0">
            <v:imagedata r:id="rId12" o:title="MOVIMIENTO DE MUJERES DE EL ORO"/>
          </v:shape>
        </w:pict>
      </w:r>
      <w:r w:rsidR="005769C6" w:rsidRPr="0090395B">
        <w:rPr>
          <w:color w:val="000000" w:themeColor="text1"/>
          <w:sz w:val="28"/>
          <w:szCs w:val="28"/>
        </w:rPr>
        <w:t xml:space="preserve">        </w:t>
      </w:r>
      <w:r>
        <w:rPr>
          <w:noProof/>
          <w:color w:val="000000" w:themeColor="text1"/>
          <w:sz w:val="28"/>
          <w:szCs w:val="28"/>
        </w:rPr>
        <w:pict w14:anchorId="3081AF7B">
          <v:shape id="_x0000_i1027" type="#_x0000_t75" alt="/Users/walleskaparejadiaz/Desktop/CNME/Logo SJRM.jpg" style="width:180pt;height:111pt;mso-width-percent:0;mso-height-percent:0;mso-width-percent:0;mso-height-percent:0">
            <v:imagedata r:id="rId13" o:title="Logo SJRM"/>
          </v:shape>
        </w:pict>
      </w:r>
    </w:p>
    <w:p w14:paraId="7FA2A7E3" w14:textId="77777777" w:rsidR="00415BAE" w:rsidRPr="0090395B" w:rsidRDefault="00415BAE">
      <w:pPr>
        <w:jc w:val="center"/>
        <w:rPr>
          <w:color w:val="000000" w:themeColor="text1"/>
          <w:sz w:val="28"/>
          <w:szCs w:val="28"/>
        </w:rPr>
      </w:pPr>
    </w:p>
    <w:p w14:paraId="1E0F9F7C" w14:textId="77777777" w:rsidR="00415BAE" w:rsidRPr="0090395B" w:rsidRDefault="00415BAE">
      <w:pPr>
        <w:jc w:val="center"/>
        <w:rPr>
          <w:b/>
          <w:i/>
          <w:color w:val="000000" w:themeColor="text1"/>
          <w:sz w:val="28"/>
          <w:szCs w:val="28"/>
        </w:rPr>
      </w:pPr>
      <w:r w:rsidRPr="0090395B">
        <w:rPr>
          <w:b/>
          <w:i/>
          <w:color w:val="000000" w:themeColor="text1"/>
          <w:sz w:val="28"/>
          <w:szCs w:val="28"/>
        </w:rPr>
        <w:t>Laboratorio Social de Género y Masculinidades</w:t>
      </w:r>
    </w:p>
    <w:p w14:paraId="586620CD" w14:textId="77777777" w:rsidR="00415BAE" w:rsidRPr="0090395B" w:rsidRDefault="00415BAE">
      <w:pPr>
        <w:jc w:val="center"/>
        <w:rPr>
          <w:color w:val="000000" w:themeColor="text1"/>
          <w:sz w:val="28"/>
          <w:szCs w:val="28"/>
        </w:rPr>
      </w:pPr>
    </w:p>
    <w:p w14:paraId="6105409F" w14:textId="77777777" w:rsidR="007454E8" w:rsidRPr="005C2273" w:rsidRDefault="007454E8">
      <w:pPr>
        <w:jc w:val="center"/>
        <w:rPr>
          <w:b/>
          <w:color w:val="000000" w:themeColor="text1"/>
          <w:sz w:val="24"/>
          <w:szCs w:val="24"/>
        </w:rPr>
      </w:pPr>
      <w:r w:rsidRPr="005C2273">
        <w:rPr>
          <w:b/>
          <w:color w:val="000000" w:themeColor="text1"/>
          <w:sz w:val="24"/>
          <w:szCs w:val="24"/>
        </w:rPr>
        <w:t>Con el apoyo de:</w:t>
      </w:r>
    </w:p>
    <w:p w14:paraId="218D0009" w14:textId="77777777" w:rsidR="00E65DAC" w:rsidRPr="005C2273" w:rsidRDefault="0033556E" w:rsidP="00415BAE">
      <w:pPr>
        <w:ind w:left="280"/>
        <w:jc w:val="center"/>
        <w:rPr>
          <w:b/>
          <w:i/>
          <w:color w:val="000000" w:themeColor="text1"/>
          <w:sz w:val="24"/>
          <w:szCs w:val="24"/>
        </w:rPr>
      </w:pPr>
      <w:r w:rsidRPr="005C2273">
        <w:rPr>
          <w:b/>
          <w:noProof/>
          <w:color w:val="000000" w:themeColor="text1"/>
          <w:sz w:val="24"/>
          <w:szCs w:val="24"/>
          <w:lang w:val="es-ES"/>
        </w:rPr>
        <w:drawing>
          <wp:inline distT="0" distB="0" distL="0" distR="0" wp14:anchorId="7A35D3E0" wp14:editId="7E0E428A">
            <wp:extent cx="2723744" cy="742017"/>
            <wp:effectExtent l="0" t="0" r="0" b="0"/>
            <wp:docPr id="2" name="Picture 2" descr="/Users/walleskaparejadiaz/Desktop/Screen Shot 2020-09-29 at 15.42.2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sers/walleskaparejadiaz/Desktop/Screen Shot 2020-09-29 at 15.42.21.png"/>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23744" cy="742017"/>
                    </a:xfrm>
                    <a:prstGeom prst="rect">
                      <a:avLst/>
                    </a:prstGeom>
                    <a:noFill/>
                    <a:ln>
                      <a:noFill/>
                    </a:ln>
                  </pic:spPr>
                </pic:pic>
              </a:graphicData>
            </a:graphic>
          </wp:inline>
        </w:drawing>
      </w:r>
      <w:r w:rsidR="00CD35D0" w:rsidRPr="005C2273">
        <w:rPr>
          <w:b/>
          <w:i/>
          <w:color w:val="000000" w:themeColor="text1"/>
          <w:sz w:val="24"/>
          <w:szCs w:val="24"/>
        </w:rPr>
        <w:t xml:space="preserve"> </w:t>
      </w:r>
    </w:p>
    <w:p w14:paraId="39471ECE" w14:textId="77777777" w:rsidR="00E65DAC" w:rsidRPr="005C2273" w:rsidRDefault="00CD35D0">
      <w:pPr>
        <w:ind w:left="360"/>
        <w:jc w:val="center"/>
        <w:rPr>
          <w:b/>
          <w:color w:val="000000" w:themeColor="text1"/>
          <w:sz w:val="24"/>
          <w:szCs w:val="24"/>
        </w:rPr>
      </w:pPr>
      <w:r w:rsidRPr="005C2273">
        <w:rPr>
          <w:b/>
          <w:color w:val="000000" w:themeColor="text1"/>
          <w:sz w:val="24"/>
          <w:szCs w:val="24"/>
        </w:rPr>
        <w:t>Septiembre, 2020</w:t>
      </w:r>
    </w:p>
    <w:p w14:paraId="78758DE3" w14:textId="77777777" w:rsidR="00E65DAC" w:rsidRPr="0090395B" w:rsidRDefault="00E65DAC">
      <w:pPr>
        <w:ind w:left="360"/>
        <w:jc w:val="center"/>
        <w:rPr>
          <w:b/>
          <w:color w:val="000000" w:themeColor="text1"/>
        </w:rPr>
      </w:pPr>
    </w:p>
    <w:p w14:paraId="50D1417D" w14:textId="77777777" w:rsidR="00E65DAC" w:rsidRPr="0090395B" w:rsidRDefault="00E65DAC">
      <w:pPr>
        <w:ind w:left="360"/>
        <w:jc w:val="center"/>
        <w:rPr>
          <w:b/>
          <w:color w:val="000000" w:themeColor="text1"/>
        </w:rPr>
      </w:pPr>
    </w:p>
    <w:p w14:paraId="06CA345A" w14:textId="77777777" w:rsidR="00E65DAC" w:rsidRPr="0090395B" w:rsidRDefault="00E65DAC">
      <w:pPr>
        <w:ind w:left="360"/>
        <w:jc w:val="center"/>
        <w:rPr>
          <w:b/>
          <w:color w:val="000000" w:themeColor="text1"/>
        </w:rPr>
      </w:pPr>
    </w:p>
    <w:p w14:paraId="16470F4E" w14:textId="77777777" w:rsidR="00E65DAC" w:rsidRPr="0090395B" w:rsidRDefault="00E65DAC">
      <w:pPr>
        <w:ind w:left="360"/>
        <w:jc w:val="center"/>
        <w:rPr>
          <w:b/>
          <w:color w:val="000000" w:themeColor="text1"/>
        </w:rPr>
      </w:pPr>
    </w:p>
    <w:p w14:paraId="3F22D610" w14:textId="77777777" w:rsidR="00E65DAC" w:rsidRPr="0090395B" w:rsidRDefault="00E65DAC">
      <w:pPr>
        <w:ind w:left="360"/>
        <w:jc w:val="center"/>
        <w:rPr>
          <w:b/>
          <w:color w:val="000000" w:themeColor="text1"/>
        </w:rPr>
      </w:pPr>
    </w:p>
    <w:p w14:paraId="367AFC87" w14:textId="77777777" w:rsidR="00E65DAC" w:rsidRPr="0090395B" w:rsidRDefault="00E65DAC">
      <w:pPr>
        <w:ind w:left="360"/>
        <w:jc w:val="center"/>
        <w:rPr>
          <w:b/>
          <w:color w:val="000000" w:themeColor="text1"/>
        </w:rPr>
      </w:pPr>
    </w:p>
    <w:p w14:paraId="2736A348" w14:textId="77777777" w:rsidR="00E65DAC" w:rsidRPr="0090395B" w:rsidRDefault="00E65DAC">
      <w:pPr>
        <w:ind w:left="360"/>
        <w:jc w:val="center"/>
        <w:rPr>
          <w:b/>
          <w:color w:val="000000" w:themeColor="text1"/>
        </w:rPr>
      </w:pPr>
    </w:p>
    <w:p w14:paraId="7622CBA2" w14:textId="77777777" w:rsidR="00E65DAC" w:rsidRPr="0090395B" w:rsidRDefault="00E65DAC">
      <w:pPr>
        <w:rPr>
          <w:b/>
          <w:color w:val="000000" w:themeColor="text1"/>
        </w:rPr>
      </w:pPr>
    </w:p>
    <w:p w14:paraId="2FEAF4D2" w14:textId="77777777" w:rsidR="00E65DAC" w:rsidRPr="0090395B" w:rsidRDefault="00E65DAC">
      <w:pPr>
        <w:ind w:left="-560"/>
        <w:jc w:val="both"/>
        <w:rPr>
          <w:color w:val="000000" w:themeColor="text1"/>
        </w:rPr>
      </w:pPr>
    </w:p>
    <w:p w14:paraId="63BEF693" w14:textId="77777777" w:rsidR="00E65DAC" w:rsidRPr="0090395B" w:rsidRDefault="00E65DAC">
      <w:pPr>
        <w:ind w:left="-560"/>
        <w:jc w:val="both"/>
        <w:rPr>
          <w:color w:val="000000" w:themeColor="text1"/>
        </w:rPr>
      </w:pPr>
    </w:p>
    <w:p w14:paraId="300660E3" w14:textId="77777777" w:rsidR="00E65DAC" w:rsidRPr="0090395B" w:rsidRDefault="00E65DAC">
      <w:pPr>
        <w:ind w:left="-560"/>
        <w:jc w:val="both"/>
        <w:rPr>
          <w:color w:val="000000" w:themeColor="text1"/>
        </w:rPr>
      </w:pPr>
    </w:p>
    <w:p w14:paraId="7FBFA520" w14:textId="77777777" w:rsidR="00E65DAC" w:rsidRPr="0090395B" w:rsidRDefault="00E65DAC">
      <w:pPr>
        <w:ind w:left="-560"/>
        <w:jc w:val="both"/>
        <w:rPr>
          <w:color w:val="000000" w:themeColor="text1"/>
        </w:rPr>
      </w:pPr>
    </w:p>
    <w:p w14:paraId="762EB375" w14:textId="77777777" w:rsidR="00E65DAC" w:rsidRPr="0090395B" w:rsidRDefault="00E65DAC">
      <w:pPr>
        <w:ind w:left="-560"/>
        <w:jc w:val="both"/>
        <w:rPr>
          <w:color w:val="000000" w:themeColor="text1"/>
        </w:rPr>
      </w:pPr>
    </w:p>
    <w:p w14:paraId="78A79300" w14:textId="77777777" w:rsidR="00E65DAC" w:rsidRPr="0090395B" w:rsidRDefault="00E65DAC">
      <w:pPr>
        <w:ind w:left="-560"/>
        <w:jc w:val="both"/>
        <w:rPr>
          <w:color w:val="000000" w:themeColor="text1"/>
        </w:rPr>
      </w:pPr>
    </w:p>
    <w:p w14:paraId="4FBF5ECF" w14:textId="77777777" w:rsidR="00E65DAC" w:rsidRPr="0090395B" w:rsidRDefault="00E65DAC">
      <w:pPr>
        <w:ind w:left="-560"/>
        <w:jc w:val="both"/>
        <w:rPr>
          <w:color w:val="000000" w:themeColor="text1"/>
        </w:rPr>
      </w:pPr>
    </w:p>
    <w:p w14:paraId="7BA5161E" w14:textId="77777777" w:rsidR="00E65DAC" w:rsidRPr="0090395B" w:rsidRDefault="00E65DAC">
      <w:pPr>
        <w:ind w:left="-560"/>
        <w:jc w:val="both"/>
        <w:rPr>
          <w:color w:val="000000" w:themeColor="text1"/>
        </w:rPr>
      </w:pPr>
    </w:p>
    <w:p w14:paraId="074E84D2" w14:textId="77777777" w:rsidR="00E65DAC" w:rsidRPr="0090395B" w:rsidRDefault="00E65DAC">
      <w:pPr>
        <w:ind w:left="-560"/>
        <w:jc w:val="both"/>
        <w:rPr>
          <w:color w:val="000000" w:themeColor="text1"/>
        </w:rPr>
      </w:pPr>
    </w:p>
    <w:p w14:paraId="6A4A32F2" w14:textId="77777777" w:rsidR="00E65DAC" w:rsidRPr="0090395B" w:rsidRDefault="00E65DAC">
      <w:pPr>
        <w:ind w:left="-560"/>
        <w:jc w:val="both"/>
        <w:rPr>
          <w:color w:val="000000" w:themeColor="text1"/>
        </w:rPr>
      </w:pPr>
    </w:p>
    <w:p w14:paraId="3B9152C5" w14:textId="77777777" w:rsidR="00E65DAC" w:rsidRPr="0090395B" w:rsidRDefault="00E65DAC">
      <w:pPr>
        <w:ind w:left="-560"/>
        <w:jc w:val="both"/>
        <w:rPr>
          <w:color w:val="000000" w:themeColor="text1"/>
        </w:rPr>
      </w:pPr>
    </w:p>
    <w:p w14:paraId="512115C6" w14:textId="77777777" w:rsidR="00E65DAC" w:rsidRPr="0090395B" w:rsidRDefault="00E65DAC">
      <w:pPr>
        <w:ind w:left="-560"/>
        <w:jc w:val="both"/>
        <w:rPr>
          <w:color w:val="000000" w:themeColor="text1"/>
        </w:rPr>
      </w:pPr>
    </w:p>
    <w:p w14:paraId="7D4D2E55" w14:textId="77777777" w:rsidR="00E65DAC" w:rsidRPr="0090395B" w:rsidRDefault="00E65DAC">
      <w:pPr>
        <w:ind w:left="-560"/>
        <w:jc w:val="both"/>
        <w:rPr>
          <w:color w:val="000000" w:themeColor="text1"/>
        </w:rPr>
      </w:pPr>
    </w:p>
    <w:p w14:paraId="14F7782E" w14:textId="77777777" w:rsidR="00E65DAC" w:rsidRPr="0090395B" w:rsidRDefault="00E65DAC">
      <w:pPr>
        <w:ind w:left="-560"/>
        <w:jc w:val="both"/>
        <w:rPr>
          <w:color w:val="000000" w:themeColor="text1"/>
        </w:rPr>
      </w:pPr>
    </w:p>
    <w:p w14:paraId="74CA3594" w14:textId="77777777" w:rsidR="00E65DAC" w:rsidRPr="0090395B" w:rsidRDefault="00E65DAC">
      <w:pPr>
        <w:ind w:left="-560"/>
        <w:jc w:val="both"/>
        <w:rPr>
          <w:color w:val="000000" w:themeColor="text1"/>
        </w:rPr>
      </w:pPr>
    </w:p>
    <w:p w14:paraId="0C7669CD" w14:textId="77777777" w:rsidR="00E65DAC" w:rsidRPr="0090395B" w:rsidRDefault="00E65DAC">
      <w:pPr>
        <w:ind w:left="-560"/>
        <w:jc w:val="both"/>
        <w:rPr>
          <w:color w:val="000000" w:themeColor="text1"/>
        </w:rPr>
      </w:pPr>
    </w:p>
    <w:p w14:paraId="35C59AD7" w14:textId="77777777" w:rsidR="00E65DAC" w:rsidRPr="0090395B" w:rsidRDefault="00E65DAC">
      <w:pPr>
        <w:ind w:left="-560"/>
        <w:jc w:val="both"/>
        <w:rPr>
          <w:color w:val="000000" w:themeColor="text1"/>
        </w:rPr>
      </w:pPr>
    </w:p>
    <w:p w14:paraId="78D1FAE0" w14:textId="77777777" w:rsidR="00E65DAC" w:rsidRPr="0090395B" w:rsidRDefault="00E65DAC">
      <w:pPr>
        <w:ind w:left="-560"/>
        <w:jc w:val="both"/>
        <w:rPr>
          <w:color w:val="000000" w:themeColor="text1"/>
        </w:rPr>
      </w:pPr>
    </w:p>
    <w:p w14:paraId="2A925C3C" w14:textId="77777777" w:rsidR="00E65DAC" w:rsidRPr="0090395B" w:rsidRDefault="00E65DAC">
      <w:pPr>
        <w:ind w:left="-560"/>
        <w:jc w:val="both"/>
        <w:rPr>
          <w:color w:val="000000" w:themeColor="text1"/>
        </w:rPr>
      </w:pPr>
    </w:p>
    <w:p w14:paraId="4BE94330" w14:textId="77777777" w:rsidR="00E65DAC" w:rsidRPr="0090395B" w:rsidRDefault="00E65DAC">
      <w:pPr>
        <w:ind w:left="-560"/>
        <w:jc w:val="both"/>
        <w:rPr>
          <w:color w:val="000000" w:themeColor="text1"/>
        </w:rPr>
      </w:pPr>
    </w:p>
    <w:p w14:paraId="4EC356A9" w14:textId="77777777" w:rsidR="00E65DAC" w:rsidRPr="0090395B" w:rsidRDefault="00E65DAC">
      <w:pPr>
        <w:ind w:left="-560"/>
        <w:jc w:val="both"/>
        <w:rPr>
          <w:color w:val="000000" w:themeColor="text1"/>
        </w:rPr>
      </w:pPr>
    </w:p>
    <w:p w14:paraId="36E08383" w14:textId="77777777" w:rsidR="00E65DAC" w:rsidRPr="0090395B" w:rsidRDefault="00E65DAC">
      <w:pPr>
        <w:ind w:left="-560"/>
        <w:jc w:val="both"/>
        <w:rPr>
          <w:color w:val="000000" w:themeColor="text1"/>
        </w:rPr>
      </w:pPr>
    </w:p>
    <w:p w14:paraId="5E220491" w14:textId="77777777" w:rsidR="00E65DAC" w:rsidRPr="0090395B" w:rsidRDefault="00E65DAC">
      <w:pPr>
        <w:ind w:left="-560"/>
        <w:jc w:val="both"/>
        <w:rPr>
          <w:color w:val="000000" w:themeColor="text1"/>
        </w:rPr>
      </w:pPr>
    </w:p>
    <w:p w14:paraId="5A160F8F" w14:textId="77777777" w:rsidR="00E65DAC" w:rsidRPr="0090395B" w:rsidRDefault="00E65DAC">
      <w:pPr>
        <w:ind w:left="-560"/>
        <w:jc w:val="both"/>
        <w:rPr>
          <w:color w:val="000000" w:themeColor="text1"/>
        </w:rPr>
      </w:pPr>
    </w:p>
    <w:p w14:paraId="1B5FB579" w14:textId="77777777" w:rsidR="00E65DAC" w:rsidRPr="0090395B" w:rsidRDefault="00E65DAC">
      <w:pPr>
        <w:ind w:left="-560"/>
        <w:jc w:val="both"/>
        <w:rPr>
          <w:color w:val="000000" w:themeColor="text1"/>
        </w:rPr>
      </w:pPr>
    </w:p>
    <w:p w14:paraId="41C1923D" w14:textId="77777777" w:rsidR="00E65DAC" w:rsidRPr="0090395B" w:rsidRDefault="00E65DAC">
      <w:pPr>
        <w:ind w:left="-560"/>
        <w:jc w:val="both"/>
        <w:rPr>
          <w:color w:val="000000" w:themeColor="text1"/>
        </w:rPr>
      </w:pPr>
    </w:p>
    <w:p w14:paraId="3A13F93D" w14:textId="77777777" w:rsidR="00E65DAC" w:rsidRPr="0090395B" w:rsidRDefault="00E65DAC">
      <w:pPr>
        <w:ind w:left="-560"/>
        <w:jc w:val="both"/>
        <w:rPr>
          <w:color w:val="000000" w:themeColor="text1"/>
        </w:rPr>
      </w:pPr>
    </w:p>
    <w:p w14:paraId="2B4D7327" w14:textId="77777777" w:rsidR="00E65DAC" w:rsidRPr="0090395B" w:rsidRDefault="00E65DAC">
      <w:pPr>
        <w:ind w:left="-560"/>
        <w:jc w:val="both"/>
        <w:rPr>
          <w:color w:val="000000" w:themeColor="text1"/>
        </w:rPr>
      </w:pPr>
    </w:p>
    <w:p w14:paraId="5547586A" w14:textId="77777777" w:rsidR="00E65DAC" w:rsidRPr="0090395B" w:rsidRDefault="00E65DAC">
      <w:pPr>
        <w:ind w:left="-560"/>
        <w:jc w:val="both"/>
        <w:rPr>
          <w:color w:val="000000" w:themeColor="text1"/>
        </w:rPr>
      </w:pPr>
    </w:p>
    <w:p w14:paraId="2D17ABA8" w14:textId="77777777" w:rsidR="00E65DAC" w:rsidRPr="0090395B" w:rsidRDefault="00E65DAC">
      <w:pPr>
        <w:ind w:left="-560"/>
        <w:jc w:val="both"/>
        <w:rPr>
          <w:color w:val="000000" w:themeColor="text1"/>
        </w:rPr>
      </w:pPr>
    </w:p>
    <w:p w14:paraId="00211B03" w14:textId="77777777" w:rsidR="00E65DAC" w:rsidRPr="0090395B" w:rsidRDefault="00E65DAC">
      <w:pPr>
        <w:ind w:left="-560"/>
        <w:jc w:val="both"/>
        <w:rPr>
          <w:color w:val="000000" w:themeColor="text1"/>
        </w:rPr>
      </w:pPr>
    </w:p>
    <w:p w14:paraId="1115E070" w14:textId="77777777" w:rsidR="00E65DAC" w:rsidRPr="0090395B" w:rsidRDefault="00E65DAC">
      <w:pPr>
        <w:ind w:left="-560"/>
        <w:jc w:val="both"/>
        <w:rPr>
          <w:color w:val="000000" w:themeColor="text1"/>
        </w:rPr>
      </w:pPr>
    </w:p>
    <w:p w14:paraId="0F4FF1D3" w14:textId="77777777" w:rsidR="00E65DAC" w:rsidRPr="0090395B" w:rsidRDefault="00E65DAC">
      <w:pPr>
        <w:ind w:left="-560"/>
        <w:jc w:val="both"/>
        <w:rPr>
          <w:color w:val="000000" w:themeColor="text1"/>
        </w:rPr>
      </w:pPr>
    </w:p>
    <w:p w14:paraId="08FCD1ED" w14:textId="77777777" w:rsidR="00E65DAC" w:rsidRPr="0090395B" w:rsidRDefault="00E65DAC">
      <w:pPr>
        <w:ind w:left="-560"/>
        <w:jc w:val="both"/>
        <w:rPr>
          <w:color w:val="000000" w:themeColor="text1"/>
        </w:rPr>
      </w:pPr>
    </w:p>
    <w:p w14:paraId="660E2574" w14:textId="77777777" w:rsidR="00E65DAC" w:rsidRPr="0090395B" w:rsidRDefault="00E65DAC">
      <w:pPr>
        <w:ind w:left="-560"/>
        <w:jc w:val="both"/>
        <w:rPr>
          <w:color w:val="000000" w:themeColor="text1"/>
        </w:rPr>
      </w:pPr>
    </w:p>
    <w:p w14:paraId="47BFB38E" w14:textId="77777777" w:rsidR="00E65DAC" w:rsidRPr="0090395B" w:rsidRDefault="00E65DAC">
      <w:pPr>
        <w:ind w:left="-560"/>
        <w:jc w:val="both"/>
        <w:rPr>
          <w:color w:val="000000" w:themeColor="text1"/>
        </w:rPr>
      </w:pPr>
    </w:p>
    <w:p w14:paraId="20582787" w14:textId="77777777" w:rsidR="00E65DAC" w:rsidRPr="0090395B" w:rsidRDefault="00E65DAC">
      <w:pPr>
        <w:ind w:left="-560"/>
        <w:jc w:val="both"/>
        <w:rPr>
          <w:color w:val="000000" w:themeColor="text1"/>
        </w:rPr>
      </w:pPr>
    </w:p>
    <w:p w14:paraId="70F130D2" w14:textId="77777777" w:rsidR="00E65DAC" w:rsidRPr="0090395B" w:rsidRDefault="00E65DAC">
      <w:pPr>
        <w:ind w:left="-560"/>
        <w:jc w:val="both"/>
        <w:rPr>
          <w:color w:val="000000" w:themeColor="text1"/>
        </w:rPr>
      </w:pPr>
    </w:p>
    <w:p w14:paraId="6FEACCC4" w14:textId="77777777" w:rsidR="00731A9E" w:rsidRPr="0090395B" w:rsidRDefault="00731A9E">
      <w:pPr>
        <w:ind w:left="-560"/>
        <w:jc w:val="both"/>
        <w:rPr>
          <w:color w:val="000000" w:themeColor="text1"/>
        </w:rPr>
      </w:pPr>
    </w:p>
    <w:p w14:paraId="1DBE6B60" w14:textId="77777777" w:rsidR="00731A9E" w:rsidRPr="0090395B" w:rsidRDefault="00731A9E">
      <w:pPr>
        <w:ind w:left="-560"/>
        <w:jc w:val="both"/>
        <w:rPr>
          <w:color w:val="000000" w:themeColor="text1"/>
        </w:rPr>
      </w:pPr>
    </w:p>
    <w:p w14:paraId="2D29F235" w14:textId="77777777" w:rsidR="00E65DAC" w:rsidRPr="0090395B" w:rsidRDefault="00E65DAC">
      <w:pPr>
        <w:ind w:left="-560"/>
        <w:jc w:val="both"/>
        <w:rPr>
          <w:color w:val="000000" w:themeColor="text1"/>
        </w:rPr>
      </w:pPr>
    </w:p>
    <w:p w14:paraId="3D3D94CD" w14:textId="77777777" w:rsidR="00E65DAC" w:rsidRPr="0090395B" w:rsidRDefault="00E65DAC">
      <w:pPr>
        <w:ind w:left="-560"/>
        <w:jc w:val="both"/>
        <w:rPr>
          <w:color w:val="000000" w:themeColor="text1"/>
        </w:rPr>
      </w:pPr>
    </w:p>
    <w:p w14:paraId="7E824320" w14:textId="77777777" w:rsidR="00E65DAC" w:rsidRPr="0090395B" w:rsidRDefault="00CD35D0">
      <w:pPr>
        <w:shd w:val="clear" w:color="auto" w:fill="FFFFFF"/>
        <w:jc w:val="both"/>
        <w:rPr>
          <w:color w:val="000000" w:themeColor="text1"/>
        </w:rPr>
      </w:pPr>
      <w:r w:rsidRPr="0090395B">
        <w:rPr>
          <w:i/>
          <w:color w:val="000000" w:themeColor="text1"/>
        </w:rPr>
        <w:t xml:space="preserve">Agradecimientos especiales al Fondo Ágil, ONU Mujeres, y todas las organizaciones y redes que hicieron posible este informe. </w:t>
      </w:r>
    </w:p>
    <w:p w14:paraId="66562DD7" w14:textId="77777777" w:rsidR="004C7016" w:rsidRPr="0090395B" w:rsidRDefault="004C7016" w:rsidP="00731A9E">
      <w:pPr>
        <w:jc w:val="center"/>
        <w:rPr>
          <w:b/>
          <w:i/>
          <w:color w:val="000000" w:themeColor="text1"/>
          <w:u w:val="single"/>
        </w:rPr>
      </w:pPr>
    </w:p>
    <w:p w14:paraId="13297DD4" w14:textId="77777777" w:rsidR="00731A9E" w:rsidRPr="0090395B" w:rsidRDefault="00CD35D0" w:rsidP="00731A9E">
      <w:pPr>
        <w:jc w:val="center"/>
        <w:rPr>
          <w:b/>
          <w:i/>
          <w:color w:val="000000" w:themeColor="text1"/>
        </w:rPr>
      </w:pPr>
      <w:r w:rsidRPr="0090395B">
        <w:rPr>
          <w:b/>
          <w:i/>
          <w:color w:val="000000" w:themeColor="text1"/>
        </w:rPr>
        <w:lastRenderedPageBreak/>
        <w:t>TRATA DE PERSONAS Y EXPLOTACIÓN DE LA PROSTITUCIÓN</w:t>
      </w:r>
    </w:p>
    <w:p w14:paraId="39CCF6FF" w14:textId="77777777" w:rsidR="00E65DAC" w:rsidRPr="005C2273" w:rsidRDefault="00CD35D0" w:rsidP="005C2273">
      <w:pPr>
        <w:jc w:val="center"/>
        <w:rPr>
          <w:i/>
          <w:color w:val="000000" w:themeColor="text1"/>
        </w:rPr>
      </w:pPr>
      <w:r w:rsidRPr="0090395B">
        <w:rPr>
          <w:i/>
          <w:color w:val="000000" w:themeColor="text1"/>
          <w:sz w:val="20"/>
          <w:szCs w:val="20"/>
        </w:rPr>
        <w:t xml:space="preserve">párrafo 9 de la </w:t>
      </w:r>
      <w:r w:rsidR="00731A9E" w:rsidRPr="0090395B">
        <w:rPr>
          <w:i/>
          <w:color w:val="000000" w:themeColor="text1"/>
          <w:sz w:val="20"/>
          <w:szCs w:val="20"/>
        </w:rPr>
        <w:t>l</w:t>
      </w:r>
      <w:r w:rsidRPr="0090395B">
        <w:rPr>
          <w:i/>
          <w:color w:val="000000" w:themeColor="text1"/>
          <w:sz w:val="20"/>
          <w:szCs w:val="20"/>
        </w:rPr>
        <w:t>ista de</w:t>
      </w:r>
      <w:r w:rsidR="00731A9E" w:rsidRPr="0090395B">
        <w:rPr>
          <w:i/>
          <w:color w:val="000000" w:themeColor="text1"/>
          <w:sz w:val="20"/>
          <w:szCs w:val="20"/>
        </w:rPr>
        <w:t xml:space="preserve"> c</w:t>
      </w:r>
      <w:r w:rsidRPr="0090395B">
        <w:rPr>
          <w:i/>
          <w:color w:val="000000" w:themeColor="text1"/>
          <w:sz w:val="20"/>
          <w:szCs w:val="20"/>
        </w:rPr>
        <w:t>uestiones y preguntas previas</w:t>
      </w:r>
    </w:p>
    <w:p w14:paraId="072C6B55" w14:textId="77777777" w:rsidR="0090395B" w:rsidRPr="0090395B" w:rsidRDefault="0090395B" w:rsidP="0090395B">
      <w:pPr>
        <w:spacing w:line="240" w:lineRule="auto"/>
        <w:rPr>
          <w:rFonts w:eastAsia="Times New Roman"/>
          <w:color w:val="000000" w:themeColor="text1"/>
          <w:sz w:val="24"/>
          <w:szCs w:val="24"/>
          <w:lang w:val="es-ES"/>
        </w:rPr>
      </w:pPr>
    </w:p>
    <w:p w14:paraId="4E1E556C" w14:textId="77777777" w:rsidR="0090395B" w:rsidRPr="0090395B" w:rsidRDefault="0090395B" w:rsidP="00233899">
      <w:pPr>
        <w:numPr>
          <w:ilvl w:val="0"/>
          <w:numId w:val="1"/>
        </w:numPr>
        <w:spacing w:line="240" w:lineRule="auto"/>
        <w:jc w:val="both"/>
        <w:textAlignment w:val="baseline"/>
        <w:rPr>
          <w:rFonts w:eastAsia="Times New Roman"/>
          <w:b/>
          <w:bCs/>
          <w:i/>
          <w:iCs/>
          <w:color w:val="000000" w:themeColor="text1"/>
          <w:lang w:val="es-ES"/>
        </w:rPr>
      </w:pPr>
      <w:r w:rsidRPr="0090395B">
        <w:rPr>
          <w:rFonts w:eastAsia="Times New Roman"/>
          <w:b/>
          <w:bCs/>
          <w:i/>
          <w:iCs/>
          <w:color w:val="000000" w:themeColor="text1"/>
          <w:lang w:val="es-ES"/>
        </w:rPr>
        <w:t>Datos disponibles y análisis de limitaciones</w:t>
      </w:r>
    </w:p>
    <w:p w14:paraId="7CBFFD40" w14:textId="77777777" w:rsidR="0090395B" w:rsidRPr="0090395B" w:rsidRDefault="0090395B" w:rsidP="0090395B">
      <w:pPr>
        <w:spacing w:line="240" w:lineRule="auto"/>
        <w:rPr>
          <w:rFonts w:eastAsia="Times New Roman"/>
          <w:color w:val="000000" w:themeColor="text1"/>
          <w:sz w:val="24"/>
          <w:szCs w:val="24"/>
          <w:lang w:val="es-ES"/>
        </w:rPr>
      </w:pPr>
    </w:p>
    <w:p w14:paraId="6C638B77" w14:textId="77777777" w:rsidR="0090395B" w:rsidRPr="0090395B" w:rsidRDefault="0090395B" w:rsidP="00233899">
      <w:pPr>
        <w:numPr>
          <w:ilvl w:val="0"/>
          <w:numId w:val="2"/>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t>El Informe Mundial sobre la trata de personas de la Oficina de las Naciones Unidas contra la Droga y del Delito (2018) alertó a los estados respecto del incremento de víctimas de trata de personas en el mundo, siendo Asia y América los continentes que reportaron mayor incremento. El mismo informe sostiene, adicionalmente que, en la región sudamericana, la gran mayoría de víctimas detectadas son de sexo femenino (cerca del 80% para el año 2016). </w:t>
      </w:r>
    </w:p>
    <w:p w14:paraId="41EA40F4" w14:textId="77777777" w:rsidR="0090395B" w:rsidRPr="0090395B" w:rsidRDefault="0090395B" w:rsidP="00233899">
      <w:pPr>
        <w:numPr>
          <w:ilvl w:val="0"/>
          <w:numId w:val="2"/>
        </w:numPr>
        <w:spacing w:line="240" w:lineRule="auto"/>
        <w:jc w:val="both"/>
        <w:textAlignment w:val="baseline"/>
        <w:rPr>
          <w:rFonts w:eastAsia="Times New Roman"/>
          <w:color w:val="000000" w:themeColor="text1"/>
          <w:lang w:val="en-US"/>
        </w:rPr>
      </w:pPr>
      <w:r w:rsidRPr="0090395B">
        <w:rPr>
          <w:rFonts w:eastAsia="Times New Roman"/>
          <w:color w:val="000000" w:themeColor="text1"/>
          <w:lang w:val="es-ES"/>
        </w:rPr>
        <w:t xml:space="preserve">El diagnóstico que contiene el Plan Nacional de Acción contra la Trata de Personas 2019-2030 (PACTA) del Ecuador, caracteriza al país como un territorio de origen, tránsito y destino para víctimas de trata de personas. Tal como se muestra en el siguiente gráfico, el fin predominante es la explotación sexual con un 83.3% (en celeste); y en menor proporción, la explotación laboral con el 11.1% (en naranja); seguida por fines como la adopción ilegal (en gris); el reclutamiento para fines penados por la ley, con menos del 3% de incidencia, (en amarillo) y la extracción de órganos (celeste). </w:t>
      </w:r>
      <w:r w:rsidRPr="0090395B">
        <w:rPr>
          <w:rFonts w:eastAsia="Times New Roman"/>
          <w:color w:val="000000" w:themeColor="text1"/>
          <w:lang w:val="en-US"/>
        </w:rPr>
        <w:t>(</w:t>
      </w:r>
      <w:proofErr w:type="spellStart"/>
      <w:r w:rsidRPr="0090395B">
        <w:rPr>
          <w:rFonts w:eastAsia="Times New Roman"/>
          <w:color w:val="000000" w:themeColor="text1"/>
          <w:lang w:val="en-US"/>
        </w:rPr>
        <w:t>Ministerio</w:t>
      </w:r>
      <w:proofErr w:type="spellEnd"/>
      <w:r w:rsidRPr="0090395B">
        <w:rPr>
          <w:rFonts w:eastAsia="Times New Roman"/>
          <w:color w:val="000000" w:themeColor="text1"/>
          <w:lang w:val="en-US"/>
        </w:rPr>
        <w:t xml:space="preserve"> de </w:t>
      </w:r>
      <w:proofErr w:type="spellStart"/>
      <w:r w:rsidRPr="0090395B">
        <w:rPr>
          <w:rFonts w:eastAsia="Times New Roman"/>
          <w:color w:val="000000" w:themeColor="text1"/>
          <w:lang w:val="en-US"/>
        </w:rPr>
        <w:t>Gobierno</w:t>
      </w:r>
      <w:proofErr w:type="spellEnd"/>
      <w:r w:rsidRPr="0090395B">
        <w:rPr>
          <w:rFonts w:eastAsia="Times New Roman"/>
          <w:color w:val="000000" w:themeColor="text1"/>
          <w:lang w:val="en-US"/>
        </w:rPr>
        <w:t xml:space="preserve"> &amp; OIM, 2019, </w:t>
      </w:r>
      <w:proofErr w:type="spellStart"/>
      <w:r w:rsidRPr="0090395B">
        <w:rPr>
          <w:rFonts w:eastAsia="Times New Roman"/>
          <w:color w:val="000000" w:themeColor="text1"/>
          <w:lang w:val="en-US"/>
        </w:rPr>
        <w:t>pág</w:t>
      </w:r>
      <w:proofErr w:type="spellEnd"/>
      <w:r w:rsidRPr="0090395B">
        <w:rPr>
          <w:rFonts w:eastAsia="Times New Roman"/>
          <w:color w:val="000000" w:themeColor="text1"/>
          <w:lang w:val="en-US"/>
        </w:rPr>
        <w:t>. 44). </w:t>
      </w:r>
    </w:p>
    <w:p w14:paraId="52CA99B2" w14:textId="77777777" w:rsidR="0090395B" w:rsidRPr="0090395B" w:rsidRDefault="0090395B" w:rsidP="0090395B">
      <w:pPr>
        <w:spacing w:line="240" w:lineRule="auto"/>
        <w:rPr>
          <w:rFonts w:eastAsia="Times New Roman"/>
          <w:color w:val="000000" w:themeColor="text1"/>
          <w:sz w:val="24"/>
          <w:szCs w:val="24"/>
          <w:lang w:val="en-US"/>
        </w:rPr>
      </w:pPr>
    </w:p>
    <w:p w14:paraId="41771F53" w14:textId="77777777" w:rsidR="0090395B" w:rsidRPr="0090395B" w:rsidRDefault="0090395B" w:rsidP="0090395B">
      <w:pPr>
        <w:spacing w:line="240" w:lineRule="auto"/>
        <w:ind w:left="720"/>
        <w:jc w:val="center"/>
        <w:rPr>
          <w:rFonts w:eastAsia="Times New Roman"/>
          <w:color w:val="000000" w:themeColor="text1"/>
          <w:sz w:val="24"/>
          <w:szCs w:val="24"/>
          <w:lang w:val="en-US"/>
        </w:rPr>
      </w:pPr>
      <w:proofErr w:type="spellStart"/>
      <w:r w:rsidRPr="0090395B">
        <w:rPr>
          <w:rFonts w:eastAsia="Times New Roman"/>
          <w:b/>
          <w:bCs/>
          <w:i/>
          <w:iCs/>
          <w:color w:val="000000" w:themeColor="text1"/>
          <w:lang w:val="en-US"/>
        </w:rPr>
        <w:t>Gráfico</w:t>
      </w:r>
      <w:proofErr w:type="spellEnd"/>
      <w:r w:rsidRPr="0090395B">
        <w:rPr>
          <w:rFonts w:eastAsia="Times New Roman"/>
          <w:b/>
          <w:bCs/>
          <w:i/>
          <w:iCs/>
          <w:color w:val="000000" w:themeColor="text1"/>
          <w:lang w:val="en-US"/>
        </w:rPr>
        <w:t xml:space="preserve"> No. 1</w:t>
      </w:r>
    </w:p>
    <w:p w14:paraId="11F98EF1" w14:textId="77777777" w:rsidR="0090395B" w:rsidRPr="0090395B" w:rsidRDefault="0090395B" w:rsidP="0090395B">
      <w:pPr>
        <w:spacing w:line="240" w:lineRule="auto"/>
        <w:jc w:val="both"/>
        <w:rPr>
          <w:rFonts w:eastAsia="Times New Roman"/>
          <w:color w:val="000000" w:themeColor="text1"/>
          <w:sz w:val="24"/>
          <w:szCs w:val="24"/>
          <w:lang w:val="en-US"/>
        </w:rPr>
      </w:pPr>
      <w:r w:rsidRPr="0090395B">
        <w:rPr>
          <w:rFonts w:eastAsia="Times New Roman"/>
          <w:color w:val="000000" w:themeColor="text1"/>
          <w:bdr w:val="single" w:sz="18" w:space="0" w:color="FF0000" w:frame="1"/>
          <w:lang w:val="en-US"/>
        </w:rPr>
        <w:fldChar w:fldCharType="begin"/>
      </w:r>
      <w:r w:rsidRPr="0090395B">
        <w:rPr>
          <w:rFonts w:eastAsia="Times New Roman"/>
          <w:color w:val="000000" w:themeColor="text1"/>
          <w:bdr w:val="single" w:sz="18" w:space="0" w:color="FF0000" w:frame="1"/>
          <w:lang w:val="en-US"/>
        </w:rPr>
        <w:instrText xml:space="preserve"> INCLUDEPICTURE "https://lh3.googleusercontent.com/ze2S-5zwSCAXCA7ndOzyTadGQ0Ob5WuAvSPIaOkgKtWQFSbe8clTEJEgDAW4DIzIqWzRomfVLdWRKTFXoAjA0fht_XwqfGh2s9ciFOTzXtxW6cLxVUksssI5ZRoOmnYShtA03PA" \* MERGEFORMATINET </w:instrText>
      </w:r>
      <w:r w:rsidRPr="0090395B">
        <w:rPr>
          <w:rFonts w:eastAsia="Times New Roman"/>
          <w:color w:val="000000" w:themeColor="text1"/>
          <w:bdr w:val="single" w:sz="18" w:space="0" w:color="FF0000" w:frame="1"/>
          <w:lang w:val="en-US"/>
        </w:rPr>
        <w:fldChar w:fldCharType="separate"/>
      </w:r>
      <w:r w:rsidRPr="0090395B">
        <w:rPr>
          <w:rFonts w:eastAsia="Times New Roman"/>
          <w:noProof/>
          <w:color w:val="000000" w:themeColor="text1"/>
          <w:bdr w:val="single" w:sz="18" w:space="0" w:color="FF0000" w:frame="1"/>
          <w:lang w:val="en-US"/>
        </w:rPr>
        <w:drawing>
          <wp:inline distT="0" distB="0" distL="0" distR="0" wp14:anchorId="041BA63E" wp14:editId="33C5409C">
            <wp:extent cx="5733415" cy="2933065"/>
            <wp:effectExtent l="0" t="0" r="0" b="635"/>
            <wp:docPr id="9" name="Picture 9" descr="https://lh3.googleusercontent.com/ze2S-5zwSCAXCA7ndOzyTadGQ0Ob5WuAvSPIaOkgKtWQFSbe8clTEJEgDAW4DIzIqWzRomfVLdWRKTFXoAjA0fht_XwqfGh2s9ciFOTzXtxW6cLxVUksssI5ZRoOmnYShtA03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ze2S-5zwSCAXCA7ndOzyTadGQ0Ob5WuAvSPIaOkgKtWQFSbe8clTEJEgDAW4DIzIqWzRomfVLdWRKTFXoAjA0fht_XwqfGh2s9ciFOTzXtxW6cLxVUksssI5ZRoOmnYShtA03P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3415" cy="2933065"/>
                    </a:xfrm>
                    <a:prstGeom prst="rect">
                      <a:avLst/>
                    </a:prstGeom>
                    <a:noFill/>
                    <a:ln>
                      <a:noFill/>
                    </a:ln>
                  </pic:spPr>
                </pic:pic>
              </a:graphicData>
            </a:graphic>
          </wp:inline>
        </w:drawing>
      </w:r>
      <w:r w:rsidRPr="0090395B">
        <w:rPr>
          <w:rFonts w:eastAsia="Times New Roman"/>
          <w:color w:val="000000" w:themeColor="text1"/>
          <w:bdr w:val="single" w:sz="18" w:space="0" w:color="FF0000" w:frame="1"/>
          <w:lang w:val="en-US"/>
        </w:rPr>
        <w:fldChar w:fldCharType="end"/>
      </w:r>
    </w:p>
    <w:p w14:paraId="2DED7A96" w14:textId="77777777" w:rsidR="0090395B" w:rsidRPr="0090395B" w:rsidRDefault="0090395B" w:rsidP="0090395B">
      <w:pPr>
        <w:spacing w:line="240" w:lineRule="auto"/>
        <w:jc w:val="right"/>
        <w:rPr>
          <w:rFonts w:eastAsia="Times New Roman"/>
          <w:color w:val="000000" w:themeColor="text1"/>
          <w:sz w:val="24"/>
          <w:szCs w:val="24"/>
          <w:lang w:val="es-ES"/>
        </w:rPr>
      </w:pPr>
      <w:r w:rsidRPr="0090395B">
        <w:rPr>
          <w:rFonts w:eastAsia="Times New Roman"/>
          <w:color w:val="000000" w:themeColor="text1"/>
          <w:sz w:val="18"/>
          <w:szCs w:val="18"/>
          <w:lang w:val="es-ES"/>
        </w:rPr>
        <w:t>Elaboración propia. Fuente: (PACTA, 2019, p.44).</w:t>
      </w:r>
    </w:p>
    <w:p w14:paraId="0A848777" w14:textId="77777777" w:rsidR="0090395B" w:rsidRPr="0090395B" w:rsidRDefault="0090395B" w:rsidP="0090395B">
      <w:pPr>
        <w:spacing w:line="240" w:lineRule="auto"/>
        <w:rPr>
          <w:rFonts w:eastAsia="Times New Roman"/>
          <w:color w:val="000000" w:themeColor="text1"/>
          <w:sz w:val="24"/>
          <w:szCs w:val="24"/>
          <w:lang w:val="es-ES"/>
        </w:rPr>
      </w:pPr>
    </w:p>
    <w:p w14:paraId="194D91D6" w14:textId="77777777" w:rsidR="0090395B" w:rsidRPr="0090395B" w:rsidRDefault="0090395B" w:rsidP="00233899">
      <w:pPr>
        <w:numPr>
          <w:ilvl w:val="0"/>
          <w:numId w:val="3"/>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t>Respecto de personas procedentes de otros países, el PACTA reporta a víctimas nacionales de Colombia, Cuba, República Dominicana y Venezuela. En cuanto a la trata internacional, sostiene la misma fuente que son Colombia y Perú los países de destino más frecuentes de las víctimas de trata ecuatorianas (Ministerio de Gobierno &amp; OIM, 2019, pág. 54). </w:t>
      </w:r>
    </w:p>
    <w:p w14:paraId="4FE07BA9" w14:textId="77777777" w:rsidR="0090395B" w:rsidRPr="0090395B" w:rsidRDefault="0090395B" w:rsidP="00233899">
      <w:pPr>
        <w:numPr>
          <w:ilvl w:val="0"/>
          <w:numId w:val="4"/>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t>A partir de la tipificación del delito de trata de personas en 2014 y hasta el año 2016, se reporta en el PACTA un total de 352 casos (2014: 94; 2015: 122; 2016: 136) (Ministerio de Gobierno &amp; OIM, 2019, pág. 45). Entre 2017 y octubre 2018, en el mismo documento, se reportan 157 casos donde el 91,08% de víctimas son mujeres. En la región Costa y Amazonía este porcentaje aún es mayor, se trata del 96,84% en la Región Costa y del 94.11% en la Amazonía (Ministerio de Gobierno &amp; OIM, 2019, pág. 47). </w:t>
      </w:r>
    </w:p>
    <w:p w14:paraId="71F4CFB8" w14:textId="77777777" w:rsidR="0090395B" w:rsidRPr="0090395B" w:rsidRDefault="0090395B" w:rsidP="00233899">
      <w:pPr>
        <w:numPr>
          <w:ilvl w:val="0"/>
          <w:numId w:val="5"/>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lastRenderedPageBreak/>
        <w:t>Entre los años 2014 y 2016, el 37% de personas sometidas a trata fueron niñas, niños o adolescentes; y entre enero de 2017 y octubre de 2018 el 47.6%, mostrándose un incremento sorprendente en menos de dos años. El 92.40% de las víctimas fueron niñas o adolescentes mujeres (Ministerio de Gobierno &amp; OIM, 2019, pág. 59).</w:t>
      </w:r>
    </w:p>
    <w:p w14:paraId="57D1B111" w14:textId="77777777" w:rsidR="0090395B" w:rsidRPr="0090395B" w:rsidRDefault="0090395B" w:rsidP="00233899">
      <w:pPr>
        <w:numPr>
          <w:ilvl w:val="0"/>
          <w:numId w:val="6"/>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t>Analizando los datos que constan en el PACTA sobre trata interna, la región más asediada por el delito es la Costa con el 59,38% de incidencia, seguida por la Sierra con un 28,13% y, finalmente, la Amazonía con un 10,63%.</w:t>
      </w:r>
    </w:p>
    <w:p w14:paraId="2282B052" w14:textId="77777777" w:rsidR="0090395B" w:rsidRPr="0090395B" w:rsidRDefault="0090395B" w:rsidP="00233899">
      <w:pPr>
        <w:numPr>
          <w:ilvl w:val="0"/>
          <w:numId w:val="7"/>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t>Pese a que los datos que contiene el PACTA se presentan en periodos distintos y con fuentes no homologadas -siendo esta una constante de las dificultades del registro del fenómeno de trata de personas en el país-, lo contenido en el Plan alerta sobre tres dimensiones que caracterizan la debilidad del Estado en torno a la prevención y erradicación del delito de trata de personas; la protección, atención y reparación de las víctimas; y la investigación y sanción de los responsables:</w:t>
      </w:r>
    </w:p>
    <w:p w14:paraId="0AB2F6C9" w14:textId="77777777" w:rsidR="0090395B" w:rsidRPr="0090395B" w:rsidRDefault="0090395B" w:rsidP="00233899">
      <w:pPr>
        <w:numPr>
          <w:ilvl w:val="0"/>
          <w:numId w:val="8"/>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t>Se registra un decrecimiento de noticias del delito de al menos 195 casos en un periodo similar (2014-2016 frente a 2017 a octubre 2018).</w:t>
      </w:r>
    </w:p>
    <w:p w14:paraId="0EB22AF4" w14:textId="77777777" w:rsidR="0090395B" w:rsidRPr="0090395B" w:rsidRDefault="0090395B" w:rsidP="00233899">
      <w:pPr>
        <w:numPr>
          <w:ilvl w:val="0"/>
          <w:numId w:val="9"/>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t>Se registra un incremento de al menos 10 puntos en víctimas niñas, niños y adolescentes entre los mismos periodos.</w:t>
      </w:r>
    </w:p>
    <w:p w14:paraId="64269360" w14:textId="77777777" w:rsidR="0090395B" w:rsidRPr="0090395B" w:rsidRDefault="0090395B" w:rsidP="00233899">
      <w:pPr>
        <w:numPr>
          <w:ilvl w:val="0"/>
          <w:numId w:val="10"/>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t>Se registra que son las mujeres, niñas y adolescentes las víctimas prevalentes del delito.</w:t>
      </w:r>
    </w:p>
    <w:p w14:paraId="36F0C7AE" w14:textId="77777777" w:rsidR="0090395B" w:rsidRPr="0090395B" w:rsidRDefault="0090395B" w:rsidP="00233899">
      <w:pPr>
        <w:numPr>
          <w:ilvl w:val="0"/>
          <w:numId w:val="11"/>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t>Se registra trata de personas, especialmente con fines de explotación sexual, en todas las regiones del país.</w:t>
      </w:r>
    </w:p>
    <w:p w14:paraId="4E293713" w14:textId="77777777" w:rsidR="0090395B" w:rsidRPr="0090395B" w:rsidRDefault="0090395B" w:rsidP="00233899">
      <w:pPr>
        <w:numPr>
          <w:ilvl w:val="0"/>
          <w:numId w:val="12"/>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t xml:space="preserve">Sin </w:t>
      </w:r>
      <w:proofErr w:type="gramStart"/>
      <w:r w:rsidRPr="0090395B">
        <w:rPr>
          <w:rFonts w:eastAsia="Times New Roman"/>
          <w:color w:val="000000" w:themeColor="text1"/>
          <w:lang w:val="es-ES"/>
        </w:rPr>
        <w:t>embargo</w:t>
      </w:r>
      <w:proofErr w:type="gramEnd"/>
      <w:r w:rsidRPr="0090395B">
        <w:rPr>
          <w:rFonts w:eastAsia="Times New Roman"/>
          <w:color w:val="000000" w:themeColor="text1"/>
          <w:lang w:val="es-ES"/>
        </w:rPr>
        <w:t xml:space="preserve"> de este análisis, el Estado aún no toma medidas claras y contundentes para una efectiva transversalidad de género, edad y origen étnico en el análisis del fenómeno y en las medidas de carácter legislativo, institucional y de provisión de servicios de atención y reinserción social sin estigmatización, para el cumplimiento de sus obligaciones.</w:t>
      </w:r>
    </w:p>
    <w:p w14:paraId="1E32BE14" w14:textId="77777777" w:rsidR="0090395B" w:rsidRPr="0090395B" w:rsidRDefault="0090395B" w:rsidP="00233899">
      <w:pPr>
        <w:numPr>
          <w:ilvl w:val="0"/>
          <w:numId w:val="13"/>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t>En la política pública y acentuada con la Ley Orgánica de Movilidad Humana, se realiza una inadecuada comprensión del fenómeno de la trata de mujeres y niñas como un asunto de movilidad humana que puede ser enfrentado con análisis comparativos al tráfico ilícito de migrantes, prevaleciendo respuestas desde los órganos punitivos del Estado que desplazan la centralidad de las víctimas.</w:t>
      </w:r>
    </w:p>
    <w:p w14:paraId="1BB2C781" w14:textId="77777777" w:rsidR="0090395B" w:rsidRPr="0090395B" w:rsidRDefault="0090395B" w:rsidP="0090395B">
      <w:pPr>
        <w:spacing w:line="240" w:lineRule="auto"/>
        <w:rPr>
          <w:rFonts w:eastAsia="Times New Roman"/>
          <w:color w:val="000000" w:themeColor="text1"/>
          <w:sz w:val="24"/>
          <w:szCs w:val="24"/>
          <w:lang w:val="es-ES"/>
        </w:rPr>
      </w:pPr>
    </w:p>
    <w:p w14:paraId="349C6938" w14:textId="77777777" w:rsidR="0090395B" w:rsidRPr="0090395B" w:rsidRDefault="0090395B" w:rsidP="00233899">
      <w:pPr>
        <w:numPr>
          <w:ilvl w:val="0"/>
          <w:numId w:val="14"/>
        </w:numPr>
        <w:spacing w:line="240" w:lineRule="auto"/>
        <w:jc w:val="both"/>
        <w:textAlignment w:val="baseline"/>
        <w:rPr>
          <w:rFonts w:eastAsia="Times New Roman"/>
          <w:b/>
          <w:bCs/>
          <w:i/>
          <w:iCs/>
          <w:color w:val="000000" w:themeColor="text1"/>
          <w:lang w:val="es-ES"/>
        </w:rPr>
      </w:pPr>
      <w:r w:rsidRPr="0090395B">
        <w:rPr>
          <w:rFonts w:eastAsia="Times New Roman"/>
          <w:b/>
          <w:bCs/>
          <w:i/>
          <w:iCs/>
          <w:color w:val="000000" w:themeColor="text1"/>
          <w:lang w:val="es-ES"/>
        </w:rPr>
        <w:t>Leyes y mecanismos creados para el registro del delito</w:t>
      </w:r>
    </w:p>
    <w:p w14:paraId="6F7D5C83" w14:textId="77777777" w:rsidR="0090395B" w:rsidRPr="0090395B" w:rsidRDefault="0090395B" w:rsidP="0090395B">
      <w:pPr>
        <w:spacing w:line="240" w:lineRule="auto"/>
        <w:rPr>
          <w:rFonts w:eastAsia="Times New Roman"/>
          <w:color w:val="000000" w:themeColor="text1"/>
          <w:sz w:val="24"/>
          <w:szCs w:val="24"/>
          <w:lang w:val="es-ES"/>
        </w:rPr>
      </w:pPr>
    </w:p>
    <w:p w14:paraId="3752FF42" w14:textId="77777777" w:rsidR="0090395B" w:rsidRPr="0090395B" w:rsidRDefault="0090395B" w:rsidP="00233899">
      <w:pPr>
        <w:numPr>
          <w:ilvl w:val="0"/>
          <w:numId w:val="15"/>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t>El Ecuador cuenta con la tipificación del delito en el Código Orgánico Integral Penal (COIP) desde 2014 integrando otros fines de explotación adicionales a los que constan en el artículo 3 del Protocolo de Palermo. Así también, integra la no punibilidad de las víctimas. Sin embargo, el decrecimiento de investigaciones relacionadas con el delito es indicativo de dos obstáculos: a) falta de confianza de las víctimas en el sistema penal y en la justicia; b) falta de eficacia del tipo penal, la misma que puede estar relacionada con los estereotipos o prácticas judiciales que tienden a tipificar o sancionar la trata de personas como delitos de explotación o delitos sexuales invisibilizando la real incidencia del fenómeno y los bienes jurídicos que afecta, por tanto, medidas reales y satisfactorias de reparación integral de las víctimas. </w:t>
      </w:r>
    </w:p>
    <w:p w14:paraId="06174F96" w14:textId="77777777" w:rsidR="0090395B" w:rsidRPr="0090395B" w:rsidRDefault="0090395B" w:rsidP="00233899">
      <w:pPr>
        <w:numPr>
          <w:ilvl w:val="0"/>
          <w:numId w:val="16"/>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t>El acceso y la disponibilidad de información estadística respecto del fenómeno de trata de personas como de las denuncias y el acceso a justicia de las víctimas depende de fuentes diversas que no están homologadas. </w:t>
      </w:r>
    </w:p>
    <w:p w14:paraId="4754E158" w14:textId="77777777" w:rsidR="0090395B" w:rsidRPr="0090395B" w:rsidRDefault="0090395B" w:rsidP="0090395B">
      <w:pPr>
        <w:spacing w:line="240" w:lineRule="auto"/>
        <w:ind w:left="720"/>
        <w:jc w:val="both"/>
        <w:rPr>
          <w:rFonts w:eastAsia="Times New Roman"/>
          <w:color w:val="000000" w:themeColor="text1"/>
          <w:sz w:val="24"/>
          <w:szCs w:val="24"/>
          <w:lang w:val="es-ES"/>
        </w:rPr>
      </w:pPr>
      <w:r w:rsidRPr="0090395B">
        <w:rPr>
          <w:rFonts w:eastAsia="Times New Roman"/>
          <w:color w:val="000000" w:themeColor="text1"/>
          <w:lang w:val="es-ES"/>
        </w:rPr>
        <w:t>Por ejemplo, para este Informe Sombra, tanto para el estado de situación del delito como para las sentencias resueltas se ha recurrido a las siguientes fuentes: REGISTRATT (MDG), SIAF (FGE) y estadísticas de UCDTPTM, Consejo de la Judicatura – Dirección Nacional de Acceso a los Servicios de Justicia. </w:t>
      </w:r>
    </w:p>
    <w:p w14:paraId="1E55BB1F" w14:textId="77777777" w:rsidR="0090395B" w:rsidRPr="0090395B" w:rsidRDefault="0090395B" w:rsidP="0090395B">
      <w:pPr>
        <w:spacing w:line="240" w:lineRule="auto"/>
        <w:ind w:left="720"/>
        <w:jc w:val="both"/>
        <w:rPr>
          <w:rFonts w:eastAsia="Times New Roman"/>
          <w:color w:val="000000" w:themeColor="text1"/>
          <w:sz w:val="24"/>
          <w:szCs w:val="24"/>
          <w:lang w:val="es-ES"/>
        </w:rPr>
      </w:pPr>
      <w:r w:rsidRPr="0090395B">
        <w:rPr>
          <w:rFonts w:eastAsia="Times New Roman"/>
          <w:color w:val="000000" w:themeColor="text1"/>
          <w:lang w:val="es-ES"/>
        </w:rPr>
        <w:t xml:space="preserve">En el caso del PACTA, las fuentes primarias citadas son las de la Policía Nacional mientras que aquellas proporcionadas por la Fiscalía General del Estado a partir de noticias del delito quedan como fuente complementaria. Esto pone en evidencia, la ausencia de la coordinación interinstitucional necesaria para el manejo y gestión de la </w:t>
      </w:r>
      <w:r w:rsidRPr="0090395B">
        <w:rPr>
          <w:rFonts w:eastAsia="Times New Roman"/>
          <w:color w:val="000000" w:themeColor="text1"/>
          <w:lang w:val="es-ES"/>
        </w:rPr>
        <w:lastRenderedPageBreak/>
        <w:t xml:space="preserve">data administrativa respecto del fenómeno y para la protección de las víctimas. El hecho de que la recolección del dato esté supeditado a la Policía Nacional como primer agente de contacto, tiende a privilegiar el enfoque criminal y </w:t>
      </w:r>
      <w:proofErr w:type="spellStart"/>
      <w:r w:rsidRPr="0090395B">
        <w:rPr>
          <w:rFonts w:eastAsia="Times New Roman"/>
          <w:color w:val="000000" w:themeColor="text1"/>
          <w:lang w:val="es-ES"/>
        </w:rPr>
        <w:t>securitista</w:t>
      </w:r>
      <w:proofErr w:type="spellEnd"/>
      <w:r w:rsidRPr="0090395B">
        <w:rPr>
          <w:rFonts w:eastAsia="Times New Roman"/>
          <w:color w:val="000000" w:themeColor="text1"/>
          <w:lang w:val="es-ES"/>
        </w:rPr>
        <w:t xml:space="preserve"> por encima del enfoque de derechos humanos garantizado en la Constitución.</w:t>
      </w:r>
    </w:p>
    <w:p w14:paraId="59F8590B" w14:textId="77777777" w:rsidR="005C2273" w:rsidRDefault="0090395B" w:rsidP="00233899">
      <w:pPr>
        <w:numPr>
          <w:ilvl w:val="0"/>
          <w:numId w:val="17"/>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t>No se conoce si los registros están integrando datos desde las víctimas, facilitando su participación en dicho registro y consiguiendo datos de servicios articulados y coordinados desde derechos humanos, inclusión social y económica, salud, educación y trabajo, al menos e igualmente generando un seguimiento a medidas de reparación integral.</w:t>
      </w:r>
    </w:p>
    <w:p w14:paraId="277CF176"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De las fuentes que el Consejo de la Judicatura aporta, tenemos lo siguiente:</w:t>
      </w:r>
    </w:p>
    <w:p w14:paraId="7F47F602" w14:textId="77777777" w:rsidR="0090395B" w:rsidRPr="004724C9" w:rsidRDefault="0090395B" w:rsidP="004724C9">
      <w:pPr>
        <w:spacing w:before="240" w:line="240" w:lineRule="auto"/>
        <w:ind w:left="720"/>
        <w:jc w:val="center"/>
        <w:rPr>
          <w:rFonts w:eastAsia="Times New Roman"/>
          <w:color w:val="000000" w:themeColor="text1"/>
          <w:sz w:val="24"/>
          <w:szCs w:val="24"/>
          <w:lang w:val="es-ES"/>
        </w:rPr>
      </w:pPr>
      <w:r w:rsidRPr="004724C9">
        <w:rPr>
          <w:rFonts w:eastAsia="Times New Roman"/>
          <w:b/>
          <w:bCs/>
          <w:color w:val="000000" w:themeColor="text1"/>
          <w:lang w:val="es-ES"/>
        </w:rPr>
        <w:t>Cuadro No. 1</w:t>
      </w:r>
    </w:p>
    <w:p w14:paraId="06B5A922" w14:textId="77777777" w:rsidR="0090395B" w:rsidRPr="004724C9" w:rsidRDefault="0090395B" w:rsidP="004724C9">
      <w:pPr>
        <w:spacing w:line="240" w:lineRule="auto"/>
        <w:ind w:left="1080"/>
        <w:jc w:val="center"/>
        <w:rPr>
          <w:rFonts w:eastAsia="Times New Roman"/>
          <w:color w:val="000000" w:themeColor="text1"/>
          <w:sz w:val="24"/>
          <w:szCs w:val="24"/>
          <w:lang w:val="es-ES"/>
        </w:rPr>
      </w:pPr>
      <w:r w:rsidRPr="004724C9">
        <w:rPr>
          <w:rFonts w:eastAsia="Times New Roman"/>
          <w:b/>
          <w:bCs/>
          <w:color w:val="000000" w:themeColor="text1"/>
          <w:lang w:val="es-ES"/>
        </w:rPr>
        <w:t>Registro de Casos de Trata en el Sistema Judicial</w:t>
      </w:r>
      <w:r w:rsidRPr="004724C9">
        <w:rPr>
          <w:rFonts w:eastAsia="Times New Roman"/>
          <w:color w:val="000000" w:themeColor="text1"/>
          <w:sz w:val="24"/>
          <w:szCs w:val="24"/>
          <w:lang w:val="es-ES"/>
        </w:rPr>
        <w:t> </w:t>
      </w:r>
    </w:p>
    <w:tbl>
      <w:tblPr>
        <w:tblW w:w="9624" w:type="dxa"/>
        <w:tblInd w:w="274" w:type="dxa"/>
        <w:tblCellMar>
          <w:top w:w="15" w:type="dxa"/>
          <w:left w:w="15" w:type="dxa"/>
          <w:bottom w:w="15" w:type="dxa"/>
          <w:right w:w="15" w:type="dxa"/>
        </w:tblCellMar>
        <w:tblLook w:val="04A0" w:firstRow="1" w:lastRow="0" w:firstColumn="1" w:lastColumn="0" w:noHBand="0" w:noVBand="1"/>
      </w:tblPr>
      <w:tblGrid>
        <w:gridCol w:w="1365"/>
        <w:gridCol w:w="1254"/>
        <w:gridCol w:w="1701"/>
        <w:gridCol w:w="2235"/>
        <w:gridCol w:w="1601"/>
        <w:gridCol w:w="1468"/>
      </w:tblGrid>
      <w:tr w:rsidR="004724C9" w:rsidRPr="004724C9" w14:paraId="60FD551E" w14:textId="77777777" w:rsidTr="004724C9">
        <w:trPr>
          <w:trHeight w:val="495"/>
        </w:trPr>
        <w:tc>
          <w:tcPr>
            <w:tcW w:w="136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264151" w14:textId="77777777" w:rsidR="0090395B" w:rsidRPr="004724C9" w:rsidRDefault="0090395B" w:rsidP="004724C9">
            <w:pPr>
              <w:spacing w:line="240" w:lineRule="auto"/>
              <w:jc w:val="center"/>
              <w:rPr>
                <w:rFonts w:eastAsia="Times New Roman"/>
                <w:color w:val="000000" w:themeColor="text1"/>
                <w:sz w:val="20"/>
                <w:szCs w:val="20"/>
                <w:lang w:val="en-US"/>
              </w:rPr>
            </w:pPr>
            <w:proofErr w:type="spellStart"/>
            <w:r w:rsidRPr="004724C9">
              <w:rPr>
                <w:rFonts w:eastAsia="Times New Roman"/>
                <w:b/>
                <w:bCs/>
                <w:color w:val="000000" w:themeColor="text1"/>
                <w:sz w:val="20"/>
                <w:szCs w:val="20"/>
                <w:lang w:val="en-US"/>
              </w:rPr>
              <w:t>Año</w:t>
            </w:r>
            <w:proofErr w:type="spellEnd"/>
          </w:p>
        </w:tc>
        <w:tc>
          <w:tcPr>
            <w:tcW w:w="1254"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A46A3D" w14:textId="77777777" w:rsidR="0090395B" w:rsidRPr="004724C9" w:rsidRDefault="0090395B" w:rsidP="004724C9">
            <w:pPr>
              <w:spacing w:line="240" w:lineRule="auto"/>
              <w:jc w:val="center"/>
              <w:rPr>
                <w:rFonts w:eastAsia="Times New Roman"/>
                <w:color w:val="000000" w:themeColor="text1"/>
                <w:sz w:val="20"/>
                <w:szCs w:val="20"/>
                <w:lang w:val="en-US"/>
              </w:rPr>
            </w:pPr>
            <w:proofErr w:type="spellStart"/>
            <w:r w:rsidRPr="004724C9">
              <w:rPr>
                <w:rFonts w:eastAsia="Times New Roman"/>
                <w:b/>
                <w:bCs/>
                <w:color w:val="000000" w:themeColor="text1"/>
                <w:sz w:val="20"/>
                <w:szCs w:val="20"/>
                <w:lang w:val="en-US"/>
              </w:rPr>
              <w:t>Registro</w:t>
            </w:r>
            <w:proofErr w:type="spellEnd"/>
            <w:r w:rsidRPr="004724C9">
              <w:rPr>
                <w:rFonts w:eastAsia="Times New Roman"/>
                <w:b/>
                <w:bCs/>
                <w:color w:val="000000" w:themeColor="text1"/>
                <w:sz w:val="20"/>
                <w:szCs w:val="20"/>
                <w:lang w:val="en-US"/>
              </w:rPr>
              <w:t xml:space="preserve"> de NDD*</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8C6747" w14:textId="77777777" w:rsidR="0090395B" w:rsidRPr="004724C9" w:rsidRDefault="0090395B" w:rsidP="004724C9">
            <w:pPr>
              <w:spacing w:line="240" w:lineRule="auto"/>
              <w:jc w:val="center"/>
              <w:rPr>
                <w:rFonts w:eastAsia="Times New Roman"/>
                <w:color w:val="000000" w:themeColor="text1"/>
                <w:sz w:val="20"/>
                <w:szCs w:val="20"/>
                <w:lang w:val="en-US"/>
              </w:rPr>
            </w:pPr>
            <w:proofErr w:type="spellStart"/>
            <w:r w:rsidRPr="004724C9">
              <w:rPr>
                <w:rFonts w:eastAsia="Times New Roman"/>
                <w:b/>
                <w:bCs/>
                <w:color w:val="000000" w:themeColor="text1"/>
                <w:sz w:val="20"/>
                <w:szCs w:val="20"/>
                <w:lang w:val="en-US"/>
              </w:rPr>
              <w:t>Investigaciones</w:t>
            </w:r>
            <w:proofErr w:type="spellEnd"/>
            <w:r w:rsidRPr="004724C9">
              <w:rPr>
                <w:rFonts w:eastAsia="Times New Roman"/>
                <w:b/>
                <w:bCs/>
                <w:color w:val="000000" w:themeColor="text1"/>
                <w:sz w:val="20"/>
                <w:szCs w:val="20"/>
                <w:lang w:val="en-US"/>
              </w:rPr>
              <w:t xml:space="preserve"> </w:t>
            </w:r>
            <w:proofErr w:type="spellStart"/>
            <w:r w:rsidRPr="004724C9">
              <w:rPr>
                <w:rFonts w:eastAsia="Times New Roman"/>
                <w:b/>
                <w:bCs/>
                <w:color w:val="000000" w:themeColor="text1"/>
                <w:sz w:val="20"/>
                <w:szCs w:val="20"/>
                <w:lang w:val="en-US"/>
              </w:rPr>
              <w:t>en</w:t>
            </w:r>
            <w:proofErr w:type="spellEnd"/>
            <w:r w:rsidRPr="004724C9">
              <w:rPr>
                <w:rFonts w:eastAsia="Times New Roman"/>
                <w:b/>
                <w:bCs/>
                <w:color w:val="000000" w:themeColor="text1"/>
                <w:sz w:val="20"/>
                <w:szCs w:val="20"/>
                <w:lang w:val="en-US"/>
              </w:rPr>
              <w:t xml:space="preserve"> </w:t>
            </w:r>
            <w:proofErr w:type="spellStart"/>
            <w:r w:rsidRPr="004724C9">
              <w:rPr>
                <w:rFonts w:eastAsia="Times New Roman"/>
                <w:b/>
                <w:bCs/>
                <w:color w:val="000000" w:themeColor="text1"/>
                <w:sz w:val="20"/>
                <w:szCs w:val="20"/>
                <w:lang w:val="en-US"/>
              </w:rPr>
              <w:t>curso</w:t>
            </w:r>
            <w:proofErr w:type="spellEnd"/>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62D35A" w14:textId="77777777" w:rsidR="0090395B" w:rsidRPr="004724C9" w:rsidRDefault="0090395B" w:rsidP="004724C9">
            <w:pPr>
              <w:spacing w:line="240" w:lineRule="auto"/>
              <w:jc w:val="center"/>
              <w:rPr>
                <w:rFonts w:eastAsia="Times New Roman"/>
                <w:color w:val="000000" w:themeColor="text1"/>
                <w:sz w:val="20"/>
                <w:szCs w:val="20"/>
                <w:lang w:val="en-US"/>
              </w:rPr>
            </w:pPr>
            <w:proofErr w:type="spellStart"/>
            <w:r w:rsidRPr="004724C9">
              <w:rPr>
                <w:rFonts w:eastAsia="Times New Roman"/>
                <w:b/>
                <w:bCs/>
                <w:color w:val="000000" w:themeColor="text1"/>
                <w:sz w:val="20"/>
                <w:szCs w:val="20"/>
                <w:lang w:val="en-US"/>
              </w:rPr>
              <w:t>Víctimas</w:t>
            </w:r>
            <w:proofErr w:type="spellEnd"/>
            <w:r w:rsidRPr="004724C9">
              <w:rPr>
                <w:rFonts w:eastAsia="Times New Roman"/>
                <w:b/>
                <w:bCs/>
                <w:color w:val="000000" w:themeColor="text1"/>
                <w:sz w:val="20"/>
                <w:szCs w:val="20"/>
                <w:lang w:val="en-US"/>
              </w:rPr>
              <w:t xml:space="preserve"> </w:t>
            </w:r>
            <w:proofErr w:type="spellStart"/>
            <w:r w:rsidRPr="004724C9">
              <w:rPr>
                <w:rFonts w:eastAsia="Times New Roman"/>
                <w:b/>
                <w:bCs/>
                <w:color w:val="000000" w:themeColor="text1"/>
                <w:sz w:val="20"/>
                <w:szCs w:val="20"/>
                <w:lang w:val="en-US"/>
              </w:rPr>
              <w:t>atendidas</w:t>
            </w:r>
            <w:proofErr w:type="spellEnd"/>
            <w:r w:rsidRPr="004724C9">
              <w:rPr>
                <w:rFonts w:eastAsia="Times New Roman"/>
                <w:b/>
                <w:bCs/>
                <w:color w:val="000000" w:themeColor="text1"/>
                <w:sz w:val="20"/>
                <w:szCs w:val="20"/>
                <w:lang w:val="en-US"/>
              </w:rPr>
              <w:t>/</w:t>
            </w:r>
            <w:proofErr w:type="spellStart"/>
            <w:r w:rsidRPr="004724C9">
              <w:rPr>
                <w:rFonts w:eastAsia="Times New Roman"/>
                <w:b/>
                <w:bCs/>
                <w:color w:val="000000" w:themeColor="text1"/>
                <w:sz w:val="20"/>
                <w:szCs w:val="20"/>
                <w:lang w:val="en-US"/>
              </w:rPr>
              <w:t>rescatadas</w:t>
            </w:r>
            <w:proofErr w:type="spellEnd"/>
          </w:p>
        </w:tc>
        <w:tc>
          <w:tcPr>
            <w:tcW w:w="306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530540" w14:textId="77777777" w:rsidR="0090395B" w:rsidRPr="004724C9" w:rsidRDefault="0090395B" w:rsidP="004724C9">
            <w:pPr>
              <w:spacing w:line="240" w:lineRule="auto"/>
              <w:jc w:val="center"/>
              <w:rPr>
                <w:rFonts w:eastAsia="Times New Roman"/>
                <w:color w:val="000000" w:themeColor="text1"/>
                <w:sz w:val="20"/>
                <w:szCs w:val="20"/>
                <w:lang w:val="en-US"/>
              </w:rPr>
            </w:pPr>
            <w:proofErr w:type="spellStart"/>
            <w:r w:rsidRPr="004724C9">
              <w:rPr>
                <w:rFonts w:eastAsia="Times New Roman"/>
                <w:b/>
                <w:bCs/>
                <w:color w:val="000000" w:themeColor="text1"/>
                <w:sz w:val="20"/>
                <w:szCs w:val="20"/>
                <w:lang w:val="en-US"/>
              </w:rPr>
              <w:t>Sentencias</w:t>
            </w:r>
            <w:proofErr w:type="spellEnd"/>
          </w:p>
        </w:tc>
      </w:tr>
      <w:tr w:rsidR="004724C9" w:rsidRPr="004724C9" w14:paraId="30CA1C22" w14:textId="77777777" w:rsidTr="004724C9">
        <w:trPr>
          <w:trHeight w:val="690"/>
        </w:trPr>
        <w:tc>
          <w:tcPr>
            <w:tcW w:w="1365" w:type="dxa"/>
            <w:vMerge/>
            <w:tcBorders>
              <w:top w:val="single" w:sz="8" w:space="0" w:color="000000"/>
              <w:left w:val="single" w:sz="8" w:space="0" w:color="000000"/>
              <w:bottom w:val="single" w:sz="8" w:space="0" w:color="000000"/>
              <w:right w:val="single" w:sz="8" w:space="0" w:color="000000"/>
            </w:tcBorders>
            <w:vAlign w:val="center"/>
            <w:hideMark/>
          </w:tcPr>
          <w:p w14:paraId="71B75D2D" w14:textId="77777777" w:rsidR="0090395B" w:rsidRPr="004724C9" w:rsidRDefault="0090395B" w:rsidP="004724C9">
            <w:pPr>
              <w:spacing w:line="240" w:lineRule="auto"/>
              <w:jc w:val="center"/>
              <w:rPr>
                <w:rFonts w:eastAsia="Times New Roman"/>
                <w:color w:val="000000" w:themeColor="text1"/>
                <w:sz w:val="20"/>
                <w:szCs w:val="20"/>
                <w:lang w:val="en-US"/>
              </w:rPr>
            </w:pPr>
          </w:p>
        </w:tc>
        <w:tc>
          <w:tcPr>
            <w:tcW w:w="1254" w:type="dxa"/>
            <w:vMerge/>
            <w:tcBorders>
              <w:top w:val="single" w:sz="8" w:space="0" w:color="000000"/>
              <w:left w:val="single" w:sz="8" w:space="0" w:color="000000"/>
              <w:bottom w:val="single" w:sz="8" w:space="0" w:color="000000"/>
              <w:right w:val="single" w:sz="8" w:space="0" w:color="000000"/>
            </w:tcBorders>
            <w:vAlign w:val="center"/>
            <w:hideMark/>
          </w:tcPr>
          <w:p w14:paraId="227E7C2A" w14:textId="77777777" w:rsidR="0090395B" w:rsidRPr="004724C9" w:rsidRDefault="0090395B" w:rsidP="004724C9">
            <w:pPr>
              <w:spacing w:line="240" w:lineRule="auto"/>
              <w:jc w:val="center"/>
              <w:rPr>
                <w:rFonts w:eastAsia="Times New Roman"/>
                <w:color w:val="000000" w:themeColor="text1"/>
                <w:sz w:val="20"/>
                <w:szCs w:val="20"/>
                <w:lang w:val="en-US"/>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96E11A0" w14:textId="77777777" w:rsidR="0090395B" w:rsidRPr="004724C9" w:rsidRDefault="0090395B" w:rsidP="004724C9">
            <w:pPr>
              <w:spacing w:line="240" w:lineRule="auto"/>
              <w:jc w:val="center"/>
              <w:rPr>
                <w:rFonts w:eastAsia="Times New Roman"/>
                <w:color w:val="000000" w:themeColor="text1"/>
                <w:sz w:val="20"/>
                <w:szCs w:val="20"/>
                <w:lang w:val="en-US"/>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EA71412" w14:textId="77777777" w:rsidR="0090395B" w:rsidRPr="004724C9" w:rsidRDefault="0090395B" w:rsidP="004724C9">
            <w:pPr>
              <w:spacing w:line="240" w:lineRule="auto"/>
              <w:jc w:val="center"/>
              <w:rPr>
                <w:rFonts w:eastAsia="Times New Roman"/>
                <w:color w:val="000000" w:themeColor="text1"/>
                <w:sz w:val="20"/>
                <w:szCs w:val="20"/>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B9D46D" w14:textId="77777777" w:rsidR="0090395B" w:rsidRPr="004724C9" w:rsidRDefault="0090395B" w:rsidP="004724C9">
            <w:pPr>
              <w:spacing w:line="240" w:lineRule="auto"/>
              <w:jc w:val="center"/>
              <w:rPr>
                <w:rFonts w:eastAsia="Times New Roman"/>
                <w:color w:val="000000" w:themeColor="text1"/>
                <w:sz w:val="20"/>
                <w:szCs w:val="20"/>
                <w:lang w:val="en-US"/>
              </w:rPr>
            </w:pPr>
            <w:proofErr w:type="spellStart"/>
            <w:r w:rsidRPr="004724C9">
              <w:rPr>
                <w:rFonts w:eastAsia="Times New Roman"/>
                <w:b/>
                <w:bCs/>
                <w:color w:val="000000" w:themeColor="text1"/>
                <w:sz w:val="20"/>
                <w:szCs w:val="20"/>
                <w:lang w:val="en-US"/>
              </w:rPr>
              <w:t>Condenatorias</w:t>
            </w:r>
            <w:proofErr w:type="spellEnd"/>
          </w:p>
        </w:tc>
        <w:tc>
          <w:tcPr>
            <w:tcW w:w="14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1723ED" w14:textId="77777777" w:rsidR="0090395B" w:rsidRPr="004724C9" w:rsidRDefault="0090395B" w:rsidP="004724C9">
            <w:pPr>
              <w:spacing w:line="240" w:lineRule="auto"/>
              <w:jc w:val="center"/>
              <w:rPr>
                <w:rFonts w:eastAsia="Times New Roman"/>
                <w:color w:val="000000" w:themeColor="text1"/>
                <w:sz w:val="20"/>
                <w:szCs w:val="20"/>
                <w:lang w:val="en-US"/>
              </w:rPr>
            </w:pPr>
            <w:proofErr w:type="spellStart"/>
            <w:r w:rsidRPr="004724C9">
              <w:rPr>
                <w:rFonts w:eastAsia="Times New Roman"/>
                <w:b/>
                <w:bCs/>
                <w:color w:val="000000" w:themeColor="text1"/>
                <w:sz w:val="20"/>
                <w:szCs w:val="20"/>
                <w:lang w:val="en-US"/>
              </w:rPr>
              <w:t>Ratificatorias</w:t>
            </w:r>
            <w:proofErr w:type="spellEnd"/>
            <w:r w:rsidRPr="004724C9">
              <w:rPr>
                <w:rFonts w:eastAsia="Times New Roman"/>
                <w:b/>
                <w:bCs/>
                <w:color w:val="000000" w:themeColor="text1"/>
                <w:sz w:val="20"/>
                <w:szCs w:val="20"/>
                <w:lang w:val="en-US"/>
              </w:rPr>
              <w:t xml:space="preserve"> de </w:t>
            </w:r>
            <w:proofErr w:type="spellStart"/>
            <w:r w:rsidRPr="004724C9">
              <w:rPr>
                <w:rFonts w:eastAsia="Times New Roman"/>
                <w:b/>
                <w:bCs/>
                <w:color w:val="000000" w:themeColor="text1"/>
                <w:sz w:val="20"/>
                <w:szCs w:val="20"/>
                <w:lang w:val="en-US"/>
              </w:rPr>
              <w:t>inocencia</w:t>
            </w:r>
            <w:proofErr w:type="spellEnd"/>
          </w:p>
        </w:tc>
      </w:tr>
      <w:tr w:rsidR="004724C9" w:rsidRPr="004724C9" w14:paraId="44DACDB6" w14:textId="77777777" w:rsidTr="004724C9">
        <w:trPr>
          <w:trHeight w:val="495"/>
        </w:trPr>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A60071" w14:textId="77777777" w:rsidR="0090395B" w:rsidRPr="004724C9" w:rsidRDefault="0090395B" w:rsidP="004724C9">
            <w:pPr>
              <w:spacing w:before="240" w:line="240" w:lineRule="auto"/>
              <w:ind w:left="720"/>
              <w:jc w:val="both"/>
              <w:rPr>
                <w:rFonts w:eastAsia="Times New Roman"/>
                <w:color w:val="000000" w:themeColor="text1"/>
                <w:sz w:val="20"/>
                <w:szCs w:val="20"/>
                <w:lang w:val="en-US"/>
              </w:rPr>
            </w:pPr>
            <w:r w:rsidRPr="004724C9">
              <w:rPr>
                <w:rFonts w:eastAsia="Times New Roman"/>
                <w:color w:val="000000" w:themeColor="text1"/>
                <w:sz w:val="20"/>
                <w:szCs w:val="20"/>
                <w:lang w:val="en-US"/>
              </w:rPr>
              <w:t>2019</w:t>
            </w:r>
          </w:p>
        </w:tc>
        <w:tc>
          <w:tcPr>
            <w:tcW w:w="1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6BE2D0" w14:textId="77777777" w:rsidR="0090395B" w:rsidRPr="004724C9" w:rsidRDefault="0090395B" w:rsidP="004724C9">
            <w:pPr>
              <w:spacing w:before="240" w:line="240" w:lineRule="auto"/>
              <w:ind w:left="720"/>
              <w:jc w:val="center"/>
              <w:rPr>
                <w:rFonts w:eastAsia="Times New Roman"/>
                <w:color w:val="000000" w:themeColor="text1"/>
                <w:sz w:val="20"/>
                <w:szCs w:val="20"/>
                <w:lang w:val="en-US"/>
              </w:rPr>
            </w:pPr>
            <w:r w:rsidRPr="004724C9">
              <w:rPr>
                <w:rFonts w:eastAsia="Times New Roman"/>
                <w:color w:val="000000" w:themeColor="text1"/>
                <w:sz w:val="20"/>
                <w:szCs w:val="20"/>
                <w:lang w:val="en-US"/>
              </w:rPr>
              <w:t>230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E937C0" w14:textId="77777777" w:rsidR="0090395B" w:rsidRPr="004724C9" w:rsidRDefault="0090395B" w:rsidP="004724C9">
            <w:pPr>
              <w:spacing w:before="240" w:line="240" w:lineRule="auto"/>
              <w:ind w:left="720"/>
              <w:jc w:val="center"/>
              <w:rPr>
                <w:rFonts w:eastAsia="Times New Roman"/>
                <w:color w:val="000000" w:themeColor="text1"/>
                <w:sz w:val="20"/>
                <w:szCs w:val="20"/>
                <w:lang w:val="en-US"/>
              </w:rPr>
            </w:pPr>
            <w:r w:rsidRPr="004724C9">
              <w:rPr>
                <w:rFonts w:eastAsia="Times New Roman"/>
                <w:color w:val="000000" w:themeColor="text1"/>
                <w:sz w:val="20"/>
                <w:szCs w:val="20"/>
                <w:lang w:val="en-US"/>
              </w:rPr>
              <w:t>132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0CBA0F" w14:textId="77777777" w:rsidR="0090395B" w:rsidRPr="004724C9" w:rsidRDefault="0090395B" w:rsidP="004724C9">
            <w:pPr>
              <w:spacing w:before="240" w:line="240" w:lineRule="auto"/>
              <w:ind w:left="720"/>
              <w:jc w:val="center"/>
              <w:rPr>
                <w:rFonts w:eastAsia="Times New Roman"/>
                <w:color w:val="000000" w:themeColor="text1"/>
                <w:sz w:val="20"/>
                <w:szCs w:val="20"/>
                <w:lang w:val="en-US"/>
              </w:rPr>
            </w:pPr>
            <w:r w:rsidRPr="004724C9">
              <w:rPr>
                <w:rFonts w:eastAsia="Times New Roman"/>
                <w:color w:val="000000" w:themeColor="text1"/>
                <w:sz w:val="20"/>
                <w:szCs w:val="20"/>
                <w:lang w:val="en-US"/>
              </w:rPr>
              <w:t>44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4AAE36" w14:textId="77777777" w:rsidR="0090395B" w:rsidRPr="004724C9" w:rsidRDefault="0090395B" w:rsidP="004724C9">
            <w:pPr>
              <w:spacing w:before="240" w:line="240" w:lineRule="auto"/>
              <w:ind w:left="720"/>
              <w:jc w:val="center"/>
              <w:rPr>
                <w:rFonts w:eastAsia="Times New Roman"/>
                <w:color w:val="000000" w:themeColor="text1"/>
                <w:sz w:val="20"/>
                <w:szCs w:val="20"/>
                <w:lang w:val="en-US"/>
              </w:rPr>
            </w:pPr>
            <w:r w:rsidRPr="004724C9">
              <w:rPr>
                <w:rFonts w:eastAsia="Times New Roman"/>
                <w:color w:val="000000" w:themeColor="text1"/>
                <w:sz w:val="20"/>
                <w:szCs w:val="20"/>
                <w:lang w:val="en-US"/>
              </w:rPr>
              <w:t>9</w:t>
            </w:r>
          </w:p>
        </w:tc>
        <w:tc>
          <w:tcPr>
            <w:tcW w:w="14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0A2282" w14:textId="77777777" w:rsidR="0090395B" w:rsidRPr="004724C9" w:rsidRDefault="0090395B" w:rsidP="004724C9">
            <w:pPr>
              <w:spacing w:line="240" w:lineRule="auto"/>
              <w:ind w:left="720"/>
              <w:rPr>
                <w:rFonts w:eastAsia="Times New Roman"/>
                <w:color w:val="000000" w:themeColor="text1"/>
                <w:sz w:val="20"/>
                <w:szCs w:val="20"/>
                <w:lang w:val="en-US"/>
              </w:rPr>
            </w:pPr>
          </w:p>
        </w:tc>
      </w:tr>
      <w:tr w:rsidR="004724C9" w:rsidRPr="004724C9" w14:paraId="2CBE5E8E" w14:textId="77777777" w:rsidTr="004724C9">
        <w:trPr>
          <w:trHeight w:val="495"/>
        </w:trPr>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129BF5" w14:textId="77777777" w:rsidR="0090395B" w:rsidRPr="004724C9" w:rsidRDefault="0090395B" w:rsidP="004724C9">
            <w:pPr>
              <w:spacing w:before="240" w:line="240" w:lineRule="auto"/>
              <w:ind w:left="720"/>
              <w:jc w:val="both"/>
              <w:rPr>
                <w:rFonts w:eastAsia="Times New Roman"/>
                <w:color w:val="000000" w:themeColor="text1"/>
                <w:sz w:val="20"/>
                <w:szCs w:val="20"/>
                <w:lang w:val="en-US"/>
              </w:rPr>
            </w:pPr>
            <w:r w:rsidRPr="004724C9">
              <w:rPr>
                <w:rFonts w:eastAsia="Times New Roman"/>
                <w:color w:val="000000" w:themeColor="text1"/>
                <w:sz w:val="20"/>
                <w:szCs w:val="20"/>
                <w:lang w:val="en-US"/>
              </w:rPr>
              <w:t>2018</w:t>
            </w:r>
          </w:p>
        </w:tc>
        <w:tc>
          <w:tcPr>
            <w:tcW w:w="1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F5BB80" w14:textId="77777777" w:rsidR="0090395B" w:rsidRPr="004724C9" w:rsidRDefault="0090395B" w:rsidP="004724C9">
            <w:pPr>
              <w:spacing w:before="240" w:line="240" w:lineRule="auto"/>
              <w:ind w:left="720"/>
              <w:jc w:val="center"/>
              <w:rPr>
                <w:rFonts w:eastAsia="Times New Roman"/>
                <w:color w:val="000000" w:themeColor="text1"/>
                <w:sz w:val="20"/>
                <w:szCs w:val="20"/>
                <w:lang w:val="en-US"/>
              </w:rPr>
            </w:pPr>
            <w:r w:rsidRPr="004724C9">
              <w:rPr>
                <w:rFonts w:eastAsia="Times New Roman"/>
                <w:color w:val="000000" w:themeColor="text1"/>
                <w:sz w:val="20"/>
                <w:szCs w:val="20"/>
                <w:lang w:val="en-US"/>
              </w:rPr>
              <w:t>s/d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2711DD" w14:textId="77777777" w:rsidR="0090395B" w:rsidRPr="004724C9" w:rsidRDefault="0090395B" w:rsidP="004724C9">
            <w:pPr>
              <w:spacing w:before="240" w:line="240" w:lineRule="auto"/>
              <w:ind w:left="720"/>
              <w:jc w:val="center"/>
              <w:rPr>
                <w:rFonts w:eastAsia="Times New Roman"/>
                <w:color w:val="000000" w:themeColor="text1"/>
                <w:sz w:val="20"/>
                <w:szCs w:val="20"/>
                <w:lang w:val="en-US"/>
              </w:rPr>
            </w:pPr>
            <w:r w:rsidRPr="004724C9">
              <w:rPr>
                <w:rFonts w:eastAsia="Times New Roman"/>
                <w:color w:val="000000" w:themeColor="text1"/>
                <w:sz w:val="20"/>
                <w:szCs w:val="20"/>
                <w:lang w:val="en-US"/>
              </w:rPr>
              <w:t>139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E52892" w14:textId="77777777" w:rsidR="0090395B" w:rsidRPr="004724C9" w:rsidRDefault="0090395B" w:rsidP="004724C9">
            <w:pPr>
              <w:spacing w:before="240" w:line="240" w:lineRule="auto"/>
              <w:ind w:left="720"/>
              <w:jc w:val="center"/>
              <w:rPr>
                <w:rFonts w:eastAsia="Times New Roman"/>
                <w:color w:val="000000" w:themeColor="text1"/>
                <w:sz w:val="20"/>
                <w:szCs w:val="20"/>
                <w:lang w:val="en-US"/>
              </w:rPr>
            </w:pPr>
            <w:r w:rsidRPr="004724C9">
              <w:rPr>
                <w:rFonts w:eastAsia="Times New Roman"/>
                <w:color w:val="000000" w:themeColor="text1"/>
                <w:sz w:val="20"/>
                <w:szCs w:val="20"/>
                <w:lang w:val="en-US"/>
              </w:rPr>
              <w:t>s/d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524859" w14:textId="77777777" w:rsidR="0090395B" w:rsidRPr="004724C9" w:rsidRDefault="0090395B" w:rsidP="004724C9">
            <w:pPr>
              <w:spacing w:before="240" w:line="240" w:lineRule="auto"/>
              <w:ind w:left="720"/>
              <w:jc w:val="center"/>
              <w:rPr>
                <w:rFonts w:eastAsia="Times New Roman"/>
                <w:color w:val="000000" w:themeColor="text1"/>
                <w:sz w:val="20"/>
                <w:szCs w:val="20"/>
                <w:lang w:val="en-US"/>
              </w:rPr>
            </w:pPr>
            <w:r w:rsidRPr="004724C9">
              <w:rPr>
                <w:rFonts w:eastAsia="Times New Roman"/>
                <w:color w:val="000000" w:themeColor="text1"/>
                <w:sz w:val="20"/>
                <w:szCs w:val="20"/>
                <w:lang w:val="en-US"/>
              </w:rPr>
              <w:t>16</w:t>
            </w:r>
          </w:p>
        </w:tc>
        <w:tc>
          <w:tcPr>
            <w:tcW w:w="14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AE59F9" w14:textId="77777777" w:rsidR="0090395B" w:rsidRPr="004724C9" w:rsidRDefault="0090395B" w:rsidP="004724C9">
            <w:pPr>
              <w:spacing w:line="240" w:lineRule="auto"/>
              <w:ind w:left="720"/>
              <w:rPr>
                <w:rFonts w:eastAsia="Times New Roman"/>
                <w:color w:val="000000" w:themeColor="text1"/>
                <w:sz w:val="20"/>
                <w:szCs w:val="20"/>
                <w:lang w:val="en-US"/>
              </w:rPr>
            </w:pPr>
          </w:p>
        </w:tc>
      </w:tr>
      <w:tr w:rsidR="004724C9" w:rsidRPr="004724C9" w14:paraId="7F16E33E" w14:textId="77777777" w:rsidTr="004724C9">
        <w:trPr>
          <w:trHeight w:val="495"/>
        </w:trPr>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3E30CD" w14:textId="77777777" w:rsidR="0090395B" w:rsidRPr="004724C9" w:rsidRDefault="0090395B" w:rsidP="004724C9">
            <w:pPr>
              <w:spacing w:before="240" w:line="240" w:lineRule="auto"/>
              <w:ind w:left="720"/>
              <w:jc w:val="both"/>
              <w:rPr>
                <w:rFonts w:eastAsia="Times New Roman"/>
                <w:color w:val="000000" w:themeColor="text1"/>
                <w:sz w:val="20"/>
                <w:szCs w:val="20"/>
                <w:lang w:val="en-US"/>
              </w:rPr>
            </w:pPr>
            <w:r w:rsidRPr="004724C9">
              <w:rPr>
                <w:rFonts w:eastAsia="Times New Roman"/>
                <w:color w:val="000000" w:themeColor="text1"/>
                <w:sz w:val="20"/>
                <w:szCs w:val="20"/>
                <w:lang w:val="en-US"/>
              </w:rPr>
              <w:t>2017</w:t>
            </w:r>
          </w:p>
        </w:tc>
        <w:tc>
          <w:tcPr>
            <w:tcW w:w="1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E2D953" w14:textId="77777777" w:rsidR="0090395B" w:rsidRPr="004724C9" w:rsidRDefault="0090395B" w:rsidP="004724C9">
            <w:pPr>
              <w:spacing w:before="240" w:line="240" w:lineRule="auto"/>
              <w:ind w:left="720"/>
              <w:jc w:val="center"/>
              <w:rPr>
                <w:rFonts w:eastAsia="Times New Roman"/>
                <w:color w:val="000000" w:themeColor="text1"/>
                <w:sz w:val="20"/>
                <w:szCs w:val="20"/>
                <w:lang w:val="en-US"/>
              </w:rPr>
            </w:pPr>
            <w:r w:rsidRPr="004724C9">
              <w:rPr>
                <w:rFonts w:eastAsia="Times New Roman"/>
                <w:color w:val="000000" w:themeColor="text1"/>
                <w:sz w:val="20"/>
                <w:szCs w:val="20"/>
                <w:lang w:val="en-US"/>
              </w:rPr>
              <w:t>s/d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B82F79" w14:textId="77777777" w:rsidR="0090395B" w:rsidRPr="004724C9" w:rsidRDefault="0090395B" w:rsidP="004724C9">
            <w:pPr>
              <w:spacing w:before="240" w:line="240" w:lineRule="auto"/>
              <w:ind w:left="720"/>
              <w:jc w:val="center"/>
              <w:rPr>
                <w:rFonts w:eastAsia="Times New Roman"/>
                <w:color w:val="000000" w:themeColor="text1"/>
                <w:sz w:val="20"/>
                <w:szCs w:val="20"/>
                <w:lang w:val="en-US"/>
              </w:rPr>
            </w:pPr>
            <w:r w:rsidRPr="004724C9">
              <w:rPr>
                <w:rFonts w:eastAsia="Times New Roman"/>
                <w:color w:val="000000" w:themeColor="text1"/>
                <w:sz w:val="20"/>
                <w:szCs w:val="20"/>
                <w:lang w:val="en-US"/>
              </w:rPr>
              <w:t>s/d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22B7F" w14:textId="77777777" w:rsidR="0090395B" w:rsidRPr="004724C9" w:rsidRDefault="0090395B" w:rsidP="004724C9">
            <w:pPr>
              <w:spacing w:before="240" w:line="240" w:lineRule="auto"/>
              <w:ind w:left="720"/>
              <w:jc w:val="center"/>
              <w:rPr>
                <w:rFonts w:eastAsia="Times New Roman"/>
                <w:color w:val="000000" w:themeColor="text1"/>
                <w:sz w:val="20"/>
                <w:szCs w:val="20"/>
                <w:lang w:val="en-US"/>
              </w:rPr>
            </w:pPr>
            <w:r w:rsidRPr="004724C9">
              <w:rPr>
                <w:rFonts w:eastAsia="Times New Roman"/>
                <w:color w:val="000000" w:themeColor="text1"/>
                <w:sz w:val="20"/>
                <w:szCs w:val="20"/>
                <w:lang w:val="en-US"/>
              </w:rPr>
              <w:t>s/d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4B683F" w14:textId="77777777" w:rsidR="0090395B" w:rsidRPr="004724C9" w:rsidRDefault="0090395B" w:rsidP="004724C9">
            <w:pPr>
              <w:spacing w:before="240" w:line="240" w:lineRule="auto"/>
              <w:ind w:left="720"/>
              <w:jc w:val="center"/>
              <w:rPr>
                <w:rFonts w:eastAsia="Times New Roman"/>
                <w:color w:val="000000" w:themeColor="text1"/>
                <w:sz w:val="20"/>
                <w:szCs w:val="20"/>
                <w:lang w:val="en-US"/>
              </w:rPr>
            </w:pPr>
            <w:r w:rsidRPr="004724C9">
              <w:rPr>
                <w:rFonts w:eastAsia="Times New Roman"/>
                <w:color w:val="000000" w:themeColor="text1"/>
                <w:sz w:val="20"/>
                <w:szCs w:val="20"/>
                <w:lang w:val="en-US"/>
              </w:rPr>
              <w:t>6</w:t>
            </w:r>
          </w:p>
        </w:tc>
        <w:tc>
          <w:tcPr>
            <w:tcW w:w="14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EB332B" w14:textId="77777777" w:rsidR="0090395B" w:rsidRPr="004724C9" w:rsidRDefault="0090395B" w:rsidP="004724C9">
            <w:pPr>
              <w:spacing w:before="240" w:line="240" w:lineRule="auto"/>
              <w:ind w:left="720"/>
              <w:jc w:val="center"/>
              <w:rPr>
                <w:rFonts w:eastAsia="Times New Roman"/>
                <w:color w:val="000000" w:themeColor="text1"/>
                <w:sz w:val="20"/>
                <w:szCs w:val="20"/>
                <w:lang w:val="en-US"/>
              </w:rPr>
            </w:pPr>
            <w:r w:rsidRPr="004724C9">
              <w:rPr>
                <w:rFonts w:eastAsia="Times New Roman"/>
                <w:color w:val="000000" w:themeColor="text1"/>
                <w:sz w:val="20"/>
                <w:szCs w:val="20"/>
                <w:lang w:val="en-US"/>
              </w:rPr>
              <w:t>4</w:t>
            </w:r>
          </w:p>
        </w:tc>
      </w:tr>
    </w:tbl>
    <w:p w14:paraId="2C18AD92" w14:textId="77777777" w:rsidR="0090395B" w:rsidRPr="004724C9" w:rsidRDefault="0090395B" w:rsidP="004724C9">
      <w:pPr>
        <w:spacing w:line="240" w:lineRule="auto"/>
        <w:ind w:left="720"/>
        <w:jc w:val="right"/>
        <w:rPr>
          <w:rFonts w:eastAsia="Times New Roman"/>
          <w:i/>
          <w:color w:val="000000" w:themeColor="text1"/>
          <w:sz w:val="18"/>
          <w:szCs w:val="18"/>
          <w:lang w:val="es-ES"/>
        </w:rPr>
      </w:pPr>
      <w:r w:rsidRPr="004724C9">
        <w:rPr>
          <w:rFonts w:eastAsia="Times New Roman"/>
          <w:i/>
          <w:color w:val="000000" w:themeColor="text1"/>
          <w:sz w:val="18"/>
          <w:szCs w:val="18"/>
          <w:lang w:val="es-ES"/>
        </w:rPr>
        <w:t>Registro de Noticias del Delito</w:t>
      </w:r>
    </w:p>
    <w:p w14:paraId="49C7912E" w14:textId="77777777" w:rsidR="0090395B" w:rsidRPr="004724C9" w:rsidRDefault="0090395B" w:rsidP="004724C9">
      <w:pPr>
        <w:spacing w:line="240" w:lineRule="auto"/>
        <w:ind w:left="1080"/>
        <w:jc w:val="right"/>
        <w:rPr>
          <w:rFonts w:eastAsia="Times New Roman"/>
          <w:i/>
          <w:color w:val="000000" w:themeColor="text1"/>
          <w:sz w:val="18"/>
          <w:szCs w:val="18"/>
          <w:lang w:val="es-ES"/>
        </w:rPr>
      </w:pPr>
      <w:r w:rsidRPr="004724C9">
        <w:rPr>
          <w:rFonts w:eastAsia="Times New Roman"/>
          <w:i/>
          <w:color w:val="000000" w:themeColor="text1"/>
          <w:sz w:val="18"/>
          <w:szCs w:val="18"/>
          <w:lang w:val="es-ES"/>
        </w:rPr>
        <w:t>Fuente: Consejo Nacional de la Judicatura</w:t>
      </w:r>
    </w:p>
    <w:p w14:paraId="08197512" w14:textId="77777777" w:rsidR="0090395B" w:rsidRPr="004724C9" w:rsidRDefault="0090395B" w:rsidP="004724C9">
      <w:pPr>
        <w:spacing w:line="240" w:lineRule="auto"/>
        <w:ind w:left="1080"/>
        <w:jc w:val="right"/>
        <w:rPr>
          <w:rFonts w:eastAsia="Times New Roman"/>
          <w:i/>
          <w:color w:val="000000" w:themeColor="text1"/>
          <w:sz w:val="18"/>
          <w:szCs w:val="18"/>
          <w:lang w:val="es-ES"/>
        </w:rPr>
      </w:pPr>
      <w:r w:rsidRPr="004724C9">
        <w:rPr>
          <w:rFonts w:eastAsia="Times New Roman"/>
          <w:i/>
          <w:color w:val="000000" w:themeColor="text1"/>
          <w:sz w:val="18"/>
          <w:szCs w:val="18"/>
          <w:lang w:val="es-ES"/>
        </w:rPr>
        <w:t>Elaboración propia</w:t>
      </w:r>
    </w:p>
    <w:p w14:paraId="53ACE178" w14:textId="77777777" w:rsidR="005C2273" w:rsidRDefault="005C2273" w:rsidP="004724C9">
      <w:pPr>
        <w:spacing w:line="240" w:lineRule="auto"/>
        <w:jc w:val="both"/>
        <w:rPr>
          <w:rFonts w:eastAsia="Times New Roman"/>
          <w:color w:val="000000" w:themeColor="text1"/>
          <w:sz w:val="24"/>
          <w:szCs w:val="24"/>
          <w:lang w:val="es-ES"/>
        </w:rPr>
      </w:pPr>
    </w:p>
    <w:p w14:paraId="2A529FB2" w14:textId="77777777" w:rsidR="005C2273" w:rsidRPr="004724C9" w:rsidRDefault="0090395B" w:rsidP="00233899">
      <w:pPr>
        <w:pStyle w:val="Prrafodelista"/>
        <w:numPr>
          <w:ilvl w:val="0"/>
          <w:numId w:val="17"/>
        </w:numPr>
        <w:spacing w:line="240" w:lineRule="auto"/>
        <w:jc w:val="both"/>
        <w:rPr>
          <w:rFonts w:eastAsia="Times New Roman"/>
          <w:color w:val="000000" w:themeColor="text1"/>
          <w:sz w:val="24"/>
          <w:szCs w:val="24"/>
          <w:lang w:val="es-ES"/>
        </w:rPr>
      </w:pPr>
      <w:r w:rsidRPr="004724C9">
        <w:rPr>
          <w:rFonts w:eastAsia="Times New Roman"/>
          <w:color w:val="000000" w:themeColor="text1"/>
          <w:lang w:val="es-ES"/>
        </w:rPr>
        <w:t>De información adicional proporcionada por el Consejo de la Judicatura, se tiene se conocimiento de que las sanciones fluctúan entre los 4 años y 16 años, siendo mayoritarias estas últimas. La misma fuente reportó en la petición de información que se realizara para el presente Informe Sombra que, en el año 2018 se reportaron 24 personas condenadas y en el año 2019, 44. Sin embargo llama la atención de que existan sentencias de 4 años por un delito cuya sanción es de entre 13 y 16 años privativos de la libertad.</w:t>
      </w:r>
    </w:p>
    <w:p w14:paraId="3EC5471B" w14:textId="77777777" w:rsidR="005C2273" w:rsidRPr="004724C9" w:rsidRDefault="0090395B" w:rsidP="00233899">
      <w:pPr>
        <w:pStyle w:val="Prrafodelista"/>
        <w:numPr>
          <w:ilvl w:val="0"/>
          <w:numId w:val="17"/>
        </w:numPr>
        <w:spacing w:line="240" w:lineRule="auto"/>
        <w:jc w:val="both"/>
        <w:rPr>
          <w:rFonts w:eastAsia="Times New Roman"/>
          <w:color w:val="000000" w:themeColor="text1"/>
          <w:sz w:val="24"/>
          <w:szCs w:val="24"/>
          <w:lang w:val="es-ES"/>
        </w:rPr>
      </w:pPr>
      <w:r w:rsidRPr="004724C9">
        <w:rPr>
          <w:rFonts w:eastAsia="Times New Roman"/>
          <w:color w:val="000000" w:themeColor="text1"/>
          <w:lang w:val="es-ES"/>
        </w:rPr>
        <w:t>Tal como lo expresa el movimiento de mujeres y el movimiento de asistencia a víctimas de trata de personas, las sentencias suelen incluir multas de trescientos salarios básicos unificados pero su ejecución se torna imposible. </w:t>
      </w:r>
    </w:p>
    <w:p w14:paraId="3145AFAD" w14:textId="77777777" w:rsidR="0090395B" w:rsidRPr="004724C9" w:rsidRDefault="0090395B" w:rsidP="00233899">
      <w:pPr>
        <w:pStyle w:val="Prrafodelista"/>
        <w:numPr>
          <w:ilvl w:val="0"/>
          <w:numId w:val="17"/>
        </w:numPr>
        <w:spacing w:line="240" w:lineRule="auto"/>
        <w:jc w:val="both"/>
        <w:rPr>
          <w:rFonts w:eastAsia="Times New Roman"/>
          <w:color w:val="000000" w:themeColor="text1"/>
          <w:sz w:val="24"/>
          <w:szCs w:val="24"/>
          <w:lang w:val="es-ES"/>
        </w:rPr>
      </w:pPr>
      <w:r w:rsidRPr="004724C9">
        <w:rPr>
          <w:rFonts w:eastAsia="Times New Roman"/>
          <w:color w:val="000000" w:themeColor="text1"/>
          <w:lang w:val="es-ES"/>
        </w:rPr>
        <w:t>Por su parte, la Ley de Movilidad Humana en su artículo 118 contempla la creación del Registro para identificación de víctimas de trata de personas y tráfico ilícito de migrantes que da origen al REGISTRATT. Tal como lo indica la Ley, dicho registro es de víctimas de trata de personas tanto como de víctimas de tráfico ilícito de migrantes. No es un registro público y su acceso es administrado por el Ministerio de Gobierno como líder del Comité Interinstitucional de Coordinación para la Prevención de Trata de Personas y Tráfico Ilícito de Migrantes y Protección a sus Víctimas. La sociedad civil no tiene acceso público a datos sobre el fenómeno. No se conoce de información periódica desagregada por sexo, edad, procedencia, acceso a servicios de protección y acceso a justicia de las víctimas de trata de personas en Ecuador</w:t>
      </w:r>
    </w:p>
    <w:p w14:paraId="597143A8"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 xml:space="preserve">Más preocupante aún son las cifras y la visión consignada en la información que presenta el Sistema de Seguimiento de la Gestión en Trata y Tráfico de Ilícito de Migrantes - SISEGETT, la cual es una herramienta de datos para el seguimiento de la </w:t>
      </w:r>
      <w:r w:rsidRPr="004724C9">
        <w:rPr>
          <w:rFonts w:eastAsia="Times New Roman"/>
          <w:color w:val="000000" w:themeColor="text1"/>
          <w:lang w:val="es-ES"/>
        </w:rPr>
        <w:lastRenderedPageBreak/>
        <w:t>implementación del PACTA. Pese al enorme esfuerzo que se realizó para lograr la investigación especializada del delito de trata de personas tipificado en el art. 91 del COIP, la información que ofrece el SISEGETT presenta resultados por dos tipos penales: Art. 169 relacionado con corrupción de menores con una pena de menos del tercio que la trata de personas; y el Art. 172 por el delito de utilización de personas para exhibición pública con fines de naturaleza sexual, retrocediendo al menos 8 años al momento en que los agentes operativos de investigación y los operadores de justicia se mostraban reactivos a acusar por el tipo penal de trata de personas y de explotación (con medios definidos de la trata) contenido en el Código Penal vigente a la época beneficiando a los tratantes con tipos penales como corrupción de menores (sanciones de 6 meses).</w:t>
      </w:r>
    </w:p>
    <w:p w14:paraId="693D6CA1"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Sin acceso público a información evidenciable y documentada, la lucha contra la trata de personas y el análisis multicausal y multidimensional del fenómeno se ve obstaculizado en Ecuador. Evidencia que no existe un acuerdo entre las instituciones del poder punitivo y las instituciones de protección de derechos humanos y de prevención y erradicación de las violencias sobre cómo enfrentar el fenómeno, investigar de manera especializada, proteger a las víctimas y obtener sanciones conforme los bienes jurídicos protegidos. Al excluir a la sociedad civil y a la academia de la comprensión del fenómeno se cierne también sobre las víctimas una criminalización primaria que agrava su posibilidad de reinserción social y económica sin estigmatización. </w:t>
      </w:r>
    </w:p>
    <w:p w14:paraId="747D4C34" w14:textId="77777777" w:rsidR="004724C9"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En un contexto tan sensible como el de pandemia por COVID-19, no se tienen datos actualizados y permanentes sobre la incidencia del fenómeno y los factores que podrían agravar la situación de niñas y adolescentes y mujeres. Una de las limitaciones estructurales del país para comprender el fenómeno de la trata de mujeres y niñas es justamente la naturalización de la cifra estadística, la relación de facto y sin mediación analítica con el tráfico ilícito de migrantes; la seria resistencia de operadores de seguridad y de justicia para comprender la trata de personas y, especialmente de mujeres y niñas, libre de estereotipos y en el deber inexcusable de proteger y atender a las víctimas desde una mirada especializada que les posibilite acceso a justicia pronto y efectivo. </w:t>
      </w:r>
    </w:p>
    <w:p w14:paraId="05E1606E"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Cuando se trata de adolescentes y niñas la obligación es que el sistema penal en su conjunto actúe en debida diligencia reforzada, en su interés superior y prioridad absoluta, desnaturalizando la práctica judicial de institucionalización de las víctimas y de espera a que operadores de justicia avancen en las investigaciones que pueden tardar, incluso, el límite permitido por la ley (dos años) con pérdida total de elementos, cansancio de las víctimas que han perdido oportunidades para la reconstrucción de sus vidas y con carga de prueba hacia ellas.</w:t>
      </w:r>
    </w:p>
    <w:p w14:paraId="323D010D" w14:textId="77777777" w:rsidR="004724C9" w:rsidRDefault="004724C9" w:rsidP="004724C9">
      <w:pPr>
        <w:spacing w:line="240" w:lineRule="auto"/>
        <w:ind w:left="1440"/>
        <w:jc w:val="both"/>
        <w:textAlignment w:val="baseline"/>
        <w:rPr>
          <w:rFonts w:eastAsia="Times New Roman"/>
          <w:color w:val="000000" w:themeColor="text1"/>
          <w:sz w:val="24"/>
          <w:szCs w:val="24"/>
          <w:lang w:val="es-ES"/>
        </w:rPr>
      </w:pPr>
    </w:p>
    <w:p w14:paraId="695E2630" w14:textId="77777777" w:rsidR="004724C9" w:rsidRPr="004724C9" w:rsidRDefault="0090395B" w:rsidP="00233899">
      <w:pPr>
        <w:pStyle w:val="Prrafodelista"/>
        <w:numPr>
          <w:ilvl w:val="0"/>
          <w:numId w:val="26"/>
        </w:numPr>
        <w:spacing w:line="240" w:lineRule="auto"/>
        <w:jc w:val="both"/>
        <w:textAlignment w:val="baseline"/>
        <w:rPr>
          <w:rFonts w:eastAsia="Times New Roman"/>
          <w:b/>
          <w:bCs/>
          <w:i/>
          <w:iCs/>
          <w:color w:val="000000" w:themeColor="text1"/>
          <w:lang w:val="es-ES"/>
        </w:rPr>
      </w:pPr>
      <w:r w:rsidRPr="004724C9">
        <w:rPr>
          <w:rFonts w:eastAsia="Times New Roman"/>
          <w:b/>
          <w:bCs/>
          <w:i/>
          <w:iCs/>
          <w:color w:val="000000" w:themeColor="text1"/>
          <w:lang w:val="es-ES"/>
        </w:rPr>
        <w:t>La normativa y la política públic</w:t>
      </w:r>
      <w:r w:rsidR="004724C9" w:rsidRPr="004724C9">
        <w:rPr>
          <w:rFonts w:eastAsia="Times New Roman"/>
          <w:b/>
          <w:bCs/>
          <w:i/>
          <w:iCs/>
          <w:color w:val="000000" w:themeColor="text1"/>
          <w:lang w:val="es-ES"/>
        </w:rPr>
        <w:t>a</w:t>
      </w:r>
    </w:p>
    <w:p w14:paraId="5BEBF0CD" w14:textId="77777777" w:rsidR="004724C9" w:rsidRDefault="004724C9" w:rsidP="004724C9">
      <w:pPr>
        <w:spacing w:line="240" w:lineRule="auto"/>
        <w:ind w:left="360"/>
        <w:jc w:val="both"/>
        <w:textAlignment w:val="baseline"/>
        <w:rPr>
          <w:rFonts w:eastAsia="Times New Roman"/>
          <w:b/>
          <w:bCs/>
          <w:i/>
          <w:iCs/>
          <w:color w:val="000000" w:themeColor="text1"/>
          <w:lang w:val="es-ES"/>
        </w:rPr>
      </w:pPr>
    </w:p>
    <w:p w14:paraId="0581E1DC" w14:textId="77777777" w:rsidR="0090395B" w:rsidRPr="004724C9" w:rsidRDefault="0090395B" w:rsidP="00233899">
      <w:pPr>
        <w:pStyle w:val="Prrafodelista"/>
        <w:numPr>
          <w:ilvl w:val="0"/>
          <w:numId w:val="17"/>
        </w:numPr>
        <w:spacing w:line="240" w:lineRule="auto"/>
        <w:jc w:val="both"/>
        <w:textAlignment w:val="baseline"/>
        <w:rPr>
          <w:rFonts w:eastAsia="Times New Roman"/>
          <w:b/>
          <w:bCs/>
          <w:i/>
          <w:iCs/>
          <w:color w:val="000000" w:themeColor="text1"/>
          <w:lang w:val="es-ES"/>
        </w:rPr>
      </w:pPr>
      <w:r w:rsidRPr="004724C9">
        <w:rPr>
          <w:rFonts w:eastAsia="Times New Roman"/>
          <w:color w:val="000000" w:themeColor="text1"/>
          <w:lang w:val="es-ES"/>
        </w:rPr>
        <w:t>El Estado da cuenta de las siguientes normas y políticas públicas:</w:t>
      </w:r>
    </w:p>
    <w:p w14:paraId="62C27249" w14:textId="77777777" w:rsidR="0090395B" w:rsidRPr="0090395B" w:rsidRDefault="0090395B" w:rsidP="00233899">
      <w:pPr>
        <w:numPr>
          <w:ilvl w:val="0"/>
          <w:numId w:val="18"/>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t xml:space="preserve">Ley Orgánica de Movilidad Humana, (2017). </w:t>
      </w:r>
      <w:hyperlink r:id="rId16" w:history="1">
        <w:r w:rsidRPr="004724C9">
          <w:rPr>
            <w:rFonts w:eastAsia="Times New Roman"/>
            <w:color w:val="000000" w:themeColor="text1"/>
            <w:u w:val="single"/>
            <w:lang w:val="es-ES"/>
          </w:rPr>
          <w:t>https://bit.ly/2AfdjIK</w:t>
        </w:r>
      </w:hyperlink>
      <w:r w:rsidRPr="0090395B">
        <w:rPr>
          <w:rFonts w:eastAsia="Times New Roman"/>
          <w:color w:val="000000" w:themeColor="text1"/>
          <w:lang w:val="es-ES"/>
        </w:rPr>
        <w:t> </w:t>
      </w:r>
    </w:p>
    <w:p w14:paraId="58A751A8" w14:textId="77777777" w:rsidR="0090395B" w:rsidRPr="0090395B" w:rsidRDefault="0090395B" w:rsidP="00233899">
      <w:pPr>
        <w:numPr>
          <w:ilvl w:val="0"/>
          <w:numId w:val="18"/>
        </w:numPr>
        <w:spacing w:line="240" w:lineRule="auto"/>
        <w:jc w:val="both"/>
        <w:textAlignment w:val="baseline"/>
        <w:rPr>
          <w:rFonts w:eastAsia="Times New Roman"/>
          <w:color w:val="000000" w:themeColor="text1"/>
          <w:lang w:val="en-US"/>
        </w:rPr>
      </w:pPr>
      <w:r w:rsidRPr="0090395B">
        <w:rPr>
          <w:rFonts w:eastAsia="Times New Roman"/>
          <w:color w:val="000000" w:themeColor="text1"/>
          <w:lang w:val="es-ES"/>
        </w:rPr>
        <w:t xml:space="preserve">Reglamento a la Ley Orgánica de Movilidad Humana, (2018). </w:t>
      </w:r>
      <w:hyperlink r:id="rId17" w:history="1">
        <w:r w:rsidRPr="0090395B">
          <w:rPr>
            <w:rFonts w:eastAsia="Times New Roman"/>
            <w:color w:val="000000" w:themeColor="text1"/>
            <w:u w:val="single"/>
            <w:lang w:val="en-US"/>
          </w:rPr>
          <w:t>https://bit.ly/2M4WHpQ</w:t>
        </w:r>
      </w:hyperlink>
      <w:r w:rsidRPr="0090395B">
        <w:rPr>
          <w:rFonts w:eastAsia="Times New Roman"/>
          <w:color w:val="000000" w:themeColor="text1"/>
          <w:lang w:val="en-US"/>
        </w:rPr>
        <w:t> </w:t>
      </w:r>
    </w:p>
    <w:p w14:paraId="25F46C87" w14:textId="77777777" w:rsidR="0090395B" w:rsidRPr="0090395B" w:rsidRDefault="0090395B" w:rsidP="00233899">
      <w:pPr>
        <w:numPr>
          <w:ilvl w:val="0"/>
          <w:numId w:val="18"/>
        </w:numPr>
        <w:spacing w:line="240" w:lineRule="auto"/>
        <w:jc w:val="both"/>
        <w:textAlignment w:val="baseline"/>
        <w:rPr>
          <w:rFonts w:eastAsia="Times New Roman"/>
          <w:color w:val="000000" w:themeColor="text1"/>
          <w:lang w:val="en-US"/>
        </w:rPr>
      </w:pPr>
      <w:r w:rsidRPr="0090395B">
        <w:rPr>
          <w:rFonts w:eastAsia="Times New Roman"/>
          <w:color w:val="000000" w:themeColor="text1"/>
          <w:lang w:val="es-ES"/>
        </w:rPr>
        <w:t xml:space="preserve">Creación del Comité Interinstitucional de Coordinación para la Prevención de Trata de Personas y Tráfico Ilícito de Migrantes y Protección a sus Víctimas y la Normativa para su funcionamiento aprobado mediante Acuerdo N° 0010, publicado en el Registro Oficial N.240, en el año 2018. </w:t>
      </w:r>
      <w:hyperlink r:id="rId18" w:history="1">
        <w:r w:rsidRPr="0090395B">
          <w:rPr>
            <w:rFonts w:eastAsia="Times New Roman"/>
            <w:color w:val="000000" w:themeColor="text1"/>
            <w:u w:val="single"/>
            <w:lang w:val="en-US"/>
          </w:rPr>
          <w:t>https://bit.ly/2zJmNfg</w:t>
        </w:r>
      </w:hyperlink>
    </w:p>
    <w:p w14:paraId="2CF4505C" w14:textId="77777777" w:rsidR="0090395B" w:rsidRPr="0090395B" w:rsidRDefault="0090395B" w:rsidP="00233899">
      <w:pPr>
        <w:numPr>
          <w:ilvl w:val="0"/>
          <w:numId w:val="18"/>
        </w:numPr>
        <w:spacing w:line="240" w:lineRule="auto"/>
        <w:jc w:val="both"/>
        <w:textAlignment w:val="baseline"/>
        <w:rPr>
          <w:rFonts w:eastAsia="Times New Roman"/>
          <w:color w:val="000000" w:themeColor="text1"/>
          <w:lang w:val="en-US"/>
        </w:rPr>
      </w:pPr>
      <w:r w:rsidRPr="0090395B">
        <w:rPr>
          <w:rFonts w:eastAsia="Times New Roman"/>
          <w:color w:val="000000" w:themeColor="text1"/>
          <w:lang w:val="es-ES"/>
        </w:rPr>
        <w:t xml:space="preserve">Protocolo de actuación interinstitucional para la atención, protección y asistencia integral a presuntas víctimas y víctimas de trata de personas. </w:t>
      </w:r>
      <w:r w:rsidRPr="0090395B">
        <w:rPr>
          <w:rFonts w:eastAsia="Times New Roman"/>
          <w:color w:val="000000" w:themeColor="text1"/>
          <w:lang w:val="en-US"/>
        </w:rPr>
        <w:t>(2017)</w:t>
      </w:r>
    </w:p>
    <w:p w14:paraId="33BBA0AE" w14:textId="77777777" w:rsidR="0090395B" w:rsidRPr="0090395B" w:rsidRDefault="0090395B" w:rsidP="00233899">
      <w:pPr>
        <w:numPr>
          <w:ilvl w:val="0"/>
          <w:numId w:val="18"/>
        </w:numPr>
        <w:spacing w:line="240" w:lineRule="auto"/>
        <w:jc w:val="both"/>
        <w:textAlignment w:val="baseline"/>
        <w:rPr>
          <w:rFonts w:eastAsia="Times New Roman"/>
          <w:color w:val="000000" w:themeColor="text1"/>
          <w:lang w:val="en-US"/>
        </w:rPr>
      </w:pPr>
      <w:r w:rsidRPr="0090395B">
        <w:rPr>
          <w:rFonts w:eastAsia="Times New Roman"/>
          <w:color w:val="000000" w:themeColor="text1"/>
          <w:lang w:val="es-ES"/>
        </w:rPr>
        <w:t xml:space="preserve">Plan de Acción contra la Trata de Personas 2019-2030. Aprobado mediante Acuerdo Ministerial Nro. 0194-2019, de 25 de noviembre de 2019. </w:t>
      </w:r>
      <w:hyperlink r:id="rId19" w:history="1">
        <w:r w:rsidRPr="0090395B">
          <w:rPr>
            <w:rFonts w:eastAsia="Times New Roman"/>
            <w:color w:val="000000" w:themeColor="text1"/>
            <w:u w:val="single"/>
            <w:lang w:val="en-US"/>
          </w:rPr>
          <w:t>https://bit.ly/2M9SPDS</w:t>
        </w:r>
      </w:hyperlink>
    </w:p>
    <w:p w14:paraId="40100316" w14:textId="77777777" w:rsidR="0090395B" w:rsidRPr="0090395B" w:rsidRDefault="0090395B" w:rsidP="00233899">
      <w:pPr>
        <w:numPr>
          <w:ilvl w:val="0"/>
          <w:numId w:val="18"/>
        </w:numPr>
        <w:spacing w:line="240" w:lineRule="auto"/>
        <w:jc w:val="both"/>
        <w:textAlignment w:val="baseline"/>
        <w:rPr>
          <w:rFonts w:eastAsia="Times New Roman"/>
          <w:color w:val="000000" w:themeColor="text1"/>
          <w:lang w:val="en-US"/>
        </w:rPr>
      </w:pPr>
      <w:r w:rsidRPr="0090395B">
        <w:rPr>
          <w:rFonts w:eastAsia="Times New Roman"/>
          <w:color w:val="000000" w:themeColor="text1"/>
          <w:lang w:val="es-ES"/>
        </w:rPr>
        <w:t xml:space="preserve">Sistema de Seguimiento de Trata de Personas y Tráfico de Migrantes (SISEGETT) para seguimiento del PACTA. </w:t>
      </w:r>
      <w:r w:rsidRPr="0090395B">
        <w:rPr>
          <w:rFonts w:eastAsia="Times New Roman"/>
          <w:color w:val="000000" w:themeColor="text1"/>
          <w:lang w:val="en-US"/>
        </w:rPr>
        <w:t>(2017-2018)</w:t>
      </w:r>
    </w:p>
    <w:p w14:paraId="41532E98" w14:textId="77777777" w:rsidR="0090395B" w:rsidRPr="0090395B" w:rsidRDefault="0090395B" w:rsidP="00233899">
      <w:pPr>
        <w:numPr>
          <w:ilvl w:val="0"/>
          <w:numId w:val="18"/>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lastRenderedPageBreak/>
        <w:t>“Pacto del Gobierno Nacional con Niños, Niñas y Adolescentes contra la Violencia”, “Pacto del Gobierno Nacional con Niños, Niñas y Adolescentes por una Internet Segura”, “Pacto Creación del Sello Empresarial por Productos Libres de Violencia y Trabajo Infantil”, “Pacto para la Prevención de la Explotación y Abusos Sexuales de Niños, Niñas y Adolescentes en las Industrias de Explotación de Recursos No Renovables” y “Pacto del Gobierno Nacional con Niños, Niñas y Adolescentes contra el Turismo Sexual de Niños, Niñas y Adolescentes” (2018). </w:t>
      </w:r>
    </w:p>
    <w:p w14:paraId="2F2F61A0" w14:textId="77777777" w:rsidR="004724C9" w:rsidRDefault="0090395B" w:rsidP="00233899">
      <w:pPr>
        <w:numPr>
          <w:ilvl w:val="0"/>
          <w:numId w:val="18"/>
        </w:numPr>
        <w:spacing w:line="240" w:lineRule="auto"/>
        <w:jc w:val="both"/>
        <w:textAlignment w:val="baseline"/>
        <w:rPr>
          <w:rFonts w:eastAsia="Times New Roman"/>
          <w:color w:val="000000" w:themeColor="text1"/>
          <w:lang w:val="es-ES"/>
        </w:rPr>
      </w:pPr>
      <w:r w:rsidRPr="0090395B">
        <w:rPr>
          <w:rFonts w:eastAsia="Times New Roman"/>
          <w:color w:val="000000" w:themeColor="text1"/>
          <w:lang w:val="es-ES"/>
        </w:rPr>
        <w:t>SDH-GIZ están sistematizando buenas prácticas y creando el Modelo de atención para mujeres, niños, niñas y adolescentes víctimas de Trata y tráfico Ilícito en el marco del “Protocolo de Actuación Interinstitucional para la Atención y Protección Integral de Víctimas de Trata de Personas; y, “Protocolo de Actuación Interinstitucional en Casos de Tráfico Ilícito de Migrantes.”</w:t>
      </w:r>
    </w:p>
    <w:p w14:paraId="47C0F9E3" w14:textId="77777777" w:rsidR="004724C9" w:rsidRDefault="004724C9" w:rsidP="004724C9">
      <w:pPr>
        <w:spacing w:line="240" w:lineRule="auto"/>
        <w:ind w:left="720"/>
        <w:jc w:val="both"/>
        <w:textAlignment w:val="baseline"/>
        <w:rPr>
          <w:rFonts w:eastAsia="Times New Roman"/>
          <w:color w:val="000000" w:themeColor="text1"/>
          <w:lang w:val="es-ES"/>
        </w:rPr>
      </w:pPr>
    </w:p>
    <w:p w14:paraId="513F4D3C" w14:textId="77777777" w:rsid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Sin embargo, la política pública en el Ecuador sigue carente de transversalidad de género priorizando una visión en la definición de la política como en los mecanismos de protección y atención relacionada con una visión MED, en el sentido de que suelen nombrarse la existencia de víctimas mujeres en múltiples condiciones de vulnerabilidad o riesgo, pero absolutamente carente de un análisis en clave de género capaz de generar información rigurosa y de fondo sobre el fenómeno de la trata de mujeres y niñas en el país como expresión de la violencia basada en género y la necesidad de su erradicación como un asunto de derechos humanos. </w:t>
      </w:r>
    </w:p>
    <w:p w14:paraId="0482D37D" w14:textId="77777777" w:rsid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Se suele invisibilizar en documentos oficiales y en los relatos y acciones del poder punitivo que las víctimas de trata de personas son víctimas de otros delitos conexos, la mayor parte de ellos de carácter sexual y contra su integridad física y psicológica y libertad de movilidad; se confunde la naturaleza del delito como un acto pluriofensivo de violación de derechos humanos lo cual beneficia la impunidad y las redes criminales que, finalmente, ven las sustanciales diferencias entre su actuación y control de territorios de explotación, número de noticias del delito y sentencias condenatorias ejecutoriadas.</w:t>
      </w:r>
    </w:p>
    <w:p w14:paraId="29F809F9" w14:textId="77777777" w:rsid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Pese a que el Estado informa sobre el fortalecimiento de capacidades de la Dirección de Prevención de Trata de Personas y Tráfico de Migrantes (DPTPTM), con una Unidad Especializada Anti-trata, que en 2019 se transforma en la Unidad Nacional de Investigación Contra la Trata de Personas y Tráfico Ilícito de Migrantes. Desde ese año se crea entonces a la nueva Dirección Nacional Contra la Violencia de Género, Familia, Niñez, Adolescencia y Trata de Personas (DINAPEN). DINAPEN amplía de 32 a 49 efectivos policiales y se puso en funcionamiento inmediato a la Unidad Nacional Especializada de Investigación contra la Delincuencia Organizada Transnacional (UNIDOT), para la investigación de casos de trata.</w:t>
      </w:r>
    </w:p>
    <w:p w14:paraId="2BA36BB3"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 xml:space="preserve">Según información de </w:t>
      </w:r>
      <w:proofErr w:type="spellStart"/>
      <w:r w:rsidRPr="004724C9">
        <w:rPr>
          <w:rFonts w:eastAsia="Times New Roman"/>
          <w:color w:val="000000" w:themeColor="text1"/>
          <w:lang w:val="es-ES"/>
        </w:rPr>
        <w:t>lxs</w:t>
      </w:r>
      <w:proofErr w:type="spellEnd"/>
      <w:r w:rsidRPr="004724C9">
        <w:rPr>
          <w:rFonts w:eastAsia="Times New Roman"/>
          <w:color w:val="000000" w:themeColor="text1"/>
          <w:lang w:val="es-ES"/>
        </w:rPr>
        <w:t xml:space="preserve"> participantes en el grupo focal de sociedad civil, para la documentación del presente Informe Sombra, se insiste en señalar </w:t>
      </w:r>
      <w:proofErr w:type="gramStart"/>
      <w:r w:rsidRPr="004724C9">
        <w:rPr>
          <w:rFonts w:eastAsia="Times New Roman"/>
          <w:color w:val="000000" w:themeColor="text1"/>
          <w:lang w:val="es-ES"/>
        </w:rPr>
        <w:t>que</w:t>
      </w:r>
      <w:proofErr w:type="gramEnd"/>
      <w:r w:rsidRPr="004724C9">
        <w:rPr>
          <w:rFonts w:eastAsia="Times New Roman"/>
          <w:color w:val="000000" w:themeColor="text1"/>
          <w:lang w:val="es-ES"/>
        </w:rPr>
        <w:t xml:space="preserve"> en los diversos territorios, la participación y articulación de grupos especializados de combate al delito es mínima o inexistente.</w:t>
      </w:r>
    </w:p>
    <w:p w14:paraId="37678E7D" w14:textId="77777777" w:rsidR="0090395B" w:rsidRPr="0090395B" w:rsidRDefault="0090395B" w:rsidP="0090395B">
      <w:pPr>
        <w:spacing w:line="240" w:lineRule="auto"/>
        <w:rPr>
          <w:rFonts w:eastAsia="Times New Roman"/>
          <w:color w:val="000000" w:themeColor="text1"/>
          <w:sz w:val="24"/>
          <w:szCs w:val="24"/>
          <w:lang w:val="es-ES"/>
        </w:rPr>
      </w:pPr>
    </w:p>
    <w:p w14:paraId="1AD230CC" w14:textId="77777777" w:rsidR="0090395B" w:rsidRPr="0090395B" w:rsidRDefault="0090395B" w:rsidP="00233899">
      <w:pPr>
        <w:numPr>
          <w:ilvl w:val="0"/>
          <w:numId w:val="19"/>
        </w:numPr>
        <w:spacing w:line="240" w:lineRule="auto"/>
        <w:jc w:val="both"/>
        <w:textAlignment w:val="baseline"/>
        <w:rPr>
          <w:rFonts w:eastAsia="Times New Roman"/>
          <w:b/>
          <w:bCs/>
          <w:i/>
          <w:iCs/>
          <w:color w:val="000000" w:themeColor="text1"/>
          <w:lang w:val="es-ES"/>
        </w:rPr>
      </w:pPr>
      <w:r w:rsidRPr="0090395B">
        <w:rPr>
          <w:rFonts w:eastAsia="Times New Roman"/>
          <w:b/>
          <w:bCs/>
          <w:i/>
          <w:iCs/>
          <w:color w:val="000000" w:themeColor="text1"/>
          <w:lang w:val="es-ES"/>
        </w:rPr>
        <w:t>Seguimiento, servicios y recurso efectivo de las víctimas</w:t>
      </w:r>
    </w:p>
    <w:p w14:paraId="0CA6BE5B" w14:textId="77777777" w:rsidR="0090395B" w:rsidRPr="0090395B" w:rsidRDefault="0090395B" w:rsidP="0090395B">
      <w:pPr>
        <w:spacing w:line="240" w:lineRule="auto"/>
        <w:rPr>
          <w:rFonts w:eastAsia="Times New Roman"/>
          <w:color w:val="000000" w:themeColor="text1"/>
          <w:sz w:val="24"/>
          <w:szCs w:val="24"/>
          <w:lang w:val="es-ES"/>
        </w:rPr>
      </w:pPr>
    </w:p>
    <w:p w14:paraId="73E15E08"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Pese a que la Secretaría de Derechos Humanos ha adicionado a los SPI la obligación de atención a víctimas de trata y explotación lo que se ratifica en los dos últimos años es un recorte sustantivo del número de funcionarias/os (incluidos los dos especialistas en trata) y de su presupuesto y, por tanto, de su capacidad real de atención y acompañamiento a las víctimas de violencias basadas en género, en general, mucho más en casos de víctimas de trata que requieren un seguimiento especializado.</w:t>
      </w:r>
    </w:p>
    <w:p w14:paraId="27E142DB"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 xml:space="preserve">El artículo 33 del Reglamento del Sistema de Protección y Atención a Víctimas de la Fiscalía General del Estado integra el periodo de reflexión de las </w:t>
      </w:r>
      <w:proofErr w:type="gramStart"/>
      <w:r w:rsidRPr="004724C9">
        <w:rPr>
          <w:rFonts w:eastAsia="Times New Roman"/>
          <w:color w:val="000000" w:themeColor="text1"/>
          <w:lang w:val="es-ES"/>
        </w:rPr>
        <w:t>víctimas</w:t>
      </w:r>
      <w:proofErr w:type="gramEnd"/>
      <w:r w:rsidRPr="004724C9">
        <w:rPr>
          <w:rFonts w:eastAsia="Times New Roman"/>
          <w:color w:val="000000" w:themeColor="text1"/>
          <w:lang w:val="es-ES"/>
        </w:rPr>
        <w:t xml:space="preserve"> pero, </w:t>
      </w:r>
      <w:r w:rsidRPr="004724C9">
        <w:rPr>
          <w:rFonts w:eastAsia="Times New Roman"/>
          <w:color w:val="000000" w:themeColor="text1"/>
          <w:lang w:val="es-ES"/>
        </w:rPr>
        <w:lastRenderedPageBreak/>
        <w:t>en los hechos, el acceso a este derecho es limitado. Siendo una política institucional, termina operándose como un asunto discrecional de funcionarios que tienen el poder de solicitar o no el ingreso de las víctimas al Sistema atando el derecho a procedimientos dependientes de la burocracia y las creencias y valores de operadores. Se tiene norma para el otorgamiento de visas temporales. Hay acuerdos entre Estados con países de frontera: Colombia y Perú, pero su énfasis es la cooperación entre policías y la repatriación de víctimas.</w:t>
      </w:r>
    </w:p>
    <w:p w14:paraId="07CE9F68"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 xml:space="preserve">El Ministerio de Inclusión Económica y Social cuenta con dos casas de acogida para víctimas de trata con fines de explotación sexual comercial, en la ciudad de Machala y en Quito. La primera de ellas nace del proceso de movimiento de mujeres organizado y es financiada por el Estado frente a la imposibilidad de mantener “Casa Linda” conforme el movimiento se había trazado con líneas de acompañamiento, atención, acceso a justicia y reinserción social. En Quito está “Alas de Colibrí” cuyo equipo técnico también nace de la experiencia del movimiento ecuatoriano de mujeres y por los derechos de las víctimas de trata y cuyo presupuesto público solo cubre parcialmente las necesidades de cuidado, protección, acceso a justicia y promoción de reinserción social de las víctimas. Finalmente, en 2019, el Municipio del D.M. de Quito y la Fiscalía General del Estado crean otra casa de acogida para mujeres adolescentes víctimas de trata de personas con fines de explotación sexual, y sus hijos (0 a 3 años) en caso de tenerlos, “Casa Arupo”. Su permanencia allí está condicionada a su </w:t>
      </w:r>
      <w:r w:rsidRPr="004724C9">
        <w:rPr>
          <w:rFonts w:eastAsia="Times New Roman"/>
          <w:i/>
          <w:iCs/>
          <w:color w:val="000000" w:themeColor="text1"/>
          <w:lang w:val="es-ES"/>
        </w:rPr>
        <w:t>cooperación</w:t>
      </w:r>
      <w:r w:rsidRPr="004724C9">
        <w:rPr>
          <w:rFonts w:eastAsia="Times New Roman"/>
          <w:color w:val="000000" w:themeColor="text1"/>
          <w:lang w:val="es-ES"/>
        </w:rPr>
        <w:t xml:space="preserve"> con el proceso penal. </w:t>
      </w:r>
    </w:p>
    <w:p w14:paraId="1CC61613"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Se verifica a través del grupo focal de especialistas del movimiento de mujeres y de protección a las víctimas de trata en Ecuador, que no hay servicios para mujeres mayores de 18 años, tampoco las hay para niños y adolescentes hombres, menos aún para hombres mayores de 18 años; no se registra ninguna política especializada a niñas, niños y mujeres con discapacidad víctimas de trata de personas o de otras formas de explotación incluida la prostitución forzada; ni para víctimas LGBTIQ+. </w:t>
      </w:r>
    </w:p>
    <w:p w14:paraId="7649A0B4"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 xml:space="preserve">No se registran programas especializados para la inserción social sin revictimización ni estigmatización de mujeres mayores de 18 años víctimas de trata de personas; ni estudios ni estrategias especializadas que posibiliten reinserción de niñas y adolescentes en procura de la protección y fortalecimiento de factores de resiliencia y desbrocen con profundidad las causas que promueven y hacen </w:t>
      </w:r>
      <w:proofErr w:type="gramStart"/>
      <w:r w:rsidRPr="004724C9">
        <w:rPr>
          <w:rFonts w:eastAsia="Times New Roman"/>
          <w:color w:val="000000" w:themeColor="text1"/>
          <w:lang w:val="es-ES"/>
        </w:rPr>
        <w:t>posible territorios</w:t>
      </w:r>
      <w:proofErr w:type="gramEnd"/>
      <w:r w:rsidRPr="004724C9">
        <w:rPr>
          <w:rFonts w:eastAsia="Times New Roman"/>
          <w:color w:val="000000" w:themeColor="text1"/>
          <w:lang w:val="es-ES"/>
        </w:rPr>
        <w:t xml:space="preserve"> de familias y/o comunidades vulnerables a la trata.</w:t>
      </w:r>
    </w:p>
    <w:p w14:paraId="01A71660" w14:textId="77777777" w:rsidR="0090395B" w:rsidRPr="0090395B" w:rsidRDefault="0090395B" w:rsidP="0090395B">
      <w:pPr>
        <w:spacing w:line="240" w:lineRule="auto"/>
        <w:rPr>
          <w:rFonts w:eastAsia="Times New Roman"/>
          <w:color w:val="000000" w:themeColor="text1"/>
          <w:sz w:val="24"/>
          <w:szCs w:val="24"/>
          <w:lang w:val="es-ES"/>
        </w:rPr>
      </w:pPr>
    </w:p>
    <w:p w14:paraId="02121375" w14:textId="77777777" w:rsidR="0090395B" w:rsidRPr="0090395B" w:rsidRDefault="0090395B" w:rsidP="00233899">
      <w:pPr>
        <w:numPr>
          <w:ilvl w:val="0"/>
          <w:numId w:val="20"/>
        </w:numPr>
        <w:spacing w:line="240" w:lineRule="auto"/>
        <w:jc w:val="both"/>
        <w:textAlignment w:val="baseline"/>
        <w:rPr>
          <w:rFonts w:eastAsia="Times New Roman"/>
          <w:b/>
          <w:bCs/>
          <w:i/>
          <w:iCs/>
          <w:color w:val="000000" w:themeColor="text1"/>
          <w:lang w:val="en-US"/>
        </w:rPr>
      </w:pPr>
      <w:proofErr w:type="spellStart"/>
      <w:r w:rsidRPr="0090395B">
        <w:rPr>
          <w:rFonts w:eastAsia="Times New Roman"/>
          <w:b/>
          <w:bCs/>
          <w:i/>
          <w:iCs/>
          <w:color w:val="000000" w:themeColor="text1"/>
          <w:lang w:val="en-US"/>
        </w:rPr>
        <w:t>Prostitución</w:t>
      </w:r>
      <w:proofErr w:type="spellEnd"/>
    </w:p>
    <w:p w14:paraId="0A8113EC" w14:textId="77777777" w:rsidR="0090395B" w:rsidRPr="0090395B" w:rsidRDefault="0090395B" w:rsidP="0090395B">
      <w:pPr>
        <w:spacing w:line="240" w:lineRule="auto"/>
        <w:rPr>
          <w:rFonts w:eastAsia="Times New Roman"/>
          <w:color w:val="000000" w:themeColor="text1"/>
          <w:sz w:val="24"/>
          <w:szCs w:val="24"/>
          <w:lang w:val="en-US"/>
        </w:rPr>
      </w:pPr>
    </w:p>
    <w:p w14:paraId="14E60E5A"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Las trabajadoras del sexo no se sienten sujetos de derechos y, siguen percibiendo en este enfoque, riesgos para su privacidad y seguridad. El país no ha desarrollado una discusión de fondo sobre el trabajo sexual y los derechos de las trabajadoras sexuales (</w:t>
      </w:r>
      <w:proofErr w:type="spellStart"/>
      <w:r w:rsidRPr="004724C9">
        <w:rPr>
          <w:rFonts w:eastAsia="Times New Roman"/>
          <w:color w:val="000000" w:themeColor="text1"/>
          <w:lang w:val="es-ES"/>
        </w:rPr>
        <w:t>cis</w:t>
      </w:r>
      <w:proofErr w:type="spellEnd"/>
      <w:r w:rsidRPr="004724C9">
        <w:rPr>
          <w:rFonts w:eastAsia="Times New Roman"/>
          <w:color w:val="000000" w:themeColor="text1"/>
          <w:lang w:val="es-ES"/>
        </w:rPr>
        <w:t xml:space="preserve">, inter, trans). Pese a que no son perseguidas en las denominadas </w:t>
      </w:r>
      <w:r w:rsidRPr="004724C9">
        <w:rPr>
          <w:rFonts w:eastAsia="Times New Roman"/>
          <w:i/>
          <w:iCs/>
          <w:color w:val="000000" w:themeColor="text1"/>
          <w:lang w:val="es-ES"/>
        </w:rPr>
        <w:t>zonas de tolerancia</w:t>
      </w:r>
      <w:r w:rsidRPr="004724C9">
        <w:rPr>
          <w:rFonts w:eastAsia="Times New Roman"/>
          <w:color w:val="000000" w:themeColor="text1"/>
          <w:lang w:val="es-ES"/>
        </w:rPr>
        <w:t xml:space="preserve"> estos son espacios sin regulación donde imperan reglas por fuera de la protección de la Ley; en calles y espacios públicos suelen ser objeto de violaciones a sus derechos humanos y víctimas de criminalización primaria y secundaria; la estigmatización y la ausencia de protección hacia ellas redunda en la permisividad de violencias y abusos hacia los denominados clientes y en los operadores de seguridad del Estado. </w:t>
      </w:r>
    </w:p>
    <w:p w14:paraId="58C15414"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En el contexto de pandemia se verificó severidad y crueldad sobre las trabajadoras del sexo en Ecuador no solo por las restricciones de la cuarentena sino porque la estigmatización de la que son objeto las excluyó de redes de solidaridad y de provisión de servicios de primera línea (incluso kits de alimentos y de bioseguridad). También se verificó carencia de servicios de salud aún más severas para ellas.</w:t>
      </w:r>
    </w:p>
    <w:p w14:paraId="0BC36BA5" w14:textId="77777777" w:rsidR="0090395B" w:rsidRPr="0090395B" w:rsidRDefault="0090395B" w:rsidP="0090395B">
      <w:pPr>
        <w:spacing w:line="240" w:lineRule="auto"/>
        <w:rPr>
          <w:rFonts w:eastAsia="Times New Roman"/>
          <w:color w:val="000000" w:themeColor="text1"/>
          <w:sz w:val="24"/>
          <w:szCs w:val="24"/>
          <w:lang w:val="es-ES"/>
        </w:rPr>
      </w:pPr>
    </w:p>
    <w:p w14:paraId="63054D64" w14:textId="77777777" w:rsidR="0090395B" w:rsidRPr="0090395B" w:rsidRDefault="0090395B" w:rsidP="00233899">
      <w:pPr>
        <w:numPr>
          <w:ilvl w:val="0"/>
          <w:numId w:val="21"/>
        </w:numPr>
        <w:spacing w:line="240" w:lineRule="auto"/>
        <w:jc w:val="both"/>
        <w:textAlignment w:val="baseline"/>
        <w:rPr>
          <w:rFonts w:eastAsia="Times New Roman"/>
          <w:b/>
          <w:bCs/>
          <w:i/>
          <w:iCs/>
          <w:color w:val="000000" w:themeColor="text1"/>
          <w:lang w:val="es-ES"/>
        </w:rPr>
      </w:pPr>
      <w:r w:rsidRPr="0090395B">
        <w:rPr>
          <w:rFonts w:eastAsia="Times New Roman"/>
          <w:b/>
          <w:bCs/>
          <w:i/>
          <w:iCs/>
          <w:color w:val="000000" w:themeColor="text1"/>
          <w:lang w:val="es-ES"/>
        </w:rPr>
        <w:lastRenderedPageBreak/>
        <w:t>La visión de las expertas que participaron en el Grupo Focal para el Informe Sombra - Ecuador</w:t>
      </w:r>
    </w:p>
    <w:p w14:paraId="5D76D4DC" w14:textId="77777777" w:rsidR="0090395B" w:rsidRPr="0090395B" w:rsidRDefault="0090395B" w:rsidP="0090395B">
      <w:pPr>
        <w:spacing w:line="240" w:lineRule="auto"/>
        <w:rPr>
          <w:rFonts w:eastAsia="Times New Roman"/>
          <w:color w:val="000000" w:themeColor="text1"/>
          <w:sz w:val="24"/>
          <w:szCs w:val="24"/>
          <w:lang w:val="es-ES"/>
        </w:rPr>
      </w:pPr>
    </w:p>
    <w:p w14:paraId="32D0EC77"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n-US"/>
        </w:rPr>
      </w:pPr>
      <w:r w:rsidRPr="004724C9">
        <w:rPr>
          <w:rFonts w:eastAsia="Times New Roman"/>
          <w:color w:val="000000" w:themeColor="text1"/>
          <w:lang w:val="es-ES"/>
        </w:rPr>
        <w:t xml:space="preserve">Para asegurar la información que se consigna en este Informe, se convocó a expertas del país del movimiento de mujeres, del movimiento de protección de los derechos de las víctimas de trata y proveedoras de servicios de </w:t>
      </w:r>
      <w:proofErr w:type="gramStart"/>
      <w:r w:rsidRPr="004724C9">
        <w:rPr>
          <w:rFonts w:eastAsia="Times New Roman"/>
          <w:color w:val="000000" w:themeColor="text1"/>
          <w:lang w:val="es-ES"/>
        </w:rPr>
        <w:t>atención</w:t>
      </w:r>
      <w:proofErr w:type="gramEnd"/>
      <w:r w:rsidRPr="004724C9">
        <w:rPr>
          <w:rFonts w:eastAsia="Times New Roman"/>
          <w:color w:val="000000" w:themeColor="text1"/>
          <w:lang w:val="es-ES"/>
        </w:rPr>
        <w:t xml:space="preserve"> así como del movimiento por los derechos de las personas en condiciones de movilidad humana. </w:t>
      </w:r>
      <w:r w:rsidRPr="004724C9">
        <w:rPr>
          <w:rFonts w:eastAsia="Times New Roman"/>
          <w:color w:val="000000" w:themeColor="text1"/>
          <w:lang w:val="en-US"/>
        </w:rPr>
        <w:t xml:space="preserve">De la </w:t>
      </w:r>
      <w:proofErr w:type="spellStart"/>
      <w:r w:rsidRPr="004724C9">
        <w:rPr>
          <w:rFonts w:eastAsia="Times New Roman"/>
          <w:color w:val="000000" w:themeColor="text1"/>
          <w:lang w:val="en-US"/>
        </w:rPr>
        <w:t>información</w:t>
      </w:r>
      <w:proofErr w:type="spellEnd"/>
      <w:r w:rsidRPr="004724C9">
        <w:rPr>
          <w:rFonts w:eastAsia="Times New Roman"/>
          <w:color w:val="000000" w:themeColor="text1"/>
          <w:lang w:val="en-US"/>
        </w:rPr>
        <w:t xml:space="preserve"> </w:t>
      </w:r>
      <w:proofErr w:type="spellStart"/>
      <w:r w:rsidRPr="004724C9">
        <w:rPr>
          <w:rFonts w:eastAsia="Times New Roman"/>
          <w:color w:val="000000" w:themeColor="text1"/>
          <w:lang w:val="en-US"/>
        </w:rPr>
        <w:t>suministrada</w:t>
      </w:r>
      <w:proofErr w:type="spellEnd"/>
      <w:r w:rsidRPr="004724C9">
        <w:rPr>
          <w:rFonts w:eastAsia="Times New Roman"/>
          <w:color w:val="000000" w:themeColor="text1"/>
          <w:lang w:val="en-US"/>
        </w:rPr>
        <w:t xml:space="preserve">, se </w:t>
      </w:r>
      <w:proofErr w:type="spellStart"/>
      <w:r w:rsidRPr="004724C9">
        <w:rPr>
          <w:rFonts w:eastAsia="Times New Roman"/>
          <w:color w:val="000000" w:themeColor="text1"/>
          <w:lang w:val="en-US"/>
        </w:rPr>
        <w:t>tiene</w:t>
      </w:r>
      <w:proofErr w:type="spellEnd"/>
      <w:r w:rsidRPr="004724C9">
        <w:rPr>
          <w:rFonts w:eastAsia="Times New Roman"/>
          <w:color w:val="000000" w:themeColor="text1"/>
          <w:lang w:val="en-US"/>
        </w:rPr>
        <w:t xml:space="preserve"> lo </w:t>
      </w:r>
      <w:proofErr w:type="spellStart"/>
      <w:r w:rsidRPr="004724C9">
        <w:rPr>
          <w:rFonts w:eastAsia="Times New Roman"/>
          <w:color w:val="000000" w:themeColor="text1"/>
          <w:lang w:val="en-US"/>
        </w:rPr>
        <w:t>siguiente</w:t>
      </w:r>
      <w:proofErr w:type="spellEnd"/>
      <w:r w:rsidRPr="004724C9">
        <w:rPr>
          <w:rFonts w:eastAsia="Times New Roman"/>
          <w:color w:val="000000" w:themeColor="text1"/>
          <w:lang w:val="en-US"/>
        </w:rPr>
        <w:t>:</w:t>
      </w:r>
    </w:p>
    <w:p w14:paraId="140C6454"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Los mecanismos de observancia de la sociedad civil han sufrido un debilitamiento fruto de las restrictivas y difíciles condiciones en que las organizaciones hacen frente a los múltiples factores y dimensiones de la trata de mujeres y niñas y las necesidades de atención, protección y restitución de derechos de las víctimas. </w:t>
      </w:r>
    </w:p>
    <w:p w14:paraId="3A71AEDA"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Desde el año 2010 se verifica el debilitamiento de la articulación entre el Estado y la sociedad civil y, entre las instituciones del propio Estado, que aseguren respuestas integrales en la prevención y erradicación del delito de trata de personas; la atención, protección y reparación de las víctimas, dejando básicamente en organismos de seguridad y judiciales el fenómeno. La articulación adolece de algunos aspectos fundamentales como introducir dentro de esas circunstancias los derechos humanos y no solo un enfoque de seguridad. Se excluye por completo la participación de la sociedad civil, se anula la respuesta multisectorial y no existe una real gobernanza del fenómeno desde los distintos niveles de gobierno en el territorio y al nivel central.</w:t>
      </w:r>
    </w:p>
    <w:p w14:paraId="364DADD9"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Desde los espacios territoriales existe articulación local promovida y sostenida por las organizaciones sociales de mujeres y de protección de derechos de víctimas de violencia basada en género que implica a aquellas que lo son de trata de personas. Desde las iniciativas de articulación de las organizaciones se procuran acciones de reparación y restitución de derechos. </w:t>
      </w:r>
    </w:p>
    <w:p w14:paraId="5D1330B4"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Las agendas locales de derechos no incluyen la prevención y erradicación de la trata de mujeres y niñas como una constante sino como respuesta a presiones específicas de la sociedad civil. El sostenimiento básico a las víctimas durante e incluso luego de los procesos judiciales (alimentación, protección, salud, alojamiento) es suministrado básicamente por las organizaciones civiles en la frontera sur.</w:t>
      </w:r>
    </w:p>
    <w:p w14:paraId="44403F2F"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 xml:space="preserve">Los agentes de la unidad </w:t>
      </w:r>
      <w:proofErr w:type="spellStart"/>
      <w:r w:rsidRPr="004724C9">
        <w:rPr>
          <w:rFonts w:eastAsia="Times New Roman"/>
          <w:color w:val="000000" w:themeColor="text1"/>
          <w:lang w:val="es-ES"/>
        </w:rPr>
        <w:t>antitrata</w:t>
      </w:r>
      <w:proofErr w:type="spellEnd"/>
      <w:r w:rsidRPr="004724C9">
        <w:rPr>
          <w:rFonts w:eastAsia="Times New Roman"/>
          <w:color w:val="000000" w:themeColor="text1"/>
          <w:lang w:val="es-ES"/>
        </w:rPr>
        <w:t xml:space="preserve"> de la policía nacional son escasos y sin medios logísticos. Se ha anunciado que, en la frontera sur, se radicará un equipo. Sin </w:t>
      </w:r>
      <w:proofErr w:type="gramStart"/>
      <w:r w:rsidRPr="004724C9">
        <w:rPr>
          <w:rFonts w:eastAsia="Times New Roman"/>
          <w:color w:val="000000" w:themeColor="text1"/>
          <w:lang w:val="es-ES"/>
        </w:rPr>
        <w:t>embargo</w:t>
      </w:r>
      <w:proofErr w:type="gramEnd"/>
      <w:r w:rsidRPr="004724C9">
        <w:rPr>
          <w:rFonts w:eastAsia="Times New Roman"/>
          <w:color w:val="000000" w:themeColor="text1"/>
          <w:lang w:val="es-ES"/>
        </w:rPr>
        <w:t xml:space="preserve"> la protección a las víctimas una vez se realizan recuperaciones sigue siendo inexistente por la carencia de servicios especializados para ellas. No existe condición en el Estado para brindarles a las víctimas una real restitución de derechos (o al menos restituir condiciones similares a las que ellas tenían antes de ser sometidas por los tratantes) y el acceso al derecho al periodo de reflexión es restrictivo.</w:t>
      </w:r>
    </w:p>
    <w:p w14:paraId="6FC4C716"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El delito de trata de personas, especialmente de mujeres y niñas es invisible porque existen intereses en su naturalización y omisión. Además de la explotación sexual hay prostitución forzada y explotación laboral en zonas camaroneras, de grandes monocultivos y actividades extractivas que generan modos de operación similares entre la frontera norte y la frontera sur.</w:t>
      </w:r>
    </w:p>
    <w:p w14:paraId="6B168F1A"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n-US"/>
        </w:rPr>
      </w:pPr>
      <w:r w:rsidRPr="004724C9">
        <w:rPr>
          <w:rFonts w:eastAsia="Times New Roman"/>
          <w:color w:val="000000" w:themeColor="text1"/>
          <w:lang w:val="es-ES"/>
        </w:rPr>
        <w:t xml:space="preserve">La práctica del Observatorio de Trata y Tráfico de la sociedad civil se valora por las organizaciones sociales de mujeres y de protección de derechos humanos de las </w:t>
      </w:r>
      <w:proofErr w:type="gramStart"/>
      <w:r w:rsidRPr="004724C9">
        <w:rPr>
          <w:rFonts w:eastAsia="Times New Roman"/>
          <w:color w:val="000000" w:themeColor="text1"/>
          <w:lang w:val="es-ES"/>
        </w:rPr>
        <w:t>víctimas  como</w:t>
      </w:r>
      <w:proofErr w:type="gramEnd"/>
      <w:r w:rsidRPr="004724C9">
        <w:rPr>
          <w:rFonts w:eastAsia="Times New Roman"/>
          <w:color w:val="000000" w:themeColor="text1"/>
          <w:lang w:val="es-ES"/>
        </w:rPr>
        <w:t xml:space="preserve"> un mecanismo de promoción y potenciación de información sobre el fenómeno. De igual modo es la articulación entre organizaciones de la sociedad civil la que otorga respuestas más efectivas a las víctimas y la que busca respuestas de largo aliento. </w:t>
      </w:r>
      <w:r w:rsidRPr="004724C9">
        <w:rPr>
          <w:rFonts w:eastAsia="Times New Roman"/>
          <w:color w:val="000000" w:themeColor="text1"/>
          <w:lang w:val="en-US"/>
        </w:rPr>
        <w:t xml:space="preserve">No </w:t>
      </w:r>
      <w:proofErr w:type="spellStart"/>
      <w:r w:rsidRPr="004724C9">
        <w:rPr>
          <w:rFonts w:eastAsia="Times New Roman"/>
          <w:color w:val="000000" w:themeColor="text1"/>
          <w:lang w:val="en-US"/>
        </w:rPr>
        <w:t>existe</w:t>
      </w:r>
      <w:proofErr w:type="spellEnd"/>
      <w:r w:rsidRPr="004724C9">
        <w:rPr>
          <w:rFonts w:eastAsia="Times New Roman"/>
          <w:color w:val="000000" w:themeColor="text1"/>
          <w:lang w:val="en-US"/>
        </w:rPr>
        <w:t xml:space="preserve"> </w:t>
      </w:r>
      <w:proofErr w:type="spellStart"/>
      <w:r w:rsidRPr="004724C9">
        <w:rPr>
          <w:rFonts w:eastAsia="Times New Roman"/>
          <w:color w:val="000000" w:themeColor="text1"/>
          <w:lang w:val="en-US"/>
        </w:rPr>
        <w:t>acceso</w:t>
      </w:r>
      <w:proofErr w:type="spellEnd"/>
      <w:r w:rsidRPr="004724C9">
        <w:rPr>
          <w:rFonts w:eastAsia="Times New Roman"/>
          <w:color w:val="000000" w:themeColor="text1"/>
          <w:lang w:val="en-US"/>
        </w:rPr>
        <w:t xml:space="preserve"> a </w:t>
      </w:r>
      <w:proofErr w:type="spellStart"/>
      <w:r w:rsidRPr="004724C9">
        <w:rPr>
          <w:rFonts w:eastAsia="Times New Roman"/>
          <w:color w:val="000000" w:themeColor="text1"/>
          <w:lang w:val="en-US"/>
        </w:rPr>
        <w:t>registros</w:t>
      </w:r>
      <w:proofErr w:type="spellEnd"/>
      <w:r w:rsidRPr="004724C9">
        <w:rPr>
          <w:rFonts w:eastAsia="Times New Roman"/>
          <w:color w:val="000000" w:themeColor="text1"/>
          <w:lang w:val="en-US"/>
        </w:rPr>
        <w:t xml:space="preserve"> del Estado.</w:t>
      </w:r>
    </w:p>
    <w:p w14:paraId="5B7CB8E0"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 xml:space="preserve">Existe en las fronteras presencia de crimen organizado. La vulnerabilidad del flujo migratorio de personas procedentes de Venezuela se incrementa cuando el Estado restringe el acceso a servicios migratorios y de identificación. Hay también dificultades con nacionales de Colombia. Hay riesgos de tratos crueles, chantaje por </w:t>
      </w:r>
      <w:r w:rsidRPr="004724C9">
        <w:rPr>
          <w:rFonts w:eastAsia="Times New Roman"/>
          <w:color w:val="000000" w:themeColor="text1"/>
          <w:lang w:val="es-ES"/>
        </w:rPr>
        <w:lastRenderedPageBreak/>
        <w:t>documentos a cambio de explotación sexual; sexo por sobrevivencia, entre otros. Se aumenta este contexto de vulnerabilidad ante la finalización de la amnistía.</w:t>
      </w:r>
    </w:p>
    <w:p w14:paraId="5ACD60E2"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 xml:space="preserve">En la frontera </w:t>
      </w:r>
      <w:proofErr w:type="spellStart"/>
      <w:r w:rsidRPr="004724C9">
        <w:rPr>
          <w:rFonts w:eastAsia="Times New Roman"/>
          <w:color w:val="000000" w:themeColor="text1"/>
          <w:lang w:val="es-ES"/>
        </w:rPr>
        <w:t>nor</w:t>
      </w:r>
      <w:proofErr w:type="spellEnd"/>
      <w:r w:rsidRPr="004724C9">
        <w:rPr>
          <w:rFonts w:eastAsia="Times New Roman"/>
          <w:color w:val="000000" w:themeColor="text1"/>
          <w:lang w:val="es-ES"/>
        </w:rPr>
        <w:t>-amazónica del país señalan que no hay avances respecto de la prevención y erradicación de las violencias; la protección, atención y restitución de derechos de las víctimas; la investigación y sanción de responsables. Esta carencia de avances es señalada como fruto de la carencia del enfoque de género en el acceso a la justicia; de la formulación de protocolos institucionales o interinstitucionales en el nivel central sin que sean operativos ni se evalúe su ejecución y pertinencia; predominio de creencias y valores que naturalizan la trata de mujeres y niñas, la explotación sexual y la violencia de género.</w:t>
      </w:r>
    </w:p>
    <w:p w14:paraId="140AB371"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En los territorios siguen siendo frecuentes actuaciones judiciales que sustituyen medidas ante crímenes como el incesto y otros delitos de carácter pluriofensivo y sistémico, y sigue siendo la metodología de investigación cargar a la víctima la prueba y la obligación de demostrar que el delito sucedió.</w:t>
      </w:r>
    </w:p>
    <w:p w14:paraId="7992BAC2"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Cuando se obtienen sentencias la reparación es inviable porque no hay servicios de atención psicoterapéutica y no se tiene conocimiento si los que existen y la preparación profesional está realmente relacionada con la especialidad de recuperar víctimas de violencia basada en género y trata de personas; las indemnizaciones son impracticables y sujetas a los medios y voluntad de agresores; no hay corresponsabilidad de los distintos niveles de gobierno en el territorio para la reparación a las víctimas.</w:t>
      </w:r>
    </w:p>
    <w:p w14:paraId="0D1393F9"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Los protocolos que se accionan a favor de víctimas de trata de personas entre países son respuestas interinstitucionales entre homólogos. En el caso de Sucumbíos es para personas adolescentes y se acciona el Instituto de Bienestar Familiar en Colombia. Estas actuaciones son obligaciones consulares que nacen de convencionalidad. Se facilita su tránsito y la obtención de información sobre la existencia de familiares o redes de apoyo en Colombia para sus víctimas nacionales y se coloca la denuncia en Fiscalía en Lago Agrio.</w:t>
      </w:r>
    </w:p>
    <w:p w14:paraId="432075B9"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De la indagación a la institucionalidad de la sociedad civil en la provincia de Sucumbíos respecto de si el Sistema de Protección y Atención a Víctimas y Testigos y otros participantes del proceso penal de la Fiscalía estaba acogiendo y otorgando servicios a víctimas de trata de personas se obtuvo como respuesta que no. Solo se refirió una única adolescente en el año 2019. Para mujeres adultas la respuesta es ubicar un alojamiento en un hotel por una noche mientras se encuentra un servicio que no existe en el país.</w:t>
      </w:r>
    </w:p>
    <w:p w14:paraId="4F5111DF"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 xml:space="preserve">El fenómeno se ha invisibilizado y naturalizado. Es una invisibilización intencional en territorios donde la industria del sexo (formal e informal que implican karaoke, bares y barras que explotan adolescentes incluyendo a aquellas en situación de movilidad humana) y con redes de explotación </w:t>
      </w:r>
      <w:proofErr w:type="gramStart"/>
      <w:r w:rsidRPr="004724C9">
        <w:rPr>
          <w:rFonts w:eastAsia="Times New Roman"/>
          <w:color w:val="000000" w:themeColor="text1"/>
          <w:lang w:val="es-ES"/>
        </w:rPr>
        <w:t>de  larga</w:t>
      </w:r>
      <w:proofErr w:type="gramEnd"/>
      <w:r w:rsidRPr="004724C9">
        <w:rPr>
          <w:rFonts w:eastAsia="Times New Roman"/>
          <w:color w:val="000000" w:themeColor="text1"/>
          <w:lang w:val="es-ES"/>
        </w:rPr>
        <w:t xml:space="preserve"> data ha creado redes de poder (político, de seguridad, judicial) para su mantenimiento y permanencia. Se han desmontado y </w:t>
      </w:r>
      <w:proofErr w:type="gramStart"/>
      <w:r w:rsidRPr="004724C9">
        <w:rPr>
          <w:rFonts w:eastAsia="Times New Roman"/>
          <w:color w:val="000000" w:themeColor="text1"/>
          <w:lang w:val="es-ES"/>
        </w:rPr>
        <w:t>tornado inviables</w:t>
      </w:r>
      <w:proofErr w:type="gramEnd"/>
      <w:r w:rsidRPr="004724C9">
        <w:rPr>
          <w:rFonts w:eastAsia="Times New Roman"/>
          <w:color w:val="000000" w:themeColor="text1"/>
          <w:lang w:val="es-ES"/>
        </w:rPr>
        <w:t xml:space="preserve"> las iniciativas que desde la sociedad civil se realizaban para el análisis del fenómeno y los equipos técnicos de las organizaciones de derechos humanos se ven expuestos ante este estado de cosas. Las redes de poder de la explotación pueden permitirse tener candidatos a puestos de dignidad política y ganar elecciones.</w:t>
      </w:r>
    </w:p>
    <w:p w14:paraId="742785C7"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Falta de sensibilidad de las y los operadores de justicia y de la policía nacional. La visión que prevalece es la de seguridad que desplaza a la de derechos humanos. La cooperación internacional de Ecuador se realiza con 4 países: Colombia, Perú, Chile y Guatemala. Las cooperaciones son con base en el derecho interno para intercambio de información, capacitación y protocolos policiales. Pero no existe cooperación entre expertas o expertos, academias, sociedad civil e instituciones de política pública.</w:t>
      </w:r>
    </w:p>
    <w:p w14:paraId="2B442778"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 xml:space="preserve">No existen programas específicos diseñados desde la lógica de quien es sobreviviente de trata de personas. La respuesta y la atención cuando se realiza son para el caso en </w:t>
      </w:r>
      <w:proofErr w:type="gramStart"/>
      <w:r w:rsidRPr="004724C9">
        <w:rPr>
          <w:rFonts w:eastAsia="Times New Roman"/>
          <w:color w:val="000000" w:themeColor="text1"/>
          <w:lang w:val="es-ES"/>
        </w:rPr>
        <w:t>concreto</w:t>
      </w:r>
      <w:proofErr w:type="gramEnd"/>
      <w:r w:rsidRPr="004724C9">
        <w:rPr>
          <w:rFonts w:eastAsia="Times New Roman"/>
          <w:color w:val="000000" w:themeColor="text1"/>
          <w:lang w:val="es-ES"/>
        </w:rPr>
        <w:t xml:space="preserve"> pero no para el largo aliento de la vida de la víctima y de sus </w:t>
      </w:r>
      <w:r w:rsidRPr="004724C9">
        <w:rPr>
          <w:rFonts w:eastAsia="Times New Roman"/>
          <w:color w:val="000000" w:themeColor="text1"/>
          <w:lang w:val="es-ES"/>
        </w:rPr>
        <w:lastRenderedPageBreak/>
        <w:t xml:space="preserve">familias. Se omite el hecho de que adolescentes víctimas de trata de personas son madres o ejercen </w:t>
      </w:r>
      <w:proofErr w:type="spellStart"/>
      <w:r w:rsidRPr="004724C9">
        <w:rPr>
          <w:rFonts w:eastAsia="Times New Roman"/>
          <w:color w:val="000000" w:themeColor="text1"/>
          <w:lang w:val="es-ES"/>
        </w:rPr>
        <w:t>co-jefaturas</w:t>
      </w:r>
      <w:proofErr w:type="spellEnd"/>
      <w:r w:rsidRPr="004724C9">
        <w:rPr>
          <w:rFonts w:eastAsia="Times New Roman"/>
          <w:color w:val="000000" w:themeColor="text1"/>
          <w:lang w:val="es-ES"/>
        </w:rPr>
        <w:t xml:space="preserve"> de hogar y los círculos de vulnerabilidad, riesgos y exclusión continúan y cuando se conoce que una persona ha sido víctima las discriminaciones se acentúan.</w:t>
      </w:r>
    </w:p>
    <w:p w14:paraId="70AAE9F4"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 xml:space="preserve">El Estado sigue omitiendo sus obligaciones para con las mujeres mayores de 18 años víctimas de trata de personas y la consolidación de un modelo de gestión capaz de afrontar las necesidades de todas las víctimas en su diversidad con una visión de derechos humanos y no meramente </w:t>
      </w:r>
      <w:proofErr w:type="spellStart"/>
      <w:r w:rsidRPr="004724C9">
        <w:rPr>
          <w:rFonts w:eastAsia="Times New Roman"/>
          <w:color w:val="000000" w:themeColor="text1"/>
          <w:lang w:val="es-ES"/>
        </w:rPr>
        <w:t>securitista</w:t>
      </w:r>
      <w:proofErr w:type="spellEnd"/>
      <w:r w:rsidRPr="004724C9">
        <w:rPr>
          <w:rFonts w:eastAsia="Times New Roman"/>
          <w:color w:val="000000" w:themeColor="text1"/>
          <w:lang w:val="es-ES"/>
        </w:rPr>
        <w:t xml:space="preserve"> y punitiva. </w:t>
      </w:r>
    </w:p>
    <w:p w14:paraId="67DE1ACB"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El presupuesto asignado por el Estado no solo es insuficiente sino carente de una visión de especialidad, oportunidad y prioridad. Las atenciones de salud a las víctimas acogidas y/o protegidas es tardía y no incluyen tratamientos, ni acceso a medicamentos, ni salud oftalmológica, ni atención psiquiátrica; el Ministerio del Trabajo está ausente en el deber de ubicar opciones de trabajo para las víctimas; resulta ausente una mirada de recuperación integral de la persona afectada por la trata. Centros de atención de mujeres víctimas y servicios de la sociedad civil con presupuestos concurrentes del Estado para su protección y alojamiento temporal han recibido recursos parciales y sólo por parte del ejercicio anual.</w:t>
      </w:r>
    </w:p>
    <w:p w14:paraId="4EB6BFFA"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Las víctimas siguen siendo sometidas a múltiples entrevistas de carácter pre</w:t>
      </w:r>
      <w:r w:rsidR="004724C9">
        <w:rPr>
          <w:rFonts w:eastAsia="Times New Roman"/>
          <w:color w:val="000000" w:themeColor="text1"/>
          <w:lang w:val="es-ES"/>
        </w:rPr>
        <w:t>-</w:t>
      </w:r>
      <w:r w:rsidRPr="004724C9">
        <w:rPr>
          <w:rFonts w:eastAsia="Times New Roman"/>
          <w:color w:val="000000" w:themeColor="text1"/>
          <w:lang w:val="es-ES"/>
        </w:rPr>
        <w:t xml:space="preserve">procesal, procesal e incluso judicial (se solicita su testimonio en audiencia cuando no se prevé por fiscalía la práctica de anticipos probatorios); la policía realiza sus propias indagatorias; los servicios sociales actúan del mismo modo; el Sistema de Protección y Asistencia a Víctimas cuando actúa levanta su propia información; e igual los Servicios de Protección Integral - </w:t>
      </w:r>
      <w:proofErr w:type="spellStart"/>
      <w:r w:rsidRPr="004724C9">
        <w:rPr>
          <w:rFonts w:eastAsia="Times New Roman"/>
          <w:color w:val="000000" w:themeColor="text1"/>
          <w:lang w:val="es-ES"/>
        </w:rPr>
        <w:t>SPIs</w:t>
      </w:r>
      <w:proofErr w:type="spellEnd"/>
      <w:r w:rsidRPr="004724C9">
        <w:rPr>
          <w:rFonts w:eastAsia="Times New Roman"/>
          <w:color w:val="000000" w:themeColor="text1"/>
          <w:lang w:val="es-ES"/>
        </w:rPr>
        <w:t xml:space="preserve"> cuando logran tomar contacto con un caso. La víctima ha sido desplazada por la noticia del delito, el caso, la mesa interinstitucional o el expediente, despojándola de derechos.</w:t>
      </w:r>
    </w:p>
    <w:p w14:paraId="53EFB8AE"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 xml:space="preserve">El periodo de pandemia y </w:t>
      </w:r>
      <w:proofErr w:type="spellStart"/>
      <w:r w:rsidRPr="004724C9">
        <w:rPr>
          <w:rFonts w:eastAsia="Times New Roman"/>
          <w:color w:val="000000" w:themeColor="text1"/>
          <w:lang w:val="es-ES"/>
        </w:rPr>
        <w:t>pospandemia</w:t>
      </w:r>
      <w:proofErr w:type="spellEnd"/>
      <w:r w:rsidRPr="004724C9">
        <w:rPr>
          <w:rFonts w:eastAsia="Times New Roman"/>
          <w:color w:val="000000" w:themeColor="text1"/>
          <w:lang w:val="es-ES"/>
        </w:rPr>
        <w:t xml:space="preserve"> puede acarrear una elevación de víctimas de trata de personas niñas, adolescentes, mujeres y población migrante que tiene origen en la seria depreciación de medios de vida y el ingreso sin autoprotección a medios electrónicos y a redes sociales. </w:t>
      </w:r>
    </w:p>
    <w:p w14:paraId="2E8CC367"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El fin del registro migratorio en julio 2020, conforme las condiciones del Decreto Ejecutivo 826 de 25 de julio de 2019, deja en vulnerabilidad y riesgo a miles de personas. No existe una articulación debida en los fenómenos de trata de mujeres y niñas y desapariciones porque no hay registro, identificación, seguimiento. Las personas de movilidad humana no tienen formas de comunicación ni redes de sostenimiento y sus vulnerabilidades son mayores.</w:t>
      </w:r>
    </w:p>
    <w:p w14:paraId="6931183D"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 xml:space="preserve">El Protocolo Interinstitucional para casos de trata de personas integra competencias del Ministerio de Gobierno, Policía Nacional, Secretaría de Derechos Humanos y Fiscalía General del Estado con pasos a seguir. Sin </w:t>
      </w:r>
      <w:proofErr w:type="gramStart"/>
      <w:r w:rsidRPr="004724C9">
        <w:rPr>
          <w:rFonts w:eastAsia="Times New Roman"/>
          <w:color w:val="000000" w:themeColor="text1"/>
          <w:lang w:val="es-ES"/>
        </w:rPr>
        <w:t>embargo</w:t>
      </w:r>
      <w:proofErr w:type="gramEnd"/>
      <w:r w:rsidRPr="004724C9">
        <w:rPr>
          <w:rFonts w:eastAsia="Times New Roman"/>
          <w:color w:val="000000" w:themeColor="text1"/>
          <w:lang w:val="es-ES"/>
        </w:rPr>
        <w:t xml:space="preserve"> es un protocolo que no se sigue por parte de la totalidad de operadores de estas instituciones. </w:t>
      </w:r>
    </w:p>
    <w:p w14:paraId="1B7BC37D"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 xml:space="preserve">Por ejemplo, el operador de Fiscalía no conoce el Protocolo y exige pruebas previamente a ingresar una noticia del delito; la Secretaría de Derechos Humanos está desestructurada en el territorio; la policía detecta un </w:t>
      </w:r>
      <w:proofErr w:type="gramStart"/>
      <w:r w:rsidRPr="004724C9">
        <w:rPr>
          <w:rFonts w:eastAsia="Times New Roman"/>
          <w:color w:val="000000" w:themeColor="text1"/>
          <w:lang w:val="es-ES"/>
        </w:rPr>
        <w:t>caso</w:t>
      </w:r>
      <w:proofErr w:type="gramEnd"/>
      <w:r w:rsidRPr="004724C9">
        <w:rPr>
          <w:rFonts w:eastAsia="Times New Roman"/>
          <w:color w:val="000000" w:themeColor="text1"/>
          <w:lang w:val="es-ES"/>
        </w:rPr>
        <w:t xml:space="preserve"> pero lo reporta como tráfico ilícito de migrantes o corrupción de menores. </w:t>
      </w:r>
    </w:p>
    <w:p w14:paraId="76075864" w14:textId="77777777" w:rsidR="0090395B" w:rsidRPr="004724C9" w:rsidRDefault="0090395B" w:rsidP="00233899">
      <w:pPr>
        <w:pStyle w:val="Prrafodelista"/>
        <w:numPr>
          <w:ilvl w:val="0"/>
          <w:numId w:val="17"/>
        </w:numPr>
        <w:spacing w:line="240" w:lineRule="auto"/>
        <w:jc w:val="both"/>
        <w:textAlignment w:val="baseline"/>
        <w:rPr>
          <w:rFonts w:eastAsia="Times New Roman"/>
          <w:color w:val="000000" w:themeColor="text1"/>
          <w:lang w:val="es-ES"/>
        </w:rPr>
      </w:pPr>
      <w:r w:rsidRPr="004724C9">
        <w:rPr>
          <w:rFonts w:eastAsia="Times New Roman"/>
          <w:color w:val="000000" w:themeColor="text1"/>
          <w:lang w:val="es-ES"/>
        </w:rPr>
        <w:t xml:space="preserve">Sigue imperando las creencias y valores sobre el delito y sobre las víctimas de una sociedad machista y </w:t>
      </w:r>
      <w:proofErr w:type="spellStart"/>
      <w:r w:rsidRPr="004724C9">
        <w:rPr>
          <w:rFonts w:eastAsia="Times New Roman"/>
          <w:color w:val="000000" w:themeColor="text1"/>
          <w:lang w:val="es-ES"/>
        </w:rPr>
        <w:t>adultocéntrica</w:t>
      </w:r>
      <w:proofErr w:type="spellEnd"/>
      <w:r w:rsidRPr="004724C9">
        <w:rPr>
          <w:rFonts w:eastAsia="Times New Roman"/>
          <w:color w:val="000000" w:themeColor="text1"/>
          <w:lang w:val="es-ES"/>
        </w:rPr>
        <w:t xml:space="preserve"> y se naturalizan y premian estereotipos sobre los usuarios de trata que deberían ser sancionadas social y punitivamente.</w:t>
      </w:r>
    </w:p>
    <w:p w14:paraId="12D6E732" w14:textId="77777777" w:rsidR="0090395B" w:rsidRPr="0090395B" w:rsidRDefault="0090395B" w:rsidP="004724C9">
      <w:pPr>
        <w:spacing w:line="240" w:lineRule="auto"/>
        <w:rPr>
          <w:rFonts w:eastAsia="Times New Roman"/>
          <w:color w:val="000000" w:themeColor="text1"/>
          <w:sz w:val="24"/>
          <w:szCs w:val="24"/>
          <w:lang w:val="es-ES"/>
        </w:rPr>
      </w:pPr>
    </w:p>
    <w:p w14:paraId="59702E2C" w14:textId="77777777" w:rsidR="0090395B" w:rsidRPr="0090395B" w:rsidRDefault="0090395B" w:rsidP="0090395B">
      <w:pPr>
        <w:spacing w:line="240" w:lineRule="auto"/>
        <w:jc w:val="both"/>
        <w:rPr>
          <w:rFonts w:eastAsia="Times New Roman"/>
          <w:color w:val="000000" w:themeColor="text1"/>
          <w:sz w:val="24"/>
          <w:szCs w:val="24"/>
          <w:lang w:val="es-ES"/>
        </w:rPr>
      </w:pPr>
      <w:r w:rsidRPr="0090395B">
        <w:rPr>
          <w:rFonts w:eastAsia="Times New Roman"/>
          <w:b/>
          <w:bCs/>
          <w:i/>
          <w:iCs/>
          <w:color w:val="000000" w:themeColor="text1"/>
          <w:lang w:val="es-ES"/>
        </w:rPr>
        <w:t>Recomendaciones</w:t>
      </w:r>
    </w:p>
    <w:p w14:paraId="3FA832FD" w14:textId="77777777" w:rsidR="0090395B" w:rsidRPr="0090395B" w:rsidRDefault="0090395B" w:rsidP="0090395B">
      <w:pPr>
        <w:spacing w:before="240" w:after="240" w:line="240" w:lineRule="auto"/>
        <w:jc w:val="both"/>
        <w:rPr>
          <w:rFonts w:eastAsia="Times New Roman"/>
          <w:color w:val="000000" w:themeColor="text1"/>
          <w:sz w:val="24"/>
          <w:szCs w:val="24"/>
          <w:lang w:val="es-ES"/>
        </w:rPr>
      </w:pPr>
      <w:r w:rsidRPr="0090395B">
        <w:rPr>
          <w:rFonts w:eastAsia="Times New Roman"/>
          <w:color w:val="000000" w:themeColor="text1"/>
          <w:lang w:val="es-ES"/>
        </w:rPr>
        <w:t xml:space="preserve">En la medida en que la trata de mujeres y niñas es el principal objetivo de los tratantes, la comprensión cabal del fenómeno para una actuación de los agentes del Estado debe estar basada en los principios de la CEDAW, que establece que la trata de mujeres y niñas se basa en un conjunto de discriminaciones estructurales de género, incluida la feminización de la pobreza y agravada por las crecientes desigualdades mundiales y la demanda de trabajo </w:t>
      </w:r>
      <w:r w:rsidRPr="0090395B">
        <w:rPr>
          <w:rFonts w:eastAsia="Times New Roman"/>
          <w:color w:val="000000" w:themeColor="text1"/>
          <w:lang w:val="es-ES"/>
        </w:rPr>
        <w:lastRenderedPageBreak/>
        <w:t>barato y / o forzado, la demanda de explotación sexual basada en estereotipos, es urgente la necesidad de actuación del Estado en los siguientes ámbitos:</w:t>
      </w:r>
    </w:p>
    <w:p w14:paraId="32B8E80E" w14:textId="77777777" w:rsidR="0090395B" w:rsidRPr="0090395B" w:rsidRDefault="0090395B" w:rsidP="0090395B">
      <w:pPr>
        <w:spacing w:line="240" w:lineRule="auto"/>
        <w:ind w:left="720"/>
        <w:jc w:val="both"/>
        <w:rPr>
          <w:rFonts w:eastAsia="Times New Roman"/>
          <w:color w:val="000000" w:themeColor="text1"/>
          <w:sz w:val="24"/>
          <w:szCs w:val="24"/>
          <w:lang w:val="en-US"/>
        </w:rPr>
      </w:pPr>
      <w:r w:rsidRPr="0090395B">
        <w:rPr>
          <w:rFonts w:eastAsia="Times New Roman"/>
          <w:b/>
          <w:bCs/>
          <w:color w:val="000000" w:themeColor="text1"/>
          <w:lang w:val="en-US"/>
        </w:rPr>
        <w:t xml:space="preserve">A la </w:t>
      </w:r>
      <w:proofErr w:type="spellStart"/>
      <w:r w:rsidRPr="0090395B">
        <w:rPr>
          <w:rFonts w:eastAsia="Times New Roman"/>
          <w:b/>
          <w:bCs/>
          <w:color w:val="000000" w:themeColor="text1"/>
          <w:lang w:val="en-US"/>
        </w:rPr>
        <w:t>Asamblea</w:t>
      </w:r>
      <w:proofErr w:type="spellEnd"/>
      <w:r w:rsidRPr="0090395B">
        <w:rPr>
          <w:rFonts w:eastAsia="Times New Roman"/>
          <w:b/>
          <w:bCs/>
          <w:color w:val="000000" w:themeColor="text1"/>
          <w:lang w:val="en-US"/>
        </w:rPr>
        <w:t xml:space="preserve"> Nacional: </w:t>
      </w:r>
    </w:p>
    <w:p w14:paraId="7AAB3A3F" w14:textId="77777777" w:rsidR="0090395B" w:rsidRPr="0090395B" w:rsidRDefault="0090395B" w:rsidP="00233899">
      <w:pPr>
        <w:numPr>
          <w:ilvl w:val="0"/>
          <w:numId w:val="22"/>
        </w:numPr>
        <w:spacing w:line="240" w:lineRule="auto"/>
        <w:jc w:val="both"/>
        <w:textAlignment w:val="baseline"/>
        <w:rPr>
          <w:rFonts w:eastAsia="Times New Roman"/>
          <w:b/>
          <w:bCs/>
          <w:color w:val="000000" w:themeColor="text1"/>
          <w:lang w:val="es-ES"/>
        </w:rPr>
      </w:pPr>
      <w:r w:rsidRPr="0090395B">
        <w:rPr>
          <w:rFonts w:eastAsia="Times New Roman"/>
          <w:color w:val="000000" w:themeColor="text1"/>
          <w:lang w:val="es-ES"/>
        </w:rPr>
        <w:t>Incluir los estándares internacionales de derechos humanos de las víctimas de trata de personas en el conjunto de reformas legislativas.</w:t>
      </w:r>
    </w:p>
    <w:p w14:paraId="15E688F0" w14:textId="77777777" w:rsidR="0090395B" w:rsidRPr="0090395B" w:rsidRDefault="0090395B" w:rsidP="0090395B">
      <w:pPr>
        <w:spacing w:line="240" w:lineRule="auto"/>
        <w:rPr>
          <w:rFonts w:eastAsia="Times New Roman"/>
          <w:color w:val="000000" w:themeColor="text1"/>
          <w:sz w:val="24"/>
          <w:szCs w:val="24"/>
          <w:lang w:val="es-ES"/>
        </w:rPr>
      </w:pPr>
    </w:p>
    <w:p w14:paraId="48201104" w14:textId="77777777" w:rsidR="0090395B" w:rsidRPr="0090395B" w:rsidRDefault="0090395B" w:rsidP="0090395B">
      <w:pPr>
        <w:spacing w:line="240" w:lineRule="auto"/>
        <w:ind w:left="720"/>
        <w:jc w:val="both"/>
        <w:rPr>
          <w:rFonts w:eastAsia="Times New Roman"/>
          <w:color w:val="000000" w:themeColor="text1"/>
          <w:sz w:val="24"/>
          <w:szCs w:val="24"/>
          <w:lang w:val="es-ES"/>
        </w:rPr>
      </w:pPr>
      <w:r w:rsidRPr="0090395B">
        <w:rPr>
          <w:rFonts w:eastAsia="Times New Roman"/>
          <w:b/>
          <w:bCs/>
          <w:color w:val="000000" w:themeColor="text1"/>
          <w:lang w:val="es-ES"/>
        </w:rPr>
        <w:t>A la Secretaría de Derechos Humanos y los Consejos Nacionales para la Igualdad de Género e Intergeneracional:</w:t>
      </w:r>
    </w:p>
    <w:p w14:paraId="11399847" w14:textId="77777777" w:rsidR="0090395B" w:rsidRPr="0090395B" w:rsidRDefault="0090395B" w:rsidP="00233899">
      <w:pPr>
        <w:numPr>
          <w:ilvl w:val="0"/>
          <w:numId w:val="23"/>
        </w:numPr>
        <w:spacing w:line="240" w:lineRule="auto"/>
        <w:jc w:val="both"/>
        <w:textAlignment w:val="baseline"/>
        <w:rPr>
          <w:rFonts w:eastAsia="Times New Roman"/>
          <w:b/>
          <w:bCs/>
          <w:color w:val="000000" w:themeColor="text1"/>
          <w:lang w:val="es-ES"/>
        </w:rPr>
      </w:pPr>
      <w:r w:rsidRPr="0090395B">
        <w:rPr>
          <w:rFonts w:eastAsia="Times New Roman"/>
          <w:color w:val="000000" w:themeColor="text1"/>
          <w:lang w:val="es-ES"/>
        </w:rPr>
        <w:t>Implementar un programa para transversalizar el enfoque de género e interseccionalidad en las estructuras institucionales y programas a cargo del fenómeno de trata y otras formas de explotación de mujeres y niñas.</w:t>
      </w:r>
    </w:p>
    <w:p w14:paraId="69939CC1" w14:textId="77777777" w:rsidR="0090395B" w:rsidRPr="0090395B" w:rsidRDefault="0090395B" w:rsidP="00233899">
      <w:pPr>
        <w:numPr>
          <w:ilvl w:val="0"/>
          <w:numId w:val="23"/>
        </w:numPr>
        <w:spacing w:line="240" w:lineRule="auto"/>
        <w:jc w:val="both"/>
        <w:textAlignment w:val="baseline"/>
        <w:rPr>
          <w:rFonts w:eastAsia="Times New Roman"/>
          <w:b/>
          <w:bCs/>
          <w:color w:val="000000" w:themeColor="text1"/>
          <w:lang w:val="es-ES"/>
        </w:rPr>
      </w:pPr>
      <w:r w:rsidRPr="0090395B">
        <w:rPr>
          <w:rFonts w:eastAsia="Times New Roman"/>
          <w:color w:val="000000" w:themeColor="text1"/>
          <w:lang w:val="es-ES"/>
        </w:rPr>
        <w:t>Realizar la observancia del cumplimiento del PACTA en materia de prevención de la trata de mujeres y niñas.</w:t>
      </w:r>
    </w:p>
    <w:p w14:paraId="5EF18475" w14:textId="77777777" w:rsidR="0090395B" w:rsidRPr="0090395B" w:rsidRDefault="0090395B" w:rsidP="00233899">
      <w:pPr>
        <w:numPr>
          <w:ilvl w:val="0"/>
          <w:numId w:val="23"/>
        </w:numPr>
        <w:spacing w:line="240" w:lineRule="auto"/>
        <w:jc w:val="both"/>
        <w:textAlignment w:val="baseline"/>
        <w:rPr>
          <w:rFonts w:eastAsia="Times New Roman"/>
          <w:b/>
          <w:bCs/>
          <w:color w:val="000000" w:themeColor="text1"/>
          <w:lang w:val="es-ES"/>
        </w:rPr>
      </w:pPr>
      <w:r w:rsidRPr="0090395B">
        <w:rPr>
          <w:rFonts w:eastAsia="Times New Roman"/>
          <w:color w:val="000000" w:themeColor="text1"/>
          <w:lang w:val="es-ES"/>
        </w:rPr>
        <w:t>Realizar una evaluación de los protocolos de atención en todas las estructuras institucionales, desde el enfoque de género y protección integral de derechos de mujeres y niñas.</w:t>
      </w:r>
    </w:p>
    <w:p w14:paraId="72736F5E" w14:textId="77777777" w:rsidR="0090395B" w:rsidRPr="0090395B" w:rsidRDefault="0090395B" w:rsidP="0090395B">
      <w:pPr>
        <w:spacing w:before="240" w:line="240" w:lineRule="auto"/>
        <w:ind w:left="720"/>
        <w:jc w:val="both"/>
        <w:rPr>
          <w:rFonts w:eastAsia="Times New Roman"/>
          <w:color w:val="000000" w:themeColor="text1"/>
          <w:sz w:val="24"/>
          <w:szCs w:val="24"/>
          <w:lang w:val="es-ES"/>
        </w:rPr>
      </w:pPr>
      <w:r w:rsidRPr="0090395B">
        <w:rPr>
          <w:rFonts w:eastAsia="Times New Roman"/>
          <w:b/>
          <w:bCs/>
          <w:color w:val="000000" w:themeColor="text1"/>
          <w:lang w:val="es-ES"/>
        </w:rPr>
        <w:t>Al Consejo de la Judicatura:</w:t>
      </w:r>
    </w:p>
    <w:p w14:paraId="51845472" w14:textId="77777777" w:rsidR="0090395B" w:rsidRPr="0090395B" w:rsidRDefault="0090395B" w:rsidP="00233899">
      <w:pPr>
        <w:numPr>
          <w:ilvl w:val="0"/>
          <w:numId w:val="24"/>
        </w:numPr>
        <w:spacing w:before="240" w:line="240" w:lineRule="auto"/>
        <w:jc w:val="both"/>
        <w:textAlignment w:val="baseline"/>
        <w:rPr>
          <w:rFonts w:eastAsia="Times New Roman"/>
          <w:b/>
          <w:bCs/>
          <w:color w:val="000000" w:themeColor="text1"/>
          <w:lang w:val="es-ES"/>
        </w:rPr>
      </w:pPr>
      <w:r w:rsidRPr="0090395B">
        <w:rPr>
          <w:rFonts w:eastAsia="Times New Roman"/>
          <w:color w:val="000000" w:themeColor="text1"/>
          <w:lang w:val="es-ES"/>
        </w:rPr>
        <w:t>Realizar una evaluación integral de la respuesta judicial y de acceso a la justicia (fases pre-procesal y procesal penal) de las víctimas de trata, especialmente sus derechos a recurso efectivo, reparación integral, período de reflexión y remisión.</w:t>
      </w:r>
    </w:p>
    <w:p w14:paraId="5CA87773" w14:textId="77777777" w:rsidR="0090395B" w:rsidRPr="0090395B" w:rsidRDefault="0090395B" w:rsidP="0090395B">
      <w:pPr>
        <w:spacing w:line="240" w:lineRule="auto"/>
        <w:rPr>
          <w:rFonts w:eastAsia="Times New Roman"/>
          <w:color w:val="000000" w:themeColor="text1"/>
          <w:sz w:val="24"/>
          <w:szCs w:val="24"/>
          <w:lang w:val="es-ES"/>
        </w:rPr>
      </w:pPr>
    </w:p>
    <w:p w14:paraId="45FB4F0B" w14:textId="77777777" w:rsidR="0090395B" w:rsidRPr="0090395B" w:rsidRDefault="0090395B" w:rsidP="0090395B">
      <w:pPr>
        <w:spacing w:after="240" w:line="240" w:lineRule="auto"/>
        <w:ind w:left="720"/>
        <w:jc w:val="both"/>
        <w:rPr>
          <w:rFonts w:eastAsia="Times New Roman"/>
          <w:color w:val="000000" w:themeColor="text1"/>
          <w:sz w:val="24"/>
          <w:szCs w:val="24"/>
          <w:lang w:val="es-ES"/>
        </w:rPr>
      </w:pPr>
      <w:r w:rsidRPr="0090395B">
        <w:rPr>
          <w:rFonts w:eastAsia="Times New Roman"/>
          <w:b/>
          <w:bCs/>
          <w:color w:val="000000" w:themeColor="text1"/>
          <w:lang w:val="es-ES"/>
        </w:rPr>
        <w:t>Al Comité Interinstitucional de la Política Nacional de Trata de personas:</w:t>
      </w:r>
    </w:p>
    <w:p w14:paraId="551431C9" w14:textId="77777777" w:rsidR="0090395B" w:rsidRPr="0090395B" w:rsidRDefault="0090395B" w:rsidP="00233899">
      <w:pPr>
        <w:numPr>
          <w:ilvl w:val="0"/>
          <w:numId w:val="25"/>
        </w:numPr>
        <w:spacing w:after="240" w:line="240" w:lineRule="auto"/>
        <w:jc w:val="both"/>
        <w:textAlignment w:val="baseline"/>
        <w:rPr>
          <w:rFonts w:eastAsia="Times New Roman"/>
          <w:b/>
          <w:bCs/>
          <w:color w:val="000000" w:themeColor="text1"/>
          <w:lang w:val="es-ES"/>
        </w:rPr>
      </w:pPr>
      <w:r w:rsidRPr="0090395B">
        <w:rPr>
          <w:rFonts w:eastAsia="Times New Roman"/>
          <w:color w:val="000000" w:themeColor="text1"/>
          <w:lang w:val="es-ES"/>
        </w:rPr>
        <w:t>Presentar informes anuales de rendición de cuentas sobre: i) los avances en materia de prevención, atención y protección a víctimas de trata, incluyendo a los actores de la sociedad civil; ii) la centralidad de los derechos de las víctimas en los procedimientos y actuaciones de todos agentes del Estado.</w:t>
      </w:r>
    </w:p>
    <w:p w14:paraId="02C6CF3B" w14:textId="77777777" w:rsidR="0090395B" w:rsidRPr="0090395B" w:rsidRDefault="0090395B" w:rsidP="00233899">
      <w:pPr>
        <w:numPr>
          <w:ilvl w:val="0"/>
          <w:numId w:val="25"/>
        </w:numPr>
        <w:spacing w:after="240" w:line="240" w:lineRule="auto"/>
        <w:jc w:val="both"/>
        <w:textAlignment w:val="baseline"/>
        <w:rPr>
          <w:rFonts w:eastAsia="Times New Roman"/>
          <w:b/>
          <w:bCs/>
          <w:color w:val="000000" w:themeColor="text1"/>
          <w:lang w:val="es-ES"/>
        </w:rPr>
      </w:pPr>
      <w:r w:rsidRPr="0090395B">
        <w:rPr>
          <w:rFonts w:eastAsia="Times New Roman"/>
          <w:color w:val="000000" w:themeColor="text1"/>
          <w:lang w:val="es-ES"/>
        </w:rPr>
        <w:t>Asegurar la publicidad del fenómeno, a través de estadísticas confiables, homologables, que permita el análisis y la toma de decisiones basada en evidencia y en la reinserción social de las víctimas.</w:t>
      </w:r>
    </w:p>
    <w:p w14:paraId="2008AA6E" w14:textId="77777777" w:rsidR="0090395B" w:rsidRPr="0090395B" w:rsidRDefault="0090395B" w:rsidP="00233899">
      <w:pPr>
        <w:numPr>
          <w:ilvl w:val="0"/>
          <w:numId w:val="25"/>
        </w:numPr>
        <w:spacing w:after="240" w:line="240" w:lineRule="auto"/>
        <w:jc w:val="both"/>
        <w:textAlignment w:val="baseline"/>
        <w:rPr>
          <w:rFonts w:eastAsia="Times New Roman"/>
          <w:b/>
          <w:bCs/>
          <w:color w:val="000000" w:themeColor="text1"/>
          <w:lang w:val="es-ES"/>
        </w:rPr>
      </w:pPr>
      <w:r w:rsidRPr="0090395B">
        <w:rPr>
          <w:rFonts w:eastAsia="Times New Roman"/>
          <w:color w:val="000000" w:themeColor="text1"/>
          <w:lang w:val="es-ES"/>
        </w:rPr>
        <w:t>Asegurar los recursos necesarios para los servicios de atención a víctimas de trata y otras formas de explotación, diseñados desde el enfoque de las víctimas sobrevivientes y sus necesidades de reinserción sin estigmatizaciones.</w:t>
      </w:r>
    </w:p>
    <w:p w14:paraId="077F06F2" w14:textId="77777777" w:rsidR="00DD5D67" w:rsidRPr="0090395B" w:rsidRDefault="00DD5D67" w:rsidP="0090395B">
      <w:pPr>
        <w:spacing w:line="240" w:lineRule="auto"/>
        <w:ind w:left="720"/>
        <w:jc w:val="both"/>
        <w:rPr>
          <w:b/>
          <w:color w:val="000000" w:themeColor="text1"/>
        </w:rPr>
      </w:pPr>
    </w:p>
    <w:sectPr w:rsidR="00DD5D67" w:rsidRPr="0090395B" w:rsidSect="00DD5D67">
      <w:footerReference w:type="even" r:id="rId20"/>
      <w:footerReference w:type="default" r:id="rId2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1B9739" w14:textId="77777777" w:rsidR="003F2D9A" w:rsidRDefault="003F2D9A">
      <w:pPr>
        <w:spacing w:line="240" w:lineRule="auto"/>
      </w:pPr>
      <w:r>
        <w:separator/>
      </w:r>
    </w:p>
  </w:endnote>
  <w:endnote w:type="continuationSeparator" w:id="0">
    <w:p w14:paraId="6A44BD18" w14:textId="77777777" w:rsidR="003F2D9A" w:rsidRDefault="003F2D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429003969"/>
      <w:docPartObj>
        <w:docPartGallery w:val="Page Numbers (Bottom of Page)"/>
        <w:docPartUnique/>
      </w:docPartObj>
    </w:sdtPr>
    <w:sdtEndPr>
      <w:rPr>
        <w:rStyle w:val="Nmerodepgina"/>
      </w:rPr>
    </w:sdtEndPr>
    <w:sdtContent>
      <w:p w14:paraId="1413086B" w14:textId="77777777" w:rsidR="00DD5D67" w:rsidRDefault="00DD5D67" w:rsidP="00640D2C">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9369DE7" w14:textId="77777777" w:rsidR="00DD5D67" w:rsidRDefault="00DD5D6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64065800"/>
      <w:docPartObj>
        <w:docPartGallery w:val="Page Numbers (Bottom of Page)"/>
        <w:docPartUnique/>
      </w:docPartObj>
    </w:sdtPr>
    <w:sdtEndPr>
      <w:rPr>
        <w:rStyle w:val="Nmerodepgina"/>
      </w:rPr>
    </w:sdtEndPr>
    <w:sdtContent>
      <w:p w14:paraId="68D0B927" w14:textId="77777777" w:rsidR="00DD5D67" w:rsidRDefault="00DD5D67" w:rsidP="00640D2C">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r w:rsidR="00A32E05">
          <w:rPr>
            <w:rStyle w:val="Nmerodepgina"/>
          </w:rPr>
          <w:t xml:space="preserve"> de 12</w:t>
        </w:r>
      </w:p>
    </w:sdtContent>
  </w:sdt>
  <w:p w14:paraId="2A5C07FA" w14:textId="77777777" w:rsidR="00DD5D67" w:rsidRDefault="00DD5D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4C8155" w14:textId="77777777" w:rsidR="003F2D9A" w:rsidRDefault="003F2D9A">
      <w:pPr>
        <w:spacing w:line="240" w:lineRule="auto"/>
      </w:pPr>
      <w:r>
        <w:separator/>
      </w:r>
    </w:p>
  </w:footnote>
  <w:footnote w:type="continuationSeparator" w:id="0">
    <w:p w14:paraId="2B1818C8" w14:textId="77777777" w:rsidR="003F2D9A" w:rsidRDefault="003F2D9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76647"/>
    <w:multiLevelType w:val="hybridMultilevel"/>
    <w:tmpl w:val="EADED678"/>
    <w:lvl w:ilvl="0" w:tplc="F94EC694">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12601AC9"/>
    <w:multiLevelType w:val="multilevel"/>
    <w:tmpl w:val="97D8DEC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3A22A1"/>
    <w:multiLevelType w:val="multilevel"/>
    <w:tmpl w:val="48DA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B1F00"/>
    <w:multiLevelType w:val="multilevel"/>
    <w:tmpl w:val="00E2606C"/>
    <w:lvl w:ilvl="0">
      <w:start w:val="1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C9173E"/>
    <w:multiLevelType w:val="multilevel"/>
    <w:tmpl w:val="9C1086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522181"/>
    <w:multiLevelType w:val="multilevel"/>
    <w:tmpl w:val="0E80A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D542F9"/>
    <w:multiLevelType w:val="multilevel"/>
    <w:tmpl w:val="FCA29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B24C7C"/>
    <w:multiLevelType w:val="multilevel"/>
    <w:tmpl w:val="CAAA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CD3957"/>
    <w:multiLevelType w:val="multilevel"/>
    <w:tmpl w:val="F5C8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104B87"/>
    <w:multiLevelType w:val="multilevel"/>
    <w:tmpl w:val="63BA2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B04039"/>
    <w:multiLevelType w:val="multilevel"/>
    <w:tmpl w:val="F824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A9A0C69"/>
    <w:multiLevelType w:val="multilevel"/>
    <w:tmpl w:val="8F2C1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286015"/>
    <w:multiLevelType w:val="multilevel"/>
    <w:tmpl w:val="B110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10245E"/>
    <w:multiLevelType w:val="multilevel"/>
    <w:tmpl w:val="B55C2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1A57E2"/>
    <w:multiLevelType w:val="multilevel"/>
    <w:tmpl w:val="7528E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0"/>
  </w:num>
  <w:num w:numId="3">
    <w:abstractNumId w:val="4"/>
    <w:lvlOverride w:ilvl="0">
      <w:lvl w:ilvl="0">
        <w:numFmt w:val="decimal"/>
        <w:lvlText w:val="%1."/>
        <w:lvlJc w:val="left"/>
      </w:lvl>
    </w:lvlOverride>
  </w:num>
  <w:num w:numId="4">
    <w:abstractNumId w:val="4"/>
    <w:lvlOverride w:ilvl="0">
      <w:lvl w:ilvl="0">
        <w:numFmt w:val="decimal"/>
        <w:lvlText w:val="%1."/>
        <w:lvlJc w:val="left"/>
      </w:lvl>
    </w:lvlOverride>
  </w:num>
  <w:num w:numId="5">
    <w:abstractNumId w:val="4"/>
    <w:lvlOverride w:ilvl="0">
      <w:lvl w:ilvl="0">
        <w:numFmt w:val="decimal"/>
        <w:lvlText w:val="%1."/>
        <w:lvlJc w:val="left"/>
      </w:lvl>
    </w:lvlOverride>
  </w:num>
  <w:num w:numId="6">
    <w:abstractNumId w:val="4"/>
    <w:lvlOverride w:ilvl="0">
      <w:lvl w:ilvl="0">
        <w:numFmt w:val="decimal"/>
        <w:lvlText w:val="%1."/>
        <w:lvlJc w:val="left"/>
      </w:lvl>
    </w:lvlOverride>
  </w:num>
  <w:num w:numId="7">
    <w:abstractNumId w:val="4"/>
    <w:lvlOverride w:ilvl="0">
      <w:lvl w:ilvl="0">
        <w:numFmt w:val="decimal"/>
        <w:lvlText w:val="%1."/>
        <w:lvlJc w:val="left"/>
      </w:lvl>
    </w:lvlOverride>
  </w:num>
  <w:num w:numId="8">
    <w:abstractNumId w:val="4"/>
    <w:lvlOverride w:ilvl="0">
      <w:lvl w:ilvl="0">
        <w:numFmt w:val="decimal"/>
        <w:lvlText w:val="%1."/>
        <w:lvlJc w:val="left"/>
      </w:lvl>
    </w:lvlOverride>
  </w:num>
  <w:num w:numId="9">
    <w:abstractNumId w:val="4"/>
    <w:lvlOverride w:ilvl="0">
      <w:lvl w:ilvl="0">
        <w:numFmt w:val="decimal"/>
        <w:lvlText w:val="%1."/>
        <w:lvlJc w:val="left"/>
      </w:lvl>
    </w:lvlOverride>
  </w:num>
  <w:num w:numId="10">
    <w:abstractNumId w:val="4"/>
    <w:lvlOverride w:ilvl="0">
      <w:lvl w:ilvl="0">
        <w:numFmt w:val="decimal"/>
        <w:lvlText w:val="%1."/>
        <w:lvlJc w:val="left"/>
      </w:lvl>
    </w:lvlOverride>
  </w:num>
  <w:num w:numId="11">
    <w:abstractNumId w:val="4"/>
    <w:lvlOverride w:ilvl="0">
      <w:lvl w:ilvl="0">
        <w:numFmt w:val="decimal"/>
        <w:lvlText w:val="%1."/>
        <w:lvlJc w:val="left"/>
      </w:lvl>
    </w:lvlOverride>
  </w:num>
  <w:num w:numId="12">
    <w:abstractNumId w:val="4"/>
    <w:lvlOverride w:ilvl="0">
      <w:lvl w:ilvl="0">
        <w:numFmt w:val="decimal"/>
        <w:lvlText w:val="%1."/>
        <w:lvlJc w:val="left"/>
      </w:lvl>
    </w:lvlOverride>
  </w:num>
  <w:num w:numId="13">
    <w:abstractNumId w:val="4"/>
    <w:lvlOverride w:ilvl="0">
      <w:lvl w:ilvl="0">
        <w:numFmt w:val="decimal"/>
        <w:lvlText w:val="%1."/>
        <w:lvlJc w:val="left"/>
      </w:lvl>
    </w:lvlOverride>
  </w:num>
  <w:num w:numId="14">
    <w:abstractNumId w:val="12"/>
  </w:num>
  <w:num w:numId="15">
    <w:abstractNumId w:val="1"/>
    <w:lvlOverride w:ilvl="0">
      <w:lvl w:ilvl="0">
        <w:numFmt w:val="decimal"/>
        <w:lvlText w:val="%1."/>
        <w:lvlJc w:val="left"/>
      </w:lvl>
    </w:lvlOverride>
  </w:num>
  <w:num w:numId="16">
    <w:abstractNumId w:val="1"/>
    <w:lvlOverride w:ilvl="0">
      <w:lvl w:ilvl="0">
        <w:numFmt w:val="decimal"/>
        <w:lvlText w:val="%1."/>
        <w:lvlJc w:val="left"/>
      </w:lvl>
    </w:lvlOverride>
  </w:num>
  <w:num w:numId="17">
    <w:abstractNumId w:val="3"/>
    <w:lvlOverride w:ilvl="0">
      <w:lvl w:ilvl="0">
        <w:numFmt w:val="decimal"/>
        <w:lvlText w:val="%1."/>
        <w:lvlJc w:val="left"/>
      </w:lvl>
    </w:lvlOverride>
  </w:num>
  <w:num w:numId="18">
    <w:abstractNumId w:val="8"/>
  </w:num>
  <w:num w:numId="19">
    <w:abstractNumId w:val="7"/>
  </w:num>
  <w:num w:numId="20">
    <w:abstractNumId w:val="5"/>
  </w:num>
  <w:num w:numId="21">
    <w:abstractNumId w:val="9"/>
  </w:num>
  <w:num w:numId="22">
    <w:abstractNumId w:val="11"/>
  </w:num>
  <w:num w:numId="23">
    <w:abstractNumId w:val="13"/>
  </w:num>
  <w:num w:numId="24">
    <w:abstractNumId w:val="6"/>
  </w:num>
  <w:num w:numId="25">
    <w:abstractNumId w:val="14"/>
  </w:num>
  <w:num w:numId="26">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DAC"/>
    <w:rsid w:val="000E42B8"/>
    <w:rsid w:val="000F3624"/>
    <w:rsid w:val="00140667"/>
    <w:rsid w:val="00233899"/>
    <w:rsid w:val="002844C1"/>
    <w:rsid w:val="0033556E"/>
    <w:rsid w:val="003F2D9A"/>
    <w:rsid w:val="00415BAE"/>
    <w:rsid w:val="004724C9"/>
    <w:rsid w:val="004C7016"/>
    <w:rsid w:val="005769C6"/>
    <w:rsid w:val="005C2273"/>
    <w:rsid w:val="005D286A"/>
    <w:rsid w:val="0060446D"/>
    <w:rsid w:val="0065668B"/>
    <w:rsid w:val="00731A9E"/>
    <w:rsid w:val="007454E8"/>
    <w:rsid w:val="008F0B81"/>
    <w:rsid w:val="0090395B"/>
    <w:rsid w:val="00980ACB"/>
    <w:rsid w:val="0099390E"/>
    <w:rsid w:val="00A32E05"/>
    <w:rsid w:val="00C936CA"/>
    <w:rsid w:val="00CD35D0"/>
    <w:rsid w:val="00DD5D67"/>
    <w:rsid w:val="00E65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4FFDFB1"/>
  <w15:docId w15:val="{C72751E7-4D5A-3740-AFA9-4A9B6E9CA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anormal"/>
    <w:pPr>
      <w:widowControl w:val="0"/>
      <w:spacing w:line="240" w:lineRule="auto"/>
    </w:pPr>
    <w:tblPr>
      <w:tblStyleRowBandSize w:val="1"/>
      <w:tblStyleColBandSize w:val="1"/>
      <w:tblCellMar>
        <w:top w:w="100" w:type="dxa"/>
        <w:bottom w:w="100" w:type="dxa"/>
      </w:tblCellMar>
    </w:tblPr>
  </w:style>
  <w:style w:type="paragraph" w:styleId="Piedepgina">
    <w:name w:val="footer"/>
    <w:basedOn w:val="Normal"/>
    <w:link w:val="PiedepginaCar"/>
    <w:uiPriority w:val="99"/>
    <w:unhideWhenUsed/>
    <w:rsid w:val="00DD5D67"/>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DD5D67"/>
  </w:style>
  <w:style w:type="character" w:styleId="Nmerodepgina">
    <w:name w:val="page number"/>
    <w:basedOn w:val="Fuentedeprrafopredeter"/>
    <w:uiPriority w:val="99"/>
    <w:semiHidden/>
    <w:unhideWhenUsed/>
    <w:rsid w:val="00DD5D67"/>
  </w:style>
  <w:style w:type="paragraph" w:styleId="Encabezado">
    <w:name w:val="header"/>
    <w:basedOn w:val="Normal"/>
    <w:link w:val="EncabezadoCar"/>
    <w:uiPriority w:val="99"/>
    <w:unhideWhenUsed/>
    <w:rsid w:val="00A32E05"/>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A32E05"/>
  </w:style>
  <w:style w:type="paragraph" w:styleId="NormalWeb">
    <w:name w:val="Normal (Web)"/>
    <w:basedOn w:val="Normal"/>
    <w:uiPriority w:val="99"/>
    <w:semiHidden/>
    <w:unhideWhenUsed/>
    <w:rsid w:val="0090395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ipervnculo">
    <w:name w:val="Hyperlink"/>
    <w:basedOn w:val="Fuentedeprrafopredeter"/>
    <w:uiPriority w:val="99"/>
    <w:semiHidden/>
    <w:unhideWhenUsed/>
    <w:rsid w:val="0090395B"/>
    <w:rPr>
      <w:color w:val="0000FF"/>
      <w:u w:val="single"/>
    </w:rPr>
  </w:style>
  <w:style w:type="paragraph" w:styleId="Prrafodelista">
    <w:name w:val="List Paragraph"/>
    <w:basedOn w:val="Normal"/>
    <w:uiPriority w:val="34"/>
    <w:qFormat/>
    <w:rsid w:val="005C22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359818">
      <w:bodyDiv w:val="1"/>
      <w:marLeft w:val="0"/>
      <w:marRight w:val="0"/>
      <w:marTop w:val="0"/>
      <w:marBottom w:val="0"/>
      <w:divBdr>
        <w:top w:val="none" w:sz="0" w:space="0" w:color="auto"/>
        <w:left w:val="none" w:sz="0" w:space="0" w:color="auto"/>
        <w:bottom w:val="none" w:sz="0" w:space="0" w:color="auto"/>
        <w:right w:val="none" w:sz="0" w:space="0" w:color="auto"/>
      </w:divBdr>
      <w:divsChild>
        <w:div w:id="1375076391">
          <w:marLeft w:val="255"/>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s://bit.ly/2zJmNfg" TargetMode="Externa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bit.ly/2M4WHpQ" TargetMode="Externa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s://bit.ly/2AfdjIK"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bit.ly/2M9SPD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0E199B-0D52-412B-B54B-E25BC5ED3B62}"/>
</file>

<file path=customXml/itemProps2.xml><?xml version="1.0" encoding="utf-8"?>
<ds:datastoreItem xmlns:ds="http://schemas.openxmlformats.org/officeDocument/2006/customXml" ds:itemID="{BA3BA313-E81C-4BE1-9647-F671973071AC}"/>
</file>

<file path=customXml/itemProps3.xml><?xml version="1.0" encoding="utf-8"?>
<ds:datastoreItem xmlns:ds="http://schemas.openxmlformats.org/officeDocument/2006/customXml" ds:itemID="{04613012-6B9B-4B36-935A-0476376B0DA4}"/>
</file>

<file path=docProps/app.xml><?xml version="1.0" encoding="utf-8"?>
<Properties xmlns="http://schemas.openxmlformats.org/officeDocument/2006/extended-properties" xmlns:vt="http://schemas.openxmlformats.org/officeDocument/2006/docPropsVTypes">
  <Template>Normal</Template>
  <TotalTime>0</TotalTime>
  <Pages>12</Pages>
  <Words>5489</Words>
  <Characters>30194</Characters>
  <Application>Microsoft Office Word</Application>
  <DocSecurity>0</DocSecurity>
  <Lines>251</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Rosero Garcés</dc:creator>
  <cp:lastModifiedBy>Rocio Rosero Garcés</cp:lastModifiedBy>
  <cp:revision>2</cp:revision>
  <dcterms:created xsi:type="dcterms:W3CDTF">2020-10-09T19:58:00Z</dcterms:created>
  <dcterms:modified xsi:type="dcterms:W3CDTF">2020-10-09T19:58:00Z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