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537D0D" w14:textId="59BD0801" w:rsidR="005403E3" w:rsidRPr="00B47660" w:rsidRDefault="005403E3" w:rsidP="009259BF">
      <w:pPr>
        <w:tabs>
          <w:tab w:val="left" w:pos="5370"/>
        </w:tabs>
        <w:jc w:val="both"/>
      </w:pPr>
    </w:p>
    <w:p w14:paraId="54C0425C" w14:textId="77777777" w:rsidR="00E621CE" w:rsidRPr="00B47660" w:rsidRDefault="00E621CE" w:rsidP="009259BF">
      <w:pPr>
        <w:pStyle w:val="TitlePageHeading"/>
        <w:jc w:val="both"/>
        <w:rPr>
          <w:rFonts w:cs="Times New Roman"/>
          <w:szCs w:val="24"/>
        </w:rPr>
      </w:pPr>
    </w:p>
    <w:p w14:paraId="2CFA07C0" w14:textId="77777777" w:rsidR="00953F8F" w:rsidRPr="00B47660" w:rsidRDefault="00953F8F" w:rsidP="009259BF">
      <w:pPr>
        <w:pStyle w:val="TitlePageHeading"/>
        <w:spacing w:after="240"/>
        <w:jc w:val="both"/>
        <w:rPr>
          <w:rFonts w:cs="Times New Roman"/>
          <w:szCs w:val="24"/>
        </w:rPr>
      </w:pPr>
    </w:p>
    <w:p w14:paraId="2BF14CB7" w14:textId="77777777" w:rsidR="00D76BFD" w:rsidRPr="00B47660" w:rsidRDefault="00E621CE" w:rsidP="00B90F76">
      <w:pPr>
        <w:pStyle w:val="TitlePageHeading"/>
        <w:spacing w:after="240"/>
        <w:rPr>
          <w:rFonts w:cs="Times New Roman"/>
          <w:szCs w:val="24"/>
        </w:rPr>
      </w:pPr>
      <w:r w:rsidRPr="00B47660">
        <w:rPr>
          <w:rFonts w:cs="Times New Roman"/>
          <w:szCs w:val="24"/>
        </w:rPr>
        <w:t>The Republic of Iraq</w:t>
      </w:r>
      <w:r w:rsidR="008321DA" w:rsidRPr="00B47660">
        <w:rPr>
          <w:rFonts w:cs="Times New Roman"/>
          <w:szCs w:val="24"/>
        </w:rPr>
        <w:t>’</w:t>
      </w:r>
      <w:r w:rsidRPr="00B47660">
        <w:rPr>
          <w:rFonts w:cs="Times New Roman"/>
          <w:szCs w:val="24"/>
        </w:rPr>
        <w:t xml:space="preserve">s Compliance with the Convention on the Elimination of All Forms of Discrimination against Women </w:t>
      </w:r>
    </w:p>
    <w:p w14:paraId="4D1E27F2" w14:textId="162531B9" w:rsidR="0083533E" w:rsidRPr="00B47660" w:rsidRDefault="00E621CE" w:rsidP="00B90F76">
      <w:pPr>
        <w:pStyle w:val="TitlePageHeading"/>
        <w:spacing w:after="240"/>
        <w:rPr>
          <w:rFonts w:cs="Times New Roman"/>
          <w:szCs w:val="24"/>
        </w:rPr>
      </w:pPr>
      <w:r w:rsidRPr="00B47660">
        <w:rPr>
          <w:rFonts w:cs="Times New Roman"/>
          <w:szCs w:val="24"/>
        </w:rPr>
        <w:t>Suggested List of Issues Relating to the Death Penalty</w:t>
      </w:r>
    </w:p>
    <w:p w14:paraId="26D24DDC" w14:textId="70C4D555" w:rsidR="004B1E4E" w:rsidRPr="00B47660" w:rsidRDefault="004B1E4E" w:rsidP="00B90F76">
      <w:pPr>
        <w:pStyle w:val="TitlePageHeading"/>
        <w:rPr>
          <w:rFonts w:cs="Times New Roman"/>
          <w:szCs w:val="24"/>
        </w:rPr>
      </w:pPr>
      <w:r w:rsidRPr="00B47660">
        <w:rPr>
          <w:rFonts w:cs="Times New Roman"/>
          <w:szCs w:val="24"/>
        </w:rPr>
        <w:t xml:space="preserve">Submitted by </w:t>
      </w:r>
      <w:r w:rsidR="00AA7FCB" w:rsidRPr="00B47660">
        <w:rPr>
          <w:rFonts w:cs="Times New Roman"/>
          <w:szCs w:val="24"/>
        </w:rPr>
        <w:t>T</w:t>
      </w:r>
      <w:r w:rsidRPr="00B47660">
        <w:rPr>
          <w:rFonts w:cs="Times New Roman"/>
          <w:szCs w:val="24"/>
        </w:rPr>
        <w:t>he Advocates for Human Rights</w:t>
      </w:r>
      <w:r w:rsidR="00FD266D" w:rsidRPr="00B47660">
        <w:rPr>
          <w:rFonts w:cs="Times New Roman"/>
          <w:szCs w:val="24"/>
        </w:rPr>
        <w:t>,</w:t>
      </w:r>
    </w:p>
    <w:p w14:paraId="6D01AE49" w14:textId="146F78DD" w:rsidR="004B1E4E" w:rsidRPr="00B47660" w:rsidRDefault="004B1E4E" w:rsidP="00B90F76">
      <w:pPr>
        <w:pStyle w:val="TitlePageSubheading"/>
        <w:spacing w:after="240"/>
      </w:pPr>
      <w:r w:rsidRPr="00B47660">
        <w:t>a non-governmental organization in special consultative status with ECOSOC</w:t>
      </w:r>
      <w:r w:rsidR="00624A10" w:rsidRPr="00B47660">
        <w:t xml:space="preserve"> since 1996</w:t>
      </w:r>
      <w:r w:rsidR="00E621CE" w:rsidRPr="00B47660">
        <w:t>,</w:t>
      </w:r>
    </w:p>
    <w:p w14:paraId="7750106F" w14:textId="137C657E" w:rsidR="00E621CE" w:rsidRPr="00B47660" w:rsidRDefault="00E621CE" w:rsidP="00B90F76">
      <w:pPr>
        <w:pStyle w:val="TitlePageSubheading"/>
        <w:spacing w:after="240"/>
      </w:pPr>
      <w:r w:rsidRPr="00B47660">
        <w:rPr>
          <w:b/>
          <w:bCs/>
        </w:rPr>
        <w:t>Abolition Death Penalty of Iraq Organization</w:t>
      </w:r>
      <w:r w:rsidRPr="00B47660">
        <w:t>,</w:t>
      </w:r>
    </w:p>
    <w:p w14:paraId="3AFBC896" w14:textId="302ADC3E" w:rsidR="001E4BD2" w:rsidRPr="00B47660" w:rsidRDefault="001E4BD2" w:rsidP="00B90F76">
      <w:pPr>
        <w:pStyle w:val="TitlePageSubheading"/>
        <w:spacing w:after="240"/>
      </w:pPr>
      <w:r w:rsidRPr="00B47660">
        <w:t>and</w:t>
      </w:r>
    </w:p>
    <w:p w14:paraId="783353DD" w14:textId="3666889F" w:rsidR="001E4BD2" w:rsidRPr="00B47660" w:rsidRDefault="001E4BD2" w:rsidP="00B90F76">
      <w:pPr>
        <w:pStyle w:val="TitlePageSubheading"/>
        <w:spacing w:after="240"/>
        <w:rPr>
          <w:b/>
          <w:bCs/>
        </w:rPr>
      </w:pPr>
      <w:r w:rsidRPr="00B47660">
        <w:rPr>
          <w:b/>
          <w:bCs/>
        </w:rPr>
        <w:t>The World Coalition Against the Death Penalty</w:t>
      </w:r>
    </w:p>
    <w:p w14:paraId="24E688AE" w14:textId="5998EFEF" w:rsidR="004B1E4E" w:rsidRPr="00B47660" w:rsidRDefault="004B1E4E" w:rsidP="00B90F76">
      <w:pPr>
        <w:pStyle w:val="TitlePageHeading"/>
        <w:rPr>
          <w:rFonts w:cs="Times New Roman"/>
          <w:szCs w:val="24"/>
        </w:rPr>
      </w:pPr>
      <w:r w:rsidRPr="00B47660">
        <w:rPr>
          <w:rFonts w:cs="Times New Roman"/>
          <w:szCs w:val="24"/>
        </w:rPr>
        <w:t xml:space="preserve">for the </w:t>
      </w:r>
      <w:r w:rsidR="00251D5C" w:rsidRPr="00B47660">
        <w:rPr>
          <w:rFonts w:cs="Times New Roman"/>
          <w:szCs w:val="24"/>
        </w:rPr>
        <w:t>92nd</w:t>
      </w:r>
      <w:r w:rsidRPr="00B47660">
        <w:rPr>
          <w:rFonts w:cs="Times New Roman"/>
          <w:szCs w:val="24"/>
        </w:rPr>
        <w:t xml:space="preserve"> Session of the </w:t>
      </w:r>
      <w:r w:rsidR="00BE7734" w:rsidRPr="00B47660">
        <w:rPr>
          <w:rFonts w:cs="Times New Roman"/>
          <w:szCs w:val="24"/>
        </w:rPr>
        <w:t>Committee on the Elimination of Discrimination against Women</w:t>
      </w:r>
      <w:r w:rsidR="00823B4A" w:rsidRPr="00B47660">
        <w:rPr>
          <w:rFonts w:cs="Times New Roman"/>
          <w:szCs w:val="24"/>
        </w:rPr>
        <w:t xml:space="preserve"> (Pre-Sessional Working Group)</w:t>
      </w:r>
    </w:p>
    <w:p w14:paraId="4412F31B" w14:textId="74516415" w:rsidR="00E45087" w:rsidRPr="00B47660" w:rsidRDefault="00823B4A" w:rsidP="00B90F76">
      <w:pPr>
        <w:pStyle w:val="TitlePageHeading"/>
        <w:spacing w:after="240"/>
        <w:rPr>
          <w:rFonts w:cs="Times New Roman"/>
          <w:szCs w:val="24"/>
        </w:rPr>
      </w:pPr>
      <w:r w:rsidRPr="00B47660">
        <w:rPr>
          <w:rFonts w:cs="Times New Roman"/>
          <w:szCs w:val="24"/>
        </w:rPr>
        <w:t>24</w:t>
      </w:r>
      <w:r w:rsidR="00E45087" w:rsidRPr="00B47660">
        <w:rPr>
          <w:rFonts w:cs="Times New Roman"/>
          <w:szCs w:val="24"/>
        </w:rPr>
        <w:t>–</w:t>
      </w:r>
      <w:r w:rsidRPr="00B47660">
        <w:rPr>
          <w:rFonts w:cs="Times New Roman"/>
          <w:szCs w:val="24"/>
        </w:rPr>
        <w:t>28 February</w:t>
      </w:r>
      <w:r w:rsidR="00BF4FBE" w:rsidRPr="00B47660">
        <w:rPr>
          <w:rFonts w:cs="Times New Roman"/>
          <w:szCs w:val="24"/>
        </w:rPr>
        <w:t xml:space="preserve"> </w:t>
      </w:r>
      <w:r w:rsidR="00E45087" w:rsidRPr="00B47660">
        <w:rPr>
          <w:rFonts w:cs="Times New Roman"/>
          <w:szCs w:val="24"/>
        </w:rPr>
        <w:t>2025</w:t>
      </w:r>
    </w:p>
    <w:p w14:paraId="3D93E372" w14:textId="14C05F38" w:rsidR="00C214BA" w:rsidRPr="00B47660" w:rsidRDefault="00C214BA" w:rsidP="00B90F76">
      <w:pPr>
        <w:pStyle w:val="TitlePageHeading"/>
        <w:spacing w:after="240"/>
        <w:rPr>
          <w:rFonts w:cs="Times New Roman"/>
          <w:szCs w:val="24"/>
        </w:rPr>
      </w:pPr>
      <w:r w:rsidRPr="00B47660">
        <w:rPr>
          <w:rFonts w:cs="Times New Roman"/>
          <w:szCs w:val="24"/>
        </w:rPr>
        <w:t xml:space="preserve">Submitted </w:t>
      </w:r>
      <w:r w:rsidR="002A07BF" w:rsidRPr="00B47660">
        <w:rPr>
          <w:rFonts w:cs="Times New Roman"/>
          <w:szCs w:val="24"/>
        </w:rPr>
        <w:t>6 January 2025</w:t>
      </w:r>
    </w:p>
    <w:p w14:paraId="360C507E" w14:textId="3DC115E9" w:rsidR="00FB03FB" w:rsidRPr="00B47660" w:rsidRDefault="00FB03FB" w:rsidP="009259BF">
      <w:pPr>
        <w:widowControl w:val="0"/>
        <w:autoSpaceDE w:val="0"/>
        <w:autoSpaceDN w:val="0"/>
        <w:adjustRightInd w:val="0"/>
        <w:spacing w:after="240"/>
        <w:jc w:val="both"/>
        <w:rPr>
          <w:rStyle w:val="BoilerplateTextChar0"/>
        </w:rPr>
      </w:pPr>
      <w:r w:rsidRPr="00B47660">
        <w:rPr>
          <w:rStyle w:val="BoilerplateTitleChar0"/>
          <w:rFonts w:cs="Times New Roman"/>
          <w:szCs w:val="24"/>
        </w:rPr>
        <w:t>The Advocates for Human Rights</w:t>
      </w:r>
      <w:r w:rsidRPr="00B47660">
        <w:rPr>
          <w:rStyle w:val="BoilerplateTextChar0"/>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00B47660">
        <w:t xml:space="preserve">. </w:t>
      </w:r>
      <w:r w:rsidRPr="00B47660">
        <w:rPr>
          <w:rStyle w:val="BoilerplateTextChar0"/>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00B47660">
        <w:rPr>
          <w:color w:val="000000" w:themeColor="text1"/>
        </w:rPr>
        <w:t>.</w:t>
      </w:r>
      <w:r w:rsidR="001E4BD2" w:rsidRPr="00B47660">
        <w:rPr>
          <w:color w:val="000000" w:themeColor="text1"/>
        </w:rPr>
        <w:t xml:space="preserve"> </w:t>
      </w:r>
      <w:r w:rsidRPr="00B47660">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11E441D6" w14:textId="0B16A17A" w:rsidR="00E45087" w:rsidRPr="00B47660" w:rsidRDefault="00E45087" w:rsidP="00E95037">
      <w:pPr>
        <w:widowControl w:val="0"/>
        <w:autoSpaceDE w:val="0"/>
        <w:autoSpaceDN w:val="0"/>
        <w:adjustRightInd w:val="0"/>
        <w:spacing w:after="240"/>
        <w:jc w:val="both"/>
      </w:pPr>
      <w:r w:rsidRPr="00B47660">
        <w:rPr>
          <w:b/>
          <w:bCs/>
        </w:rPr>
        <w:t xml:space="preserve">Abolition Death Penalty of Iraq Organization </w:t>
      </w:r>
      <w:r w:rsidRPr="00B47660">
        <w:t xml:space="preserve">is </w:t>
      </w:r>
      <w:r w:rsidR="00E95037" w:rsidRPr="00B47660">
        <w:t>an alliance of more than 160 NGOs, bar associations, local authorities and unions</w:t>
      </w:r>
      <w:r w:rsidR="001B33D1" w:rsidRPr="00B47660">
        <w:t xml:space="preserve"> and </w:t>
      </w:r>
      <w:r w:rsidR="00E95037" w:rsidRPr="00B47660">
        <w:t xml:space="preserve">was created in Rome on 13 May 2002. It was created </w:t>
      </w:r>
      <w:proofErr w:type="gramStart"/>
      <w:r w:rsidR="00E95037" w:rsidRPr="00B47660">
        <w:t>as a result of</w:t>
      </w:r>
      <w:proofErr w:type="gramEnd"/>
      <w:r w:rsidR="00E95037" w:rsidRPr="00B47660">
        <w:t xml:space="preserve"> the commitment made by the signatories of the Final Declaration of the 1st World Congress Against the Death Penalty organized by the French NGO Together Against the Death Penalty (ECPM) in Strasbourg in June 2001. The aim of the World Coalition is to strengthen the international dimension of the fight against the death penalty. Its objective is to obtain the universal abolition of the death penalty. To achieve its goal, the World Coalition advocates for a definitive end to death sentences and executions in those countries where the death penalty is in force. In </w:t>
      </w:r>
      <w:r w:rsidR="00E95037" w:rsidRPr="00B47660">
        <w:lastRenderedPageBreak/>
        <w:t>some countries, it is seeking to obtain a reduction in the use of capital punishment as a first step towards abolition</w:t>
      </w:r>
      <w:r w:rsidRPr="00B47660">
        <w:t>.</w:t>
      </w:r>
    </w:p>
    <w:p w14:paraId="24CB8DE1" w14:textId="48B8DB93" w:rsidR="00692CCF" w:rsidRPr="00B47660" w:rsidRDefault="00692CCF" w:rsidP="009259BF">
      <w:pPr>
        <w:widowControl w:val="0"/>
        <w:autoSpaceDE w:val="0"/>
        <w:autoSpaceDN w:val="0"/>
        <w:adjustRightInd w:val="0"/>
        <w:spacing w:after="240"/>
        <w:jc w:val="both"/>
      </w:pPr>
      <w:r w:rsidRPr="00B47660">
        <w:rPr>
          <w:b/>
          <w:bCs/>
        </w:rPr>
        <w:t>The World Coalition Against the Death</w:t>
      </w:r>
      <w:r w:rsidRPr="00B47660">
        <w:t xml:space="preserve"> </w:t>
      </w:r>
      <w:r w:rsidRPr="00B47660">
        <w:rPr>
          <w:b/>
          <w:bCs/>
        </w:rPr>
        <w:t>Penalty</w:t>
      </w:r>
      <w:r w:rsidRPr="00B47660">
        <w:t xml:space="preserve"> </w:t>
      </w:r>
      <w:r w:rsidR="008C13F6" w:rsidRPr="00B47660">
        <w:t xml:space="preserve">(The World Coalition) </w:t>
      </w:r>
      <w:r w:rsidRPr="00B47660">
        <w:t>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2DF9DFDD" w14:textId="77777777" w:rsidR="003272CF" w:rsidRPr="00B47660" w:rsidRDefault="004B1E4E" w:rsidP="003272CF">
      <w:pPr>
        <w:pStyle w:val="OutlineL1"/>
        <w:numPr>
          <w:ilvl w:val="0"/>
          <w:numId w:val="14"/>
        </w:numPr>
        <w:rPr>
          <w:szCs w:val="24"/>
        </w:rPr>
      </w:pPr>
      <w:r w:rsidRPr="00B47660">
        <w:rPr>
          <w:szCs w:val="24"/>
        </w:rPr>
        <w:br w:type="page"/>
      </w:r>
    </w:p>
    <w:p w14:paraId="1FC77D31" w14:textId="4DCAFD05" w:rsidR="004B1E4E" w:rsidRPr="00B47660" w:rsidRDefault="003272CF" w:rsidP="002804E7">
      <w:pPr>
        <w:pStyle w:val="SectionHeading"/>
        <w:numPr>
          <w:ilvl w:val="0"/>
          <w:numId w:val="0"/>
        </w:numPr>
        <w:ind w:left="720"/>
        <w:rPr>
          <w:rFonts w:cs="Times New Roman"/>
          <w:szCs w:val="24"/>
        </w:rPr>
      </w:pPr>
      <w:r w:rsidRPr="00B47660">
        <w:rPr>
          <w:rFonts w:cs="Times New Roman"/>
          <w:szCs w:val="24"/>
        </w:rPr>
        <w:lastRenderedPageBreak/>
        <w:t>EXECUTIVE SUMMARY</w:t>
      </w:r>
    </w:p>
    <w:p w14:paraId="5DECF397" w14:textId="3520AA91" w:rsidR="00A32E07" w:rsidRPr="00B47660" w:rsidRDefault="00572A7D" w:rsidP="00496147">
      <w:pPr>
        <w:pStyle w:val="Paragraph"/>
        <w:numPr>
          <w:ilvl w:val="0"/>
          <w:numId w:val="32"/>
        </w:numPr>
      </w:pPr>
      <w:r w:rsidRPr="00B47660">
        <w:t>The Committee last reviewed Iraq</w:t>
      </w:r>
      <w:r w:rsidR="008321DA" w:rsidRPr="00B47660">
        <w:t>’</w:t>
      </w:r>
      <w:r w:rsidRPr="00B47660">
        <w:t xml:space="preserve">s compliance with the </w:t>
      </w:r>
      <w:r w:rsidR="00062D03" w:rsidRPr="00B47660">
        <w:t xml:space="preserve">Convention on the Elimination of All Forms of Discrimination against Women </w:t>
      </w:r>
      <w:r w:rsidRPr="00B47660">
        <w:t>in 2019. This report addresses Iraq</w:t>
      </w:r>
      <w:r w:rsidR="008321DA" w:rsidRPr="00B47660">
        <w:t>’</w:t>
      </w:r>
      <w:r w:rsidRPr="00B47660">
        <w:t>s compliance with the Convention as it pertains to</w:t>
      </w:r>
      <w:r w:rsidR="00062D03" w:rsidRPr="00B47660">
        <w:t xml:space="preserve"> issues related to the death penalty</w:t>
      </w:r>
      <w:r w:rsidR="00817307" w:rsidRPr="00B47660">
        <w:t>, which the Committee</w:t>
      </w:r>
      <w:r w:rsidR="00402645">
        <w:t xml:space="preserve"> did not specifically address</w:t>
      </w:r>
      <w:r w:rsidR="00817307" w:rsidRPr="00B47660">
        <w:t xml:space="preserve"> in its 2019</w:t>
      </w:r>
      <w:r w:rsidR="00FF7A1B" w:rsidRPr="00B47660">
        <w:t xml:space="preserve"> </w:t>
      </w:r>
      <w:r w:rsidR="00402645">
        <w:t>C</w:t>
      </w:r>
      <w:r w:rsidR="00FF7A1B" w:rsidRPr="00B47660">
        <w:t xml:space="preserve">oncluding </w:t>
      </w:r>
      <w:r w:rsidR="00402645">
        <w:t>O</w:t>
      </w:r>
      <w:r w:rsidR="00FF7A1B" w:rsidRPr="00B47660">
        <w:t>bservations.</w:t>
      </w:r>
      <w:r w:rsidR="00817307" w:rsidRPr="00B47660">
        <w:t xml:space="preserve"> </w:t>
      </w:r>
    </w:p>
    <w:p w14:paraId="38486F9F" w14:textId="416B67A9" w:rsidR="00171429" w:rsidRPr="00B47660" w:rsidRDefault="00E963DA" w:rsidP="00496147">
      <w:pPr>
        <w:pStyle w:val="Paragraph"/>
        <w:numPr>
          <w:ilvl w:val="0"/>
          <w:numId w:val="32"/>
        </w:numPr>
      </w:pPr>
      <w:r w:rsidRPr="00B47660">
        <w:t xml:space="preserve">Iraq has </w:t>
      </w:r>
      <w:r w:rsidR="001B58FE" w:rsidRPr="00B47660">
        <w:t>neither abolished the death penalty nor implemented a moratorium on</w:t>
      </w:r>
      <w:r w:rsidR="00124C13" w:rsidRPr="00B47660">
        <w:t xml:space="preserve"> executions</w:t>
      </w:r>
      <w:r w:rsidR="00577572">
        <w:t xml:space="preserve">. Iraqi law does not </w:t>
      </w:r>
      <w:r w:rsidR="00124C13" w:rsidRPr="00B47660">
        <w:t xml:space="preserve">limit the death penalty to </w:t>
      </w:r>
      <w:r w:rsidR="00801F4F" w:rsidRPr="00B47660">
        <w:t>the most serious crimes.</w:t>
      </w:r>
      <w:r w:rsidR="00CE6454" w:rsidRPr="00B47660">
        <w:t xml:space="preserve"> </w:t>
      </w:r>
    </w:p>
    <w:p w14:paraId="7493C3F3" w14:textId="5CD6D8F7" w:rsidR="00AF485B" w:rsidRPr="00B47660" w:rsidRDefault="00341FA9" w:rsidP="00496147">
      <w:pPr>
        <w:pStyle w:val="Paragraph"/>
        <w:numPr>
          <w:ilvl w:val="0"/>
          <w:numId w:val="32"/>
        </w:numPr>
      </w:pPr>
      <w:r>
        <w:t xml:space="preserve">In Iraq, women are exposed to discrimination in the judicial process leading to the death penalty. </w:t>
      </w:r>
      <w:r w:rsidR="00502EC1" w:rsidRPr="00B47660">
        <w:t>Since 2019, Iraq</w:t>
      </w:r>
      <w:r w:rsidR="00577572">
        <w:t xml:space="preserve">i courts have sentenced at least 397 people to </w:t>
      </w:r>
      <w:r w:rsidR="00502EC1" w:rsidRPr="00B47660">
        <w:t>death</w:t>
      </w:r>
      <w:r w:rsidR="00FA6CAE">
        <w:t>,</w:t>
      </w:r>
      <w:r w:rsidR="00D5185A" w:rsidRPr="00B47660">
        <w:rPr>
          <w:rStyle w:val="FootnoteReference"/>
        </w:rPr>
        <w:footnoteReference w:id="2"/>
      </w:r>
      <w:r w:rsidR="00FA6CAE">
        <w:t xml:space="preserve"> and as of the end of 2023, Iraqi authorities held at least 8,421 people under sentence of death.</w:t>
      </w:r>
      <w:r w:rsidR="00742EC6">
        <w:rPr>
          <w:rStyle w:val="FootnoteReference"/>
        </w:rPr>
        <w:footnoteReference w:id="3"/>
      </w:r>
      <w:r w:rsidR="002A6D68" w:rsidRPr="00B47660">
        <w:rPr>
          <w:rStyle w:val="FootnoteReference"/>
        </w:rPr>
        <w:t xml:space="preserve"> </w:t>
      </w:r>
      <w:r w:rsidR="007A6669">
        <w:t>Authorities do not disclose gender-disaggregated data</w:t>
      </w:r>
      <w:r w:rsidR="005502F6">
        <w:t xml:space="preserve"> on the number of women sentenced to death.</w:t>
      </w:r>
      <w:r w:rsidR="002D7005">
        <w:t xml:space="preserve"> In Iraqi Kurdistan, there are more than 550 people under sentence of death, including 33 women.</w:t>
      </w:r>
      <w:r w:rsidR="002D7005">
        <w:rPr>
          <w:rStyle w:val="FootnoteReference"/>
        </w:rPr>
        <w:footnoteReference w:id="4"/>
      </w:r>
      <w:r w:rsidR="00233A3A">
        <w:t xml:space="preserve"> As of August 2014 (the most recently available gender-disaggregated data), there were 25 women on death row in Iraq out of 1,724 death-sentenced prisoners, or about 1.4%</w:t>
      </w:r>
      <w:r w:rsidR="00420F6D">
        <w:t>.</w:t>
      </w:r>
      <w:r w:rsidR="00233A3A">
        <w:rPr>
          <w:rStyle w:val="FootnoteReference"/>
        </w:rPr>
        <w:footnoteReference w:id="5"/>
      </w:r>
      <w:r w:rsidR="00233A3A">
        <w:t xml:space="preserve"> The l</w:t>
      </w:r>
      <w:r w:rsidR="00233A3A" w:rsidRPr="002F7A77">
        <w:t>ack of disaggregated data prevents detailed analysis of the gender bias at work in the application of capital punishment and the protection of the rights of women facing the death penalty</w:t>
      </w:r>
    </w:p>
    <w:p w14:paraId="522E4B30" w14:textId="443B86D6" w:rsidR="005125ED" w:rsidRPr="00B47660" w:rsidRDefault="00843181" w:rsidP="00496147">
      <w:pPr>
        <w:pStyle w:val="Paragraph"/>
        <w:numPr>
          <w:ilvl w:val="0"/>
          <w:numId w:val="32"/>
        </w:numPr>
      </w:pPr>
      <w:r w:rsidRPr="00B47660">
        <w:t xml:space="preserve">Iraq continues to carry out </w:t>
      </w:r>
      <w:r w:rsidR="00577572">
        <w:t xml:space="preserve">executions </w:t>
      </w:r>
      <w:r w:rsidRPr="00B47660">
        <w:t xml:space="preserve">and </w:t>
      </w:r>
      <w:r w:rsidR="00DF4735" w:rsidRPr="00B47660">
        <w:t xml:space="preserve">has </w:t>
      </w:r>
      <w:r w:rsidR="00DE0BE3" w:rsidRPr="00B47660">
        <w:t xml:space="preserve">the </w:t>
      </w:r>
      <w:r w:rsidR="00743D1E">
        <w:t>six</w:t>
      </w:r>
      <w:r w:rsidR="00DE0BE3" w:rsidRPr="00B47660">
        <w:t>th</w:t>
      </w:r>
      <w:r w:rsidR="00577572">
        <w:t>-</w:t>
      </w:r>
      <w:r w:rsidR="00DF4735" w:rsidRPr="00B47660">
        <w:t xml:space="preserve">highest number of executions </w:t>
      </w:r>
      <w:r w:rsidR="00577572">
        <w:t>worldwide</w:t>
      </w:r>
      <w:r w:rsidR="0087596F" w:rsidRPr="00B47660">
        <w:t>.</w:t>
      </w:r>
      <w:bookmarkStart w:id="0" w:name="_Ref184031441"/>
      <w:r w:rsidR="0087596F" w:rsidRPr="00B47660">
        <w:rPr>
          <w:rStyle w:val="FootnoteReference"/>
        </w:rPr>
        <w:footnoteReference w:id="6"/>
      </w:r>
      <w:bookmarkEnd w:id="0"/>
      <w:r w:rsidR="00D5185A" w:rsidRPr="00B47660">
        <w:t xml:space="preserve"> </w:t>
      </w:r>
      <w:r w:rsidR="00B87D5E">
        <w:t>Iraq executed 17 women between 2004 and 2014, around 2.5% of its total executions.</w:t>
      </w:r>
      <w:r w:rsidR="00B87D5E">
        <w:rPr>
          <w:rStyle w:val="FootnoteReference"/>
        </w:rPr>
        <w:footnoteReference w:id="7"/>
      </w:r>
      <w:r w:rsidR="00B87D5E">
        <w:t xml:space="preserve"> </w:t>
      </w:r>
      <w:r w:rsidR="00577572">
        <w:t xml:space="preserve">Recent </w:t>
      </w:r>
      <w:r w:rsidR="00DF4735" w:rsidRPr="00B47660">
        <w:t xml:space="preserve">executions </w:t>
      </w:r>
      <w:r w:rsidR="0087596F" w:rsidRPr="00B47660">
        <w:t>include a mass execution of 13 people at the Nasiriyah Central Prison in 202</w:t>
      </w:r>
      <w:r w:rsidR="002B7D19" w:rsidRPr="00B47660">
        <w:t>3</w:t>
      </w:r>
      <w:r w:rsidR="0087596F" w:rsidRPr="00B47660">
        <w:rPr>
          <w:rStyle w:val="FootnoteReference"/>
        </w:rPr>
        <w:footnoteReference w:id="8"/>
      </w:r>
      <w:r w:rsidR="002B7D19" w:rsidRPr="00B47660">
        <w:rPr>
          <w:rStyle w:val="FootnoteReference"/>
        </w:rPr>
        <w:t xml:space="preserve"> </w:t>
      </w:r>
      <w:r w:rsidR="002B7D19" w:rsidRPr="00B47660">
        <w:t xml:space="preserve">and </w:t>
      </w:r>
      <w:r w:rsidR="00577572">
        <w:t xml:space="preserve">another </w:t>
      </w:r>
      <w:r w:rsidR="002B7D19" w:rsidRPr="00B47660">
        <w:t xml:space="preserve">mass execution of </w:t>
      </w:r>
      <w:r w:rsidR="00676C44" w:rsidRPr="00B47660">
        <w:t>21 people</w:t>
      </w:r>
      <w:r w:rsidR="0027706A">
        <w:t>, including one woman,</w:t>
      </w:r>
      <w:r w:rsidR="00676C44" w:rsidRPr="00B47660">
        <w:t xml:space="preserve"> at the same prison in 2024.</w:t>
      </w:r>
      <w:bookmarkStart w:id="1" w:name="_Ref184031420"/>
      <w:r w:rsidR="00676C44" w:rsidRPr="00B47660">
        <w:rPr>
          <w:rStyle w:val="FootnoteReference"/>
        </w:rPr>
        <w:footnoteReference w:id="9"/>
      </w:r>
      <w:bookmarkEnd w:id="1"/>
      <w:r w:rsidR="00402645">
        <w:rPr>
          <w:rStyle w:val="FootnoteReference"/>
        </w:rPr>
        <w:t xml:space="preserve"> </w:t>
      </w:r>
      <w:r w:rsidR="000F5F81" w:rsidRPr="00B47660">
        <w:t xml:space="preserve">These mass executions </w:t>
      </w:r>
      <w:r w:rsidR="00577572">
        <w:t xml:space="preserve">underscore additional human rights concerns, because in those cases officials did not notify attorneys or family members in advance, and the people who were executed had been sentenced to death </w:t>
      </w:r>
      <w:r w:rsidR="009023C0" w:rsidRPr="00B47660">
        <w:t xml:space="preserve">after </w:t>
      </w:r>
      <w:r w:rsidR="00184C03" w:rsidRPr="00B47660">
        <w:t xml:space="preserve">unfair trials </w:t>
      </w:r>
      <w:r w:rsidR="00184C03" w:rsidRPr="00B47660">
        <w:lastRenderedPageBreak/>
        <w:t xml:space="preserve">and </w:t>
      </w:r>
      <w:r w:rsidR="00C65563" w:rsidRPr="00B47660">
        <w:t>on the basis of evidence extracted via torture.</w:t>
      </w:r>
      <w:r w:rsidR="00C65563" w:rsidRPr="00B47660">
        <w:rPr>
          <w:rStyle w:val="FootnoteReference"/>
        </w:rPr>
        <w:footnoteReference w:id="10"/>
      </w:r>
      <w:r w:rsidR="00C65563" w:rsidRPr="00B47660">
        <w:t xml:space="preserve"> </w:t>
      </w:r>
      <w:r w:rsidR="00647E93" w:rsidRPr="00B47660">
        <w:t xml:space="preserve">As of April 2024, as many as 150 people were at imminent risk of execution </w:t>
      </w:r>
      <w:r w:rsidR="00577572">
        <w:t xml:space="preserve">because </w:t>
      </w:r>
      <w:r w:rsidR="00647E93" w:rsidRPr="00B47660">
        <w:t xml:space="preserve">President Abdul Latif Rashid </w:t>
      </w:r>
      <w:r w:rsidR="00577572">
        <w:t xml:space="preserve">had </w:t>
      </w:r>
      <w:r w:rsidR="00647E93" w:rsidRPr="00B47660">
        <w:t>reportedly ratified their death sentences.</w:t>
      </w:r>
      <w:r w:rsidR="00647E93" w:rsidRPr="00B47660">
        <w:rPr>
          <w:rStyle w:val="FootnoteReference"/>
        </w:rPr>
        <w:footnoteReference w:id="11"/>
      </w:r>
    </w:p>
    <w:p w14:paraId="59445E09" w14:textId="1CD027B5" w:rsidR="000E4B30" w:rsidRPr="00B47660" w:rsidRDefault="00801F4F" w:rsidP="00496147">
      <w:pPr>
        <w:pStyle w:val="Paragraph"/>
        <w:numPr>
          <w:ilvl w:val="0"/>
          <w:numId w:val="32"/>
        </w:numPr>
      </w:pPr>
      <w:r w:rsidRPr="00B47660">
        <w:t>Women</w:t>
      </w:r>
      <w:r w:rsidR="00A252D0" w:rsidRPr="00B47660">
        <w:t xml:space="preserve"> face extensive gender-based </w:t>
      </w:r>
      <w:r w:rsidR="00B87D5E">
        <w:t xml:space="preserve">discrimination and </w:t>
      </w:r>
      <w:r w:rsidR="00A252D0" w:rsidRPr="00B47660">
        <w:t>violence</w:t>
      </w:r>
      <w:r w:rsidRPr="00B47660">
        <w:t xml:space="preserve"> in Iraq</w:t>
      </w:r>
      <w:r w:rsidR="00793D9C" w:rsidRPr="00B47660">
        <w:t xml:space="preserve"> </w:t>
      </w:r>
      <w:r w:rsidR="00AF1907" w:rsidRPr="00B47660">
        <w:t xml:space="preserve">and are </w:t>
      </w:r>
      <w:r w:rsidR="008A56C6" w:rsidRPr="00B47660">
        <w:t>disproportionately</w:t>
      </w:r>
      <w:r w:rsidR="00A252D0" w:rsidRPr="00B47660">
        <w:t xml:space="preserve"> affected by </w:t>
      </w:r>
      <w:r w:rsidR="00577572">
        <w:t xml:space="preserve">discrimination in the context of </w:t>
      </w:r>
      <w:r w:rsidR="00A252D0" w:rsidRPr="00B47660">
        <w:t>the death penalty</w:t>
      </w:r>
      <w:r w:rsidR="004E0367" w:rsidRPr="00B47660">
        <w:t>.</w:t>
      </w:r>
      <w:r w:rsidR="008A56C6" w:rsidRPr="00B47660">
        <w:t xml:space="preserve"> </w:t>
      </w:r>
      <w:r w:rsidR="00C90153" w:rsidRPr="00B47660">
        <w:t>Iraq</w:t>
      </w:r>
      <w:r w:rsidR="008321DA" w:rsidRPr="00B47660">
        <w:t>’</w:t>
      </w:r>
      <w:r w:rsidR="00C90153" w:rsidRPr="00B47660">
        <w:t xml:space="preserve">s </w:t>
      </w:r>
      <w:r w:rsidR="001B5219">
        <w:t xml:space="preserve">criminal legal </w:t>
      </w:r>
      <w:r w:rsidR="00C90153" w:rsidRPr="00B47660">
        <w:t xml:space="preserve">system </w:t>
      </w:r>
      <w:r w:rsidR="008A5165" w:rsidRPr="00B47660">
        <w:t>fail</w:t>
      </w:r>
      <w:r w:rsidR="00577572">
        <w:t>s</w:t>
      </w:r>
      <w:r w:rsidR="008A5165" w:rsidRPr="00B47660">
        <w:t xml:space="preserve"> to </w:t>
      </w:r>
      <w:proofErr w:type="gramStart"/>
      <w:r w:rsidR="008A5165" w:rsidRPr="00B47660">
        <w:t xml:space="preserve">take </w:t>
      </w:r>
      <w:r w:rsidR="00577572">
        <w:t>into account</w:t>
      </w:r>
      <w:proofErr w:type="gramEnd"/>
      <w:r w:rsidR="00577572">
        <w:t xml:space="preserve"> </w:t>
      </w:r>
      <w:r w:rsidR="008A5165" w:rsidRPr="00B47660">
        <w:t xml:space="preserve">the effects of </w:t>
      </w:r>
      <w:r w:rsidR="00F66CB7" w:rsidRPr="00B47660">
        <w:t>gender-based</w:t>
      </w:r>
      <w:r w:rsidR="008A5165" w:rsidRPr="00B47660">
        <w:t xml:space="preserve"> violence </w:t>
      </w:r>
      <w:r w:rsidR="001B5219">
        <w:t>that may lead them to be in conflict with the law</w:t>
      </w:r>
      <w:r w:rsidR="00A1335F" w:rsidRPr="00B47660">
        <w:t>.</w:t>
      </w:r>
    </w:p>
    <w:p w14:paraId="75B00959" w14:textId="5A4453A5" w:rsidR="008F2F99" w:rsidRPr="00B47660" w:rsidRDefault="00A2674C" w:rsidP="00860657">
      <w:pPr>
        <w:pStyle w:val="SectionHeading"/>
        <w:numPr>
          <w:ilvl w:val="0"/>
          <w:numId w:val="0"/>
        </w:numPr>
        <w:ind w:left="360"/>
        <w:rPr>
          <w:rFonts w:cs="Times New Roman"/>
          <w:szCs w:val="24"/>
        </w:rPr>
      </w:pPr>
      <w:r w:rsidRPr="00B47660">
        <w:rPr>
          <w:rFonts w:cs="Times New Roman"/>
          <w:szCs w:val="24"/>
        </w:rPr>
        <w:t xml:space="preserve">Iraq fails to uphold its obligations under the </w:t>
      </w:r>
      <w:r w:rsidR="001B5219">
        <w:rPr>
          <w:rFonts w:cs="Times New Roman"/>
          <w:szCs w:val="24"/>
        </w:rPr>
        <w:t>C</w:t>
      </w:r>
      <w:r w:rsidRPr="00B47660">
        <w:rPr>
          <w:rFonts w:cs="Times New Roman"/>
          <w:szCs w:val="24"/>
        </w:rPr>
        <w:t xml:space="preserve">onvention on the </w:t>
      </w:r>
      <w:r w:rsidR="001B5219">
        <w:rPr>
          <w:rFonts w:cs="Times New Roman"/>
          <w:szCs w:val="24"/>
        </w:rPr>
        <w:t>E</w:t>
      </w:r>
      <w:r w:rsidRPr="00B47660">
        <w:rPr>
          <w:rFonts w:cs="Times New Roman"/>
          <w:szCs w:val="24"/>
        </w:rPr>
        <w:t xml:space="preserve">limination of </w:t>
      </w:r>
      <w:r w:rsidR="001B5219">
        <w:rPr>
          <w:rFonts w:cs="Times New Roman"/>
          <w:szCs w:val="24"/>
        </w:rPr>
        <w:t>A</w:t>
      </w:r>
      <w:r w:rsidRPr="00B47660">
        <w:rPr>
          <w:rFonts w:cs="Times New Roman"/>
          <w:szCs w:val="24"/>
        </w:rPr>
        <w:t xml:space="preserve">ll </w:t>
      </w:r>
      <w:r w:rsidR="001B5219">
        <w:rPr>
          <w:rFonts w:cs="Times New Roman"/>
          <w:szCs w:val="24"/>
        </w:rPr>
        <w:t>F</w:t>
      </w:r>
      <w:r w:rsidRPr="00B47660">
        <w:rPr>
          <w:rFonts w:cs="Times New Roman"/>
          <w:szCs w:val="24"/>
        </w:rPr>
        <w:t xml:space="preserve">orms of </w:t>
      </w:r>
      <w:r w:rsidR="001B5219">
        <w:rPr>
          <w:rFonts w:cs="Times New Roman"/>
          <w:szCs w:val="24"/>
        </w:rPr>
        <w:t>D</w:t>
      </w:r>
      <w:r w:rsidRPr="00B47660">
        <w:rPr>
          <w:rFonts w:cs="Times New Roman"/>
          <w:szCs w:val="24"/>
        </w:rPr>
        <w:t xml:space="preserve">iscrimination against </w:t>
      </w:r>
      <w:r w:rsidR="001B5219">
        <w:rPr>
          <w:rFonts w:cs="Times New Roman"/>
          <w:szCs w:val="24"/>
        </w:rPr>
        <w:t>W</w:t>
      </w:r>
      <w:r w:rsidRPr="00B47660">
        <w:rPr>
          <w:rFonts w:cs="Times New Roman"/>
          <w:szCs w:val="24"/>
        </w:rPr>
        <w:t>omen</w:t>
      </w:r>
    </w:p>
    <w:p w14:paraId="76937293" w14:textId="05BEF891" w:rsidR="007C586E" w:rsidRPr="00B47660" w:rsidRDefault="001B5219" w:rsidP="00925421">
      <w:pPr>
        <w:pStyle w:val="SectionHeading"/>
        <w:jc w:val="left"/>
        <w:rPr>
          <w:rFonts w:cs="Times New Roman"/>
          <w:szCs w:val="24"/>
        </w:rPr>
      </w:pPr>
      <w:r>
        <w:rPr>
          <w:rFonts w:cs="Times New Roman"/>
          <w:szCs w:val="24"/>
        </w:rPr>
        <w:t>Authorities sentence women to death and execute them for crimes that are not the “most serious” under international law</w:t>
      </w:r>
      <w:r w:rsidR="00442EBE">
        <w:rPr>
          <w:rFonts w:cs="Times New Roman"/>
          <w:szCs w:val="24"/>
        </w:rPr>
        <w:t xml:space="preserve"> and for mere affiliation with relatives who </w:t>
      </w:r>
      <w:r w:rsidR="00F33581">
        <w:rPr>
          <w:rFonts w:cs="Times New Roman"/>
          <w:szCs w:val="24"/>
        </w:rPr>
        <w:t>we</w:t>
      </w:r>
      <w:r w:rsidR="00442EBE">
        <w:rPr>
          <w:rFonts w:cs="Times New Roman"/>
          <w:szCs w:val="24"/>
        </w:rPr>
        <w:t>re members of the Islamic State.</w:t>
      </w:r>
    </w:p>
    <w:p w14:paraId="1FFC1844" w14:textId="77777777" w:rsidR="003F43A4" w:rsidRPr="00B47660" w:rsidRDefault="003F43A4" w:rsidP="003F43A4">
      <w:pPr>
        <w:pStyle w:val="Paragraph"/>
        <w:numPr>
          <w:ilvl w:val="0"/>
          <w:numId w:val="32"/>
        </w:numPr>
      </w:pPr>
      <w:r w:rsidRPr="00B47660">
        <w:t xml:space="preserve">Article 15 of the </w:t>
      </w:r>
      <w:r>
        <w:t xml:space="preserve">Iraqi </w:t>
      </w:r>
      <w:r w:rsidRPr="00B47660">
        <w:t>Constitution provides that deprivation or restriction of the right to life is prohibited except in accordance with laws and based on the judgment of a competent court.</w:t>
      </w:r>
      <w:r w:rsidRPr="00B47660">
        <w:rPr>
          <w:vertAlign w:val="superscript"/>
        </w:rPr>
        <w:footnoteReference w:id="12"/>
      </w:r>
      <w:r w:rsidRPr="00B47660">
        <w:t xml:space="preserve"> </w:t>
      </w:r>
    </w:p>
    <w:p w14:paraId="01B75B59" w14:textId="77777777" w:rsidR="001B5219" w:rsidRPr="00B47660" w:rsidRDefault="001B5219" w:rsidP="001B5219">
      <w:pPr>
        <w:pStyle w:val="Paragraph"/>
        <w:numPr>
          <w:ilvl w:val="0"/>
          <w:numId w:val="32"/>
        </w:numPr>
      </w:pPr>
      <w:r w:rsidRPr="00B47660">
        <w:t xml:space="preserve">Iraqi law authorizes the application of the death penalty for aggravated murder as well as several </w:t>
      </w:r>
      <w:r>
        <w:t>offenses</w:t>
      </w:r>
      <w:r w:rsidRPr="00B47660">
        <w:t xml:space="preserve"> not involving an intentional killing, including arson, kidnapping with aggravating circumstances, intentionally causing a flood or attempting to cause a flood, damaging or sabotaging public structures, incest, rape, robbery, and armed robbery.</w:t>
      </w:r>
      <w:r w:rsidRPr="00B47660">
        <w:rPr>
          <w:vertAlign w:val="superscript"/>
        </w:rPr>
        <w:footnoteReference w:id="13"/>
      </w:r>
    </w:p>
    <w:p w14:paraId="723822C5" w14:textId="4DC1B8E4" w:rsidR="001B5219" w:rsidRPr="00B47660" w:rsidRDefault="00442EBE" w:rsidP="001B5219">
      <w:pPr>
        <w:pStyle w:val="Paragraph"/>
        <w:numPr>
          <w:ilvl w:val="0"/>
          <w:numId w:val="32"/>
        </w:numPr>
      </w:pPr>
      <w:r>
        <w:t>Iraq’s</w:t>
      </w:r>
      <w:r w:rsidR="001B5219" w:rsidRPr="00B47660">
        <w:t xml:space="preserve"> Anti-Terrorism Law authorizes the death penalty for a variety of vaguely defined terrorist offenses targeting the population, infrastructure, or state security.</w:t>
      </w:r>
      <w:r w:rsidR="001B5219" w:rsidRPr="00B47660">
        <w:rPr>
          <w:vertAlign w:val="superscript"/>
        </w:rPr>
        <w:footnoteReference w:id="14"/>
      </w:r>
      <w:r w:rsidR="001B5219" w:rsidRPr="00B47660">
        <w:t xml:space="preserve"> Terrorism-related offenses not directly resulting in death, such as aiding, abetting, or financing terrorist offenses, can also lead to the death penalty.</w:t>
      </w:r>
      <w:r w:rsidR="001B5219" w:rsidRPr="00B47660">
        <w:rPr>
          <w:vertAlign w:val="superscript"/>
        </w:rPr>
        <w:footnoteReference w:id="15"/>
      </w:r>
      <w:r w:rsidR="001B5219" w:rsidRPr="00B47660">
        <w:t xml:space="preserve"> The Anti-Terrorism Law defines terrorism as any criminal act causing damage to public or private property with the aim to disturb the peace or stability.</w:t>
      </w:r>
      <w:r w:rsidR="001B5219" w:rsidRPr="00B47660">
        <w:rPr>
          <w:rStyle w:val="FootnoteReference"/>
        </w:rPr>
        <w:footnoteReference w:id="16"/>
      </w:r>
    </w:p>
    <w:p w14:paraId="513663F6" w14:textId="09D88793" w:rsidR="004C58AF" w:rsidRDefault="000625ED" w:rsidP="00B47660">
      <w:pPr>
        <w:pStyle w:val="Paragraph"/>
        <w:numPr>
          <w:ilvl w:val="0"/>
          <w:numId w:val="32"/>
        </w:numPr>
      </w:pPr>
      <w:r>
        <w:t>I</w:t>
      </w:r>
      <w:r w:rsidR="004C58AF" w:rsidRPr="00B47660">
        <w:t xml:space="preserve">n September 2024, </w:t>
      </w:r>
      <w:r w:rsidR="001B5219">
        <w:t xml:space="preserve">authorities </w:t>
      </w:r>
      <w:r w:rsidR="001B5219" w:rsidRPr="00B47660">
        <w:t>in Nasiriyah</w:t>
      </w:r>
      <w:r w:rsidR="001B5219">
        <w:t xml:space="preserve"> executed </w:t>
      </w:r>
      <w:r w:rsidR="004C58AF" w:rsidRPr="00B47660">
        <w:t xml:space="preserve">21 people, including one </w:t>
      </w:r>
      <w:r w:rsidR="00D247D1" w:rsidRPr="00B47660">
        <w:t xml:space="preserve">woman, </w:t>
      </w:r>
      <w:r w:rsidR="004C58AF" w:rsidRPr="00B47660">
        <w:t xml:space="preserve">on terrorism-related charges, marking the largest mass execution </w:t>
      </w:r>
      <w:r w:rsidR="001B5219">
        <w:t>of the</w:t>
      </w:r>
      <w:r w:rsidR="001B5219" w:rsidRPr="00B47660">
        <w:t xml:space="preserve"> </w:t>
      </w:r>
      <w:r w:rsidR="004C58AF" w:rsidRPr="00B47660">
        <w:t>year.</w:t>
      </w:r>
      <w:r w:rsidR="004C58AF" w:rsidRPr="00B47660">
        <w:rPr>
          <w:rStyle w:val="FootnoteReference"/>
        </w:rPr>
        <w:footnoteReference w:id="17"/>
      </w:r>
      <w:r w:rsidR="004C58AF" w:rsidRPr="00B47660">
        <w:rPr>
          <w:rStyle w:val="TitlePageSubheadingChar"/>
        </w:rPr>
        <w:t xml:space="preserve"> </w:t>
      </w:r>
      <w:r w:rsidR="001B5219">
        <w:rPr>
          <w:rStyle w:val="TitlePageSubheadingChar"/>
        </w:rPr>
        <w:t xml:space="preserve">Authorities accused </w:t>
      </w:r>
      <w:r w:rsidR="001B5219">
        <w:t>t</w:t>
      </w:r>
      <w:r w:rsidR="004C58AF" w:rsidRPr="00B47660">
        <w:t xml:space="preserve">he woman of being </w:t>
      </w:r>
      <w:r w:rsidR="0027706A">
        <w:t>part of the Islamic State</w:t>
      </w:r>
      <w:r w:rsidR="00923C35">
        <w:t xml:space="preserve"> (also known as Daesh or ISIS)</w:t>
      </w:r>
      <w:r w:rsidR="0027706A">
        <w:t xml:space="preserve"> organization, and of being </w:t>
      </w:r>
      <w:r w:rsidR="004C58AF" w:rsidRPr="00B47660">
        <w:t xml:space="preserve">part of a group </w:t>
      </w:r>
      <w:r w:rsidR="0027706A">
        <w:t xml:space="preserve">of people </w:t>
      </w:r>
      <w:r w:rsidR="004C58AF" w:rsidRPr="00B47660">
        <w:t xml:space="preserve">who killed a person during </w:t>
      </w:r>
      <w:r w:rsidR="001B5219">
        <w:t>a</w:t>
      </w:r>
      <w:r w:rsidR="0027706A">
        <w:t>n</w:t>
      </w:r>
      <w:r w:rsidR="001B5219">
        <w:t xml:space="preserve"> </w:t>
      </w:r>
      <w:r w:rsidR="004C58AF" w:rsidRPr="00B47660">
        <w:t>anti-</w:t>
      </w:r>
      <w:r w:rsidR="004C58AF" w:rsidRPr="00B47660">
        <w:lastRenderedPageBreak/>
        <w:t xml:space="preserve">government </w:t>
      </w:r>
      <w:r w:rsidR="001B5219">
        <w:t>demonstration</w:t>
      </w:r>
      <w:r w:rsidR="0027706A">
        <w:t xml:space="preserve"> in 2019</w:t>
      </w:r>
      <w:r w:rsidR="004C58AF" w:rsidRPr="00B47660">
        <w:t>.</w:t>
      </w:r>
      <w:r w:rsidR="002D7005">
        <w:t xml:space="preserve"> The coauthors have received information suggesting that the case arose not out of terrorism but as a government response to the events of the October 2019 Uprising.</w:t>
      </w:r>
      <w:r w:rsidR="002D7005">
        <w:rPr>
          <w:rStyle w:val="FootnoteReference"/>
        </w:rPr>
        <w:footnoteReference w:id="18"/>
      </w:r>
      <w:r w:rsidR="0027706A">
        <w:t xml:space="preserve"> </w:t>
      </w:r>
      <w:r w:rsidR="004C58AF" w:rsidRPr="00B47660">
        <w:t>In April</w:t>
      </w:r>
      <w:r w:rsidR="001B5219">
        <w:t xml:space="preserve"> 2024</w:t>
      </w:r>
      <w:r w:rsidR="004C58AF" w:rsidRPr="00B47660">
        <w:t xml:space="preserve">, </w:t>
      </w:r>
      <w:r w:rsidR="001B5219">
        <w:t xml:space="preserve">authorities in Nasiriyah executed </w:t>
      </w:r>
      <w:r w:rsidR="004C58AF" w:rsidRPr="00B47660">
        <w:t>13 men on similarly broad and vague terrorism-related charges.</w:t>
      </w:r>
      <w:r w:rsidR="004C58AF" w:rsidRPr="00B47660">
        <w:rPr>
          <w:rStyle w:val="FootnoteReference"/>
        </w:rPr>
        <w:footnoteReference w:id="19"/>
      </w:r>
    </w:p>
    <w:p w14:paraId="0A4772B5" w14:textId="656ABFEC" w:rsidR="00EF17AD" w:rsidRDefault="00EF17AD" w:rsidP="00B47660">
      <w:pPr>
        <w:pStyle w:val="Paragraph"/>
        <w:numPr>
          <w:ilvl w:val="0"/>
          <w:numId w:val="32"/>
        </w:numPr>
      </w:pPr>
      <w:r>
        <w:t>Iraqi authorities have a track record of charging people with terrorism for their affiliation with the Islamic State rather than for specific criminal acts, and courts sentence many of these people to death.</w:t>
      </w:r>
      <w:r>
        <w:rPr>
          <w:rStyle w:val="FootnoteReference"/>
        </w:rPr>
        <w:footnoteReference w:id="20"/>
      </w:r>
      <w:r>
        <w:t xml:space="preserve"> According to Human Rights Watch, “[g]</w:t>
      </w:r>
      <w:proofErr w:type="spellStart"/>
      <w:r w:rsidRPr="00EF17AD">
        <w:t>enerally</w:t>
      </w:r>
      <w:proofErr w:type="spellEnd"/>
      <w:r w:rsidRPr="00EF17AD">
        <w:t>, the judiciary is sometimes failing to make a distinction between someone who was forced to cook for Islamic State fighters versus someone who was affiliated in a high-ranking, decision-making role who has committed grave violations</w:t>
      </w:r>
      <w:r>
        <w:t>.”</w:t>
      </w:r>
      <w:r>
        <w:rPr>
          <w:rStyle w:val="FootnoteReference"/>
        </w:rPr>
        <w:footnoteReference w:id="21"/>
      </w:r>
      <w:r>
        <w:t xml:space="preserve"> Experts observe that in the context of Islamic State affiliations, “there exists variance in agency and complicity along gendered lines,” but Iraqi courts often fail to recognize such distinctions when sentencing women for terrorism-related offenses.</w:t>
      </w:r>
      <w:r>
        <w:rPr>
          <w:rStyle w:val="FootnoteReference"/>
        </w:rPr>
        <w:footnoteReference w:id="22"/>
      </w:r>
    </w:p>
    <w:p w14:paraId="489897E8" w14:textId="394E612F" w:rsidR="00185358" w:rsidRDefault="00185358" w:rsidP="00925421">
      <w:pPr>
        <w:numPr>
          <w:ilvl w:val="0"/>
          <w:numId w:val="32"/>
        </w:numPr>
        <w:autoSpaceDE w:val="0"/>
        <w:autoSpaceDN w:val="0"/>
        <w:adjustRightInd w:val="0"/>
        <w:spacing w:after="120"/>
        <w:jc w:val="both"/>
      </w:pPr>
      <w:r>
        <w:t xml:space="preserve">Women in Iraq are </w:t>
      </w:r>
      <w:r w:rsidR="00701EAA">
        <w:t xml:space="preserve">also </w:t>
      </w:r>
      <w:r>
        <w:t xml:space="preserve">sentenced to death for </w:t>
      </w:r>
      <w:r w:rsidRPr="006E7D76">
        <w:t>drug trafficking</w:t>
      </w:r>
      <w:r>
        <w:t>.</w:t>
      </w:r>
      <w:r w:rsidRPr="006E7D76">
        <w:t xml:space="preserve"> </w:t>
      </w:r>
      <w:r>
        <w:t>F</w:t>
      </w:r>
      <w:r w:rsidRPr="006E7D76">
        <w:t xml:space="preserve">or example, according to the Iraqi News Agency, </w:t>
      </w:r>
      <w:r>
        <w:t xml:space="preserve">on May 22, 2024, Basra Criminal Court sentenced </w:t>
      </w:r>
      <w:r w:rsidRPr="006E7D76">
        <w:t xml:space="preserve">a woman </w:t>
      </w:r>
      <w:r>
        <w:t>and three men to death for alleged drug trafficking.</w:t>
      </w:r>
      <w:r w:rsidR="00612815" w:rsidRPr="006E7D76">
        <w:rPr>
          <w:rStyle w:val="FootnoteReference"/>
        </w:rPr>
        <w:footnoteReference w:id="23"/>
      </w:r>
      <w:r w:rsidR="00612815">
        <w:t xml:space="preserve"> T</w:t>
      </w:r>
      <w:r w:rsidR="00612815" w:rsidRPr="0072469A">
        <w:t>he Cornell Center found that “[g]ender dynamics and female disempowerment are salient factors associated with women’s involvement in drug smuggling. Many women engage in drug smuggling to counteract their marginalization and improve their socioeconomic status.”</w:t>
      </w:r>
      <w:r w:rsidR="00612815" w:rsidRPr="0072469A">
        <w:rPr>
          <w:vertAlign w:val="superscript"/>
        </w:rPr>
        <w:footnoteReference w:id="24"/>
      </w:r>
      <w:r w:rsidR="00612815" w:rsidRPr="0072469A">
        <w:t xml:space="preserve"> </w:t>
      </w:r>
      <w:r w:rsidR="00612815">
        <w:t>T</w:t>
      </w:r>
      <w:r w:rsidR="00612815" w:rsidRPr="0072469A">
        <w:t xml:space="preserve">he study </w:t>
      </w:r>
      <w:r w:rsidR="00612815">
        <w:t>observed that</w:t>
      </w:r>
      <w:r w:rsidR="00612815" w:rsidRPr="0072469A">
        <w:t xml:space="preserve"> “most drug offenses involving women are small-scale offenses committed by women from economically deprived backgrounds.”</w:t>
      </w:r>
      <w:r w:rsidR="00612815" w:rsidRPr="0072469A">
        <w:rPr>
          <w:vertAlign w:val="superscript"/>
        </w:rPr>
        <w:footnoteReference w:id="25"/>
      </w:r>
      <w:r w:rsidR="00612815" w:rsidRPr="0072469A">
        <w:t xml:space="preserve"> </w:t>
      </w:r>
    </w:p>
    <w:p w14:paraId="37B5655F" w14:textId="2C85B961" w:rsidR="002D7005" w:rsidRDefault="002D7005" w:rsidP="00925421">
      <w:pPr>
        <w:numPr>
          <w:ilvl w:val="0"/>
          <w:numId w:val="32"/>
        </w:numPr>
        <w:autoSpaceDE w:val="0"/>
        <w:autoSpaceDN w:val="0"/>
        <w:adjustRightInd w:val="0"/>
        <w:spacing w:after="120"/>
        <w:jc w:val="both"/>
      </w:pPr>
      <w:r>
        <w:t>In the Kurdistan Region, the Supreme Council for Women recently announced support for executions in the region, particularly for people convicted of crimes that are “unacceptable to conscience and humanity.” The Supreme Council is an arm of the regional government and does not speak on behalf of civil society.</w:t>
      </w:r>
      <w:r>
        <w:rPr>
          <w:rStyle w:val="FootnoteReference"/>
        </w:rPr>
        <w:footnoteReference w:id="26"/>
      </w:r>
    </w:p>
    <w:p w14:paraId="33741C50" w14:textId="16B9402A" w:rsidR="00C24DF7" w:rsidRDefault="00C24DF7" w:rsidP="00925421">
      <w:pPr>
        <w:numPr>
          <w:ilvl w:val="0"/>
          <w:numId w:val="32"/>
        </w:numPr>
        <w:autoSpaceDE w:val="0"/>
        <w:autoSpaceDN w:val="0"/>
        <w:adjustRightInd w:val="0"/>
        <w:spacing w:after="120"/>
        <w:jc w:val="both"/>
      </w:pPr>
      <w:r w:rsidRPr="00A27082">
        <w:lastRenderedPageBreak/>
        <w:t xml:space="preserve">The absence of data disaggregated by gender and crime committed hinders a detailed analysis of </w:t>
      </w:r>
      <w:r>
        <w:t>gender bias at work in capital punishment in Iraq as well as</w:t>
      </w:r>
      <w:r w:rsidR="002E7C90">
        <w:t xml:space="preserve"> any protections for </w:t>
      </w:r>
      <w:r>
        <w:t xml:space="preserve">women </w:t>
      </w:r>
      <w:r w:rsidR="002E7C90">
        <w:t xml:space="preserve">in conflict with the law and at risk of </w:t>
      </w:r>
      <w:r>
        <w:t>the death penalty.</w:t>
      </w:r>
    </w:p>
    <w:p w14:paraId="55858BBF" w14:textId="1A05A272" w:rsidR="00E45087" w:rsidRPr="00B47660" w:rsidRDefault="00BA0695" w:rsidP="00925421">
      <w:pPr>
        <w:pStyle w:val="SectionHeading"/>
        <w:keepNext/>
        <w:jc w:val="left"/>
        <w:rPr>
          <w:rFonts w:cs="Times New Roman"/>
          <w:szCs w:val="24"/>
        </w:rPr>
      </w:pPr>
      <w:r w:rsidRPr="00B47660">
        <w:rPr>
          <w:rFonts w:eastAsia="Times New Roman" w:cs="Times New Roman"/>
          <w:szCs w:val="24"/>
        </w:rPr>
        <w:t>Iraq</w:t>
      </w:r>
      <w:r w:rsidR="008321DA" w:rsidRPr="00B47660">
        <w:rPr>
          <w:rFonts w:eastAsia="Times New Roman" w:cs="Times New Roman"/>
          <w:szCs w:val="24"/>
        </w:rPr>
        <w:t>’</w:t>
      </w:r>
      <w:r w:rsidRPr="00B47660">
        <w:rPr>
          <w:rFonts w:eastAsia="Times New Roman" w:cs="Times New Roman"/>
          <w:szCs w:val="24"/>
        </w:rPr>
        <w:t>s failure to</w:t>
      </w:r>
      <w:r w:rsidRPr="00B47660">
        <w:rPr>
          <w:rFonts w:cs="Times New Roman"/>
          <w:szCs w:val="24"/>
        </w:rPr>
        <w:t xml:space="preserve"> address gender-based violence and improve women</w:t>
      </w:r>
      <w:r w:rsidR="008321DA" w:rsidRPr="00B47660">
        <w:rPr>
          <w:rFonts w:cs="Times New Roman"/>
          <w:szCs w:val="24"/>
        </w:rPr>
        <w:t>’</w:t>
      </w:r>
      <w:r w:rsidRPr="00B47660">
        <w:rPr>
          <w:rFonts w:cs="Times New Roman"/>
          <w:szCs w:val="24"/>
        </w:rPr>
        <w:t>s access to justice for gender-based violence puts women at risk of committing death-eligible offenses</w:t>
      </w:r>
      <w:r w:rsidR="007F02EA" w:rsidRPr="00B47660">
        <w:rPr>
          <w:rFonts w:cs="Times New Roman"/>
          <w:szCs w:val="24"/>
        </w:rPr>
        <w:t xml:space="preserve"> (</w:t>
      </w:r>
      <w:r w:rsidR="007F02EA" w:rsidRPr="00B47660">
        <w:rPr>
          <w:rFonts w:cs="Times New Roman"/>
          <w:bCs/>
          <w:szCs w:val="24"/>
        </w:rPr>
        <w:t>Concluding Observations Paragraphs 19</w:t>
      </w:r>
      <w:r w:rsidR="00B2483F">
        <w:rPr>
          <w:rFonts w:cs="Times New Roman"/>
          <w:bCs/>
          <w:szCs w:val="24"/>
        </w:rPr>
        <w:t>-</w:t>
      </w:r>
      <w:r w:rsidR="007F02EA" w:rsidRPr="00B47660">
        <w:rPr>
          <w:rFonts w:cs="Times New Roman"/>
          <w:bCs/>
          <w:szCs w:val="24"/>
        </w:rPr>
        <w:t>2</w:t>
      </w:r>
      <w:r w:rsidR="00B2483F">
        <w:rPr>
          <w:rFonts w:cs="Times New Roman"/>
          <w:bCs/>
          <w:szCs w:val="24"/>
        </w:rPr>
        <w:t>2</w:t>
      </w:r>
      <w:r w:rsidR="007F02EA" w:rsidRPr="00B47660">
        <w:rPr>
          <w:rFonts w:cs="Times New Roman"/>
          <w:bCs/>
          <w:szCs w:val="24"/>
        </w:rPr>
        <w:t>)</w:t>
      </w:r>
      <w:r w:rsidR="00F33581">
        <w:rPr>
          <w:rFonts w:cs="Times New Roman"/>
          <w:bCs/>
          <w:szCs w:val="24"/>
        </w:rPr>
        <w:t>.</w:t>
      </w:r>
    </w:p>
    <w:p w14:paraId="5AFCCFD8" w14:textId="47FC72C1" w:rsidR="00144B74" w:rsidRPr="00B47660" w:rsidRDefault="00BE142D" w:rsidP="00925421">
      <w:pPr>
        <w:pStyle w:val="Paragraph"/>
        <w:numPr>
          <w:ilvl w:val="0"/>
          <w:numId w:val="32"/>
        </w:numPr>
      </w:pPr>
      <w:r w:rsidRPr="00B47660">
        <w:t>In its 2019 Concluding Observations, the Committee expressed deep concern about Iraq</w:t>
      </w:r>
      <w:r w:rsidR="008321DA" w:rsidRPr="00B47660">
        <w:t>’</w:t>
      </w:r>
      <w:r w:rsidRPr="00B47660">
        <w:t>s failure to address widespread gender-based violence. The Committe</w:t>
      </w:r>
      <w:r w:rsidR="00BC4F60" w:rsidRPr="00B47660">
        <w:t>e</w:t>
      </w:r>
      <w:r w:rsidRPr="00B47660">
        <w:t xml:space="preserve"> noted that Iraq adopted a national strategy on violence against women and girls (2018–2030), which seeks to (</w:t>
      </w:r>
      <w:proofErr w:type="spellStart"/>
      <w:r w:rsidRPr="00B47660">
        <w:t>i</w:t>
      </w:r>
      <w:proofErr w:type="spellEnd"/>
      <w:r w:rsidRPr="00B47660">
        <w:t>)</w:t>
      </w:r>
      <w:r w:rsidR="00402645">
        <w:t xml:space="preserve"> </w:t>
      </w:r>
      <w:r w:rsidRPr="00B47660">
        <w:t>provide a legal, legislative and executive framework to protect the human rights of women in Iraq, (ii) provide</w:t>
      </w:r>
      <w:r w:rsidR="00402645">
        <w:t xml:space="preserve"> </w:t>
      </w:r>
      <w:r w:rsidRPr="00B47660">
        <w:t xml:space="preserve">a framework for comprehensive capacity-building program with focus on women and girls, (iii) highlight the basic rights including education, health, training, and housing of women and their empowerment and (iv) promote culture which renounces gender-based violence and discrimination against women by providing a </w:t>
      </w:r>
      <w:r w:rsidR="008321DA" w:rsidRPr="00B47660">
        <w:t>“‘</w:t>
      </w:r>
      <w:r w:rsidRPr="00B47660">
        <w:t>work plan or manual</w:t>
      </w:r>
      <w:r w:rsidR="008321DA" w:rsidRPr="00B47660">
        <w:t>’</w:t>
      </w:r>
      <w:r w:rsidRPr="00B47660">
        <w:t xml:space="preserve"> for governmental and civil society institutions to protect women and ensure their rights as equal important members of the society.</w:t>
      </w:r>
      <w:r w:rsidR="008321DA" w:rsidRPr="00B47660">
        <w:t>”</w:t>
      </w:r>
      <w:r w:rsidRPr="00B47660">
        <w:rPr>
          <w:vertAlign w:val="superscript"/>
        </w:rPr>
        <w:footnoteReference w:id="27"/>
      </w:r>
      <w:r w:rsidRPr="00B47660">
        <w:t xml:space="preserve"> The Committee noted concern, however, about </w:t>
      </w:r>
      <w:r w:rsidR="006061CA" w:rsidRPr="00B47660">
        <w:t xml:space="preserve">how </w:t>
      </w:r>
      <w:r w:rsidR="008321DA" w:rsidRPr="00B47660">
        <w:t>“</w:t>
      </w:r>
      <w:r w:rsidRPr="00B47660">
        <w:t>a number of factors continue to contribute to the underreporting of cases of gender-based violence against women, such as cultural barriers and the impunity of perpetrators, as well as the scarcity of human, technical and financial resources available to police family protection units.</w:t>
      </w:r>
      <w:r w:rsidR="008321DA" w:rsidRPr="00B47660">
        <w:t>”</w:t>
      </w:r>
      <w:r w:rsidRPr="00B47660">
        <w:rPr>
          <w:vertAlign w:val="superscript"/>
        </w:rPr>
        <w:footnoteReference w:id="28"/>
      </w:r>
    </w:p>
    <w:p w14:paraId="2BE2725A" w14:textId="77777777" w:rsidR="00144B74" w:rsidRPr="00B47660" w:rsidRDefault="00AB309F" w:rsidP="00925421">
      <w:pPr>
        <w:pStyle w:val="Paragraph"/>
        <w:numPr>
          <w:ilvl w:val="0"/>
          <w:numId w:val="32"/>
        </w:numPr>
      </w:pPr>
      <w:r w:rsidRPr="00B47660">
        <w:t>The Committee expressed further concern that, despite its first draft being completed in 2011 and submitted to the Council of Representatives of Iraq for approval on three occasions since 2015, the act on protection against domestic violence has not yet been adopted, owing to objections raised by the parliamentary committee on religious endowments.</w:t>
      </w:r>
      <w:r w:rsidRPr="00B47660">
        <w:rPr>
          <w:vertAlign w:val="superscript"/>
        </w:rPr>
        <w:footnoteReference w:id="29"/>
      </w:r>
    </w:p>
    <w:p w14:paraId="33F1D165" w14:textId="525D197F" w:rsidR="00144B74" w:rsidRPr="00925421" w:rsidRDefault="00BE142D" w:rsidP="00B47660">
      <w:pPr>
        <w:pStyle w:val="Paragraph"/>
        <w:numPr>
          <w:ilvl w:val="0"/>
          <w:numId w:val="32"/>
        </w:numPr>
      </w:pPr>
      <w:r w:rsidRPr="00B47660">
        <w:t>The Committee also expressed concern about the Discriminatory provisions in the Penal Code that allow</w:t>
      </w:r>
      <w:r w:rsidR="00D247D1" w:rsidRPr="00B47660">
        <w:t xml:space="preserve"> </w:t>
      </w:r>
      <w:r w:rsidRPr="00B47660">
        <w:t>perpetrators to invoke the defense of honor as a mitigating circumstance for homicide.</w:t>
      </w:r>
      <w:r w:rsidRPr="00B47660">
        <w:rPr>
          <w:vertAlign w:val="superscript"/>
        </w:rPr>
        <w:footnoteReference w:id="30"/>
      </w:r>
      <w:r w:rsidRPr="00B47660">
        <w:rPr>
          <w:vertAlign w:val="superscript"/>
        </w:rPr>
        <w:t xml:space="preserve"> </w:t>
      </w:r>
    </w:p>
    <w:p w14:paraId="085CBCA1" w14:textId="45E17422" w:rsidR="00E110CB" w:rsidRPr="00B47660" w:rsidRDefault="00E110CB" w:rsidP="00925421">
      <w:pPr>
        <w:pStyle w:val="Paragraph"/>
        <w:numPr>
          <w:ilvl w:val="0"/>
          <w:numId w:val="32"/>
        </w:numPr>
      </w:pPr>
      <w:r>
        <w:t>The Committee recommended that Iraq</w:t>
      </w:r>
      <w:r w:rsidR="00B42FCC">
        <w:t xml:space="preserve"> “[t]</w:t>
      </w:r>
      <w:proofErr w:type="spellStart"/>
      <w:r w:rsidR="00B42FCC">
        <w:t>ake</w:t>
      </w:r>
      <w:proofErr w:type="spellEnd"/>
      <w:r w:rsidR="00B42FCC">
        <w:t xml:space="preserve"> measures to accelerate the adoption of the draft act on protection against domestic violence,” “provide systematic training on the draft act . . . to all police officers working in family protection units,” and </w:t>
      </w:r>
      <w:r w:rsidR="00336306">
        <w:t>“[e]</w:t>
      </w:r>
      <w:proofErr w:type="spellStart"/>
      <w:r w:rsidR="00336306">
        <w:t>nsure</w:t>
      </w:r>
      <w:proofErr w:type="spellEnd"/>
      <w:r w:rsidR="00336306">
        <w:t xml:space="preserve"> the availability of shelters for women who are victims of violence throughout its territory.”</w:t>
      </w:r>
      <w:r w:rsidR="00336306" w:rsidRPr="00B47660">
        <w:rPr>
          <w:vertAlign w:val="superscript"/>
        </w:rPr>
        <w:footnoteReference w:id="31"/>
      </w:r>
      <w:r w:rsidR="00B2483F">
        <w:t xml:space="preserve"> The Committee further recommended that Iraq </w:t>
      </w:r>
      <w:r w:rsidR="002A0038">
        <w:t>“[a]</w:t>
      </w:r>
      <w:proofErr w:type="spellStart"/>
      <w:r w:rsidR="002A0038">
        <w:t>dopt</w:t>
      </w:r>
      <w:proofErr w:type="spellEnd"/>
      <w:r w:rsidR="002A0038">
        <w:t xml:space="preserve"> a comprehensive strategy to </w:t>
      </w:r>
      <w:r w:rsidR="002A0038">
        <w:lastRenderedPageBreak/>
        <w:t>eliminate discriminatory stereotypes and all harmful practices, such as . . . crimes committed in the name of ‘</w:t>
      </w:r>
      <w:proofErr w:type="spellStart"/>
      <w:r w:rsidR="002A0038">
        <w:t>honour</w:t>
      </w:r>
      <w:proofErr w:type="spellEnd"/>
      <w:r w:rsidR="00956D8F">
        <w:t>,’”</w:t>
      </w:r>
      <w:r w:rsidR="0070625C">
        <w:t xml:space="preserve"> and repeal provisions in the Penal Code  “to ensure that perpetrators of crimes committed in the name of ‘</w:t>
      </w:r>
      <w:proofErr w:type="spellStart"/>
      <w:r w:rsidR="0070625C">
        <w:t>honour</w:t>
      </w:r>
      <w:proofErr w:type="spellEnd"/>
      <w:r w:rsidR="0070625C">
        <w:t xml:space="preserve">’ cannot invoke the </w:t>
      </w:r>
      <w:proofErr w:type="spellStart"/>
      <w:r w:rsidR="0070625C">
        <w:t>defence</w:t>
      </w:r>
      <w:proofErr w:type="spellEnd"/>
      <w:r w:rsidR="0070625C">
        <w:t xml:space="preserve"> of </w:t>
      </w:r>
      <w:proofErr w:type="spellStart"/>
      <w:r w:rsidR="0070625C">
        <w:t>honour</w:t>
      </w:r>
      <w:proofErr w:type="spellEnd"/>
      <w:r w:rsidR="0070625C">
        <w:t xml:space="preserve"> as a mitigating circumstance for homicide.”</w:t>
      </w:r>
      <w:r w:rsidR="00956D8F" w:rsidRPr="00B47660">
        <w:rPr>
          <w:vertAlign w:val="superscript"/>
        </w:rPr>
        <w:footnoteReference w:id="32"/>
      </w:r>
    </w:p>
    <w:p w14:paraId="53FC1265" w14:textId="600F2C13" w:rsidR="00490861" w:rsidRDefault="00DC34F9" w:rsidP="00B47660">
      <w:pPr>
        <w:pStyle w:val="Paragraph"/>
        <w:numPr>
          <w:ilvl w:val="0"/>
          <w:numId w:val="32"/>
        </w:numPr>
      </w:pPr>
      <w:r>
        <w:t xml:space="preserve">In the context of gender-based violence committed by members of the Islamic State, </w:t>
      </w:r>
      <w:r w:rsidR="00A57623">
        <w:t xml:space="preserve">Iraq’s Eighth Periodic </w:t>
      </w:r>
      <w:r>
        <w:t xml:space="preserve">Report mentions that the “Ministry of Health has opened gender-based violence </w:t>
      </w:r>
      <w:proofErr w:type="spellStart"/>
      <w:r>
        <w:t>centres</w:t>
      </w:r>
      <w:proofErr w:type="spellEnd"/>
      <w:r>
        <w:t xml:space="preserve"> to provide assistance to victims of violence in conflict settings,” but does not mention whether such centers are available to the general population.</w:t>
      </w:r>
      <w:r>
        <w:rPr>
          <w:rStyle w:val="FootnoteReference"/>
        </w:rPr>
        <w:footnoteReference w:id="33"/>
      </w:r>
      <w:r>
        <w:t xml:space="preserve"> The State Party Report describes various hotlines for victims of gender-based violence and notes that in 2023, authorities had arrested 9,200 “perpetrators . . . in connection with domestic violence cases,” but it does not provide any information about convictions or penalties for acts of domestic violence.</w:t>
      </w:r>
      <w:r>
        <w:rPr>
          <w:rStyle w:val="FootnoteReference"/>
        </w:rPr>
        <w:footnoteReference w:id="34"/>
      </w:r>
    </w:p>
    <w:p w14:paraId="1286A69B" w14:textId="1DFDAF95" w:rsidR="00061448" w:rsidRDefault="00DB35D6" w:rsidP="00B47660">
      <w:pPr>
        <w:pStyle w:val="Paragraph"/>
        <w:numPr>
          <w:ilvl w:val="0"/>
          <w:numId w:val="32"/>
        </w:numPr>
      </w:pPr>
      <w:r>
        <w:t>The Eighth Periodic Report defends the provision</w:t>
      </w:r>
      <w:r w:rsidR="00D1557A">
        <w:t>s</w:t>
      </w:r>
      <w:r>
        <w:t xml:space="preserve"> in the Penal Code allowing mitigation for </w:t>
      </w:r>
      <w:r w:rsidR="006D1866">
        <w:t>crimes committed in the name of “</w:t>
      </w:r>
      <w:proofErr w:type="spellStart"/>
      <w:r w:rsidR="006D1866">
        <w:t>honour</w:t>
      </w:r>
      <w:proofErr w:type="spellEnd"/>
      <w:r w:rsidR="006D1866">
        <w:t>,” asserting that such provisions are “not considered discrimination against women qua women</w:t>
      </w:r>
      <w:r w:rsidR="000567DB">
        <w:t>,</w:t>
      </w:r>
      <w:r w:rsidR="006D010E">
        <w:t>”</w:t>
      </w:r>
      <w:r w:rsidR="006D010E">
        <w:rPr>
          <w:rStyle w:val="FootnoteReference"/>
        </w:rPr>
        <w:footnoteReference w:id="35"/>
      </w:r>
      <w:r w:rsidR="000567DB">
        <w:t xml:space="preserve"> while noting that the Kurdistan Region </w:t>
      </w:r>
      <w:r w:rsidR="005016DE">
        <w:t xml:space="preserve">in 2002 adopted a law stating that “invoking </w:t>
      </w:r>
      <w:proofErr w:type="spellStart"/>
      <w:r w:rsidR="005016DE">
        <w:t>honour</w:t>
      </w:r>
      <w:proofErr w:type="spellEnd"/>
      <w:r w:rsidR="005016DE">
        <w:t xml:space="preserve"> is not deemed to be a mitigating circumstance in respect of a crime against a woman</w:t>
      </w:r>
      <w:r w:rsidR="00A74D0B">
        <w:t>.”</w:t>
      </w:r>
      <w:r w:rsidR="00A74D0B">
        <w:rPr>
          <w:rStyle w:val="FootnoteReference"/>
        </w:rPr>
        <w:footnoteReference w:id="36"/>
      </w:r>
    </w:p>
    <w:p w14:paraId="1C788A9F" w14:textId="6477F387" w:rsidR="00041965" w:rsidRDefault="00041965" w:rsidP="00B47660">
      <w:pPr>
        <w:pStyle w:val="Paragraph"/>
        <w:numPr>
          <w:ilvl w:val="0"/>
          <w:numId w:val="32"/>
        </w:numPr>
      </w:pPr>
      <w:bookmarkStart w:id="2" w:name="_Ref184569869"/>
      <w:r w:rsidRPr="00607BFF">
        <w:t>In a 2018 study, the Cornell Center on the Death Penalty Worldwide found that, in the gl</w:t>
      </w:r>
      <w:r>
        <w:t>o</w:t>
      </w:r>
      <w:r w:rsidRPr="00607BFF">
        <w:t>bal context, women are more vulnerable and most likely to be sentenced to death for criminal offenses committed within the context of gender-based violence</w:t>
      </w:r>
      <w:r>
        <w:rPr>
          <w:rStyle w:val="FootnoteReference"/>
        </w:rPr>
        <w:footnoteReference w:id="37"/>
      </w:r>
      <w:r>
        <w:t xml:space="preserve"> </w:t>
      </w:r>
      <w:r w:rsidRPr="00607BFF">
        <w:t>and manipulative or coercive relationships with male co-defendants.</w:t>
      </w:r>
      <w:r>
        <w:rPr>
          <w:rStyle w:val="FootnoteReference"/>
        </w:rPr>
        <w:footnoteReference w:id="38"/>
      </w:r>
      <w:r w:rsidRPr="00607BFF">
        <w:t xml:space="preserve"> Cornell’s data indicate that </w:t>
      </w:r>
      <w:r>
        <w:t>women who are under sentence of death for allegedly committing murder</w:t>
      </w:r>
      <w:r w:rsidRPr="00607BFF">
        <w:t xml:space="preserve"> have overwhelmingly experienced prolonged domestic violence at the hands of a partner, spouse, or another family member.</w:t>
      </w:r>
      <w:r>
        <w:rPr>
          <w:rStyle w:val="FootnoteReference"/>
        </w:rPr>
        <w:footnoteReference w:id="39"/>
      </w:r>
      <w:bookmarkEnd w:id="2"/>
    </w:p>
    <w:p w14:paraId="794B97A2" w14:textId="07ABEE73" w:rsidR="003E79AD" w:rsidRDefault="009B6D71" w:rsidP="00B47660">
      <w:pPr>
        <w:pStyle w:val="Paragraph"/>
        <w:numPr>
          <w:ilvl w:val="0"/>
          <w:numId w:val="32"/>
        </w:numPr>
      </w:pPr>
      <w:r w:rsidRPr="00B47660">
        <w:lastRenderedPageBreak/>
        <w:t>A</w:t>
      </w:r>
      <w:r w:rsidR="009636D1" w:rsidRPr="00B47660">
        <w:t>s of 2023, nearly 1 million women and girls</w:t>
      </w:r>
      <w:r w:rsidR="00141C6A">
        <w:t xml:space="preserve"> in Iraq</w:t>
      </w:r>
      <w:r w:rsidR="009636D1" w:rsidRPr="00B47660">
        <w:t xml:space="preserve"> are at risk of some form of gender-based violence.</w:t>
      </w:r>
      <w:r w:rsidR="009636D1" w:rsidRPr="00B47660">
        <w:rPr>
          <w:vertAlign w:val="superscript"/>
        </w:rPr>
        <w:footnoteReference w:id="40"/>
      </w:r>
      <w:r w:rsidR="009636D1" w:rsidRPr="00B47660">
        <w:rPr>
          <w:vertAlign w:val="superscript"/>
        </w:rPr>
        <w:t xml:space="preserve"> </w:t>
      </w:r>
      <w:r w:rsidR="009636D1" w:rsidRPr="00B47660">
        <w:t>Furthermore, 26</w:t>
      </w:r>
      <w:r w:rsidR="00CC7619" w:rsidRPr="00B47660">
        <w:t>%</w:t>
      </w:r>
      <w:r w:rsidR="00BC4F60" w:rsidRPr="00B47660">
        <w:t xml:space="preserve"> </w:t>
      </w:r>
      <w:r w:rsidR="009636D1" w:rsidRPr="00B47660">
        <w:t>of Iraqi women report having experienced violence at the hands of an intimate partner</w:t>
      </w:r>
      <w:r w:rsidR="00141C6A">
        <w:t>,</w:t>
      </w:r>
      <w:r w:rsidR="009636D1" w:rsidRPr="00B47660">
        <w:t xml:space="preserve"> and Iraqi experts say many cases go unreported.</w:t>
      </w:r>
      <w:r w:rsidR="00BC4F60" w:rsidRPr="00B47660">
        <w:rPr>
          <w:rStyle w:val="FootnoteReference"/>
        </w:rPr>
        <w:footnoteReference w:id="41"/>
      </w:r>
      <w:r w:rsidR="009B19B3">
        <w:t xml:space="preserve"> The </w:t>
      </w:r>
      <w:r w:rsidR="0090260F">
        <w:t xml:space="preserve">cabinet has adopted the </w:t>
      </w:r>
      <w:r w:rsidR="009B19B3">
        <w:t xml:space="preserve">draft law on domestic violence, referenced in the Committee’s 2019 Concluding Observations, </w:t>
      </w:r>
      <w:r w:rsidR="0090260F">
        <w:t xml:space="preserve">but it </w:t>
      </w:r>
      <w:r w:rsidR="009B19B3">
        <w:t>remains a draft law.</w:t>
      </w:r>
      <w:r w:rsidR="003152A3">
        <w:rPr>
          <w:rStyle w:val="FootnoteReference"/>
        </w:rPr>
        <w:footnoteReference w:id="42"/>
      </w:r>
    </w:p>
    <w:p w14:paraId="29EDC3C2" w14:textId="3D5DEBA3" w:rsidR="002D7005" w:rsidRDefault="002D7005" w:rsidP="00B47660">
      <w:pPr>
        <w:pStyle w:val="Paragraph"/>
        <w:numPr>
          <w:ilvl w:val="0"/>
          <w:numId w:val="32"/>
        </w:numPr>
      </w:pPr>
      <w:r>
        <w:t>The coauthors have information about the case of K.S., a woman sentenced to death for killing her husband who currently resides in Sulaymaniyah Prison. She reports that her husband had been pressuring her to engage in sex work to support the family. Her case “is full of legal loopholes” but she remains on death row.</w:t>
      </w:r>
      <w:r>
        <w:rPr>
          <w:rStyle w:val="FootnoteReference"/>
        </w:rPr>
        <w:footnoteReference w:id="43"/>
      </w:r>
    </w:p>
    <w:p w14:paraId="1A129640" w14:textId="77777777" w:rsidR="00276FD7" w:rsidRPr="00B47660" w:rsidRDefault="00276FD7" w:rsidP="00276FD7">
      <w:pPr>
        <w:pStyle w:val="Paragraph"/>
        <w:numPr>
          <w:ilvl w:val="0"/>
          <w:numId w:val="32"/>
        </w:numPr>
      </w:pPr>
      <w:r w:rsidRPr="00B47660">
        <w:t xml:space="preserve">Iraq lacks comprehensive legislation to protect </w:t>
      </w:r>
      <w:r>
        <w:t xml:space="preserve">women </w:t>
      </w:r>
      <w:r w:rsidRPr="00B47660">
        <w:t xml:space="preserve">and punish </w:t>
      </w:r>
      <w:r>
        <w:t xml:space="preserve">perpetrators of </w:t>
      </w:r>
      <w:r w:rsidRPr="00B47660">
        <w:t xml:space="preserve">violence against women. </w:t>
      </w:r>
      <w:r>
        <w:t xml:space="preserve">For example, </w:t>
      </w:r>
      <w:r w:rsidRPr="00B47660">
        <w:t>Article 41 of the Penal Code grants men the right to discipline their wives and children.</w:t>
      </w:r>
      <w:r w:rsidRPr="00B47660">
        <w:rPr>
          <w:vertAlign w:val="superscript"/>
        </w:rPr>
        <w:footnoteReference w:id="44"/>
      </w:r>
      <w:r w:rsidRPr="00B47660">
        <w:rPr>
          <w:vertAlign w:val="superscript"/>
        </w:rPr>
        <w:t xml:space="preserve"> </w:t>
      </w:r>
    </w:p>
    <w:p w14:paraId="4D0EE4CB" w14:textId="3AA499A4" w:rsidR="00141C6A" w:rsidRPr="00B47660" w:rsidRDefault="00BE142D" w:rsidP="00141C6A">
      <w:pPr>
        <w:pStyle w:val="Paragraph"/>
        <w:numPr>
          <w:ilvl w:val="0"/>
          <w:numId w:val="32"/>
        </w:numPr>
      </w:pPr>
      <w:r w:rsidRPr="00B47660">
        <w:t>Under the Penal Code, the willful killing of another person is punishable by death.</w:t>
      </w:r>
      <w:r w:rsidRPr="00B47660">
        <w:rPr>
          <w:vertAlign w:val="superscript"/>
        </w:rPr>
        <w:footnoteReference w:id="45"/>
      </w:r>
      <w:r w:rsidRPr="00B47660">
        <w:rPr>
          <w:vertAlign w:val="superscript"/>
        </w:rPr>
        <w:t xml:space="preserve"> </w:t>
      </w:r>
      <w:r w:rsidRPr="00B47660">
        <w:t>The Penal Code authorizes judicial mitigation under certain circumstances when husbands kill their wives,</w:t>
      </w:r>
      <w:r w:rsidRPr="00B47660">
        <w:rPr>
          <w:vertAlign w:val="superscript"/>
        </w:rPr>
        <w:footnoteReference w:id="46"/>
      </w:r>
      <w:r w:rsidRPr="00B47660">
        <w:rPr>
          <w:vertAlign w:val="superscript"/>
        </w:rPr>
        <w:t xml:space="preserve"> </w:t>
      </w:r>
      <w:r w:rsidRPr="00B47660">
        <w:t>but there is no similar provision when wives kill their husbands.</w:t>
      </w:r>
      <w:r w:rsidRPr="00B47660">
        <w:rPr>
          <w:vertAlign w:val="superscript"/>
        </w:rPr>
        <w:footnoteReference w:id="47"/>
      </w:r>
      <w:r w:rsidRPr="00B47660">
        <w:rPr>
          <w:vertAlign w:val="superscript"/>
        </w:rPr>
        <w:t xml:space="preserve"> </w:t>
      </w:r>
      <w:r w:rsidR="002D7005" w:rsidRPr="00630DB3">
        <w:t>Article</w:t>
      </w:r>
      <w:r w:rsidR="002D7005">
        <w:t xml:space="preserve"> 409 of the Penal Code states, “Anyone who surprises his wife or one of his male relatives in the act of adultery or in the same bed with her partner and kills her shall be punished with imprisonment for a period not exceeding three years</w:t>
      </w:r>
      <w:r w:rsidR="00A27053">
        <w:t>.”</w:t>
      </w:r>
      <w:r w:rsidR="00A27053">
        <w:rPr>
          <w:rStyle w:val="FootnoteReference"/>
        </w:rPr>
        <w:footnoteReference w:id="48"/>
      </w:r>
      <w:r w:rsidR="002D7005" w:rsidRPr="00630DB3">
        <w:t xml:space="preserve"> </w:t>
      </w:r>
      <w:r w:rsidR="00141C6A" w:rsidRPr="00B47660">
        <w:t>Several hundred women and girls are killed every year in “honor” crimes, and such crimes are underreported to the authorities.</w:t>
      </w:r>
      <w:r w:rsidR="00141C6A" w:rsidRPr="00B47660">
        <w:rPr>
          <w:vertAlign w:val="superscript"/>
        </w:rPr>
        <w:footnoteReference w:id="49"/>
      </w:r>
      <w:r w:rsidR="00141C6A">
        <w:t xml:space="preserve"> </w:t>
      </w:r>
      <w:r w:rsidR="00141C6A" w:rsidRPr="00B47660">
        <w:t xml:space="preserve">On January 31, 2023, </w:t>
      </w:r>
      <w:r w:rsidR="00141C6A">
        <w:t xml:space="preserve">the father of </w:t>
      </w:r>
      <w:r w:rsidR="00141C6A" w:rsidRPr="00B47660">
        <w:t>21-year-old YouTube star T</w:t>
      </w:r>
      <w:r w:rsidR="00141C6A">
        <w:t>.A.</w:t>
      </w:r>
      <w:r w:rsidR="00141C6A" w:rsidRPr="00B47660">
        <w:t xml:space="preserve"> strangled </w:t>
      </w:r>
      <w:r w:rsidR="00141C6A">
        <w:t xml:space="preserve">her </w:t>
      </w:r>
      <w:r w:rsidR="00141C6A" w:rsidRPr="00B47660">
        <w:t xml:space="preserve">to death. Describing the incident, the Iraqi Interior Ministry explained to a global news broadcaster that “[A]n accident happened to </w:t>
      </w:r>
      <w:r w:rsidR="00141C6A">
        <w:t>[T.A.].</w:t>
      </w:r>
      <w:r w:rsidR="00141C6A" w:rsidRPr="00B47660">
        <w:t xml:space="preserve"> In the perspective of law, it is a criminal accident, and in other perspectives, it is an accident of honor killings,” suggesting that </w:t>
      </w:r>
      <w:r w:rsidR="00141C6A">
        <w:t>T.A.</w:t>
      </w:r>
      <w:r w:rsidR="00141C6A" w:rsidRPr="00B47660">
        <w:t xml:space="preserve">’s father is culpable </w:t>
      </w:r>
      <w:r w:rsidR="00276FD7">
        <w:t>of</w:t>
      </w:r>
      <w:r w:rsidR="00141C6A" w:rsidRPr="00B47660">
        <w:t xml:space="preserve"> a lesser offense than murder.</w:t>
      </w:r>
      <w:r w:rsidR="00141C6A" w:rsidRPr="00B47660">
        <w:rPr>
          <w:vertAlign w:val="superscript"/>
        </w:rPr>
        <w:footnoteReference w:id="50"/>
      </w:r>
      <w:r w:rsidR="00141C6A" w:rsidRPr="00B47660">
        <w:rPr>
          <w:vertAlign w:val="superscript"/>
        </w:rPr>
        <w:t xml:space="preserve"> </w:t>
      </w:r>
    </w:p>
    <w:p w14:paraId="6B62874C" w14:textId="501674EF" w:rsidR="00C00140" w:rsidRPr="00B47660" w:rsidRDefault="002C6490" w:rsidP="00925421">
      <w:pPr>
        <w:pStyle w:val="Paragraph"/>
        <w:numPr>
          <w:ilvl w:val="0"/>
          <w:numId w:val="32"/>
        </w:numPr>
      </w:pPr>
      <w:r w:rsidRPr="00B47660">
        <w:lastRenderedPageBreak/>
        <w:t xml:space="preserve">Additionally, the </w:t>
      </w:r>
      <w:r w:rsidR="00D94E6C" w:rsidRPr="00B47660">
        <w:t>Penal Code does not recognize marital rape, and in fact promotes marriage as a solution for rape</w:t>
      </w:r>
      <w:r w:rsidR="00C83E9D" w:rsidRPr="00B47660">
        <w:t xml:space="preserve"> </w:t>
      </w:r>
      <w:r w:rsidR="00141C6A">
        <w:t xml:space="preserve">by authorizing </w:t>
      </w:r>
      <w:r w:rsidR="00C83E9D" w:rsidRPr="00B47660">
        <w:t xml:space="preserve">authorities to drop charges if the perpetrator marries the </w:t>
      </w:r>
      <w:r w:rsidR="009C67BA" w:rsidRPr="00B47660">
        <w:t>victim. In</w:t>
      </w:r>
      <w:r w:rsidR="00D94E6C" w:rsidRPr="00B47660">
        <w:t xml:space="preserve"> particular, Article 398 </w:t>
      </w:r>
      <w:r w:rsidR="00276FD7">
        <w:t>absolves</w:t>
      </w:r>
      <w:r w:rsidR="00276FD7" w:rsidRPr="00B47660">
        <w:t xml:space="preserve"> </w:t>
      </w:r>
      <w:r w:rsidR="00D94E6C" w:rsidRPr="00B47660">
        <w:t>perpetrators of rape from punishment if they marry their victims.</w:t>
      </w:r>
      <w:bookmarkStart w:id="3" w:name="_Ref184295749"/>
      <w:r w:rsidR="00481787" w:rsidRPr="00B47660">
        <w:rPr>
          <w:vertAlign w:val="superscript"/>
        </w:rPr>
        <w:footnoteReference w:id="51"/>
      </w:r>
      <w:bookmarkEnd w:id="3"/>
      <w:r w:rsidR="00481787" w:rsidRPr="00B47660">
        <w:t xml:space="preserve"> This provision encourages impunity.</w:t>
      </w:r>
      <w:bookmarkStart w:id="4" w:name="_Ref184032531"/>
      <w:r w:rsidR="00481787" w:rsidRPr="00B47660">
        <w:rPr>
          <w:vertAlign w:val="superscript"/>
        </w:rPr>
        <w:footnoteReference w:id="52"/>
      </w:r>
      <w:bookmarkEnd w:id="4"/>
      <w:r w:rsidR="00481787" w:rsidRPr="00B47660">
        <w:rPr>
          <w:vertAlign w:val="superscript"/>
        </w:rPr>
        <w:t xml:space="preserve"> </w:t>
      </w:r>
      <w:r w:rsidR="00481787" w:rsidRPr="00B47660">
        <w:t>It also encourages men to rape women who refuse to marr</w:t>
      </w:r>
      <w:r w:rsidR="00141C6A">
        <w:t>y</w:t>
      </w:r>
      <w:r w:rsidR="00481787" w:rsidRPr="00B47660">
        <w:t xml:space="preserve"> them.</w:t>
      </w:r>
      <w:bookmarkStart w:id="5" w:name="_Ref184032848"/>
      <w:r w:rsidR="00481787" w:rsidRPr="00B47660">
        <w:rPr>
          <w:vertAlign w:val="superscript"/>
        </w:rPr>
        <w:footnoteReference w:id="53"/>
      </w:r>
      <w:bookmarkEnd w:id="5"/>
      <w:r w:rsidR="00481787" w:rsidRPr="00B47660">
        <w:t xml:space="preserve"> </w:t>
      </w:r>
      <w:r w:rsidR="00141C6A">
        <w:t xml:space="preserve">The law interacts with societal conceptions of a woman’s value to encourage the victim’s family </w:t>
      </w:r>
      <w:r w:rsidR="00481787" w:rsidRPr="00B47660">
        <w:t>to resort to mediation to achieve marriage.</w:t>
      </w:r>
      <w:r w:rsidR="00481787" w:rsidRPr="00B47660">
        <w:rPr>
          <w:vertAlign w:val="superscript"/>
        </w:rPr>
        <w:footnoteReference w:id="54"/>
      </w:r>
      <w:r w:rsidR="00141C6A" w:rsidRPr="00141C6A">
        <w:t xml:space="preserve"> </w:t>
      </w:r>
      <w:r w:rsidR="00141C6A">
        <w:t>This law</w:t>
      </w:r>
      <w:r w:rsidR="00141C6A" w:rsidRPr="00B47660">
        <w:t xml:space="preserve"> punishes the victim and rewards the perpetrator, </w:t>
      </w:r>
      <w:r w:rsidR="00276FD7">
        <w:t xml:space="preserve">treating women </w:t>
      </w:r>
      <w:r w:rsidR="00141C6A" w:rsidRPr="00B47660">
        <w:t>as chattel.</w:t>
      </w:r>
      <w:r w:rsidR="00141C6A" w:rsidRPr="00B47660">
        <w:rPr>
          <w:vertAlign w:val="superscript"/>
        </w:rPr>
        <w:footnoteReference w:id="55"/>
      </w:r>
    </w:p>
    <w:p w14:paraId="0CEFA29D" w14:textId="13E53BD0" w:rsidR="00C00140" w:rsidRPr="00B47660" w:rsidRDefault="00631B01" w:rsidP="00925421">
      <w:pPr>
        <w:pStyle w:val="Paragraph"/>
        <w:numPr>
          <w:ilvl w:val="0"/>
          <w:numId w:val="32"/>
        </w:numPr>
      </w:pPr>
      <w:r w:rsidRPr="00B47660">
        <w:t>Iraq also fails to provide a social, economic</w:t>
      </w:r>
      <w:r w:rsidR="00141C6A">
        <w:t>,</w:t>
      </w:r>
      <w:r w:rsidRPr="00B47660">
        <w:t xml:space="preserve"> and legal safety net for victims of </w:t>
      </w:r>
      <w:r w:rsidR="007C586E" w:rsidRPr="00B47660">
        <w:t>gender-based</w:t>
      </w:r>
      <w:r w:rsidRPr="00B47660">
        <w:t xml:space="preserve"> violence. Experts note that </w:t>
      </w:r>
      <w:r w:rsidR="008321DA" w:rsidRPr="00B47660">
        <w:t>“</w:t>
      </w:r>
      <w:r w:rsidRPr="00B47660">
        <w:t>it is very stigmatizing for a woman or girl, even if she is experiencing severe abuse, to seek external support or pursue legal measures against a family member.</w:t>
      </w:r>
      <w:r w:rsidR="008321DA" w:rsidRPr="00B47660">
        <w:t>”</w:t>
      </w:r>
      <w:r w:rsidRPr="00B47660">
        <w:rPr>
          <w:vertAlign w:val="superscript"/>
        </w:rPr>
        <w:footnoteReference w:id="56"/>
      </w:r>
      <w:r w:rsidRPr="00B47660">
        <w:rPr>
          <w:vertAlign w:val="superscript"/>
        </w:rPr>
        <w:t xml:space="preserve"> </w:t>
      </w:r>
      <w:r w:rsidRPr="00B47660">
        <w:t xml:space="preserve">Survey results consistently show that only a small minority of </w:t>
      </w:r>
      <w:r w:rsidR="00141C6A">
        <w:t xml:space="preserve">people </w:t>
      </w:r>
      <w:r w:rsidRPr="00B47660">
        <w:t xml:space="preserve">experiencing domestic violence seek support from state institutions, and the very act of reporting the violence is viewed </w:t>
      </w:r>
      <w:r w:rsidR="008321DA" w:rsidRPr="00B47660">
        <w:t>“</w:t>
      </w:r>
      <w:r w:rsidRPr="00B47660">
        <w:t>as bringing shame on the family, contributing to social breakdown, and compromising the woman</w:t>
      </w:r>
      <w:r w:rsidR="008321DA" w:rsidRPr="00B47660">
        <w:t>’</w:t>
      </w:r>
      <w:r w:rsidRPr="00B47660">
        <w:t>s reputation</w:t>
      </w:r>
      <w:r w:rsidR="00707425" w:rsidRPr="00B47660">
        <w:t>.</w:t>
      </w:r>
      <w:r w:rsidR="008321DA" w:rsidRPr="00B47660">
        <w:t>”</w:t>
      </w:r>
      <w:r w:rsidRPr="00B47660">
        <w:rPr>
          <w:vertAlign w:val="superscript"/>
        </w:rPr>
        <w:footnoteReference w:id="57"/>
      </w:r>
      <w:r w:rsidRPr="00B47660">
        <w:t xml:space="preserve"> Experts also note that when survivors pursue divorce, their families often made their lives intolerable by refusing to take them in or support them, rejecting their children, abusing them physically or verbally, placing restrictions on their daily activity, or pressuring them to remarry.</w:t>
      </w:r>
      <w:r w:rsidRPr="00B47660">
        <w:rPr>
          <w:vertAlign w:val="superscript"/>
        </w:rPr>
        <w:footnoteReference w:id="58"/>
      </w:r>
      <w:r w:rsidR="002A4565" w:rsidRPr="00B47660">
        <w:rPr>
          <w:vertAlign w:val="superscript"/>
        </w:rPr>
        <w:t xml:space="preserve"> </w:t>
      </w:r>
    </w:p>
    <w:p w14:paraId="7A996F80" w14:textId="1C814B39" w:rsidR="001C0BA9" w:rsidRDefault="00BE142D" w:rsidP="00B47660">
      <w:pPr>
        <w:pStyle w:val="Paragraph"/>
        <w:numPr>
          <w:ilvl w:val="0"/>
          <w:numId w:val="32"/>
        </w:numPr>
      </w:pPr>
      <w:r w:rsidRPr="00B47660">
        <w:t>Women face barriers to accessing justice due to the discriminatory attitudes of police and other government officials. Women face broad discriminatory treatment in society and under the laws; marriage and divorce laws tend to favor men. Legal protections for women against domestic violence in Iraq are insufficient and violence in the family is underreported due to shame, fear of family or community reprisals, or harassment and abuse from police and security forces.</w:t>
      </w:r>
      <w:r w:rsidRPr="00B47660">
        <w:rPr>
          <w:vertAlign w:val="superscript"/>
        </w:rPr>
        <w:footnoteReference w:id="59"/>
      </w:r>
    </w:p>
    <w:p w14:paraId="3C554A6E" w14:textId="661595EC" w:rsidR="00041965" w:rsidRDefault="00041965" w:rsidP="00041965">
      <w:pPr>
        <w:pStyle w:val="Paragraph"/>
        <w:numPr>
          <w:ilvl w:val="0"/>
          <w:numId w:val="32"/>
        </w:numPr>
      </w:pPr>
      <w:r>
        <w:lastRenderedPageBreak/>
        <w:t xml:space="preserve">In this context of impunity </w:t>
      </w:r>
      <w:r w:rsidR="00276FD7">
        <w:t xml:space="preserve">for perpetrators </w:t>
      </w:r>
      <w:r>
        <w:t xml:space="preserve">and </w:t>
      </w:r>
      <w:r w:rsidR="00276FD7">
        <w:t xml:space="preserve">the absence </w:t>
      </w:r>
      <w:r>
        <w:t xml:space="preserve">of </w:t>
      </w:r>
      <w:r w:rsidR="00276FD7">
        <w:t xml:space="preserve">any viable means for </w:t>
      </w:r>
      <w:r>
        <w:t>survivors</w:t>
      </w:r>
      <w:r w:rsidR="00276FD7">
        <w:t xml:space="preserve"> to escape</w:t>
      </w:r>
      <w:r w:rsidR="003F43A4">
        <w:t xml:space="preserve"> prolonged abuse</w:t>
      </w:r>
      <w:r>
        <w:t>, women in Iraq are at heightened risk of coming into conflict with the law. And if they do kill their abusers, they are at risk of being sentenced to death.</w:t>
      </w:r>
    </w:p>
    <w:p w14:paraId="0A259C06" w14:textId="759B780B" w:rsidR="00DC34F9" w:rsidRPr="00B47660" w:rsidRDefault="00041965" w:rsidP="00925421">
      <w:pPr>
        <w:pStyle w:val="Paragraph"/>
        <w:numPr>
          <w:ilvl w:val="0"/>
          <w:numId w:val="32"/>
        </w:numPr>
      </w:pPr>
      <w:r>
        <w:t>While officials maintain secrecy regarding most death sentences and executions,</w:t>
      </w:r>
      <w:r w:rsidR="00CE5BC1">
        <w:rPr>
          <w:rStyle w:val="FootnoteReference"/>
        </w:rPr>
        <w:footnoteReference w:id="60"/>
      </w:r>
      <w:r>
        <w:t xml:space="preserve"> </w:t>
      </w:r>
      <w:r w:rsidRPr="00B47660">
        <w:t>Iraq is one of 42 countries where women are known to be on death row.</w:t>
      </w:r>
      <w:r w:rsidRPr="00B47660">
        <w:rPr>
          <w:vertAlign w:val="superscript"/>
        </w:rPr>
        <w:footnoteReference w:id="61"/>
      </w:r>
      <w:r>
        <w:t xml:space="preserve"> A</w:t>
      </w:r>
      <w:r w:rsidRPr="00B47660">
        <w:t xml:space="preserve">ccording to The World Coalition Against the Death Penalty, </w:t>
      </w:r>
      <w:r>
        <w:t xml:space="preserve">Iraq </w:t>
      </w:r>
      <w:r w:rsidRPr="00B47660">
        <w:t>is considered to be among the “top ten executioners of women in the world.”</w:t>
      </w:r>
      <w:r w:rsidRPr="00B47660">
        <w:rPr>
          <w:vertAlign w:val="superscript"/>
        </w:rPr>
        <w:footnoteReference w:id="62"/>
      </w:r>
      <w:r>
        <w:t xml:space="preserve"> </w:t>
      </w:r>
      <w:r w:rsidR="00DC34F9" w:rsidRPr="00B47660">
        <w:t xml:space="preserve">Iraq is one of </w:t>
      </w:r>
      <w:r>
        <w:t xml:space="preserve">just </w:t>
      </w:r>
      <w:r w:rsidR="00DC34F9" w:rsidRPr="00B47660">
        <w:t>14 countries known to have executed women in the last decade.</w:t>
      </w:r>
      <w:r w:rsidR="00DC34F9" w:rsidRPr="00B47660">
        <w:rPr>
          <w:vertAlign w:val="superscript"/>
        </w:rPr>
        <w:footnoteReference w:id="63"/>
      </w:r>
      <w:r w:rsidR="00DC34F9" w:rsidRPr="00B47660">
        <w:t xml:space="preserve"> </w:t>
      </w:r>
      <w:r>
        <w:t>There is no official data about the number of women under sentence of death or their offenses, but</w:t>
      </w:r>
      <w:r w:rsidR="00276FD7">
        <w:t xml:space="preserve"> as set forth in paragraph </w:t>
      </w:r>
      <w:r w:rsidR="00276FD7">
        <w:fldChar w:fldCharType="begin"/>
      </w:r>
      <w:r w:rsidR="00276FD7">
        <w:instrText xml:space="preserve"> REF _Ref184569869 \r \h </w:instrText>
      </w:r>
      <w:r w:rsidR="00276FD7">
        <w:fldChar w:fldCharType="separate"/>
      </w:r>
      <w:r w:rsidR="00142B91">
        <w:t>20</w:t>
      </w:r>
      <w:r w:rsidR="00276FD7">
        <w:fldChar w:fldCharType="end"/>
      </w:r>
      <w:r w:rsidR="00276FD7">
        <w:t xml:space="preserve"> above,</w:t>
      </w:r>
      <w:r>
        <w:t xml:space="preserve"> global data suggest that most of these women</w:t>
      </w:r>
      <w:r w:rsidR="00CE5BC1">
        <w:t xml:space="preserve"> are under sentence of death for killing </w:t>
      </w:r>
      <w:r>
        <w:t>in the context of gender-based violence.</w:t>
      </w:r>
    </w:p>
    <w:p w14:paraId="5BA5FD26" w14:textId="5A4BA1BC" w:rsidR="00085935" w:rsidRPr="00B47660" w:rsidRDefault="001C0BA9" w:rsidP="009A3122">
      <w:pPr>
        <w:pStyle w:val="SectionHeading"/>
        <w:keepNext/>
        <w:jc w:val="both"/>
        <w:rPr>
          <w:rFonts w:cs="Times New Roman"/>
          <w:szCs w:val="24"/>
        </w:rPr>
      </w:pPr>
      <w:r w:rsidRPr="00B47660">
        <w:rPr>
          <w:rFonts w:cs="Times New Roman"/>
          <w:szCs w:val="24"/>
        </w:rPr>
        <w:t>Iraq</w:t>
      </w:r>
      <w:r w:rsidR="00013A77">
        <w:rPr>
          <w:rFonts w:cs="Times New Roman"/>
          <w:szCs w:val="24"/>
        </w:rPr>
        <w:t xml:space="preserve"> fails </w:t>
      </w:r>
      <w:r w:rsidRPr="00B47660">
        <w:rPr>
          <w:rFonts w:cs="Times New Roman"/>
          <w:szCs w:val="24"/>
        </w:rPr>
        <w:t xml:space="preserve">to address systemic discrimination </w:t>
      </w:r>
      <w:r w:rsidR="00013A77">
        <w:rPr>
          <w:rFonts w:cs="Times New Roman"/>
          <w:szCs w:val="24"/>
        </w:rPr>
        <w:t xml:space="preserve">that excludes women from </w:t>
      </w:r>
      <w:r w:rsidR="0090590C">
        <w:rPr>
          <w:rFonts w:cs="Times New Roman"/>
          <w:szCs w:val="24"/>
        </w:rPr>
        <w:t>controlling their own economic resources</w:t>
      </w:r>
      <w:r w:rsidR="00044709" w:rsidRPr="00B47660">
        <w:rPr>
          <w:rFonts w:cs="Times New Roman"/>
          <w:szCs w:val="24"/>
        </w:rPr>
        <w:t xml:space="preserve"> (</w:t>
      </w:r>
      <w:r w:rsidR="00044709" w:rsidRPr="00B47660">
        <w:rPr>
          <w:rFonts w:cs="Times New Roman"/>
          <w:bCs/>
          <w:szCs w:val="24"/>
        </w:rPr>
        <w:t>Concluding Observations Paragraphs</w:t>
      </w:r>
      <w:r w:rsidR="007C79A4" w:rsidRPr="00B47660">
        <w:rPr>
          <w:rFonts w:cs="Times New Roman"/>
          <w:bCs/>
          <w:szCs w:val="24"/>
        </w:rPr>
        <w:t xml:space="preserve"> </w:t>
      </w:r>
      <w:r w:rsidR="00E174BF">
        <w:rPr>
          <w:rFonts w:cs="Times New Roman"/>
          <w:bCs/>
          <w:szCs w:val="24"/>
        </w:rPr>
        <w:t>14</w:t>
      </w:r>
      <w:r w:rsidR="00E457AE">
        <w:rPr>
          <w:rFonts w:cs="Times New Roman"/>
          <w:bCs/>
          <w:szCs w:val="24"/>
        </w:rPr>
        <w:t>(b)</w:t>
      </w:r>
      <w:r w:rsidR="007C79A4" w:rsidRPr="00B47660">
        <w:rPr>
          <w:rFonts w:cs="Times New Roman"/>
          <w:bCs/>
          <w:szCs w:val="24"/>
        </w:rPr>
        <w:t>,</w:t>
      </w:r>
      <w:r w:rsidR="00675C3D">
        <w:rPr>
          <w:rFonts w:cs="Times New Roman"/>
          <w:bCs/>
          <w:szCs w:val="24"/>
        </w:rPr>
        <w:t xml:space="preserve"> </w:t>
      </w:r>
      <w:r w:rsidR="00E174BF">
        <w:rPr>
          <w:rFonts w:cs="Times New Roman"/>
          <w:bCs/>
          <w:szCs w:val="24"/>
        </w:rPr>
        <w:t>20</w:t>
      </w:r>
      <w:r w:rsidR="007C79A4" w:rsidRPr="00B47660">
        <w:rPr>
          <w:rFonts w:cs="Times New Roman"/>
          <w:bCs/>
          <w:szCs w:val="24"/>
        </w:rPr>
        <w:t>)</w:t>
      </w:r>
      <w:r w:rsidR="00F33581">
        <w:rPr>
          <w:rFonts w:cs="Times New Roman"/>
          <w:bCs/>
          <w:szCs w:val="24"/>
        </w:rPr>
        <w:t>.</w:t>
      </w:r>
    </w:p>
    <w:p w14:paraId="3536B9E5" w14:textId="0C88F2BF" w:rsidR="001C0BA9" w:rsidRPr="00B47660" w:rsidRDefault="001C0BA9" w:rsidP="00925421">
      <w:pPr>
        <w:pStyle w:val="Paragraph"/>
        <w:numPr>
          <w:ilvl w:val="0"/>
          <w:numId w:val="32"/>
        </w:numPr>
      </w:pPr>
      <w:r w:rsidRPr="00B47660">
        <w:t xml:space="preserve">In its 2019 Concluding Observations, the Committee expressed concern about </w:t>
      </w:r>
      <w:r w:rsidR="008321DA" w:rsidRPr="00B47660">
        <w:t>“</w:t>
      </w:r>
      <w:r w:rsidRPr="00B47660">
        <w:t>the persistence of discriminatory stereotypes about the roles and responsibilities of women and men in the family and in society which perpetuate the subordination of women to men</w:t>
      </w:r>
      <w:r w:rsidR="005D1C3C">
        <w:t>,</w:t>
      </w:r>
      <w:r w:rsidR="008321DA" w:rsidRPr="00B47660">
        <w:t>”</w:t>
      </w:r>
      <w:r w:rsidR="00E77192" w:rsidRPr="00B47660">
        <w:rPr>
          <w:rStyle w:val="FootnoteReference"/>
        </w:rPr>
        <w:footnoteReference w:id="64"/>
      </w:r>
      <w:r w:rsidR="005D1C3C">
        <w:t xml:space="preserve"> and recommended that Iraq “[a]</w:t>
      </w:r>
      <w:proofErr w:type="spellStart"/>
      <w:r w:rsidR="005D1C3C">
        <w:t>dopt</w:t>
      </w:r>
      <w:proofErr w:type="spellEnd"/>
      <w:r w:rsidR="005D1C3C">
        <w:t xml:space="preserve"> a comprehensive strategy to eliminate discriminatory stereotypes.”</w:t>
      </w:r>
    </w:p>
    <w:p w14:paraId="0F866521" w14:textId="7CD54BB2" w:rsidR="001C0BA9" w:rsidRDefault="001C0BA9" w:rsidP="00B47660">
      <w:pPr>
        <w:pStyle w:val="Paragraph"/>
        <w:numPr>
          <w:ilvl w:val="0"/>
          <w:numId w:val="32"/>
        </w:numPr>
      </w:pPr>
      <w:r w:rsidRPr="00B47660">
        <w:t>The Committee</w:t>
      </w:r>
      <w:r w:rsidR="00D32C22">
        <w:t xml:space="preserve"> also</w:t>
      </w:r>
      <w:r w:rsidRPr="00B47660">
        <w:t xml:space="preserve"> reiterated </w:t>
      </w:r>
      <w:r w:rsidR="00081CDC">
        <w:t>its</w:t>
      </w:r>
      <w:r w:rsidRPr="00B47660">
        <w:t xml:space="preserve"> recommendation to repeal all sex-discriminatory provisions of the </w:t>
      </w:r>
      <w:r w:rsidR="00B438A0" w:rsidRPr="00B47660">
        <w:t>“</w:t>
      </w:r>
      <w:r w:rsidRPr="00B47660">
        <w:t>Penal Code, the Code of Criminal Procedure and other legislation, regulations and directives.</w:t>
      </w:r>
      <w:r w:rsidR="00737ABA" w:rsidRPr="00B47660">
        <w:t>”</w:t>
      </w:r>
      <w:r w:rsidR="00737ABA" w:rsidRPr="00B47660">
        <w:rPr>
          <w:rStyle w:val="FootnoteReference"/>
        </w:rPr>
        <w:footnoteReference w:id="65"/>
      </w:r>
    </w:p>
    <w:p w14:paraId="3ED23C11" w14:textId="758A6CBE" w:rsidR="00081CDC" w:rsidRPr="00B47660" w:rsidRDefault="00081CDC" w:rsidP="00925421">
      <w:pPr>
        <w:pStyle w:val="Paragraph"/>
        <w:numPr>
          <w:ilvl w:val="0"/>
          <w:numId w:val="32"/>
        </w:numPr>
      </w:pPr>
      <w:r>
        <w:t xml:space="preserve">Iraq’s Eighth Periodic Report </w:t>
      </w:r>
      <w:r w:rsidR="001A1C4F">
        <w:t>identifies “the National Strategy for Iraqi Women (2023-2030)</w:t>
      </w:r>
      <w:r w:rsidR="00DA471E">
        <w:t xml:space="preserve">,” which “encompasses a number of </w:t>
      </w:r>
      <w:proofErr w:type="spellStart"/>
      <w:r w:rsidR="00DA471E">
        <w:t>programmes</w:t>
      </w:r>
      <w:proofErr w:type="spellEnd"/>
      <w:r w:rsidR="00DA471E">
        <w:t xml:space="preserve"> aimed at raising awareness of the seriousness of discrimination against women</w:t>
      </w:r>
      <w:r w:rsidR="0021053B">
        <w:t>,</w:t>
      </w:r>
      <w:r w:rsidR="00DA471E">
        <w:t>”</w:t>
      </w:r>
      <w:r>
        <w:rPr>
          <w:rStyle w:val="FootnoteReference"/>
        </w:rPr>
        <w:footnoteReference w:id="66"/>
      </w:r>
      <w:r w:rsidR="0021053B">
        <w:t xml:space="preserve"> and asserts that “Iraq has </w:t>
      </w:r>
      <w:proofErr w:type="spellStart"/>
      <w:r w:rsidR="0021053B">
        <w:t>endeavoured</w:t>
      </w:r>
      <w:proofErr w:type="spellEnd"/>
      <w:r w:rsidR="0021053B">
        <w:t xml:space="preserve"> to ensure de facto equality and to combat all forms of discrimination in legislation, procedures and policies, as well as stereotypes that may </w:t>
      </w:r>
      <w:r w:rsidR="003458F1">
        <w:t xml:space="preserve">result from social customs and traditions that </w:t>
      </w:r>
      <w:r w:rsidR="003458F1">
        <w:lastRenderedPageBreak/>
        <w:t>are not recognized by law.”</w:t>
      </w:r>
      <w:r w:rsidR="003458F1">
        <w:rPr>
          <w:rStyle w:val="FootnoteReference"/>
        </w:rPr>
        <w:footnoteReference w:id="67"/>
      </w:r>
      <w:r w:rsidR="002561FD">
        <w:t xml:space="preserve"> </w:t>
      </w:r>
      <w:r w:rsidR="00547EB5">
        <w:t>The Eighth Periodic Report confirms that a</w:t>
      </w:r>
      <w:r w:rsidR="002561FD">
        <w:t>ll of the laws</w:t>
      </w:r>
      <w:r w:rsidR="001522C1">
        <w:t xml:space="preserve"> that purportedly would repeal sex-discriminatory provisions in legislation are still in draft form.</w:t>
      </w:r>
      <w:r w:rsidR="001522C1">
        <w:rPr>
          <w:rStyle w:val="FootnoteReference"/>
        </w:rPr>
        <w:footnoteReference w:id="68"/>
      </w:r>
    </w:p>
    <w:p w14:paraId="1165A0E6" w14:textId="3F10A74A" w:rsidR="00D369DA" w:rsidRPr="00B47660" w:rsidRDefault="001C0BA9" w:rsidP="00925421">
      <w:pPr>
        <w:pStyle w:val="Paragraph"/>
        <w:numPr>
          <w:ilvl w:val="0"/>
          <w:numId w:val="32"/>
        </w:numPr>
      </w:pPr>
      <w:r w:rsidRPr="00B47660">
        <w:t>Iraqi women continue to face widespread gender discrimination. Legislation, including the Personal Status Law (articles 25, 89, and 90), reinforces traditional social norms that can obstruct women</w:t>
      </w:r>
      <w:r w:rsidR="008321DA" w:rsidRPr="00B47660">
        <w:t>’</w:t>
      </w:r>
      <w:r w:rsidRPr="00B47660">
        <w:t>s employment opportunities. This law limits women</w:t>
      </w:r>
      <w:r w:rsidR="008321DA" w:rsidRPr="00B47660">
        <w:t>’</w:t>
      </w:r>
      <w:r w:rsidRPr="00B47660">
        <w:t xml:space="preserve">s ability to establish their own businesses, and unequal inheritance rights make it challenging for women to obtain bank loans </w:t>
      </w:r>
      <w:r w:rsidR="00BE4998">
        <w:t>because banks are unwilling to loan money to people who do not own property</w:t>
      </w:r>
      <w:r w:rsidRPr="00B47660">
        <w:t>. Iraqi women and girls continue to be underrepresented in the workforce and in the education system.</w:t>
      </w:r>
      <w:r w:rsidRPr="00B47660">
        <w:rPr>
          <w:vertAlign w:val="superscript"/>
        </w:rPr>
        <w:footnoteReference w:id="69"/>
      </w:r>
      <w:r w:rsidRPr="00B47660">
        <w:rPr>
          <w:vertAlign w:val="superscript"/>
        </w:rPr>
        <w:t xml:space="preserve"> </w:t>
      </w:r>
      <w:r w:rsidRPr="00B47660">
        <w:t>Only 11.5% of women of working</w:t>
      </w:r>
      <w:r w:rsidR="00927800">
        <w:t xml:space="preserve"> </w:t>
      </w:r>
      <w:r w:rsidRPr="00B47660">
        <w:t>age actively participat</w:t>
      </w:r>
      <w:r w:rsidR="00D9135C">
        <w:t>e</w:t>
      </w:r>
      <w:r w:rsidRPr="00B47660">
        <w:t xml:space="preserve"> in the labor market. </w:t>
      </w:r>
      <w:r w:rsidR="001E131A">
        <w:t>Because women do not have access to their own</w:t>
      </w:r>
      <w:r w:rsidRPr="00B47660">
        <w:t xml:space="preserve"> economic resources</w:t>
      </w:r>
      <w:r w:rsidR="001E131A">
        <w:t xml:space="preserve">, they may face heightened difficulty escaping </w:t>
      </w:r>
      <w:r w:rsidR="00013A77">
        <w:t>gender-based violence</w:t>
      </w:r>
      <w:r w:rsidRPr="00B47660">
        <w:t>.</w:t>
      </w:r>
      <w:r w:rsidRPr="00B47660">
        <w:rPr>
          <w:vertAlign w:val="superscript"/>
        </w:rPr>
        <w:footnoteReference w:id="70"/>
      </w:r>
    </w:p>
    <w:p w14:paraId="2E321462" w14:textId="6B075CC8" w:rsidR="001B6205" w:rsidRPr="00B47660" w:rsidRDefault="001B5538" w:rsidP="009259BF">
      <w:pPr>
        <w:pStyle w:val="Subtitle"/>
        <w:jc w:val="both"/>
        <w:rPr>
          <w:rFonts w:cs="Times New Roman"/>
          <w:spacing w:val="0"/>
          <w:szCs w:val="24"/>
        </w:rPr>
      </w:pPr>
      <w:r>
        <w:rPr>
          <w:rFonts w:cs="Times New Roman"/>
          <w:spacing w:val="0"/>
          <w:szCs w:val="24"/>
        </w:rPr>
        <w:t xml:space="preserve">Gender discrimination within the criminal legal system </w:t>
      </w:r>
      <w:r w:rsidR="001B6205" w:rsidRPr="00B47660">
        <w:rPr>
          <w:rFonts w:cs="Times New Roman"/>
          <w:spacing w:val="0"/>
          <w:szCs w:val="24"/>
        </w:rPr>
        <w:t xml:space="preserve">puts women at risk of being </w:t>
      </w:r>
      <w:r w:rsidR="00095642">
        <w:rPr>
          <w:rFonts w:cs="Times New Roman"/>
          <w:spacing w:val="0"/>
          <w:szCs w:val="24"/>
        </w:rPr>
        <w:t xml:space="preserve">sentenced to </w:t>
      </w:r>
      <w:r w:rsidR="001B6205" w:rsidRPr="00B47660">
        <w:rPr>
          <w:rFonts w:cs="Times New Roman"/>
          <w:spacing w:val="0"/>
          <w:szCs w:val="24"/>
        </w:rPr>
        <w:t>death</w:t>
      </w:r>
      <w:r w:rsidR="00EB357B" w:rsidRPr="00B47660">
        <w:rPr>
          <w:rFonts w:cs="Times New Roman"/>
          <w:spacing w:val="0"/>
          <w:szCs w:val="24"/>
        </w:rPr>
        <w:t xml:space="preserve"> </w:t>
      </w:r>
      <w:r w:rsidR="00327C1A" w:rsidRPr="00B47660">
        <w:rPr>
          <w:rFonts w:cs="Times New Roman"/>
          <w:spacing w:val="0"/>
          <w:szCs w:val="24"/>
        </w:rPr>
        <w:t>(Concluding Observations Paragraph 18)</w:t>
      </w:r>
      <w:r w:rsidR="00F33581">
        <w:rPr>
          <w:rFonts w:cs="Times New Roman"/>
          <w:spacing w:val="0"/>
          <w:szCs w:val="24"/>
        </w:rPr>
        <w:t>.</w:t>
      </w:r>
    </w:p>
    <w:p w14:paraId="06130705" w14:textId="18C5C5DB" w:rsidR="001B6205" w:rsidRDefault="001B6205" w:rsidP="00B47660">
      <w:pPr>
        <w:pStyle w:val="Paragraph"/>
        <w:numPr>
          <w:ilvl w:val="0"/>
          <w:numId w:val="32"/>
        </w:numPr>
      </w:pPr>
      <w:r w:rsidRPr="00B47660">
        <w:t xml:space="preserve">The Committee recommended that Iraq </w:t>
      </w:r>
      <w:r w:rsidR="00C725B5" w:rsidRPr="00B47660">
        <w:t>adopt</w:t>
      </w:r>
      <w:r w:rsidRPr="00B47660">
        <w:t xml:space="preserve"> temporary special measures to </w:t>
      </w:r>
      <w:r w:rsidR="00B13B85" w:rsidRPr="00B47660">
        <w:t>“</w:t>
      </w:r>
      <w:r w:rsidR="00D23596" w:rsidRPr="00B47660">
        <w:t>to accelerate the achievement of substantive equality between women and men</w:t>
      </w:r>
      <w:r w:rsidR="00B13B85" w:rsidRPr="00B47660">
        <w:t>”</w:t>
      </w:r>
      <w:r w:rsidRPr="00B47660">
        <w:t xml:space="preserve"> in all areas where women are disadvantaged or underrepresented, such as political and public life, education, and employment, particularly in managerial, civil, diplomatic, and judicial positions.</w:t>
      </w:r>
      <w:r w:rsidR="003D464D" w:rsidRPr="00B47660">
        <w:rPr>
          <w:rStyle w:val="FootnoteReference"/>
        </w:rPr>
        <w:footnoteReference w:id="71"/>
      </w:r>
      <w:r w:rsidRPr="00B47660">
        <w:t xml:space="preserve"> The Committee </w:t>
      </w:r>
      <w:r w:rsidR="00390E9C" w:rsidRPr="00B47660">
        <w:t xml:space="preserve">also </w:t>
      </w:r>
      <w:r w:rsidRPr="00B47660">
        <w:t xml:space="preserve">recommended </w:t>
      </w:r>
      <w:r w:rsidR="00A45297">
        <w:t xml:space="preserve">that Iraq implement </w:t>
      </w:r>
      <w:r w:rsidRPr="00B47660">
        <w:t>capacity-building programs for State officials and employers on the importance and non-discriminatory nature of these measures.</w:t>
      </w:r>
      <w:r w:rsidR="00D17B6F" w:rsidRPr="00B47660">
        <w:rPr>
          <w:rStyle w:val="FootnoteReference"/>
        </w:rPr>
        <w:footnoteReference w:id="72"/>
      </w:r>
    </w:p>
    <w:p w14:paraId="1D583F55" w14:textId="485822BD" w:rsidR="00E31B17" w:rsidRPr="00B47660" w:rsidRDefault="00E31B17" w:rsidP="00925421">
      <w:pPr>
        <w:pStyle w:val="Paragraph"/>
        <w:numPr>
          <w:ilvl w:val="0"/>
          <w:numId w:val="32"/>
        </w:numPr>
      </w:pPr>
      <w:r>
        <w:t xml:space="preserve">The Eighth Periodic Report observes that </w:t>
      </w:r>
      <w:r w:rsidR="00764EC1">
        <w:t>women hold 25% of the seats in the Council of Representatives and women hold leadership positions in the executive branch.</w:t>
      </w:r>
      <w:r w:rsidR="00764EC1">
        <w:rPr>
          <w:rStyle w:val="FootnoteReference"/>
        </w:rPr>
        <w:footnoteReference w:id="73"/>
      </w:r>
      <w:r w:rsidR="008619EF">
        <w:t xml:space="preserve"> Regarding the judicial branch, however, the report simply states: “The judiciary accords great importance to the role of women in its ranks,” and provides no further details.</w:t>
      </w:r>
      <w:r w:rsidR="008619EF">
        <w:rPr>
          <w:rStyle w:val="FootnoteReference"/>
        </w:rPr>
        <w:footnoteReference w:id="74"/>
      </w:r>
    </w:p>
    <w:p w14:paraId="65CFB985" w14:textId="2F7310DD" w:rsidR="008F5CDA" w:rsidRPr="00B47660" w:rsidRDefault="001B6205" w:rsidP="00925421">
      <w:pPr>
        <w:pStyle w:val="Paragraph"/>
        <w:numPr>
          <w:ilvl w:val="0"/>
          <w:numId w:val="32"/>
        </w:numPr>
      </w:pPr>
      <w:r w:rsidRPr="00B47660">
        <w:lastRenderedPageBreak/>
        <w:t xml:space="preserve">Women continue to be underrepresented in the judiciary, with only </w:t>
      </w:r>
      <w:r w:rsidR="00CC7619" w:rsidRPr="00B47660">
        <w:t>8%</w:t>
      </w:r>
      <w:r w:rsidR="00281274" w:rsidRPr="00B47660">
        <w:t xml:space="preserve"> </w:t>
      </w:r>
      <w:r w:rsidRPr="00B47660">
        <w:t>of the country</w:t>
      </w:r>
      <w:r w:rsidR="008321DA" w:rsidRPr="00B47660">
        <w:t>’</w:t>
      </w:r>
      <w:r w:rsidRPr="00B47660">
        <w:t>s judges being women.</w:t>
      </w:r>
      <w:r w:rsidRPr="00B47660">
        <w:rPr>
          <w:vertAlign w:val="superscript"/>
        </w:rPr>
        <w:footnoteReference w:id="75"/>
      </w:r>
      <w:r w:rsidR="008F5CDA" w:rsidRPr="00B47660">
        <w:t xml:space="preserve"> The lack of representation increases the barriers women</w:t>
      </w:r>
      <w:r w:rsidR="00FF642E">
        <w:t xml:space="preserve"> in conflict with the law</w:t>
      </w:r>
      <w:r w:rsidR="008F5CDA" w:rsidRPr="00B47660">
        <w:t xml:space="preserve"> face</w:t>
      </w:r>
      <w:r w:rsidR="00FF642E">
        <w:t>,</w:t>
      </w:r>
      <w:r w:rsidR="008321DA" w:rsidRPr="00B47660">
        <w:t xml:space="preserve"> including</w:t>
      </w:r>
      <w:r w:rsidR="008F5CDA" w:rsidRPr="00B47660">
        <w:t xml:space="preserve"> barriers to accessing justice due to the discriminatory attitudes of the judiciary.</w:t>
      </w:r>
    </w:p>
    <w:p w14:paraId="37CE7D0A" w14:textId="77777777" w:rsidR="0022226C" w:rsidRPr="00B47660" w:rsidRDefault="0022226C" w:rsidP="0022226C">
      <w:pPr>
        <w:pStyle w:val="Paragraph"/>
        <w:numPr>
          <w:ilvl w:val="0"/>
          <w:numId w:val="32"/>
        </w:numPr>
      </w:pPr>
      <w:r>
        <w:t>Within Iraq’s criminal legal system, w</w:t>
      </w:r>
      <w:r w:rsidRPr="00BE6C17">
        <w:t xml:space="preserve">omen often face intersecting forms of </w:t>
      </w:r>
      <w:r>
        <w:t>discrimination</w:t>
      </w:r>
      <w:r w:rsidRPr="00BE6C17">
        <w:t xml:space="preserve">, </w:t>
      </w:r>
      <w:r>
        <w:t xml:space="preserve">including discrimination based on </w:t>
      </w:r>
      <w:r w:rsidRPr="00BE6C17">
        <w:t xml:space="preserve">other elements of </w:t>
      </w:r>
      <w:r>
        <w:t xml:space="preserve">their </w:t>
      </w:r>
      <w:r w:rsidRPr="00BE6C17">
        <w:t xml:space="preserve">identity, such as age, sexual orientation, disability, and race. </w:t>
      </w:r>
      <w:r>
        <w:t xml:space="preserve">Such </w:t>
      </w:r>
      <w:r w:rsidRPr="00BE6C17">
        <w:t xml:space="preserve">prejudices can </w:t>
      </w:r>
      <w:r>
        <w:t>influence sentencing</w:t>
      </w:r>
      <w:r w:rsidRPr="00BE6C17">
        <w:t xml:space="preserve">, </w:t>
      </w:r>
      <w:r>
        <w:t>particularly</w:t>
      </w:r>
      <w:r w:rsidRPr="00BE6C17">
        <w:t xml:space="preserve"> when </w:t>
      </w:r>
      <w:r>
        <w:t xml:space="preserve">prosecutors or judges invoke stereotypes of the defendant </w:t>
      </w:r>
      <w:r w:rsidRPr="00BE6C17">
        <w:t xml:space="preserve">as </w:t>
      </w:r>
      <w:r>
        <w:t xml:space="preserve">a bad </w:t>
      </w:r>
      <w:r w:rsidRPr="00BE6C17">
        <w:t>mother, a witch, or a femme fatale.</w:t>
      </w:r>
      <w:r w:rsidRPr="00BE6C17">
        <w:rPr>
          <w:rStyle w:val="FootnoteReference"/>
          <w:rFonts w:cs="Tahoma"/>
        </w:rPr>
        <w:footnoteReference w:id="76"/>
      </w:r>
      <w:r w:rsidRPr="00BE6C17">
        <w:t xml:space="preserve"> </w:t>
      </w:r>
      <w:r>
        <w:t xml:space="preserve">At trial, courts rarely examine important </w:t>
      </w:r>
      <w:r w:rsidRPr="00BE6C17">
        <w:t>mitigating factors</w:t>
      </w:r>
      <w:r>
        <w:t>,</w:t>
      </w:r>
      <w:r w:rsidRPr="00BE6C17">
        <w:t xml:space="preserve"> such as </w:t>
      </w:r>
      <w:r>
        <w:t xml:space="preserve">a woman’s experience with </w:t>
      </w:r>
      <w:r w:rsidRPr="00BE6C17">
        <w:t>gender-based violence.</w:t>
      </w:r>
      <w:r w:rsidRPr="00BE6C17">
        <w:rPr>
          <w:rStyle w:val="FootnoteReference"/>
          <w:rFonts w:cs="Tahoma"/>
        </w:rPr>
        <w:footnoteReference w:id="77"/>
      </w:r>
    </w:p>
    <w:p w14:paraId="4FC3804F" w14:textId="6F698C9A" w:rsidR="00D95078" w:rsidRPr="00B47660" w:rsidRDefault="001B6205" w:rsidP="00925421">
      <w:pPr>
        <w:pStyle w:val="Paragraph"/>
        <w:numPr>
          <w:ilvl w:val="0"/>
          <w:numId w:val="32"/>
        </w:numPr>
      </w:pPr>
      <w:r w:rsidRPr="00B47660">
        <w:t xml:space="preserve">An International Commission of Jurists study concluded that lower representation of women in the judiciary </w:t>
      </w:r>
      <w:r w:rsidR="00FF642E">
        <w:t>i</w:t>
      </w:r>
      <w:r w:rsidRPr="00B47660">
        <w:t>s often due to gender stereotyping</w:t>
      </w:r>
      <w:r w:rsidR="00D95078" w:rsidRPr="00B47660">
        <w:t>.</w:t>
      </w:r>
      <w:r w:rsidRPr="00B47660">
        <w:rPr>
          <w:vertAlign w:val="superscript"/>
        </w:rPr>
        <w:footnoteReference w:id="78"/>
      </w:r>
      <w:r w:rsidR="00D95078" w:rsidRPr="00B47660">
        <w:rPr>
          <w:vertAlign w:val="superscript"/>
        </w:rPr>
        <w:t xml:space="preserve"> </w:t>
      </w:r>
      <w:r w:rsidR="00D95078" w:rsidRPr="00B47660">
        <w:t xml:space="preserve">Gender stereotyping can </w:t>
      </w:r>
      <w:r w:rsidR="00250C84" w:rsidRPr="00B47660">
        <w:t xml:space="preserve">also </w:t>
      </w:r>
      <w:r w:rsidR="00D95078" w:rsidRPr="00B47660">
        <w:t xml:space="preserve">compromise </w:t>
      </w:r>
      <w:r w:rsidR="00141D8A">
        <w:t xml:space="preserve">judges’ </w:t>
      </w:r>
      <w:r w:rsidR="00D95078" w:rsidRPr="00B47660">
        <w:t xml:space="preserve">impartiality, influence their understanding of the nature of </w:t>
      </w:r>
      <w:r w:rsidR="00141D8A">
        <w:t>a</w:t>
      </w:r>
      <w:r w:rsidR="00D95078" w:rsidRPr="00B47660">
        <w:t xml:space="preserve"> criminal offense, affect their views on witness </w:t>
      </w:r>
      <w:r w:rsidR="00D40127" w:rsidRPr="00B47660">
        <w:t xml:space="preserve">and victim </w:t>
      </w:r>
      <w:r w:rsidR="00D95078" w:rsidRPr="00B47660">
        <w:t>credibility and legal capacity, prevent them from holding offenders legally accountable, and impede access to legal rights and protections.</w:t>
      </w:r>
      <w:r w:rsidR="00D95078" w:rsidRPr="00B47660">
        <w:rPr>
          <w:vertAlign w:val="superscript"/>
        </w:rPr>
        <w:footnoteReference w:id="79"/>
      </w:r>
      <w:r w:rsidR="00866309" w:rsidRPr="00B47660">
        <w:rPr>
          <w:vertAlign w:val="superscript"/>
        </w:rPr>
        <w:t>|</w:t>
      </w:r>
    </w:p>
    <w:p w14:paraId="31DA8824" w14:textId="3F43DDCA" w:rsidR="00DF69F4" w:rsidRPr="00B47660" w:rsidRDefault="00DF69F4" w:rsidP="00925421">
      <w:pPr>
        <w:pStyle w:val="Paragraph"/>
        <w:numPr>
          <w:ilvl w:val="0"/>
          <w:numId w:val="32"/>
        </w:numPr>
      </w:pPr>
      <w:r w:rsidRPr="00B47660">
        <w:t>Judicial stereotyping can significantly impede women</w:t>
      </w:r>
      <w:r w:rsidR="008321DA" w:rsidRPr="00B47660">
        <w:t>’</w:t>
      </w:r>
      <w:r w:rsidRPr="00B47660">
        <w:t xml:space="preserve">s access to legal protections, especially against gender-based violence. It also inhibits their ability to seek to enforce their rights such as through </w:t>
      </w:r>
      <w:r w:rsidR="000A28F1">
        <w:t>orders for protection</w:t>
      </w:r>
      <w:r w:rsidRPr="00B47660">
        <w:t>. In such cases, women may not only be denied justice but may also be at risk of further acts of violence.</w:t>
      </w:r>
      <w:r w:rsidRPr="00B47660">
        <w:rPr>
          <w:vertAlign w:val="superscript"/>
        </w:rPr>
        <w:footnoteReference w:id="80"/>
      </w:r>
    </w:p>
    <w:p w14:paraId="67593F8D" w14:textId="11F4AE73" w:rsidR="00DF69F4" w:rsidRPr="00B47660" w:rsidRDefault="008F5CDA" w:rsidP="00925421">
      <w:pPr>
        <w:pStyle w:val="Paragraph"/>
        <w:numPr>
          <w:ilvl w:val="0"/>
          <w:numId w:val="32"/>
        </w:numPr>
      </w:pPr>
      <w:r w:rsidRPr="00B47660">
        <w:t>Stereotyping often leads judges to form negative views about the credibility of women victims and survivors, while forming favorable views of men accused of gender-based violence. This bias can influence judges</w:t>
      </w:r>
      <w:r w:rsidR="008321DA" w:rsidRPr="00B47660">
        <w:t>’</w:t>
      </w:r>
      <w:r w:rsidRPr="00B47660">
        <w:t xml:space="preserve"> understanding of gender-based offenses and their perception of whether a criminal offense has occurred.</w:t>
      </w:r>
      <w:r w:rsidRPr="00B47660">
        <w:rPr>
          <w:vertAlign w:val="superscript"/>
        </w:rPr>
        <w:footnoteReference w:id="81"/>
      </w:r>
    </w:p>
    <w:p w14:paraId="5A5151AA" w14:textId="76D4D6D7" w:rsidR="001B6205" w:rsidRPr="00B47660" w:rsidRDefault="001B6205" w:rsidP="00925421">
      <w:pPr>
        <w:pStyle w:val="Paragraph"/>
        <w:numPr>
          <w:ilvl w:val="0"/>
          <w:numId w:val="32"/>
        </w:numPr>
      </w:pPr>
      <w:r w:rsidRPr="00B47660">
        <w:lastRenderedPageBreak/>
        <w:t xml:space="preserve">Additionally, the </w:t>
      </w:r>
      <w:r w:rsidR="00E16A04">
        <w:t xml:space="preserve">absence of women in the criminal legal system can exacerbate the </w:t>
      </w:r>
      <w:r w:rsidRPr="00B47660">
        <w:t xml:space="preserve">stigma associated with reporting </w:t>
      </w:r>
      <w:r w:rsidR="00E16A04">
        <w:t>gender-based violence</w:t>
      </w:r>
      <w:r w:rsidRPr="00B47660">
        <w:t xml:space="preserve">. Female survivors of sexual and gender-based violence </w:t>
      </w:r>
      <w:r w:rsidR="00D73AC3" w:rsidRPr="00B47660">
        <w:t>face significant barriers when attempting to</w:t>
      </w:r>
      <w:r w:rsidRPr="00B47660">
        <w:t xml:space="preserve"> pursue cases if the court is predominantly staffed by male jurists</w:t>
      </w:r>
      <w:r w:rsidR="00A91F4A" w:rsidRPr="00B47660">
        <w:t xml:space="preserve"> and gender-stereotyping is pervasive</w:t>
      </w:r>
      <w:r w:rsidR="005833EB" w:rsidRPr="00B47660">
        <w:t>.</w:t>
      </w:r>
      <w:r w:rsidRPr="00B47660">
        <w:rPr>
          <w:vertAlign w:val="superscript"/>
        </w:rPr>
        <w:footnoteReference w:id="82"/>
      </w:r>
    </w:p>
    <w:p w14:paraId="37456984" w14:textId="4C5A3712" w:rsidR="006D577F" w:rsidRPr="00B47660" w:rsidRDefault="003B5F0E" w:rsidP="00925421">
      <w:pPr>
        <w:pStyle w:val="Paragraph"/>
        <w:numPr>
          <w:ilvl w:val="0"/>
          <w:numId w:val="32"/>
        </w:numPr>
      </w:pPr>
      <w:r>
        <w:t xml:space="preserve">Gender stereotypes in the judiciary are particularly apparent for women in conflict with the law who are accused of terrorism-related offenses and thereby at risk of being sentenced to death. </w:t>
      </w:r>
      <w:r w:rsidR="00897E64">
        <w:t>Iraqi courts have sentenced women</w:t>
      </w:r>
      <w:r w:rsidR="00A11FCC">
        <w:t xml:space="preserve">—including foreign nationals—to </w:t>
      </w:r>
      <w:r w:rsidR="008C4D21" w:rsidRPr="00B47660">
        <w:t>death</w:t>
      </w:r>
      <w:r w:rsidR="00A11FCC">
        <w:t xml:space="preserve"> </w:t>
      </w:r>
      <w:r w:rsidR="00897E64">
        <w:t>for their affiliation with the Islamic State</w:t>
      </w:r>
      <w:r w:rsidR="008C4D21" w:rsidRPr="00B47660">
        <w:t>.</w:t>
      </w:r>
      <w:r w:rsidR="00D70C64">
        <w:t xml:space="preserve"> Such affiliations are often simply familial relationships.</w:t>
      </w:r>
      <w:r w:rsidR="008C4D21" w:rsidRPr="00B47660">
        <w:t xml:space="preserve"> </w:t>
      </w:r>
      <w:r w:rsidR="00FB0723">
        <w:t>T</w:t>
      </w:r>
      <w:r w:rsidR="008C4D21" w:rsidRPr="00B47660">
        <w:t xml:space="preserve">rials </w:t>
      </w:r>
      <w:r w:rsidR="00FB0723">
        <w:t xml:space="preserve">in these cases often </w:t>
      </w:r>
      <w:r w:rsidR="00AF7B26" w:rsidRPr="00B47660">
        <w:t>fall</w:t>
      </w:r>
      <w:r w:rsidR="008C4D21" w:rsidRPr="00B47660">
        <w:t xml:space="preserve"> short of international due process standards, with some lasting for </w:t>
      </w:r>
      <w:r w:rsidR="006D577F" w:rsidRPr="00B47660">
        <w:t xml:space="preserve">only </w:t>
      </w:r>
      <w:r w:rsidR="008C4D21" w:rsidRPr="00B47660">
        <w:t>ten minutes.</w:t>
      </w:r>
      <w:r w:rsidR="008C4D21" w:rsidRPr="00B47660">
        <w:rPr>
          <w:vertAlign w:val="superscript"/>
        </w:rPr>
        <w:footnoteReference w:id="83"/>
      </w:r>
      <w:r w:rsidR="008C4D21" w:rsidRPr="00B47660">
        <w:t xml:space="preserve"> </w:t>
      </w:r>
      <w:r w:rsidR="008A25AF" w:rsidRPr="00B47660">
        <w:t>Public defenders and t</w:t>
      </w:r>
      <w:r w:rsidR="008C4D21" w:rsidRPr="00B47660">
        <w:t xml:space="preserve">ranslators </w:t>
      </w:r>
      <w:r w:rsidR="008A25AF" w:rsidRPr="00B47660">
        <w:t>also</w:t>
      </w:r>
      <w:r w:rsidR="008C4D21" w:rsidRPr="00B47660">
        <w:t xml:space="preserve"> </w:t>
      </w:r>
      <w:r w:rsidR="008A25AF" w:rsidRPr="00B47660">
        <w:t xml:space="preserve">fail to </w:t>
      </w:r>
      <w:r w:rsidR="008C4D21" w:rsidRPr="00B47660">
        <w:t>provide sufficient services for defendants to mount an adequate defense.</w:t>
      </w:r>
      <w:r w:rsidR="008C4D21" w:rsidRPr="00B47660">
        <w:rPr>
          <w:vertAlign w:val="superscript"/>
        </w:rPr>
        <w:footnoteReference w:id="84"/>
      </w:r>
    </w:p>
    <w:p w14:paraId="79876DE1" w14:textId="43E3A987" w:rsidR="008C4D21" w:rsidRPr="00B47660" w:rsidRDefault="008C4D21" w:rsidP="00925421">
      <w:pPr>
        <w:pStyle w:val="Paragraph"/>
        <w:numPr>
          <w:ilvl w:val="0"/>
          <w:numId w:val="32"/>
        </w:numPr>
      </w:pPr>
      <w:r w:rsidRPr="00B47660">
        <w:t>Anti-terrorism laws in Iraq include group membership as an offence</w:t>
      </w:r>
      <w:r w:rsidR="00AE6CFE" w:rsidRPr="00B47660">
        <w:t xml:space="preserve"> leading to the conviction of several </w:t>
      </w:r>
      <w:r w:rsidR="00D722BC" w:rsidRPr="00B47660">
        <w:t>women under these laws and additional prosecution for</w:t>
      </w:r>
      <w:r w:rsidRPr="00B47660">
        <w:t xml:space="preserve"> illegally entering Iraq, </w:t>
      </w:r>
      <w:r w:rsidR="00D722BC" w:rsidRPr="00B47660">
        <w:t xml:space="preserve">as well as </w:t>
      </w:r>
      <w:r w:rsidRPr="00B47660">
        <w:t xml:space="preserve">aiding and abetting </w:t>
      </w:r>
      <w:r w:rsidR="002A4B43">
        <w:t>the Islamic State</w:t>
      </w:r>
      <w:r w:rsidRPr="00B47660">
        <w:t xml:space="preserve">. </w:t>
      </w:r>
      <w:r w:rsidR="00D722BC" w:rsidRPr="00B47660">
        <w:t xml:space="preserve">These cases </w:t>
      </w:r>
      <w:r w:rsidR="00B13216" w:rsidRPr="00B47660">
        <w:t xml:space="preserve">have failed to </w:t>
      </w:r>
      <w:proofErr w:type="gramStart"/>
      <w:r w:rsidR="00B13216" w:rsidRPr="00B47660">
        <w:t>take into account</w:t>
      </w:r>
      <w:proofErr w:type="gramEnd"/>
      <w:r w:rsidR="00B13216" w:rsidRPr="00B47660">
        <w:t xml:space="preserve"> the statu</w:t>
      </w:r>
      <w:r w:rsidR="00CA5785" w:rsidRPr="00B47660">
        <w:t>s</w:t>
      </w:r>
      <w:r w:rsidR="00B13216" w:rsidRPr="00B47660">
        <w:t xml:space="preserve"> of women within </w:t>
      </w:r>
      <w:r w:rsidR="002A4B43">
        <w:t>the Islamic State</w:t>
      </w:r>
      <w:r w:rsidR="003D5D91" w:rsidRPr="00B47660">
        <w:t>,</w:t>
      </w:r>
      <w:r w:rsidR="00B13216" w:rsidRPr="00B47660">
        <w:t xml:space="preserve"> which </w:t>
      </w:r>
      <w:r w:rsidR="00E86450" w:rsidRPr="00B47660">
        <w:t xml:space="preserve">often forced women and girls into sexual slavery or </w:t>
      </w:r>
      <w:r w:rsidR="00A34517">
        <w:t xml:space="preserve">exposed them to other forms </w:t>
      </w:r>
      <w:r w:rsidR="00E86450" w:rsidRPr="00B47660">
        <w:t>of gender</w:t>
      </w:r>
      <w:r w:rsidR="00BA12AB" w:rsidRPr="00B47660">
        <w:t>-based violence.</w:t>
      </w:r>
      <w:r w:rsidR="00BA12AB" w:rsidRPr="00B47660">
        <w:rPr>
          <w:rStyle w:val="FootnoteReference"/>
        </w:rPr>
        <w:footnoteReference w:id="85"/>
      </w:r>
      <w:r w:rsidR="00BA12AB" w:rsidRPr="00B47660">
        <w:t xml:space="preserve"> </w:t>
      </w:r>
      <w:r w:rsidR="00523E5A">
        <w:t xml:space="preserve">In May 2023, authorities imprisoned approximately 400 women for being part of the Islamic States. Courts ultimately sentenced some of them to death. Some of these women engaged in a hunger strike in the </w:t>
      </w:r>
      <w:proofErr w:type="spellStart"/>
      <w:r w:rsidR="00523E5A">
        <w:t>Rusafa</w:t>
      </w:r>
      <w:proofErr w:type="spellEnd"/>
      <w:r w:rsidR="00523E5A">
        <w:t xml:space="preserve"> high-security prison in Baghdad to bring attention to what they say were unfair trials.</w:t>
      </w:r>
      <w:r w:rsidR="00F17258">
        <w:rPr>
          <w:rStyle w:val="FootnoteReference"/>
        </w:rPr>
        <w:footnoteReference w:id="86"/>
      </w:r>
      <w:r w:rsidR="00F17258">
        <w:t xml:space="preserve"> Among the women are </w:t>
      </w:r>
      <w:r w:rsidR="00F17258" w:rsidRPr="00253364">
        <w:t xml:space="preserve">foreign nationals from </w:t>
      </w:r>
      <w:r w:rsidR="00F17258">
        <w:t xml:space="preserve">Azerbaijan, France, Germany, </w:t>
      </w:r>
      <w:r w:rsidR="00F17258" w:rsidRPr="00253364">
        <w:t xml:space="preserve">Russia, </w:t>
      </w:r>
      <w:r w:rsidR="00F17258">
        <w:t xml:space="preserve">Syria, </w:t>
      </w:r>
      <w:r w:rsidR="00F17258" w:rsidRPr="00253364">
        <w:t xml:space="preserve">Turkey, Ukraine, and the </w:t>
      </w:r>
      <w:r w:rsidR="00F17258">
        <w:t>United States</w:t>
      </w:r>
      <w:r w:rsidR="00F17258" w:rsidRPr="00253364">
        <w:t>.</w:t>
      </w:r>
      <w:r w:rsidR="00F17258">
        <w:rPr>
          <w:rStyle w:val="FootnoteReference"/>
        </w:rPr>
        <w:footnoteReference w:id="87"/>
      </w:r>
    </w:p>
    <w:p w14:paraId="78F59B70" w14:textId="1B7D6030" w:rsidR="005E2E37" w:rsidRPr="00B47660" w:rsidRDefault="005E2E37" w:rsidP="005E2E37">
      <w:pPr>
        <w:pStyle w:val="Paragraph"/>
        <w:numPr>
          <w:ilvl w:val="0"/>
          <w:numId w:val="32"/>
        </w:numPr>
      </w:pPr>
      <w:r>
        <w:t>In July 2024, an Iraqi court sentenced to death A.M. (also known as U.H.),</w:t>
      </w:r>
      <w:r>
        <w:rPr>
          <w:rStyle w:val="FootnoteReference"/>
        </w:rPr>
        <w:footnoteReference w:id="88"/>
      </w:r>
      <w:r>
        <w:t xml:space="preserve"> a widow of Islamic State leader Abu Bakr al-Baghdadi on terrorism-related charges for allegedly working with Daesh and detaining Yazidi women in her home after Islamic State gangs kidnapped them.</w:t>
      </w:r>
      <w:r>
        <w:rPr>
          <w:rStyle w:val="FootnoteReference"/>
        </w:rPr>
        <w:footnoteReference w:id="89"/>
      </w:r>
      <w:r>
        <w:t xml:space="preserve"> According to the Supreme Judicial Council, the court sentenced her to death for “working with the extremist organization and detaining Yazidi women.”</w:t>
      </w:r>
      <w:r>
        <w:rPr>
          <w:rStyle w:val="FootnoteReference"/>
        </w:rPr>
        <w:footnoteReference w:id="90"/>
      </w:r>
      <w:r>
        <w:t xml:space="preserve"> She has denied involvement in the Islamic State atrocities and in the organization’s kidnapping </w:t>
      </w:r>
      <w:r>
        <w:lastRenderedPageBreak/>
        <w:t>and enslavement of Yazidi women.</w:t>
      </w:r>
      <w:r>
        <w:rPr>
          <w:rStyle w:val="FootnoteReference"/>
        </w:rPr>
        <w:footnoteReference w:id="91"/>
      </w:r>
      <w:r>
        <w:t xml:space="preserve"> She had previously told the BBC that “she had challenged her husband about having ‘the blood of those innocent people’ on his hands” and that she “‘felt ashamed’ and was ‘very sorry’ about what happened to Yazidi women and children.”</w:t>
      </w:r>
      <w:r>
        <w:rPr>
          <w:rStyle w:val="FootnoteReference"/>
        </w:rPr>
        <w:footnoteReference w:id="92"/>
      </w:r>
    </w:p>
    <w:p w14:paraId="73311D7F" w14:textId="4260564F" w:rsidR="001C0BA9" w:rsidRPr="00B47660" w:rsidRDefault="001C0BA9" w:rsidP="0055729B">
      <w:pPr>
        <w:pStyle w:val="SectionHeading"/>
        <w:keepNext/>
        <w:jc w:val="both"/>
        <w:rPr>
          <w:rFonts w:cs="Times New Roman"/>
          <w:szCs w:val="24"/>
        </w:rPr>
      </w:pPr>
      <w:r w:rsidRPr="00B47660">
        <w:rPr>
          <w:rFonts w:cs="Times New Roman"/>
          <w:szCs w:val="24"/>
        </w:rPr>
        <w:t>Suggested questions for the Government of Iraq</w:t>
      </w:r>
    </w:p>
    <w:p w14:paraId="09ED740C" w14:textId="56DD5AF4" w:rsidR="00111994" w:rsidRPr="00B47660" w:rsidRDefault="00311947" w:rsidP="00925421">
      <w:pPr>
        <w:pStyle w:val="Paragraph"/>
        <w:numPr>
          <w:ilvl w:val="0"/>
          <w:numId w:val="32"/>
        </w:numPr>
      </w:pPr>
      <w:r w:rsidRPr="00B47660">
        <w:t xml:space="preserve">The coauthors suggest that the </w:t>
      </w:r>
      <w:r w:rsidR="00181B2A" w:rsidRPr="00B47660">
        <w:t xml:space="preserve">Committee pose the following questions to the Government of </w:t>
      </w:r>
      <w:r w:rsidR="0032380A" w:rsidRPr="00B47660">
        <w:t>Iraq</w:t>
      </w:r>
      <w:r w:rsidR="00255789" w:rsidRPr="00B47660">
        <w:t>:</w:t>
      </w:r>
      <w:r w:rsidR="00866309" w:rsidRPr="00B47660">
        <w:t>|</w:t>
      </w:r>
    </w:p>
    <w:p w14:paraId="75503F8D" w14:textId="4C0D9E93" w:rsidR="00B32AB8" w:rsidRDefault="00D33D41" w:rsidP="009259BF">
      <w:pPr>
        <w:pStyle w:val="BulletRecommendationsQuestions"/>
      </w:pPr>
      <w:r>
        <w:t xml:space="preserve">Provide </w:t>
      </w:r>
      <w:r w:rsidR="00B15EF2">
        <w:t xml:space="preserve">official </w:t>
      </w:r>
      <w:r w:rsidR="00B32AB8">
        <w:t xml:space="preserve">data about all women </w:t>
      </w:r>
      <w:r w:rsidR="00797D74">
        <w:t xml:space="preserve">charged with capital crimes, </w:t>
      </w:r>
      <w:r w:rsidR="00B32AB8">
        <w:t>sentenced to death</w:t>
      </w:r>
      <w:r w:rsidR="00797D74">
        <w:t>,</w:t>
      </w:r>
      <w:r w:rsidR="00B32AB8">
        <w:t xml:space="preserve"> and executed during the reporting period, disaggregated by </w:t>
      </w:r>
      <w:r w:rsidR="00797D74">
        <w:t xml:space="preserve">age, nationality, </w:t>
      </w:r>
      <w:r w:rsidR="00525F33">
        <w:t xml:space="preserve">occupation at the time of arrest, </w:t>
      </w:r>
      <w:r w:rsidR="00797D74">
        <w:t>disability, crime of conviction, date of conviction, relationship to any victims or codefendants, ages of any minor children, status of any appeals or requests for clemency/pardon, current sentence, current location (if applicable), and date of execution (if applicable).</w:t>
      </w:r>
    </w:p>
    <w:p w14:paraId="702F3215" w14:textId="02150BC3" w:rsidR="007A1DC3" w:rsidRDefault="007A1DC3" w:rsidP="009259BF">
      <w:pPr>
        <w:pStyle w:val="BulletRecommendationsQuestions"/>
      </w:pPr>
      <w:r w:rsidRPr="00B47660">
        <w:t xml:space="preserve">What </w:t>
      </w:r>
      <w:r w:rsidR="00A82C7C">
        <w:t xml:space="preserve">is the status of </w:t>
      </w:r>
      <w:r w:rsidRPr="00B47660">
        <w:t xml:space="preserve">the </w:t>
      </w:r>
      <w:r w:rsidR="00A82C7C">
        <w:t xml:space="preserve">draft law </w:t>
      </w:r>
      <w:r w:rsidRPr="00B47660">
        <w:t>on protection against domestic violence?</w:t>
      </w:r>
    </w:p>
    <w:p w14:paraId="6262B642" w14:textId="16962D97" w:rsidR="0096542E" w:rsidRPr="00B47660" w:rsidRDefault="0096542E" w:rsidP="009259BF">
      <w:pPr>
        <w:pStyle w:val="BulletRecommendationsQuestions"/>
      </w:pPr>
      <w:r>
        <w:t xml:space="preserve">Over the reporting period, how many perpetrators of domestic violence have been </w:t>
      </w:r>
      <w:r w:rsidR="006918D2">
        <w:t>charged, how many have faced penalties, and what penalties did courts impose?</w:t>
      </w:r>
    </w:p>
    <w:p w14:paraId="52DD3598" w14:textId="46EB9398" w:rsidR="00525F33" w:rsidRDefault="00525F33" w:rsidP="009259BF">
      <w:pPr>
        <w:pStyle w:val="BulletRecommendationsQuestions"/>
      </w:pPr>
      <w:r>
        <w:t xml:space="preserve">Please provide data about </w:t>
      </w:r>
      <w:r w:rsidR="00236CA6">
        <w:t>all women charged with murder during the reporting period, including their relationship to the victim, whether they raised the defense of self</w:t>
      </w:r>
      <w:r w:rsidR="00D035D4">
        <w:t>-</w:t>
      </w:r>
      <w:r w:rsidR="00236CA6">
        <w:t>defense at trial</w:t>
      </w:r>
      <w:r w:rsidR="00A9489C">
        <w:t>, and whether defense counsel introduced gender-specific evidence in mitigation at the time of sentencing.</w:t>
      </w:r>
    </w:p>
    <w:p w14:paraId="0F56C03E" w14:textId="61C38BE7" w:rsidR="00A9489C" w:rsidRDefault="0076608A" w:rsidP="009D0C31">
      <w:pPr>
        <w:pStyle w:val="BulletRecommendationsQuestions"/>
      </w:pPr>
      <w:r>
        <w:t xml:space="preserve">Under what circumstances may a woman who has experienced prolonged domestic violence successfully plead self-defense for killing her abuser? Which legal standards apply in such cases? </w:t>
      </w:r>
      <w:r w:rsidR="009F038E">
        <w:t>On how many occasions during the reporting period has such a defense been successful?</w:t>
      </w:r>
    </w:p>
    <w:p w14:paraId="712E64DB" w14:textId="2A558A3D" w:rsidR="00721CF7" w:rsidRPr="00B47660" w:rsidRDefault="00721CF7" w:rsidP="009259BF">
      <w:pPr>
        <w:pStyle w:val="BulletRecommendationsQuestions"/>
      </w:pPr>
      <w:r w:rsidRPr="00B47660">
        <w:t>Under what circumstances is gender-based violence considered a mitigating factor in capital cases?</w:t>
      </w:r>
    </w:p>
    <w:p w14:paraId="2308CF76" w14:textId="77777777" w:rsidR="00C5647B" w:rsidRDefault="00C5647B" w:rsidP="00925421">
      <w:pPr>
        <w:pStyle w:val="BulletRecommendationsQuestions"/>
      </w:pPr>
      <w:r>
        <w:t xml:space="preserve">How do authorities ensure that all women accused of capital crimes have access to free and effective legal representation by attorneys who specialize in capital cases, that such women have access to counsel at all times, from the start of the investigation through any appeals, and that the defense team has sufficient funding to conduct a thorough investigation and to secure relevant expert witnesses, particularly regarding gender-specific defenses? </w:t>
      </w:r>
    </w:p>
    <w:p w14:paraId="213DBDC6" w14:textId="25C3DD24" w:rsidR="00043D85" w:rsidRPr="00B47660" w:rsidRDefault="00043D85" w:rsidP="009259BF">
      <w:pPr>
        <w:pStyle w:val="BulletRecommendationsQuestions"/>
      </w:pPr>
      <w:r>
        <w:t>What safeguards are in place to ensure that women charged with terrorism-related offenses</w:t>
      </w:r>
      <w:r w:rsidR="001164E9">
        <w:t xml:space="preserve"> are charged for intentional acts, rather than coerced or compelled conduct or </w:t>
      </w:r>
      <w:r w:rsidR="00706DD6">
        <w:t>simple familial relationships with people engaging in acts of terrorism?</w:t>
      </w:r>
    </w:p>
    <w:p w14:paraId="3E4AA44D" w14:textId="46CE4317" w:rsidR="00F51AFD" w:rsidRDefault="00721CF7" w:rsidP="009259BF">
      <w:pPr>
        <w:pStyle w:val="BulletRecommendationsQuestions"/>
      </w:pPr>
      <w:r w:rsidRPr="00B47660">
        <w:lastRenderedPageBreak/>
        <w:t>How does Iraq ensure that judges, prosecutors, defense counsel, police, and other individuals in positions of power within the criminal legal system are knowledgeable about gender-based discrimination, domestic violence, and tactics of coercive control that may lead women to commit death-eligible offenses? Specifically, what training programs regarding gender-based violence and tactics of coercive control are available for judges and other actors within the criminal legal system?</w:t>
      </w:r>
    </w:p>
    <w:p w14:paraId="774158CE" w14:textId="04FB0DD3" w:rsidR="00721CF7" w:rsidRDefault="00721CF7" w:rsidP="009259BF">
      <w:pPr>
        <w:pStyle w:val="BulletRecommendationsQuestions"/>
      </w:pPr>
      <w:r w:rsidRPr="00B47660">
        <w:t>What training do public defenders and other defense counsel in capital cases receive on gender-based discrimination, domestic violence, and tactics of coercive control that may lead women to commit death-eligible offenses? Does Iraq provide funding for expert witnesses on these topics if they are relevant to a woman</w:t>
      </w:r>
      <w:r w:rsidR="008321DA" w:rsidRPr="00B47660">
        <w:t>’</w:t>
      </w:r>
      <w:r w:rsidRPr="00B47660">
        <w:t>s defense?</w:t>
      </w:r>
    </w:p>
    <w:p w14:paraId="10845123" w14:textId="64283906" w:rsidR="00B43116" w:rsidRPr="00B47660" w:rsidRDefault="00B43116" w:rsidP="009259BF">
      <w:pPr>
        <w:pStyle w:val="BulletRecommendationsQuestions"/>
      </w:pPr>
      <w:r>
        <w:t>Under what circumstances are civil society organizations and human rights defenders allowed to attend criminal proceedings to monitor for potential discrimination against women in conflict with the law</w:t>
      </w:r>
      <w:r w:rsidR="00031F60">
        <w:t>? What constraints apply to such monitoring efforts?</w:t>
      </w:r>
    </w:p>
    <w:p w14:paraId="0BADC969" w14:textId="7033303E" w:rsidR="00866309" w:rsidRPr="00B47660" w:rsidRDefault="00721CF7" w:rsidP="00866309">
      <w:pPr>
        <w:pStyle w:val="BulletRecommendationsQuestions"/>
      </w:pPr>
      <w:r w:rsidRPr="00B47660">
        <w:t xml:space="preserve">What steps has Iraq taken to build support for abolition of the death penalty among lawmakers and the </w:t>
      </w:r>
      <w:proofErr w:type="gramStart"/>
      <w:r w:rsidRPr="00B47660">
        <w:t>general public</w:t>
      </w:r>
      <w:proofErr w:type="gramEnd"/>
      <w:r w:rsidRPr="00B47660">
        <w:t xml:space="preserve"> and, in the interim, to institute a de jure moratorium on executions?</w:t>
      </w:r>
    </w:p>
    <w:p w14:paraId="6757122D" w14:textId="61F7950D" w:rsidR="00550B85" w:rsidRDefault="00550B85" w:rsidP="00866309">
      <w:pPr>
        <w:pStyle w:val="BulletRecommendationsQuestions"/>
      </w:pPr>
      <w:r w:rsidRPr="00B47660">
        <w:t xml:space="preserve">What steps has Iraq taken to increase women’s participation </w:t>
      </w:r>
      <w:r w:rsidR="00B029B9">
        <w:t xml:space="preserve">in decision-making positions within </w:t>
      </w:r>
      <w:r w:rsidRPr="00B47660">
        <w:t>the judiciary?</w:t>
      </w:r>
      <w:r w:rsidR="005265D4">
        <w:t xml:space="preserve"> What proportion of judges within the criminal legal system are women?</w:t>
      </w:r>
    </w:p>
    <w:p w14:paraId="1E0479FC" w14:textId="03EA48E7" w:rsidR="00F136BF" w:rsidRDefault="00F136BF" w:rsidP="00866309">
      <w:pPr>
        <w:pStyle w:val="BulletRecommendationsQuestions"/>
      </w:pPr>
      <w:r>
        <w:t>Please provide data regarding the use of “</w:t>
      </w:r>
      <w:proofErr w:type="spellStart"/>
      <w:r>
        <w:t>honour</w:t>
      </w:r>
      <w:proofErr w:type="spellEnd"/>
      <w:r>
        <w:t>” as a mitigating factor in homicides</w:t>
      </w:r>
      <w:r w:rsidR="005C7C65">
        <w:t xml:space="preserve"> during the reporting period</w:t>
      </w:r>
      <w:r>
        <w:t>, disaggregated by</w:t>
      </w:r>
      <w:r w:rsidR="005C7C65">
        <w:t xml:space="preserve"> </w:t>
      </w:r>
      <w:r>
        <w:t>the sex of the offender</w:t>
      </w:r>
      <w:r w:rsidR="005C7C65">
        <w:t>,</w:t>
      </w:r>
      <w:r>
        <w:t xml:space="preserve"> the sex of the victim</w:t>
      </w:r>
      <w:r w:rsidR="005C7C65">
        <w:t>, and the punishment imposed.</w:t>
      </w:r>
    </w:p>
    <w:p w14:paraId="68151F7A" w14:textId="5C498A7F" w:rsidR="003D651D" w:rsidRDefault="003D651D" w:rsidP="00346AEC">
      <w:pPr>
        <w:pStyle w:val="BulletRecommendationsQuestions"/>
      </w:pPr>
      <w:r w:rsidRPr="008E3D3A">
        <w:t>Please describe the safeguards in place to ensure the safety, privacy, and health of</w:t>
      </w:r>
      <w:r>
        <w:t xml:space="preserve"> </w:t>
      </w:r>
      <w:r w:rsidRPr="008E3D3A">
        <w:t>women who are in detention, including access to adequate toilets</w:t>
      </w:r>
      <w:r>
        <w:t xml:space="preserve">, </w:t>
      </w:r>
      <w:r w:rsidRPr="008E3D3A">
        <w:t>sanitation</w:t>
      </w:r>
      <w:r>
        <w:t xml:space="preserve">, and </w:t>
      </w:r>
      <w:r w:rsidRPr="008E3D3A">
        <w:t xml:space="preserve">feminine hygiene products. How </w:t>
      </w:r>
      <w:r>
        <w:t xml:space="preserve">does </w:t>
      </w:r>
      <w:r w:rsidRPr="008E3D3A">
        <w:t>prison infrastructure design accommodate</w:t>
      </w:r>
      <w:r>
        <w:t xml:space="preserve"> </w:t>
      </w:r>
      <w:r w:rsidRPr="008E3D3A">
        <w:t>women’s specific needs, including their need for privacy?</w:t>
      </w:r>
    </w:p>
    <w:p w14:paraId="6ADD3B7C" w14:textId="2AA24BA6" w:rsidR="00187BF7" w:rsidRDefault="00387326" w:rsidP="00346AEC">
      <w:pPr>
        <w:pStyle w:val="BulletRecommendationsQuestions"/>
      </w:pPr>
      <w:r>
        <w:t>What constraints govern civil society organizations that might seek to express opposition to the death penalty?</w:t>
      </w:r>
    </w:p>
    <w:p w14:paraId="7269A10B" w14:textId="1A24481D" w:rsidR="00620EB0" w:rsidRPr="00B47660" w:rsidRDefault="00620EB0" w:rsidP="00346AEC">
      <w:pPr>
        <w:pStyle w:val="BulletRecommendationsQuestions"/>
      </w:pPr>
      <w:r>
        <w:t>Are civil society organizations allowed to visit prisons where women are detained</w:t>
      </w:r>
      <w:r w:rsidR="007B31E1">
        <w:t xml:space="preserve"> and monitor conditions of detention</w:t>
      </w:r>
      <w:r>
        <w:t>? Under what circumstances? How many such visits have taken place during the reporting period? Did these visits include women under sentence of death?</w:t>
      </w:r>
    </w:p>
    <w:sectPr w:rsidR="00620EB0" w:rsidRPr="00B47660" w:rsidSect="008504A9">
      <w:headerReference w:type="default" r:id="rId11"/>
      <w:footerReference w:type="default" r:id="rId12"/>
      <w:headerReference w:type="first" r:id="rId13"/>
      <w:footerReference w:type="first" r:id="rId14"/>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9E047A" w14:textId="77777777" w:rsidR="00E67F7D" w:rsidRDefault="00E67F7D">
      <w:r>
        <w:separator/>
      </w:r>
    </w:p>
  </w:endnote>
  <w:endnote w:type="continuationSeparator" w:id="0">
    <w:p w14:paraId="5D3100AB" w14:textId="77777777" w:rsidR="00E67F7D" w:rsidRDefault="00E67F7D">
      <w:r>
        <w:continuationSeparator/>
      </w:r>
    </w:p>
  </w:endnote>
  <w:endnote w:type="continuationNotice" w:id="1">
    <w:p w14:paraId="0AA2959D" w14:textId="77777777" w:rsidR="00E67F7D" w:rsidRDefault="00E67F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BA72B1"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21DF726"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402645">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395C5518"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402645">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402645">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8FE0D1" w14:textId="77777777" w:rsidR="00E67F7D" w:rsidRDefault="00E67F7D">
      <w:r>
        <w:separator/>
      </w:r>
    </w:p>
  </w:footnote>
  <w:footnote w:type="continuationSeparator" w:id="0">
    <w:p w14:paraId="5BB2D51F" w14:textId="77777777" w:rsidR="00E67F7D" w:rsidRDefault="00E67F7D">
      <w:r>
        <w:continuationSeparator/>
      </w:r>
    </w:p>
  </w:footnote>
  <w:footnote w:type="continuationNotice" w:id="1">
    <w:p w14:paraId="7A82DC07" w14:textId="77777777" w:rsidR="00E67F7D" w:rsidRDefault="00E67F7D"/>
  </w:footnote>
  <w:footnote w:id="2">
    <w:p w14:paraId="64DE06E1" w14:textId="08960F27" w:rsidR="00D5185A" w:rsidRPr="00A27053" w:rsidRDefault="00D5185A">
      <w:pPr>
        <w:pStyle w:val="FootnoteText"/>
        <w:rPr>
          <w:sz w:val="20"/>
          <w:szCs w:val="20"/>
        </w:rPr>
      </w:pPr>
      <w:r w:rsidRPr="00A27053">
        <w:rPr>
          <w:rStyle w:val="FootnoteReference"/>
          <w:sz w:val="20"/>
          <w:szCs w:val="20"/>
        </w:rPr>
        <w:footnoteRef/>
      </w:r>
      <w:r w:rsidR="00235130" w:rsidRPr="00A27053">
        <w:rPr>
          <w:sz w:val="20"/>
          <w:szCs w:val="20"/>
        </w:rPr>
        <w:t xml:space="preserve"> Amnesty International Global Report, </w:t>
      </w:r>
      <w:r w:rsidR="00235130" w:rsidRPr="00A27053">
        <w:rPr>
          <w:i/>
          <w:sz w:val="20"/>
          <w:szCs w:val="20"/>
        </w:rPr>
        <w:t>Death Sentences and Execution</w:t>
      </w:r>
      <w:r w:rsidR="005E5A74" w:rsidRPr="00A27053">
        <w:rPr>
          <w:i/>
          <w:sz w:val="20"/>
          <w:szCs w:val="20"/>
        </w:rPr>
        <w:t xml:space="preserve">s </w:t>
      </w:r>
      <w:r w:rsidR="005E5A74" w:rsidRPr="00A27053">
        <w:rPr>
          <w:iCs/>
          <w:sz w:val="20"/>
          <w:szCs w:val="20"/>
        </w:rPr>
        <w:t xml:space="preserve">annual reports </w:t>
      </w:r>
      <w:r w:rsidR="006A0F9B" w:rsidRPr="00A27053">
        <w:rPr>
          <w:iCs/>
          <w:sz w:val="20"/>
          <w:szCs w:val="20"/>
        </w:rPr>
        <w:t>issued 2019–2023</w:t>
      </w:r>
      <w:r w:rsidR="005938BF" w:rsidRPr="00A27053">
        <w:rPr>
          <w:sz w:val="20"/>
          <w:szCs w:val="20"/>
        </w:rPr>
        <w:t>.</w:t>
      </w:r>
      <w:r w:rsidR="00431F9B" w:rsidRPr="00A27053">
        <w:rPr>
          <w:sz w:val="20"/>
          <w:szCs w:val="20"/>
        </w:rPr>
        <w:t xml:space="preserve"> </w:t>
      </w:r>
      <w:r w:rsidR="005938BF" w:rsidRPr="00A27053">
        <w:rPr>
          <w:sz w:val="20"/>
          <w:szCs w:val="20"/>
        </w:rPr>
        <w:t>A</w:t>
      </w:r>
      <w:r w:rsidR="00431F9B" w:rsidRPr="00A27053">
        <w:rPr>
          <w:sz w:val="20"/>
          <w:szCs w:val="20"/>
        </w:rPr>
        <w:t xml:space="preserve">vailable at </w:t>
      </w:r>
      <w:r w:rsidR="00235130" w:rsidRPr="00A27053">
        <w:rPr>
          <w:sz w:val="20"/>
          <w:szCs w:val="20"/>
        </w:rPr>
        <w:t>https://www.amnestyusa.org/</w:t>
      </w:r>
      <w:r w:rsidR="00A64CA9" w:rsidRPr="00A27053">
        <w:rPr>
          <w:sz w:val="20"/>
          <w:szCs w:val="20"/>
        </w:rPr>
        <w:t>.</w:t>
      </w:r>
    </w:p>
  </w:footnote>
  <w:footnote w:id="3">
    <w:p w14:paraId="4A4C049C" w14:textId="77777777" w:rsidR="00742EC6" w:rsidRPr="00A27053" w:rsidRDefault="00742EC6" w:rsidP="00742EC6">
      <w:pPr>
        <w:pStyle w:val="FootnoteText"/>
        <w:rPr>
          <w:sz w:val="20"/>
          <w:szCs w:val="20"/>
        </w:rPr>
      </w:pPr>
      <w:r w:rsidRPr="00A27053">
        <w:rPr>
          <w:rStyle w:val="FootnoteReference"/>
          <w:sz w:val="20"/>
          <w:szCs w:val="20"/>
        </w:rPr>
        <w:footnoteRef/>
      </w:r>
      <w:r w:rsidRPr="00A27053">
        <w:rPr>
          <w:sz w:val="20"/>
          <w:szCs w:val="20"/>
        </w:rPr>
        <w:t xml:space="preserve"> Amnesty International Global Report, </w:t>
      </w:r>
      <w:r w:rsidRPr="00A27053">
        <w:rPr>
          <w:i/>
          <w:sz w:val="20"/>
          <w:szCs w:val="20"/>
        </w:rPr>
        <w:t>Death Sentences and Executions 2023</w:t>
      </w:r>
      <w:r w:rsidRPr="00A27053">
        <w:rPr>
          <w:sz w:val="20"/>
          <w:szCs w:val="20"/>
        </w:rPr>
        <w:t>, at 29 (May 2024). Available online at https://www.amnestyusa.org/wp-content/uploads/2024/05/Amnesty-International-Global-Report-Death-Sentences-and-Executions-2023.pdf.</w:t>
      </w:r>
    </w:p>
  </w:footnote>
  <w:footnote w:id="4">
    <w:p w14:paraId="22CB1230" w14:textId="77777777" w:rsidR="002D7005" w:rsidRPr="00630DB3" w:rsidRDefault="002D7005" w:rsidP="002D7005">
      <w:pPr>
        <w:pStyle w:val="FootnoteText"/>
        <w:rPr>
          <w:sz w:val="20"/>
          <w:szCs w:val="20"/>
        </w:rPr>
      </w:pPr>
      <w:r w:rsidRPr="00630DB3">
        <w:rPr>
          <w:rStyle w:val="FootnoteReference"/>
          <w:sz w:val="20"/>
          <w:szCs w:val="20"/>
        </w:rPr>
        <w:footnoteRef/>
      </w:r>
      <w:r w:rsidRPr="00630DB3">
        <w:rPr>
          <w:sz w:val="20"/>
          <w:szCs w:val="20"/>
        </w:rPr>
        <w:t xml:space="preserve"> Email communication, Dec. 15, 2024, on file with The Advocates for Human Rights.</w:t>
      </w:r>
    </w:p>
  </w:footnote>
  <w:footnote w:id="5">
    <w:p w14:paraId="32729617" w14:textId="77777777" w:rsidR="00233A3A" w:rsidRPr="00696701" w:rsidRDefault="00233A3A" w:rsidP="00233A3A">
      <w:pPr>
        <w:pStyle w:val="FootnoteText"/>
        <w:rPr>
          <w:sz w:val="20"/>
          <w:szCs w:val="20"/>
        </w:rPr>
      </w:pPr>
      <w:r>
        <w:rPr>
          <w:rStyle w:val="FootnoteReference"/>
        </w:rPr>
        <w:footnoteRef/>
      </w:r>
      <w:r>
        <w:t xml:space="preserve"> </w:t>
      </w:r>
      <w:r w:rsidRPr="00A27053">
        <w:rPr>
          <w:color w:val="000000" w:themeColor="text1"/>
          <w:sz w:val="20"/>
          <w:szCs w:val="20"/>
        </w:rPr>
        <w:t xml:space="preserve">The Cornell Center on the Death Penalty Worldwide (The Alice Project), </w:t>
      </w:r>
      <w:r w:rsidRPr="00A27053">
        <w:rPr>
          <w:i/>
          <w:iCs/>
          <w:color w:val="000000" w:themeColor="text1"/>
          <w:sz w:val="20"/>
          <w:szCs w:val="20"/>
        </w:rPr>
        <w:t>Judged for More Than Her Crime: A Global Overview of Women Facing the Death Penalty</w:t>
      </w:r>
      <w:r w:rsidRPr="00A27053">
        <w:rPr>
          <w:color w:val="000000" w:themeColor="text1"/>
          <w:sz w:val="20"/>
          <w:szCs w:val="20"/>
        </w:rPr>
        <w:t xml:space="preserve"> (Sep. 2018), at 12, </w:t>
      </w:r>
      <w:r w:rsidRPr="00A27053">
        <w:rPr>
          <w:sz w:val="20"/>
          <w:szCs w:val="20"/>
        </w:rPr>
        <w:t>available at</w:t>
      </w:r>
      <w:r w:rsidRPr="00A27053">
        <w:rPr>
          <w:color w:val="000000" w:themeColor="text1"/>
          <w:sz w:val="20"/>
          <w:szCs w:val="20"/>
        </w:rPr>
        <w:t xml:space="preserve"> https://www.deathpenaltyworldwide.org/wp-content/uploads/2019/12/Judged-More-Than-Her-Crime.pdf.</w:t>
      </w:r>
    </w:p>
  </w:footnote>
  <w:footnote w:id="6">
    <w:p w14:paraId="157C8835" w14:textId="137A441D" w:rsidR="0087596F" w:rsidRPr="00A27053" w:rsidRDefault="0087596F">
      <w:pPr>
        <w:pStyle w:val="FootnoteText"/>
        <w:rPr>
          <w:sz w:val="20"/>
          <w:szCs w:val="20"/>
        </w:rPr>
      </w:pPr>
      <w:r w:rsidRPr="00A27053">
        <w:rPr>
          <w:rStyle w:val="FootnoteReference"/>
          <w:sz w:val="20"/>
          <w:szCs w:val="20"/>
        </w:rPr>
        <w:footnoteRef/>
      </w:r>
      <w:r w:rsidRPr="00A27053">
        <w:rPr>
          <w:sz w:val="20"/>
          <w:szCs w:val="20"/>
        </w:rPr>
        <w:t xml:space="preserve"> World Coalition Against the Death Penalty, </w:t>
      </w:r>
      <w:r w:rsidRPr="00A27053">
        <w:rPr>
          <w:i/>
          <w:iCs/>
          <w:sz w:val="20"/>
          <w:szCs w:val="20"/>
        </w:rPr>
        <w:t>Facts and Figures World Day Against the Death Penalty</w:t>
      </w:r>
      <w:r w:rsidR="00DA773E" w:rsidRPr="00A27053">
        <w:rPr>
          <w:sz w:val="20"/>
          <w:szCs w:val="20"/>
        </w:rPr>
        <w:t>,</w:t>
      </w:r>
      <w:r w:rsidRPr="00A27053">
        <w:rPr>
          <w:sz w:val="20"/>
          <w:szCs w:val="20"/>
        </w:rPr>
        <w:t xml:space="preserve"> at 1</w:t>
      </w:r>
      <w:r w:rsidR="001E163B" w:rsidRPr="00A27053">
        <w:rPr>
          <w:sz w:val="20"/>
          <w:szCs w:val="20"/>
        </w:rPr>
        <w:t>, (Oct. 2024)</w:t>
      </w:r>
      <w:r w:rsidR="005938BF" w:rsidRPr="00A27053">
        <w:rPr>
          <w:sz w:val="20"/>
          <w:szCs w:val="20"/>
        </w:rPr>
        <w:t>. A</w:t>
      </w:r>
      <w:r w:rsidR="00431F9B" w:rsidRPr="00A27053">
        <w:rPr>
          <w:sz w:val="20"/>
          <w:szCs w:val="20"/>
        </w:rPr>
        <w:t>vailable</w:t>
      </w:r>
      <w:r w:rsidR="00DA773E" w:rsidRPr="00A27053">
        <w:rPr>
          <w:sz w:val="20"/>
          <w:szCs w:val="20"/>
        </w:rPr>
        <w:t xml:space="preserve"> at</w:t>
      </w:r>
      <w:r w:rsidR="00A64CA9" w:rsidRPr="00A27053">
        <w:rPr>
          <w:sz w:val="20"/>
          <w:szCs w:val="20"/>
        </w:rPr>
        <w:t xml:space="preserve"> </w:t>
      </w:r>
      <w:r w:rsidRPr="00A27053">
        <w:rPr>
          <w:sz w:val="20"/>
          <w:szCs w:val="20"/>
        </w:rPr>
        <w:t>https://worldcoalition.org/wp-content/uploads/2024/07/FactsFigures2024_EN_Final.pdf</w:t>
      </w:r>
      <w:r w:rsidR="00FB5256" w:rsidRPr="00A27053">
        <w:rPr>
          <w:sz w:val="20"/>
          <w:szCs w:val="20"/>
        </w:rPr>
        <w:t>.</w:t>
      </w:r>
    </w:p>
  </w:footnote>
  <w:footnote w:id="7">
    <w:p w14:paraId="758A77B6" w14:textId="77777777" w:rsidR="00B87D5E" w:rsidRPr="002F7A77" w:rsidRDefault="00B87D5E" w:rsidP="00B87D5E">
      <w:pPr>
        <w:pStyle w:val="FootnoteText"/>
      </w:pPr>
      <w:r>
        <w:rPr>
          <w:rStyle w:val="FootnoteReference"/>
        </w:rPr>
        <w:footnoteRef/>
      </w:r>
      <w:r>
        <w:t xml:space="preserve"> </w:t>
      </w:r>
      <w:r w:rsidRPr="00696701">
        <w:rPr>
          <w:sz w:val="20"/>
          <w:szCs w:val="20"/>
        </w:rPr>
        <w:t>U.N. Office of the High Commissioner for Human Rights and U.N. Assistance Mission for Iraq Human Rights Office, Report on the Death Penalty in Iraq, available at: http://www.ohchr.org/Documents/Countries/IQ/UNAMI_HRO_DP_1Oct2014.pdf, Oct. 2014</w:t>
      </w:r>
      <w:r>
        <w:rPr>
          <w:sz w:val="20"/>
          <w:szCs w:val="20"/>
        </w:rPr>
        <w:t xml:space="preserve"> </w:t>
      </w:r>
    </w:p>
  </w:footnote>
  <w:footnote w:id="8">
    <w:p w14:paraId="713F8C41" w14:textId="7C50CB46" w:rsidR="0087596F" w:rsidRPr="00A27053" w:rsidRDefault="0087596F" w:rsidP="0087596F">
      <w:pPr>
        <w:pStyle w:val="FootnoteText"/>
        <w:rPr>
          <w:sz w:val="20"/>
          <w:szCs w:val="20"/>
        </w:rPr>
      </w:pPr>
      <w:r w:rsidRPr="00A27053">
        <w:rPr>
          <w:rStyle w:val="FootnoteReference"/>
          <w:sz w:val="20"/>
          <w:szCs w:val="20"/>
        </w:rPr>
        <w:footnoteRef/>
      </w:r>
      <w:r w:rsidRPr="00A27053">
        <w:rPr>
          <w:sz w:val="20"/>
          <w:szCs w:val="20"/>
        </w:rPr>
        <w:t xml:space="preserve"> Amnesty International</w:t>
      </w:r>
      <w:r w:rsidR="00DA773E" w:rsidRPr="00A27053">
        <w:rPr>
          <w:sz w:val="20"/>
          <w:szCs w:val="20"/>
        </w:rPr>
        <w:t xml:space="preserve"> Global Report</w:t>
      </w:r>
      <w:r w:rsidRPr="00A27053">
        <w:rPr>
          <w:sz w:val="20"/>
          <w:szCs w:val="20"/>
        </w:rPr>
        <w:t xml:space="preserve">, </w:t>
      </w:r>
      <w:r w:rsidRPr="00A27053">
        <w:rPr>
          <w:i/>
          <w:sz w:val="20"/>
          <w:szCs w:val="20"/>
        </w:rPr>
        <w:t>Death Sentences and Executions 2023</w:t>
      </w:r>
      <w:r w:rsidRPr="00A27053">
        <w:rPr>
          <w:sz w:val="20"/>
          <w:szCs w:val="20"/>
        </w:rPr>
        <w:t xml:space="preserve">, at </w:t>
      </w:r>
      <w:r w:rsidR="000625ED" w:rsidRPr="00A27053">
        <w:rPr>
          <w:sz w:val="20"/>
          <w:szCs w:val="20"/>
        </w:rPr>
        <w:t>31</w:t>
      </w:r>
      <w:r w:rsidR="001E163B" w:rsidRPr="00A27053">
        <w:rPr>
          <w:sz w:val="20"/>
          <w:szCs w:val="20"/>
        </w:rPr>
        <w:t xml:space="preserve"> (May 2024)</w:t>
      </w:r>
      <w:r w:rsidRPr="00A27053">
        <w:rPr>
          <w:sz w:val="20"/>
          <w:szCs w:val="20"/>
        </w:rPr>
        <w:t>.</w:t>
      </w:r>
      <w:r w:rsidR="00933339" w:rsidRPr="00A27053">
        <w:rPr>
          <w:sz w:val="20"/>
          <w:szCs w:val="20"/>
        </w:rPr>
        <w:t xml:space="preserve"> </w:t>
      </w:r>
      <w:r w:rsidR="00DA773E" w:rsidRPr="00A27053">
        <w:rPr>
          <w:sz w:val="20"/>
          <w:szCs w:val="20"/>
        </w:rPr>
        <w:t xml:space="preserve">Available online at </w:t>
      </w:r>
      <w:r w:rsidRPr="00A27053">
        <w:rPr>
          <w:sz w:val="20"/>
          <w:szCs w:val="20"/>
        </w:rPr>
        <w:t>https://www.amnestyusa.org/wp-content/uploads/2024/05/Amnesty-International-Global-Report-Death-Sentences-and-Executions-2023.pdf.</w:t>
      </w:r>
    </w:p>
  </w:footnote>
  <w:footnote w:id="9">
    <w:p w14:paraId="0C5F9444" w14:textId="5933E6E2" w:rsidR="00676C44" w:rsidRPr="00A27053" w:rsidRDefault="00676C44">
      <w:pPr>
        <w:pStyle w:val="FootnoteText"/>
        <w:rPr>
          <w:sz w:val="20"/>
          <w:szCs w:val="20"/>
        </w:rPr>
      </w:pPr>
      <w:r w:rsidRPr="00A27053">
        <w:rPr>
          <w:rStyle w:val="FootnoteReference"/>
          <w:sz w:val="20"/>
          <w:szCs w:val="20"/>
        </w:rPr>
        <w:footnoteRef/>
      </w:r>
      <w:r w:rsidRPr="00A27053">
        <w:rPr>
          <w:sz w:val="20"/>
          <w:szCs w:val="20"/>
        </w:rPr>
        <w:t xml:space="preserve"> </w:t>
      </w:r>
      <w:r w:rsidR="000625ED" w:rsidRPr="00A27053">
        <w:rPr>
          <w:i/>
          <w:iCs/>
          <w:sz w:val="20"/>
          <w:szCs w:val="20"/>
        </w:rPr>
        <w:t>Iraq hangs 21 mostly on “terror” charges: security sources</w:t>
      </w:r>
      <w:r w:rsidR="000625ED" w:rsidRPr="00A27053">
        <w:rPr>
          <w:sz w:val="20"/>
          <w:szCs w:val="20"/>
        </w:rPr>
        <w:t xml:space="preserve">, Arab News, Sept. 25, 2024, https://www.arabnews.com/node/2572758/middle-east; </w:t>
      </w:r>
      <w:r w:rsidR="003831F0" w:rsidRPr="00A27053">
        <w:rPr>
          <w:i/>
          <w:iCs/>
          <w:sz w:val="20"/>
          <w:szCs w:val="20"/>
        </w:rPr>
        <w:t>Iraq issues death sentence against wife of late Islamic State leader</w:t>
      </w:r>
      <w:r w:rsidR="003831F0" w:rsidRPr="00A27053">
        <w:rPr>
          <w:sz w:val="20"/>
          <w:szCs w:val="20"/>
        </w:rPr>
        <w:t>, Tala Ramadan and Jana Choukeir, Reuters</w:t>
      </w:r>
      <w:r w:rsidR="00532ADB" w:rsidRPr="00A27053">
        <w:rPr>
          <w:sz w:val="20"/>
          <w:szCs w:val="20"/>
        </w:rPr>
        <w:t xml:space="preserve">, </w:t>
      </w:r>
      <w:r w:rsidR="005F4AAB" w:rsidRPr="00A27053">
        <w:rPr>
          <w:sz w:val="20"/>
          <w:szCs w:val="20"/>
        </w:rPr>
        <w:t>(</w:t>
      </w:r>
      <w:r w:rsidR="004B7EEE" w:rsidRPr="00A27053">
        <w:rPr>
          <w:sz w:val="20"/>
          <w:szCs w:val="20"/>
        </w:rPr>
        <w:t>Jul</w:t>
      </w:r>
      <w:r w:rsidR="00B83510" w:rsidRPr="00A27053">
        <w:rPr>
          <w:sz w:val="20"/>
          <w:szCs w:val="20"/>
        </w:rPr>
        <w:t>.</w:t>
      </w:r>
      <w:r w:rsidR="003831F0" w:rsidRPr="00A27053">
        <w:rPr>
          <w:sz w:val="20"/>
          <w:szCs w:val="20"/>
        </w:rPr>
        <w:t xml:space="preserve"> </w:t>
      </w:r>
      <w:r w:rsidR="00DA773E" w:rsidRPr="00A27053">
        <w:rPr>
          <w:sz w:val="20"/>
          <w:szCs w:val="20"/>
        </w:rPr>
        <w:t xml:space="preserve">10, </w:t>
      </w:r>
      <w:r w:rsidR="003831F0" w:rsidRPr="00A27053">
        <w:rPr>
          <w:sz w:val="20"/>
          <w:szCs w:val="20"/>
        </w:rPr>
        <w:t>2024</w:t>
      </w:r>
      <w:r w:rsidR="005B3A17" w:rsidRPr="00A27053">
        <w:rPr>
          <w:sz w:val="20"/>
          <w:szCs w:val="20"/>
        </w:rPr>
        <w:t xml:space="preserve">), </w:t>
      </w:r>
      <w:r w:rsidR="004C7B0F" w:rsidRPr="00A27053">
        <w:rPr>
          <w:sz w:val="20"/>
          <w:szCs w:val="20"/>
        </w:rPr>
        <w:t>https://www.reuters.com/world/middle-east/iraq-issues-death-sentence-against-wife-late-islamic-state-leader-2024-07-10/</w:t>
      </w:r>
      <w:r w:rsidR="00DD10E1" w:rsidRPr="00A27053">
        <w:rPr>
          <w:sz w:val="20"/>
          <w:szCs w:val="20"/>
        </w:rPr>
        <w:t>.</w:t>
      </w:r>
    </w:p>
  </w:footnote>
  <w:footnote w:id="10">
    <w:p w14:paraId="7B1DA2B0" w14:textId="309C5FB8" w:rsidR="00C65563" w:rsidRPr="00A27053" w:rsidRDefault="00C65563">
      <w:pPr>
        <w:pStyle w:val="FootnoteText"/>
        <w:rPr>
          <w:sz w:val="20"/>
          <w:szCs w:val="20"/>
        </w:rPr>
      </w:pPr>
      <w:r w:rsidRPr="00A27053">
        <w:rPr>
          <w:rStyle w:val="FootnoteReference"/>
          <w:sz w:val="20"/>
          <w:szCs w:val="20"/>
        </w:rPr>
        <w:footnoteRef/>
      </w:r>
      <w:r w:rsidRPr="00A27053">
        <w:rPr>
          <w:sz w:val="20"/>
          <w:szCs w:val="20"/>
        </w:rPr>
        <w:t xml:space="preserve"> </w:t>
      </w:r>
      <w:r w:rsidRPr="00A27053">
        <w:rPr>
          <w:i/>
          <w:iCs/>
          <w:sz w:val="20"/>
          <w:szCs w:val="20"/>
        </w:rPr>
        <w:t>Ira</w:t>
      </w:r>
      <w:r w:rsidR="004B7EEE" w:rsidRPr="00A27053">
        <w:rPr>
          <w:i/>
          <w:iCs/>
          <w:sz w:val="20"/>
          <w:szCs w:val="20"/>
        </w:rPr>
        <w:t>q</w:t>
      </w:r>
      <w:r w:rsidRPr="00A27053">
        <w:rPr>
          <w:i/>
          <w:iCs/>
          <w:sz w:val="20"/>
          <w:szCs w:val="20"/>
        </w:rPr>
        <w:t>: Surging Unlawful Executions</w:t>
      </w:r>
      <w:r w:rsidR="000369BA" w:rsidRPr="00A27053">
        <w:rPr>
          <w:sz w:val="20"/>
          <w:szCs w:val="20"/>
        </w:rPr>
        <w:t>,</w:t>
      </w:r>
      <w:r w:rsidRPr="00A27053">
        <w:rPr>
          <w:sz w:val="20"/>
          <w:szCs w:val="20"/>
        </w:rPr>
        <w:t xml:space="preserve"> Human Rights Watch, </w:t>
      </w:r>
      <w:r w:rsidR="003830E5" w:rsidRPr="00A27053">
        <w:rPr>
          <w:sz w:val="20"/>
          <w:szCs w:val="20"/>
        </w:rPr>
        <w:t>(</w:t>
      </w:r>
      <w:r w:rsidR="004B7EEE" w:rsidRPr="00A27053">
        <w:rPr>
          <w:sz w:val="20"/>
          <w:szCs w:val="20"/>
        </w:rPr>
        <w:t>Nov</w:t>
      </w:r>
      <w:r w:rsidR="004C7B0F" w:rsidRPr="00A27053">
        <w:rPr>
          <w:sz w:val="20"/>
          <w:szCs w:val="20"/>
        </w:rPr>
        <w:t>.</w:t>
      </w:r>
      <w:r w:rsidR="000F156D" w:rsidRPr="00A27053">
        <w:rPr>
          <w:sz w:val="20"/>
          <w:szCs w:val="20"/>
        </w:rPr>
        <w:t xml:space="preserve"> 19, </w:t>
      </w:r>
      <w:r w:rsidR="00933339" w:rsidRPr="00A27053">
        <w:rPr>
          <w:sz w:val="20"/>
          <w:szCs w:val="20"/>
        </w:rPr>
        <w:t>2024</w:t>
      </w:r>
      <w:r w:rsidR="003830E5" w:rsidRPr="00A27053">
        <w:rPr>
          <w:sz w:val="20"/>
          <w:szCs w:val="20"/>
        </w:rPr>
        <w:t>)</w:t>
      </w:r>
      <w:r w:rsidRPr="00A27053">
        <w:rPr>
          <w:sz w:val="20"/>
          <w:szCs w:val="20"/>
        </w:rPr>
        <w:t xml:space="preserve">, </w:t>
      </w:r>
      <w:r w:rsidR="004C7B0F" w:rsidRPr="00A27053">
        <w:rPr>
          <w:sz w:val="20"/>
          <w:szCs w:val="20"/>
        </w:rPr>
        <w:t>https://www.hrw.org/news/2024/11/19/iraq-surging-unlawful-executions</w:t>
      </w:r>
      <w:r w:rsidR="00DD10E1" w:rsidRPr="00A27053">
        <w:rPr>
          <w:sz w:val="20"/>
          <w:szCs w:val="20"/>
        </w:rPr>
        <w:t>.</w:t>
      </w:r>
    </w:p>
  </w:footnote>
  <w:footnote w:id="11">
    <w:p w14:paraId="71F49E38" w14:textId="0046E91E" w:rsidR="00647E93" w:rsidRPr="00A27053" w:rsidRDefault="00647E93" w:rsidP="00647E93">
      <w:pPr>
        <w:pStyle w:val="FootnoteText"/>
        <w:rPr>
          <w:sz w:val="20"/>
          <w:szCs w:val="20"/>
          <w:lang w:eastAsia="zh-CN"/>
        </w:rPr>
      </w:pPr>
      <w:r w:rsidRPr="00A27053">
        <w:rPr>
          <w:rStyle w:val="FootnoteReference"/>
          <w:sz w:val="20"/>
          <w:szCs w:val="20"/>
        </w:rPr>
        <w:footnoteRef/>
      </w:r>
      <w:r w:rsidRPr="00A27053">
        <w:rPr>
          <w:sz w:val="20"/>
          <w:szCs w:val="20"/>
        </w:rPr>
        <w:t xml:space="preserve"> </w:t>
      </w:r>
      <w:r w:rsidR="004C7B0F" w:rsidRPr="00A27053">
        <w:rPr>
          <w:i/>
          <w:iCs/>
          <w:sz w:val="20"/>
          <w:szCs w:val="20"/>
        </w:rPr>
        <w:t>Iraq: Surging Unlawful Executions</w:t>
      </w:r>
      <w:r w:rsidR="004C7B0F" w:rsidRPr="00A27053">
        <w:rPr>
          <w:sz w:val="20"/>
          <w:szCs w:val="20"/>
        </w:rPr>
        <w:t xml:space="preserve">, Human Rights Watch, (Nov. </w:t>
      </w:r>
      <w:r w:rsidR="000F156D" w:rsidRPr="00A27053">
        <w:rPr>
          <w:sz w:val="20"/>
          <w:szCs w:val="20"/>
        </w:rPr>
        <w:t xml:space="preserve">19, </w:t>
      </w:r>
      <w:r w:rsidR="004C7B0F" w:rsidRPr="00A27053">
        <w:rPr>
          <w:sz w:val="20"/>
          <w:szCs w:val="20"/>
        </w:rPr>
        <w:t>2024), https://www.hrw.org/news/2024/11/19/iraq-surging-unlawful-executions</w:t>
      </w:r>
      <w:r w:rsidR="00DD10E1" w:rsidRPr="00A27053">
        <w:rPr>
          <w:sz w:val="20"/>
          <w:szCs w:val="20"/>
        </w:rPr>
        <w:t>.</w:t>
      </w:r>
    </w:p>
  </w:footnote>
  <w:footnote w:id="12">
    <w:p w14:paraId="253BB25C" w14:textId="77777777" w:rsidR="003F43A4" w:rsidRPr="00A27053" w:rsidRDefault="003F43A4" w:rsidP="003F43A4">
      <w:pPr>
        <w:pStyle w:val="FootnoteText"/>
        <w:rPr>
          <w:sz w:val="20"/>
          <w:szCs w:val="20"/>
          <w:lang w:eastAsia="zh-CN"/>
        </w:rPr>
      </w:pPr>
      <w:r w:rsidRPr="00A27053">
        <w:rPr>
          <w:rStyle w:val="FootnoteReference"/>
          <w:sz w:val="20"/>
          <w:szCs w:val="20"/>
        </w:rPr>
        <w:footnoteRef/>
      </w:r>
      <w:r w:rsidRPr="00A27053">
        <w:rPr>
          <w:sz w:val="20"/>
          <w:szCs w:val="20"/>
        </w:rPr>
        <w:t xml:space="preserve"> Iraq Constitution, art. 15, translation: United Nations Assistance Mission for Iraq, 2005.</w:t>
      </w:r>
    </w:p>
  </w:footnote>
  <w:footnote w:id="13">
    <w:p w14:paraId="6E9ADDAC" w14:textId="77777777" w:rsidR="001B5219" w:rsidRPr="00A27053" w:rsidRDefault="001B5219" w:rsidP="001B5219">
      <w:pPr>
        <w:pStyle w:val="FootnoteText"/>
        <w:rPr>
          <w:sz w:val="20"/>
          <w:szCs w:val="20"/>
          <w:lang w:eastAsia="zh-CN"/>
        </w:rPr>
      </w:pPr>
      <w:r w:rsidRPr="00A27053">
        <w:rPr>
          <w:rStyle w:val="FootnoteReference"/>
          <w:sz w:val="20"/>
          <w:szCs w:val="20"/>
        </w:rPr>
        <w:footnoteRef/>
      </w:r>
      <w:r w:rsidRPr="00A27053">
        <w:rPr>
          <w:sz w:val="20"/>
          <w:szCs w:val="20"/>
        </w:rPr>
        <w:t xml:space="preserve"> Iraq Penal Code, arts. 342, 349, 351, 354, 355, 422-424, 442, STS 251/88, Law no. 111, amended by Decision no. 330, Apr. 19, 1981; RCC Decision No. 488, published in Al-Waqai’ Al-Iraqiya No. 2650 of Apr. 24, 1978, secs. 1-3, reprinted in: Iraq Penal Code, Law no. 111, amended by Decision no. 330, pp. 101-102, Apr. 19, 1981.</w:t>
      </w:r>
    </w:p>
  </w:footnote>
  <w:footnote w:id="14">
    <w:p w14:paraId="4636F4DD" w14:textId="77777777" w:rsidR="001B5219" w:rsidRPr="00A27053" w:rsidRDefault="001B5219" w:rsidP="001B5219">
      <w:pPr>
        <w:pStyle w:val="FootnoteText"/>
        <w:rPr>
          <w:sz w:val="20"/>
          <w:szCs w:val="20"/>
          <w:lang w:eastAsia="zh-CN"/>
        </w:rPr>
      </w:pPr>
      <w:r w:rsidRPr="00A27053">
        <w:rPr>
          <w:rStyle w:val="FootnoteReference"/>
          <w:sz w:val="20"/>
          <w:szCs w:val="20"/>
        </w:rPr>
        <w:footnoteRef/>
      </w:r>
      <w:r w:rsidRPr="00A27053">
        <w:rPr>
          <w:sz w:val="20"/>
          <w:szCs w:val="20"/>
        </w:rPr>
        <w:t xml:space="preserve"> Iraq Anti-Terrorism Law, arts. 1-4, Law No. 13 of 2005, Nov. 7, 2005.</w:t>
      </w:r>
    </w:p>
  </w:footnote>
  <w:footnote w:id="15">
    <w:p w14:paraId="455C92FC" w14:textId="77777777" w:rsidR="001B5219" w:rsidRPr="00A27053" w:rsidRDefault="001B5219" w:rsidP="001B5219">
      <w:pPr>
        <w:pStyle w:val="FootnoteText"/>
        <w:rPr>
          <w:sz w:val="20"/>
          <w:szCs w:val="20"/>
          <w:lang w:eastAsia="zh-CN"/>
        </w:rPr>
      </w:pPr>
      <w:r w:rsidRPr="00A27053">
        <w:rPr>
          <w:rStyle w:val="FootnoteReference"/>
          <w:sz w:val="20"/>
          <w:szCs w:val="20"/>
        </w:rPr>
        <w:footnoteRef/>
      </w:r>
      <w:r w:rsidRPr="00A27053">
        <w:rPr>
          <w:sz w:val="20"/>
          <w:szCs w:val="20"/>
        </w:rPr>
        <w:t xml:space="preserve"> Iraq Anti-Terrorism Law, arts. 1-4, Law No. 13 of 2005, Nov. 7, 2005.</w:t>
      </w:r>
    </w:p>
  </w:footnote>
  <w:footnote w:id="16">
    <w:p w14:paraId="0B7F9914" w14:textId="77777777" w:rsidR="001B5219" w:rsidRPr="00A27053" w:rsidRDefault="001B5219" w:rsidP="001B5219">
      <w:pPr>
        <w:pStyle w:val="FootnoteText"/>
        <w:rPr>
          <w:sz w:val="20"/>
          <w:szCs w:val="20"/>
        </w:rPr>
      </w:pPr>
      <w:r w:rsidRPr="00A27053">
        <w:rPr>
          <w:rStyle w:val="FootnoteReference"/>
          <w:sz w:val="20"/>
          <w:szCs w:val="20"/>
        </w:rPr>
        <w:footnoteRef/>
      </w:r>
      <w:r w:rsidRPr="00A27053">
        <w:rPr>
          <w:sz w:val="20"/>
          <w:szCs w:val="20"/>
        </w:rPr>
        <w:t xml:space="preserve"> Iraq Anti-Terrorism Law, arts. 1-4, Law No. 13 of 2005, Nov. 7, 2005.</w:t>
      </w:r>
    </w:p>
  </w:footnote>
  <w:footnote w:id="17">
    <w:p w14:paraId="26244CE6" w14:textId="6224E299" w:rsidR="004C58AF" w:rsidRPr="00A27053" w:rsidRDefault="004C58AF" w:rsidP="004C58AF">
      <w:pPr>
        <w:pStyle w:val="FootnoteText"/>
        <w:rPr>
          <w:sz w:val="20"/>
          <w:szCs w:val="20"/>
        </w:rPr>
      </w:pPr>
      <w:r w:rsidRPr="00A27053">
        <w:rPr>
          <w:rStyle w:val="FootnoteReference"/>
          <w:sz w:val="20"/>
          <w:szCs w:val="20"/>
        </w:rPr>
        <w:footnoteRef/>
      </w:r>
      <w:r w:rsidR="00FB5256" w:rsidRPr="00A27053">
        <w:rPr>
          <w:sz w:val="20"/>
          <w:szCs w:val="20"/>
        </w:rPr>
        <w:t xml:space="preserve"> </w:t>
      </w:r>
      <w:r w:rsidR="000625ED" w:rsidRPr="00A27053">
        <w:rPr>
          <w:i/>
          <w:iCs/>
          <w:sz w:val="20"/>
          <w:szCs w:val="20"/>
        </w:rPr>
        <w:t>Iraq hangs 21 mostly on “terror” charges: security sources</w:t>
      </w:r>
      <w:r w:rsidR="000625ED" w:rsidRPr="00A27053">
        <w:rPr>
          <w:sz w:val="20"/>
          <w:szCs w:val="20"/>
        </w:rPr>
        <w:t xml:space="preserve">, Arab News, Sept. 25, 2024, https://www.arabnews.com/node/2572758/middle-east; </w:t>
      </w:r>
      <w:r w:rsidR="0030361E" w:rsidRPr="00A27053">
        <w:rPr>
          <w:i/>
          <w:iCs/>
          <w:sz w:val="20"/>
          <w:szCs w:val="20"/>
        </w:rPr>
        <w:t>Global: Executions soar to highest number in almost a decade</w:t>
      </w:r>
      <w:r w:rsidR="00312933" w:rsidRPr="00A27053">
        <w:rPr>
          <w:i/>
          <w:iCs/>
          <w:sz w:val="20"/>
          <w:szCs w:val="20"/>
        </w:rPr>
        <w:t xml:space="preserve">, </w:t>
      </w:r>
      <w:r w:rsidR="00312933" w:rsidRPr="00A27053">
        <w:rPr>
          <w:sz w:val="20"/>
          <w:szCs w:val="20"/>
        </w:rPr>
        <w:t>Amnesty International</w:t>
      </w:r>
      <w:r w:rsidR="00EF4370" w:rsidRPr="00A27053">
        <w:rPr>
          <w:sz w:val="20"/>
          <w:szCs w:val="20"/>
        </w:rPr>
        <w:t xml:space="preserve"> </w:t>
      </w:r>
      <w:r w:rsidR="0030361E" w:rsidRPr="00A27053">
        <w:rPr>
          <w:sz w:val="20"/>
          <w:szCs w:val="20"/>
        </w:rPr>
        <w:t xml:space="preserve">(May </w:t>
      </w:r>
      <w:r w:rsidR="00312933" w:rsidRPr="00A27053">
        <w:rPr>
          <w:sz w:val="20"/>
          <w:szCs w:val="20"/>
        </w:rPr>
        <w:t xml:space="preserve">29, </w:t>
      </w:r>
      <w:r w:rsidR="0030361E" w:rsidRPr="00A27053">
        <w:rPr>
          <w:sz w:val="20"/>
          <w:szCs w:val="20"/>
        </w:rPr>
        <w:t>2024), https://www.amnesty.org/en/latest/news/2024/05/global-executions-soar-highest-number-in-decade/</w:t>
      </w:r>
      <w:r w:rsidR="00DD10E1" w:rsidRPr="00A27053">
        <w:rPr>
          <w:sz w:val="20"/>
          <w:szCs w:val="20"/>
        </w:rPr>
        <w:t>.</w:t>
      </w:r>
    </w:p>
  </w:footnote>
  <w:footnote w:id="18">
    <w:p w14:paraId="7181EE61" w14:textId="77777777" w:rsidR="002D7005" w:rsidRPr="00630DB3" w:rsidRDefault="002D7005" w:rsidP="002D7005">
      <w:pPr>
        <w:pStyle w:val="FootnoteText"/>
        <w:rPr>
          <w:sz w:val="20"/>
          <w:szCs w:val="20"/>
        </w:rPr>
      </w:pPr>
      <w:r w:rsidRPr="00630DB3">
        <w:rPr>
          <w:rStyle w:val="FootnoteReference"/>
          <w:sz w:val="20"/>
          <w:szCs w:val="20"/>
        </w:rPr>
        <w:footnoteRef/>
      </w:r>
      <w:r w:rsidRPr="00630DB3">
        <w:rPr>
          <w:sz w:val="20"/>
          <w:szCs w:val="20"/>
        </w:rPr>
        <w:t xml:space="preserve"> Email communication, Dec. 15, 2024, on file with The Advocates for Human Rights.</w:t>
      </w:r>
    </w:p>
  </w:footnote>
  <w:footnote w:id="19">
    <w:p w14:paraId="59A6ED51" w14:textId="3F2B076A" w:rsidR="004C58AF" w:rsidRPr="00A27053" w:rsidRDefault="004C58AF" w:rsidP="004C58AF">
      <w:pPr>
        <w:pStyle w:val="FootnoteText"/>
        <w:rPr>
          <w:sz w:val="20"/>
          <w:szCs w:val="20"/>
        </w:rPr>
      </w:pPr>
      <w:r w:rsidRPr="00A27053">
        <w:rPr>
          <w:rStyle w:val="FootnoteReference"/>
          <w:sz w:val="20"/>
          <w:szCs w:val="20"/>
        </w:rPr>
        <w:footnoteRef/>
      </w:r>
      <w:r w:rsidRPr="00A27053">
        <w:rPr>
          <w:sz w:val="20"/>
          <w:szCs w:val="20"/>
        </w:rPr>
        <w:t xml:space="preserve"> </w:t>
      </w:r>
      <w:r w:rsidR="004C7B0F" w:rsidRPr="00A27053">
        <w:rPr>
          <w:i/>
          <w:iCs/>
          <w:sz w:val="20"/>
          <w:szCs w:val="20"/>
        </w:rPr>
        <w:t>Iraq: At Least 13 people executed amid alarming lack of transparency</w:t>
      </w:r>
      <w:r w:rsidR="004C7B0F" w:rsidRPr="00A27053">
        <w:rPr>
          <w:sz w:val="20"/>
          <w:szCs w:val="20"/>
        </w:rPr>
        <w:t>, Amnesty International (Apr. 24, 2024), https://www.amnesty.org/en/latest/news/2024/04/iraq-at-least-13-people-executed-amid-alarming-lack-of-transparency/</w:t>
      </w:r>
      <w:r w:rsidR="00DD10E1" w:rsidRPr="00A27053">
        <w:rPr>
          <w:sz w:val="20"/>
          <w:szCs w:val="20"/>
        </w:rPr>
        <w:t>.</w:t>
      </w:r>
    </w:p>
  </w:footnote>
  <w:footnote w:id="20">
    <w:p w14:paraId="090EA07C" w14:textId="5B5FEF07" w:rsidR="00EF17AD" w:rsidRPr="00A27053" w:rsidRDefault="00EF17AD">
      <w:pPr>
        <w:pStyle w:val="FootnoteText"/>
        <w:rPr>
          <w:sz w:val="20"/>
          <w:szCs w:val="20"/>
        </w:rPr>
      </w:pPr>
      <w:r w:rsidRPr="00A27053">
        <w:rPr>
          <w:rStyle w:val="FootnoteReference"/>
          <w:sz w:val="20"/>
          <w:szCs w:val="20"/>
        </w:rPr>
        <w:footnoteRef/>
      </w:r>
      <w:r w:rsidRPr="00A27053">
        <w:rPr>
          <w:sz w:val="20"/>
          <w:szCs w:val="20"/>
        </w:rPr>
        <w:t xml:space="preserve"> Lynsey Chutel &amp; Eve Sampson, </w:t>
      </w:r>
      <w:r w:rsidRPr="00A27053">
        <w:rPr>
          <w:i/>
          <w:iCs/>
          <w:sz w:val="20"/>
          <w:szCs w:val="20"/>
        </w:rPr>
        <w:t>Iraq Sentences ISIS Leader’s Wife to Death Over Crimes Against Yazidis</w:t>
      </w:r>
      <w:r w:rsidRPr="00A27053">
        <w:rPr>
          <w:sz w:val="20"/>
          <w:szCs w:val="20"/>
        </w:rPr>
        <w:t>, New York Times, July 11, 2024, https://www.nytimes.com/2024/07/11/world/middleeast/isis-baghdadi-iraq-wife.html#.</w:t>
      </w:r>
    </w:p>
  </w:footnote>
  <w:footnote w:id="21">
    <w:p w14:paraId="2B3B1F82" w14:textId="77777777" w:rsidR="00EF17AD" w:rsidRPr="00A27053" w:rsidRDefault="00EF17AD" w:rsidP="00EF17AD">
      <w:pPr>
        <w:pStyle w:val="FootnoteText"/>
        <w:rPr>
          <w:sz w:val="20"/>
          <w:szCs w:val="20"/>
        </w:rPr>
      </w:pPr>
      <w:r w:rsidRPr="00A27053">
        <w:rPr>
          <w:rStyle w:val="FootnoteReference"/>
          <w:sz w:val="20"/>
          <w:szCs w:val="20"/>
        </w:rPr>
        <w:footnoteRef/>
      </w:r>
      <w:r w:rsidRPr="00A27053">
        <w:rPr>
          <w:sz w:val="20"/>
          <w:szCs w:val="20"/>
        </w:rPr>
        <w:t xml:space="preserve"> Lynsey Chutel &amp; Eve Sampson, </w:t>
      </w:r>
      <w:r w:rsidRPr="00A27053">
        <w:rPr>
          <w:i/>
          <w:iCs/>
          <w:sz w:val="20"/>
          <w:szCs w:val="20"/>
        </w:rPr>
        <w:t>Iraq Sentences ISIS Leader’s Wife to Death Over Crimes Against Yazidis</w:t>
      </w:r>
      <w:r w:rsidRPr="00A27053">
        <w:rPr>
          <w:sz w:val="20"/>
          <w:szCs w:val="20"/>
        </w:rPr>
        <w:t>, New York Times, July 11, 2024, https://www.nytimes.com/2024/07/11/world/middleeast/isis-baghdadi-iraq-wife.html#.</w:t>
      </w:r>
    </w:p>
  </w:footnote>
  <w:footnote w:id="22">
    <w:p w14:paraId="3CC14CA3" w14:textId="77777777" w:rsidR="00EF17AD" w:rsidRPr="00A27053" w:rsidRDefault="00EF17AD" w:rsidP="00EF17AD">
      <w:pPr>
        <w:pStyle w:val="FootnoteText"/>
        <w:rPr>
          <w:sz w:val="20"/>
          <w:szCs w:val="20"/>
        </w:rPr>
      </w:pPr>
      <w:r w:rsidRPr="00A27053">
        <w:rPr>
          <w:rStyle w:val="FootnoteReference"/>
          <w:sz w:val="20"/>
          <w:szCs w:val="20"/>
        </w:rPr>
        <w:footnoteRef/>
      </w:r>
      <w:r w:rsidRPr="00A27053">
        <w:rPr>
          <w:sz w:val="20"/>
          <w:szCs w:val="20"/>
        </w:rPr>
        <w:t xml:space="preserve"> Lynsey Chutel &amp; Eve Sampson, </w:t>
      </w:r>
      <w:r w:rsidRPr="00A27053">
        <w:rPr>
          <w:i/>
          <w:iCs/>
          <w:sz w:val="20"/>
          <w:szCs w:val="20"/>
        </w:rPr>
        <w:t>Iraq Sentences ISIS Leader’s Wife to Death Over Crimes Against Yazidis</w:t>
      </w:r>
      <w:r w:rsidRPr="00A27053">
        <w:rPr>
          <w:sz w:val="20"/>
          <w:szCs w:val="20"/>
        </w:rPr>
        <w:t>, New York Times, July 11, 2024, https://www.nytimes.com/2024/07/11/world/middleeast/isis-baghdadi-iraq-wife.html#.</w:t>
      </w:r>
    </w:p>
  </w:footnote>
  <w:footnote w:id="23">
    <w:p w14:paraId="12B81DC1" w14:textId="77777777" w:rsidR="00612815" w:rsidRPr="00A27053" w:rsidRDefault="00612815" w:rsidP="00185358">
      <w:pPr>
        <w:pStyle w:val="FootnoteText"/>
        <w:rPr>
          <w:sz w:val="20"/>
          <w:szCs w:val="20"/>
          <w:lang w:val="en-GB"/>
        </w:rPr>
      </w:pPr>
      <w:r w:rsidRPr="00A27053">
        <w:rPr>
          <w:rStyle w:val="FootnoteReference"/>
          <w:sz w:val="20"/>
          <w:szCs w:val="20"/>
        </w:rPr>
        <w:footnoteRef/>
      </w:r>
      <w:r w:rsidRPr="00A27053">
        <w:rPr>
          <w:sz w:val="20"/>
          <w:szCs w:val="20"/>
        </w:rPr>
        <w:t xml:space="preserve"> </w:t>
      </w:r>
      <w:r w:rsidRPr="00A27053">
        <w:rPr>
          <w:sz w:val="20"/>
          <w:szCs w:val="20"/>
          <w:lang w:val="en-GB"/>
        </w:rPr>
        <w:t xml:space="preserve">Iraqi News Agency, ‘Four, one of whom is a woman, receive death penalty for drug-related offenses’, 22 May 2024, https://ina.iq/eng/32858-four-one-of-whom-is-a-woman-receive-death-penalty-for-drug-related-offenses.html </w:t>
      </w:r>
    </w:p>
  </w:footnote>
  <w:footnote w:id="24">
    <w:p w14:paraId="3C5A3B66" w14:textId="77777777" w:rsidR="00612815" w:rsidRPr="00A27053" w:rsidRDefault="00612815" w:rsidP="00185358">
      <w:pPr>
        <w:pStyle w:val="FootnoteText"/>
        <w:rPr>
          <w:sz w:val="20"/>
          <w:szCs w:val="20"/>
        </w:rPr>
      </w:pPr>
      <w:r w:rsidRPr="00A27053">
        <w:rPr>
          <w:rStyle w:val="FootnoteReference"/>
          <w:sz w:val="20"/>
          <w:szCs w:val="20"/>
        </w:rPr>
        <w:footnoteRef/>
      </w:r>
      <w:r w:rsidRPr="00A27053">
        <w:rPr>
          <w:sz w:val="20"/>
          <w:szCs w:val="20"/>
        </w:rPr>
        <w:t xml:space="preserve"> </w:t>
      </w:r>
      <w:r w:rsidRPr="00A27053">
        <w:rPr>
          <w:color w:val="000000" w:themeColor="text1"/>
          <w:sz w:val="20"/>
          <w:szCs w:val="20"/>
        </w:rPr>
        <w:t xml:space="preserve">The Cornell Center on the Death Penalty Worldwide (The Alice Project), </w:t>
      </w:r>
      <w:r w:rsidRPr="00A27053">
        <w:rPr>
          <w:i/>
          <w:iCs/>
          <w:color w:val="000000" w:themeColor="text1"/>
          <w:sz w:val="20"/>
          <w:szCs w:val="20"/>
        </w:rPr>
        <w:t>Judged for More Than Her Crime: A Global Overview of Women Facing the Death Penalty</w:t>
      </w:r>
      <w:r w:rsidRPr="00A27053">
        <w:rPr>
          <w:color w:val="000000" w:themeColor="text1"/>
          <w:sz w:val="20"/>
          <w:szCs w:val="20"/>
        </w:rPr>
        <w:t xml:space="preserve"> (Sep. 2018), at 12, </w:t>
      </w:r>
      <w:r w:rsidRPr="00A27053">
        <w:rPr>
          <w:sz w:val="20"/>
          <w:szCs w:val="20"/>
        </w:rPr>
        <w:t>available at</w:t>
      </w:r>
      <w:r w:rsidRPr="00A27053">
        <w:rPr>
          <w:color w:val="000000" w:themeColor="text1"/>
          <w:sz w:val="20"/>
          <w:szCs w:val="20"/>
        </w:rPr>
        <w:t xml:space="preserve"> https://www.deathpenaltyworldwide.org/wp-content/uploads/2019/12/Judged-More-Than-Her-Crime.pdf.</w:t>
      </w:r>
    </w:p>
  </w:footnote>
  <w:footnote w:id="25">
    <w:p w14:paraId="6CA57A10" w14:textId="77777777" w:rsidR="00612815" w:rsidRPr="00A27053" w:rsidRDefault="00612815" w:rsidP="00185358">
      <w:pPr>
        <w:pStyle w:val="FootnoteText"/>
        <w:rPr>
          <w:sz w:val="20"/>
          <w:szCs w:val="20"/>
        </w:rPr>
      </w:pPr>
      <w:r w:rsidRPr="00A27053">
        <w:rPr>
          <w:rStyle w:val="FootnoteReference"/>
          <w:sz w:val="20"/>
          <w:szCs w:val="20"/>
        </w:rPr>
        <w:footnoteRef/>
      </w:r>
      <w:r w:rsidRPr="00A27053">
        <w:rPr>
          <w:sz w:val="20"/>
          <w:szCs w:val="20"/>
        </w:rPr>
        <w:t xml:space="preserve"> </w:t>
      </w:r>
      <w:r w:rsidRPr="00A27053">
        <w:rPr>
          <w:color w:val="000000" w:themeColor="text1"/>
          <w:sz w:val="20"/>
          <w:szCs w:val="20"/>
        </w:rPr>
        <w:t xml:space="preserve">The Cornell Center on the Death Penalty Worldwide (The Alice Project), </w:t>
      </w:r>
      <w:r w:rsidRPr="00A27053">
        <w:rPr>
          <w:i/>
          <w:iCs/>
          <w:color w:val="000000" w:themeColor="text1"/>
          <w:sz w:val="20"/>
          <w:szCs w:val="20"/>
        </w:rPr>
        <w:t>Judged for More Than Her Crime: A Global Overview of Women Facing the Death Penalty</w:t>
      </w:r>
      <w:r w:rsidRPr="00A27053">
        <w:rPr>
          <w:color w:val="000000" w:themeColor="text1"/>
          <w:sz w:val="20"/>
          <w:szCs w:val="20"/>
        </w:rPr>
        <w:t xml:space="preserve"> (Sep. 2018), at 12, </w:t>
      </w:r>
      <w:r w:rsidRPr="00A27053">
        <w:rPr>
          <w:sz w:val="20"/>
          <w:szCs w:val="20"/>
        </w:rPr>
        <w:t>available at</w:t>
      </w:r>
      <w:r w:rsidRPr="00A27053">
        <w:rPr>
          <w:color w:val="000000" w:themeColor="text1"/>
          <w:sz w:val="20"/>
          <w:szCs w:val="20"/>
        </w:rPr>
        <w:t xml:space="preserve"> https://www.deathpenaltyworldwide.org/wp-content/uploads/2019/12/Judged-More-Than-Her-Crime.pdf.</w:t>
      </w:r>
    </w:p>
  </w:footnote>
  <w:footnote w:id="26">
    <w:p w14:paraId="4BD81D54" w14:textId="77777777" w:rsidR="002D7005" w:rsidRPr="00630DB3" w:rsidRDefault="002D7005" w:rsidP="002D7005">
      <w:pPr>
        <w:pStyle w:val="FootnoteText"/>
        <w:rPr>
          <w:sz w:val="20"/>
          <w:szCs w:val="20"/>
        </w:rPr>
      </w:pPr>
      <w:r w:rsidRPr="00630DB3">
        <w:rPr>
          <w:rStyle w:val="FootnoteReference"/>
          <w:sz w:val="20"/>
          <w:szCs w:val="20"/>
        </w:rPr>
        <w:footnoteRef/>
      </w:r>
      <w:r w:rsidRPr="00630DB3">
        <w:rPr>
          <w:sz w:val="20"/>
          <w:szCs w:val="20"/>
        </w:rPr>
        <w:t xml:space="preserve"> Email communication, Dec. 15, 2024, on file with The Advocates for Human Rights.</w:t>
      </w:r>
    </w:p>
  </w:footnote>
  <w:footnote w:id="27">
    <w:p w14:paraId="1CC6F44F" w14:textId="77A31DE7" w:rsidR="00BE142D" w:rsidRPr="00A27053" w:rsidRDefault="00BE142D" w:rsidP="00BE142D">
      <w:pPr>
        <w:pStyle w:val="FootnoteText"/>
        <w:rPr>
          <w:sz w:val="20"/>
          <w:szCs w:val="20"/>
        </w:rPr>
      </w:pPr>
      <w:r w:rsidRPr="00A27053">
        <w:rPr>
          <w:rStyle w:val="FootnoteReference"/>
          <w:sz w:val="20"/>
          <w:szCs w:val="20"/>
        </w:rPr>
        <w:footnoteRef/>
      </w:r>
      <w:r w:rsidRPr="00A27053">
        <w:rPr>
          <w:sz w:val="20"/>
          <w:szCs w:val="20"/>
        </w:rPr>
        <w:t xml:space="preserve"> </w:t>
      </w:r>
      <w:r w:rsidR="0092545A" w:rsidRPr="00A27053">
        <w:rPr>
          <w:sz w:val="20"/>
          <w:szCs w:val="20"/>
        </w:rPr>
        <w:t>U</w:t>
      </w:r>
      <w:r w:rsidR="007537A4" w:rsidRPr="00A27053">
        <w:rPr>
          <w:sz w:val="20"/>
          <w:szCs w:val="20"/>
        </w:rPr>
        <w:t>.</w:t>
      </w:r>
      <w:r w:rsidR="0092545A" w:rsidRPr="00A27053">
        <w:rPr>
          <w:sz w:val="20"/>
          <w:szCs w:val="20"/>
        </w:rPr>
        <w:t>N</w:t>
      </w:r>
      <w:r w:rsidR="007537A4" w:rsidRPr="00A27053">
        <w:rPr>
          <w:sz w:val="20"/>
          <w:szCs w:val="20"/>
        </w:rPr>
        <w:t>.</w:t>
      </w:r>
      <w:r w:rsidR="0092545A" w:rsidRPr="00A27053">
        <w:rPr>
          <w:sz w:val="20"/>
          <w:szCs w:val="20"/>
        </w:rPr>
        <w:t>F</w:t>
      </w:r>
      <w:r w:rsidR="007537A4" w:rsidRPr="00A27053">
        <w:rPr>
          <w:sz w:val="20"/>
          <w:szCs w:val="20"/>
        </w:rPr>
        <w:t>.</w:t>
      </w:r>
      <w:r w:rsidR="0092545A" w:rsidRPr="00A27053">
        <w:rPr>
          <w:sz w:val="20"/>
          <w:szCs w:val="20"/>
        </w:rPr>
        <w:t>P</w:t>
      </w:r>
      <w:r w:rsidR="007537A4" w:rsidRPr="00A27053">
        <w:rPr>
          <w:sz w:val="20"/>
          <w:szCs w:val="20"/>
        </w:rPr>
        <w:t>.</w:t>
      </w:r>
      <w:r w:rsidR="0092545A" w:rsidRPr="00A27053">
        <w:rPr>
          <w:sz w:val="20"/>
          <w:szCs w:val="20"/>
        </w:rPr>
        <w:t>A</w:t>
      </w:r>
      <w:r w:rsidR="007537A4" w:rsidRPr="00A27053">
        <w:rPr>
          <w:sz w:val="20"/>
          <w:szCs w:val="20"/>
        </w:rPr>
        <w:t>.</w:t>
      </w:r>
      <w:r w:rsidR="0092545A" w:rsidRPr="00A27053">
        <w:rPr>
          <w:sz w:val="20"/>
          <w:szCs w:val="20"/>
        </w:rPr>
        <w:t xml:space="preserve"> Iraq, </w:t>
      </w:r>
      <w:r w:rsidRPr="00A27053">
        <w:rPr>
          <w:i/>
          <w:iCs/>
          <w:sz w:val="20"/>
          <w:szCs w:val="20"/>
        </w:rPr>
        <w:t>The National Strategy to Combat Violence against Women and Girls</w:t>
      </w:r>
      <w:r w:rsidRPr="00A27053">
        <w:rPr>
          <w:sz w:val="20"/>
          <w:szCs w:val="20"/>
        </w:rPr>
        <w:t xml:space="preserve"> </w:t>
      </w:r>
      <w:r w:rsidRPr="00A27053">
        <w:rPr>
          <w:i/>
          <w:iCs/>
          <w:sz w:val="20"/>
          <w:szCs w:val="20"/>
        </w:rPr>
        <w:t>2018-2030</w:t>
      </w:r>
      <w:r w:rsidRPr="00A27053">
        <w:rPr>
          <w:sz w:val="20"/>
          <w:szCs w:val="20"/>
        </w:rPr>
        <w:t xml:space="preserve">, </w:t>
      </w:r>
      <w:r w:rsidR="00BA65FD" w:rsidRPr="00A27053">
        <w:rPr>
          <w:sz w:val="20"/>
          <w:szCs w:val="20"/>
        </w:rPr>
        <w:t>at</w:t>
      </w:r>
      <w:r w:rsidR="0048535F" w:rsidRPr="00A27053">
        <w:rPr>
          <w:sz w:val="20"/>
          <w:szCs w:val="20"/>
        </w:rPr>
        <w:t xml:space="preserve"> </w:t>
      </w:r>
      <w:r w:rsidRPr="00A27053">
        <w:rPr>
          <w:sz w:val="20"/>
          <w:szCs w:val="20"/>
        </w:rPr>
        <w:t>12</w:t>
      </w:r>
      <w:r w:rsidR="00830FF9" w:rsidRPr="00A27053">
        <w:rPr>
          <w:sz w:val="20"/>
          <w:szCs w:val="20"/>
        </w:rPr>
        <w:t xml:space="preserve">. Available at </w:t>
      </w:r>
      <w:r w:rsidRPr="00A27053">
        <w:rPr>
          <w:sz w:val="20"/>
          <w:szCs w:val="20"/>
        </w:rPr>
        <w:t>https://iraq.unfpa.org/sites/default/files/pub-pdf/the_national_strategy_to_combat_violence_against_women_and_girls_2018-2030_0.pdf</w:t>
      </w:r>
    </w:p>
  </w:footnote>
  <w:footnote w:id="28">
    <w:p w14:paraId="17972F27" w14:textId="23A6FA54" w:rsidR="00BE142D" w:rsidRPr="00A27053" w:rsidRDefault="00BE142D" w:rsidP="00BE142D">
      <w:pPr>
        <w:pStyle w:val="FootnoteText"/>
        <w:rPr>
          <w:sz w:val="20"/>
          <w:szCs w:val="20"/>
        </w:rPr>
      </w:pPr>
      <w:r w:rsidRPr="00A27053">
        <w:rPr>
          <w:rStyle w:val="FootnoteReference"/>
          <w:sz w:val="20"/>
          <w:szCs w:val="20"/>
        </w:rPr>
        <w:footnoteRef/>
      </w:r>
      <w:r w:rsidRPr="00A27053">
        <w:rPr>
          <w:sz w:val="20"/>
          <w:szCs w:val="20"/>
        </w:rPr>
        <w:t xml:space="preserve"> Committee on the Elimination of Discrimination against Women, </w:t>
      </w:r>
      <w:r w:rsidRPr="00A27053">
        <w:rPr>
          <w:i/>
          <w:iCs/>
          <w:sz w:val="20"/>
          <w:szCs w:val="20"/>
        </w:rPr>
        <w:t>Concluding observations on the seventh periodic report of Iraq</w:t>
      </w:r>
      <w:r w:rsidRPr="00A27053">
        <w:rPr>
          <w:sz w:val="20"/>
          <w:szCs w:val="20"/>
        </w:rPr>
        <w:t>, UN Doc. No. CEDAW/C/IRQ/CO/7, ¶ 21(b)</w:t>
      </w:r>
      <w:r w:rsidR="00832847" w:rsidRPr="00A27053">
        <w:rPr>
          <w:sz w:val="20"/>
          <w:szCs w:val="20"/>
        </w:rPr>
        <w:t xml:space="preserve"> (Nov. 12, 2019).</w:t>
      </w:r>
    </w:p>
  </w:footnote>
  <w:footnote w:id="29">
    <w:p w14:paraId="3B2EF398" w14:textId="0023C298" w:rsidR="00AB309F" w:rsidRPr="00A27053" w:rsidRDefault="00AB309F" w:rsidP="00AB309F">
      <w:pPr>
        <w:pStyle w:val="FootnoteText"/>
        <w:rPr>
          <w:sz w:val="20"/>
          <w:szCs w:val="20"/>
        </w:rPr>
      </w:pPr>
      <w:r w:rsidRPr="00A27053">
        <w:rPr>
          <w:rStyle w:val="FootnoteReference"/>
          <w:sz w:val="20"/>
          <w:szCs w:val="20"/>
        </w:rPr>
        <w:footnoteRef/>
      </w:r>
      <w:r w:rsidRPr="00A27053">
        <w:rPr>
          <w:sz w:val="20"/>
          <w:szCs w:val="20"/>
        </w:rPr>
        <w:t xml:space="preserve"> </w:t>
      </w:r>
      <w:r w:rsidR="007F02EA" w:rsidRPr="00A27053">
        <w:rPr>
          <w:sz w:val="20"/>
          <w:szCs w:val="20"/>
        </w:rPr>
        <w:t xml:space="preserve">Committee on the Elimination of Discrimination against Women, </w:t>
      </w:r>
      <w:r w:rsidR="007F02EA" w:rsidRPr="00A27053">
        <w:rPr>
          <w:i/>
          <w:iCs/>
          <w:sz w:val="20"/>
          <w:szCs w:val="20"/>
        </w:rPr>
        <w:t>Concluding observations on the seventh periodic report of Iraq</w:t>
      </w:r>
      <w:r w:rsidR="007F02EA" w:rsidRPr="00A27053">
        <w:rPr>
          <w:sz w:val="20"/>
          <w:szCs w:val="20"/>
        </w:rPr>
        <w:t>, UN Doc. No. CEDAW/C/IRQ/CO/7, ¶ 21(a)</w:t>
      </w:r>
      <w:r w:rsidR="00832847" w:rsidRPr="00A27053">
        <w:rPr>
          <w:sz w:val="20"/>
          <w:szCs w:val="20"/>
        </w:rPr>
        <w:t xml:space="preserve"> (Nov. 12, 2019).</w:t>
      </w:r>
    </w:p>
  </w:footnote>
  <w:footnote w:id="30">
    <w:p w14:paraId="66C567C8" w14:textId="7BD2FE11" w:rsidR="00BE142D" w:rsidRPr="00A27053" w:rsidRDefault="00BE142D" w:rsidP="00BE142D">
      <w:pPr>
        <w:pStyle w:val="FootnoteText"/>
        <w:rPr>
          <w:sz w:val="20"/>
          <w:szCs w:val="20"/>
        </w:rPr>
      </w:pPr>
      <w:r w:rsidRPr="00A27053">
        <w:rPr>
          <w:rStyle w:val="FootnoteReference"/>
          <w:sz w:val="20"/>
          <w:szCs w:val="20"/>
        </w:rPr>
        <w:footnoteRef/>
      </w:r>
      <w:r w:rsidRPr="00A27053">
        <w:rPr>
          <w:sz w:val="20"/>
          <w:szCs w:val="20"/>
        </w:rPr>
        <w:t xml:space="preserve"> </w:t>
      </w:r>
      <w:r w:rsidR="008F29D7" w:rsidRPr="00A27053">
        <w:rPr>
          <w:sz w:val="20"/>
          <w:szCs w:val="20"/>
        </w:rPr>
        <w:t xml:space="preserve">Committee on the Elimination of Discrimination against Women, </w:t>
      </w:r>
      <w:r w:rsidR="008F29D7" w:rsidRPr="00A27053">
        <w:rPr>
          <w:i/>
          <w:iCs/>
          <w:sz w:val="20"/>
          <w:szCs w:val="20"/>
        </w:rPr>
        <w:t>Concluding observations on the seventh periodic report of Iraq</w:t>
      </w:r>
      <w:r w:rsidR="008F29D7" w:rsidRPr="00A27053">
        <w:rPr>
          <w:sz w:val="20"/>
          <w:szCs w:val="20"/>
        </w:rPr>
        <w:t xml:space="preserve">, UN Doc. No. CEDAW/C/IRQ/CO/7, </w:t>
      </w:r>
      <w:r w:rsidRPr="00A27053">
        <w:rPr>
          <w:sz w:val="20"/>
          <w:szCs w:val="20"/>
        </w:rPr>
        <w:t>¶ 19(b)</w:t>
      </w:r>
      <w:r w:rsidR="00832847" w:rsidRPr="00A27053">
        <w:rPr>
          <w:sz w:val="20"/>
          <w:szCs w:val="20"/>
        </w:rPr>
        <w:t xml:space="preserve"> (Nov. 12, 2019)</w:t>
      </w:r>
      <w:r w:rsidRPr="00A27053">
        <w:rPr>
          <w:sz w:val="20"/>
          <w:szCs w:val="20"/>
        </w:rPr>
        <w:t>.</w:t>
      </w:r>
    </w:p>
  </w:footnote>
  <w:footnote w:id="31">
    <w:p w14:paraId="0A938146" w14:textId="3D83BB8A" w:rsidR="00336306" w:rsidRPr="00A27053" w:rsidRDefault="00336306" w:rsidP="00336306">
      <w:pPr>
        <w:pStyle w:val="FootnoteText"/>
        <w:rPr>
          <w:sz w:val="20"/>
          <w:szCs w:val="20"/>
        </w:rPr>
      </w:pPr>
      <w:r w:rsidRPr="00A27053">
        <w:rPr>
          <w:rStyle w:val="FootnoteReference"/>
          <w:sz w:val="20"/>
          <w:szCs w:val="20"/>
        </w:rPr>
        <w:footnoteRef/>
      </w:r>
      <w:r w:rsidRPr="00A27053">
        <w:rPr>
          <w:sz w:val="20"/>
          <w:szCs w:val="20"/>
        </w:rPr>
        <w:t xml:space="preserve"> Committee on the Elimination of Discrimination against Women, </w:t>
      </w:r>
      <w:r w:rsidRPr="00A27053">
        <w:rPr>
          <w:i/>
          <w:iCs/>
          <w:sz w:val="20"/>
          <w:szCs w:val="20"/>
        </w:rPr>
        <w:t>Concluding observations on the seventh periodic report of Iraq</w:t>
      </w:r>
      <w:r w:rsidRPr="00A27053">
        <w:rPr>
          <w:sz w:val="20"/>
          <w:szCs w:val="20"/>
        </w:rPr>
        <w:t>, UN Doc. No. CEDAW/C/IRQ/CO/7, ¶ 2</w:t>
      </w:r>
      <w:r w:rsidR="00B2483F" w:rsidRPr="00A27053">
        <w:rPr>
          <w:sz w:val="20"/>
          <w:szCs w:val="20"/>
        </w:rPr>
        <w:t>2(b)-(d)</w:t>
      </w:r>
      <w:r w:rsidRPr="00A27053">
        <w:rPr>
          <w:sz w:val="20"/>
          <w:szCs w:val="20"/>
        </w:rPr>
        <w:t xml:space="preserve"> (Nov. 12, 2019).</w:t>
      </w:r>
    </w:p>
  </w:footnote>
  <w:footnote w:id="32">
    <w:p w14:paraId="2EE21F7F" w14:textId="40713764" w:rsidR="00956D8F" w:rsidRPr="00A27053" w:rsidRDefault="00956D8F" w:rsidP="00956D8F">
      <w:pPr>
        <w:pStyle w:val="FootnoteText"/>
        <w:rPr>
          <w:sz w:val="20"/>
          <w:szCs w:val="20"/>
        </w:rPr>
      </w:pPr>
      <w:r w:rsidRPr="00A27053">
        <w:rPr>
          <w:rStyle w:val="FootnoteReference"/>
          <w:sz w:val="20"/>
          <w:szCs w:val="20"/>
        </w:rPr>
        <w:footnoteRef/>
      </w:r>
      <w:r w:rsidRPr="00A27053">
        <w:rPr>
          <w:sz w:val="20"/>
          <w:szCs w:val="20"/>
        </w:rPr>
        <w:t xml:space="preserve"> Committee on the Elimination of Discrimination against Women, </w:t>
      </w:r>
      <w:r w:rsidRPr="00A27053">
        <w:rPr>
          <w:i/>
          <w:iCs/>
          <w:sz w:val="20"/>
          <w:szCs w:val="20"/>
        </w:rPr>
        <w:t>Concluding observations on the seventh periodic report of Iraq</w:t>
      </w:r>
      <w:r w:rsidRPr="00A27053">
        <w:rPr>
          <w:sz w:val="20"/>
          <w:szCs w:val="20"/>
        </w:rPr>
        <w:t>, UN Doc. No. CEDAW/C/IRQ/CO/7, ¶ 20(a)-(b) (Nov. 12, 2019).</w:t>
      </w:r>
    </w:p>
  </w:footnote>
  <w:footnote w:id="33">
    <w:p w14:paraId="6E8CDF5C" w14:textId="65FCAFCF" w:rsidR="00DC34F9" w:rsidRPr="00A27053" w:rsidRDefault="00DC34F9" w:rsidP="00DC34F9">
      <w:pPr>
        <w:pStyle w:val="FootnoteText"/>
        <w:rPr>
          <w:sz w:val="20"/>
          <w:szCs w:val="20"/>
        </w:rPr>
      </w:pPr>
      <w:r w:rsidRPr="00A27053">
        <w:rPr>
          <w:rStyle w:val="FootnoteReference"/>
          <w:sz w:val="20"/>
          <w:szCs w:val="20"/>
        </w:rPr>
        <w:footnoteRef/>
      </w:r>
      <w:r w:rsidRPr="00A27053">
        <w:rPr>
          <w:sz w:val="20"/>
          <w:szCs w:val="20"/>
        </w:rPr>
        <w:t xml:space="preserve"> Committee on the Elimination of Discrimination against Women, </w:t>
      </w:r>
      <w:r w:rsidRPr="00A27053">
        <w:rPr>
          <w:i/>
          <w:iCs/>
          <w:sz w:val="20"/>
          <w:szCs w:val="20"/>
        </w:rPr>
        <w:t>Eighth periodic report submitted by Iraq under article 18 of the Convention, due in 2023</w:t>
      </w:r>
      <w:r w:rsidRPr="00A27053">
        <w:rPr>
          <w:sz w:val="20"/>
          <w:szCs w:val="20"/>
        </w:rPr>
        <w:t>, UN Doc. No. CEDAW/C/IRQ/8 (Jan. 15, 2024), ¶ 100.</w:t>
      </w:r>
    </w:p>
  </w:footnote>
  <w:footnote w:id="34">
    <w:p w14:paraId="5CAA1D80" w14:textId="4B43C7A9" w:rsidR="00DC34F9" w:rsidRPr="00A27053" w:rsidRDefault="00DC34F9" w:rsidP="00DC34F9">
      <w:pPr>
        <w:pStyle w:val="FootnoteText"/>
        <w:rPr>
          <w:sz w:val="20"/>
          <w:szCs w:val="20"/>
        </w:rPr>
      </w:pPr>
      <w:r w:rsidRPr="00A27053">
        <w:rPr>
          <w:rStyle w:val="FootnoteReference"/>
          <w:sz w:val="20"/>
          <w:szCs w:val="20"/>
        </w:rPr>
        <w:footnoteRef/>
      </w:r>
      <w:r w:rsidRPr="00A27053">
        <w:rPr>
          <w:sz w:val="20"/>
          <w:szCs w:val="20"/>
        </w:rPr>
        <w:t xml:space="preserve"> Committee on the Elimination of Discrimination against Women, </w:t>
      </w:r>
      <w:r w:rsidRPr="00A27053">
        <w:rPr>
          <w:i/>
          <w:iCs/>
          <w:sz w:val="20"/>
          <w:szCs w:val="20"/>
        </w:rPr>
        <w:t>Eighth periodic report submitted by Iraq under article 18 of the Convention, due in 2023</w:t>
      </w:r>
      <w:r w:rsidRPr="00A27053">
        <w:rPr>
          <w:sz w:val="20"/>
          <w:szCs w:val="20"/>
        </w:rPr>
        <w:t>, UN Doc. No. CEDAW/C/IRQ/8 (Jan. 15, 2024), ¶¶ 101, 103.</w:t>
      </w:r>
    </w:p>
  </w:footnote>
  <w:footnote w:id="35">
    <w:p w14:paraId="17313DFF" w14:textId="3221B6A0" w:rsidR="006D010E" w:rsidRPr="00A27053" w:rsidRDefault="006D010E" w:rsidP="006D010E">
      <w:pPr>
        <w:pStyle w:val="FootnoteText"/>
        <w:rPr>
          <w:sz w:val="20"/>
          <w:szCs w:val="20"/>
        </w:rPr>
      </w:pPr>
      <w:r w:rsidRPr="00A27053">
        <w:rPr>
          <w:rStyle w:val="FootnoteReference"/>
          <w:sz w:val="20"/>
          <w:szCs w:val="20"/>
        </w:rPr>
        <w:footnoteRef/>
      </w:r>
      <w:r w:rsidRPr="00A27053">
        <w:rPr>
          <w:sz w:val="20"/>
          <w:szCs w:val="20"/>
        </w:rPr>
        <w:t xml:space="preserve"> Committee on the Elimination of Discrimination against Women, </w:t>
      </w:r>
      <w:r w:rsidRPr="00A27053">
        <w:rPr>
          <w:i/>
          <w:iCs/>
          <w:sz w:val="20"/>
          <w:szCs w:val="20"/>
        </w:rPr>
        <w:t>Eighth periodic report submitted by Iraq under article 18 of the Convention, due in 2023</w:t>
      </w:r>
      <w:r w:rsidRPr="00A27053">
        <w:rPr>
          <w:sz w:val="20"/>
          <w:szCs w:val="20"/>
        </w:rPr>
        <w:t>, UN Doc. No. CEDAW/C/IRQ/8 (Jan. 15, 2024), ¶ 65.</w:t>
      </w:r>
    </w:p>
  </w:footnote>
  <w:footnote w:id="36">
    <w:p w14:paraId="0E69DD45" w14:textId="52AADCEB" w:rsidR="00A74D0B" w:rsidRPr="00A27053" w:rsidRDefault="00A74D0B" w:rsidP="00A74D0B">
      <w:pPr>
        <w:pStyle w:val="FootnoteText"/>
        <w:rPr>
          <w:sz w:val="20"/>
          <w:szCs w:val="20"/>
        </w:rPr>
      </w:pPr>
      <w:r w:rsidRPr="00A27053">
        <w:rPr>
          <w:rStyle w:val="FootnoteReference"/>
          <w:sz w:val="20"/>
          <w:szCs w:val="20"/>
        </w:rPr>
        <w:footnoteRef/>
      </w:r>
      <w:r w:rsidRPr="00A27053">
        <w:rPr>
          <w:sz w:val="20"/>
          <w:szCs w:val="20"/>
        </w:rPr>
        <w:t xml:space="preserve"> Committee on the Elimination of Discrimination against Women, </w:t>
      </w:r>
      <w:r w:rsidRPr="00A27053">
        <w:rPr>
          <w:i/>
          <w:iCs/>
          <w:sz w:val="20"/>
          <w:szCs w:val="20"/>
        </w:rPr>
        <w:t>Eighth periodic report submitted by Iraq under article 18 of the Convention, due in 2023</w:t>
      </w:r>
      <w:r w:rsidRPr="00A27053">
        <w:rPr>
          <w:sz w:val="20"/>
          <w:szCs w:val="20"/>
        </w:rPr>
        <w:t>, UN Doc. No. CEDAW/C/IRQ/8 (Jan. 15, 2024), ¶ 22.</w:t>
      </w:r>
    </w:p>
  </w:footnote>
  <w:footnote w:id="37">
    <w:p w14:paraId="68C6628C" w14:textId="77777777" w:rsidR="00041965" w:rsidRPr="00A27053" w:rsidRDefault="00041965" w:rsidP="00041965">
      <w:pPr>
        <w:pStyle w:val="FootnoteText"/>
        <w:rPr>
          <w:i/>
          <w:iCs/>
          <w:sz w:val="20"/>
          <w:szCs w:val="20"/>
        </w:rPr>
      </w:pPr>
      <w:r w:rsidRPr="00A27053">
        <w:rPr>
          <w:rStyle w:val="FootnoteReference"/>
          <w:sz w:val="20"/>
          <w:szCs w:val="20"/>
        </w:rPr>
        <w:footnoteRef/>
      </w:r>
      <w:r w:rsidRPr="00A27053">
        <w:rPr>
          <w:sz w:val="20"/>
          <w:szCs w:val="20"/>
        </w:rPr>
        <w:t xml:space="preserve"> Cornell Center on the Death Penalty Worldwide, </w:t>
      </w:r>
      <w:r w:rsidRPr="00A27053">
        <w:rPr>
          <w:i/>
          <w:iCs/>
          <w:sz w:val="20"/>
          <w:szCs w:val="20"/>
        </w:rPr>
        <w:t>Judged for More Than Her Crime: A Global Overview of Women Facing the Death Penalty</w:t>
      </w:r>
      <w:r w:rsidRPr="00A27053">
        <w:rPr>
          <w:sz w:val="20"/>
          <w:szCs w:val="20"/>
        </w:rPr>
        <w:t xml:space="preserve"> (Sept. 4, 2018). Available online at https://www.deathpenaltyworldwide.org/wp-content/uploads/2019/12/Judged-More-Than-Her-Crime.pdf.</w:t>
      </w:r>
    </w:p>
  </w:footnote>
  <w:footnote w:id="38">
    <w:p w14:paraId="1DBF9344" w14:textId="77777777" w:rsidR="00041965" w:rsidRPr="00A27053" w:rsidRDefault="00041965" w:rsidP="00041965">
      <w:pPr>
        <w:pStyle w:val="FootnoteText"/>
        <w:rPr>
          <w:i/>
          <w:iCs/>
          <w:sz w:val="20"/>
          <w:szCs w:val="20"/>
        </w:rPr>
      </w:pPr>
      <w:r w:rsidRPr="00A27053">
        <w:rPr>
          <w:rStyle w:val="FootnoteReference"/>
          <w:sz w:val="20"/>
          <w:szCs w:val="20"/>
        </w:rPr>
        <w:footnoteRef/>
      </w:r>
      <w:r w:rsidRPr="00A27053">
        <w:rPr>
          <w:sz w:val="20"/>
          <w:szCs w:val="20"/>
        </w:rPr>
        <w:t xml:space="preserve"> Cornell Center on the Death Penalty Worldwide, </w:t>
      </w:r>
      <w:r w:rsidRPr="00A27053">
        <w:rPr>
          <w:i/>
          <w:iCs/>
          <w:sz w:val="20"/>
          <w:szCs w:val="20"/>
        </w:rPr>
        <w:t>“No One Believed Me”: A Global Overview of Women Facing the Death Penalty for Drug Offenses</w:t>
      </w:r>
      <w:r w:rsidRPr="00A27053">
        <w:rPr>
          <w:sz w:val="20"/>
          <w:szCs w:val="20"/>
        </w:rPr>
        <w:t xml:space="preserve"> (Sept. 6, 2021), 6. Available online at https://deathpenaltyworldwide.org/wp-content/uploads/2021/10/No-One-Believed-Me-A-Global-Overview-of-Women-Facing-the-Death-Penalty-for-Drug-Offenses.pdf.</w:t>
      </w:r>
    </w:p>
  </w:footnote>
  <w:footnote w:id="39">
    <w:p w14:paraId="59815B96" w14:textId="77777777" w:rsidR="00041965" w:rsidRPr="00A27053" w:rsidRDefault="00041965" w:rsidP="00041965">
      <w:pPr>
        <w:pStyle w:val="FootnoteText"/>
        <w:rPr>
          <w:i/>
          <w:iCs/>
          <w:sz w:val="20"/>
          <w:szCs w:val="20"/>
        </w:rPr>
      </w:pPr>
      <w:r w:rsidRPr="00A27053">
        <w:rPr>
          <w:rStyle w:val="FootnoteReference"/>
          <w:sz w:val="20"/>
          <w:szCs w:val="20"/>
        </w:rPr>
        <w:footnoteRef/>
      </w:r>
      <w:r w:rsidRPr="00A27053">
        <w:rPr>
          <w:sz w:val="20"/>
          <w:szCs w:val="20"/>
        </w:rPr>
        <w:t xml:space="preserve"> Cornell Center on the Death Penalty Worldwide, </w:t>
      </w:r>
      <w:r w:rsidRPr="00A27053">
        <w:rPr>
          <w:i/>
          <w:iCs/>
          <w:sz w:val="20"/>
          <w:szCs w:val="20"/>
        </w:rPr>
        <w:t>“No One Believed Me”: A Global Overview of Women Facing the Death Penalty for Drug Offenses</w:t>
      </w:r>
      <w:r w:rsidRPr="00A27053">
        <w:rPr>
          <w:sz w:val="20"/>
          <w:szCs w:val="20"/>
        </w:rPr>
        <w:t xml:space="preserve"> (Sept. 6, 2021), 11. Available online at https://deathpenaltyworldwide.org/wp-content/uploads/2021/10/No-One-Believed-Me-A-Global-Overview-of-Women-Facing-the-Death-Penalty-for-Drug-Offenses.pdf.; Cornell Center on the Death Penalty Worldwide, </w:t>
      </w:r>
      <w:r w:rsidRPr="00A27053">
        <w:rPr>
          <w:i/>
          <w:iCs/>
          <w:sz w:val="20"/>
          <w:szCs w:val="20"/>
        </w:rPr>
        <w:t>Judged for More Than Her Crime: A Global Overview of Women Facing the Death Penalty</w:t>
      </w:r>
      <w:r w:rsidRPr="00A27053">
        <w:rPr>
          <w:sz w:val="20"/>
          <w:szCs w:val="20"/>
        </w:rPr>
        <w:t xml:space="preserve"> (Sept. 4, 2018), 4. Available online at https://www.deathpenaltyworldwide.org/wp-content/uploads/2019/12/Judged-More-Than-Her-Crime.pdf.</w:t>
      </w:r>
    </w:p>
  </w:footnote>
  <w:footnote w:id="40">
    <w:p w14:paraId="1335746B" w14:textId="09B8952B" w:rsidR="009636D1" w:rsidRPr="00A27053" w:rsidRDefault="009636D1">
      <w:pPr>
        <w:pStyle w:val="FootnoteText"/>
        <w:rPr>
          <w:sz w:val="20"/>
          <w:szCs w:val="20"/>
        </w:rPr>
      </w:pPr>
      <w:r w:rsidRPr="00A27053">
        <w:rPr>
          <w:rStyle w:val="FootnoteReference"/>
          <w:sz w:val="20"/>
          <w:szCs w:val="20"/>
        </w:rPr>
        <w:footnoteRef/>
      </w:r>
      <w:r w:rsidRPr="00A27053">
        <w:rPr>
          <w:sz w:val="20"/>
          <w:szCs w:val="20"/>
        </w:rPr>
        <w:t xml:space="preserve"> Sarah Gold, </w:t>
      </w:r>
      <w:r w:rsidRPr="00A27053">
        <w:rPr>
          <w:i/>
          <w:iCs/>
          <w:sz w:val="20"/>
          <w:szCs w:val="20"/>
        </w:rPr>
        <w:t>Survivors, Saviors, Leaders – Not Victims: Tackling Gender-Based Violence in Iraq</w:t>
      </w:r>
      <w:r w:rsidR="004C2FDA" w:rsidRPr="00A27053">
        <w:rPr>
          <w:sz w:val="20"/>
          <w:szCs w:val="20"/>
        </w:rPr>
        <w:t xml:space="preserve">, International Organization for Migration Iraq </w:t>
      </w:r>
      <w:r w:rsidRPr="00A27053">
        <w:rPr>
          <w:sz w:val="20"/>
          <w:szCs w:val="20"/>
        </w:rPr>
        <w:t>(Nov</w:t>
      </w:r>
      <w:r w:rsidR="00830FF9" w:rsidRPr="00A27053">
        <w:rPr>
          <w:sz w:val="20"/>
          <w:szCs w:val="20"/>
        </w:rPr>
        <w:t>. 23,</w:t>
      </w:r>
      <w:r w:rsidRPr="00A27053">
        <w:rPr>
          <w:sz w:val="20"/>
          <w:szCs w:val="20"/>
        </w:rPr>
        <w:t xml:space="preserve"> 2023), </w:t>
      </w:r>
      <w:r w:rsidR="00BC6757" w:rsidRPr="00A27053">
        <w:rPr>
          <w:sz w:val="20"/>
          <w:szCs w:val="20"/>
        </w:rPr>
        <w:t>https://weblog.iom.int/survivors-saviors-leaders-not-victims-tackling-gender-based-violence-iraq</w:t>
      </w:r>
      <w:r w:rsidR="00DD10E1" w:rsidRPr="00A27053">
        <w:rPr>
          <w:sz w:val="20"/>
          <w:szCs w:val="20"/>
        </w:rPr>
        <w:t>.</w:t>
      </w:r>
    </w:p>
  </w:footnote>
  <w:footnote w:id="41">
    <w:p w14:paraId="115B662B" w14:textId="1DE44E09" w:rsidR="00BC4F60" w:rsidRPr="00A27053" w:rsidRDefault="00BC4F60">
      <w:pPr>
        <w:pStyle w:val="FootnoteText"/>
        <w:rPr>
          <w:sz w:val="20"/>
          <w:szCs w:val="20"/>
        </w:rPr>
      </w:pPr>
      <w:r w:rsidRPr="00A27053">
        <w:rPr>
          <w:rStyle w:val="FootnoteReference"/>
          <w:sz w:val="20"/>
          <w:szCs w:val="20"/>
        </w:rPr>
        <w:footnoteRef/>
      </w:r>
      <w:r w:rsidRPr="00A27053">
        <w:rPr>
          <w:sz w:val="20"/>
          <w:szCs w:val="20"/>
        </w:rPr>
        <w:t xml:space="preserve"> </w:t>
      </w:r>
      <w:r w:rsidR="00BC6757" w:rsidRPr="00A27053">
        <w:rPr>
          <w:sz w:val="20"/>
          <w:szCs w:val="20"/>
        </w:rPr>
        <w:t xml:space="preserve">Sarah Gold, </w:t>
      </w:r>
      <w:r w:rsidR="00BC6757" w:rsidRPr="00A27053">
        <w:rPr>
          <w:i/>
          <w:iCs/>
          <w:sz w:val="20"/>
          <w:szCs w:val="20"/>
        </w:rPr>
        <w:t>Survivors, Saviors, Leaders – Not Victims: Tackling Gender-Based Violence in Iraq</w:t>
      </w:r>
      <w:r w:rsidR="00BC6757" w:rsidRPr="00A27053">
        <w:rPr>
          <w:sz w:val="20"/>
          <w:szCs w:val="20"/>
        </w:rPr>
        <w:t>, International Organization for Migration Iraq (Nov. 23, 2023), https://weblog.iom.int/survivors-saviors-leaders-not-victims-tackling-gender-based-violence-iraq</w:t>
      </w:r>
      <w:r w:rsidR="00DD10E1" w:rsidRPr="00A27053">
        <w:rPr>
          <w:sz w:val="20"/>
          <w:szCs w:val="20"/>
        </w:rPr>
        <w:t>.</w:t>
      </w:r>
    </w:p>
  </w:footnote>
  <w:footnote w:id="42">
    <w:p w14:paraId="079D4D0A" w14:textId="64AEA17B" w:rsidR="003152A3" w:rsidRPr="00A27053" w:rsidRDefault="003152A3" w:rsidP="003152A3">
      <w:pPr>
        <w:pStyle w:val="FootnoteText"/>
        <w:rPr>
          <w:sz w:val="20"/>
          <w:szCs w:val="20"/>
        </w:rPr>
      </w:pPr>
      <w:r w:rsidRPr="00A27053">
        <w:rPr>
          <w:rStyle w:val="FootnoteReference"/>
          <w:sz w:val="20"/>
          <w:szCs w:val="20"/>
        </w:rPr>
        <w:footnoteRef/>
      </w:r>
      <w:r w:rsidRPr="00A27053">
        <w:rPr>
          <w:sz w:val="20"/>
          <w:szCs w:val="20"/>
        </w:rPr>
        <w:t xml:space="preserve"> Committee on the Elimination of Discrimination against Women, </w:t>
      </w:r>
      <w:r w:rsidRPr="00A27053">
        <w:rPr>
          <w:i/>
          <w:iCs/>
          <w:sz w:val="20"/>
          <w:szCs w:val="20"/>
        </w:rPr>
        <w:t>Eighth periodic report submitted by Iraq under article 18 of the Convention, due in 2023</w:t>
      </w:r>
      <w:r w:rsidRPr="00A27053">
        <w:rPr>
          <w:sz w:val="20"/>
          <w:szCs w:val="20"/>
        </w:rPr>
        <w:t>, UN Doc. No. CEDAW/C/IRQ/8 (Jan. 15, 2024), ¶ </w:t>
      </w:r>
      <w:r w:rsidR="0090260F" w:rsidRPr="00A27053">
        <w:rPr>
          <w:sz w:val="20"/>
          <w:szCs w:val="20"/>
        </w:rPr>
        <w:t>20</w:t>
      </w:r>
      <w:r w:rsidRPr="00A27053">
        <w:rPr>
          <w:sz w:val="20"/>
          <w:szCs w:val="20"/>
        </w:rPr>
        <w:t>.</w:t>
      </w:r>
    </w:p>
  </w:footnote>
  <w:footnote w:id="43">
    <w:p w14:paraId="57259019" w14:textId="65B34275" w:rsidR="002D7005" w:rsidRPr="00630DB3" w:rsidRDefault="002D7005">
      <w:pPr>
        <w:pStyle w:val="FootnoteText"/>
        <w:rPr>
          <w:sz w:val="20"/>
          <w:szCs w:val="20"/>
        </w:rPr>
      </w:pPr>
      <w:r w:rsidRPr="00630DB3">
        <w:rPr>
          <w:rStyle w:val="FootnoteReference"/>
          <w:sz w:val="20"/>
          <w:szCs w:val="20"/>
        </w:rPr>
        <w:footnoteRef/>
      </w:r>
      <w:r w:rsidRPr="00630DB3">
        <w:rPr>
          <w:sz w:val="20"/>
          <w:szCs w:val="20"/>
        </w:rPr>
        <w:t xml:space="preserve"> Email communication, Dec. 15, 2024, on file with The Advocates for Human Rights.</w:t>
      </w:r>
    </w:p>
  </w:footnote>
  <w:footnote w:id="44">
    <w:p w14:paraId="561AC79A" w14:textId="77777777" w:rsidR="00276FD7" w:rsidRPr="00A27053" w:rsidRDefault="00276FD7" w:rsidP="00276FD7">
      <w:pPr>
        <w:pStyle w:val="FootnoteText"/>
        <w:rPr>
          <w:sz w:val="20"/>
          <w:szCs w:val="20"/>
        </w:rPr>
      </w:pPr>
      <w:r w:rsidRPr="00A27053">
        <w:rPr>
          <w:rStyle w:val="FootnoteReference"/>
          <w:sz w:val="20"/>
          <w:szCs w:val="20"/>
        </w:rPr>
        <w:footnoteRef/>
      </w:r>
      <w:r w:rsidRPr="00A27053">
        <w:rPr>
          <w:sz w:val="20"/>
          <w:szCs w:val="20"/>
        </w:rPr>
        <w:t xml:space="preserve"> Geneive Abdo, </w:t>
      </w:r>
      <w:r w:rsidRPr="00A27053">
        <w:rPr>
          <w:i/>
          <w:iCs/>
          <w:sz w:val="20"/>
          <w:szCs w:val="20"/>
        </w:rPr>
        <w:t>Violence Against Women Permeates All Aspects of Life in Iraq</w:t>
      </w:r>
      <w:r w:rsidRPr="00A27053">
        <w:rPr>
          <w:sz w:val="20"/>
          <w:szCs w:val="20"/>
        </w:rPr>
        <w:t>, Wilson Center (Nov. 29, 2022), https://www.wilsoncenter.org/blog-post/violence-against-women-permeates-all-aspects-life-iraq.</w:t>
      </w:r>
    </w:p>
  </w:footnote>
  <w:footnote w:id="45">
    <w:p w14:paraId="3E2B5D1E" w14:textId="65012A1A" w:rsidR="00BE142D" w:rsidRPr="00A27053" w:rsidRDefault="00BE142D" w:rsidP="00BE142D">
      <w:pPr>
        <w:pStyle w:val="FootnoteText"/>
        <w:rPr>
          <w:sz w:val="20"/>
          <w:szCs w:val="20"/>
        </w:rPr>
      </w:pPr>
      <w:r w:rsidRPr="00A27053">
        <w:rPr>
          <w:rStyle w:val="FootnoteReference"/>
          <w:sz w:val="20"/>
          <w:szCs w:val="20"/>
        </w:rPr>
        <w:footnoteRef/>
      </w:r>
      <w:r w:rsidRPr="00A27053">
        <w:rPr>
          <w:sz w:val="20"/>
          <w:szCs w:val="20"/>
        </w:rPr>
        <w:t xml:space="preserve"> Iraq Penal Code </w:t>
      </w:r>
      <w:r w:rsidR="00A27053" w:rsidRPr="00A27053">
        <w:rPr>
          <w:sz w:val="20"/>
          <w:szCs w:val="20"/>
        </w:rPr>
        <w:t xml:space="preserve">No. 111 of 1969, </w:t>
      </w:r>
      <w:r w:rsidRPr="00A27053">
        <w:rPr>
          <w:sz w:val="20"/>
          <w:szCs w:val="20"/>
        </w:rPr>
        <w:t xml:space="preserve">Article 406. </w:t>
      </w:r>
    </w:p>
  </w:footnote>
  <w:footnote w:id="46">
    <w:p w14:paraId="20A00C3C" w14:textId="6174244E" w:rsidR="00BE142D" w:rsidRPr="00A27053" w:rsidRDefault="00BE142D" w:rsidP="00BE142D">
      <w:pPr>
        <w:pStyle w:val="FootnoteText"/>
        <w:rPr>
          <w:sz w:val="20"/>
          <w:szCs w:val="20"/>
        </w:rPr>
      </w:pPr>
      <w:r w:rsidRPr="00A27053">
        <w:rPr>
          <w:rStyle w:val="FootnoteReference"/>
          <w:sz w:val="20"/>
          <w:szCs w:val="20"/>
        </w:rPr>
        <w:footnoteRef/>
      </w:r>
      <w:r w:rsidRPr="00A27053">
        <w:rPr>
          <w:sz w:val="20"/>
          <w:szCs w:val="20"/>
        </w:rPr>
        <w:t xml:space="preserve"> Iraq Penal Code </w:t>
      </w:r>
      <w:r w:rsidR="00A27053" w:rsidRPr="00A27053">
        <w:rPr>
          <w:sz w:val="20"/>
          <w:szCs w:val="20"/>
        </w:rPr>
        <w:t xml:space="preserve">No. 111 of 1969, </w:t>
      </w:r>
      <w:r w:rsidRPr="00A27053">
        <w:rPr>
          <w:sz w:val="20"/>
          <w:szCs w:val="20"/>
        </w:rPr>
        <w:t>Article 409.</w:t>
      </w:r>
    </w:p>
  </w:footnote>
  <w:footnote w:id="47">
    <w:p w14:paraId="37022673" w14:textId="0A48EEA0" w:rsidR="00BE142D" w:rsidRPr="00A27053" w:rsidRDefault="00BE142D" w:rsidP="00BE142D">
      <w:pPr>
        <w:pStyle w:val="FootnoteText"/>
        <w:rPr>
          <w:sz w:val="20"/>
          <w:szCs w:val="20"/>
        </w:rPr>
      </w:pPr>
      <w:r w:rsidRPr="00A27053">
        <w:rPr>
          <w:rStyle w:val="FootnoteReference"/>
          <w:sz w:val="20"/>
          <w:szCs w:val="20"/>
        </w:rPr>
        <w:footnoteRef/>
      </w:r>
      <w:r w:rsidRPr="00A27053">
        <w:rPr>
          <w:sz w:val="20"/>
          <w:szCs w:val="20"/>
        </w:rPr>
        <w:t xml:space="preserve"> Mai Sato and Sandra Babcock (eds.), </w:t>
      </w:r>
      <w:r w:rsidRPr="00A27053">
        <w:rPr>
          <w:i/>
          <w:iCs/>
          <w:sz w:val="20"/>
          <w:szCs w:val="20"/>
        </w:rPr>
        <w:t>Silently Silenced: State-Sanctioned Killing of Women</w:t>
      </w:r>
      <w:r w:rsidR="000F3B16" w:rsidRPr="00A27053">
        <w:rPr>
          <w:sz w:val="20"/>
          <w:szCs w:val="20"/>
        </w:rPr>
        <w:t xml:space="preserve">, </w:t>
      </w:r>
      <w:r w:rsidR="004438A4" w:rsidRPr="00A27053">
        <w:rPr>
          <w:sz w:val="20"/>
          <w:szCs w:val="20"/>
        </w:rPr>
        <w:t xml:space="preserve">Eleos Justice, Monash University </w:t>
      </w:r>
      <w:r w:rsidR="00B862F6" w:rsidRPr="00A27053">
        <w:rPr>
          <w:sz w:val="20"/>
          <w:szCs w:val="20"/>
        </w:rPr>
        <w:t>&amp;</w:t>
      </w:r>
      <w:r w:rsidR="004438A4" w:rsidRPr="00A27053">
        <w:rPr>
          <w:sz w:val="20"/>
          <w:szCs w:val="20"/>
        </w:rPr>
        <w:t xml:space="preserve"> Cornell Center on the Death Penalty Worldwide</w:t>
      </w:r>
      <w:r w:rsidR="00832847" w:rsidRPr="00A27053">
        <w:rPr>
          <w:sz w:val="20"/>
          <w:szCs w:val="20"/>
        </w:rPr>
        <w:t xml:space="preserve">, </w:t>
      </w:r>
      <w:r w:rsidR="000F3B16" w:rsidRPr="00A27053">
        <w:rPr>
          <w:sz w:val="20"/>
          <w:szCs w:val="20"/>
        </w:rPr>
        <w:t>at</w:t>
      </w:r>
      <w:r w:rsidR="00C31AB2" w:rsidRPr="00A27053">
        <w:rPr>
          <w:sz w:val="20"/>
          <w:szCs w:val="20"/>
        </w:rPr>
        <w:t xml:space="preserve"> </w:t>
      </w:r>
      <w:r w:rsidR="004F7A14" w:rsidRPr="00A27053">
        <w:rPr>
          <w:sz w:val="20"/>
          <w:szCs w:val="20"/>
        </w:rPr>
        <w:t>¶ 45</w:t>
      </w:r>
      <w:r w:rsidR="00832847" w:rsidRPr="00A27053">
        <w:rPr>
          <w:sz w:val="20"/>
          <w:szCs w:val="20"/>
        </w:rPr>
        <w:t xml:space="preserve"> (Mar. 2023)</w:t>
      </w:r>
      <w:r w:rsidR="004438A4" w:rsidRPr="00A27053">
        <w:rPr>
          <w:sz w:val="20"/>
          <w:szCs w:val="20"/>
        </w:rPr>
        <w:t>. Available at</w:t>
      </w:r>
      <w:r w:rsidRPr="00A27053">
        <w:rPr>
          <w:sz w:val="20"/>
          <w:szCs w:val="20"/>
        </w:rPr>
        <w:t xml:space="preserve"> https://deathpenaltyworldwide.org/wp-content/uploads/2023/04/Silently-Silenced-final-30-March-2023-2.pdf. </w:t>
      </w:r>
    </w:p>
  </w:footnote>
  <w:footnote w:id="48">
    <w:p w14:paraId="57A7003E" w14:textId="55965C9D" w:rsidR="00A27053" w:rsidRPr="00630DB3" w:rsidRDefault="00A27053">
      <w:pPr>
        <w:pStyle w:val="FootnoteText"/>
        <w:rPr>
          <w:sz w:val="20"/>
          <w:szCs w:val="20"/>
        </w:rPr>
      </w:pPr>
      <w:r w:rsidRPr="00630DB3">
        <w:rPr>
          <w:rStyle w:val="FootnoteReference"/>
          <w:sz w:val="20"/>
          <w:szCs w:val="20"/>
        </w:rPr>
        <w:footnoteRef/>
      </w:r>
      <w:r w:rsidRPr="00630DB3">
        <w:rPr>
          <w:sz w:val="20"/>
          <w:szCs w:val="20"/>
        </w:rPr>
        <w:t xml:space="preserve"> Iraq Penal Code </w:t>
      </w:r>
      <w:r w:rsidRPr="00A27053">
        <w:rPr>
          <w:sz w:val="20"/>
          <w:szCs w:val="20"/>
        </w:rPr>
        <w:t xml:space="preserve">No. 111 of 1969, </w:t>
      </w:r>
      <w:r w:rsidRPr="00630DB3">
        <w:rPr>
          <w:sz w:val="20"/>
          <w:szCs w:val="20"/>
        </w:rPr>
        <w:t>Art. 209.</w:t>
      </w:r>
    </w:p>
  </w:footnote>
  <w:footnote w:id="49">
    <w:p w14:paraId="660E2789" w14:textId="77777777" w:rsidR="00141C6A" w:rsidRPr="00A27053" w:rsidRDefault="00141C6A" w:rsidP="00141C6A">
      <w:pPr>
        <w:pStyle w:val="FootnoteText"/>
        <w:rPr>
          <w:sz w:val="20"/>
          <w:szCs w:val="20"/>
        </w:rPr>
      </w:pPr>
      <w:r w:rsidRPr="00A27053">
        <w:rPr>
          <w:rStyle w:val="FootnoteReference"/>
          <w:sz w:val="20"/>
          <w:szCs w:val="20"/>
        </w:rPr>
        <w:footnoteRef/>
      </w:r>
      <w:r w:rsidRPr="00A27053">
        <w:rPr>
          <w:sz w:val="20"/>
          <w:szCs w:val="20"/>
        </w:rPr>
        <w:t xml:space="preserve"> European Union Agency for Asylum, 2.16.1 Violence against women and girls: overview (Jan. 2021),</w:t>
      </w:r>
    </w:p>
    <w:p w14:paraId="480F8D22" w14:textId="77777777" w:rsidR="00141C6A" w:rsidRPr="00A27053" w:rsidRDefault="00141C6A" w:rsidP="00141C6A">
      <w:pPr>
        <w:pStyle w:val="FootnoteText"/>
        <w:rPr>
          <w:sz w:val="20"/>
          <w:szCs w:val="20"/>
        </w:rPr>
      </w:pPr>
      <w:r w:rsidRPr="00A27053">
        <w:rPr>
          <w:sz w:val="20"/>
          <w:szCs w:val="20"/>
        </w:rPr>
        <w:t xml:space="preserve">https://euaa.europa.eu/country-guidance-iraq-2021/2161-violence-against-women-and-girls-overview; UK Home Office, </w:t>
      </w:r>
      <w:r w:rsidRPr="00A27053">
        <w:rPr>
          <w:i/>
          <w:iCs/>
          <w:sz w:val="20"/>
          <w:szCs w:val="20"/>
        </w:rPr>
        <w:t>Country Policy and Information Note Iraq:’Honour’ crimes</w:t>
      </w:r>
      <w:r w:rsidRPr="00A27053">
        <w:rPr>
          <w:sz w:val="20"/>
          <w:szCs w:val="20"/>
        </w:rPr>
        <w:t>, at ¶ 48 (Mar. 2021). Available at https://assets.publishing.service.gov.uk/media/60646a59d3bf7f0c8c97da1a/Iraq_-_Honour_Crimes_-_CPIN_-_v2.0_-_March_2021_-_EXT.pdf.</w:t>
      </w:r>
    </w:p>
  </w:footnote>
  <w:footnote w:id="50">
    <w:p w14:paraId="04547C2E" w14:textId="77777777" w:rsidR="00141C6A" w:rsidRPr="00A27053" w:rsidRDefault="00141C6A" w:rsidP="00141C6A">
      <w:pPr>
        <w:pStyle w:val="FootnoteText"/>
        <w:rPr>
          <w:sz w:val="20"/>
          <w:szCs w:val="20"/>
        </w:rPr>
      </w:pPr>
      <w:r w:rsidRPr="00A27053">
        <w:rPr>
          <w:rStyle w:val="FootnoteReference"/>
          <w:sz w:val="20"/>
          <w:szCs w:val="20"/>
        </w:rPr>
        <w:footnoteRef/>
      </w:r>
      <w:r w:rsidRPr="00A27053">
        <w:rPr>
          <w:sz w:val="20"/>
          <w:szCs w:val="20"/>
        </w:rPr>
        <w:t xml:space="preserve"> Gem O’Reilly, </w:t>
      </w:r>
      <w:r w:rsidRPr="00A27053">
        <w:rPr>
          <w:i/>
          <w:iCs/>
          <w:sz w:val="20"/>
          <w:szCs w:val="20"/>
        </w:rPr>
        <w:t>The Iraqi YouTube star killed by her father,</w:t>
      </w:r>
      <w:r w:rsidRPr="00A27053">
        <w:rPr>
          <w:sz w:val="20"/>
          <w:szCs w:val="20"/>
        </w:rPr>
        <w:t xml:space="preserve"> BBC News (Sept. 5, 2023), https://www.bbc.com/news/world-middle-east-64533577.</w:t>
      </w:r>
    </w:p>
  </w:footnote>
  <w:footnote w:id="51">
    <w:p w14:paraId="2B06CBDB" w14:textId="3995EA0A" w:rsidR="00481787" w:rsidRPr="00A27053" w:rsidRDefault="00481787">
      <w:pPr>
        <w:pStyle w:val="FootnoteText"/>
        <w:rPr>
          <w:sz w:val="20"/>
          <w:szCs w:val="20"/>
        </w:rPr>
      </w:pPr>
      <w:r w:rsidRPr="00A27053">
        <w:rPr>
          <w:rStyle w:val="FootnoteReference"/>
          <w:sz w:val="20"/>
          <w:szCs w:val="20"/>
        </w:rPr>
        <w:footnoteRef/>
      </w:r>
      <w:r w:rsidRPr="00A27053">
        <w:rPr>
          <w:sz w:val="20"/>
          <w:szCs w:val="20"/>
        </w:rPr>
        <w:t xml:space="preserve"> Miriam Putick, </w:t>
      </w:r>
      <w:r w:rsidRPr="00A27053">
        <w:rPr>
          <w:i/>
          <w:iCs/>
          <w:sz w:val="20"/>
          <w:szCs w:val="20"/>
        </w:rPr>
        <w:t>War Waged in the Home: Rethinking conflict and gender-based violence in Iraq</w:t>
      </w:r>
      <w:r w:rsidRPr="00A27053">
        <w:rPr>
          <w:sz w:val="20"/>
          <w:szCs w:val="20"/>
        </w:rPr>
        <w:t>,</w:t>
      </w:r>
      <w:r w:rsidR="0072217B" w:rsidRPr="00A27053">
        <w:rPr>
          <w:sz w:val="20"/>
          <w:szCs w:val="20"/>
        </w:rPr>
        <w:t xml:space="preserve"> </w:t>
      </w:r>
      <w:r w:rsidR="0034043F" w:rsidRPr="00A27053">
        <w:rPr>
          <w:sz w:val="20"/>
          <w:szCs w:val="20"/>
        </w:rPr>
        <w:t>Ceasefire Centre for Civilian Rights</w:t>
      </w:r>
      <w:r w:rsidR="00D2622D" w:rsidRPr="00A27053">
        <w:rPr>
          <w:sz w:val="20"/>
          <w:szCs w:val="20"/>
        </w:rPr>
        <w:t xml:space="preserve">, </w:t>
      </w:r>
      <w:r w:rsidR="0072217B" w:rsidRPr="00A27053">
        <w:rPr>
          <w:sz w:val="20"/>
          <w:szCs w:val="20"/>
        </w:rPr>
        <w:t xml:space="preserve">at </w:t>
      </w:r>
      <w:r w:rsidR="00647A4C" w:rsidRPr="00A27053">
        <w:rPr>
          <w:sz w:val="20"/>
          <w:szCs w:val="20"/>
        </w:rPr>
        <w:t>33</w:t>
      </w:r>
      <w:r w:rsidR="00D2622D" w:rsidRPr="00A27053">
        <w:rPr>
          <w:sz w:val="20"/>
          <w:szCs w:val="20"/>
        </w:rPr>
        <w:t xml:space="preserve"> (Mar. 2024)</w:t>
      </w:r>
      <w:r w:rsidR="001D0456" w:rsidRPr="00A27053">
        <w:rPr>
          <w:sz w:val="20"/>
          <w:szCs w:val="20"/>
        </w:rPr>
        <w:t xml:space="preserve">. Available at </w:t>
      </w:r>
      <w:r w:rsidRPr="00A27053">
        <w:rPr>
          <w:sz w:val="20"/>
          <w:szCs w:val="20"/>
        </w:rPr>
        <w:t>https://www.ceasefire.org/wp-content/uploads/2024/04/Ceasefire_War_at_Home_April24_EN_ONLINE.pdf</w:t>
      </w:r>
      <w:r w:rsidR="0030195D" w:rsidRPr="00A27053">
        <w:rPr>
          <w:sz w:val="20"/>
          <w:szCs w:val="20"/>
        </w:rPr>
        <w:t>.</w:t>
      </w:r>
    </w:p>
  </w:footnote>
  <w:footnote w:id="52">
    <w:p w14:paraId="32FC4B3D" w14:textId="4E7288DA" w:rsidR="00481787" w:rsidRPr="00A27053" w:rsidRDefault="00481787" w:rsidP="00481787">
      <w:pPr>
        <w:pStyle w:val="FootnoteText"/>
        <w:rPr>
          <w:sz w:val="20"/>
          <w:szCs w:val="20"/>
        </w:rPr>
      </w:pPr>
      <w:r w:rsidRPr="00A27053">
        <w:rPr>
          <w:rStyle w:val="FootnoteReference"/>
          <w:sz w:val="20"/>
          <w:szCs w:val="20"/>
        </w:rPr>
        <w:footnoteRef/>
      </w:r>
      <w:r w:rsidRPr="00A27053">
        <w:rPr>
          <w:sz w:val="20"/>
          <w:szCs w:val="20"/>
        </w:rPr>
        <w:t xml:space="preserve"> U</w:t>
      </w:r>
      <w:r w:rsidR="007537A4" w:rsidRPr="00A27053">
        <w:rPr>
          <w:sz w:val="20"/>
          <w:szCs w:val="20"/>
        </w:rPr>
        <w:t>.</w:t>
      </w:r>
      <w:r w:rsidRPr="00A27053">
        <w:rPr>
          <w:sz w:val="20"/>
          <w:szCs w:val="20"/>
        </w:rPr>
        <w:t>N</w:t>
      </w:r>
      <w:r w:rsidR="007537A4" w:rsidRPr="00A27053">
        <w:rPr>
          <w:sz w:val="20"/>
          <w:szCs w:val="20"/>
        </w:rPr>
        <w:t>.</w:t>
      </w:r>
      <w:r w:rsidRPr="00A27053">
        <w:rPr>
          <w:sz w:val="20"/>
          <w:szCs w:val="20"/>
        </w:rPr>
        <w:t>A</w:t>
      </w:r>
      <w:r w:rsidR="007537A4" w:rsidRPr="00A27053">
        <w:rPr>
          <w:sz w:val="20"/>
          <w:szCs w:val="20"/>
        </w:rPr>
        <w:t>.</w:t>
      </w:r>
      <w:r w:rsidRPr="00A27053">
        <w:rPr>
          <w:sz w:val="20"/>
          <w:szCs w:val="20"/>
        </w:rPr>
        <w:t>M</w:t>
      </w:r>
      <w:r w:rsidR="007537A4" w:rsidRPr="00A27053">
        <w:rPr>
          <w:sz w:val="20"/>
          <w:szCs w:val="20"/>
        </w:rPr>
        <w:t>.</w:t>
      </w:r>
      <w:r w:rsidRPr="00A27053">
        <w:rPr>
          <w:sz w:val="20"/>
          <w:szCs w:val="20"/>
        </w:rPr>
        <w:t>I</w:t>
      </w:r>
      <w:r w:rsidR="007537A4" w:rsidRPr="00A27053">
        <w:rPr>
          <w:sz w:val="20"/>
          <w:szCs w:val="20"/>
        </w:rPr>
        <w:t>.</w:t>
      </w:r>
      <w:r w:rsidRPr="00A27053">
        <w:rPr>
          <w:sz w:val="20"/>
          <w:szCs w:val="20"/>
        </w:rPr>
        <w:t xml:space="preserve"> Human Rights Office, </w:t>
      </w:r>
      <w:r w:rsidRPr="00A27053">
        <w:rPr>
          <w:i/>
          <w:iCs/>
          <w:sz w:val="20"/>
          <w:szCs w:val="20"/>
        </w:rPr>
        <w:t xml:space="preserve">Submissions to the UN SRVAW Thematic Report </w:t>
      </w:r>
      <w:r w:rsidR="00525369" w:rsidRPr="00A27053">
        <w:rPr>
          <w:i/>
          <w:iCs/>
          <w:sz w:val="20"/>
          <w:szCs w:val="20"/>
        </w:rPr>
        <w:t>on</w:t>
      </w:r>
      <w:r w:rsidRPr="00A27053">
        <w:rPr>
          <w:i/>
          <w:iCs/>
          <w:sz w:val="20"/>
          <w:szCs w:val="20"/>
        </w:rPr>
        <w:t xml:space="preserve"> Rape As A Grave And Systematic Human Rights Violation And Gender-Based Violence Against Women</w:t>
      </w:r>
      <w:r w:rsidRPr="00A27053">
        <w:rPr>
          <w:sz w:val="20"/>
          <w:szCs w:val="20"/>
        </w:rPr>
        <w:t>,</w:t>
      </w:r>
      <w:r w:rsidR="00DF6743" w:rsidRPr="00A27053">
        <w:rPr>
          <w:sz w:val="20"/>
          <w:szCs w:val="20"/>
        </w:rPr>
        <w:t xml:space="preserve"> at</w:t>
      </w:r>
      <w:r w:rsidRPr="00A27053">
        <w:rPr>
          <w:sz w:val="20"/>
          <w:szCs w:val="20"/>
        </w:rPr>
        <w:t xml:space="preserve"> </w:t>
      </w:r>
      <w:r w:rsidR="00403AD8" w:rsidRPr="00A27053">
        <w:rPr>
          <w:sz w:val="20"/>
          <w:szCs w:val="20"/>
        </w:rPr>
        <w:t>1</w:t>
      </w:r>
      <w:r w:rsidR="00B33AE8" w:rsidRPr="00A27053">
        <w:rPr>
          <w:sz w:val="20"/>
          <w:szCs w:val="20"/>
        </w:rPr>
        <w:t>. Available at https://www.ohchr.org/sites/default/files/Documents/Issues/Women/SR/RapeReport/un/unami-iraq.docx (last visited Dec. 6, 2024)</w:t>
      </w:r>
      <w:r w:rsidRPr="00A27053">
        <w:rPr>
          <w:sz w:val="20"/>
          <w:szCs w:val="20"/>
        </w:rPr>
        <w:t xml:space="preserve">. </w:t>
      </w:r>
    </w:p>
  </w:footnote>
  <w:footnote w:id="53">
    <w:p w14:paraId="45C2629B" w14:textId="3DB030E2" w:rsidR="00481787" w:rsidRPr="00A27053" w:rsidRDefault="00481787" w:rsidP="00481787">
      <w:pPr>
        <w:pStyle w:val="FootnoteText"/>
        <w:rPr>
          <w:sz w:val="20"/>
          <w:szCs w:val="20"/>
        </w:rPr>
      </w:pPr>
      <w:r w:rsidRPr="00A27053">
        <w:rPr>
          <w:rStyle w:val="FootnoteReference"/>
          <w:sz w:val="20"/>
          <w:szCs w:val="20"/>
        </w:rPr>
        <w:footnoteRef/>
      </w:r>
      <w:r w:rsidR="00402645" w:rsidRPr="00A27053">
        <w:rPr>
          <w:sz w:val="20"/>
          <w:szCs w:val="20"/>
        </w:rPr>
        <w:t xml:space="preserve"> </w:t>
      </w:r>
      <w:r w:rsidR="00D24719" w:rsidRPr="00A27053">
        <w:rPr>
          <w:sz w:val="20"/>
          <w:szCs w:val="20"/>
        </w:rPr>
        <w:t xml:space="preserve">Madeline Jones, </w:t>
      </w:r>
      <w:r w:rsidR="00D24719" w:rsidRPr="00A27053">
        <w:rPr>
          <w:i/>
          <w:iCs/>
          <w:sz w:val="20"/>
          <w:szCs w:val="20"/>
        </w:rPr>
        <w:t>A Call to Repeal Iraq</w:t>
      </w:r>
      <w:r w:rsidR="008321DA" w:rsidRPr="00A27053">
        <w:rPr>
          <w:i/>
          <w:iCs/>
          <w:sz w:val="20"/>
          <w:szCs w:val="20"/>
        </w:rPr>
        <w:t>’</w:t>
      </w:r>
      <w:r w:rsidR="00D24719" w:rsidRPr="00A27053">
        <w:rPr>
          <w:i/>
          <w:iCs/>
          <w:sz w:val="20"/>
          <w:szCs w:val="20"/>
        </w:rPr>
        <w:t>s Rape-Marriage Law</w:t>
      </w:r>
      <w:r w:rsidR="00D24719" w:rsidRPr="00A27053">
        <w:rPr>
          <w:sz w:val="20"/>
          <w:szCs w:val="20"/>
        </w:rPr>
        <w:t>, Mich</w:t>
      </w:r>
      <w:r w:rsidR="00952468" w:rsidRPr="00A27053">
        <w:rPr>
          <w:sz w:val="20"/>
          <w:szCs w:val="20"/>
        </w:rPr>
        <w:t>.</w:t>
      </w:r>
      <w:r w:rsidR="00D24719" w:rsidRPr="00A27053">
        <w:rPr>
          <w:sz w:val="20"/>
          <w:szCs w:val="20"/>
        </w:rPr>
        <w:t xml:space="preserve"> St</w:t>
      </w:r>
      <w:r w:rsidR="00952468" w:rsidRPr="00A27053">
        <w:rPr>
          <w:sz w:val="20"/>
          <w:szCs w:val="20"/>
        </w:rPr>
        <w:t>.</w:t>
      </w:r>
      <w:r w:rsidR="00D24719" w:rsidRPr="00A27053">
        <w:rPr>
          <w:sz w:val="20"/>
          <w:szCs w:val="20"/>
        </w:rPr>
        <w:t xml:space="preserve"> Int</w:t>
      </w:r>
      <w:r w:rsidR="00F779B5" w:rsidRPr="00A27053">
        <w:rPr>
          <w:sz w:val="20"/>
          <w:szCs w:val="20"/>
        </w:rPr>
        <w:t>’</w:t>
      </w:r>
      <w:r w:rsidR="00D24719" w:rsidRPr="00A27053">
        <w:rPr>
          <w:sz w:val="20"/>
          <w:szCs w:val="20"/>
        </w:rPr>
        <w:t>l</w:t>
      </w:r>
      <w:r w:rsidR="00F779B5" w:rsidRPr="00A27053">
        <w:rPr>
          <w:sz w:val="20"/>
          <w:szCs w:val="20"/>
        </w:rPr>
        <w:t>.</w:t>
      </w:r>
      <w:r w:rsidR="00D24719" w:rsidRPr="00A27053">
        <w:rPr>
          <w:sz w:val="20"/>
          <w:szCs w:val="20"/>
        </w:rPr>
        <w:t xml:space="preserve"> L</w:t>
      </w:r>
      <w:r w:rsidR="00F779B5" w:rsidRPr="00A27053">
        <w:rPr>
          <w:sz w:val="20"/>
          <w:szCs w:val="20"/>
        </w:rPr>
        <w:t xml:space="preserve">. </w:t>
      </w:r>
      <w:r w:rsidR="00D24719" w:rsidRPr="00A27053">
        <w:rPr>
          <w:sz w:val="20"/>
          <w:szCs w:val="20"/>
        </w:rPr>
        <w:t>Rev</w:t>
      </w:r>
      <w:r w:rsidR="00F779B5" w:rsidRPr="00A27053">
        <w:rPr>
          <w:sz w:val="20"/>
          <w:szCs w:val="20"/>
        </w:rPr>
        <w:t>.</w:t>
      </w:r>
      <w:r w:rsidR="00D24719" w:rsidRPr="00A27053">
        <w:rPr>
          <w:sz w:val="20"/>
          <w:szCs w:val="20"/>
        </w:rPr>
        <w:t xml:space="preserve"> </w:t>
      </w:r>
      <w:r w:rsidR="00855936" w:rsidRPr="00A27053">
        <w:rPr>
          <w:sz w:val="20"/>
          <w:szCs w:val="20"/>
        </w:rPr>
        <w:t>(</w:t>
      </w:r>
      <w:r w:rsidR="00CE2316" w:rsidRPr="00A27053">
        <w:rPr>
          <w:sz w:val="20"/>
          <w:szCs w:val="20"/>
        </w:rPr>
        <w:t>Mar</w:t>
      </w:r>
      <w:r w:rsidR="009223EC" w:rsidRPr="00A27053">
        <w:rPr>
          <w:sz w:val="20"/>
          <w:szCs w:val="20"/>
        </w:rPr>
        <w:t>.</w:t>
      </w:r>
      <w:r w:rsidR="00525369" w:rsidRPr="00A27053">
        <w:rPr>
          <w:sz w:val="20"/>
          <w:szCs w:val="20"/>
        </w:rPr>
        <w:t xml:space="preserve"> 20, </w:t>
      </w:r>
      <w:r w:rsidR="00CE2316" w:rsidRPr="00A27053">
        <w:rPr>
          <w:sz w:val="20"/>
          <w:szCs w:val="20"/>
        </w:rPr>
        <w:t>2023</w:t>
      </w:r>
      <w:r w:rsidR="00855936" w:rsidRPr="00A27053">
        <w:rPr>
          <w:sz w:val="20"/>
          <w:szCs w:val="20"/>
        </w:rPr>
        <w:t>)</w:t>
      </w:r>
      <w:r w:rsidR="00CE2316" w:rsidRPr="00A27053">
        <w:rPr>
          <w:sz w:val="20"/>
          <w:szCs w:val="20"/>
        </w:rPr>
        <w:t>,</w:t>
      </w:r>
      <w:r w:rsidR="00575ED8" w:rsidRPr="00A27053">
        <w:rPr>
          <w:sz w:val="20"/>
          <w:szCs w:val="20"/>
        </w:rPr>
        <w:t xml:space="preserve"> </w:t>
      </w:r>
      <w:r w:rsidR="00525369" w:rsidRPr="00A27053">
        <w:rPr>
          <w:i/>
          <w:iCs/>
          <w:sz w:val="20"/>
          <w:szCs w:val="20"/>
        </w:rPr>
        <w:t>https://www.msuilr.org/new-blog/2023/3/20/a-call-to-repeal-iraqs-rape-marriage-law</w:t>
      </w:r>
      <w:r w:rsidR="00F779B5" w:rsidRPr="00A27053">
        <w:rPr>
          <w:sz w:val="20"/>
          <w:szCs w:val="20"/>
        </w:rPr>
        <w:t>.</w:t>
      </w:r>
    </w:p>
  </w:footnote>
  <w:footnote w:id="54">
    <w:p w14:paraId="07B4EE92" w14:textId="122D11FF" w:rsidR="00481787" w:rsidRPr="00A27053" w:rsidRDefault="00481787" w:rsidP="00481787">
      <w:pPr>
        <w:pStyle w:val="FootnoteText"/>
        <w:rPr>
          <w:sz w:val="20"/>
          <w:szCs w:val="20"/>
        </w:rPr>
      </w:pPr>
      <w:r w:rsidRPr="00A27053">
        <w:rPr>
          <w:rStyle w:val="FootnoteReference"/>
          <w:sz w:val="20"/>
          <w:szCs w:val="20"/>
        </w:rPr>
        <w:footnoteRef/>
      </w:r>
      <w:r w:rsidRPr="00A27053">
        <w:rPr>
          <w:sz w:val="20"/>
          <w:szCs w:val="20"/>
        </w:rPr>
        <w:t xml:space="preserve"> </w:t>
      </w:r>
      <w:r w:rsidR="00CB3F1C" w:rsidRPr="00A27053">
        <w:rPr>
          <w:sz w:val="20"/>
          <w:szCs w:val="20"/>
        </w:rPr>
        <w:t xml:space="preserve">Geneive Abdo, </w:t>
      </w:r>
      <w:r w:rsidR="00CB3F1C" w:rsidRPr="00A27053">
        <w:rPr>
          <w:i/>
          <w:iCs/>
          <w:sz w:val="20"/>
          <w:szCs w:val="20"/>
        </w:rPr>
        <w:t>Violence Against Women Permeates All Aspects of Life in Iraq</w:t>
      </w:r>
      <w:r w:rsidR="00CB3F1C" w:rsidRPr="00A27053">
        <w:rPr>
          <w:sz w:val="20"/>
          <w:szCs w:val="20"/>
        </w:rPr>
        <w:t>, Wilson Center (Nov. 29, 2022), https://www.wilsoncenter.org/blog-post/violence-against-women-permeates-all-aspects-life-iraq</w:t>
      </w:r>
      <w:r w:rsidR="00DD10E1" w:rsidRPr="00A27053">
        <w:rPr>
          <w:sz w:val="20"/>
          <w:szCs w:val="20"/>
        </w:rPr>
        <w:t>.</w:t>
      </w:r>
    </w:p>
  </w:footnote>
  <w:footnote w:id="55">
    <w:p w14:paraId="558746B2" w14:textId="77777777" w:rsidR="00141C6A" w:rsidRPr="00A27053" w:rsidRDefault="00141C6A" w:rsidP="00141C6A">
      <w:pPr>
        <w:pStyle w:val="FootnoteText"/>
        <w:rPr>
          <w:sz w:val="20"/>
          <w:szCs w:val="20"/>
        </w:rPr>
      </w:pPr>
      <w:r w:rsidRPr="00A27053">
        <w:rPr>
          <w:rStyle w:val="FootnoteReference"/>
          <w:sz w:val="20"/>
          <w:szCs w:val="20"/>
        </w:rPr>
        <w:footnoteRef/>
      </w:r>
      <w:r w:rsidRPr="00A27053">
        <w:rPr>
          <w:sz w:val="20"/>
          <w:szCs w:val="20"/>
        </w:rPr>
        <w:t xml:space="preserve"> Madeline Jones, </w:t>
      </w:r>
      <w:r w:rsidRPr="00A27053">
        <w:rPr>
          <w:i/>
          <w:iCs/>
          <w:sz w:val="20"/>
          <w:szCs w:val="20"/>
        </w:rPr>
        <w:t>A Call to Repeal Iraq’s Rape-Marriage Law</w:t>
      </w:r>
      <w:r w:rsidRPr="00A27053">
        <w:rPr>
          <w:sz w:val="20"/>
          <w:szCs w:val="20"/>
        </w:rPr>
        <w:t xml:space="preserve">, Mich. St. Int’l. L. Rev. (Mar. 20, 2023), </w:t>
      </w:r>
      <w:r w:rsidRPr="00A27053">
        <w:rPr>
          <w:i/>
          <w:iCs/>
          <w:sz w:val="20"/>
          <w:szCs w:val="20"/>
        </w:rPr>
        <w:t>https://www.msuilr.org/new-blog/2023/3/20/a-call-to-repeal-iraqs-rape-marriage-law</w:t>
      </w:r>
      <w:r w:rsidRPr="00A27053">
        <w:rPr>
          <w:sz w:val="20"/>
          <w:szCs w:val="20"/>
        </w:rPr>
        <w:t>.</w:t>
      </w:r>
    </w:p>
  </w:footnote>
  <w:footnote w:id="56">
    <w:p w14:paraId="1B0C954C" w14:textId="7E2F0B4C" w:rsidR="00631B01" w:rsidRPr="00A27053" w:rsidRDefault="00631B01">
      <w:pPr>
        <w:pStyle w:val="FootnoteText"/>
        <w:rPr>
          <w:sz w:val="20"/>
          <w:szCs w:val="20"/>
        </w:rPr>
      </w:pPr>
      <w:r w:rsidRPr="00A27053">
        <w:rPr>
          <w:rStyle w:val="FootnoteReference"/>
          <w:sz w:val="20"/>
          <w:szCs w:val="20"/>
        </w:rPr>
        <w:footnoteRef/>
      </w:r>
      <w:r w:rsidRPr="00A27053">
        <w:rPr>
          <w:sz w:val="20"/>
          <w:szCs w:val="20"/>
        </w:rPr>
        <w:t xml:space="preserve"> </w:t>
      </w:r>
      <w:r w:rsidR="00207F06" w:rsidRPr="00A27053">
        <w:rPr>
          <w:sz w:val="20"/>
          <w:szCs w:val="20"/>
        </w:rPr>
        <w:t xml:space="preserve">Miriam Putick, </w:t>
      </w:r>
      <w:r w:rsidR="00207F06" w:rsidRPr="00A27053">
        <w:rPr>
          <w:i/>
          <w:iCs/>
          <w:sz w:val="20"/>
          <w:szCs w:val="20"/>
        </w:rPr>
        <w:t>War Waged in the Home: Rethinking conflict and gender-based violence in Iraq</w:t>
      </w:r>
      <w:r w:rsidR="00207F06" w:rsidRPr="00A27053">
        <w:rPr>
          <w:sz w:val="20"/>
          <w:szCs w:val="20"/>
        </w:rPr>
        <w:t>, Ceasefire Centre for Civilian Rights</w:t>
      </w:r>
      <w:r w:rsidR="00C47411" w:rsidRPr="00A27053">
        <w:rPr>
          <w:sz w:val="20"/>
          <w:szCs w:val="20"/>
        </w:rPr>
        <w:t xml:space="preserve">, </w:t>
      </w:r>
      <w:r w:rsidR="00207F06" w:rsidRPr="00A27053">
        <w:rPr>
          <w:sz w:val="20"/>
          <w:szCs w:val="20"/>
        </w:rPr>
        <w:t>at 21</w:t>
      </w:r>
      <w:r w:rsidR="00C47411" w:rsidRPr="00A27053">
        <w:rPr>
          <w:sz w:val="20"/>
          <w:szCs w:val="20"/>
        </w:rPr>
        <w:t xml:space="preserve"> (Mar. 2024)</w:t>
      </w:r>
      <w:r w:rsidR="00207F06" w:rsidRPr="00A27053">
        <w:rPr>
          <w:sz w:val="20"/>
          <w:szCs w:val="20"/>
        </w:rPr>
        <w:t>. Available at https://www.ceasefire.org/wp-content/uploads/2024/04/Ceasefire_War_at_Home_April24_EN_ONLINE.pdf.</w:t>
      </w:r>
    </w:p>
  </w:footnote>
  <w:footnote w:id="57">
    <w:p w14:paraId="7CAD2607" w14:textId="6F343B05" w:rsidR="00631B01" w:rsidRPr="00A27053" w:rsidRDefault="00631B01" w:rsidP="00631B01">
      <w:pPr>
        <w:pStyle w:val="FootnoteText"/>
        <w:rPr>
          <w:sz w:val="20"/>
          <w:szCs w:val="20"/>
        </w:rPr>
      </w:pPr>
      <w:r w:rsidRPr="00A27053">
        <w:rPr>
          <w:rStyle w:val="FootnoteReference"/>
          <w:sz w:val="20"/>
          <w:szCs w:val="20"/>
        </w:rPr>
        <w:footnoteRef/>
      </w:r>
      <w:r w:rsidRPr="00A27053">
        <w:rPr>
          <w:sz w:val="20"/>
          <w:szCs w:val="20"/>
        </w:rPr>
        <w:t xml:space="preserve"> </w:t>
      </w:r>
      <w:r w:rsidR="006E0F4E" w:rsidRPr="00A27053">
        <w:rPr>
          <w:sz w:val="20"/>
          <w:szCs w:val="20"/>
        </w:rPr>
        <w:t xml:space="preserve">Miriam Putick, </w:t>
      </w:r>
      <w:r w:rsidR="006E0F4E" w:rsidRPr="00A27053">
        <w:rPr>
          <w:i/>
          <w:iCs/>
          <w:sz w:val="20"/>
          <w:szCs w:val="20"/>
        </w:rPr>
        <w:t>War Waged in the Home: Rethinking conflict and gender-based violence in Iraq</w:t>
      </w:r>
      <w:r w:rsidR="006E0F4E" w:rsidRPr="00A27053">
        <w:rPr>
          <w:sz w:val="20"/>
          <w:szCs w:val="20"/>
        </w:rPr>
        <w:t>, Ceasefire Centre for Civilian Rights</w:t>
      </w:r>
      <w:r w:rsidR="00C47411" w:rsidRPr="00A27053">
        <w:rPr>
          <w:sz w:val="20"/>
          <w:szCs w:val="20"/>
        </w:rPr>
        <w:t xml:space="preserve">, </w:t>
      </w:r>
      <w:r w:rsidR="006E0F4E" w:rsidRPr="00A27053">
        <w:rPr>
          <w:sz w:val="20"/>
          <w:szCs w:val="20"/>
        </w:rPr>
        <w:t>at 21</w:t>
      </w:r>
      <w:r w:rsidR="00C47411" w:rsidRPr="00A27053">
        <w:rPr>
          <w:sz w:val="20"/>
          <w:szCs w:val="20"/>
        </w:rPr>
        <w:t xml:space="preserve"> (Mar. 2024)</w:t>
      </w:r>
      <w:r w:rsidR="00207F06" w:rsidRPr="00A27053">
        <w:rPr>
          <w:sz w:val="20"/>
          <w:szCs w:val="20"/>
        </w:rPr>
        <w:t>. Available online at</w:t>
      </w:r>
      <w:r w:rsidR="006E0F4E" w:rsidRPr="00A27053">
        <w:rPr>
          <w:sz w:val="20"/>
          <w:szCs w:val="20"/>
        </w:rPr>
        <w:t xml:space="preserve"> https://www.ceasefire.org/wp-content/uploads/2024/04/Ceasefire_War_at_Home_April24_EN_ONLINE.pdf.</w:t>
      </w:r>
    </w:p>
  </w:footnote>
  <w:footnote w:id="58">
    <w:p w14:paraId="364B2A1A" w14:textId="74FAC329" w:rsidR="00631B01" w:rsidRPr="00A27053" w:rsidRDefault="00631B01">
      <w:pPr>
        <w:pStyle w:val="FootnoteText"/>
        <w:rPr>
          <w:sz w:val="20"/>
          <w:szCs w:val="20"/>
        </w:rPr>
      </w:pPr>
      <w:r w:rsidRPr="00A27053">
        <w:rPr>
          <w:rStyle w:val="FootnoteReference"/>
          <w:sz w:val="20"/>
          <w:szCs w:val="20"/>
        </w:rPr>
        <w:footnoteRef/>
      </w:r>
      <w:r w:rsidRPr="00A27053">
        <w:rPr>
          <w:sz w:val="20"/>
          <w:szCs w:val="20"/>
        </w:rPr>
        <w:t xml:space="preserve"> </w:t>
      </w:r>
      <w:r w:rsidR="00207F06" w:rsidRPr="00A27053">
        <w:rPr>
          <w:sz w:val="20"/>
          <w:szCs w:val="20"/>
        </w:rPr>
        <w:t xml:space="preserve">Miriam Putick, </w:t>
      </w:r>
      <w:r w:rsidR="00207F06" w:rsidRPr="00A27053">
        <w:rPr>
          <w:i/>
          <w:iCs/>
          <w:sz w:val="20"/>
          <w:szCs w:val="20"/>
        </w:rPr>
        <w:t>War Waged in the Home: Rethinking conflict and gender-based violence in Iraq</w:t>
      </w:r>
      <w:r w:rsidR="00207F06" w:rsidRPr="00A27053">
        <w:rPr>
          <w:sz w:val="20"/>
          <w:szCs w:val="20"/>
        </w:rPr>
        <w:t>, Ceasefire Centre for Civilian Rights</w:t>
      </w:r>
      <w:r w:rsidR="00C47411" w:rsidRPr="00A27053">
        <w:rPr>
          <w:sz w:val="20"/>
          <w:szCs w:val="20"/>
        </w:rPr>
        <w:t xml:space="preserve">, </w:t>
      </w:r>
      <w:r w:rsidR="00207F06" w:rsidRPr="00A27053">
        <w:rPr>
          <w:sz w:val="20"/>
          <w:szCs w:val="20"/>
        </w:rPr>
        <w:t>at 20</w:t>
      </w:r>
      <w:r w:rsidR="00C47411" w:rsidRPr="00A27053">
        <w:rPr>
          <w:sz w:val="20"/>
          <w:szCs w:val="20"/>
        </w:rPr>
        <w:t xml:space="preserve"> (Mar. 2024)</w:t>
      </w:r>
      <w:r w:rsidR="00207F06" w:rsidRPr="00A27053">
        <w:rPr>
          <w:sz w:val="20"/>
          <w:szCs w:val="20"/>
        </w:rPr>
        <w:t>. Available online at https://www.ceasefire.org/wp-content/uploads/2024/04/Ceasefire_War_at_Home_April24_EN_ONLINE.pdf.</w:t>
      </w:r>
    </w:p>
  </w:footnote>
  <w:footnote w:id="59">
    <w:p w14:paraId="1071721A" w14:textId="46D4B0FA" w:rsidR="00BE142D" w:rsidRPr="00A27053" w:rsidRDefault="00BE142D" w:rsidP="00BE142D">
      <w:pPr>
        <w:pStyle w:val="FootnoteText"/>
        <w:rPr>
          <w:sz w:val="20"/>
          <w:szCs w:val="20"/>
        </w:rPr>
      </w:pPr>
      <w:r w:rsidRPr="00A27053">
        <w:rPr>
          <w:rStyle w:val="FootnoteReference"/>
          <w:sz w:val="20"/>
          <w:szCs w:val="20"/>
        </w:rPr>
        <w:footnoteRef/>
      </w:r>
      <w:r w:rsidRPr="00A27053">
        <w:rPr>
          <w:sz w:val="20"/>
          <w:szCs w:val="20"/>
        </w:rPr>
        <w:t xml:space="preserve"> European Union Agency for Asylum, Iraq – Country Focus</w:t>
      </w:r>
      <w:r w:rsidR="00C559D2" w:rsidRPr="00A27053">
        <w:rPr>
          <w:sz w:val="20"/>
          <w:szCs w:val="20"/>
        </w:rPr>
        <w:t xml:space="preserve"> (May 2024)</w:t>
      </w:r>
      <w:r w:rsidR="00764AAF" w:rsidRPr="00A27053">
        <w:rPr>
          <w:sz w:val="20"/>
          <w:szCs w:val="20"/>
        </w:rPr>
        <w:t xml:space="preserve">. Available at </w:t>
      </w:r>
      <w:r w:rsidRPr="00A27053">
        <w:rPr>
          <w:sz w:val="20"/>
          <w:szCs w:val="20"/>
        </w:rPr>
        <w:t>https://euaa.europa.eu/sites/default/files/publications/2024-05/2024_05_COI_Report_Iraq_Country_Focus_EN.pdf.</w:t>
      </w:r>
    </w:p>
  </w:footnote>
  <w:footnote w:id="60">
    <w:p w14:paraId="135E1EA7" w14:textId="77777777" w:rsidR="00CE5BC1" w:rsidRPr="00A27053" w:rsidRDefault="00CE5BC1" w:rsidP="00CE5BC1">
      <w:pPr>
        <w:pStyle w:val="FootnoteText"/>
        <w:rPr>
          <w:sz w:val="20"/>
          <w:szCs w:val="20"/>
        </w:rPr>
      </w:pPr>
      <w:r w:rsidRPr="00A27053">
        <w:rPr>
          <w:rStyle w:val="FootnoteReference"/>
          <w:sz w:val="20"/>
          <w:szCs w:val="20"/>
        </w:rPr>
        <w:footnoteRef/>
      </w:r>
      <w:r w:rsidRPr="00A27053">
        <w:rPr>
          <w:sz w:val="20"/>
          <w:szCs w:val="20"/>
        </w:rPr>
        <w:t xml:space="preserve"> Human Rights Watch, </w:t>
      </w:r>
      <w:r w:rsidRPr="00A27053">
        <w:rPr>
          <w:i/>
          <w:iCs/>
          <w:sz w:val="20"/>
          <w:szCs w:val="20"/>
        </w:rPr>
        <w:t>Iraq: Surging Unlawful Executions</w:t>
      </w:r>
      <w:r w:rsidRPr="00A27053">
        <w:rPr>
          <w:sz w:val="20"/>
          <w:szCs w:val="20"/>
        </w:rPr>
        <w:t>, Nov. 19, 2024, https://www.hrw.org/news/2024/11/19/iraq-surging-unlawful-executions.</w:t>
      </w:r>
    </w:p>
  </w:footnote>
  <w:footnote w:id="61">
    <w:p w14:paraId="394119DF" w14:textId="77777777" w:rsidR="00041965" w:rsidRPr="00A27053" w:rsidRDefault="00041965" w:rsidP="00041965">
      <w:pPr>
        <w:pStyle w:val="FootnoteText"/>
        <w:rPr>
          <w:sz w:val="20"/>
          <w:szCs w:val="20"/>
          <w:lang w:val="en-GB"/>
        </w:rPr>
      </w:pPr>
      <w:r w:rsidRPr="00A27053">
        <w:rPr>
          <w:rStyle w:val="FootnoteReference"/>
          <w:sz w:val="20"/>
          <w:szCs w:val="20"/>
        </w:rPr>
        <w:footnoteRef/>
      </w:r>
      <w:r w:rsidRPr="00A27053">
        <w:rPr>
          <w:sz w:val="20"/>
          <w:szCs w:val="20"/>
        </w:rPr>
        <w:t xml:space="preserve"> The World Coalition Against the Death Penalty, </w:t>
      </w:r>
      <w:r w:rsidRPr="00A27053">
        <w:rPr>
          <w:i/>
          <w:iCs/>
          <w:sz w:val="20"/>
          <w:szCs w:val="20"/>
        </w:rPr>
        <w:t>Mapping of Women on Death Row</w:t>
      </w:r>
      <w:r w:rsidRPr="00A27053">
        <w:rPr>
          <w:sz w:val="20"/>
          <w:szCs w:val="20"/>
        </w:rPr>
        <w:t>, at 6, 10 (Jun. 2023). Available at https://worldcoalition.org/wp-content/uploads/2023/08/ENG_Country-Mapping-report_Women-on-Death-Row.pdf.</w:t>
      </w:r>
    </w:p>
  </w:footnote>
  <w:footnote w:id="62">
    <w:p w14:paraId="13A9D7E1" w14:textId="77777777" w:rsidR="00041965" w:rsidRPr="00A27053" w:rsidRDefault="00041965" w:rsidP="00041965">
      <w:pPr>
        <w:pStyle w:val="FootnoteText"/>
        <w:rPr>
          <w:sz w:val="20"/>
          <w:szCs w:val="20"/>
          <w:lang w:val="en-GB"/>
        </w:rPr>
      </w:pPr>
      <w:r w:rsidRPr="00A27053">
        <w:rPr>
          <w:rStyle w:val="FootnoteReference"/>
          <w:sz w:val="20"/>
          <w:szCs w:val="20"/>
        </w:rPr>
        <w:footnoteRef/>
      </w:r>
      <w:r w:rsidRPr="00A27053">
        <w:rPr>
          <w:sz w:val="20"/>
          <w:szCs w:val="20"/>
        </w:rPr>
        <w:t xml:space="preserve"> The World Coalition Against the Death Penalty, </w:t>
      </w:r>
      <w:r w:rsidRPr="00A27053">
        <w:rPr>
          <w:i/>
          <w:iCs/>
          <w:sz w:val="20"/>
          <w:szCs w:val="20"/>
        </w:rPr>
        <w:t>Mapping of Women on Death Row</w:t>
      </w:r>
      <w:r w:rsidRPr="00A27053">
        <w:rPr>
          <w:sz w:val="20"/>
          <w:szCs w:val="20"/>
        </w:rPr>
        <w:t>, at 13 (Jun. 2023). Available at https://worldcoalition.org/wp-content/uploads/2023/08/ENG_Country-Mapping-report_Women-on-Death-Row.pdf.</w:t>
      </w:r>
    </w:p>
  </w:footnote>
  <w:footnote w:id="63">
    <w:p w14:paraId="1064D08D" w14:textId="77777777" w:rsidR="00DC34F9" w:rsidRPr="00A27053" w:rsidRDefault="00DC34F9" w:rsidP="00DC34F9">
      <w:pPr>
        <w:pStyle w:val="FootnoteText"/>
        <w:rPr>
          <w:sz w:val="20"/>
          <w:szCs w:val="20"/>
          <w:lang w:val="en-GB"/>
        </w:rPr>
      </w:pPr>
      <w:r w:rsidRPr="00A27053">
        <w:rPr>
          <w:rStyle w:val="FootnoteReference"/>
          <w:sz w:val="20"/>
          <w:szCs w:val="20"/>
        </w:rPr>
        <w:footnoteRef/>
      </w:r>
      <w:r w:rsidRPr="00A27053">
        <w:rPr>
          <w:sz w:val="20"/>
          <w:szCs w:val="20"/>
        </w:rPr>
        <w:t xml:space="preserve"> The World Coalition Against the Death Penalty, </w:t>
      </w:r>
      <w:r w:rsidRPr="00A27053">
        <w:rPr>
          <w:i/>
          <w:iCs/>
          <w:sz w:val="20"/>
          <w:szCs w:val="20"/>
        </w:rPr>
        <w:t>Mapping of Women on Death Row</w:t>
      </w:r>
      <w:r w:rsidRPr="00A27053">
        <w:rPr>
          <w:sz w:val="20"/>
          <w:szCs w:val="20"/>
        </w:rPr>
        <w:t>, at 13 (Jun. 2023). Available at https://worldcoalition.org/wp-content/uploads/2023/08/ENG_Country-Mapping-report_Women-on-Death-Row.pdf.</w:t>
      </w:r>
    </w:p>
  </w:footnote>
  <w:footnote w:id="64">
    <w:p w14:paraId="1B960292" w14:textId="2B5029F7" w:rsidR="00E77192" w:rsidRPr="00A27053" w:rsidRDefault="00E77192">
      <w:pPr>
        <w:pStyle w:val="FootnoteText"/>
        <w:rPr>
          <w:sz w:val="20"/>
          <w:szCs w:val="20"/>
        </w:rPr>
      </w:pPr>
      <w:r w:rsidRPr="00A27053">
        <w:rPr>
          <w:rStyle w:val="FootnoteReference"/>
          <w:sz w:val="20"/>
          <w:szCs w:val="20"/>
        </w:rPr>
        <w:footnoteRef/>
      </w:r>
      <w:r w:rsidRPr="00A27053">
        <w:rPr>
          <w:sz w:val="20"/>
          <w:szCs w:val="20"/>
        </w:rPr>
        <w:t xml:space="preserve"> </w:t>
      </w:r>
      <w:r w:rsidR="000E14B4" w:rsidRPr="00A27053">
        <w:rPr>
          <w:sz w:val="20"/>
          <w:szCs w:val="20"/>
        </w:rPr>
        <w:t xml:space="preserve">Committee on the Elimination of Discrimination against Women, </w:t>
      </w:r>
      <w:r w:rsidR="000E14B4" w:rsidRPr="00A27053">
        <w:rPr>
          <w:i/>
          <w:iCs/>
          <w:sz w:val="20"/>
          <w:szCs w:val="20"/>
        </w:rPr>
        <w:t>Concluding observations on the seventh periodic report of Iraq</w:t>
      </w:r>
      <w:r w:rsidR="000E14B4" w:rsidRPr="00A27053">
        <w:rPr>
          <w:sz w:val="20"/>
          <w:szCs w:val="20"/>
        </w:rPr>
        <w:t>, U</w:t>
      </w:r>
      <w:r w:rsidR="007537A4" w:rsidRPr="00A27053">
        <w:rPr>
          <w:sz w:val="20"/>
          <w:szCs w:val="20"/>
        </w:rPr>
        <w:t>.</w:t>
      </w:r>
      <w:r w:rsidR="000E14B4" w:rsidRPr="00A27053">
        <w:rPr>
          <w:sz w:val="20"/>
          <w:szCs w:val="20"/>
        </w:rPr>
        <w:t>N</w:t>
      </w:r>
      <w:r w:rsidR="007537A4" w:rsidRPr="00A27053">
        <w:rPr>
          <w:sz w:val="20"/>
          <w:szCs w:val="20"/>
        </w:rPr>
        <w:t>.</w:t>
      </w:r>
      <w:r w:rsidR="000E14B4" w:rsidRPr="00A27053">
        <w:rPr>
          <w:sz w:val="20"/>
          <w:szCs w:val="20"/>
        </w:rPr>
        <w:t xml:space="preserve"> Doc. No. CEDAW/C/IRQ/CO/7, ¶ 19</w:t>
      </w:r>
      <w:r w:rsidR="00C47411" w:rsidRPr="00A27053">
        <w:rPr>
          <w:sz w:val="20"/>
          <w:szCs w:val="20"/>
        </w:rPr>
        <w:t xml:space="preserve"> (Nov. 12,</w:t>
      </w:r>
      <w:r w:rsidR="00EB62CD" w:rsidRPr="00A27053">
        <w:rPr>
          <w:sz w:val="20"/>
          <w:szCs w:val="20"/>
        </w:rPr>
        <w:t xml:space="preserve"> 2019)</w:t>
      </w:r>
      <w:r w:rsidR="000E14B4" w:rsidRPr="00A27053">
        <w:rPr>
          <w:sz w:val="20"/>
          <w:szCs w:val="20"/>
        </w:rPr>
        <w:t>.</w:t>
      </w:r>
    </w:p>
  </w:footnote>
  <w:footnote w:id="65">
    <w:p w14:paraId="3CA2B0A3" w14:textId="287D0125" w:rsidR="00737ABA" w:rsidRPr="00A27053" w:rsidRDefault="00737ABA">
      <w:pPr>
        <w:pStyle w:val="FootnoteText"/>
        <w:rPr>
          <w:sz w:val="20"/>
          <w:szCs w:val="20"/>
        </w:rPr>
      </w:pPr>
      <w:r w:rsidRPr="00A27053">
        <w:rPr>
          <w:rStyle w:val="FootnoteReference"/>
          <w:sz w:val="20"/>
          <w:szCs w:val="20"/>
        </w:rPr>
        <w:footnoteRef/>
      </w:r>
      <w:r w:rsidRPr="00A27053">
        <w:rPr>
          <w:sz w:val="20"/>
          <w:szCs w:val="20"/>
        </w:rPr>
        <w:t xml:space="preserve"> Committee on the Elimination of Discrimination against Women, </w:t>
      </w:r>
      <w:r w:rsidRPr="00A27053">
        <w:rPr>
          <w:i/>
          <w:iCs/>
          <w:sz w:val="20"/>
          <w:szCs w:val="20"/>
        </w:rPr>
        <w:t>Concluding observations on the seventh periodic report of Iraq</w:t>
      </w:r>
      <w:r w:rsidRPr="00A27053">
        <w:rPr>
          <w:sz w:val="20"/>
          <w:szCs w:val="20"/>
        </w:rPr>
        <w:t>, U</w:t>
      </w:r>
      <w:r w:rsidR="007537A4" w:rsidRPr="00A27053">
        <w:rPr>
          <w:sz w:val="20"/>
          <w:szCs w:val="20"/>
        </w:rPr>
        <w:t>.</w:t>
      </w:r>
      <w:r w:rsidRPr="00A27053">
        <w:rPr>
          <w:sz w:val="20"/>
          <w:szCs w:val="20"/>
        </w:rPr>
        <w:t>N</w:t>
      </w:r>
      <w:r w:rsidR="007537A4" w:rsidRPr="00A27053">
        <w:rPr>
          <w:sz w:val="20"/>
          <w:szCs w:val="20"/>
        </w:rPr>
        <w:t>.</w:t>
      </w:r>
      <w:r w:rsidRPr="00A27053">
        <w:rPr>
          <w:sz w:val="20"/>
          <w:szCs w:val="20"/>
        </w:rPr>
        <w:t xml:space="preserve"> Doc. No. CEDAW/C/IRQ/CO/7, ¶ 1</w:t>
      </w:r>
      <w:r w:rsidR="00D32C22" w:rsidRPr="00A27053">
        <w:rPr>
          <w:sz w:val="20"/>
          <w:szCs w:val="20"/>
        </w:rPr>
        <w:t>4</w:t>
      </w:r>
      <w:r w:rsidRPr="00A27053">
        <w:rPr>
          <w:sz w:val="20"/>
          <w:szCs w:val="20"/>
        </w:rPr>
        <w:t>(</w:t>
      </w:r>
      <w:r w:rsidR="007E2BE8" w:rsidRPr="00A27053">
        <w:rPr>
          <w:sz w:val="20"/>
          <w:szCs w:val="20"/>
        </w:rPr>
        <w:t>b)</w:t>
      </w:r>
      <w:r w:rsidR="00EB62CD" w:rsidRPr="00A27053">
        <w:rPr>
          <w:sz w:val="20"/>
          <w:szCs w:val="20"/>
        </w:rPr>
        <w:t xml:space="preserve"> (Nov. 12, 2019)</w:t>
      </w:r>
      <w:r w:rsidR="007E2BE8" w:rsidRPr="00A27053">
        <w:rPr>
          <w:sz w:val="20"/>
          <w:szCs w:val="20"/>
        </w:rPr>
        <w:t xml:space="preserve">. </w:t>
      </w:r>
    </w:p>
  </w:footnote>
  <w:footnote w:id="66">
    <w:p w14:paraId="4F0286E1" w14:textId="71C3509A" w:rsidR="00081CDC" w:rsidRPr="00A27053" w:rsidRDefault="00081CDC" w:rsidP="00081CDC">
      <w:pPr>
        <w:pStyle w:val="FootnoteText"/>
        <w:rPr>
          <w:sz w:val="20"/>
          <w:szCs w:val="20"/>
        </w:rPr>
      </w:pPr>
      <w:r w:rsidRPr="00A27053">
        <w:rPr>
          <w:rStyle w:val="FootnoteReference"/>
          <w:sz w:val="20"/>
          <w:szCs w:val="20"/>
        </w:rPr>
        <w:footnoteRef/>
      </w:r>
      <w:r w:rsidRPr="00A27053">
        <w:rPr>
          <w:sz w:val="20"/>
          <w:szCs w:val="20"/>
        </w:rPr>
        <w:t xml:space="preserve"> Committee on the Elimination of Discrimination against Women, </w:t>
      </w:r>
      <w:r w:rsidRPr="00A27053">
        <w:rPr>
          <w:i/>
          <w:iCs/>
          <w:sz w:val="20"/>
          <w:szCs w:val="20"/>
        </w:rPr>
        <w:t>Eighth periodic report submitted by Iraq under article 18 of the Convention, due in 2023</w:t>
      </w:r>
      <w:r w:rsidRPr="00A27053">
        <w:rPr>
          <w:sz w:val="20"/>
          <w:szCs w:val="20"/>
        </w:rPr>
        <w:t>, UN Doc. No. CEDAW/C/IRQ/8 (Jan. 15, 2024)</w:t>
      </w:r>
      <w:r w:rsidR="00DA471E" w:rsidRPr="00A27053">
        <w:rPr>
          <w:sz w:val="20"/>
          <w:szCs w:val="20"/>
        </w:rPr>
        <w:t>, ¶ 60</w:t>
      </w:r>
      <w:r w:rsidRPr="00A27053">
        <w:rPr>
          <w:sz w:val="20"/>
          <w:szCs w:val="20"/>
        </w:rPr>
        <w:t>.</w:t>
      </w:r>
    </w:p>
  </w:footnote>
  <w:footnote w:id="67">
    <w:p w14:paraId="775EFF94" w14:textId="31060994" w:rsidR="003458F1" w:rsidRPr="00A27053" w:rsidRDefault="003458F1" w:rsidP="003458F1">
      <w:pPr>
        <w:pStyle w:val="FootnoteText"/>
        <w:rPr>
          <w:sz w:val="20"/>
          <w:szCs w:val="20"/>
        </w:rPr>
      </w:pPr>
      <w:r w:rsidRPr="00A27053">
        <w:rPr>
          <w:rStyle w:val="FootnoteReference"/>
          <w:sz w:val="20"/>
          <w:szCs w:val="20"/>
        </w:rPr>
        <w:footnoteRef/>
      </w:r>
      <w:r w:rsidRPr="00A27053">
        <w:rPr>
          <w:sz w:val="20"/>
          <w:szCs w:val="20"/>
        </w:rPr>
        <w:t xml:space="preserve"> Committee on the Elimination of Discrimination against Women, </w:t>
      </w:r>
      <w:r w:rsidRPr="00A27053">
        <w:rPr>
          <w:i/>
          <w:iCs/>
          <w:sz w:val="20"/>
          <w:szCs w:val="20"/>
        </w:rPr>
        <w:t>Eighth periodic report submitted by Iraq under article 18 of the Convention, due in 2023</w:t>
      </w:r>
      <w:r w:rsidRPr="00A27053">
        <w:rPr>
          <w:sz w:val="20"/>
          <w:szCs w:val="20"/>
        </w:rPr>
        <w:t>, UN Doc. No. CEDAW/C/IRQ/8 (Jan. 15, 2024), ¶ 68</w:t>
      </w:r>
    </w:p>
  </w:footnote>
  <w:footnote w:id="68">
    <w:p w14:paraId="124BDE30" w14:textId="2C762C00" w:rsidR="001522C1" w:rsidRPr="00A27053" w:rsidRDefault="001522C1" w:rsidP="001522C1">
      <w:pPr>
        <w:pStyle w:val="FootnoteText"/>
        <w:rPr>
          <w:sz w:val="20"/>
          <w:szCs w:val="20"/>
        </w:rPr>
      </w:pPr>
      <w:r w:rsidRPr="00A27053">
        <w:rPr>
          <w:rStyle w:val="FootnoteReference"/>
          <w:sz w:val="20"/>
          <w:szCs w:val="20"/>
        </w:rPr>
        <w:footnoteRef/>
      </w:r>
      <w:r w:rsidRPr="00A27053">
        <w:rPr>
          <w:sz w:val="20"/>
          <w:szCs w:val="20"/>
        </w:rPr>
        <w:t xml:space="preserve"> Committee on the Elimination of Discrimination against Women, </w:t>
      </w:r>
      <w:r w:rsidRPr="00A27053">
        <w:rPr>
          <w:i/>
          <w:iCs/>
          <w:sz w:val="20"/>
          <w:szCs w:val="20"/>
        </w:rPr>
        <w:t>Eighth periodic report submitted by Iraq under article 18 of the Convention, due in 2023</w:t>
      </w:r>
      <w:r w:rsidRPr="00A27053">
        <w:rPr>
          <w:sz w:val="20"/>
          <w:szCs w:val="20"/>
        </w:rPr>
        <w:t>, UN Doc. No. CEDAW/C/IRQ/8 (Jan. 15, 2024), ¶¶ </w:t>
      </w:r>
      <w:r w:rsidR="009A3A3B" w:rsidRPr="00A27053">
        <w:rPr>
          <w:sz w:val="20"/>
          <w:szCs w:val="20"/>
        </w:rPr>
        <w:t>19 (draft amendment to the Penal Code)</w:t>
      </w:r>
      <w:r w:rsidRPr="00A27053">
        <w:rPr>
          <w:sz w:val="20"/>
          <w:szCs w:val="20"/>
        </w:rPr>
        <w:t xml:space="preserve">, </w:t>
      </w:r>
      <w:r w:rsidR="009A3A3B" w:rsidRPr="00A27053">
        <w:rPr>
          <w:sz w:val="20"/>
          <w:szCs w:val="20"/>
        </w:rPr>
        <w:t>20 (draft law on protection from domestic violence), 21 (preliminary draft law to amend the Code of Criminal Procedure and the Personal Status Act</w:t>
      </w:r>
      <w:r w:rsidR="00547EB5" w:rsidRPr="00A27053">
        <w:rPr>
          <w:sz w:val="20"/>
          <w:szCs w:val="20"/>
        </w:rPr>
        <w:t>)</w:t>
      </w:r>
      <w:r w:rsidRPr="00A27053">
        <w:rPr>
          <w:sz w:val="20"/>
          <w:szCs w:val="20"/>
        </w:rPr>
        <w:t>.</w:t>
      </w:r>
    </w:p>
  </w:footnote>
  <w:footnote w:id="69">
    <w:p w14:paraId="53C274E8" w14:textId="7C35691C" w:rsidR="001C0BA9" w:rsidRPr="00A27053" w:rsidRDefault="001C0BA9" w:rsidP="001C0BA9">
      <w:pPr>
        <w:pStyle w:val="FootnoteText"/>
        <w:rPr>
          <w:sz w:val="20"/>
          <w:szCs w:val="20"/>
        </w:rPr>
      </w:pPr>
      <w:r w:rsidRPr="00A27053">
        <w:rPr>
          <w:rStyle w:val="FootnoteReference"/>
          <w:sz w:val="20"/>
          <w:szCs w:val="20"/>
        </w:rPr>
        <w:footnoteRef/>
      </w:r>
      <w:r w:rsidRPr="00A27053">
        <w:rPr>
          <w:sz w:val="20"/>
          <w:szCs w:val="20"/>
        </w:rPr>
        <w:t xml:space="preserve"> </w:t>
      </w:r>
      <w:r w:rsidR="0034078E" w:rsidRPr="00A27053">
        <w:rPr>
          <w:sz w:val="20"/>
          <w:szCs w:val="20"/>
        </w:rPr>
        <w:t>U</w:t>
      </w:r>
      <w:r w:rsidR="007537A4" w:rsidRPr="00A27053">
        <w:rPr>
          <w:sz w:val="20"/>
          <w:szCs w:val="20"/>
        </w:rPr>
        <w:t>.</w:t>
      </w:r>
      <w:r w:rsidR="0034078E" w:rsidRPr="00A27053">
        <w:rPr>
          <w:sz w:val="20"/>
          <w:szCs w:val="20"/>
        </w:rPr>
        <w:t>N</w:t>
      </w:r>
      <w:r w:rsidR="007537A4" w:rsidRPr="00A27053">
        <w:rPr>
          <w:sz w:val="20"/>
          <w:szCs w:val="20"/>
        </w:rPr>
        <w:t>.</w:t>
      </w:r>
      <w:r w:rsidR="0034078E" w:rsidRPr="00A27053">
        <w:rPr>
          <w:sz w:val="20"/>
          <w:szCs w:val="20"/>
        </w:rPr>
        <w:t>D</w:t>
      </w:r>
      <w:r w:rsidR="007537A4" w:rsidRPr="00A27053">
        <w:rPr>
          <w:sz w:val="20"/>
          <w:szCs w:val="20"/>
        </w:rPr>
        <w:t>.</w:t>
      </w:r>
      <w:r w:rsidR="0034078E" w:rsidRPr="00A27053">
        <w:rPr>
          <w:sz w:val="20"/>
          <w:szCs w:val="20"/>
        </w:rPr>
        <w:t>P</w:t>
      </w:r>
      <w:r w:rsidR="007537A4" w:rsidRPr="00A27053">
        <w:rPr>
          <w:sz w:val="20"/>
          <w:szCs w:val="20"/>
        </w:rPr>
        <w:t>.</w:t>
      </w:r>
      <w:r w:rsidR="00B36331" w:rsidRPr="00A27053">
        <w:rPr>
          <w:sz w:val="20"/>
          <w:szCs w:val="20"/>
        </w:rPr>
        <w:t xml:space="preserve">, </w:t>
      </w:r>
      <w:r w:rsidR="007644BF" w:rsidRPr="00A27053">
        <w:rPr>
          <w:i/>
          <w:iCs/>
          <w:sz w:val="20"/>
          <w:szCs w:val="20"/>
        </w:rPr>
        <w:t>Iraq: Gender Analysis on Women</w:t>
      </w:r>
      <w:r w:rsidR="008321DA" w:rsidRPr="00A27053">
        <w:rPr>
          <w:i/>
          <w:iCs/>
          <w:sz w:val="20"/>
          <w:szCs w:val="20"/>
        </w:rPr>
        <w:t>’</w:t>
      </w:r>
      <w:r w:rsidR="007644BF" w:rsidRPr="00A27053">
        <w:rPr>
          <w:i/>
          <w:iCs/>
          <w:sz w:val="20"/>
          <w:szCs w:val="20"/>
        </w:rPr>
        <w:t>s Economic Empowerment in Anbar, Diyala, Kirkuk, Ninewa, and Salah Al-Din</w:t>
      </w:r>
      <w:r w:rsidR="005C3187" w:rsidRPr="00A27053">
        <w:rPr>
          <w:i/>
          <w:iCs/>
          <w:sz w:val="20"/>
          <w:szCs w:val="20"/>
        </w:rPr>
        <w:t xml:space="preserve"> </w:t>
      </w:r>
      <w:r w:rsidR="005C3187" w:rsidRPr="00A27053">
        <w:rPr>
          <w:sz w:val="20"/>
          <w:szCs w:val="20"/>
        </w:rPr>
        <w:t>(Jul</w:t>
      </w:r>
      <w:r w:rsidR="00C559D2" w:rsidRPr="00A27053">
        <w:rPr>
          <w:sz w:val="20"/>
          <w:szCs w:val="20"/>
        </w:rPr>
        <w:t>.</w:t>
      </w:r>
      <w:r w:rsidR="005C3187" w:rsidRPr="00A27053">
        <w:rPr>
          <w:sz w:val="20"/>
          <w:szCs w:val="20"/>
        </w:rPr>
        <w:t xml:space="preserve"> 2022)</w:t>
      </w:r>
      <w:r w:rsidR="007E0F7B" w:rsidRPr="00A27053">
        <w:rPr>
          <w:sz w:val="20"/>
          <w:szCs w:val="20"/>
        </w:rPr>
        <w:t>. Available at</w:t>
      </w:r>
      <w:r w:rsidR="005C3187" w:rsidRPr="00A27053">
        <w:rPr>
          <w:sz w:val="20"/>
          <w:szCs w:val="20"/>
        </w:rPr>
        <w:t xml:space="preserve"> </w:t>
      </w:r>
      <w:r w:rsidR="005C3187" w:rsidRPr="00A27053">
        <w:rPr>
          <w:rFonts w:eastAsiaTheme="minorEastAsia"/>
          <w:sz w:val="20"/>
          <w:szCs w:val="20"/>
        </w:rPr>
        <w:t>https://www.undp.org/sites/g/files/zskgke326/files/2023-06/undp_iq_gender_analysis_economic_empowerment_iraq.pdf</w:t>
      </w:r>
      <w:r w:rsidR="00DA1318" w:rsidRPr="00A27053">
        <w:rPr>
          <w:rFonts w:eastAsiaTheme="minorEastAsia"/>
          <w:sz w:val="20"/>
          <w:szCs w:val="20"/>
        </w:rPr>
        <w:t>.</w:t>
      </w:r>
    </w:p>
  </w:footnote>
  <w:footnote w:id="70">
    <w:p w14:paraId="660BD394" w14:textId="5EA1C0C8" w:rsidR="001C0BA9" w:rsidRPr="00A27053" w:rsidRDefault="001C0BA9" w:rsidP="001C0BA9">
      <w:pPr>
        <w:pStyle w:val="FootnoteText"/>
        <w:rPr>
          <w:sz w:val="20"/>
          <w:szCs w:val="20"/>
        </w:rPr>
      </w:pPr>
      <w:r w:rsidRPr="00A27053">
        <w:rPr>
          <w:rStyle w:val="FootnoteReference"/>
          <w:sz w:val="20"/>
          <w:szCs w:val="20"/>
        </w:rPr>
        <w:footnoteRef/>
      </w:r>
      <w:r w:rsidR="005C3187" w:rsidRPr="00A27053">
        <w:rPr>
          <w:sz w:val="20"/>
          <w:szCs w:val="20"/>
        </w:rPr>
        <w:t xml:space="preserve"> </w:t>
      </w:r>
      <w:r w:rsidR="00074E6C" w:rsidRPr="00A27053">
        <w:rPr>
          <w:sz w:val="20"/>
          <w:szCs w:val="20"/>
        </w:rPr>
        <w:t xml:space="preserve">Tina L. Cheng, </w:t>
      </w:r>
      <w:r w:rsidR="001351E8" w:rsidRPr="00A27053">
        <w:rPr>
          <w:sz w:val="20"/>
          <w:szCs w:val="20"/>
        </w:rPr>
        <w:t>E</w:t>
      </w:r>
      <w:r w:rsidR="00074E6C" w:rsidRPr="00A27053">
        <w:rPr>
          <w:sz w:val="20"/>
          <w:szCs w:val="20"/>
        </w:rPr>
        <w:t>t</w:t>
      </w:r>
      <w:r w:rsidR="001351E8" w:rsidRPr="00A27053">
        <w:rPr>
          <w:sz w:val="20"/>
          <w:szCs w:val="20"/>
        </w:rPr>
        <w:t>. al</w:t>
      </w:r>
      <w:r w:rsidR="001351E8" w:rsidRPr="00A27053">
        <w:rPr>
          <w:i/>
          <w:iCs/>
          <w:sz w:val="20"/>
          <w:szCs w:val="20"/>
        </w:rPr>
        <w:t xml:space="preserve">, Breaking the Intergenerational Cycle of Disadvantage: The Three Generation Approach. </w:t>
      </w:r>
      <w:r w:rsidR="001351E8" w:rsidRPr="00A27053">
        <w:rPr>
          <w:sz w:val="20"/>
          <w:szCs w:val="20"/>
        </w:rPr>
        <w:t>Pediatrics</w:t>
      </w:r>
      <w:r w:rsidR="001351E8" w:rsidRPr="00A27053">
        <w:rPr>
          <w:i/>
          <w:iCs/>
          <w:sz w:val="20"/>
          <w:szCs w:val="20"/>
        </w:rPr>
        <w:t xml:space="preserve"> </w:t>
      </w:r>
      <w:r w:rsidR="001351E8" w:rsidRPr="00A27053">
        <w:rPr>
          <w:sz w:val="20"/>
          <w:szCs w:val="20"/>
        </w:rPr>
        <w:t>(June 2016)</w:t>
      </w:r>
      <w:r w:rsidR="003140F5" w:rsidRPr="00A27053">
        <w:rPr>
          <w:i/>
          <w:iCs/>
          <w:sz w:val="20"/>
          <w:szCs w:val="20"/>
        </w:rPr>
        <w:t xml:space="preserve">. </w:t>
      </w:r>
      <w:r w:rsidR="003140F5" w:rsidRPr="00A27053">
        <w:rPr>
          <w:sz w:val="20"/>
          <w:szCs w:val="20"/>
        </w:rPr>
        <w:t>Available at</w:t>
      </w:r>
      <w:r w:rsidR="001351E8" w:rsidRPr="00A27053">
        <w:rPr>
          <w:sz w:val="20"/>
          <w:szCs w:val="20"/>
        </w:rPr>
        <w:t xml:space="preserve"> https://pmc.ncbi.nlm.nih.gov/articles/PMC4894258/.</w:t>
      </w:r>
      <w:r w:rsidR="00402645" w:rsidRPr="00A27053">
        <w:rPr>
          <w:sz w:val="20"/>
          <w:szCs w:val="20"/>
        </w:rPr>
        <w:t xml:space="preserve"> </w:t>
      </w:r>
      <w:r w:rsidR="00D022F7" w:rsidRPr="00A27053">
        <w:rPr>
          <w:i/>
          <w:iCs/>
          <w:sz w:val="20"/>
          <w:szCs w:val="20"/>
        </w:rPr>
        <w:t>See also</w:t>
      </w:r>
      <w:r w:rsidRPr="00A27053">
        <w:rPr>
          <w:sz w:val="20"/>
          <w:szCs w:val="20"/>
        </w:rPr>
        <w:t xml:space="preserve"> </w:t>
      </w:r>
      <w:r w:rsidR="00FD5EFA" w:rsidRPr="00A27053">
        <w:rPr>
          <w:sz w:val="20"/>
          <w:szCs w:val="20"/>
        </w:rPr>
        <w:t xml:space="preserve">Council of Europe, </w:t>
      </w:r>
      <w:r w:rsidR="00FD5EFA" w:rsidRPr="00A27053">
        <w:rPr>
          <w:i/>
          <w:iCs/>
          <w:sz w:val="20"/>
          <w:szCs w:val="20"/>
        </w:rPr>
        <w:t xml:space="preserve">Gender Matters: What causes </w:t>
      </w:r>
      <w:r w:rsidR="003140F5" w:rsidRPr="00A27053">
        <w:rPr>
          <w:i/>
          <w:iCs/>
          <w:sz w:val="20"/>
          <w:szCs w:val="20"/>
        </w:rPr>
        <w:t>gender-based</w:t>
      </w:r>
      <w:r w:rsidR="00FD5EFA" w:rsidRPr="00A27053">
        <w:rPr>
          <w:i/>
          <w:iCs/>
          <w:sz w:val="20"/>
          <w:szCs w:val="20"/>
        </w:rPr>
        <w:t xml:space="preserve"> violence?</w:t>
      </w:r>
      <w:r w:rsidR="00584EB9" w:rsidRPr="00A27053">
        <w:rPr>
          <w:i/>
          <w:iCs/>
          <w:sz w:val="20"/>
          <w:szCs w:val="20"/>
        </w:rPr>
        <w:t>,</w:t>
      </w:r>
      <w:r w:rsidR="009E765D" w:rsidRPr="00A27053">
        <w:rPr>
          <w:i/>
          <w:iCs/>
          <w:sz w:val="20"/>
          <w:szCs w:val="20"/>
        </w:rPr>
        <w:t xml:space="preserve"> </w:t>
      </w:r>
      <w:r w:rsidR="003140F5" w:rsidRPr="00A27053">
        <w:rPr>
          <w:rFonts w:eastAsiaTheme="minorEastAsia"/>
          <w:sz w:val="20"/>
          <w:szCs w:val="20"/>
        </w:rPr>
        <w:t>https://www.coe.int/en/web/gender-matters/what-causes-gender-based-violence</w:t>
      </w:r>
      <w:r w:rsidR="003140F5" w:rsidRPr="00A27053">
        <w:rPr>
          <w:sz w:val="20"/>
          <w:szCs w:val="20"/>
        </w:rPr>
        <w:t xml:space="preserve"> (accessed Dec. 5, 2024)</w:t>
      </w:r>
      <w:r w:rsidR="00584EB9" w:rsidRPr="00A27053">
        <w:rPr>
          <w:sz w:val="20"/>
          <w:szCs w:val="20"/>
        </w:rPr>
        <w:t>.</w:t>
      </w:r>
    </w:p>
  </w:footnote>
  <w:footnote w:id="71">
    <w:p w14:paraId="700029B7" w14:textId="7E6D9869" w:rsidR="003D464D" w:rsidRPr="00A27053" w:rsidRDefault="003D464D">
      <w:pPr>
        <w:pStyle w:val="FootnoteText"/>
        <w:rPr>
          <w:sz w:val="20"/>
          <w:szCs w:val="20"/>
        </w:rPr>
      </w:pPr>
      <w:r w:rsidRPr="00A27053">
        <w:rPr>
          <w:rStyle w:val="FootnoteReference"/>
          <w:sz w:val="20"/>
          <w:szCs w:val="20"/>
        </w:rPr>
        <w:footnoteRef/>
      </w:r>
      <w:r w:rsidRPr="00A27053">
        <w:rPr>
          <w:sz w:val="20"/>
          <w:szCs w:val="20"/>
        </w:rPr>
        <w:t xml:space="preserve"> </w:t>
      </w:r>
      <w:r w:rsidR="00EE6285" w:rsidRPr="00A27053">
        <w:rPr>
          <w:sz w:val="20"/>
          <w:szCs w:val="20"/>
        </w:rPr>
        <w:t xml:space="preserve">Committee on the Elimination of Discrimination against Women, </w:t>
      </w:r>
      <w:r w:rsidR="00EE6285" w:rsidRPr="00A27053">
        <w:rPr>
          <w:i/>
          <w:iCs/>
          <w:sz w:val="20"/>
          <w:szCs w:val="20"/>
        </w:rPr>
        <w:t>Concluding observations on the seventh periodic report of Iraq</w:t>
      </w:r>
      <w:r w:rsidR="00EE6285" w:rsidRPr="00A27053">
        <w:rPr>
          <w:sz w:val="20"/>
          <w:szCs w:val="20"/>
        </w:rPr>
        <w:t>, UN Doc. No. CEDAW/C/IRQ/CO/7, ¶ 18(</w:t>
      </w:r>
      <w:r w:rsidR="00D7500C" w:rsidRPr="00A27053">
        <w:rPr>
          <w:sz w:val="20"/>
          <w:szCs w:val="20"/>
        </w:rPr>
        <w:t>a)</w:t>
      </w:r>
      <w:r w:rsidR="00294BA2" w:rsidRPr="00A27053">
        <w:rPr>
          <w:sz w:val="20"/>
          <w:szCs w:val="20"/>
        </w:rPr>
        <w:t xml:space="preserve"> (Nov. 12, 2019)</w:t>
      </w:r>
      <w:r w:rsidR="00D7500C" w:rsidRPr="00A27053">
        <w:rPr>
          <w:sz w:val="20"/>
          <w:szCs w:val="20"/>
        </w:rPr>
        <w:t>.</w:t>
      </w:r>
    </w:p>
  </w:footnote>
  <w:footnote w:id="72">
    <w:p w14:paraId="38B4124E" w14:textId="4E800307" w:rsidR="00D17B6F" w:rsidRPr="00A27053" w:rsidRDefault="00D17B6F">
      <w:pPr>
        <w:pStyle w:val="FootnoteText"/>
        <w:rPr>
          <w:sz w:val="20"/>
          <w:szCs w:val="20"/>
        </w:rPr>
      </w:pPr>
      <w:r w:rsidRPr="00A27053">
        <w:rPr>
          <w:rStyle w:val="FootnoteReference"/>
          <w:sz w:val="20"/>
          <w:szCs w:val="20"/>
        </w:rPr>
        <w:footnoteRef/>
      </w:r>
      <w:r w:rsidRPr="00A27053">
        <w:rPr>
          <w:sz w:val="20"/>
          <w:szCs w:val="20"/>
        </w:rPr>
        <w:t xml:space="preserve"> </w:t>
      </w:r>
      <w:r w:rsidR="00B874D1" w:rsidRPr="00A27053">
        <w:rPr>
          <w:sz w:val="20"/>
          <w:szCs w:val="20"/>
        </w:rPr>
        <w:t xml:space="preserve">Committee on the Elimination of Discrimination against Women, </w:t>
      </w:r>
      <w:r w:rsidR="00B874D1" w:rsidRPr="00A27053">
        <w:rPr>
          <w:i/>
          <w:iCs/>
          <w:sz w:val="20"/>
          <w:szCs w:val="20"/>
        </w:rPr>
        <w:t>Concluding observations on the seventh periodic report of Iraq</w:t>
      </w:r>
      <w:r w:rsidR="00B874D1" w:rsidRPr="00A27053">
        <w:rPr>
          <w:sz w:val="20"/>
          <w:szCs w:val="20"/>
        </w:rPr>
        <w:t>, UN Doc. No. CEDAW/C/IRQ/CO/7, ¶ 18(b)</w:t>
      </w:r>
      <w:r w:rsidR="00294BA2" w:rsidRPr="00A27053">
        <w:rPr>
          <w:sz w:val="20"/>
          <w:szCs w:val="20"/>
        </w:rPr>
        <w:t xml:space="preserve"> (Nov. 12, 2019).</w:t>
      </w:r>
    </w:p>
  </w:footnote>
  <w:footnote w:id="73">
    <w:p w14:paraId="2D5375C1" w14:textId="6072A147" w:rsidR="00764EC1" w:rsidRPr="00A27053" w:rsidRDefault="00764EC1" w:rsidP="00764EC1">
      <w:pPr>
        <w:pStyle w:val="FootnoteText"/>
        <w:rPr>
          <w:sz w:val="20"/>
          <w:szCs w:val="20"/>
        </w:rPr>
      </w:pPr>
      <w:r w:rsidRPr="00A27053">
        <w:rPr>
          <w:rStyle w:val="FootnoteReference"/>
          <w:sz w:val="20"/>
          <w:szCs w:val="20"/>
        </w:rPr>
        <w:footnoteRef/>
      </w:r>
      <w:r w:rsidRPr="00A27053">
        <w:rPr>
          <w:sz w:val="20"/>
          <w:szCs w:val="20"/>
        </w:rPr>
        <w:t xml:space="preserve"> Committee on the Elimination of Discrimination against Women, </w:t>
      </w:r>
      <w:r w:rsidRPr="00A27053">
        <w:rPr>
          <w:i/>
          <w:iCs/>
          <w:sz w:val="20"/>
          <w:szCs w:val="20"/>
        </w:rPr>
        <w:t>Eighth periodic report submitted by Iraq under article 18 of the Convention, due in 2023</w:t>
      </w:r>
      <w:r w:rsidRPr="00A27053">
        <w:rPr>
          <w:sz w:val="20"/>
          <w:szCs w:val="20"/>
        </w:rPr>
        <w:t>, UN Doc. No. CEDAW/C/IRQ/8 (Jan. 15, 2024), ¶ </w:t>
      </w:r>
      <w:r w:rsidR="008619EF" w:rsidRPr="00A27053">
        <w:rPr>
          <w:sz w:val="20"/>
          <w:szCs w:val="20"/>
        </w:rPr>
        <w:t>40</w:t>
      </w:r>
      <w:r w:rsidRPr="00A27053">
        <w:rPr>
          <w:sz w:val="20"/>
          <w:szCs w:val="20"/>
        </w:rPr>
        <w:t>.</w:t>
      </w:r>
    </w:p>
  </w:footnote>
  <w:footnote w:id="74">
    <w:p w14:paraId="094C543E" w14:textId="779EBF7B" w:rsidR="008619EF" w:rsidRPr="00A27053" w:rsidRDefault="008619EF" w:rsidP="008619EF">
      <w:pPr>
        <w:pStyle w:val="FootnoteText"/>
        <w:rPr>
          <w:sz w:val="20"/>
          <w:szCs w:val="20"/>
        </w:rPr>
      </w:pPr>
      <w:r w:rsidRPr="00A27053">
        <w:rPr>
          <w:rStyle w:val="FootnoteReference"/>
          <w:sz w:val="20"/>
          <w:szCs w:val="20"/>
        </w:rPr>
        <w:footnoteRef/>
      </w:r>
      <w:r w:rsidRPr="00A27053">
        <w:rPr>
          <w:sz w:val="20"/>
          <w:szCs w:val="20"/>
        </w:rPr>
        <w:t xml:space="preserve"> Committee on the Elimination of Discrimination against Women, </w:t>
      </w:r>
      <w:r w:rsidRPr="00A27053">
        <w:rPr>
          <w:i/>
          <w:iCs/>
          <w:sz w:val="20"/>
          <w:szCs w:val="20"/>
        </w:rPr>
        <w:t>Eighth periodic report submitted by Iraq under article 18 of the Convention, due in 2023</w:t>
      </w:r>
      <w:r w:rsidRPr="00A27053">
        <w:rPr>
          <w:sz w:val="20"/>
          <w:szCs w:val="20"/>
        </w:rPr>
        <w:t>, UN Doc. No. CEDAW/C/IRQ/8 (Jan. 15, 2024), ¶ 40.</w:t>
      </w:r>
    </w:p>
  </w:footnote>
  <w:footnote w:id="75">
    <w:p w14:paraId="72C86CD7" w14:textId="52D20312" w:rsidR="001B6205" w:rsidRPr="00A27053" w:rsidRDefault="001B6205" w:rsidP="001B6205">
      <w:pPr>
        <w:pStyle w:val="FootnoteText"/>
        <w:rPr>
          <w:sz w:val="20"/>
          <w:szCs w:val="20"/>
        </w:rPr>
      </w:pPr>
      <w:r w:rsidRPr="00A27053">
        <w:rPr>
          <w:rStyle w:val="FootnoteReference"/>
          <w:sz w:val="20"/>
          <w:szCs w:val="20"/>
        </w:rPr>
        <w:footnoteRef/>
      </w:r>
      <w:r w:rsidRPr="00A27053">
        <w:rPr>
          <w:sz w:val="20"/>
          <w:szCs w:val="20"/>
        </w:rPr>
        <w:t xml:space="preserve"> </w:t>
      </w:r>
      <w:r w:rsidR="00652140" w:rsidRPr="00A27053">
        <w:rPr>
          <w:sz w:val="20"/>
          <w:szCs w:val="20"/>
        </w:rPr>
        <w:t>U</w:t>
      </w:r>
      <w:r w:rsidR="007537A4" w:rsidRPr="00A27053">
        <w:rPr>
          <w:sz w:val="20"/>
          <w:szCs w:val="20"/>
        </w:rPr>
        <w:t>.</w:t>
      </w:r>
      <w:r w:rsidR="00652140" w:rsidRPr="00A27053">
        <w:rPr>
          <w:sz w:val="20"/>
          <w:szCs w:val="20"/>
        </w:rPr>
        <w:t>N</w:t>
      </w:r>
      <w:r w:rsidR="007537A4" w:rsidRPr="00A27053">
        <w:rPr>
          <w:sz w:val="20"/>
          <w:szCs w:val="20"/>
        </w:rPr>
        <w:t>.</w:t>
      </w:r>
      <w:r w:rsidR="00652140" w:rsidRPr="00A27053">
        <w:rPr>
          <w:sz w:val="20"/>
          <w:szCs w:val="20"/>
        </w:rPr>
        <w:t>H</w:t>
      </w:r>
      <w:r w:rsidR="007537A4" w:rsidRPr="00A27053">
        <w:rPr>
          <w:sz w:val="20"/>
          <w:szCs w:val="20"/>
        </w:rPr>
        <w:t>.</w:t>
      </w:r>
      <w:r w:rsidR="00652140" w:rsidRPr="00A27053">
        <w:rPr>
          <w:sz w:val="20"/>
          <w:szCs w:val="20"/>
        </w:rPr>
        <w:t>R</w:t>
      </w:r>
      <w:r w:rsidR="007537A4" w:rsidRPr="00A27053">
        <w:rPr>
          <w:sz w:val="20"/>
          <w:szCs w:val="20"/>
        </w:rPr>
        <w:t>.</w:t>
      </w:r>
      <w:r w:rsidR="00E30C3E" w:rsidRPr="00A27053">
        <w:rPr>
          <w:sz w:val="20"/>
          <w:szCs w:val="20"/>
        </w:rPr>
        <w:t>C</w:t>
      </w:r>
      <w:r w:rsidR="007537A4" w:rsidRPr="00A27053">
        <w:rPr>
          <w:sz w:val="20"/>
          <w:szCs w:val="20"/>
        </w:rPr>
        <w:t>.</w:t>
      </w:r>
      <w:r w:rsidR="007E5385" w:rsidRPr="00A27053">
        <w:rPr>
          <w:sz w:val="20"/>
          <w:szCs w:val="20"/>
        </w:rPr>
        <w:t xml:space="preserve">, </w:t>
      </w:r>
      <w:r w:rsidR="00E30C3E" w:rsidRPr="00A27053">
        <w:rPr>
          <w:i/>
          <w:iCs/>
          <w:sz w:val="20"/>
          <w:szCs w:val="20"/>
        </w:rPr>
        <w:t>Experts of the Committee on Economic, Social and Cultural Rights Commend Iraq for Plans to Increase the Number of Female Judges, Ask Questions on Anti-Homosexuality Legislation and Access to Clean Drinking Water</w:t>
      </w:r>
      <w:r w:rsidR="00E30C3E" w:rsidRPr="00A27053">
        <w:rPr>
          <w:sz w:val="20"/>
          <w:szCs w:val="20"/>
        </w:rPr>
        <w:t xml:space="preserve"> (Feb</w:t>
      </w:r>
      <w:r w:rsidR="00FD6C95" w:rsidRPr="00A27053">
        <w:rPr>
          <w:sz w:val="20"/>
          <w:szCs w:val="20"/>
        </w:rPr>
        <w:t>. 20,</w:t>
      </w:r>
      <w:r w:rsidR="00E30C3E" w:rsidRPr="00A27053">
        <w:rPr>
          <w:sz w:val="20"/>
          <w:szCs w:val="20"/>
        </w:rPr>
        <w:t xml:space="preserve"> 2024), </w:t>
      </w:r>
      <w:r w:rsidR="00E30C3E" w:rsidRPr="00A27053">
        <w:rPr>
          <w:rFonts w:eastAsiaTheme="minorEastAsia"/>
          <w:sz w:val="20"/>
          <w:szCs w:val="20"/>
        </w:rPr>
        <w:t>https://www.ohchr.org/en/news/2024/02/experts-committee-economic-social-and-cultural-rights-commend-iraq-plans-increase</w:t>
      </w:r>
      <w:r w:rsidRPr="00A27053">
        <w:rPr>
          <w:sz w:val="20"/>
          <w:szCs w:val="20"/>
        </w:rPr>
        <w:t>.</w:t>
      </w:r>
    </w:p>
  </w:footnote>
  <w:footnote w:id="76">
    <w:p w14:paraId="157BDE93" w14:textId="0ED244C2" w:rsidR="0022226C" w:rsidRPr="00A27053" w:rsidRDefault="0022226C" w:rsidP="0022226C">
      <w:pPr>
        <w:pStyle w:val="FootnoteText"/>
        <w:rPr>
          <w:sz w:val="20"/>
          <w:szCs w:val="20"/>
          <w:lang w:val="de-DE"/>
        </w:rPr>
      </w:pPr>
      <w:r w:rsidRPr="00A27053">
        <w:rPr>
          <w:rStyle w:val="FootnoteReference"/>
          <w:sz w:val="20"/>
          <w:szCs w:val="20"/>
        </w:rPr>
        <w:footnoteRef/>
      </w:r>
      <w:r w:rsidRPr="00A27053">
        <w:rPr>
          <w:sz w:val="20"/>
          <w:szCs w:val="20"/>
          <w:lang w:val="de-DE"/>
        </w:rPr>
        <w:t xml:space="preserve"> </w:t>
      </w:r>
      <w:r w:rsidR="00DF1393" w:rsidRPr="00A27053">
        <w:rPr>
          <w:sz w:val="20"/>
          <w:szCs w:val="20"/>
          <w:lang w:val="de-DE"/>
        </w:rPr>
        <w:t>UN Women,</w:t>
      </w:r>
      <w:r w:rsidR="00D37333" w:rsidRPr="00A27053">
        <w:rPr>
          <w:sz w:val="20"/>
          <w:szCs w:val="20"/>
          <w:lang w:val="de-DE"/>
        </w:rPr>
        <w:t xml:space="preserve"> </w:t>
      </w:r>
      <w:r w:rsidR="00D37333" w:rsidRPr="00A27053">
        <w:rPr>
          <w:i/>
          <w:iCs/>
          <w:sz w:val="20"/>
          <w:szCs w:val="20"/>
          <w:lang w:val="de-DE"/>
        </w:rPr>
        <w:t>Violence against Women in the Iraqi Society: A Legal, Judicial and Statistic Study</w:t>
      </w:r>
      <w:r w:rsidR="00D37333" w:rsidRPr="00A27053">
        <w:rPr>
          <w:sz w:val="20"/>
          <w:szCs w:val="20"/>
          <w:lang w:val="de-DE"/>
        </w:rPr>
        <w:t xml:space="preserve">, </w:t>
      </w:r>
      <w:r w:rsidR="00D560D2" w:rsidRPr="00A27053">
        <w:rPr>
          <w:sz w:val="20"/>
          <w:szCs w:val="20"/>
          <w:lang w:val="de-DE"/>
        </w:rPr>
        <w:t>2021,</w:t>
      </w:r>
      <w:r w:rsidR="00DF1393" w:rsidRPr="00A27053">
        <w:rPr>
          <w:sz w:val="20"/>
          <w:szCs w:val="20"/>
          <w:lang w:val="de-DE"/>
        </w:rPr>
        <w:t xml:space="preserve"> </w:t>
      </w:r>
      <w:r w:rsidRPr="00A27053">
        <w:rPr>
          <w:sz w:val="20"/>
          <w:szCs w:val="20"/>
          <w:lang w:val="de-DE"/>
        </w:rPr>
        <w:t>https://iraq.unwomen.org/en/digital-library/publications/2021/01/violence-against-women-in-the-iraqi-society</w:t>
      </w:r>
      <w:r w:rsidR="00D37333" w:rsidRPr="00A27053">
        <w:rPr>
          <w:sz w:val="20"/>
          <w:szCs w:val="20"/>
          <w:lang w:val="de-DE"/>
        </w:rPr>
        <w:t xml:space="preserve">; </w:t>
      </w:r>
      <w:r w:rsidRPr="00A27053">
        <w:rPr>
          <w:sz w:val="20"/>
          <w:szCs w:val="20"/>
        </w:rPr>
        <w:t>International Federation for Human Rights,</w:t>
      </w:r>
      <w:r w:rsidRPr="00A27053">
        <w:rPr>
          <w:i/>
          <w:iCs/>
          <w:sz w:val="20"/>
          <w:szCs w:val="20"/>
        </w:rPr>
        <w:t xml:space="preserve"> Women Sentenced to Death: An invisible reality</w:t>
      </w:r>
      <w:r w:rsidRPr="00A27053">
        <w:rPr>
          <w:sz w:val="20"/>
          <w:szCs w:val="20"/>
        </w:rPr>
        <w:t>, August 10, 2021, https://www.fidh.org/en/issues/women-s-rights/women-sentenced-to-death-an-invisible-reality-27437.</w:t>
      </w:r>
    </w:p>
  </w:footnote>
  <w:footnote w:id="77">
    <w:p w14:paraId="4C166333" w14:textId="307FC373" w:rsidR="0022226C" w:rsidRPr="00A27053" w:rsidRDefault="0022226C" w:rsidP="0022226C">
      <w:pPr>
        <w:pStyle w:val="FootnoteText"/>
        <w:rPr>
          <w:sz w:val="20"/>
          <w:szCs w:val="20"/>
        </w:rPr>
      </w:pPr>
      <w:r w:rsidRPr="00A27053">
        <w:rPr>
          <w:rStyle w:val="FootnoteReference"/>
          <w:sz w:val="20"/>
          <w:szCs w:val="20"/>
        </w:rPr>
        <w:footnoteRef/>
      </w:r>
      <w:r w:rsidRPr="00A27053">
        <w:rPr>
          <w:sz w:val="20"/>
          <w:szCs w:val="20"/>
        </w:rPr>
        <w:t xml:space="preserve"> </w:t>
      </w:r>
      <w:r w:rsidR="00D560D2" w:rsidRPr="00A27053">
        <w:rPr>
          <w:sz w:val="20"/>
          <w:szCs w:val="20"/>
          <w:lang w:val="de-DE"/>
        </w:rPr>
        <w:t xml:space="preserve">UN Women, </w:t>
      </w:r>
      <w:r w:rsidR="00D560D2" w:rsidRPr="00A27053">
        <w:rPr>
          <w:i/>
          <w:iCs/>
          <w:sz w:val="20"/>
          <w:szCs w:val="20"/>
          <w:lang w:val="de-DE"/>
        </w:rPr>
        <w:t>Violence against Women in the Iraqi Society: A Legal, Judicial and Statistic Study</w:t>
      </w:r>
      <w:r w:rsidR="00D560D2" w:rsidRPr="00A27053">
        <w:rPr>
          <w:sz w:val="20"/>
          <w:szCs w:val="20"/>
          <w:lang w:val="de-DE"/>
        </w:rPr>
        <w:t xml:space="preserve">, 2021, https://iraq.unwomen.org/en/digital-library/publications/2021/01/violence-against-women-in-the-iraqi-society; </w:t>
      </w:r>
      <w:r w:rsidR="00D560D2" w:rsidRPr="00A27053">
        <w:rPr>
          <w:sz w:val="20"/>
          <w:szCs w:val="20"/>
        </w:rPr>
        <w:t>International Federation for Human Rights,</w:t>
      </w:r>
      <w:r w:rsidR="00D560D2" w:rsidRPr="00A27053">
        <w:rPr>
          <w:i/>
          <w:iCs/>
          <w:sz w:val="20"/>
          <w:szCs w:val="20"/>
        </w:rPr>
        <w:t xml:space="preserve"> Women Sentenced to Death: An invisible reality</w:t>
      </w:r>
      <w:r w:rsidR="00D560D2" w:rsidRPr="00A27053">
        <w:rPr>
          <w:sz w:val="20"/>
          <w:szCs w:val="20"/>
        </w:rPr>
        <w:t>, August 10, 2021, https://www.fidh.org/en/issues/women-s-rights/women-sentenced-to-death-an-invisible-reality-27437.</w:t>
      </w:r>
    </w:p>
  </w:footnote>
  <w:footnote w:id="78">
    <w:p w14:paraId="0E04628E" w14:textId="6C380591" w:rsidR="001B6205" w:rsidRPr="00A27053" w:rsidRDefault="001B6205" w:rsidP="001B6205">
      <w:pPr>
        <w:pStyle w:val="FootnoteText"/>
        <w:rPr>
          <w:sz w:val="20"/>
          <w:szCs w:val="20"/>
        </w:rPr>
      </w:pPr>
      <w:r w:rsidRPr="00A27053">
        <w:rPr>
          <w:rStyle w:val="FootnoteReference"/>
          <w:sz w:val="20"/>
          <w:szCs w:val="20"/>
        </w:rPr>
        <w:footnoteRef/>
      </w:r>
      <w:r w:rsidRPr="00A27053">
        <w:rPr>
          <w:sz w:val="20"/>
          <w:szCs w:val="20"/>
        </w:rPr>
        <w:t xml:space="preserve"> International Commission of Jurists, </w:t>
      </w:r>
      <w:r w:rsidRPr="00A27053">
        <w:rPr>
          <w:rFonts w:eastAsiaTheme="minorEastAsia"/>
          <w:i/>
          <w:iCs/>
          <w:sz w:val="20"/>
          <w:szCs w:val="20"/>
        </w:rPr>
        <w:t>Women and the Judiciary</w:t>
      </w:r>
      <w:r w:rsidR="00FD6C95" w:rsidRPr="00A27053">
        <w:rPr>
          <w:sz w:val="20"/>
          <w:szCs w:val="20"/>
        </w:rPr>
        <w:t xml:space="preserve">, </w:t>
      </w:r>
      <w:r w:rsidR="00CB153D" w:rsidRPr="00A27053">
        <w:rPr>
          <w:sz w:val="20"/>
          <w:szCs w:val="20"/>
        </w:rPr>
        <w:t>at</w:t>
      </w:r>
      <w:r w:rsidRPr="00A27053">
        <w:rPr>
          <w:sz w:val="20"/>
          <w:szCs w:val="20"/>
        </w:rPr>
        <w:t xml:space="preserve"> 3</w:t>
      </w:r>
      <w:r w:rsidR="00FD6C95" w:rsidRPr="00A27053">
        <w:rPr>
          <w:sz w:val="20"/>
          <w:szCs w:val="20"/>
        </w:rPr>
        <w:t xml:space="preserve"> (2013),</w:t>
      </w:r>
      <w:r w:rsidR="00B2529C" w:rsidRPr="00A27053">
        <w:rPr>
          <w:sz w:val="20"/>
          <w:szCs w:val="20"/>
        </w:rPr>
        <w:t xml:space="preserve"> https://www.unodc.org/res/ji/import/programmes_projects_initiatives/women_and_the_judiciary/women_and_the_judiciary.pdf</w:t>
      </w:r>
      <w:r w:rsidR="00B43AE0" w:rsidRPr="00A27053">
        <w:rPr>
          <w:sz w:val="20"/>
          <w:szCs w:val="20"/>
        </w:rPr>
        <w:t>.</w:t>
      </w:r>
    </w:p>
  </w:footnote>
  <w:footnote w:id="79">
    <w:p w14:paraId="1B91ACE9" w14:textId="4A28EE1F" w:rsidR="00D95078" w:rsidRPr="00A27053" w:rsidRDefault="00D95078" w:rsidP="00D95078">
      <w:pPr>
        <w:pStyle w:val="FootnoteText"/>
        <w:rPr>
          <w:sz w:val="20"/>
          <w:szCs w:val="20"/>
        </w:rPr>
      </w:pPr>
      <w:r w:rsidRPr="00A27053">
        <w:rPr>
          <w:rStyle w:val="FootnoteReference"/>
          <w:sz w:val="20"/>
          <w:szCs w:val="20"/>
        </w:rPr>
        <w:footnoteRef/>
      </w:r>
      <w:r w:rsidRPr="00A27053">
        <w:rPr>
          <w:sz w:val="20"/>
          <w:szCs w:val="20"/>
        </w:rPr>
        <w:t xml:space="preserve"> </w:t>
      </w:r>
      <w:r w:rsidR="00D23111" w:rsidRPr="00A27053">
        <w:rPr>
          <w:sz w:val="20"/>
          <w:szCs w:val="20"/>
        </w:rPr>
        <w:t>U</w:t>
      </w:r>
      <w:r w:rsidR="007537A4" w:rsidRPr="00A27053">
        <w:rPr>
          <w:sz w:val="20"/>
          <w:szCs w:val="20"/>
        </w:rPr>
        <w:t>.</w:t>
      </w:r>
      <w:r w:rsidR="00D23111" w:rsidRPr="00A27053">
        <w:rPr>
          <w:sz w:val="20"/>
          <w:szCs w:val="20"/>
        </w:rPr>
        <w:t>N</w:t>
      </w:r>
      <w:r w:rsidR="007537A4" w:rsidRPr="00A27053">
        <w:rPr>
          <w:sz w:val="20"/>
          <w:szCs w:val="20"/>
        </w:rPr>
        <w:t>.</w:t>
      </w:r>
      <w:r w:rsidR="00D23111" w:rsidRPr="00A27053">
        <w:rPr>
          <w:sz w:val="20"/>
          <w:szCs w:val="20"/>
        </w:rPr>
        <w:t>H</w:t>
      </w:r>
      <w:r w:rsidR="007537A4" w:rsidRPr="00A27053">
        <w:rPr>
          <w:sz w:val="20"/>
          <w:szCs w:val="20"/>
        </w:rPr>
        <w:t>.</w:t>
      </w:r>
      <w:r w:rsidR="00D23111" w:rsidRPr="00A27053">
        <w:rPr>
          <w:sz w:val="20"/>
          <w:szCs w:val="20"/>
        </w:rPr>
        <w:t>R</w:t>
      </w:r>
      <w:r w:rsidR="007537A4" w:rsidRPr="00A27053">
        <w:rPr>
          <w:sz w:val="20"/>
          <w:szCs w:val="20"/>
        </w:rPr>
        <w:t>.</w:t>
      </w:r>
      <w:r w:rsidR="00D23111" w:rsidRPr="00A27053">
        <w:rPr>
          <w:sz w:val="20"/>
          <w:szCs w:val="20"/>
        </w:rPr>
        <w:t>C</w:t>
      </w:r>
      <w:r w:rsidR="007537A4" w:rsidRPr="00A27053">
        <w:rPr>
          <w:sz w:val="20"/>
          <w:szCs w:val="20"/>
        </w:rPr>
        <w:t>.</w:t>
      </w:r>
      <w:r w:rsidR="00D23111" w:rsidRPr="00A27053">
        <w:rPr>
          <w:sz w:val="20"/>
          <w:szCs w:val="20"/>
        </w:rPr>
        <w:t xml:space="preserve">, </w:t>
      </w:r>
      <w:r w:rsidR="00D23111" w:rsidRPr="00A27053">
        <w:rPr>
          <w:i/>
          <w:iCs/>
          <w:sz w:val="20"/>
          <w:szCs w:val="20"/>
        </w:rPr>
        <w:t>Gender Stereotyping and the Judiciary</w:t>
      </w:r>
      <w:r w:rsidR="006933FE" w:rsidRPr="00A27053">
        <w:rPr>
          <w:sz w:val="20"/>
          <w:szCs w:val="20"/>
        </w:rPr>
        <w:t xml:space="preserve"> Presentation</w:t>
      </w:r>
      <w:r w:rsidR="00FD6C95" w:rsidRPr="00A27053">
        <w:rPr>
          <w:sz w:val="20"/>
          <w:szCs w:val="20"/>
        </w:rPr>
        <w:t>. Available at</w:t>
      </w:r>
      <w:r w:rsidR="007E5385" w:rsidRPr="00A27053">
        <w:rPr>
          <w:sz w:val="20"/>
          <w:szCs w:val="20"/>
        </w:rPr>
        <w:t xml:space="preserve"> </w:t>
      </w:r>
      <w:r w:rsidR="00FD6C95" w:rsidRPr="00A27053">
        <w:rPr>
          <w:rFonts w:eastAsiaTheme="minorEastAsia"/>
          <w:sz w:val="20"/>
          <w:szCs w:val="20"/>
        </w:rPr>
        <w:t>https://www.ohchr.org/sites/default/files/OHCHR_JudicialStereotyping_Session4.pdf (last visited Dec. 6, 2024).</w:t>
      </w:r>
    </w:p>
  </w:footnote>
  <w:footnote w:id="80">
    <w:p w14:paraId="27A598E8" w14:textId="0550C9DD" w:rsidR="00DF69F4" w:rsidRPr="00A27053" w:rsidRDefault="00DF69F4" w:rsidP="00DF69F4">
      <w:pPr>
        <w:pStyle w:val="FootnoteText"/>
        <w:rPr>
          <w:sz w:val="20"/>
          <w:szCs w:val="20"/>
        </w:rPr>
      </w:pPr>
      <w:r w:rsidRPr="00A27053">
        <w:rPr>
          <w:rStyle w:val="FootnoteReference"/>
          <w:sz w:val="20"/>
          <w:szCs w:val="20"/>
        </w:rPr>
        <w:footnoteRef/>
      </w:r>
      <w:r w:rsidRPr="00A27053">
        <w:rPr>
          <w:sz w:val="20"/>
          <w:szCs w:val="20"/>
        </w:rPr>
        <w:t xml:space="preserve"> </w:t>
      </w:r>
      <w:r w:rsidR="00E56F94" w:rsidRPr="00A27053">
        <w:rPr>
          <w:sz w:val="20"/>
          <w:szCs w:val="20"/>
        </w:rPr>
        <w:t>U</w:t>
      </w:r>
      <w:r w:rsidR="007537A4" w:rsidRPr="00A27053">
        <w:rPr>
          <w:sz w:val="20"/>
          <w:szCs w:val="20"/>
        </w:rPr>
        <w:t>.</w:t>
      </w:r>
      <w:r w:rsidR="00E56F94" w:rsidRPr="00A27053">
        <w:rPr>
          <w:sz w:val="20"/>
          <w:szCs w:val="20"/>
        </w:rPr>
        <w:t>N</w:t>
      </w:r>
      <w:r w:rsidR="007537A4" w:rsidRPr="00A27053">
        <w:rPr>
          <w:sz w:val="20"/>
          <w:szCs w:val="20"/>
        </w:rPr>
        <w:t>.</w:t>
      </w:r>
      <w:r w:rsidR="00E56F94" w:rsidRPr="00A27053">
        <w:rPr>
          <w:sz w:val="20"/>
          <w:szCs w:val="20"/>
        </w:rPr>
        <w:t>H</w:t>
      </w:r>
      <w:r w:rsidR="007537A4" w:rsidRPr="00A27053">
        <w:rPr>
          <w:sz w:val="20"/>
          <w:szCs w:val="20"/>
        </w:rPr>
        <w:t>.</w:t>
      </w:r>
      <w:r w:rsidR="00E56F94" w:rsidRPr="00A27053">
        <w:rPr>
          <w:sz w:val="20"/>
          <w:szCs w:val="20"/>
        </w:rPr>
        <w:t>R</w:t>
      </w:r>
      <w:r w:rsidR="007537A4" w:rsidRPr="00A27053">
        <w:rPr>
          <w:sz w:val="20"/>
          <w:szCs w:val="20"/>
        </w:rPr>
        <w:t>.</w:t>
      </w:r>
      <w:r w:rsidR="00E56F94" w:rsidRPr="00A27053">
        <w:rPr>
          <w:sz w:val="20"/>
          <w:szCs w:val="20"/>
        </w:rPr>
        <w:t>C</w:t>
      </w:r>
      <w:r w:rsidR="007537A4" w:rsidRPr="00A27053">
        <w:rPr>
          <w:sz w:val="20"/>
          <w:szCs w:val="20"/>
        </w:rPr>
        <w:t>.</w:t>
      </w:r>
      <w:r w:rsidR="00E56F94" w:rsidRPr="00A27053">
        <w:rPr>
          <w:sz w:val="20"/>
          <w:szCs w:val="20"/>
        </w:rPr>
        <w:t xml:space="preserve">, </w:t>
      </w:r>
      <w:r w:rsidR="00E56F94" w:rsidRPr="00A27053">
        <w:rPr>
          <w:i/>
          <w:iCs/>
          <w:sz w:val="20"/>
          <w:szCs w:val="20"/>
        </w:rPr>
        <w:t>Gender Stereotyping and the Judiciary</w:t>
      </w:r>
      <w:r w:rsidR="00E56F94" w:rsidRPr="00A27053">
        <w:rPr>
          <w:sz w:val="20"/>
          <w:szCs w:val="20"/>
        </w:rPr>
        <w:t xml:space="preserve"> Presentation. Available at </w:t>
      </w:r>
      <w:r w:rsidR="00E56F94" w:rsidRPr="00A27053">
        <w:rPr>
          <w:rFonts w:eastAsiaTheme="minorEastAsia"/>
          <w:sz w:val="20"/>
          <w:szCs w:val="20"/>
        </w:rPr>
        <w:t>https://www.ohchr.org/sites/default/files/OHCHR_JudicialStereotyping_Session4.pdf (last visited Dec. 6, 2024).</w:t>
      </w:r>
    </w:p>
  </w:footnote>
  <w:footnote w:id="81">
    <w:p w14:paraId="0D8491EF" w14:textId="7914FB1C" w:rsidR="008F5CDA" w:rsidRPr="00A27053" w:rsidRDefault="008F5CDA" w:rsidP="008F5CDA">
      <w:pPr>
        <w:rPr>
          <w:sz w:val="20"/>
          <w:szCs w:val="20"/>
        </w:rPr>
      </w:pPr>
      <w:r w:rsidRPr="00A27053">
        <w:rPr>
          <w:rStyle w:val="FootnoteReference"/>
          <w:sz w:val="20"/>
          <w:szCs w:val="20"/>
        </w:rPr>
        <w:footnoteRef/>
      </w:r>
      <w:r w:rsidR="00BB13FF" w:rsidRPr="00A27053">
        <w:rPr>
          <w:sz w:val="20"/>
          <w:szCs w:val="20"/>
        </w:rPr>
        <w:t xml:space="preserve"> </w:t>
      </w:r>
      <w:r w:rsidR="009A4F77" w:rsidRPr="00A27053">
        <w:rPr>
          <w:sz w:val="20"/>
          <w:szCs w:val="20"/>
        </w:rPr>
        <w:t>Simone Cusack</w:t>
      </w:r>
      <w:r w:rsidR="00BB13FF" w:rsidRPr="00A27053">
        <w:rPr>
          <w:sz w:val="20"/>
          <w:szCs w:val="20"/>
        </w:rPr>
        <w:t>,</w:t>
      </w:r>
      <w:r w:rsidRPr="00A27053">
        <w:rPr>
          <w:sz w:val="20"/>
          <w:szCs w:val="20"/>
        </w:rPr>
        <w:t xml:space="preserve"> </w:t>
      </w:r>
      <w:r w:rsidRPr="00A27053">
        <w:rPr>
          <w:bCs/>
          <w:i/>
          <w:iCs/>
          <w:sz w:val="20"/>
          <w:szCs w:val="20"/>
        </w:rPr>
        <w:t>Eliminating judicial stereotyping Equal access to justice for women in gender-based violence cases</w:t>
      </w:r>
      <w:r w:rsidR="00273A08" w:rsidRPr="00A27053">
        <w:rPr>
          <w:bCs/>
          <w:sz w:val="20"/>
          <w:szCs w:val="20"/>
        </w:rPr>
        <w:t>, Submission to OHCHR</w:t>
      </w:r>
      <w:r w:rsidR="00162ADE" w:rsidRPr="00A27053">
        <w:rPr>
          <w:bCs/>
          <w:i/>
          <w:iCs/>
          <w:sz w:val="20"/>
          <w:szCs w:val="20"/>
        </w:rPr>
        <w:t xml:space="preserve"> </w:t>
      </w:r>
      <w:r w:rsidR="00162ADE" w:rsidRPr="00A27053">
        <w:rPr>
          <w:bCs/>
          <w:sz w:val="20"/>
          <w:szCs w:val="20"/>
        </w:rPr>
        <w:t>(</w:t>
      </w:r>
      <w:r w:rsidR="00E56F94" w:rsidRPr="00A27053">
        <w:rPr>
          <w:bCs/>
          <w:sz w:val="20"/>
          <w:szCs w:val="20"/>
        </w:rPr>
        <w:t>Jun. 9</w:t>
      </w:r>
      <w:r w:rsidR="002A6BE8" w:rsidRPr="00A27053">
        <w:rPr>
          <w:bCs/>
          <w:sz w:val="20"/>
          <w:szCs w:val="20"/>
        </w:rPr>
        <w:t>,</w:t>
      </w:r>
      <w:r w:rsidR="00162ADE" w:rsidRPr="00A27053">
        <w:rPr>
          <w:bCs/>
          <w:sz w:val="20"/>
          <w:szCs w:val="20"/>
        </w:rPr>
        <w:t xml:space="preserve"> 2014)</w:t>
      </w:r>
      <w:r w:rsidR="002A6BE8" w:rsidRPr="00A27053">
        <w:rPr>
          <w:bCs/>
          <w:sz w:val="20"/>
          <w:szCs w:val="20"/>
        </w:rPr>
        <w:t xml:space="preserve">, </w:t>
      </w:r>
      <w:r w:rsidR="004C5A73" w:rsidRPr="00A27053">
        <w:rPr>
          <w:bCs/>
          <w:sz w:val="20"/>
          <w:szCs w:val="20"/>
        </w:rPr>
        <w:t>https://www.ohchr.org/Documents/Issues/Women/WRGS/StudyGenderStereotyping.doc</w:t>
      </w:r>
      <w:r w:rsidR="00B43AE0" w:rsidRPr="00A27053">
        <w:rPr>
          <w:bCs/>
          <w:sz w:val="20"/>
          <w:szCs w:val="20"/>
        </w:rPr>
        <w:t>.</w:t>
      </w:r>
    </w:p>
  </w:footnote>
  <w:footnote w:id="82">
    <w:p w14:paraId="59D44A25" w14:textId="20D5C04F" w:rsidR="001B6205" w:rsidRPr="00A27053" w:rsidRDefault="001B6205" w:rsidP="00B071AE">
      <w:pPr>
        <w:pStyle w:val="Style1"/>
      </w:pPr>
      <w:r w:rsidRPr="00A27053">
        <w:rPr>
          <w:rStyle w:val="FootnoteReference"/>
        </w:rPr>
        <w:footnoteRef/>
      </w:r>
      <w:r w:rsidRPr="00A27053">
        <w:t xml:space="preserve"> </w:t>
      </w:r>
      <w:r w:rsidR="007537A4" w:rsidRPr="00A27053">
        <w:t>U.</w:t>
      </w:r>
      <w:r w:rsidR="00F874B8" w:rsidRPr="00A27053">
        <w:t>N</w:t>
      </w:r>
      <w:r w:rsidR="007537A4" w:rsidRPr="00A27053">
        <w:t>.</w:t>
      </w:r>
      <w:r w:rsidR="00F874B8" w:rsidRPr="00A27053">
        <w:t xml:space="preserve"> Women</w:t>
      </w:r>
      <w:r w:rsidR="00C5785F" w:rsidRPr="00A27053">
        <w:t xml:space="preserve">, </w:t>
      </w:r>
      <w:r w:rsidR="00F874B8" w:rsidRPr="00A27053">
        <w:rPr>
          <w:i/>
          <w:iCs/>
        </w:rPr>
        <w:t xml:space="preserve">2011-2012 Progress of the World’s Women: In Pursuit of </w:t>
      </w:r>
      <w:r w:rsidR="00F773D1" w:rsidRPr="00A27053">
        <w:rPr>
          <w:i/>
          <w:iCs/>
        </w:rPr>
        <w:t>Justice</w:t>
      </w:r>
      <w:r w:rsidR="00385624" w:rsidRPr="00A27053">
        <w:t>, at 50-61</w:t>
      </w:r>
      <w:r w:rsidR="009C0476" w:rsidRPr="00A27053">
        <w:t xml:space="preserve"> </w:t>
      </w:r>
      <w:r w:rsidR="00490366" w:rsidRPr="00A27053">
        <w:t>(</w:t>
      </w:r>
      <w:r w:rsidR="00F773D1" w:rsidRPr="00A27053">
        <w:t>2011</w:t>
      </w:r>
      <w:r w:rsidR="00FE10BC" w:rsidRPr="00A27053">
        <w:t>)</w:t>
      </w:r>
      <w:r w:rsidR="002A6BE8" w:rsidRPr="00A27053">
        <w:t>. Available at</w:t>
      </w:r>
      <w:r w:rsidR="00FE10BC" w:rsidRPr="00A27053">
        <w:t xml:space="preserve"> </w:t>
      </w:r>
      <w:r w:rsidR="00F773D1" w:rsidRPr="00A27053">
        <w:t xml:space="preserve">https://www.unwomen.org/sites/default/files/Headquarters/Attachments/Sections/Library/Publications/2011/ProgressOfTheWorldsWomen-2011-en.pdf. </w:t>
      </w:r>
    </w:p>
  </w:footnote>
  <w:footnote w:id="83">
    <w:p w14:paraId="234F28D1" w14:textId="30088EE5" w:rsidR="008C4D21" w:rsidRPr="00A27053" w:rsidRDefault="008C4D21" w:rsidP="008C4D21">
      <w:pPr>
        <w:pStyle w:val="FootnoteText"/>
        <w:rPr>
          <w:sz w:val="20"/>
          <w:szCs w:val="20"/>
        </w:rPr>
      </w:pPr>
      <w:r w:rsidRPr="00A27053">
        <w:rPr>
          <w:rStyle w:val="FootnoteReference"/>
          <w:sz w:val="20"/>
          <w:szCs w:val="20"/>
        </w:rPr>
        <w:footnoteRef/>
      </w:r>
      <w:r w:rsidRPr="00A27053">
        <w:rPr>
          <w:sz w:val="20"/>
          <w:szCs w:val="20"/>
        </w:rPr>
        <w:t xml:space="preserve"> </w:t>
      </w:r>
      <w:r w:rsidR="00213918" w:rsidRPr="00A27053">
        <w:rPr>
          <w:sz w:val="20"/>
          <w:szCs w:val="20"/>
        </w:rPr>
        <w:t>Cornell Center for the Death Penalty Worldwide,</w:t>
      </w:r>
      <w:r w:rsidR="00213918" w:rsidRPr="00A27053">
        <w:rPr>
          <w:i/>
          <w:iCs/>
          <w:sz w:val="20"/>
          <w:szCs w:val="20"/>
        </w:rPr>
        <w:t xml:space="preserve"> Iraq</w:t>
      </w:r>
      <w:r w:rsidR="00213918" w:rsidRPr="00A27053">
        <w:rPr>
          <w:sz w:val="20"/>
          <w:szCs w:val="20"/>
        </w:rPr>
        <w:t>, https://deathpenaltyworldwide.org/database/#/results/country?id=34#fn-18748-W70P23T104835 / (last visited Dec. 6, 2024).</w:t>
      </w:r>
    </w:p>
  </w:footnote>
  <w:footnote w:id="84">
    <w:p w14:paraId="2EDD94D2" w14:textId="7137CE95" w:rsidR="008C4D21" w:rsidRPr="00A27053" w:rsidRDefault="008C4D21" w:rsidP="008C4D21">
      <w:pPr>
        <w:pStyle w:val="FootnoteText"/>
        <w:rPr>
          <w:sz w:val="20"/>
          <w:szCs w:val="20"/>
        </w:rPr>
      </w:pPr>
      <w:r w:rsidRPr="00A27053">
        <w:rPr>
          <w:rStyle w:val="FootnoteReference"/>
          <w:sz w:val="20"/>
          <w:szCs w:val="20"/>
        </w:rPr>
        <w:footnoteRef/>
      </w:r>
      <w:r w:rsidR="0037230E" w:rsidRPr="00A27053">
        <w:rPr>
          <w:sz w:val="20"/>
          <w:szCs w:val="20"/>
        </w:rPr>
        <w:t xml:space="preserve"> </w:t>
      </w:r>
      <w:r w:rsidR="00213918" w:rsidRPr="00A27053">
        <w:rPr>
          <w:sz w:val="20"/>
          <w:szCs w:val="20"/>
        </w:rPr>
        <w:t>Cornell Center for the Death Penalty Worldwide,</w:t>
      </w:r>
      <w:r w:rsidR="00213918" w:rsidRPr="00A27053">
        <w:rPr>
          <w:i/>
          <w:iCs/>
          <w:sz w:val="20"/>
          <w:szCs w:val="20"/>
        </w:rPr>
        <w:t xml:space="preserve"> Iraq</w:t>
      </w:r>
      <w:r w:rsidR="00213918" w:rsidRPr="00A27053">
        <w:rPr>
          <w:sz w:val="20"/>
          <w:szCs w:val="20"/>
        </w:rPr>
        <w:t>, https://deathpenaltyworldwide.org/database/#/results/country?id=34#fn-18748-W70P23T104835 / (last visited Dec. 6, 2024).</w:t>
      </w:r>
    </w:p>
  </w:footnote>
  <w:footnote w:id="85">
    <w:p w14:paraId="28BCDED3" w14:textId="2AF8C0D1" w:rsidR="00BA12AB" w:rsidRPr="00A27053" w:rsidRDefault="00BA12AB">
      <w:pPr>
        <w:pStyle w:val="FootnoteText"/>
        <w:rPr>
          <w:sz w:val="20"/>
          <w:szCs w:val="20"/>
        </w:rPr>
      </w:pPr>
      <w:r w:rsidRPr="00A27053">
        <w:rPr>
          <w:rStyle w:val="FootnoteReference"/>
          <w:sz w:val="20"/>
          <w:szCs w:val="20"/>
        </w:rPr>
        <w:footnoteRef/>
      </w:r>
      <w:r w:rsidR="00CA5785" w:rsidRPr="00A27053">
        <w:rPr>
          <w:sz w:val="20"/>
          <w:szCs w:val="20"/>
        </w:rPr>
        <w:t xml:space="preserve"> </w:t>
      </w:r>
      <w:r w:rsidR="00CA5785" w:rsidRPr="00A27053">
        <w:rPr>
          <w:i/>
          <w:iCs/>
          <w:sz w:val="20"/>
          <w:szCs w:val="20"/>
        </w:rPr>
        <w:t>Iraq: Change Approach to Foreign Women, Children in ISIS-Linked Trials</w:t>
      </w:r>
      <w:r w:rsidR="00CA5785" w:rsidRPr="00A27053">
        <w:rPr>
          <w:sz w:val="20"/>
          <w:szCs w:val="20"/>
        </w:rPr>
        <w:t>,</w:t>
      </w:r>
      <w:r w:rsidR="00EC6FEE" w:rsidRPr="00A27053">
        <w:rPr>
          <w:sz w:val="20"/>
          <w:szCs w:val="20"/>
        </w:rPr>
        <w:t xml:space="preserve"> </w:t>
      </w:r>
      <w:r w:rsidR="00CA5785" w:rsidRPr="00A27053">
        <w:rPr>
          <w:sz w:val="20"/>
          <w:szCs w:val="20"/>
        </w:rPr>
        <w:t>Human Rights Watch</w:t>
      </w:r>
      <w:r w:rsidR="00224A5B" w:rsidRPr="00A27053">
        <w:rPr>
          <w:sz w:val="20"/>
          <w:szCs w:val="20"/>
        </w:rPr>
        <w:t xml:space="preserve"> (</w:t>
      </w:r>
      <w:r w:rsidR="00CA5785" w:rsidRPr="00A27053">
        <w:rPr>
          <w:sz w:val="20"/>
          <w:szCs w:val="20"/>
        </w:rPr>
        <w:t>Jun</w:t>
      </w:r>
      <w:r w:rsidR="00EC6FEE" w:rsidRPr="00A27053">
        <w:rPr>
          <w:sz w:val="20"/>
          <w:szCs w:val="20"/>
        </w:rPr>
        <w:t>. 21,</w:t>
      </w:r>
      <w:r w:rsidR="00CA5785" w:rsidRPr="00A27053">
        <w:rPr>
          <w:sz w:val="20"/>
          <w:szCs w:val="20"/>
        </w:rPr>
        <w:t xml:space="preserve"> 2018</w:t>
      </w:r>
      <w:r w:rsidR="00224A5B" w:rsidRPr="00A27053">
        <w:rPr>
          <w:sz w:val="20"/>
          <w:szCs w:val="20"/>
        </w:rPr>
        <w:t>)</w:t>
      </w:r>
      <w:r w:rsidR="00CA5785" w:rsidRPr="00A27053">
        <w:rPr>
          <w:sz w:val="20"/>
          <w:szCs w:val="20"/>
        </w:rPr>
        <w:t>, https://www.hrw.org/news/2018/06/21/iraq-change-approach-foreign-women-children-isis-linked-trials.</w:t>
      </w:r>
    </w:p>
  </w:footnote>
  <w:footnote w:id="86">
    <w:p w14:paraId="342EDF9A" w14:textId="77777777" w:rsidR="00F17258" w:rsidRPr="00A27053" w:rsidRDefault="00F17258" w:rsidP="00523E5A">
      <w:pPr>
        <w:pStyle w:val="FootnoteText"/>
        <w:rPr>
          <w:sz w:val="20"/>
          <w:szCs w:val="20"/>
          <w:lang w:val="de-DE"/>
        </w:rPr>
      </w:pPr>
      <w:r w:rsidRPr="00A27053">
        <w:rPr>
          <w:rStyle w:val="FootnoteReference"/>
          <w:sz w:val="20"/>
          <w:szCs w:val="20"/>
        </w:rPr>
        <w:footnoteRef/>
      </w:r>
      <w:r w:rsidRPr="00A27053">
        <w:rPr>
          <w:sz w:val="20"/>
          <w:szCs w:val="20"/>
        </w:rPr>
        <w:t xml:space="preserve"> </w:t>
      </w:r>
      <w:r w:rsidRPr="00A27053">
        <w:rPr>
          <w:sz w:val="20"/>
          <w:szCs w:val="20"/>
          <w:lang w:val="de-DE"/>
        </w:rPr>
        <w:t>BBC: Islamic State: Hundreds of women on hunger strike at Iraqi prison, May 5, 2023, accessible at: https://www.bbc.com/news/world-middle-east-65498377.</w:t>
      </w:r>
    </w:p>
  </w:footnote>
  <w:footnote w:id="87">
    <w:p w14:paraId="0544DECE" w14:textId="77777777" w:rsidR="00F17258" w:rsidRPr="00A27053" w:rsidRDefault="00F17258" w:rsidP="00523E5A">
      <w:pPr>
        <w:pStyle w:val="FootnoteText"/>
        <w:rPr>
          <w:sz w:val="20"/>
          <w:szCs w:val="20"/>
          <w:lang w:val="de-DE"/>
        </w:rPr>
      </w:pPr>
      <w:r w:rsidRPr="00A27053">
        <w:rPr>
          <w:rStyle w:val="FootnoteReference"/>
          <w:sz w:val="20"/>
          <w:szCs w:val="20"/>
        </w:rPr>
        <w:footnoteRef/>
      </w:r>
      <w:r w:rsidRPr="00A27053">
        <w:rPr>
          <w:sz w:val="20"/>
          <w:szCs w:val="20"/>
        </w:rPr>
        <w:t xml:space="preserve"> </w:t>
      </w:r>
      <w:r w:rsidRPr="00A27053">
        <w:rPr>
          <w:sz w:val="20"/>
          <w:szCs w:val="20"/>
          <w:lang w:val="de-DE"/>
        </w:rPr>
        <w:t>Ibid.</w:t>
      </w:r>
    </w:p>
  </w:footnote>
  <w:footnote w:id="88">
    <w:p w14:paraId="015915A5" w14:textId="77777777" w:rsidR="005E2E37" w:rsidRPr="00A27053" w:rsidRDefault="005E2E37" w:rsidP="005E2E37">
      <w:pPr>
        <w:pStyle w:val="FootnoteText"/>
        <w:rPr>
          <w:sz w:val="20"/>
          <w:szCs w:val="20"/>
        </w:rPr>
      </w:pPr>
      <w:r w:rsidRPr="00A27053">
        <w:rPr>
          <w:rStyle w:val="FootnoteReference"/>
          <w:sz w:val="20"/>
          <w:szCs w:val="20"/>
        </w:rPr>
        <w:footnoteRef/>
      </w:r>
      <w:r w:rsidRPr="00A27053">
        <w:rPr>
          <w:sz w:val="20"/>
          <w:szCs w:val="20"/>
        </w:rPr>
        <w:t xml:space="preserve"> David Gritten, </w:t>
      </w:r>
      <w:r w:rsidRPr="00A27053">
        <w:rPr>
          <w:i/>
          <w:iCs/>
          <w:sz w:val="20"/>
          <w:szCs w:val="20"/>
        </w:rPr>
        <w:t>Abu Bakr al-Baghdadi’s widow sentenced to death in Iraq</w:t>
      </w:r>
      <w:r w:rsidRPr="00A27053">
        <w:rPr>
          <w:sz w:val="20"/>
          <w:szCs w:val="20"/>
        </w:rPr>
        <w:t>, BBC News, July 10, 2024, https://www.bbc.com/news/articles/c51y78nl13jo.</w:t>
      </w:r>
    </w:p>
  </w:footnote>
  <w:footnote w:id="89">
    <w:p w14:paraId="51A01B74" w14:textId="77777777" w:rsidR="005E2E37" w:rsidRPr="00A27053" w:rsidRDefault="005E2E37" w:rsidP="005E2E37">
      <w:pPr>
        <w:pStyle w:val="FootnoteText"/>
        <w:rPr>
          <w:sz w:val="20"/>
          <w:szCs w:val="20"/>
        </w:rPr>
      </w:pPr>
      <w:r w:rsidRPr="00A27053">
        <w:rPr>
          <w:rStyle w:val="FootnoteReference"/>
          <w:sz w:val="20"/>
          <w:szCs w:val="20"/>
        </w:rPr>
        <w:footnoteRef/>
      </w:r>
      <w:r w:rsidRPr="00A27053">
        <w:rPr>
          <w:sz w:val="20"/>
          <w:szCs w:val="20"/>
        </w:rPr>
        <w:t xml:space="preserve"> </w:t>
      </w:r>
      <w:r w:rsidRPr="00A27053">
        <w:rPr>
          <w:i/>
          <w:iCs/>
          <w:sz w:val="20"/>
          <w:szCs w:val="20"/>
        </w:rPr>
        <w:t>Iraq issues death sentence against wife of late Islamic State leader</w:t>
      </w:r>
      <w:r w:rsidRPr="00A27053">
        <w:rPr>
          <w:sz w:val="20"/>
          <w:szCs w:val="20"/>
        </w:rPr>
        <w:t>, Tala Ramadan and Jana Choukeir, Reuters, (Jul. 10, 2024), https://www.reuters.com/world/middle-east/iraq-issues-death-sentence-against-wife-late-islamic-state-leader-2024-07-10/.</w:t>
      </w:r>
    </w:p>
  </w:footnote>
  <w:footnote w:id="90">
    <w:p w14:paraId="064A1A0C" w14:textId="77777777" w:rsidR="005E2E37" w:rsidRPr="00A27053" w:rsidRDefault="005E2E37" w:rsidP="005E2E37">
      <w:pPr>
        <w:pStyle w:val="FootnoteText"/>
        <w:rPr>
          <w:sz w:val="20"/>
          <w:szCs w:val="20"/>
        </w:rPr>
      </w:pPr>
      <w:r w:rsidRPr="00A27053">
        <w:rPr>
          <w:rStyle w:val="FootnoteReference"/>
          <w:sz w:val="20"/>
          <w:szCs w:val="20"/>
        </w:rPr>
        <w:footnoteRef/>
      </w:r>
      <w:r w:rsidRPr="00A27053">
        <w:rPr>
          <w:sz w:val="20"/>
          <w:szCs w:val="20"/>
        </w:rPr>
        <w:t xml:space="preserve"> David Gritten, </w:t>
      </w:r>
      <w:r w:rsidRPr="00A27053">
        <w:rPr>
          <w:i/>
          <w:iCs/>
          <w:sz w:val="20"/>
          <w:szCs w:val="20"/>
        </w:rPr>
        <w:t>Abu Bakr al-Baghdadi’s widow sentenced to death in Iraq</w:t>
      </w:r>
      <w:r w:rsidRPr="00A27053">
        <w:rPr>
          <w:sz w:val="20"/>
          <w:szCs w:val="20"/>
        </w:rPr>
        <w:t>, BBC News, July 10, 2024, https://www.bbc.com/news/articles/c51y78nl13jo.</w:t>
      </w:r>
    </w:p>
  </w:footnote>
  <w:footnote w:id="91">
    <w:p w14:paraId="63D5E253" w14:textId="77777777" w:rsidR="005E2E37" w:rsidRPr="00A27053" w:rsidRDefault="005E2E37" w:rsidP="005E2E37">
      <w:pPr>
        <w:pStyle w:val="FootnoteText"/>
        <w:rPr>
          <w:sz w:val="20"/>
          <w:szCs w:val="20"/>
        </w:rPr>
      </w:pPr>
      <w:r w:rsidRPr="00A27053">
        <w:rPr>
          <w:rStyle w:val="FootnoteReference"/>
          <w:sz w:val="20"/>
          <w:szCs w:val="20"/>
        </w:rPr>
        <w:footnoteRef/>
      </w:r>
      <w:r w:rsidRPr="00A27053">
        <w:rPr>
          <w:sz w:val="20"/>
          <w:szCs w:val="20"/>
        </w:rPr>
        <w:t xml:space="preserve"> David Gritten, </w:t>
      </w:r>
      <w:r w:rsidRPr="00A27053">
        <w:rPr>
          <w:i/>
          <w:iCs/>
          <w:sz w:val="20"/>
          <w:szCs w:val="20"/>
        </w:rPr>
        <w:t>Abu Bakr al-Baghdadi’s widow sentenced to death in Iraq</w:t>
      </w:r>
      <w:r w:rsidRPr="00A27053">
        <w:rPr>
          <w:sz w:val="20"/>
          <w:szCs w:val="20"/>
        </w:rPr>
        <w:t>, BBC News, July 10, 2024, https://www.bbc.com/news/articles/c51y78nl13jo.</w:t>
      </w:r>
    </w:p>
  </w:footnote>
  <w:footnote w:id="92">
    <w:p w14:paraId="1F586B30" w14:textId="77777777" w:rsidR="005E2E37" w:rsidRPr="00A27053" w:rsidRDefault="005E2E37" w:rsidP="005E2E37">
      <w:pPr>
        <w:pStyle w:val="FootnoteText"/>
        <w:rPr>
          <w:sz w:val="20"/>
          <w:szCs w:val="20"/>
        </w:rPr>
      </w:pPr>
      <w:r w:rsidRPr="00A27053">
        <w:rPr>
          <w:rStyle w:val="FootnoteReference"/>
          <w:sz w:val="20"/>
          <w:szCs w:val="20"/>
        </w:rPr>
        <w:footnoteRef/>
      </w:r>
      <w:r w:rsidRPr="00A27053">
        <w:rPr>
          <w:sz w:val="20"/>
          <w:szCs w:val="20"/>
        </w:rPr>
        <w:t xml:space="preserve"> David Gritten, </w:t>
      </w:r>
      <w:r w:rsidRPr="00A27053">
        <w:rPr>
          <w:i/>
          <w:iCs/>
          <w:sz w:val="20"/>
          <w:szCs w:val="20"/>
        </w:rPr>
        <w:t>Abu Bakr al-Baghdadi’s widow sentenced to death in Iraq</w:t>
      </w:r>
      <w:r w:rsidRPr="00A27053">
        <w:rPr>
          <w:sz w:val="20"/>
          <w:szCs w:val="20"/>
        </w:rPr>
        <w:t>, BBC News, July 10, 2024, https://www.bbc.com/news/articles/c51y78nl13jo.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7B087" w14:textId="49FA415C" w:rsidR="00804604" w:rsidRDefault="00E621CE">
    <w:pPr>
      <w:pStyle w:val="Header"/>
    </w:pPr>
    <w:r>
      <w:rPr>
        <w:noProof/>
      </w:rPr>
      <w:drawing>
        <wp:anchor distT="0" distB="0" distL="114300" distR="114300" simplePos="0" relativeHeight="251658243" behindDoc="1" locked="0" layoutInCell="1" allowOverlap="1" wp14:anchorId="60CCF19D" wp14:editId="4B5F574C">
          <wp:simplePos x="0" y="0"/>
          <wp:positionH relativeFrom="column">
            <wp:posOffset>1952625</wp:posOffset>
          </wp:positionH>
          <wp:positionV relativeFrom="paragraph">
            <wp:posOffset>-276225</wp:posOffset>
          </wp:positionV>
          <wp:extent cx="1800225" cy="1135380"/>
          <wp:effectExtent l="0" t="0" r="9525" b="7620"/>
          <wp:wrapSquare wrapText="bothSides"/>
          <wp:docPr id="1697349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bolition Death Penalty of Ira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135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3DFB">
      <w:rPr>
        <w:noProof/>
      </w:rPr>
      <w:drawing>
        <wp:anchor distT="0" distB="0" distL="114300" distR="114300" simplePos="0" relativeHeight="251658240" behindDoc="0" locked="0" layoutInCell="1" allowOverlap="1" wp14:anchorId="0D691956" wp14:editId="69498A72">
          <wp:simplePos x="0" y="0"/>
          <wp:positionH relativeFrom="column">
            <wp:posOffset>3985260</wp:posOffset>
          </wp:positionH>
          <wp:positionV relativeFrom="paragraph">
            <wp:posOffset>-161925</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1E4BD2">
      <w:rPr>
        <w:noProof/>
      </w:rPr>
      <w:drawing>
        <wp:anchor distT="0" distB="0" distL="114300" distR="114300" simplePos="0" relativeHeight="251658242" behindDoc="0" locked="0" layoutInCell="1" allowOverlap="1" wp14:anchorId="43AF67F2" wp14:editId="4C8E72C2">
          <wp:simplePos x="0" y="0"/>
          <wp:positionH relativeFrom="column">
            <wp:posOffset>0</wp:posOffset>
          </wp:positionH>
          <wp:positionV relativeFrom="paragraph">
            <wp:posOffset>-161925</wp:posOffset>
          </wp:positionV>
          <wp:extent cx="1669618" cy="885825"/>
          <wp:effectExtent l="0" t="0" r="6985" b="0"/>
          <wp:wrapNone/>
          <wp:docPr id="434575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75751" name="Picture 2" descr="A white and grey sign with black tex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669618" cy="885825"/>
                  </a:xfrm>
                  <a:prstGeom prst="rect">
                    <a:avLst/>
                  </a:prstGeom>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96CCF"/>
    <w:multiLevelType w:val="hybridMultilevel"/>
    <w:tmpl w:val="AD029B48"/>
    <w:lvl w:ilvl="0" w:tplc="3BF0EC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4B518E"/>
    <w:multiLevelType w:val="hybridMultilevel"/>
    <w:tmpl w:val="0C7EB7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1203B04"/>
    <w:multiLevelType w:val="hybridMultilevel"/>
    <w:tmpl w:val="0C7EB7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1A2668"/>
    <w:multiLevelType w:val="hybridMultilevel"/>
    <w:tmpl w:val="39EA3740"/>
    <w:lvl w:ilvl="0" w:tplc="3BF0EC3A">
      <w:start w:val="2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E25BED"/>
    <w:multiLevelType w:val="hybridMultilevel"/>
    <w:tmpl w:val="BE5089E2"/>
    <w:lvl w:ilvl="0" w:tplc="155499B6">
      <w:start w:val="5"/>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8" w15:restartNumberingAfterBreak="0">
    <w:nsid w:val="1D5153BE"/>
    <w:multiLevelType w:val="hybridMultilevel"/>
    <w:tmpl w:val="390835FC"/>
    <w:lvl w:ilvl="0" w:tplc="3BF0EC3A">
      <w:start w:val="1"/>
      <w:numFmt w:val="decimal"/>
      <w:lvlText w:val="%1."/>
      <w:lvlJc w:val="left"/>
      <w:pPr>
        <w:ind w:left="810" w:hanging="360"/>
      </w:pPr>
      <w:rPr>
        <w:rFonts w:hint="default"/>
      </w:r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2A7AF4"/>
    <w:multiLevelType w:val="hybridMultilevel"/>
    <w:tmpl w:val="813A0B8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043AC1"/>
    <w:multiLevelType w:val="hybridMultilevel"/>
    <w:tmpl w:val="0C7EB7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9B66634"/>
    <w:multiLevelType w:val="hybridMultilevel"/>
    <w:tmpl w:val="433CDB14"/>
    <w:lvl w:ilvl="0" w:tplc="11CC2382">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602D59"/>
    <w:multiLevelType w:val="hybridMultilevel"/>
    <w:tmpl w:val="F5ECF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DA1384"/>
    <w:multiLevelType w:val="hybridMultilevel"/>
    <w:tmpl w:val="B5040AC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F4D590C"/>
    <w:multiLevelType w:val="hybridMultilevel"/>
    <w:tmpl w:val="D6A40AB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FF32DD"/>
    <w:multiLevelType w:val="hybridMultilevel"/>
    <w:tmpl w:val="0C7EB7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AAA4C0B"/>
    <w:multiLevelType w:val="hybridMultilevel"/>
    <w:tmpl w:val="0C7EB7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0703DD7"/>
    <w:multiLevelType w:val="hybridMultilevel"/>
    <w:tmpl w:val="402C4934"/>
    <w:lvl w:ilvl="0" w:tplc="F580C438">
      <w:start w:val="3"/>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9359F6"/>
    <w:multiLevelType w:val="hybridMultilevel"/>
    <w:tmpl w:val="17880220"/>
    <w:lvl w:ilvl="0" w:tplc="3BF0EC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26E3FA8"/>
    <w:multiLevelType w:val="hybridMultilevel"/>
    <w:tmpl w:val="B800553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3E25AB"/>
    <w:multiLevelType w:val="hybridMultilevel"/>
    <w:tmpl w:val="9A6CB948"/>
    <w:lvl w:ilvl="0" w:tplc="3BF0EC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070764"/>
    <w:multiLevelType w:val="hybridMultilevel"/>
    <w:tmpl w:val="495CDC2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421B9A"/>
    <w:multiLevelType w:val="hybridMultilevel"/>
    <w:tmpl w:val="1FC658E6"/>
    <w:lvl w:ilvl="0" w:tplc="3BF0EC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6B03D4"/>
    <w:multiLevelType w:val="multilevel"/>
    <w:tmpl w:val="16D0AC80"/>
    <w:name w:val="zzmpOutline||Outline|2|3|1|0|2|33||1|2|41||1|2|33||1|2|0||1|2|0||1|2|34||1|4|0||1|4|0||1|4|0||"/>
    <w:lvl w:ilvl="0">
      <w:start w:val="1"/>
      <w:numFmt w:val="upperRoman"/>
      <w:lvlText w:val="%1."/>
      <w:lvlJc w:val="right"/>
      <w:pPr>
        <w:ind w:left="0" w:firstLine="0"/>
      </w:pPr>
      <w:rPr>
        <w:rFonts w:hint="default"/>
        <w:b/>
        <w:bCs/>
        <w:i w:val="0"/>
        <w:caps/>
        <w:smallCaps w:val="0"/>
        <w:strike w:val="0"/>
        <w:dstrike w:val="0"/>
        <w:sz w:val="24"/>
        <w:u w:val="none"/>
        <w:effect w:val="none"/>
      </w:rPr>
    </w:lvl>
    <w:lvl w:ilvl="1">
      <w:start w:val="1"/>
      <w:numFmt w:val="upperRoman"/>
      <w:lvlText w:val="%2."/>
      <w:lvlJc w:val="left"/>
      <w:pPr>
        <w:tabs>
          <w:tab w:val="num" w:pos="720"/>
        </w:tabs>
        <w:ind w:left="0" w:firstLine="0"/>
      </w:pPr>
      <w:rPr>
        <w:rFonts w:ascii="Times New Roman" w:hAnsi="Times New Roman" w:cs="Times New Roman" w:hint="default"/>
        <w:b/>
        <w:i w:val="0"/>
        <w:caps w:val="0"/>
        <w:strike w:val="0"/>
        <w:dstrike w:val="0"/>
        <w:sz w:val="24"/>
        <w:u w:val="none"/>
        <w:effect w:val="none"/>
      </w:rPr>
    </w:lvl>
    <w:lvl w:ilvl="2">
      <w:start w:val="1"/>
      <w:numFmt w:val="upperLetter"/>
      <w:lvlText w:val="%3."/>
      <w:lvlJc w:val="left"/>
      <w:pPr>
        <w:tabs>
          <w:tab w:val="num" w:pos="720"/>
        </w:tabs>
        <w:ind w:left="720" w:hanging="720"/>
      </w:pPr>
      <w:rPr>
        <w:rFonts w:ascii="Times New Roman" w:hAnsi="Times New Roman" w:cs="Times New Roman" w:hint="default"/>
        <w:b/>
        <w:i w:val="0"/>
        <w:caps w:val="0"/>
        <w:strike w:val="0"/>
        <w:dstrike w:val="0"/>
        <w:sz w:val="24"/>
        <w:u w:val="none"/>
        <w:effect w:val="none"/>
      </w:rPr>
    </w:lvl>
    <w:lvl w:ilvl="3">
      <w:start w:val="1"/>
      <w:numFmt w:val="decimal"/>
      <w:lvlRestart w:val="0"/>
      <w:lvlText w:val="%4."/>
      <w:lvlJc w:val="left"/>
      <w:pPr>
        <w:tabs>
          <w:tab w:val="num" w:pos="720"/>
        </w:tabs>
        <w:ind w:left="720" w:hanging="720"/>
      </w:pPr>
      <w:rPr>
        <w:rFonts w:ascii="Times New Roman" w:hAnsi="Times New Roman" w:cs="Times New Roman" w:hint="default"/>
        <w:b w:val="0"/>
        <w:i w:val="0"/>
        <w:caps w:val="0"/>
        <w:strike w:val="0"/>
        <w:dstrike w:val="0"/>
        <w:sz w:val="24"/>
        <w:u w:val="none"/>
        <w:effect w:val="none"/>
      </w:rPr>
    </w:lvl>
    <w:lvl w:ilvl="4">
      <w:start w:val="1"/>
      <w:numFmt w:val="lowerLetter"/>
      <w:lvlText w:val="%5."/>
      <w:lvlJc w:val="left"/>
      <w:pPr>
        <w:tabs>
          <w:tab w:val="num" w:pos="1440"/>
        </w:tabs>
        <w:ind w:left="1440" w:hanging="720"/>
      </w:pPr>
      <w:rPr>
        <w:rFonts w:ascii="Times New Roman" w:hAnsi="Times New Roman" w:cs="Times New Roman" w:hint="default"/>
        <w:b w:val="0"/>
        <w:i w:val="0"/>
        <w:caps w:val="0"/>
        <w:strike w:val="0"/>
        <w:dstrike w:val="0"/>
        <w:sz w:val="24"/>
        <w:u w:val="none"/>
        <w:effect w:val="none"/>
      </w:rPr>
    </w:lvl>
    <w:lvl w:ilvl="5">
      <w:start w:val="1"/>
      <w:numFmt w:val="lowerRoman"/>
      <w:lvlRestart w:val="0"/>
      <w:lvlText w:val="(%6)"/>
      <w:lvlJc w:val="left"/>
      <w:pPr>
        <w:tabs>
          <w:tab w:val="num" w:pos="2160"/>
        </w:tabs>
        <w:ind w:left="2160" w:hanging="720"/>
      </w:pPr>
      <w:rPr>
        <w:rFonts w:ascii="Times New Roman" w:hAnsi="Times New Roman" w:cs="Times New Roman" w:hint="default"/>
        <w:b w:val="0"/>
        <w:i/>
        <w:caps w:val="0"/>
        <w:strike w:val="0"/>
        <w:dstrike w:val="0"/>
        <w:sz w:val="24"/>
        <w:u w:val="none"/>
        <w:effect w:val="none"/>
      </w:rPr>
    </w:lvl>
    <w:lvl w:ilvl="6">
      <w:start w:val="1"/>
      <w:numFmt w:val="decimal"/>
      <w:lvlText w:val="(%7)"/>
      <w:lvlJc w:val="left"/>
      <w:pPr>
        <w:tabs>
          <w:tab w:val="num" w:pos="5040"/>
        </w:tabs>
        <w:ind w:left="0" w:firstLine="4320"/>
      </w:pPr>
      <w:rPr>
        <w:rFonts w:ascii="Times New Roman" w:hAnsi="Times New Roman" w:cs="Times New Roman" w:hint="default"/>
        <w:b w:val="0"/>
        <w:i w:val="0"/>
        <w:caps w:val="0"/>
        <w:strike w:val="0"/>
        <w:dstrike w:val="0"/>
        <w:sz w:val="24"/>
        <w:u w:val="none"/>
        <w:effect w:val="none"/>
      </w:rPr>
    </w:lvl>
    <w:lvl w:ilvl="7">
      <w:start w:val="1"/>
      <w:numFmt w:val="lowerRoman"/>
      <w:lvlText w:val="%8)"/>
      <w:lvlJc w:val="left"/>
      <w:pPr>
        <w:tabs>
          <w:tab w:val="num" w:pos="5760"/>
        </w:tabs>
        <w:ind w:left="0" w:firstLine="5040"/>
      </w:pPr>
      <w:rPr>
        <w:rFonts w:ascii="Times New Roman" w:hAnsi="Times New Roman" w:cs="Times New Roman" w:hint="default"/>
        <w:b w:val="0"/>
        <w:i w:val="0"/>
        <w:caps w:val="0"/>
        <w:strike w:val="0"/>
        <w:dstrike w:val="0"/>
        <w:sz w:val="24"/>
        <w:u w:val="none"/>
        <w:effect w:val="none"/>
      </w:rPr>
    </w:lvl>
    <w:lvl w:ilvl="8">
      <w:start w:val="1"/>
      <w:numFmt w:val="lowerLetter"/>
      <w:lvlText w:val="%9)"/>
      <w:lvlJc w:val="left"/>
      <w:pPr>
        <w:tabs>
          <w:tab w:val="num" w:pos="6480"/>
        </w:tabs>
        <w:ind w:left="0" w:firstLine="5760"/>
      </w:pPr>
      <w:rPr>
        <w:rFonts w:ascii="Times New Roman" w:hAnsi="Times New Roman" w:cs="Times New Roman" w:hint="default"/>
        <w:b w:val="0"/>
        <w:i w:val="0"/>
        <w:caps w:val="0"/>
        <w:strike w:val="0"/>
        <w:dstrike w:val="0"/>
        <w:sz w:val="24"/>
        <w:u w:val="none"/>
        <w:effect w:val="none"/>
      </w:rPr>
    </w:lvl>
  </w:abstractNum>
  <w:abstractNum w:abstractNumId="2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A7A4F33"/>
    <w:multiLevelType w:val="hybridMultilevel"/>
    <w:tmpl w:val="6BFE8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ED533E"/>
    <w:multiLevelType w:val="hybridMultilevel"/>
    <w:tmpl w:val="8E0CDFEC"/>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D595E85"/>
    <w:multiLevelType w:val="hybridMultilevel"/>
    <w:tmpl w:val="F02EBD06"/>
    <w:lvl w:ilvl="0" w:tplc="86644A10">
      <w:start w:val="25"/>
      <w:numFmt w:val="decimal"/>
      <w:lvlText w:val="%1."/>
      <w:lvlJc w:val="left"/>
      <w:pPr>
        <w:ind w:left="36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31" w15:restartNumberingAfterBreak="0">
    <w:nsid w:val="60DB6F81"/>
    <w:multiLevelType w:val="hybridMultilevel"/>
    <w:tmpl w:val="756AC47E"/>
    <w:lvl w:ilvl="0" w:tplc="155499B6">
      <w:start w:val="5"/>
      <w:numFmt w:val="decimal"/>
      <w:lvlText w:val="%1."/>
      <w:lvlJc w:val="left"/>
      <w:pPr>
        <w:ind w:left="720" w:hanging="360"/>
      </w:pPr>
      <w:rPr>
        <w:rFonts w:hint="default"/>
        <w:b w:val="0"/>
        <w:bCs/>
      </w:rPr>
    </w:lvl>
    <w:lvl w:ilvl="1" w:tplc="80DA937A">
      <w:start w:val="1"/>
      <w:numFmt w:val="bullet"/>
      <w:lvlText w:val=""/>
      <w:lvlJc w:val="left"/>
      <w:pPr>
        <w:ind w:left="1440" w:hanging="360"/>
      </w:pPr>
      <w:rPr>
        <w:rFonts w:ascii="Symbol" w:hAnsi="Symbol" w:hint="default"/>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2457BF"/>
    <w:multiLevelType w:val="hybridMultilevel"/>
    <w:tmpl w:val="1142893C"/>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13D1452"/>
    <w:multiLevelType w:val="hybridMultilevel"/>
    <w:tmpl w:val="FBEC5006"/>
    <w:lvl w:ilvl="0" w:tplc="0409000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1604C9A"/>
    <w:multiLevelType w:val="hybridMultilevel"/>
    <w:tmpl w:val="0C7EB7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B0F488B"/>
    <w:multiLevelType w:val="hybridMultilevel"/>
    <w:tmpl w:val="796A3B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D130D7C"/>
    <w:multiLevelType w:val="hybridMultilevel"/>
    <w:tmpl w:val="0C7EB7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15969075">
    <w:abstractNumId w:val="15"/>
  </w:num>
  <w:num w:numId="2" w16cid:durableId="2029719975">
    <w:abstractNumId w:val="11"/>
  </w:num>
  <w:num w:numId="3" w16cid:durableId="1539776804">
    <w:abstractNumId w:val="27"/>
  </w:num>
  <w:num w:numId="4" w16cid:durableId="3636796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17"/>
  </w:num>
  <w:num w:numId="6" w16cid:durableId="594171688">
    <w:abstractNumId w:val="4"/>
  </w:num>
  <w:num w:numId="7" w16cid:durableId="1938251912">
    <w:abstractNumId w:val="8"/>
  </w:num>
  <w:num w:numId="8" w16cid:durableId="1784962959">
    <w:abstractNumId w:val="33"/>
  </w:num>
  <w:num w:numId="9" w16cid:durableId="1023946614">
    <w:abstractNumId w:val="5"/>
  </w:num>
  <w:num w:numId="10" w16cid:durableId="191308430">
    <w:abstractNumId w:val="32"/>
  </w:num>
  <w:num w:numId="11" w16cid:durableId="1006522116">
    <w:abstractNumId w:val="32"/>
  </w:num>
  <w:num w:numId="12" w16cid:durableId="598371054">
    <w:abstractNumId w:val="32"/>
  </w:num>
  <w:num w:numId="13" w16cid:durableId="5704255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1653650">
    <w:abstractNumId w:val="26"/>
  </w:num>
  <w:num w:numId="15" w16cid:durableId="155613269">
    <w:abstractNumId w:val="8"/>
  </w:num>
  <w:num w:numId="16" w16cid:durableId="1358579426">
    <w:abstractNumId w:val="37"/>
  </w:num>
  <w:num w:numId="17" w16cid:durableId="212231156">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38534001">
    <w:abstractNumId w:val="30"/>
  </w:num>
  <w:num w:numId="19" w16cid:durableId="134316959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5311091">
    <w:abstractNumId w:val="34"/>
  </w:num>
  <w:num w:numId="21" w16cid:durableId="1555584181">
    <w:abstractNumId w:val="29"/>
  </w:num>
  <w:num w:numId="22" w16cid:durableId="177886591">
    <w:abstractNumId w:val="20"/>
  </w:num>
  <w:num w:numId="23" w16cid:durableId="46803928">
    <w:abstractNumId w:val="22"/>
  </w:num>
  <w:num w:numId="24" w16cid:durableId="2029023417">
    <w:abstractNumId w:val="24"/>
  </w:num>
  <w:num w:numId="25" w16cid:durableId="72379530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09962020">
    <w:abstractNumId w:val="9"/>
  </w:num>
  <w:num w:numId="27" w16cid:durableId="1846629135">
    <w:abstractNumId w:val="16"/>
  </w:num>
  <w:num w:numId="28" w16cid:durableId="866793645">
    <w:abstractNumId w:val="35"/>
  </w:num>
  <w:num w:numId="29" w16cid:durableId="2042391666">
    <w:abstractNumId w:val="14"/>
  </w:num>
  <w:num w:numId="30" w16cid:durableId="1773012211">
    <w:abstractNumId w:val="6"/>
  </w:num>
  <w:num w:numId="31" w16cid:durableId="354700561">
    <w:abstractNumId w:val="8"/>
    <w:lvlOverride w:ilvl="0">
      <w:startOverride w:val="42"/>
    </w:lvlOverride>
  </w:num>
  <w:num w:numId="32" w16cid:durableId="81998605">
    <w:abstractNumId w:val="10"/>
  </w:num>
  <w:num w:numId="33" w16cid:durableId="673341868">
    <w:abstractNumId w:val="25"/>
  </w:num>
  <w:num w:numId="34" w16cid:durableId="838883545">
    <w:abstractNumId w:val="23"/>
  </w:num>
  <w:num w:numId="35" w16cid:durableId="1651446271">
    <w:abstractNumId w:val="3"/>
  </w:num>
  <w:num w:numId="36" w16cid:durableId="358774649">
    <w:abstractNumId w:val="21"/>
  </w:num>
  <w:num w:numId="37" w16cid:durableId="1100494546">
    <w:abstractNumId w:val="28"/>
  </w:num>
  <w:num w:numId="38" w16cid:durableId="2116047723">
    <w:abstractNumId w:val="0"/>
  </w:num>
  <w:num w:numId="39" w16cid:durableId="1607154372">
    <w:abstractNumId w:val="12"/>
  </w:num>
  <w:num w:numId="40" w16cid:durableId="2145273846">
    <w:abstractNumId w:val="18"/>
  </w:num>
  <w:num w:numId="41" w16cid:durableId="1840652592">
    <w:abstractNumId w:val="36"/>
  </w:num>
  <w:num w:numId="42" w16cid:durableId="78793051">
    <w:abstractNumId w:val="38"/>
  </w:num>
  <w:num w:numId="43" w16cid:durableId="1963800779">
    <w:abstractNumId w:val="19"/>
  </w:num>
  <w:num w:numId="44" w16cid:durableId="224024083">
    <w:abstractNumId w:val="1"/>
  </w:num>
  <w:num w:numId="45" w16cid:durableId="1320037479">
    <w:abstractNumId w:val="2"/>
  </w:num>
  <w:num w:numId="46" w16cid:durableId="198976806">
    <w:abstractNumId w:val="32"/>
  </w:num>
  <w:num w:numId="47" w16cid:durableId="732200527">
    <w:abstractNumId w:val="31"/>
  </w:num>
  <w:num w:numId="48" w16cid:durableId="1720128757">
    <w:abstractNumId w:val="13"/>
  </w:num>
  <w:num w:numId="49" w16cid:durableId="1279147051">
    <w:abstractNumId w:val="8"/>
  </w:num>
  <w:num w:numId="50" w16cid:durableId="2056158241">
    <w:abstractNumId w:val="8"/>
  </w:num>
  <w:num w:numId="51" w16cid:durableId="877280673">
    <w:abstractNumId w:val="8"/>
  </w:num>
  <w:num w:numId="52" w16cid:durableId="355086351">
    <w:abstractNumId w:val="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26EA"/>
    <w:rsid w:val="00004D22"/>
    <w:rsid w:val="00011178"/>
    <w:rsid w:val="000128DC"/>
    <w:rsid w:val="000136FA"/>
    <w:rsid w:val="00013A77"/>
    <w:rsid w:val="0001508E"/>
    <w:rsid w:val="00016F30"/>
    <w:rsid w:val="00020381"/>
    <w:rsid w:val="00027C15"/>
    <w:rsid w:val="00027CE8"/>
    <w:rsid w:val="00030CC1"/>
    <w:rsid w:val="00030F59"/>
    <w:rsid w:val="00031F60"/>
    <w:rsid w:val="00033B53"/>
    <w:rsid w:val="000342B6"/>
    <w:rsid w:val="000369BA"/>
    <w:rsid w:val="00040BA1"/>
    <w:rsid w:val="00041965"/>
    <w:rsid w:val="00043D85"/>
    <w:rsid w:val="00044709"/>
    <w:rsid w:val="00046377"/>
    <w:rsid w:val="000518B0"/>
    <w:rsid w:val="00054FB9"/>
    <w:rsid w:val="00055584"/>
    <w:rsid w:val="000567DB"/>
    <w:rsid w:val="00056CF5"/>
    <w:rsid w:val="00061448"/>
    <w:rsid w:val="000625ED"/>
    <w:rsid w:val="00062D03"/>
    <w:rsid w:val="000633A3"/>
    <w:rsid w:val="000655EF"/>
    <w:rsid w:val="000722A5"/>
    <w:rsid w:val="000734A4"/>
    <w:rsid w:val="00074E6C"/>
    <w:rsid w:val="00077EA6"/>
    <w:rsid w:val="00081CDC"/>
    <w:rsid w:val="0008238F"/>
    <w:rsid w:val="00085935"/>
    <w:rsid w:val="000872B3"/>
    <w:rsid w:val="00087C56"/>
    <w:rsid w:val="000910FC"/>
    <w:rsid w:val="00094E83"/>
    <w:rsid w:val="00095642"/>
    <w:rsid w:val="0009644E"/>
    <w:rsid w:val="000969B4"/>
    <w:rsid w:val="00097CF8"/>
    <w:rsid w:val="000A00CF"/>
    <w:rsid w:val="000A1F17"/>
    <w:rsid w:val="000A28F1"/>
    <w:rsid w:val="000A66B8"/>
    <w:rsid w:val="000B042D"/>
    <w:rsid w:val="000B1F4D"/>
    <w:rsid w:val="000B4314"/>
    <w:rsid w:val="000B4DB3"/>
    <w:rsid w:val="000B70E6"/>
    <w:rsid w:val="000C6340"/>
    <w:rsid w:val="000D0680"/>
    <w:rsid w:val="000D11F9"/>
    <w:rsid w:val="000D1C4D"/>
    <w:rsid w:val="000D41E5"/>
    <w:rsid w:val="000D547E"/>
    <w:rsid w:val="000D6202"/>
    <w:rsid w:val="000D6969"/>
    <w:rsid w:val="000E14B4"/>
    <w:rsid w:val="000E1DDC"/>
    <w:rsid w:val="000E1E43"/>
    <w:rsid w:val="000E2139"/>
    <w:rsid w:val="000E37C6"/>
    <w:rsid w:val="000E4B30"/>
    <w:rsid w:val="000E719C"/>
    <w:rsid w:val="000F156D"/>
    <w:rsid w:val="000F1E67"/>
    <w:rsid w:val="000F3B16"/>
    <w:rsid w:val="000F56E0"/>
    <w:rsid w:val="000F5F81"/>
    <w:rsid w:val="001008D1"/>
    <w:rsid w:val="001077ED"/>
    <w:rsid w:val="00111994"/>
    <w:rsid w:val="001164E9"/>
    <w:rsid w:val="0011758D"/>
    <w:rsid w:val="00120CB9"/>
    <w:rsid w:val="001215B4"/>
    <w:rsid w:val="0012447F"/>
    <w:rsid w:val="00124C13"/>
    <w:rsid w:val="0013185E"/>
    <w:rsid w:val="00131D06"/>
    <w:rsid w:val="0013378A"/>
    <w:rsid w:val="00134E80"/>
    <w:rsid w:val="001351E8"/>
    <w:rsid w:val="00136514"/>
    <w:rsid w:val="00137229"/>
    <w:rsid w:val="00141C6A"/>
    <w:rsid w:val="00141D8A"/>
    <w:rsid w:val="00142B91"/>
    <w:rsid w:val="00143423"/>
    <w:rsid w:val="00144B74"/>
    <w:rsid w:val="00147EA4"/>
    <w:rsid w:val="001522C1"/>
    <w:rsid w:val="001539A3"/>
    <w:rsid w:val="00153A36"/>
    <w:rsid w:val="00153A46"/>
    <w:rsid w:val="0015406F"/>
    <w:rsid w:val="001565F9"/>
    <w:rsid w:val="00160B54"/>
    <w:rsid w:val="00160BDA"/>
    <w:rsid w:val="00162ADE"/>
    <w:rsid w:val="0016457C"/>
    <w:rsid w:val="0017131C"/>
    <w:rsid w:val="00171429"/>
    <w:rsid w:val="00171FCD"/>
    <w:rsid w:val="00181B2A"/>
    <w:rsid w:val="00181EF5"/>
    <w:rsid w:val="00182A11"/>
    <w:rsid w:val="00184C03"/>
    <w:rsid w:val="00185358"/>
    <w:rsid w:val="0018642B"/>
    <w:rsid w:val="00187B80"/>
    <w:rsid w:val="00187BF7"/>
    <w:rsid w:val="00196E50"/>
    <w:rsid w:val="001970E6"/>
    <w:rsid w:val="001A1C4F"/>
    <w:rsid w:val="001A34F4"/>
    <w:rsid w:val="001A414A"/>
    <w:rsid w:val="001A59C1"/>
    <w:rsid w:val="001A5ED5"/>
    <w:rsid w:val="001A7AF4"/>
    <w:rsid w:val="001B03DB"/>
    <w:rsid w:val="001B1AC4"/>
    <w:rsid w:val="001B27D7"/>
    <w:rsid w:val="001B2D17"/>
    <w:rsid w:val="001B33D1"/>
    <w:rsid w:val="001B46C2"/>
    <w:rsid w:val="001B5219"/>
    <w:rsid w:val="001B5538"/>
    <w:rsid w:val="001B58FE"/>
    <w:rsid w:val="001B5A59"/>
    <w:rsid w:val="001B6205"/>
    <w:rsid w:val="001B799A"/>
    <w:rsid w:val="001C0BA9"/>
    <w:rsid w:val="001C42EB"/>
    <w:rsid w:val="001D0456"/>
    <w:rsid w:val="001D16CB"/>
    <w:rsid w:val="001E131A"/>
    <w:rsid w:val="001E163B"/>
    <w:rsid w:val="001E4BD2"/>
    <w:rsid w:val="001F17A7"/>
    <w:rsid w:val="00200981"/>
    <w:rsid w:val="00204883"/>
    <w:rsid w:val="00207F06"/>
    <w:rsid w:val="0021053B"/>
    <w:rsid w:val="00211315"/>
    <w:rsid w:val="00213918"/>
    <w:rsid w:val="00217101"/>
    <w:rsid w:val="00220D48"/>
    <w:rsid w:val="0022174F"/>
    <w:rsid w:val="0022226C"/>
    <w:rsid w:val="00224A5B"/>
    <w:rsid w:val="00233A3A"/>
    <w:rsid w:val="00233C6E"/>
    <w:rsid w:val="00233D69"/>
    <w:rsid w:val="00234644"/>
    <w:rsid w:val="00235130"/>
    <w:rsid w:val="00236CA6"/>
    <w:rsid w:val="00237C8C"/>
    <w:rsid w:val="00242F64"/>
    <w:rsid w:val="002439A3"/>
    <w:rsid w:val="00243E14"/>
    <w:rsid w:val="0024651E"/>
    <w:rsid w:val="002468AD"/>
    <w:rsid w:val="00250C84"/>
    <w:rsid w:val="00251D5C"/>
    <w:rsid w:val="00255789"/>
    <w:rsid w:val="002561FD"/>
    <w:rsid w:val="002604FD"/>
    <w:rsid w:val="00262845"/>
    <w:rsid w:val="002636A2"/>
    <w:rsid w:val="002646FB"/>
    <w:rsid w:val="00265D68"/>
    <w:rsid w:val="00272519"/>
    <w:rsid w:val="00272A5E"/>
    <w:rsid w:val="002734D9"/>
    <w:rsid w:val="00273933"/>
    <w:rsid w:val="00273A08"/>
    <w:rsid w:val="00275893"/>
    <w:rsid w:val="00276FD7"/>
    <w:rsid w:val="0027706A"/>
    <w:rsid w:val="00277CF7"/>
    <w:rsid w:val="002804E7"/>
    <w:rsid w:val="00281274"/>
    <w:rsid w:val="00281B09"/>
    <w:rsid w:val="00281C3F"/>
    <w:rsid w:val="00282200"/>
    <w:rsid w:val="00282223"/>
    <w:rsid w:val="00291BE8"/>
    <w:rsid w:val="00291E95"/>
    <w:rsid w:val="00294BA2"/>
    <w:rsid w:val="00296D33"/>
    <w:rsid w:val="002A0038"/>
    <w:rsid w:val="002A0797"/>
    <w:rsid w:val="002A07BF"/>
    <w:rsid w:val="002A4565"/>
    <w:rsid w:val="002A4838"/>
    <w:rsid w:val="002A4B43"/>
    <w:rsid w:val="002A6BE8"/>
    <w:rsid w:val="002A6D68"/>
    <w:rsid w:val="002B1275"/>
    <w:rsid w:val="002B16D6"/>
    <w:rsid w:val="002B1BE0"/>
    <w:rsid w:val="002B7D19"/>
    <w:rsid w:val="002C57BC"/>
    <w:rsid w:val="002C6490"/>
    <w:rsid w:val="002D319E"/>
    <w:rsid w:val="002D36C6"/>
    <w:rsid w:val="002D3A1C"/>
    <w:rsid w:val="002D7005"/>
    <w:rsid w:val="002E34EA"/>
    <w:rsid w:val="002E46A1"/>
    <w:rsid w:val="002E7C90"/>
    <w:rsid w:val="002F4931"/>
    <w:rsid w:val="002F4996"/>
    <w:rsid w:val="002F7A11"/>
    <w:rsid w:val="0030195D"/>
    <w:rsid w:val="0030361E"/>
    <w:rsid w:val="003101EC"/>
    <w:rsid w:val="00311947"/>
    <w:rsid w:val="00312933"/>
    <w:rsid w:val="0031345F"/>
    <w:rsid w:val="003140F5"/>
    <w:rsid w:val="003152A3"/>
    <w:rsid w:val="00315C53"/>
    <w:rsid w:val="00322A89"/>
    <w:rsid w:val="00322CB1"/>
    <w:rsid w:val="0032380A"/>
    <w:rsid w:val="003244CB"/>
    <w:rsid w:val="00325EC1"/>
    <w:rsid w:val="003272CF"/>
    <w:rsid w:val="00327C1A"/>
    <w:rsid w:val="00333C8F"/>
    <w:rsid w:val="00336306"/>
    <w:rsid w:val="003369A6"/>
    <w:rsid w:val="0034043F"/>
    <w:rsid w:val="00340484"/>
    <w:rsid w:val="0034078E"/>
    <w:rsid w:val="00341FA9"/>
    <w:rsid w:val="003431E6"/>
    <w:rsid w:val="00344140"/>
    <w:rsid w:val="00344556"/>
    <w:rsid w:val="003458F1"/>
    <w:rsid w:val="00345B90"/>
    <w:rsid w:val="00352C5B"/>
    <w:rsid w:val="0035378E"/>
    <w:rsid w:val="0035424D"/>
    <w:rsid w:val="0036202F"/>
    <w:rsid w:val="00362F82"/>
    <w:rsid w:val="0037230E"/>
    <w:rsid w:val="003732A1"/>
    <w:rsid w:val="00374FD8"/>
    <w:rsid w:val="003759B5"/>
    <w:rsid w:val="00376341"/>
    <w:rsid w:val="0038088B"/>
    <w:rsid w:val="00381656"/>
    <w:rsid w:val="003830E5"/>
    <w:rsid w:val="003831F0"/>
    <w:rsid w:val="00384522"/>
    <w:rsid w:val="00385624"/>
    <w:rsid w:val="00387326"/>
    <w:rsid w:val="00390AC3"/>
    <w:rsid w:val="00390E9C"/>
    <w:rsid w:val="003937C6"/>
    <w:rsid w:val="003943F2"/>
    <w:rsid w:val="0039446D"/>
    <w:rsid w:val="003A0BC2"/>
    <w:rsid w:val="003A143B"/>
    <w:rsid w:val="003A1D3E"/>
    <w:rsid w:val="003A2AFF"/>
    <w:rsid w:val="003A424F"/>
    <w:rsid w:val="003A6F6D"/>
    <w:rsid w:val="003B2535"/>
    <w:rsid w:val="003B47E0"/>
    <w:rsid w:val="003B5F0E"/>
    <w:rsid w:val="003C1E49"/>
    <w:rsid w:val="003C60FE"/>
    <w:rsid w:val="003D3C64"/>
    <w:rsid w:val="003D464D"/>
    <w:rsid w:val="003D5D91"/>
    <w:rsid w:val="003D608F"/>
    <w:rsid w:val="003D651D"/>
    <w:rsid w:val="003E5B45"/>
    <w:rsid w:val="003E6A6D"/>
    <w:rsid w:val="003E79AD"/>
    <w:rsid w:val="003E7A1B"/>
    <w:rsid w:val="003F43A4"/>
    <w:rsid w:val="003F7AE7"/>
    <w:rsid w:val="00402645"/>
    <w:rsid w:val="004035EE"/>
    <w:rsid w:val="00403AD8"/>
    <w:rsid w:val="004076CD"/>
    <w:rsid w:val="00407A14"/>
    <w:rsid w:val="00414ABC"/>
    <w:rsid w:val="00417CE5"/>
    <w:rsid w:val="00420F6D"/>
    <w:rsid w:val="00425D14"/>
    <w:rsid w:val="00425D66"/>
    <w:rsid w:val="00430A63"/>
    <w:rsid w:val="00431F9B"/>
    <w:rsid w:val="00435107"/>
    <w:rsid w:val="00441D19"/>
    <w:rsid w:val="00442EBE"/>
    <w:rsid w:val="004438A4"/>
    <w:rsid w:val="004474B2"/>
    <w:rsid w:val="00447B8F"/>
    <w:rsid w:val="00450118"/>
    <w:rsid w:val="00450405"/>
    <w:rsid w:val="004530A8"/>
    <w:rsid w:val="00453314"/>
    <w:rsid w:val="0046497A"/>
    <w:rsid w:val="00466791"/>
    <w:rsid w:val="00476BA8"/>
    <w:rsid w:val="00476CC4"/>
    <w:rsid w:val="0047764D"/>
    <w:rsid w:val="00481787"/>
    <w:rsid w:val="00481FA1"/>
    <w:rsid w:val="00482803"/>
    <w:rsid w:val="00483A83"/>
    <w:rsid w:val="00484C0A"/>
    <w:rsid w:val="0048535F"/>
    <w:rsid w:val="0048566E"/>
    <w:rsid w:val="004866AE"/>
    <w:rsid w:val="00490366"/>
    <w:rsid w:val="00490861"/>
    <w:rsid w:val="00493951"/>
    <w:rsid w:val="00496147"/>
    <w:rsid w:val="004967E6"/>
    <w:rsid w:val="004A17D9"/>
    <w:rsid w:val="004A4448"/>
    <w:rsid w:val="004A5B01"/>
    <w:rsid w:val="004A6F4F"/>
    <w:rsid w:val="004A7D93"/>
    <w:rsid w:val="004A7FF9"/>
    <w:rsid w:val="004B1E4E"/>
    <w:rsid w:val="004B2410"/>
    <w:rsid w:val="004B4CAF"/>
    <w:rsid w:val="004B73AF"/>
    <w:rsid w:val="004B7EEE"/>
    <w:rsid w:val="004C2FDA"/>
    <w:rsid w:val="004C3960"/>
    <w:rsid w:val="004C58AF"/>
    <w:rsid w:val="004C5974"/>
    <w:rsid w:val="004C5A73"/>
    <w:rsid w:val="004C7B0F"/>
    <w:rsid w:val="004D2568"/>
    <w:rsid w:val="004D3141"/>
    <w:rsid w:val="004D3EE9"/>
    <w:rsid w:val="004D4250"/>
    <w:rsid w:val="004D51DD"/>
    <w:rsid w:val="004E0367"/>
    <w:rsid w:val="004E1278"/>
    <w:rsid w:val="004E150B"/>
    <w:rsid w:val="004E2CD9"/>
    <w:rsid w:val="004E3FC6"/>
    <w:rsid w:val="004E6243"/>
    <w:rsid w:val="004E7176"/>
    <w:rsid w:val="004E783D"/>
    <w:rsid w:val="004F065B"/>
    <w:rsid w:val="004F2465"/>
    <w:rsid w:val="004F2845"/>
    <w:rsid w:val="004F34E5"/>
    <w:rsid w:val="004F3EF5"/>
    <w:rsid w:val="004F4CFF"/>
    <w:rsid w:val="004F7A14"/>
    <w:rsid w:val="005016DE"/>
    <w:rsid w:val="00502EC1"/>
    <w:rsid w:val="00505F75"/>
    <w:rsid w:val="005125ED"/>
    <w:rsid w:val="005132BB"/>
    <w:rsid w:val="00513419"/>
    <w:rsid w:val="00513ABF"/>
    <w:rsid w:val="0051494C"/>
    <w:rsid w:val="00514A2D"/>
    <w:rsid w:val="005151E6"/>
    <w:rsid w:val="00515BD4"/>
    <w:rsid w:val="00523E5A"/>
    <w:rsid w:val="00524166"/>
    <w:rsid w:val="00524C17"/>
    <w:rsid w:val="00524C18"/>
    <w:rsid w:val="00525369"/>
    <w:rsid w:val="00525F33"/>
    <w:rsid w:val="005265D4"/>
    <w:rsid w:val="00526AAF"/>
    <w:rsid w:val="00532ADB"/>
    <w:rsid w:val="005336C2"/>
    <w:rsid w:val="00534381"/>
    <w:rsid w:val="005363BC"/>
    <w:rsid w:val="0053663B"/>
    <w:rsid w:val="005403E3"/>
    <w:rsid w:val="00546C06"/>
    <w:rsid w:val="00547EB5"/>
    <w:rsid w:val="005502F6"/>
    <w:rsid w:val="00550B85"/>
    <w:rsid w:val="0055461C"/>
    <w:rsid w:val="00555062"/>
    <w:rsid w:val="0055729B"/>
    <w:rsid w:val="00563DFB"/>
    <w:rsid w:val="00567571"/>
    <w:rsid w:val="00567887"/>
    <w:rsid w:val="00567FD1"/>
    <w:rsid w:val="00571EF6"/>
    <w:rsid w:val="00572A7D"/>
    <w:rsid w:val="005752ED"/>
    <w:rsid w:val="00575ED8"/>
    <w:rsid w:val="00577572"/>
    <w:rsid w:val="005833EB"/>
    <w:rsid w:val="00584EB9"/>
    <w:rsid w:val="005938BF"/>
    <w:rsid w:val="005949C6"/>
    <w:rsid w:val="0059754B"/>
    <w:rsid w:val="005A5EC0"/>
    <w:rsid w:val="005B0C1B"/>
    <w:rsid w:val="005B2D86"/>
    <w:rsid w:val="005B3A17"/>
    <w:rsid w:val="005B5717"/>
    <w:rsid w:val="005C183B"/>
    <w:rsid w:val="005C3187"/>
    <w:rsid w:val="005C5667"/>
    <w:rsid w:val="005C58B6"/>
    <w:rsid w:val="005C5BF7"/>
    <w:rsid w:val="005C7C65"/>
    <w:rsid w:val="005D1C3C"/>
    <w:rsid w:val="005D4EE6"/>
    <w:rsid w:val="005D5DD5"/>
    <w:rsid w:val="005D5F82"/>
    <w:rsid w:val="005D6AEB"/>
    <w:rsid w:val="005E2E37"/>
    <w:rsid w:val="005E57E3"/>
    <w:rsid w:val="005E5A74"/>
    <w:rsid w:val="005E7D9F"/>
    <w:rsid w:val="005F073A"/>
    <w:rsid w:val="005F2A19"/>
    <w:rsid w:val="005F4AAB"/>
    <w:rsid w:val="005F5F1D"/>
    <w:rsid w:val="00601E54"/>
    <w:rsid w:val="00604451"/>
    <w:rsid w:val="0060568A"/>
    <w:rsid w:val="006061CA"/>
    <w:rsid w:val="0060622C"/>
    <w:rsid w:val="00612815"/>
    <w:rsid w:val="0061656B"/>
    <w:rsid w:val="0061778F"/>
    <w:rsid w:val="00620EB0"/>
    <w:rsid w:val="00622FC0"/>
    <w:rsid w:val="00624A10"/>
    <w:rsid w:val="006262D5"/>
    <w:rsid w:val="00626C39"/>
    <w:rsid w:val="00630DB3"/>
    <w:rsid w:val="00631608"/>
    <w:rsid w:val="00631B01"/>
    <w:rsid w:val="00635835"/>
    <w:rsid w:val="006426DB"/>
    <w:rsid w:val="00643D7A"/>
    <w:rsid w:val="00645A2C"/>
    <w:rsid w:val="00646643"/>
    <w:rsid w:val="00646D29"/>
    <w:rsid w:val="00646DE9"/>
    <w:rsid w:val="00647A4C"/>
    <w:rsid w:val="00647E93"/>
    <w:rsid w:val="00650892"/>
    <w:rsid w:val="00652094"/>
    <w:rsid w:val="00652100"/>
    <w:rsid w:val="00652140"/>
    <w:rsid w:val="00662121"/>
    <w:rsid w:val="0066318F"/>
    <w:rsid w:val="006656CF"/>
    <w:rsid w:val="00671BB5"/>
    <w:rsid w:val="00673A49"/>
    <w:rsid w:val="00675C3D"/>
    <w:rsid w:val="006761A7"/>
    <w:rsid w:val="00676C44"/>
    <w:rsid w:val="00687247"/>
    <w:rsid w:val="00687639"/>
    <w:rsid w:val="006918D2"/>
    <w:rsid w:val="006927DD"/>
    <w:rsid w:val="00692CCF"/>
    <w:rsid w:val="006933FE"/>
    <w:rsid w:val="006A0F9B"/>
    <w:rsid w:val="006A362A"/>
    <w:rsid w:val="006B53D4"/>
    <w:rsid w:val="006B6192"/>
    <w:rsid w:val="006B680A"/>
    <w:rsid w:val="006B7311"/>
    <w:rsid w:val="006B7B89"/>
    <w:rsid w:val="006C398D"/>
    <w:rsid w:val="006D010E"/>
    <w:rsid w:val="006D1866"/>
    <w:rsid w:val="006D39C4"/>
    <w:rsid w:val="006D47DA"/>
    <w:rsid w:val="006D577F"/>
    <w:rsid w:val="006E0467"/>
    <w:rsid w:val="006E0F4E"/>
    <w:rsid w:val="006E7D5B"/>
    <w:rsid w:val="006F582F"/>
    <w:rsid w:val="006F632D"/>
    <w:rsid w:val="006F6B5A"/>
    <w:rsid w:val="00701EAA"/>
    <w:rsid w:val="0070625C"/>
    <w:rsid w:val="007064C2"/>
    <w:rsid w:val="00706DD6"/>
    <w:rsid w:val="00707425"/>
    <w:rsid w:val="0070771A"/>
    <w:rsid w:val="00713F04"/>
    <w:rsid w:val="007143B8"/>
    <w:rsid w:val="007174BE"/>
    <w:rsid w:val="00721CF7"/>
    <w:rsid w:val="0072217B"/>
    <w:rsid w:val="0072241B"/>
    <w:rsid w:val="00725585"/>
    <w:rsid w:val="007268C7"/>
    <w:rsid w:val="00726ED4"/>
    <w:rsid w:val="00726FCB"/>
    <w:rsid w:val="007316AA"/>
    <w:rsid w:val="00732193"/>
    <w:rsid w:val="00734413"/>
    <w:rsid w:val="00737ABA"/>
    <w:rsid w:val="00741B9C"/>
    <w:rsid w:val="007420D0"/>
    <w:rsid w:val="00742EC6"/>
    <w:rsid w:val="00743D1E"/>
    <w:rsid w:val="00746EAE"/>
    <w:rsid w:val="007537A4"/>
    <w:rsid w:val="00754FD2"/>
    <w:rsid w:val="00757A1C"/>
    <w:rsid w:val="0076007B"/>
    <w:rsid w:val="007637D8"/>
    <w:rsid w:val="007644BF"/>
    <w:rsid w:val="00764AAF"/>
    <w:rsid w:val="00764EC1"/>
    <w:rsid w:val="00765EBC"/>
    <w:rsid w:val="0076608A"/>
    <w:rsid w:val="0077124E"/>
    <w:rsid w:val="00771624"/>
    <w:rsid w:val="0077231B"/>
    <w:rsid w:val="007728C1"/>
    <w:rsid w:val="00774643"/>
    <w:rsid w:val="00777AD1"/>
    <w:rsid w:val="007838DE"/>
    <w:rsid w:val="00784500"/>
    <w:rsid w:val="007905C8"/>
    <w:rsid w:val="007920C4"/>
    <w:rsid w:val="00793D9C"/>
    <w:rsid w:val="0079522C"/>
    <w:rsid w:val="00797D74"/>
    <w:rsid w:val="007A0AED"/>
    <w:rsid w:val="007A1DC3"/>
    <w:rsid w:val="007A23AF"/>
    <w:rsid w:val="007A278F"/>
    <w:rsid w:val="007A291D"/>
    <w:rsid w:val="007A2C9E"/>
    <w:rsid w:val="007A6669"/>
    <w:rsid w:val="007A7746"/>
    <w:rsid w:val="007B31E1"/>
    <w:rsid w:val="007B46CD"/>
    <w:rsid w:val="007C12D2"/>
    <w:rsid w:val="007C3297"/>
    <w:rsid w:val="007C4387"/>
    <w:rsid w:val="007C490B"/>
    <w:rsid w:val="007C586E"/>
    <w:rsid w:val="007C5BFA"/>
    <w:rsid w:val="007C5E18"/>
    <w:rsid w:val="007C6458"/>
    <w:rsid w:val="007C79A4"/>
    <w:rsid w:val="007C7CCE"/>
    <w:rsid w:val="007D18A7"/>
    <w:rsid w:val="007D1F25"/>
    <w:rsid w:val="007D2FB7"/>
    <w:rsid w:val="007E0BC4"/>
    <w:rsid w:val="007E0F7B"/>
    <w:rsid w:val="007E2BE8"/>
    <w:rsid w:val="007E5385"/>
    <w:rsid w:val="007E561D"/>
    <w:rsid w:val="007E71DF"/>
    <w:rsid w:val="007E79C4"/>
    <w:rsid w:val="007F02EA"/>
    <w:rsid w:val="007F23A8"/>
    <w:rsid w:val="007F705D"/>
    <w:rsid w:val="00800CB6"/>
    <w:rsid w:val="00801F4F"/>
    <w:rsid w:val="00804604"/>
    <w:rsid w:val="0081221D"/>
    <w:rsid w:val="0081477A"/>
    <w:rsid w:val="00817307"/>
    <w:rsid w:val="00823B4A"/>
    <w:rsid w:val="008256EC"/>
    <w:rsid w:val="0082600E"/>
    <w:rsid w:val="00826961"/>
    <w:rsid w:val="00827B25"/>
    <w:rsid w:val="00830FF9"/>
    <w:rsid w:val="008321DA"/>
    <w:rsid w:val="00832847"/>
    <w:rsid w:val="0083533E"/>
    <w:rsid w:val="00836428"/>
    <w:rsid w:val="00843181"/>
    <w:rsid w:val="00845EAF"/>
    <w:rsid w:val="00847C78"/>
    <w:rsid w:val="008504A9"/>
    <w:rsid w:val="00852B97"/>
    <w:rsid w:val="00855936"/>
    <w:rsid w:val="00856D3E"/>
    <w:rsid w:val="008575CC"/>
    <w:rsid w:val="00860657"/>
    <w:rsid w:val="008619EF"/>
    <w:rsid w:val="00866309"/>
    <w:rsid w:val="00870521"/>
    <w:rsid w:val="00870C57"/>
    <w:rsid w:val="0087596F"/>
    <w:rsid w:val="0087642D"/>
    <w:rsid w:val="00876F22"/>
    <w:rsid w:val="008806CE"/>
    <w:rsid w:val="00884FAC"/>
    <w:rsid w:val="008856D7"/>
    <w:rsid w:val="00886C8A"/>
    <w:rsid w:val="00890056"/>
    <w:rsid w:val="0089523C"/>
    <w:rsid w:val="00895B54"/>
    <w:rsid w:val="00897E64"/>
    <w:rsid w:val="008A00A5"/>
    <w:rsid w:val="008A00DA"/>
    <w:rsid w:val="008A1279"/>
    <w:rsid w:val="008A25AF"/>
    <w:rsid w:val="008A3232"/>
    <w:rsid w:val="008A5165"/>
    <w:rsid w:val="008A56C6"/>
    <w:rsid w:val="008A5759"/>
    <w:rsid w:val="008B14E3"/>
    <w:rsid w:val="008C13F6"/>
    <w:rsid w:val="008C3B9B"/>
    <w:rsid w:val="008C423F"/>
    <w:rsid w:val="008C4D21"/>
    <w:rsid w:val="008C7305"/>
    <w:rsid w:val="008C7B1F"/>
    <w:rsid w:val="008C7B63"/>
    <w:rsid w:val="008D06F0"/>
    <w:rsid w:val="008D4ADD"/>
    <w:rsid w:val="008E0859"/>
    <w:rsid w:val="008F0545"/>
    <w:rsid w:val="008F0BDD"/>
    <w:rsid w:val="008F29D7"/>
    <w:rsid w:val="008F2F99"/>
    <w:rsid w:val="008F5684"/>
    <w:rsid w:val="008F5CDA"/>
    <w:rsid w:val="008F6084"/>
    <w:rsid w:val="008F70D5"/>
    <w:rsid w:val="008F7360"/>
    <w:rsid w:val="009023C0"/>
    <w:rsid w:val="0090260F"/>
    <w:rsid w:val="009057C8"/>
    <w:rsid w:val="0090590C"/>
    <w:rsid w:val="0091436C"/>
    <w:rsid w:val="00916B50"/>
    <w:rsid w:val="00916C6D"/>
    <w:rsid w:val="009223EC"/>
    <w:rsid w:val="00923C35"/>
    <w:rsid w:val="00925421"/>
    <w:rsid w:val="0092545A"/>
    <w:rsid w:val="009259BF"/>
    <w:rsid w:val="00927800"/>
    <w:rsid w:val="009302F5"/>
    <w:rsid w:val="0093193B"/>
    <w:rsid w:val="009332D1"/>
    <w:rsid w:val="00933339"/>
    <w:rsid w:val="00933B76"/>
    <w:rsid w:val="00944052"/>
    <w:rsid w:val="00947170"/>
    <w:rsid w:val="00947B3D"/>
    <w:rsid w:val="009504A7"/>
    <w:rsid w:val="00952468"/>
    <w:rsid w:val="00953F8F"/>
    <w:rsid w:val="009550A4"/>
    <w:rsid w:val="00956D8F"/>
    <w:rsid w:val="00956E94"/>
    <w:rsid w:val="00961247"/>
    <w:rsid w:val="00962312"/>
    <w:rsid w:val="009627A1"/>
    <w:rsid w:val="00962A66"/>
    <w:rsid w:val="009636D1"/>
    <w:rsid w:val="0096542E"/>
    <w:rsid w:val="00970541"/>
    <w:rsid w:val="009712FE"/>
    <w:rsid w:val="00976015"/>
    <w:rsid w:val="009778FD"/>
    <w:rsid w:val="009875AD"/>
    <w:rsid w:val="009924AF"/>
    <w:rsid w:val="00992554"/>
    <w:rsid w:val="00992C90"/>
    <w:rsid w:val="00995C46"/>
    <w:rsid w:val="00997033"/>
    <w:rsid w:val="009A2C38"/>
    <w:rsid w:val="009A3122"/>
    <w:rsid w:val="009A3A3B"/>
    <w:rsid w:val="009A4F77"/>
    <w:rsid w:val="009A5584"/>
    <w:rsid w:val="009A63DF"/>
    <w:rsid w:val="009A6839"/>
    <w:rsid w:val="009A7E7E"/>
    <w:rsid w:val="009A7F71"/>
    <w:rsid w:val="009B19B3"/>
    <w:rsid w:val="009B4BC4"/>
    <w:rsid w:val="009B51D7"/>
    <w:rsid w:val="009B6D71"/>
    <w:rsid w:val="009B72A2"/>
    <w:rsid w:val="009C0042"/>
    <w:rsid w:val="009C02CE"/>
    <w:rsid w:val="009C0476"/>
    <w:rsid w:val="009C5072"/>
    <w:rsid w:val="009C67BA"/>
    <w:rsid w:val="009D0385"/>
    <w:rsid w:val="009D3BEA"/>
    <w:rsid w:val="009D5161"/>
    <w:rsid w:val="009D5B3C"/>
    <w:rsid w:val="009E340D"/>
    <w:rsid w:val="009E4D16"/>
    <w:rsid w:val="009E765D"/>
    <w:rsid w:val="009F038E"/>
    <w:rsid w:val="009F04C6"/>
    <w:rsid w:val="009F12E2"/>
    <w:rsid w:val="009F3358"/>
    <w:rsid w:val="009F478B"/>
    <w:rsid w:val="009F59EF"/>
    <w:rsid w:val="009F69C1"/>
    <w:rsid w:val="009F7871"/>
    <w:rsid w:val="00A0108F"/>
    <w:rsid w:val="00A104ED"/>
    <w:rsid w:val="00A11FCC"/>
    <w:rsid w:val="00A1335F"/>
    <w:rsid w:val="00A2383F"/>
    <w:rsid w:val="00A252D0"/>
    <w:rsid w:val="00A2674C"/>
    <w:rsid w:val="00A27053"/>
    <w:rsid w:val="00A31221"/>
    <w:rsid w:val="00A32E07"/>
    <w:rsid w:val="00A34517"/>
    <w:rsid w:val="00A3564E"/>
    <w:rsid w:val="00A3590F"/>
    <w:rsid w:val="00A36286"/>
    <w:rsid w:val="00A4035A"/>
    <w:rsid w:val="00A40EE1"/>
    <w:rsid w:val="00A423ED"/>
    <w:rsid w:val="00A442EA"/>
    <w:rsid w:val="00A45297"/>
    <w:rsid w:val="00A532BF"/>
    <w:rsid w:val="00A536F3"/>
    <w:rsid w:val="00A55FCD"/>
    <w:rsid w:val="00A57623"/>
    <w:rsid w:val="00A60C58"/>
    <w:rsid w:val="00A6259F"/>
    <w:rsid w:val="00A64CA9"/>
    <w:rsid w:val="00A66ECD"/>
    <w:rsid w:val="00A72103"/>
    <w:rsid w:val="00A74D0B"/>
    <w:rsid w:val="00A75C67"/>
    <w:rsid w:val="00A7705B"/>
    <w:rsid w:val="00A82380"/>
    <w:rsid w:val="00A82C7C"/>
    <w:rsid w:val="00A83A39"/>
    <w:rsid w:val="00A8647E"/>
    <w:rsid w:val="00A90E9E"/>
    <w:rsid w:val="00A91D08"/>
    <w:rsid w:val="00A91F4A"/>
    <w:rsid w:val="00A937E4"/>
    <w:rsid w:val="00A9489C"/>
    <w:rsid w:val="00A94972"/>
    <w:rsid w:val="00A95161"/>
    <w:rsid w:val="00A975D1"/>
    <w:rsid w:val="00A97ACE"/>
    <w:rsid w:val="00AA02A6"/>
    <w:rsid w:val="00AA5391"/>
    <w:rsid w:val="00AA5509"/>
    <w:rsid w:val="00AA5805"/>
    <w:rsid w:val="00AA6318"/>
    <w:rsid w:val="00AA7FCB"/>
    <w:rsid w:val="00AB309F"/>
    <w:rsid w:val="00AB3606"/>
    <w:rsid w:val="00AB54F8"/>
    <w:rsid w:val="00AB59AE"/>
    <w:rsid w:val="00AB5BD9"/>
    <w:rsid w:val="00AB73B2"/>
    <w:rsid w:val="00AC040C"/>
    <w:rsid w:val="00AC6CEF"/>
    <w:rsid w:val="00AD0AA1"/>
    <w:rsid w:val="00AD20C9"/>
    <w:rsid w:val="00AD25FC"/>
    <w:rsid w:val="00AE07A3"/>
    <w:rsid w:val="00AE372A"/>
    <w:rsid w:val="00AE44A3"/>
    <w:rsid w:val="00AE4ADE"/>
    <w:rsid w:val="00AE6CFE"/>
    <w:rsid w:val="00AF1907"/>
    <w:rsid w:val="00AF20F4"/>
    <w:rsid w:val="00AF485B"/>
    <w:rsid w:val="00AF56AF"/>
    <w:rsid w:val="00AF6B8C"/>
    <w:rsid w:val="00AF7867"/>
    <w:rsid w:val="00AF7B26"/>
    <w:rsid w:val="00B029B9"/>
    <w:rsid w:val="00B06903"/>
    <w:rsid w:val="00B071AE"/>
    <w:rsid w:val="00B10697"/>
    <w:rsid w:val="00B12FBF"/>
    <w:rsid w:val="00B13216"/>
    <w:rsid w:val="00B13B85"/>
    <w:rsid w:val="00B15EF2"/>
    <w:rsid w:val="00B2483F"/>
    <w:rsid w:val="00B2529C"/>
    <w:rsid w:val="00B25F7A"/>
    <w:rsid w:val="00B275A9"/>
    <w:rsid w:val="00B32733"/>
    <w:rsid w:val="00B32AB8"/>
    <w:rsid w:val="00B33AE8"/>
    <w:rsid w:val="00B36331"/>
    <w:rsid w:val="00B37B00"/>
    <w:rsid w:val="00B40DBF"/>
    <w:rsid w:val="00B42FCC"/>
    <w:rsid w:val="00B43116"/>
    <w:rsid w:val="00B438A0"/>
    <w:rsid w:val="00B43AE0"/>
    <w:rsid w:val="00B44231"/>
    <w:rsid w:val="00B457C4"/>
    <w:rsid w:val="00B47660"/>
    <w:rsid w:val="00B54060"/>
    <w:rsid w:val="00B55501"/>
    <w:rsid w:val="00B57DF4"/>
    <w:rsid w:val="00B57E35"/>
    <w:rsid w:val="00B67B44"/>
    <w:rsid w:val="00B7013A"/>
    <w:rsid w:val="00B71178"/>
    <w:rsid w:val="00B72E0B"/>
    <w:rsid w:val="00B7417D"/>
    <w:rsid w:val="00B83510"/>
    <w:rsid w:val="00B862F6"/>
    <w:rsid w:val="00B874D1"/>
    <w:rsid w:val="00B87D5E"/>
    <w:rsid w:val="00B90F76"/>
    <w:rsid w:val="00B914A2"/>
    <w:rsid w:val="00B9541E"/>
    <w:rsid w:val="00BA00D4"/>
    <w:rsid w:val="00BA0695"/>
    <w:rsid w:val="00BA10E0"/>
    <w:rsid w:val="00BA12AB"/>
    <w:rsid w:val="00BA4CDE"/>
    <w:rsid w:val="00BA65FD"/>
    <w:rsid w:val="00BB0488"/>
    <w:rsid w:val="00BB13FF"/>
    <w:rsid w:val="00BB3ED5"/>
    <w:rsid w:val="00BB4AB9"/>
    <w:rsid w:val="00BB65C5"/>
    <w:rsid w:val="00BB7E26"/>
    <w:rsid w:val="00BC07C0"/>
    <w:rsid w:val="00BC345E"/>
    <w:rsid w:val="00BC4F60"/>
    <w:rsid w:val="00BC539D"/>
    <w:rsid w:val="00BC60BE"/>
    <w:rsid w:val="00BC6757"/>
    <w:rsid w:val="00BD003F"/>
    <w:rsid w:val="00BD3CFF"/>
    <w:rsid w:val="00BE142D"/>
    <w:rsid w:val="00BE4998"/>
    <w:rsid w:val="00BE4C7C"/>
    <w:rsid w:val="00BE59BD"/>
    <w:rsid w:val="00BE769F"/>
    <w:rsid w:val="00BE7734"/>
    <w:rsid w:val="00BF4FBE"/>
    <w:rsid w:val="00C00140"/>
    <w:rsid w:val="00C004CC"/>
    <w:rsid w:val="00C00714"/>
    <w:rsid w:val="00C0174A"/>
    <w:rsid w:val="00C05D23"/>
    <w:rsid w:val="00C05D9B"/>
    <w:rsid w:val="00C102F1"/>
    <w:rsid w:val="00C17550"/>
    <w:rsid w:val="00C214BA"/>
    <w:rsid w:val="00C24DF7"/>
    <w:rsid w:val="00C25424"/>
    <w:rsid w:val="00C26130"/>
    <w:rsid w:val="00C26B28"/>
    <w:rsid w:val="00C315B6"/>
    <w:rsid w:val="00C31AB2"/>
    <w:rsid w:val="00C376F3"/>
    <w:rsid w:val="00C37E31"/>
    <w:rsid w:val="00C4132F"/>
    <w:rsid w:val="00C429DA"/>
    <w:rsid w:val="00C463D2"/>
    <w:rsid w:val="00C47411"/>
    <w:rsid w:val="00C50845"/>
    <w:rsid w:val="00C51505"/>
    <w:rsid w:val="00C53133"/>
    <w:rsid w:val="00C559D2"/>
    <w:rsid w:val="00C55F5D"/>
    <w:rsid w:val="00C5647B"/>
    <w:rsid w:val="00C5785F"/>
    <w:rsid w:val="00C62A44"/>
    <w:rsid w:val="00C65563"/>
    <w:rsid w:val="00C66C64"/>
    <w:rsid w:val="00C725B5"/>
    <w:rsid w:val="00C80A39"/>
    <w:rsid w:val="00C81936"/>
    <w:rsid w:val="00C83128"/>
    <w:rsid w:val="00C83E9D"/>
    <w:rsid w:val="00C846C3"/>
    <w:rsid w:val="00C84C4C"/>
    <w:rsid w:val="00C90153"/>
    <w:rsid w:val="00C91460"/>
    <w:rsid w:val="00C94A82"/>
    <w:rsid w:val="00C967AB"/>
    <w:rsid w:val="00C96C0B"/>
    <w:rsid w:val="00C96FD7"/>
    <w:rsid w:val="00C97165"/>
    <w:rsid w:val="00CA1702"/>
    <w:rsid w:val="00CA33E8"/>
    <w:rsid w:val="00CA5115"/>
    <w:rsid w:val="00CA5785"/>
    <w:rsid w:val="00CA5CC2"/>
    <w:rsid w:val="00CA7D78"/>
    <w:rsid w:val="00CB153D"/>
    <w:rsid w:val="00CB297F"/>
    <w:rsid w:val="00CB3F1C"/>
    <w:rsid w:val="00CB631F"/>
    <w:rsid w:val="00CB6BA1"/>
    <w:rsid w:val="00CC1545"/>
    <w:rsid w:val="00CC1EA3"/>
    <w:rsid w:val="00CC2B1D"/>
    <w:rsid w:val="00CC4C3C"/>
    <w:rsid w:val="00CC5314"/>
    <w:rsid w:val="00CC5DC3"/>
    <w:rsid w:val="00CC7619"/>
    <w:rsid w:val="00CE2316"/>
    <w:rsid w:val="00CE5BC1"/>
    <w:rsid w:val="00CE60E7"/>
    <w:rsid w:val="00CE6454"/>
    <w:rsid w:val="00CF08F6"/>
    <w:rsid w:val="00CF5003"/>
    <w:rsid w:val="00CF5099"/>
    <w:rsid w:val="00CF50B4"/>
    <w:rsid w:val="00D0019C"/>
    <w:rsid w:val="00D022F7"/>
    <w:rsid w:val="00D035D4"/>
    <w:rsid w:val="00D07950"/>
    <w:rsid w:val="00D1338C"/>
    <w:rsid w:val="00D13D10"/>
    <w:rsid w:val="00D1557A"/>
    <w:rsid w:val="00D162CB"/>
    <w:rsid w:val="00D17B6F"/>
    <w:rsid w:val="00D17F80"/>
    <w:rsid w:val="00D23111"/>
    <w:rsid w:val="00D23596"/>
    <w:rsid w:val="00D23BDC"/>
    <w:rsid w:val="00D23F05"/>
    <w:rsid w:val="00D24719"/>
    <w:rsid w:val="00D247D1"/>
    <w:rsid w:val="00D24A10"/>
    <w:rsid w:val="00D2563C"/>
    <w:rsid w:val="00D2622D"/>
    <w:rsid w:val="00D30E26"/>
    <w:rsid w:val="00D3182B"/>
    <w:rsid w:val="00D32C22"/>
    <w:rsid w:val="00D33D41"/>
    <w:rsid w:val="00D34A3F"/>
    <w:rsid w:val="00D369DA"/>
    <w:rsid w:val="00D36D1A"/>
    <w:rsid w:val="00D37333"/>
    <w:rsid w:val="00D377A4"/>
    <w:rsid w:val="00D40127"/>
    <w:rsid w:val="00D413A7"/>
    <w:rsid w:val="00D431E9"/>
    <w:rsid w:val="00D44E18"/>
    <w:rsid w:val="00D4735D"/>
    <w:rsid w:val="00D5185A"/>
    <w:rsid w:val="00D52AD6"/>
    <w:rsid w:val="00D53C0E"/>
    <w:rsid w:val="00D560D2"/>
    <w:rsid w:val="00D56A96"/>
    <w:rsid w:val="00D61AE0"/>
    <w:rsid w:val="00D70C64"/>
    <w:rsid w:val="00D71E84"/>
    <w:rsid w:val="00D722BC"/>
    <w:rsid w:val="00D72C8B"/>
    <w:rsid w:val="00D73AC3"/>
    <w:rsid w:val="00D7500C"/>
    <w:rsid w:val="00D76BFD"/>
    <w:rsid w:val="00D7776D"/>
    <w:rsid w:val="00D806D6"/>
    <w:rsid w:val="00D83F3B"/>
    <w:rsid w:val="00D86181"/>
    <w:rsid w:val="00D861C1"/>
    <w:rsid w:val="00D86901"/>
    <w:rsid w:val="00D8691E"/>
    <w:rsid w:val="00D902CA"/>
    <w:rsid w:val="00D9135C"/>
    <w:rsid w:val="00D92835"/>
    <w:rsid w:val="00D93B6B"/>
    <w:rsid w:val="00D94424"/>
    <w:rsid w:val="00D94E6C"/>
    <w:rsid w:val="00D95078"/>
    <w:rsid w:val="00DA1318"/>
    <w:rsid w:val="00DA471E"/>
    <w:rsid w:val="00DA6DB6"/>
    <w:rsid w:val="00DA74BD"/>
    <w:rsid w:val="00DA773E"/>
    <w:rsid w:val="00DB35D6"/>
    <w:rsid w:val="00DC34F9"/>
    <w:rsid w:val="00DC41C9"/>
    <w:rsid w:val="00DC5473"/>
    <w:rsid w:val="00DC6A3F"/>
    <w:rsid w:val="00DD10E1"/>
    <w:rsid w:val="00DD2CA6"/>
    <w:rsid w:val="00DD2F76"/>
    <w:rsid w:val="00DD3996"/>
    <w:rsid w:val="00DD574C"/>
    <w:rsid w:val="00DD6236"/>
    <w:rsid w:val="00DD7111"/>
    <w:rsid w:val="00DD7A87"/>
    <w:rsid w:val="00DE0BE3"/>
    <w:rsid w:val="00DE6FE8"/>
    <w:rsid w:val="00DE7E87"/>
    <w:rsid w:val="00DF1393"/>
    <w:rsid w:val="00DF4735"/>
    <w:rsid w:val="00DF6743"/>
    <w:rsid w:val="00DF69F4"/>
    <w:rsid w:val="00E00EE1"/>
    <w:rsid w:val="00E02BCF"/>
    <w:rsid w:val="00E03DA2"/>
    <w:rsid w:val="00E05D09"/>
    <w:rsid w:val="00E110CB"/>
    <w:rsid w:val="00E114C5"/>
    <w:rsid w:val="00E13D93"/>
    <w:rsid w:val="00E14B5B"/>
    <w:rsid w:val="00E162F5"/>
    <w:rsid w:val="00E16A04"/>
    <w:rsid w:val="00E174BF"/>
    <w:rsid w:val="00E1750C"/>
    <w:rsid w:val="00E23654"/>
    <w:rsid w:val="00E26EB7"/>
    <w:rsid w:val="00E307F3"/>
    <w:rsid w:val="00E30C3E"/>
    <w:rsid w:val="00E31B17"/>
    <w:rsid w:val="00E3230E"/>
    <w:rsid w:val="00E35775"/>
    <w:rsid w:val="00E42715"/>
    <w:rsid w:val="00E42EAD"/>
    <w:rsid w:val="00E45087"/>
    <w:rsid w:val="00E457AE"/>
    <w:rsid w:val="00E457FC"/>
    <w:rsid w:val="00E56F94"/>
    <w:rsid w:val="00E621CE"/>
    <w:rsid w:val="00E67F7D"/>
    <w:rsid w:val="00E70114"/>
    <w:rsid w:val="00E7251B"/>
    <w:rsid w:val="00E737AB"/>
    <w:rsid w:val="00E77192"/>
    <w:rsid w:val="00E81AF7"/>
    <w:rsid w:val="00E81B33"/>
    <w:rsid w:val="00E826D1"/>
    <w:rsid w:val="00E86450"/>
    <w:rsid w:val="00E93E34"/>
    <w:rsid w:val="00E95037"/>
    <w:rsid w:val="00E95CF7"/>
    <w:rsid w:val="00E95CF8"/>
    <w:rsid w:val="00E963DA"/>
    <w:rsid w:val="00E96CA4"/>
    <w:rsid w:val="00EA0CA8"/>
    <w:rsid w:val="00EA0EEB"/>
    <w:rsid w:val="00EA50B5"/>
    <w:rsid w:val="00EB2D0A"/>
    <w:rsid w:val="00EB357B"/>
    <w:rsid w:val="00EB395D"/>
    <w:rsid w:val="00EB62CD"/>
    <w:rsid w:val="00EC612A"/>
    <w:rsid w:val="00EC6FEE"/>
    <w:rsid w:val="00ED1C35"/>
    <w:rsid w:val="00ED2912"/>
    <w:rsid w:val="00ED2DCC"/>
    <w:rsid w:val="00ED3C67"/>
    <w:rsid w:val="00ED52AE"/>
    <w:rsid w:val="00ED7577"/>
    <w:rsid w:val="00EE2236"/>
    <w:rsid w:val="00EE27F3"/>
    <w:rsid w:val="00EE6285"/>
    <w:rsid w:val="00EF17AD"/>
    <w:rsid w:val="00EF2BE5"/>
    <w:rsid w:val="00EF4293"/>
    <w:rsid w:val="00EF4370"/>
    <w:rsid w:val="00F00E41"/>
    <w:rsid w:val="00F042FA"/>
    <w:rsid w:val="00F047ED"/>
    <w:rsid w:val="00F10D9C"/>
    <w:rsid w:val="00F136BF"/>
    <w:rsid w:val="00F16374"/>
    <w:rsid w:val="00F17258"/>
    <w:rsid w:val="00F200F8"/>
    <w:rsid w:val="00F2147B"/>
    <w:rsid w:val="00F22500"/>
    <w:rsid w:val="00F22813"/>
    <w:rsid w:val="00F234F2"/>
    <w:rsid w:val="00F23CD7"/>
    <w:rsid w:val="00F2442A"/>
    <w:rsid w:val="00F247C5"/>
    <w:rsid w:val="00F30926"/>
    <w:rsid w:val="00F33581"/>
    <w:rsid w:val="00F368A4"/>
    <w:rsid w:val="00F4107A"/>
    <w:rsid w:val="00F44F18"/>
    <w:rsid w:val="00F45A22"/>
    <w:rsid w:val="00F47755"/>
    <w:rsid w:val="00F51AFD"/>
    <w:rsid w:val="00F52377"/>
    <w:rsid w:val="00F612FF"/>
    <w:rsid w:val="00F6493F"/>
    <w:rsid w:val="00F64F10"/>
    <w:rsid w:val="00F66286"/>
    <w:rsid w:val="00F66C6A"/>
    <w:rsid w:val="00F66CB7"/>
    <w:rsid w:val="00F75663"/>
    <w:rsid w:val="00F773D1"/>
    <w:rsid w:val="00F779B5"/>
    <w:rsid w:val="00F77EBE"/>
    <w:rsid w:val="00F811E7"/>
    <w:rsid w:val="00F81C51"/>
    <w:rsid w:val="00F84F70"/>
    <w:rsid w:val="00F874B8"/>
    <w:rsid w:val="00F9056C"/>
    <w:rsid w:val="00F90CCC"/>
    <w:rsid w:val="00F92EF4"/>
    <w:rsid w:val="00F9404A"/>
    <w:rsid w:val="00FA1908"/>
    <w:rsid w:val="00FA2927"/>
    <w:rsid w:val="00FA4E85"/>
    <w:rsid w:val="00FA6CAE"/>
    <w:rsid w:val="00FB03FB"/>
    <w:rsid w:val="00FB0723"/>
    <w:rsid w:val="00FB4484"/>
    <w:rsid w:val="00FB4891"/>
    <w:rsid w:val="00FB4C65"/>
    <w:rsid w:val="00FB5256"/>
    <w:rsid w:val="00FB7F38"/>
    <w:rsid w:val="00FC686F"/>
    <w:rsid w:val="00FC7FBE"/>
    <w:rsid w:val="00FD0EA0"/>
    <w:rsid w:val="00FD0EA2"/>
    <w:rsid w:val="00FD134C"/>
    <w:rsid w:val="00FD266D"/>
    <w:rsid w:val="00FD28DC"/>
    <w:rsid w:val="00FD2945"/>
    <w:rsid w:val="00FD4567"/>
    <w:rsid w:val="00FD4C75"/>
    <w:rsid w:val="00FD5EE6"/>
    <w:rsid w:val="00FD5EFA"/>
    <w:rsid w:val="00FD6224"/>
    <w:rsid w:val="00FD6C95"/>
    <w:rsid w:val="00FD754F"/>
    <w:rsid w:val="00FE0378"/>
    <w:rsid w:val="00FE10BC"/>
    <w:rsid w:val="00FE2347"/>
    <w:rsid w:val="00FE34CA"/>
    <w:rsid w:val="00FE43F0"/>
    <w:rsid w:val="00FE6AF8"/>
    <w:rsid w:val="00FF0B6F"/>
    <w:rsid w:val="00FF18C0"/>
    <w:rsid w:val="00FF1FDC"/>
    <w:rsid w:val="00FF4747"/>
    <w:rsid w:val="00FF642E"/>
    <w:rsid w:val="00FF7A1B"/>
    <w:rsid w:val="20EBB8F7"/>
    <w:rsid w:val="27553789"/>
    <w:rsid w:val="33A7E4E3"/>
    <w:rsid w:val="7334E99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D72C8B"/>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semiHidden/>
    <w:unhideWhenUsed/>
    <w:qFormat/>
    <w:rsid w:val="00134E8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uiPriority w:val="99"/>
    <w:rsid w:val="00DD3996"/>
    <w:rPr>
      <w:sz w:val="16"/>
      <w:szCs w:val="16"/>
    </w:rPr>
  </w:style>
  <w:style w:type="paragraph" w:styleId="CommentText">
    <w:name w:val="annotation text"/>
    <w:basedOn w:val="Normal"/>
    <w:link w:val="CommentTextChar"/>
    <w:uiPriority w:val="99"/>
    <w:rsid w:val="00DD3996"/>
  </w:style>
  <w:style w:type="character" w:customStyle="1" w:styleId="CommentTextChar">
    <w:name w:val="Comment Text Char"/>
    <w:link w:val="CommentText"/>
    <w:uiPriority w:val="99"/>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3E7A1B"/>
    <w:pPr>
      <w:spacing w:before="240" w:after="240"/>
      <w:jc w:val="center"/>
    </w:pPr>
    <w:rPr>
      <w:spacing w:val="0"/>
    </w:rPr>
  </w:style>
  <w:style w:type="character" w:customStyle="1" w:styleId="SectionHeadingChar">
    <w:name w:val="Section Heading Char"/>
    <w:basedOn w:val="SubtitleChar"/>
    <w:link w:val="SectionHeading"/>
    <w:rsid w:val="003E7A1B"/>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OutlineL1">
    <w:name w:val="Outline_L1"/>
    <w:basedOn w:val="Normal"/>
    <w:link w:val="OutlineL1Char"/>
    <w:rsid w:val="00C94A82"/>
    <w:pPr>
      <w:keepNext/>
      <w:spacing w:after="240"/>
      <w:jc w:val="center"/>
      <w:outlineLvl w:val="0"/>
    </w:pPr>
    <w:rPr>
      <w:b/>
      <w:kern w:val="0"/>
      <w:szCs w:val="20"/>
      <w:lang w:eastAsia="en-US"/>
    </w:rPr>
  </w:style>
  <w:style w:type="paragraph" w:customStyle="1" w:styleId="OutlineL2">
    <w:name w:val="Outline_L2"/>
    <w:basedOn w:val="OutlineL1"/>
    <w:rsid w:val="00C94A82"/>
    <w:pPr>
      <w:numPr>
        <w:ilvl w:val="1"/>
      </w:numPr>
      <w:outlineLvl w:val="1"/>
    </w:pPr>
    <w:rPr>
      <w:caps/>
    </w:rPr>
  </w:style>
  <w:style w:type="paragraph" w:customStyle="1" w:styleId="OutlineL3">
    <w:name w:val="Outline_L3"/>
    <w:basedOn w:val="OutlineL2"/>
    <w:rsid w:val="00C94A82"/>
    <w:pPr>
      <w:keepNext w:val="0"/>
      <w:numPr>
        <w:ilvl w:val="2"/>
      </w:numPr>
      <w:jc w:val="both"/>
      <w:outlineLvl w:val="2"/>
    </w:pPr>
    <w:rPr>
      <w:rFonts w:ascii="Calibri" w:eastAsia="Calibri" w:hAnsi="Calibri"/>
      <w:caps w:val="0"/>
      <w:kern w:val="2"/>
      <w:szCs w:val="22"/>
      <w14:ligatures w14:val="standardContextual"/>
    </w:rPr>
  </w:style>
  <w:style w:type="paragraph" w:customStyle="1" w:styleId="OutlineL4">
    <w:name w:val="Outline_L4"/>
    <w:basedOn w:val="OutlineL3"/>
    <w:rsid w:val="00C94A82"/>
    <w:pPr>
      <w:numPr>
        <w:ilvl w:val="3"/>
      </w:numPr>
      <w:tabs>
        <w:tab w:val="num" w:pos="360"/>
      </w:tabs>
      <w:outlineLvl w:val="3"/>
    </w:pPr>
    <w:rPr>
      <w:b w:val="0"/>
    </w:rPr>
  </w:style>
  <w:style w:type="paragraph" w:customStyle="1" w:styleId="OutlineL5">
    <w:name w:val="Outline_L5"/>
    <w:basedOn w:val="OutlineL4"/>
    <w:rsid w:val="00C94A82"/>
    <w:pPr>
      <w:numPr>
        <w:ilvl w:val="4"/>
      </w:numPr>
      <w:tabs>
        <w:tab w:val="num" w:pos="360"/>
      </w:tabs>
      <w:outlineLvl w:val="4"/>
    </w:pPr>
  </w:style>
  <w:style w:type="paragraph" w:customStyle="1" w:styleId="OutlineL6">
    <w:name w:val="Outline_L6"/>
    <w:basedOn w:val="OutlineL5"/>
    <w:rsid w:val="00C94A82"/>
    <w:pPr>
      <w:numPr>
        <w:ilvl w:val="5"/>
      </w:numPr>
      <w:tabs>
        <w:tab w:val="num" w:pos="360"/>
      </w:tabs>
      <w:outlineLvl w:val="5"/>
    </w:pPr>
    <w:rPr>
      <w:i/>
    </w:rPr>
  </w:style>
  <w:style w:type="paragraph" w:customStyle="1" w:styleId="OutlineL7">
    <w:name w:val="Outline_L7"/>
    <w:basedOn w:val="OutlineL6"/>
    <w:rsid w:val="00C94A82"/>
    <w:pPr>
      <w:numPr>
        <w:ilvl w:val="6"/>
      </w:numPr>
      <w:tabs>
        <w:tab w:val="num" w:pos="360"/>
      </w:tabs>
      <w:jc w:val="left"/>
      <w:outlineLvl w:val="6"/>
    </w:pPr>
    <w:rPr>
      <w:i w:val="0"/>
    </w:rPr>
  </w:style>
  <w:style w:type="paragraph" w:customStyle="1" w:styleId="OutlineL8">
    <w:name w:val="Outline_L8"/>
    <w:basedOn w:val="OutlineL7"/>
    <w:rsid w:val="00C94A82"/>
    <w:pPr>
      <w:numPr>
        <w:ilvl w:val="7"/>
      </w:numPr>
      <w:tabs>
        <w:tab w:val="num" w:pos="360"/>
      </w:tabs>
      <w:outlineLvl w:val="7"/>
    </w:pPr>
  </w:style>
  <w:style w:type="paragraph" w:customStyle="1" w:styleId="OutlineL9">
    <w:name w:val="Outline_L9"/>
    <w:basedOn w:val="OutlineL8"/>
    <w:rsid w:val="00C94A82"/>
    <w:pPr>
      <w:numPr>
        <w:ilvl w:val="8"/>
      </w:numPr>
      <w:tabs>
        <w:tab w:val="num" w:pos="360"/>
      </w:tabs>
      <w:outlineLvl w:val="8"/>
    </w:pPr>
  </w:style>
  <w:style w:type="character" w:styleId="UnresolvedMention">
    <w:name w:val="Unresolved Mention"/>
    <w:basedOn w:val="DefaultParagraphFont"/>
    <w:uiPriority w:val="99"/>
    <w:semiHidden/>
    <w:unhideWhenUsed/>
    <w:rsid w:val="009636D1"/>
    <w:rPr>
      <w:color w:val="605E5C"/>
      <w:shd w:val="clear" w:color="auto" w:fill="E1DFDD"/>
    </w:rPr>
  </w:style>
  <w:style w:type="paragraph" w:styleId="EndnoteText">
    <w:name w:val="endnote text"/>
    <w:basedOn w:val="Normal"/>
    <w:link w:val="EndnoteTextChar"/>
    <w:uiPriority w:val="99"/>
    <w:unhideWhenUsed/>
    <w:rsid w:val="001B6205"/>
    <w:rPr>
      <w:rFonts w:asciiTheme="minorHAnsi" w:eastAsiaTheme="minorHAnsi" w:hAnsiTheme="minorHAnsi" w:cstheme="minorBidi"/>
      <w:kern w:val="2"/>
      <w:sz w:val="20"/>
      <w:szCs w:val="20"/>
      <w:lang w:eastAsia="en-US"/>
      <w14:ligatures w14:val="standardContextual"/>
    </w:rPr>
  </w:style>
  <w:style w:type="character" w:customStyle="1" w:styleId="EndnoteTextChar">
    <w:name w:val="Endnote Text Char"/>
    <w:basedOn w:val="DefaultParagraphFont"/>
    <w:link w:val="EndnoteText"/>
    <w:uiPriority w:val="99"/>
    <w:rsid w:val="001B6205"/>
    <w:rPr>
      <w:rFonts w:asciiTheme="minorHAnsi" w:eastAsiaTheme="minorHAnsi" w:hAnsiTheme="minorHAnsi" w:cstheme="minorBidi"/>
      <w:kern w:val="2"/>
      <w:sz w:val="20"/>
      <w:szCs w:val="20"/>
      <w:lang w:eastAsia="en-US"/>
      <w14:ligatures w14:val="standardContextual"/>
    </w:rPr>
  </w:style>
  <w:style w:type="character" w:styleId="EndnoteReference">
    <w:name w:val="endnote reference"/>
    <w:basedOn w:val="DefaultParagraphFont"/>
    <w:uiPriority w:val="99"/>
    <w:unhideWhenUsed/>
    <w:rsid w:val="001B6205"/>
    <w:rPr>
      <w:vertAlign w:val="superscript"/>
    </w:rPr>
  </w:style>
  <w:style w:type="paragraph" w:styleId="Revision">
    <w:name w:val="Revision"/>
    <w:hidden/>
    <w:uiPriority w:val="99"/>
    <w:semiHidden/>
    <w:rsid w:val="00953F8F"/>
  </w:style>
  <w:style w:type="character" w:customStyle="1" w:styleId="OutlineL1Char">
    <w:name w:val="Outline_L1 Char"/>
    <w:basedOn w:val="DefaultParagraphFont"/>
    <w:link w:val="OutlineL1"/>
    <w:rsid w:val="003272CF"/>
    <w:rPr>
      <w:b/>
      <w:kern w:val="0"/>
      <w:szCs w:val="20"/>
      <w:lang w:eastAsia="en-US"/>
    </w:rPr>
  </w:style>
  <w:style w:type="character" w:customStyle="1" w:styleId="Heading2Char">
    <w:name w:val="Heading 2 Char"/>
    <w:basedOn w:val="DefaultParagraphFont"/>
    <w:link w:val="Heading2"/>
    <w:semiHidden/>
    <w:rsid w:val="00134E80"/>
    <w:rPr>
      <w:rFonts w:asciiTheme="majorHAnsi" w:eastAsiaTheme="majorEastAsia" w:hAnsiTheme="majorHAnsi" w:cstheme="majorBidi"/>
      <w:color w:val="2F5496" w:themeColor="accent1" w:themeShade="BF"/>
      <w:sz w:val="26"/>
      <w:szCs w:val="26"/>
    </w:rPr>
  </w:style>
  <w:style w:type="paragraph" w:customStyle="1" w:styleId="Style1">
    <w:name w:val="Style1"/>
    <w:basedOn w:val="FootnoteText"/>
    <w:link w:val="Style1Char"/>
    <w:qFormat/>
    <w:rsid w:val="00466791"/>
    <w:rPr>
      <w:sz w:val="20"/>
      <w:szCs w:val="20"/>
    </w:rPr>
  </w:style>
  <w:style w:type="character" w:customStyle="1" w:styleId="Style1Char">
    <w:name w:val="Style1 Char"/>
    <w:basedOn w:val="FootnoteTextChar"/>
    <w:link w:val="Style1"/>
    <w:rsid w:val="00466791"/>
    <w:rPr>
      <w:color w:val="000000"/>
      <w:kern w:val="28"/>
      <w:sz w:val="20"/>
      <w:szCs w:val="20"/>
    </w:rPr>
  </w:style>
  <w:style w:type="character" w:styleId="FollowedHyperlink">
    <w:name w:val="FollowedHyperlink"/>
    <w:basedOn w:val="DefaultParagraphFont"/>
    <w:rsid w:val="00B363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008580">
      <w:bodyDiv w:val="1"/>
      <w:marLeft w:val="0"/>
      <w:marRight w:val="0"/>
      <w:marTop w:val="0"/>
      <w:marBottom w:val="0"/>
      <w:divBdr>
        <w:top w:val="none" w:sz="0" w:space="0" w:color="auto"/>
        <w:left w:val="none" w:sz="0" w:space="0" w:color="auto"/>
        <w:bottom w:val="none" w:sz="0" w:space="0" w:color="auto"/>
        <w:right w:val="none" w:sz="0" w:space="0" w:color="auto"/>
      </w:divBdr>
    </w:div>
    <w:div w:id="149254648">
      <w:bodyDiv w:val="1"/>
      <w:marLeft w:val="0"/>
      <w:marRight w:val="0"/>
      <w:marTop w:val="0"/>
      <w:marBottom w:val="0"/>
      <w:divBdr>
        <w:top w:val="none" w:sz="0" w:space="0" w:color="auto"/>
        <w:left w:val="none" w:sz="0" w:space="0" w:color="auto"/>
        <w:bottom w:val="none" w:sz="0" w:space="0" w:color="auto"/>
        <w:right w:val="none" w:sz="0" w:space="0" w:color="auto"/>
      </w:divBdr>
    </w:div>
    <w:div w:id="402142482">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665088521">
      <w:bodyDiv w:val="1"/>
      <w:marLeft w:val="0"/>
      <w:marRight w:val="0"/>
      <w:marTop w:val="0"/>
      <w:marBottom w:val="0"/>
      <w:divBdr>
        <w:top w:val="none" w:sz="0" w:space="0" w:color="auto"/>
        <w:left w:val="none" w:sz="0" w:space="0" w:color="auto"/>
        <w:bottom w:val="none" w:sz="0" w:space="0" w:color="auto"/>
        <w:right w:val="none" w:sz="0" w:space="0" w:color="auto"/>
      </w:divBdr>
    </w:div>
    <w:div w:id="1225794378">
      <w:bodyDiv w:val="1"/>
      <w:marLeft w:val="0"/>
      <w:marRight w:val="0"/>
      <w:marTop w:val="0"/>
      <w:marBottom w:val="0"/>
      <w:divBdr>
        <w:top w:val="none" w:sz="0" w:space="0" w:color="auto"/>
        <w:left w:val="none" w:sz="0" w:space="0" w:color="auto"/>
        <w:bottom w:val="none" w:sz="0" w:space="0" w:color="auto"/>
        <w:right w:val="none" w:sz="0" w:space="0" w:color="auto"/>
      </w:divBdr>
    </w:div>
    <w:div w:id="1243371202">
      <w:bodyDiv w:val="1"/>
      <w:marLeft w:val="0"/>
      <w:marRight w:val="0"/>
      <w:marTop w:val="0"/>
      <w:marBottom w:val="0"/>
      <w:divBdr>
        <w:top w:val="none" w:sz="0" w:space="0" w:color="auto"/>
        <w:left w:val="none" w:sz="0" w:space="0" w:color="auto"/>
        <w:bottom w:val="none" w:sz="0" w:space="0" w:color="auto"/>
        <w:right w:val="none" w:sz="0" w:space="0" w:color="auto"/>
      </w:divBdr>
    </w:div>
    <w:div w:id="1302419361">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576162592">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822036990">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04697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9926d6b-938b-4af7-b041-aee0d57e6e3d">
      <Terms xmlns="http://schemas.microsoft.com/office/infopath/2007/PartnerControls"/>
    </lcf76f155ced4ddcb4097134ff3c332f>
    <TaxCatchAll xmlns="985ec44e-1bab-4c0b-9df0-6ba128686fc9" xsi:nil="true"/>
    <Document_x0020_Date xmlns="985ec44e-1bab-4c0b-9df0-6ba128686fc9">2025-01-09T09:07:51+00:00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C7EEE50-A8AD-4088-95FE-2852694A079A}">
  <ds:schemaRefs>
    <ds:schemaRef ds:uri="http://schemas.microsoft.com/sharepoint/v3/contenttype/forms"/>
  </ds:schemaRefs>
</ds:datastoreItem>
</file>

<file path=customXml/itemProps2.xml><?xml version="1.0" encoding="utf-8"?>
<ds:datastoreItem xmlns:ds="http://schemas.openxmlformats.org/officeDocument/2006/customXml" ds:itemID="{4F6516E1-4692-42C5-BC28-E6F2E5B8DD61}">
  <ds:schemaRefs>
    <ds:schemaRef ds:uri="http://schemas.openxmlformats.org/officeDocument/2006/bibliography"/>
  </ds:schemaRefs>
</ds:datastoreItem>
</file>

<file path=customXml/itemProps3.xml><?xml version="1.0" encoding="utf-8"?>
<ds:datastoreItem xmlns:ds="http://schemas.openxmlformats.org/officeDocument/2006/customXml" ds:itemID="{4418ED3E-94ED-4816-92D4-DFB252140C62}"/>
</file>

<file path=customXml/itemProps4.xml><?xml version="1.0" encoding="utf-8"?>
<ds:datastoreItem xmlns:ds="http://schemas.openxmlformats.org/officeDocument/2006/customXml" ds:itemID="{F5D2F4F1-A19B-4458-8A42-CFA5EA682B4D}">
  <ds:schemaRefs>
    <ds:schemaRef ds:uri="http://schemas.microsoft.com/office/2006/metadata/properties"/>
    <ds:schemaRef ds:uri="http://www.w3.org/XML/1998/namespace"/>
    <ds:schemaRef ds:uri="http://schemas.microsoft.com/office/2006/documentManagement/types"/>
    <ds:schemaRef ds:uri="http://purl.org/dc/dcmitype/"/>
    <ds:schemaRef ds:uri="http://purl.org/dc/elements/1.1/"/>
    <ds:schemaRef ds:uri="http://schemas.openxmlformats.org/package/2006/metadata/core-properties"/>
    <ds:schemaRef ds:uri="http://purl.org/dc/terms/"/>
    <ds:schemaRef ds:uri="http://schemas.microsoft.com/office/infopath/2007/PartnerControls"/>
    <ds:schemaRef ds:uri="e968d4b9-9f0d-4b6f-81c6-222446f6098e"/>
    <ds:schemaRef ds:uri="42df7cb3-2fea-4ba3-b9bf-21660104d6d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4785</Words>
  <Characters>26419</Characters>
  <Application>Microsoft Office Word</Application>
  <DocSecurity>0</DocSecurity>
  <Lines>394</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Bergquist</dc:creator>
  <cp:lastModifiedBy>Amy Bergquist</cp:lastModifiedBy>
  <cp:revision>7</cp:revision>
  <cp:lastPrinted>2025-01-06T19:27:00Z</cp:lastPrinted>
  <dcterms:created xsi:type="dcterms:W3CDTF">2025-01-06T19:25:00Z</dcterms:created>
  <dcterms:modified xsi:type="dcterms:W3CDTF">2025-01-06T19:27:00Z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MediaServiceImageTags">
    <vt:lpwstr/>
  </property>
</Properties>
</file>