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989F5" w14:textId="33A2E98F" w:rsidR="00237208" w:rsidRPr="001A0F9A" w:rsidRDefault="00237208" w:rsidP="00237208">
      <w:pPr>
        <w:jc w:val="center"/>
        <w:rPr>
          <w:rFonts w:asciiTheme="majorBidi" w:hAnsiTheme="majorBidi" w:cstheme="majorBidi"/>
          <w:b/>
          <w:bCs/>
          <w:color w:val="2F5496" w:themeColor="accent5" w:themeShade="BF"/>
          <w:sz w:val="28"/>
          <w:szCs w:val="28"/>
        </w:rPr>
      </w:pPr>
      <w:r w:rsidRPr="001A0F9A">
        <w:rPr>
          <w:rFonts w:asciiTheme="majorBidi" w:hAnsiTheme="majorBidi" w:cstheme="majorBidi"/>
          <w:b/>
          <w:bCs/>
          <w:color w:val="2F5496" w:themeColor="accent5" w:themeShade="BF"/>
          <w:sz w:val="28"/>
          <w:szCs w:val="28"/>
        </w:rPr>
        <w:t xml:space="preserve">Maat </w:t>
      </w:r>
      <w:r w:rsidR="001A0F9A">
        <w:rPr>
          <w:rFonts w:asciiTheme="majorBidi" w:hAnsiTheme="majorBidi" w:cstheme="majorBidi"/>
          <w:b/>
          <w:bCs/>
          <w:color w:val="2F5496" w:themeColor="accent5" w:themeShade="BF"/>
          <w:sz w:val="28"/>
          <w:szCs w:val="28"/>
        </w:rPr>
        <w:t xml:space="preserve">for Peace’ </w:t>
      </w:r>
      <w:r w:rsidRPr="001A0F9A">
        <w:rPr>
          <w:rFonts w:asciiTheme="majorBidi" w:hAnsiTheme="majorBidi" w:cstheme="majorBidi"/>
          <w:b/>
          <w:bCs/>
          <w:color w:val="2F5496" w:themeColor="accent5" w:themeShade="BF"/>
          <w:sz w:val="28"/>
          <w:szCs w:val="28"/>
        </w:rPr>
        <w:t xml:space="preserve">Report </w:t>
      </w:r>
      <w:r w:rsidR="001A0F9A">
        <w:rPr>
          <w:rFonts w:asciiTheme="majorBidi" w:hAnsiTheme="majorBidi" w:cstheme="majorBidi"/>
          <w:b/>
          <w:bCs/>
          <w:color w:val="2F5496" w:themeColor="accent5" w:themeShade="BF"/>
          <w:sz w:val="28"/>
          <w:szCs w:val="28"/>
        </w:rPr>
        <w:t xml:space="preserve">submitted </w:t>
      </w:r>
      <w:r w:rsidRPr="001A0F9A">
        <w:rPr>
          <w:rFonts w:asciiTheme="majorBidi" w:hAnsiTheme="majorBidi" w:cstheme="majorBidi"/>
          <w:b/>
          <w:bCs/>
          <w:color w:val="2F5496" w:themeColor="accent5" w:themeShade="BF"/>
          <w:sz w:val="28"/>
          <w:szCs w:val="28"/>
        </w:rPr>
        <w:t>to</w:t>
      </w:r>
      <w:r w:rsidR="001A0F9A">
        <w:rPr>
          <w:rFonts w:asciiTheme="majorBidi" w:hAnsiTheme="majorBidi" w:cstheme="majorBidi"/>
          <w:b/>
          <w:bCs/>
          <w:color w:val="2F5496" w:themeColor="accent5" w:themeShade="BF"/>
          <w:sz w:val="28"/>
          <w:szCs w:val="28"/>
        </w:rPr>
        <w:t xml:space="preserve"> The</w:t>
      </w:r>
      <w:r w:rsidRPr="001A0F9A">
        <w:rPr>
          <w:rFonts w:asciiTheme="majorBidi" w:hAnsiTheme="majorBidi" w:cstheme="majorBidi"/>
          <w:b/>
          <w:bCs/>
          <w:color w:val="2F5496" w:themeColor="accent5" w:themeShade="BF"/>
          <w:sz w:val="28"/>
          <w:szCs w:val="28"/>
        </w:rPr>
        <w:t xml:space="preserve"> Committee on Elimination of All Forms of Discrimination against Women </w:t>
      </w:r>
      <w:r w:rsidR="001A0F9A">
        <w:rPr>
          <w:rFonts w:asciiTheme="majorBidi" w:hAnsiTheme="majorBidi" w:cstheme="majorBidi"/>
          <w:b/>
          <w:bCs/>
          <w:color w:val="2F5496" w:themeColor="accent5" w:themeShade="BF"/>
          <w:sz w:val="28"/>
          <w:szCs w:val="28"/>
        </w:rPr>
        <w:t>regarding</w:t>
      </w:r>
      <w:r w:rsidRPr="001A0F9A">
        <w:rPr>
          <w:rFonts w:asciiTheme="majorBidi" w:hAnsiTheme="majorBidi" w:cstheme="majorBidi"/>
          <w:b/>
          <w:bCs/>
          <w:color w:val="2F5496" w:themeColor="accent5" w:themeShade="BF"/>
          <w:sz w:val="28"/>
          <w:szCs w:val="28"/>
        </w:rPr>
        <w:t xml:space="preserve"> </w:t>
      </w:r>
      <w:r w:rsidRPr="001A0F9A">
        <w:rPr>
          <w:rFonts w:asciiTheme="majorBidi" w:hAnsiTheme="majorBidi" w:cstheme="majorBidi"/>
          <w:b/>
          <w:bCs/>
          <w:color w:val="FF0000"/>
          <w:sz w:val="28"/>
          <w:szCs w:val="28"/>
        </w:rPr>
        <w:t>Qatar</w:t>
      </w:r>
    </w:p>
    <w:p w14:paraId="770E529E" w14:textId="77777777" w:rsidR="00237208" w:rsidRDefault="00237208" w:rsidP="00237208">
      <w:pPr>
        <w:jc w:val="center"/>
        <w:rPr>
          <w:rFonts w:asciiTheme="majorBidi" w:hAnsiTheme="majorBidi" w:cstheme="majorBidi"/>
          <w:b/>
          <w:bCs/>
        </w:rPr>
      </w:pPr>
      <w:r w:rsidRPr="001A0F9A">
        <w:rPr>
          <w:rFonts w:asciiTheme="majorBidi" w:hAnsiTheme="majorBidi" w:cstheme="majorBidi"/>
          <w:b/>
          <w:bCs/>
        </w:rPr>
        <w:t>Within the framework of the list of issues prior to reporting</w:t>
      </w:r>
    </w:p>
    <w:p w14:paraId="0B080AD1" w14:textId="33B7F040" w:rsidR="001A0F9A" w:rsidRPr="001A0F9A" w:rsidRDefault="001A0F9A" w:rsidP="001A0F9A">
      <w:pPr>
        <w:pBdr>
          <w:bottom w:val="single" w:sz="18" w:space="1" w:color="auto"/>
        </w:pBdr>
        <w:jc w:val="center"/>
        <w:rPr>
          <w:rFonts w:asciiTheme="majorBidi" w:hAnsiTheme="majorBidi" w:cstheme="majorBidi"/>
        </w:rPr>
      </w:pPr>
      <w:r w:rsidRPr="001A0F9A">
        <w:rPr>
          <w:rFonts w:asciiTheme="majorBidi" w:hAnsiTheme="majorBidi" w:cstheme="majorBidi"/>
        </w:rPr>
        <w:t>January 2025</w:t>
      </w:r>
    </w:p>
    <w:p w14:paraId="7B8476B3" w14:textId="77777777" w:rsidR="00237208" w:rsidRPr="00237208" w:rsidRDefault="00237208" w:rsidP="00237208">
      <w:pPr>
        <w:jc w:val="both"/>
        <w:rPr>
          <w:rFonts w:asciiTheme="majorBidi" w:hAnsiTheme="majorBidi" w:cstheme="majorBidi"/>
          <w:sz w:val="24"/>
          <w:szCs w:val="24"/>
        </w:rPr>
      </w:pPr>
      <w:r w:rsidRPr="00237208">
        <w:rPr>
          <w:rFonts w:asciiTheme="majorBidi" w:hAnsiTheme="majorBidi" w:cstheme="majorBidi"/>
          <w:sz w:val="24"/>
          <w:szCs w:val="24"/>
        </w:rPr>
        <w:t>Maat for Peace, Development and Human Rights submits this report to the Committee on the Elimination of All Forms of Discrimination against Women (hereinafter referred to as the "Committee") as part of the follow-up on the State of Qatar’s compliance with the provisions of the Convention on the Elimination of All Forms of Discrimination against Women. Maat appreciates the ongoing efforts made by the Qatari government to eliminate all forms of discrimination and violence against women.</w:t>
      </w:r>
    </w:p>
    <w:p w14:paraId="23CAA23F"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Qatar is among the countries that ratified the Beijing Declaration, which aims to promote gender equality, empower women in all fields, eliminate violence against women, and ensure their full participation in political, economic, and social life. In line with these commitments, Qatar launched a national plan in 2017 aimed at enhancing the role of women in peace and security processes and protecting them from violence, within the framework of Security Council Resolution 1325.</w:t>
      </w:r>
    </w:p>
    <w:p w14:paraId="2FBF100C"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However, Maat notes that despite these efforts and international commitments, there remains a lack of a comprehensive legal framework that criminalizes violence against women. This gap represents a significant challenge in achieving full protection for women from all forms of violence in the country.</w:t>
      </w:r>
    </w:p>
    <w:p w14:paraId="4FD768EF" w14:textId="77777777" w:rsidR="00237208" w:rsidRPr="001A0F9A" w:rsidRDefault="00237208" w:rsidP="00237208">
      <w:pPr>
        <w:jc w:val="both"/>
        <w:rPr>
          <w:rFonts w:asciiTheme="majorBidi" w:hAnsiTheme="majorBidi" w:cstheme="majorBidi"/>
          <w:b/>
          <w:bCs/>
          <w:color w:val="ED0000"/>
          <w:sz w:val="28"/>
          <w:szCs w:val="28"/>
        </w:rPr>
      </w:pPr>
      <w:r w:rsidRPr="001A0F9A">
        <w:rPr>
          <w:rFonts w:asciiTheme="majorBidi" w:hAnsiTheme="majorBidi" w:cstheme="majorBidi"/>
          <w:b/>
          <w:bCs/>
          <w:color w:val="ED0000"/>
          <w:sz w:val="28"/>
          <w:szCs w:val="28"/>
        </w:rPr>
        <w:t>First: Discrimination in Law and Policies</w:t>
      </w:r>
    </w:p>
    <w:p w14:paraId="15E18B18"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Maat commends the significant efforts made by the State of Qatar to improve its laws and policies related to protecting women's rights and combating violence against them. Qatar has demonstrated a clear commitment by signing several international agreements, including the Convention on the Elimination of All Forms of Discrimination against Women (CEDAW) and the Beijing Declaration. At the national level, this commitment is reflected in constitutional texts and national legislation that promote women's rights. Article 34 of the Qatari Constitution stipulates the equality of citizens in public rights and duties, while Article 35 affirms equality before the law without discrimination based on gender, origin, or religion.</w:t>
      </w:r>
      <w:r w:rsidRPr="00237208">
        <w:rPr>
          <w:rStyle w:val="FootnoteReference"/>
          <w:rFonts w:asciiTheme="majorBidi" w:hAnsiTheme="majorBidi" w:cstheme="majorBidi"/>
          <w:sz w:val="24"/>
          <w:szCs w:val="24"/>
        </w:rPr>
        <w:footnoteReference w:id="1"/>
      </w:r>
    </w:p>
    <w:p w14:paraId="08A1CB46"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lastRenderedPageBreak/>
        <w:t>Regarding national legislation, the Qatari Penal Code (Law No. 11 of 2004)</w:t>
      </w:r>
      <w:r w:rsidRPr="00237208">
        <w:rPr>
          <w:rStyle w:val="FootnoteReference"/>
          <w:rFonts w:asciiTheme="majorBidi" w:hAnsiTheme="majorBidi" w:cstheme="majorBidi"/>
          <w:sz w:val="24"/>
          <w:szCs w:val="24"/>
        </w:rPr>
        <w:footnoteReference w:id="2"/>
      </w:r>
      <w:r w:rsidRPr="00237208">
        <w:rPr>
          <w:rFonts w:asciiTheme="majorBidi" w:hAnsiTheme="majorBidi" w:cstheme="majorBidi"/>
          <w:sz w:val="24"/>
          <w:szCs w:val="24"/>
        </w:rPr>
        <w:t xml:space="preserve"> serves as a crucial tool for criminalizing violence against women. Article 279 punishes the crime of rape with life imprisonment or the death penalty, while Article 280 imposes a penalty of up to 15 years in prison for forced sexual assault. Additionally, Article 292 punishes sexual harassment with imprisonment for up to one year or a fine. Qatar’s Family Law (Law No. 22 of 2006)</w:t>
      </w:r>
      <w:r w:rsidRPr="00237208">
        <w:rPr>
          <w:rStyle w:val="FootnoteReference"/>
          <w:rFonts w:asciiTheme="majorBidi" w:hAnsiTheme="majorBidi" w:cstheme="majorBidi"/>
          <w:sz w:val="24"/>
          <w:szCs w:val="24"/>
        </w:rPr>
        <w:footnoteReference w:id="3"/>
      </w:r>
      <w:r w:rsidRPr="00237208">
        <w:rPr>
          <w:rFonts w:asciiTheme="majorBidi" w:hAnsiTheme="majorBidi" w:cstheme="majorBidi"/>
          <w:sz w:val="24"/>
          <w:szCs w:val="24"/>
        </w:rPr>
        <w:t xml:space="preserve"> stipulates that women must be treated with dignity and that verbal or physical abuse is prohibited. However, Article 58 requires a wife to obey her husband in accordance with Islamic law.</w:t>
      </w:r>
    </w:p>
    <w:p w14:paraId="41FFEEB5" w14:textId="77777777" w:rsidR="00237208" w:rsidRPr="00237208" w:rsidRDefault="00237208" w:rsidP="00237208">
      <w:pPr>
        <w:jc w:val="both"/>
        <w:rPr>
          <w:rFonts w:asciiTheme="majorBidi" w:hAnsiTheme="majorBidi" w:cstheme="majorBidi"/>
          <w:sz w:val="24"/>
          <w:szCs w:val="24"/>
        </w:rPr>
      </w:pPr>
      <w:r w:rsidRPr="00237208">
        <w:rPr>
          <w:rFonts w:asciiTheme="majorBidi" w:hAnsiTheme="majorBidi" w:cstheme="majorBidi"/>
          <w:sz w:val="24"/>
          <w:szCs w:val="24"/>
        </w:rPr>
        <w:t>Qatar has also acceded to the Optional Protocol to CEDAW, which allows women to submit individual complaints about violations of their rights to the Committee. Despite these efforts and measures, women in Qatar continue to face challenges that hinder their full enjoyment of their rights and freedoms. Maat notes that discrimination persists in certain laws and practices. For instance, under Qatari Nationality Law No. 38 of 2005,</w:t>
      </w:r>
      <w:r w:rsidRPr="00237208">
        <w:rPr>
          <w:rStyle w:val="FootnoteReference"/>
          <w:rFonts w:asciiTheme="majorBidi" w:hAnsiTheme="majorBidi" w:cstheme="majorBidi"/>
          <w:sz w:val="24"/>
          <w:szCs w:val="24"/>
        </w:rPr>
        <w:footnoteReference w:id="4"/>
      </w:r>
      <w:r w:rsidRPr="00237208">
        <w:rPr>
          <w:rFonts w:asciiTheme="majorBidi" w:hAnsiTheme="majorBidi" w:cstheme="majorBidi"/>
          <w:sz w:val="24"/>
          <w:szCs w:val="24"/>
        </w:rPr>
        <w:t xml:space="preserve"> Qatari women cannot automatically pass their nationality to their children, whereas men are allowed to do so. Moreover, women face additional restrictions, such as the necessity to obtain government permission to marry foreigners, which may be denied. In cases of marriage to a foreigner, a woman can only apply for residency for her husband and children, who are subsequently denied Qatari citizenship.</w:t>
      </w:r>
    </w:p>
    <w:p w14:paraId="12756B07"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These laws restrict women’s freedom to choose their life partners and maintain a lower status compared to Qatari men. Women are also denied legal guardianship of their children, putting them at risk of losing custody in the event of divorce. This situation places women in vulnerable circumstances, as they may feel compelled to remain in abusive relationships for fear of losing their children. The lack of adequate legal protection for women under Qatari family law severely undermines their human rights and calls for urgent legislative reforms to achieve full equality and guarantee women’s rights.</w:t>
      </w:r>
    </w:p>
    <w:p w14:paraId="3D9793C8" w14:textId="77777777" w:rsidR="00237208" w:rsidRPr="00237208" w:rsidRDefault="00237208" w:rsidP="00237208">
      <w:pPr>
        <w:jc w:val="both"/>
        <w:rPr>
          <w:rFonts w:asciiTheme="majorBidi" w:hAnsiTheme="majorBidi" w:cstheme="majorBidi"/>
          <w:b/>
          <w:bCs/>
          <w:sz w:val="24"/>
          <w:szCs w:val="24"/>
        </w:rPr>
      </w:pPr>
      <w:r w:rsidRPr="00237208">
        <w:rPr>
          <w:rFonts w:asciiTheme="majorBidi" w:hAnsiTheme="majorBidi" w:cstheme="majorBidi"/>
          <w:b/>
          <w:bCs/>
          <w:sz w:val="24"/>
          <w:szCs w:val="24"/>
        </w:rPr>
        <w:t>Proposed Issues:</w:t>
      </w:r>
    </w:p>
    <w:p w14:paraId="7B0D27E2" w14:textId="77777777" w:rsidR="00237208" w:rsidRPr="001A0F9A" w:rsidRDefault="00237208" w:rsidP="00237208">
      <w:pPr>
        <w:jc w:val="both"/>
        <w:rPr>
          <w:rFonts w:asciiTheme="majorBidi" w:hAnsiTheme="majorBidi" w:cstheme="majorBidi"/>
          <w:b/>
          <w:bCs/>
          <w:sz w:val="24"/>
          <w:szCs w:val="24"/>
        </w:rPr>
      </w:pPr>
      <w:r w:rsidRPr="001A0F9A">
        <w:rPr>
          <w:rFonts w:asciiTheme="majorBidi" w:hAnsiTheme="majorBidi" w:cstheme="majorBidi"/>
          <w:b/>
          <w:bCs/>
          <w:sz w:val="24"/>
          <w:szCs w:val="24"/>
        </w:rPr>
        <w:t>Maat hopes that the Committee will inquire about the following:</w:t>
      </w:r>
    </w:p>
    <w:p w14:paraId="42C00D33" w14:textId="77777777" w:rsidR="00237208" w:rsidRPr="00237208" w:rsidRDefault="00237208" w:rsidP="00237208">
      <w:pPr>
        <w:pStyle w:val="ListParagraph"/>
        <w:numPr>
          <w:ilvl w:val="0"/>
          <w:numId w:val="41"/>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How does Qatar plan to address the discrimination in Nationality Law No. 38 of 2005, which prevents Qatari women from passing on their nationality to their children, while men have this right?</w:t>
      </w:r>
    </w:p>
    <w:p w14:paraId="5CC7405B" w14:textId="77777777" w:rsidR="00237208" w:rsidRPr="00237208" w:rsidRDefault="00237208" w:rsidP="00237208">
      <w:pPr>
        <w:pStyle w:val="ListParagraph"/>
        <w:numPr>
          <w:ilvl w:val="0"/>
          <w:numId w:val="41"/>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What steps has the State taken to facilitate the acquisition of nationality for children of Qatari women married to foreigners?</w:t>
      </w:r>
    </w:p>
    <w:p w14:paraId="62FCD34D" w14:textId="77777777" w:rsidR="00237208" w:rsidRPr="00237208" w:rsidRDefault="00237208" w:rsidP="00237208">
      <w:pPr>
        <w:pStyle w:val="ListParagraph"/>
        <w:numPr>
          <w:ilvl w:val="0"/>
          <w:numId w:val="41"/>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lastRenderedPageBreak/>
        <w:t>How does Qatar plan to remove the restrictions requiring women to obtain government permission to marry a foreigner, in line with the principles of equality and non-discrimination?</w:t>
      </w:r>
    </w:p>
    <w:p w14:paraId="18430E90" w14:textId="77777777" w:rsidR="00237208" w:rsidRPr="00237208" w:rsidRDefault="00237208" w:rsidP="00237208">
      <w:pPr>
        <w:pStyle w:val="ListParagraph"/>
        <w:numPr>
          <w:ilvl w:val="0"/>
          <w:numId w:val="41"/>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Are there programs or plans to amend the Qatari Family Law (Law No. 22 of 2006) to enable women to have equal rights in childcare?</w:t>
      </w:r>
    </w:p>
    <w:p w14:paraId="5F9258C4" w14:textId="77777777" w:rsidR="00237208" w:rsidRPr="00237208" w:rsidRDefault="00237208" w:rsidP="00237208">
      <w:pPr>
        <w:pStyle w:val="ListParagraph"/>
        <w:numPr>
          <w:ilvl w:val="0"/>
          <w:numId w:val="41"/>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What efforts are being made to enhance compliance with Optional Protocol to CEDAW and ensure the effectiveness of the individual complaints mechanism?</w:t>
      </w:r>
    </w:p>
    <w:p w14:paraId="0C6448B9" w14:textId="15A27375" w:rsidR="00237208" w:rsidRPr="001A0F9A" w:rsidRDefault="00237208" w:rsidP="00237208">
      <w:pPr>
        <w:jc w:val="both"/>
        <w:rPr>
          <w:rFonts w:asciiTheme="majorBidi" w:hAnsiTheme="majorBidi" w:cstheme="majorBidi"/>
          <w:b/>
          <w:bCs/>
          <w:color w:val="ED0000"/>
          <w:sz w:val="28"/>
          <w:szCs w:val="28"/>
        </w:rPr>
      </w:pPr>
      <w:r w:rsidRPr="001A0F9A">
        <w:rPr>
          <w:rFonts w:asciiTheme="majorBidi" w:hAnsiTheme="majorBidi" w:cstheme="majorBidi"/>
          <w:b/>
          <w:bCs/>
          <w:color w:val="ED0000"/>
          <w:sz w:val="28"/>
          <w:szCs w:val="28"/>
        </w:rPr>
        <w:t>Second: Migrant Women Rights and Domestic Workers</w:t>
      </w:r>
    </w:p>
    <w:p w14:paraId="7E469BCC"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Maat has monitored Qatari efforts to improve the status of female migrant workers through the enactment of several laws and regulations aimed at protecting their rights. While there are laws regulating migrant workers in general, certain legislations specifically address categories such as domestic workers, who constitute the majority of female migrant workers in Qatar.</w:t>
      </w:r>
    </w:p>
    <w:p w14:paraId="75D3E2F5"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One of the most significant laws is the Domestic Workers Law (2021)</w:t>
      </w:r>
      <w:r w:rsidRPr="00237208">
        <w:rPr>
          <w:rStyle w:val="FootnoteReference"/>
          <w:rFonts w:asciiTheme="majorBidi" w:hAnsiTheme="majorBidi" w:cstheme="majorBidi"/>
          <w:sz w:val="24"/>
          <w:szCs w:val="24"/>
        </w:rPr>
        <w:footnoteReference w:id="5"/>
      </w:r>
      <w:r w:rsidRPr="00237208">
        <w:rPr>
          <w:rFonts w:asciiTheme="majorBidi" w:hAnsiTheme="majorBidi" w:cstheme="majorBidi"/>
          <w:sz w:val="24"/>
          <w:szCs w:val="24"/>
        </w:rPr>
        <w:t>, which includes provisions aimed at enhancing the working conditions of female domestic workers. This law sets working hours at a maximum of 10 hours per day and ensures that female workers receive a weekly paid leave. Employers are also obligated to provide healthcare to female workers in case of injury or illness. Additionally, the law guarantees the right of female workers to paid annual leave and establishes mechanisms for addressing complaints and disputes between workers and employers.</w:t>
      </w:r>
    </w:p>
    <w:p w14:paraId="5CB6C8F6"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Furthermore, reforms to the Labor Law (2020)</w:t>
      </w:r>
      <w:r w:rsidRPr="00237208">
        <w:rPr>
          <w:rStyle w:val="FootnoteReference"/>
          <w:rFonts w:asciiTheme="majorBidi" w:hAnsiTheme="majorBidi" w:cstheme="majorBidi"/>
          <w:sz w:val="24"/>
          <w:szCs w:val="24"/>
        </w:rPr>
        <w:footnoteReference w:id="6"/>
      </w:r>
      <w:r w:rsidRPr="00237208">
        <w:rPr>
          <w:rFonts w:asciiTheme="majorBidi" w:hAnsiTheme="majorBidi" w:cstheme="majorBidi"/>
          <w:sz w:val="24"/>
          <w:szCs w:val="24"/>
        </w:rPr>
        <w:t xml:space="preserve"> included the establishment of a minimum wage for all workers, including female migrant workers across various sectors. The sponsorship system was also abolished, granting migrant workers (including women) greater freedom to change jobs or leave the country without needing their employer’s approval.</w:t>
      </w:r>
    </w:p>
    <w:p w14:paraId="6B487E39"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 xml:space="preserve">Despite the efforts and legal reforms that Qatar has implemented in recent years to improve the conditions of female migrant workers, these measures remain insufficient. Numerous gaps still need to be addressed urgently. Despite the established legal framework, challenges related to the effective implementation of these laws persist, leaving many migrant women vulnerable to harsh working conditions and exploitation. Many female migrant workers across various sectors continue to suffer from inadequate working conditions, lack of basic rights, and exposure to various forms of exploitation. Reports indicate a deficiency in effective mechanisms to ensure the </w:t>
      </w:r>
      <w:r w:rsidRPr="00237208">
        <w:rPr>
          <w:rFonts w:asciiTheme="majorBidi" w:hAnsiTheme="majorBidi" w:cstheme="majorBidi"/>
          <w:sz w:val="24"/>
          <w:szCs w:val="24"/>
        </w:rPr>
        <w:lastRenderedPageBreak/>
        <w:t>full implementation of existing laws, leaving female migrant workers vulnerable to harsh working environments and, at times, threats to their lives and dignity.</w:t>
      </w:r>
    </w:p>
    <w:p w14:paraId="571F5062"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Maat has documented numerous harmful practices faced by migrant workers, particularly in the hospitality industry during Qatar’s hosting of the 2022 World Cup. Investigations revealed that many workers experienced sexual harassment and gender-based violence in their workplaces, compounded by the absence of strict laws that protect their rights and hold perpetrators accountable. These issues require comprehensive solutions through the enactment of stricter legislation and the assurance of effective implementation. Efforts should prioritize protecting migrant workers' rights from all forms of exploitation and violence while establishing mechanisms that enable them to seek justice in cases of violations.</w:t>
      </w:r>
    </w:p>
    <w:p w14:paraId="675BAD38" w14:textId="77777777" w:rsidR="00237208" w:rsidRPr="00237208" w:rsidRDefault="00237208" w:rsidP="00237208">
      <w:pPr>
        <w:jc w:val="both"/>
        <w:rPr>
          <w:rFonts w:asciiTheme="majorBidi" w:hAnsiTheme="majorBidi" w:cstheme="majorBidi"/>
          <w:b/>
          <w:bCs/>
          <w:sz w:val="24"/>
          <w:szCs w:val="24"/>
        </w:rPr>
      </w:pPr>
      <w:r w:rsidRPr="00237208">
        <w:rPr>
          <w:rFonts w:asciiTheme="majorBidi" w:hAnsiTheme="majorBidi" w:cstheme="majorBidi"/>
          <w:b/>
          <w:bCs/>
          <w:sz w:val="24"/>
          <w:szCs w:val="24"/>
        </w:rPr>
        <w:t>Proposed Issues:</w:t>
      </w:r>
    </w:p>
    <w:p w14:paraId="43113395" w14:textId="77777777" w:rsidR="00237208" w:rsidRPr="001A0F9A" w:rsidRDefault="00237208" w:rsidP="00237208">
      <w:pPr>
        <w:jc w:val="both"/>
        <w:rPr>
          <w:rFonts w:asciiTheme="majorBidi" w:hAnsiTheme="majorBidi" w:cstheme="majorBidi"/>
          <w:b/>
          <w:bCs/>
          <w:sz w:val="24"/>
          <w:szCs w:val="24"/>
        </w:rPr>
      </w:pPr>
      <w:r w:rsidRPr="001A0F9A">
        <w:rPr>
          <w:rFonts w:asciiTheme="majorBidi" w:hAnsiTheme="majorBidi" w:cstheme="majorBidi"/>
          <w:b/>
          <w:bCs/>
          <w:sz w:val="24"/>
          <w:szCs w:val="24"/>
        </w:rPr>
        <w:t>Maat hopes that the Committee will inquire of the State:</w:t>
      </w:r>
    </w:p>
    <w:p w14:paraId="05F4A6BC" w14:textId="77777777" w:rsidR="00237208" w:rsidRPr="00237208" w:rsidRDefault="00237208" w:rsidP="00237208">
      <w:pPr>
        <w:pStyle w:val="ListParagraph"/>
        <w:numPr>
          <w:ilvl w:val="0"/>
          <w:numId w:val="42"/>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How is the State working to improve mechanisms for filing complaints and enforcing penalties in cases of violence against women, including sexual harassment and assault?</w:t>
      </w:r>
    </w:p>
    <w:p w14:paraId="15AD3857" w14:textId="77777777" w:rsidR="00237208" w:rsidRPr="00237208" w:rsidRDefault="00237208" w:rsidP="00237208">
      <w:pPr>
        <w:pStyle w:val="ListParagraph"/>
        <w:numPr>
          <w:ilvl w:val="0"/>
          <w:numId w:val="42"/>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What rights and guarantees are provided to migrant workers in the event of the expiration or termination of their employment contracts, particularly regarding their dignified return to their home countries?</w:t>
      </w:r>
    </w:p>
    <w:p w14:paraId="3157245E" w14:textId="77777777" w:rsidR="00237208" w:rsidRPr="00237208" w:rsidRDefault="00237208" w:rsidP="00237208">
      <w:pPr>
        <w:pStyle w:val="ListParagraph"/>
        <w:numPr>
          <w:ilvl w:val="0"/>
          <w:numId w:val="42"/>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What measures are available to female migrant workers to access justice in cases of violations, and what legal support mechanisms are in place for them?</w:t>
      </w:r>
    </w:p>
    <w:p w14:paraId="771AFDEA" w14:textId="1433FCFD" w:rsidR="00237208" w:rsidRPr="001A0F9A" w:rsidRDefault="00237208" w:rsidP="00237208">
      <w:pPr>
        <w:jc w:val="both"/>
        <w:rPr>
          <w:rFonts w:asciiTheme="majorBidi" w:hAnsiTheme="majorBidi" w:cstheme="majorBidi"/>
          <w:b/>
          <w:bCs/>
          <w:color w:val="ED0000"/>
          <w:sz w:val="28"/>
          <w:szCs w:val="28"/>
        </w:rPr>
      </w:pPr>
      <w:r w:rsidRPr="001A0F9A">
        <w:rPr>
          <w:rFonts w:asciiTheme="majorBidi" w:hAnsiTheme="majorBidi" w:cstheme="majorBidi"/>
          <w:b/>
          <w:bCs/>
          <w:color w:val="ED0000"/>
          <w:sz w:val="28"/>
          <w:szCs w:val="28"/>
        </w:rPr>
        <w:t>Third: Discrimination and Societal Abuses</w:t>
      </w:r>
    </w:p>
    <w:p w14:paraId="618BFD0E" w14:textId="77777777" w:rsidR="00237208" w:rsidRPr="00237208" w:rsidRDefault="00237208" w:rsidP="001A0F9A">
      <w:pPr>
        <w:jc w:val="both"/>
        <w:rPr>
          <w:rFonts w:asciiTheme="majorBidi" w:hAnsiTheme="majorBidi" w:cstheme="majorBidi"/>
          <w:sz w:val="24"/>
          <w:szCs w:val="24"/>
        </w:rPr>
      </w:pPr>
      <w:r w:rsidRPr="00237208">
        <w:rPr>
          <w:rFonts w:asciiTheme="majorBidi" w:hAnsiTheme="majorBidi" w:cstheme="majorBidi"/>
          <w:sz w:val="24"/>
          <w:szCs w:val="24"/>
        </w:rPr>
        <w:t>The State of Qatar has made significant efforts to promote human rights, including initiatives aimed at improving the status of women and protecting them from violence and discrimination. Some legislative reforms have been implemented to safeguard women against domestic violence and to promote equality in certain legal aspects. Numerous initiatives have also been launched to empower women in education, employment, and political participation. However, despite these efforts, many challenges remain, particularly regarding laws and practices that continue to discriminate against women in various areas.</w:t>
      </w:r>
    </w:p>
    <w:p w14:paraId="5277F673" w14:textId="77777777" w:rsidR="00237208" w:rsidRPr="00237208" w:rsidRDefault="00237208" w:rsidP="00237208">
      <w:pPr>
        <w:pStyle w:val="ListParagraph"/>
        <w:numPr>
          <w:ilvl w:val="0"/>
          <w:numId w:val="43"/>
        </w:numPr>
        <w:spacing w:line="278" w:lineRule="auto"/>
        <w:jc w:val="both"/>
        <w:rPr>
          <w:rFonts w:asciiTheme="majorBidi" w:hAnsiTheme="majorBidi" w:cstheme="majorBidi"/>
          <w:b/>
          <w:bCs/>
          <w:sz w:val="24"/>
          <w:szCs w:val="24"/>
        </w:rPr>
      </w:pPr>
      <w:r w:rsidRPr="00237208">
        <w:rPr>
          <w:rFonts w:asciiTheme="majorBidi" w:hAnsiTheme="majorBidi" w:cstheme="majorBidi"/>
          <w:b/>
          <w:bCs/>
          <w:sz w:val="24"/>
          <w:szCs w:val="24"/>
        </w:rPr>
        <w:t>Rape and Domestic Violence:</w:t>
      </w:r>
    </w:p>
    <w:p w14:paraId="5F3676FD" w14:textId="77777777" w:rsidR="00237208" w:rsidRPr="00237208" w:rsidRDefault="00237208" w:rsidP="00237208">
      <w:pPr>
        <w:jc w:val="both"/>
        <w:rPr>
          <w:rFonts w:asciiTheme="majorBidi" w:hAnsiTheme="majorBidi" w:cstheme="majorBidi"/>
          <w:sz w:val="24"/>
          <w:szCs w:val="24"/>
        </w:rPr>
      </w:pPr>
      <w:r w:rsidRPr="00237208">
        <w:rPr>
          <w:rFonts w:asciiTheme="majorBidi" w:hAnsiTheme="majorBidi" w:cstheme="majorBidi"/>
          <w:sz w:val="24"/>
          <w:szCs w:val="24"/>
        </w:rPr>
        <w:t xml:space="preserve">Perpetrators of rape face life imprisonment, regardless of the victim's age or gender. If the perpetrator is a relative (other than the husband), a teacher, a guardian, or a caregiver, the penalty can escalate to the death penalty. While the government enforces these laws, Maat notes that </w:t>
      </w:r>
      <w:r w:rsidRPr="00237208">
        <w:rPr>
          <w:rFonts w:asciiTheme="majorBidi" w:hAnsiTheme="majorBidi" w:cstheme="majorBidi"/>
          <w:sz w:val="24"/>
          <w:szCs w:val="24"/>
        </w:rPr>
        <w:lastRenderedPageBreak/>
        <w:t>victims often hesitate to report sexual assaults and gender-based crimes due to the associated social stigma. Survivors of rape may also face criminal prosecution for extramarital sex if authorities believe they consented at any point during the assault. Survivors are sometimes required to provide witnesses to substantiate their claims, particularly if they know the perpetrator. Additionally, there is no specific law that criminalizes domestic violence against spouses or other family members, including domestic workers. According to the National Human Rights Commission, spousal violence can be prosecuted as “general violence” under the Penal Code.</w:t>
      </w:r>
      <w:r w:rsidRPr="00237208">
        <w:rPr>
          <w:rStyle w:val="FootnoteReference"/>
          <w:rFonts w:asciiTheme="majorBidi" w:hAnsiTheme="majorBidi" w:cstheme="majorBidi"/>
          <w:sz w:val="24"/>
          <w:szCs w:val="24"/>
        </w:rPr>
        <w:footnoteReference w:id="7"/>
      </w:r>
    </w:p>
    <w:p w14:paraId="477FA040" w14:textId="77777777" w:rsidR="00237208" w:rsidRPr="00237208" w:rsidRDefault="00237208" w:rsidP="00237208">
      <w:pPr>
        <w:pStyle w:val="ListParagraph"/>
        <w:numPr>
          <w:ilvl w:val="0"/>
          <w:numId w:val="43"/>
        </w:numPr>
        <w:spacing w:line="278" w:lineRule="auto"/>
        <w:jc w:val="both"/>
        <w:rPr>
          <w:rFonts w:asciiTheme="majorBidi" w:hAnsiTheme="majorBidi" w:cstheme="majorBidi"/>
          <w:b/>
          <w:bCs/>
          <w:sz w:val="24"/>
          <w:szCs w:val="24"/>
        </w:rPr>
      </w:pPr>
      <w:r w:rsidRPr="00237208">
        <w:rPr>
          <w:rFonts w:asciiTheme="majorBidi" w:hAnsiTheme="majorBidi" w:cstheme="majorBidi"/>
          <w:b/>
          <w:bCs/>
          <w:sz w:val="24"/>
          <w:szCs w:val="24"/>
        </w:rPr>
        <w:t>Discrimination</w:t>
      </w:r>
    </w:p>
    <w:p w14:paraId="06339703" w14:textId="77777777" w:rsidR="00237208" w:rsidRPr="00237208" w:rsidRDefault="00237208" w:rsidP="00237208">
      <w:pPr>
        <w:jc w:val="both"/>
        <w:rPr>
          <w:rFonts w:asciiTheme="majorBidi" w:hAnsiTheme="majorBidi" w:cstheme="majorBidi"/>
          <w:sz w:val="24"/>
          <w:szCs w:val="24"/>
        </w:rPr>
      </w:pPr>
      <w:r w:rsidRPr="00237208">
        <w:rPr>
          <w:rFonts w:asciiTheme="majorBidi" w:hAnsiTheme="majorBidi" w:cstheme="majorBidi"/>
          <w:sz w:val="24"/>
          <w:szCs w:val="24"/>
        </w:rPr>
        <w:t>The Qatari Constitution guarantees equality of rights and duties for all citizens; however, social and legal discrimination against women persists. Maat observes that although women have the legal right to attend court hearings and represent themselves, they are frequently represented by male relatives. Judges have the discretion to consider a woman’s testimony as half that of a man. In housing laws,</w:t>
      </w:r>
      <w:r w:rsidRPr="00237208">
        <w:rPr>
          <w:rStyle w:val="FootnoteReference"/>
          <w:rFonts w:asciiTheme="majorBidi" w:hAnsiTheme="majorBidi" w:cstheme="majorBidi"/>
          <w:sz w:val="24"/>
          <w:szCs w:val="24"/>
        </w:rPr>
        <w:footnoteReference w:id="8"/>
      </w:r>
      <w:r w:rsidRPr="00237208">
        <w:rPr>
          <w:rFonts w:asciiTheme="majorBidi" w:hAnsiTheme="majorBidi" w:cstheme="majorBidi"/>
          <w:sz w:val="24"/>
          <w:szCs w:val="24"/>
        </w:rPr>
        <w:t xml:space="preserve"> discrimination affects divorced women and those married to non-national men. Qatari men receive government land directly, while divorced women can only access this privilege after five years without remarrying. Women married to non-nationals are ineligible for such land.</w:t>
      </w:r>
    </w:p>
    <w:p w14:paraId="043506D1" w14:textId="77777777" w:rsidR="00237208" w:rsidRPr="00237208" w:rsidRDefault="00237208" w:rsidP="00237208">
      <w:pPr>
        <w:pStyle w:val="ListParagraph"/>
        <w:numPr>
          <w:ilvl w:val="0"/>
          <w:numId w:val="43"/>
        </w:numPr>
        <w:spacing w:line="278" w:lineRule="auto"/>
        <w:jc w:val="both"/>
        <w:rPr>
          <w:rFonts w:asciiTheme="majorBidi" w:hAnsiTheme="majorBidi" w:cstheme="majorBidi"/>
          <w:b/>
          <w:bCs/>
          <w:sz w:val="24"/>
          <w:szCs w:val="24"/>
        </w:rPr>
      </w:pPr>
      <w:r w:rsidRPr="00237208">
        <w:rPr>
          <w:rFonts w:asciiTheme="majorBidi" w:hAnsiTheme="majorBidi" w:cstheme="majorBidi"/>
          <w:b/>
          <w:bCs/>
          <w:sz w:val="24"/>
          <w:szCs w:val="24"/>
        </w:rPr>
        <w:t>Labor Rights and Equality</w:t>
      </w:r>
    </w:p>
    <w:p w14:paraId="0153204D" w14:textId="77777777" w:rsidR="00237208" w:rsidRPr="00237208" w:rsidRDefault="00237208" w:rsidP="00237208">
      <w:pPr>
        <w:jc w:val="both"/>
        <w:rPr>
          <w:rFonts w:asciiTheme="majorBidi" w:hAnsiTheme="majorBidi" w:cstheme="majorBidi"/>
          <w:sz w:val="24"/>
          <w:szCs w:val="24"/>
        </w:rPr>
      </w:pPr>
      <w:r w:rsidRPr="00237208">
        <w:rPr>
          <w:rFonts w:asciiTheme="majorBidi" w:hAnsiTheme="majorBidi" w:cstheme="majorBidi"/>
          <w:sz w:val="24"/>
          <w:szCs w:val="24"/>
        </w:rPr>
        <w:t>Women in Qatar face restrictions on the types of jobs they are allowed to pursue, with certain positions classified as “dangerous,” “immoral,” or “inappropriate” according to the Ministry of Labor’s guidelines. These classifications limit women’s career options and contribute to gender inequality in the labor market. Although Qatari law stipulates that women should receive equal pay for equal work, the application of this principle is inconsistent. Women continue to encounter barriers to obtaining equal opportunities in leadership and decision-making roles, often being excluded from senior positions in both public and private sectors. These restrictions adversely affect women’s ability to achieve balanced representation in positions of influence and to participate in significant economic and social decision-making.</w:t>
      </w:r>
    </w:p>
    <w:p w14:paraId="5ED3DBC7" w14:textId="77777777" w:rsidR="00237208" w:rsidRPr="00237208" w:rsidRDefault="00237208" w:rsidP="00237208">
      <w:pPr>
        <w:jc w:val="both"/>
        <w:rPr>
          <w:rFonts w:asciiTheme="majorBidi" w:hAnsiTheme="majorBidi" w:cstheme="majorBidi"/>
          <w:b/>
          <w:bCs/>
          <w:sz w:val="24"/>
          <w:szCs w:val="24"/>
        </w:rPr>
      </w:pPr>
      <w:r w:rsidRPr="00237208">
        <w:rPr>
          <w:rFonts w:asciiTheme="majorBidi" w:hAnsiTheme="majorBidi" w:cstheme="majorBidi"/>
          <w:b/>
          <w:bCs/>
          <w:sz w:val="24"/>
          <w:szCs w:val="24"/>
        </w:rPr>
        <w:t>Proposed Issues</w:t>
      </w:r>
    </w:p>
    <w:p w14:paraId="00A33D62" w14:textId="77777777" w:rsidR="00237208" w:rsidRPr="00BB0E10" w:rsidRDefault="00237208" w:rsidP="00237208">
      <w:pPr>
        <w:jc w:val="both"/>
        <w:rPr>
          <w:rFonts w:asciiTheme="majorBidi" w:hAnsiTheme="majorBidi" w:cstheme="majorBidi"/>
          <w:b/>
          <w:bCs/>
          <w:sz w:val="24"/>
          <w:szCs w:val="24"/>
        </w:rPr>
      </w:pPr>
      <w:r w:rsidRPr="00BB0E10">
        <w:rPr>
          <w:rFonts w:asciiTheme="majorBidi" w:hAnsiTheme="majorBidi" w:cstheme="majorBidi"/>
          <w:b/>
          <w:bCs/>
          <w:sz w:val="24"/>
          <w:szCs w:val="24"/>
        </w:rPr>
        <w:t>Maat hopes that the Committee will inquire of the State:</w:t>
      </w:r>
    </w:p>
    <w:p w14:paraId="11769526" w14:textId="77777777" w:rsidR="00237208" w:rsidRPr="00237208" w:rsidRDefault="00237208" w:rsidP="00237208">
      <w:pPr>
        <w:pStyle w:val="ListParagraph"/>
        <w:numPr>
          <w:ilvl w:val="0"/>
          <w:numId w:val="44"/>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lastRenderedPageBreak/>
        <w:t>Why is there no specific law addressing domestic violence against spouses or other family members, including domestic workers? How is domestic violence managed under criminal law?</w:t>
      </w:r>
    </w:p>
    <w:p w14:paraId="0D447D4B" w14:textId="77777777" w:rsidR="00237208" w:rsidRPr="00237208" w:rsidRDefault="00237208" w:rsidP="00237208">
      <w:pPr>
        <w:pStyle w:val="ListParagraph"/>
        <w:numPr>
          <w:ilvl w:val="0"/>
          <w:numId w:val="44"/>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What steps are being taken to rectify discrimination against women in housing laws, particularly concerning the rights of divorced women or those married to non-Qatari men?</w:t>
      </w:r>
    </w:p>
    <w:p w14:paraId="178764DA" w14:textId="77777777" w:rsidR="00237208" w:rsidRPr="00237208" w:rsidRDefault="00237208" w:rsidP="00237208">
      <w:pPr>
        <w:pStyle w:val="ListParagraph"/>
        <w:numPr>
          <w:ilvl w:val="0"/>
          <w:numId w:val="44"/>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Are there legislative reforms aimed at ensuring gender equality across all legal and social areas?</w:t>
      </w:r>
    </w:p>
    <w:p w14:paraId="4034BCAD" w14:textId="77777777" w:rsidR="00237208" w:rsidRPr="00237208" w:rsidRDefault="00237208" w:rsidP="00237208">
      <w:pPr>
        <w:pStyle w:val="ListParagraph"/>
        <w:numPr>
          <w:ilvl w:val="0"/>
          <w:numId w:val="44"/>
        </w:numPr>
        <w:spacing w:line="278" w:lineRule="auto"/>
        <w:jc w:val="both"/>
        <w:rPr>
          <w:rFonts w:asciiTheme="majorBidi" w:hAnsiTheme="majorBidi" w:cstheme="majorBidi"/>
          <w:sz w:val="24"/>
          <w:szCs w:val="24"/>
        </w:rPr>
      </w:pPr>
      <w:r w:rsidRPr="00237208">
        <w:rPr>
          <w:rFonts w:asciiTheme="majorBidi" w:hAnsiTheme="majorBidi" w:cstheme="majorBidi"/>
          <w:sz w:val="24"/>
          <w:szCs w:val="24"/>
        </w:rPr>
        <w:t>What measures are being implemented to ensure balanced representation of women in leadership and decision-making positions in both public and private sectors?</w:t>
      </w:r>
    </w:p>
    <w:p w14:paraId="6FC6308C" w14:textId="65BB111F" w:rsidR="006B1AFB" w:rsidRPr="00FE6805" w:rsidRDefault="00237208" w:rsidP="00FE6805">
      <w:pPr>
        <w:pStyle w:val="ListParagraph"/>
        <w:numPr>
          <w:ilvl w:val="0"/>
          <w:numId w:val="44"/>
        </w:numPr>
        <w:spacing w:line="278" w:lineRule="auto"/>
        <w:jc w:val="both"/>
        <w:rPr>
          <w:rFonts w:asciiTheme="majorBidi" w:hAnsiTheme="majorBidi" w:cstheme="majorBidi"/>
          <w:sz w:val="24"/>
          <w:szCs w:val="24"/>
          <w:rtl/>
        </w:rPr>
      </w:pPr>
      <w:r w:rsidRPr="00237208">
        <w:rPr>
          <w:rFonts w:asciiTheme="majorBidi" w:hAnsiTheme="majorBidi" w:cstheme="majorBidi"/>
          <w:sz w:val="24"/>
          <w:szCs w:val="24"/>
        </w:rPr>
        <w:t>How do the Qatari authorities address the challenges facing women in the labor market, such as restrictions on certain jobs and classifications deemed “dangerous” or “immoral” for women?</w:t>
      </w:r>
    </w:p>
    <w:sectPr w:rsidR="006B1AFB" w:rsidRPr="00FE6805"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0283F" w14:textId="77777777" w:rsidR="00E47C87" w:rsidRDefault="00E47C87" w:rsidP="004F6D5A">
      <w:pPr>
        <w:spacing w:after="0" w:line="240" w:lineRule="auto"/>
      </w:pPr>
      <w:r>
        <w:separator/>
      </w:r>
    </w:p>
  </w:endnote>
  <w:endnote w:type="continuationSeparator" w:id="0">
    <w:p w14:paraId="47111836" w14:textId="77777777" w:rsidR="00E47C87" w:rsidRDefault="00E47C87"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92BCC" w14:textId="77777777" w:rsidR="00E47C87" w:rsidRDefault="00E47C87" w:rsidP="004F6D5A">
      <w:pPr>
        <w:spacing w:after="0" w:line="240" w:lineRule="auto"/>
      </w:pPr>
      <w:r>
        <w:separator/>
      </w:r>
    </w:p>
  </w:footnote>
  <w:footnote w:type="continuationSeparator" w:id="0">
    <w:p w14:paraId="4291C81C" w14:textId="77777777" w:rsidR="00E47C87" w:rsidRDefault="00E47C87" w:rsidP="004F6D5A">
      <w:pPr>
        <w:spacing w:after="0" w:line="240" w:lineRule="auto"/>
      </w:pPr>
      <w:r>
        <w:continuationSeparator/>
      </w:r>
    </w:p>
  </w:footnote>
  <w:footnote w:id="1">
    <w:p w14:paraId="0ED97C19" w14:textId="77777777" w:rsidR="00237208" w:rsidRPr="004F2EB9" w:rsidRDefault="00237208" w:rsidP="00237208">
      <w:pPr>
        <w:pStyle w:val="FootnoteText"/>
        <w:rPr>
          <w:rFonts w:asciiTheme="majorBidi" w:hAnsiTheme="majorBidi" w:cstheme="majorBidi"/>
          <w:sz w:val="16"/>
          <w:szCs w:val="16"/>
        </w:rPr>
      </w:pPr>
      <w:r w:rsidRPr="004F2EB9">
        <w:rPr>
          <w:rStyle w:val="FootnoteReference"/>
          <w:rFonts w:asciiTheme="majorBidi" w:hAnsiTheme="majorBidi" w:cstheme="majorBidi"/>
          <w:sz w:val="16"/>
          <w:szCs w:val="16"/>
        </w:rPr>
        <w:footnoteRef/>
      </w:r>
      <w:r w:rsidRPr="004F2EB9">
        <w:rPr>
          <w:rFonts w:asciiTheme="majorBidi" w:hAnsiTheme="majorBidi" w:cstheme="majorBidi"/>
          <w:sz w:val="16"/>
          <w:szCs w:val="16"/>
        </w:rPr>
        <w:t xml:space="preserve"> </w:t>
      </w:r>
      <w:r w:rsidRPr="004F2EB9">
        <w:rPr>
          <w:rFonts w:asciiTheme="majorBidi" w:hAnsiTheme="majorBidi" w:cstheme="majorBidi"/>
          <w:color w:val="000000"/>
          <w:sz w:val="16"/>
          <w:szCs w:val="16"/>
        </w:rPr>
        <w:t xml:space="preserve">Qatar's Constitution: </w:t>
      </w:r>
      <w:hyperlink r:id="rId1">
        <w:r w:rsidRPr="004F2EB9">
          <w:rPr>
            <w:rFonts w:asciiTheme="majorBidi" w:hAnsiTheme="majorBidi" w:cstheme="majorBidi"/>
            <w:color w:val="467886"/>
            <w:sz w:val="16"/>
            <w:szCs w:val="16"/>
            <w:u w:val="single"/>
          </w:rPr>
          <w:t>https://www.moj.gov.qa/ar/p/permanent_constitution_state_qatar_en.pdf</w:t>
        </w:r>
      </w:hyperlink>
    </w:p>
  </w:footnote>
  <w:footnote w:id="2">
    <w:p w14:paraId="487A7BEF" w14:textId="77777777" w:rsidR="00237208" w:rsidRPr="004F2EB9" w:rsidRDefault="00237208" w:rsidP="00237208">
      <w:pPr>
        <w:pStyle w:val="FootnoteText"/>
        <w:rPr>
          <w:rFonts w:asciiTheme="majorBidi" w:hAnsiTheme="majorBidi" w:cstheme="majorBidi"/>
          <w:sz w:val="16"/>
          <w:szCs w:val="16"/>
        </w:rPr>
      </w:pPr>
      <w:r w:rsidRPr="004F2EB9">
        <w:rPr>
          <w:rStyle w:val="FootnoteReference"/>
          <w:rFonts w:asciiTheme="majorBidi" w:hAnsiTheme="majorBidi" w:cstheme="majorBidi"/>
          <w:sz w:val="16"/>
          <w:szCs w:val="16"/>
        </w:rPr>
        <w:footnoteRef/>
      </w:r>
      <w:r w:rsidRPr="004F2EB9">
        <w:rPr>
          <w:rFonts w:asciiTheme="majorBidi" w:hAnsiTheme="majorBidi" w:cstheme="majorBidi"/>
          <w:sz w:val="16"/>
          <w:szCs w:val="16"/>
        </w:rPr>
        <w:t xml:space="preserve"> </w:t>
      </w:r>
      <w:r w:rsidRPr="004F2EB9">
        <w:rPr>
          <w:rFonts w:asciiTheme="majorBidi" w:hAnsiTheme="majorBidi" w:cstheme="majorBidi"/>
          <w:color w:val="000000"/>
          <w:sz w:val="16"/>
          <w:szCs w:val="16"/>
        </w:rPr>
        <w:t xml:space="preserve">Qatari Penal Code (Law No. 11 of 2004): </w:t>
      </w:r>
      <w:hyperlink r:id="rId2">
        <w:r w:rsidRPr="004F2EB9">
          <w:rPr>
            <w:rFonts w:asciiTheme="majorBidi" w:hAnsiTheme="majorBidi" w:cstheme="majorBidi"/>
            <w:color w:val="467886"/>
            <w:sz w:val="16"/>
            <w:szCs w:val="16"/>
            <w:u w:val="single"/>
          </w:rPr>
          <w:t>https://adsdatabase.ohchr.org/IssueLibrary/QATAR_%20Penal%20Code.pdf</w:t>
        </w:r>
      </w:hyperlink>
    </w:p>
  </w:footnote>
  <w:footnote w:id="3">
    <w:p w14:paraId="1DF16A26" w14:textId="77777777" w:rsidR="00237208" w:rsidRPr="004F2EB9" w:rsidRDefault="00237208" w:rsidP="00237208">
      <w:pPr>
        <w:pStyle w:val="FootnoteText"/>
        <w:rPr>
          <w:rFonts w:asciiTheme="majorBidi" w:hAnsiTheme="majorBidi" w:cstheme="majorBidi"/>
          <w:sz w:val="16"/>
          <w:szCs w:val="16"/>
        </w:rPr>
      </w:pPr>
      <w:r w:rsidRPr="004F2EB9">
        <w:rPr>
          <w:rStyle w:val="FootnoteReference"/>
          <w:rFonts w:asciiTheme="majorBidi" w:hAnsiTheme="majorBidi" w:cstheme="majorBidi"/>
          <w:sz w:val="16"/>
          <w:szCs w:val="16"/>
        </w:rPr>
        <w:footnoteRef/>
      </w:r>
      <w:r w:rsidRPr="004F2EB9">
        <w:rPr>
          <w:rFonts w:asciiTheme="majorBidi" w:hAnsiTheme="majorBidi" w:cstheme="majorBidi"/>
          <w:sz w:val="16"/>
          <w:szCs w:val="16"/>
        </w:rPr>
        <w:t xml:space="preserve"> </w:t>
      </w:r>
      <w:r w:rsidRPr="004F2EB9">
        <w:rPr>
          <w:rFonts w:asciiTheme="majorBidi" w:hAnsiTheme="majorBidi" w:cstheme="majorBidi"/>
          <w:color w:val="000000"/>
          <w:sz w:val="16"/>
          <w:szCs w:val="16"/>
        </w:rPr>
        <w:t xml:space="preserve">Qatari Family Law (Law No. 22 of 2006): </w:t>
      </w:r>
      <w:hyperlink r:id="rId3">
        <w:r w:rsidRPr="004F2EB9">
          <w:rPr>
            <w:rFonts w:asciiTheme="majorBidi" w:hAnsiTheme="majorBidi" w:cstheme="majorBidi"/>
            <w:color w:val="467886"/>
            <w:sz w:val="16"/>
            <w:szCs w:val="16"/>
            <w:u w:val="single"/>
          </w:rPr>
          <w:t>https://www.ius.uzh.ch/dam/jcr:00000000-74d3-1f02-ffff-ffff87068da3/Law_22_2006_2558.pdf</w:t>
        </w:r>
      </w:hyperlink>
    </w:p>
  </w:footnote>
  <w:footnote w:id="4">
    <w:p w14:paraId="518203FA" w14:textId="77777777" w:rsidR="00237208" w:rsidRPr="004F2EB9" w:rsidRDefault="00237208" w:rsidP="00237208">
      <w:pPr>
        <w:pStyle w:val="FootnoteText"/>
        <w:rPr>
          <w:rFonts w:asciiTheme="majorBidi" w:hAnsiTheme="majorBidi" w:cstheme="majorBidi"/>
          <w:sz w:val="16"/>
          <w:szCs w:val="16"/>
        </w:rPr>
      </w:pPr>
      <w:r w:rsidRPr="004F2EB9">
        <w:rPr>
          <w:rStyle w:val="FootnoteReference"/>
          <w:rFonts w:asciiTheme="majorBidi" w:hAnsiTheme="majorBidi" w:cstheme="majorBidi"/>
          <w:sz w:val="16"/>
          <w:szCs w:val="16"/>
        </w:rPr>
        <w:footnoteRef/>
      </w:r>
      <w:r w:rsidRPr="004F2EB9">
        <w:rPr>
          <w:rFonts w:asciiTheme="majorBidi" w:hAnsiTheme="majorBidi" w:cstheme="majorBidi"/>
          <w:sz w:val="16"/>
          <w:szCs w:val="16"/>
        </w:rPr>
        <w:t xml:space="preserve"> </w:t>
      </w:r>
      <w:r w:rsidRPr="004F2EB9">
        <w:rPr>
          <w:rFonts w:asciiTheme="majorBidi" w:hAnsiTheme="majorBidi" w:cstheme="majorBidi"/>
          <w:color w:val="000000"/>
          <w:sz w:val="16"/>
          <w:szCs w:val="16"/>
        </w:rPr>
        <w:t xml:space="preserve">Qatari Nationality Law No. 38 of 2005: </w:t>
      </w:r>
      <w:hyperlink r:id="rId4">
        <w:r w:rsidRPr="004F2EB9">
          <w:rPr>
            <w:rFonts w:asciiTheme="majorBidi" w:hAnsiTheme="majorBidi" w:cstheme="majorBidi"/>
            <w:color w:val="467886"/>
            <w:sz w:val="16"/>
            <w:szCs w:val="16"/>
            <w:u w:val="single"/>
          </w:rPr>
          <w:t>https://www.refworld.org/legal/legislation/natlegbod/2005/en/101711</w:t>
        </w:r>
      </w:hyperlink>
    </w:p>
  </w:footnote>
  <w:footnote w:id="5">
    <w:p w14:paraId="03DF754D" w14:textId="77777777" w:rsidR="00237208" w:rsidRPr="004F2EB9" w:rsidRDefault="00237208" w:rsidP="00237208">
      <w:pPr>
        <w:pStyle w:val="FootnoteText"/>
        <w:rPr>
          <w:rFonts w:asciiTheme="majorBidi" w:hAnsiTheme="majorBidi" w:cstheme="majorBidi"/>
          <w:sz w:val="16"/>
          <w:szCs w:val="16"/>
        </w:rPr>
      </w:pPr>
      <w:r w:rsidRPr="004F2EB9">
        <w:rPr>
          <w:rStyle w:val="FootnoteReference"/>
          <w:rFonts w:asciiTheme="majorBidi" w:hAnsiTheme="majorBidi" w:cstheme="majorBidi"/>
          <w:sz w:val="16"/>
          <w:szCs w:val="16"/>
        </w:rPr>
        <w:footnoteRef/>
      </w:r>
      <w:r w:rsidRPr="004F2EB9">
        <w:rPr>
          <w:rFonts w:asciiTheme="majorBidi" w:hAnsiTheme="majorBidi" w:cstheme="majorBidi"/>
          <w:sz w:val="16"/>
          <w:szCs w:val="16"/>
        </w:rPr>
        <w:t xml:space="preserve"> </w:t>
      </w:r>
      <w:r w:rsidRPr="004F2EB9">
        <w:rPr>
          <w:rFonts w:asciiTheme="majorBidi" w:hAnsiTheme="majorBidi" w:cstheme="majorBidi"/>
          <w:color w:val="000000"/>
          <w:sz w:val="16"/>
          <w:szCs w:val="16"/>
        </w:rPr>
        <w:t xml:space="preserve">Domestic Workers Law (2021), Qatar: </w:t>
      </w:r>
      <w:hyperlink r:id="rId5" w:anchor=":~:text=In%20March%202021%2C%20Qatar%20introduced,or%20offer%20these%20in%20kind">
        <w:r w:rsidRPr="004F2EB9">
          <w:rPr>
            <w:rFonts w:asciiTheme="majorBidi" w:hAnsiTheme="majorBidi" w:cstheme="majorBidi"/>
            <w:color w:val="467886"/>
            <w:sz w:val="16"/>
            <w:szCs w:val="16"/>
            <w:u w:val="single"/>
          </w:rPr>
          <w:t>https://www.gco.gov.qa/en/media-centre/in-focus/labour-reform/#:~:text=In%20March%202021%2C%20Qatar%20introduced,or%20offer%20these%20in%20kind</w:t>
        </w:r>
      </w:hyperlink>
    </w:p>
  </w:footnote>
  <w:footnote w:id="6">
    <w:p w14:paraId="2EA3B888" w14:textId="77777777" w:rsidR="00237208" w:rsidRPr="004F2EB9" w:rsidRDefault="00237208" w:rsidP="00237208">
      <w:pPr>
        <w:pStyle w:val="FootnoteText"/>
        <w:rPr>
          <w:rFonts w:asciiTheme="majorBidi" w:hAnsiTheme="majorBidi" w:cstheme="majorBidi"/>
          <w:sz w:val="16"/>
          <w:szCs w:val="16"/>
        </w:rPr>
      </w:pPr>
      <w:r w:rsidRPr="004F2EB9">
        <w:rPr>
          <w:rStyle w:val="FootnoteReference"/>
          <w:rFonts w:asciiTheme="majorBidi" w:hAnsiTheme="majorBidi" w:cstheme="majorBidi"/>
          <w:sz w:val="16"/>
          <w:szCs w:val="16"/>
        </w:rPr>
        <w:footnoteRef/>
      </w:r>
      <w:r w:rsidRPr="004F2EB9">
        <w:rPr>
          <w:rFonts w:asciiTheme="majorBidi" w:hAnsiTheme="majorBidi" w:cstheme="majorBidi"/>
          <w:sz w:val="16"/>
          <w:szCs w:val="16"/>
        </w:rPr>
        <w:t xml:space="preserve"> </w:t>
      </w:r>
      <w:r w:rsidRPr="004F2EB9">
        <w:rPr>
          <w:rFonts w:asciiTheme="majorBidi" w:hAnsiTheme="majorBidi" w:cstheme="majorBidi"/>
          <w:color w:val="000000"/>
          <w:sz w:val="16"/>
          <w:szCs w:val="16"/>
        </w:rPr>
        <w:t xml:space="preserve">Labor Law Reforms (2020), Qatar: </w:t>
      </w:r>
      <w:hyperlink r:id="rId6">
        <w:r w:rsidRPr="004F2EB9">
          <w:rPr>
            <w:rFonts w:asciiTheme="majorBidi" w:hAnsiTheme="majorBidi" w:cstheme="majorBidi"/>
            <w:color w:val="467886"/>
            <w:sz w:val="16"/>
            <w:szCs w:val="16"/>
            <w:u w:val="single"/>
          </w:rPr>
          <w:t>https://www.ilo.org/sites/default/files/wcmsp5/groups/public/@arabstates/@ro-beirut/@ilo-qatar/documents/publication/wcms_859843.pdf</w:t>
        </w:r>
      </w:hyperlink>
    </w:p>
  </w:footnote>
  <w:footnote w:id="7">
    <w:p w14:paraId="59EAFDAA" w14:textId="77777777" w:rsidR="00237208" w:rsidRPr="004F2EB9" w:rsidRDefault="00237208" w:rsidP="00237208">
      <w:pPr>
        <w:pStyle w:val="FootnoteText"/>
        <w:rPr>
          <w:rFonts w:asciiTheme="majorBidi" w:hAnsiTheme="majorBidi" w:cstheme="majorBidi"/>
          <w:sz w:val="16"/>
          <w:szCs w:val="16"/>
        </w:rPr>
      </w:pPr>
      <w:r w:rsidRPr="004F2EB9">
        <w:rPr>
          <w:rStyle w:val="FootnoteReference"/>
          <w:rFonts w:asciiTheme="majorBidi" w:hAnsiTheme="majorBidi" w:cstheme="majorBidi"/>
          <w:sz w:val="16"/>
          <w:szCs w:val="16"/>
        </w:rPr>
        <w:footnoteRef/>
      </w:r>
      <w:r w:rsidRPr="004F2EB9">
        <w:rPr>
          <w:rFonts w:asciiTheme="majorBidi" w:hAnsiTheme="majorBidi" w:cstheme="majorBidi"/>
          <w:sz w:val="16"/>
          <w:szCs w:val="16"/>
        </w:rPr>
        <w:t xml:space="preserve"> </w:t>
      </w:r>
      <w:r w:rsidRPr="004F2EB9">
        <w:rPr>
          <w:rFonts w:asciiTheme="majorBidi" w:hAnsiTheme="majorBidi" w:cstheme="majorBidi"/>
          <w:color w:val="000000"/>
          <w:sz w:val="16"/>
          <w:szCs w:val="16"/>
        </w:rPr>
        <w:t xml:space="preserve">Qatari Penal Code (Law No. 11 of 2004): </w:t>
      </w:r>
      <w:hyperlink r:id="rId7">
        <w:r w:rsidRPr="004F2EB9">
          <w:rPr>
            <w:rFonts w:asciiTheme="majorBidi" w:hAnsiTheme="majorBidi" w:cstheme="majorBidi"/>
            <w:color w:val="467886"/>
            <w:sz w:val="16"/>
            <w:szCs w:val="16"/>
            <w:u w:val="single"/>
          </w:rPr>
          <w:t>https://adsdatabase.ohchr.org/IssueLibrary/QATAR_%20Penal%20Code.pdf</w:t>
        </w:r>
      </w:hyperlink>
    </w:p>
  </w:footnote>
  <w:footnote w:id="8">
    <w:p w14:paraId="27124ECE" w14:textId="77777777" w:rsidR="00237208" w:rsidRPr="004F2EB9" w:rsidRDefault="00237208" w:rsidP="00237208">
      <w:pPr>
        <w:pStyle w:val="FootnoteText"/>
        <w:rPr>
          <w:rFonts w:asciiTheme="majorBidi" w:hAnsiTheme="majorBidi" w:cstheme="majorBidi"/>
          <w:sz w:val="16"/>
          <w:szCs w:val="16"/>
        </w:rPr>
      </w:pPr>
      <w:r w:rsidRPr="004F2EB9">
        <w:rPr>
          <w:rStyle w:val="FootnoteReference"/>
          <w:rFonts w:asciiTheme="majorBidi" w:hAnsiTheme="majorBidi" w:cstheme="majorBidi"/>
          <w:sz w:val="16"/>
          <w:szCs w:val="16"/>
        </w:rPr>
        <w:footnoteRef/>
      </w:r>
      <w:r w:rsidRPr="004F2EB9">
        <w:rPr>
          <w:rFonts w:asciiTheme="majorBidi" w:hAnsiTheme="majorBidi" w:cstheme="majorBidi"/>
          <w:sz w:val="16"/>
          <w:szCs w:val="16"/>
        </w:rPr>
        <w:t xml:space="preserve"> </w:t>
      </w:r>
      <w:r w:rsidRPr="004F2EB9">
        <w:rPr>
          <w:rFonts w:asciiTheme="majorBidi" w:hAnsiTheme="majorBidi" w:cstheme="majorBidi"/>
          <w:color w:val="000000"/>
          <w:sz w:val="16"/>
          <w:szCs w:val="16"/>
        </w:rPr>
        <w:t xml:space="preserve">Housing Laws in Qatar: </w:t>
      </w:r>
      <w:hyperlink r:id="rId8">
        <w:r w:rsidRPr="004F2EB9">
          <w:rPr>
            <w:rFonts w:asciiTheme="majorBidi" w:hAnsiTheme="majorBidi" w:cstheme="majorBidi"/>
            <w:color w:val="467886"/>
            <w:sz w:val="16"/>
            <w:szCs w:val="16"/>
            <w:u w:val="single"/>
          </w:rPr>
          <w:t>https://almeezan.qa/LawView.aspx?opt&amp;LawID=2586&amp;language=en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24C84"/>
    <w:multiLevelType w:val="hybridMultilevel"/>
    <w:tmpl w:val="1E5AC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B342C5"/>
    <w:multiLevelType w:val="hybridMultilevel"/>
    <w:tmpl w:val="97ECD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2B402C"/>
    <w:multiLevelType w:val="hybridMultilevel"/>
    <w:tmpl w:val="3D00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B25A1D"/>
    <w:multiLevelType w:val="hybridMultilevel"/>
    <w:tmpl w:val="9BD84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8"/>
  </w:num>
  <w:num w:numId="2" w16cid:durableId="319427900">
    <w:abstractNumId w:val="6"/>
  </w:num>
  <w:num w:numId="3" w16cid:durableId="483819352">
    <w:abstractNumId w:val="1"/>
  </w:num>
  <w:num w:numId="4" w16cid:durableId="1550531087">
    <w:abstractNumId w:val="14"/>
  </w:num>
  <w:num w:numId="5" w16cid:durableId="365302262">
    <w:abstractNumId w:val="3"/>
  </w:num>
  <w:num w:numId="6" w16cid:durableId="1490904455">
    <w:abstractNumId w:val="33"/>
  </w:num>
  <w:num w:numId="7" w16cid:durableId="1975796718">
    <w:abstractNumId w:val="38"/>
  </w:num>
  <w:num w:numId="8" w16cid:durableId="168910388">
    <w:abstractNumId w:val="41"/>
  </w:num>
  <w:num w:numId="9" w16cid:durableId="864364265">
    <w:abstractNumId w:val="30"/>
  </w:num>
  <w:num w:numId="10" w16cid:durableId="1110662610">
    <w:abstractNumId w:val="34"/>
  </w:num>
  <w:num w:numId="11" w16cid:durableId="48504678">
    <w:abstractNumId w:val="24"/>
  </w:num>
  <w:num w:numId="12" w16cid:durableId="1057243330">
    <w:abstractNumId w:val="40"/>
  </w:num>
  <w:num w:numId="13" w16cid:durableId="113838224">
    <w:abstractNumId w:val="22"/>
  </w:num>
  <w:num w:numId="14" w16cid:durableId="1819300015">
    <w:abstractNumId w:val="9"/>
  </w:num>
  <w:num w:numId="15" w16cid:durableId="1354769003">
    <w:abstractNumId w:val="29"/>
  </w:num>
  <w:num w:numId="16" w16cid:durableId="765884069">
    <w:abstractNumId w:val="15"/>
  </w:num>
  <w:num w:numId="17" w16cid:durableId="1830708544">
    <w:abstractNumId w:val="0"/>
  </w:num>
  <w:num w:numId="18" w16cid:durableId="1195772453">
    <w:abstractNumId w:val="19"/>
  </w:num>
  <w:num w:numId="19" w16cid:durableId="116266373">
    <w:abstractNumId w:val="2"/>
  </w:num>
  <w:num w:numId="20" w16cid:durableId="1165899663">
    <w:abstractNumId w:val="11"/>
  </w:num>
  <w:num w:numId="21" w16cid:durableId="1921870603">
    <w:abstractNumId w:val="43"/>
  </w:num>
  <w:num w:numId="22" w16cid:durableId="1106846340">
    <w:abstractNumId w:val="13"/>
  </w:num>
  <w:num w:numId="23" w16cid:durableId="1120413215">
    <w:abstractNumId w:val="17"/>
  </w:num>
  <w:num w:numId="24" w16cid:durableId="884490536">
    <w:abstractNumId w:val="31"/>
  </w:num>
  <w:num w:numId="25" w16cid:durableId="1098991049">
    <w:abstractNumId w:val="36"/>
  </w:num>
  <w:num w:numId="26" w16cid:durableId="631596808">
    <w:abstractNumId w:val="10"/>
  </w:num>
  <w:num w:numId="27" w16cid:durableId="1306087360">
    <w:abstractNumId w:val="8"/>
  </w:num>
  <w:num w:numId="28" w16cid:durableId="909191109">
    <w:abstractNumId w:val="26"/>
  </w:num>
  <w:num w:numId="29" w16cid:durableId="556204899">
    <w:abstractNumId w:val="27"/>
  </w:num>
  <w:num w:numId="30" w16cid:durableId="1668284805">
    <w:abstractNumId w:val="16"/>
  </w:num>
  <w:num w:numId="31" w16cid:durableId="1777868951">
    <w:abstractNumId w:val="23"/>
  </w:num>
  <w:num w:numId="32" w16cid:durableId="1614898655">
    <w:abstractNumId w:val="7"/>
  </w:num>
  <w:num w:numId="33" w16cid:durableId="364449577">
    <w:abstractNumId w:val="12"/>
  </w:num>
  <w:num w:numId="34" w16cid:durableId="248081818">
    <w:abstractNumId w:val="39"/>
  </w:num>
  <w:num w:numId="35" w16cid:durableId="1742749116">
    <w:abstractNumId w:val="37"/>
  </w:num>
  <w:num w:numId="36" w16cid:durableId="1632056943">
    <w:abstractNumId w:val="28"/>
  </w:num>
  <w:num w:numId="37" w16cid:durableId="16198188">
    <w:abstractNumId w:val="35"/>
  </w:num>
  <w:num w:numId="38" w16cid:durableId="995642619">
    <w:abstractNumId w:val="20"/>
  </w:num>
  <w:num w:numId="39" w16cid:durableId="1951429902">
    <w:abstractNumId w:val="42"/>
  </w:num>
  <w:num w:numId="40" w16cid:durableId="1660618793">
    <w:abstractNumId w:val="21"/>
  </w:num>
  <w:num w:numId="41" w16cid:durableId="883441895">
    <w:abstractNumId w:val="5"/>
  </w:num>
  <w:num w:numId="42" w16cid:durableId="1363750376">
    <w:abstractNumId w:val="32"/>
  </w:num>
  <w:num w:numId="43" w16cid:durableId="1205872015">
    <w:abstractNumId w:val="4"/>
  </w:num>
  <w:num w:numId="44" w16cid:durableId="15061009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86352"/>
    <w:rsid w:val="00093D9F"/>
    <w:rsid w:val="000A0E24"/>
    <w:rsid w:val="000B5D57"/>
    <w:rsid w:val="000B6F75"/>
    <w:rsid w:val="000C7C14"/>
    <w:rsid w:val="00101544"/>
    <w:rsid w:val="00114CCA"/>
    <w:rsid w:val="00156C09"/>
    <w:rsid w:val="001668A8"/>
    <w:rsid w:val="00196443"/>
    <w:rsid w:val="001A0F9A"/>
    <w:rsid w:val="001A6E66"/>
    <w:rsid w:val="001B13EB"/>
    <w:rsid w:val="001B450B"/>
    <w:rsid w:val="001D532C"/>
    <w:rsid w:val="001D6213"/>
    <w:rsid w:val="001F47FD"/>
    <w:rsid w:val="002257CD"/>
    <w:rsid w:val="002305C5"/>
    <w:rsid w:val="00237208"/>
    <w:rsid w:val="00284AAE"/>
    <w:rsid w:val="0028723E"/>
    <w:rsid w:val="002876FE"/>
    <w:rsid w:val="002D0B34"/>
    <w:rsid w:val="002D5B01"/>
    <w:rsid w:val="002D65A3"/>
    <w:rsid w:val="002D7273"/>
    <w:rsid w:val="003216C7"/>
    <w:rsid w:val="00326F85"/>
    <w:rsid w:val="003319F3"/>
    <w:rsid w:val="003439F7"/>
    <w:rsid w:val="00360DAB"/>
    <w:rsid w:val="00372B51"/>
    <w:rsid w:val="0038184B"/>
    <w:rsid w:val="00383811"/>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2641"/>
    <w:rsid w:val="0091285A"/>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F7FD1"/>
    <w:rsid w:val="00B01D47"/>
    <w:rsid w:val="00B23185"/>
    <w:rsid w:val="00B35D5B"/>
    <w:rsid w:val="00B36D64"/>
    <w:rsid w:val="00B50DC2"/>
    <w:rsid w:val="00B53978"/>
    <w:rsid w:val="00B66916"/>
    <w:rsid w:val="00B76BA7"/>
    <w:rsid w:val="00BA7411"/>
    <w:rsid w:val="00BB0E10"/>
    <w:rsid w:val="00BB10FB"/>
    <w:rsid w:val="00BB2414"/>
    <w:rsid w:val="00BB2E0C"/>
    <w:rsid w:val="00BC2D2E"/>
    <w:rsid w:val="00BC41A1"/>
    <w:rsid w:val="00BE6F35"/>
    <w:rsid w:val="00BF1B11"/>
    <w:rsid w:val="00C0706B"/>
    <w:rsid w:val="00C26FE4"/>
    <w:rsid w:val="00C34E13"/>
    <w:rsid w:val="00C47923"/>
    <w:rsid w:val="00C86D0C"/>
    <w:rsid w:val="00CC193E"/>
    <w:rsid w:val="00CC2F15"/>
    <w:rsid w:val="00CC606D"/>
    <w:rsid w:val="00CD3720"/>
    <w:rsid w:val="00CD5381"/>
    <w:rsid w:val="00D01C6A"/>
    <w:rsid w:val="00D11899"/>
    <w:rsid w:val="00D500E7"/>
    <w:rsid w:val="00D56CB6"/>
    <w:rsid w:val="00D57B63"/>
    <w:rsid w:val="00D674C8"/>
    <w:rsid w:val="00DB04A9"/>
    <w:rsid w:val="00DB5AB9"/>
    <w:rsid w:val="00DC35AC"/>
    <w:rsid w:val="00DE35AB"/>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533B4"/>
    <w:rsid w:val="00F56B3D"/>
    <w:rsid w:val="00F60E10"/>
    <w:rsid w:val="00F715CB"/>
    <w:rsid w:val="00F72F2C"/>
    <w:rsid w:val="00F8429A"/>
    <w:rsid w:val="00F871C7"/>
    <w:rsid w:val="00F94355"/>
    <w:rsid w:val="00FA13E3"/>
    <w:rsid w:val="00FA5CD7"/>
    <w:rsid w:val="00FE6606"/>
    <w:rsid w:val="00FE68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almeezan.qa/LawView.aspx?opt&amp;LawID=2586&amp;language=en" TargetMode="External"/><Relationship Id="rId3" Type="http://schemas.openxmlformats.org/officeDocument/2006/relationships/hyperlink" Target="https://www.ius.uzh.ch/dam/jcr:00000000-74d3-1f02-ffff-ffff87068da3/Law_22_2006_2558.pdf" TargetMode="External"/><Relationship Id="rId7" Type="http://schemas.openxmlformats.org/officeDocument/2006/relationships/hyperlink" Target="https://adsdatabase.ohchr.org/IssueLibrary/QATAR_%20Penal%20Code.pdf" TargetMode="External"/><Relationship Id="rId2" Type="http://schemas.openxmlformats.org/officeDocument/2006/relationships/hyperlink" Target="https://adsdatabase.ohchr.org/IssueLibrary/QATAR_%20Penal%20Code.pdf" TargetMode="External"/><Relationship Id="rId1" Type="http://schemas.openxmlformats.org/officeDocument/2006/relationships/hyperlink" Target="https://www.moj.gov.qa/ar/p/permanent_constitution_state_qatar_en.pdf" TargetMode="External"/><Relationship Id="rId6" Type="http://schemas.openxmlformats.org/officeDocument/2006/relationships/hyperlink" Target="https://www.ilo.org/sites/default/files/wcmsp5/groups/public/@arabstates/@ro-beirut/@ilo-qatar/documents/publication/wcms_859843.pdf" TargetMode="External"/><Relationship Id="rId5" Type="http://schemas.openxmlformats.org/officeDocument/2006/relationships/hyperlink" Target="https://www.gco.gov.qa/en/media-centre/in-focus/labour-reform/" TargetMode="External"/><Relationship Id="rId4" Type="http://schemas.openxmlformats.org/officeDocument/2006/relationships/hyperlink" Target="https://www.refworld.org/legal/legislation/natlegbod/2005/en/10171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2025-01-27T16:05:34+00:00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D4ABAD8A-0755-4726-85C2-5DA67677AD5E}"/>
</file>

<file path=customXml/itemProps3.xml><?xml version="1.0" encoding="utf-8"?>
<ds:datastoreItem xmlns:ds="http://schemas.openxmlformats.org/officeDocument/2006/customXml" ds:itemID="{B26D53E7-02BC-449E-BE18-851105DF6EC5}"/>
</file>

<file path=customXml/itemProps4.xml><?xml version="1.0" encoding="utf-8"?>
<ds:datastoreItem xmlns:ds="http://schemas.openxmlformats.org/officeDocument/2006/customXml" ds:itemID="{C7FAF052-7884-48DD-9AF2-5BAED4EB95C9}"/>
</file>

<file path=docProps/app.xml><?xml version="1.0" encoding="utf-8"?>
<Properties xmlns="http://schemas.openxmlformats.org/officeDocument/2006/extended-properties" xmlns:vt="http://schemas.openxmlformats.org/officeDocument/2006/docPropsVTypes">
  <Template>Normal</Template>
  <TotalTime>3</TotalTime>
  <Pages>6</Pages>
  <Words>1895</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2025-01-06T12:56:00Z</dcterms:created>
  <dcterms:modified xsi:type="dcterms:W3CDTF">2025-01-06T12:56:00Z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0x010100A3CFA62B47352B44BFD11BEB9CD9FD5A</vt:lpwstr>
  </property>
</Properties>
</file>