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AMENAZAS Y RESTRICCIONES QUE AFECTAN EL DERECHO A ELEGIR EN VENEZUELA </w:t>
      </w:r>
    </w:p>
    <w:p w:rsidR="00000000" w:rsidDel="00000000" w:rsidP="00000000" w:rsidRDefault="00000000" w:rsidRPr="00000000" w14:paraId="00000002">
      <w:pPr>
        <w:jc w:val="left"/>
        <w:rPr>
          <w:b w:val="1"/>
          <w:sz w:val="24"/>
          <w:szCs w:val="24"/>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rtl w:val="0"/>
        </w:rPr>
      </w:r>
    </w:p>
    <w:p w:rsidR="00000000" w:rsidDel="00000000" w:rsidP="00000000" w:rsidRDefault="00000000" w:rsidRPr="00000000" w14:paraId="00000004">
      <w:pPr>
        <w:jc w:val="center"/>
        <w:rPr>
          <w:b w:val="1"/>
          <w:sz w:val="24"/>
          <w:szCs w:val="24"/>
        </w:rPr>
      </w:pPr>
      <w:r w:rsidDel="00000000" w:rsidR="00000000" w:rsidRPr="00000000">
        <w:rPr>
          <w:b w:val="1"/>
          <w:sz w:val="24"/>
          <w:szCs w:val="24"/>
          <w:rtl w:val="0"/>
        </w:rPr>
        <w:t xml:space="preserve">Informe sombra de la sociedad civil al examen del quinto informe periódico de la República Bolivariana de Venezuela</w:t>
      </w:r>
    </w:p>
    <w:p w:rsidR="00000000" w:rsidDel="00000000" w:rsidP="00000000" w:rsidRDefault="00000000" w:rsidRPr="00000000" w14:paraId="00000005">
      <w:pPr>
        <w:jc w:val="center"/>
        <w:rPr>
          <w:b w:val="1"/>
          <w:sz w:val="24"/>
          <w:szCs w:val="24"/>
        </w:rPr>
      </w:pPr>
      <w:r w:rsidDel="00000000" w:rsidR="00000000" w:rsidRPr="00000000">
        <w:rPr>
          <w:b w:val="1"/>
          <w:sz w:val="24"/>
          <w:szCs w:val="24"/>
          <w:rtl w:val="0"/>
        </w:rPr>
        <w:t xml:space="preserve">Pacto internacional de Derechos Civiles y Políticos </w:t>
      </w:r>
    </w:p>
    <w:p w:rsidR="00000000" w:rsidDel="00000000" w:rsidP="00000000" w:rsidRDefault="00000000" w:rsidRPr="00000000" w14:paraId="00000006">
      <w:pPr>
        <w:jc w:val="center"/>
        <w:rPr>
          <w:b w:val="1"/>
          <w:sz w:val="24"/>
          <w:szCs w:val="24"/>
        </w:rPr>
      </w:pPr>
      <w:r w:rsidDel="00000000" w:rsidR="00000000" w:rsidRPr="00000000">
        <w:rPr>
          <w:b w:val="1"/>
          <w:sz w:val="24"/>
          <w:szCs w:val="24"/>
          <w:rtl w:val="0"/>
        </w:rPr>
        <w:t xml:space="preserve">139° Periodo de Sesiones</w:t>
      </w:r>
    </w:p>
    <w:p w:rsidR="00000000" w:rsidDel="00000000" w:rsidP="00000000" w:rsidRDefault="00000000" w:rsidRPr="00000000" w14:paraId="00000007">
      <w:pPr>
        <w:jc w:val="center"/>
        <w:rPr>
          <w:b w:val="1"/>
          <w:sz w:val="24"/>
          <w:szCs w:val="24"/>
        </w:rPr>
      </w:pPr>
      <w:r w:rsidDel="00000000" w:rsidR="00000000" w:rsidRPr="00000000">
        <w:rPr>
          <w:rtl w:val="0"/>
        </w:rPr>
      </w:r>
    </w:p>
    <w:p w:rsidR="00000000" w:rsidDel="00000000" w:rsidP="00000000" w:rsidRDefault="00000000" w:rsidRPr="00000000" w14:paraId="00000008">
      <w:pPr>
        <w:jc w:val="center"/>
        <w:rPr>
          <w:b w:val="1"/>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jc w:val="center"/>
        <w:rPr>
          <w:b w:val="1"/>
          <w:sz w:val="24"/>
          <w:szCs w:val="24"/>
        </w:rPr>
      </w:pPr>
      <w:r w:rsidDel="00000000" w:rsidR="00000000" w:rsidRPr="00000000">
        <w:rPr>
          <w:b w:val="1"/>
          <w:sz w:val="24"/>
          <w:szCs w:val="24"/>
        </w:rPr>
        <w:drawing>
          <wp:inline distB="114300" distT="114300" distL="114300" distR="114300">
            <wp:extent cx="1360650" cy="1360650"/>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360650" cy="136065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b w:val="1"/>
          <w:sz w:val="24"/>
          <w:szCs w:val="24"/>
        </w:rPr>
      </w:pPr>
      <w:r w:rsidDel="00000000" w:rsidR="00000000" w:rsidRPr="00000000">
        <w:rPr>
          <w:rtl w:val="0"/>
        </w:rPr>
      </w:r>
    </w:p>
    <w:p w:rsidR="00000000" w:rsidDel="00000000" w:rsidP="00000000" w:rsidRDefault="00000000" w:rsidRPr="00000000" w14:paraId="0000000C">
      <w:pPr>
        <w:jc w:val="cente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4"/>
          <w:szCs w:val="24"/>
        </w:rPr>
        <w:drawing>
          <wp:inline distB="114300" distT="114300" distL="114300" distR="114300">
            <wp:extent cx="911629" cy="636891"/>
            <wp:effectExtent b="0" l="0" r="0" t="0"/>
            <wp:docPr id="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911629" cy="636891"/>
                    </a:xfrm>
                    <a:prstGeom prst="rect"/>
                    <a:ln/>
                  </pic:spPr>
                </pic:pic>
              </a:graphicData>
            </a:graphic>
          </wp:inline>
        </w:drawing>
      </w:r>
      <w:r w:rsidDel="00000000" w:rsidR="00000000" w:rsidRPr="00000000">
        <w:rPr>
          <w:b w:val="1"/>
          <w:sz w:val="24"/>
          <w:szCs w:val="24"/>
          <w:rtl w:val="0"/>
        </w:rPr>
        <w:t xml:space="preserve">                     </w:t>
      </w:r>
      <w:r w:rsidDel="00000000" w:rsidR="00000000" w:rsidRPr="00000000">
        <w:rPr>
          <w:b w:val="1"/>
          <w:sz w:val="24"/>
          <w:szCs w:val="24"/>
        </w:rPr>
        <w:drawing>
          <wp:inline distB="114300" distT="114300" distL="114300" distR="114300">
            <wp:extent cx="1799226" cy="715659"/>
            <wp:effectExtent b="0" l="0" r="0" t="0"/>
            <wp:docPr id="6" name="image1.png"/>
            <a:graphic>
              <a:graphicData uri="http://schemas.openxmlformats.org/drawingml/2006/picture">
                <pic:pic>
                  <pic:nvPicPr>
                    <pic:cNvPr id="0" name="image1.png"/>
                    <pic:cNvPicPr preferRelativeResize="0"/>
                  </pic:nvPicPr>
                  <pic:blipFill>
                    <a:blip r:embed="rId12"/>
                    <a:srcRect b="35626" l="10666" r="10000" t="32748"/>
                    <a:stretch>
                      <a:fillRect/>
                    </a:stretch>
                  </pic:blipFill>
                  <pic:spPr>
                    <a:xfrm>
                      <a:off x="0" y="0"/>
                      <a:ext cx="1799226" cy="715659"/>
                    </a:xfrm>
                    <a:prstGeom prst="rect"/>
                    <a:ln/>
                  </pic:spPr>
                </pic:pic>
              </a:graphicData>
            </a:graphic>
          </wp:inline>
        </w:drawing>
      </w:r>
      <w:r w:rsidDel="00000000" w:rsidR="00000000" w:rsidRPr="00000000">
        <w:rPr>
          <w:b w:val="1"/>
          <w:sz w:val="24"/>
          <w:szCs w:val="24"/>
          <w:rtl w:val="0"/>
        </w:rPr>
        <w:t xml:space="preserve">   </w:t>
      </w:r>
      <w:r w:rsidDel="00000000" w:rsidR="00000000" w:rsidRPr="00000000">
        <w:rPr>
          <w:b w:val="1"/>
          <w:sz w:val="24"/>
          <w:szCs w:val="24"/>
        </w:rPr>
        <w:drawing>
          <wp:inline distB="114300" distT="114300" distL="114300" distR="114300">
            <wp:extent cx="1559135" cy="876151"/>
            <wp:effectExtent b="0" l="0" r="0" t="0"/>
            <wp:docPr id="8"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559135" cy="876151"/>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b w:val="1"/>
          <w:sz w:val="24"/>
          <w:szCs w:val="24"/>
        </w:rPr>
      </w:pPr>
      <w:r w:rsidDel="00000000" w:rsidR="00000000" w:rsidRPr="00000000">
        <w:rPr>
          <w:rtl w:val="0"/>
        </w:rPr>
      </w:r>
    </w:p>
    <w:p w:rsidR="00000000" w:rsidDel="00000000" w:rsidP="00000000" w:rsidRDefault="00000000" w:rsidRPr="00000000" w14:paraId="0000000F">
      <w:pPr>
        <w:jc w:val="both"/>
        <w:rPr>
          <w:b w:val="1"/>
          <w:sz w:val="24"/>
          <w:szCs w:val="24"/>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b w:val="1"/>
          <w:sz w:val="24"/>
          <w:szCs w:val="24"/>
          <w:rtl w:val="0"/>
        </w:rPr>
        <w:t xml:space="preserve">Presentado por la Red Electoral Ciudadana (REC)</w:t>
      </w:r>
      <w:r w:rsidDel="00000000" w:rsidR="00000000" w:rsidRPr="00000000">
        <w:rPr>
          <w:sz w:val="24"/>
          <w:szCs w:val="24"/>
          <w:rtl w:val="0"/>
        </w:rPr>
        <w:t xml:space="preserve">:  iniciativa que une a organizaciones y ciudadanía de la sociedad civil para articular acciones dirigidas a fortalecer los derechos civiles y políticos de los venezolanos, basándose en los estándares internacionales de Derechos Humanos y las obligaciones del Estado establecidas en la Constitución de la República Bolivariana de Venezuela. </w:t>
      </w:r>
    </w:p>
    <w:p w:rsidR="00000000" w:rsidDel="00000000" w:rsidP="00000000" w:rsidRDefault="00000000" w:rsidRPr="00000000" w14:paraId="00000011">
      <w:pPr>
        <w:jc w:val="center"/>
        <w:rPr>
          <w:b w:val="1"/>
          <w:sz w:val="24"/>
          <w:szCs w:val="24"/>
        </w:rPr>
      </w:pP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b w:val="1"/>
          <w:sz w:val="24"/>
          <w:szCs w:val="24"/>
          <w:rtl w:val="0"/>
        </w:rPr>
        <w:t xml:space="preserve">Contacto:</w:t>
      </w:r>
      <w:r w:rsidDel="00000000" w:rsidR="00000000" w:rsidRPr="00000000">
        <w:rPr>
          <w:sz w:val="24"/>
          <w:szCs w:val="24"/>
          <w:rtl w:val="0"/>
        </w:rPr>
        <w:t xml:space="preserve"> somosvotojoven</w:t>
      </w:r>
      <w:hyperlink r:id="rId14">
        <w:r w:rsidDel="00000000" w:rsidR="00000000" w:rsidRPr="00000000">
          <w:rPr>
            <w:sz w:val="24"/>
            <w:szCs w:val="24"/>
            <w:rtl w:val="0"/>
          </w:rPr>
          <w:t xml:space="preserve">@</w:t>
        </w:r>
      </w:hyperlink>
      <w:r w:rsidDel="00000000" w:rsidR="00000000" w:rsidRPr="00000000">
        <w:rPr>
          <w:sz w:val="24"/>
          <w:szCs w:val="24"/>
          <w:rtl w:val="0"/>
        </w:rPr>
        <w:t xml:space="preserve">gmail.com. </w:t>
      </w:r>
    </w:p>
    <w:p w:rsidR="00000000" w:rsidDel="00000000" w:rsidP="00000000" w:rsidRDefault="00000000" w:rsidRPr="00000000" w14:paraId="00000014">
      <w:pPr>
        <w:rPr>
          <w:b w:val="1"/>
          <w:sz w:val="24"/>
          <w:szCs w:val="24"/>
        </w:rPr>
      </w:pPr>
      <w:r w:rsidDel="00000000" w:rsidR="00000000" w:rsidRPr="00000000">
        <w:rPr>
          <w:rtl w:val="0"/>
        </w:rPr>
      </w:r>
    </w:p>
    <w:p w:rsidR="00000000" w:rsidDel="00000000" w:rsidP="00000000" w:rsidRDefault="00000000" w:rsidRPr="00000000" w14:paraId="00000015">
      <w:pPr>
        <w:rPr>
          <w:b w:val="1"/>
          <w:sz w:val="24"/>
          <w:szCs w:val="24"/>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b w:val="1"/>
          <w:sz w:val="24"/>
          <w:szCs w:val="24"/>
          <w:rtl w:val="0"/>
        </w:rPr>
        <w:t xml:space="preserve">Organizaciones autoras: </w:t>
      </w:r>
    </w:p>
    <w:p w:rsidR="00000000" w:rsidDel="00000000" w:rsidP="00000000" w:rsidRDefault="00000000" w:rsidRPr="00000000" w14:paraId="00000017">
      <w:pPr>
        <w:rPr>
          <w:sz w:val="24"/>
          <w:szCs w:val="24"/>
        </w:rPr>
      </w:pPr>
      <w:r w:rsidDel="00000000" w:rsidR="00000000" w:rsidRPr="00000000">
        <w:rPr>
          <w:sz w:val="24"/>
          <w:szCs w:val="24"/>
          <w:rtl w:val="0"/>
        </w:rPr>
        <w:t xml:space="preserve">● Centro de Justicia y Paz (CEPAZ) </w:t>
      </w:r>
      <w:r w:rsidDel="00000000" w:rsidR="00000000" w:rsidRPr="00000000">
        <w:rPr>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 El Observatorio Global de Comunicación y Democracia</w:t>
      </w:r>
      <w:r w:rsidDel="00000000" w:rsidR="00000000" w:rsidRPr="00000000">
        <w:rPr>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9">
      <w:pPr>
        <w:rPr>
          <w:b w:val="1"/>
          <w:sz w:val="24"/>
          <w:szCs w:val="24"/>
        </w:rPr>
      </w:pPr>
      <w:r w:rsidDel="00000000" w:rsidR="00000000" w:rsidRPr="00000000">
        <w:rPr>
          <w:sz w:val="24"/>
          <w:szCs w:val="24"/>
          <w:rtl w:val="0"/>
        </w:rPr>
        <w:t xml:space="preserve">● Voto Joven</w:t>
      </w:r>
      <w:r w:rsidDel="00000000" w:rsidR="00000000" w:rsidRPr="00000000">
        <w:rPr>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A">
      <w:pPr>
        <w:jc w:val="center"/>
        <w:rPr>
          <w:b w:val="1"/>
          <w:sz w:val="24"/>
          <w:szCs w:val="24"/>
        </w:rPr>
      </w:pPr>
      <w:r w:rsidDel="00000000" w:rsidR="00000000" w:rsidRPr="00000000">
        <w:rPr>
          <w:b w:val="1"/>
          <w:sz w:val="24"/>
          <w:szCs w:val="24"/>
          <w:rtl w:val="0"/>
        </w:rPr>
        <w:t xml:space="preserve">Tabla de contenidos </w:t>
      </w:r>
    </w:p>
    <w:p w:rsidR="00000000" w:rsidDel="00000000" w:rsidP="00000000" w:rsidRDefault="00000000" w:rsidRPr="00000000" w14:paraId="0000001B">
      <w:pPr>
        <w:jc w:val="center"/>
        <w:rPr>
          <w:b w:val="1"/>
          <w:sz w:val="24"/>
          <w:szCs w:val="24"/>
        </w:rPr>
      </w:pPr>
      <w:r w:rsidDel="00000000" w:rsidR="00000000" w:rsidRPr="00000000">
        <w:rPr>
          <w:rtl w:val="0"/>
        </w:rPr>
      </w:r>
    </w:p>
    <w:p w:rsidR="00000000" w:rsidDel="00000000" w:rsidP="00000000" w:rsidRDefault="00000000" w:rsidRPr="00000000" w14:paraId="0000001C">
      <w:pPr>
        <w:rPr>
          <w:b w:val="1"/>
          <w:sz w:val="24"/>
          <w:szCs w:val="24"/>
        </w:rPr>
      </w:pPr>
      <w:r w:rsidDel="00000000" w:rsidR="00000000" w:rsidRPr="00000000">
        <w:rPr>
          <w:b w:val="1"/>
          <w:sz w:val="24"/>
          <w:szCs w:val="24"/>
          <w:rtl w:val="0"/>
        </w:rPr>
        <w:t xml:space="preserve">        Resumen ejecutivo                                                                                </w:t>
      </w:r>
    </w:p>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        Presentación y metodología                                                                 </w:t>
      </w:r>
    </w:p>
    <w:p w:rsidR="00000000" w:rsidDel="00000000" w:rsidP="00000000" w:rsidRDefault="00000000" w:rsidRPr="00000000" w14:paraId="0000001E">
      <w:pPr>
        <w:numPr>
          <w:ilvl w:val="0"/>
          <w:numId w:val="3"/>
        </w:numPr>
        <w:ind w:left="720" w:hanging="360"/>
        <w:rPr>
          <w:b w:val="1"/>
          <w:sz w:val="24"/>
          <w:szCs w:val="24"/>
          <w:u w:val="none"/>
        </w:rPr>
      </w:pPr>
      <w:r w:rsidDel="00000000" w:rsidR="00000000" w:rsidRPr="00000000">
        <w:rPr>
          <w:b w:val="1"/>
          <w:sz w:val="24"/>
          <w:szCs w:val="24"/>
          <w:rtl w:val="0"/>
        </w:rPr>
        <w:t xml:space="preserve">Derecho a la igualdad entre hombres y mujeres </w:t>
      </w:r>
      <w:r w:rsidDel="00000000" w:rsidR="00000000" w:rsidRPr="00000000">
        <w:rPr>
          <w:b w:val="1"/>
          <w:color w:val="161616"/>
          <w:sz w:val="24"/>
          <w:szCs w:val="24"/>
          <w:highlight w:val="white"/>
          <w:rtl w:val="0"/>
        </w:rPr>
        <w:t xml:space="preserve">en el disfrute de sus derechos civiles y políticos (art. 3).</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1F">
      <w:pPr>
        <w:numPr>
          <w:ilvl w:val="0"/>
          <w:numId w:val="3"/>
        </w:numPr>
        <w:ind w:left="720" w:hanging="360"/>
        <w:rPr>
          <w:b w:val="1"/>
          <w:sz w:val="24"/>
          <w:szCs w:val="24"/>
        </w:rPr>
      </w:pPr>
      <w:r w:rsidDel="00000000" w:rsidR="00000000" w:rsidRPr="00000000">
        <w:rPr>
          <w:b w:val="1"/>
          <w:sz w:val="24"/>
          <w:szCs w:val="24"/>
          <w:rtl w:val="0"/>
        </w:rPr>
        <w:t xml:space="preserve">Derecho  de suspensión de los Estados Parte (art. 4)                                                                           </w:t>
      </w:r>
    </w:p>
    <w:p w:rsidR="00000000" w:rsidDel="00000000" w:rsidP="00000000" w:rsidRDefault="00000000" w:rsidRPr="00000000" w14:paraId="00000020">
      <w:pPr>
        <w:numPr>
          <w:ilvl w:val="0"/>
          <w:numId w:val="3"/>
        </w:numPr>
        <w:ind w:left="720" w:hanging="360"/>
        <w:rPr>
          <w:b w:val="1"/>
          <w:sz w:val="24"/>
          <w:szCs w:val="24"/>
        </w:rPr>
      </w:pPr>
      <w:r w:rsidDel="00000000" w:rsidR="00000000" w:rsidRPr="00000000">
        <w:rPr>
          <w:b w:val="1"/>
          <w:sz w:val="24"/>
          <w:szCs w:val="24"/>
          <w:rtl w:val="0"/>
        </w:rPr>
        <w:t xml:space="preserve">Derecho de libertad de expresión y acceso a la información (art.19)</w:t>
      </w:r>
    </w:p>
    <w:p w:rsidR="00000000" w:rsidDel="00000000" w:rsidP="00000000" w:rsidRDefault="00000000" w:rsidRPr="00000000" w14:paraId="00000021">
      <w:pPr>
        <w:numPr>
          <w:ilvl w:val="0"/>
          <w:numId w:val="3"/>
        </w:numPr>
        <w:ind w:left="720" w:hanging="360"/>
        <w:rPr>
          <w:b w:val="1"/>
          <w:sz w:val="24"/>
          <w:szCs w:val="24"/>
        </w:rPr>
      </w:pPr>
      <w:r w:rsidDel="00000000" w:rsidR="00000000" w:rsidRPr="00000000">
        <w:rPr>
          <w:b w:val="1"/>
          <w:sz w:val="24"/>
          <w:szCs w:val="24"/>
          <w:rtl w:val="0"/>
        </w:rPr>
        <w:t xml:space="preserve">Derecho a elegir y ser elegido (art. 25).</w:t>
      </w:r>
    </w:p>
    <w:p w:rsidR="00000000" w:rsidDel="00000000" w:rsidP="00000000" w:rsidRDefault="00000000" w:rsidRPr="00000000" w14:paraId="00000022">
      <w:pPr>
        <w:rPr>
          <w:b w:val="1"/>
          <w:sz w:val="24"/>
          <w:szCs w:val="24"/>
        </w:rPr>
      </w:pPr>
      <w:r w:rsidDel="00000000" w:rsidR="00000000" w:rsidRPr="00000000">
        <w:rPr>
          <w:rtl w:val="0"/>
        </w:rPr>
      </w:r>
    </w:p>
    <w:p w:rsidR="00000000" w:rsidDel="00000000" w:rsidP="00000000" w:rsidRDefault="00000000" w:rsidRPr="00000000" w14:paraId="00000023">
      <w:pPr>
        <w:jc w:val="left"/>
        <w:rPr>
          <w:b w:val="1"/>
          <w:sz w:val="24"/>
          <w:szCs w:val="24"/>
        </w:rPr>
      </w:pPr>
      <w:r w:rsidDel="00000000" w:rsidR="00000000" w:rsidRPr="00000000">
        <w:rPr>
          <w:rtl w:val="0"/>
        </w:rPr>
      </w:r>
    </w:p>
    <w:p w:rsidR="00000000" w:rsidDel="00000000" w:rsidP="00000000" w:rsidRDefault="00000000" w:rsidRPr="00000000" w14:paraId="00000024">
      <w:pPr>
        <w:jc w:val="left"/>
        <w:rPr>
          <w:b w:val="1"/>
          <w:sz w:val="24"/>
          <w:szCs w:val="24"/>
        </w:rPr>
      </w:pPr>
      <w:r w:rsidDel="00000000" w:rsidR="00000000" w:rsidRPr="00000000">
        <w:rPr>
          <w:rtl w:val="0"/>
        </w:rPr>
      </w:r>
    </w:p>
    <w:p w:rsidR="00000000" w:rsidDel="00000000" w:rsidP="00000000" w:rsidRDefault="00000000" w:rsidRPr="00000000" w14:paraId="00000025">
      <w:pPr>
        <w:jc w:val="left"/>
        <w:rPr>
          <w:b w:val="1"/>
          <w:sz w:val="24"/>
          <w:szCs w:val="24"/>
        </w:rPr>
      </w:pPr>
      <w:r w:rsidDel="00000000" w:rsidR="00000000" w:rsidRPr="00000000">
        <w:rPr>
          <w:rtl w:val="0"/>
        </w:rPr>
      </w:r>
    </w:p>
    <w:p w:rsidR="00000000" w:rsidDel="00000000" w:rsidP="00000000" w:rsidRDefault="00000000" w:rsidRPr="00000000" w14:paraId="00000026">
      <w:pPr>
        <w:jc w:val="left"/>
        <w:rPr>
          <w:b w:val="1"/>
          <w:sz w:val="24"/>
          <w:szCs w:val="24"/>
        </w:rPr>
      </w:pPr>
      <w:r w:rsidDel="00000000" w:rsidR="00000000" w:rsidRPr="00000000">
        <w:rPr>
          <w:rtl w:val="0"/>
        </w:rPr>
      </w:r>
    </w:p>
    <w:p w:rsidR="00000000" w:rsidDel="00000000" w:rsidP="00000000" w:rsidRDefault="00000000" w:rsidRPr="00000000" w14:paraId="00000027">
      <w:pPr>
        <w:jc w:val="left"/>
        <w:rPr>
          <w:b w:val="1"/>
          <w:sz w:val="24"/>
          <w:szCs w:val="24"/>
        </w:rPr>
      </w:pPr>
      <w:r w:rsidDel="00000000" w:rsidR="00000000" w:rsidRPr="00000000">
        <w:rPr>
          <w:rtl w:val="0"/>
        </w:rPr>
      </w:r>
    </w:p>
    <w:p w:rsidR="00000000" w:rsidDel="00000000" w:rsidP="00000000" w:rsidRDefault="00000000" w:rsidRPr="00000000" w14:paraId="00000028">
      <w:pPr>
        <w:jc w:val="left"/>
        <w:rPr>
          <w:b w:val="1"/>
          <w:sz w:val="24"/>
          <w:szCs w:val="24"/>
        </w:rPr>
      </w:pPr>
      <w:r w:rsidDel="00000000" w:rsidR="00000000" w:rsidRPr="00000000">
        <w:rPr>
          <w:rtl w:val="0"/>
        </w:rPr>
      </w:r>
    </w:p>
    <w:p w:rsidR="00000000" w:rsidDel="00000000" w:rsidP="00000000" w:rsidRDefault="00000000" w:rsidRPr="00000000" w14:paraId="00000029">
      <w:pPr>
        <w:jc w:val="left"/>
        <w:rPr>
          <w:b w:val="1"/>
          <w:sz w:val="24"/>
          <w:szCs w:val="24"/>
        </w:rPr>
      </w:pPr>
      <w:r w:rsidDel="00000000" w:rsidR="00000000" w:rsidRPr="00000000">
        <w:rPr>
          <w:rtl w:val="0"/>
        </w:rPr>
      </w:r>
    </w:p>
    <w:p w:rsidR="00000000" w:rsidDel="00000000" w:rsidP="00000000" w:rsidRDefault="00000000" w:rsidRPr="00000000" w14:paraId="0000002A">
      <w:pPr>
        <w:jc w:val="left"/>
        <w:rPr>
          <w:b w:val="1"/>
          <w:sz w:val="24"/>
          <w:szCs w:val="24"/>
        </w:rPr>
      </w:pPr>
      <w:r w:rsidDel="00000000" w:rsidR="00000000" w:rsidRPr="00000000">
        <w:rPr>
          <w:rtl w:val="0"/>
        </w:rPr>
      </w:r>
    </w:p>
    <w:p w:rsidR="00000000" w:rsidDel="00000000" w:rsidP="00000000" w:rsidRDefault="00000000" w:rsidRPr="00000000" w14:paraId="0000002B">
      <w:pPr>
        <w:jc w:val="left"/>
        <w:rPr>
          <w:b w:val="1"/>
          <w:sz w:val="24"/>
          <w:szCs w:val="24"/>
        </w:rPr>
      </w:pPr>
      <w:r w:rsidDel="00000000" w:rsidR="00000000" w:rsidRPr="00000000">
        <w:rPr>
          <w:rtl w:val="0"/>
        </w:rPr>
      </w:r>
    </w:p>
    <w:p w:rsidR="00000000" w:rsidDel="00000000" w:rsidP="00000000" w:rsidRDefault="00000000" w:rsidRPr="00000000" w14:paraId="0000002C">
      <w:pPr>
        <w:jc w:val="left"/>
        <w:rPr>
          <w:b w:val="1"/>
          <w:sz w:val="24"/>
          <w:szCs w:val="24"/>
        </w:rPr>
      </w:pPr>
      <w:r w:rsidDel="00000000" w:rsidR="00000000" w:rsidRPr="00000000">
        <w:rPr>
          <w:rtl w:val="0"/>
        </w:rPr>
      </w:r>
    </w:p>
    <w:p w:rsidR="00000000" w:rsidDel="00000000" w:rsidP="00000000" w:rsidRDefault="00000000" w:rsidRPr="00000000" w14:paraId="0000002D">
      <w:pPr>
        <w:jc w:val="left"/>
        <w:rPr>
          <w:b w:val="1"/>
          <w:sz w:val="24"/>
          <w:szCs w:val="24"/>
        </w:rPr>
      </w:pPr>
      <w:r w:rsidDel="00000000" w:rsidR="00000000" w:rsidRPr="00000000">
        <w:rPr>
          <w:rtl w:val="0"/>
        </w:rPr>
      </w:r>
    </w:p>
    <w:p w:rsidR="00000000" w:rsidDel="00000000" w:rsidP="00000000" w:rsidRDefault="00000000" w:rsidRPr="00000000" w14:paraId="0000002E">
      <w:pPr>
        <w:jc w:val="left"/>
        <w:rPr>
          <w:b w:val="1"/>
          <w:sz w:val="24"/>
          <w:szCs w:val="24"/>
        </w:rPr>
      </w:pPr>
      <w:r w:rsidDel="00000000" w:rsidR="00000000" w:rsidRPr="00000000">
        <w:rPr>
          <w:rtl w:val="0"/>
        </w:rPr>
      </w:r>
    </w:p>
    <w:p w:rsidR="00000000" w:rsidDel="00000000" w:rsidP="00000000" w:rsidRDefault="00000000" w:rsidRPr="00000000" w14:paraId="0000002F">
      <w:pPr>
        <w:jc w:val="left"/>
        <w:rPr>
          <w:b w:val="1"/>
          <w:sz w:val="24"/>
          <w:szCs w:val="24"/>
        </w:rPr>
      </w:pPr>
      <w:r w:rsidDel="00000000" w:rsidR="00000000" w:rsidRPr="00000000">
        <w:rPr>
          <w:rtl w:val="0"/>
        </w:rPr>
      </w:r>
    </w:p>
    <w:p w:rsidR="00000000" w:rsidDel="00000000" w:rsidP="00000000" w:rsidRDefault="00000000" w:rsidRPr="00000000" w14:paraId="00000030">
      <w:pPr>
        <w:jc w:val="left"/>
        <w:rPr>
          <w:b w:val="1"/>
          <w:sz w:val="24"/>
          <w:szCs w:val="24"/>
        </w:rPr>
      </w:pPr>
      <w:r w:rsidDel="00000000" w:rsidR="00000000" w:rsidRPr="00000000">
        <w:rPr>
          <w:rtl w:val="0"/>
        </w:rPr>
      </w:r>
    </w:p>
    <w:p w:rsidR="00000000" w:rsidDel="00000000" w:rsidP="00000000" w:rsidRDefault="00000000" w:rsidRPr="00000000" w14:paraId="00000031">
      <w:pPr>
        <w:jc w:val="left"/>
        <w:rPr>
          <w:b w:val="1"/>
          <w:sz w:val="24"/>
          <w:szCs w:val="24"/>
        </w:rPr>
      </w:pPr>
      <w:r w:rsidDel="00000000" w:rsidR="00000000" w:rsidRPr="00000000">
        <w:rPr>
          <w:rtl w:val="0"/>
        </w:rPr>
      </w:r>
    </w:p>
    <w:p w:rsidR="00000000" w:rsidDel="00000000" w:rsidP="00000000" w:rsidRDefault="00000000" w:rsidRPr="00000000" w14:paraId="00000032">
      <w:pPr>
        <w:jc w:val="left"/>
        <w:rPr>
          <w:b w:val="1"/>
          <w:sz w:val="24"/>
          <w:szCs w:val="24"/>
        </w:rPr>
      </w:pPr>
      <w:r w:rsidDel="00000000" w:rsidR="00000000" w:rsidRPr="00000000">
        <w:rPr>
          <w:rtl w:val="0"/>
        </w:rPr>
      </w:r>
    </w:p>
    <w:p w:rsidR="00000000" w:rsidDel="00000000" w:rsidP="00000000" w:rsidRDefault="00000000" w:rsidRPr="00000000" w14:paraId="00000033">
      <w:pPr>
        <w:jc w:val="left"/>
        <w:rPr>
          <w:b w:val="1"/>
          <w:sz w:val="24"/>
          <w:szCs w:val="24"/>
        </w:rPr>
      </w:pPr>
      <w:r w:rsidDel="00000000" w:rsidR="00000000" w:rsidRPr="00000000">
        <w:rPr>
          <w:rtl w:val="0"/>
        </w:rPr>
      </w:r>
    </w:p>
    <w:p w:rsidR="00000000" w:rsidDel="00000000" w:rsidP="00000000" w:rsidRDefault="00000000" w:rsidRPr="00000000" w14:paraId="00000034">
      <w:pPr>
        <w:jc w:val="left"/>
        <w:rPr>
          <w:b w:val="1"/>
          <w:sz w:val="24"/>
          <w:szCs w:val="24"/>
        </w:rPr>
      </w:pPr>
      <w:r w:rsidDel="00000000" w:rsidR="00000000" w:rsidRPr="00000000">
        <w:rPr>
          <w:rtl w:val="0"/>
        </w:rPr>
      </w:r>
    </w:p>
    <w:p w:rsidR="00000000" w:rsidDel="00000000" w:rsidP="00000000" w:rsidRDefault="00000000" w:rsidRPr="00000000" w14:paraId="00000035">
      <w:pPr>
        <w:jc w:val="left"/>
        <w:rPr>
          <w:b w:val="1"/>
          <w:sz w:val="24"/>
          <w:szCs w:val="24"/>
        </w:rPr>
      </w:pPr>
      <w:r w:rsidDel="00000000" w:rsidR="00000000" w:rsidRPr="00000000">
        <w:rPr>
          <w:rtl w:val="0"/>
        </w:rPr>
      </w:r>
    </w:p>
    <w:p w:rsidR="00000000" w:rsidDel="00000000" w:rsidP="00000000" w:rsidRDefault="00000000" w:rsidRPr="00000000" w14:paraId="00000036">
      <w:pPr>
        <w:jc w:val="left"/>
        <w:rPr>
          <w:b w:val="1"/>
          <w:sz w:val="24"/>
          <w:szCs w:val="24"/>
        </w:rPr>
      </w:pPr>
      <w:r w:rsidDel="00000000" w:rsidR="00000000" w:rsidRPr="00000000">
        <w:rPr>
          <w:rtl w:val="0"/>
        </w:rPr>
      </w:r>
    </w:p>
    <w:p w:rsidR="00000000" w:rsidDel="00000000" w:rsidP="00000000" w:rsidRDefault="00000000" w:rsidRPr="00000000" w14:paraId="00000037">
      <w:pPr>
        <w:jc w:val="left"/>
        <w:rPr>
          <w:b w:val="1"/>
          <w:sz w:val="24"/>
          <w:szCs w:val="24"/>
        </w:rPr>
      </w:pPr>
      <w:r w:rsidDel="00000000" w:rsidR="00000000" w:rsidRPr="00000000">
        <w:rPr>
          <w:rtl w:val="0"/>
        </w:rPr>
      </w:r>
    </w:p>
    <w:p w:rsidR="00000000" w:rsidDel="00000000" w:rsidP="00000000" w:rsidRDefault="00000000" w:rsidRPr="00000000" w14:paraId="00000038">
      <w:pPr>
        <w:jc w:val="left"/>
        <w:rPr>
          <w:b w:val="1"/>
          <w:sz w:val="24"/>
          <w:szCs w:val="24"/>
        </w:rPr>
      </w:pPr>
      <w:r w:rsidDel="00000000" w:rsidR="00000000" w:rsidRPr="00000000">
        <w:rPr>
          <w:rtl w:val="0"/>
        </w:rPr>
      </w:r>
    </w:p>
    <w:p w:rsidR="00000000" w:rsidDel="00000000" w:rsidP="00000000" w:rsidRDefault="00000000" w:rsidRPr="00000000" w14:paraId="00000039">
      <w:pPr>
        <w:jc w:val="left"/>
        <w:rPr>
          <w:b w:val="1"/>
          <w:sz w:val="24"/>
          <w:szCs w:val="24"/>
        </w:rPr>
      </w:pPr>
      <w:r w:rsidDel="00000000" w:rsidR="00000000" w:rsidRPr="00000000">
        <w:rPr>
          <w:rtl w:val="0"/>
        </w:rPr>
      </w:r>
    </w:p>
    <w:p w:rsidR="00000000" w:rsidDel="00000000" w:rsidP="00000000" w:rsidRDefault="00000000" w:rsidRPr="00000000" w14:paraId="0000003A">
      <w:pPr>
        <w:jc w:val="left"/>
        <w:rPr>
          <w:b w:val="1"/>
          <w:sz w:val="24"/>
          <w:szCs w:val="24"/>
        </w:rPr>
      </w:pPr>
      <w:r w:rsidDel="00000000" w:rsidR="00000000" w:rsidRPr="00000000">
        <w:rPr>
          <w:rtl w:val="0"/>
        </w:rPr>
      </w:r>
    </w:p>
    <w:p w:rsidR="00000000" w:rsidDel="00000000" w:rsidP="00000000" w:rsidRDefault="00000000" w:rsidRPr="00000000" w14:paraId="0000003B">
      <w:pPr>
        <w:jc w:val="left"/>
        <w:rPr>
          <w:b w:val="1"/>
          <w:sz w:val="24"/>
          <w:szCs w:val="24"/>
        </w:rPr>
      </w:pPr>
      <w:r w:rsidDel="00000000" w:rsidR="00000000" w:rsidRPr="00000000">
        <w:rPr>
          <w:rtl w:val="0"/>
        </w:rPr>
      </w:r>
    </w:p>
    <w:p w:rsidR="00000000" w:rsidDel="00000000" w:rsidP="00000000" w:rsidRDefault="00000000" w:rsidRPr="00000000" w14:paraId="0000003C">
      <w:pPr>
        <w:jc w:val="left"/>
        <w:rPr>
          <w:b w:val="1"/>
          <w:sz w:val="24"/>
          <w:szCs w:val="24"/>
        </w:rPr>
      </w:pPr>
      <w:r w:rsidDel="00000000" w:rsidR="00000000" w:rsidRPr="00000000">
        <w:rPr>
          <w:rtl w:val="0"/>
        </w:rPr>
      </w:r>
    </w:p>
    <w:p w:rsidR="00000000" w:rsidDel="00000000" w:rsidP="00000000" w:rsidRDefault="00000000" w:rsidRPr="00000000" w14:paraId="0000003D">
      <w:pPr>
        <w:jc w:val="left"/>
        <w:rPr>
          <w:b w:val="1"/>
          <w:sz w:val="24"/>
          <w:szCs w:val="24"/>
        </w:rPr>
      </w:pPr>
      <w:r w:rsidDel="00000000" w:rsidR="00000000" w:rsidRPr="00000000">
        <w:rPr>
          <w:rtl w:val="0"/>
        </w:rPr>
      </w:r>
    </w:p>
    <w:p w:rsidR="00000000" w:rsidDel="00000000" w:rsidP="00000000" w:rsidRDefault="00000000" w:rsidRPr="00000000" w14:paraId="0000003E">
      <w:pPr>
        <w:jc w:val="left"/>
        <w:rPr>
          <w:b w:val="1"/>
          <w:sz w:val="24"/>
          <w:szCs w:val="24"/>
        </w:rPr>
      </w:pPr>
      <w:r w:rsidDel="00000000" w:rsidR="00000000" w:rsidRPr="00000000">
        <w:rPr>
          <w:rtl w:val="0"/>
        </w:rPr>
      </w:r>
    </w:p>
    <w:p w:rsidR="00000000" w:rsidDel="00000000" w:rsidP="00000000" w:rsidRDefault="00000000" w:rsidRPr="00000000" w14:paraId="0000003F">
      <w:pPr>
        <w:jc w:val="left"/>
        <w:rPr>
          <w:b w:val="1"/>
          <w:sz w:val="24"/>
          <w:szCs w:val="24"/>
        </w:rPr>
      </w:pPr>
      <w:r w:rsidDel="00000000" w:rsidR="00000000" w:rsidRPr="00000000">
        <w:rPr>
          <w:rtl w:val="0"/>
        </w:rPr>
      </w:r>
    </w:p>
    <w:p w:rsidR="00000000" w:rsidDel="00000000" w:rsidP="00000000" w:rsidRDefault="00000000" w:rsidRPr="00000000" w14:paraId="00000040">
      <w:pPr>
        <w:jc w:val="left"/>
        <w:rPr>
          <w:b w:val="1"/>
          <w:sz w:val="24"/>
          <w:szCs w:val="24"/>
        </w:rPr>
      </w:pPr>
      <w:r w:rsidDel="00000000" w:rsidR="00000000" w:rsidRPr="00000000">
        <w:rPr>
          <w:rtl w:val="0"/>
        </w:rPr>
      </w:r>
    </w:p>
    <w:p w:rsidR="00000000" w:rsidDel="00000000" w:rsidP="00000000" w:rsidRDefault="00000000" w:rsidRPr="00000000" w14:paraId="00000041">
      <w:pPr>
        <w:jc w:val="left"/>
        <w:rPr>
          <w:b w:val="1"/>
          <w:sz w:val="24"/>
          <w:szCs w:val="24"/>
        </w:rPr>
      </w:pPr>
      <w:r w:rsidDel="00000000" w:rsidR="00000000" w:rsidRPr="00000000">
        <w:rPr>
          <w:rtl w:val="0"/>
        </w:rPr>
      </w:r>
    </w:p>
    <w:p w:rsidR="00000000" w:rsidDel="00000000" w:rsidP="00000000" w:rsidRDefault="00000000" w:rsidRPr="00000000" w14:paraId="00000042">
      <w:pPr>
        <w:jc w:val="left"/>
        <w:rPr>
          <w:b w:val="1"/>
          <w:sz w:val="24"/>
          <w:szCs w:val="24"/>
        </w:rPr>
      </w:pPr>
      <w:r w:rsidDel="00000000" w:rsidR="00000000" w:rsidRPr="00000000">
        <w:rPr>
          <w:rtl w:val="0"/>
        </w:rPr>
      </w:r>
    </w:p>
    <w:p w:rsidR="00000000" w:rsidDel="00000000" w:rsidP="00000000" w:rsidRDefault="00000000" w:rsidRPr="00000000" w14:paraId="00000043">
      <w:pPr>
        <w:jc w:val="left"/>
        <w:rPr>
          <w:b w:val="1"/>
          <w:sz w:val="24"/>
          <w:szCs w:val="24"/>
        </w:rPr>
      </w:pPr>
      <w:r w:rsidDel="00000000" w:rsidR="00000000" w:rsidRPr="00000000">
        <w:rPr>
          <w:rtl w:val="0"/>
        </w:rPr>
      </w:r>
    </w:p>
    <w:p w:rsidR="00000000" w:rsidDel="00000000" w:rsidP="00000000" w:rsidRDefault="00000000" w:rsidRPr="00000000" w14:paraId="00000044">
      <w:pPr>
        <w:jc w:val="left"/>
        <w:rPr>
          <w:b w:val="1"/>
          <w:sz w:val="24"/>
          <w:szCs w:val="24"/>
        </w:rPr>
      </w:pPr>
      <w:r w:rsidDel="00000000" w:rsidR="00000000" w:rsidRPr="00000000">
        <w:rPr>
          <w:rtl w:val="0"/>
        </w:rPr>
      </w:r>
    </w:p>
    <w:p w:rsidR="00000000" w:rsidDel="00000000" w:rsidP="00000000" w:rsidRDefault="00000000" w:rsidRPr="00000000" w14:paraId="00000045">
      <w:pPr>
        <w:jc w:val="left"/>
        <w:rPr>
          <w:b w:val="1"/>
          <w:color w:val="000000"/>
          <w:sz w:val="24"/>
          <w:szCs w:val="24"/>
        </w:rPr>
      </w:pPr>
      <w:r w:rsidDel="00000000" w:rsidR="00000000" w:rsidRPr="00000000">
        <w:rPr>
          <w:b w:val="1"/>
          <w:color w:val="000000"/>
          <w:sz w:val="24"/>
          <w:szCs w:val="24"/>
          <w:rtl w:val="0"/>
        </w:rPr>
        <w:t xml:space="preserve">INFORME SOBRE LAS AMENAZAS Y RESTRICCIONES EN LOS COMICIOS (2015-202</w:t>
      </w:r>
      <w:r w:rsidDel="00000000" w:rsidR="00000000" w:rsidRPr="00000000">
        <w:rPr>
          <w:b w:val="1"/>
          <w:sz w:val="24"/>
          <w:szCs w:val="24"/>
          <w:rtl w:val="0"/>
        </w:rPr>
        <w:t xml:space="preserve">3</w:t>
      </w:r>
      <w:r w:rsidDel="00000000" w:rsidR="00000000" w:rsidRPr="00000000">
        <w:rPr>
          <w:b w:val="1"/>
          <w:color w:val="000000"/>
          <w:sz w:val="24"/>
          <w:szCs w:val="24"/>
          <w:rtl w:val="0"/>
        </w:rPr>
        <w:t xml:space="preserve">)</w:t>
      </w:r>
    </w:p>
    <w:p w:rsidR="00000000" w:rsidDel="00000000" w:rsidP="00000000" w:rsidRDefault="00000000" w:rsidRPr="00000000" w14:paraId="00000046">
      <w:pPr>
        <w:jc w:val="left"/>
        <w:rPr>
          <w:b w:val="1"/>
          <w:sz w:val="24"/>
          <w:szCs w:val="24"/>
        </w:rPr>
      </w:pPr>
      <w:r w:rsidDel="00000000" w:rsidR="00000000" w:rsidRPr="00000000">
        <w:rPr>
          <w:rtl w:val="0"/>
        </w:rPr>
      </w:r>
    </w:p>
    <w:p w:rsidR="00000000" w:rsidDel="00000000" w:rsidP="00000000" w:rsidRDefault="00000000" w:rsidRPr="00000000" w14:paraId="00000047">
      <w:pPr>
        <w:rPr>
          <w:b w:val="1"/>
          <w:sz w:val="24"/>
          <w:szCs w:val="24"/>
        </w:rPr>
      </w:pPr>
      <w:r w:rsidDel="00000000" w:rsidR="00000000" w:rsidRPr="00000000">
        <w:rPr>
          <w:b w:val="1"/>
          <w:sz w:val="24"/>
          <w:szCs w:val="24"/>
          <w:rtl w:val="0"/>
        </w:rPr>
        <w:t xml:space="preserve">Resumen ejecutivo:</w:t>
      </w:r>
    </w:p>
    <w:p w:rsidR="00000000" w:rsidDel="00000000" w:rsidP="00000000" w:rsidRDefault="00000000" w:rsidRPr="00000000" w14:paraId="00000048">
      <w:pPr>
        <w:rPr>
          <w:b w:val="1"/>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El presente informe documental con fuentes secundarias, elaborado por Voto Joven sobre las amenazas y restricciones efectuadas por el Estado venezolano en los comicios de los años 2015-2023, aborda una serie significativa de violaciones a los derechos civiles y políticos consagrados en el Pacto Internacional de los Derechos Civiles y Políticos  (</w:t>
      </w:r>
      <w:sdt>
        <w:sdtPr>
          <w:tag w:val="goog_rdk_0"/>
        </w:sdtPr>
        <w:sdtContent>
          <w:commentRangeStart w:id="0"/>
        </w:sdtContent>
      </w:sdt>
      <w:r w:rsidDel="00000000" w:rsidR="00000000" w:rsidRPr="00000000">
        <w:rPr>
          <w:sz w:val="24"/>
          <w:szCs w:val="24"/>
          <w:rtl w:val="0"/>
        </w:rPr>
        <w:t xml:space="preserve">ICCPR</w:t>
      </w:r>
      <w:commentRangeEnd w:id="0"/>
      <w:r w:rsidDel="00000000" w:rsidR="00000000" w:rsidRPr="00000000">
        <w:commentReference w:id="0"/>
      </w:r>
      <w:r w:rsidDel="00000000" w:rsidR="00000000" w:rsidRPr="00000000">
        <w:rPr>
          <w:sz w:val="24"/>
          <w:szCs w:val="24"/>
          <w:rtl w:val="0"/>
        </w:rPr>
        <w:t xml:space="preserve">), que comprometen al Estado venezolano con el incumplimiento de sus obligaciones de proteger y garantizar lo establecido en la normativa internacional.</w:t>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sz w:val="24"/>
          <w:szCs w:val="24"/>
        </w:rPr>
      </w:pPr>
      <w:r w:rsidDel="00000000" w:rsidR="00000000" w:rsidRPr="00000000">
        <w:rPr>
          <w:sz w:val="24"/>
          <w:szCs w:val="24"/>
          <w:rtl w:val="0"/>
        </w:rPr>
        <w:t xml:space="preserve">El derecho de la ciudadanía a participar e incidir en los asuntos públicos en Venezuela, ha sido afectado profundamente, dando pie a la documentación de irregularidades constantes en torno a judicializaciones de actores políticos de la oposición, coacción a la libertad de expresión,  omisión del debido proceso y</w:t>
      </w:r>
      <w:r w:rsidDel="00000000" w:rsidR="00000000" w:rsidRPr="00000000">
        <w:rPr>
          <w:color w:val="000000"/>
          <w:sz w:val="24"/>
          <w:szCs w:val="24"/>
          <w:rtl w:val="0"/>
        </w:rPr>
        <w:t xml:space="preserve"> la aplicación de </w:t>
      </w:r>
      <w:r w:rsidDel="00000000" w:rsidR="00000000" w:rsidRPr="00000000">
        <w:rPr>
          <w:sz w:val="24"/>
          <w:szCs w:val="24"/>
          <w:rtl w:val="0"/>
        </w:rPr>
        <w:t xml:space="preserve">leyes</w:t>
      </w:r>
      <w:r w:rsidDel="00000000" w:rsidR="00000000" w:rsidRPr="00000000">
        <w:rPr>
          <w:color w:val="000000"/>
          <w:sz w:val="24"/>
          <w:szCs w:val="24"/>
          <w:rtl w:val="0"/>
        </w:rPr>
        <w:t xml:space="preserve"> e interpretaciones judiciales que consolidaron políticas d</w:t>
      </w:r>
      <w:r w:rsidDel="00000000" w:rsidR="00000000" w:rsidRPr="00000000">
        <w:rPr>
          <w:sz w:val="24"/>
          <w:szCs w:val="24"/>
          <w:rtl w:val="0"/>
        </w:rPr>
        <w:t xml:space="preserve">e desplazamiento y deslegitimación de la sociedad civil. </w:t>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color w:val="000000"/>
          <w:sz w:val="24"/>
          <w:szCs w:val="24"/>
        </w:rPr>
      </w:pPr>
      <w:r w:rsidDel="00000000" w:rsidR="00000000" w:rsidRPr="00000000">
        <w:rPr>
          <w:sz w:val="24"/>
          <w:szCs w:val="24"/>
          <w:rtl w:val="0"/>
        </w:rPr>
        <w:t xml:space="preserve">Siguiendo la misma línea discursiva,</w:t>
      </w:r>
      <w:r w:rsidDel="00000000" w:rsidR="00000000" w:rsidRPr="00000000">
        <w:rPr>
          <w:color w:val="000000"/>
          <w:sz w:val="24"/>
          <w:szCs w:val="24"/>
          <w:rtl w:val="0"/>
        </w:rPr>
        <w:t xml:space="preserve"> </w:t>
      </w:r>
      <w:r w:rsidDel="00000000" w:rsidR="00000000" w:rsidRPr="00000000">
        <w:rPr>
          <w:sz w:val="24"/>
          <w:szCs w:val="24"/>
          <w:rtl w:val="0"/>
        </w:rPr>
        <w:t xml:space="preserve">e</w:t>
      </w:r>
      <w:r w:rsidDel="00000000" w:rsidR="00000000" w:rsidRPr="00000000">
        <w:rPr>
          <w:color w:val="000000"/>
          <w:sz w:val="24"/>
          <w:szCs w:val="24"/>
          <w:rtl w:val="0"/>
        </w:rPr>
        <w:t xml:space="preserve">n Venezuela</w:t>
      </w:r>
      <w:r w:rsidDel="00000000" w:rsidR="00000000" w:rsidRPr="00000000">
        <w:rPr>
          <w:sz w:val="24"/>
          <w:szCs w:val="24"/>
          <w:rtl w:val="0"/>
        </w:rPr>
        <w:t xml:space="preserve"> </w:t>
      </w:r>
      <w:r w:rsidDel="00000000" w:rsidR="00000000" w:rsidRPr="00000000">
        <w:rPr>
          <w:color w:val="000000"/>
          <w:sz w:val="24"/>
          <w:szCs w:val="24"/>
          <w:rtl w:val="0"/>
        </w:rPr>
        <w:t xml:space="preserve">el derecho a elegir y ser elegido ha sido vulnerado en diversas oportunidades en las últimas dos décadas,</w:t>
      </w:r>
      <w:r w:rsidDel="00000000" w:rsidR="00000000" w:rsidRPr="00000000">
        <w:rPr>
          <w:sz w:val="24"/>
          <w:szCs w:val="24"/>
          <w:rtl w:val="0"/>
        </w:rPr>
        <w:t xml:space="preserve"> a través del debilitamiento institucional del voto</w:t>
      </w:r>
      <w:r w:rsidDel="00000000" w:rsidR="00000000" w:rsidRPr="00000000">
        <w:rPr>
          <w:color w:val="000000"/>
          <w:sz w:val="24"/>
          <w:szCs w:val="24"/>
          <w:rtl w:val="0"/>
        </w:rPr>
        <w:t xml:space="preserve">, inhabilitaciones políticas, </w:t>
      </w:r>
      <w:r w:rsidDel="00000000" w:rsidR="00000000" w:rsidRPr="00000000">
        <w:rPr>
          <w:sz w:val="24"/>
          <w:szCs w:val="24"/>
          <w:rtl w:val="0"/>
        </w:rPr>
        <w:t xml:space="preserve">omisión</w:t>
      </w:r>
      <w:r w:rsidDel="00000000" w:rsidR="00000000" w:rsidRPr="00000000">
        <w:rPr>
          <w:color w:val="000000"/>
          <w:sz w:val="24"/>
          <w:szCs w:val="24"/>
          <w:rtl w:val="0"/>
        </w:rPr>
        <w:t xml:space="preserve"> y </w:t>
      </w:r>
      <w:r w:rsidDel="00000000" w:rsidR="00000000" w:rsidRPr="00000000">
        <w:rPr>
          <w:sz w:val="24"/>
          <w:szCs w:val="24"/>
          <w:rtl w:val="0"/>
        </w:rPr>
        <w:t xml:space="preserve">obstaculización </w:t>
      </w:r>
      <w:r w:rsidDel="00000000" w:rsidR="00000000" w:rsidRPr="00000000">
        <w:rPr>
          <w:color w:val="000000"/>
          <w:sz w:val="24"/>
          <w:szCs w:val="24"/>
          <w:rtl w:val="0"/>
        </w:rPr>
        <w:t xml:space="preserve">de la paridad de </w:t>
      </w:r>
      <w:r w:rsidDel="00000000" w:rsidR="00000000" w:rsidRPr="00000000">
        <w:rPr>
          <w:sz w:val="24"/>
          <w:szCs w:val="24"/>
          <w:rtl w:val="0"/>
        </w:rPr>
        <w:t xml:space="preserve">género en los comicios</w:t>
      </w:r>
      <w:r w:rsidDel="00000000" w:rsidR="00000000" w:rsidRPr="00000000">
        <w:rPr>
          <w:color w:val="000000"/>
          <w:sz w:val="24"/>
          <w:szCs w:val="24"/>
          <w:rtl w:val="0"/>
        </w:rPr>
        <w:t xml:space="preserve">, afectaciones al derecho a la libre determinación de los pueblos, ventajismo, acceso limitado a los medios de comunicación</w:t>
      </w:r>
      <w:r w:rsidDel="00000000" w:rsidR="00000000" w:rsidRPr="00000000">
        <w:rPr>
          <w:sz w:val="24"/>
          <w:szCs w:val="24"/>
          <w:rtl w:val="0"/>
        </w:rPr>
        <w:t xml:space="preserve"> y </w:t>
      </w:r>
      <w:r w:rsidDel="00000000" w:rsidR="00000000" w:rsidRPr="00000000">
        <w:rPr>
          <w:color w:val="000000"/>
          <w:sz w:val="24"/>
          <w:szCs w:val="24"/>
          <w:rtl w:val="0"/>
        </w:rPr>
        <w:t xml:space="preserve">proselitismo</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Ante este contexto hostil, la ciudadanía organizada ha ejercido su derecho a la protesta en busca de las reivindicaciones negadas por el Estado, por lo cual ha recibido más represión, coacción e irrespeto a los derechos fundamentales de transparencia, libertad y equidad en los procesos electorales.</w:t>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sz w:val="24"/>
          <w:szCs w:val="24"/>
          <w:rtl w:val="0"/>
        </w:rPr>
        <w:t xml:space="preserve">En este sentido, las recomendaciones hacia el Estado venezolano demandadas en este informe se orientan a retomar el hilo constitucional, así como las garantías civiles y políticas de la ciudadanía, en aras de resolver los problemas de conflictividad política entre actores de oposición, oficialismo y disidencia, reparación a las víctimas, compromiso de no repetición y garantías de un entorno de paz y libertades en el territorio.</w:t>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center"/>
        <w:rPr>
          <w:b w:val="1"/>
          <w:sz w:val="24"/>
          <w:szCs w:val="24"/>
        </w:rPr>
      </w:pPr>
      <w:r w:rsidDel="00000000" w:rsidR="00000000" w:rsidRPr="00000000">
        <w:rPr>
          <w:b w:val="1"/>
          <w:sz w:val="24"/>
          <w:szCs w:val="24"/>
          <w:rtl w:val="0"/>
        </w:rPr>
        <w:t xml:space="preserve">Recomendaciones </w:t>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numPr>
          <w:ilvl w:val="0"/>
          <w:numId w:val="6"/>
        </w:numPr>
        <w:ind w:left="1440" w:hanging="360"/>
        <w:jc w:val="both"/>
        <w:rPr>
          <w:b w:val="1"/>
          <w:sz w:val="24"/>
          <w:szCs w:val="24"/>
          <w:u w:val="none"/>
        </w:rPr>
      </w:pPr>
      <w:r w:rsidDel="00000000" w:rsidR="00000000" w:rsidRPr="00000000">
        <w:rPr>
          <w:b w:val="1"/>
          <w:sz w:val="24"/>
          <w:szCs w:val="24"/>
          <w:u w:val="single"/>
          <w:rtl w:val="0"/>
        </w:rPr>
        <w:t xml:space="preserve">Derecho a la igualdad entre hombres y mujeres </w:t>
      </w:r>
      <w:r w:rsidDel="00000000" w:rsidR="00000000" w:rsidRPr="00000000">
        <w:rPr>
          <w:b w:val="1"/>
          <w:color w:val="161616"/>
          <w:sz w:val="24"/>
          <w:szCs w:val="24"/>
          <w:highlight w:val="white"/>
          <w:u w:val="single"/>
          <w:rtl w:val="0"/>
        </w:rPr>
        <w:t xml:space="preserve">en el disfrute de sus derechos civiles y políticos (art. 3).</w:t>
      </w:r>
      <w:r w:rsidDel="00000000" w:rsidR="00000000" w:rsidRPr="00000000">
        <w:rPr>
          <w:rtl w:val="0"/>
        </w:rPr>
      </w:r>
    </w:p>
    <w:p w:rsidR="00000000" w:rsidDel="00000000" w:rsidP="00000000" w:rsidRDefault="00000000" w:rsidRPr="00000000" w14:paraId="0000005C">
      <w:pPr>
        <w:ind w:left="720" w:firstLine="0"/>
        <w:jc w:val="both"/>
        <w:rPr>
          <w:b w:val="1"/>
          <w:color w:val="161616"/>
          <w:sz w:val="24"/>
          <w:szCs w:val="24"/>
          <w:highlight w:val="white"/>
          <w:u w:val="single"/>
        </w:rPr>
      </w:pPr>
      <w:r w:rsidDel="00000000" w:rsidR="00000000" w:rsidRPr="00000000">
        <w:rPr>
          <w:rtl w:val="0"/>
        </w:rPr>
      </w:r>
    </w:p>
    <w:p w:rsidR="00000000" w:rsidDel="00000000" w:rsidP="00000000" w:rsidRDefault="00000000" w:rsidRPr="00000000" w14:paraId="0000005D">
      <w:pPr>
        <w:numPr>
          <w:ilvl w:val="0"/>
          <w:numId w:val="8"/>
        </w:numPr>
        <w:shd w:fill="ffffff" w:val="clear"/>
        <w:spacing w:after="0" w:lineRule="auto"/>
        <w:ind w:left="720" w:hanging="360"/>
        <w:jc w:val="both"/>
        <w:rPr>
          <w:sz w:val="24"/>
          <w:szCs w:val="24"/>
        </w:rPr>
      </w:pPr>
      <w:r w:rsidDel="00000000" w:rsidR="00000000" w:rsidRPr="00000000">
        <w:rPr>
          <w:sz w:val="24"/>
          <w:szCs w:val="24"/>
          <w:rtl w:val="0"/>
        </w:rPr>
        <w:t xml:space="preserve">Reformar la Ley Orgánica de Procesos Electorales para regular de manera definitiva la paridad de género en las postulaciones a candidaturas, considerando su aplicación en todos los comicios, no sólo entes colegiados. </w:t>
      </w:r>
    </w:p>
    <w:p w:rsidR="00000000" w:rsidDel="00000000" w:rsidP="00000000" w:rsidRDefault="00000000" w:rsidRPr="00000000" w14:paraId="0000005E">
      <w:pPr>
        <w:numPr>
          <w:ilvl w:val="0"/>
          <w:numId w:val="8"/>
        </w:numPr>
        <w:shd w:fill="ffffff" w:val="clear"/>
        <w:spacing w:after="360" w:lineRule="auto"/>
        <w:ind w:left="720" w:hanging="360"/>
        <w:jc w:val="both"/>
        <w:rPr>
          <w:sz w:val="24"/>
          <w:szCs w:val="24"/>
        </w:rPr>
      </w:pPr>
      <w:r w:rsidDel="00000000" w:rsidR="00000000" w:rsidRPr="00000000">
        <w:rPr>
          <w:sz w:val="24"/>
          <w:szCs w:val="24"/>
          <w:rtl w:val="0"/>
        </w:rPr>
        <w:t xml:space="preserve">Dar cumplimiento a los plazos legales de postulaciones establecidos en la Ley Orgánica de Procesos Electorales.</w:t>
      </w:r>
    </w:p>
    <w:p w:rsidR="00000000" w:rsidDel="00000000" w:rsidP="00000000" w:rsidRDefault="00000000" w:rsidRPr="00000000" w14:paraId="0000005F">
      <w:pPr>
        <w:shd w:fill="ffffff" w:val="clear"/>
        <w:spacing w:after="360" w:lineRule="auto"/>
        <w:ind w:left="720" w:firstLine="0"/>
        <w:jc w:val="both"/>
        <w:rPr>
          <w:b w:val="1"/>
          <w:sz w:val="24"/>
          <w:szCs w:val="24"/>
          <w:u w:val="single"/>
        </w:rPr>
      </w:pPr>
      <w:r w:rsidDel="00000000" w:rsidR="00000000" w:rsidRPr="00000000">
        <w:rPr>
          <w:b w:val="1"/>
          <w:sz w:val="24"/>
          <w:szCs w:val="24"/>
          <w:rtl w:val="0"/>
        </w:rPr>
        <w:t xml:space="preserve">II. </w:t>
      </w:r>
      <w:r w:rsidDel="00000000" w:rsidR="00000000" w:rsidRPr="00000000">
        <w:rPr>
          <w:sz w:val="24"/>
          <w:szCs w:val="24"/>
          <w:rtl w:val="0"/>
        </w:rPr>
        <w:t xml:space="preserve">      </w:t>
      </w:r>
      <w:r w:rsidDel="00000000" w:rsidR="00000000" w:rsidRPr="00000000">
        <w:rPr>
          <w:b w:val="1"/>
          <w:sz w:val="24"/>
          <w:szCs w:val="24"/>
          <w:u w:val="single"/>
          <w:rtl w:val="0"/>
        </w:rPr>
        <w:t xml:space="preserve">Derecho de suspensión de los Estados Parte (art. 4)</w:t>
      </w:r>
    </w:p>
    <w:p w:rsidR="00000000" w:rsidDel="00000000" w:rsidP="00000000" w:rsidRDefault="00000000" w:rsidRPr="00000000" w14:paraId="00000060">
      <w:pPr>
        <w:numPr>
          <w:ilvl w:val="0"/>
          <w:numId w:val="4"/>
        </w:numPr>
        <w:shd w:fill="ffffff" w:val="clear"/>
        <w:spacing w:after="0" w:lineRule="auto"/>
        <w:ind w:left="720" w:hanging="360"/>
        <w:jc w:val="both"/>
        <w:rPr>
          <w:sz w:val="24"/>
          <w:szCs w:val="24"/>
        </w:rPr>
      </w:pPr>
      <w:r w:rsidDel="00000000" w:rsidR="00000000" w:rsidRPr="00000000">
        <w:rPr>
          <w:sz w:val="24"/>
          <w:szCs w:val="24"/>
          <w:rtl w:val="0"/>
        </w:rPr>
        <w:t xml:space="preserve">Informar a los Estados Partes sobre los derechos suspendidos durante el 2015, 2016, 2017, 2018, 2019 y 2020.</w:t>
      </w:r>
    </w:p>
    <w:p w:rsidR="00000000" w:rsidDel="00000000" w:rsidP="00000000" w:rsidRDefault="00000000" w:rsidRPr="00000000" w14:paraId="00000061">
      <w:pPr>
        <w:numPr>
          <w:ilvl w:val="0"/>
          <w:numId w:val="4"/>
        </w:numPr>
        <w:shd w:fill="ffffff" w:val="clear"/>
        <w:spacing w:after="0" w:lineRule="auto"/>
        <w:ind w:left="720" w:hanging="360"/>
        <w:jc w:val="both"/>
        <w:rPr>
          <w:sz w:val="24"/>
          <w:szCs w:val="24"/>
        </w:rPr>
      </w:pPr>
      <w:r w:rsidDel="00000000" w:rsidR="00000000" w:rsidRPr="00000000">
        <w:rPr>
          <w:sz w:val="24"/>
          <w:szCs w:val="24"/>
          <w:rtl w:val="0"/>
        </w:rPr>
        <w:t xml:space="preserve">Realizar una investigación exhaustiva y transparente sobre los procesos electorales que fueron obstaculizados durante los decretos de Estado de Excepción en los últimos 9 años.</w:t>
      </w:r>
    </w:p>
    <w:p w:rsidR="00000000" w:rsidDel="00000000" w:rsidP="00000000" w:rsidRDefault="00000000" w:rsidRPr="00000000" w14:paraId="00000062">
      <w:pPr>
        <w:numPr>
          <w:ilvl w:val="0"/>
          <w:numId w:val="4"/>
        </w:numPr>
        <w:shd w:fill="ffffff" w:val="clear"/>
        <w:spacing w:after="0" w:lineRule="auto"/>
        <w:ind w:left="720" w:hanging="360"/>
        <w:jc w:val="both"/>
        <w:rPr>
          <w:sz w:val="24"/>
          <w:szCs w:val="24"/>
        </w:rPr>
      </w:pPr>
      <w:r w:rsidDel="00000000" w:rsidR="00000000" w:rsidRPr="00000000">
        <w:rPr>
          <w:sz w:val="24"/>
          <w:szCs w:val="24"/>
          <w:rtl w:val="0"/>
        </w:rPr>
        <w:t xml:space="preserve">Dictar una medida de suspensión a las detenciones arbitrarias y liberar a los presos políticos, detenidos arbitrariamente en el marco de los Estados de excepción.</w:t>
      </w:r>
    </w:p>
    <w:p w:rsidR="00000000" w:rsidDel="00000000" w:rsidP="00000000" w:rsidRDefault="00000000" w:rsidRPr="00000000" w14:paraId="00000063">
      <w:pPr>
        <w:numPr>
          <w:ilvl w:val="0"/>
          <w:numId w:val="4"/>
        </w:numPr>
        <w:shd w:fill="ffffff" w:val="clear"/>
        <w:spacing w:after="360" w:lineRule="auto"/>
        <w:ind w:left="720" w:hanging="360"/>
        <w:jc w:val="both"/>
        <w:rPr>
          <w:sz w:val="24"/>
          <w:szCs w:val="24"/>
        </w:rPr>
      </w:pPr>
      <w:r w:rsidDel="00000000" w:rsidR="00000000" w:rsidRPr="00000000">
        <w:rPr>
          <w:sz w:val="24"/>
          <w:szCs w:val="24"/>
          <w:rtl w:val="0"/>
        </w:rPr>
        <w:t xml:space="preserve">Reparar a las víctimas y garantizar la no repetición.  </w:t>
      </w:r>
    </w:p>
    <w:p w:rsidR="00000000" w:rsidDel="00000000" w:rsidP="00000000" w:rsidRDefault="00000000" w:rsidRPr="00000000" w14:paraId="00000064">
      <w:pPr>
        <w:shd w:fill="ffffff" w:val="clear"/>
        <w:spacing w:after="360" w:lineRule="auto"/>
        <w:ind w:left="0" w:firstLine="0"/>
        <w:jc w:val="both"/>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III. </w:t>
      </w:r>
      <w:r w:rsidDel="00000000" w:rsidR="00000000" w:rsidRPr="00000000">
        <w:rPr>
          <w:sz w:val="24"/>
          <w:szCs w:val="24"/>
          <w:rtl w:val="0"/>
        </w:rPr>
        <w:t xml:space="preserve"> </w:t>
      </w:r>
      <w:r w:rsidDel="00000000" w:rsidR="00000000" w:rsidRPr="00000000">
        <w:rPr>
          <w:b w:val="1"/>
          <w:sz w:val="24"/>
          <w:szCs w:val="24"/>
          <w:rtl w:val="0"/>
        </w:rPr>
        <w:t xml:space="preserve"> </w:t>
      </w:r>
      <w:r w:rsidDel="00000000" w:rsidR="00000000" w:rsidRPr="00000000">
        <w:rPr>
          <w:b w:val="1"/>
          <w:sz w:val="24"/>
          <w:szCs w:val="24"/>
          <w:u w:val="single"/>
          <w:rtl w:val="0"/>
        </w:rPr>
        <w:t xml:space="preserve">Derecho a la libertad de expresión y acceso a la información (art.19)</w:t>
      </w:r>
      <w:r w:rsidDel="00000000" w:rsidR="00000000" w:rsidRPr="00000000">
        <w:rPr>
          <w:rtl w:val="0"/>
        </w:rPr>
      </w:r>
    </w:p>
    <w:p w:rsidR="00000000" w:rsidDel="00000000" w:rsidP="00000000" w:rsidRDefault="00000000" w:rsidRPr="00000000" w14:paraId="00000065">
      <w:pPr>
        <w:numPr>
          <w:ilvl w:val="0"/>
          <w:numId w:val="5"/>
        </w:numPr>
        <w:ind w:left="720" w:hanging="360"/>
        <w:jc w:val="both"/>
        <w:rPr>
          <w:sz w:val="24"/>
          <w:szCs w:val="24"/>
        </w:rPr>
      </w:pPr>
      <w:r w:rsidDel="00000000" w:rsidR="00000000" w:rsidRPr="00000000">
        <w:rPr>
          <w:sz w:val="24"/>
          <w:szCs w:val="24"/>
          <w:rtl w:val="0"/>
        </w:rPr>
        <w:t xml:space="preserve"> Garantizar el equilibrio en la cobertura de los medios de comunicación estatales durante las campañas electorales, en línea con la Ley Orgánica de Procesos Electorales y las buenas prácticas internacionales.</w:t>
      </w:r>
    </w:p>
    <w:p w:rsidR="00000000" w:rsidDel="00000000" w:rsidP="00000000" w:rsidRDefault="00000000" w:rsidRPr="00000000" w14:paraId="00000066">
      <w:pPr>
        <w:numPr>
          <w:ilvl w:val="0"/>
          <w:numId w:val="5"/>
        </w:numPr>
        <w:ind w:left="720" w:hanging="360"/>
        <w:jc w:val="both"/>
        <w:rPr>
          <w:sz w:val="24"/>
          <w:szCs w:val="24"/>
        </w:rPr>
      </w:pPr>
      <w:r w:rsidDel="00000000" w:rsidR="00000000" w:rsidRPr="00000000">
        <w:rPr>
          <w:sz w:val="24"/>
          <w:szCs w:val="24"/>
          <w:rtl w:val="0"/>
        </w:rPr>
        <w:t xml:space="preserve">Derogar la Ley contra el Odio, por la Convivencia Pacífica y la Tolerancia para promover la libertad de expresión, evitar la autocensura y detener las detenciones arbitrarias por motivos políticos.</w:t>
      </w:r>
    </w:p>
    <w:p w:rsidR="00000000" w:rsidDel="00000000" w:rsidP="00000000" w:rsidRDefault="00000000" w:rsidRPr="00000000" w14:paraId="00000067">
      <w:pPr>
        <w:numPr>
          <w:ilvl w:val="0"/>
          <w:numId w:val="5"/>
        </w:numPr>
        <w:ind w:left="720" w:hanging="360"/>
        <w:jc w:val="both"/>
        <w:rPr>
          <w:sz w:val="24"/>
          <w:szCs w:val="24"/>
        </w:rPr>
      </w:pPr>
      <w:r w:rsidDel="00000000" w:rsidR="00000000" w:rsidRPr="00000000">
        <w:rPr>
          <w:sz w:val="24"/>
          <w:szCs w:val="24"/>
          <w:rtl w:val="0"/>
        </w:rPr>
        <w:t xml:space="preserve">Garantizar a la población venezolana el acceso a los medios de comunicación del Estado y a la transparencia de la información pública. </w:t>
      </w:r>
    </w:p>
    <w:p w:rsidR="00000000" w:rsidDel="00000000" w:rsidP="00000000" w:rsidRDefault="00000000" w:rsidRPr="00000000" w14:paraId="00000068">
      <w:pPr>
        <w:numPr>
          <w:ilvl w:val="0"/>
          <w:numId w:val="5"/>
        </w:numPr>
        <w:ind w:left="720" w:hanging="360"/>
        <w:jc w:val="both"/>
        <w:rPr>
          <w:sz w:val="24"/>
          <w:szCs w:val="24"/>
        </w:rPr>
      </w:pPr>
      <w:r w:rsidDel="00000000" w:rsidR="00000000" w:rsidRPr="00000000">
        <w:rPr>
          <w:sz w:val="24"/>
          <w:szCs w:val="24"/>
          <w:rtl w:val="0"/>
        </w:rPr>
        <w:t xml:space="preserve">Proteger y respetar a los medios informativos privados y garantizar su libre desenvolvimiento en el espacio público.</w:t>
      </w:r>
    </w:p>
    <w:p w:rsidR="00000000" w:rsidDel="00000000" w:rsidP="00000000" w:rsidRDefault="00000000" w:rsidRPr="00000000" w14:paraId="00000069">
      <w:pPr>
        <w:numPr>
          <w:ilvl w:val="0"/>
          <w:numId w:val="5"/>
        </w:numPr>
        <w:ind w:left="720" w:hanging="360"/>
        <w:jc w:val="both"/>
        <w:rPr>
          <w:sz w:val="24"/>
          <w:szCs w:val="24"/>
        </w:rPr>
      </w:pPr>
      <w:r w:rsidDel="00000000" w:rsidR="00000000" w:rsidRPr="00000000">
        <w:rPr>
          <w:sz w:val="24"/>
          <w:szCs w:val="24"/>
          <w:rtl w:val="0"/>
        </w:rPr>
        <w:t xml:space="preserve">Fortalecer la capacidad supervisora del Consejo Nacional Electoral relativa al desequilibrio informativo en procesos electorales. </w:t>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b w:val="1"/>
          <w:sz w:val="24"/>
          <w:szCs w:val="24"/>
          <w:u w:val="single"/>
        </w:rPr>
      </w:pPr>
      <w:r w:rsidDel="00000000" w:rsidR="00000000" w:rsidRPr="00000000">
        <w:rPr>
          <w:b w:val="1"/>
          <w:sz w:val="24"/>
          <w:szCs w:val="24"/>
          <w:rtl w:val="0"/>
        </w:rPr>
        <w:t xml:space="preserve">            IV.   </w:t>
      </w:r>
      <w:r w:rsidDel="00000000" w:rsidR="00000000" w:rsidRPr="00000000">
        <w:rPr>
          <w:b w:val="1"/>
          <w:sz w:val="24"/>
          <w:szCs w:val="24"/>
          <w:u w:val="single"/>
          <w:rtl w:val="0"/>
        </w:rPr>
        <w:t xml:space="preserve">Derecho a elegir y ser elegido (art.25)</w:t>
      </w:r>
    </w:p>
    <w:p w:rsidR="00000000" w:rsidDel="00000000" w:rsidP="00000000" w:rsidRDefault="00000000" w:rsidRPr="00000000" w14:paraId="0000006C">
      <w:pPr>
        <w:ind w:left="0"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D">
      <w:pPr>
        <w:numPr>
          <w:ilvl w:val="0"/>
          <w:numId w:val="7"/>
        </w:numPr>
        <w:ind w:left="720" w:hanging="360"/>
        <w:jc w:val="both"/>
        <w:rPr>
          <w:sz w:val="24"/>
          <w:szCs w:val="24"/>
        </w:rPr>
      </w:pPr>
      <w:r w:rsidDel="00000000" w:rsidR="00000000" w:rsidRPr="00000000">
        <w:rPr>
          <w:sz w:val="24"/>
          <w:szCs w:val="24"/>
          <w:rtl w:val="0"/>
        </w:rPr>
        <w:t xml:space="preserve">Reforzar la separación e independencia de poderes públicos, a través de la debida aplicación de la Ley Orgánica del Tribunal Supremo de Justicia.</w:t>
      </w:r>
    </w:p>
    <w:p w:rsidR="00000000" w:rsidDel="00000000" w:rsidP="00000000" w:rsidRDefault="00000000" w:rsidRPr="00000000" w14:paraId="0000006E">
      <w:pPr>
        <w:numPr>
          <w:ilvl w:val="0"/>
          <w:numId w:val="7"/>
        </w:numPr>
        <w:ind w:left="720" w:hanging="360"/>
        <w:jc w:val="both"/>
        <w:rPr>
          <w:sz w:val="24"/>
          <w:szCs w:val="24"/>
        </w:rPr>
      </w:pPr>
      <w:r w:rsidDel="00000000" w:rsidR="00000000" w:rsidRPr="00000000">
        <w:rPr>
          <w:sz w:val="24"/>
          <w:szCs w:val="24"/>
          <w:rtl w:val="0"/>
        </w:rPr>
        <w:t xml:space="preserve">Suprimir la prerrogativa de la Contraloría General de inhabilitar por un procedimiento administrativo a ciudadanos que deseen presentarse como candidatos a procesos electorales. </w:t>
      </w:r>
    </w:p>
    <w:p w:rsidR="00000000" w:rsidDel="00000000" w:rsidP="00000000" w:rsidRDefault="00000000" w:rsidRPr="00000000" w14:paraId="0000006F">
      <w:pPr>
        <w:numPr>
          <w:ilvl w:val="0"/>
          <w:numId w:val="7"/>
        </w:numPr>
        <w:ind w:left="720" w:hanging="360"/>
        <w:jc w:val="both"/>
        <w:rPr>
          <w:sz w:val="24"/>
          <w:szCs w:val="24"/>
        </w:rPr>
      </w:pPr>
      <w:r w:rsidDel="00000000" w:rsidR="00000000" w:rsidRPr="00000000">
        <w:rPr>
          <w:sz w:val="24"/>
          <w:szCs w:val="24"/>
          <w:rtl w:val="0"/>
        </w:rPr>
        <w:t xml:space="preserve">Cumplir con el mandato de la Corte Interamericana de Derechos Humanos sobre inhabilitaciones únicamente como condenas tras un procedimiento judicial que cuente con una sentencia firme. </w:t>
      </w:r>
    </w:p>
    <w:p w:rsidR="00000000" w:rsidDel="00000000" w:rsidP="00000000" w:rsidRDefault="00000000" w:rsidRPr="00000000" w14:paraId="00000070">
      <w:pPr>
        <w:numPr>
          <w:ilvl w:val="0"/>
          <w:numId w:val="7"/>
        </w:numPr>
        <w:ind w:left="720" w:hanging="360"/>
        <w:jc w:val="both"/>
        <w:rPr>
          <w:sz w:val="24"/>
          <w:szCs w:val="24"/>
          <w:u w:val="none"/>
        </w:rPr>
      </w:pPr>
      <w:r w:rsidDel="00000000" w:rsidR="00000000" w:rsidRPr="00000000">
        <w:rPr>
          <w:sz w:val="24"/>
          <w:szCs w:val="24"/>
          <w:rtl w:val="0"/>
        </w:rPr>
        <w:t xml:space="preserve">Devolver a sus directivas originales los partidos judicializados por el Tribunal Supremo de Justicia, permitiéndoles competir con su tarjetón electoral. </w:t>
      </w:r>
      <w:r w:rsidDel="00000000" w:rsidR="00000000" w:rsidRPr="00000000">
        <w:rPr>
          <w:rtl w:val="0"/>
        </w:rPr>
      </w:r>
    </w:p>
    <w:p w:rsidR="00000000" w:rsidDel="00000000" w:rsidP="00000000" w:rsidRDefault="00000000" w:rsidRPr="00000000" w14:paraId="00000071">
      <w:pPr>
        <w:numPr>
          <w:ilvl w:val="0"/>
          <w:numId w:val="7"/>
        </w:numPr>
        <w:ind w:left="720" w:hanging="360"/>
        <w:jc w:val="both"/>
        <w:rPr>
          <w:sz w:val="24"/>
          <w:szCs w:val="24"/>
        </w:rPr>
      </w:pPr>
      <w:r w:rsidDel="00000000" w:rsidR="00000000" w:rsidRPr="00000000">
        <w:rPr>
          <w:sz w:val="24"/>
          <w:szCs w:val="24"/>
          <w:rtl w:val="0"/>
        </w:rPr>
        <w:t xml:space="preserve">Aprobar una jornada especial de inscripción y actualización de datos del Registro Electoral, con una extensión temporal y territorial suficiente que permita reducir la brecha de jóvenes no inscritos. </w:t>
      </w:r>
    </w:p>
    <w:p w:rsidR="00000000" w:rsidDel="00000000" w:rsidP="00000000" w:rsidRDefault="00000000" w:rsidRPr="00000000" w14:paraId="00000072">
      <w:pPr>
        <w:numPr>
          <w:ilvl w:val="0"/>
          <w:numId w:val="7"/>
        </w:numPr>
        <w:ind w:left="720" w:hanging="360"/>
        <w:jc w:val="both"/>
        <w:rPr>
          <w:sz w:val="24"/>
          <w:szCs w:val="24"/>
        </w:rPr>
      </w:pPr>
      <w:r w:rsidDel="00000000" w:rsidR="00000000" w:rsidRPr="00000000">
        <w:rPr>
          <w:sz w:val="24"/>
          <w:szCs w:val="24"/>
          <w:rtl w:val="0"/>
        </w:rPr>
        <w:t xml:space="preserve">Dar cumplimiento al carácter continúo del Registro Electoral en el exterior, aperturando y permitiendo que venezolanos fuera del país puedan inscribirse o actualizar sus datos para participar de los próximos procesos electorales, sin más requisitos que los establecidos por la Ley Orgánica de Procesos Electorales. </w:t>
      </w:r>
    </w:p>
    <w:p w:rsidR="00000000" w:rsidDel="00000000" w:rsidP="00000000" w:rsidRDefault="00000000" w:rsidRPr="00000000" w14:paraId="00000073">
      <w:pPr>
        <w:numPr>
          <w:ilvl w:val="0"/>
          <w:numId w:val="7"/>
        </w:numPr>
        <w:ind w:left="720" w:hanging="360"/>
        <w:jc w:val="both"/>
        <w:rPr>
          <w:sz w:val="24"/>
          <w:szCs w:val="24"/>
        </w:rPr>
      </w:pPr>
      <w:r w:rsidDel="00000000" w:rsidR="00000000" w:rsidRPr="00000000">
        <w:rPr>
          <w:sz w:val="24"/>
          <w:szCs w:val="24"/>
          <w:rtl w:val="0"/>
        </w:rPr>
        <w:t xml:space="preserve">Desarrollar una campaña de educación al votante que le permita conocer sus derechos políticos y los requisitos legales establecidos para ejercerlos.</w:t>
      </w:r>
    </w:p>
    <w:p w:rsidR="00000000" w:rsidDel="00000000" w:rsidP="00000000" w:rsidRDefault="00000000" w:rsidRPr="00000000" w14:paraId="00000074">
      <w:pPr>
        <w:numPr>
          <w:ilvl w:val="0"/>
          <w:numId w:val="7"/>
        </w:numPr>
        <w:ind w:left="720" w:hanging="360"/>
        <w:jc w:val="both"/>
        <w:rPr>
          <w:sz w:val="24"/>
          <w:szCs w:val="24"/>
        </w:rPr>
      </w:pPr>
      <w:r w:rsidDel="00000000" w:rsidR="00000000" w:rsidRPr="00000000">
        <w:rPr>
          <w:sz w:val="24"/>
          <w:szCs w:val="24"/>
          <w:rtl w:val="0"/>
        </w:rPr>
        <w:t xml:space="preserve">Reforzar las facultades sancionadoras del ente electoral a través de un sistema de control y sanciones, que vayan desde la amonestación hasta la imposición de penas progresivas, especialmente en lo que se refiere al uso de recursos del Estado en campaña.</w:t>
      </w:r>
    </w:p>
    <w:p w:rsidR="00000000" w:rsidDel="00000000" w:rsidP="00000000" w:rsidRDefault="00000000" w:rsidRPr="00000000" w14:paraId="00000075">
      <w:pPr>
        <w:shd w:fill="ffffff" w:val="clear"/>
        <w:spacing w:after="360" w:lineRule="auto"/>
        <w:ind w:left="720" w:firstLine="0"/>
        <w:jc w:val="both"/>
        <w:rPr>
          <w:b w:val="1"/>
          <w:sz w:val="24"/>
          <w:szCs w:val="24"/>
        </w:rPr>
      </w:pPr>
      <w:r w:rsidDel="00000000" w:rsidR="00000000" w:rsidRPr="00000000">
        <w:rPr>
          <w:rtl w:val="0"/>
        </w:rPr>
      </w:r>
    </w:p>
    <w:p w:rsidR="00000000" w:rsidDel="00000000" w:rsidP="00000000" w:rsidRDefault="00000000" w:rsidRPr="00000000" w14:paraId="00000076">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7">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8">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9">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A">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B">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C">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D">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E">
      <w:pPr>
        <w:shd w:fill="ffffff" w:val="clear"/>
        <w:spacing w:after="360" w:lineRule="auto"/>
        <w:ind w:left="0" w:firstLine="0"/>
        <w:jc w:val="center"/>
        <w:rPr>
          <w:b w:val="1"/>
          <w:sz w:val="24"/>
          <w:szCs w:val="24"/>
        </w:rPr>
      </w:pPr>
      <w:r w:rsidDel="00000000" w:rsidR="00000000" w:rsidRPr="00000000">
        <w:rPr>
          <w:rtl w:val="0"/>
        </w:rPr>
      </w:r>
    </w:p>
    <w:p w:rsidR="00000000" w:rsidDel="00000000" w:rsidP="00000000" w:rsidRDefault="00000000" w:rsidRPr="00000000" w14:paraId="0000007F">
      <w:pPr>
        <w:shd w:fill="ffffff" w:val="clear"/>
        <w:spacing w:after="360" w:lineRule="auto"/>
        <w:ind w:left="0" w:firstLine="0"/>
        <w:jc w:val="center"/>
        <w:rPr>
          <w:sz w:val="24"/>
          <w:szCs w:val="24"/>
        </w:rPr>
      </w:pPr>
      <w:r w:rsidDel="00000000" w:rsidR="00000000" w:rsidRPr="00000000">
        <w:rPr>
          <w:b w:val="1"/>
          <w:sz w:val="24"/>
          <w:szCs w:val="24"/>
          <w:rtl w:val="0"/>
        </w:rPr>
        <w:t xml:space="preserve">Presentación y metodología</w:t>
      </w:r>
      <w:r w:rsidDel="00000000" w:rsidR="00000000" w:rsidRPr="00000000">
        <w:rPr>
          <w:rtl w:val="0"/>
        </w:rPr>
      </w:r>
    </w:p>
    <w:p w:rsidR="00000000" w:rsidDel="00000000" w:rsidP="00000000" w:rsidRDefault="00000000" w:rsidRPr="00000000" w14:paraId="00000080">
      <w:pPr>
        <w:shd w:fill="ffffff" w:val="clear"/>
        <w:spacing w:after="360" w:lineRule="auto"/>
        <w:ind w:left="0" w:firstLine="0"/>
        <w:jc w:val="both"/>
        <w:rPr>
          <w:sz w:val="24"/>
          <w:szCs w:val="24"/>
        </w:rPr>
      </w:pPr>
      <w:r w:rsidDel="00000000" w:rsidR="00000000" w:rsidRPr="00000000">
        <w:rPr>
          <w:sz w:val="24"/>
          <w:szCs w:val="24"/>
          <w:rtl w:val="0"/>
        </w:rPr>
        <w:t xml:space="preserve">Este informe es presentado por la Red Electoral Ciudadana, una alianza entre las organizaciones: CEPAZ, Voto Joven y el Observatorio Global de Comunicación y  Democracia. Espacio que une a organizaciones y ciudadanos de la sociedad civil, para articular acciones dirigidas al fortalecimiento y defensa de la participación ciudadana.  Asimismo, propone estrategias para promover valores ciudadanos y procesos electorales transparentes, también realiza ejercicios de observación electoral. </w:t>
      </w:r>
    </w:p>
    <w:p w:rsidR="00000000" w:rsidDel="00000000" w:rsidP="00000000" w:rsidRDefault="00000000" w:rsidRPr="00000000" w14:paraId="00000081">
      <w:pPr>
        <w:shd w:fill="ffffff" w:val="clear"/>
        <w:spacing w:after="360" w:lineRule="auto"/>
        <w:ind w:left="0" w:firstLine="0"/>
        <w:jc w:val="both"/>
        <w:rPr>
          <w:sz w:val="24"/>
          <w:szCs w:val="24"/>
        </w:rPr>
      </w:pPr>
      <w:r w:rsidDel="00000000" w:rsidR="00000000" w:rsidRPr="00000000">
        <w:rPr>
          <w:sz w:val="24"/>
          <w:szCs w:val="24"/>
          <w:rtl w:val="0"/>
        </w:rPr>
        <w:t xml:space="preserve">La información proviene de revisiones de: 1. medios de comunicación; 2. informes propios de la Red Electoral Ciudadana y sus organizaciones emitidos tras procesos de observación electoral; 3. Informes emitidos por grupos internacionales de observación electoral; 4. Análisis y proyecciones propias; y 5. Gacetas oficiales, leyes y actos administrativos emanados de los entes públicos. </w:t>
      </w:r>
    </w:p>
    <w:p w:rsidR="00000000" w:rsidDel="00000000" w:rsidP="00000000" w:rsidRDefault="00000000" w:rsidRPr="00000000" w14:paraId="00000082">
      <w:pPr>
        <w:shd w:fill="ffffff" w:val="clear"/>
        <w:spacing w:after="360" w:lineRule="auto"/>
        <w:ind w:left="0" w:firstLine="0"/>
        <w:jc w:val="both"/>
        <w:rPr>
          <w:sz w:val="24"/>
          <w:szCs w:val="24"/>
        </w:rPr>
      </w:pPr>
      <w:r w:rsidDel="00000000" w:rsidR="00000000" w:rsidRPr="00000000">
        <w:rPr>
          <w:sz w:val="24"/>
          <w:szCs w:val="24"/>
          <w:rtl w:val="0"/>
        </w:rPr>
        <w:t xml:space="preserve">Dada la opacidad en la publicación de datos por parte del  Estado venezolano, resultó un reto contrastar cifras oficiales de jóvenes no inscritos ante el registro electoral para poder ejercer el derecho al sufragio, las cifras presentadas son aproximaciones realizadas por la organización Voto Joven sustentadas en proyecciones del crecimiento de la población venezolana.</w:t>
      </w:r>
    </w:p>
    <w:p w:rsidR="00000000" w:rsidDel="00000000" w:rsidP="00000000" w:rsidRDefault="00000000" w:rsidRPr="00000000" w14:paraId="00000083">
      <w:pPr>
        <w:shd w:fill="ffffff" w:val="clear"/>
        <w:spacing w:after="360" w:lineRule="auto"/>
        <w:ind w:left="0" w:firstLine="0"/>
        <w:jc w:val="both"/>
        <w:rPr>
          <w:sz w:val="24"/>
          <w:szCs w:val="24"/>
        </w:rPr>
      </w:pPr>
      <w:r w:rsidDel="00000000" w:rsidR="00000000" w:rsidRPr="00000000">
        <w:rPr>
          <w:rtl w:val="0"/>
        </w:rPr>
      </w:r>
    </w:p>
    <w:p w:rsidR="00000000" w:rsidDel="00000000" w:rsidP="00000000" w:rsidRDefault="00000000" w:rsidRPr="00000000" w14:paraId="00000084">
      <w:pPr>
        <w:shd w:fill="ffffff" w:val="clear"/>
        <w:spacing w:after="360" w:lineRule="auto"/>
        <w:ind w:left="720" w:firstLine="0"/>
        <w:jc w:val="both"/>
        <w:rPr>
          <w:sz w:val="24"/>
          <w:szCs w:val="24"/>
        </w:rPr>
      </w:pPr>
      <w:r w:rsidDel="00000000" w:rsidR="00000000" w:rsidRPr="00000000">
        <w:rPr>
          <w:rtl w:val="0"/>
        </w:rPr>
      </w:r>
    </w:p>
    <w:p w:rsidR="00000000" w:rsidDel="00000000" w:rsidP="00000000" w:rsidRDefault="00000000" w:rsidRPr="00000000" w14:paraId="00000085">
      <w:pPr>
        <w:shd w:fill="ffffff" w:val="clear"/>
        <w:spacing w:after="360" w:lineRule="auto"/>
        <w:jc w:val="both"/>
        <w:rPr>
          <w:sz w:val="24"/>
          <w:szCs w:val="24"/>
        </w:rPr>
      </w:pPr>
      <w:r w:rsidDel="00000000" w:rsidR="00000000" w:rsidRPr="00000000">
        <w:rPr>
          <w:rtl w:val="0"/>
        </w:rPr>
      </w:r>
    </w:p>
    <w:p w:rsidR="00000000" w:rsidDel="00000000" w:rsidP="00000000" w:rsidRDefault="00000000" w:rsidRPr="00000000" w14:paraId="00000086">
      <w:pPr>
        <w:shd w:fill="ffffff" w:val="clear"/>
        <w:spacing w:after="360" w:lineRule="auto"/>
        <w:jc w:val="both"/>
        <w:rPr>
          <w:sz w:val="24"/>
          <w:szCs w:val="24"/>
        </w:rPr>
      </w:pPr>
      <w:r w:rsidDel="00000000" w:rsidR="00000000" w:rsidRPr="00000000">
        <w:rPr>
          <w:rtl w:val="0"/>
        </w:rPr>
      </w:r>
    </w:p>
    <w:p w:rsidR="00000000" w:rsidDel="00000000" w:rsidP="00000000" w:rsidRDefault="00000000" w:rsidRPr="00000000" w14:paraId="00000087">
      <w:pPr>
        <w:shd w:fill="ffffff" w:val="clear"/>
        <w:spacing w:after="360" w:lineRule="auto"/>
        <w:ind w:left="720" w:firstLine="0"/>
        <w:jc w:val="both"/>
        <w:rPr>
          <w:sz w:val="24"/>
          <w:szCs w:val="24"/>
        </w:rPr>
      </w:pPr>
      <w:r w:rsidDel="00000000" w:rsidR="00000000" w:rsidRPr="00000000">
        <w:rPr>
          <w:rtl w:val="0"/>
        </w:rPr>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both"/>
        <w:rPr>
          <w:sz w:val="24"/>
          <w:szCs w:val="24"/>
        </w:rPr>
      </w:pP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jc w:val="both"/>
        <w:rPr>
          <w:sz w:val="24"/>
          <w:szCs w:val="24"/>
        </w:rPr>
      </w:pPr>
      <w:r w:rsidDel="00000000" w:rsidR="00000000" w:rsidRPr="00000000">
        <w:rPr>
          <w:rtl w:val="0"/>
        </w:rPr>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jc w:val="both"/>
        <w:rPr>
          <w:sz w:val="24"/>
          <w:szCs w:val="24"/>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rtl w:val="0"/>
        </w:rPr>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both"/>
        <w:rPr>
          <w:sz w:val="24"/>
          <w:szCs w:val="24"/>
        </w:rPr>
      </w:pPr>
      <w:r w:rsidDel="00000000" w:rsidR="00000000" w:rsidRPr="00000000">
        <w:rPr>
          <w:rtl w:val="0"/>
        </w:rPr>
      </w:r>
    </w:p>
    <w:p w:rsidR="00000000" w:rsidDel="00000000" w:rsidP="00000000" w:rsidRDefault="00000000" w:rsidRPr="00000000" w14:paraId="00000093">
      <w:pPr>
        <w:numPr>
          <w:ilvl w:val="0"/>
          <w:numId w:val="2"/>
        </w:numPr>
        <w:ind w:left="720" w:hanging="360"/>
        <w:rPr>
          <w:b w:val="1"/>
          <w:color w:val="161616"/>
          <w:sz w:val="24"/>
          <w:szCs w:val="24"/>
          <w:highlight w:val="white"/>
        </w:rPr>
      </w:pPr>
      <w:r w:rsidDel="00000000" w:rsidR="00000000" w:rsidRPr="00000000">
        <w:rPr>
          <w:b w:val="1"/>
          <w:color w:val="161616"/>
          <w:sz w:val="24"/>
          <w:szCs w:val="24"/>
          <w:highlight w:val="white"/>
          <w:rtl w:val="0"/>
        </w:rPr>
        <w:t xml:space="preserve">Derecho a la igualdad entre hombres y mujeres en el disfrute de sus derechos civiles y políticos (art. 3).</w:t>
      </w:r>
    </w:p>
    <w:p w:rsidR="00000000" w:rsidDel="00000000" w:rsidP="00000000" w:rsidRDefault="00000000" w:rsidRPr="00000000" w14:paraId="00000094">
      <w:pPr>
        <w:jc w:val="both"/>
        <w:rPr>
          <w:color w:val="161616"/>
          <w:sz w:val="24"/>
          <w:szCs w:val="24"/>
          <w:highlight w:val="white"/>
        </w:rPr>
      </w:pPr>
      <w:r w:rsidDel="00000000" w:rsidR="00000000" w:rsidRPr="00000000">
        <w:rPr>
          <w:rtl w:val="0"/>
        </w:rPr>
      </w:r>
    </w:p>
    <w:p w:rsidR="00000000" w:rsidDel="00000000" w:rsidP="00000000" w:rsidRDefault="00000000" w:rsidRPr="00000000" w14:paraId="00000095">
      <w:pPr>
        <w:numPr>
          <w:ilvl w:val="0"/>
          <w:numId w:val="1"/>
        </w:numPr>
        <w:ind w:left="720" w:hanging="360"/>
        <w:jc w:val="both"/>
        <w:rPr>
          <w:i w:val="1"/>
          <w:sz w:val="24"/>
          <w:szCs w:val="24"/>
        </w:rPr>
      </w:pPr>
      <w:r w:rsidDel="00000000" w:rsidR="00000000" w:rsidRPr="00000000">
        <w:rPr>
          <w:i w:val="1"/>
          <w:sz w:val="24"/>
          <w:szCs w:val="24"/>
          <w:rtl w:val="0"/>
        </w:rPr>
        <w:t xml:space="preserve">Reglamentos especiales sobre el principio de paridad de género. </w:t>
      </w:r>
    </w:p>
    <w:p w:rsidR="00000000" w:rsidDel="00000000" w:rsidP="00000000" w:rsidRDefault="00000000" w:rsidRPr="00000000" w14:paraId="00000096">
      <w:pPr>
        <w:jc w:val="both"/>
        <w:rPr>
          <w:sz w:val="24"/>
          <w:szCs w:val="24"/>
        </w:rPr>
      </w:pPr>
      <w:r w:rsidDel="00000000" w:rsidR="00000000" w:rsidRPr="00000000">
        <w:rPr>
          <w:rtl w:val="0"/>
        </w:rPr>
      </w:r>
    </w:p>
    <w:p w:rsidR="00000000" w:rsidDel="00000000" w:rsidP="00000000" w:rsidRDefault="00000000" w:rsidRPr="00000000" w14:paraId="00000097">
      <w:pPr>
        <w:jc w:val="both"/>
        <w:rPr>
          <w:sz w:val="24"/>
          <w:szCs w:val="24"/>
        </w:rPr>
      </w:pPr>
      <w:r w:rsidDel="00000000" w:rsidR="00000000" w:rsidRPr="00000000">
        <w:rPr>
          <w:sz w:val="24"/>
          <w:szCs w:val="24"/>
          <w:rtl w:val="0"/>
        </w:rPr>
        <w:t xml:space="preserve">1.En Venezuela, la paridad de género  tiene una deuda legal histórica, el principio aplicable para cada proceso electoral depende de la aprobación de un acto sublegal que realiza el ente electoral en cada elección, esto no solo afecta el principio de seguridad jurídica sino que resulta impredecible saber cúal será el criterio de paridad de género que se aplicará. Es necesaria la aprobación de una ley que regule definitivamente esta materia. </w:t>
      </w:r>
    </w:p>
    <w:p w:rsidR="00000000" w:rsidDel="00000000" w:rsidP="00000000" w:rsidRDefault="00000000" w:rsidRPr="00000000" w14:paraId="00000098">
      <w:pPr>
        <w:jc w:val="both"/>
        <w:rPr>
          <w:sz w:val="24"/>
          <w:szCs w:val="24"/>
        </w:rPr>
      </w:pPr>
      <w:r w:rsidDel="00000000" w:rsidR="00000000" w:rsidRPr="00000000">
        <w:rPr>
          <w:rtl w:val="0"/>
        </w:rPr>
      </w:r>
    </w:p>
    <w:p w:rsidR="00000000" w:rsidDel="00000000" w:rsidP="00000000" w:rsidRDefault="00000000" w:rsidRPr="00000000" w14:paraId="00000099">
      <w:pPr>
        <w:jc w:val="both"/>
        <w:rPr>
          <w:sz w:val="24"/>
          <w:szCs w:val="24"/>
        </w:rPr>
      </w:pPr>
      <w:r w:rsidDel="00000000" w:rsidR="00000000" w:rsidRPr="00000000">
        <w:rPr>
          <w:sz w:val="24"/>
          <w:szCs w:val="24"/>
          <w:rtl w:val="0"/>
        </w:rPr>
        <w:t xml:space="preserve">3.  El 25 de junio de 2015 el CNE anunció la aprobación de un reglamento especial que establece el principio de la paridad de género</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válido y aplicable para las postulaciones presentadas para las elecciones parlamentarias del 6 de diciembre, no obstante, dicho reglamento fue aprobado de forma tardía, acrecentando la tensión y desorganización del proceso, debido a que la Mesa de la Unidad Democrática (Alianza de partidos de oposición) ya había conformado la lista de sus candidatos.</w:t>
      </w:r>
    </w:p>
    <w:p w:rsidR="00000000" w:rsidDel="00000000" w:rsidP="00000000" w:rsidRDefault="00000000" w:rsidRPr="00000000" w14:paraId="0000009A">
      <w:pPr>
        <w:jc w:val="both"/>
        <w:rPr>
          <w:sz w:val="24"/>
          <w:szCs w:val="24"/>
        </w:rPr>
      </w:pPr>
      <w:r w:rsidDel="00000000" w:rsidR="00000000" w:rsidRPr="00000000">
        <w:rPr>
          <w:rtl w:val="0"/>
        </w:rPr>
      </w:r>
    </w:p>
    <w:p w:rsidR="00000000" w:rsidDel="00000000" w:rsidP="00000000" w:rsidRDefault="00000000" w:rsidRPr="00000000" w14:paraId="0000009B">
      <w:pPr>
        <w:shd w:fill="ffffff" w:val="clear"/>
        <w:spacing w:after="360" w:lineRule="auto"/>
        <w:jc w:val="both"/>
        <w:rPr>
          <w:sz w:val="24"/>
          <w:szCs w:val="24"/>
        </w:rPr>
      </w:pPr>
      <w:r w:rsidDel="00000000" w:rsidR="00000000" w:rsidRPr="00000000">
        <w:rPr>
          <w:sz w:val="24"/>
          <w:szCs w:val="24"/>
          <w:rtl w:val="0"/>
        </w:rPr>
        <w:t xml:space="preserve">4. En Gaceta Electoral Nº 980, del 12 de julio de 2021, el CNE dictó el “Reglamento Especial para Garantizar los Derechos de Participación Paritaria, Alterna y Política de Legisladoras o Legisladores y Concejalas o Concejales en las Elecciones Regionales y Municipales 2021“</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en donde se establecía que las postulaciones deben tener una composición paritaria y alterna de 50% para cada género. Sin embargo, el CNE flexibilizó el mandato al permitir que la postulación podría tener como mínimo el 40% y como máximo el 60% para cada género, a razón de su promulgación tardía y la desorganización que estaba causando dicho reglamento. </w:t>
      </w:r>
    </w:p>
    <w:p w:rsidR="00000000" w:rsidDel="00000000" w:rsidP="00000000" w:rsidRDefault="00000000" w:rsidRPr="00000000" w14:paraId="0000009C">
      <w:pPr>
        <w:shd w:fill="ffffff" w:val="clear"/>
        <w:spacing w:after="360" w:lineRule="auto"/>
        <w:jc w:val="both"/>
        <w:rPr>
          <w:sz w:val="24"/>
          <w:szCs w:val="24"/>
        </w:rPr>
      </w:pPr>
      <w:r w:rsidDel="00000000" w:rsidR="00000000" w:rsidRPr="00000000">
        <w:rPr>
          <w:sz w:val="24"/>
          <w:szCs w:val="24"/>
          <w:rtl w:val="0"/>
        </w:rPr>
        <w:t xml:space="preserve">5.  Al ser una medida aplicada solo para las postulaciones de los cuerpos colegiados, las candidaturas de mujeres a cargos ejecutivos estadales fueron menores en relación a las candidaturas de los hombres. Asimismo, la publicación de reglamentos especiales en comicios para promover la paridad de género se ha convertido en una práctica del ente electoral, no obstante, resulta insuficiente la medida para garantizar la igualdad de género en espacios de poder y produce mayor discriminacion y vulneración a los derechos de las mujeres en la participación e incidencia en los asuntos públicos. </w:t>
      </w:r>
    </w:p>
    <w:p w:rsidR="00000000" w:rsidDel="00000000" w:rsidP="00000000" w:rsidRDefault="00000000" w:rsidRPr="00000000" w14:paraId="0000009D">
      <w:pPr>
        <w:shd w:fill="ffffff" w:val="clear"/>
        <w:spacing w:after="360" w:lineRule="auto"/>
        <w:jc w:val="both"/>
        <w:rPr>
          <w:b w:val="1"/>
          <w:sz w:val="24"/>
          <w:szCs w:val="24"/>
        </w:rPr>
      </w:pPr>
      <w:r w:rsidDel="00000000" w:rsidR="00000000" w:rsidRPr="00000000">
        <w:rPr>
          <w:b w:val="1"/>
          <w:sz w:val="24"/>
          <w:szCs w:val="24"/>
          <w:rtl w:val="0"/>
        </w:rPr>
        <w:t xml:space="preserve"> Recomendaciones:</w:t>
      </w:r>
    </w:p>
    <w:p w:rsidR="00000000" w:rsidDel="00000000" w:rsidP="00000000" w:rsidRDefault="00000000" w:rsidRPr="00000000" w14:paraId="0000009E">
      <w:pPr>
        <w:numPr>
          <w:ilvl w:val="0"/>
          <w:numId w:val="8"/>
        </w:numPr>
        <w:shd w:fill="ffffff" w:val="clear"/>
        <w:spacing w:after="0" w:lineRule="auto"/>
        <w:ind w:left="720" w:hanging="360"/>
        <w:jc w:val="both"/>
        <w:rPr>
          <w:sz w:val="24"/>
          <w:szCs w:val="24"/>
        </w:rPr>
      </w:pPr>
      <w:r w:rsidDel="00000000" w:rsidR="00000000" w:rsidRPr="00000000">
        <w:rPr>
          <w:sz w:val="24"/>
          <w:szCs w:val="24"/>
          <w:rtl w:val="0"/>
        </w:rPr>
        <w:t xml:space="preserve">Reformar la Ley Orgánica de Procesos Electorales para regular de manera definitiva la paridad de género en las postulaciones a candidaturas, considerando su aplicación en todos los comicios, no sólo entes colegiados. </w:t>
      </w:r>
    </w:p>
    <w:p w:rsidR="00000000" w:rsidDel="00000000" w:rsidP="00000000" w:rsidRDefault="00000000" w:rsidRPr="00000000" w14:paraId="0000009F">
      <w:pPr>
        <w:numPr>
          <w:ilvl w:val="0"/>
          <w:numId w:val="8"/>
        </w:numPr>
        <w:shd w:fill="ffffff" w:val="clear"/>
        <w:spacing w:after="360" w:lineRule="auto"/>
        <w:ind w:left="720" w:hanging="360"/>
        <w:jc w:val="both"/>
        <w:rPr>
          <w:sz w:val="24"/>
          <w:szCs w:val="24"/>
        </w:rPr>
      </w:pPr>
      <w:r w:rsidDel="00000000" w:rsidR="00000000" w:rsidRPr="00000000">
        <w:rPr>
          <w:sz w:val="24"/>
          <w:szCs w:val="24"/>
          <w:rtl w:val="0"/>
        </w:rPr>
        <w:t xml:space="preserve">Dar cumplimiento a los plazos legales de postulaciones establecidos en la Ley Orgánica de Procesos Electorales.</w:t>
      </w:r>
    </w:p>
    <w:p w:rsidR="00000000" w:rsidDel="00000000" w:rsidP="00000000" w:rsidRDefault="00000000" w:rsidRPr="00000000" w14:paraId="000000A0">
      <w:pPr>
        <w:ind w:left="0" w:firstLine="0"/>
        <w:jc w:val="both"/>
        <w:rPr>
          <w:b w:val="1"/>
          <w:sz w:val="24"/>
          <w:szCs w:val="24"/>
        </w:rPr>
      </w:pPr>
      <w:r w:rsidDel="00000000" w:rsidR="00000000" w:rsidRPr="00000000">
        <w:rPr>
          <w:b w:val="1"/>
          <w:sz w:val="24"/>
          <w:szCs w:val="24"/>
          <w:rtl w:val="0"/>
        </w:rPr>
        <w:t xml:space="preserve">II. Derecho de suspensión de los Estados parte (art.4)</w:t>
      </w:r>
    </w:p>
    <w:p w:rsidR="00000000" w:rsidDel="00000000" w:rsidP="00000000" w:rsidRDefault="00000000" w:rsidRPr="00000000" w14:paraId="000000A1">
      <w:pPr>
        <w:jc w:val="both"/>
        <w:rPr>
          <w:sz w:val="24"/>
          <w:szCs w:val="24"/>
        </w:rPr>
      </w:pPr>
      <w:r w:rsidDel="00000000" w:rsidR="00000000" w:rsidRPr="00000000">
        <w:rPr>
          <w:rtl w:val="0"/>
        </w:rPr>
      </w:r>
    </w:p>
    <w:p w:rsidR="00000000" w:rsidDel="00000000" w:rsidP="00000000" w:rsidRDefault="00000000" w:rsidRPr="00000000" w14:paraId="000000A2">
      <w:pPr>
        <w:jc w:val="both"/>
        <w:rPr>
          <w:sz w:val="24"/>
          <w:szCs w:val="24"/>
        </w:rPr>
      </w:pPr>
      <w:r w:rsidDel="00000000" w:rsidR="00000000" w:rsidRPr="00000000">
        <w:rPr>
          <w:sz w:val="24"/>
          <w:szCs w:val="24"/>
          <w:rtl w:val="0"/>
        </w:rPr>
        <w:t xml:space="preserve">6. Durante el año 2015, en el marco del proceso electoral Parlamentarias 2015, el poder ejecutivo emitió 8 decretos de Estado de Excepción a razón de “la emergencia económica”, iniciando en 5 municipios del estado Táchira y en los meses posteriores, extendiendo la medida a otros estados fronterizos como Apure, Amazonas y Zulia, afectando un total de 28 municipios y limitando el desarrollo de la campaña electoral, coaccionando el derecho al voto y limitando el derecho a la inviolabilidad del hogar, inviolabilidad de las comunicaciones privadas, libre tránsito, reunión, manifestación pacífica y libre actividad económica.</w:t>
      </w:r>
    </w:p>
    <w:p w:rsidR="00000000" w:rsidDel="00000000" w:rsidP="00000000" w:rsidRDefault="00000000" w:rsidRPr="00000000" w14:paraId="000000A3">
      <w:pPr>
        <w:jc w:val="both"/>
        <w:rPr>
          <w:sz w:val="24"/>
          <w:szCs w:val="24"/>
        </w:rPr>
      </w:pPr>
      <w:r w:rsidDel="00000000" w:rsidR="00000000" w:rsidRPr="00000000">
        <w:rPr>
          <w:rtl w:val="0"/>
        </w:rPr>
      </w:r>
    </w:p>
    <w:p w:rsidR="00000000" w:rsidDel="00000000" w:rsidP="00000000" w:rsidRDefault="00000000" w:rsidRPr="00000000" w14:paraId="000000A4">
      <w:pPr>
        <w:shd w:fill="ffffff" w:val="clear"/>
        <w:spacing w:after="360" w:lineRule="auto"/>
        <w:jc w:val="both"/>
        <w:rPr>
          <w:sz w:val="24"/>
          <w:szCs w:val="24"/>
        </w:rPr>
      </w:pPr>
      <w:r w:rsidDel="00000000" w:rsidR="00000000" w:rsidRPr="00000000">
        <w:rPr>
          <w:sz w:val="24"/>
          <w:szCs w:val="24"/>
          <w:rtl w:val="0"/>
        </w:rPr>
        <w:t xml:space="preserve">7. Entre las justificaciones de esta decisión, alegaron la presencia del paramilitarismo, narcotráfico y contrabando de extracción en dichas zonas, sin embargo no se mostraron pruebas de estos hechos. Los alegatos en contra de 6 decretos recibidos por la Sala Constitucional del TSJ fueron desechados, argumentando la necesidad de la decisión sin especificar motivos. </w:t>
      </w:r>
      <w:r w:rsidDel="00000000" w:rsidR="00000000" w:rsidRPr="00000000">
        <w:rPr>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A5">
      <w:pPr>
        <w:shd w:fill="ffffff" w:val="clear"/>
        <w:spacing w:after="360" w:lineRule="auto"/>
        <w:jc w:val="both"/>
        <w:rPr>
          <w:sz w:val="24"/>
          <w:szCs w:val="24"/>
          <w:highlight w:val="white"/>
        </w:rPr>
      </w:pPr>
      <w:r w:rsidDel="00000000" w:rsidR="00000000" w:rsidRPr="00000000">
        <w:rPr>
          <w:sz w:val="24"/>
          <w:szCs w:val="24"/>
          <w:rtl w:val="0"/>
        </w:rPr>
        <w:t xml:space="preserve">8. En los años 2016, 2017, 2018, 2019 y 2020 el poder ejecutivo también decretó Estados de Excepción en mayor o menor medida, justificando el mandato con la emergencia económica que atravesaba el país, pero dando pie a detenciones arbitrarias y tratos crueles e inhumanos a ciudadanos ejerciendo su derecho a la protesta pacífica, por razones de género y con vínculos familiares con la disidencia política.</w:t>
      </w:r>
      <w:r w:rsidDel="00000000" w:rsidR="00000000" w:rsidRPr="00000000">
        <w:rPr>
          <w:sz w:val="24"/>
          <w:szCs w:val="24"/>
          <w:highlight w:val="white"/>
          <w:rtl w:val="0"/>
        </w:rPr>
        <w:t xml:space="preserve"> </w:t>
      </w:r>
      <w:r w:rsidDel="00000000" w:rsidR="00000000" w:rsidRPr="00000000">
        <w:rPr>
          <w:sz w:val="24"/>
          <w:szCs w:val="24"/>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A6">
      <w:pPr>
        <w:shd w:fill="ffffff" w:val="clear"/>
        <w:spacing w:after="360" w:lineRule="auto"/>
        <w:jc w:val="both"/>
        <w:rPr>
          <w:b w:val="1"/>
          <w:sz w:val="24"/>
          <w:szCs w:val="24"/>
        </w:rPr>
      </w:pPr>
      <w:r w:rsidDel="00000000" w:rsidR="00000000" w:rsidRPr="00000000">
        <w:rPr>
          <w:sz w:val="24"/>
          <w:szCs w:val="24"/>
          <w:rtl w:val="0"/>
        </w:rPr>
        <w:t xml:space="preserve">9. Aun cuando un Estado parte del </w:t>
      </w:r>
      <w:r w:rsidDel="00000000" w:rsidR="00000000" w:rsidRPr="00000000">
        <w:rPr>
          <w:color w:val="040c28"/>
          <w:sz w:val="24"/>
          <w:szCs w:val="24"/>
          <w:rtl w:val="0"/>
        </w:rPr>
        <w:t xml:space="preserve">ICCPR</w:t>
      </w:r>
      <w:r w:rsidDel="00000000" w:rsidR="00000000" w:rsidRPr="00000000">
        <w:rPr>
          <w:sz w:val="24"/>
          <w:szCs w:val="24"/>
          <w:rtl w:val="0"/>
        </w:rPr>
        <w:t xml:space="preserve"> , tiene la posibilidad de suspender varios derechos en situaciones excepcionales, el Estado venezolano abusó sin fundamentos de dicho derecho y adoptó medidas discriminatorias de diversas índoles que agravaron las situaciones particulares y generales del contexto. Además de no informar inmediatamente a los demás Estados Partes sobre los derechos suspendidos y la fecha determinada para levantar la suspensión.</w:t>
      </w:r>
      <w:r w:rsidDel="00000000" w:rsidR="00000000" w:rsidRPr="00000000">
        <w:rPr>
          <w:rtl w:val="0"/>
        </w:rPr>
      </w:r>
    </w:p>
    <w:p w:rsidR="00000000" w:rsidDel="00000000" w:rsidP="00000000" w:rsidRDefault="00000000" w:rsidRPr="00000000" w14:paraId="000000A7">
      <w:pPr>
        <w:shd w:fill="ffffff" w:val="clear"/>
        <w:spacing w:after="360" w:lineRule="auto"/>
        <w:jc w:val="both"/>
        <w:rPr>
          <w:b w:val="1"/>
          <w:sz w:val="24"/>
          <w:szCs w:val="24"/>
        </w:rPr>
      </w:pPr>
      <w:r w:rsidDel="00000000" w:rsidR="00000000" w:rsidRPr="00000000">
        <w:rPr>
          <w:b w:val="1"/>
          <w:sz w:val="24"/>
          <w:szCs w:val="24"/>
          <w:rtl w:val="0"/>
        </w:rPr>
        <w:t xml:space="preserve">Recomendaciones:</w:t>
      </w:r>
    </w:p>
    <w:p w:rsidR="00000000" w:rsidDel="00000000" w:rsidP="00000000" w:rsidRDefault="00000000" w:rsidRPr="00000000" w14:paraId="000000A8">
      <w:pPr>
        <w:numPr>
          <w:ilvl w:val="0"/>
          <w:numId w:val="4"/>
        </w:numPr>
        <w:shd w:fill="ffffff" w:val="clear"/>
        <w:spacing w:after="0" w:lineRule="auto"/>
        <w:ind w:left="720" w:hanging="360"/>
        <w:jc w:val="both"/>
        <w:rPr>
          <w:sz w:val="24"/>
          <w:szCs w:val="24"/>
        </w:rPr>
      </w:pPr>
      <w:r w:rsidDel="00000000" w:rsidR="00000000" w:rsidRPr="00000000">
        <w:rPr>
          <w:sz w:val="24"/>
          <w:szCs w:val="24"/>
          <w:rtl w:val="0"/>
        </w:rPr>
        <w:t xml:space="preserve">Informar a los Estados Partes sobre los derechos suspendidos durante el 2015, 2016, 2017, 2018, 2019 y 2020.</w:t>
      </w:r>
    </w:p>
    <w:p w:rsidR="00000000" w:rsidDel="00000000" w:rsidP="00000000" w:rsidRDefault="00000000" w:rsidRPr="00000000" w14:paraId="000000A9">
      <w:pPr>
        <w:numPr>
          <w:ilvl w:val="0"/>
          <w:numId w:val="4"/>
        </w:numPr>
        <w:shd w:fill="ffffff" w:val="clear"/>
        <w:spacing w:after="0" w:lineRule="auto"/>
        <w:ind w:left="720" w:hanging="360"/>
        <w:jc w:val="both"/>
        <w:rPr>
          <w:sz w:val="24"/>
          <w:szCs w:val="24"/>
        </w:rPr>
      </w:pPr>
      <w:r w:rsidDel="00000000" w:rsidR="00000000" w:rsidRPr="00000000">
        <w:rPr>
          <w:sz w:val="24"/>
          <w:szCs w:val="24"/>
          <w:rtl w:val="0"/>
        </w:rPr>
        <w:t xml:space="preserve">Realizar una investigación exhaustiva y transparente sobre los procesos electorales que fueron obstaculizados durante los decretos de Estado de Excepción en los últimos 9 años.</w:t>
      </w:r>
    </w:p>
    <w:p w:rsidR="00000000" w:rsidDel="00000000" w:rsidP="00000000" w:rsidRDefault="00000000" w:rsidRPr="00000000" w14:paraId="000000AA">
      <w:pPr>
        <w:numPr>
          <w:ilvl w:val="0"/>
          <w:numId w:val="4"/>
        </w:numPr>
        <w:shd w:fill="ffffff" w:val="clear"/>
        <w:spacing w:after="0" w:lineRule="auto"/>
        <w:ind w:left="720" w:hanging="360"/>
        <w:jc w:val="both"/>
        <w:rPr>
          <w:sz w:val="24"/>
          <w:szCs w:val="24"/>
        </w:rPr>
      </w:pPr>
      <w:r w:rsidDel="00000000" w:rsidR="00000000" w:rsidRPr="00000000">
        <w:rPr>
          <w:sz w:val="24"/>
          <w:szCs w:val="24"/>
          <w:rtl w:val="0"/>
        </w:rPr>
        <w:t xml:space="preserve">Dictar una medida de suspensión a las detenciones arbitrarias y liberar a los presos políticos, detenidos arbitrariamente en el marco de los Estados de excepción.</w:t>
      </w:r>
    </w:p>
    <w:p w:rsidR="00000000" w:rsidDel="00000000" w:rsidP="00000000" w:rsidRDefault="00000000" w:rsidRPr="00000000" w14:paraId="000000AB">
      <w:pPr>
        <w:numPr>
          <w:ilvl w:val="0"/>
          <w:numId w:val="4"/>
        </w:numPr>
        <w:shd w:fill="ffffff" w:val="clear"/>
        <w:spacing w:after="360" w:lineRule="auto"/>
        <w:ind w:left="720" w:hanging="360"/>
        <w:jc w:val="both"/>
        <w:rPr>
          <w:sz w:val="24"/>
          <w:szCs w:val="24"/>
        </w:rPr>
      </w:pPr>
      <w:r w:rsidDel="00000000" w:rsidR="00000000" w:rsidRPr="00000000">
        <w:rPr>
          <w:sz w:val="24"/>
          <w:szCs w:val="24"/>
          <w:rtl w:val="0"/>
        </w:rPr>
        <w:t xml:space="preserve">Reparar a las víctimas y garantizar la no repetición.  </w:t>
      </w:r>
    </w:p>
    <w:p w:rsidR="00000000" w:rsidDel="00000000" w:rsidP="00000000" w:rsidRDefault="00000000" w:rsidRPr="00000000" w14:paraId="000000AC">
      <w:pPr>
        <w:jc w:val="both"/>
        <w:rPr>
          <w:b w:val="1"/>
          <w:sz w:val="24"/>
          <w:szCs w:val="24"/>
        </w:rPr>
      </w:pPr>
      <w:r w:rsidDel="00000000" w:rsidR="00000000" w:rsidRPr="00000000">
        <w:rPr>
          <w:b w:val="1"/>
          <w:sz w:val="24"/>
          <w:szCs w:val="24"/>
          <w:rtl w:val="0"/>
        </w:rPr>
        <w:t xml:space="preserve">III. Derecho a la Libertad de opinión y expresión (art. 19). </w:t>
      </w:r>
    </w:p>
    <w:p w:rsidR="00000000" w:rsidDel="00000000" w:rsidP="00000000" w:rsidRDefault="00000000" w:rsidRPr="00000000" w14:paraId="000000AD">
      <w:pPr>
        <w:jc w:val="both"/>
        <w:rPr>
          <w:b w:val="1"/>
          <w:sz w:val="24"/>
          <w:szCs w:val="24"/>
        </w:rPr>
      </w:pPr>
      <w:r w:rsidDel="00000000" w:rsidR="00000000" w:rsidRPr="00000000">
        <w:rPr>
          <w:rtl w:val="0"/>
        </w:rPr>
      </w:r>
    </w:p>
    <w:p w:rsidR="00000000" w:rsidDel="00000000" w:rsidP="00000000" w:rsidRDefault="00000000" w:rsidRPr="00000000" w14:paraId="000000AE">
      <w:pPr>
        <w:ind w:left="0" w:firstLine="0"/>
        <w:jc w:val="both"/>
        <w:rPr>
          <w:b w:val="1"/>
          <w:sz w:val="24"/>
          <w:szCs w:val="24"/>
        </w:rPr>
      </w:pPr>
      <w:r w:rsidDel="00000000" w:rsidR="00000000" w:rsidRPr="00000000">
        <w:rPr>
          <w:b w:val="1"/>
          <w:sz w:val="24"/>
          <w:szCs w:val="24"/>
          <w:rtl w:val="0"/>
        </w:rPr>
        <w:t xml:space="preserve">Falta de acceso a los medios de comunicación - derecho a la prensa libre.</w:t>
      </w:r>
    </w:p>
    <w:p w:rsidR="00000000" w:rsidDel="00000000" w:rsidP="00000000" w:rsidRDefault="00000000" w:rsidRPr="00000000" w14:paraId="000000AF">
      <w:pPr>
        <w:jc w:val="both"/>
        <w:rPr>
          <w:sz w:val="24"/>
          <w:szCs w:val="24"/>
        </w:rPr>
      </w:pPr>
      <w:r w:rsidDel="00000000" w:rsidR="00000000" w:rsidRPr="00000000">
        <w:rPr>
          <w:rtl w:val="0"/>
        </w:rPr>
      </w:r>
    </w:p>
    <w:p w:rsidR="00000000" w:rsidDel="00000000" w:rsidP="00000000" w:rsidRDefault="00000000" w:rsidRPr="00000000" w14:paraId="000000B0">
      <w:pPr>
        <w:jc w:val="both"/>
        <w:rPr>
          <w:sz w:val="24"/>
          <w:szCs w:val="24"/>
        </w:rPr>
      </w:pPr>
      <w:r w:rsidDel="00000000" w:rsidR="00000000" w:rsidRPr="00000000">
        <w:rPr>
          <w:sz w:val="24"/>
          <w:szCs w:val="24"/>
          <w:rtl w:val="0"/>
        </w:rPr>
        <w:t xml:space="preserve">10. La asimetría que se ha producido en torno al acceso a los medios de comunicación entre actores de oposición y el oficialismo, es  notoria.  Durante el proceso electoral parlamentarias 2015, el control ejercido por el Estado venezolano hacía doce canales de televisión, cerca de veinte emisoras de radio, medios impresos y medios comunitarios, con la finalidad de utilizarlos como instrumentos para promocionar al PSUV marcó el inicio de esta práctica</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Sin embargo, la situación fue agravándose debido a las presiones de criminalización del Estado hacia medios privados que sirvieran de plataforma informativa a alternativas democráticas, dificultando el acceso a la información pública, dejando como única alternativa la censura y autocensura.</w:t>
      </w:r>
    </w:p>
    <w:p w:rsidR="00000000" w:rsidDel="00000000" w:rsidP="00000000" w:rsidRDefault="00000000" w:rsidRPr="00000000" w14:paraId="000000B1">
      <w:pPr>
        <w:jc w:val="both"/>
        <w:rPr>
          <w:sz w:val="24"/>
          <w:szCs w:val="24"/>
        </w:rPr>
      </w:pPr>
      <w:r w:rsidDel="00000000" w:rsidR="00000000" w:rsidRPr="00000000">
        <w:rPr>
          <w:rtl w:val="0"/>
        </w:rPr>
      </w:r>
    </w:p>
    <w:p w:rsidR="00000000" w:rsidDel="00000000" w:rsidP="00000000" w:rsidRDefault="00000000" w:rsidRPr="00000000" w14:paraId="000000B2">
      <w:pPr>
        <w:jc w:val="both"/>
        <w:rPr>
          <w:sz w:val="24"/>
          <w:szCs w:val="24"/>
        </w:rPr>
      </w:pPr>
      <w:r w:rsidDel="00000000" w:rsidR="00000000" w:rsidRPr="00000000">
        <w:rPr>
          <w:sz w:val="24"/>
          <w:szCs w:val="24"/>
          <w:rtl w:val="0"/>
        </w:rPr>
        <w:t xml:space="preserve">11. En 2015 la ONG Espacio Público,  presentó 297 violaciones a la libertad de expresión a nivel general, 93 actos de intimidación, de los cuales 31 fueron a periodistas en centros de votaciones, asimismo, dentro de los diferentes tipos de violencia a la prensa libre se visibilizaron 4 amenazas y 3 agresiones en los comicios, denunciando retención de periodistas y eliminación de material audiovisual por parte de funcionarios militares y policiales.</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w:t>
      </w:r>
    </w:p>
    <w:p w:rsidR="00000000" w:rsidDel="00000000" w:rsidP="00000000" w:rsidRDefault="00000000" w:rsidRPr="00000000" w14:paraId="000000B3">
      <w:pPr>
        <w:jc w:val="both"/>
        <w:rPr>
          <w:sz w:val="24"/>
          <w:szCs w:val="24"/>
        </w:rPr>
      </w:pPr>
      <w:r w:rsidDel="00000000" w:rsidR="00000000" w:rsidRPr="00000000">
        <w:rPr>
          <w:rtl w:val="0"/>
        </w:rPr>
      </w:r>
    </w:p>
    <w:p w:rsidR="00000000" w:rsidDel="00000000" w:rsidP="00000000" w:rsidRDefault="00000000" w:rsidRPr="00000000" w14:paraId="000000B4">
      <w:pPr>
        <w:jc w:val="both"/>
        <w:rPr>
          <w:sz w:val="24"/>
          <w:szCs w:val="24"/>
        </w:rPr>
      </w:pPr>
      <w:r w:rsidDel="00000000" w:rsidR="00000000" w:rsidRPr="00000000">
        <w:rPr>
          <w:sz w:val="24"/>
          <w:szCs w:val="24"/>
          <w:rtl w:val="0"/>
        </w:rPr>
        <w:t xml:space="preserve">12. En el 2016, la ONG Espacio Público, registró un aumento del 12% en los casos de violaciones a la libertad de expresión, sumando un total de 366 situaciones, de las cuales 119 eran de carácter político y electoral por las exigencias del referendo revocatorio. </w:t>
      </w:r>
      <w:r w:rsidDel="00000000" w:rsidR="00000000" w:rsidRPr="00000000">
        <w:rPr>
          <w:sz w:val="24"/>
          <w:szCs w:val="24"/>
          <w:vertAlign w:val="superscript"/>
        </w:rPr>
        <w:footnoteReference w:customMarkFollows="0" w:id="9"/>
      </w:r>
      <w:r w:rsidDel="00000000" w:rsidR="00000000" w:rsidRPr="00000000">
        <w:rPr>
          <w:sz w:val="24"/>
          <w:szCs w:val="24"/>
          <w:rtl w:val="0"/>
        </w:rPr>
        <w:t xml:space="preserve">  El 13 abril de dicho año, Miguel Gonz</w:t>
      </w:r>
      <w:r w:rsidDel="00000000" w:rsidR="00000000" w:rsidRPr="00000000">
        <w:rPr>
          <w:color w:val="040c28"/>
          <w:sz w:val="24"/>
          <w:szCs w:val="24"/>
          <w:rtl w:val="0"/>
        </w:rPr>
        <w:t xml:space="preserve">á</w:t>
      </w:r>
      <w:r w:rsidDel="00000000" w:rsidR="00000000" w:rsidRPr="00000000">
        <w:rPr>
          <w:sz w:val="24"/>
          <w:szCs w:val="24"/>
          <w:rtl w:val="0"/>
        </w:rPr>
        <w:t xml:space="preserve">lez, reportero gráfico, fue agredido y robado, presuntamente por simpatizantes del oficialismo</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 en las inmediaciones del Consejo Nacional Electoral, al realizar una cobertura de la entrega de firmas por parte de la Oposición venezolana para solicitar la activación del referéndum revocatorio. </w:t>
      </w:r>
    </w:p>
    <w:p w:rsidR="00000000" w:rsidDel="00000000" w:rsidP="00000000" w:rsidRDefault="00000000" w:rsidRPr="00000000" w14:paraId="000000B5">
      <w:pPr>
        <w:jc w:val="both"/>
        <w:rPr>
          <w:sz w:val="24"/>
          <w:szCs w:val="24"/>
        </w:rPr>
      </w:pPr>
      <w:r w:rsidDel="00000000" w:rsidR="00000000" w:rsidRPr="00000000">
        <w:rPr>
          <w:rtl w:val="0"/>
        </w:rPr>
      </w:r>
    </w:p>
    <w:p w:rsidR="00000000" w:rsidDel="00000000" w:rsidP="00000000" w:rsidRDefault="00000000" w:rsidRPr="00000000" w14:paraId="000000B6">
      <w:pPr>
        <w:jc w:val="both"/>
        <w:rPr>
          <w:sz w:val="24"/>
          <w:szCs w:val="24"/>
        </w:rPr>
      </w:pPr>
      <w:r w:rsidDel="00000000" w:rsidR="00000000" w:rsidRPr="00000000">
        <w:rPr>
          <w:sz w:val="24"/>
          <w:szCs w:val="24"/>
          <w:rtl w:val="0"/>
        </w:rPr>
        <w:t xml:space="preserve">13. Durante el 2017, esta situación empeoró con la promulgación y aplicación de la Ley Contra el Odio, la cual establece sanciones administrativas como multas y hasta 20 años de prisión para quien difunda información considerada “intolerante” para el Estado, otorgando a las autoridades mayores potestades legales para bloquear contenido digital que se considere contrario a sus estándares.</w:t>
      </w:r>
      <w:r w:rsidDel="00000000" w:rsidR="00000000" w:rsidRPr="00000000">
        <w:rPr>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B7">
      <w:pPr>
        <w:jc w:val="both"/>
        <w:rPr>
          <w:sz w:val="24"/>
          <w:szCs w:val="24"/>
        </w:rPr>
      </w:pPr>
      <w:r w:rsidDel="00000000" w:rsidR="00000000" w:rsidRPr="00000000">
        <w:rPr>
          <w:rtl w:val="0"/>
        </w:rPr>
      </w:r>
    </w:p>
    <w:p w:rsidR="00000000" w:rsidDel="00000000" w:rsidP="00000000" w:rsidRDefault="00000000" w:rsidRPr="00000000" w14:paraId="000000B8">
      <w:pPr>
        <w:jc w:val="both"/>
        <w:rPr>
          <w:sz w:val="24"/>
          <w:szCs w:val="24"/>
        </w:rPr>
      </w:pPr>
      <w:r w:rsidDel="00000000" w:rsidR="00000000" w:rsidRPr="00000000">
        <w:rPr>
          <w:sz w:val="24"/>
          <w:szCs w:val="24"/>
          <w:rtl w:val="0"/>
        </w:rPr>
        <w:t xml:space="preserve">14. De acuerdo al informe de observación de la Misión de la Unión Europea, para el proceso municipales y regionales 2021,  los candidatos de los distintos partidos opositores no tuvieron casi acceso a los medios de comunicación estatales en 15 estados, circunstancia que afectó principalmente a la Mesa de la Unidad Democrática en 13 estados y a la Alianza Democrática en 9 estados. Las cadenas privadas televisivas Televen y Venevisión dieron igualmente preferencia a los candidatos del PSUV por sobre los candidatos de las coaliciones opositoras. </w:t>
      </w:r>
    </w:p>
    <w:p w:rsidR="00000000" w:rsidDel="00000000" w:rsidP="00000000" w:rsidRDefault="00000000" w:rsidRPr="00000000" w14:paraId="000000B9">
      <w:pPr>
        <w:jc w:val="both"/>
        <w:rPr>
          <w:sz w:val="24"/>
          <w:szCs w:val="24"/>
        </w:rPr>
      </w:pPr>
      <w:r w:rsidDel="00000000" w:rsidR="00000000" w:rsidRPr="00000000">
        <w:rPr>
          <w:rtl w:val="0"/>
        </w:rPr>
      </w:r>
    </w:p>
    <w:p w:rsidR="00000000" w:rsidDel="00000000" w:rsidP="00000000" w:rsidRDefault="00000000" w:rsidRPr="00000000" w14:paraId="000000BA">
      <w:pPr>
        <w:jc w:val="both"/>
        <w:rPr>
          <w:sz w:val="24"/>
          <w:szCs w:val="24"/>
        </w:rPr>
      </w:pPr>
      <w:r w:rsidDel="00000000" w:rsidR="00000000" w:rsidRPr="00000000">
        <w:rPr>
          <w:sz w:val="24"/>
          <w:szCs w:val="24"/>
          <w:rtl w:val="0"/>
        </w:rPr>
        <w:t xml:space="preserve">15. El presidente del Consejo Nacional Electoral de 2021 (CNE), Pedro Calzadilla, reconoció a comienzos de la campaña correspondiente a las elecciones municipales y regionales la presencia de este tipo de “desequilibrios” en la cobertura del proceso electoral por parte de los canales de televisión . Un par de semanas después, el propio organismo electoral abrió averiguaciones administrativas contra el canal estatal Venezolana de Televisión (VTV) y el canal privado Globovisión por “desequilibrio en la cobertura informativa”. Sin embargo, no hubo respuesta alguna tras estas investigaciones. </w:t>
      </w:r>
    </w:p>
    <w:p w:rsidR="00000000" w:rsidDel="00000000" w:rsidP="00000000" w:rsidRDefault="00000000" w:rsidRPr="00000000" w14:paraId="000000BB">
      <w:pPr>
        <w:jc w:val="both"/>
        <w:rPr>
          <w:sz w:val="24"/>
          <w:szCs w:val="24"/>
        </w:rPr>
      </w:pPr>
      <w:r w:rsidDel="00000000" w:rsidR="00000000" w:rsidRPr="00000000">
        <w:rPr>
          <w:rtl w:val="0"/>
        </w:rPr>
      </w:r>
    </w:p>
    <w:p w:rsidR="00000000" w:rsidDel="00000000" w:rsidP="00000000" w:rsidRDefault="00000000" w:rsidRPr="00000000" w14:paraId="000000BC">
      <w:pPr>
        <w:jc w:val="both"/>
        <w:rPr>
          <w:sz w:val="24"/>
          <w:szCs w:val="24"/>
        </w:rPr>
      </w:pPr>
      <w:r w:rsidDel="00000000" w:rsidR="00000000" w:rsidRPr="00000000">
        <w:rPr>
          <w:sz w:val="24"/>
          <w:szCs w:val="24"/>
          <w:rtl w:val="0"/>
        </w:rPr>
        <w:t xml:space="preserve">16.  Desde el 2017 y 2020, el Estado negó  información de interés público al ignorar el 89% de 172 peticiones de información realizadas por Organizaciones de Sociedad Civil.</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 En el 2023, Espacio Público registró desde enero hasta agosto, 261 violaciones a la libertad de expresión, detectando </w:t>
      </w:r>
      <w:r w:rsidDel="00000000" w:rsidR="00000000" w:rsidRPr="00000000">
        <w:rPr>
          <w:color w:val="444444"/>
          <w:sz w:val="24"/>
          <w:szCs w:val="24"/>
          <w:rtl w:val="0"/>
        </w:rPr>
        <w:t xml:space="preserve">27 violaciones de este tipo siendo la censura y la intimidación las más comunes, </w:t>
      </w:r>
      <w:r w:rsidDel="00000000" w:rsidR="00000000" w:rsidRPr="00000000">
        <w:rPr>
          <w:color w:val="444444"/>
          <w:sz w:val="24"/>
          <w:szCs w:val="24"/>
          <w:vertAlign w:val="superscript"/>
        </w:rPr>
        <w:footnoteReference w:customMarkFollows="0" w:id="13"/>
      </w:r>
      <w:r w:rsidDel="00000000" w:rsidR="00000000" w:rsidRPr="00000000">
        <w:rPr>
          <w:color w:val="444444"/>
          <w:sz w:val="24"/>
          <w:szCs w:val="24"/>
          <w:rtl w:val="0"/>
        </w:rPr>
        <w:t xml:space="preserve"> </w:t>
      </w:r>
      <w:r w:rsidDel="00000000" w:rsidR="00000000" w:rsidRPr="00000000">
        <w:rPr>
          <w:sz w:val="24"/>
          <w:szCs w:val="24"/>
          <w:rtl w:val="0"/>
        </w:rPr>
        <w:t xml:space="preserve">ignorando las disposiciones sobre el derecho de libertad y pensamiento contemplados en el art. 19 del Pacto Internacional  de los Derechos Civiles y Políticos. </w:t>
      </w:r>
      <w:r w:rsidDel="00000000" w:rsidR="00000000" w:rsidRPr="00000000">
        <w:rPr>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BD">
      <w:pPr>
        <w:jc w:val="both"/>
        <w:rPr>
          <w:sz w:val="24"/>
          <w:szCs w:val="24"/>
        </w:rPr>
      </w:pPr>
      <w:r w:rsidDel="00000000" w:rsidR="00000000" w:rsidRPr="00000000">
        <w:rPr>
          <w:rtl w:val="0"/>
        </w:rPr>
      </w:r>
    </w:p>
    <w:p w:rsidR="00000000" w:rsidDel="00000000" w:rsidP="00000000" w:rsidRDefault="00000000" w:rsidRPr="00000000" w14:paraId="000000BE">
      <w:pPr>
        <w:jc w:val="both"/>
        <w:rPr>
          <w:b w:val="1"/>
          <w:sz w:val="24"/>
          <w:szCs w:val="24"/>
        </w:rPr>
      </w:pPr>
      <w:r w:rsidDel="00000000" w:rsidR="00000000" w:rsidRPr="00000000">
        <w:rPr>
          <w:b w:val="1"/>
          <w:sz w:val="24"/>
          <w:szCs w:val="24"/>
          <w:rtl w:val="0"/>
        </w:rPr>
        <w:t xml:space="preserve">Recomendaciones: </w:t>
      </w:r>
    </w:p>
    <w:p w:rsidR="00000000" w:rsidDel="00000000" w:rsidP="00000000" w:rsidRDefault="00000000" w:rsidRPr="00000000" w14:paraId="000000BF">
      <w:pPr>
        <w:jc w:val="both"/>
        <w:rPr>
          <w:b w:val="1"/>
          <w:sz w:val="24"/>
          <w:szCs w:val="24"/>
        </w:rPr>
      </w:pPr>
      <w:r w:rsidDel="00000000" w:rsidR="00000000" w:rsidRPr="00000000">
        <w:rPr>
          <w:rtl w:val="0"/>
        </w:rPr>
      </w:r>
    </w:p>
    <w:p w:rsidR="00000000" w:rsidDel="00000000" w:rsidP="00000000" w:rsidRDefault="00000000" w:rsidRPr="00000000" w14:paraId="000000C0">
      <w:pPr>
        <w:numPr>
          <w:ilvl w:val="0"/>
          <w:numId w:val="5"/>
        </w:numPr>
        <w:ind w:left="720" w:hanging="360"/>
        <w:jc w:val="both"/>
        <w:rPr>
          <w:sz w:val="24"/>
          <w:szCs w:val="24"/>
        </w:rPr>
      </w:pPr>
      <w:r w:rsidDel="00000000" w:rsidR="00000000" w:rsidRPr="00000000">
        <w:rPr>
          <w:sz w:val="24"/>
          <w:szCs w:val="24"/>
          <w:rtl w:val="0"/>
        </w:rPr>
        <w:t xml:space="preserve"> Garantizar el equilibrio en la cobertura de los medios de comunicación estatales durante las campañas electorales, en línea con la Ley Orgánica de Procesos Electorales y las buenas prácticas internacionales.</w:t>
      </w:r>
    </w:p>
    <w:p w:rsidR="00000000" w:rsidDel="00000000" w:rsidP="00000000" w:rsidRDefault="00000000" w:rsidRPr="00000000" w14:paraId="000000C1">
      <w:pPr>
        <w:numPr>
          <w:ilvl w:val="0"/>
          <w:numId w:val="5"/>
        </w:numPr>
        <w:ind w:left="720" w:hanging="360"/>
        <w:jc w:val="both"/>
        <w:rPr>
          <w:sz w:val="24"/>
          <w:szCs w:val="24"/>
        </w:rPr>
      </w:pPr>
      <w:r w:rsidDel="00000000" w:rsidR="00000000" w:rsidRPr="00000000">
        <w:rPr>
          <w:sz w:val="24"/>
          <w:szCs w:val="24"/>
          <w:rtl w:val="0"/>
        </w:rPr>
        <w:t xml:space="preserve">Derogar la Ley contra el Odio, por la Convivencia Pacífica y la Tolerancia para promover la libertad de expresión, evitar la autocensura y detener las detenciones arbitrarias por motivos políticos</w:t>
      </w:r>
    </w:p>
    <w:p w:rsidR="00000000" w:rsidDel="00000000" w:rsidP="00000000" w:rsidRDefault="00000000" w:rsidRPr="00000000" w14:paraId="000000C2">
      <w:pPr>
        <w:numPr>
          <w:ilvl w:val="0"/>
          <w:numId w:val="5"/>
        </w:numPr>
        <w:ind w:left="720" w:hanging="360"/>
        <w:jc w:val="both"/>
        <w:rPr>
          <w:sz w:val="24"/>
          <w:szCs w:val="24"/>
        </w:rPr>
      </w:pPr>
      <w:r w:rsidDel="00000000" w:rsidR="00000000" w:rsidRPr="00000000">
        <w:rPr>
          <w:sz w:val="24"/>
          <w:szCs w:val="24"/>
          <w:rtl w:val="0"/>
        </w:rPr>
        <w:t xml:space="preserve">Garantizar a la población venezolana el acceso a los medios de comunicación del Estado y a la transparencia de la información pública. </w:t>
      </w:r>
    </w:p>
    <w:p w:rsidR="00000000" w:rsidDel="00000000" w:rsidP="00000000" w:rsidRDefault="00000000" w:rsidRPr="00000000" w14:paraId="000000C3">
      <w:pPr>
        <w:numPr>
          <w:ilvl w:val="0"/>
          <w:numId w:val="5"/>
        </w:numPr>
        <w:ind w:left="720" w:hanging="360"/>
        <w:jc w:val="both"/>
        <w:rPr>
          <w:sz w:val="24"/>
          <w:szCs w:val="24"/>
        </w:rPr>
      </w:pPr>
      <w:r w:rsidDel="00000000" w:rsidR="00000000" w:rsidRPr="00000000">
        <w:rPr>
          <w:sz w:val="24"/>
          <w:szCs w:val="24"/>
          <w:rtl w:val="0"/>
        </w:rPr>
        <w:t xml:space="preserve">Proteger y respetar a los medios informativos privados y garantizar su libre desenvolvimiento en el espacio público.</w:t>
      </w:r>
    </w:p>
    <w:p w:rsidR="00000000" w:rsidDel="00000000" w:rsidP="00000000" w:rsidRDefault="00000000" w:rsidRPr="00000000" w14:paraId="000000C4">
      <w:pPr>
        <w:numPr>
          <w:ilvl w:val="0"/>
          <w:numId w:val="5"/>
        </w:numPr>
        <w:ind w:left="720" w:hanging="360"/>
        <w:jc w:val="both"/>
        <w:rPr>
          <w:sz w:val="24"/>
          <w:szCs w:val="24"/>
          <w:u w:val="none"/>
        </w:rPr>
      </w:pPr>
      <w:r w:rsidDel="00000000" w:rsidR="00000000" w:rsidRPr="00000000">
        <w:rPr>
          <w:sz w:val="24"/>
          <w:szCs w:val="24"/>
          <w:rtl w:val="0"/>
        </w:rPr>
        <w:t xml:space="preserve">Fortalecer la capacidad supervisora del Consejo Nacional Electoral relativa al desequilibrio informativo en procesos electorales. </w:t>
      </w:r>
      <w:r w:rsidDel="00000000" w:rsidR="00000000" w:rsidRPr="00000000">
        <w:rPr>
          <w:rtl w:val="0"/>
        </w:rPr>
      </w:r>
    </w:p>
    <w:p w:rsidR="00000000" w:rsidDel="00000000" w:rsidP="00000000" w:rsidRDefault="00000000" w:rsidRPr="00000000" w14:paraId="000000C5">
      <w:pPr>
        <w:ind w:left="720" w:firstLine="0"/>
        <w:jc w:val="both"/>
        <w:rPr>
          <w:sz w:val="24"/>
          <w:szCs w:val="24"/>
        </w:rPr>
      </w:pPr>
      <w:r w:rsidDel="00000000" w:rsidR="00000000" w:rsidRPr="00000000">
        <w:rPr>
          <w:rtl w:val="0"/>
        </w:rPr>
      </w:r>
    </w:p>
    <w:p w:rsidR="00000000" w:rsidDel="00000000" w:rsidP="00000000" w:rsidRDefault="00000000" w:rsidRPr="00000000" w14:paraId="000000C6">
      <w:pPr>
        <w:shd w:fill="ffffff" w:val="clear"/>
        <w:spacing w:after="360" w:lineRule="auto"/>
        <w:jc w:val="both"/>
        <w:rPr>
          <w:b w:val="1"/>
          <w:sz w:val="24"/>
          <w:szCs w:val="24"/>
          <w:highlight w:val="white"/>
        </w:rPr>
      </w:pPr>
      <w:r w:rsidDel="00000000" w:rsidR="00000000" w:rsidRPr="00000000">
        <w:rPr>
          <w:b w:val="1"/>
          <w:sz w:val="24"/>
          <w:szCs w:val="24"/>
          <w:highlight w:val="white"/>
          <w:rtl w:val="0"/>
        </w:rPr>
        <w:t xml:space="preserve">IV. Derecho a elegir y ser elegido (art. 25)</w:t>
      </w:r>
    </w:p>
    <w:p w:rsidR="00000000" w:rsidDel="00000000" w:rsidP="00000000" w:rsidRDefault="00000000" w:rsidRPr="00000000" w14:paraId="000000C7">
      <w:pPr>
        <w:shd w:fill="ffffff" w:val="clear"/>
        <w:spacing w:after="360" w:lineRule="auto"/>
        <w:jc w:val="both"/>
        <w:rPr>
          <w:b w:val="1"/>
          <w:sz w:val="24"/>
          <w:szCs w:val="24"/>
        </w:rPr>
      </w:pPr>
      <w:r w:rsidDel="00000000" w:rsidR="00000000" w:rsidRPr="00000000">
        <w:rPr>
          <w:b w:val="1"/>
          <w:sz w:val="24"/>
          <w:szCs w:val="24"/>
          <w:rtl w:val="0"/>
        </w:rPr>
        <w:t xml:space="preserve">a) Precariedad del registro electoral (2015-2023)</w:t>
      </w:r>
    </w:p>
    <w:p w:rsidR="00000000" w:rsidDel="00000000" w:rsidP="00000000" w:rsidRDefault="00000000" w:rsidRPr="00000000" w14:paraId="000000C8">
      <w:pPr>
        <w:shd w:fill="ffffff" w:val="clear"/>
        <w:spacing w:after="360" w:lineRule="auto"/>
        <w:jc w:val="both"/>
        <w:rPr>
          <w:sz w:val="24"/>
          <w:szCs w:val="24"/>
        </w:rPr>
      </w:pPr>
      <w:r w:rsidDel="00000000" w:rsidR="00000000" w:rsidRPr="00000000">
        <w:rPr>
          <w:sz w:val="24"/>
          <w:szCs w:val="24"/>
          <w:rtl w:val="0"/>
        </w:rPr>
        <w:t xml:space="preserve">17. El debilitamiento del Registro electoral se ha acrecentado a lo largo de los últimos 25 años, pasando de un promedio de crecimiento dos veces al año de 20% en los años 2000-2006 a una caída de 50% en los años 2010-2015. Incrementado, la caída a 75% para el periodo de 2016-2019, lo cual es una clara muestra de la falta de garantías en el ejercicio de los derechos de participación para nuevos votantes. En este sentido, los años con menor registro y actualización de datos, según el Observatorio Global de Comunicación y Democracia, fueron  2007 (1,1%) 2009 ( 0.7% ) 2013 ( 0,1% ) , 2017 (-0,5% ) y 2020 ( -0,5% ), registrando que en los últimos cinco años reflejados, la cifra de electores se mantuvo en 19 millones, aproximadamente.</w:t>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w:t>
      </w:r>
    </w:p>
    <w:p w:rsidR="00000000" w:rsidDel="00000000" w:rsidP="00000000" w:rsidRDefault="00000000" w:rsidRPr="00000000" w14:paraId="000000C9">
      <w:pPr>
        <w:shd w:fill="ffffff" w:val="clear"/>
        <w:spacing w:after="360" w:lineRule="auto"/>
        <w:jc w:val="both"/>
        <w:rPr>
          <w:sz w:val="24"/>
          <w:szCs w:val="24"/>
          <w:vertAlign w:val="superscript"/>
        </w:rPr>
      </w:pPr>
      <w:r w:rsidDel="00000000" w:rsidR="00000000" w:rsidRPr="00000000">
        <w:rPr>
          <w:sz w:val="24"/>
          <w:szCs w:val="24"/>
          <w:rtl w:val="0"/>
        </w:rPr>
        <w:t xml:space="preserve">18. De acuerdo a la Ley Orgánica de Procesos Electorales, el registro electoral tiene un carácter continuo, según lo expresa su artículo 28. Igualmente, la normativa establece que el CNE está obligado a aprobar una jornada especial de inscripción y actualización de datos que le permita desplegar máquinas ubicadas en zonas de todo el país por una extensión de tiempo significativa que facilite el proceso para los venezolanos; sin embargo, el último gran operativo que cumplió con estas especificaciones ocurrió en 2017, en los años posteriores las jornadas especiales fueron insuficientes, tuvieron una extensión de tiempo limitada y una extensión territorial sumamente limitada en comparación con jornadas anteriores. La última jornada especial se desarrolló en el año 2021, actualmente los venezolanos solo pueden inscribirse en las sedes regionales del Consejo Nacional Electoral, ubicadas en las capitales, excluyendo a aquellos ciudadanos que no viven cerca a estas.</w:t>
      </w:r>
      <w:r w:rsidDel="00000000" w:rsidR="00000000" w:rsidRPr="00000000">
        <w:rPr>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CA">
      <w:pPr>
        <w:shd w:fill="ffffff" w:val="clear"/>
        <w:spacing w:after="360" w:lineRule="auto"/>
        <w:jc w:val="both"/>
        <w:rPr>
          <w:sz w:val="24"/>
          <w:szCs w:val="24"/>
        </w:rPr>
      </w:pPr>
      <w:r w:rsidDel="00000000" w:rsidR="00000000" w:rsidRPr="00000000">
        <w:rPr>
          <w:sz w:val="24"/>
          <w:szCs w:val="24"/>
          <w:rtl w:val="0"/>
        </w:rPr>
        <w:t xml:space="preserve">19. En el 2017, la Red Electoral Ciudadana corroboró que sólo el 76% de las Oficinas Regionales Electorales</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estaban operativas, y el otro 24% estaban cerradas. Para la jornada especial de las presidenciales de ese año, el ente electoral solo activo 531 puntos en todo el país y para las legislativas de 2020, redujeron los días a 17 días y solo 439 puntos en todo el territorio nacional.</w:t>
      </w:r>
    </w:p>
    <w:p w:rsidR="00000000" w:rsidDel="00000000" w:rsidP="00000000" w:rsidRDefault="00000000" w:rsidRPr="00000000" w14:paraId="000000CB">
      <w:pPr>
        <w:shd w:fill="ffffff" w:val="clear"/>
        <w:spacing w:after="360" w:lineRule="auto"/>
        <w:jc w:val="both"/>
        <w:rPr>
          <w:sz w:val="24"/>
          <w:szCs w:val="24"/>
          <w:vertAlign w:val="superscript"/>
        </w:rPr>
      </w:pPr>
      <w:r w:rsidDel="00000000" w:rsidR="00000000" w:rsidRPr="00000000">
        <w:rPr>
          <w:sz w:val="24"/>
          <w:szCs w:val="24"/>
          <w:rtl w:val="0"/>
        </w:rPr>
        <w:t xml:space="preserve">20. Asimismo, el desarrollo de campañas informativas dirigidas hacia la población y especialmente a nuevos votantes para promover la inscripción ante el Registro Electoral han sido limitadas. La última campaña institucional para promover la inscripción y actualización de datos, ocurrió en el 2021.</w:t>
      </w:r>
      <w:r w:rsidDel="00000000" w:rsidR="00000000" w:rsidRPr="00000000">
        <w:rPr>
          <w:rtl w:val="0"/>
        </w:rPr>
      </w:r>
    </w:p>
    <w:p w:rsidR="00000000" w:rsidDel="00000000" w:rsidP="00000000" w:rsidRDefault="00000000" w:rsidRPr="00000000" w14:paraId="000000CC">
      <w:pPr>
        <w:shd w:fill="ffffff" w:val="clear"/>
        <w:spacing w:after="360" w:lineRule="auto"/>
        <w:jc w:val="both"/>
        <w:rPr>
          <w:sz w:val="24"/>
          <w:szCs w:val="24"/>
        </w:rPr>
      </w:pPr>
      <w:r w:rsidDel="00000000" w:rsidR="00000000" w:rsidRPr="00000000">
        <w:rPr>
          <w:sz w:val="24"/>
          <w:szCs w:val="24"/>
          <w:rtl w:val="0"/>
        </w:rPr>
        <w:t xml:space="preserve">21. Aunque el Registro Electoral cuenta con un carácter continuo y Venezuela es uno de los países que permite la participación electoral de sus ciudadanos residenciados en el extranjero, la inscripción y actualización de datos electorales en el extranjero es más compleja. Para el 2017, se estimaba que entre dos y cuatro millones de venezolanos mayores de edad se habían desplazado a otras fronteras pero solo 101.595 estaban inscritos en el Registro Electoral. Desde 2018 no se activan las inscripciones o actualizaciones ante el Registro Electoral de venezolanos en el exterior. Actualmente se estima que de los 7,2 millones de migrantes, 4,1 millones están en edad de votar pero no pueden hacerlo. </w:t>
      </w:r>
    </w:p>
    <w:p w:rsidR="00000000" w:rsidDel="00000000" w:rsidP="00000000" w:rsidRDefault="00000000" w:rsidRPr="00000000" w14:paraId="000000CD">
      <w:pPr>
        <w:shd w:fill="ffffff" w:val="clear"/>
        <w:spacing w:after="360" w:lineRule="auto"/>
        <w:jc w:val="both"/>
        <w:rPr>
          <w:sz w:val="24"/>
          <w:szCs w:val="24"/>
          <w:highlight w:val="white"/>
        </w:rPr>
      </w:pPr>
      <w:r w:rsidDel="00000000" w:rsidR="00000000" w:rsidRPr="00000000">
        <w:rPr>
          <w:sz w:val="24"/>
          <w:szCs w:val="24"/>
          <w:rtl w:val="0"/>
        </w:rPr>
        <w:t xml:space="preserve">22. En el caso de los venezolanos en el exterior, se debe sumar que en los últimos años entre los requisitos que consulados y embajadas han exigido, se encuentra la presentación </w:t>
      </w:r>
      <w:r w:rsidDel="00000000" w:rsidR="00000000" w:rsidRPr="00000000">
        <w:rPr>
          <w:sz w:val="24"/>
          <w:szCs w:val="24"/>
          <w:highlight w:val="white"/>
          <w:rtl w:val="0"/>
        </w:rPr>
        <w:t xml:space="preserve">del pasaporte venezolano vigente, partida de nacimiento original y un instrumento que muestre una residencia regular de acuerdo al país de acogida, estos requisitos no están contemplados en la normativa legal. De acuerdo a la Ley Orgánica de Procesos Electorales, el único instrumento necesario para la inscripción o actualización de datos es la cédula de identidad laminada, sin importar si está vencida. </w:t>
      </w:r>
    </w:p>
    <w:p w:rsidR="00000000" w:rsidDel="00000000" w:rsidP="00000000" w:rsidRDefault="00000000" w:rsidRPr="00000000" w14:paraId="000000CE">
      <w:pPr>
        <w:shd w:fill="ffffff" w:val="clear"/>
        <w:spacing w:after="360" w:lineRule="auto"/>
        <w:jc w:val="both"/>
        <w:rPr>
          <w:sz w:val="24"/>
          <w:szCs w:val="24"/>
          <w:highlight w:val="white"/>
        </w:rPr>
      </w:pPr>
      <w:r w:rsidDel="00000000" w:rsidR="00000000" w:rsidRPr="00000000">
        <w:rPr>
          <w:sz w:val="24"/>
          <w:szCs w:val="24"/>
          <w:highlight w:val="white"/>
          <w:rtl w:val="0"/>
        </w:rPr>
        <w:t xml:space="preserve">23. En junio de 2023, </w:t>
      </w:r>
      <w:r w:rsidDel="00000000" w:rsidR="00000000" w:rsidRPr="00000000">
        <w:rPr>
          <w:color w:val="222f3a"/>
          <w:sz w:val="24"/>
          <w:szCs w:val="24"/>
          <w:highlight w:val="white"/>
          <w:rtl w:val="0"/>
        </w:rPr>
        <w:t xml:space="preserve">el CNE hizo público un corte del registro de votantes, determinando que 21,01 millones de personas están registradas,  20,7 millones venezolanos y 227.200 extranjeros. No obstante, Los partidos de oposición y las organizaciones de la sociedad civil a través de estudios independientes,  estiman que existen 3,5 millones de nuevos votantes no inscritos,</w:t>
      </w:r>
      <w:r w:rsidDel="00000000" w:rsidR="00000000" w:rsidRPr="00000000">
        <w:rPr>
          <w:color w:val="222f3a"/>
          <w:sz w:val="24"/>
          <w:szCs w:val="24"/>
          <w:highlight w:val="white"/>
          <w:vertAlign w:val="superscript"/>
        </w:rPr>
        <w:footnoteReference w:customMarkFollows="0" w:id="18"/>
      </w:r>
      <w:r w:rsidDel="00000000" w:rsidR="00000000" w:rsidRPr="00000000">
        <w:rPr>
          <w:color w:val="222f3a"/>
          <w:sz w:val="24"/>
          <w:szCs w:val="24"/>
          <w:highlight w:val="white"/>
          <w:rtl w:val="0"/>
        </w:rPr>
        <w:t xml:space="preserve"> representando una gran brecha y una violacion inminente al  derecho de elegir y ser elegido de dichos ciudadanos.</w:t>
      </w:r>
      <w:r w:rsidDel="00000000" w:rsidR="00000000" w:rsidRPr="00000000">
        <w:rPr>
          <w:rtl w:val="0"/>
        </w:rPr>
      </w:r>
    </w:p>
    <w:p w:rsidR="00000000" w:rsidDel="00000000" w:rsidP="00000000" w:rsidRDefault="00000000" w:rsidRPr="00000000" w14:paraId="000000CF">
      <w:pPr>
        <w:numPr>
          <w:ilvl w:val="0"/>
          <w:numId w:val="1"/>
        </w:numPr>
        <w:ind w:left="720" w:hanging="360"/>
        <w:jc w:val="both"/>
        <w:rPr>
          <w:b w:val="1"/>
          <w:sz w:val="24"/>
          <w:szCs w:val="24"/>
        </w:rPr>
      </w:pPr>
      <w:r w:rsidDel="00000000" w:rsidR="00000000" w:rsidRPr="00000000">
        <w:rPr>
          <w:b w:val="1"/>
          <w:color w:val="000000"/>
          <w:sz w:val="24"/>
          <w:szCs w:val="24"/>
          <w:rtl w:val="0"/>
        </w:rPr>
        <w:t xml:space="preserve">Parlamentarias  2015</w:t>
      </w:r>
      <w:r w:rsidDel="00000000" w:rsidR="00000000" w:rsidRPr="00000000">
        <w:rPr>
          <w:b w:val="1"/>
          <w:sz w:val="24"/>
          <w:szCs w:val="24"/>
          <w:rtl w:val="0"/>
        </w:rPr>
        <w:t xml:space="preserve">-2020.</w:t>
      </w:r>
    </w:p>
    <w:p w:rsidR="00000000" w:rsidDel="00000000" w:rsidP="00000000" w:rsidRDefault="00000000" w:rsidRPr="00000000" w14:paraId="000000D0">
      <w:pPr>
        <w:jc w:val="both"/>
        <w:rPr>
          <w:color w:val="000000"/>
          <w:sz w:val="24"/>
          <w:szCs w:val="24"/>
        </w:rPr>
      </w:pPr>
      <w:r w:rsidDel="00000000" w:rsidR="00000000" w:rsidRPr="00000000">
        <w:rPr>
          <w:rtl w:val="0"/>
        </w:rPr>
      </w:r>
    </w:p>
    <w:p w:rsidR="00000000" w:rsidDel="00000000" w:rsidP="00000000" w:rsidRDefault="00000000" w:rsidRPr="00000000" w14:paraId="000000D1">
      <w:pPr>
        <w:jc w:val="both"/>
        <w:rPr>
          <w:color w:val="000000"/>
          <w:sz w:val="24"/>
          <w:szCs w:val="24"/>
        </w:rPr>
      </w:pPr>
      <w:r w:rsidDel="00000000" w:rsidR="00000000" w:rsidRPr="00000000">
        <w:rPr>
          <w:sz w:val="24"/>
          <w:szCs w:val="24"/>
          <w:rtl w:val="0"/>
        </w:rPr>
        <w:t xml:space="preserve">24</w:t>
      </w:r>
      <w:r w:rsidDel="00000000" w:rsidR="00000000" w:rsidRPr="00000000">
        <w:rPr>
          <w:color w:val="000000"/>
          <w:sz w:val="24"/>
          <w:szCs w:val="24"/>
          <w:rtl w:val="0"/>
        </w:rPr>
        <w:t xml:space="preserve">.  Durante el 2015, la crisis económica latente y profundizada por la caída de los precios del petróleo, la inflación, el enorme déficit fiscal, </w:t>
      </w:r>
      <w:r w:rsidDel="00000000" w:rsidR="00000000" w:rsidRPr="00000000">
        <w:rPr>
          <w:sz w:val="24"/>
          <w:szCs w:val="24"/>
          <w:rtl w:val="0"/>
        </w:rPr>
        <w:t xml:space="preserve">la </w:t>
      </w:r>
      <w:r w:rsidDel="00000000" w:rsidR="00000000" w:rsidRPr="00000000">
        <w:rPr>
          <w:color w:val="000000"/>
          <w:sz w:val="24"/>
          <w:szCs w:val="24"/>
          <w:rtl w:val="0"/>
        </w:rPr>
        <w:t xml:space="preserve">escasez de alimentos, altas tasas de desempleo, </w:t>
      </w:r>
      <w:r w:rsidDel="00000000" w:rsidR="00000000" w:rsidRPr="00000000">
        <w:rPr>
          <w:sz w:val="24"/>
          <w:szCs w:val="24"/>
          <w:rtl w:val="0"/>
        </w:rPr>
        <w:t xml:space="preserve">así como</w:t>
      </w:r>
      <w:r w:rsidDel="00000000" w:rsidR="00000000" w:rsidRPr="00000000">
        <w:rPr>
          <w:color w:val="000000"/>
          <w:sz w:val="24"/>
          <w:szCs w:val="24"/>
          <w:rtl w:val="0"/>
        </w:rPr>
        <w:t xml:space="preserve"> la crisis política, violencia y crisis institucional, reforzaba la complejidad del escenario electoral. La renovación parcial de los rectores del</w:t>
      </w:r>
      <w:r w:rsidDel="00000000" w:rsidR="00000000" w:rsidRPr="00000000">
        <w:rPr>
          <w:sz w:val="24"/>
          <w:szCs w:val="24"/>
          <w:rtl w:val="0"/>
        </w:rPr>
        <w:t xml:space="preserve"> Consejo Nacional Electoral</w:t>
      </w:r>
      <w:r w:rsidDel="00000000" w:rsidR="00000000" w:rsidRPr="00000000">
        <w:rPr>
          <w:color w:val="000000"/>
          <w:sz w:val="24"/>
          <w:szCs w:val="24"/>
          <w:rtl w:val="0"/>
        </w:rPr>
        <w:t xml:space="preserve"> fue ineficiente por  la demora de casi dos años para la designación de nuevos rectores,</w:t>
      </w:r>
      <w:r w:rsidDel="00000000" w:rsidR="00000000" w:rsidRPr="00000000">
        <w:rPr>
          <w:color w:val="000000"/>
          <w:sz w:val="24"/>
          <w:szCs w:val="24"/>
          <w:vertAlign w:val="superscript"/>
        </w:rPr>
        <w:footnoteReference w:customMarkFollows="0" w:id="19"/>
      </w:r>
      <w:r w:rsidDel="00000000" w:rsidR="00000000" w:rsidRPr="00000000">
        <w:rPr>
          <w:color w:val="000000"/>
          <w:sz w:val="24"/>
          <w:szCs w:val="24"/>
          <w:rtl w:val="0"/>
        </w:rPr>
        <w:t xml:space="preserve">  y la rectificación de dos rectoras salientes, auspiciando la desconfianza del electorado en su transparencia, equidad y eficiencia como organismo.</w:t>
      </w:r>
      <w:r w:rsidDel="00000000" w:rsidR="00000000" w:rsidRPr="00000000">
        <w:rPr>
          <w:color w:val="000000"/>
          <w:sz w:val="24"/>
          <w:szCs w:val="24"/>
          <w:vertAlign w:val="superscript"/>
        </w:rPr>
        <w:footnoteReference w:customMarkFollows="0" w:id="20"/>
      </w:r>
      <w:r w:rsidDel="00000000" w:rsidR="00000000" w:rsidRPr="00000000">
        <w:rPr>
          <w:color w:val="000000"/>
          <w:sz w:val="24"/>
          <w:szCs w:val="24"/>
          <w:rtl w:val="0"/>
        </w:rPr>
        <w:t xml:space="preserve"> </w:t>
      </w:r>
    </w:p>
    <w:p w:rsidR="00000000" w:rsidDel="00000000" w:rsidP="00000000" w:rsidRDefault="00000000" w:rsidRPr="00000000" w14:paraId="000000D2">
      <w:pPr>
        <w:jc w:val="both"/>
        <w:rPr>
          <w:color w:val="000000"/>
          <w:sz w:val="24"/>
          <w:szCs w:val="24"/>
        </w:rPr>
      </w:pPr>
      <w:r w:rsidDel="00000000" w:rsidR="00000000" w:rsidRPr="00000000">
        <w:rPr>
          <w:rtl w:val="0"/>
        </w:rPr>
      </w:r>
    </w:p>
    <w:p w:rsidR="00000000" w:rsidDel="00000000" w:rsidP="00000000" w:rsidRDefault="00000000" w:rsidRPr="00000000" w14:paraId="000000D3">
      <w:pPr>
        <w:jc w:val="both"/>
        <w:rPr>
          <w:sz w:val="24"/>
          <w:szCs w:val="24"/>
        </w:rPr>
      </w:pPr>
      <w:r w:rsidDel="00000000" w:rsidR="00000000" w:rsidRPr="00000000">
        <w:rPr>
          <w:sz w:val="24"/>
          <w:szCs w:val="24"/>
          <w:rtl w:val="0"/>
        </w:rPr>
        <w:t xml:space="preserve">25</w:t>
      </w:r>
      <w:r w:rsidDel="00000000" w:rsidR="00000000" w:rsidRPr="00000000">
        <w:rPr>
          <w:color w:val="000000"/>
          <w:sz w:val="24"/>
          <w:szCs w:val="24"/>
          <w:rtl w:val="0"/>
        </w:rPr>
        <w:t xml:space="preserve">. La fecha para el proceso electoral Parlamentari</w:t>
      </w:r>
      <w:r w:rsidDel="00000000" w:rsidR="00000000" w:rsidRPr="00000000">
        <w:rPr>
          <w:sz w:val="24"/>
          <w:szCs w:val="24"/>
          <w:rtl w:val="0"/>
        </w:rPr>
        <w:t xml:space="preserve">o de</w:t>
      </w:r>
      <w:r w:rsidDel="00000000" w:rsidR="00000000" w:rsidRPr="00000000">
        <w:rPr>
          <w:color w:val="000000"/>
          <w:sz w:val="24"/>
          <w:szCs w:val="24"/>
          <w:rtl w:val="0"/>
        </w:rPr>
        <w:t xml:space="preserve"> 2015 se fijó con retraso, ahondando en la complejidad de gestionar la agenda de los distintos actores políticos de oposición y auspiciando la desconfianza de la sociedad civil. Además de ello, el C</w:t>
      </w:r>
      <w:r w:rsidDel="00000000" w:rsidR="00000000" w:rsidRPr="00000000">
        <w:rPr>
          <w:sz w:val="24"/>
          <w:szCs w:val="24"/>
          <w:rtl w:val="0"/>
        </w:rPr>
        <w:t xml:space="preserve">onsejo Nacional Electoral</w:t>
      </w:r>
      <w:r w:rsidDel="00000000" w:rsidR="00000000" w:rsidRPr="00000000">
        <w:rPr>
          <w:color w:val="000000"/>
          <w:sz w:val="24"/>
          <w:szCs w:val="24"/>
          <w:rtl w:val="0"/>
        </w:rPr>
        <w:t xml:space="preserve"> optó por no convocar a una elección popular para la designación de los 11 diputados del Parlatino, sino que demandó a que estos fueran determinados en el seno de la Asamblea Nacional, alegando que dicha acción ya había sido puesta en práctica</w:t>
      </w:r>
      <w:r w:rsidDel="00000000" w:rsidR="00000000" w:rsidRPr="00000000">
        <w:rPr>
          <w:color w:val="000000"/>
          <w:sz w:val="24"/>
          <w:szCs w:val="24"/>
          <w:vertAlign w:val="superscript"/>
        </w:rPr>
        <w:footnoteReference w:customMarkFollows="0" w:id="21"/>
      </w:r>
      <w:r w:rsidDel="00000000" w:rsidR="00000000" w:rsidRPr="00000000">
        <w:rPr>
          <w:color w:val="000000"/>
          <w:sz w:val="24"/>
          <w:szCs w:val="24"/>
          <w:rtl w:val="0"/>
        </w:rPr>
        <w:t xml:space="preserve">, parcializando y vulnerando el proceso electoral con el impedimento de elegir universal, directo y secreto a los representantes al Parlatino.</w:t>
      </w:r>
      <w:r w:rsidDel="00000000" w:rsidR="00000000" w:rsidRPr="00000000">
        <w:rPr>
          <w:color w:val="000000"/>
          <w:sz w:val="24"/>
          <w:szCs w:val="24"/>
          <w:vertAlign w:val="superscript"/>
        </w:rPr>
        <w:footnoteReference w:customMarkFollows="0" w:id="22"/>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D4">
      <w:pPr>
        <w:jc w:val="both"/>
        <w:rPr>
          <w:sz w:val="24"/>
          <w:szCs w:val="24"/>
        </w:rPr>
      </w:pPr>
      <w:r w:rsidDel="00000000" w:rsidR="00000000" w:rsidRPr="00000000">
        <w:rPr>
          <w:rtl w:val="0"/>
        </w:rPr>
      </w:r>
    </w:p>
    <w:p w:rsidR="00000000" w:rsidDel="00000000" w:rsidP="00000000" w:rsidRDefault="00000000" w:rsidRPr="00000000" w14:paraId="000000D5">
      <w:pPr>
        <w:shd w:fill="ffffff" w:val="clear"/>
        <w:spacing w:after="360" w:lineRule="auto"/>
        <w:jc w:val="both"/>
        <w:rPr>
          <w:sz w:val="24"/>
          <w:szCs w:val="24"/>
        </w:rPr>
      </w:pPr>
      <w:r w:rsidDel="00000000" w:rsidR="00000000" w:rsidRPr="00000000">
        <w:rPr>
          <w:sz w:val="24"/>
          <w:szCs w:val="24"/>
          <w:rtl w:val="0"/>
        </w:rPr>
        <w:t xml:space="preserve">26. El 20 de junio de 2020,  a razón de los próximos comicios parlamentarios, la Sala Constitucional del Tribunal Supremo de Justicia, con la justificación de omisión legislativa por parte de la Asamblea Nacional, nombra de forma inconstitucional a un nuevo Consejo Nacional, el cual en funciones, diseñó por órdenes inconstitucionales de la Sala, un nuevo marco electoral donde se alteraron los principios de proporcionalidad y personalización del sufragio y   de universalidad y voto directo para el caso de las elecciones indígenas.</w:t>
      </w:r>
      <w:r w:rsidDel="00000000" w:rsidR="00000000" w:rsidRPr="00000000">
        <w:rPr>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D6">
      <w:pPr>
        <w:shd w:fill="ffffff" w:val="clear"/>
        <w:spacing w:after="360" w:lineRule="auto"/>
        <w:jc w:val="both"/>
        <w:rPr>
          <w:sz w:val="24"/>
          <w:szCs w:val="24"/>
        </w:rPr>
      </w:pPr>
      <w:r w:rsidDel="00000000" w:rsidR="00000000" w:rsidRPr="00000000">
        <w:rPr>
          <w:sz w:val="24"/>
          <w:szCs w:val="24"/>
          <w:rtl w:val="0"/>
        </w:rPr>
        <w:t xml:space="preserve">27. Finalmente, el 6 de diciembre de 2020 se llevaron a cabo los comicios electorales entre opacidad informativa, incumplimiento del calendario electoral, un padrón electoral diezmado porque un número considerable de ciudadanos en edad para votar no pudieron registrarse, más el desconocimiento del funcionamiento del nuevo sistema automatizado de votación.</w:t>
      </w:r>
    </w:p>
    <w:p w:rsidR="00000000" w:rsidDel="00000000" w:rsidP="00000000" w:rsidRDefault="00000000" w:rsidRPr="00000000" w14:paraId="000000D7">
      <w:pPr>
        <w:jc w:val="both"/>
        <w:rPr>
          <w:sz w:val="24"/>
          <w:szCs w:val="24"/>
        </w:rPr>
      </w:pPr>
      <w:r w:rsidDel="00000000" w:rsidR="00000000" w:rsidRPr="00000000">
        <w:rPr>
          <w:rtl w:val="0"/>
        </w:rPr>
      </w:r>
    </w:p>
    <w:p w:rsidR="00000000" w:rsidDel="00000000" w:rsidP="00000000" w:rsidRDefault="00000000" w:rsidRPr="00000000" w14:paraId="000000D8">
      <w:pPr>
        <w:numPr>
          <w:ilvl w:val="0"/>
          <w:numId w:val="1"/>
        </w:numPr>
        <w:ind w:left="720" w:hanging="360"/>
        <w:jc w:val="both"/>
        <w:rPr>
          <w:b w:val="1"/>
          <w:sz w:val="24"/>
          <w:szCs w:val="24"/>
        </w:rPr>
      </w:pPr>
      <w:r w:rsidDel="00000000" w:rsidR="00000000" w:rsidRPr="00000000">
        <w:rPr>
          <w:b w:val="1"/>
          <w:color w:val="000000"/>
          <w:sz w:val="24"/>
          <w:szCs w:val="24"/>
          <w:rtl w:val="0"/>
        </w:rPr>
        <w:t xml:space="preserve">Inhabilitaciones políticas (2015</w:t>
      </w:r>
      <w:r w:rsidDel="00000000" w:rsidR="00000000" w:rsidRPr="00000000">
        <w:rPr>
          <w:b w:val="1"/>
          <w:sz w:val="24"/>
          <w:szCs w:val="24"/>
          <w:rtl w:val="0"/>
        </w:rPr>
        <w:t xml:space="preserve">-2023)</w:t>
      </w:r>
    </w:p>
    <w:p w:rsidR="00000000" w:rsidDel="00000000" w:rsidP="00000000" w:rsidRDefault="00000000" w:rsidRPr="00000000" w14:paraId="000000D9">
      <w:pPr>
        <w:jc w:val="both"/>
        <w:rPr>
          <w:i w:val="1"/>
          <w:color w:val="000000"/>
          <w:sz w:val="24"/>
          <w:szCs w:val="24"/>
        </w:rPr>
      </w:pPr>
      <w:r w:rsidDel="00000000" w:rsidR="00000000" w:rsidRPr="00000000">
        <w:rPr>
          <w:rtl w:val="0"/>
        </w:rPr>
      </w:r>
    </w:p>
    <w:p w:rsidR="00000000" w:rsidDel="00000000" w:rsidP="00000000" w:rsidRDefault="00000000" w:rsidRPr="00000000" w14:paraId="000000DA">
      <w:pPr>
        <w:jc w:val="both"/>
        <w:rPr>
          <w:color w:val="000000"/>
          <w:sz w:val="24"/>
          <w:szCs w:val="24"/>
        </w:rPr>
      </w:pPr>
      <w:r w:rsidDel="00000000" w:rsidR="00000000" w:rsidRPr="00000000">
        <w:rPr>
          <w:sz w:val="24"/>
          <w:szCs w:val="24"/>
          <w:rtl w:val="0"/>
        </w:rPr>
        <w:t xml:space="preserve">28</w:t>
      </w:r>
      <w:r w:rsidDel="00000000" w:rsidR="00000000" w:rsidRPr="00000000">
        <w:rPr>
          <w:color w:val="000000"/>
          <w:sz w:val="24"/>
          <w:szCs w:val="24"/>
          <w:rtl w:val="0"/>
        </w:rPr>
        <w:t xml:space="preserve">. El 5 de mayo del 2015, Cesar Pérez Vivas fue notificado por la Contraloría de su inhabilitación política a razón de solvencias laborales de la oficina de prensa de la Gobernación</w:t>
      </w:r>
      <w:r w:rsidDel="00000000" w:rsidR="00000000" w:rsidRPr="00000000">
        <w:rPr>
          <w:sz w:val="24"/>
          <w:szCs w:val="24"/>
          <w:rtl w:val="0"/>
        </w:rPr>
        <w:t xml:space="preserve">, contrario a lo que establecen los estándares internacionales, la inhabilitación ocurrió por vía administrativa y no judicial. </w:t>
      </w:r>
      <w:r w:rsidDel="00000000" w:rsidR="00000000" w:rsidRPr="00000000">
        <w:rPr>
          <w:color w:val="000000"/>
          <w:sz w:val="24"/>
          <w:szCs w:val="24"/>
          <w:rtl w:val="0"/>
        </w:rPr>
        <w:t xml:space="preserve">En el 2016, Pérez Vivas impuso un recurso para la consideración de la inhabilitación, sin embargo, no fue hasta el 2019 que la Sala admitió la demanda.</w:t>
      </w:r>
      <w:r w:rsidDel="00000000" w:rsidR="00000000" w:rsidRPr="00000000">
        <w:rPr>
          <w:color w:val="000000"/>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DB">
      <w:pPr>
        <w:jc w:val="both"/>
        <w:rPr>
          <w:i w:val="1"/>
          <w:color w:val="000000"/>
          <w:sz w:val="24"/>
          <w:szCs w:val="24"/>
        </w:rPr>
      </w:pPr>
      <w:r w:rsidDel="00000000" w:rsidR="00000000" w:rsidRPr="00000000">
        <w:rPr>
          <w:rtl w:val="0"/>
        </w:rPr>
      </w:r>
    </w:p>
    <w:p w:rsidR="00000000" w:rsidDel="00000000" w:rsidP="00000000" w:rsidRDefault="00000000" w:rsidRPr="00000000" w14:paraId="000000DC">
      <w:pPr>
        <w:jc w:val="both"/>
        <w:rPr>
          <w:color w:val="000000"/>
          <w:sz w:val="24"/>
          <w:szCs w:val="24"/>
        </w:rPr>
      </w:pPr>
      <w:r w:rsidDel="00000000" w:rsidR="00000000" w:rsidRPr="00000000">
        <w:rPr>
          <w:sz w:val="24"/>
          <w:szCs w:val="24"/>
          <w:rtl w:val="0"/>
        </w:rPr>
        <w:t xml:space="preserve">29</w:t>
      </w:r>
      <w:r w:rsidDel="00000000" w:rsidR="00000000" w:rsidRPr="00000000">
        <w:rPr>
          <w:color w:val="000000"/>
          <w:sz w:val="24"/>
          <w:szCs w:val="24"/>
          <w:rtl w:val="0"/>
        </w:rPr>
        <w:t xml:space="preserve">. El 3 de junio del 2015, mediante la resolución n° Número 01-00-000181, la Contraloría General informaba la inhabilitación de Pablo Pérez para ejercer cargos públicos por un periodo de diez años, a causa de transferir recursos públicos,</w:t>
      </w:r>
      <w:r w:rsidDel="00000000" w:rsidR="00000000" w:rsidRPr="00000000">
        <w:rPr>
          <w:color w:val="000000"/>
          <w:sz w:val="24"/>
          <w:szCs w:val="24"/>
          <w:highlight w:val="white"/>
          <w:vertAlign w:val="superscript"/>
        </w:rPr>
        <w:footnoteReference w:customMarkFollows="0" w:id="25"/>
      </w:r>
      <w:r w:rsidDel="00000000" w:rsidR="00000000" w:rsidRPr="00000000">
        <w:rPr>
          <w:color w:val="000000"/>
          <w:sz w:val="24"/>
          <w:szCs w:val="24"/>
          <w:highlight w:val="white"/>
          <w:rtl w:val="0"/>
        </w:rPr>
        <w:t xml:space="preserve"> al ofrecer becas a jóvenes a cambio de su militancia, nuevamente, dicha inhabilitación ocurrió a través de un acto administrativo.</w:t>
      </w:r>
      <w:r w:rsidDel="00000000" w:rsidR="00000000" w:rsidRPr="00000000">
        <w:rPr>
          <w:rtl w:val="0"/>
        </w:rPr>
      </w:r>
    </w:p>
    <w:p w:rsidR="00000000" w:rsidDel="00000000" w:rsidP="00000000" w:rsidRDefault="00000000" w:rsidRPr="00000000" w14:paraId="000000DD">
      <w:pPr>
        <w:jc w:val="both"/>
        <w:rPr>
          <w:color w:val="000000"/>
          <w:sz w:val="24"/>
          <w:szCs w:val="24"/>
        </w:rPr>
      </w:pPr>
      <w:r w:rsidDel="00000000" w:rsidR="00000000" w:rsidRPr="00000000">
        <w:rPr>
          <w:rtl w:val="0"/>
        </w:rPr>
      </w:r>
    </w:p>
    <w:p w:rsidR="00000000" w:rsidDel="00000000" w:rsidP="00000000" w:rsidRDefault="00000000" w:rsidRPr="00000000" w14:paraId="000000DE">
      <w:pPr>
        <w:jc w:val="both"/>
        <w:rPr>
          <w:color w:val="000000"/>
          <w:sz w:val="24"/>
          <w:szCs w:val="24"/>
        </w:rPr>
      </w:pPr>
      <w:r w:rsidDel="00000000" w:rsidR="00000000" w:rsidRPr="00000000">
        <w:rPr>
          <w:sz w:val="24"/>
          <w:szCs w:val="24"/>
          <w:rtl w:val="0"/>
        </w:rPr>
        <w:t xml:space="preserve">30. </w:t>
      </w:r>
      <w:r w:rsidDel="00000000" w:rsidR="00000000" w:rsidRPr="00000000">
        <w:rPr>
          <w:color w:val="000000"/>
          <w:sz w:val="24"/>
          <w:szCs w:val="24"/>
          <w:rtl w:val="0"/>
        </w:rPr>
        <w:t xml:space="preserve">El 6 de julio del 2015, mediante una resolución publicada en Gaceta Oficial n° 40.695, la Contraloría General de la República</w:t>
      </w:r>
      <w:r w:rsidDel="00000000" w:rsidR="00000000" w:rsidRPr="00000000">
        <w:rPr>
          <w:sz w:val="24"/>
          <w:szCs w:val="24"/>
          <w:rtl w:val="0"/>
        </w:rPr>
        <w:t xml:space="preserve">, a través de un acto administrativo, </w:t>
      </w:r>
      <w:r w:rsidDel="00000000" w:rsidR="00000000" w:rsidRPr="00000000">
        <w:rPr>
          <w:color w:val="000000"/>
          <w:sz w:val="24"/>
          <w:szCs w:val="24"/>
          <w:rtl w:val="0"/>
        </w:rPr>
        <w:t xml:space="preserve">inhabilitó a Daniel Ceballos para impedir su ejercicio en cargos públicos durante 12 meses.</w:t>
      </w:r>
    </w:p>
    <w:p w:rsidR="00000000" w:rsidDel="00000000" w:rsidP="00000000" w:rsidRDefault="00000000" w:rsidRPr="00000000" w14:paraId="000000DF">
      <w:pPr>
        <w:jc w:val="both"/>
        <w:rPr>
          <w:color w:val="000000"/>
          <w:sz w:val="24"/>
          <w:szCs w:val="24"/>
        </w:rPr>
      </w:pPr>
      <w:r w:rsidDel="00000000" w:rsidR="00000000" w:rsidRPr="00000000">
        <w:rPr>
          <w:rtl w:val="0"/>
        </w:rPr>
      </w:r>
    </w:p>
    <w:p w:rsidR="00000000" w:rsidDel="00000000" w:rsidP="00000000" w:rsidRDefault="00000000" w:rsidRPr="00000000" w14:paraId="000000E0">
      <w:pPr>
        <w:jc w:val="both"/>
        <w:rPr>
          <w:color w:val="000000"/>
          <w:sz w:val="24"/>
          <w:szCs w:val="24"/>
        </w:rPr>
      </w:pPr>
      <w:r w:rsidDel="00000000" w:rsidR="00000000" w:rsidRPr="00000000">
        <w:rPr>
          <w:sz w:val="24"/>
          <w:szCs w:val="24"/>
          <w:rtl w:val="0"/>
        </w:rPr>
        <w:t xml:space="preserve">31. </w:t>
      </w:r>
      <w:r w:rsidDel="00000000" w:rsidR="00000000" w:rsidRPr="00000000">
        <w:rPr>
          <w:color w:val="000000"/>
          <w:sz w:val="24"/>
          <w:szCs w:val="24"/>
          <w:rtl w:val="0"/>
        </w:rPr>
        <w:t xml:space="preserve">El 14 de julio del 2015, l</w:t>
      </w:r>
      <w:r w:rsidDel="00000000" w:rsidR="00000000" w:rsidRPr="00000000">
        <w:rPr>
          <w:color w:val="000000"/>
          <w:sz w:val="24"/>
          <w:szCs w:val="24"/>
          <w:shd w:fill="fdfdfd" w:val="clear"/>
          <w:rtl w:val="0"/>
        </w:rPr>
        <w:t xml:space="preserve">a Contraloría General de la República le notificó, a través de un acto administrativo, </w:t>
      </w:r>
      <w:r w:rsidDel="00000000" w:rsidR="00000000" w:rsidRPr="00000000">
        <w:rPr>
          <w:sz w:val="24"/>
          <w:szCs w:val="24"/>
          <w:shd w:fill="fdfdfd" w:val="clear"/>
          <w:rtl w:val="0"/>
        </w:rPr>
        <w:t xml:space="preserve">a María Corina Machado </w:t>
      </w:r>
      <w:r w:rsidDel="00000000" w:rsidR="00000000" w:rsidRPr="00000000">
        <w:rPr>
          <w:color w:val="000000"/>
          <w:sz w:val="24"/>
          <w:szCs w:val="24"/>
          <w:shd w:fill="fdfdfd" w:val="clear"/>
          <w:rtl w:val="0"/>
        </w:rPr>
        <w:t xml:space="preserve">su inhabilitación política por 12 meses, sin justificación alguna pero haciendo mención de que podía apelar ante la Contraloría y el Tribunal Supremo de Justicia.</w:t>
      </w:r>
      <w:r w:rsidDel="00000000" w:rsidR="00000000" w:rsidRPr="00000000">
        <w:rPr>
          <w:color w:val="000000"/>
          <w:sz w:val="24"/>
          <w:szCs w:val="24"/>
          <w:shd w:fill="fdfdfd" w:val="clear"/>
          <w:vertAlign w:val="superscript"/>
        </w:rPr>
        <w:footnoteReference w:customMarkFollows="0" w:id="26"/>
      </w:r>
      <w:r w:rsidDel="00000000" w:rsidR="00000000" w:rsidRPr="00000000">
        <w:rPr>
          <w:rtl w:val="0"/>
        </w:rPr>
      </w:r>
    </w:p>
    <w:p w:rsidR="00000000" w:rsidDel="00000000" w:rsidP="00000000" w:rsidRDefault="00000000" w:rsidRPr="00000000" w14:paraId="000000E1">
      <w:pPr>
        <w:jc w:val="both"/>
        <w:rPr>
          <w:sz w:val="24"/>
          <w:szCs w:val="24"/>
        </w:rPr>
      </w:pPr>
      <w:r w:rsidDel="00000000" w:rsidR="00000000" w:rsidRPr="00000000">
        <w:rPr>
          <w:rtl w:val="0"/>
        </w:rPr>
      </w:r>
    </w:p>
    <w:p w:rsidR="00000000" w:rsidDel="00000000" w:rsidP="00000000" w:rsidRDefault="00000000" w:rsidRPr="00000000" w14:paraId="000000E2">
      <w:pPr>
        <w:jc w:val="both"/>
        <w:rPr>
          <w:sz w:val="24"/>
          <w:szCs w:val="24"/>
          <w:highlight w:val="white"/>
        </w:rPr>
      </w:pPr>
      <w:r w:rsidDel="00000000" w:rsidR="00000000" w:rsidRPr="00000000">
        <w:rPr>
          <w:sz w:val="24"/>
          <w:szCs w:val="24"/>
          <w:rtl w:val="0"/>
        </w:rPr>
        <w:t xml:space="preserve">32. El 7 de abril de 2017, la Contraloría General de la República le notificó a Henrique Capriles Radonski que quedaba sancionado administrativamente para ejercer cargos de funciones públicas al momento del cese de su mandato como gobernador del Estado Miranda, justificando dicha sentencia en la ejecución de supuestos</w:t>
      </w:r>
      <w:r w:rsidDel="00000000" w:rsidR="00000000" w:rsidRPr="00000000">
        <w:rPr>
          <w:sz w:val="24"/>
          <w:szCs w:val="24"/>
          <w:highlight w:val="white"/>
          <w:rtl w:val="0"/>
        </w:rPr>
        <w:t xml:space="preserve"> ilícitos administrativos durante su gestión en los años 2011, 2012 y 2013, al no presentar un proyecto de Ley de Presupuesto ante el Consejo Legislativo de Miranda.</w:t>
      </w:r>
      <w:r w:rsidDel="00000000" w:rsidR="00000000" w:rsidRPr="00000000">
        <w:rPr>
          <w:sz w:val="24"/>
          <w:szCs w:val="24"/>
          <w:highlight w:val="white"/>
          <w:vertAlign w:val="superscript"/>
        </w:rPr>
        <w:footnoteReference w:customMarkFollows="0" w:id="27"/>
      </w:r>
      <w:r w:rsidDel="00000000" w:rsidR="00000000" w:rsidRPr="00000000">
        <w:rPr>
          <w:rtl w:val="0"/>
        </w:rPr>
      </w:r>
    </w:p>
    <w:p w:rsidR="00000000" w:rsidDel="00000000" w:rsidP="00000000" w:rsidRDefault="00000000" w:rsidRPr="00000000" w14:paraId="000000E3">
      <w:pPr>
        <w:jc w:val="both"/>
        <w:rPr>
          <w:sz w:val="24"/>
          <w:szCs w:val="24"/>
          <w:highlight w:val="white"/>
        </w:rPr>
      </w:pPr>
      <w:r w:rsidDel="00000000" w:rsidR="00000000" w:rsidRPr="00000000">
        <w:rPr>
          <w:rtl w:val="0"/>
        </w:rPr>
      </w:r>
    </w:p>
    <w:p w:rsidR="00000000" w:rsidDel="00000000" w:rsidP="00000000" w:rsidRDefault="00000000" w:rsidRPr="00000000" w14:paraId="000000E4">
      <w:pPr>
        <w:jc w:val="both"/>
        <w:rPr>
          <w:sz w:val="24"/>
          <w:szCs w:val="24"/>
          <w:highlight w:val="white"/>
        </w:rPr>
      </w:pPr>
      <w:r w:rsidDel="00000000" w:rsidR="00000000" w:rsidRPr="00000000">
        <w:rPr>
          <w:sz w:val="24"/>
          <w:szCs w:val="24"/>
          <w:highlight w:val="white"/>
          <w:rtl w:val="0"/>
        </w:rPr>
        <w:t xml:space="preserve">33. El 29 de noviembre de 2021, se decretó la inhabilitación de Freddy Superlano para ejercer cualquier cargo público, quien había competido como candidato a gobernador del Estado Barinas en los procesos regionales y municipales del 21 de noviembre de 2021. Esta inhabilitación ocurrió en el marcó de un reconteo de votos entre Argenis Chávez, candidato del partido de Gobierno y Freddy Superlano, el candidato opositor superó al candidato del PSUV por apenas 0,39 puntos porcentuales. La misma contaba con efecto retroactivo aunque en la formalización de su inscripción no tuvo objeción alguna.  </w:t>
      </w:r>
    </w:p>
    <w:p w:rsidR="00000000" w:rsidDel="00000000" w:rsidP="00000000" w:rsidRDefault="00000000" w:rsidRPr="00000000" w14:paraId="000000E5">
      <w:pPr>
        <w:jc w:val="both"/>
        <w:rPr>
          <w:sz w:val="24"/>
          <w:szCs w:val="24"/>
          <w:highlight w:val="white"/>
        </w:rPr>
      </w:pPr>
      <w:r w:rsidDel="00000000" w:rsidR="00000000" w:rsidRPr="00000000">
        <w:rPr>
          <w:rtl w:val="0"/>
        </w:rPr>
      </w:r>
    </w:p>
    <w:p w:rsidR="00000000" w:rsidDel="00000000" w:rsidP="00000000" w:rsidRDefault="00000000" w:rsidRPr="00000000" w14:paraId="000000E6">
      <w:pPr>
        <w:jc w:val="both"/>
        <w:rPr>
          <w:sz w:val="24"/>
          <w:szCs w:val="24"/>
          <w:highlight w:val="white"/>
        </w:rPr>
      </w:pPr>
      <w:r w:rsidDel="00000000" w:rsidR="00000000" w:rsidRPr="00000000">
        <w:rPr>
          <w:sz w:val="24"/>
          <w:szCs w:val="24"/>
          <w:highlight w:val="white"/>
          <w:rtl w:val="0"/>
        </w:rPr>
        <w:t xml:space="preserve">34. Aunque el Consejo Nacional Electoral  ofreció resultados preliminares la madrugada del 22 de noviembre, el anuncio del resultado final de la votación del Estado Barinas se postergó varios días debido al atraso en la entrega de las actas correspondientes a tres municipios. Finalmente, el 28 de noviembre, cuando parecía inminente que los resultados favorecerían al candidato opositor, Freddy Superlano,  una decisión de la Sala Electoral del Tribunal Supremo de Justicia (TSJ) ordenó detener los procesos de totalización, adjudicación y difusión de los resultados. Dicho fallo fue seguido ese mismo día, y con pocas horas de diferencia, de una segunda sentencia, en la que se anuló la elección del 21 de noviembre de 2021, ordenando a la vez la celebración de nuevos comicios el 9 de enero de 2022. Si bien la segunda sentencia confirmó la victoria del candidato opositor Freddy Superlano por el estrecho margen antes citado, la misma anuló dichos comicios argumentando la supuesta existencia de una inhabilitación contra Superlano, que habría sido dictada por la Contraloría General poco más de tres meses antes de las elecciones, dicha decisión, de existir, no fue notificada al Consejo Nacional Electoral. </w:t>
      </w:r>
    </w:p>
    <w:p w:rsidR="00000000" w:rsidDel="00000000" w:rsidP="00000000" w:rsidRDefault="00000000" w:rsidRPr="00000000" w14:paraId="000000E7">
      <w:pPr>
        <w:jc w:val="both"/>
        <w:rPr>
          <w:sz w:val="24"/>
          <w:szCs w:val="24"/>
          <w:highlight w:val="white"/>
        </w:rPr>
      </w:pPr>
      <w:r w:rsidDel="00000000" w:rsidR="00000000" w:rsidRPr="00000000">
        <w:rPr>
          <w:rtl w:val="0"/>
        </w:rPr>
      </w:r>
    </w:p>
    <w:p w:rsidR="00000000" w:rsidDel="00000000" w:rsidP="00000000" w:rsidRDefault="00000000" w:rsidRPr="00000000" w14:paraId="000000E8">
      <w:pPr>
        <w:jc w:val="both"/>
        <w:rPr>
          <w:sz w:val="24"/>
          <w:szCs w:val="24"/>
          <w:highlight w:val="white"/>
        </w:rPr>
      </w:pPr>
      <w:r w:rsidDel="00000000" w:rsidR="00000000" w:rsidRPr="00000000">
        <w:rPr>
          <w:sz w:val="24"/>
          <w:szCs w:val="24"/>
          <w:highlight w:val="white"/>
          <w:rtl w:val="0"/>
        </w:rPr>
        <w:t xml:space="preserve">35. Los nuevos comicios para elegir gobernador en Barinas supusieron una nueva tanda de inhabilitaciones. Luego de que la oposición venezolana decidiera postular a Aurora Silva de Superlano, en reemplazo de su esposo, Freddy Superlano,  su nombre apareció igualmente como inhabilitada en el sistema, a pesar de que nunca había ejercido antes cargos públicos. La misma suerte corrió la segunda opción de la oposición venezolana, el dirigente Julio César Reyes. Finalmente, cuando sólo faltaban pocas horas para el cierre de los plazos, el sistema aceptó al tercer candidato propuesto, el dirigente y militante de Acción Democrática,  Sergio Garrido.</w:t>
      </w:r>
    </w:p>
    <w:p w:rsidR="00000000" w:rsidDel="00000000" w:rsidP="00000000" w:rsidRDefault="00000000" w:rsidRPr="00000000" w14:paraId="000000E9">
      <w:pPr>
        <w:jc w:val="both"/>
        <w:rPr>
          <w:sz w:val="24"/>
          <w:szCs w:val="24"/>
          <w:highlight w:val="white"/>
        </w:rPr>
      </w:pPr>
      <w:r w:rsidDel="00000000" w:rsidR="00000000" w:rsidRPr="00000000">
        <w:rPr>
          <w:rtl w:val="0"/>
        </w:rPr>
      </w:r>
    </w:p>
    <w:p w:rsidR="00000000" w:rsidDel="00000000" w:rsidP="00000000" w:rsidRDefault="00000000" w:rsidRPr="00000000" w14:paraId="000000EA">
      <w:pPr>
        <w:jc w:val="both"/>
        <w:rPr>
          <w:sz w:val="24"/>
          <w:szCs w:val="24"/>
          <w:highlight w:val="white"/>
        </w:rPr>
      </w:pPr>
      <w:r w:rsidDel="00000000" w:rsidR="00000000" w:rsidRPr="00000000">
        <w:rPr>
          <w:sz w:val="24"/>
          <w:szCs w:val="24"/>
          <w:rtl w:val="0"/>
        </w:rPr>
        <w:t xml:space="preserve">36. El 30 de junio de 2023, en el marco de las elecciones primarias de la oposición, la Contraloría General de la República, notifica nuevamente a través de un acto administrativo, a la líder opositora, María Corina Machado que estará inhabilitada por 15 años a razón de sus vinculaciones con el gobierno interino de Juan Guaido y sus peticiones de intervención extranjera.</w:t>
      </w:r>
      <w:r w:rsidDel="00000000" w:rsidR="00000000" w:rsidRPr="00000000">
        <w:rPr>
          <w:sz w:val="24"/>
          <w:szCs w:val="24"/>
          <w:vertAlign w:val="superscript"/>
        </w:rPr>
        <w:footnoteReference w:customMarkFollows="0" w:id="28"/>
      </w:r>
      <w:r w:rsidDel="00000000" w:rsidR="00000000" w:rsidRPr="00000000">
        <w:rPr>
          <w:rtl w:val="0"/>
        </w:rPr>
      </w:r>
    </w:p>
    <w:p w:rsidR="00000000" w:rsidDel="00000000" w:rsidP="00000000" w:rsidRDefault="00000000" w:rsidRPr="00000000" w14:paraId="000000EB">
      <w:pPr>
        <w:jc w:val="both"/>
        <w:rPr>
          <w:sz w:val="24"/>
          <w:szCs w:val="24"/>
          <w:highlight w:val="white"/>
        </w:rPr>
      </w:pPr>
      <w:r w:rsidDel="00000000" w:rsidR="00000000" w:rsidRPr="00000000">
        <w:rPr>
          <w:rtl w:val="0"/>
        </w:rPr>
      </w:r>
    </w:p>
    <w:p w:rsidR="00000000" w:rsidDel="00000000" w:rsidP="00000000" w:rsidRDefault="00000000" w:rsidRPr="00000000" w14:paraId="000000EC">
      <w:pPr>
        <w:jc w:val="both"/>
        <w:rPr>
          <w:sz w:val="24"/>
          <w:szCs w:val="24"/>
          <w:highlight w:val="white"/>
        </w:rPr>
      </w:pPr>
      <w:r w:rsidDel="00000000" w:rsidR="00000000" w:rsidRPr="00000000">
        <w:rPr>
          <w:sz w:val="24"/>
          <w:szCs w:val="24"/>
          <w:highlight w:val="white"/>
          <w:rtl w:val="0"/>
        </w:rPr>
        <w:t xml:space="preserve">37. El 7 de septiembre de 2023, Nicolás Maduro, presidente de Venezuela,  declaró en cadena nacional que no va a levantar las inhabilitaciones políticas a los líderes de oposición sin alguna justificación sólida, alegando que dichos actores solo aparecen en procesos electorales</w:t>
      </w:r>
      <w:r w:rsidDel="00000000" w:rsidR="00000000" w:rsidRPr="00000000">
        <w:rPr>
          <w:sz w:val="24"/>
          <w:szCs w:val="24"/>
          <w:highlight w:val="white"/>
          <w:vertAlign w:val="superscript"/>
        </w:rPr>
        <w:footnoteReference w:customMarkFollows="0" w:id="29"/>
      </w:r>
      <w:r w:rsidDel="00000000" w:rsidR="00000000" w:rsidRPr="00000000">
        <w:rPr>
          <w:sz w:val="24"/>
          <w:szCs w:val="24"/>
          <w:highlight w:val="white"/>
          <w:rtl w:val="0"/>
        </w:rPr>
        <w:t xml:space="preserve">. </w:t>
      </w:r>
    </w:p>
    <w:p w:rsidR="00000000" w:rsidDel="00000000" w:rsidP="00000000" w:rsidRDefault="00000000" w:rsidRPr="00000000" w14:paraId="000000ED">
      <w:pPr>
        <w:jc w:val="both"/>
        <w:rPr>
          <w:sz w:val="24"/>
          <w:szCs w:val="24"/>
          <w:highlight w:val="white"/>
        </w:rPr>
      </w:pPr>
      <w:r w:rsidDel="00000000" w:rsidR="00000000" w:rsidRPr="00000000">
        <w:rPr>
          <w:rtl w:val="0"/>
        </w:rPr>
      </w:r>
    </w:p>
    <w:p w:rsidR="00000000" w:rsidDel="00000000" w:rsidP="00000000" w:rsidRDefault="00000000" w:rsidRPr="00000000" w14:paraId="000000EE">
      <w:pPr>
        <w:jc w:val="both"/>
        <w:rPr>
          <w:color w:val="000000"/>
          <w:sz w:val="24"/>
          <w:szCs w:val="24"/>
        </w:rPr>
      </w:pPr>
      <w:r w:rsidDel="00000000" w:rsidR="00000000" w:rsidRPr="00000000">
        <w:rPr>
          <w:sz w:val="24"/>
          <w:szCs w:val="24"/>
          <w:rtl w:val="0"/>
        </w:rPr>
        <w:t xml:space="preserve">38.</w:t>
      </w:r>
      <w:r w:rsidDel="00000000" w:rsidR="00000000" w:rsidRPr="00000000">
        <w:rPr>
          <w:color w:val="000000"/>
          <w:sz w:val="24"/>
          <w:szCs w:val="24"/>
          <w:rtl w:val="0"/>
        </w:rPr>
        <w:t xml:space="preserve"> En este sentido, se trae a colación que el T</w:t>
      </w:r>
      <w:r w:rsidDel="00000000" w:rsidR="00000000" w:rsidRPr="00000000">
        <w:rPr>
          <w:sz w:val="24"/>
          <w:szCs w:val="24"/>
          <w:rtl w:val="0"/>
        </w:rPr>
        <w:t xml:space="preserve">ribunal Supremo de Justicia </w:t>
      </w:r>
      <w:r w:rsidDel="00000000" w:rsidR="00000000" w:rsidRPr="00000000">
        <w:rPr>
          <w:color w:val="000000"/>
          <w:sz w:val="24"/>
          <w:szCs w:val="24"/>
          <w:rtl w:val="0"/>
        </w:rPr>
        <w:t xml:space="preserve">determinó que</w:t>
      </w:r>
      <w:r w:rsidDel="00000000" w:rsidR="00000000" w:rsidRPr="00000000">
        <w:rPr>
          <w:sz w:val="24"/>
          <w:szCs w:val="24"/>
          <w:rtl w:val="0"/>
        </w:rPr>
        <w:t xml:space="preserve">,</w:t>
      </w:r>
      <w:r w:rsidDel="00000000" w:rsidR="00000000" w:rsidRPr="00000000">
        <w:rPr>
          <w:color w:val="000000"/>
          <w:sz w:val="24"/>
          <w:szCs w:val="24"/>
          <w:rtl w:val="0"/>
        </w:rPr>
        <w:t xml:space="preserve">  la sentencia de la Corte Interamericana donde instaba a Venezuela a modificar la ley que permitía al </w:t>
      </w:r>
      <w:r w:rsidDel="00000000" w:rsidR="00000000" w:rsidRPr="00000000">
        <w:rPr>
          <w:sz w:val="24"/>
          <w:szCs w:val="24"/>
          <w:rtl w:val="0"/>
        </w:rPr>
        <w:t xml:space="preserve">c</w:t>
      </w:r>
      <w:r w:rsidDel="00000000" w:rsidR="00000000" w:rsidRPr="00000000">
        <w:rPr>
          <w:color w:val="000000"/>
          <w:sz w:val="24"/>
          <w:szCs w:val="24"/>
          <w:rtl w:val="0"/>
        </w:rPr>
        <w:t xml:space="preserve">ontralor </w:t>
      </w:r>
      <w:r w:rsidDel="00000000" w:rsidR="00000000" w:rsidRPr="00000000">
        <w:rPr>
          <w:sz w:val="24"/>
          <w:szCs w:val="24"/>
          <w:rtl w:val="0"/>
        </w:rPr>
        <w:t xml:space="preserve">g</w:t>
      </w:r>
      <w:r w:rsidDel="00000000" w:rsidR="00000000" w:rsidRPr="00000000">
        <w:rPr>
          <w:color w:val="000000"/>
          <w:sz w:val="24"/>
          <w:szCs w:val="24"/>
          <w:rtl w:val="0"/>
        </w:rPr>
        <w:t xml:space="preserve">eneral inhabilitar candidatos sin condena por un delito, era inejecutable, alegando que la Corte estaba imponiendo sesgos ideológicos que iban en contra del sistema constitucional del Estado Venezolano. </w:t>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sz w:val="24"/>
          <w:szCs w:val="24"/>
          <w:rtl w:val="0"/>
        </w:rPr>
        <w:t xml:space="preserve">d) </w:t>
      </w:r>
      <w:r w:rsidDel="00000000" w:rsidR="00000000" w:rsidRPr="00000000">
        <w:rPr>
          <w:b w:val="1"/>
          <w:sz w:val="24"/>
          <w:szCs w:val="24"/>
          <w:rtl w:val="0"/>
        </w:rPr>
        <w:t xml:space="preserve">Proselitismo político (2015).</w:t>
      </w:r>
      <w:r w:rsidDel="00000000" w:rsidR="00000000" w:rsidRPr="00000000">
        <w:rPr>
          <w:sz w:val="24"/>
          <w:szCs w:val="24"/>
          <w:rtl w:val="0"/>
        </w:rPr>
        <w:t xml:space="preserve"> </w:t>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sz w:val="24"/>
          <w:szCs w:val="24"/>
        </w:rPr>
      </w:pPr>
      <w:r w:rsidDel="00000000" w:rsidR="00000000" w:rsidRPr="00000000">
        <w:rPr>
          <w:sz w:val="24"/>
          <w:szCs w:val="24"/>
          <w:rtl w:val="0"/>
        </w:rPr>
        <w:t xml:space="preserve">39.  El 29 de noviembre del 2015, las autoridades electorales desarrollaron un simulacro electoral que pretendía comprobar la efectividad de los equipos tecnológicos y el aparataje organizativo previo al proceso electoral parlamentarias 2015, pero al contrario de esto, se convirtió en un acto de proselitismo político del Partido Socialista Unido de Venezuela, partido de gobierno. En muchos centros de votación se recibieron denuncias de actividades abiertas de campaña electoral, violando así el artículo 75 de la Ley Orgánica de Procesos Electorales</w:t>
      </w:r>
      <w:r w:rsidDel="00000000" w:rsidR="00000000" w:rsidRPr="00000000">
        <w:rPr>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F3">
      <w:pPr>
        <w:jc w:val="both"/>
        <w:rPr>
          <w:sz w:val="24"/>
          <w:szCs w:val="24"/>
        </w:rPr>
      </w:pPr>
      <w:r w:rsidDel="00000000" w:rsidR="00000000" w:rsidRPr="00000000">
        <w:rPr>
          <w:rtl w:val="0"/>
        </w:rPr>
      </w:r>
    </w:p>
    <w:p w:rsidR="00000000" w:rsidDel="00000000" w:rsidP="00000000" w:rsidRDefault="00000000" w:rsidRPr="00000000" w14:paraId="000000F4">
      <w:pPr>
        <w:jc w:val="both"/>
        <w:rPr>
          <w:sz w:val="24"/>
          <w:szCs w:val="24"/>
        </w:rPr>
      </w:pPr>
      <w:r w:rsidDel="00000000" w:rsidR="00000000" w:rsidRPr="00000000">
        <w:rPr>
          <w:sz w:val="24"/>
          <w:szCs w:val="24"/>
          <w:rtl w:val="0"/>
        </w:rPr>
        <w:t xml:space="preserve">40. En algunos casos, la ubicación de los distintos movimientos y partidos políticos en el tarjetón electoral de los comicios parlamentarias 2015, pudieron generar confusiones en los electores al seleccionar su voto, como el caso de la cercanía de la tarjeta de MIN- UNIDAD, partido asociado al chavismo, al lado derecho de la tarjeta de la MUD- UNIDAD, partido asociado a la oposición, las cuales tendrían similitudes gráficas y pudo ser entendido como acción orientada a perjudicar a la alianza de la oposición generando confusión. </w:t>
      </w:r>
    </w:p>
    <w:p w:rsidR="00000000" w:rsidDel="00000000" w:rsidP="00000000" w:rsidRDefault="00000000" w:rsidRPr="00000000" w14:paraId="000000F5">
      <w:pPr>
        <w:jc w:val="both"/>
        <w:rPr>
          <w:sz w:val="24"/>
          <w:szCs w:val="24"/>
        </w:rPr>
      </w:pPr>
      <w:r w:rsidDel="00000000" w:rsidR="00000000" w:rsidRPr="00000000">
        <w:rPr>
          <w:rtl w:val="0"/>
        </w:rPr>
      </w:r>
    </w:p>
    <w:p w:rsidR="00000000" w:rsidDel="00000000" w:rsidP="00000000" w:rsidRDefault="00000000" w:rsidRPr="00000000" w14:paraId="000000F6">
      <w:pPr>
        <w:jc w:val="both"/>
        <w:rPr>
          <w:sz w:val="24"/>
          <w:szCs w:val="24"/>
        </w:rPr>
      </w:pPr>
      <w:r w:rsidDel="00000000" w:rsidR="00000000" w:rsidRPr="00000000">
        <w:rPr>
          <w:sz w:val="24"/>
          <w:szCs w:val="24"/>
          <w:rtl w:val="0"/>
        </w:rPr>
        <w:t xml:space="preserve">41. En el proceso de 2015, los tiempos de campaña no fueron respetados, diferentes actores políticos desconocieron que el inicio de campaña era del 13 de noviembre y terminaba el 3 de noviembre, generando acciones proselitistas dos meses antes de la fecha pautada por el ente electoral, violando su normativa, de igual forma,  el Consejo Nacional Electoral incurrió en omisión al no rechazar estas irregularidades y permitir una “pre-campaña” que perduró más que el tiempo de la campaña</w:t>
      </w:r>
      <w:r w:rsidDel="00000000" w:rsidR="00000000" w:rsidRPr="00000000">
        <w:rPr>
          <w:sz w:val="24"/>
          <w:szCs w:val="24"/>
          <w:vertAlign w:val="superscript"/>
        </w:rPr>
        <w:footnoteReference w:customMarkFollows="0" w:id="31"/>
      </w:r>
      <w:r w:rsidDel="00000000" w:rsidR="00000000" w:rsidRPr="00000000">
        <w:rPr>
          <w:sz w:val="24"/>
          <w:szCs w:val="24"/>
          <w:rtl w:val="0"/>
        </w:rPr>
        <w:t xml:space="preserve">.</w:t>
      </w:r>
    </w:p>
    <w:p w:rsidR="00000000" w:rsidDel="00000000" w:rsidP="00000000" w:rsidRDefault="00000000" w:rsidRPr="00000000" w14:paraId="000000F7">
      <w:pPr>
        <w:jc w:val="both"/>
        <w:rPr>
          <w:sz w:val="24"/>
          <w:szCs w:val="24"/>
        </w:rPr>
      </w:pPr>
      <w:r w:rsidDel="00000000" w:rsidR="00000000" w:rsidRPr="00000000">
        <w:rPr>
          <w:rtl w:val="0"/>
        </w:rPr>
      </w:r>
    </w:p>
    <w:p w:rsidR="00000000" w:rsidDel="00000000" w:rsidP="00000000" w:rsidRDefault="00000000" w:rsidRPr="00000000" w14:paraId="000000F8">
      <w:pPr>
        <w:jc w:val="both"/>
        <w:rPr>
          <w:sz w:val="24"/>
          <w:szCs w:val="24"/>
        </w:rPr>
      </w:pPr>
      <w:r w:rsidDel="00000000" w:rsidR="00000000" w:rsidRPr="00000000">
        <w:rPr>
          <w:sz w:val="24"/>
          <w:szCs w:val="24"/>
          <w:rtl w:val="0"/>
        </w:rPr>
        <w:t xml:space="preserve">42. En esta misma línea de omisiones del CNE para el proceso parlamentarias 2015, no hubo ningún llamado de atención o sanción a que el presidente asumiera ser jefe de campaña del PSUV y participará en abiertamente electorales y de campaña, al igual que otros funcionarios públicos, sin tener ninguna connotación ni llamado de atención por parte del ente electoral, violentando el artículo 145 de la constitución y el artículo 221 del reglamento general de la LOPRE, en donde se detallan las prohibiciones de los servidores públicos en favorecer o perjudicar electoralmente a un candidato o candidata, organización  con fines políticos o grupo de electores o electoras, al igual que utilizaron recursos públicos en dichas campañas, demostrando un ventajismo electoral</w:t>
      </w:r>
      <w:r w:rsidDel="00000000" w:rsidR="00000000" w:rsidRPr="00000000">
        <w:rPr>
          <w:sz w:val="24"/>
          <w:szCs w:val="24"/>
          <w:vertAlign w:val="superscript"/>
        </w:rPr>
        <w:footnoteReference w:customMarkFollows="0" w:id="32"/>
      </w:r>
      <w:r w:rsidDel="00000000" w:rsidR="00000000" w:rsidRPr="00000000">
        <w:rPr>
          <w:sz w:val="24"/>
          <w:szCs w:val="24"/>
          <w:rtl w:val="0"/>
        </w:rPr>
        <w:t xml:space="preserve">. </w:t>
      </w:r>
    </w:p>
    <w:p w:rsidR="00000000" w:rsidDel="00000000" w:rsidP="00000000" w:rsidRDefault="00000000" w:rsidRPr="00000000" w14:paraId="000000F9">
      <w:pPr>
        <w:jc w:val="both"/>
        <w:rPr>
          <w:sz w:val="24"/>
          <w:szCs w:val="24"/>
        </w:rPr>
      </w:pPr>
      <w:r w:rsidDel="00000000" w:rsidR="00000000" w:rsidRPr="00000000">
        <w:rPr>
          <w:rtl w:val="0"/>
        </w:rPr>
      </w:r>
    </w:p>
    <w:p w:rsidR="00000000" w:rsidDel="00000000" w:rsidP="00000000" w:rsidRDefault="00000000" w:rsidRPr="00000000" w14:paraId="000000FA">
      <w:pPr>
        <w:jc w:val="both"/>
        <w:rPr>
          <w:sz w:val="24"/>
          <w:szCs w:val="24"/>
        </w:rPr>
      </w:pPr>
      <w:r w:rsidDel="00000000" w:rsidR="00000000" w:rsidRPr="00000000">
        <w:rPr>
          <w:sz w:val="24"/>
          <w:szCs w:val="24"/>
          <w:rtl w:val="0"/>
        </w:rPr>
        <w:t xml:space="preserve">43. En las elecciones municipales y regionales 2021, de acuerdo con el informe de la misión de observación electoral de la Unión Europea, en 20 de los 24 estados venezolanos se observó el uso de recursos públicos para fines proselitistas. Dicha circunstancia se vinculó, en la inmensa mayoría de los casos, al oficialismo (en sólo un estado se constató el uso de recursos del estado por parte de fuerzas no oficialistas). </w:t>
      </w:r>
    </w:p>
    <w:p w:rsidR="00000000" w:rsidDel="00000000" w:rsidP="00000000" w:rsidRDefault="00000000" w:rsidRPr="00000000" w14:paraId="000000FB">
      <w:pPr>
        <w:jc w:val="both"/>
        <w:rPr>
          <w:sz w:val="24"/>
          <w:szCs w:val="24"/>
        </w:rPr>
      </w:pPr>
      <w:r w:rsidDel="00000000" w:rsidR="00000000" w:rsidRPr="00000000">
        <w:rPr>
          <w:rtl w:val="0"/>
        </w:rPr>
      </w:r>
    </w:p>
    <w:p w:rsidR="00000000" w:rsidDel="00000000" w:rsidP="00000000" w:rsidRDefault="00000000" w:rsidRPr="00000000" w14:paraId="000000FC">
      <w:pPr>
        <w:jc w:val="both"/>
        <w:rPr>
          <w:sz w:val="24"/>
          <w:szCs w:val="24"/>
        </w:rPr>
      </w:pPr>
      <w:r w:rsidDel="00000000" w:rsidR="00000000" w:rsidRPr="00000000">
        <w:rPr>
          <w:sz w:val="24"/>
          <w:szCs w:val="24"/>
          <w:rtl w:val="0"/>
        </w:rPr>
        <w:t xml:space="preserve">44. De acuerdo al informe de la misión de observación electoral de la Unión Europea</w:t>
      </w:r>
      <w:r w:rsidDel="00000000" w:rsidR="00000000" w:rsidRPr="00000000">
        <w:rPr>
          <w:sz w:val="24"/>
          <w:szCs w:val="24"/>
          <w:vertAlign w:val="superscript"/>
        </w:rPr>
        <w:footnoteReference w:customMarkFollows="0" w:id="33"/>
      </w:r>
      <w:r w:rsidDel="00000000" w:rsidR="00000000" w:rsidRPr="00000000">
        <w:rPr>
          <w:sz w:val="24"/>
          <w:szCs w:val="24"/>
          <w:rtl w:val="0"/>
        </w:rPr>
        <w:t xml:space="preserve">, en el proceso municipales y regionales 2021, se constató la participación de funcionarios públicos en actos de campaña en 16 estados, mientras que la distribución de bienes de consumo con objetivos proselitistas, por parte del gobierno, tales como bolsas de alimentos, bombonas de gas, plantas eléctricas o bombas de agua, se observó en nueve estados. En otros tres estados se constató el uso proselitista de planes de vacunación contra el Covid-19. En los mítines del Partido Socialista Unido de Venezuela (PSUV) se observó además el uso generalizado de vehículos públicos para tareas logísticas de campaña electoral. </w:t>
      </w:r>
    </w:p>
    <w:p w:rsidR="00000000" w:rsidDel="00000000" w:rsidP="00000000" w:rsidRDefault="00000000" w:rsidRPr="00000000" w14:paraId="000000FD">
      <w:pPr>
        <w:jc w:val="both"/>
        <w:rPr>
          <w:sz w:val="24"/>
          <w:szCs w:val="24"/>
        </w:rPr>
      </w:pPr>
      <w:r w:rsidDel="00000000" w:rsidR="00000000" w:rsidRPr="00000000">
        <w:rPr>
          <w:rtl w:val="0"/>
        </w:rPr>
      </w:r>
    </w:p>
    <w:p w:rsidR="00000000" w:rsidDel="00000000" w:rsidP="00000000" w:rsidRDefault="00000000" w:rsidRPr="00000000" w14:paraId="000000FE">
      <w:pPr>
        <w:jc w:val="both"/>
        <w:rPr>
          <w:sz w:val="24"/>
          <w:szCs w:val="24"/>
        </w:rPr>
      </w:pPr>
      <w:r w:rsidDel="00000000" w:rsidR="00000000" w:rsidRPr="00000000">
        <w:rPr>
          <w:sz w:val="24"/>
          <w:szCs w:val="24"/>
          <w:rtl w:val="0"/>
        </w:rPr>
        <w:t xml:space="preserve">45. En términos estadísticos, la misión de la Unión Europea, observó para el proceso parlamentarias 2021,  el uso de recursos del estado en el 30% de los actos de campaña del PSUV (versus el 2,5 por ciento de los actos de las agrupaciones de oposición). En el 23 por ciento de los actos del PSUV se observaron además actos de presión a ciudadanos para asistir a dichos eventos (versus el 2,5 por ciento en el caso de los actos opositores). </w:t>
      </w:r>
    </w:p>
    <w:p w:rsidR="00000000" w:rsidDel="00000000" w:rsidP="00000000" w:rsidRDefault="00000000" w:rsidRPr="00000000" w14:paraId="000000FF">
      <w:pPr>
        <w:jc w:val="both"/>
        <w:rPr>
          <w:sz w:val="24"/>
          <w:szCs w:val="24"/>
        </w:rPr>
      </w:pPr>
      <w:r w:rsidDel="00000000" w:rsidR="00000000" w:rsidRPr="00000000">
        <w:rPr>
          <w:rtl w:val="0"/>
        </w:rPr>
      </w:r>
    </w:p>
    <w:p w:rsidR="00000000" w:rsidDel="00000000" w:rsidP="00000000" w:rsidRDefault="00000000" w:rsidRPr="00000000" w14:paraId="00000100">
      <w:pPr>
        <w:jc w:val="both"/>
        <w:rPr>
          <w:b w:val="1"/>
          <w:sz w:val="24"/>
          <w:szCs w:val="24"/>
        </w:rPr>
      </w:pPr>
      <w:r w:rsidDel="00000000" w:rsidR="00000000" w:rsidRPr="00000000">
        <w:rPr>
          <w:b w:val="1"/>
          <w:sz w:val="24"/>
          <w:szCs w:val="24"/>
          <w:rtl w:val="0"/>
        </w:rPr>
        <w:t xml:space="preserve">e)</w:t>
      </w:r>
      <w:r w:rsidDel="00000000" w:rsidR="00000000" w:rsidRPr="00000000">
        <w:rPr>
          <w:sz w:val="24"/>
          <w:szCs w:val="24"/>
          <w:rtl w:val="0"/>
        </w:rPr>
        <w:t xml:space="preserve"> </w:t>
      </w:r>
      <w:r w:rsidDel="00000000" w:rsidR="00000000" w:rsidRPr="00000000">
        <w:rPr>
          <w:b w:val="1"/>
          <w:sz w:val="24"/>
          <w:szCs w:val="24"/>
          <w:rtl w:val="0"/>
        </w:rPr>
        <w:t xml:space="preserve">Prohibición del registro de partidos e intervención (2015-2023)</w:t>
      </w:r>
    </w:p>
    <w:p w:rsidR="00000000" w:rsidDel="00000000" w:rsidP="00000000" w:rsidRDefault="00000000" w:rsidRPr="00000000" w14:paraId="00000101">
      <w:pPr>
        <w:jc w:val="both"/>
        <w:rPr>
          <w:b w:val="1"/>
          <w:sz w:val="24"/>
          <w:szCs w:val="24"/>
        </w:rPr>
      </w:pPr>
      <w:r w:rsidDel="00000000" w:rsidR="00000000" w:rsidRPr="00000000">
        <w:rPr>
          <w:rtl w:val="0"/>
        </w:rPr>
      </w:r>
    </w:p>
    <w:p w:rsidR="00000000" w:rsidDel="00000000" w:rsidP="00000000" w:rsidRDefault="00000000" w:rsidRPr="00000000" w14:paraId="00000102">
      <w:pPr>
        <w:jc w:val="both"/>
        <w:rPr>
          <w:sz w:val="24"/>
          <w:szCs w:val="24"/>
        </w:rPr>
      </w:pPr>
      <w:r w:rsidDel="00000000" w:rsidR="00000000" w:rsidRPr="00000000">
        <w:rPr>
          <w:sz w:val="24"/>
          <w:szCs w:val="24"/>
          <w:rtl w:val="0"/>
        </w:rPr>
        <w:t xml:space="preserve">46. En 2020 el Consejo Nacional Electoral declaró inadmisible el registro de algunos movimientos políticos, entre ellos COPEI, MIN y el MEP, los cuales  manifestaron su deseo de participar en las elecciones parlamentarias 2020, hecho que afectó de manera directa el escenario político, y que solo empeoro cuando el Tribunal Supremo de Justicia decidió intervenirlos y desconocer su legitimidad</w:t>
      </w:r>
      <w:r w:rsidDel="00000000" w:rsidR="00000000" w:rsidRPr="00000000">
        <w:rPr>
          <w:sz w:val="24"/>
          <w:szCs w:val="24"/>
          <w:vertAlign w:val="superscript"/>
        </w:rPr>
        <w:footnoteReference w:customMarkFollows="0" w:id="34"/>
      </w:r>
      <w:r w:rsidDel="00000000" w:rsidR="00000000" w:rsidRPr="00000000">
        <w:rPr>
          <w:sz w:val="24"/>
          <w:szCs w:val="24"/>
          <w:vertAlign w:val="superscript"/>
          <w:rtl w:val="0"/>
        </w:rPr>
        <w:t xml:space="preserve"> </w:t>
      </w:r>
      <w:r w:rsidDel="00000000" w:rsidR="00000000" w:rsidRPr="00000000">
        <w:rPr>
          <w:sz w:val="24"/>
          <w:szCs w:val="24"/>
          <w:rtl w:val="0"/>
        </w:rPr>
        <w:t xml:space="preserve">vulnerando los principios de participación, pluralidad y asociación.</w:t>
      </w:r>
    </w:p>
    <w:p w:rsidR="00000000" w:rsidDel="00000000" w:rsidP="00000000" w:rsidRDefault="00000000" w:rsidRPr="00000000" w14:paraId="00000103">
      <w:pPr>
        <w:jc w:val="both"/>
        <w:rPr>
          <w:sz w:val="24"/>
          <w:szCs w:val="24"/>
        </w:rPr>
      </w:pPr>
      <w:r w:rsidDel="00000000" w:rsidR="00000000" w:rsidRPr="00000000">
        <w:rPr>
          <w:rtl w:val="0"/>
        </w:rPr>
      </w:r>
    </w:p>
    <w:p w:rsidR="00000000" w:rsidDel="00000000" w:rsidP="00000000" w:rsidRDefault="00000000" w:rsidRPr="00000000" w14:paraId="00000104">
      <w:pPr>
        <w:shd w:fill="ffffff" w:val="clear"/>
        <w:spacing w:after="360" w:lineRule="auto"/>
        <w:jc w:val="both"/>
        <w:rPr>
          <w:i w:val="1"/>
          <w:sz w:val="24"/>
          <w:szCs w:val="24"/>
          <w:u w:val="single"/>
        </w:rPr>
      </w:pPr>
      <w:r w:rsidDel="00000000" w:rsidR="00000000" w:rsidRPr="00000000">
        <w:rPr>
          <w:sz w:val="24"/>
          <w:szCs w:val="24"/>
          <w:rtl w:val="0"/>
        </w:rPr>
        <w:t xml:space="preserve">47. En las parlamentarias del 2020, El Tribunal Supremo de Justicia intervino en los procesos internos de los partidos políticos Acción Democrática, Primero Justicia y Voluntad Popular a través de las sentencias 71</w:t>
      </w:r>
      <w:r w:rsidDel="00000000" w:rsidR="00000000" w:rsidRPr="00000000">
        <w:rPr>
          <w:sz w:val="24"/>
          <w:szCs w:val="24"/>
          <w:vertAlign w:val="superscript"/>
        </w:rPr>
        <w:footnoteReference w:customMarkFollows="0" w:id="35"/>
      </w:r>
      <w:r w:rsidDel="00000000" w:rsidR="00000000" w:rsidRPr="00000000">
        <w:rPr>
          <w:sz w:val="24"/>
          <w:szCs w:val="24"/>
          <w:rtl w:val="0"/>
        </w:rPr>
        <w:t xml:space="preserve">, 72</w:t>
      </w:r>
      <w:r w:rsidDel="00000000" w:rsidR="00000000" w:rsidRPr="00000000">
        <w:rPr>
          <w:sz w:val="24"/>
          <w:szCs w:val="24"/>
          <w:vertAlign w:val="superscript"/>
        </w:rPr>
        <w:footnoteReference w:customMarkFollows="0" w:id="36"/>
      </w:r>
      <w:r w:rsidDel="00000000" w:rsidR="00000000" w:rsidRPr="00000000">
        <w:rPr>
          <w:sz w:val="24"/>
          <w:szCs w:val="24"/>
          <w:rtl w:val="0"/>
        </w:rPr>
        <w:t xml:space="preserve">, 77</w:t>
      </w:r>
      <w:r w:rsidDel="00000000" w:rsidR="00000000" w:rsidRPr="00000000">
        <w:rPr>
          <w:sz w:val="24"/>
          <w:szCs w:val="24"/>
          <w:vertAlign w:val="superscript"/>
        </w:rPr>
        <w:footnoteReference w:customMarkFollows="0" w:id="37"/>
      </w:r>
      <w:r w:rsidDel="00000000" w:rsidR="00000000" w:rsidRPr="00000000">
        <w:rPr>
          <w:sz w:val="24"/>
          <w:szCs w:val="24"/>
          <w:rtl w:val="0"/>
        </w:rPr>
        <w:t xml:space="preserve">, se convirtió en un secuestro de las directivas de los principales liderazgos opositores y de la disidencia, acción que  sumó junto a  la ausencia de un árbitro electoral imparcial y la vigencia de un marco legal legítimo para que dichos comicios no contarán con cumplierán con los estandáres nacionales e internacionales de procesos electorales.</w:t>
      </w:r>
      <w:r w:rsidDel="00000000" w:rsidR="00000000" w:rsidRPr="00000000">
        <w:rPr>
          <w:sz w:val="24"/>
          <w:szCs w:val="24"/>
          <w:vertAlign w:val="superscript"/>
        </w:rPr>
        <w:footnoteReference w:customMarkFollows="0" w:id="38"/>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05">
      <w:pPr>
        <w:jc w:val="both"/>
        <w:rPr>
          <w:color w:val="9900ff"/>
          <w:sz w:val="24"/>
          <w:szCs w:val="24"/>
        </w:rPr>
      </w:pPr>
      <w:r w:rsidDel="00000000" w:rsidR="00000000" w:rsidRPr="00000000">
        <w:rPr>
          <w:sz w:val="24"/>
          <w:szCs w:val="24"/>
          <w:rtl w:val="0"/>
        </w:rPr>
        <w:t xml:space="preserve">48.  El 11 de agosto de 2023, el TSJ a través de la sentencia número 1.1160 ordenó la intervención del Partido Comunista de Venezuela, concediendo la dirección del movimiento a aliados del Partido Socialista Unido de Venezuela</w:t>
      </w:r>
      <w:r w:rsidDel="00000000" w:rsidR="00000000" w:rsidRPr="00000000">
        <w:rPr>
          <w:sz w:val="24"/>
          <w:szCs w:val="24"/>
          <w:vertAlign w:val="superscript"/>
          <w:rtl w:val="0"/>
        </w:rPr>
        <w:t xml:space="preserve">.</w:t>
      </w:r>
      <w:r w:rsidDel="00000000" w:rsidR="00000000" w:rsidRPr="00000000">
        <w:rPr>
          <w:sz w:val="24"/>
          <w:szCs w:val="24"/>
          <w:vertAlign w:val="superscript"/>
        </w:rPr>
        <w:footnoteReference w:customMarkFollows="0" w:id="39"/>
      </w:r>
      <w:r w:rsidDel="00000000" w:rsidR="00000000" w:rsidRPr="00000000">
        <w:rPr>
          <w:rtl w:val="0"/>
        </w:rPr>
      </w:r>
    </w:p>
    <w:p w:rsidR="00000000" w:rsidDel="00000000" w:rsidP="00000000" w:rsidRDefault="00000000" w:rsidRPr="00000000" w14:paraId="00000106">
      <w:pPr>
        <w:jc w:val="both"/>
        <w:rPr>
          <w:sz w:val="24"/>
          <w:szCs w:val="24"/>
        </w:rPr>
      </w:pPr>
      <w:r w:rsidDel="00000000" w:rsidR="00000000" w:rsidRPr="00000000">
        <w:rPr>
          <w:rtl w:val="0"/>
        </w:rPr>
      </w:r>
    </w:p>
    <w:p w:rsidR="00000000" w:rsidDel="00000000" w:rsidP="00000000" w:rsidRDefault="00000000" w:rsidRPr="00000000" w14:paraId="00000107">
      <w:pPr>
        <w:ind w:left="0" w:firstLine="0"/>
        <w:jc w:val="both"/>
        <w:rPr>
          <w:b w:val="1"/>
          <w:sz w:val="24"/>
          <w:szCs w:val="24"/>
        </w:rPr>
      </w:pPr>
      <w:r w:rsidDel="00000000" w:rsidR="00000000" w:rsidRPr="00000000">
        <w:rPr>
          <w:b w:val="1"/>
          <w:sz w:val="24"/>
          <w:szCs w:val="24"/>
          <w:rtl w:val="0"/>
        </w:rPr>
        <w:t xml:space="preserve">F) Activación del referéndum revocatorio (2016).</w:t>
      </w:r>
    </w:p>
    <w:p w:rsidR="00000000" w:rsidDel="00000000" w:rsidP="00000000" w:rsidRDefault="00000000" w:rsidRPr="00000000" w14:paraId="00000108">
      <w:pPr>
        <w:jc w:val="both"/>
        <w:rPr>
          <w:sz w:val="24"/>
          <w:szCs w:val="24"/>
        </w:rPr>
      </w:pPr>
      <w:r w:rsidDel="00000000" w:rsidR="00000000" w:rsidRPr="00000000">
        <w:rPr>
          <w:rtl w:val="0"/>
        </w:rPr>
      </w:r>
    </w:p>
    <w:p w:rsidR="00000000" w:rsidDel="00000000" w:rsidP="00000000" w:rsidRDefault="00000000" w:rsidRPr="00000000" w14:paraId="00000109">
      <w:pPr>
        <w:jc w:val="both"/>
        <w:rPr>
          <w:sz w:val="24"/>
          <w:szCs w:val="24"/>
        </w:rPr>
      </w:pPr>
      <w:r w:rsidDel="00000000" w:rsidR="00000000" w:rsidRPr="00000000">
        <w:rPr>
          <w:sz w:val="24"/>
          <w:szCs w:val="24"/>
          <w:rtl w:val="0"/>
        </w:rPr>
        <w:t xml:space="preserve">49. El 9 de marzo del 2016, la oposición venezolana, representada en ese momento por la Mesa de la Unidad (MUD) introdujo la solicitud de activación del referéndum revocatorio en contra del presidente de la República. Como violaciones graves de ese proceso se encuentran la tergiversación de los tiempos establecidos en la normativa, infraestructura electoral insuficiente, creación de nuevos procedimientos no contemplados en el reglamento, sesgo de distribución de centros de recolección y máquinas captahuellas</w:t>
      </w:r>
      <w:r w:rsidDel="00000000" w:rsidR="00000000" w:rsidRPr="00000000">
        <w:rPr>
          <w:sz w:val="24"/>
          <w:szCs w:val="24"/>
          <w:vertAlign w:val="superscript"/>
        </w:rPr>
        <w:footnoteReference w:customMarkFollows="0" w:id="40"/>
      </w:r>
      <w:r w:rsidDel="00000000" w:rsidR="00000000" w:rsidRPr="00000000">
        <w:rPr>
          <w:sz w:val="24"/>
          <w:szCs w:val="24"/>
          <w:rtl w:val="0"/>
        </w:rPr>
        <w:t xml:space="preserve"> y el establecimiento de condiciones que dificultan el pleno ejercicio de la participación política de los ciudadanos. Dichas situaciones fueron consecuencia directa de las trabas institucionales que el Consejo Nacional Electoral creó para evitar que se activase la consulta ciudadana para revocar el mandato presidencial, aún cuando la Constitución Nacional establece este proceso.</w:t>
      </w:r>
      <w:r w:rsidDel="00000000" w:rsidR="00000000" w:rsidRPr="00000000">
        <w:rPr>
          <w:sz w:val="24"/>
          <w:szCs w:val="24"/>
          <w:vertAlign w:val="superscript"/>
        </w:rPr>
        <w:footnoteReference w:customMarkFollows="0" w:id="41"/>
      </w:r>
      <w:r w:rsidDel="00000000" w:rsidR="00000000" w:rsidRPr="00000000">
        <w:rPr>
          <w:sz w:val="24"/>
          <w:szCs w:val="24"/>
          <w:vertAlign w:val="superscript"/>
          <w:rtl w:val="0"/>
        </w:rPr>
        <w:t xml:space="preserve"> </w:t>
      </w:r>
      <w:r w:rsidDel="00000000" w:rsidR="00000000" w:rsidRPr="00000000">
        <w:rPr>
          <w:rtl w:val="0"/>
        </w:rPr>
      </w:r>
    </w:p>
    <w:p w:rsidR="00000000" w:rsidDel="00000000" w:rsidP="00000000" w:rsidRDefault="00000000" w:rsidRPr="00000000" w14:paraId="0000010A">
      <w:pPr>
        <w:jc w:val="both"/>
        <w:rPr>
          <w:sz w:val="24"/>
          <w:szCs w:val="24"/>
        </w:rPr>
      </w:pPr>
      <w:r w:rsidDel="00000000" w:rsidR="00000000" w:rsidRPr="00000000">
        <w:rPr>
          <w:rtl w:val="0"/>
        </w:rPr>
      </w:r>
    </w:p>
    <w:p w:rsidR="00000000" w:rsidDel="00000000" w:rsidP="00000000" w:rsidRDefault="00000000" w:rsidRPr="00000000" w14:paraId="0000010B">
      <w:pPr>
        <w:jc w:val="both"/>
        <w:rPr>
          <w:sz w:val="24"/>
          <w:szCs w:val="24"/>
        </w:rPr>
      </w:pPr>
      <w:r w:rsidDel="00000000" w:rsidR="00000000" w:rsidRPr="00000000">
        <w:rPr>
          <w:sz w:val="24"/>
          <w:szCs w:val="24"/>
          <w:rtl w:val="0"/>
        </w:rPr>
        <w:t xml:space="preserve">50. Una de las situaciones que acrecentaban las tensiones en el momento eran las consecuencias políticas de realizar el referendo antes del 10 de enero o después del 10 de enero, siendo posible que antes de esa fecha, en el caso de que ganase la opción de revocar al presidente, el Consejo Nacional Electoral, estaba en la obligación de convocar a elecciones presidenciales a los 30 días siguientes de la revelación de resultados de acuerdo a lo establecido en la Constitución. Pero en oposición a esto, si el proceso tenía lugar después e igual ganase la opción de revocar al presidente, el vicepresidente tendría el deber de asumir las funciones del ejecutivo, como lo establece el artículo 233 de la Constitución de la República Bolivariana de Venezuela</w:t>
      </w:r>
      <w:r w:rsidDel="00000000" w:rsidR="00000000" w:rsidRPr="00000000">
        <w:rPr>
          <w:sz w:val="24"/>
          <w:szCs w:val="24"/>
          <w:vertAlign w:val="superscript"/>
        </w:rPr>
        <w:footnoteReference w:customMarkFollows="0" w:id="42"/>
      </w:r>
      <w:r w:rsidDel="00000000" w:rsidR="00000000" w:rsidRPr="00000000">
        <w:rPr>
          <w:sz w:val="24"/>
          <w:szCs w:val="24"/>
          <w:rtl w:val="0"/>
        </w:rPr>
        <w:t xml:space="preserve">.</w:t>
      </w:r>
    </w:p>
    <w:p w:rsidR="00000000" w:rsidDel="00000000" w:rsidP="00000000" w:rsidRDefault="00000000" w:rsidRPr="00000000" w14:paraId="0000010C">
      <w:pPr>
        <w:jc w:val="both"/>
        <w:rPr>
          <w:sz w:val="24"/>
          <w:szCs w:val="24"/>
        </w:rPr>
      </w:pPr>
      <w:r w:rsidDel="00000000" w:rsidR="00000000" w:rsidRPr="00000000">
        <w:rPr>
          <w:rtl w:val="0"/>
        </w:rPr>
      </w:r>
    </w:p>
    <w:p w:rsidR="00000000" w:rsidDel="00000000" w:rsidP="00000000" w:rsidRDefault="00000000" w:rsidRPr="00000000" w14:paraId="0000010D">
      <w:pPr>
        <w:jc w:val="both"/>
        <w:rPr>
          <w:sz w:val="24"/>
          <w:szCs w:val="24"/>
        </w:rPr>
      </w:pPr>
      <w:r w:rsidDel="00000000" w:rsidR="00000000" w:rsidRPr="00000000">
        <w:rPr>
          <w:sz w:val="24"/>
          <w:szCs w:val="24"/>
          <w:rtl w:val="0"/>
        </w:rPr>
        <w:t xml:space="preserve">51. El 20 de octubre, en la etapa de recolección de firmas correspondiente a la activación del referéndum revocatorio, el Consejo Nacional Electoral suspendió el proceso fijado para el 26 y 28 de octubre, de forma indefinida</w:t>
      </w:r>
      <w:r w:rsidDel="00000000" w:rsidR="00000000" w:rsidRPr="00000000">
        <w:rPr>
          <w:sz w:val="24"/>
          <w:szCs w:val="24"/>
          <w:vertAlign w:val="superscript"/>
        </w:rPr>
        <w:footnoteReference w:customMarkFollows="0" w:id="43"/>
      </w:r>
      <w:r w:rsidDel="00000000" w:rsidR="00000000" w:rsidRPr="00000000">
        <w:rPr>
          <w:sz w:val="24"/>
          <w:szCs w:val="24"/>
          <w:rtl w:val="0"/>
        </w:rPr>
        <w:t xml:space="preserve"> justificándose en decisiones de tribunales regionales de Apure, Aragua, Bolívar, Carabobo y Monagas, acusando de fraude un cúmulo de firmas en sus respectivos estados sin comprobación alguna, hecho que demostró la parcialización e injerencia en el ente y la nula separación de poderes públicos. </w:t>
      </w:r>
    </w:p>
    <w:p w:rsidR="00000000" w:rsidDel="00000000" w:rsidP="00000000" w:rsidRDefault="00000000" w:rsidRPr="00000000" w14:paraId="0000010E">
      <w:pPr>
        <w:jc w:val="both"/>
        <w:rPr>
          <w:sz w:val="24"/>
          <w:szCs w:val="24"/>
        </w:rPr>
      </w:pPr>
      <w:r w:rsidDel="00000000" w:rsidR="00000000" w:rsidRPr="00000000">
        <w:rPr>
          <w:rtl w:val="0"/>
        </w:rPr>
      </w:r>
    </w:p>
    <w:p w:rsidR="00000000" w:rsidDel="00000000" w:rsidP="00000000" w:rsidRDefault="00000000" w:rsidRPr="00000000" w14:paraId="0000010F">
      <w:pPr>
        <w:jc w:val="both"/>
        <w:rPr>
          <w:sz w:val="24"/>
          <w:szCs w:val="24"/>
        </w:rPr>
      </w:pPr>
      <w:r w:rsidDel="00000000" w:rsidR="00000000" w:rsidRPr="00000000">
        <w:rPr>
          <w:rtl w:val="0"/>
        </w:rPr>
      </w:r>
    </w:p>
    <w:p w:rsidR="00000000" w:rsidDel="00000000" w:rsidP="00000000" w:rsidRDefault="00000000" w:rsidRPr="00000000" w14:paraId="00000110">
      <w:pPr>
        <w:jc w:val="both"/>
        <w:rPr>
          <w:b w:val="1"/>
          <w:sz w:val="24"/>
          <w:szCs w:val="24"/>
        </w:rPr>
      </w:pPr>
      <w:r w:rsidDel="00000000" w:rsidR="00000000" w:rsidRPr="00000000">
        <w:rPr>
          <w:b w:val="1"/>
          <w:sz w:val="24"/>
          <w:szCs w:val="24"/>
          <w:rtl w:val="0"/>
        </w:rPr>
        <w:t xml:space="preserve">g) Desacato de la Asamblea Nacional y Asamblea Nacional Constituyente (2016)</w:t>
      </w:r>
    </w:p>
    <w:p w:rsidR="00000000" w:rsidDel="00000000" w:rsidP="00000000" w:rsidRDefault="00000000" w:rsidRPr="00000000" w14:paraId="00000111">
      <w:pPr>
        <w:jc w:val="both"/>
        <w:rPr>
          <w:sz w:val="24"/>
          <w:szCs w:val="24"/>
        </w:rPr>
      </w:pPr>
      <w:r w:rsidDel="00000000" w:rsidR="00000000" w:rsidRPr="00000000">
        <w:rPr>
          <w:rtl w:val="0"/>
        </w:rPr>
      </w:r>
    </w:p>
    <w:p w:rsidR="00000000" w:rsidDel="00000000" w:rsidP="00000000" w:rsidRDefault="00000000" w:rsidRPr="00000000" w14:paraId="00000112">
      <w:pPr>
        <w:jc w:val="both"/>
        <w:rPr>
          <w:sz w:val="24"/>
          <w:szCs w:val="24"/>
          <w:highlight w:val="white"/>
        </w:rPr>
      </w:pPr>
      <w:r w:rsidDel="00000000" w:rsidR="00000000" w:rsidRPr="00000000">
        <w:rPr>
          <w:sz w:val="24"/>
          <w:szCs w:val="24"/>
          <w:rtl w:val="0"/>
        </w:rPr>
        <w:t xml:space="preserve">52. El 21 de marzo del 2016, la Asamblea Nacional</w:t>
      </w:r>
      <w:r w:rsidDel="00000000" w:rsidR="00000000" w:rsidRPr="00000000">
        <w:rPr>
          <w:sz w:val="24"/>
          <w:szCs w:val="24"/>
          <w:highlight w:val="white"/>
          <w:rtl w:val="0"/>
        </w:rPr>
        <w:t xml:space="preserve"> de 2015 aprueba con 90 votos a favor el Proyecto de Acuerdo sobre la reactivación del proceso de aplicación de la Carta Democrática Interamericana de la Organización de Estados Americanos (OEA)</w:t>
      </w:r>
      <w:r w:rsidDel="00000000" w:rsidR="00000000" w:rsidRPr="00000000">
        <w:rPr>
          <w:sz w:val="24"/>
          <w:szCs w:val="24"/>
          <w:highlight w:val="white"/>
          <w:vertAlign w:val="superscript"/>
        </w:rPr>
        <w:footnoteReference w:customMarkFollows="0" w:id="44"/>
      </w:r>
      <w:r w:rsidDel="00000000" w:rsidR="00000000" w:rsidRPr="00000000">
        <w:rPr>
          <w:sz w:val="24"/>
          <w:szCs w:val="24"/>
          <w:highlight w:val="white"/>
          <w:rtl w:val="0"/>
        </w:rPr>
        <w:t xml:space="preserve">, para la resolución pacífica de los conflictos que se venían suscitando por el menoscabo y usurpación de competencias propias de la autonomía del Poder Legislativo y la restitución del hilo constitucional. </w:t>
      </w:r>
    </w:p>
    <w:p w:rsidR="00000000" w:rsidDel="00000000" w:rsidP="00000000" w:rsidRDefault="00000000" w:rsidRPr="00000000" w14:paraId="00000113">
      <w:pPr>
        <w:jc w:val="both"/>
        <w:rPr>
          <w:sz w:val="24"/>
          <w:szCs w:val="24"/>
        </w:rPr>
      </w:pPr>
      <w:r w:rsidDel="00000000" w:rsidR="00000000" w:rsidRPr="00000000">
        <w:rPr>
          <w:rtl w:val="0"/>
        </w:rPr>
      </w:r>
    </w:p>
    <w:p w:rsidR="00000000" w:rsidDel="00000000" w:rsidP="00000000" w:rsidRDefault="00000000" w:rsidRPr="00000000" w14:paraId="00000114">
      <w:pPr>
        <w:jc w:val="both"/>
        <w:rPr>
          <w:sz w:val="24"/>
          <w:szCs w:val="24"/>
        </w:rPr>
      </w:pPr>
      <w:r w:rsidDel="00000000" w:rsidR="00000000" w:rsidRPr="00000000">
        <w:rPr>
          <w:sz w:val="24"/>
          <w:szCs w:val="24"/>
          <w:rtl w:val="0"/>
        </w:rPr>
        <w:t xml:space="preserve">53. El 27 y 29 de marzo del 2016, tras la emisión de la sentencias 155</w:t>
      </w:r>
      <w:r w:rsidDel="00000000" w:rsidR="00000000" w:rsidRPr="00000000">
        <w:rPr>
          <w:sz w:val="24"/>
          <w:szCs w:val="24"/>
          <w:vertAlign w:val="superscript"/>
        </w:rPr>
        <w:footnoteReference w:customMarkFollows="0" w:id="45"/>
      </w:r>
      <w:r w:rsidDel="00000000" w:rsidR="00000000" w:rsidRPr="00000000">
        <w:rPr>
          <w:sz w:val="24"/>
          <w:szCs w:val="24"/>
          <w:rtl w:val="0"/>
        </w:rPr>
        <w:t xml:space="preserve"> y 156</w:t>
      </w:r>
      <w:r w:rsidDel="00000000" w:rsidR="00000000" w:rsidRPr="00000000">
        <w:rPr>
          <w:sz w:val="24"/>
          <w:szCs w:val="24"/>
          <w:vertAlign w:val="superscript"/>
        </w:rPr>
        <w:footnoteReference w:customMarkFollows="0" w:id="46"/>
      </w:r>
      <w:r w:rsidDel="00000000" w:rsidR="00000000" w:rsidRPr="00000000">
        <w:rPr>
          <w:sz w:val="24"/>
          <w:szCs w:val="24"/>
          <w:rtl w:val="0"/>
        </w:rPr>
        <w:t xml:space="preserve"> del Tribunal Supremo de Justicia, aunado a los recursos interpuestos por supuestos fraudes en las elecciones parlamentarias, declaran nulas todas las acciones emitidas por el ente legislativo hasta la fecha, declarando en desacato  sus funciones, hecho que se convirtió en el detonante para más represión en las manifestaciones de la ciudadanía democrática, quienes al tiempo, afirmaban la consolidación de una dictadura judicial que ubicaba a todos los poderes públicos como dependientes del Poder Ejecutivo. </w:t>
      </w:r>
    </w:p>
    <w:p w:rsidR="00000000" w:rsidDel="00000000" w:rsidP="00000000" w:rsidRDefault="00000000" w:rsidRPr="00000000" w14:paraId="00000115">
      <w:pPr>
        <w:jc w:val="both"/>
        <w:rPr>
          <w:sz w:val="24"/>
          <w:szCs w:val="24"/>
        </w:rPr>
      </w:pPr>
      <w:r w:rsidDel="00000000" w:rsidR="00000000" w:rsidRPr="00000000">
        <w:rPr>
          <w:rtl w:val="0"/>
        </w:rPr>
      </w:r>
    </w:p>
    <w:p w:rsidR="00000000" w:rsidDel="00000000" w:rsidP="00000000" w:rsidRDefault="00000000" w:rsidRPr="00000000" w14:paraId="00000116">
      <w:pPr>
        <w:jc w:val="both"/>
        <w:rPr>
          <w:sz w:val="24"/>
          <w:szCs w:val="24"/>
        </w:rPr>
      </w:pPr>
      <w:r w:rsidDel="00000000" w:rsidR="00000000" w:rsidRPr="00000000">
        <w:rPr>
          <w:sz w:val="24"/>
          <w:szCs w:val="24"/>
          <w:rtl w:val="0"/>
        </w:rPr>
        <w:t xml:space="preserve">54. El 1 de mayo de 2016, el poder ejecutivo convocó a una Asamblea Nacional Constituyente, a través del decreto  No.2.830, malinterpretando las facultades que le confería el art. 348</w:t>
      </w:r>
      <w:r w:rsidDel="00000000" w:rsidR="00000000" w:rsidRPr="00000000">
        <w:rPr>
          <w:sz w:val="24"/>
          <w:szCs w:val="24"/>
          <w:vertAlign w:val="superscript"/>
        </w:rPr>
        <w:footnoteReference w:customMarkFollows="0" w:id="47"/>
      </w:r>
      <w:r w:rsidDel="00000000" w:rsidR="00000000" w:rsidRPr="00000000">
        <w:rPr>
          <w:sz w:val="24"/>
          <w:szCs w:val="24"/>
          <w:rtl w:val="0"/>
        </w:rPr>
        <w:t xml:space="preserve">  de la Constitución. Dicha acción fue catalogada como inconstitucional por actores de oposición, organizaciones de la sociedad civil y ciudadanos, haciendo referencia a que es el pueblo el depositario del poder originario quien tiene las facultades para convocar una Asamblea Constituyente, según el mandato constitucional que establece el art. 347 de la Constitución.</w:t>
      </w:r>
      <w:r w:rsidDel="00000000" w:rsidR="00000000" w:rsidRPr="00000000">
        <w:rPr>
          <w:sz w:val="24"/>
          <w:szCs w:val="24"/>
          <w:vertAlign w:val="superscript"/>
        </w:rPr>
        <w:footnoteReference w:customMarkFollows="0" w:id="48"/>
      </w:r>
      <w:r w:rsidDel="00000000" w:rsidR="00000000" w:rsidRPr="00000000">
        <w:rPr>
          <w:rtl w:val="0"/>
        </w:rPr>
      </w:r>
    </w:p>
    <w:p w:rsidR="00000000" w:rsidDel="00000000" w:rsidP="00000000" w:rsidRDefault="00000000" w:rsidRPr="00000000" w14:paraId="00000117">
      <w:pPr>
        <w:jc w:val="both"/>
        <w:rPr>
          <w:sz w:val="24"/>
          <w:szCs w:val="24"/>
        </w:rPr>
      </w:pPr>
      <w:r w:rsidDel="00000000" w:rsidR="00000000" w:rsidRPr="00000000">
        <w:rPr>
          <w:rtl w:val="0"/>
        </w:rPr>
      </w:r>
    </w:p>
    <w:p w:rsidR="00000000" w:rsidDel="00000000" w:rsidP="00000000" w:rsidRDefault="00000000" w:rsidRPr="00000000" w14:paraId="00000118">
      <w:pPr>
        <w:jc w:val="both"/>
        <w:rPr>
          <w:sz w:val="24"/>
          <w:szCs w:val="24"/>
        </w:rPr>
      </w:pPr>
      <w:r w:rsidDel="00000000" w:rsidR="00000000" w:rsidRPr="00000000">
        <w:rPr>
          <w:sz w:val="24"/>
          <w:szCs w:val="24"/>
          <w:rtl w:val="0"/>
        </w:rPr>
        <w:t xml:space="preserve">55. Tras la convocatoria y la realización del proceso electoral para elegir a los miembros de la Asamblea Constituyente, ciudadanos y organizaciones de la sociedad civil como la Red Electoral Ciudadana, desconocieron y rechazaron los resultados, justificando que dicho proceso incumplía con los requisitos básicos para su convocatoria y representaba una violación sistemática a las garantías electorales, transparencia y principios democrático. Asimismo, reiteraron su posición sobre la pérdida de legitimidad del órgano electoral.</w:t>
      </w:r>
      <w:r w:rsidDel="00000000" w:rsidR="00000000" w:rsidRPr="00000000">
        <w:rPr>
          <w:sz w:val="24"/>
          <w:szCs w:val="24"/>
          <w:vertAlign w:val="superscript"/>
        </w:rPr>
        <w:footnoteReference w:customMarkFollows="0" w:id="49"/>
      </w:r>
      <w:r w:rsidDel="00000000" w:rsidR="00000000" w:rsidRPr="00000000">
        <w:rPr>
          <w:rtl w:val="0"/>
        </w:rPr>
      </w:r>
    </w:p>
    <w:p w:rsidR="00000000" w:rsidDel="00000000" w:rsidP="00000000" w:rsidRDefault="00000000" w:rsidRPr="00000000" w14:paraId="00000119">
      <w:pPr>
        <w:jc w:val="both"/>
        <w:rPr>
          <w:sz w:val="24"/>
          <w:szCs w:val="24"/>
        </w:rPr>
      </w:pPr>
      <w:r w:rsidDel="00000000" w:rsidR="00000000" w:rsidRPr="00000000">
        <w:rPr>
          <w:rtl w:val="0"/>
        </w:rPr>
      </w:r>
    </w:p>
    <w:p w:rsidR="00000000" w:rsidDel="00000000" w:rsidP="00000000" w:rsidRDefault="00000000" w:rsidRPr="00000000" w14:paraId="0000011A">
      <w:pPr>
        <w:jc w:val="both"/>
        <w:rPr>
          <w:sz w:val="24"/>
          <w:szCs w:val="24"/>
        </w:rPr>
      </w:pPr>
      <w:r w:rsidDel="00000000" w:rsidR="00000000" w:rsidRPr="00000000">
        <w:rPr>
          <w:sz w:val="24"/>
          <w:szCs w:val="24"/>
          <w:rtl w:val="0"/>
        </w:rPr>
        <w:t xml:space="preserve">56. El 2 de agosto de 2016, la empresa proveedora del software y de las máquinas electorales, Smartmatic, expresó su desconocimiento de los resultados electorales  presentados por el Consejo Nacional Electoral como oficiales, advirtiendo que hubo manipulación en los datos de participación anunciados. Dicha empresa cesó sus operaciones en marzo del 2018 luego de 14 años de trabajo y denunció posteriormente que el Estado venezolano había iniciado un hostigamiento a sus miembros desde el momento de su denuncia. </w:t>
      </w:r>
      <w:r w:rsidDel="00000000" w:rsidR="00000000" w:rsidRPr="00000000">
        <w:rPr>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011B">
      <w:pPr>
        <w:jc w:val="both"/>
        <w:rPr>
          <w:sz w:val="24"/>
          <w:szCs w:val="24"/>
        </w:rPr>
      </w:pPr>
      <w:r w:rsidDel="00000000" w:rsidR="00000000" w:rsidRPr="00000000">
        <w:rPr>
          <w:rtl w:val="0"/>
        </w:rPr>
      </w:r>
    </w:p>
    <w:p w:rsidR="00000000" w:rsidDel="00000000" w:rsidP="00000000" w:rsidRDefault="00000000" w:rsidRPr="00000000" w14:paraId="0000011C">
      <w:pPr>
        <w:jc w:val="both"/>
        <w:rPr>
          <w:sz w:val="24"/>
          <w:szCs w:val="24"/>
        </w:rPr>
      </w:pPr>
      <w:r w:rsidDel="00000000" w:rsidR="00000000" w:rsidRPr="00000000">
        <w:rPr>
          <w:sz w:val="24"/>
          <w:szCs w:val="24"/>
          <w:rtl w:val="0"/>
        </w:rPr>
        <w:t xml:space="preserve">57. El 18 de diciembre de 2016, el Centro de Justicia y Paz actualizó su informe sobre Persecución política y patrones del mismo, donde corroboró el auge de la persecución y vejación por parte del Estado venezolano a la disidencia política y a quienes se atreven a denunciar nacional e internacionalmente las vulneraciones a los DDHH en el país, en comparación con los números observados en el 2014 y 2015, identificando también cuatro patrones de persecución; apertura de procedimientos ante tribunales militares, persecución a familiares, anulación de pasaportes y apertura de procedimientos judiciales y destitución de alcaldes.</w:t>
      </w:r>
      <w:r w:rsidDel="00000000" w:rsidR="00000000" w:rsidRPr="00000000">
        <w:rPr>
          <w:sz w:val="24"/>
          <w:szCs w:val="24"/>
          <w:vertAlign w:val="superscript"/>
        </w:rPr>
        <w:footnoteReference w:customMarkFollows="0" w:id="51"/>
      </w:r>
      <w:r w:rsidDel="00000000" w:rsidR="00000000" w:rsidRPr="00000000">
        <w:rPr>
          <w:rtl w:val="0"/>
        </w:rPr>
      </w:r>
    </w:p>
    <w:p w:rsidR="00000000" w:rsidDel="00000000" w:rsidP="00000000" w:rsidRDefault="00000000" w:rsidRPr="00000000" w14:paraId="0000011D">
      <w:pPr>
        <w:jc w:val="both"/>
        <w:rPr>
          <w:sz w:val="24"/>
          <w:szCs w:val="24"/>
        </w:rPr>
      </w:pPr>
      <w:r w:rsidDel="00000000" w:rsidR="00000000" w:rsidRPr="00000000">
        <w:rPr>
          <w:rtl w:val="0"/>
        </w:rPr>
      </w:r>
    </w:p>
    <w:p w:rsidR="00000000" w:rsidDel="00000000" w:rsidP="00000000" w:rsidRDefault="00000000" w:rsidRPr="00000000" w14:paraId="0000011E">
      <w:pPr>
        <w:jc w:val="both"/>
        <w:rPr>
          <w:sz w:val="24"/>
          <w:szCs w:val="24"/>
          <w:highlight w:val="white"/>
        </w:rPr>
      </w:pPr>
      <w:r w:rsidDel="00000000" w:rsidR="00000000" w:rsidRPr="00000000">
        <w:rPr>
          <w:sz w:val="24"/>
          <w:szCs w:val="24"/>
          <w:rtl w:val="0"/>
        </w:rPr>
        <w:t xml:space="preserve">58. Desconociendo  los principios procesales establecidos en el art. 49 y </w:t>
      </w:r>
      <w:r w:rsidDel="00000000" w:rsidR="00000000" w:rsidRPr="00000000">
        <w:rPr>
          <w:sz w:val="24"/>
          <w:szCs w:val="24"/>
          <w:highlight w:val="white"/>
          <w:rtl w:val="0"/>
        </w:rPr>
        <w:t xml:space="preserve">257 de la CRBV y artículos 7, 13, 175 179 y 180 del Código Orgánico Procesal Penal</w:t>
      </w:r>
      <w:r w:rsidDel="00000000" w:rsidR="00000000" w:rsidRPr="00000000">
        <w:rPr>
          <w:sz w:val="24"/>
          <w:szCs w:val="24"/>
          <w:highlight w:val="white"/>
          <w:vertAlign w:val="superscript"/>
        </w:rPr>
        <w:footnoteReference w:customMarkFollows="0" w:id="52"/>
      </w:r>
      <w:r w:rsidDel="00000000" w:rsidR="00000000" w:rsidRPr="00000000">
        <w:rPr>
          <w:sz w:val="24"/>
          <w:szCs w:val="24"/>
          <w:highlight w:val="white"/>
          <w:rtl w:val="0"/>
        </w:rPr>
        <w:t xml:space="preserve"> </w:t>
      </w:r>
      <w:r w:rsidDel="00000000" w:rsidR="00000000" w:rsidRPr="00000000">
        <w:rPr>
          <w:sz w:val="24"/>
          <w:szCs w:val="24"/>
          <w:rtl w:val="0"/>
        </w:rPr>
        <w:t xml:space="preserve">y los tratados internacionales ratificados por el Estado Venezolano como el Pacto Internacional de Derechos Civiles y Políticos en su art. 14 de 1966 y la</w:t>
      </w:r>
      <w:r w:rsidDel="00000000" w:rsidR="00000000" w:rsidRPr="00000000">
        <w:rPr>
          <w:sz w:val="24"/>
          <w:szCs w:val="24"/>
          <w:highlight w:val="white"/>
          <w:rtl w:val="0"/>
        </w:rPr>
        <w:t xml:space="preserve"> Convención Americana sobre Derechos Humanos en su art. 8</w:t>
      </w:r>
      <w:r w:rsidDel="00000000" w:rsidR="00000000" w:rsidRPr="00000000">
        <w:rPr>
          <w:sz w:val="24"/>
          <w:szCs w:val="24"/>
          <w:highlight w:val="white"/>
          <w:vertAlign w:val="superscript"/>
        </w:rPr>
        <w:footnoteReference w:customMarkFollows="0" w:id="53"/>
      </w:r>
      <w:r w:rsidDel="00000000" w:rsidR="00000000" w:rsidRPr="00000000">
        <w:rPr>
          <w:sz w:val="24"/>
          <w:szCs w:val="24"/>
          <w:highlight w:val="white"/>
          <w:rtl w:val="0"/>
        </w:rPr>
        <w:t xml:space="preserve">, entre otros, fueron juzgados por tribunales militares 726 civiles en 2016, según lo documentado por CEPAZ.</w:t>
      </w:r>
    </w:p>
    <w:p w:rsidR="00000000" w:rsidDel="00000000" w:rsidP="00000000" w:rsidRDefault="00000000" w:rsidRPr="00000000" w14:paraId="0000011F">
      <w:pPr>
        <w:jc w:val="both"/>
        <w:rPr>
          <w:sz w:val="24"/>
          <w:szCs w:val="24"/>
        </w:rPr>
      </w:pPr>
      <w:r w:rsidDel="00000000" w:rsidR="00000000" w:rsidRPr="00000000">
        <w:rPr>
          <w:rtl w:val="0"/>
        </w:rPr>
      </w:r>
    </w:p>
    <w:p w:rsidR="00000000" w:rsidDel="00000000" w:rsidP="00000000" w:rsidRDefault="00000000" w:rsidRPr="00000000" w14:paraId="00000120">
      <w:pPr>
        <w:jc w:val="both"/>
        <w:rPr>
          <w:b w:val="1"/>
          <w:sz w:val="24"/>
          <w:szCs w:val="24"/>
          <w:highlight w:val="white"/>
        </w:rPr>
      </w:pPr>
      <w:r w:rsidDel="00000000" w:rsidR="00000000" w:rsidRPr="00000000">
        <w:rPr>
          <w:b w:val="1"/>
          <w:sz w:val="24"/>
          <w:szCs w:val="24"/>
          <w:highlight w:val="white"/>
          <w:rtl w:val="0"/>
        </w:rPr>
        <w:t xml:space="preserve">h) Proceso electoral regional (2017 y 2021).</w:t>
      </w:r>
    </w:p>
    <w:p w:rsidR="00000000" w:rsidDel="00000000" w:rsidP="00000000" w:rsidRDefault="00000000" w:rsidRPr="00000000" w14:paraId="00000121">
      <w:pPr>
        <w:jc w:val="both"/>
        <w:rPr>
          <w:sz w:val="24"/>
          <w:szCs w:val="24"/>
          <w:highlight w:val="white"/>
        </w:rPr>
      </w:pPr>
      <w:r w:rsidDel="00000000" w:rsidR="00000000" w:rsidRPr="00000000">
        <w:rPr>
          <w:rtl w:val="0"/>
        </w:rPr>
      </w:r>
    </w:p>
    <w:p w:rsidR="00000000" w:rsidDel="00000000" w:rsidP="00000000" w:rsidRDefault="00000000" w:rsidRPr="00000000" w14:paraId="00000122">
      <w:pPr>
        <w:jc w:val="both"/>
        <w:rPr>
          <w:sz w:val="24"/>
          <w:szCs w:val="24"/>
          <w:highlight w:val="white"/>
        </w:rPr>
      </w:pPr>
      <w:r w:rsidDel="00000000" w:rsidR="00000000" w:rsidRPr="00000000">
        <w:rPr>
          <w:sz w:val="24"/>
          <w:szCs w:val="24"/>
          <w:highlight w:val="white"/>
          <w:rtl w:val="0"/>
        </w:rPr>
        <w:t xml:space="preserve">59. En 2017, la Contraloría General de la República, inhabilitó a tres gobernadores salientes de la oposición, impidiendo su postulación para ser reelegidos. Asimismo, el PSUV postuló 5 candidatos que habían sido sancionados por corrupción, impuestas</w:t>
      </w:r>
      <w:r w:rsidDel="00000000" w:rsidR="00000000" w:rsidRPr="00000000">
        <w:rPr>
          <w:sz w:val="24"/>
          <w:szCs w:val="24"/>
          <w:rtl w:val="0"/>
        </w:rPr>
        <w:t xml:space="preserve"> por el Departamento del Tesoro de los Estados Unidos de América y</w:t>
      </w:r>
      <w:r w:rsidDel="00000000" w:rsidR="00000000" w:rsidRPr="00000000">
        <w:rPr>
          <w:sz w:val="24"/>
          <w:szCs w:val="24"/>
          <w:highlight w:val="white"/>
          <w:rtl w:val="0"/>
        </w:rPr>
        <w:t xml:space="preserve"> por violaciones de DDHH.</w:t>
      </w:r>
      <w:r w:rsidDel="00000000" w:rsidR="00000000" w:rsidRPr="00000000">
        <w:rPr>
          <w:sz w:val="24"/>
          <w:szCs w:val="24"/>
          <w:highlight w:val="white"/>
          <w:vertAlign w:val="superscript"/>
        </w:rPr>
        <w:footnoteReference w:customMarkFollows="0" w:id="54"/>
      </w:r>
      <w:r w:rsidDel="00000000" w:rsidR="00000000" w:rsidRPr="00000000">
        <w:rPr>
          <w:rtl w:val="0"/>
        </w:rPr>
      </w:r>
    </w:p>
    <w:p w:rsidR="00000000" w:rsidDel="00000000" w:rsidP="00000000" w:rsidRDefault="00000000" w:rsidRPr="00000000" w14:paraId="00000123">
      <w:pPr>
        <w:jc w:val="both"/>
        <w:rPr>
          <w:sz w:val="24"/>
          <w:szCs w:val="24"/>
          <w:highlight w:val="white"/>
        </w:rPr>
      </w:pPr>
      <w:r w:rsidDel="00000000" w:rsidR="00000000" w:rsidRPr="00000000">
        <w:rPr>
          <w:rtl w:val="0"/>
        </w:rPr>
      </w:r>
    </w:p>
    <w:p w:rsidR="00000000" w:rsidDel="00000000" w:rsidP="00000000" w:rsidRDefault="00000000" w:rsidRPr="00000000" w14:paraId="00000124">
      <w:pPr>
        <w:jc w:val="both"/>
        <w:rPr>
          <w:sz w:val="24"/>
          <w:szCs w:val="24"/>
          <w:highlight w:val="white"/>
        </w:rPr>
      </w:pPr>
      <w:r w:rsidDel="00000000" w:rsidR="00000000" w:rsidRPr="00000000">
        <w:rPr>
          <w:sz w:val="24"/>
          <w:szCs w:val="24"/>
          <w:highlight w:val="white"/>
          <w:rtl w:val="0"/>
        </w:rPr>
        <w:t xml:space="preserve">60. El proceso electoral se pautó para el 15 de octubre, el Consejo Nacional Eelectoral estableció que las inscripciones de postulaciones se harían el 8 y 9 de agosto, y que permitirían modificaciones de los candidatos hasta el 16 de agosto, lo cual vulnera el lapso del reglamento electoral que establece que los cambios pueden efectuarse hasta 10 días antes de la elección. Posteriormente, la oposición solicitó al organismo electoral la modificación de sus candidaturas en la mayoría de los estados, acción que debía estar habilitada vía internet por medio del Sistema Automatizado de postulaciones pero el ente electoral lo mantuvo deshabilitado, hecho que buscaba aumentar la abstención, según entendían los actores de oposición.  </w:t>
      </w:r>
    </w:p>
    <w:p w:rsidR="00000000" w:rsidDel="00000000" w:rsidP="00000000" w:rsidRDefault="00000000" w:rsidRPr="00000000" w14:paraId="00000125">
      <w:pPr>
        <w:jc w:val="both"/>
        <w:rPr>
          <w:sz w:val="24"/>
          <w:szCs w:val="24"/>
          <w:highlight w:val="white"/>
        </w:rPr>
      </w:pPr>
      <w:r w:rsidDel="00000000" w:rsidR="00000000" w:rsidRPr="00000000">
        <w:rPr>
          <w:rtl w:val="0"/>
        </w:rPr>
      </w:r>
    </w:p>
    <w:p w:rsidR="00000000" w:rsidDel="00000000" w:rsidP="00000000" w:rsidRDefault="00000000" w:rsidRPr="00000000" w14:paraId="00000126">
      <w:pPr>
        <w:shd w:fill="ffffff" w:val="clear"/>
        <w:spacing w:after="360" w:lineRule="auto"/>
        <w:jc w:val="both"/>
        <w:rPr>
          <w:sz w:val="24"/>
          <w:szCs w:val="24"/>
        </w:rPr>
      </w:pPr>
      <w:r w:rsidDel="00000000" w:rsidR="00000000" w:rsidRPr="00000000">
        <w:rPr>
          <w:sz w:val="24"/>
          <w:szCs w:val="24"/>
          <w:rtl w:val="0"/>
        </w:rPr>
        <w:t xml:space="preserve">61. Ante los recursos de interpretación del artículo 163 de la Ley Orgánica de Procesos Electorales a razón del derecho de modificación y sustitución de candidatos, la sala electoral emitió la sentencia número 165, justificando el desplazamiento y omisión de dicho artículo, impidiendo el cambio en las postulaciones, acción que devino en que los votos emitidos en favor de los candidatos  se contabilizaron como nulos, demostrando la parcialización y falta de autonomía del ente. </w:t>
      </w:r>
    </w:p>
    <w:p w:rsidR="00000000" w:rsidDel="00000000" w:rsidP="00000000" w:rsidRDefault="00000000" w:rsidRPr="00000000" w14:paraId="00000127">
      <w:pPr>
        <w:shd w:fill="ffffff" w:val="clear"/>
        <w:spacing w:after="360" w:lineRule="auto"/>
        <w:jc w:val="both"/>
        <w:rPr>
          <w:sz w:val="24"/>
          <w:szCs w:val="24"/>
        </w:rPr>
      </w:pPr>
      <w:r w:rsidDel="00000000" w:rsidR="00000000" w:rsidRPr="00000000">
        <w:rPr>
          <w:sz w:val="24"/>
          <w:szCs w:val="24"/>
          <w:rtl w:val="0"/>
        </w:rPr>
        <w:t xml:space="preserve">62. La reubicación de 205  centros de votación en los estados Anzoátegui, Lara, Mérida, Miranda Aragua, Monagas y Táchira, a cinco días de la elección, fue denunciado por la coordinadora de Equipo Electoral de la Unidad Democrática, Liliana Hernández, como una acción que iba a afectar a más de 450.000 electores.</w:t>
      </w:r>
      <w:r w:rsidDel="00000000" w:rsidR="00000000" w:rsidRPr="00000000">
        <w:rPr>
          <w:sz w:val="24"/>
          <w:szCs w:val="24"/>
          <w:vertAlign w:val="superscript"/>
        </w:rPr>
        <w:footnoteReference w:customMarkFollows="0" w:id="55"/>
      </w:r>
      <w:r w:rsidDel="00000000" w:rsidR="00000000" w:rsidRPr="00000000">
        <w:rPr>
          <w:rtl w:val="0"/>
        </w:rPr>
      </w:r>
    </w:p>
    <w:p w:rsidR="00000000" w:rsidDel="00000000" w:rsidP="00000000" w:rsidRDefault="00000000" w:rsidRPr="00000000" w14:paraId="00000128">
      <w:pPr>
        <w:shd w:fill="ffffff" w:val="clear"/>
        <w:spacing w:after="360" w:lineRule="auto"/>
        <w:jc w:val="both"/>
        <w:rPr>
          <w:b w:val="1"/>
          <w:sz w:val="24"/>
          <w:szCs w:val="24"/>
        </w:rPr>
      </w:pPr>
      <w:r w:rsidDel="00000000" w:rsidR="00000000" w:rsidRPr="00000000">
        <w:rPr>
          <w:sz w:val="24"/>
          <w:szCs w:val="24"/>
          <w:rtl w:val="0"/>
        </w:rPr>
        <w:t xml:space="preserve">63. A 48 horas antes de la elección y en algunos casos, el mismo día, a más de 700 mil ciudadanos los cambiaron centros de votación, por máquinas dañadas, retrasos injustificados, mesas que no abrieron, asimismo, al menos 350.000 ciudadanos fueron violentados o intimidados en los centros de votación, lo que los impidió el ejercicio de su derecho a elegir. Por otro lado, aproximadamente 90.537 votos nulos debieron ser adjudicados a los candidatos de oposición a razón de no poder sustituirlos por la imposición inconstitucional del Consejo Nacional Electoral de omitir el lapso de sustitución.</w:t>
      </w:r>
      <w:r w:rsidDel="00000000" w:rsidR="00000000" w:rsidRPr="00000000">
        <w:rPr>
          <w:sz w:val="24"/>
          <w:szCs w:val="24"/>
          <w:vertAlign w:val="superscript"/>
        </w:rPr>
        <w:footnoteReference w:customMarkFollows="0" w:id="56"/>
      </w:r>
      <w:r w:rsidDel="00000000" w:rsidR="00000000" w:rsidRPr="00000000">
        <w:rPr>
          <w:rtl w:val="0"/>
        </w:rPr>
      </w:r>
    </w:p>
    <w:p w:rsidR="00000000" w:rsidDel="00000000" w:rsidP="00000000" w:rsidRDefault="00000000" w:rsidRPr="00000000" w14:paraId="00000129">
      <w:pPr>
        <w:shd w:fill="ffffff" w:val="clear"/>
        <w:spacing w:after="360" w:lineRule="auto"/>
        <w:jc w:val="both"/>
        <w:rPr>
          <w:sz w:val="24"/>
          <w:szCs w:val="24"/>
        </w:rPr>
      </w:pPr>
      <w:r w:rsidDel="00000000" w:rsidR="00000000" w:rsidRPr="00000000">
        <w:rPr>
          <w:sz w:val="24"/>
          <w:szCs w:val="24"/>
          <w:rtl w:val="0"/>
        </w:rPr>
        <w:t xml:space="preserve">64. El 5 de mayo de 2021, tras un proceso de negociación entre la oposición venezolana y el chavismo, la Asamblea Nacional designó por mayoría calificada a  Alexis Corredor Pérez, Tania D' Amelio, Enrique Márquez, Pedro Calzadilla y Roberto Picón, como rectoras y rectores principales del Consejo Nacional Electoral (CNE) para los próximo siete años</w:t>
      </w:r>
      <w:r w:rsidDel="00000000" w:rsidR="00000000" w:rsidRPr="00000000">
        <w:rPr>
          <w:sz w:val="24"/>
          <w:szCs w:val="24"/>
          <w:vertAlign w:val="superscript"/>
        </w:rPr>
        <w:footnoteReference w:customMarkFollows="0" w:id="57"/>
      </w:r>
      <w:r w:rsidDel="00000000" w:rsidR="00000000" w:rsidRPr="00000000">
        <w:rPr>
          <w:sz w:val="24"/>
          <w:szCs w:val="24"/>
          <w:rtl w:val="0"/>
        </w:rPr>
        <w:t xml:space="preserve">, hecho que fue catalogado por líderes de oposición y miembros de la sociedad civil como una victoria para la vuelta a la institucionalidad, al tener un equilibrio político parcial en las nuevas autoridades electorales.</w:t>
      </w:r>
    </w:p>
    <w:p w:rsidR="00000000" w:rsidDel="00000000" w:rsidP="00000000" w:rsidRDefault="00000000" w:rsidRPr="00000000" w14:paraId="0000012A">
      <w:pPr>
        <w:shd w:fill="ffffff" w:val="clear"/>
        <w:spacing w:after="360" w:lineRule="auto"/>
        <w:jc w:val="both"/>
        <w:rPr>
          <w:sz w:val="24"/>
          <w:szCs w:val="24"/>
        </w:rPr>
      </w:pPr>
      <w:r w:rsidDel="00000000" w:rsidR="00000000" w:rsidRPr="00000000">
        <w:rPr>
          <w:sz w:val="24"/>
          <w:szCs w:val="24"/>
          <w:rtl w:val="0"/>
        </w:rPr>
        <w:t xml:space="preserve">65. En junio del 2021, en aras de incentivar a la participación de las elecciones regionales y municipales estimadas para noviembre, el presidente Nicolás Maduro se comprometió públicamente a eliminar los protectorados que había establecido la Asamblea Nacional Constituyente de 2017 por un mandato presidencial, a causa de establecer mayor control, supervisión y hostigamiento a las autoridades y gobiernos locales, municipales y regionales opositoras, sin embargo, el compromiso de esta acción, estuvo acompañado de la promoción de la Ley Orgánica de Ciudades Comunales, tratándose de una agregación de comunas en un ámbito territorial determinado, desnaturalizando la descentralización y la autonomía municipal y estadal, lo cual vulnera de forma directa los artículos 2,5,157,158,159 y 184 de la Constitución Nacional.</w:t>
      </w:r>
      <w:r w:rsidDel="00000000" w:rsidR="00000000" w:rsidRPr="00000000">
        <w:rPr>
          <w:sz w:val="24"/>
          <w:szCs w:val="24"/>
          <w:vertAlign w:val="superscript"/>
        </w:rPr>
        <w:footnoteReference w:customMarkFollows="0" w:id="58"/>
      </w:r>
      <w:r w:rsidDel="00000000" w:rsidR="00000000" w:rsidRPr="00000000">
        <w:rPr>
          <w:rtl w:val="0"/>
        </w:rPr>
      </w:r>
    </w:p>
    <w:p w:rsidR="00000000" w:rsidDel="00000000" w:rsidP="00000000" w:rsidRDefault="00000000" w:rsidRPr="00000000" w14:paraId="0000012B">
      <w:pPr>
        <w:shd w:fill="ffffff" w:val="clear"/>
        <w:spacing w:after="360" w:lineRule="auto"/>
        <w:jc w:val="both"/>
        <w:rPr>
          <w:sz w:val="24"/>
          <w:szCs w:val="24"/>
        </w:rPr>
      </w:pPr>
      <w:r w:rsidDel="00000000" w:rsidR="00000000" w:rsidRPr="00000000">
        <w:rPr>
          <w:sz w:val="24"/>
          <w:szCs w:val="24"/>
          <w:rtl w:val="0"/>
        </w:rPr>
        <w:t xml:space="preserve">66. El ventajismo electoral se hizo presente nuevamente en el uso de bienes y recursos del patrimonio público a favor de candidatos oficialistas, como los medios de comunicación del Estado en donde le daban mayor tiempo en pantalla a candidatos del oficialismo, aprovechando la censura de medios de comunicación imparciales, transgrediendo las disposiciones de la Constitución, la Ley Orgánica de Procesos Electorales y  el art. 13 y 70 de la Ley Contra la Corrupción</w:t>
      </w:r>
      <w:r w:rsidDel="00000000" w:rsidR="00000000" w:rsidRPr="00000000">
        <w:rPr>
          <w:sz w:val="24"/>
          <w:szCs w:val="24"/>
          <w:vertAlign w:val="superscript"/>
        </w:rPr>
        <w:footnoteReference w:customMarkFollows="0" w:id="59"/>
      </w:r>
      <w:r w:rsidDel="00000000" w:rsidR="00000000" w:rsidRPr="00000000">
        <w:rPr>
          <w:sz w:val="24"/>
          <w:szCs w:val="24"/>
          <w:rtl w:val="0"/>
        </w:rPr>
        <w:t xml:space="preserve"> y demás leyes nacionales.</w:t>
      </w:r>
    </w:p>
    <w:p w:rsidR="00000000" w:rsidDel="00000000" w:rsidP="00000000" w:rsidRDefault="00000000" w:rsidRPr="00000000" w14:paraId="0000012C">
      <w:pPr>
        <w:shd w:fill="ffffff" w:val="clear"/>
        <w:spacing w:after="360" w:lineRule="auto"/>
        <w:jc w:val="both"/>
        <w:rPr>
          <w:sz w:val="24"/>
          <w:szCs w:val="24"/>
        </w:rPr>
      </w:pPr>
      <w:r w:rsidDel="00000000" w:rsidR="00000000" w:rsidRPr="00000000">
        <w:rPr>
          <w:sz w:val="24"/>
          <w:szCs w:val="24"/>
          <w:rtl w:val="0"/>
        </w:rPr>
        <w:t xml:space="preserve">67. La coacción en relación al beneficio de cajas o bolsas de alimentos por votos favorecedores al oficialismo se mantuvo en gran parte del país. </w:t>
      </w:r>
    </w:p>
    <w:p w:rsidR="00000000" w:rsidDel="00000000" w:rsidP="00000000" w:rsidRDefault="00000000" w:rsidRPr="00000000" w14:paraId="0000012D">
      <w:pPr>
        <w:shd w:fill="ffffff" w:val="clear"/>
        <w:spacing w:after="360" w:lineRule="auto"/>
        <w:jc w:val="both"/>
        <w:rPr>
          <w:b w:val="1"/>
          <w:sz w:val="24"/>
          <w:szCs w:val="24"/>
        </w:rPr>
      </w:pPr>
      <w:r w:rsidDel="00000000" w:rsidR="00000000" w:rsidRPr="00000000">
        <w:rPr>
          <w:b w:val="1"/>
          <w:sz w:val="24"/>
          <w:szCs w:val="24"/>
          <w:rtl w:val="0"/>
        </w:rPr>
        <w:t xml:space="preserve">i) Elecciones presidenciales  (2018).</w:t>
      </w:r>
    </w:p>
    <w:p w:rsidR="00000000" w:rsidDel="00000000" w:rsidP="00000000" w:rsidRDefault="00000000" w:rsidRPr="00000000" w14:paraId="0000012E">
      <w:pPr>
        <w:shd w:fill="ffffff" w:val="clear"/>
        <w:spacing w:after="360" w:lineRule="auto"/>
        <w:jc w:val="both"/>
        <w:rPr>
          <w:sz w:val="24"/>
          <w:szCs w:val="24"/>
        </w:rPr>
      </w:pPr>
      <w:r w:rsidDel="00000000" w:rsidR="00000000" w:rsidRPr="00000000">
        <w:rPr>
          <w:sz w:val="24"/>
          <w:szCs w:val="24"/>
          <w:rtl w:val="0"/>
        </w:rPr>
        <w:t xml:space="preserve">68. El 27 de diciembre de 2017, la Asamblea Nacional Constituyente mediante decreto, dictaminó que los partidos que no hubiese participado en las elecciones anteriores a estas, correspondientes a las municipales y regionales de 2017, estarían imposibilitados para postular candidatos en el proceso, dejando por fuera a la mayoría de las agrupaciones de oposición, como Primero Justicia, Voluntad Popular, Partido Mesa de Unidad Democrática (MUD) y Partido Unión y Entendimiento (Puente), sumado al mandato continuado de inhabilitación política a líderes de la oposición. Esta acción reiteró la subordinación de las competencias del Consejo Nacional Electoral ante la Asamblea Nacional Constituyente, trasgrediendo la independencia de poderes públicos y la pluralidad política, así como el derecho a la asociación. </w:t>
      </w:r>
    </w:p>
    <w:p w:rsidR="00000000" w:rsidDel="00000000" w:rsidP="00000000" w:rsidRDefault="00000000" w:rsidRPr="00000000" w14:paraId="0000012F">
      <w:pPr>
        <w:shd w:fill="ffffff" w:val="clear"/>
        <w:spacing w:after="360" w:lineRule="auto"/>
        <w:jc w:val="both"/>
        <w:rPr>
          <w:sz w:val="24"/>
          <w:szCs w:val="24"/>
        </w:rPr>
      </w:pPr>
      <w:r w:rsidDel="00000000" w:rsidR="00000000" w:rsidRPr="00000000">
        <w:rPr>
          <w:sz w:val="24"/>
          <w:szCs w:val="24"/>
          <w:rtl w:val="0"/>
        </w:rPr>
        <w:t xml:space="preserve">69. La restauración de los centros de votaciones cerrados irregularmente en el proceso de 2017 afectando a más de 800 mil electores, ocurrió sin la campaña y difusión debida para su promoción, por lo que muchos ciudadanos no sabían dónde debían votar. Por otro lado, la realización de auditorías técnicas se implementó de forma inefectiva.  Asimismo, se recortaron los lapsos correspondientes a la capacitación de los miembros de mesas, bajando de 25 días a 15 días, así como los lapsos dispuestos para la notificación, bajando de 133 días a solo 28 y el lapso de tiempos de las juntas electorales también se redujo, de 14 días a solo dos. </w:t>
      </w:r>
    </w:p>
    <w:p w:rsidR="00000000" w:rsidDel="00000000" w:rsidP="00000000" w:rsidRDefault="00000000" w:rsidRPr="00000000" w14:paraId="00000130">
      <w:pPr>
        <w:shd w:fill="ffffff" w:val="clear"/>
        <w:spacing w:after="360" w:lineRule="auto"/>
        <w:jc w:val="both"/>
        <w:rPr>
          <w:sz w:val="24"/>
          <w:szCs w:val="24"/>
        </w:rPr>
      </w:pPr>
      <w:r w:rsidDel="00000000" w:rsidR="00000000" w:rsidRPr="00000000">
        <w:rPr>
          <w:sz w:val="24"/>
          <w:szCs w:val="24"/>
          <w:rtl w:val="0"/>
        </w:rPr>
        <w:t xml:space="preserve">70. La realización de jornadas especiales de inscripción y actualización del registro electoral también fueron reducidas en comparación con el tiempo dispuesto en el 2015, pasando de 154 días a solo 20 días. De igual forma, se redujo el número de puntos para la realización de dichos operativos, de 1300 utilizados a nivel nacional en 2015, a 531 en 2018, sin difundir la ubicación de los mismos, profundizando la falta de transparencia y afectando el derecho a elegir. </w:t>
      </w:r>
    </w:p>
    <w:p w:rsidR="00000000" w:rsidDel="00000000" w:rsidP="00000000" w:rsidRDefault="00000000" w:rsidRPr="00000000" w14:paraId="00000131">
      <w:pPr>
        <w:shd w:fill="ffffff" w:val="clear"/>
        <w:spacing w:after="360" w:lineRule="auto"/>
        <w:jc w:val="both"/>
        <w:rPr>
          <w:b w:val="1"/>
          <w:sz w:val="24"/>
          <w:szCs w:val="24"/>
        </w:rPr>
      </w:pPr>
      <w:r w:rsidDel="00000000" w:rsidR="00000000" w:rsidRPr="00000000">
        <w:rPr>
          <w:b w:val="1"/>
          <w:sz w:val="24"/>
          <w:szCs w:val="24"/>
          <w:rtl w:val="0"/>
        </w:rPr>
        <w:t xml:space="preserve">Primarias (2023)</w:t>
      </w:r>
    </w:p>
    <w:p w:rsidR="00000000" w:rsidDel="00000000" w:rsidP="00000000" w:rsidRDefault="00000000" w:rsidRPr="00000000" w14:paraId="00000132">
      <w:pPr>
        <w:shd w:fill="ffffff" w:val="clear"/>
        <w:spacing w:after="360" w:lineRule="auto"/>
        <w:jc w:val="both"/>
        <w:rPr>
          <w:sz w:val="24"/>
          <w:szCs w:val="24"/>
        </w:rPr>
      </w:pPr>
      <w:r w:rsidDel="00000000" w:rsidR="00000000" w:rsidRPr="00000000">
        <w:rPr>
          <w:sz w:val="24"/>
          <w:szCs w:val="24"/>
          <w:rtl w:val="0"/>
        </w:rPr>
        <w:t xml:space="preserve">71. El 22 de noviembre de 2022 fue instalada la Comisión Nacional de Primarias, encargada de regir las elecciones primarias de la Plataforma de la Unidad Democrática con la finalidad de escoger a un candidato unitario de oposición que se mida en contra del chavismo en el proceso electoral de las presidenciales 2024. Las primarias de la oposición han estado enmarcadas por un clima de estigmatización, criminalización y obstaculización para evitar que se desarrollen correctamente. La inhabilitación de la precandidata María Corina Machado por 15 años, la disolución del Consejo Nacional Electoral, la apertura de una investigación hacia la directiva de la Comisión y las constantes amenazas en contra de cualquiera que apoye las primarias proliferadas por Diosdado Cabello, parlamentarista y vicepresidente del Partido Socialista Unido de Venezuela, son algunas de las acciones que se han desarrollado desde el Estado Venezolano para disuadir las primarias. </w:t>
      </w:r>
    </w:p>
    <w:p w:rsidR="00000000" w:rsidDel="00000000" w:rsidP="00000000" w:rsidRDefault="00000000" w:rsidRPr="00000000" w14:paraId="00000133">
      <w:pPr>
        <w:shd w:fill="ffffff" w:val="clear"/>
        <w:spacing w:after="360" w:lineRule="auto"/>
        <w:jc w:val="both"/>
        <w:rPr>
          <w:sz w:val="24"/>
          <w:szCs w:val="24"/>
        </w:rPr>
      </w:pPr>
      <w:r w:rsidDel="00000000" w:rsidR="00000000" w:rsidRPr="00000000">
        <w:rPr>
          <w:sz w:val="24"/>
          <w:szCs w:val="24"/>
          <w:rtl w:val="0"/>
        </w:rPr>
        <w:t xml:space="preserve">72. Tras la aprobación de reglamentos de funcionamiento, el ente rector de las primarias opositoras, comenzó una evaluación logística para solicitar el apoyo técnico del Consejo Nacional Electoral nombrado en 2021 para el desarrollo de las primarias, dicho apoyo técnico consistía en emplear las máquinas e infraestructura electoral del Consejo Nacional Electoral. Se iniciaron reuniones técnicas en mayo de 2023 para evaluar  esta posibilidad.</w:t>
      </w:r>
    </w:p>
    <w:p w:rsidR="00000000" w:rsidDel="00000000" w:rsidP="00000000" w:rsidRDefault="00000000" w:rsidRPr="00000000" w14:paraId="00000134">
      <w:pPr>
        <w:shd w:fill="ffffff" w:val="clear"/>
        <w:spacing w:after="360" w:lineRule="auto"/>
        <w:jc w:val="both"/>
        <w:rPr>
          <w:sz w:val="24"/>
          <w:szCs w:val="24"/>
        </w:rPr>
      </w:pPr>
      <w:r w:rsidDel="00000000" w:rsidR="00000000" w:rsidRPr="00000000">
        <w:rPr>
          <w:sz w:val="24"/>
          <w:szCs w:val="24"/>
          <w:rtl w:val="0"/>
        </w:rPr>
        <w:t xml:space="preserve">73. En junio de 2023, el Consejo Nacional de 2021, cuyo período constitucional era de 7 años, fue disuelto e inmediatamente se convocó el proceso de selección de un nuevo ente electoral. Este hecho llevó a la Comisión Nacional de Primaria a omitir el apoyo técnico que podía prestar el Consejo Nacional Electoral y apostar por un proceso autogestionado pese a la falta de recursos y  la complejidad de consolidar el proceso ya que esperar una nueva designación, significaba un retraso en el calendario y la imposibilidad de realizar las primarias. Actualmente, corroboran que podrán votar en octubre el 98,8% de los municipios del territorio, de igual forma, las elecciones se harán en 31 países, posibilitando el derecho al sufragio de los migrantes.</w:t>
      </w:r>
    </w:p>
    <w:p w:rsidR="00000000" w:rsidDel="00000000" w:rsidP="00000000" w:rsidRDefault="00000000" w:rsidRPr="00000000" w14:paraId="00000135">
      <w:pPr>
        <w:shd w:fill="ffffff" w:val="clear"/>
        <w:spacing w:after="360" w:lineRule="auto"/>
        <w:jc w:val="both"/>
        <w:rPr/>
      </w:pPr>
      <w:r w:rsidDel="00000000" w:rsidR="00000000" w:rsidRPr="00000000">
        <w:rPr>
          <w:sz w:val="24"/>
          <w:szCs w:val="24"/>
          <w:rtl w:val="0"/>
        </w:rPr>
        <w:t xml:space="preserve">74. </w:t>
      </w:r>
      <w:r w:rsidDel="00000000" w:rsidR="00000000" w:rsidRPr="00000000">
        <w:rPr>
          <w:rtl w:val="0"/>
        </w:rPr>
        <w:t xml:space="preserve"> Tras la disolución del Consejo Nacional Electoral de 2021, el 24 de agosto de 2020, la Asamblea Nacional de 2020 designó a la nueva directiva del ente electoral , en donde escogió de entre 104 candidatos a 5 rectores principales y 10 suplentes. Los rectores principales son Elvis Amoroso, Rosalba Gil Pacheco, Aimé Nogal, Carlos Quintero y Juan Carlos Delpino. Entre los nombres de los rectores suplentes destacan: Conrado Pérez, Leonel Párica y Ana Julia Niño. Algunos de los rectores principales y suplentes repiten gestión en la institución, Elvis Amoroso era el Contralor General de la República, espacio que promovió las inhabilitaciones políticas por vía administrativa, asimismo, la Contraloría General de la República forma parte de uno de los poderes públicos encargados de postular candidatos a rectores electorales. Hasta la fecha no se ha nombrado un nuevo Contralor General de la República. </w:t>
      </w:r>
    </w:p>
    <w:p w:rsidR="00000000" w:rsidDel="00000000" w:rsidP="00000000" w:rsidRDefault="00000000" w:rsidRPr="00000000" w14:paraId="00000136">
      <w:pPr>
        <w:shd w:fill="ffffff" w:val="clear"/>
        <w:spacing w:after="360" w:lineRule="auto"/>
        <w:jc w:val="both"/>
        <w:rPr/>
      </w:pPr>
      <w:r w:rsidDel="00000000" w:rsidR="00000000" w:rsidRPr="00000000">
        <w:rPr>
          <w:rtl w:val="0"/>
        </w:rPr>
        <w:t xml:space="preserve">75. Entre los requisitos de elegibilidad para ser rector o rectora del Consejo Nacional Electoral que establece la Ley Orgánica del Poder Electoral se encuentran: 1. Ser Venezolano o Venezolana, ser  mayor de 30 años de edad y estar en pleno goce de sus derechos civiles y políticos; 2. Haber obtenido título universitario y tener por lo menos 10 años de graduado o graduada; 3. No estar vinculada o vinculado a organizaciones con fines políticos. De los 5 rectores principales seleccionados para el Consejo Nacional Electoral de 2023, destaca que todos tienen o tuvieron militancia político partidista, lo cual transgrede seriamente el equilibrio del ente electoral. Es responsabilidad del Comité de Postulaciones Electorales  garantizar que el listado de candidatos que se consignan a la Asamblea Nacional cumpla con todos los requisitos establecidos por la Ley. </w:t>
      </w:r>
    </w:p>
    <w:p w:rsidR="00000000" w:rsidDel="00000000" w:rsidP="00000000" w:rsidRDefault="00000000" w:rsidRPr="00000000" w14:paraId="00000137">
      <w:pPr>
        <w:shd w:fill="ffffff" w:val="clear"/>
        <w:spacing w:after="360" w:lineRule="auto"/>
        <w:jc w:val="both"/>
        <w:rPr>
          <w:b w:val="1"/>
          <w:sz w:val="24"/>
          <w:szCs w:val="24"/>
        </w:rPr>
      </w:pPr>
      <w:r w:rsidDel="00000000" w:rsidR="00000000" w:rsidRPr="00000000">
        <w:rPr>
          <w:sz w:val="24"/>
          <w:szCs w:val="24"/>
          <w:rtl w:val="0"/>
        </w:rPr>
        <w:t xml:space="preserve">76. </w:t>
      </w:r>
      <w:r w:rsidDel="00000000" w:rsidR="00000000" w:rsidRPr="00000000">
        <w:rPr>
          <w:rtl w:val="0"/>
        </w:rPr>
        <w:t xml:space="preserve">Del proceso de selección destaca que fueron solapados lapsos relacionados a la publicación de lista de admitidos y la posibilidad de realizar objeciones o descargos. Lo cual afecta el principio de transparencia administrativa y la posibilidad de ejercer control ciudadano al proceso de nombramiento del nuevo ente electoral. </w:t>
      </w:r>
      <w:r w:rsidDel="00000000" w:rsidR="00000000" w:rsidRPr="00000000">
        <w:rPr>
          <w:rtl w:val="0"/>
        </w:rPr>
      </w:r>
    </w:p>
    <w:p w:rsidR="00000000" w:rsidDel="00000000" w:rsidP="00000000" w:rsidRDefault="00000000" w:rsidRPr="00000000" w14:paraId="00000138">
      <w:pPr>
        <w:shd w:fill="ffffff" w:val="clear"/>
        <w:spacing w:after="360" w:lineRule="auto"/>
        <w:jc w:val="both"/>
        <w:rPr>
          <w:b w:val="1"/>
          <w:sz w:val="24"/>
          <w:szCs w:val="24"/>
        </w:rPr>
      </w:pPr>
      <w:r w:rsidDel="00000000" w:rsidR="00000000" w:rsidRPr="00000000">
        <w:rPr>
          <w:b w:val="1"/>
          <w:sz w:val="24"/>
          <w:szCs w:val="24"/>
          <w:rtl w:val="0"/>
        </w:rPr>
        <w:t xml:space="preserve">Recomendaciones: </w:t>
      </w:r>
    </w:p>
    <w:p w:rsidR="00000000" w:rsidDel="00000000" w:rsidP="00000000" w:rsidRDefault="00000000" w:rsidRPr="00000000" w14:paraId="00000139">
      <w:pPr>
        <w:numPr>
          <w:ilvl w:val="0"/>
          <w:numId w:val="7"/>
        </w:numPr>
        <w:ind w:left="720" w:hanging="360"/>
        <w:jc w:val="both"/>
        <w:rPr>
          <w:sz w:val="24"/>
          <w:szCs w:val="24"/>
        </w:rPr>
      </w:pPr>
      <w:r w:rsidDel="00000000" w:rsidR="00000000" w:rsidRPr="00000000">
        <w:rPr>
          <w:sz w:val="24"/>
          <w:szCs w:val="24"/>
          <w:rtl w:val="0"/>
        </w:rPr>
        <w:t xml:space="preserve">Reforzar la separación e independencia de poderes públicos, a través de la debida aplicación de la Ley Orgánica del Tribunal Supremo de Justicia</w:t>
      </w:r>
    </w:p>
    <w:p w:rsidR="00000000" w:rsidDel="00000000" w:rsidP="00000000" w:rsidRDefault="00000000" w:rsidRPr="00000000" w14:paraId="0000013A">
      <w:pPr>
        <w:numPr>
          <w:ilvl w:val="0"/>
          <w:numId w:val="7"/>
        </w:numPr>
        <w:ind w:left="720" w:hanging="360"/>
        <w:jc w:val="both"/>
        <w:rPr>
          <w:sz w:val="24"/>
          <w:szCs w:val="24"/>
        </w:rPr>
      </w:pPr>
      <w:r w:rsidDel="00000000" w:rsidR="00000000" w:rsidRPr="00000000">
        <w:rPr>
          <w:sz w:val="24"/>
          <w:szCs w:val="24"/>
          <w:rtl w:val="0"/>
        </w:rPr>
        <w:t xml:space="preserve">Suprimir la prerrogativa de la Contraloría General de inhabilitar por un procedimiento administrativo a ciudadanos que deseen presentarse como candidatos a procesos electorales. </w:t>
      </w:r>
    </w:p>
    <w:p w:rsidR="00000000" w:rsidDel="00000000" w:rsidP="00000000" w:rsidRDefault="00000000" w:rsidRPr="00000000" w14:paraId="0000013B">
      <w:pPr>
        <w:numPr>
          <w:ilvl w:val="0"/>
          <w:numId w:val="7"/>
        </w:numPr>
        <w:ind w:left="720" w:hanging="360"/>
        <w:jc w:val="both"/>
        <w:rPr>
          <w:sz w:val="24"/>
          <w:szCs w:val="24"/>
        </w:rPr>
      </w:pPr>
      <w:r w:rsidDel="00000000" w:rsidR="00000000" w:rsidRPr="00000000">
        <w:rPr>
          <w:sz w:val="24"/>
          <w:szCs w:val="24"/>
          <w:rtl w:val="0"/>
        </w:rPr>
        <w:t xml:space="preserve">Cumplir con el mandato de la Corte Interamericana de Derechos Humanos sobre inhabilitaciones únicamente como condenas tras un procedimiento judicial que cuente con una sentencia firme. </w:t>
      </w:r>
    </w:p>
    <w:p w:rsidR="00000000" w:rsidDel="00000000" w:rsidP="00000000" w:rsidRDefault="00000000" w:rsidRPr="00000000" w14:paraId="0000013C">
      <w:pPr>
        <w:numPr>
          <w:ilvl w:val="0"/>
          <w:numId w:val="7"/>
        </w:numPr>
        <w:ind w:left="720" w:hanging="360"/>
        <w:jc w:val="both"/>
        <w:rPr>
          <w:sz w:val="24"/>
          <w:szCs w:val="24"/>
        </w:rPr>
      </w:pPr>
      <w:r w:rsidDel="00000000" w:rsidR="00000000" w:rsidRPr="00000000">
        <w:rPr>
          <w:sz w:val="24"/>
          <w:szCs w:val="24"/>
          <w:rtl w:val="0"/>
        </w:rPr>
        <w:t xml:space="preserve">Devolver a sus directivas originales los partidos judicializados por el Tribunal Supremo de Justicia, permitiéndoles competir con su tarjetón electoral. </w:t>
      </w:r>
    </w:p>
    <w:p w:rsidR="00000000" w:rsidDel="00000000" w:rsidP="00000000" w:rsidRDefault="00000000" w:rsidRPr="00000000" w14:paraId="0000013D">
      <w:pPr>
        <w:numPr>
          <w:ilvl w:val="0"/>
          <w:numId w:val="7"/>
        </w:numPr>
        <w:ind w:left="720" w:hanging="360"/>
        <w:jc w:val="both"/>
        <w:rPr>
          <w:sz w:val="24"/>
          <w:szCs w:val="24"/>
        </w:rPr>
      </w:pPr>
      <w:r w:rsidDel="00000000" w:rsidR="00000000" w:rsidRPr="00000000">
        <w:rPr>
          <w:sz w:val="24"/>
          <w:szCs w:val="24"/>
          <w:rtl w:val="0"/>
        </w:rPr>
        <w:t xml:space="preserve">Aprobar una jornada especial de inscripción y actualización de datos del Registro Electoral, con una extensión temporal y territorial suficiente que permita reducir la brecha de jóvenes no inscritos. </w:t>
      </w:r>
    </w:p>
    <w:p w:rsidR="00000000" w:rsidDel="00000000" w:rsidP="00000000" w:rsidRDefault="00000000" w:rsidRPr="00000000" w14:paraId="0000013E">
      <w:pPr>
        <w:numPr>
          <w:ilvl w:val="0"/>
          <w:numId w:val="7"/>
        </w:numPr>
        <w:ind w:left="720" w:hanging="360"/>
        <w:jc w:val="both"/>
        <w:rPr>
          <w:sz w:val="24"/>
          <w:szCs w:val="24"/>
        </w:rPr>
      </w:pPr>
      <w:r w:rsidDel="00000000" w:rsidR="00000000" w:rsidRPr="00000000">
        <w:rPr>
          <w:sz w:val="24"/>
          <w:szCs w:val="24"/>
          <w:rtl w:val="0"/>
        </w:rPr>
        <w:t xml:space="preserve">Dar cumplimiento al carácter continúo del Registro Electoral en el exterior, aperturando y permitiendo que venezolanos fuera del país puedan inscribirse o actualizar sus datos para participar de los próximos procesos electorales, sin más requisitos que los establecidos por la Ley Orgánica de Procesos Electorales. </w:t>
      </w:r>
    </w:p>
    <w:p w:rsidR="00000000" w:rsidDel="00000000" w:rsidP="00000000" w:rsidRDefault="00000000" w:rsidRPr="00000000" w14:paraId="0000013F">
      <w:pPr>
        <w:numPr>
          <w:ilvl w:val="0"/>
          <w:numId w:val="7"/>
        </w:numPr>
        <w:ind w:left="720" w:hanging="360"/>
        <w:jc w:val="both"/>
        <w:rPr>
          <w:sz w:val="24"/>
          <w:szCs w:val="24"/>
        </w:rPr>
      </w:pPr>
      <w:r w:rsidDel="00000000" w:rsidR="00000000" w:rsidRPr="00000000">
        <w:rPr>
          <w:sz w:val="24"/>
          <w:szCs w:val="24"/>
          <w:rtl w:val="0"/>
        </w:rPr>
        <w:t xml:space="preserve">Desarrollar una campaña de educación al votante que le permita conocer sus derechos políticos y los requisitos legales establecidos para ejercerlos.</w:t>
      </w:r>
    </w:p>
    <w:p w:rsidR="00000000" w:rsidDel="00000000" w:rsidP="00000000" w:rsidRDefault="00000000" w:rsidRPr="00000000" w14:paraId="00000140">
      <w:pPr>
        <w:numPr>
          <w:ilvl w:val="0"/>
          <w:numId w:val="7"/>
        </w:numPr>
        <w:ind w:left="720" w:hanging="360"/>
        <w:jc w:val="both"/>
        <w:rPr>
          <w:sz w:val="24"/>
          <w:szCs w:val="24"/>
        </w:rPr>
      </w:pPr>
      <w:r w:rsidDel="00000000" w:rsidR="00000000" w:rsidRPr="00000000">
        <w:rPr>
          <w:sz w:val="24"/>
          <w:szCs w:val="24"/>
          <w:rtl w:val="0"/>
        </w:rPr>
        <w:t xml:space="preserve">Reforzar las facultades sancionadoras del ente electoral a través de un sistema de control y sanciones, que vayan desde la amonestación hasta la imposición de penas progresivas, especialmente en lo que se refiere al uso de recursos del Estado en campaña.</w:t>
      </w:r>
    </w:p>
    <w:p w:rsidR="00000000" w:rsidDel="00000000" w:rsidP="00000000" w:rsidRDefault="00000000" w:rsidRPr="00000000" w14:paraId="00000141">
      <w:pPr>
        <w:ind w:left="720" w:firstLine="0"/>
        <w:jc w:val="both"/>
        <w:rPr>
          <w:sz w:val="24"/>
          <w:szCs w:val="24"/>
        </w:rPr>
      </w:pPr>
      <w:r w:rsidDel="00000000" w:rsidR="00000000" w:rsidRPr="00000000">
        <w:rPr>
          <w:rtl w:val="0"/>
        </w:rPr>
      </w:r>
    </w:p>
    <w:sectPr>
      <w:headerReference r:id="rId15" w:type="default"/>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Comunicaciones VotoJoven" w:id="0" w:date="2023-09-11T17:39:29Z">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importante colocar el nombre completo para colocar en contexto del signidicado y finalmente las siglas.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1B2"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9">
    <w:p w:rsidR="00000000" w:rsidDel="00000000" w:rsidP="00000000" w:rsidRDefault="00000000" w:rsidRPr="00000000" w14:paraId="00000142">
      <w:pPr>
        <w:spacing w:line="240" w:lineRule="auto"/>
        <w:rPr>
          <w:color w:val="33333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Según la Ley Orgánica del Poder Electoral en su Art. 30: “</w:t>
      </w:r>
      <w:r w:rsidDel="00000000" w:rsidR="00000000" w:rsidRPr="00000000">
        <w:rPr>
          <w:color w:val="333333"/>
          <w:sz w:val="20"/>
          <w:szCs w:val="20"/>
          <w:rtl w:val="0"/>
        </w:rPr>
        <w:t xml:space="preserve">La Asamblea Nacional, una vez recibidas por secretaría las listas de candidatas o candidatos, designará a las rectoras o los rectores electorales dentro de un lapso de diez (10) días continuos, en la forma siguiente…”. Disponible en: https://acortar.link/VYvWWM</w:t>
      </w:r>
    </w:p>
    <w:p w:rsidR="00000000" w:rsidDel="00000000" w:rsidP="00000000" w:rsidRDefault="00000000" w:rsidRPr="00000000" w14:paraId="00000143">
      <w:pPr>
        <w:spacing w:line="240" w:lineRule="auto"/>
        <w:rPr>
          <w:color w:val="333333"/>
          <w:sz w:val="20"/>
          <w:szCs w:val="20"/>
        </w:rPr>
      </w:pPr>
      <w:r w:rsidDel="00000000" w:rsidR="00000000" w:rsidRPr="00000000">
        <w:rPr>
          <w:rtl w:val="0"/>
        </w:rPr>
      </w:r>
    </w:p>
  </w:footnote>
  <w:footnote w:id="20">
    <w:p w:rsidR="00000000" w:rsidDel="00000000" w:rsidP="00000000" w:rsidRDefault="00000000" w:rsidRPr="00000000" w14:paraId="000001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final de Observación de las elecciones parlamentarias del 6 de diciembre del año 2015, Observatorio Electoral Venezolano. Disponible en: </w:t>
      </w:r>
      <w:hyperlink r:id="rId1">
        <w:r w:rsidDel="00000000" w:rsidR="00000000" w:rsidRPr="00000000">
          <w:rPr>
            <w:color w:val="1155cc"/>
            <w:sz w:val="20"/>
            <w:szCs w:val="20"/>
            <w:u w:val="single"/>
            <w:rtl w:val="0"/>
          </w:rPr>
          <w:t xml:space="preserve">https://acortar.link/eLCCEP</w:t>
        </w:r>
      </w:hyperlink>
      <w:r w:rsidDel="00000000" w:rsidR="00000000" w:rsidRPr="00000000">
        <w:rPr>
          <w:rtl w:val="0"/>
        </w:rPr>
      </w:r>
    </w:p>
    <w:p w:rsidR="00000000" w:rsidDel="00000000" w:rsidP="00000000" w:rsidRDefault="00000000" w:rsidRPr="00000000" w14:paraId="00000145">
      <w:pPr>
        <w:spacing w:line="240" w:lineRule="auto"/>
        <w:rPr>
          <w:sz w:val="20"/>
          <w:szCs w:val="20"/>
        </w:rPr>
      </w:pPr>
      <w:r w:rsidDel="00000000" w:rsidR="00000000" w:rsidRPr="00000000">
        <w:rPr>
          <w:rtl w:val="0"/>
        </w:rPr>
      </w:r>
    </w:p>
  </w:footnote>
  <w:footnote w:id="21">
    <w:p w:rsidR="00000000" w:rsidDel="00000000" w:rsidP="00000000" w:rsidRDefault="00000000" w:rsidRPr="00000000" w14:paraId="0000014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Monitoreo sobre irregularidades del CNE tras no convocar a elecciones para los miembros del parlatino, Observatorio Venezolano de Justicia. Disponible en: https://acortar.link/0ddKFG</w:t>
      </w:r>
    </w:p>
    <w:p w:rsidR="00000000" w:rsidDel="00000000" w:rsidP="00000000" w:rsidRDefault="00000000" w:rsidRPr="00000000" w14:paraId="00000147">
      <w:pPr>
        <w:spacing w:line="240" w:lineRule="auto"/>
        <w:rPr>
          <w:sz w:val="20"/>
          <w:szCs w:val="20"/>
        </w:rPr>
      </w:pPr>
      <w:r w:rsidDel="00000000" w:rsidR="00000000" w:rsidRPr="00000000">
        <w:rPr>
          <w:rtl w:val="0"/>
        </w:rPr>
      </w:r>
    </w:p>
  </w:footnote>
  <w:footnote w:id="22">
    <w:p w:rsidR="00000000" w:rsidDel="00000000" w:rsidP="00000000" w:rsidRDefault="00000000" w:rsidRPr="00000000" w14:paraId="0000014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264 de la CRBV “Los órganos del Poder Electoral se rigen por los principios de independencia orgánica, autonomía funcional y presupuestaria, despartidización de los organismos electorales, imparcialidad…”. </w:t>
      </w:r>
    </w:p>
    <w:p w:rsidR="00000000" w:rsidDel="00000000" w:rsidP="00000000" w:rsidRDefault="00000000" w:rsidRPr="00000000" w14:paraId="00000149">
      <w:pPr>
        <w:spacing w:line="240" w:lineRule="auto"/>
        <w:rPr>
          <w:sz w:val="20"/>
          <w:szCs w:val="20"/>
        </w:rPr>
      </w:pPr>
      <w:r w:rsidDel="00000000" w:rsidR="00000000" w:rsidRPr="00000000">
        <w:rPr>
          <w:rtl w:val="0"/>
        </w:rPr>
      </w:r>
    </w:p>
  </w:footnote>
  <w:footnote w:id="24">
    <w:p w:rsidR="00000000" w:rsidDel="00000000" w:rsidP="00000000" w:rsidRDefault="00000000" w:rsidRPr="00000000" w14:paraId="0000014A">
      <w:pPr>
        <w:spacing w:line="240" w:lineRule="auto"/>
        <w:jc w:val="both"/>
        <w:rPr>
          <w:rFonts w:ascii="Roboto" w:cs="Roboto" w:eastAsia="Roboto" w:hAnsi="Roboto"/>
          <w:color w:val="333333"/>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El 11 de febrero de 2021 </w:t>
      </w:r>
      <w:r w:rsidDel="00000000" w:rsidR="00000000" w:rsidRPr="00000000">
        <w:rPr>
          <w:rFonts w:ascii="Roboto" w:cs="Roboto" w:eastAsia="Roboto" w:hAnsi="Roboto"/>
          <w:color w:val="333333"/>
          <w:sz w:val="20"/>
          <w:szCs w:val="20"/>
          <w:highlight w:val="white"/>
          <w:rtl w:val="0"/>
        </w:rPr>
        <w:t xml:space="preserve">La Sala Político Administrativa, en su sentencia número 12,  declaró el “desistimiento tácito” de la demanda de nulidad que Pérez Vivas.  Disponible en: </w:t>
      </w:r>
      <w:hyperlink r:id="rId2">
        <w:r w:rsidDel="00000000" w:rsidR="00000000" w:rsidRPr="00000000">
          <w:rPr>
            <w:rFonts w:ascii="Roboto" w:cs="Roboto" w:eastAsia="Roboto" w:hAnsi="Roboto"/>
            <w:color w:val="1155cc"/>
            <w:sz w:val="20"/>
            <w:szCs w:val="20"/>
            <w:highlight w:val="white"/>
            <w:u w:val="single"/>
            <w:rtl w:val="0"/>
          </w:rPr>
          <w:t xml:space="preserve">https://acortar.link/FasrCi</w:t>
        </w:r>
      </w:hyperlink>
      <w:r w:rsidDel="00000000" w:rsidR="00000000" w:rsidRPr="00000000">
        <w:rPr>
          <w:rFonts w:ascii="Roboto" w:cs="Roboto" w:eastAsia="Roboto" w:hAnsi="Roboto"/>
          <w:color w:val="333333"/>
          <w:sz w:val="20"/>
          <w:szCs w:val="20"/>
          <w:highlight w:val="white"/>
          <w:rtl w:val="0"/>
        </w:rPr>
        <w:t xml:space="preserve">.</w:t>
      </w:r>
    </w:p>
    <w:p w:rsidR="00000000" w:rsidDel="00000000" w:rsidP="00000000" w:rsidRDefault="00000000" w:rsidRPr="00000000" w14:paraId="0000014B">
      <w:pPr>
        <w:spacing w:line="240" w:lineRule="auto"/>
        <w:rPr>
          <w:rFonts w:ascii="Roboto" w:cs="Roboto" w:eastAsia="Roboto" w:hAnsi="Roboto"/>
          <w:color w:val="333333"/>
          <w:sz w:val="20"/>
          <w:szCs w:val="20"/>
          <w:highlight w:val="white"/>
        </w:rPr>
      </w:pPr>
      <w:r w:rsidDel="00000000" w:rsidR="00000000" w:rsidRPr="00000000">
        <w:rPr>
          <w:rtl w:val="0"/>
        </w:rPr>
      </w:r>
    </w:p>
  </w:footnote>
  <w:footnote w:id="25">
    <w:p w:rsidR="00000000" w:rsidDel="00000000" w:rsidP="00000000" w:rsidRDefault="00000000" w:rsidRPr="00000000" w14:paraId="0000014C">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105 de la Ley Orgánica de la Contraloría General de la República: “…Corresponderá al Contralor o Contralora General de la República de manera exclusiva y excluyente, sin que medie ningún otro procedimiento, acordar en atención a la entidad del ilícito cometido, la suspensión del ejercicio del cargo sin goce de sueldo por un período no mayor de veinticuatro meses o la destitución del declarado responsable…”. Disponible en: https://acortar.link/mdAjGt</w:t>
      </w:r>
    </w:p>
    <w:p w:rsidR="00000000" w:rsidDel="00000000" w:rsidP="00000000" w:rsidRDefault="00000000" w:rsidRPr="00000000" w14:paraId="0000014D">
      <w:pPr>
        <w:spacing w:line="240" w:lineRule="auto"/>
        <w:rPr>
          <w:sz w:val="20"/>
          <w:szCs w:val="20"/>
        </w:rPr>
      </w:pPr>
      <w:r w:rsidDel="00000000" w:rsidR="00000000" w:rsidRPr="00000000">
        <w:rPr>
          <w:rtl w:val="0"/>
        </w:rPr>
      </w:r>
    </w:p>
  </w:footnote>
  <w:footnote w:id="26">
    <w:p w:rsidR="00000000" w:rsidDel="00000000" w:rsidP="00000000" w:rsidRDefault="00000000" w:rsidRPr="00000000" w14:paraId="000001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Inhabilitan a Maria Corina Machado para ejercer cargos públicos. Disponible en : </w:t>
      </w:r>
      <w:hyperlink r:id="rId3">
        <w:r w:rsidDel="00000000" w:rsidR="00000000" w:rsidRPr="00000000">
          <w:rPr>
            <w:color w:val="1155cc"/>
            <w:sz w:val="20"/>
            <w:szCs w:val="20"/>
            <w:u w:val="single"/>
            <w:rtl w:val="0"/>
          </w:rPr>
          <w:t xml:space="preserve">https://acortar.link/HcT2O6</w:t>
        </w:r>
      </w:hyperlink>
      <w:r w:rsidDel="00000000" w:rsidR="00000000" w:rsidRPr="00000000">
        <w:rPr>
          <w:rtl w:val="0"/>
        </w:rPr>
      </w:r>
    </w:p>
    <w:p w:rsidR="00000000" w:rsidDel="00000000" w:rsidP="00000000" w:rsidRDefault="00000000" w:rsidRPr="00000000" w14:paraId="0000014F">
      <w:pPr>
        <w:spacing w:line="240" w:lineRule="auto"/>
        <w:rPr>
          <w:sz w:val="20"/>
          <w:szCs w:val="20"/>
        </w:rPr>
      </w:pPr>
      <w:r w:rsidDel="00000000" w:rsidR="00000000" w:rsidRPr="00000000">
        <w:rPr>
          <w:rtl w:val="0"/>
        </w:rPr>
      </w:r>
    </w:p>
  </w:footnote>
  <w:footnote w:id="34">
    <w:p w:rsidR="00000000" w:rsidDel="00000000" w:rsidP="00000000" w:rsidRDefault="00000000" w:rsidRPr="00000000" w14:paraId="000001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final sobre las parlamentarias del 6D del 2015, Observatorio Electoral Venezolano. Disponible en:  https://acortar.link/udMI4i</w:t>
      </w:r>
    </w:p>
    <w:p w:rsidR="00000000" w:rsidDel="00000000" w:rsidP="00000000" w:rsidRDefault="00000000" w:rsidRPr="00000000" w14:paraId="00000151">
      <w:pPr>
        <w:spacing w:line="240" w:lineRule="auto"/>
        <w:rPr>
          <w:sz w:val="20"/>
          <w:szCs w:val="20"/>
        </w:rPr>
      </w:pPr>
      <w:r w:rsidDel="00000000" w:rsidR="00000000" w:rsidRPr="00000000">
        <w:rPr>
          <w:rtl w:val="0"/>
        </w:rPr>
      </w:r>
    </w:p>
  </w:footnote>
  <w:footnote w:id="40">
    <w:p w:rsidR="00000000" w:rsidDel="00000000" w:rsidP="00000000" w:rsidRDefault="00000000" w:rsidRPr="00000000" w14:paraId="000001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Análisis del sesgo político en la distribución de centros de validación del 20% que anunció el CNE.</w:t>
      </w:r>
    </w:p>
    <w:p w:rsidR="00000000" w:rsidDel="00000000" w:rsidP="00000000" w:rsidRDefault="00000000" w:rsidRPr="00000000" w14:paraId="00000153">
      <w:pPr>
        <w:spacing w:line="240" w:lineRule="auto"/>
        <w:rPr>
          <w:sz w:val="20"/>
          <w:szCs w:val="20"/>
        </w:rPr>
      </w:pPr>
      <w:r w:rsidDel="00000000" w:rsidR="00000000" w:rsidRPr="00000000">
        <w:rPr>
          <w:sz w:val="20"/>
          <w:szCs w:val="20"/>
          <w:rtl w:val="0"/>
        </w:rPr>
        <w:t xml:space="preserve">Disponible en: </w:t>
      </w:r>
      <w:hyperlink r:id="rId4">
        <w:r w:rsidDel="00000000" w:rsidR="00000000" w:rsidRPr="00000000">
          <w:rPr>
            <w:color w:val="1155cc"/>
            <w:sz w:val="20"/>
            <w:szCs w:val="20"/>
            <w:u w:val="single"/>
            <w:rtl w:val="0"/>
          </w:rPr>
          <w:t xml:space="preserve">https://acortar.link/oKapql</w:t>
        </w:r>
      </w:hyperlink>
      <w:r w:rsidDel="00000000" w:rsidR="00000000" w:rsidRPr="00000000">
        <w:rPr>
          <w:rtl w:val="0"/>
        </w:rPr>
      </w:r>
    </w:p>
    <w:p w:rsidR="00000000" w:rsidDel="00000000" w:rsidP="00000000" w:rsidRDefault="00000000" w:rsidRPr="00000000" w14:paraId="00000154">
      <w:pPr>
        <w:spacing w:line="240" w:lineRule="auto"/>
        <w:rPr>
          <w:sz w:val="20"/>
          <w:szCs w:val="20"/>
        </w:rPr>
      </w:pPr>
      <w:r w:rsidDel="00000000" w:rsidR="00000000" w:rsidRPr="00000000">
        <w:rPr>
          <w:rtl w:val="0"/>
        </w:rPr>
      </w:r>
    </w:p>
  </w:footnote>
  <w:footnote w:id="41">
    <w:p w:rsidR="00000000" w:rsidDel="00000000" w:rsidP="00000000" w:rsidRDefault="00000000" w:rsidRPr="00000000" w14:paraId="000001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de seguimiento sobre la activación del Referendo Revocatorio del Mandato Presidencial, Disponible en: </w:t>
      </w:r>
      <w:hyperlink r:id="rId5">
        <w:r w:rsidDel="00000000" w:rsidR="00000000" w:rsidRPr="00000000">
          <w:rPr>
            <w:color w:val="1155cc"/>
            <w:sz w:val="20"/>
            <w:szCs w:val="20"/>
            <w:u w:val="single"/>
            <w:rtl w:val="0"/>
          </w:rPr>
          <w:t xml:space="preserve">https://acortar.link/JCHhAY</w:t>
        </w:r>
      </w:hyperlink>
      <w:r w:rsidDel="00000000" w:rsidR="00000000" w:rsidRPr="00000000">
        <w:rPr>
          <w:rtl w:val="0"/>
        </w:rPr>
      </w:r>
    </w:p>
    <w:p w:rsidR="00000000" w:rsidDel="00000000" w:rsidP="00000000" w:rsidRDefault="00000000" w:rsidRPr="00000000" w14:paraId="00000156">
      <w:pPr>
        <w:spacing w:line="240" w:lineRule="auto"/>
        <w:rPr>
          <w:sz w:val="20"/>
          <w:szCs w:val="20"/>
        </w:rPr>
      </w:pPr>
      <w:r w:rsidDel="00000000" w:rsidR="00000000" w:rsidRPr="00000000">
        <w:rPr>
          <w:rtl w:val="0"/>
        </w:rPr>
      </w:r>
    </w:p>
  </w:footnote>
  <w:footnote w:id="42">
    <w:p w:rsidR="00000000" w:rsidDel="00000000" w:rsidP="00000000" w:rsidRDefault="00000000" w:rsidRPr="00000000" w14:paraId="000001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41414"/>
          <w:sz w:val="20"/>
          <w:szCs w:val="20"/>
          <w:rtl w:val="0"/>
        </w:rPr>
        <w:t xml:space="preserve">El CNE de Venezuela anuncia nueva recolección de firmas en octubre y descarta referendo revocatorio contra Nicolás Maduro antes de 2017. Disponible:</w:t>
      </w:r>
      <w:hyperlink r:id="rId6">
        <w:r w:rsidDel="00000000" w:rsidR="00000000" w:rsidRPr="00000000">
          <w:rPr>
            <w:color w:val="1155cc"/>
            <w:sz w:val="20"/>
            <w:szCs w:val="20"/>
            <w:u w:val="single"/>
            <w:rtl w:val="0"/>
          </w:rPr>
          <w:t xml:space="preserve">https://acortar.link/HfVB5O</w:t>
        </w:r>
      </w:hyperlink>
      <w:r w:rsidDel="00000000" w:rsidR="00000000" w:rsidRPr="00000000">
        <w:rPr>
          <w:rtl w:val="0"/>
        </w:rPr>
      </w:r>
    </w:p>
    <w:p w:rsidR="00000000" w:rsidDel="00000000" w:rsidP="00000000" w:rsidRDefault="00000000" w:rsidRPr="00000000" w14:paraId="00000158">
      <w:pPr>
        <w:spacing w:line="240" w:lineRule="auto"/>
        <w:rPr>
          <w:sz w:val="20"/>
          <w:szCs w:val="20"/>
        </w:rPr>
      </w:pPr>
      <w:r w:rsidDel="00000000" w:rsidR="00000000" w:rsidRPr="00000000">
        <w:rPr>
          <w:rtl w:val="0"/>
        </w:rPr>
      </w:r>
    </w:p>
  </w:footnote>
  <w:footnote w:id="43">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fdfdfd"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141414"/>
          <w:sz w:val="20"/>
          <w:szCs w:val="20"/>
          <w:u w:val="none"/>
          <w:shd w:fill="auto" w:val="clear"/>
          <w:vertAlign w:val="baseline"/>
          <w:rtl w:val="0"/>
        </w:rPr>
        <w:t xml:space="preserve">Venezuela: el CNE paraliza el referendo revocatorio a Nicolás Maduro. Disponible 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hyperlink r:id="rId7">
        <w:r w:rsidDel="00000000" w:rsidR="00000000" w:rsidRPr="00000000">
          <w:rPr>
            <w:rFonts w:ascii="Arial" w:cs="Arial" w:eastAsia="Arial" w:hAnsi="Arial"/>
            <w:b w:val="0"/>
            <w:i w:val="0"/>
            <w:smallCaps w:val="0"/>
            <w:strike w:val="0"/>
            <w:color w:val="1155cc"/>
            <w:sz w:val="20"/>
            <w:szCs w:val="20"/>
            <w:u w:val="single"/>
            <w:shd w:fill="auto" w:val="clear"/>
            <w:vertAlign w:val="baseline"/>
            <w:rtl w:val="0"/>
          </w:rPr>
          <w:t xml:space="preserve">https://acortar.link/ntKMup</w:t>
        </w:r>
      </w:hyperlink>
      <w:r w:rsidDel="00000000" w:rsidR="00000000" w:rsidRPr="00000000">
        <w:rPr>
          <w:rtl w:val="0"/>
        </w:rPr>
      </w:r>
    </w:p>
    <w:p w:rsidR="00000000" w:rsidDel="00000000" w:rsidP="00000000" w:rsidRDefault="00000000" w:rsidRPr="00000000" w14:paraId="0000015A">
      <w:pPr>
        <w:spacing w:line="240" w:lineRule="auto"/>
        <w:rPr>
          <w:sz w:val="20"/>
          <w:szCs w:val="20"/>
        </w:rPr>
      </w:pPr>
      <w:r w:rsidDel="00000000" w:rsidR="00000000" w:rsidRPr="00000000">
        <w:rPr>
          <w:rtl w:val="0"/>
        </w:rPr>
      </w:r>
    </w:p>
  </w:footnote>
  <w:footnote w:id="30">
    <w:p w:rsidR="00000000" w:rsidDel="00000000" w:rsidP="00000000" w:rsidRDefault="00000000" w:rsidRPr="00000000" w14:paraId="0000015B">
      <w:pPr>
        <w:spacing w:line="240" w:lineRule="auto"/>
        <w:rPr>
          <w:color w:val="33333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75 de la LOPRE: “</w:t>
      </w:r>
      <w:r w:rsidDel="00000000" w:rsidR="00000000" w:rsidRPr="00000000">
        <w:rPr>
          <w:color w:val="333333"/>
          <w:sz w:val="20"/>
          <w:szCs w:val="20"/>
          <w:rtl w:val="0"/>
        </w:rPr>
        <w:t xml:space="preserve">No se permitirá la propaganda electoral que se produzca fuera del lapso de la campaña electoral establecido por el Consejo Nacional Electoral…”. Disponible en: https://acortar.link/VYvWWM</w:t>
      </w:r>
    </w:p>
    <w:p w:rsidR="00000000" w:rsidDel="00000000" w:rsidP="00000000" w:rsidRDefault="00000000" w:rsidRPr="00000000" w14:paraId="0000015C">
      <w:pPr>
        <w:spacing w:line="240" w:lineRule="auto"/>
        <w:rPr>
          <w:color w:val="333333"/>
          <w:sz w:val="20"/>
          <w:szCs w:val="20"/>
        </w:rPr>
      </w:pPr>
      <w:r w:rsidDel="00000000" w:rsidR="00000000" w:rsidRPr="00000000">
        <w:rPr>
          <w:rtl w:val="0"/>
        </w:rPr>
      </w:r>
    </w:p>
  </w:footnote>
  <w:footnote w:id="31">
    <w:p w:rsidR="00000000" w:rsidDel="00000000" w:rsidP="00000000" w:rsidRDefault="00000000" w:rsidRPr="00000000" w14:paraId="000001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 la LOPRE no se encuentra regulado la “pre campaña”. Disponible en: </w:t>
      </w:r>
      <w:hyperlink r:id="rId8">
        <w:r w:rsidDel="00000000" w:rsidR="00000000" w:rsidRPr="00000000">
          <w:rPr>
            <w:color w:val="1155cc"/>
            <w:sz w:val="20"/>
            <w:szCs w:val="20"/>
            <w:u w:val="single"/>
            <w:rtl w:val="0"/>
          </w:rPr>
          <w:t xml:space="preserve">https://acortar.link/VYvWWM</w:t>
        </w:r>
      </w:hyperlink>
      <w:r w:rsidDel="00000000" w:rsidR="00000000" w:rsidRPr="00000000">
        <w:rPr>
          <w:rtl w:val="0"/>
        </w:rPr>
      </w:r>
    </w:p>
    <w:p w:rsidR="00000000" w:rsidDel="00000000" w:rsidP="00000000" w:rsidRDefault="00000000" w:rsidRPr="00000000" w14:paraId="0000015E">
      <w:pPr>
        <w:spacing w:line="240" w:lineRule="auto"/>
        <w:rPr>
          <w:sz w:val="20"/>
          <w:szCs w:val="20"/>
        </w:rPr>
      </w:pPr>
      <w:r w:rsidDel="00000000" w:rsidR="00000000" w:rsidRPr="00000000">
        <w:rPr>
          <w:rtl w:val="0"/>
        </w:rPr>
      </w:r>
    </w:p>
  </w:footnote>
  <w:footnote w:id="32">
    <w:p w:rsidR="00000000" w:rsidDel="00000000" w:rsidP="00000000" w:rsidRDefault="00000000" w:rsidRPr="00000000" w14:paraId="000001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LOPRE. Disponible en:: </w:t>
      </w:r>
      <w:hyperlink r:id="rId9">
        <w:r w:rsidDel="00000000" w:rsidR="00000000" w:rsidRPr="00000000">
          <w:rPr>
            <w:color w:val="1155cc"/>
            <w:sz w:val="20"/>
            <w:szCs w:val="20"/>
            <w:u w:val="single"/>
            <w:rtl w:val="0"/>
          </w:rPr>
          <w:t xml:space="preserve">https://acortar.link/VYvWWM</w:t>
        </w:r>
      </w:hyperlink>
      <w:r w:rsidDel="00000000" w:rsidR="00000000" w:rsidRPr="00000000">
        <w:rPr>
          <w:rtl w:val="0"/>
        </w:rPr>
      </w:r>
    </w:p>
    <w:p w:rsidR="00000000" w:rsidDel="00000000" w:rsidP="00000000" w:rsidRDefault="00000000" w:rsidRPr="00000000" w14:paraId="00000160">
      <w:pPr>
        <w:spacing w:line="240" w:lineRule="auto"/>
        <w:rPr>
          <w:sz w:val="20"/>
          <w:szCs w:val="20"/>
        </w:rPr>
      </w:pPr>
      <w:r w:rsidDel="00000000" w:rsidR="00000000" w:rsidRPr="00000000">
        <w:rPr>
          <w:rtl w:val="0"/>
        </w:rPr>
      </w:r>
    </w:p>
  </w:footnote>
  <w:footnote w:id="54">
    <w:p w:rsidR="00000000" w:rsidDel="00000000" w:rsidP="00000000" w:rsidRDefault="00000000" w:rsidRPr="00000000" w14:paraId="000001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sobre corrupción 2017, Transparencia Venezuela. Véase en: </w:t>
      </w:r>
      <w:hyperlink r:id="rId10">
        <w:r w:rsidDel="00000000" w:rsidR="00000000" w:rsidRPr="00000000">
          <w:rPr>
            <w:color w:val="1155cc"/>
            <w:sz w:val="20"/>
            <w:szCs w:val="20"/>
            <w:u w:val="single"/>
            <w:rtl w:val="0"/>
          </w:rPr>
          <w:t xml:space="preserve">https://acortar.link/vgQZxv</w:t>
        </w:r>
      </w:hyperlink>
      <w:r w:rsidDel="00000000" w:rsidR="00000000" w:rsidRPr="00000000">
        <w:rPr>
          <w:rtl w:val="0"/>
        </w:rPr>
      </w:r>
    </w:p>
    <w:p w:rsidR="00000000" w:rsidDel="00000000" w:rsidP="00000000" w:rsidRDefault="00000000" w:rsidRPr="00000000" w14:paraId="00000162">
      <w:pPr>
        <w:spacing w:line="240" w:lineRule="auto"/>
        <w:rPr>
          <w:sz w:val="20"/>
          <w:szCs w:val="20"/>
        </w:rPr>
      </w:pPr>
      <w:r w:rsidDel="00000000" w:rsidR="00000000" w:rsidRPr="00000000">
        <w:rPr>
          <w:rtl w:val="0"/>
        </w:rPr>
      </w:r>
    </w:p>
  </w:footnote>
  <w:footnote w:id="55">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8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1fob9te" w:id="1"/>
      <w:bookmarkEnd w:id="1"/>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Cambio de 205 centros de votación afectaría a 312.000 electores. Disponible en: https://acortar.link/cr2Cz8</w:t>
      </w:r>
    </w:p>
  </w:footnote>
  <w:footnote w:id="56">
    <w:p w:rsidR="00000000" w:rsidDel="00000000" w:rsidP="00000000" w:rsidRDefault="00000000" w:rsidRPr="00000000" w14:paraId="000001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final de las elecciones regionales 2017, Observatorio Electoral Venezolano. Vease en: </w:t>
      </w:r>
      <w:hyperlink r:id="rId11">
        <w:r w:rsidDel="00000000" w:rsidR="00000000" w:rsidRPr="00000000">
          <w:rPr>
            <w:color w:val="1155cc"/>
            <w:sz w:val="20"/>
            <w:szCs w:val="20"/>
            <w:u w:val="single"/>
            <w:rtl w:val="0"/>
          </w:rPr>
          <w:t xml:space="preserve">https://acortar.link/mVUGKD</w:t>
        </w:r>
      </w:hyperlink>
      <w:r w:rsidDel="00000000" w:rsidR="00000000" w:rsidRPr="00000000">
        <w:rPr>
          <w:rtl w:val="0"/>
        </w:rPr>
      </w:r>
    </w:p>
    <w:p w:rsidR="00000000" w:rsidDel="00000000" w:rsidP="00000000" w:rsidRDefault="00000000" w:rsidRPr="00000000" w14:paraId="00000165">
      <w:pPr>
        <w:spacing w:line="240" w:lineRule="auto"/>
        <w:rPr>
          <w:sz w:val="20"/>
          <w:szCs w:val="20"/>
        </w:rPr>
      </w:pPr>
      <w:r w:rsidDel="00000000" w:rsidR="00000000" w:rsidRPr="00000000">
        <w:rPr>
          <w:rtl w:val="0"/>
        </w:rPr>
      </w:r>
    </w:p>
  </w:footnote>
  <w:footnote w:id="15">
    <w:p w:rsidR="00000000" w:rsidDel="00000000" w:rsidP="00000000" w:rsidRDefault="00000000" w:rsidRPr="00000000" w14:paraId="000001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Registro electoral débil, Observatorio Global de Comunicación y Democracia. Vease en: https://acortar.link/UflS6c</w:t>
      </w:r>
    </w:p>
    <w:p w:rsidR="00000000" w:rsidDel="00000000" w:rsidP="00000000" w:rsidRDefault="00000000" w:rsidRPr="00000000" w14:paraId="00000167">
      <w:pPr>
        <w:spacing w:line="240" w:lineRule="auto"/>
        <w:rPr>
          <w:sz w:val="20"/>
          <w:szCs w:val="20"/>
        </w:rPr>
      </w:pPr>
      <w:r w:rsidDel="00000000" w:rsidR="00000000" w:rsidRPr="00000000">
        <w:rPr>
          <w:rtl w:val="0"/>
        </w:rPr>
      </w:r>
    </w:p>
  </w:footnote>
  <w:footnote w:id="16">
    <w:p w:rsidR="00000000" w:rsidDel="00000000" w:rsidP="00000000" w:rsidRDefault="00000000" w:rsidRPr="00000000" w14:paraId="000001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CNE en deuda con los venezolanos en el extranjero, Observatorio Electoral Venezolano. Disponible en: </w:t>
      </w:r>
      <w:hyperlink r:id="rId12">
        <w:r w:rsidDel="00000000" w:rsidR="00000000" w:rsidRPr="00000000">
          <w:rPr>
            <w:color w:val="1155cc"/>
            <w:sz w:val="20"/>
            <w:szCs w:val="20"/>
            <w:u w:val="single"/>
            <w:rtl w:val="0"/>
          </w:rPr>
          <w:t xml:space="preserve">https://acortar.link/yt4Ggx</w:t>
        </w:r>
      </w:hyperlink>
      <w:r w:rsidDel="00000000" w:rsidR="00000000" w:rsidRPr="00000000">
        <w:rPr>
          <w:rtl w:val="0"/>
        </w:rPr>
      </w:r>
    </w:p>
    <w:p w:rsidR="00000000" w:rsidDel="00000000" w:rsidP="00000000" w:rsidRDefault="00000000" w:rsidRPr="00000000" w14:paraId="00000169">
      <w:pPr>
        <w:spacing w:line="240" w:lineRule="auto"/>
        <w:rPr>
          <w:sz w:val="20"/>
          <w:szCs w:val="20"/>
        </w:rPr>
      </w:pPr>
      <w:r w:rsidDel="00000000" w:rsidR="00000000" w:rsidRPr="00000000">
        <w:rPr>
          <w:rtl w:val="0"/>
        </w:rPr>
      </w:r>
    </w:p>
  </w:footnote>
  <w:footnote w:id="27">
    <w:p w:rsidR="00000000" w:rsidDel="00000000" w:rsidP="00000000" w:rsidRDefault="00000000" w:rsidRPr="00000000" w14:paraId="000001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f3a"/>
          <w:sz w:val="20"/>
          <w:szCs w:val="20"/>
          <w:rtl w:val="0"/>
        </w:rPr>
        <w:t xml:space="preserve">Capriles se despide de la gobernación que administró por casi una década. Disponible en: </w:t>
      </w:r>
      <w:hyperlink r:id="rId13">
        <w:r w:rsidDel="00000000" w:rsidR="00000000" w:rsidRPr="00000000">
          <w:rPr>
            <w:color w:val="1155cc"/>
            <w:sz w:val="20"/>
            <w:szCs w:val="20"/>
            <w:u w:val="single"/>
            <w:rtl w:val="0"/>
          </w:rPr>
          <w:t xml:space="preserve">https://acortar.link/0GZuBL</w:t>
        </w:r>
      </w:hyperlink>
      <w:r w:rsidDel="00000000" w:rsidR="00000000" w:rsidRPr="00000000">
        <w:rPr>
          <w:color w:val="222f3a"/>
          <w:sz w:val="20"/>
          <w:szCs w:val="20"/>
          <w:rtl w:val="0"/>
        </w:rPr>
        <w:t xml:space="preserve">  </w:t>
      </w:r>
      <w:r w:rsidDel="00000000" w:rsidR="00000000" w:rsidRPr="00000000">
        <w:rPr>
          <w:rtl w:val="0"/>
        </w:rPr>
      </w:r>
    </w:p>
  </w:footnote>
  <w:footnote w:id="29">
    <w:p w:rsidR="00000000" w:rsidDel="00000000" w:rsidP="00000000" w:rsidRDefault="00000000" w:rsidRPr="00000000" w14:paraId="000001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Maduro afirma qu no levantara las inhabilitaciones de candidatos de la oposicion. Disponible en: </w:t>
      </w:r>
    </w:p>
    <w:p w:rsidR="00000000" w:rsidDel="00000000" w:rsidP="00000000" w:rsidRDefault="00000000" w:rsidRPr="00000000" w14:paraId="0000016C">
      <w:pPr>
        <w:spacing w:line="240" w:lineRule="auto"/>
        <w:rPr>
          <w:sz w:val="20"/>
          <w:szCs w:val="20"/>
        </w:rPr>
      </w:pPr>
      <w:hyperlink r:id="rId14">
        <w:r w:rsidDel="00000000" w:rsidR="00000000" w:rsidRPr="00000000">
          <w:rPr>
            <w:color w:val="1155cc"/>
            <w:sz w:val="20"/>
            <w:szCs w:val="20"/>
            <w:u w:val="single"/>
            <w:rtl w:val="0"/>
          </w:rPr>
          <w:t xml:space="preserve">https://acortar.link/pHasju</w:t>
        </w:r>
      </w:hyperlink>
      <w:r w:rsidDel="00000000" w:rsidR="00000000" w:rsidRPr="00000000">
        <w:rPr>
          <w:rtl w:val="0"/>
        </w:rPr>
      </w:r>
    </w:p>
    <w:p w:rsidR="00000000" w:rsidDel="00000000" w:rsidP="00000000" w:rsidRDefault="00000000" w:rsidRPr="00000000" w14:paraId="0000016D">
      <w:pPr>
        <w:spacing w:line="240" w:lineRule="auto"/>
        <w:rPr>
          <w:sz w:val="20"/>
          <w:szCs w:val="20"/>
        </w:rPr>
      </w:pPr>
      <w:r w:rsidDel="00000000" w:rsidR="00000000" w:rsidRPr="00000000">
        <w:rPr>
          <w:rtl w:val="0"/>
        </w:rPr>
      </w:r>
    </w:p>
  </w:footnote>
  <w:footnote w:id="18">
    <w:p w:rsidR="00000000" w:rsidDel="00000000" w:rsidP="00000000" w:rsidRDefault="00000000" w:rsidRPr="00000000" w14:paraId="0000016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240" w:before="0" w:line="324.0000000000000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cp0juta97r7q" w:id="2"/>
      <w:bookmarkEnd w:id="2"/>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222f3a"/>
          <w:sz w:val="20"/>
          <w:szCs w:val="20"/>
          <w:u w:val="none"/>
          <w:shd w:fill="auto" w:val="clear"/>
          <w:vertAlign w:val="baseline"/>
          <w:rtl w:val="0"/>
        </w:rPr>
        <w:t xml:space="preserve">La “compleja” misión de inscribir a millones de electores en solo 24 oficinas del CNE en Venezuela.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Disponible en: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https://acortar.link/aktrwr</w:t>
      </w:r>
      <w:r w:rsidDel="00000000" w:rsidR="00000000" w:rsidRPr="00000000">
        <w:rPr>
          <w:rtl w:val="0"/>
        </w:rPr>
      </w:r>
    </w:p>
  </w:footnote>
  <w:footnote w:id="5">
    <w:p w:rsidR="00000000" w:rsidDel="00000000" w:rsidP="00000000" w:rsidRDefault="00000000" w:rsidRPr="00000000" w14:paraId="000001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 Estado de Excepción en Venezuela, Observatorio Venezolano de Justicia. Disponible en: https://acortar.link/VPrxvS</w:t>
      </w:r>
    </w:p>
    <w:p w:rsidR="00000000" w:rsidDel="00000000" w:rsidP="00000000" w:rsidRDefault="00000000" w:rsidRPr="00000000" w14:paraId="00000170">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1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Vidas detenidas, continúan las detenciones arbitrarias como herramienta de control y represión del gobierno, Amnistía Internacional. Disponible en:  https://acortar.link/tqUfHs</w:t>
      </w:r>
    </w:p>
  </w:footnote>
  <w:footnote w:id="3">
    <w:p w:rsidR="00000000" w:rsidDel="00000000" w:rsidP="00000000" w:rsidRDefault="00000000" w:rsidRPr="00000000" w14:paraId="00000172">
      <w:pPr>
        <w:spacing w:line="240" w:lineRule="auto"/>
        <w:rPr>
          <w:sz w:val="20"/>
          <w:szCs w:val="20"/>
        </w:rPr>
      </w:pPr>
      <w:r w:rsidDel="00000000" w:rsidR="00000000" w:rsidRPr="00000000">
        <w:rPr>
          <w:rStyle w:val="FootnoteReference"/>
          <w:vertAlign w:val="superscript"/>
        </w:rPr>
        <w:footnoteRef/>
      </w:r>
      <w:r w:rsidDel="00000000" w:rsidR="00000000" w:rsidRPr="00000000">
        <w:rPr>
          <w:b w:val="1"/>
          <w:color w:val="2e5da5"/>
          <w:sz w:val="20"/>
          <w:szCs w:val="20"/>
          <w:highlight w:val="white"/>
          <w:rtl w:val="0"/>
        </w:rPr>
        <w:t xml:space="preserve"> </w:t>
      </w:r>
      <w:r w:rsidDel="00000000" w:rsidR="00000000" w:rsidRPr="00000000">
        <w:rPr>
          <w:sz w:val="20"/>
          <w:szCs w:val="20"/>
          <w:highlight w:val="white"/>
          <w:rtl w:val="0"/>
        </w:rPr>
        <w:t xml:space="preserve">CNE aprobó resolución de paridad y alternabilidad de género en postulaciones a la AN.</w:t>
      </w:r>
      <w:r w:rsidDel="00000000" w:rsidR="00000000" w:rsidRPr="00000000">
        <w:rPr>
          <w:sz w:val="20"/>
          <w:szCs w:val="20"/>
          <w:rtl w:val="0"/>
        </w:rPr>
        <w:t xml:space="preserve"> Disponible en: </w:t>
      </w:r>
      <w:hyperlink r:id="rId15">
        <w:r w:rsidDel="00000000" w:rsidR="00000000" w:rsidRPr="00000000">
          <w:rPr>
            <w:color w:val="1155cc"/>
            <w:sz w:val="20"/>
            <w:szCs w:val="20"/>
            <w:u w:val="single"/>
            <w:rtl w:val="0"/>
          </w:rPr>
          <w:t xml:space="preserve">https://acortar.link/Yp4L3W</w:t>
        </w:r>
      </w:hyperlink>
      <w:r w:rsidDel="00000000" w:rsidR="00000000" w:rsidRPr="00000000">
        <w:rPr>
          <w:rtl w:val="0"/>
        </w:rPr>
      </w:r>
    </w:p>
    <w:p w:rsidR="00000000" w:rsidDel="00000000" w:rsidP="00000000" w:rsidRDefault="00000000" w:rsidRPr="00000000" w14:paraId="00000173">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1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Reglamento especial. Disponible en: https://acortar.link/43BLDF</w:t>
      </w:r>
    </w:p>
  </w:footnote>
  <w:footnote w:id="14">
    <w:p w:rsidR="00000000" w:rsidDel="00000000" w:rsidP="00000000" w:rsidRDefault="00000000" w:rsidRPr="00000000" w14:paraId="000001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Art.19 del Pacto Internacional de los Derechos Civiles y Políticos: “</w:t>
      </w:r>
      <w:r w:rsidDel="00000000" w:rsidR="00000000" w:rsidRPr="00000000">
        <w:rPr>
          <w:rFonts w:ascii="Roboto" w:cs="Roboto" w:eastAsia="Roboto" w:hAnsi="Roboto"/>
          <w:color w:val="4a4a4a"/>
          <w:sz w:val="27"/>
          <w:szCs w:val="27"/>
          <w:rtl w:val="0"/>
        </w:rPr>
        <w:t xml:space="preserve"> </w:t>
      </w:r>
      <w:r w:rsidDel="00000000" w:rsidR="00000000" w:rsidRPr="00000000">
        <w:rPr>
          <w:rFonts w:ascii="Roboto" w:cs="Roboto" w:eastAsia="Roboto" w:hAnsi="Roboto"/>
          <w:color w:val="4a4a4a"/>
          <w:sz w:val="20"/>
          <w:szCs w:val="20"/>
          <w:rtl w:val="0"/>
        </w:rPr>
        <w:t xml:space="preserve">Toda persona tiene derecho a la libertad de expresión; este derecho comprende la libertad de buscar, recibir y difundir informaciones e ideas de toda índole...°. Disponible en: </w:t>
      </w:r>
      <w:r w:rsidDel="00000000" w:rsidR="00000000" w:rsidRPr="00000000">
        <w:rPr>
          <w:sz w:val="20"/>
          <w:szCs w:val="20"/>
          <w:rtl w:val="0"/>
        </w:rPr>
        <w:t xml:space="preserve">https://acortar.link/0TvN1J </w:t>
      </w:r>
    </w:p>
    <w:p w:rsidR="00000000" w:rsidDel="00000000" w:rsidP="00000000" w:rsidRDefault="00000000" w:rsidRPr="00000000" w14:paraId="00000176">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1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Del Estado comunicador al Estado de los medios. Catorce años de hegemonía comunicacional en Venezuela. Disponible en: </w:t>
      </w:r>
      <w:hyperlink r:id="rId16">
        <w:r w:rsidDel="00000000" w:rsidR="00000000" w:rsidRPr="00000000">
          <w:rPr>
            <w:color w:val="1155cc"/>
            <w:sz w:val="20"/>
            <w:szCs w:val="20"/>
            <w:u w:val="single"/>
            <w:rtl w:val="0"/>
          </w:rPr>
          <w:t xml:space="preserve">https://acortar.link/558CpL</w:t>
        </w:r>
      </w:hyperlink>
      <w:r w:rsidDel="00000000" w:rsidR="00000000" w:rsidRPr="00000000">
        <w:rPr>
          <w:rtl w:val="0"/>
        </w:rPr>
      </w:r>
    </w:p>
    <w:p w:rsidR="00000000" w:rsidDel="00000000" w:rsidP="00000000" w:rsidRDefault="00000000" w:rsidRPr="00000000" w14:paraId="00000178">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1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Situación de la situación de la libertad de expresión, Espacio Público. Disponible en: </w:t>
      </w:r>
      <w:hyperlink r:id="rId17">
        <w:r w:rsidDel="00000000" w:rsidR="00000000" w:rsidRPr="00000000">
          <w:rPr>
            <w:color w:val="1155cc"/>
            <w:sz w:val="20"/>
            <w:szCs w:val="20"/>
            <w:u w:val="single"/>
            <w:rtl w:val="0"/>
          </w:rPr>
          <w:t xml:space="preserve">https://acortar.link/GzdelD</w:t>
        </w:r>
      </w:hyperlink>
      <w:r w:rsidDel="00000000" w:rsidR="00000000" w:rsidRPr="00000000">
        <w:rPr>
          <w:rtl w:val="0"/>
        </w:rPr>
      </w:r>
    </w:p>
    <w:p w:rsidR="00000000" w:rsidDel="00000000" w:rsidP="00000000" w:rsidRDefault="00000000" w:rsidRPr="00000000" w14:paraId="0000017A">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1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2016: Una violacion de la libertad de expresión por día, Espacio Público. Disponible en: </w:t>
      </w:r>
      <w:hyperlink r:id="rId18">
        <w:r w:rsidDel="00000000" w:rsidR="00000000" w:rsidRPr="00000000">
          <w:rPr>
            <w:color w:val="1155cc"/>
            <w:sz w:val="20"/>
            <w:szCs w:val="20"/>
            <w:u w:val="single"/>
            <w:rtl w:val="0"/>
          </w:rPr>
          <w:t xml:space="preserve">https://acortar.link/3PPicJ</w:t>
        </w:r>
      </w:hyperlink>
      <w:r w:rsidDel="00000000" w:rsidR="00000000" w:rsidRPr="00000000">
        <w:rPr>
          <w:rtl w:val="0"/>
        </w:rPr>
      </w:r>
    </w:p>
    <w:p w:rsidR="00000000" w:rsidDel="00000000" w:rsidP="00000000" w:rsidRDefault="00000000" w:rsidRPr="00000000" w14:paraId="0000017C">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1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Ley Contra el Odio. Disponible en: </w:t>
      </w:r>
      <w:hyperlink r:id="rId19">
        <w:r w:rsidDel="00000000" w:rsidR="00000000" w:rsidRPr="00000000">
          <w:rPr>
            <w:color w:val="1155cc"/>
            <w:sz w:val="20"/>
            <w:szCs w:val="20"/>
            <w:u w:val="single"/>
            <w:rtl w:val="0"/>
          </w:rPr>
          <w:t xml:space="preserve">https://acortar.link/CUea5K</w:t>
        </w:r>
      </w:hyperlink>
      <w:r w:rsidDel="00000000" w:rsidR="00000000" w:rsidRPr="00000000">
        <w:rPr>
          <w:rtl w:val="0"/>
        </w:rPr>
      </w:r>
    </w:p>
    <w:p w:rsidR="00000000" w:rsidDel="00000000" w:rsidP="00000000" w:rsidRDefault="00000000" w:rsidRPr="00000000" w14:paraId="0000017E">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1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Libertad de expresión en Venezuela. Disponible en: </w:t>
      </w:r>
      <w:hyperlink r:id="rId20">
        <w:r w:rsidDel="00000000" w:rsidR="00000000" w:rsidRPr="00000000">
          <w:rPr>
            <w:color w:val="1155cc"/>
            <w:sz w:val="20"/>
            <w:szCs w:val="20"/>
            <w:u w:val="single"/>
            <w:rtl w:val="0"/>
          </w:rPr>
          <w:t xml:space="preserve">https://acortar.link/gHSyPy</w:t>
        </w:r>
      </w:hyperlink>
      <w:r w:rsidDel="00000000" w:rsidR="00000000" w:rsidRPr="00000000">
        <w:rPr>
          <w:rtl w:val="0"/>
        </w:rPr>
      </w:r>
    </w:p>
    <w:p w:rsidR="00000000" w:rsidDel="00000000" w:rsidP="00000000" w:rsidRDefault="00000000" w:rsidRPr="00000000" w14:paraId="00000180">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1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Espacio Público registra 261 violaciones a la libertad de expresión. Disponible en: </w:t>
      </w:r>
      <w:hyperlink r:id="rId21">
        <w:r w:rsidDel="00000000" w:rsidR="00000000" w:rsidRPr="00000000">
          <w:rPr>
            <w:color w:val="1155cc"/>
            <w:sz w:val="20"/>
            <w:szCs w:val="20"/>
            <w:u w:val="single"/>
            <w:rtl w:val="0"/>
          </w:rPr>
          <w:t xml:space="preserve">https://acortar.link/nkJDW0</w:t>
        </w:r>
      </w:hyperlink>
      <w:r w:rsidDel="00000000" w:rsidR="00000000" w:rsidRPr="00000000">
        <w:rPr>
          <w:rtl w:val="0"/>
        </w:rPr>
      </w:r>
    </w:p>
    <w:p w:rsidR="00000000" w:rsidDel="00000000" w:rsidP="00000000" w:rsidRDefault="00000000" w:rsidRPr="00000000" w14:paraId="00000182">
      <w:pPr>
        <w:spacing w:line="240" w:lineRule="auto"/>
        <w:rPr>
          <w:sz w:val="20"/>
          <w:szCs w:val="20"/>
        </w:rPr>
      </w:pPr>
      <w:r w:rsidDel="00000000" w:rsidR="00000000" w:rsidRPr="00000000">
        <w:rPr>
          <w:rtl w:val="0"/>
        </w:rPr>
      </w:r>
    </w:p>
  </w:footnote>
  <w:footnote w:id="44">
    <w:p w:rsidR="00000000" w:rsidDel="00000000" w:rsidP="00000000" w:rsidRDefault="00000000" w:rsidRPr="00000000" w14:paraId="00000183">
      <w:pPr>
        <w:spacing w:line="240" w:lineRule="auto"/>
        <w:rPr>
          <w:color w:val="666666"/>
          <w:sz w:val="21"/>
          <w:szCs w:val="21"/>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Carta Democrática Interamericana.  Disponible en: </w:t>
      </w:r>
      <w:r w:rsidDel="00000000" w:rsidR="00000000" w:rsidRPr="00000000">
        <w:rPr>
          <w:color w:val="666666"/>
          <w:sz w:val="21"/>
          <w:szCs w:val="21"/>
          <w:highlight w:val="white"/>
          <w:rtl w:val="0"/>
        </w:rPr>
        <w:t xml:space="preserve"> https://acortar.link/0ZgJ1x</w:t>
      </w:r>
    </w:p>
    <w:p w:rsidR="00000000" w:rsidDel="00000000" w:rsidP="00000000" w:rsidRDefault="00000000" w:rsidRPr="00000000" w14:paraId="00000184">
      <w:pPr>
        <w:spacing w:line="240" w:lineRule="auto"/>
        <w:rPr>
          <w:color w:val="666666"/>
          <w:sz w:val="21"/>
          <w:szCs w:val="21"/>
          <w:highlight w:val="white"/>
        </w:rPr>
      </w:pPr>
      <w:r w:rsidDel="00000000" w:rsidR="00000000" w:rsidRPr="00000000">
        <w:rPr>
          <w:rtl w:val="0"/>
        </w:rPr>
      </w:r>
    </w:p>
  </w:footnote>
  <w:footnote w:id="45">
    <w:p w:rsidR="00000000" w:rsidDel="00000000" w:rsidP="00000000" w:rsidRDefault="00000000" w:rsidRPr="00000000" w14:paraId="000001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Recurso de Nulidad Interpuesto. Disponible en: </w:t>
      </w:r>
      <w:hyperlink r:id="rId22">
        <w:r w:rsidDel="00000000" w:rsidR="00000000" w:rsidRPr="00000000">
          <w:rPr>
            <w:color w:val="1155cc"/>
            <w:sz w:val="20"/>
            <w:szCs w:val="20"/>
            <w:u w:val="single"/>
            <w:rtl w:val="0"/>
          </w:rPr>
          <w:t xml:space="preserve">https://acortar.link/cEtIUe</w:t>
        </w:r>
      </w:hyperlink>
      <w:r w:rsidDel="00000000" w:rsidR="00000000" w:rsidRPr="00000000">
        <w:rPr>
          <w:rtl w:val="0"/>
        </w:rPr>
      </w:r>
    </w:p>
    <w:p w:rsidR="00000000" w:rsidDel="00000000" w:rsidP="00000000" w:rsidRDefault="00000000" w:rsidRPr="00000000" w14:paraId="00000186">
      <w:pPr>
        <w:spacing w:line="240" w:lineRule="auto"/>
        <w:rPr>
          <w:sz w:val="20"/>
          <w:szCs w:val="20"/>
        </w:rPr>
      </w:pPr>
      <w:r w:rsidDel="00000000" w:rsidR="00000000" w:rsidRPr="00000000">
        <w:rPr>
          <w:rtl w:val="0"/>
        </w:rPr>
      </w:r>
    </w:p>
  </w:footnote>
  <w:footnote w:id="46">
    <w:p w:rsidR="00000000" w:rsidDel="00000000" w:rsidP="00000000" w:rsidRDefault="00000000" w:rsidRPr="00000000" w14:paraId="000001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w:t>
      </w:r>
      <w:hyperlink r:id="rId23">
        <w:r w:rsidDel="00000000" w:rsidR="00000000" w:rsidRPr="00000000">
          <w:rPr>
            <w:sz w:val="20"/>
            <w:szCs w:val="20"/>
            <w:rtl w:val="0"/>
          </w:rPr>
          <w:t xml:space="preserve">nálisis de las Sentencias 155 y 156 de la Sala Constitucional del Tribunal Supremo de Justicia de Venezuela, sus efectos y respuesta</w:t>
        </w:r>
      </w:hyperlink>
      <w:r w:rsidDel="00000000" w:rsidR="00000000" w:rsidRPr="00000000">
        <w:rPr>
          <w:sz w:val="20"/>
          <w:szCs w:val="20"/>
          <w:rtl w:val="0"/>
        </w:rPr>
        <w:t xml:space="preserve">. Disponible en: </w:t>
      </w:r>
      <w:hyperlink r:id="rId24">
        <w:r w:rsidDel="00000000" w:rsidR="00000000" w:rsidRPr="00000000">
          <w:rPr>
            <w:color w:val="1155cc"/>
            <w:sz w:val="20"/>
            <w:szCs w:val="20"/>
            <w:u w:val="single"/>
            <w:rtl w:val="0"/>
          </w:rPr>
          <w:t xml:space="preserve">https://acortar.link/37ano0</w:t>
        </w:r>
      </w:hyperlink>
      <w:r w:rsidDel="00000000" w:rsidR="00000000" w:rsidRPr="00000000">
        <w:rPr>
          <w:rtl w:val="0"/>
        </w:rPr>
      </w:r>
    </w:p>
    <w:p w:rsidR="00000000" w:rsidDel="00000000" w:rsidP="00000000" w:rsidRDefault="00000000" w:rsidRPr="00000000" w14:paraId="00000188">
      <w:pPr>
        <w:spacing w:line="240" w:lineRule="auto"/>
        <w:rPr>
          <w:sz w:val="20"/>
          <w:szCs w:val="20"/>
        </w:rPr>
      </w:pPr>
      <w:r w:rsidDel="00000000" w:rsidR="00000000" w:rsidRPr="00000000">
        <w:rPr>
          <w:rtl w:val="0"/>
        </w:rPr>
      </w:r>
    </w:p>
  </w:footnote>
  <w:footnote w:id="47">
    <w:p w:rsidR="00000000" w:rsidDel="00000000" w:rsidP="00000000" w:rsidRDefault="00000000" w:rsidRPr="00000000" w14:paraId="000001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348 de la CRBV “.8. La iniciativa de convocatoria a la Asamblea Nacional Constituyente podrán tomarla el Presidente o Presidenta de la República en Consejo de Ministros…”;  Disponible en: </w:t>
      </w:r>
      <w:hyperlink r:id="rId25">
        <w:r w:rsidDel="00000000" w:rsidR="00000000" w:rsidRPr="00000000">
          <w:rPr>
            <w:color w:val="1155cc"/>
            <w:sz w:val="20"/>
            <w:szCs w:val="20"/>
            <w:u w:val="single"/>
            <w:rtl w:val="0"/>
          </w:rPr>
          <w:t xml:space="preserve">https://acortar.link/sCT0P4</w:t>
        </w:r>
      </w:hyperlink>
      <w:r w:rsidDel="00000000" w:rsidR="00000000" w:rsidRPr="00000000">
        <w:rPr>
          <w:rtl w:val="0"/>
        </w:rPr>
      </w:r>
    </w:p>
    <w:p w:rsidR="00000000" w:rsidDel="00000000" w:rsidP="00000000" w:rsidRDefault="00000000" w:rsidRPr="00000000" w14:paraId="0000018A">
      <w:pPr>
        <w:spacing w:line="240" w:lineRule="auto"/>
        <w:rPr>
          <w:sz w:val="20"/>
          <w:szCs w:val="20"/>
        </w:rPr>
      </w:pPr>
      <w:r w:rsidDel="00000000" w:rsidR="00000000" w:rsidRPr="00000000">
        <w:rPr>
          <w:rtl w:val="0"/>
        </w:rPr>
      </w:r>
    </w:p>
  </w:footnote>
  <w:footnote w:id="48">
    <w:p w:rsidR="00000000" w:rsidDel="00000000" w:rsidP="00000000" w:rsidRDefault="00000000" w:rsidRPr="00000000" w14:paraId="000001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347 de la CRBV: “El pueblo de Venezuela es el depositario del poder constituyente originario. En ejercicio de dicho poder, puede convocar una Asamblea Nacional Constituyente”. Disponible en: </w:t>
      </w:r>
      <w:hyperlink r:id="rId26">
        <w:r w:rsidDel="00000000" w:rsidR="00000000" w:rsidRPr="00000000">
          <w:rPr>
            <w:color w:val="1155cc"/>
            <w:sz w:val="20"/>
            <w:szCs w:val="20"/>
            <w:u w:val="single"/>
            <w:rtl w:val="0"/>
          </w:rPr>
          <w:t xml:space="preserve">https://acortar.link/sCT0P4</w:t>
        </w:r>
      </w:hyperlink>
      <w:r w:rsidDel="00000000" w:rsidR="00000000" w:rsidRPr="00000000">
        <w:rPr>
          <w:rtl w:val="0"/>
        </w:rPr>
      </w:r>
    </w:p>
    <w:p w:rsidR="00000000" w:rsidDel="00000000" w:rsidP="00000000" w:rsidRDefault="00000000" w:rsidRPr="00000000" w14:paraId="0000018C">
      <w:pPr>
        <w:spacing w:line="240" w:lineRule="auto"/>
        <w:rPr>
          <w:sz w:val="20"/>
          <w:szCs w:val="20"/>
        </w:rPr>
      </w:pPr>
      <w:r w:rsidDel="00000000" w:rsidR="00000000" w:rsidRPr="00000000">
        <w:rPr>
          <w:rtl w:val="0"/>
        </w:rPr>
      </w:r>
    </w:p>
  </w:footnote>
  <w:footnote w:id="49">
    <w:p w:rsidR="00000000" w:rsidDel="00000000" w:rsidP="00000000" w:rsidRDefault="00000000" w:rsidRPr="00000000" w14:paraId="000001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 Rec desconoce y rechaza a los resultados anunciados por el CNE el 30 de julio, Red de activistas ciudadanos por los DDHH, Disponible en: </w:t>
      </w:r>
      <w:hyperlink r:id="rId27">
        <w:r w:rsidDel="00000000" w:rsidR="00000000" w:rsidRPr="00000000">
          <w:rPr>
            <w:color w:val="1155cc"/>
            <w:sz w:val="20"/>
            <w:szCs w:val="20"/>
            <w:u w:val="single"/>
            <w:rtl w:val="0"/>
          </w:rPr>
          <w:t xml:space="preserve">https://acortar.link/JAYV8V</w:t>
        </w:r>
      </w:hyperlink>
      <w:r w:rsidDel="00000000" w:rsidR="00000000" w:rsidRPr="00000000">
        <w:rPr>
          <w:rtl w:val="0"/>
        </w:rPr>
      </w:r>
    </w:p>
    <w:p w:rsidR="00000000" w:rsidDel="00000000" w:rsidP="00000000" w:rsidRDefault="00000000" w:rsidRPr="00000000" w14:paraId="0000018E">
      <w:pPr>
        <w:spacing w:line="240" w:lineRule="auto"/>
        <w:rPr>
          <w:sz w:val="20"/>
          <w:szCs w:val="20"/>
        </w:rPr>
      </w:pPr>
      <w:r w:rsidDel="00000000" w:rsidR="00000000" w:rsidRPr="00000000">
        <w:rPr>
          <w:rtl w:val="0"/>
        </w:rPr>
      </w:r>
    </w:p>
  </w:footnote>
  <w:footnote w:id="50">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88"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3"/>
      <w:bookmarkEnd w:id="3"/>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111111"/>
          <w:sz w:val="20"/>
          <w:szCs w:val="20"/>
          <w:u w:val="none"/>
          <w:shd w:fill="auto" w:val="clear"/>
          <w:vertAlign w:val="baseline"/>
          <w:rtl w:val="0"/>
        </w:rPr>
        <w:t xml:space="preserve"> Smartmatic demandó a Venezuela por presunto fraude electoral y expropiación de máquinas. Disponible 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hyperlink r:id="rId28">
        <w:r w:rsidDel="00000000" w:rsidR="00000000" w:rsidRPr="00000000">
          <w:rPr>
            <w:rFonts w:ascii="Arial" w:cs="Arial" w:eastAsia="Arial" w:hAnsi="Arial"/>
            <w:b w:val="0"/>
            <w:i w:val="0"/>
            <w:smallCaps w:val="0"/>
            <w:strike w:val="0"/>
            <w:color w:val="1155cc"/>
            <w:sz w:val="20"/>
            <w:szCs w:val="20"/>
            <w:u w:val="single"/>
            <w:shd w:fill="auto" w:val="clear"/>
            <w:vertAlign w:val="baseline"/>
            <w:rtl w:val="0"/>
          </w:rPr>
          <w:t xml:space="preserve">https://acortar.link/fvjql1</w:t>
        </w:r>
      </w:hyperlink>
      <w:r w:rsidDel="00000000" w:rsidR="00000000" w:rsidRPr="00000000">
        <w:rPr>
          <w:rtl w:val="0"/>
        </w:rPr>
      </w:r>
    </w:p>
    <w:p w:rsidR="00000000" w:rsidDel="00000000" w:rsidP="00000000" w:rsidRDefault="00000000" w:rsidRPr="00000000" w14:paraId="00000190">
      <w:pPr>
        <w:spacing w:line="240" w:lineRule="auto"/>
        <w:rPr>
          <w:sz w:val="20"/>
          <w:szCs w:val="20"/>
        </w:rPr>
      </w:pPr>
      <w:r w:rsidDel="00000000" w:rsidR="00000000" w:rsidRPr="00000000">
        <w:rPr>
          <w:rtl w:val="0"/>
        </w:rPr>
      </w:r>
    </w:p>
  </w:footnote>
  <w:footnote w:id="51">
    <w:p w:rsidR="00000000" w:rsidDel="00000000" w:rsidP="00000000" w:rsidRDefault="00000000" w:rsidRPr="00000000" w14:paraId="00000191">
      <w:pPr>
        <w:spacing w:line="240" w:lineRule="auto"/>
        <w:rPr>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3"/>
          <w:szCs w:val="23"/>
          <w:highlight w:val="white"/>
          <w:rtl w:val="0"/>
        </w:rPr>
        <w:t xml:space="preserve"> </w:t>
      </w:r>
      <w:r w:rsidDel="00000000" w:rsidR="00000000" w:rsidRPr="00000000">
        <w:rPr>
          <w:sz w:val="20"/>
          <w:szCs w:val="20"/>
          <w:highlight w:val="white"/>
          <w:rtl w:val="0"/>
        </w:rPr>
        <w:t xml:space="preserve">Persecución Política en Venezuela, Sistematización de patrones de persecución a la disidencia política venezolana, CEPAZ. Disponible  en: </w:t>
      </w:r>
    </w:p>
    <w:p w:rsidR="00000000" w:rsidDel="00000000" w:rsidP="00000000" w:rsidRDefault="00000000" w:rsidRPr="00000000" w14:paraId="00000192">
      <w:pPr>
        <w:spacing w:line="240" w:lineRule="auto"/>
        <w:rPr>
          <w:sz w:val="20"/>
          <w:szCs w:val="20"/>
          <w:highlight w:val="white"/>
        </w:rPr>
      </w:pPr>
      <w:r w:rsidDel="00000000" w:rsidR="00000000" w:rsidRPr="00000000">
        <w:rPr>
          <w:rtl w:val="0"/>
        </w:rPr>
      </w:r>
    </w:p>
  </w:footnote>
  <w:footnote w:id="52">
    <w:p w:rsidR="00000000" w:rsidDel="00000000" w:rsidP="00000000" w:rsidRDefault="00000000" w:rsidRPr="00000000" w14:paraId="000001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Disponible en: </w:t>
      </w:r>
      <w:hyperlink r:id="rId29">
        <w:r w:rsidDel="00000000" w:rsidR="00000000" w:rsidRPr="00000000">
          <w:rPr>
            <w:color w:val="1155cc"/>
            <w:sz w:val="20"/>
            <w:szCs w:val="20"/>
            <w:u w:val="single"/>
            <w:rtl w:val="0"/>
          </w:rPr>
          <w:t xml:space="preserve">https://acortar.link/yqM7Se</w:t>
        </w:r>
      </w:hyperlink>
      <w:r w:rsidDel="00000000" w:rsidR="00000000" w:rsidRPr="00000000">
        <w:rPr>
          <w:rtl w:val="0"/>
        </w:rPr>
      </w:r>
    </w:p>
    <w:p w:rsidR="00000000" w:rsidDel="00000000" w:rsidP="00000000" w:rsidRDefault="00000000" w:rsidRPr="00000000" w14:paraId="00000194">
      <w:pPr>
        <w:spacing w:line="240" w:lineRule="auto"/>
        <w:rPr>
          <w:sz w:val="20"/>
          <w:szCs w:val="20"/>
        </w:rPr>
      </w:pPr>
      <w:r w:rsidDel="00000000" w:rsidR="00000000" w:rsidRPr="00000000">
        <w:rPr>
          <w:rtl w:val="0"/>
        </w:rPr>
      </w:r>
    </w:p>
  </w:footnote>
  <w:footnote w:id="53">
    <w:p w:rsidR="00000000" w:rsidDel="00000000" w:rsidP="00000000" w:rsidRDefault="00000000" w:rsidRPr="00000000" w14:paraId="000001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Connvencion Americana Sobre Derechos Humanos.</w:t>
      </w:r>
      <w:r w:rsidDel="00000000" w:rsidR="00000000" w:rsidRPr="00000000">
        <w:rPr>
          <w:b w:val="1"/>
          <w:sz w:val="20"/>
          <w:szCs w:val="20"/>
          <w:rtl w:val="0"/>
        </w:rPr>
        <w:t xml:space="preserve"> </w:t>
      </w:r>
      <w:r w:rsidDel="00000000" w:rsidR="00000000" w:rsidRPr="00000000">
        <w:rPr>
          <w:sz w:val="20"/>
          <w:szCs w:val="20"/>
          <w:rtl w:val="0"/>
        </w:rPr>
        <w:t xml:space="preserve">Disponible en: </w:t>
      </w:r>
      <w:hyperlink r:id="rId30">
        <w:r w:rsidDel="00000000" w:rsidR="00000000" w:rsidRPr="00000000">
          <w:rPr>
            <w:color w:val="1155cc"/>
            <w:sz w:val="20"/>
            <w:szCs w:val="20"/>
            <w:u w:val="single"/>
            <w:rtl w:val="0"/>
          </w:rPr>
          <w:t xml:space="preserve">https://acortar.link/evQVR9</w:t>
        </w:r>
      </w:hyperlink>
      <w:r w:rsidDel="00000000" w:rsidR="00000000" w:rsidRPr="00000000">
        <w:rPr>
          <w:rtl w:val="0"/>
        </w:rPr>
      </w:r>
    </w:p>
    <w:p w:rsidR="00000000" w:rsidDel="00000000" w:rsidP="00000000" w:rsidRDefault="00000000" w:rsidRPr="00000000" w14:paraId="00000196">
      <w:pPr>
        <w:spacing w:line="240" w:lineRule="auto"/>
        <w:rPr>
          <w:sz w:val="20"/>
          <w:szCs w:val="20"/>
        </w:rPr>
      </w:pPr>
      <w:r w:rsidDel="00000000" w:rsidR="00000000" w:rsidRPr="00000000">
        <w:rPr>
          <w:rtl w:val="0"/>
        </w:rPr>
      </w:r>
    </w:p>
  </w:footnote>
  <w:footnote w:id="35">
    <w:p w:rsidR="00000000" w:rsidDel="00000000" w:rsidP="00000000" w:rsidRDefault="00000000" w:rsidRPr="00000000" w14:paraId="000001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Sentencia 71. Disponible en: </w:t>
      </w:r>
      <w:hyperlink r:id="rId31">
        <w:r w:rsidDel="00000000" w:rsidR="00000000" w:rsidRPr="00000000">
          <w:rPr>
            <w:color w:val="1155cc"/>
            <w:sz w:val="20"/>
            <w:szCs w:val="20"/>
            <w:u w:val="single"/>
            <w:rtl w:val="0"/>
          </w:rPr>
          <w:t xml:space="preserve">https://acortar.link/EKttY8</w:t>
        </w:r>
      </w:hyperlink>
      <w:r w:rsidDel="00000000" w:rsidR="00000000" w:rsidRPr="00000000">
        <w:rPr>
          <w:rtl w:val="0"/>
        </w:rPr>
      </w:r>
    </w:p>
    <w:p w:rsidR="00000000" w:rsidDel="00000000" w:rsidP="00000000" w:rsidRDefault="00000000" w:rsidRPr="00000000" w14:paraId="00000198">
      <w:pPr>
        <w:spacing w:line="240" w:lineRule="auto"/>
        <w:rPr>
          <w:sz w:val="20"/>
          <w:szCs w:val="20"/>
        </w:rPr>
      </w:pPr>
      <w:r w:rsidDel="00000000" w:rsidR="00000000" w:rsidRPr="00000000">
        <w:rPr>
          <w:rtl w:val="0"/>
        </w:rPr>
      </w:r>
    </w:p>
  </w:footnote>
  <w:footnote w:id="36">
    <w:p w:rsidR="00000000" w:rsidDel="00000000" w:rsidP="00000000" w:rsidRDefault="00000000" w:rsidRPr="00000000" w14:paraId="000001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Sentencia 72. Disponible en: </w:t>
      </w:r>
      <w:hyperlink r:id="rId32">
        <w:r w:rsidDel="00000000" w:rsidR="00000000" w:rsidRPr="00000000">
          <w:rPr>
            <w:color w:val="1155cc"/>
            <w:sz w:val="20"/>
            <w:szCs w:val="20"/>
            <w:u w:val="single"/>
            <w:rtl w:val="0"/>
          </w:rPr>
          <w:t xml:space="preserve">https://acortar.link/BbmyMw</w:t>
        </w:r>
      </w:hyperlink>
      <w:r w:rsidDel="00000000" w:rsidR="00000000" w:rsidRPr="00000000">
        <w:rPr>
          <w:rtl w:val="0"/>
        </w:rPr>
      </w:r>
    </w:p>
    <w:p w:rsidR="00000000" w:rsidDel="00000000" w:rsidP="00000000" w:rsidRDefault="00000000" w:rsidRPr="00000000" w14:paraId="0000019A">
      <w:pPr>
        <w:spacing w:line="240" w:lineRule="auto"/>
        <w:rPr>
          <w:sz w:val="20"/>
          <w:szCs w:val="20"/>
        </w:rPr>
      </w:pPr>
      <w:r w:rsidDel="00000000" w:rsidR="00000000" w:rsidRPr="00000000">
        <w:rPr>
          <w:rtl w:val="0"/>
        </w:rPr>
      </w:r>
    </w:p>
  </w:footnote>
  <w:footnote w:id="38">
    <w:p w:rsidR="00000000" w:rsidDel="00000000" w:rsidP="00000000" w:rsidRDefault="00000000" w:rsidRPr="00000000" w14:paraId="000001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Elecciones Parlamentarias de Venezuela 6D 2020, REC y Foro Cívico. Disponible en: </w:t>
      </w:r>
      <w:hyperlink r:id="rId33">
        <w:r w:rsidDel="00000000" w:rsidR="00000000" w:rsidRPr="00000000">
          <w:rPr>
            <w:color w:val="1155cc"/>
            <w:sz w:val="20"/>
            <w:szCs w:val="20"/>
            <w:u w:val="single"/>
            <w:rtl w:val="0"/>
          </w:rPr>
          <w:t xml:space="preserve">https://acortar.link/tRh5uk</w:t>
        </w:r>
      </w:hyperlink>
      <w:r w:rsidDel="00000000" w:rsidR="00000000" w:rsidRPr="00000000">
        <w:rPr>
          <w:rtl w:val="0"/>
        </w:rPr>
      </w:r>
    </w:p>
    <w:p w:rsidR="00000000" w:rsidDel="00000000" w:rsidP="00000000" w:rsidRDefault="00000000" w:rsidRPr="00000000" w14:paraId="0000019C">
      <w:pPr>
        <w:spacing w:line="240" w:lineRule="auto"/>
        <w:rPr>
          <w:sz w:val="20"/>
          <w:szCs w:val="20"/>
        </w:rPr>
      </w:pPr>
      <w:r w:rsidDel="00000000" w:rsidR="00000000" w:rsidRPr="00000000">
        <w:rPr>
          <w:rtl w:val="0"/>
        </w:rPr>
      </w:r>
    </w:p>
  </w:footnote>
  <w:footnote w:id="23">
    <w:p w:rsidR="00000000" w:rsidDel="00000000" w:rsidP="00000000" w:rsidRDefault="00000000" w:rsidRPr="00000000" w14:paraId="000001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Nuevo Sistema Electoral para las Parlamentarias, Transparencia Venezuela. Vease en: </w:t>
      </w:r>
      <w:hyperlink r:id="rId34">
        <w:r w:rsidDel="00000000" w:rsidR="00000000" w:rsidRPr="00000000">
          <w:rPr>
            <w:color w:val="1155cc"/>
            <w:sz w:val="20"/>
            <w:szCs w:val="20"/>
            <w:u w:val="single"/>
            <w:rtl w:val="0"/>
          </w:rPr>
          <w:t xml:space="preserve">https://acortar.link/LedOiM</w:t>
        </w:r>
      </w:hyperlink>
      <w:r w:rsidDel="00000000" w:rsidR="00000000" w:rsidRPr="00000000">
        <w:rPr>
          <w:rtl w:val="0"/>
        </w:rPr>
      </w:r>
    </w:p>
    <w:p w:rsidR="00000000" w:rsidDel="00000000" w:rsidP="00000000" w:rsidRDefault="00000000" w:rsidRPr="00000000" w14:paraId="0000019E">
      <w:pPr>
        <w:spacing w:line="240" w:lineRule="auto"/>
        <w:rPr>
          <w:sz w:val="20"/>
          <w:szCs w:val="20"/>
        </w:rPr>
      </w:pPr>
      <w:r w:rsidDel="00000000" w:rsidR="00000000" w:rsidRPr="00000000">
        <w:rPr>
          <w:rtl w:val="0"/>
        </w:rPr>
      </w:r>
    </w:p>
  </w:footnote>
  <w:footnote w:id="57">
    <w:p w:rsidR="00000000" w:rsidDel="00000000" w:rsidP="00000000" w:rsidRDefault="00000000" w:rsidRPr="00000000" w14:paraId="000001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 designó a nuevos rectores del CNE. Disponible en: https://acortar.link/lj0OCR</w:t>
      </w:r>
    </w:p>
    <w:p w:rsidR="00000000" w:rsidDel="00000000" w:rsidP="00000000" w:rsidRDefault="00000000" w:rsidRPr="00000000" w14:paraId="000001A0">
      <w:pPr>
        <w:spacing w:line="240" w:lineRule="auto"/>
        <w:rPr>
          <w:sz w:val="20"/>
          <w:szCs w:val="20"/>
        </w:rPr>
      </w:pPr>
      <w:r w:rsidDel="00000000" w:rsidR="00000000" w:rsidRPr="00000000">
        <w:rPr>
          <w:rtl w:val="0"/>
        </w:rPr>
      </w:r>
    </w:p>
  </w:footnote>
  <w:footnote w:id="58">
    <w:p w:rsidR="00000000" w:rsidDel="00000000" w:rsidP="00000000" w:rsidRDefault="00000000" w:rsidRPr="00000000" w14:paraId="000001A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Disponible en: </w:t>
      </w:r>
      <w:hyperlink r:id="rId35">
        <w:r w:rsidDel="00000000" w:rsidR="00000000" w:rsidRPr="00000000">
          <w:rPr>
            <w:color w:val="1155cc"/>
            <w:sz w:val="20"/>
            <w:szCs w:val="20"/>
            <w:u w:val="single"/>
            <w:rtl w:val="0"/>
          </w:rPr>
          <w:t xml:space="preserve">https://acortar.link/eojbey</w:t>
        </w:r>
      </w:hyperlink>
      <w:r w:rsidDel="00000000" w:rsidR="00000000" w:rsidRPr="00000000">
        <w:rPr>
          <w:rtl w:val="0"/>
        </w:rPr>
      </w:r>
    </w:p>
    <w:p w:rsidR="00000000" w:rsidDel="00000000" w:rsidP="00000000" w:rsidRDefault="00000000" w:rsidRPr="00000000" w14:paraId="000001A2">
      <w:pPr>
        <w:spacing w:line="240" w:lineRule="auto"/>
        <w:rPr>
          <w:sz w:val="20"/>
          <w:szCs w:val="20"/>
        </w:rPr>
      </w:pPr>
      <w:r w:rsidDel="00000000" w:rsidR="00000000" w:rsidRPr="00000000">
        <w:rPr>
          <w:rtl w:val="0"/>
        </w:rPr>
      </w:r>
    </w:p>
  </w:footnote>
  <w:footnote w:id="59">
    <w:p w:rsidR="00000000" w:rsidDel="00000000" w:rsidP="00000000" w:rsidRDefault="00000000" w:rsidRPr="00000000" w14:paraId="000001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Ley Contra la corrupción. Disponible en: </w:t>
      </w:r>
      <w:hyperlink r:id="rId36">
        <w:r w:rsidDel="00000000" w:rsidR="00000000" w:rsidRPr="00000000">
          <w:rPr>
            <w:color w:val="1155cc"/>
            <w:sz w:val="20"/>
            <w:szCs w:val="20"/>
            <w:u w:val="single"/>
            <w:rtl w:val="0"/>
          </w:rPr>
          <w:t xml:space="preserve">https://acortar.link/p02WZZ</w:t>
        </w:r>
      </w:hyperlink>
      <w:r w:rsidDel="00000000" w:rsidR="00000000" w:rsidRPr="00000000">
        <w:rPr>
          <w:rtl w:val="0"/>
        </w:rPr>
      </w:r>
    </w:p>
    <w:p w:rsidR="00000000" w:rsidDel="00000000" w:rsidP="00000000" w:rsidRDefault="00000000" w:rsidRPr="00000000" w14:paraId="000001A4">
      <w:pPr>
        <w:spacing w:line="240" w:lineRule="auto"/>
        <w:rPr>
          <w:sz w:val="20"/>
          <w:szCs w:val="20"/>
        </w:rPr>
      </w:pPr>
      <w:r w:rsidDel="00000000" w:rsidR="00000000" w:rsidRPr="00000000">
        <w:rPr>
          <w:rtl w:val="0"/>
        </w:rPr>
      </w:r>
    </w:p>
  </w:footnote>
  <w:footnote w:id="39">
    <w:p w:rsidR="00000000" w:rsidDel="00000000" w:rsidP="00000000" w:rsidRDefault="00000000" w:rsidRPr="00000000" w14:paraId="000001A5">
      <w:pPr>
        <w:keepNext w:val="0"/>
        <w:keepLines w:val="0"/>
        <w:pageBreakBefore w:val="0"/>
        <w:widowControl w:val="1"/>
        <w:pBdr>
          <w:top w:color="000000" w:space="0" w:sz="0" w:val="none"/>
          <w:left w:color="000000" w:space="0" w:sz="0" w:val="none"/>
          <w:bottom w:color="000000" w:space="7" w:sz="0" w:val="none"/>
          <w:right w:color="000000" w:space="0" w:sz="0" w:val="none"/>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kdwonbfjczxt" w:id="4"/>
      <w:bookmarkEnd w:id="4"/>
      <w:r w:rsidDel="00000000" w:rsidR="00000000" w:rsidRPr="00000000">
        <w:rPr>
          <w:rStyle w:val="FootnoteReference"/>
          <w:vertAlign w:val="superscript"/>
        </w:rPr>
        <w:footnoteRef/>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PCV se suma a la lista de Partidos Políticos intervenidos por el TSJ. Disponible en: https://acortar.link/ZhC8fa</w:t>
      </w:r>
    </w:p>
  </w:footnote>
  <w:footnote w:id="0">
    <w:p w:rsidR="00000000" w:rsidDel="00000000" w:rsidP="00000000" w:rsidRDefault="00000000" w:rsidRPr="00000000" w14:paraId="000001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7">
        <w:r w:rsidDel="00000000" w:rsidR="00000000" w:rsidRPr="00000000">
          <w:rPr>
            <w:color w:val="1155cc"/>
            <w:sz w:val="20"/>
            <w:szCs w:val="20"/>
            <w:u w:val="single"/>
            <w:rtl w:val="0"/>
          </w:rPr>
          <w:t xml:space="preserve">https://cepaz.org/</w:t>
        </w:r>
      </w:hyperlink>
      <w:r w:rsidDel="00000000" w:rsidR="00000000" w:rsidRPr="00000000">
        <w:rPr>
          <w:rtl w:val="0"/>
        </w:rPr>
      </w:r>
    </w:p>
  </w:footnote>
  <w:footnote w:id="1">
    <w:p w:rsidR="00000000" w:rsidDel="00000000" w:rsidP="00000000" w:rsidRDefault="00000000" w:rsidRPr="00000000" w14:paraId="000001A7">
      <w:pPr>
        <w:spacing w:line="240" w:lineRule="auto"/>
        <w:rPr>
          <w:sz w:val="20"/>
          <w:szCs w:val="20"/>
        </w:rPr>
      </w:pPr>
      <w:r w:rsidDel="00000000" w:rsidR="00000000" w:rsidRPr="00000000">
        <w:rPr>
          <w:rStyle w:val="FootnoteReference"/>
          <w:vertAlign w:val="superscript"/>
        </w:rPr>
        <w:footnoteRef/>
      </w:r>
      <w:hyperlink r:id="rId38">
        <w:r w:rsidDel="00000000" w:rsidR="00000000" w:rsidRPr="00000000">
          <w:rPr>
            <w:color w:val="1155cc"/>
            <w:sz w:val="20"/>
            <w:szCs w:val="20"/>
            <w:u w:val="single"/>
            <w:rtl w:val="0"/>
          </w:rPr>
          <w:t xml:space="preserve"> https://www.observademocracia.org/</w:t>
        </w:r>
      </w:hyperlink>
      <w:r w:rsidDel="00000000" w:rsidR="00000000" w:rsidRPr="00000000">
        <w:rPr>
          <w:rtl w:val="0"/>
        </w:rPr>
      </w:r>
    </w:p>
  </w:footnote>
  <w:footnote w:id="2">
    <w:p w:rsidR="00000000" w:rsidDel="00000000" w:rsidP="00000000" w:rsidRDefault="00000000" w:rsidRPr="00000000" w14:paraId="000001A8">
      <w:pPr>
        <w:spacing w:line="240" w:lineRule="auto"/>
        <w:rPr>
          <w:sz w:val="20"/>
          <w:szCs w:val="20"/>
        </w:rPr>
      </w:pPr>
      <w:r w:rsidDel="00000000" w:rsidR="00000000" w:rsidRPr="00000000">
        <w:rPr>
          <w:rStyle w:val="FootnoteReference"/>
          <w:vertAlign w:val="superscript"/>
        </w:rPr>
        <w:footnoteRef/>
      </w:r>
      <w:hyperlink r:id="rId39">
        <w:r w:rsidDel="00000000" w:rsidR="00000000" w:rsidRPr="00000000">
          <w:rPr>
            <w:color w:val="1155cc"/>
            <w:sz w:val="20"/>
            <w:szCs w:val="20"/>
            <w:u w:val="single"/>
            <w:rtl w:val="0"/>
          </w:rPr>
          <w:t xml:space="preserve"> https://somosvotojoven.com/</w:t>
        </w:r>
      </w:hyperlink>
      <w:r w:rsidDel="00000000" w:rsidR="00000000" w:rsidRPr="00000000">
        <w:rPr>
          <w:rtl w:val="0"/>
        </w:rPr>
      </w:r>
    </w:p>
  </w:footnote>
  <w:footnote w:id="10">
    <w:p w:rsidR="00000000" w:rsidDel="00000000" w:rsidP="00000000" w:rsidRDefault="00000000" w:rsidRPr="00000000" w14:paraId="000001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Entrevista realizada por Espacio Público a Miguel González el 13/04/2016. Disponible en: </w:t>
      </w:r>
      <w:hyperlink r:id="rId40">
        <w:r w:rsidDel="00000000" w:rsidR="00000000" w:rsidRPr="00000000">
          <w:rPr>
            <w:sz w:val="20"/>
            <w:szCs w:val="20"/>
            <w:highlight w:val="white"/>
            <w:rtl w:val="0"/>
          </w:rPr>
          <w:t xml:space="preserve">http://goo.gl/B2Kobd</w:t>
        </w:r>
      </w:hyperlink>
      <w:r w:rsidDel="00000000" w:rsidR="00000000" w:rsidRPr="00000000">
        <w:rPr>
          <w:rtl w:val="0"/>
        </w:rPr>
      </w:r>
    </w:p>
  </w:footnote>
  <w:footnote w:id="17">
    <w:p w:rsidR="00000000" w:rsidDel="00000000" w:rsidP="00000000" w:rsidRDefault="00000000" w:rsidRPr="00000000" w14:paraId="000001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Oficina Regionales Electorales. </w:t>
      </w:r>
    </w:p>
    <w:p w:rsidR="00000000" w:rsidDel="00000000" w:rsidP="00000000" w:rsidRDefault="00000000" w:rsidRPr="00000000" w14:paraId="000001AB">
      <w:pPr>
        <w:spacing w:line="240" w:lineRule="auto"/>
        <w:rPr>
          <w:sz w:val="20"/>
          <w:szCs w:val="20"/>
        </w:rPr>
      </w:pPr>
      <w:r w:rsidDel="00000000" w:rsidR="00000000" w:rsidRPr="00000000">
        <w:rPr>
          <w:rtl w:val="0"/>
        </w:rPr>
      </w:r>
    </w:p>
  </w:footnote>
  <w:footnote w:id="28">
    <w:p w:rsidR="00000000" w:rsidDel="00000000" w:rsidP="00000000" w:rsidRDefault="00000000" w:rsidRPr="00000000" w14:paraId="000001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Inhabilitaciones, guerra avisada contra la oposición. Disponible en: </w:t>
      </w:r>
      <w:hyperlink r:id="rId41">
        <w:r w:rsidDel="00000000" w:rsidR="00000000" w:rsidRPr="00000000">
          <w:rPr>
            <w:color w:val="1155cc"/>
            <w:sz w:val="20"/>
            <w:szCs w:val="20"/>
            <w:u w:val="single"/>
            <w:rtl w:val="0"/>
          </w:rPr>
          <w:t xml:space="preserve">https://acortar.link/0xnZuy</w:t>
        </w:r>
      </w:hyperlink>
      <w:r w:rsidDel="00000000" w:rsidR="00000000" w:rsidRPr="00000000">
        <w:rPr>
          <w:rtl w:val="0"/>
        </w:rPr>
      </w:r>
    </w:p>
    <w:p w:rsidR="00000000" w:rsidDel="00000000" w:rsidP="00000000" w:rsidRDefault="00000000" w:rsidRPr="00000000" w14:paraId="000001AD">
      <w:pPr>
        <w:spacing w:line="240" w:lineRule="auto"/>
        <w:rPr>
          <w:sz w:val="20"/>
          <w:szCs w:val="20"/>
        </w:rPr>
      </w:pPr>
      <w:r w:rsidDel="00000000" w:rsidR="00000000" w:rsidRPr="00000000">
        <w:rPr>
          <w:rtl w:val="0"/>
        </w:rPr>
      </w:r>
    </w:p>
  </w:footnote>
  <w:footnote w:id="33">
    <w:p w:rsidR="00000000" w:rsidDel="00000000" w:rsidP="00000000" w:rsidRDefault="00000000" w:rsidRPr="00000000" w14:paraId="000001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final de la MOEUE 2021 VENEZUELA </w:t>
      </w:r>
      <w:hyperlink r:id="rId42">
        <w:r w:rsidDel="00000000" w:rsidR="00000000" w:rsidRPr="00000000">
          <w:rPr>
            <w:color w:val="1155cc"/>
            <w:sz w:val="20"/>
            <w:szCs w:val="20"/>
            <w:u w:val="single"/>
            <w:rtl w:val="0"/>
          </w:rPr>
          <w:t xml:space="preserve">https://www.eeas.europa.eu/eom-venezuela-2021/informe-final-moe-ue-venezuela-2021_es?s=4434</w:t>
        </w:r>
      </w:hyperlink>
      <w:r w:rsidDel="00000000" w:rsidR="00000000" w:rsidRPr="00000000">
        <w:rPr>
          <w:rtl w:val="0"/>
        </w:rPr>
      </w:r>
    </w:p>
  </w:footnote>
  <w:footnote w:id="37">
    <w:p w:rsidR="00000000" w:rsidDel="00000000" w:rsidP="00000000" w:rsidRDefault="00000000" w:rsidRPr="00000000" w14:paraId="000001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Sentencia 77. Disponible en: </w:t>
      </w:r>
      <w:hyperlink r:id="rId43">
        <w:r w:rsidDel="00000000" w:rsidR="00000000" w:rsidRPr="00000000">
          <w:rPr>
            <w:color w:val="1155cc"/>
            <w:sz w:val="20"/>
            <w:szCs w:val="20"/>
            <w:u w:val="single"/>
            <w:rtl w:val="0"/>
          </w:rPr>
          <w:t xml:space="preserve">https://acortar.link/sxE3Om</w:t>
        </w:r>
      </w:hyperlink>
      <w:r w:rsidDel="00000000" w:rsidR="00000000" w:rsidRPr="00000000">
        <w:rPr>
          <w:rtl w:val="0"/>
        </w:rPr>
      </w:r>
    </w:p>
    <w:p w:rsidR="00000000" w:rsidDel="00000000" w:rsidP="00000000" w:rsidRDefault="00000000" w:rsidRPr="00000000" w14:paraId="000001B0">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microsoft.com/office/2011/relationships/commentsExtended" Target="commentsExtended.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1.png"/><Relationship Id="rId15" Type="http://schemas.openxmlformats.org/officeDocument/2006/relationships/header" Target="header1.xml"/><Relationship Id="rId14" Type="http://schemas.openxmlformats.org/officeDocument/2006/relationships/hyperlink" Target="mailto:incidencia@cepaz.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goo.gl/B2Kobd" TargetMode="External"/><Relationship Id="rId20" Type="http://schemas.openxmlformats.org/officeDocument/2006/relationships/hyperlink" Target="https://acortar.link/gHSyPy" TargetMode="External"/><Relationship Id="rId42" Type="http://schemas.openxmlformats.org/officeDocument/2006/relationships/hyperlink" Target="https://www.eeas.europa.eu/eom-venezuela-2021/informe-final-moe-ue-venezuela-2021_es?s=4434" TargetMode="External"/><Relationship Id="rId41" Type="http://schemas.openxmlformats.org/officeDocument/2006/relationships/hyperlink" Target="https://acortar.link/0xnZuy" TargetMode="External"/><Relationship Id="rId22" Type="http://schemas.openxmlformats.org/officeDocument/2006/relationships/hyperlink" Target="https://acortar.link/cEtIUe" TargetMode="External"/><Relationship Id="rId21" Type="http://schemas.openxmlformats.org/officeDocument/2006/relationships/hyperlink" Target="https://acortar.link/nkJDW0" TargetMode="External"/><Relationship Id="rId43" Type="http://schemas.openxmlformats.org/officeDocument/2006/relationships/hyperlink" Target="https://acortar.link/sxE3Om" TargetMode="External"/><Relationship Id="rId24" Type="http://schemas.openxmlformats.org/officeDocument/2006/relationships/hyperlink" Target="https://acortar.link/37ano0" TargetMode="External"/><Relationship Id="rId23" Type="http://schemas.openxmlformats.org/officeDocument/2006/relationships/hyperlink" Target="https://blog-iacl-aidc.org/test-3/2018/5/26/anlisis-de-las-sentencias-155-y-156-de-la-sala-constitucional-del-tribunal-supremo-de-justicia-de-venezuela-sus-efectos-y-respuesta" TargetMode="External"/><Relationship Id="rId1" Type="http://schemas.openxmlformats.org/officeDocument/2006/relationships/hyperlink" Target="https://acortar.link/eLCCEP" TargetMode="External"/><Relationship Id="rId2" Type="http://schemas.openxmlformats.org/officeDocument/2006/relationships/hyperlink" Target="https://acortar.link/FasrCi" TargetMode="External"/><Relationship Id="rId3" Type="http://schemas.openxmlformats.org/officeDocument/2006/relationships/hyperlink" Target="https://acortar.link/HcT2O6" TargetMode="External"/><Relationship Id="rId4" Type="http://schemas.openxmlformats.org/officeDocument/2006/relationships/hyperlink" Target="https://acortar.link/oKapql" TargetMode="External"/><Relationship Id="rId9" Type="http://schemas.openxmlformats.org/officeDocument/2006/relationships/hyperlink" Target="https://acortar.link/VYvWWM" TargetMode="External"/><Relationship Id="rId26" Type="http://schemas.openxmlformats.org/officeDocument/2006/relationships/hyperlink" Target="https://acortar.link/sCT0P4" TargetMode="External"/><Relationship Id="rId25" Type="http://schemas.openxmlformats.org/officeDocument/2006/relationships/hyperlink" Target="https://acortar.link/sCT0P4" TargetMode="External"/><Relationship Id="rId28" Type="http://schemas.openxmlformats.org/officeDocument/2006/relationships/hyperlink" Target="https://acortar.link/fvjql1" TargetMode="External"/><Relationship Id="rId27" Type="http://schemas.openxmlformats.org/officeDocument/2006/relationships/hyperlink" Target="https://acortar.link/JAYV8V" TargetMode="External"/><Relationship Id="rId5" Type="http://schemas.openxmlformats.org/officeDocument/2006/relationships/hyperlink" Target="https://acortar.link/JCHhAY" TargetMode="External"/><Relationship Id="rId6" Type="http://schemas.openxmlformats.org/officeDocument/2006/relationships/hyperlink" Target="https://acortar.link/HfVB5O" TargetMode="External"/><Relationship Id="rId29" Type="http://schemas.openxmlformats.org/officeDocument/2006/relationships/hyperlink" Target="https://acortar.link/yqM7Se" TargetMode="External"/><Relationship Id="rId7" Type="http://schemas.openxmlformats.org/officeDocument/2006/relationships/hyperlink" Target="https://acortar.link/ntKMup" TargetMode="External"/><Relationship Id="rId8" Type="http://schemas.openxmlformats.org/officeDocument/2006/relationships/hyperlink" Target="https://acortar.link/VYvWWM" TargetMode="External"/><Relationship Id="rId31" Type="http://schemas.openxmlformats.org/officeDocument/2006/relationships/hyperlink" Target="https://acortar.link/EKttY8" TargetMode="External"/><Relationship Id="rId30" Type="http://schemas.openxmlformats.org/officeDocument/2006/relationships/hyperlink" Target="https://acortar.link/evQVR9" TargetMode="External"/><Relationship Id="rId11" Type="http://schemas.openxmlformats.org/officeDocument/2006/relationships/hyperlink" Target="https://acortar.link/mVUGKD" TargetMode="External"/><Relationship Id="rId33" Type="http://schemas.openxmlformats.org/officeDocument/2006/relationships/hyperlink" Target="https://acortar.link/tRh5uk" TargetMode="External"/><Relationship Id="rId10" Type="http://schemas.openxmlformats.org/officeDocument/2006/relationships/hyperlink" Target="https://acortar.link/vgQZxv" TargetMode="External"/><Relationship Id="rId32" Type="http://schemas.openxmlformats.org/officeDocument/2006/relationships/hyperlink" Target="https://acortar.link/BbmyMw" TargetMode="External"/><Relationship Id="rId13" Type="http://schemas.openxmlformats.org/officeDocument/2006/relationships/hyperlink" Target="https://acortar.link/0GZuBL" TargetMode="External"/><Relationship Id="rId35" Type="http://schemas.openxmlformats.org/officeDocument/2006/relationships/hyperlink" Target="https://acortar.link/eojbey" TargetMode="External"/><Relationship Id="rId12" Type="http://schemas.openxmlformats.org/officeDocument/2006/relationships/hyperlink" Target="https://acortar.link/yt4Ggx" TargetMode="External"/><Relationship Id="rId34" Type="http://schemas.openxmlformats.org/officeDocument/2006/relationships/hyperlink" Target="https://acortar.link/LedOiM" TargetMode="External"/><Relationship Id="rId15" Type="http://schemas.openxmlformats.org/officeDocument/2006/relationships/hyperlink" Target="https://acortar.link/Yp4L3W" TargetMode="External"/><Relationship Id="rId37" Type="http://schemas.openxmlformats.org/officeDocument/2006/relationships/hyperlink" Target="https://cepaz.org/" TargetMode="External"/><Relationship Id="rId14" Type="http://schemas.openxmlformats.org/officeDocument/2006/relationships/hyperlink" Target="https://acortar.link/pHasju" TargetMode="External"/><Relationship Id="rId36" Type="http://schemas.openxmlformats.org/officeDocument/2006/relationships/hyperlink" Target="https://acortar.link/p02WZZ" TargetMode="External"/><Relationship Id="rId17" Type="http://schemas.openxmlformats.org/officeDocument/2006/relationships/hyperlink" Target="https://acortar.link/GzdelD" TargetMode="External"/><Relationship Id="rId39" Type="http://schemas.openxmlformats.org/officeDocument/2006/relationships/hyperlink" Target="https://somosvotojoven.com/" TargetMode="External"/><Relationship Id="rId16" Type="http://schemas.openxmlformats.org/officeDocument/2006/relationships/hyperlink" Target="https://acortar.link/558CpL" TargetMode="External"/><Relationship Id="rId38" Type="http://schemas.openxmlformats.org/officeDocument/2006/relationships/hyperlink" Target="https://www.observademocracia.org/" TargetMode="External"/><Relationship Id="rId19" Type="http://schemas.openxmlformats.org/officeDocument/2006/relationships/hyperlink" Target="https://acortar.link/CUea5K" TargetMode="External"/><Relationship Id="rId18" Type="http://schemas.openxmlformats.org/officeDocument/2006/relationships/hyperlink" Target="https://acortar.link/3PPic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pHrBBj57/WEelOPSvfn1qNnUew==">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2023-09-05T13:02:00Z</dcterms:created>
</cp:coreProperties>
</file>