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949" w:rsidRPr="00A84CCB" w:rsidRDefault="00AA0949" w:rsidP="00A84CCB">
      <w:pPr>
        <w:jc w:val="center"/>
        <w:rPr>
          <w:b/>
          <w:color w:val="000000" w:themeColor="text1"/>
          <w:sz w:val="36"/>
          <w:lang w:val="en-GB"/>
        </w:rPr>
      </w:pPr>
      <w:bookmarkStart w:id="0" w:name="_Toc520596122"/>
      <w:bookmarkStart w:id="1" w:name="_GoBack"/>
      <w:bookmarkEnd w:id="1"/>
    </w:p>
    <w:p w:rsidR="00AA0949" w:rsidRPr="00A84CCB" w:rsidRDefault="00AA0949" w:rsidP="00A84CCB">
      <w:pPr>
        <w:jc w:val="center"/>
        <w:rPr>
          <w:b/>
          <w:color w:val="000000" w:themeColor="text1"/>
          <w:sz w:val="36"/>
          <w:lang w:val="en-GB"/>
        </w:rPr>
      </w:pPr>
    </w:p>
    <w:p w:rsidR="00AA0949" w:rsidRPr="00A84CCB" w:rsidRDefault="00AA0949" w:rsidP="00A84CCB">
      <w:pPr>
        <w:jc w:val="center"/>
        <w:rPr>
          <w:b/>
          <w:color w:val="000000" w:themeColor="text1"/>
          <w:sz w:val="36"/>
          <w:lang w:val="en-GB"/>
        </w:rPr>
      </w:pPr>
    </w:p>
    <w:p w:rsidR="00AA0949" w:rsidRPr="00A84CCB" w:rsidRDefault="00AA0949" w:rsidP="00A84CCB">
      <w:pPr>
        <w:jc w:val="center"/>
        <w:rPr>
          <w:b/>
          <w:color w:val="000000" w:themeColor="text1"/>
          <w:sz w:val="36"/>
          <w:lang w:val="en-GB"/>
        </w:rPr>
      </w:pPr>
      <w:r w:rsidRPr="00A84CCB">
        <w:rPr>
          <w:b/>
          <w:color w:val="000000" w:themeColor="text1"/>
          <w:sz w:val="36"/>
          <w:lang w:val="en-GB"/>
        </w:rPr>
        <w:t>Report on the Current Situation of Disabled Persons in TURKEY</w:t>
      </w:r>
    </w:p>
    <w:p w:rsidR="00AA0949" w:rsidRPr="00A84CCB" w:rsidRDefault="00AA0949" w:rsidP="00A84CCB">
      <w:pPr>
        <w:jc w:val="center"/>
        <w:rPr>
          <w:b/>
          <w:color w:val="000000" w:themeColor="text1"/>
          <w:sz w:val="36"/>
          <w:lang w:val="en-GB"/>
        </w:rPr>
      </w:pPr>
    </w:p>
    <w:p w:rsidR="00AA0949" w:rsidRPr="00A84CCB" w:rsidRDefault="00AA0949" w:rsidP="00A84CCB">
      <w:pPr>
        <w:jc w:val="center"/>
        <w:rPr>
          <w:b/>
          <w:color w:val="000000" w:themeColor="text1"/>
          <w:sz w:val="36"/>
          <w:lang w:val="en-GB"/>
        </w:rPr>
      </w:pPr>
    </w:p>
    <w:p w:rsidR="00AA0949" w:rsidRPr="00A84CCB" w:rsidRDefault="00AA0949" w:rsidP="00A84CCB">
      <w:pPr>
        <w:jc w:val="center"/>
        <w:rPr>
          <w:b/>
          <w:color w:val="000000" w:themeColor="text1"/>
          <w:sz w:val="36"/>
          <w:lang w:val="en-GB"/>
        </w:rPr>
      </w:pPr>
      <w:r w:rsidRPr="00A84CCB">
        <w:rPr>
          <w:b/>
          <w:color w:val="000000" w:themeColor="text1"/>
          <w:sz w:val="36"/>
          <w:lang w:val="en-GB"/>
        </w:rPr>
        <w:t>Submission to the United Nations Committee on the Rights of Persons with Disabilities (CRPD)</w:t>
      </w:r>
    </w:p>
    <w:p w:rsidR="00AA0949" w:rsidRPr="00A84CCB" w:rsidRDefault="00AA0949" w:rsidP="00A84CCB">
      <w:pPr>
        <w:jc w:val="center"/>
        <w:rPr>
          <w:b/>
          <w:color w:val="000000" w:themeColor="text1"/>
          <w:sz w:val="36"/>
          <w:lang w:val="en-GB"/>
        </w:rPr>
      </w:pPr>
    </w:p>
    <w:p w:rsidR="00AA0949" w:rsidRPr="00A84CCB" w:rsidRDefault="00AA0949" w:rsidP="00A84CCB">
      <w:pPr>
        <w:jc w:val="center"/>
        <w:rPr>
          <w:b/>
          <w:color w:val="000000" w:themeColor="text1"/>
          <w:sz w:val="36"/>
          <w:lang w:val="en-GB"/>
        </w:rPr>
      </w:pPr>
      <w:r w:rsidRPr="00A84CCB">
        <w:rPr>
          <w:b/>
          <w:color w:val="000000" w:themeColor="text1"/>
          <w:sz w:val="36"/>
          <w:lang w:val="en-GB"/>
        </w:rPr>
        <w:t>21 Session (11 Mar 2019 - 05 Apr 2019)</w:t>
      </w:r>
    </w:p>
    <w:p w:rsidR="00AA0949" w:rsidRPr="00A84CCB" w:rsidRDefault="00AA0949" w:rsidP="00A84CCB">
      <w:pPr>
        <w:rPr>
          <w:lang w:val="en-GB"/>
        </w:rPr>
      </w:pPr>
    </w:p>
    <w:p w:rsidR="00AA0949" w:rsidRPr="00A84CCB" w:rsidRDefault="00AA0949" w:rsidP="00A84CCB">
      <w:pPr>
        <w:rPr>
          <w:lang w:val="en-GB"/>
        </w:rPr>
      </w:pPr>
    </w:p>
    <w:p w:rsidR="00AA0949" w:rsidRPr="00A84CCB" w:rsidRDefault="00AA0949" w:rsidP="00A84CCB">
      <w:pPr>
        <w:jc w:val="center"/>
        <w:rPr>
          <w:b/>
          <w:lang w:val="en-GB"/>
        </w:rPr>
      </w:pPr>
      <w:r w:rsidRPr="00A84CCB">
        <w:rPr>
          <w:b/>
          <w:lang w:val="en-GB"/>
        </w:rPr>
        <w:lastRenderedPageBreak/>
        <w:t>This presentation was prepared by the following non-governmental organizations included in the Disability Rights Monitoring Group.</w:t>
      </w:r>
    </w:p>
    <w:p w:rsidR="00AA0949" w:rsidRPr="00A84CCB" w:rsidRDefault="00AA0949" w:rsidP="00A84CCB">
      <w:pPr>
        <w:rPr>
          <w:lang w:val="en-GB"/>
        </w:rPr>
      </w:pPr>
    </w:p>
    <w:p w:rsidR="00AA0949" w:rsidRPr="00A84CCB" w:rsidRDefault="00AA0949" w:rsidP="00A84CCB">
      <w:pPr>
        <w:rPr>
          <w:lang w:val="en-GB"/>
        </w:rPr>
      </w:pPr>
    </w:p>
    <w:p w:rsidR="00AA0949" w:rsidRPr="00A84CCB" w:rsidRDefault="00AA0949" w:rsidP="00A84CCB">
      <w:pPr>
        <w:rPr>
          <w:lang w:val="en-GB"/>
        </w:rPr>
      </w:pPr>
    </w:p>
    <w:p w:rsidR="00AA0949" w:rsidRPr="00A84CCB" w:rsidRDefault="00AA0949" w:rsidP="00A84CCB">
      <w:pPr>
        <w:jc w:val="center"/>
        <w:rPr>
          <w:lang w:val="en-GB"/>
        </w:rPr>
      </w:pPr>
      <w:r w:rsidRPr="00A84CCB">
        <w:rPr>
          <w:noProof/>
          <w:lang w:val="en-GB" w:eastAsia="en-GB"/>
        </w:rPr>
        <w:drawing>
          <wp:inline distT="0" distB="0" distL="0" distR="0" wp14:anchorId="576AB95D" wp14:editId="3455F975">
            <wp:extent cx="2895600" cy="1169475"/>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HI-LOGO (png).png"/>
                    <pic:cNvPicPr/>
                  </pic:nvPicPr>
                  <pic:blipFill>
                    <a:blip r:embed="rId8">
                      <a:extLst>
                        <a:ext uri="{28A0092B-C50C-407E-A947-70E740481C1C}">
                          <a14:useLocalDpi xmlns:a14="http://schemas.microsoft.com/office/drawing/2010/main" val="0"/>
                        </a:ext>
                      </a:extLst>
                    </a:blip>
                    <a:stretch>
                      <a:fillRect/>
                    </a:stretch>
                  </pic:blipFill>
                  <pic:spPr>
                    <a:xfrm>
                      <a:off x="0" y="0"/>
                      <a:ext cx="2906319" cy="1173804"/>
                    </a:xfrm>
                    <a:prstGeom prst="rect">
                      <a:avLst/>
                    </a:prstGeom>
                  </pic:spPr>
                </pic:pic>
              </a:graphicData>
            </a:graphic>
          </wp:inline>
        </w:drawing>
      </w:r>
    </w:p>
    <w:p w:rsidR="00AA0949" w:rsidRPr="00A84CCB" w:rsidRDefault="00AA0949" w:rsidP="00A84CCB">
      <w:pPr>
        <w:rPr>
          <w:lang w:val="en-GB"/>
        </w:rPr>
      </w:pPr>
    </w:p>
    <w:p w:rsidR="00AA0949" w:rsidRPr="00A84CCB" w:rsidRDefault="00AA0949" w:rsidP="00A84CCB">
      <w:pPr>
        <w:rPr>
          <w:lang w:val="en-GB"/>
        </w:rPr>
      </w:pPr>
      <w:r w:rsidRPr="00A84CCB">
        <w:rPr>
          <w:lang w:val="en-GB"/>
        </w:rPr>
        <w:br w:type="page"/>
      </w:r>
    </w:p>
    <w:p w:rsidR="00AA0949" w:rsidRPr="00A84CCB" w:rsidRDefault="00AA0949" w:rsidP="00A84CCB">
      <w:pPr>
        <w:rPr>
          <w:b/>
          <w:lang w:val="en-GB"/>
        </w:rPr>
      </w:pPr>
    </w:p>
    <w:p w:rsidR="00AA0949" w:rsidRPr="00A84CCB" w:rsidRDefault="00AA0949" w:rsidP="00A84CCB">
      <w:pPr>
        <w:rPr>
          <w:b/>
          <w:lang w:val="en-GB"/>
        </w:rPr>
      </w:pPr>
    </w:p>
    <w:p w:rsidR="00AA0949" w:rsidRPr="00A84CCB" w:rsidRDefault="00AA0949" w:rsidP="00A84CCB">
      <w:pPr>
        <w:rPr>
          <w:b/>
          <w:lang w:val="en-GB"/>
        </w:rPr>
      </w:pPr>
    </w:p>
    <w:p w:rsidR="00AA0949" w:rsidRPr="00A84CCB" w:rsidRDefault="00AA0949" w:rsidP="00A84CCB">
      <w:pPr>
        <w:rPr>
          <w:lang w:val="en-GB"/>
        </w:rPr>
      </w:pPr>
      <w:r w:rsidRPr="00A84CCB">
        <w:rPr>
          <w:b/>
          <w:lang w:val="en-GB"/>
        </w:rPr>
        <w:t>Coordinating NGOs:</w:t>
      </w:r>
      <w:r w:rsidRPr="00A84CCB">
        <w:rPr>
          <w:lang w:val="en-GB"/>
        </w:rPr>
        <w:t xml:space="preserve"> Social Rights and Research Society (TOHAD)</w:t>
      </w:r>
    </w:p>
    <w:p w:rsidR="00AA0949" w:rsidRPr="00A84CCB" w:rsidRDefault="00AA0949" w:rsidP="00A84CCB">
      <w:pPr>
        <w:rPr>
          <w:b/>
          <w:lang w:val="en-GB"/>
        </w:rPr>
      </w:pPr>
      <w:r w:rsidRPr="00A84CCB">
        <w:rPr>
          <w:b/>
          <w:lang w:val="en-GB"/>
        </w:rPr>
        <w:t>(TOHAD an accredited NGO of United Nations)</w:t>
      </w:r>
    </w:p>
    <w:p w:rsidR="00AA0949" w:rsidRPr="00A84CCB" w:rsidRDefault="00AA0949" w:rsidP="00A84CCB">
      <w:pPr>
        <w:rPr>
          <w:b/>
          <w:lang w:val="en-GB"/>
        </w:rPr>
      </w:pPr>
    </w:p>
    <w:p w:rsidR="00AA0949" w:rsidRPr="00A84CCB" w:rsidRDefault="00AA0949" w:rsidP="00A84CCB">
      <w:pPr>
        <w:rPr>
          <w:b/>
          <w:lang w:val="en-GB"/>
        </w:rPr>
      </w:pPr>
      <w:r w:rsidRPr="00A84CCB">
        <w:rPr>
          <w:b/>
          <w:lang w:val="en-GB"/>
        </w:rPr>
        <w:t>Participating NGOs:</w:t>
      </w:r>
    </w:p>
    <w:p w:rsidR="00AA0949" w:rsidRPr="00A84CCB" w:rsidRDefault="00AA0949" w:rsidP="00A84CCB">
      <w:pPr>
        <w:rPr>
          <w:lang w:val="en-GB"/>
        </w:rPr>
      </w:pPr>
      <w:r w:rsidRPr="00A84CCB">
        <w:rPr>
          <w:lang w:val="en-GB"/>
        </w:rPr>
        <w:t>Active Disabled People Association</w:t>
      </w:r>
    </w:p>
    <w:p w:rsidR="00AA0949" w:rsidRPr="00A84CCB" w:rsidRDefault="00AA0949" w:rsidP="00A84CCB">
      <w:pPr>
        <w:rPr>
          <w:lang w:val="en-GB"/>
        </w:rPr>
      </w:pPr>
      <w:r w:rsidRPr="00A84CCB">
        <w:rPr>
          <w:lang w:val="en-GB"/>
        </w:rPr>
        <w:t>Association of Barrier Free Access</w:t>
      </w:r>
    </w:p>
    <w:p w:rsidR="00AA0949" w:rsidRPr="00A84CCB" w:rsidRDefault="00AA0949" w:rsidP="00A84CCB">
      <w:pPr>
        <w:rPr>
          <w:lang w:val="en-GB"/>
        </w:rPr>
      </w:pPr>
      <w:r w:rsidRPr="00A84CCB">
        <w:rPr>
          <w:lang w:val="en-GB"/>
        </w:rPr>
        <w:t>Association of People with Cerebral Palsy and Their Families (SEBİDER)</w:t>
      </w:r>
    </w:p>
    <w:p w:rsidR="00AA0949" w:rsidRPr="00A84CCB" w:rsidRDefault="00AA0949" w:rsidP="00A84CCB">
      <w:pPr>
        <w:rPr>
          <w:lang w:val="en-GB"/>
        </w:rPr>
      </w:pPr>
      <w:r w:rsidRPr="00A84CCB">
        <w:rPr>
          <w:lang w:val="en-GB"/>
        </w:rPr>
        <w:t>Association of Visually Impaired in Education (EGED)</w:t>
      </w:r>
    </w:p>
    <w:p w:rsidR="00AA0949" w:rsidRPr="00A84CCB" w:rsidRDefault="00AA0949" w:rsidP="00A84CCB">
      <w:pPr>
        <w:rPr>
          <w:lang w:val="en-GB"/>
        </w:rPr>
      </w:pPr>
      <w:r w:rsidRPr="00A84CCB">
        <w:rPr>
          <w:lang w:val="en-GB"/>
        </w:rPr>
        <w:t>Association of Women with Disabilities (ENGKAD)</w:t>
      </w:r>
    </w:p>
    <w:p w:rsidR="00AA0949" w:rsidRPr="00A84CCB" w:rsidRDefault="00AA0949" w:rsidP="00A84CCB">
      <w:pPr>
        <w:rPr>
          <w:lang w:val="en-GB"/>
        </w:rPr>
      </w:pPr>
      <w:r w:rsidRPr="00A84CCB">
        <w:rPr>
          <w:lang w:val="en-GB"/>
        </w:rPr>
        <w:t>Federation of Autism Associations (ODFED)</w:t>
      </w:r>
    </w:p>
    <w:p w:rsidR="00AA0949" w:rsidRPr="00A84CCB" w:rsidRDefault="00AA0949" w:rsidP="00A84CCB">
      <w:pPr>
        <w:rPr>
          <w:lang w:val="en-GB"/>
        </w:rPr>
      </w:pPr>
      <w:r w:rsidRPr="00A84CCB">
        <w:rPr>
          <w:lang w:val="en-GB"/>
        </w:rPr>
        <w:t>Human Rights in Mental Health Initiative (RUSİHAK)</w:t>
      </w:r>
    </w:p>
    <w:p w:rsidR="00AA0949" w:rsidRPr="00A84CCB" w:rsidRDefault="00AA0949" w:rsidP="00A84CCB">
      <w:pPr>
        <w:rPr>
          <w:lang w:val="en-GB"/>
        </w:rPr>
      </w:pPr>
      <w:r w:rsidRPr="00A84CCB">
        <w:rPr>
          <w:lang w:val="en-GB"/>
        </w:rPr>
        <w:t>Istanbul Hearing Impaired Children and Their Families Association</w:t>
      </w:r>
    </w:p>
    <w:p w:rsidR="00AA0949" w:rsidRPr="00A84CCB" w:rsidRDefault="00AA0949" w:rsidP="00A84CCB">
      <w:pPr>
        <w:rPr>
          <w:lang w:val="en-GB"/>
        </w:rPr>
      </w:pPr>
      <w:r w:rsidRPr="00A84CCB">
        <w:rPr>
          <w:lang w:val="en-GB"/>
        </w:rPr>
        <w:t>ODER - Autism Society</w:t>
      </w:r>
    </w:p>
    <w:p w:rsidR="00AA0949" w:rsidRPr="00A84CCB" w:rsidRDefault="00AA0949" w:rsidP="00A84CCB">
      <w:pPr>
        <w:rPr>
          <w:lang w:val="en-GB"/>
        </w:rPr>
      </w:pPr>
      <w:r w:rsidRPr="00A84CCB">
        <w:rPr>
          <w:lang w:val="en-GB"/>
        </w:rPr>
        <w:t>Şanlıurfa Association for the Employment of People with Paraplegia (ŞOFID)</w:t>
      </w:r>
    </w:p>
    <w:p w:rsidR="00AA0949" w:rsidRPr="00A84CCB" w:rsidRDefault="00AA0949" w:rsidP="00A84CCB">
      <w:pPr>
        <w:rPr>
          <w:lang w:val="en-GB"/>
        </w:rPr>
      </w:pPr>
      <w:r w:rsidRPr="00A84CCB">
        <w:rPr>
          <w:lang w:val="en-GB"/>
        </w:rPr>
        <w:t>Turkey Disabled Association Antalya Branch</w:t>
      </w:r>
    </w:p>
    <w:p w:rsidR="00AA0949" w:rsidRPr="00A84CCB" w:rsidRDefault="00AA0949" w:rsidP="00A84CCB">
      <w:pPr>
        <w:rPr>
          <w:lang w:val="en-GB"/>
        </w:rPr>
      </w:pPr>
    </w:p>
    <w:p w:rsidR="00AA0949" w:rsidRPr="00A84CCB" w:rsidRDefault="00AA0949" w:rsidP="00A84CCB">
      <w:pPr>
        <w:rPr>
          <w:lang w:val="en-GB"/>
        </w:rPr>
      </w:pPr>
    </w:p>
    <w:p w:rsidR="00AA0949" w:rsidRPr="00A84CCB" w:rsidRDefault="00AA0949" w:rsidP="00A84CCB">
      <w:pPr>
        <w:rPr>
          <w:lang w:val="en-GB"/>
        </w:rPr>
      </w:pPr>
    </w:p>
    <w:p w:rsidR="00AA0949" w:rsidRPr="00A84CCB" w:rsidRDefault="00AA0949" w:rsidP="00A84CCB">
      <w:pPr>
        <w:rPr>
          <w:lang w:val="en-GB"/>
        </w:rPr>
      </w:pPr>
    </w:p>
    <w:p w:rsidR="00AA0949" w:rsidRPr="00A84CCB" w:rsidRDefault="00AA0949" w:rsidP="00A84CCB">
      <w:pPr>
        <w:rPr>
          <w:lang w:val="en-GB"/>
        </w:rPr>
      </w:pPr>
    </w:p>
    <w:p w:rsidR="00AA0949" w:rsidRPr="00A84CCB" w:rsidRDefault="00AA0949" w:rsidP="00A84CCB">
      <w:pPr>
        <w:rPr>
          <w:lang w:val="en-GB"/>
        </w:rPr>
      </w:pPr>
    </w:p>
    <w:p w:rsidR="00AA0949" w:rsidRPr="00A84CCB" w:rsidRDefault="00AA0949" w:rsidP="00A84CCB">
      <w:pPr>
        <w:rPr>
          <w:lang w:val="en-GB"/>
        </w:rPr>
      </w:pPr>
      <w:r w:rsidRPr="00A84CCB">
        <w:rPr>
          <w:lang w:val="en-GB"/>
        </w:rPr>
        <w:t>Address: Cennet Mahallesi Turgut Reis Caddesi Özdemir Apartmanı No:18/K.D. Küçükçekmece / İstanbul / TURKEY</w:t>
      </w:r>
    </w:p>
    <w:p w:rsidR="00AA0949" w:rsidRPr="00A84CCB" w:rsidRDefault="00AA0949" w:rsidP="00A84CCB">
      <w:pPr>
        <w:rPr>
          <w:lang w:val="en-GB"/>
        </w:rPr>
      </w:pPr>
      <w:r w:rsidRPr="00A84CCB">
        <w:rPr>
          <w:lang w:val="en-GB"/>
        </w:rPr>
        <w:t>Phone: + 90 (212) 426 26 28</w:t>
      </w:r>
    </w:p>
    <w:p w:rsidR="00AA0949" w:rsidRPr="00A84CCB" w:rsidRDefault="00AA0949" w:rsidP="00A84CCB">
      <w:pPr>
        <w:rPr>
          <w:lang w:val="en-GB"/>
        </w:rPr>
      </w:pPr>
      <w:r w:rsidRPr="00A84CCB">
        <w:rPr>
          <w:lang w:val="en-GB"/>
        </w:rPr>
        <w:t xml:space="preserve">E-mail: </w:t>
      </w:r>
      <w:hyperlink r:id="rId9" w:history="1">
        <w:r w:rsidRPr="00A84CCB">
          <w:rPr>
            <w:rStyle w:val="Hyperlink"/>
            <w:lang w:val="en-GB"/>
          </w:rPr>
          <w:t>bilgi@engellihaklariizleme.org</w:t>
        </w:r>
      </w:hyperlink>
      <w:r w:rsidRPr="00A84CCB">
        <w:rPr>
          <w:lang w:val="en-GB"/>
        </w:rPr>
        <w:t xml:space="preserve"> and </w:t>
      </w:r>
      <w:hyperlink r:id="rId10" w:history="1">
        <w:r w:rsidRPr="00A84CCB">
          <w:rPr>
            <w:rStyle w:val="Hyperlink"/>
            <w:lang w:val="en-GB"/>
          </w:rPr>
          <w:t>bilgi@tohad.org</w:t>
        </w:r>
      </w:hyperlink>
    </w:p>
    <w:p w:rsidR="00AA0949" w:rsidRPr="00A84CCB" w:rsidRDefault="00AA0949" w:rsidP="00A84CCB">
      <w:pPr>
        <w:rPr>
          <w:lang w:val="en-GB"/>
        </w:rPr>
      </w:pPr>
      <w:r w:rsidRPr="00A84CCB">
        <w:rPr>
          <w:lang w:val="en-GB"/>
        </w:rPr>
        <w:t xml:space="preserve">Web: </w:t>
      </w:r>
      <w:hyperlink r:id="rId11" w:history="1">
        <w:r w:rsidRPr="00A84CCB">
          <w:rPr>
            <w:rStyle w:val="Hyperlink"/>
            <w:lang w:val="en-GB"/>
          </w:rPr>
          <w:t>http://www.engellihaklariizleme.org</w:t>
        </w:r>
      </w:hyperlink>
      <w:r w:rsidRPr="00A84CCB">
        <w:rPr>
          <w:lang w:val="en-GB"/>
        </w:rPr>
        <w:t xml:space="preserve"> and </w:t>
      </w:r>
      <w:hyperlink r:id="rId12" w:history="1">
        <w:r w:rsidRPr="00A84CCB">
          <w:rPr>
            <w:rStyle w:val="Hyperlink"/>
            <w:lang w:val="en-GB"/>
          </w:rPr>
          <w:t>http://www.tohad.org/</w:t>
        </w:r>
      </w:hyperlink>
    </w:p>
    <w:p w:rsidR="00AA0949" w:rsidRPr="00A84CCB" w:rsidRDefault="00AA0949" w:rsidP="00A84CCB">
      <w:pPr>
        <w:rPr>
          <w:lang w:val="en-GB"/>
        </w:rPr>
      </w:pPr>
      <w:r w:rsidRPr="00A84CCB">
        <w:rPr>
          <w:lang w:val="en-GB"/>
        </w:rPr>
        <w:t>Contact: Süleyman Akbulut</w:t>
      </w:r>
    </w:p>
    <w:p w:rsidR="00AA0949" w:rsidRPr="00A84CCB" w:rsidRDefault="00AA0949" w:rsidP="00A84CCB">
      <w:pPr>
        <w:rPr>
          <w:i/>
          <w:lang w:val="en-GB"/>
        </w:rPr>
      </w:pPr>
      <w:r w:rsidRPr="00A84CCB">
        <w:rPr>
          <w:i/>
          <w:lang w:val="en-GB"/>
        </w:rPr>
        <w:t>This submission has been prepared by Hakan Özgül, İdil Seda Ak and Süleyman Akbulut on behalf of Disability Rights Monitoring Group.</w:t>
      </w:r>
    </w:p>
    <w:p w:rsidR="00AA0949" w:rsidRPr="00A84CCB" w:rsidRDefault="00AA0949" w:rsidP="00A84CCB">
      <w:pPr>
        <w:rPr>
          <w:color w:val="FF0000"/>
          <w:lang w:val="en-GB"/>
        </w:rPr>
      </w:pPr>
    </w:p>
    <w:p w:rsidR="00D73E7E" w:rsidRDefault="00D73E7E">
      <w:pPr>
        <w:spacing w:before="0" w:after="200"/>
        <w:rPr>
          <w:color w:val="000000" w:themeColor="text1"/>
          <w:lang w:val="en-GB"/>
        </w:rPr>
      </w:pPr>
      <w:r>
        <w:rPr>
          <w:color w:val="000000" w:themeColor="text1"/>
          <w:lang w:val="en-GB"/>
        </w:rPr>
        <w:br w:type="page"/>
      </w:r>
    </w:p>
    <w:p w:rsidR="00A84CCB" w:rsidRPr="00A84CCB" w:rsidRDefault="00A84CCB" w:rsidP="00A84CCB">
      <w:pPr>
        <w:rPr>
          <w:color w:val="000000" w:themeColor="text1"/>
          <w:lang w:val="en-GB"/>
        </w:rPr>
      </w:pPr>
      <w:r w:rsidRPr="00A84CCB">
        <w:rPr>
          <w:color w:val="000000" w:themeColor="text1"/>
          <w:lang w:val="en-GB"/>
        </w:rPr>
        <w:lastRenderedPageBreak/>
        <w:t>ACSHB</w:t>
      </w:r>
      <w:r w:rsidRPr="00A84CCB">
        <w:rPr>
          <w:color w:val="000000" w:themeColor="text1"/>
          <w:lang w:val="en-GB"/>
        </w:rPr>
        <w:tab/>
      </w:r>
      <w:r w:rsidRPr="00A84CCB">
        <w:rPr>
          <w:color w:val="000000" w:themeColor="text1"/>
          <w:lang w:val="en-GB"/>
        </w:rPr>
        <w:tab/>
        <w:t>Ministry of Family, Labor and Social Services</w:t>
      </w:r>
    </w:p>
    <w:p w:rsidR="00A84CCB" w:rsidRPr="00A84CCB" w:rsidRDefault="00A84CCB" w:rsidP="00A84CCB">
      <w:pPr>
        <w:rPr>
          <w:color w:val="000000" w:themeColor="text1"/>
          <w:lang w:val="en-GB"/>
        </w:rPr>
      </w:pPr>
      <w:r w:rsidRPr="00A84CCB">
        <w:rPr>
          <w:color w:val="000000" w:themeColor="text1"/>
          <w:lang w:val="en-GB"/>
        </w:rPr>
        <w:t>AFAD</w:t>
      </w:r>
      <w:r w:rsidRPr="00A84CCB">
        <w:rPr>
          <w:color w:val="000000" w:themeColor="text1"/>
          <w:lang w:val="en-GB"/>
        </w:rPr>
        <w:tab/>
      </w:r>
      <w:r w:rsidRPr="00A84CCB">
        <w:rPr>
          <w:color w:val="000000" w:themeColor="text1"/>
          <w:lang w:val="en-GB"/>
        </w:rPr>
        <w:tab/>
        <w:t>Disaster and Emergency Management Presidency</w:t>
      </w:r>
    </w:p>
    <w:p w:rsidR="00A84CCB" w:rsidRPr="00A84CCB" w:rsidRDefault="00A84CCB" w:rsidP="00A84CCB">
      <w:pPr>
        <w:rPr>
          <w:color w:val="000000" w:themeColor="text1"/>
          <w:lang w:val="en-GB"/>
        </w:rPr>
      </w:pPr>
      <w:r w:rsidRPr="00A84CCB">
        <w:rPr>
          <w:color w:val="000000" w:themeColor="text1"/>
          <w:lang w:val="en-GB"/>
        </w:rPr>
        <w:t>COC</w:t>
      </w:r>
      <w:r w:rsidRPr="00A84CCB">
        <w:rPr>
          <w:color w:val="000000" w:themeColor="text1"/>
          <w:lang w:val="en-GB"/>
        </w:rPr>
        <w:tab/>
      </w:r>
      <w:r w:rsidRPr="00A84CCB">
        <w:rPr>
          <w:color w:val="000000" w:themeColor="text1"/>
          <w:lang w:val="en-GB"/>
        </w:rPr>
        <w:tab/>
        <w:t xml:space="preserve">Children Observation Center </w:t>
      </w:r>
    </w:p>
    <w:p w:rsidR="00A84CCB" w:rsidRPr="00A84CCB" w:rsidRDefault="00A84CCB" w:rsidP="00A84CCB">
      <w:pPr>
        <w:rPr>
          <w:color w:val="000000" w:themeColor="text1"/>
          <w:lang w:val="en-GB"/>
        </w:rPr>
      </w:pPr>
      <w:r w:rsidRPr="00A84CCB">
        <w:rPr>
          <w:color w:val="000000" w:themeColor="text1"/>
          <w:lang w:val="en-GB"/>
        </w:rPr>
        <w:t>CRPD</w:t>
      </w:r>
      <w:r w:rsidRPr="00A84CCB">
        <w:rPr>
          <w:color w:val="000000" w:themeColor="text1"/>
          <w:lang w:val="en-GB"/>
        </w:rPr>
        <w:tab/>
      </w:r>
      <w:r w:rsidRPr="00A84CCB">
        <w:rPr>
          <w:color w:val="000000" w:themeColor="text1"/>
          <w:lang w:val="en-GB"/>
        </w:rPr>
        <w:tab/>
        <w:t>Convention on the Rights of Persons with Disabilities</w:t>
      </w:r>
    </w:p>
    <w:p w:rsidR="00A84CCB" w:rsidRPr="00A84CCB" w:rsidRDefault="00A84CCB" w:rsidP="00A84CCB">
      <w:pPr>
        <w:rPr>
          <w:color w:val="000000" w:themeColor="text1"/>
          <w:lang w:val="en-GB"/>
        </w:rPr>
      </w:pPr>
      <w:r w:rsidRPr="00A84CCB">
        <w:rPr>
          <w:color w:val="000000" w:themeColor="text1"/>
          <w:lang w:val="en-GB"/>
        </w:rPr>
        <w:t>DHC</w:t>
      </w:r>
      <w:r w:rsidRPr="00A84CCB">
        <w:rPr>
          <w:color w:val="000000" w:themeColor="text1"/>
          <w:lang w:val="en-GB"/>
        </w:rPr>
        <w:tab/>
      </w:r>
      <w:r w:rsidRPr="00A84CCB">
        <w:rPr>
          <w:color w:val="000000" w:themeColor="text1"/>
          <w:lang w:val="en-GB"/>
        </w:rPr>
        <w:tab/>
        <w:t>Dental Health Centers</w:t>
      </w:r>
    </w:p>
    <w:p w:rsidR="00A84CCB" w:rsidRPr="00A84CCB" w:rsidRDefault="00A84CCB" w:rsidP="00A84CCB">
      <w:pPr>
        <w:rPr>
          <w:rFonts w:eastAsia="Gungsuh"/>
          <w:color w:val="000000" w:themeColor="text1"/>
          <w:szCs w:val="20"/>
          <w:lang w:val="en-GB"/>
        </w:rPr>
      </w:pPr>
      <w:r w:rsidRPr="00A84CCB">
        <w:rPr>
          <w:rFonts w:eastAsia="Gungsuh"/>
          <w:color w:val="000000" w:themeColor="text1"/>
          <w:szCs w:val="20"/>
          <w:lang w:val="en-GB"/>
        </w:rPr>
        <w:t>DPT</w:t>
      </w:r>
      <w:r w:rsidRPr="00A84CCB">
        <w:rPr>
          <w:rFonts w:eastAsia="Gungsuh"/>
          <w:color w:val="000000" w:themeColor="text1"/>
          <w:szCs w:val="20"/>
          <w:lang w:val="en-GB"/>
        </w:rPr>
        <w:tab/>
      </w:r>
      <w:r w:rsidRPr="00A84CCB">
        <w:rPr>
          <w:rFonts w:eastAsia="Gungsuh"/>
          <w:color w:val="000000" w:themeColor="text1"/>
          <w:szCs w:val="20"/>
          <w:lang w:val="en-GB"/>
        </w:rPr>
        <w:tab/>
        <w:t>Department of State Personnel</w:t>
      </w:r>
    </w:p>
    <w:p w:rsidR="00A84CCB" w:rsidRPr="00A84CCB" w:rsidRDefault="00A84CCB" w:rsidP="00A84CCB">
      <w:pPr>
        <w:rPr>
          <w:color w:val="000000" w:themeColor="text1"/>
          <w:lang w:val="en-GB"/>
        </w:rPr>
      </w:pPr>
      <w:r w:rsidRPr="00A84CCB">
        <w:rPr>
          <w:color w:val="000000" w:themeColor="text1"/>
          <w:lang w:val="en-GB"/>
        </w:rPr>
        <w:t xml:space="preserve">EHK </w:t>
      </w:r>
      <w:r w:rsidRPr="00A84CCB">
        <w:rPr>
          <w:color w:val="000000" w:themeColor="text1"/>
          <w:lang w:val="en-GB"/>
        </w:rPr>
        <w:tab/>
      </w:r>
      <w:r w:rsidRPr="00A84CCB">
        <w:rPr>
          <w:color w:val="000000" w:themeColor="text1"/>
          <w:lang w:val="en-GB"/>
        </w:rPr>
        <w:tab/>
        <w:t>Turkish Disability Act No 5378</w:t>
      </w:r>
    </w:p>
    <w:p w:rsidR="00A84CCB" w:rsidRPr="00A84CCB" w:rsidRDefault="00A84CCB" w:rsidP="00A84CCB">
      <w:pPr>
        <w:rPr>
          <w:color w:val="000000" w:themeColor="text1"/>
          <w:lang w:val="en-GB"/>
        </w:rPr>
      </w:pPr>
      <w:r w:rsidRPr="00A84CCB">
        <w:rPr>
          <w:color w:val="000000" w:themeColor="text1"/>
          <w:lang w:val="en-GB"/>
        </w:rPr>
        <w:t>EYHGM</w:t>
      </w:r>
      <w:r w:rsidRPr="00A84CCB">
        <w:rPr>
          <w:color w:val="000000" w:themeColor="text1"/>
          <w:lang w:val="en-GB"/>
        </w:rPr>
        <w:tab/>
        <w:t>General Directorate of Services for Persons with Disabilities and the Elderly</w:t>
      </w:r>
    </w:p>
    <w:p w:rsidR="00A84CCB" w:rsidRPr="00A84CCB" w:rsidRDefault="00A84CCB" w:rsidP="00A84CCB">
      <w:pPr>
        <w:rPr>
          <w:color w:val="000000" w:themeColor="text1"/>
          <w:lang w:val="en-GB"/>
        </w:rPr>
      </w:pPr>
      <w:r w:rsidRPr="00A84CCB">
        <w:rPr>
          <w:color w:val="000000" w:themeColor="text1"/>
          <w:lang w:val="en-GB"/>
        </w:rPr>
        <w:t>GSS</w:t>
      </w:r>
      <w:r w:rsidRPr="00A84CCB">
        <w:rPr>
          <w:color w:val="000000" w:themeColor="text1"/>
          <w:lang w:val="en-GB"/>
        </w:rPr>
        <w:tab/>
      </w:r>
      <w:r w:rsidRPr="00A84CCB">
        <w:rPr>
          <w:color w:val="000000" w:themeColor="text1"/>
          <w:lang w:val="en-GB"/>
        </w:rPr>
        <w:tab/>
        <w:t xml:space="preserve">General Health Insurance </w:t>
      </w:r>
    </w:p>
    <w:p w:rsidR="00A84CCB" w:rsidRPr="00A84CCB" w:rsidRDefault="00A84CCB" w:rsidP="00A84CCB">
      <w:pPr>
        <w:rPr>
          <w:color w:val="000000" w:themeColor="text1"/>
          <w:lang w:val="en-GB"/>
        </w:rPr>
      </w:pPr>
      <w:r w:rsidRPr="00A84CCB">
        <w:rPr>
          <w:color w:val="000000" w:themeColor="text1"/>
          <w:lang w:val="en-GB"/>
        </w:rPr>
        <w:t>MEB</w:t>
      </w:r>
      <w:r w:rsidRPr="00A84CCB">
        <w:rPr>
          <w:color w:val="000000" w:themeColor="text1"/>
          <w:lang w:val="en-GB"/>
        </w:rPr>
        <w:tab/>
      </w:r>
      <w:r w:rsidRPr="00A84CCB">
        <w:rPr>
          <w:color w:val="000000" w:themeColor="text1"/>
          <w:lang w:val="en-GB"/>
        </w:rPr>
        <w:tab/>
        <w:t xml:space="preserve">Ministry of National Education </w:t>
      </w:r>
    </w:p>
    <w:p w:rsidR="00A84CCB" w:rsidRPr="00A84CCB" w:rsidRDefault="00A84CCB" w:rsidP="00A84CCB">
      <w:pPr>
        <w:rPr>
          <w:color w:val="000000" w:themeColor="text1"/>
          <w:lang w:val="en-GB"/>
        </w:rPr>
      </w:pPr>
      <w:r w:rsidRPr="00A84CCB">
        <w:rPr>
          <w:color w:val="000000" w:themeColor="text1"/>
          <w:lang w:val="en-GB"/>
        </w:rPr>
        <w:t>PMVC</w:t>
      </w:r>
      <w:r w:rsidRPr="00A84CCB">
        <w:rPr>
          <w:color w:val="000000" w:themeColor="text1"/>
          <w:lang w:val="en-GB"/>
        </w:rPr>
        <w:tab/>
      </w:r>
      <w:r w:rsidRPr="00A84CCB">
        <w:rPr>
          <w:color w:val="000000" w:themeColor="text1"/>
          <w:lang w:val="en-GB"/>
        </w:rPr>
        <w:tab/>
        <w:t xml:space="preserve">Preventing and Monitoring Violence Centers </w:t>
      </w:r>
    </w:p>
    <w:p w:rsidR="00A84CCB" w:rsidRPr="00A84CCB" w:rsidRDefault="00A84CCB" w:rsidP="00A84CCB">
      <w:pPr>
        <w:rPr>
          <w:color w:val="000000" w:themeColor="text1"/>
          <w:lang w:val="en-GB"/>
        </w:rPr>
      </w:pPr>
      <w:r w:rsidRPr="00A84CCB">
        <w:rPr>
          <w:color w:val="000000" w:themeColor="text1"/>
          <w:lang w:val="en-GB"/>
        </w:rPr>
        <w:t>SUT</w:t>
      </w:r>
      <w:r w:rsidRPr="00A84CCB">
        <w:rPr>
          <w:color w:val="000000" w:themeColor="text1"/>
          <w:lang w:val="en-GB"/>
        </w:rPr>
        <w:tab/>
      </w:r>
      <w:r w:rsidRPr="00A84CCB">
        <w:rPr>
          <w:color w:val="000000" w:themeColor="text1"/>
          <w:lang w:val="en-GB"/>
        </w:rPr>
        <w:tab/>
        <w:t>Communiqué on Healthcare Practices</w:t>
      </w:r>
    </w:p>
    <w:p w:rsidR="00A84CCB" w:rsidRPr="00A84CCB" w:rsidRDefault="00A84CCB" w:rsidP="00A84CCB">
      <w:pPr>
        <w:rPr>
          <w:color w:val="000000" w:themeColor="text1"/>
          <w:lang w:val="en-GB"/>
        </w:rPr>
      </w:pPr>
      <w:r w:rsidRPr="00A84CCB">
        <w:rPr>
          <w:color w:val="000000" w:themeColor="text1"/>
          <w:lang w:val="en-GB"/>
        </w:rPr>
        <w:t>TCK</w:t>
      </w:r>
      <w:r w:rsidRPr="00A84CCB">
        <w:rPr>
          <w:color w:val="000000" w:themeColor="text1"/>
          <w:lang w:val="en-GB"/>
        </w:rPr>
        <w:tab/>
      </w:r>
      <w:r w:rsidRPr="00A84CCB">
        <w:rPr>
          <w:color w:val="000000" w:themeColor="text1"/>
          <w:lang w:val="en-GB"/>
        </w:rPr>
        <w:tab/>
        <w:t>Turkish Criminal Law No 5237</w:t>
      </w:r>
    </w:p>
    <w:p w:rsidR="00A84CCB" w:rsidRPr="00A84CCB" w:rsidRDefault="00A84CCB" w:rsidP="00A84CCB">
      <w:pPr>
        <w:rPr>
          <w:color w:val="000000" w:themeColor="text1"/>
          <w:lang w:val="en-GB"/>
        </w:rPr>
      </w:pPr>
      <w:r w:rsidRPr="00A84CCB">
        <w:rPr>
          <w:color w:val="000000" w:themeColor="text1"/>
          <w:lang w:val="en-GB"/>
        </w:rPr>
        <w:t xml:space="preserve">TOHAD </w:t>
      </w:r>
      <w:r w:rsidRPr="00A84CCB">
        <w:rPr>
          <w:color w:val="000000" w:themeColor="text1"/>
          <w:lang w:val="en-GB"/>
        </w:rPr>
        <w:tab/>
        <w:t>Social Rights and Research Society</w:t>
      </w:r>
    </w:p>
    <w:p w:rsidR="00AA0949" w:rsidRPr="00A84CCB" w:rsidRDefault="00AA0949" w:rsidP="00A84CCB">
      <w:pPr>
        <w:rPr>
          <w:b/>
          <w:color w:val="000000" w:themeColor="text1"/>
          <w:sz w:val="28"/>
          <w:lang w:val="en-GB"/>
        </w:rPr>
      </w:pPr>
      <w:r w:rsidRPr="00A84CCB">
        <w:rPr>
          <w:b/>
          <w:color w:val="000000" w:themeColor="text1"/>
          <w:sz w:val="28"/>
          <w:lang w:val="en-GB"/>
        </w:rPr>
        <w:br w:type="page"/>
      </w:r>
    </w:p>
    <w:p w:rsidR="00AA0949" w:rsidRPr="00A84CCB" w:rsidRDefault="00AA0949" w:rsidP="00A84CCB">
      <w:pPr>
        <w:spacing w:line="240" w:lineRule="auto"/>
        <w:rPr>
          <w:b/>
          <w:color w:val="000000" w:themeColor="text1"/>
          <w:sz w:val="28"/>
          <w:lang w:val="en-GB"/>
        </w:rPr>
      </w:pPr>
      <w:r w:rsidRPr="00A84CCB">
        <w:rPr>
          <w:b/>
          <w:color w:val="000000" w:themeColor="text1"/>
          <w:sz w:val="28"/>
          <w:lang w:val="en-GB"/>
        </w:rPr>
        <w:lastRenderedPageBreak/>
        <w:t>Table of Contents</w:t>
      </w:r>
    </w:p>
    <w:p w:rsidR="00D73E7E" w:rsidRDefault="00AA0949">
      <w:pPr>
        <w:pStyle w:val="TOC1"/>
        <w:rPr>
          <w:rFonts w:asciiTheme="minorHAnsi" w:eastAsiaTheme="minorEastAsia" w:hAnsiTheme="minorHAnsi" w:cstheme="minorBidi"/>
          <w:b w:val="0"/>
          <w:sz w:val="22"/>
          <w:szCs w:val="22"/>
        </w:rPr>
      </w:pPr>
      <w:r w:rsidRPr="00A84CCB">
        <w:rPr>
          <w:noProof w:val="0"/>
          <w:lang w:val="en-GB"/>
        </w:rPr>
        <w:fldChar w:fldCharType="begin"/>
      </w:r>
      <w:r w:rsidRPr="00A84CCB">
        <w:rPr>
          <w:noProof w:val="0"/>
          <w:lang w:val="en-GB"/>
        </w:rPr>
        <w:instrText xml:space="preserve"> TOC \o "1-5" \h \z \u </w:instrText>
      </w:r>
      <w:r w:rsidRPr="00A84CCB">
        <w:rPr>
          <w:noProof w:val="0"/>
          <w:lang w:val="en-GB"/>
        </w:rPr>
        <w:fldChar w:fldCharType="separate"/>
      </w:r>
      <w:hyperlink w:anchor="_Toc808045" w:history="1">
        <w:r w:rsidR="00D73E7E" w:rsidRPr="00C57DBF">
          <w:rPr>
            <w:rStyle w:val="Hyperlink"/>
            <w:lang w:val="en-GB"/>
          </w:rPr>
          <w:t>1. Introduction</w:t>
        </w:r>
        <w:r w:rsidR="00D73E7E">
          <w:rPr>
            <w:webHidden/>
          </w:rPr>
          <w:tab/>
        </w:r>
        <w:r w:rsidR="00D73E7E">
          <w:rPr>
            <w:webHidden/>
          </w:rPr>
          <w:fldChar w:fldCharType="begin"/>
        </w:r>
        <w:r w:rsidR="00D73E7E">
          <w:rPr>
            <w:webHidden/>
          </w:rPr>
          <w:instrText xml:space="preserve"> PAGEREF _Toc808045 \h </w:instrText>
        </w:r>
        <w:r w:rsidR="00D73E7E">
          <w:rPr>
            <w:webHidden/>
          </w:rPr>
        </w:r>
        <w:r w:rsidR="00D73E7E">
          <w:rPr>
            <w:webHidden/>
          </w:rPr>
          <w:fldChar w:fldCharType="separate"/>
        </w:r>
        <w:r w:rsidR="00D73E7E">
          <w:rPr>
            <w:webHidden/>
          </w:rPr>
          <w:t>5</w:t>
        </w:r>
        <w:r w:rsidR="00D73E7E">
          <w:rPr>
            <w:webHidden/>
          </w:rPr>
          <w:fldChar w:fldCharType="end"/>
        </w:r>
      </w:hyperlink>
    </w:p>
    <w:p w:rsidR="00D73E7E" w:rsidRDefault="00356968">
      <w:pPr>
        <w:pStyle w:val="TOC1"/>
        <w:rPr>
          <w:rFonts w:asciiTheme="minorHAnsi" w:eastAsiaTheme="minorEastAsia" w:hAnsiTheme="minorHAnsi" w:cstheme="minorBidi"/>
          <w:b w:val="0"/>
          <w:sz w:val="22"/>
          <w:szCs w:val="22"/>
        </w:rPr>
      </w:pPr>
      <w:hyperlink w:anchor="_Toc808046" w:history="1">
        <w:r w:rsidR="00D73E7E" w:rsidRPr="00C57DBF">
          <w:rPr>
            <w:rStyle w:val="Hyperlink"/>
            <w:lang w:val="en-GB"/>
          </w:rPr>
          <w:t>2. Method of the Report</w:t>
        </w:r>
        <w:r w:rsidR="00D73E7E">
          <w:rPr>
            <w:webHidden/>
          </w:rPr>
          <w:tab/>
        </w:r>
        <w:r w:rsidR="00D73E7E">
          <w:rPr>
            <w:webHidden/>
          </w:rPr>
          <w:fldChar w:fldCharType="begin"/>
        </w:r>
        <w:r w:rsidR="00D73E7E">
          <w:rPr>
            <w:webHidden/>
          </w:rPr>
          <w:instrText xml:space="preserve"> PAGEREF _Toc808046 \h </w:instrText>
        </w:r>
        <w:r w:rsidR="00D73E7E">
          <w:rPr>
            <w:webHidden/>
          </w:rPr>
        </w:r>
        <w:r w:rsidR="00D73E7E">
          <w:rPr>
            <w:webHidden/>
          </w:rPr>
          <w:fldChar w:fldCharType="separate"/>
        </w:r>
        <w:r w:rsidR="00D73E7E">
          <w:rPr>
            <w:webHidden/>
          </w:rPr>
          <w:t>5</w:t>
        </w:r>
        <w:r w:rsidR="00D73E7E">
          <w:rPr>
            <w:webHidden/>
          </w:rPr>
          <w:fldChar w:fldCharType="end"/>
        </w:r>
      </w:hyperlink>
    </w:p>
    <w:p w:rsidR="00D73E7E" w:rsidRDefault="00356968">
      <w:pPr>
        <w:pStyle w:val="TOC1"/>
        <w:rPr>
          <w:rFonts w:asciiTheme="minorHAnsi" w:eastAsiaTheme="minorEastAsia" w:hAnsiTheme="minorHAnsi" w:cstheme="minorBidi"/>
          <w:b w:val="0"/>
          <w:sz w:val="22"/>
          <w:szCs w:val="22"/>
        </w:rPr>
      </w:pPr>
      <w:hyperlink w:anchor="_Toc808047" w:history="1">
        <w:r w:rsidR="00D73E7E" w:rsidRPr="00C57DBF">
          <w:rPr>
            <w:rStyle w:val="Hyperlink"/>
            <w:lang w:val="en-GB"/>
          </w:rPr>
          <w:t>3. General Evaluation</w:t>
        </w:r>
        <w:r w:rsidR="00D73E7E">
          <w:rPr>
            <w:webHidden/>
          </w:rPr>
          <w:tab/>
        </w:r>
        <w:r w:rsidR="00D73E7E">
          <w:rPr>
            <w:webHidden/>
          </w:rPr>
          <w:fldChar w:fldCharType="begin"/>
        </w:r>
        <w:r w:rsidR="00D73E7E">
          <w:rPr>
            <w:webHidden/>
          </w:rPr>
          <w:instrText xml:space="preserve"> PAGEREF _Toc808047 \h </w:instrText>
        </w:r>
        <w:r w:rsidR="00D73E7E">
          <w:rPr>
            <w:webHidden/>
          </w:rPr>
        </w:r>
        <w:r w:rsidR="00D73E7E">
          <w:rPr>
            <w:webHidden/>
          </w:rPr>
          <w:fldChar w:fldCharType="separate"/>
        </w:r>
        <w:r w:rsidR="00D73E7E">
          <w:rPr>
            <w:webHidden/>
          </w:rPr>
          <w:t>5</w:t>
        </w:r>
        <w:r w:rsidR="00D73E7E">
          <w:rPr>
            <w:webHidden/>
          </w:rPr>
          <w:fldChar w:fldCharType="end"/>
        </w:r>
      </w:hyperlink>
    </w:p>
    <w:p w:rsidR="00D73E7E" w:rsidRDefault="00356968">
      <w:pPr>
        <w:pStyle w:val="TOC2"/>
        <w:rPr>
          <w:rFonts w:asciiTheme="minorHAnsi" w:eastAsiaTheme="minorEastAsia" w:hAnsiTheme="minorHAnsi"/>
          <w:noProof/>
          <w:sz w:val="22"/>
          <w:lang w:eastAsia="tr-TR"/>
        </w:rPr>
      </w:pPr>
      <w:hyperlink w:anchor="_Toc808048" w:history="1">
        <w:r w:rsidR="00D73E7E" w:rsidRPr="00C57DBF">
          <w:rPr>
            <w:rStyle w:val="Hyperlink"/>
            <w:rFonts w:eastAsia="Gungsuh"/>
            <w:noProof/>
            <w:lang w:val="en-GB"/>
          </w:rPr>
          <w:t>Article 5: Equality and non-discrimination</w:t>
        </w:r>
        <w:r w:rsidR="00D73E7E">
          <w:rPr>
            <w:noProof/>
            <w:webHidden/>
          </w:rPr>
          <w:tab/>
        </w:r>
        <w:r w:rsidR="00D73E7E">
          <w:rPr>
            <w:noProof/>
            <w:webHidden/>
          </w:rPr>
          <w:fldChar w:fldCharType="begin"/>
        </w:r>
        <w:r w:rsidR="00D73E7E">
          <w:rPr>
            <w:noProof/>
            <w:webHidden/>
          </w:rPr>
          <w:instrText xml:space="preserve"> PAGEREF _Toc808048 \h </w:instrText>
        </w:r>
        <w:r w:rsidR="00D73E7E">
          <w:rPr>
            <w:noProof/>
            <w:webHidden/>
          </w:rPr>
        </w:r>
        <w:r w:rsidR="00D73E7E">
          <w:rPr>
            <w:noProof/>
            <w:webHidden/>
          </w:rPr>
          <w:fldChar w:fldCharType="separate"/>
        </w:r>
        <w:r w:rsidR="00D73E7E">
          <w:rPr>
            <w:noProof/>
            <w:webHidden/>
          </w:rPr>
          <w:t>8</w:t>
        </w:r>
        <w:r w:rsidR="00D73E7E">
          <w:rPr>
            <w:noProof/>
            <w:webHidden/>
          </w:rPr>
          <w:fldChar w:fldCharType="end"/>
        </w:r>
      </w:hyperlink>
    </w:p>
    <w:p w:rsidR="00D73E7E" w:rsidRDefault="00356968">
      <w:pPr>
        <w:pStyle w:val="TOC2"/>
        <w:rPr>
          <w:rFonts w:asciiTheme="minorHAnsi" w:eastAsiaTheme="minorEastAsia" w:hAnsiTheme="minorHAnsi"/>
          <w:noProof/>
          <w:sz w:val="22"/>
          <w:lang w:eastAsia="tr-TR"/>
        </w:rPr>
      </w:pPr>
      <w:hyperlink w:anchor="_Toc808049" w:history="1">
        <w:r w:rsidR="00D73E7E" w:rsidRPr="00C57DBF">
          <w:rPr>
            <w:rStyle w:val="Hyperlink"/>
            <w:rFonts w:eastAsia="Courier New"/>
            <w:noProof/>
            <w:lang w:val="en-GB" w:eastAsia="tr-TR"/>
          </w:rPr>
          <w:t>Article 6: Women with Disabilities</w:t>
        </w:r>
        <w:r w:rsidR="00D73E7E">
          <w:rPr>
            <w:noProof/>
            <w:webHidden/>
          </w:rPr>
          <w:tab/>
        </w:r>
        <w:r w:rsidR="00D73E7E">
          <w:rPr>
            <w:noProof/>
            <w:webHidden/>
          </w:rPr>
          <w:fldChar w:fldCharType="begin"/>
        </w:r>
        <w:r w:rsidR="00D73E7E">
          <w:rPr>
            <w:noProof/>
            <w:webHidden/>
          </w:rPr>
          <w:instrText xml:space="preserve"> PAGEREF _Toc808049 \h </w:instrText>
        </w:r>
        <w:r w:rsidR="00D73E7E">
          <w:rPr>
            <w:noProof/>
            <w:webHidden/>
          </w:rPr>
        </w:r>
        <w:r w:rsidR="00D73E7E">
          <w:rPr>
            <w:noProof/>
            <w:webHidden/>
          </w:rPr>
          <w:fldChar w:fldCharType="separate"/>
        </w:r>
        <w:r w:rsidR="00D73E7E">
          <w:rPr>
            <w:noProof/>
            <w:webHidden/>
          </w:rPr>
          <w:t>8</w:t>
        </w:r>
        <w:r w:rsidR="00D73E7E">
          <w:rPr>
            <w:noProof/>
            <w:webHidden/>
          </w:rPr>
          <w:fldChar w:fldCharType="end"/>
        </w:r>
      </w:hyperlink>
    </w:p>
    <w:p w:rsidR="00D73E7E" w:rsidRDefault="00356968">
      <w:pPr>
        <w:pStyle w:val="TOC2"/>
        <w:rPr>
          <w:rFonts w:asciiTheme="minorHAnsi" w:eastAsiaTheme="minorEastAsia" w:hAnsiTheme="minorHAnsi"/>
          <w:noProof/>
          <w:sz w:val="22"/>
          <w:lang w:eastAsia="tr-TR"/>
        </w:rPr>
      </w:pPr>
      <w:hyperlink w:anchor="_Toc808050" w:history="1">
        <w:r w:rsidR="00D73E7E" w:rsidRPr="00C57DBF">
          <w:rPr>
            <w:rStyle w:val="Hyperlink"/>
            <w:noProof/>
            <w:lang w:val="en-GB"/>
          </w:rPr>
          <w:t>Article 7: Children with Disabilities</w:t>
        </w:r>
        <w:r w:rsidR="00D73E7E">
          <w:rPr>
            <w:noProof/>
            <w:webHidden/>
          </w:rPr>
          <w:tab/>
        </w:r>
        <w:r w:rsidR="00D73E7E">
          <w:rPr>
            <w:noProof/>
            <w:webHidden/>
          </w:rPr>
          <w:fldChar w:fldCharType="begin"/>
        </w:r>
        <w:r w:rsidR="00D73E7E">
          <w:rPr>
            <w:noProof/>
            <w:webHidden/>
          </w:rPr>
          <w:instrText xml:space="preserve"> PAGEREF _Toc808050 \h </w:instrText>
        </w:r>
        <w:r w:rsidR="00D73E7E">
          <w:rPr>
            <w:noProof/>
            <w:webHidden/>
          </w:rPr>
        </w:r>
        <w:r w:rsidR="00D73E7E">
          <w:rPr>
            <w:noProof/>
            <w:webHidden/>
          </w:rPr>
          <w:fldChar w:fldCharType="separate"/>
        </w:r>
        <w:r w:rsidR="00D73E7E">
          <w:rPr>
            <w:noProof/>
            <w:webHidden/>
          </w:rPr>
          <w:t>9</w:t>
        </w:r>
        <w:r w:rsidR="00D73E7E">
          <w:rPr>
            <w:noProof/>
            <w:webHidden/>
          </w:rPr>
          <w:fldChar w:fldCharType="end"/>
        </w:r>
      </w:hyperlink>
    </w:p>
    <w:p w:rsidR="00D73E7E" w:rsidRDefault="00356968">
      <w:pPr>
        <w:pStyle w:val="TOC2"/>
        <w:rPr>
          <w:rFonts w:asciiTheme="minorHAnsi" w:eastAsiaTheme="minorEastAsia" w:hAnsiTheme="minorHAnsi"/>
          <w:noProof/>
          <w:sz w:val="22"/>
          <w:lang w:eastAsia="tr-TR"/>
        </w:rPr>
      </w:pPr>
      <w:hyperlink w:anchor="_Toc808051" w:history="1">
        <w:r w:rsidR="00D73E7E" w:rsidRPr="00C57DBF">
          <w:rPr>
            <w:rStyle w:val="Hyperlink"/>
            <w:noProof/>
            <w:lang w:val="en-GB"/>
          </w:rPr>
          <w:t>Article 8: Awareness-Raising</w:t>
        </w:r>
        <w:r w:rsidR="00D73E7E">
          <w:rPr>
            <w:noProof/>
            <w:webHidden/>
          </w:rPr>
          <w:tab/>
        </w:r>
        <w:r w:rsidR="00D73E7E">
          <w:rPr>
            <w:noProof/>
            <w:webHidden/>
          </w:rPr>
          <w:fldChar w:fldCharType="begin"/>
        </w:r>
        <w:r w:rsidR="00D73E7E">
          <w:rPr>
            <w:noProof/>
            <w:webHidden/>
          </w:rPr>
          <w:instrText xml:space="preserve"> PAGEREF _Toc808051 \h </w:instrText>
        </w:r>
        <w:r w:rsidR="00D73E7E">
          <w:rPr>
            <w:noProof/>
            <w:webHidden/>
          </w:rPr>
        </w:r>
        <w:r w:rsidR="00D73E7E">
          <w:rPr>
            <w:noProof/>
            <w:webHidden/>
          </w:rPr>
          <w:fldChar w:fldCharType="separate"/>
        </w:r>
        <w:r w:rsidR="00D73E7E">
          <w:rPr>
            <w:noProof/>
            <w:webHidden/>
          </w:rPr>
          <w:t>11</w:t>
        </w:r>
        <w:r w:rsidR="00D73E7E">
          <w:rPr>
            <w:noProof/>
            <w:webHidden/>
          </w:rPr>
          <w:fldChar w:fldCharType="end"/>
        </w:r>
      </w:hyperlink>
    </w:p>
    <w:p w:rsidR="00D73E7E" w:rsidRDefault="00356968">
      <w:pPr>
        <w:pStyle w:val="TOC2"/>
        <w:rPr>
          <w:rFonts w:asciiTheme="minorHAnsi" w:eastAsiaTheme="minorEastAsia" w:hAnsiTheme="minorHAnsi"/>
          <w:noProof/>
          <w:sz w:val="22"/>
          <w:lang w:eastAsia="tr-TR"/>
        </w:rPr>
      </w:pPr>
      <w:hyperlink w:anchor="_Toc808052" w:history="1">
        <w:r w:rsidR="00D73E7E" w:rsidRPr="00C57DBF">
          <w:rPr>
            <w:rStyle w:val="Hyperlink"/>
            <w:rFonts w:eastAsia="Gungsuh"/>
            <w:noProof/>
            <w:lang w:val="en-GB"/>
          </w:rPr>
          <w:t>Article 9: Accessibility</w:t>
        </w:r>
        <w:r w:rsidR="00D73E7E">
          <w:rPr>
            <w:noProof/>
            <w:webHidden/>
          </w:rPr>
          <w:tab/>
        </w:r>
        <w:r w:rsidR="00D73E7E">
          <w:rPr>
            <w:noProof/>
            <w:webHidden/>
          </w:rPr>
          <w:fldChar w:fldCharType="begin"/>
        </w:r>
        <w:r w:rsidR="00D73E7E">
          <w:rPr>
            <w:noProof/>
            <w:webHidden/>
          </w:rPr>
          <w:instrText xml:space="preserve"> PAGEREF _Toc808052 \h </w:instrText>
        </w:r>
        <w:r w:rsidR="00D73E7E">
          <w:rPr>
            <w:noProof/>
            <w:webHidden/>
          </w:rPr>
        </w:r>
        <w:r w:rsidR="00D73E7E">
          <w:rPr>
            <w:noProof/>
            <w:webHidden/>
          </w:rPr>
          <w:fldChar w:fldCharType="separate"/>
        </w:r>
        <w:r w:rsidR="00D73E7E">
          <w:rPr>
            <w:noProof/>
            <w:webHidden/>
          </w:rPr>
          <w:t>11</w:t>
        </w:r>
        <w:r w:rsidR="00D73E7E">
          <w:rPr>
            <w:noProof/>
            <w:webHidden/>
          </w:rPr>
          <w:fldChar w:fldCharType="end"/>
        </w:r>
      </w:hyperlink>
    </w:p>
    <w:p w:rsidR="00D73E7E" w:rsidRDefault="00356968">
      <w:pPr>
        <w:pStyle w:val="TOC2"/>
        <w:rPr>
          <w:rFonts w:asciiTheme="minorHAnsi" w:eastAsiaTheme="minorEastAsia" w:hAnsiTheme="minorHAnsi"/>
          <w:noProof/>
          <w:sz w:val="22"/>
          <w:lang w:eastAsia="tr-TR"/>
        </w:rPr>
      </w:pPr>
      <w:hyperlink w:anchor="_Toc808053" w:history="1">
        <w:r w:rsidR="00D73E7E" w:rsidRPr="00C57DBF">
          <w:rPr>
            <w:rStyle w:val="Hyperlink"/>
            <w:noProof/>
            <w:lang w:val="en-GB"/>
          </w:rPr>
          <w:t>Article 10: Right to Life</w:t>
        </w:r>
        <w:r w:rsidR="00D73E7E">
          <w:rPr>
            <w:noProof/>
            <w:webHidden/>
          </w:rPr>
          <w:tab/>
        </w:r>
        <w:r w:rsidR="00D73E7E">
          <w:rPr>
            <w:noProof/>
            <w:webHidden/>
          </w:rPr>
          <w:fldChar w:fldCharType="begin"/>
        </w:r>
        <w:r w:rsidR="00D73E7E">
          <w:rPr>
            <w:noProof/>
            <w:webHidden/>
          </w:rPr>
          <w:instrText xml:space="preserve"> PAGEREF _Toc808053 \h </w:instrText>
        </w:r>
        <w:r w:rsidR="00D73E7E">
          <w:rPr>
            <w:noProof/>
            <w:webHidden/>
          </w:rPr>
        </w:r>
        <w:r w:rsidR="00D73E7E">
          <w:rPr>
            <w:noProof/>
            <w:webHidden/>
          </w:rPr>
          <w:fldChar w:fldCharType="separate"/>
        </w:r>
        <w:r w:rsidR="00D73E7E">
          <w:rPr>
            <w:noProof/>
            <w:webHidden/>
          </w:rPr>
          <w:t>13</w:t>
        </w:r>
        <w:r w:rsidR="00D73E7E">
          <w:rPr>
            <w:noProof/>
            <w:webHidden/>
          </w:rPr>
          <w:fldChar w:fldCharType="end"/>
        </w:r>
      </w:hyperlink>
    </w:p>
    <w:p w:rsidR="00D73E7E" w:rsidRDefault="00356968">
      <w:pPr>
        <w:pStyle w:val="TOC2"/>
        <w:rPr>
          <w:rFonts w:asciiTheme="minorHAnsi" w:eastAsiaTheme="minorEastAsia" w:hAnsiTheme="minorHAnsi"/>
          <w:noProof/>
          <w:sz w:val="22"/>
          <w:lang w:eastAsia="tr-TR"/>
        </w:rPr>
      </w:pPr>
      <w:hyperlink w:anchor="_Toc808054" w:history="1">
        <w:r w:rsidR="00D73E7E" w:rsidRPr="00C57DBF">
          <w:rPr>
            <w:rStyle w:val="Hyperlink"/>
            <w:noProof/>
            <w:lang w:val="en-GB"/>
          </w:rPr>
          <w:t>Article 11: Situations of Risk and Humanitarian Emergencies</w:t>
        </w:r>
        <w:r w:rsidR="00D73E7E">
          <w:rPr>
            <w:noProof/>
            <w:webHidden/>
          </w:rPr>
          <w:tab/>
        </w:r>
        <w:r w:rsidR="00D73E7E">
          <w:rPr>
            <w:noProof/>
            <w:webHidden/>
          </w:rPr>
          <w:fldChar w:fldCharType="begin"/>
        </w:r>
        <w:r w:rsidR="00D73E7E">
          <w:rPr>
            <w:noProof/>
            <w:webHidden/>
          </w:rPr>
          <w:instrText xml:space="preserve"> PAGEREF _Toc808054 \h </w:instrText>
        </w:r>
        <w:r w:rsidR="00D73E7E">
          <w:rPr>
            <w:noProof/>
            <w:webHidden/>
          </w:rPr>
        </w:r>
        <w:r w:rsidR="00D73E7E">
          <w:rPr>
            <w:noProof/>
            <w:webHidden/>
          </w:rPr>
          <w:fldChar w:fldCharType="separate"/>
        </w:r>
        <w:r w:rsidR="00D73E7E">
          <w:rPr>
            <w:noProof/>
            <w:webHidden/>
          </w:rPr>
          <w:t>13</w:t>
        </w:r>
        <w:r w:rsidR="00D73E7E">
          <w:rPr>
            <w:noProof/>
            <w:webHidden/>
          </w:rPr>
          <w:fldChar w:fldCharType="end"/>
        </w:r>
      </w:hyperlink>
    </w:p>
    <w:p w:rsidR="00D73E7E" w:rsidRDefault="00356968">
      <w:pPr>
        <w:pStyle w:val="TOC2"/>
        <w:rPr>
          <w:rFonts w:asciiTheme="minorHAnsi" w:eastAsiaTheme="minorEastAsia" w:hAnsiTheme="minorHAnsi"/>
          <w:noProof/>
          <w:sz w:val="22"/>
          <w:lang w:eastAsia="tr-TR"/>
        </w:rPr>
      </w:pPr>
      <w:hyperlink w:anchor="_Toc808055" w:history="1">
        <w:r w:rsidR="00D73E7E" w:rsidRPr="00C57DBF">
          <w:rPr>
            <w:rStyle w:val="Hyperlink"/>
            <w:noProof/>
            <w:lang w:val="en-GB"/>
          </w:rPr>
          <w:t>Article 12: Equal Recognition Before The Law</w:t>
        </w:r>
        <w:r w:rsidR="00D73E7E">
          <w:rPr>
            <w:noProof/>
            <w:webHidden/>
          </w:rPr>
          <w:tab/>
        </w:r>
        <w:r w:rsidR="00D73E7E">
          <w:rPr>
            <w:noProof/>
            <w:webHidden/>
          </w:rPr>
          <w:fldChar w:fldCharType="begin"/>
        </w:r>
        <w:r w:rsidR="00D73E7E">
          <w:rPr>
            <w:noProof/>
            <w:webHidden/>
          </w:rPr>
          <w:instrText xml:space="preserve"> PAGEREF _Toc808055 \h </w:instrText>
        </w:r>
        <w:r w:rsidR="00D73E7E">
          <w:rPr>
            <w:noProof/>
            <w:webHidden/>
          </w:rPr>
        </w:r>
        <w:r w:rsidR="00D73E7E">
          <w:rPr>
            <w:noProof/>
            <w:webHidden/>
          </w:rPr>
          <w:fldChar w:fldCharType="separate"/>
        </w:r>
        <w:r w:rsidR="00D73E7E">
          <w:rPr>
            <w:noProof/>
            <w:webHidden/>
          </w:rPr>
          <w:t>14</w:t>
        </w:r>
        <w:r w:rsidR="00D73E7E">
          <w:rPr>
            <w:noProof/>
            <w:webHidden/>
          </w:rPr>
          <w:fldChar w:fldCharType="end"/>
        </w:r>
      </w:hyperlink>
    </w:p>
    <w:p w:rsidR="00D73E7E" w:rsidRDefault="00356968">
      <w:pPr>
        <w:pStyle w:val="TOC2"/>
        <w:rPr>
          <w:rFonts w:asciiTheme="minorHAnsi" w:eastAsiaTheme="minorEastAsia" w:hAnsiTheme="minorHAnsi"/>
          <w:noProof/>
          <w:sz w:val="22"/>
          <w:lang w:eastAsia="tr-TR"/>
        </w:rPr>
      </w:pPr>
      <w:hyperlink w:anchor="_Toc808056" w:history="1">
        <w:r w:rsidR="00D73E7E" w:rsidRPr="00C57DBF">
          <w:rPr>
            <w:rStyle w:val="Hyperlink"/>
            <w:noProof/>
            <w:lang w:val="en-GB"/>
          </w:rPr>
          <w:t>Article 13: Access to Justice</w:t>
        </w:r>
        <w:r w:rsidR="00D73E7E">
          <w:rPr>
            <w:noProof/>
            <w:webHidden/>
          </w:rPr>
          <w:tab/>
        </w:r>
        <w:r w:rsidR="00D73E7E">
          <w:rPr>
            <w:noProof/>
            <w:webHidden/>
          </w:rPr>
          <w:fldChar w:fldCharType="begin"/>
        </w:r>
        <w:r w:rsidR="00D73E7E">
          <w:rPr>
            <w:noProof/>
            <w:webHidden/>
          </w:rPr>
          <w:instrText xml:space="preserve"> PAGEREF _Toc808056 \h </w:instrText>
        </w:r>
        <w:r w:rsidR="00D73E7E">
          <w:rPr>
            <w:noProof/>
            <w:webHidden/>
          </w:rPr>
        </w:r>
        <w:r w:rsidR="00D73E7E">
          <w:rPr>
            <w:noProof/>
            <w:webHidden/>
          </w:rPr>
          <w:fldChar w:fldCharType="separate"/>
        </w:r>
        <w:r w:rsidR="00D73E7E">
          <w:rPr>
            <w:noProof/>
            <w:webHidden/>
          </w:rPr>
          <w:t>15</w:t>
        </w:r>
        <w:r w:rsidR="00D73E7E">
          <w:rPr>
            <w:noProof/>
            <w:webHidden/>
          </w:rPr>
          <w:fldChar w:fldCharType="end"/>
        </w:r>
      </w:hyperlink>
    </w:p>
    <w:p w:rsidR="00D73E7E" w:rsidRDefault="00356968">
      <w:pPr>
        <w:pStyle w:val="TOC2"/>
        <w:rPr>
          <w:rFonts w:asciiTheme="minorHAnsi" w:eastAsiaTheme="minorEastAsia" w:hAnsiTheme="minorHAnsi"/>
          <w:noProof/>
          <w:sz w:val="22"/>
          <w:lang w:eastAsia="tr-TR"/>
        </w:rPr>
      </w:pPr>
      <w:hyperlink w:anchor="_Toc808057" w:history="1">
        <w:r w:rsidR="00D73E7E" w:rsidRPr="00C57DBF">
          <w:rPr>
            <w:rStyle w:val="Hyperlink"/>
            <w:noProof/>
            <w:lang w:val="en-GB"/>
          </w:rPr>
          <w:t>Article 15: Freedom From Torture or Cruel, Inhuman or Degrading Treatment or Punishment</w:t>
        </w:r>
        <w:r w:rsidR="00D73E7E">
          <w:rPr>
            <w:noProof/>
            <w:webHidden/>
          </w:rPr>
          <w:tab/>
        </w:r>
        <w:r w:rsidR="00D73E7E">
          <w:rPr>
            <w:noProof/>
            <w:webHidden/>
          </w:rPr>
          <w:fldChar w:fldCharType="begin"/>
        </w:r>
        <w:r w:rsidR="00D73E7E">
          <w:rPr>
            <w:noProof/>
            <w:webHidden/>
          </w:rPr>
          <w:instrText xml:space="preserve"> PAGEREF _Toc808057 \h </w:instrText>
        </w:r>
        <w:r w:rsidR="00D73E7E">
          <w:rPr>
            <w:noProof/>
            <w:webHidden/>
          </w:rPr>
        </w:r>
        <w:r w:rsidR="00D73E7E">
          <w:rPr>
            <w:noProof/>
            <w:webHidden/>
          </w:rPr>
          <w:fldChar w:fldCharType="separate"/>
        </w:r>
        <w:r w:rsidR="00D73E7E">
          <w:rPr>
            <w:noProof/>
            <w:webHidden/>
          </w:rPr>
          <w:t>15</w:t>
        </w:r>
        <w:r w:rsidR="00D73E7E">
          <w:rPr>
            <w:noProof/>
            <w:webHidden/>
          </w:rPr>
          <w:fldChar w:fldCharType="end"/>
        </w:r>
      </w:hyperlink>
    </w:p>
    <w:p w:rsidR="00D73E7E" w:rsidRDefault="00356968">
      <w:pPr>
        <w:pStyle w:val="TOC2"/>
        <w:rPr>
          <w:rFonts w:asciiTheme="minorHAnsi" w:eastAsiaTheme="minorEastAsia" w:hAnsiTheme="minorHAnsi"/>
          <w:noProof/>
          <w:sz w:val="22"/>
          <w:lang w:eastAsia="tr-TR"/>
        </w:rPr>
      </w:pPr>
      <w:hyperlink w:anchor="_Toc808058" w:history="1">
        <w:r w:rsidR="00D73E7E" w:rsidRPr="00C57DBF">
          <w:rPr>
            <w:rStyle w:val="Hyperlink"/>
            <w:noProof/>
            <w:lang w:val="en-GB"/>
          </w:rPr>
          <w:t>Article 16: Freedom From Exploitation, Violence, and Abuse</w:t>
        </w:r>
        <w:r w:rsidR="00D73E7E">
          <w:rPr>
            <w:noProof/>
            <w:webHidden/>
          </w:rPr>
          <w:tab/>
        </w:r>
        <w:r w:rsidR="00D73E7E">
          <w:rPr>
            <w:noProof/>
            <w:webHidden/>
          </w:rPr>
          <w:fldChar w:fldCharType="begin"/>
        </w:r>
        <w:r w:rsidR="00D73E7E">
          <w:rPr>
            <w:noProof/>
            <w:webHidden/>
          </w:rPr>
          <w:instrText xml:space="preserve"> PAGEREF _Toc808058 \h </w:instrText>
        </w:r>
        <w:r w:rsidR="00D73E7E">
          <w:rPr>
            <w:noProof/>
            <w:webHidden/>
          </w:rPr>
        </w:r>
        <w:r w:rsidR="00D73E7E">
          <w:rPr>
            <w:noProof/>
            <w:webHidden/>
          </w:rPr>
          <w:fldChar w:fldCharType="separate"/>
        </w:r>
        <w:r w:rsidR="00D73E7E">
          <w:rPr>
            <w:noProof/>
            <w:webHidden/>
          </w:rPr>
          <w:t>15</w:t>
        </w:r>
        <w:r w:rsidR="00D73E7E">
          <w:rPr>
            <w:noProof/>
            <w:webHidden/>
          </w:rPr>
          <w:fldChar w:fldCharType="end"/>
        </w:r>
      </w:hyperlink>
    </w:p>
    <w:p w:rsidR="00D73E7E" w:rsidRDefault="00356968">
      <w:pPr>
        <w:pStyle w:val="TOC2"/>
        <w:rPr>
          <w:rFonts w:asciiTheme="minorHAnsi" w:eastAsiaTheme="minorEastAsia" w:hAnsiTheme="minorHAnsi"/>
          <w:noProof/>
          <w:sz w:val="22"/>
          <w:lang w:eastAsia="tr-TR"/>
        </w:rPr>
      </w:pPr>
      <w:hyperlink w:anchor="_Toc808059" w:history="1">
        <w:r w:rsidR="00D73E7E" w:rsidRPr="00C57DBF">
          <w:rPr>
            <w:rStyle w:val="Hyperlink"/>
            <w:noProof/>
            <w:lang w:val="en-GB"/>
          </w:rPr>
          <w:t>Article 19: Living Independently and Being Included In the Community</w:t>
        </w:r>
        <w:r w:rsidR="00D73E7E">
          <w:rPr>
            <w:noProof/>
            <w:webHidden/>
          </w:rPr>
          <w:tab/>
        </w:r>
        <w:r w:rsidR="00D73E7E">
          <w:rPr>
            <w:noProof/>
            <w:webHidden/>
          </w:rPr>
          <w:fldChar w:fldCharType="begin"/>
        </w:r>
        <w:r w:rsidR="00D73E7E">
          <w:rPr>
            <w:noProof/>
            <w:webHidden/>
          </w:rPr>
          <w:instrText xml:space="preserve"> PAGEREF _Toc808059 \h </w:instrText>
        </w:r>
        <w:r w:rsidR="00D73E7E">
          <w:rPr>
            <w:noProof/>
            <w:webHidden/>
          </w:rPr>
        </w:r>
        <w:r w:rsidR="00D73E7E">
          <w:rPr>
            <w:noProof/>
            <w:webHidden/>
          </w:rPr>
          <w:fldChar w:fldCharType="separate"/>
        </w:r>
        <w:r w:rsidR="00D73E7E">
          <w:rPr>
            <w:noProof/>
            <w:webHidden/>
          </w:rPr>
          <w:t>16</w:t>
        </w:r>
        <w:r w:rsidR="00D73E7E">
          <w:rPr>
            <w:noProof/>
            <w:webHidden/>
          </w:rPr>
          <w:fldChar w:fldCharType="end"/>
        </w:r>
      </w:hyperlink>
    </w:p>
    <w:p w:rsidR="00D73E7E" w:rsidRDefault="00356968">
      <w:pPr>
        <w:pStyle w:val="TOC2"/>
        <w:rPr>
          <w:rFonts w:asciiTheme="minorHAnsi" w:eastAsiaTheme="minorEastAsia" w:hAnsiTheme="minorHAnsi"/>
          <w:noProof/>
          <w:sz w:val="22"/>
          <w:lang w:eastAsia="tr-TR"/>
        </w:rPr>
      </w:pPr>
      <w:hyperlink w:anchor="_Toc808060" w:history="1">
        <w:r w:rsidR="00D73E7E" w:rsidRPr="00C57DBF">
          <w:rPr>
            <w:rStyle w:val="Hyperlink"/>
            <w:rFonts w:eastAsia="Gungsuh"/>
            <w:noProof/>
            <w:lang w:val="en-GB"/>
          </w:rPr>
          <w:t>Article 24: Education</w:t>
        </w:r>
        <w:r w:rsidR="00D73E7E">
          <w:rPr>
            <w:noProof/>
            <w:webHidden/>
          </w:rPr>
          <w:tab/>
        </w:r>
        <w:r w:rsidR="00D73E7E">
          <w:rPr>
            <w:noProof/>
            <w:webHidden/>
          </w:rPr>
          <w:fldChar w:fldCharType="begin"/>
        </w:r>
        <w:r w:rsidR="00D73E7E">
          <w:rPr>
            <w:noProof/>
            <w:webHidden/>
          </w:rPr>
          <w:instrText xml:space="preserve"> PAGEREF _Toc808060 \h </w:instrText>
        </w:r>
        <w:r w:rsidR="00D73E7E">
          <w:rPr>
            <w:noProof/>
            <w:webHidden/>
          </w:rPr>
        </w:r>
        <w:r w:rsidR="00D73E7E">
          <w:rPr>
            <w:noProof/>
            <w:webHidden/>
          </w:rPr>
          <w:fldChar w:fldCharType="separate"/>
        </w:r>
        <w:r w:rsidR="00D73E7E">
          <w:rPr>
            <w:noProof/>
            <w:webHidden/>
          </w:rPr>
          <w:t>16</w:t>
        </w:r>
        <w:r w:rsidR="00D73E7E">
          <w:rPr>
            <w:noProof/>
            <w:webHidden/>
          </w:rPr>
          <w:fldChar w:fldCharType="end"/>
        </w:r>
      </w:hyperlink>
    </w:p>
    <w:p w:rsidR="00D73E7E" w:rsidRDefault="00356968">
      <w:pPr>
        <w:pStyle w:val="TOC2"/>
        <w:rPr>
          <w:rFonts w:asciiTheme="minorHAnsi" w:eastAsiaTheme="minorEastAsia" w:hAnsiTheme="minorHAnsi"/>
          <w:noProof/>
          <w:sz w:val="22"/>
          <w:lang w:eastAsia="tr-TR"/>
        </w:rPr>
      </w:pPr>
      <w:hyperlink w:anchor="_Toc808061" w:history="1">
        <w:r w:rsidR="00D73E7E" w:rsidRPr="00C57DBF">
          <w:rPr>
            <w:rStyle w:val="Hyperlink"/>
            <w:rFonts w:eastAsia="Gungsuh"/>
            <w:noProof/>
            <w:lang w:val="en-GB"/>
          </w:rPr>
          <w:t>Article 25 –Health &amp; Habilitation and rehabilitation</w:t>
        </w:r>
        <w:r w:rsidR="00D73E7E">
          <w:rPr>
            <w:noProof/>
            <w:webHidden/>
          </w:rPr>
          <w:tab/>
        </w:r>
        <w:r w:rsidR="00D73E7E">
          <w:rPr>
            <w:noProof/>
            <w:webHidden/>
          </w:rPr>
          <w:fldChar w:fldCharType="begin"/>
        </w:r>
        <w:r w:rsidR="00D73E7E">
          <w:rPr>
            <w:noProof/>
            <w:webHidden/>
          </w:rPr>
          <w:instrText xml:space="preserve"> PAGEREF _Toc808061 \h </w:instrText>
        </w:r>
        <w:r w:rsidR="00D73E7E">
          <w:rPr>
            <w:noProof/>
            <w:webHidden/>
          </w:rPr>
        </w:r>
        <w:r w:rsidR="00D73E7E">
          <w:rPr>
            <w:noProof/>
            <w:webHidden/>
          </w:rPr>
          <w:fldChar w:fldCharType="separate"/>
        </w:r>
        <w:r w:rsidR="00D73E7E">
          <w:rPr>
            <w:noProof/>
            <w:webHidden/>
          </w:rPr>
          <w:t>18</w:t>
        </w:r>
        <w:r w:rsidR="00D73E7E">
          <w:rPr>
            <w:noProof/>
            <w:webHidden/>
          </w:rPr>
          <w:fldChar w:fldCharType="end"/>
        </w:r>
      </w:hyperlink>
    </w:p>
    <w:p w:rsidR="00D73E7E" w:rsidRDefault="00356968">
      <w:pPr>
        <w:pStyle w:val="TOC2"/>
        <w:rPr>
          <w:rFonts w:asciiTheme="minorHAnsi" w:eastAsiaTheme="minorEastAsia" w:hAnsiTheme="minorHAnsi"/>
          <w:noProof/>
          <w:sz w:val="22"/>
          <w:lang w:eastAsia="tr-TR"/>
        </w:rPr>
      </w:pPr>
      <w:hyperlink w:anchor="_Toc808062" w:history="1">
        <w:r w:rsidR="00D73E7E" w:rsidRPr="00C57DBF">
          <w:rPr>
            <w:rStyle w:val="Hyperlink"/>
            <w:rFonts w:eastAsia="Gungsuh"/>
            <w:noProof/>
            <w:lang w:val="en-GB"/>
          </w:rPr>
          <w:t>Article 27 - Work and Employment</w:t>
        </w:r>
        <w:r w:rsidR="00D73E7E">
          <w:rPr>
            <w:noProof/>
            <w:webHidden/>
          </w:rPr>
          <w:tab/>
        </w:r>
        <w:r w:rsidR="00D73E7E">
          <w:rPr>
            <w:noProof/>
            <w:webHidden/>
          </w:rPr>
          <w:fldChar w:fldCharType="begin"/>
        </w:r>
        <w:r w:rsidR="00D73E7E">
          <w:rPr>
            <w:noProof/>
            <w:webHidden/>
          </w:rPr>
          <w:instrText xml:space="preserve"> PAGEREF _Toc808062 \h </w:instrText>
        </w:r>
        <w:r w:rsidR="00D73E7E">
          <w:rPr>
            <w:noProof/>
            <w:webHidden/>
          </w:rPr>
        </w:r>
        <w:r w:rsidR="00D73E7E">
          <w:rPr>
            <w:noProof/>
            <w:webHidden/>
          </w:rPr>
          <w:fldChar w:fldCharType="separate"/>
        </w:r>
        <w:r w:rsidR="00D73E7E">
          <w:rPr>
            <w:noProof/>
            <w:webHidden/>
          </w:rPr>
          <w:t>20</w:t>
        </w:r>
        <w:r w:rsidR="00D73E7E">
          <w:rPr>
            <w:noProof/>
            <w:webHidden/>
          </w:rPr>
          <w:fldChar w:fldCharType="end"/>
        </w:r>
      </w:hyperlink>
    </w:p>
    <w:p w:rsidR="00D73E7E" w:rsidRDefault="00356968">
      <w:pPr>
        <w:pStyle w:val="TOC2"/>
        <w:rPr>
          <w:rFonts w:asciiTheme="minorHAnsi" w:eastAsiaTheme="minorEastAsia" w:hAnsiTheme="minorHAnsi"/>
          <w:noProof/>
          <w:sz w:val="22"/>
          <w:lang w:eastAsia="tr-TR"/>
        </w:rPr>
      </w:pPr>
      <w:hyperlink w:anchor="_Toc808063" w:history="1">
        <w:r w:rsidR="00D73E7E" w:rsidRPr="00C57DBF">
          <w:rPr>
            <w:rStyle w:val="Hyperlink"/>
            <w:noProof/>
            <w:lang w:val="en-GB"/>
          </w:rPr>
          <w:t>Article 31: Statistics and Data Collection</w:t>
        </w:r>
        <w:r w:rsidR="00D73E7E">
          <w:rPr>
            <w:noProof/>
            <w:webHidden/>
          </w:rPr>
          <w:tab/>
        </w:r>
        <w:r w:rsidR="00D73E7E">
          <w:rPr>
            <w:noProof/>
            <w:webHidden/>
          </w:rPr>
          <w:fldChar w:fldCharType="begin"/>
        </w:r>
        <w:r w:rsidR="00D73E7E">
          <w:rPr>
            <w:noProof/>
            <w:webHidden/>
          </w:rPr>
          <w:instrText xml:space="preserve"> PAGEREF _Toc808063 \h </w:instrText>
        </w:r>
        <w:r w:rsidR="00D73E7E">
          <w:rPr>
            <w:noProof/>
            <w:webHidden/>
          </w:rPr>
        </w:r>
        <w:r w:rsidR="00D73E7E">
          <w:rPr>
            <w:noProof/>
            <w:webHidden/>
          </w:rPr>
          <w:fldChar w:fldCharType="separate"/>
        </w:r>
        <w:r w:rsidR="00D73E7E">
          <w:rPr>
            <w:noProof/>
            <w:webHidden/>
          </w:rPr>
          <w:t>21</w:t>
        </w:r>
        <w:r w:rsidR="00D73E7E">
          <w:rPr>
            <w:noProof/>
            <w:webHidden/>
          </w:rPr>
          <w:fldChar w:fldCharType="end"/>
        </w:r>
      </w:hyperlink>
    </w:p>
    <w:p w:rsidR="00AA0949" w:rsidRPr="00A84CCB" w:rsidRDefault="00AA0949" w:rsidP="00200A6C">
      <w:pPr>
        <w:pStyle w:val="Heading1"/>
        <w:jc w:val="both"/>
        <w:rPr>
          <w:color w:val="0070C0"/>
          <w:szCs w:val="20"/>
          <w:lang w:val="en-GB"/>
        </w:rPr>
      </w:pPr>
      <w:r w:rsidRPr="00A84CCB">
        <w:rPr>
          <w:color w:val="0070C0"/>
          <w:szCs w:val="20"/>
          <w:lang w:val="en-GB"/>
        </w:rPr>
        <w:fldChar w:fldCharType="end"/>
      </w:r>
    </w:p>
    <w:p w:rsidR="00AA0949" w:rsidRPr="00A84CCB" w:rsidRDefault="00AA0949" w:rsidP="00A84CCB">
      <w:pPr>
        <w:rPr>
          <w:rFonts w:eastAsiaTheme="majorEastAsia" w:cstheme="majorBidi"/>
          <w:b/>
          <w:bCs/>
          <w:color w:val="0070C0"/>
          <w:sz w:val="28"/>
          <w:szCs w:val="20"/>
          <w:lang w:val="en-GB"/>
        </w:rPr>
      </w:pPr>
      <w:r w:rsidRPr="00A84CCB">
        <w:rPr>
          <w:color w:val="0070C0"/>
          <w:szCs w:val="20"/>
          <w:lang w:val="en-GB"/>
        </w:rPr>
        <w:br w:type="page"/>
      </w:r>
    </w:p>
    <w:p w:rsidR="00251CD9" w:rsidRPr="00A84CCB" w:rsidRDefault="00251CD9" w:rsidP="00A84CCB">
      <w:pPr>
        <w:pStyle w:val="Heading1"/>
        <w:jc w:val="both"/>
        <w:rPr>
          <w:lang w:val="en-GB"/>
        </w:rPr>
      </w:pPr>
      <w:bookmarkStart w:id="2" w:name="_Toc808045"/>
      <w:r w:rsidRPr="00A84CCB">
        <w:rPr>
          <w:lang w:val="en-GB"/>
        </w:rPr>
        <w:lastRenderedPageBreak/>
        <w:t>1. Introduction</w:t>
      </w:r>
      <w:bookmarkEnd w:id="0"/>
      <w:bookmarkEnd w:id="2"/>
    </w:p>
    <w:p w:rsidR="00D3205F" w:rsidRPr="00A84CCB" w:rsidRDefault="00D3205F" w:rsidP="00A84CCB">
      <w:pPr>
        <w:jc w:val="both"/>
        <w:rPr>
          <w:rFonts w:eastAsia="Gungsuh"/>
          <w:szCs w:val="20"/>
          <w:lang w:val="en-GB"/>
        </w:rPr>
      </w:pPr>
      <w:r w:rsidRPr="00A84CCB">
        <w:rPr>
          <w:rFonts w:eastAsia="Gungsuh"/>
          <w:szCs w:val="20"/>
          <w:lang w:val="en-GB"/>
        </w:rPr>
        <w:t xml:space="preserve">With this report, it is intended to reveal the status of persons with disabilities with respect to accessibility, non-discrimination, education, work life, and healthcare rights in Turkey; to point to the issues suffered by persons with disabilities in enjoying such rights; to facilitate the evaluation of the State Report which is to be submitted by Turkey in future; and to provide guidance for relevant bodies and entities of the State of the Republic of Turkey for use in the process of </w:t>
      </w:r>
      <w:r w:rsidR="00A84CCB" w:rsidRPr="00A84CCB">
        <w:rPr>
          <w:rFonts w:eastAsia="Gungsuh"/>
          <w:szCs w:val="20"/>
          <w:lang w:val="en-GB"/>
        </w:rPr>
        <w:t>fulfilment</w:t>
      </w:r>
      <w:r w:rsidRPr="00A84CCB">
        <w:rPr>
          <w:rFonts w:eastAsia="Gungsuh"/>
          <w:szCs w:val="20"/>
          <w:lang w:val="en-GB"/>
        </w:rPr>
        <w:t xml:space="preserve"> by them of their respective obligations under the Convention. No doubt that Turkey has made remarkable efforts to allow, and has still been making progress in allowing, persons with disabilities to enjoy their respective rights during the last decade. This report also aim</w:t>
      </w:r>
      <w:r w:rsidR="00251CD9" w:rsidRPr="00A84CCB">
        <w:rPr>
          <w:rFonts w:eastAsia="Gungsuh"/>
          <w:szCs w:val="20"/>
          <w:lang w:val="en-GB"/>
        </w:rPr>
        <w:t>s at reinforcing these efforts.</w:t>
      </w:r>
    </w:p>
    <w:p w:rsidR="00251CD9" w:rsidRPr="00A84CCB" w:rsidRDefault="00251CD9" w:rsidP="00A84CCB">
      <w:pPr>
        <w:jc w:val="both"/>
        <w:rPr>
          <w:lang w:val="en-GB"/>
        </w:rPr>
      </w:pPr>
      <w:r w:rsidRPr="00A84CCB">
        <w:rPr>
          <w:lang w:val="en-GB"/>
        </w:rPr>
        <w:t>This report was prepared to reveal the actual status of persons with disabilities in Turkey associated with the rights, particularly accessibility, prohibition of discrimination, education, business life and healthcare rights stated in CRPD, point out the problems persons with disabilities have to face with respect to benefit from the said rights, to bring forward the questions useful for the Committee to ask Turkey before the final assessment of the State Report Turkey presented. In this presentation, the subject proposed for the Committee’s agenda and questions requested to ask Turkey, were produced by reviewing the report Turkey presented and from the comprehensive monitoring studies of the Disability Rights Monitoring Group, who presented the report, it performed between 2013 and 2016.</w:t>
      </w:r>
    </w:p>
    <w:p w:rsidR="00251CD9" w:rsidRPr="00A84CCB" w:rsidRDefault="00251CD9" w:rsidP="00A84CCB">
      <w:pPr>
        <w:pStyle w:val="Heading1"/>
        <w:jc w:val="both"/>
        <w:rPr>
          <w:lang w:val="en-GB"/>
        </w:rPr>
      </w:pPr>
      <w:bookmarkStart w:id="3" w:name="_Toc808046"/>
      <w:r w:rsidRPr="00A84CCB">
        <w:rPr>
          <w:lang w:val="en-GB"/>
        </w:rPr>
        <w:lastRenderedPageBreak/>
        <w:t>2. Method of the Report</w:t>
      </w:r>
      <w:bookmarkEnd w:id="3"/>
    </w:p>
    <w:p w:rsidR="00251CD9" w:rsidRPr="00A84CCB" w:rsidRDefault="00251CD9" w:rsidP="00A84CCB">
      <w:pPr>
        <w:jc w:val="both"/>
        <w:rPr>
          <w:lang w:val="en-GB"/>
        </w:rPr>
      </w:pPr>
      <w:r w:rsidRPr="00A84CCB">
        <w:rPr>
          <w:lang w:val="en-GB"/>
        </w:rPr>
        <w:t xml:space="preserve">During the said monitoring studies, the Disability Rights Monitoring Group performed the followings: </w:t>
      </w:r>
    </w:p>
    <w:p w:rsidR="00251CD9" w:rsidRPr="00A84CCB" w:rsidRDefault="00251CD9" w:rsidP="00A84CCB">
      <w:pPr>
        <w:jc w:val="both"/>
        <w:rPr>
          <w:lang w:val="en-GB"/>
        </w:rPr>
      </w:pPr>
      <w:r w:rsidRPr="00A84CCB">
        <w:rPr>
          <w:lang w:val="en-GB"/>
        </w:rPr>
        <w:t>- Obtain official data by applying 8.500 times to governmental institutions to acquire information;</w:t>
      </w:r>
    </w:p>
    <w:p w:rsidR="00251CD9" w:rsidRPr="00A84CCB" w:rsidRDefault="00251CD9" w:rsidP="00A84CCB">
      <w:pPr>
        <w:jc w:val="both"/>
        <w:rPr>
          <w:lang w:val="en-GB"/>
        </w:rPr>
      </w:pPr>
      <w:r w:rsidRPr="00A84CCB">
        <w:rPr>
          <w:lang w:val="en-GB"/>
        </w:rPr>
        <w:t>- Detect violations by browsing approximately 385 thousand news pieces in the Turkish written and visual media between 2012 and 2016;</w:t>
      </w:r>
    </w:p>
    <w:p w:rsidR="00251CD9" w:rsidRPr="00A84CCB" w:rsidRDefault="00251CD9" w:rsidP="00A84CCB">
      <w:pPr>
        <w:jc w:val="both"/>
        <w:rPr>
          <w:lang w:val="en-GB"/>
        </w:rPr>
      </w:pPr>
      <w:r w:rsidRPr="00A84CCB">
        <w:rPr>
          <w:lang w:val="en-GB"/>
        </w:rPr>
        <w:t>- Compile field problems detected in various regions of Turkey by NGO’s included in the Disability Rights Monitoring Group;</w:t>
      </w:r>
    </w:p>
    <w:p w:rsidR="00251CD9" w:rsidRPr="00A84CCB" w:rsidRDefault="00251CD9" w:rsidP="00A84CCB">
      <w:pPr>
        <w:jc w:val="both"/>
        <w:rPr>
          <w:lang w:val="en-GB"/>
        </w:rPr>
      </w:pPr>
      <w:r w:rsidRPr="00A84CCB">
        <w:rPr>
          <w:lang w:val="en-GB"/>
        </w:rPr>
        <w:t xml:space="preserve">- Search the Turkish legislations related to disability rights; </w:t>
      </w:r>
    </w:p>
    <w:p w:rsidR="00251CD9" w:rsidRPr="00A84CCB" w:rsidRDefault="00251CD9" w:rsidP="00A84CCB">
      <w:pPr>
        <w:jc w:val="both"/>
        <w:rPr>
          <w:lang w:val="en-GB"/>
        </w:rPr>
      </w:pPr>
      <w:r w:rsidRPr="00A84CCB">
        <w:rPr>
          <w:lang w:val="en-GB"/>
        </w:rPr>
        <w:t xml:space="preserve">- Collect reports of violation of right from person with disabilities (around 500); </w:t>
      </w:r>
    </w:p>
    <w:p w:rsidR="00251CD9" w:rsidRPr="00A84CCB" w:rsidRDefault="00251CD9" w:rsidP="00A84CCB">
      <w:pPr>
        <w:jc w:val="both"/>
        <w:rPr>
          <w:lang w:val="en-GB"/>
        </w:rPr>
      </w:pPr>
      <w:r w:rsidRPr="00A84CCB">
        <w:rPr>
          <w:lang w:val="en-GB"/>
        </w:rPr>
        <w:t xml:space="preserve">Questions expressed in “presentation and questions” section of the report are generated using information obtained from the official channels of the government and from other non-governmental channels.      </w:t>
      </w:r>
    </w:p>
    <w:p w:rsidR="00251CD9" w:rsidRPr="00A84CCB" w:rsidRDefault="00251CD9" w:rsidP="00A84CCB">
      <w:pPr>
        <w:jc w:val="both"/>
        <w:rPr>
          <w:lang w:val="en-GB"/>
        </w:rPr>
      </w:pPr>
      <w:r w:rsidRPr="00A84CCB">
        <w:rPr>
          <w:lang w:val="en-GB"/>
        </w:rPr>
        <w:t>The main purpose in preparing the presentation to guide the relevant institutions of the State of Turkish Republic in fulfilling their obligations arising from its Agreement. Undoubtedly, the effort Turkey has shown since 2005 on the subject of persons with disabilities benefiting from the rights is remarkable and it has been making progress. This report presented to the Committee targets also to reinforce this effort.</w:t>
      </w:r>
    </w:p>
    <w:p w:rsidR="00251CD9" w:rsidRPr="00A84CCB" w:rsidRDefault="00251CD9" w:rsidP="00A84CCB">
      <w:pPr>
        <w:jc w:val="both"/>
        <w:rPr>
          <w:rFonts w:eastAsia="Gungsuh"/>
          <w:szCs w:val="20"/>
          <w:lang w:val="en-GB"/>
        </w:rPr>
      </w:pPr>
    </w:p>
    <w:p w:rsidR="00D3205F" w:rsidRPr="00A84CCB" w:rsidRDefault="00AA0949" w:rsidP="00A84CCB">
      <w:pPr>
        <w:pStyle w:val="Heading1"/>
        <w:rPr>
          <w:lang w:val="en-GB"/>
        </w:rPr>
      </w:pPr>
      <w:bookmarkStart w:id="4" w:name="_Toc808047"/>
      <w:r w:rsidRPr="00A84CCB">
        <w:rPr>
          <w:lang w:val="en-GB"/>
        </w:rPr>
        <w:lastRenderedPageBreak/>
        <w:t xml:space="preserve">3. </w:t>
      </w:r>
      <w:r w:rsidR="00D3205F" w:rsidRPr="00A84CCB">
        <w:rPr>
          <w:lang w:val="en-GB"/>
        </w:rPr>
        <w:t>General Evaluation</w:t>
      </w:r>
      <w:bookmarkEnd w:id="4"/>
    </w:p>
    <w:p w:rsidR="00251CD9" w:rsidRPr="00A84CCB" w:rsidRDefault="00D3205F" w:rsidP="00A84CCB">
      <w:pPr>
        <w:jc w:val="both"/>
        <w:rPr>
          <w:rFonts w:eastAsia="Gungsuh"/>
          <w:szCs w:val="20"/>
          <w:lang w:val="en-GB"/>
        </w:rPr>
      </w:pPr>
      <w:r w:rsidRPr="00A84CCB">
        <w:rPr>
          <w:rFonts w:eastAsia="Gungsuh"/>
          <w:szCs w:val="20"/>
          <w:lang w:val="en-GB"/>
        </w:rPr>
        <w:t xml:space="preserve">First of all, we would like to state that Turkey satisfied expectations substantially by becoming a party to the </w:t>
      </w:r>
      <w:r w:rsidR="0034693C" w:rsidRPr="00A84CCB">
        <w:rPr>
          <w:rFonts w:eastAsia="Gungsuh"/>
          <w:szCs w:val="20"/>
          <w:lang w:val="en-GB"/>
        </w:rPr>
        <w:t>CRPD</w:t>
      </w:r>
      <w:r w:rsidRPr="00A84CCB">
        <w:rPr>
          <w:rFonts w:eastAsia="Gungsuh"/>
          <w:szCs w:val="20"/>
          <w:lang w:val="en-GB"/>
        </w:rPr>
        <w:t xml:space="preserve"> in 2009. However, Turkey has not yet submitted its report to the Committee in spite of expiration of the five-year period since the date of completion of the membership process as per Article 35 of the Convention. On the other hand, the draft country report was drafted by the Government, and submitted to non-governmental organizations for submission of their comments thereon. </w:t>
      </w:r>
    </w:p>
    <w:p w:rsidR="00D3205F" w:rsidRPr="00A84CCB" w:rsidRDefault="00D3205F" w:rsidP="00A84CCB">
      <w:pPr>
        <w:jc w:val="both"/>
        <w:rPr>
          <w:rFonts w:eastAsia="Gungsuh"/>
          <w:szCs w:val="20"/>
          <w:lang w:val="en-GB"/>
        </w:rPr>
      </w:pPr>
      <w:r w:rsidRPr="00A84CCB">
        <w:rPr>
          <w:rFonts w:eastAsia="Gungsuh"/>
          <w:szCs w:val="20"/>
          <w:lang w:val="en-GB"/>
        </w:rPr>
        <w:t>In Turkey, the largest and unique study into the population and demographical details of persons with disabilities is the 2002 Study on Persons with Disabilities in Turkey, which suggests that the ratio of persons with disabilities to overall population is 12.29%.</w:t>
      </w:r>
      <w:r w:rsidRPr="00A84CCB">
        <w:rPr>
          <w:rStyle w:val="FootnoteReference"/>
          <w:rFonts w:eastAsia="Gungsuh"/>
          <w:szCs w:val="20"/>
          <w:lang w:val="en-GB"/>
        </w:rPr>
        <w:footnoteReference w:id="1"/>
      </w:r>
      <w:r w:rsidRPr="00A84CCB">
        <w:rPr>
          <w:rFonts w:eastAsia="Gungsuh"/>
          <w:szCs w:val="20"/>
          <w:lang w:val="en-GB"/>
        </w:rPr>
        <w:t xml:space="preserve"> However, the study does not indicate actual population of persons with disabilities, but instead gives an estimation of population of persons with disabilities in Turkey. </w:t>
      </w:r>
    </w:p>
    <w:p w:rsidR="00D3205F" w:rsidRPr="00A84CCB" w:rsidRDefault="00D3205F" w:rsidP="00A84CCB">
      <w:pPr>
        <w:jc w:val="both"/>
        <w:rPr>
          <w:rFonts w:eastAsia="Gungsuh"/>
          <w:szCs w:val="20"/>
          <w:lang w:val="en-GB"/>
        </w:rPr>
      </w:pPr>
      <w:r w:rsidRPr="00A84CCB">
        <w:rPr>
          <w:rFonts w:eastAsia="Gungsuh"/>
          <w:szCs w:val="20"/>
          <w:lang w:val="en-GB"/>
        </w:rPr>
        <w:t xml:space="preserve">In Turkey, persons with disabilities represent a disadvantageous group, who have been grossly neglected for many years. However, it was only after 1997 when initiatives were set for the development of policies toward persons with disabilities. The most important step taken in this regard was the adoption, in 2005, of the Law on Persons </w:t>
      </w:r>
      <w:r w:rsidRPr="00A84CCB">
        <w:rPr>
          <w:rFonts w:eastAsia="Gungsuh"/>
          <w:szCs w:val="20"/>
          <w:lang w:val="en-GB"/>
        </w:rPr>
        <w:lastRenderedPageBreak/>
        <w:t>with Disabilities No. 5378 (“</w:t>
      </w:r>
      <w:r w:rsidR="00F36D14" w:rsidRPr="00A84CCB">
        <w:rPr>
          <w:lang w:val="en-GB"/>
        </w:rPr>
        <w:t>EHK</w:t>
      </w:r>
      <w:r w:rsidRPr="00A84CCB">
        <w:rPr>
          <w:rFonts w:eastAsia="Gungsuh"/>
          <w:szCs w:val="20"/>
          <w:lang w:val="en-GB"/>
        </w:rPr>
        <w:t xml:space="preserve">”), which specially regulates issues regarding disabilities for the first time. This law experienced various amendments as well as extensions in scope during subsequent years. </w:t>
      </w:r>
    </w:p>
    <w:p w:rsidR="00D3205F" w:rsidRPr="00A84CCB" w:rsidRDefault="00D3205F" w:rsidP="00A84CCB">
      <w:pPr>
        <w:jc w:val="both"/>
        <w:rPr>
          <w:rFonts w:eastAsia="Gungsuh"/>
          <w:szCs w:val="20"/>
          <w:lang w:val="en-GB"/>
        </w:rPr>
      </w:pPr>
      <w:r w:rsidRPr="00A84CCB">
        <w:rPr>
          <w:rFonts w:eastAsia="Gungsuh"/>
          <w:szCs w:val="20"/>
          <w:lang w:val="en-GB"/>
        </w:rPr>
        <w:t xml:space="preserve">With the Law, all acts of discrimination committed on the ground of disabilities were forbidden for the first time. In February 2014, types of discrimination were defined for the first time by means of an amendment to the </w:t>
      </w:r>
      <w:r w:rsidR="00F36D14" w:rsidRPr="00A84CCB">
        <w:rPr>
          <w:lang w:val="en-GB"/>
        </w:rPr>
        <w:t>EHK</w:t>
      </w:r>
      <w:r w:rsidRPr="00A84CCB">
        <w:rPr>
          <w:rFonts w:eastAsia="Gungsuh"/>
          <w:szCs w:val="20"/>
          <w:lang w:val="en-GB"/>
        </w:rPr>
        <w:t xml:space="preserve">. However, it must be noted that applicable regulations as well as implementation thereof are rather problematic with many inconsistencies contained therein. First, the </w:t>
      </w:r>
      <w:r w:rsidR="00F36D14" w:rsidRPr="00A84CCB">
        <w:rPr>
          <w:lang w:val="en-GB"/>
        </w:rPr>
        <w:t>EHK</w:t>
      </w:r>
      <w:r w:rsidRPr="00A84CCB">
        <w:rPr>
          <w:rFonts w:eastAsia="Gungsuh"/>
          <w:szCs w:val="20"/>
          <w:lang w:val="en-GB"/>
        </w:rPr>
        <w:t xml:space="preserve"> does not stipulate any sanctions to be imposed in case of breach of obligations laid down in applicable regulations (especially with respect to education, social rights, social aids, and etc.), and many difficulties are faced in practice since entities which are obliged to enforce such provisions, and courts do not know the scope of applicable obligations. For example, Article 4 of the </w:t>
      </w:r>
      <w:r w:rsidR="00F36D14" w:rsidRPr="00A84CCB">
        <w:rPr>
          <w:lang w:val="en-GB"/>
        </w:rPr>
        <w:t>EHK</w:t>
      </w:r>
      <w:r w:rsidRPr="00A84CCB">
        <w:rPr>
          <w:rFonts w:eastAsia="Gungsuh"/>
          <w:szCs w:val="20"/>
          <w:lang w:val="en-GB"/>
        </w:rPr>
        <w:t xml:space="preserve">, which was put in effect in 2005, prohibits all acts of discrimination. Furthermore, the Law No 6518 of February 2014 incorporated several provisions to some laws, prohibiting all acts of discrimination committed on the ground of disabilities. However the Law does not stipulate any sanctions which are to be imposed in case of breach of this obligation. As a matter of fact, only a few lawsuits could have been initiated for breach of non-discrimination obligations or reasonable harmonization obligations although nine years have elapsed since the adoption of the </w:t>
      </w:r>
      <w:r w:rsidR="00F36D14" w:rsidRPr="00A84CCB">
        <w:rPr>
          <w:lang w:val="en-GB"/>
        </w:rPr>
        <w:t>EHK</w:t>
      </w:r>
      <w:r w:rsidRPr="00A84CCB">
        <w:rPr>
          <w:rFonts w:eastAsia="Gungsuh"/>
          <w:szCs w:val="20"/>
          <w:lang w:val="en-GB"/>
        </w:rPr>
        <w:t xml:space="preserve"> in 2005, which introduced the first arrangement on prohibition of all acts of discrimination committed on the ground of disabilities.</w:t>
      </w:r>
    </w:p>
    <w:p w:rsidR="00D3205F" w:rsidRPr="00A84CCB" w:rsidRDefault="00D3205F" w:rsidP="00A84CCB">
      <w:pPr>
        <w:jc w:val="both"/>
        <w:rPr>
          <w:rFonts w:eastAsia="Gungsuh"/>
          <w:szCs w:val="20"/>
          <w:lang w:val="en-GB"/>
        </w:rPr>
      </w:pPr>
      <w:r w:rsidRPr="00A84CCB">
        <w:rPr>
          <w:rFonts w:eastAsia="Gungsuh"/>
          <w:szCs w:val="20"/>
          <w:lang w:val="en-GB"/>
        </w:rPr>
        <w:t>Although there is no sufficient infrastructure in this regard, some State-performed studies may give clues, even partial, about the rights available to persons with disabilities. The study titled “A Study on Prob</w:t>
      </w:r>
      <w:r w:rsidRPr="00A84CCB">
        <w:rPr>
          <w:rFonts w:eastAsia="Gungsuh"/>
          <w:szCs w:val="20"/>
          <w:lang w:val="en-GB"/>
        </w:rPr>
        <w:lastRenderedPageBreak/>
        <w:t xml:space="preserve">lems and Expectations of Persons with Disabilities for </w:t>
      </w:r>
      <w:smartTag w:uri="urn:schemas-microsoft-com:office:smarttags" w:element="metricconverter">
        <w:smartTagPr>
          <w:attr w:name="ProductID" w:val="2010”"/>
        </w:smartTagPr>
        <w:r w:rsidRPr="00A84CCB">
          <w:rPr>
            <w:rFonts w:eastAsia="Gungsuh"/>
            <w:szCs w:val="20"/>
            <w:lang w:val="en-GB"/>
          </w:rPr>
          <w:t>2010”</w:t>
        </w:r>
      </w:smartTag>
      <w:r w:rsidRPr="00A84CCB">
        <w:rPr>
          <w:rFonts w:eastAsia="Gungsuh"/>
          <w:szCs w:val="20"/>
          <w:lang w:val="en-GB"/>
        </w:rPr>
        <w:t xml:space="preserve">, conducted by the </w:t>
      </w:r>
      <w:r w:rsidR="00F36D14" w:rsidRPr="00A84CCB">
        <w:rPr>
          <w:lang w:val="en-GB"/>
        </w:rPr>
        <w:t>EYHGM</w:t>
      </w:r>
      <w:r w:rsidRPr="00A84CCB">
        <w:rPr>
          <w:rFonts w:eastAsia="Gungsuh"/>
          <w:szCs w:val="20"/>
          <w:lang w:val="en-GB"/>
        </w:rPr>
        <w:t xml:space="preserve"> in cooperation with Turkish Statistics Institute</w:t>
      </w:r>
      <w:r w:rsidR="006F123F" w:rsidRPr="00A84CCB">
        <w:rPr>
          <w:rFonts w:eastAsia="Gungsuh"/>
          <w:szCs w:val="20"/>
          <w:lang w:val="en-GB"/>
        </w:rPr>
        <w:t xml:space="preserve"> (TÜİK)</w:t>
      </w:r>
      <w:r w:rsidRPr="00A84CCB">
        <w:rPr>
          <w:rFonts w:eastAsia="Gungsuh"/>
          <w:szCs w:val="20"/>
          <w:lang w:val="en-GB"/>
        </w:rPr>
        <w:t xml:space="preserve">, is a leading example in this regard. </w:t>
      </w:r>
    </w:p>
    <w:p w:rsidR="00D3205F" w:rsidRPr="00A84CCB" w:rsidRDefault="00D3205F" w:rsidP="00A84CCB">
      <w:pPr>
        <w:jc w:val="both"/>
        <w:rPr>
          <w:rFonts w:eastAsia="Gungsuh"/>
          <w:szCs w:val="20"/>
          <w:lang w:val="en-GB"/>
        </w:rPr>
      </w:pPr>
      <w:r w:rsidRPr="00A84CCB">
        <w:rPr>
          <w:rFonts w:eastAsia="Gungsuh"/>
          <w:szCs w:val="20"/>
          <w:lang w:val="en-GB"/>
        </w:rPr>
        <w:t>The study, which measured daily life problems and expectations of persons with disabilities, who are registered in the National Database for Persons with Disabilities, suggests that the field of access and transportation is the field of problems where persons with disabilities stated that they suffered problems at the highest level. Accordingly, 66.9% of persons with disabilities registered in the Database stated that pavements, pedestrian ways, and crosswalks were not suitable for their use; 66.3% stated that their buildings were not suitable for their use; 59.5% stated that stores, markets, and restaurants were not suitable for their use; 58.4% stated that public buildings were not suitable for their use; and 55.4% stated that posthouses, banks, and similar places were not suitable for their use.</w:t>
      </w:r>
      <w:r w:rsidRPr="00A84CCB">
        <w:rPr>
          <w:rStyle w:val="FootnoteReference"/>
          <w:rFonts w:eastAsia="Gungsuh"/>
          <w:szCs w:val="20"/>
          <w:lang w:val="en-GB"/>
        </w:rPr>
        <w:footnoteReference w:id="2"/>
      </w:r>
    </w:p>
    <w:p w:rsidR="00D3205F" w:rsidRPr="00A84CCB" w:rsidRDefault="00D3205F" w:rsidP="00A84CCB">
      <w:pPr>
        <w:jc w:val="both"/>
        <w:rPr>
          <w:rFonts w:eastAsia="Gungsuh"/>
          <w:szCs w:val="20"/>
          <w:lang w:val="en-GB"/>
        </w:rPr>
      </w:pPr>
      <w:r w:rsidRPr="00A84CCB">
        <w:rPr>
          <w:rFonts w:eastAsia="Gungsuh"/>
          <w:szCs w:val="20"/>
          <w:lang w:val="en-GB"/>
        </w:rPr>
        <w:t>The data available with respect to mass transportation services suggests that “30.9% of persons with disabilities registered in the Database stated that they were able to use mass transportation vehicles without help of others whereas 69.1% stated that they were not able to use mass transportation vehicles without help of others.”</w:t>
      </w:r>
      <w:r w:rsidRPr="00A84CCB">
        <w:rPr>
          <w:rStyle w:val="FootnoteReference"/>
          <w:rFonts w:eastAsia="Gungsuh"/>
          <w:szCs w:val="20"/>
          <w:lang w:val="en-GB"/>
        </w:rPr>
        <w:footnoteReference w:id="3"/>
      </w:r>
      <w:r w:rsidRPr="00A84CCB">
        <w:rPr>
          <w:rFonts w:eastAsia="Gungsuh"/>
          <w:szCs w:val="20"/>
          <w:lang w:val="en-GB"/>
        </w:rPr>
        <w:t xml:space="preserve"> A fact especially draws attention in these percentage rates: 89.6% of persons with disabilities are not able to go out without help of any companion. This means that persons with disabilities are not able to move independently outside. </w:t>
      </w:r>
    </w:p>
    <w:p w:rsidR="00D3205F" w:rsidRPr="00A84CCB" w:rsidRDefault="00D3205F" w:rsidP="00A84CCB">
      <w:pPr>
        <w:jc w:val="both"/>
        <w:rPr>
          <w:rFonts w:eastAsia="Gungsuh"/>
          <w:szCs w:val="20"/>
          <w:lang w:val="en-GB"/>
        </w:rPr>
      </w:pPr>
      <w:r w:rsidRPr="00A84CCB">
        <w:rPr>
          <w:rFonts w:eastAsia="Gungsuh"/>
          <w:szCs w:val="20"/>
          <w:lang w:val="en-GB"/>
        </w:rPr>
        <w:lastRenderedPageBreak/>
        <w:t>The above-cited problem of “being unable to move independently” strongly suggests that persons with disabilities can suffer problems in making access to services rendered in fields of education, employment, and healthcare. As a matter of fact, this is also confirmed by other facts that were revealed within scope of the study. According to the study, 41.6% of persons with disabilities registered in the Database are not literate; 18.2.% are literate but could not graduate from any school; 22.3% are primary school graduates; 10.3% are primary-secondary school graduates; and 7.7% are high school or any higher school graduates.</w:t>
      </w:r>
      <w:r w:rsidRPr="00A84CCB">
        <w:rPr>
          <w:rStyle w:val="FootnoteReference"/>
          <w:rFonts w:eastAsia="Gungsuh"/>
          <w:szCs w:val="20"/>
          <w:lang w:val="en-GB"/>
        </w:rPr>
        <w:footnoteReference w:id="4"/>
      </w:r>
    </w:p>
    <w:p w:rsidR="00D3205F" w:rsidRPr="00A84CCB" w:rsidRDefault="00D3205F" w:rsidP="00A84CCB">
      <w:pPr>
        <w:jc w:val="both"/>
        <w:rPr>
          <w:rFonts w:eastAsia="Gungsuh"/>
          <w:szCs w:val="20"/>
          <w:lang w:val="en-GB"/>
        </w:rPr>
      </w:pPr>
      <w:r w:rsidRPr="00A84CCB">
        <w:rPr>
          <w:rFonts w:eastAsia="Gungsuh"/>
          <w:szCs w:val="20"/>
          <w:lang w:val="en-GB"/>
        </w:rPr>
        <w:t>The profile suggested by the data compiled about employment status of persons with disabilities is similar to that suggested by field of education. The study puts as follows: “A review of employment status of registered persons with disabilities indicates that percentage of employed persons with disabilities is 14.3% during reference period. As for settlement areas, percentage of employed persons with disabilities domiciled at urban areas is higher than those settled in rural areas. 16.3% of persons with disabilities settled in urban areas are employed whereas this rate is 11.2% for those settled in rural areas.”</w:t>
      </w:r>
      <w:r w:rsidRPr="00A84CCB">
        <w:rPr>
          <w:rStyle w:val="FootnoteReference"/>
          <w:rFonts w:eastAsia="Gungsuh"/>
          <w:szCs w:val="20"/>
          <w:lang w:val="en-GB"/>
        </w:rPr>
        <w:footnoteReference w:id="5"/>
      </w:r>
    </w:p>
    <w:p w:rsidR="00D3205F" w:rsidRPr="00A84CCB" w:rsidRDefault="00D3205F" w:rsidP="00A84CCB">
      <w:pPr>
        <w:jc w:val="both"/>
        <w:rPr>
          <w:rFonts w:eastAsia="Gungsuh"/>
          <w:szCs w:val="20"/>
          <w:lang w:val="en-GB"/>
        </w:rPr>
      </w:pPr>
      <w:r w:rsidRPr="00A84CCB">
        <w:rPr>
          <w:rFonts w:eastAsia="Gungsuh"/>
          <w:szCs w:val="20"/>
          <w:lang w:val="en-GB"/>
        </w:rPr>
        <w:t xml:space="preserve">Feedbacks made by persons with disabilities about issues suffered in making access to healthcare services translate to rather high percentage values. A review of problems experienced by registered persons with disabilities in making access to healthcare services indicates that 69.8% need the help of anyone else in performing hospital formalities, 53.3% fail to make sufficient contact with healthcare staff, 47.5% fail to receive adequate information from healthcare staff about their state </w:t>
      </w:r>
      <w:r w:rsidRPr="00A84CCB">
        <w:rPr>
          <w:rFonts w:eastAsia="Gungsuh"/>
          <w:szCs w:val="20"/>
          <w:lang w:val="en-GB"/>
        </w:rPr>
        <w:lastRenderedPageBreak/>
        <w:t>of disabilities and treatment processes, 47.4% suffered difficulties in moving at healthcare facilities, and 45.6% suffered difficulties in going to healthcare facilities.”</w:t>
      </w:r>
      <w:r w:rsidRPr="00A84CCB">
        <w:rPr>
          <w:rStyle w:val="FootnoteReference"/>
          <w:rFonts w:eastAsia="Gungsuh"/>
          <w:szCs w:val="20"/>
          <w:lang w:val="en-GB"/>
        </w:rPr>
        <w:footnoteReference w:id="6"/>
      </w:r>
    </w:p>
    <w:p w:rsidR="00D3205F" w:rsidRPr="00A84CCB" w:rsidRDefault="00D3205F" w:rsidP="00A84CCB">
      <w:pPr>
        <w:jc w:val="both"/>
        <w:rPr>
          <w:rFonts w:eastAsia="Gungsuh"/>
          <w:szCs w:val="20"/>
          <w:lang w:val="en-GB"/>
        </w:rPr>
      </w:pPr>
      <w:r w:rsidRPr="00A84CCB">
        <w:rPr>
          <w:rFonts w:eastAsia="Gungsuh"/>
          <w:szCs w:val="20"/>
          <w:lang w:val="en-GB"/>
        </w:rPr>
        <w:t xml:space="preserve">The above-cited problems suffered in making access to public services suggest that the obligations regarding prohibition of acts of discrimination set out in Article 5 of the </w:t>
      </w:r>
      <w:r w:rsidR="00F36D14" w:rsidRPr="00A84CCB">
        <w:rPr>
          <w:rFonts w:eastAsia="Gungsuh"/>
          <w:szCs w:val="20"/>
          <w:lang w:val="en-GB"/>
        </w:rPr>
        <w:t>CRPD</w:t>
      </w:r>
      <w:r w:rsidRPr="00A84CCB">
        <w:rPr>
          <w:rFonts w:eastAsia="Gungsuh"/>
          <w:szCs w:val="20"/>
          <w:lang w:val="en-GB"/>
        </w:rPr>
        <w:t xml:space="preserve"> are not fulfilled. </w:t>
      </w:r>
    </w:p>
    <w:p w:rsidR="00D3205F" w:rsidRPr="00A84CCB" w:rsidRDefault="00D3205F" w:rsidP="00A84CCB">
      <w:pPr>
        <w:jc w:val="both"/>
        <w:rPr>
          <w:rFonts w:eastAsia="Gungsuh"/>
          <w:szCs w:val="20"/>
          <w:lang w:val="en-GB"/>
        </w:rPr>
      </w:pPr>
      <w:r w:rsidRPr="00A84CCB">
        <w:rPr>
          <w:rFonts w:eastAsia="Gungsuh"/>
          <w:szCs w:val="20"/>
          <w:lang w:val="en-GB"/>
        </w:rPr>
        <w:t xml:space="preserve">A State-performed study titled ‘A Study for Measurement of Acts of Discrimination Committed on Ground of Disabilities as of </w:t>
      </w:r>
      <w:smartTag w:uri="urn:schemas-microsoft-com:office:smarttags" w:element="metricconverter">
        <w:smartTagPr>
          <w:attr w:name="ProductID" w:val="2010’"/>
        </w:smartTagPr>
        <w:r w:rsidRPr="00A84CCB">
          <w:rPr>
            <w:rFonts w:eastAsia="Gungsuh"/>
            <w:szCs w:val="20"/>
            <w:lang w:val="en-GB"/>
          </w:rPr>
          <w:t>2010’</w:t>
        </w:r>
      </w:smartTag>
      <w:r w:rsidRPr="00A84CCB">
        <w:rPr>
          <w:rFonts w:eastAsia="Gungsuh"/>
          <w:szCs w:val="20"/>
          <w:lang w:val="en-GB"/>
        </w:rPr>
        <w:t xml:space="preserve"> gives conclusions that verify such determination. At this point, it is beneficial to cite some examples from the study. </w:t>
      </w:r>
    </w:p>
    <w:p w:rsidR="00D3205F" w:rsidRPr="00A84CCB" w:rsidRDefault="00D3205F" w:rsidP="00A84CCB">
      <w:pPr>
        <w:jc w:val="both"/>
        <w:rPr>
          <w:rFonts w:eastAsia="Gungsuh"/>
          <w:szCs w:val="20"/>
          <w:lang w:val="en-GB"/>
        </w:rPr>
      </w:pPr>
      <w:r w:rsidRPr="00A84CCB">
        <w:rPr>
          <w:rFonts w:eastAsia="Gungsuh"/>
          <w:szCs w:val="20"/>
          <w:lang w:val="en-GB"/>
        </w:rPr>
        <w:t xml:space="preserve">The study suggests that 96.3% of persons with disabilities told that they suffered discrimination (9.5% rarely, 14.1% occasionally, 40.3% for the most of time, and 31.5% for all the time) </w:t>
      </w:r>
      <w:r w:rsidRPr="00A84CCB">
        <w:rPr>
          <w:rStyle w:val="FootnoteReference"/>
          <w:rFonts w:eastAsia="Gungsuh"/>
          <w:szCs w:val="20"/>
          <w:lang w:val="en-GB"/>
        </w:rPr>
        <w:footnoteReference w:id="7"/>
      </w:r>
      <w:r w:rsidRPr="00A84CCB">
        <w:rPr>
          <w:rFonts w:eastAsia="Gungsuh"/>
          <w:szCs w:val="20"/>
          <w:lang w:val="en-GB"/>
        </w:rPr>
        <w:t xml:space="preserve"> Similarly, when persons with disabilities were asked whether they perceived any discrimination in the field of education, 25.3% of survey population stated that they experienced discrimination all the time, and 34.1% suffered discrimination for the most of time. 16.6% consider that discrimination is committed occasionally in the field of education.</w:t>
      </w:r>
      <w:r w:rsidRPr="00A84CCB">
        <w:rPr>
          <w:rStyle w:val="FootnoteReference"/>
          <w:rFonts w:eastAsia="Gungsuh"/>
          <w:szCs w:val="20"/>
          <w:lang w:val="en-GB"/>
        </w:rPr>
        <w:footnoteReference w:id="8"/>
      </w:r>
    </w:p>
    <w:p w:rsidR="00D3205F" w:rsidRPr="00A84CCB" w:rsidRDefault="00D3205F" w:rsidP="00A84CCB">
      <w:pPr>
        <w:jc w:val="both"/>
        <w:rPr>
          <w:rFonts w:eastAsia="Gungsuh"/>
          <w:szCs w:val="20"/>
          <w:lang w:val="en-GB"/>
        </w:rPr>
      </w:pPr>
      <w:r w:rsidRPr="00A84CCB">
        <w:rPr>
          <w:rFonts w:eastAsia="Gungsuh"/>
          <w:szCs w:val="20"/>
          <w:lang w:val="en-GB"/>
        </w:rPr>
        <w:t xml:space="preserve">It must be underlined that the thought that persons with disabilities suffer acts of discrimination is a perception or an opinion before anything else. No doubt that such perception or opinion is fed by such experiences that are based on daily life practices, and involves truth </w:t>
      </w:r>
      <w:r w:rsidRPr="00A84CCB">
        <w:rPr>
          <w:rFonts w:eastAsia="Gungsuh"/>
          <w:szCs w:val="20"/>
          <w:lang w:val="en-GB"/>
        </w:rPr>
        <w:lastRenderedPageBreak/>
        <w:t>to some extent. On the other hand, however, “it is not possible to claim whether equality is present or not given the lack of necessary data since we have no scientific base to prove the claim.”</w:t>
      </w:r>
      <w:r w:rsidRPr="00A84CCB">
        <w:rPr>
          <w:rStyle w:val="FootnoteReference"/>
          <w:rFonts w:eastAsia="Gungsuh"/>
          <w:szCs w:val="20"/>
          <w:lang w:val="en-GB"/>
        </w:rPr>
        <w:footnoteReference w:id="9"/>
      </w:r>
      <w:r w:rsidRPr="00A84CCB">
        <w:rPr>
          <w:rFonts w:eastAsia="Gungsuh"/>
          <w:szCs w:val="20"/>
          <w:lang w:val="en-GB"/>
        </w:rPr>
        <w:t xml:space="preserve"> This fact points to the need for performance of data gathering, monitoring, and reporting activities. </w:t>
      </w:r>
    </w:p>
    <w:p w:rsidR="00D3205F" w:rsidRPr="00A84CCB" w:rsidRDefault="00D3205F" w:rsidP="00A84CCB">
      <w:pPr>
        <w:jc w:val="both"/>
        <w:rPr>
          <w:rFonts w:eastAsia="Gungsuh"/>
          <w:szCs w:val="20"/>
          <w:lang w:val="en-GB"/>
        </w:rPr>
      </w:pPr>
      <w:r w:rsidRPr="00A84CCB">
        <w:rPr>
          <w:rFonts w:eastAsia="Gungsuh"/>
          <w:szCs w:val="20"/>
          <w:lang w:val="en-GB"/>
        </w:rPr>
        <w:t xml:space="preserve">The monitoring, data gathering, and interpretation efforts performed by the </w:t>
      </w:r>
      <w:r w:rsidR="00E11177" w:rsidRPr="00A84CCB">
        <w:rPr>
          <w:rFonts w:eastAsia="Gungsuh"/>
          <w:szCs w:val="20"/>
          <w:lang w:val="en-GB"/>
        </w:rPr>
        <w:t>Social Rights and Research Society</w:t>
      </w:r>
      <w:r w:rsidRPr="00A84CCB">
        <w:rPr>
          <w:rFonts w:eastAsia="Gungsuh"/>
          <w:szCs w:val="20"/>
          <w:lang w:val="en-GB"/>
        </w:rPr>
        <w:t xml:space="preserve"> (</w:t>
      </w:r>
      <w:r w:rsidR="00E11177" w:rsidRPr="00A84CCB">
        <w:rPr>
          <w:rFonts w:eastAsia="Gungsuh"/>
          <w:szCs w:val="20"/>
          <w:lang w:val="en-GB"/>
        </w:rPr>
        <w:t>TOHAD</w:t>
      </w:r>
      <w:r w:rsidRPr="00A84CCB">
        <w:rPr>
          <w:rFonts w:eastAsia="Gungsuh"/>
          <w:szCs w:val="20"/>
          <w:lang w:val="en-GB"/>
        </w:rPr>
        <w:t xml:space="preserve">) before this reporting activity of the </w:t>
      </w:r>
      <w:r w:rsidR="00E11177" w:rsidRPr="00A84CCB">
        <w:rPr>
          <w:rFonts w:eastAsia="Gungsuh"/>
          <w:szCs w:val="20"/>
          <w:lang w:val="en-GB"/>
        </w:rPr>
        <w:t xml:space="preserve">TOHAD </w:t>
      </w:r>
      <w:r w:rsidRPr="00A84CCB">
        <w:rPr>
          <w:rFonts w:eastAsia="Gungsuh"/>
          <w:szCs w:val="20"/>
          <w:lang w:val="en-GB"/>
        </w:rPr>
        <w:t xml:space="preserve">about Turkey within scope of the </w:t>
      </w:r>
      <w:r w:rsidR="00E11177" w:rsidRPr="00A84CCB">
        <w:rPr>
          <w:rFonts w:eastAsia="Gungsuh"/>
          <w:szCs w:val="20"/>
          <w:lang w:val="en-GB"/>
        </w:rPr>
        <w:t>CRPD</w:t>
      </w:r>
      <w:r w:rsidRPr="00A84CCB">
        <w:rPr>
          <w:rFonts w:eastAsia="Gungsuh"/>
          <w:szCs w:val="20"/>
          <w:lang w:val="en-GB"/>
        </w:rPr>
        <w:t xml:space="preserve"> represent a significant starting point in this regard. On the other hand, it is required for the Government to cooperate with non-governmental organizations (NGOs) in order to be able to solve existing issues. </w:t>
      </w:r>
    </w:p>
    <w:p w:rsidR="00D3205F" w:rsidRPr="00A84CCB" w:rsidRDefault="00D3205F" w:rsidP="00A84CCB">
      <w:pPr>
        <w:pStyle w:val="Heading2"/>
        <w:rPr>
          <w:rFonts w:eastAsia="Gungsuh"/>
          <w:lang w:val="en-GB"/>
        </w:rPr>
      </w:pPr>
      <w:bookmarkStart w:id="5" w:name="_Toc808048"/>
      <w:r w:rsidRPr="00A84CCB">
        <w:rPr>
          <w:rFonts w:eastAsia="Gungsuh"/>
          <w:lang w:val="en-GB"/>
        </w:rPr>
        <w:t>Article 5</w:t>
      </w:r>
      <w:r w:rsidR="00F063BD" w:rsidRPr="00A84CCB">
        <w:rPr>
          <w:rFonts w:eastAsia="Gungsuh"/>
          <w:lang w:val="en-GB"/>
        </w:rPr>
        <w:t xml:space="preserve">: </w:t>
      </w:r>
      <w:r w:rsidRPr="00A84CCB">
        <w:rPr>
          <w:rFonts w:eastAsia="Gungsuh"/>
          <w:lang w:val="en-GB"/>
        </w:rPr>
        <w:t>Equality and non-discrimination</w:t>
      </w:r>
      <w:bookmarkEnd w:id="5"/>
    </w:p>
    <w:p w:rsidR="00D3205F" w:rsidRPr="00A84CCB" w:rsidRDefault="00D3205F" w:rsidP="00A84CCB">
      <w:pPr>
        <w:jc w:val="both"/>
        <w:rPr>
          <w:rFonts w:eastAsia="Gungsuh"/>
          <w:szCs w:val="20"/>
          <w:lang w:val="en-GB"/>
        </w:rPr>
      </w:pPr>
      <w:r w:rsidRPr="00A84CCB">
        <w:rPr>
          <w:rFonts w:eastAsia="Gungsuh"/>
          <w:szCs w:val="20"/>
          <w:lang w:val="en-GB"/>
        </w:rPr>
        <w:t xml:space="preserve">Many national legislations, especially including the </w:t>
      </w:r>
      <w:r w:rsidR="00F36D14" w:rsidRPr="00A84CCB">
        <w:rPr>
          <w:rFonts w:eastAsia="Gungsuh"/>
          <w:szCs w:val="20"/>
          <w:lang w:val="en-GB"/>
        </w:rPr>
        <w:t>EHK</w:t>
      </w:r>
      <w:r w:rsidRPr="00A84CCB">
        <w:rPr>
          <w:rFonts w:eastAsia="Gungsuh"/>
          <w:szCs w:val="20"/>
          <w:lang w:val="en-GB"/>
        </w:rPr>
        <w:t xml:space="preserve"> No. 53</w:t>
      </w:r>
      <w:r w:rsidR="00E11177" w:rsidRPr="00A84CCB">
        <w:rPr>
          <w:rFonts w:eastAsia="Gungsuh"/>
          <w:szCs w:val="20"/>
          <w:lang w:val="en-GB"/>
        </w:rPr>
        <w:t>7</w:t>
      </w:r>
      <w:r w:rsidRPr="00A84CCB">
        <w:rPr>
          <w:rFonts w:eastAsia="Gungsuh"/>
          <w:szCs w:val="20"/>
          <w:lang w:val="en-GB"/>
        </w:rPr>
        <w:t>8, prohibit all</w:t>
      </w:r>
      <w:r w:rsidR="00BF23B9" w:rsidRPr="00A84CCB">
        <w:rPr>
          <w:rFonts w:eastAsia="Gungsuh"/>
          <w:szCs w:val="20"/>
          <w:lang w:val="en-GB"/>
        </w:rPr>
        <w:t xml:space="preserve"> acts of discrimination</w:t>
      </w:r>
      <w:r w:rsidRPr="00A84CCB">
        <w:rPr>
          <w:rFonts w:eastAsia="Gungsuh"/>
          <w:szCs w:val="20"/>
          <w:lang w:val="en-GB"/>
        </w:rPr>
        <w:t xml:space="preserve"> committed on ground of disability. However situations in which acts of discrimination are considered a crime are restricted to such acts that are listed in Article 122 of the </w:t>
      </w:r>
      <w:r w:rsidR="00E11177" w:rsidRPr="00A84CCB">
        <w:rPr>
          <w:rFonts w:eastAsia="Gungsuh"/>
          <w:szCs w:val="20"/>
          <w:lang w:val="en-GB"/>
        </w:rPr>
        <w:t>Turkish Criminal Law (TCK, No 5237)</w:t>
      </w:r>
      <w:r w:rsidRPr="00A84CCB">
        <w:rPr>
          <w:rFonts w:eastAsia="Gungsuh"/>
          <w:szCs w:val="20"/>
          <w:lang w:val="en-GB"/>
        </w:rPr>
        <w:t xml:space="preserve">. Sanctions which might be imposed on any acts of discrimination other than those are uncertain. On the other hand, Article 15 of the Law No. 6529, which was adopted on March 2, 2014, introduced some changes to such article of </w:t>
      </w:r>
      <w:r w:rsidR="00E11177" w:rsidRPr="00A84CCB">
        <w:rPr>
          <w:rFonts w:eastAsia="Gungsuh"/>
          <w:szCs w:val="20"/>
          <w:lang w:val="en-GB"/>
        </w:rPr>
        <w:t>TCK</w:t>
      </w:r>
      <w:r w:rsidRPr="00A84CCB">
        <w:rPr>
          <w:rFonts w:eastAsia="Gungsuh"/>
          <w:szCs w:val="20"/>
          <w:lang w:val="en-GB"/>
        </w:rPr>
        <w:t xml:space="preserve"> that classifies acts of discrimination as a crime, and as a result of these changes the scope of penal sanctions imposed on crimes of discrimination had been narrowed to the extent that the imposition of these sanctions was almost rendered inapplicable. Because indirect acts of discrimination were especially put out of scope, and only such forms of discrimination </w:t>
      </w:r>
      <w:r w:rsidRPr="00A84CCB">
        <w:rPr>
          <w:rFonts w:eastAsia="Gungsuh"/>
          <w:szCs w:val="20"/>
          <w:lang w:val="en-GB"/>
        </w:rPr>
        <w:lastRenderedPageBreak/>
        <w:t xml:space="preserve">that are committed by reason of hate were classified as crime. With these new arrangements, the demonstration and the punishment of crimes of discrimination </w:t>
      </w:r>
      <w:r w:rsidR="00BF23B9" w:rsidRPr="00A84CCB">
        <w:rPr>
          <w:rFonts w:eastAsia="Gungsuh"/>
          <w:szCs w:val="20"/>
          <w:lang w:val="en-GB"/>
        </w:rPr>
        <w:t>was almost rendered impossible.</w:t>
      </w:r>
    </w:p>
    <w:p w:rsidR="00BF23B9" w:rsidRPr="00A84CCB" w:rsidRDefault="00BF23B9" w:rsidP="00A84CCB">
      <w:pPr>
        <w:jc w:val="both"/>
        <w:rPr>
          <w:rFonts w:eastAsia="Gungsuh"/>
          <w:szCs w:val="20"/>
          <w:lang w:val="en-GB"/>
        </w:rPr>
      </w:pPr>
      <w:r w:rsidRPr="00A84CCB">
        <w:rPr>
          <w:rFonts w:eastAsia="Gungsuh"/>
          <w:szCs w:val="20"/>
          <w:lang w:val="en-GB"/>
        </w:rPr>
        <w:t xml:space="preserve">The Turkish Criminal Law is not the only area where the Turkish State does not take effective measures regarding discrimination against persons with disabilities. Article 36 of the report, which is presented by Turkey, states: “Labor Law No. 4857 prohibits any discrimination based on language, race, sex, political opinion, philosophical belief, religion and sect or similar reasons in the employment relationship.” Also, the Law on Persons with Disabilities underlines the prohibition of disability against disabled persons in education (Article 15) and employment (Article 16). However, persons with disabilities cannot be judges and prosecutors according to the Judges and Prosecutors Law, which determines the prerequisites of becoming judges and prosecutors in Turkey. </w:t>
      </w:r>
      <w:r w:rsidRPr="00A84CCB">
        <w:rPr>
          <w:rFonts w:eastAsia="Gungsuh"/>
          <w:szCs w:val="20"/>
          <w:lang w:val="en-GB"/>
        </w:rPr>
        <w:footnoteReference w:id="10"/>
      </w:r>
      <w:r w:rsidRPr="00A84CCB">
        <w:rPr>
          <w:rFonts w:eastAsia="Gungsuh"/>
          <w:szCs w:val="20"/>
          <w:lang w:val="en-GB"/>
        </w:rPr>
        <w:t xml:space="preserve"> Similarly, the articles that prevent persons with disabilities from becoming governors or diplomats are still in force. All attempts by non-governmental organizations to abolish these articles still have not produced any results.</w:t>
      </w:r>
    </w:p>
    <w:p w:rsidR="00273685" w:rsidRPr="00A84CCB" w:rsidRDefault="00273685" w:rsidP="00A84CCB">
      <w:pPr>
        <w:pStyle w:val="Heading2"/>
        <w:rPr>
          <w:rFonts w:eastAsia="Courier New"/>
          <w:lang w:val="en-GB" w:eastAsia="tr-TR"/>
        </w:rPr>
      </w:pPr>
      <w:bookmarkStart w:id="6" w:name="_Toc808049"/>
      <w:bookmarkStart w:id="7" w:name="OLE_LINK5"/>
      <w:bookmarkStart w:id="8" w:name="OLE_LINK6"/>
      <w:r w:rsidRPr="00A84CCB">
        <w:rPr>
          <w:rFonts w:eastAsia="Courier New"/>
          <w:lang w:val="en-GB" w:eastAsia="tr-TR"/>
        </w:rPr>
        <w:t>Article 6: Women with Disabilities</w:t>
      </w:r>
      <w:bookmarkEnd w:id="6"/>
      <w:r w:rsidRPr="00A84CCB">
        <w:rPr>
          <w:rFonts w:eastAsia="Courier New"/>
          <w:lang w:val="en-GB" w:eastAsia="tr-TR"/>
        </w:rPr>
        <w:t xml:space="preserve"> </w:t>
      </w:r>
    </w:p>
    <w:p w:rsidR="00273685" w:rsidRPr="00A84CCB" w:rsidRDefault="00273685" w:rsidP="00A84CCB">
      <w:pPr>
        <w:widowControl w:val="0"/>
        <w:autoSpaceDE w:val="0"/>
        <w:autoSpaceDN w:val="0"/>
        <w:adjustRightInd w:val="0"/>
        <w:jc w:val="both"/>
        <w:rPr>
          <w:rFonts w:cs="Times New Roman"/>
          <w:szCs w:val="20"/>
          <w:lang w:val="en-GB"/>
        </w:rPr>
      </w:pPr>
      <w:r w:rsidRPr="00A84CCB">
        <w:rPr>
          <w:rFonts w:cs="Times New Roman"/>
          <w:szCs w:val="20"/>
          <w:lang w:val="en-GB"/>
        </w:rPr>
        <w:t xml:space="preserve">Women with disabilities constitute a significant part of disabled population in Turkey, however, their problems resulting from being women and being disabled which create a double disadvantage have been ignored very often in the country. </w:t>
      </w:r>
    </w:p>
    <w:p w:rsidR="00273685" w:rsidRPr="00A84CCB" w:rsidRDefault="00273685" w:rsidP="00A84CCB">
      <w:pPr>
        <w:widowControl w:val="0"/>
        <w:autoSpaceDE w:val="0"/>
        <w:autoSpaceDN w:val="0"/>
        <w:adjustRightInd w:val="0"/>
        <w:jc w:val="both"/>
        <w:rPr>
          <w:rFonts w:cs="Times"/>
          <w:szCs w:val="20"/>
          <w:lang w:val="en-GB"/>
        </w:rPr>
      </w:pPr>
      <w:r w:rsidRPr="00A84CCB">
        <w:rPr>
          <w:rFonts w:cs="Times New Roman"/>
          <w:szCs w:val="20"/>
          <w:lang w:val="en-GB"/>
        </w:rPr>
        <w:t xml:space="preserve">In data collection systems, special indicators and measures are not established for disabled women in particular. Therefore, it is not possible to benefit from scientific data and to monitor the developments </w:t>
      </w:r>
      <w:r w:rsidRPr="00A84CCB">
        <w:rPr>
          <w:rFonts w:cs="Times New Roman"/>
          <w:szCs w:val="20"/>
          <w:lang w:val="en-GB"/>
        </w:rPr>
        <w:lastRenderedPageBreak/>
        <w:t xml:space="preserve">regarding the disabled women focusing on the data, while creating policies binding disabled women. Additionally, disabled women cannot efficiently use these systems to learn their rights and to access some specific information regarding themselves. Information sharing systems of the legal bodies should be accessible and should be designed in easy to use formats. </w:t>
      </w:r>
    </w:p>
    <w:p w:rsidR="00273685" w:rsidRPr="00A84CCB" w:rsidRDefault="00273685" w:rsidP="00A84CCB">
      <w:pPr>
        <w:widowControl w:val="0"/>
        <w:autoSpaceDE w:val="0"/>
        <w:autoSpaceDN w:val="0"/>
        <w:adjustRightInd w:val="0"/>
        <w:jc w:val="both"/>
        <w:rPr>
          <w:rFonts w:cs="Times New Roman"/>
          <w:szCs w:val="20"/>
          <w:lang w:val="en-GB"/>
        </w:rPr>
      </w:pPr>
      <w:r w:rsidRPr="00A84CCB">
        <w:rPr>
          <w:rFonts w:cs="Times New Roman"/>
          <w:szCs w:val="20"/>
          <w:lang w:val="en-GB"/>
        </w:rPr>
        <w:t xml:space="preserve">Cases of violence against disabled women are an important problem for Turkey as well. Even though Turkey has signed important agreements in the international arena for the purpose of removing discrimination and violence against women, it is still unable to protect women from violence in the national level. According to the data in the report written by Association of Women with Disabilities in 2015, disabled women in Turkey are unfortunately unable to have knowledge of their rights, access violence denunciation mechanism effectively, reach the police and the judicial authorities, receive legal aid, and benefit from women’s shelters efficiently. </w:t>
      </w:r>
    </w:p>
    <w:p w:rsidR="00273685" w:rsidRPr="00A84CCB" w:rsidRDefault="00273685" w:rsidP="00A84CCB">
      <w:pPr>
        <w:widowControl w:val="0"/>
        <w:autoSpaceDE w:val="0"/>
        <w:autoSpaceDN w:val="0"/>
        <w:adjustRightInd w:val="0"/>
        <w:jc w:val="both"/>
        <w:rPr>
          <w:rFonts w:cs="Times New Roman"/>
          <w:szCs w:val="20"/>
          <w:lang w:val="en-GB"/>
        </w:rPr>
      </w:pPr>
      <w:r w:rsidRPr="00A84CCB">
        <w:rPr>
          <w:rFonts w:cs="Times New Roman"/>
          <w:szCs w:val="20"/>
          <w:lang w:val="en-GB"/>
        </w:rPr>
        <w:t xml:space="preserve">For example, even if some women shelter services run by the government do exist, they do not reflect the intersectional needs of minoritized women. It is clear that existing women shelters are designed for ‘majority’ women and are therefore not accessible to women with disabilities. These shelters typically lack infrastructure such as ramps and disabled toilets, and personal assistants to support them.  In the current practices, disabled women victims sometimes are taken under legal protection and placed in some rehabilitation centers. However, this practices victimize women again since these rehabilitation centers are not hidden places like women shelters, on the contrary they are open to public access and their staff are not trained to be able to work with victims of violence. </w:t>
      </w:r>
    </w:p>
    <w:p w:rsidR="00273685" w:rsidRPr="00A84CCB" w:rsidRDefault="00273685" w:rsidP="00A84CCB">
      <w:pPr>
        <w:widowControl w:val="0"/>
        <w:autoSpaceDE w:val="0"/>
        <w:autoSpaceDN w:val="0"/>
        <w:adjustRightInd w:val="0"/>
        <w:jc w:val="both"/>
        <w:rPr>
          <w:rFonts w:cs="Times"/>
          <w:szCs w:val="20"/>
          <w:lang w:val="en-GB"/>
        </w:rPr>
      </w:pPr>
      <w:r w:rsidRPr="00A84CCB">
        <w:rPr>
          <w:rFonts w:cs="Times New Roman"/>
          <w:szCs w:val="20"/>
          <w:lang w:val="en-GB"/>
        </w:rPr>
        <w:lastRenderedPageBreak/>
        <w:t xml:space="preserve">To deal with all these problems in the near future, The Ministry of Family and Social Policy is (The name of the Ministry was changed to Ministry of Family, Labor and Social Services from Ministry of Family and Social Policies Services - ACSHB) planning to establish specialized shelters for women with specific needs (especially women with psycho-social disabilities) in its Action Plan. This plan is not accepted by majority of right-based women organizations and activists, since this type of practice is thought to create discrimination (segregated places and indicating disabled women as a target) and victimization (not accessible in all cities) again for disabled women. </w:t>
      </w:r>
    </w:p>
    <w:p w:rsidR="00273685" w:rsidRPr="00A84CCB" w:rsidRDefault="00273685" w:rsidP="00A84CCB">
      <w:pPr>
        <w:widowControl w:val="0"/>
        <w:autoSpaceDE w:val="0"/>
        <w:autoSpaceDN w:val="0"/>
        <w:adjustRightInd w:val="0"/>
        <w:jc w:val="both"/>
        <w:rPr>
          <w:rFonts w:cs="Times"/>
          <w:szCs w:val="20"/>
          <w:lang w:val="en-GB"/>
        </w:rPr>
      </w:pPr>
      <w:r w:rsidRPr="00A84CCB">
        <w:rPr>
          <w:rFonts w:cs="Times New Roman"/>
          <w:szCs w:val="20"/>
          <w:lang w:val="en-GB"/>
        </w:rPr>
        <w:t>It is also a frequently encountered situation that disabled women get pregnant after rape cases and are compelled to undergo an abortion by the court decision. At this point, it is seen that the principle of protecting p</w:t>
      </w:r>
      <w:r w:rsidR="00326D3F" w:rsidRPr="00A84CCB">
        <w:rPr>
          <w:rFonts w:cs="Times New Roman"/>
          <w:szCs w:val="20"/>
          <w:lang w:val="en-GB"/>
        </w:rPr>
        <w:t xml:space="preserve">ersonal integrity projected in </w:t>
      </w:r>
      <w:r w:rsidRPr="00A84CCB">
        <w:rPr>
          <w:rFonts w:cs="Times New Roman"/>
          <w:szCs w:val="20"/>
          <w:lang w:val="en-GB"/>
        </w:rPr>
        <w:t xml:space="preserve">CRPD Article 17 is violated; physical integrity of disabled women is not protected and is even repeatedly violated by different persons and public bodies. Besides, it is observed that CRPD Article 12 is violated and disabled women are unable to take a decision on the issues regarding themselves. The fact that surgical and medical personnel performing interventions are uninformed about the violations causes disabled women and girls to be subjected to interventions without being sufficiently informed. </w:t>
      </w:r>
    </w:p>
    <w:p w:rsidR="00326D3F" w:rsidRPr="00A84CCB" w:rsidRDefault="00326D3F" w:rsidP="00A84CCB">
      <w:pPr>
        <w:pStyle w:val="Heading2"/>
        <w:rPr>
          <w:lang w:val="en-GB"/>
        </w:rPr>
      </w:pPr>
      <w:bookmarkStart w:id="9" w:name="_Toc808050"/>
      <w:r w:rsidRPr="00A84CCB">
        <w:rPr>
          <w:lang w:val="en-GB"/>
        </w:rPr>
        <w:t>Article 7: Children with Disabilities</w:t>
      </w:r>
      <w:bookmarkEnd w:id="9"/>
    </w:p>
    <w:p w:rsidR="00326D3F" w:rsidRPr="00A84CCB" w:rsidRDefault="00326D3F" w:rsidP="00A84CCB">
      <w:pPr>
        <w:pStyle w:val="NormalWeb"/>
        <w:spacing w:before="120" w:beforeAutospacing="0" w:after="120" w:afterAutospacing="0"/>
        <w:rPr>
          <w:rFonts w:ascii="Verdana" w:hAnsi="Verdana"/>
          <w:lang w:val="en-GB"/>
        </w:rPr>
      </w:pPr>
      <w:r w:rsidRPr="00A84CCB">
        <w:rPr>
          <w:rFonts w:ascii="Verdana" w:hAnsi="Verdana"/>
          <w:lang w:val="en-GB"/>
        </w:rPr>
        <w:t>Children with disabilities have problems in access to education system and socio-cultural life in community.  Education problems of disabled children are discussed in detail in the Article 24 of this report.</w:t>
      </w:r>
    </w:p>
    <w:p w:rsidR="00326D3F" w:rsidRPr="00A84CCB" w:rsidRDefault="00326D3F" w:rsidP="00A84CCB">
      <w:pPr>
        <w:pStyle w:val="NormalWeb"/>
        <w:spacing w:before="120" w:beforeAutospacing="0" w:after="120" w:afterAutospacing="0"/>
        <w:rPr>
          <w:rFonts w:ascii="Verdana" w:hAnsi="Verdana"/>
          <w:lang w:val="en-GB"/>
        </w:rPr>
      </w:pPr>
      <w:r w:rsidRPr="00A84CCB">
        <w:rPr>
          <w:rFonts w:ascii="Verdana" w:hAnsi="Verdana"/>
          <w:lang w:val="en-GB"/>
        </w:rPr>
        <w:t xml:space="preserve">Evidence suggests that while children are increasingly being involved in decision- making, growth has been slower in respect of disabled </w:t>
      </w:r>
      <w:r w:rsidRPr="00A84CCB">
        <w:rPr>
          <w:rFonts w:ascii="Verdana" w:hAnsi="Verdana"/>
          <w:lang w:val="en-GB"/>
        </w:rPr>
        <w:lastRenderedPageBreak/>
        <w:t>children.</w:t>
      </w:r>
      <w:r w:rsidR="00A84CCB">
        <w:rPr>
          <w:rFonts w:ascii="Verdana" w:hAnsi="Verdana"/>
          <w:lang w:val="en-GB"/>
        </w:rPr>
        <w:t xml:space="preserve"> </w:t>
      </w:r>
      <w:r w:rsidRPr="00A84CCB">
        <w:rPr>
          <w:rFonts w:ascii="Verdana" w:hAnsi="Verdana"/>
          <w:lang w:val="en-GB"/>
        </w:rPr>
        <w:t>Many people think that involving children in decision-making processes takes time, involves developing new skills for adults and children, requires investment of resources, can entail major shifts in attitude in organisations and like any process of negotiation, can make decision- making slower. Therefore, it is very difficult to see disabled children in the places where we see child representations such as in child choirs, children councils of municipalities, student representative boards in schools etc.</w:t>
      </w:r>
    </w:p>
    <w:p w:rsidR="00326D3F" w:rsidRPr="00A84CCB" w:rsidRDefault="00326D3F" w:rsidP="00A84CCB">
      <w:pPr>
        <w:rPr>
          <w:rFonts w:cs="Times New Roman"/>
          <w:szCs w:val="20"/>
          <w:lang w:val="en-GB"/>
        </w:rPr>
      </w:pPr>
      <w:r w:rsidRPr="00A84CCB">
        <w:rPr>
          <w:rFonts w:cs="Times New Roman"/>
          <w:szCs w:val="20"/>
          <w:lang w:val="en-GB"/>
        </w:rPr>
        <w:t>The children with disabilities are also subject to violence. However, considering the reports and news analyses about the violence against children, often it is not easy to access the information on the violence against children with disabilities. In fact, children with disabilities also suffer from violence, and as a result, they may be more severely affected by the outcome of violence due to their disability. On the other side, certain negative discourses often used by the public when condition of disabled children is mentioned are far from finding a solution. For example, when it is said that “children with disabilities are subject to violence”, the response would be usually this: “Even the children without disabilities suffer from violence”.</w:t>
      </w:r>
    </w:p>
    <w:p w:rsidR="00326D3F" w:rsidRPr="00A84CCB" w:rsidRDefault="00326D3F" w:rsidP="00A84CCB">
      <w:pPr>
        <w:rPr>
          <w:rFonts w:cs="Times New Roman"/>
          <w:b/>
          <w:szCs w:val="20"/>
          <w:lang w:val="en-GB"/>
        </w:rPr>
      </w:pPr>
      <w:r w:rsidRPr="00A84CCB">
        <w:rPr>
          <w:rFonts w:cs="Times New Roman"/>
          <w:b/>
          <w:szCs w:val="20"/>
          <w:lang w:val="en-GB"/>
        </w:rPr>
        <w:t xml:space="preserve">The mechanisms for removing disabled children from the environment of violence should be common and accessible:  </w:t>
      </w:r>
    </w:p>
    <w:p w:rsidR="00326D3F" w:rsidRPr="00A84CCB" w:rsidRDefault="00326D3F" w:rsidP="00A84CCB">
      <w:pPr>
        <w:rPr>
          <w:rFonts w:cs="Times New Roman"/>
          <w:szCs w:val="20"/>
          <w:lang w:val="en-GB"/>
        </w:rPr>
      </w:pPr>
      <w:r w:rsidRPr="00A84CCB">
        <w:rPr>
          <w:rFonts w:cs="Times New Roman"/>
          <w:szCs w:val="20"/>
          <w:lang w:val="en-GB"/>
        </w:rPr>
        <w:t xml:space="preserve">Both disabled children who become a victim of violence and adults who witness such violence may not sufficiently know complaint and assistance mechanisms. The information on the mechanisms for fighting against violence must be accessible by the children (for example, at school, on TV and internet, etc.) and presented in a manner understandable by the children. In the case of disabled children, such information must be prepared in accessible format as well.  </w:t>
      </w:r>
    </w:p>
    <w:p w:rsidR="00326D3F" w:rsidRPr="00A84CCB" w:rsidRDefault="00326D3F" w:rsidP="00A84CCB">
      <w:pPr>
        <w:rPr>
          <w:rFonts w:cs="Times New Roman"/>
          <w:b/>
          <w:szCs w:val="20"/>
          <w:lang w:val="en-GB"/>
        </w:rPr>
      </w:pPr>
      <w:r w:rsidRPr="00A84CCB">
        <w:rPr>
          <w:rFonts w:cs="Times New Roman"/>
          <w:b/>
          <w:szCs w:val="20"/>
          <w:lang w:val="en-GB"/>
        </w:rPr>
        <w:lastRenderedPageBreak/>
        <w:t>A person who conducts the initial interview with a disabled child, a victim of violence, must have knowledge on the disability, violence against children and trauma education:</w:t>
      </w:r>
    </w:p>
    <w:p w:rsidR="00326D3F" w:rsidRPr="00A84CCB" w:rsidRDefault="00326D3F" w:rsidP="00A84CCB">
      <w:pPr>
        <w:rPr>
          <w:rFonts w:cs="Times New Roman"/>
          <w:szCs w:val="20"/>
          <w:lang w:val="en-GB"/>
        </w:rPr>
      </w:pPr>
      <w:r w:rsidRPr="00A84CCB">
        <w:rPr>
          <w:rFonts w:cs="Times New Roman"/>
          <w:szCs w:val="20"/>
          <w:lang w:val="en-GB"/>
        </w:rPr>
        <w:t xml:space="preserve">The personnel that work for organizations and institutions such as the Police, Gendarme, Children Observation Center (COC), Preventing and Monitoring Violence Centers (PMVC), etc. and interview the children must be trained on the violence against children, disability and rights of disabled people regardless of the access of disabled child to security and protection mechanisms.   </w:t>
      </w:r>
    </w:p>
    <w:p w:rsidR="00326D3F" w:rsidRPr="00A84CCB" w:rsidRDefault="00326D3F" w:rsidP="00A84CCB">
      <w:pPr>
        <w:rPr>
          <w:rFonts w:cs="Times New Roman"/>
          <w:szCs w:val="20"/>
          <w:lang w:val="en-GB"/>
        </w:rPr>
      </w:pPr>
      <w:r w:rsidRPr="00A84CCB">
        <w:rPr>
          <w:rFonts w:cs="Times New Roman"/>
          <w:szCs w:val="20"/>
          <w:lang w:val="en-GB"/>
        </w:rPr>
        <w:t xml:space="preserve">As can be noticed in the data provided in the previous sections, an expert support must be provided for the interviews conducted by the abovementioned units with intellectually disabled children that are most subject to violence. Likewise, a person who knows sign language must be provided for the interview to be conducted with children with impaired hearing. Verbal information must be provided, prior to interview, to visually impaired children on the features of place of interview and who is there in the environment of interview.  </w:t>
      </w:r>
    </w:p>
    <w:p w:rsidR="00326D3F" w:rsidRPr="00A84CCB" w:rsidRDefault="00326D3F" w:rsidP="00A84CCB">
      <w:pPr>
        <w:rPr>
          <w:rFonts w:cs="Times New Roman"/>
          <w:b/>
          <w:szCs w:val="20"/>
          <w:lang w:val="en-GB"/>
        </w:rPr>
      </w:pPr>
      <w:r w:rsidRPr="00A84CCB">
        <w:rPr>
          <w:rFonts w:cs="Times New Roman"/>
          <w:b/>
          <w:szCs w:val="20"/>
          <w:lang w:val="en-GB"/>
        </w:rPr>
        <w:t>Data must be collected on the violence against children with disabilities, any filed of social life, and disabled child to establish an effective mechanism in fighting against violence:</w:t>
      </w:r>
    </w:p>
    <w:p w:rsidR="00326D3F" w:rsidRPr="00A84CCB" w:rsidRDefault="00326D3F" w:rsidP="00A84CCB">
      <w:pPr>
        <w:rPr>
          <w:rFonts w:cs="Times New Roman"/>
          <w:szCs w:val="20"/>
          <w:lang w:val="en-GB"/>
        </w:rPr>
      </w:pPr>
      <w:r w:rsidRPr="00A84CCB">
        <w:rPr>
          <w:rFonts w:cs="Times New Roman"/>
          <w:szCs w:val="20"/>
          <w:lang w:val="en-GB"/>
        </w:rPr>
        <w:t xml:space="preserve">The institutions that receive applications for violence against children must keep a record of data on the violence against the disabled child. If the data collected for this purpose are read properly, then appropriate action plans can be developed and effective services can be provided to eliminate the violence against children.   </w:t>
      </w:r>
    </w:p>
    <w:p w:rsidR="00326D3F" w:rsidRPr="00A84CCB" w:rsidRDefault="00326D3F" w:rsidP="00A84CCB">
      <w:pPr>
        <w:widowControl w:val="0"/>
        <w:autoSpaceDE w:val="0"/>
        <w:autoSpaceDN w:val="0"/>
        <w:adjustRightInd w:val="0"/>
        <w:rPr>
          <w:rFonts w:cs="Times New Roman"/>
          <w:b/>
          <w:szCs w:val="20"/>
          <w:lang w:val="en-GB"/>
        </w:rPr>
      </w:pPr>
      <w:r w:rsidRPr="00A84CCB">
        <w:rPr>
          <w:rFonts w:cs="Times New Roman"/>
          <w:b/>
          <w:szCs w:val="20"/>
          <w:lang w:val="en-GB"/>
        </w:rPr>
        <w:t xml:space="preserve">Development of collaboration between organizations: </w:t>
      </w:r>
    </w:p>
    <w:p w:rsidR="00326D3F" w:rsidRPr="00A84CCB" w:rsidRDefault="00326D3F" w:rsidP="00A84CCB">
      <w:pPr>
        <w:widowControl w:val="0"/>
        <w:autoSpaceDE w:val="0"/>
        <w:autoSpaceDN w:val="0"/>
        <w:adjustRightInd w:val="0"/>
        <w:rPr>
          <w:rFonts w:cs="Times New Roman"/>
          <w:szCs w:val="20"/>
          <w:lang w:val="en-GB"/>
        </w:rPr>
      </w:pPr>
      <w:r w:rsidRPr="00A84CCB">
        <w:rPr>
          <w:rFonts w:cs="Times New Roman"/>
          <w:szCs w:val="20"/>
          <w:lang w:val="en-GB"/>
        </w:rPr>
        <w:t xml:space="preserve">The (public or civil) organizations and institutions operating in the </w:t>
      </w:r>
      <w:r w:rsidRPr="00A84CCB">
        <w:rPr>
          <w:rFonts w:cs="Times New Roman"/>
          <w:szCs w:val="20"/>
          <w:lang w:val="en-GB"/>
        </w:rPr>
        <w:lastRenderedPageBreak/>
        <w:t xml:space="preserve">area of children and disability must collaborate, which is an important step to eliminate the violence. Removing disabled child from the environment where he/she is exposed to violence and collaboration for all processes will prevent him/her from being subject to another violence.  </w:t>
      </w:r>
    </w:p>
    <w:p w:rsidR="00326D3F" w:rsidRPr="00A84CCB" w:rsidRDefault="00326D3F" w:rsidP="00A84CCB">
      <w:pPr>
        <w:widowControl w:val="0"/>
        <w:autoSpaceDE w:val="0"/>
        <w:autoSpaceDN w:val="0"/>
        <w:adjustRightInd w:val="0"/>
        <w:rPr>
          <w:rFonts w:cs="Times New Roman"/>
          <w:szCs w:val="20"/>
          <w:lang w:val="en-GB"/>
        </w:rPr>
      </w:pPr>
      <w:r w:rsidRPr="00A84CCB">
        <w:rPr>
          <w:rFonts w:cs="Times New Roman"/>
          <w:szCs w:val="20"/>
          <w:lang w:val="en-GB"/>
        </w:rPr>
        <w:t xml:space="preserve">Again, it is important to audit environments where children live in the closed institutions and train the institution’s personnel working with these children, and this is where the collaboration between institutions becomes significant.    </w:t>
      </w:r>
    </w:p>
    <w:p w:rsidR="00326D3F" w:rsidRPr="00A84CCB" w:rsidRDefault="00326D3F" w:rsidP="00A84CCB">
      <w:pPr>
        <w:widowControl w:val="0"/>
        <w:autoSpaceDE w:val="0"/>
        <w:autoSpaceDN w:val="0"/>
        <w:adjustRightInd w:val="0"/>
        <w:rPr>
          <w:rFonts w:cs="Times New Roman"/>
          <w:szCs w:val="20"/>
          <w:lang w:val="en-GB"/>
        </w:rPr>
      </w:pPr>
      <w:r w:rsidRPr="00A84CCB">
        <w:rPr>
          <w:rFonts w:cs="Times New Roman"/>
          <w:szCs w:val="20"/>
          <w:lang w:val="en-GB"/>
        </w:rPr>
        <w:t xml:space="preserve">On the other hand, pursuant to article 33 of CRPD, the States Parties undertake to fully participate into audit process by civil society, particularly disabled people and agencies representing them. From this point of view, collaboration between institutions is in fact a requirement not a choice. The collaboration between public agencies and nongovernmental organizations will allow to generate independent audit mechanisms as required by CRPD and will make operation of organizations more transparent. In addition, it will support learning information sharing between organizations.  </w:t>
      </w:r>
    </w:p>
    <w:p w:rsidR="00326D3F" w:rsidRPr="00A84CCB" w:rsidRDefault="00326D3F" w:rsidP="00A84CCB">
      <w:pPr>
        <w:rPr>
          <w:rFonts w:cs="Times New Roman"/>
          <w:b/>
          <w:szCs w:val="20"/>
          <w:lang w:val="en-GB"/>
        </w:rPr>
      </w:pPr>
      <w:r w:rsidRPr="00A84CCB">
        <w:rPr>
          <w:rFonts w:cs="Times New Roman"/>
          <w:b/>
          <w:szCs w:val="20"/>
          <w:lang w:val="en-GB"/>
        </w:rPr>
        <w:t>Making child-oriented policies and providing child-centered services instead of family-oriented policies and services:</w:t>
      </w:r>
    </w:p>
    <w:p w:rsidR="00326D3F" w:rsidRPr="00A84CCB" w:rsidRDefault="00326D3F" w:rsidP="00A84CCB">
      <w:pPr>
        <w:rPr>
          <w:rFonts w:cs="Times New Roman"/>
          <w:szCs w:val="20"/>
          <w:lang w:val="en-GB"/>
        </w:rPr>
      </w:pPr>
      <w:r w:rsidRPr="00A84CCB">
        <w:rPr>
          <w:rFonts w:cs="Times New Roman"/>
          <w:szCs w:val="20"/>
          <w:lang w:val="en-GB"/>
        </w:rPr>
        <w:t>Making family-based social policies and providing only family-based services can lead to inadequate detection of children's specific needs. In some cases, providing family-based services only may even cause children to become victims again, especially considering the children exposed to violence in their families. Therefore, producing child-oriented policies and creating child-centered protection mechanisms for the specific needs of children are the most effective ways of intervention to remove children from violent environments.</w:t>
      </w:r>
    </w:p>
    <w:p w:rsidR="00326D3F" w:rsidRPr="00A84CCB" w:rsidRDefault="00326D3F" w:rsidP="00A84CCB">
      <w:pPr>
        <w:widowControl w:val="0"/>
        <w:autoSpaceDE w:val="0"/>
        <w:autoSpaceDN w:val="0"/>
        <w:adjustRightInd w:val="0"/>
        <w:rPr>
          <w:rFonts w:cs="Times New Roman"/>
          <w:b/>
          <w:szCs w:val="20"/>
          <w:lang w:val="en-GB"/>
        </w:rPr>
      </w:pPr>
      <w:r w:rsidRPr="00A84CCB">
        <w:rPr>
          <w:rFonts w:cs="Times New Roman"/>
          <w:b/>
          <w:szCs w:val="20"/>
          <w:lang w:val="en-GB"/>
        </w:rPr>
        <w:lastRenderedPageBreak/>
        <w:t>Fighting against impunity:</w:t>
      </w:r>
    </w:p>
    <w:p w:rsidR="00326D3F" w:rsidRPr="00A84CCB" w:rsidRDefault="00326D3F" w:rsidP="00A84CCB">
      <w:pPr>
        <w:widowControl w:val="0"/>
        <w:autoSpaceDE w:val="0"/>
        <w:autoSpaceDN w:val="0"/>
        <w:adjustRightInd w:val="0"/>
        <w:rPr>
          <w:rFonts w:cs="Times New Roman"/>
          <w:szCs w:val="20"/>
          <w:lang w:val="en-GB"/>
        </w:rPr>
      </w:pPr>
      <w:r w:rsidRPr="00A84CCB">
        <w:rPr>
          <w:rFonts w:cs="Times New Roman"/>
          <w:szCs w:val="20"/>
          <w:lang w:val="en-GB"/>
        </w:rPr>
        <w:t xml:space="preserve">In the case of children, especially children with disabilities, the report of third parties (witnesses) becomes very important for the cases of violence. Fighting against impunity in substantial manner is important to ensure safety of those that report to the police force regarding violence and impose a criminal sanction on those that use violence. </w:t>
      </w:r>
    </w:p>
    <w:p w:rsidR="00326D3F" w:rsidRPr="00A84CCB" w:rsidRDefault="00326D3F" w:rsidP="00A84CCB">
      <w:pPr>
        <w:pStyle w:val="NormalWeb"/>
        <w:spacing w:before="120" w:beforeAutospacing="0" w:after="120" w:afterAutospacing="0"/>
        <w:rPr>
          <w:rFonts w:ascii="Verdana" w:hAnsi="Verdana"/>
          <w:lang w:val="en-GB"/>
        </w:rPr>
      </w:pPr>
      <w:r w:rsidRPr="00A84CCB">
        <w:rPr>
          <w:rFonts w:ascii="Verdana" w:hAnsi="Verdana"/>
          <w:lang w:val="en-GB"/>
        </w:rPr>
        <w:t>Likewise, it is very important to effectively monitor public officers in the context of neglect of duty and professional misconduct.</w:t>
      </w:r>
    </w:p>
    <w:p w:rsidR="009133AD" w:rsidRPr="00A84CCB" w:rsidRDefault="009133AD" w:rsidP="00A84CCB">
      <w:pPr>
        <w:pStyle w:val="Heading2"/>
        <w:rPr>
          <w:lang w:val="en-GB"/>
        </w:rPr>
      </w:pPr>
      <w:bookmarkStart w:id="10" w:name="_Toc808051"/>
      <w:r w:rsidRPr="00A84CCB">
        <w:rPr>
          <w:lang w:val="en-GB"/>
        </w:rPr>
        <w:t>Article 8: Awareness-Raising</w:t>
      </w:r>
      <w:bookmarkEnd w:id="10"/>
    </w:p>
    <w:p w:rsidR="009133AD" w:rsidRPr="00A84CCB" w:rsidRDefault="009133AD" w:rsidP="00A84CCB">
      <w:pPr>
        <w:rPr>
          <w:color w:val="000000" w:themeColor="text1"/>
          <w:lang w:val="en-GB"/>
        </w:rPr>
      </w:pPr>
      <w:r w:rsidRPr="00A84CCB">
        <w:rPr>
          <w:color w:val="000000" w:themeColor="text1"/>
          <w:lang w:val="en-GB"/>
        </w:rPr>
        <w:t xml:space="preserve">Partial or inadequate awareness works are carried out without contribution from NGOs. These works cannot have any impact on public opinions because they are carried out from a partial, regional and less effective channel. However, awareness works could only yield results if they are planned, organized and use several tools. </w:t>
      </w:r>
    </w:p>
    <w:p w:rsidR="009133AD" w:rsidRPr="00A84CCB" w:rsidRDefault="009133AD" w:rsidP="00A84CCB">
      <w:pPr>
        <w:rPr>
          <w:color w:val="000000" w:themeColor="text1"/>
          <w:lang w:val="en-GB"/>
        </w:rPr>
      </w:pPr>
      <w:r w:rsidRPr="00A84CCB">
        <w:rPr>
          <w:color w:val="000000" w:themeColor="text1"/>
          <w:lang w:val="en-GB"/>
        </w:rPr>
        <w:t>Today, persons with disabilities are considered as needy, pitiful people by society, and are seen to be people who need to be helped instead of being seen rightful individuals. Hence, research carried out by the government also reveals that persons with disabilities are deemed to be needy and pitiful individuals. Instead of removing this perception, the government keeps spreading the elements that reinforce this perception. For example, in the 1st and 8th-grade textbooks this finding is verified. According to monitoring studies by TOHAD, in textbooks, persons with disabilities are described as dependent people who need to be helped.</w:t>
      </w:r>
    </w:p>
    <w:p w:rsidR="00D3205F" w:rsidRPr="00A84CCB" w:rsidRDefault="00D3205F" w:rsidP="00A84CCB">
      <w:pPr>
        <w:pStyle w:val="Heading2"/>
        <w:rPr>
          <w:rFonts w:eastAsia="Gungsuh"/>
          <w:lang w:val="en-GB"/>
        </w:rPr>
      </w:pPr>
      <w:bookmarkStart w:id="11" w:name="_Toc808052"/>
      <w:r w:rsidRPr="00A84CCB">
        <w:rPr>
          <w:rFonts w:eastAsia="Gungsuh"/>
          <w:lang w:val="en-GB"/>
        </w:rPr>
        <w:lastRenderedPageBreak/>
        <w:t>Article 9</w:t>
      </w:r>
      <w:r w:rsidR="00F063BD" w:rsidRPr="00A84CCB">
        <w:rPr>
          <w:rFonts w:eastAsia="Gungsuh"/>
          <w:lang w:val="en-GB"/>
        </w:rPr>
        <w:t>:</w:t>
      </w:r>
      <w:r w:rsidRPr="00A84CCB">
        <w:rPr>
          <w:rFonts w:eastAsia="Gungsuh"/>
          <w:lang w:val="en-GB"/>
        </w:rPr>
        <w:t xml:space="preserve"> Accessibility</w:t>
      </w:r>
      <w:bookmarkEnd w:id="11"/>
    </w:p>
    <w:p w:rsidR="00D3205F" w:rsidRPr="00A84CCB" w:rsidRDefault="00D3205F" w:rsidP="00A84CCB">
      <w:pPr>
        <w:pStyle w:val="AralkYok1"/>
        <w:spacing w:before="120" w:after="120"/>
        <w:jc w:val="both"/>
        <w:rPr>
          <w:rFonts w:eastAsia="Gungsuh"/>
          <w:sz w:val="20"/>
          <w:szCs w:val="20"/>
          <w:lang w:val="en-GB"/>
        </w:rPr>
      </w:pPr>
      <w:r w:rsidRPr="00A84CCB">
        <w:rPr>
          <w:rFonts w:eastAsia="Gungsuh"/>
          <w:sz w:val="20"/>
          <w:szCs w:val="20"/>
          <w:lang w:val="en-GB"/>
        </w:rPr>
        <w:t xml:space="preserve">In 1997, legal arrangements were made for the first time with respect to accessibility. However these arrangements were later noted to be ineffective, and the </w:t>
      </w:r>
      <w:r w:rsidR="00F36D14" w:rsidRPr="00A84CCB">
        <w:rPr>
          <w:rFonts w:eastAsia="Gungsuh"/>
          <w:sz w:val="20"/>
          <w:szCs w:val="20"/>
          <w:lang w:val="en-GB"/>
        </w:rPr>
        <w:t>EHK</w:t>
      </w:r>
      <w:r w:rsidRPr="00A84CCB">
        <w:rPr>
          <w:rFonts w:eastAsia="Gungsuh"/>
          <w:sz w:val="20"/>
          <w:szCs w:val="20"/>
          <w:lang w:val="en-GB"/>
        </w:rPr>
        <w:t xml:space="preserve"> stipulated that a period of seven years would be granted for rendering existing structures and mass transportation vehicles suitable in terms of accessibility, but said period was extended for three (3) years only a few days before expiration thereof since it was determined that no substantial changes were made at public and private sectors in this regard. A lawsuit initiated based on the allegation that such time extension was contrary to the Constitution and the </w:t>
      </w:r>
      <w:r w:rsidR="00E11177" w:rsidRPr="00A84CCB">
        <w:rPr>
          <w:rFonts w:eastAsia="Gungsuh"/>
          <w:sz w:val="20"/>
          <w:szCs w:val="20"/>
          <w:lang w:val="en-GB"/>
        </w:rPr>
        <w:t>CRPD</w:t>
      </w:r>
      <w:r w:rsidRPr="00A84CCB">
        <w:rPr>
          <w:rFonts w:eastAsia="Gungsuh"/>
          <w:sz w:val="20"/>
          <w:szCs w:val="20"/>
          <w:lang w:val="en-GB"/>
        </w:rPr>
        <w:t xml:space="preserve"> was dismissed based on the justification that the time extension was not contrary to the Constitution and the </w:t>
      </w:r>
      <w:r w:rsidR="00E11177" w:rsidRPr="00A84CCB">
        <w:rPr>
          <w:rFonts w:eastAsia="Gungsuh"/>
          <w:sz w:val="20"/>
          <w:szCs w:val="20"/>
          <w:lang w:val="en-GB"/>
        </w:rPr>
        <w:t>CRPD</w:t>
      </w:r>
      <w:r w:rsidRPr="00A84CCB">
        <w:rPr>
          <w:rFonts w:eastAsia="Gungsuh"/>
          <w:sz w:val="20"/>
          <w:szCs w:val="20"/>
          <w:lang w:val="en-GB"/>
        </w:rPr>
        <w:t xml:space="preserve">. </w:t>
      </w:r>
    </w:p>
    <w:p w:rsidR="00D3205F" w:rsidRPr="00A84CCB" w:rsidRDefault="00D3205F" w:rsidP="00A84CCB">
      <w:pPr>
        <w:pStyle w:val="AralkYok1"/>
        <w:spacing w:before="120" w:after="120"/>
        <w:jc w:val="both"/>
        <w:rPr>
          <w:rFonts w:eastAsia="Gungsuh"/>
          <w:sz w:val="20"/>
          <w:szCs w:val="20"/>
          <w:lang w:val="en-GB"/>
        </w:rPr>
      </w:pPr>
      <w:r w:rsidRPr="00A84CCB">
        <w:rPr>
          <w:rFonts w:eastAsia="Gungsuh"/>
          <w:sz w:val="20"/>
          <w:szCs w:val="20"/>
          <w:lang w:val="en-GB"/>
        </w:rPr>
        <w:t xml:space="preserve">The </w:t>
      </w:r>
      <w:r w:rsidR="00F36D14" w:rsidRPr="00A84CCB">
        <w:rPr>
          <w:rFonts w:eastAsia="Gungsuh"/>
          <w:sz w:val="20"/>
          <w:szCs w:val="20"/>
          <w:lang w:val="en-GB"/>
        </w:rPr>
        <w:t>EHK</w:t>
      </w:r>
      <w:r w:rsidRPr="00A84CCB">
        <w:rPr>
          <w:rFonts w:eastAsia="Gungsuh"/>
          <w:sz w:val="20"/>
          <w:szCs w:val="20"/>
          <w:lang w:val="en-GB"/>
        </w:rPr>
        <w:t xml:space="preserve"> was amended again in February 2014 to include passenger liners, touristic vehicles, long distance busses, minibuses, and personnel and student service vehicles in the scope of the system, and a period was granted until 2018 for transformation of such vehicles. </w:t>
      </w:r>
    </w:p>
    <w:p w:rsidR="00D3205F" w:rsidRPr="00A84CCB" w:rsidRDefault="00D3205F" w:rsidP="00A84CCB">
      <w:pPr>
        <w:pStyle w:val="AralkYok1"/>
        <w:spacing w:before="120" w:after="120"/>
        <w:jc w:val="both"/>
        <w:rPr>
          <w:rFonts w:eastAsia="Gungsuh"/>
          <w:sz w:val="20"/>
          <w:szCs w:val="20"/>
          <w:lang w:val="en-GB"/>
        </w:rPr>
      </w:pPr>
      <w:r w:rsidRPr="00A84CCB">
        <w:rPr>
          <w:rFonts w:eastAsia="Gungsuh"/>
          <w:sz w:val="20"/>
          <w:szCs w:val="20"/>
          <w:lang w:val="en-GB"/>
        </w:rPr>
        <w:t>Although the European Union regards accessibility as a pre-condition of taking a part in society and economy</w:t>
      </w:r>
      <w:r w:rsidRPr="00A84CCB">
        <w:rPr>
          <w:rStyle w:val="FootnoteReference"/>
          <w:rFonts w:eastAsia="Gungsuh"/>
          <w:sz w:val="20"/>
          <w:szCs w:val="20"/>
          <w:lang w:val="en-GB"/>
        </w:rPr>
        <w:footnoteReference w:id="11"/>
      </w:r>
      <w:r w:rsidRPr="00A84CCB">
        <w:rPr>
          <w:rFonts w:eastAsia="Gungsuh"/>
          <w:sz w:val="20"/>
          <w:szCs w:val="20"/>
          <w:lang w:val="en-GB"/>
        </w:rPr>
        <w:t xml:space="preserve">, respective actions and policies of the Government are not considered to ensure that efficient and adequate measures are taken in this regard. Because only legal arrangements were made for the purpose of solving the issue, but no adequate efforts were made to implement these legal arrangements, and no audits were made or no incentives were offered in this regard. Legal arrangements, which are in effect with respect to issue of accessibility, have been amended three times since 2005. </w:t>
      </w:r>
    </w:p>
    <w:p w:rsidR="00D3205F" w:rsidRPr="00A84CCB" w:rsidRDefault="00D3205F" w:rsidP="00A84CCB">
      <w:pPr>
        <w:pStyle w:val="AralkYok1"/>
        <w:spacing w:before="120" w:after="120"/>
        <w:jc w:val="both"/>
        <w:rPr>
          <w:rFonts w:eastAsia="Gungsuh"/>
          <w:sz w:val="20"/>
          <w:szCs w:val="20"/>
          <w:lang w:val="en-GB"/>
        </w:rPr>
      </w:pPr>
      <w:r w:rsidRPr="00A84CCB">
        <w:rPr>
          <w:rFonts w:eastAsia="Gungsuh"/>
          <w:sz w:val="20"/>
          <w:szCs w:val="20"/>
          <w:lang w:val="en-GB"/>
        </w:rPr>
        <w:lastRenderedPageBreak/>
        <w:t xml:space="preserve">The most recent legal arrangement adopted with respect to issue of accessibility complies with the spirit and wording of the </w:t>
      </w:r>
      <w:r w:rsidR="00E11177" w:rsidRPr="00A84CCB">
        <w:rPr>
          <w:rFonts w:eastAsia="Gungsuh"/>
          <w:sz w:val="20"/>
          <w:szCs w:val="20"/>
          <w:lang w:val="en-GB"/>
        </w:rPr>
        <w:t>CRPD</w:t>
      </w:r>
      <w:r w:rsidRPr="00A84CCB">
        <w:rPr>
          <w:rFonts w:eastAsia="Gungsuh"/>
          <w:sz w:val="20"/>
          <w:szCs w:val="20"/>
          <w:lang w:val="en-GB"/>
        </w:rPr>
        <w:t xml:space="preserve">, and is considered positive. However, the adoption of legal arrangements is not sufficient to solve issues regarding accessibility. The Government is required to sustain effective actions and policies and implement public awareness programs. In this regard, it is required to increase the volume of materials and human resources (or to utilize existing resources appropriately) and to reinforce inspection mechanisms and applicable sanctions. For example, the budget set aside by the Government for improvement of accessibility is rather insufficient. </w:t>
      </w:r>
    </w:p>
    <w:p w:rsidR="00D3205F" w:rsidRPr="00A84CCB" w:rsidRDefault="00D3205F" w:rsidP="00A84CCB">
      <w:pPr>
        <w:pStyle w:val="AralkYok1"/>
        <w:spacing w:before="120" w:after="120"/>
        <w:jc w:val="both"/>
        <w:rPr>
          <w:rFonts w:eastAsia="Gungsuh"/>
          <w:sz w:val="20"/>
          <w:szCs w:val="20"/>
          <w:lang w:val="en-GB"/>
        </w:rPr>
      </w:pPr>
      <w:r w:rsidRPr="00A84CCB">
        <w:rPr>
          <w:rFonts w:eastAsia="Gungsuh"/>
          <w:sz w:val="20"/>
          <w:szCs w:val="20"/>
          <w:lang w:val="en-GB"/>
        </w:rPr>
        <w:t xml:space="preserve">As for urban areas, the data compiled from 51 out of a total of 81 cities of Turkey suggests that ramps are available at 3.954, and perceivable grounds are available at 1.285 of a total of 6.384 arterial roads; ramps are available at 4.560, and perceivable grounds are available at 1.045 of a total of 12.905 avenues; and ramps are available at 9.671, and perceivable grounds are available at 470 of a total of 91.247 streets. Accordingly, there are ramps only at 16.40% of all arterial roads, avenues, and streets in 51 cities, and there are perceivable grounds only at 2.53% thereof. Accessibility problems suffered at urban areas have a vital importance for each group. For example, Mr. Nevzat Özyavuzer, a user of a battery-operated wheelchair, was forced to drive at a vehicle road due to insufficiency of pavement arrangements, but lost his life as a result of strike of a refuse lorry. </w:t>
      </w:r>
    </w:p>
    <w:p w:rsidR="00D3205F" w:rsidRPr="00A84CCB" w:rsidRDefault="00D3205F" w:rsidP="00A84CCB">
      <w:pPr>
        <w:pStyle w:val="AralkYok1"/>
        <w:spacing w:before="120" w:after="120"/>
        <w:jc w:val="both"/>
        <w:rPr>
          <w:rFonts w:eastAsia="Gungsuh"/>
          <w:sz w:val="20"/>
          <w:szCs w:val="20"/>
          <w:lang w:val="en-GB"/>
        </w:rPr>
      </w:pPr>
      <w:r w:rsidRPr="00A84CCB">
        <w:rPr>
          <w:rFonts w:eastAsia="Gungsuh"/>
          <w:sz w:val="20"/>
          <w:szCs w:val="20"/>
          <w:lang w:val="en-GB"/>
        </w:rPr>
        <w:t>A study performed by the</w:t>
      </w:r>
      <w:r w:rsidR="00E11177" w:rsidRPr="00A84CCB">
        <w:rPr>
          <w:rFonts w:eastAsia="Gungsuh"/>
          <w:sz w:val="20"/>
          <w:szCs w:val="20"/>
          <w:lang w:val="en-GB"/>
        </w:rPr>
        <w:t xml:space="preserve"> TOHAD</w:t>
      </w:r>
      <w:r w:rsidRPr="00A84CCB">
        <w:rPr>
          <w:rFonts w:eastAsia="Gungsuh"/>
          <w:sz w:val="20"/>
          <w:szCs w:val="20"/>
          <w:lang w:val="en-GB"/>
        </w:rPr>
        <w:t xml:space="preserve"> gave the following details about mass transportation vehicles that are used in 61 out of a total of 81 cities: 4.077 of 12.417 busses are equipped with a ramp or elevator system whereas remaining 8.340 busses lack such a system; 869 of 12.417 busses are equipped with a sound announcement system whereas remaining 11.548 busses lack such a system; and 756 of 12.417 busses are equipped with an internal information system whereas remaining 11.661 busses lack such a system.</w:t>
      </w:r>
    </w:p>
    <w:p w:rsidR="00D3205F" w:rsidRPr="00A84CCB" w:rsidRDefault="00D3205F" w:rsidP="00A84CCB">
      <w:pPr>
        <w:shd w:val="clear" w:color="auto" w:fill="FFFFFF"/>
        <w:jc w:val="both"/>
        <w:rPr>
          <w:rFonts w:eastAsia="Gungsuh"/>
          <w:szCs w:val="20"/>
          <w:lang w:val="en-GB"/>
        </w:rPr>
      </w:pPr>
      <w:r w:rsidRPr="00A84CCB">
        <w:rPr>
          <w:rFonts w:eastAsia="Gungsuh"/>
          <w:szCs w:val="20"/>
          <w:lang w:val="en-GB"/>
        </w:rPr>
        <w:lastRenderedPageBreak/>
        <w:t xml:space="preserve">Another example is that no induction loop system, which is tailored to the needs of persons with hearing disabilities, and no employees having a command of sign language are employed at 391 buildings occupied by security directorates of 39 cities. On the other hand, none of the websites of security directorates of said 39 cities are suitable for utilization of persons with </w:t>
      </w:r>
      <w:r w:rsidR="00E11177" w:rsidRPr="00A84CCB">
        <w:rPr>
          <w:rFonts w:eastAsia="Gungsuh"/>
          <w:szCs w:val="20"/>
          <w:lang w:val="en-GB"/>
        </w:rPr>
        <w:t>blind</w:t>
      </w:r>
      <w:r w:rsidRPr="00A84CCB">
        <w:rPr>
          <w:rFonts w:eastAsia="Gungsuh"/>
          <w:szCs w:val="20"/>
          <w:lang w:val="en-GB"/>
        </w:rPr>
        <w:t xml:space="preserve">. In addition, the efforts made to render emergency services accessible by persons with hearing disabilities are rather insufficient. </w:t>
      </w:r>
    </w:p>
    <w:p w:rsidR="00D3205F" w:rsidRPr="00A84CCB" w:rsidRDefault="00D3205F" w:rsidP="00A84CCB">
      <w:pPr>
        <w:jc w:val="both"/>
        <w:rPr>
          <w:rFonts w:eastAsia="Gungsuh"/>
          <w:szCs w:val="20"/>
          <w:lang w:val="en-GB"/>
        </w:rPr>
      </w:pPr>
      <w:r w:rsidRPr="00A84CCB">
        <w:rPr>
          <w:rFonts w:eastAsia="Gungsuh"/>
          <w:szCs w:val="20"/>
          <w:lang w:val="en-GB"/>
        </w:rPr>
        <w:t>Accessibility standards are neither applied at prisons and detention houses. This means the punishment of prisoners for the second time. In some cases, the freedom of relatives of prisoners is also restricted since relatives are forced to care for prisoners. Furthermore, such a punishment can reach to an extent that harms the honor, dignity, and mental health of people. As a matter of fact, the action ‘Hüseyin Yıldırım</w:t>
      </w:r>
      <w:r w:rsidRPr="00A84CCB">
        <w:rPr>
          <w:rStyle w:val="FootnoteReference"/>
          <w:rFonts w:eastAsia="Gungsuh"/>
          <w:szCs w:val="20"/>
          <w:lang w:val="en-GB"/>
        </w:rPr>
        <w:footnoteReference w:id="12"/>
      </w:r>
      <w:r w:rsidR="00AA0949" w:rsidRPr="00A84CCB">
        <w:rPr>
          <w:rFonts w:eastAsia="Gungsuh"/>
          <w:szCs w:val="20"/>
          <w:lang w:val="en-GB"/>
        </w:rPr>
        <w:t xml:space="preserve"> vs T</w:t>
      </w:r>
      <w:r w:rsidR="00A84CCB">
        <w:rPr>
          <w:rFonts w:eastAsia="Gungsuh"/>
          <w:szCs w:val="20"/>
          <w:lang w:val="en-GB"/>
        </w:rPr>
        <w:t xml:space="preserve">urkey </w:t>
      </w:r>
      <w:r w:rsidRPr="00A84CCB">
        <w:rPr>
          <w:rFonts w:eastAsia="Gungsuh"/>
          <w:szCs w:val="20"/>
          <w:lang w:val="en-GB"/>
        </w:rPr>
        <w:t xml:space="preserve">initiated on 03.05.2007 before the European Court of Human Rights is a concrete example of this situation. The European Courts of Human Rights concluded that Article 3 of the European Convention on Human Rights was breached since jail conditions were insufficient, and the applicant, Mr. Hüseyin Yıldırım, suffered ill treatment at jail. </w:t>
      </w:r>
    </w:p>
    <w:p w:rsidR="00D3205F" w:rsidRPr="00A84CCB" w:rsidRDefault="00D3205F" w:rsidP="00A84CCB">
      <w:pPr>
        <w:jc w:val="both"/>
        <w:rPr>
          <w:rFonts w:eastAsia="Gungsuh"/>
          <w:szCs w:val="20"/>
          <w:lang w:val="en-GB"/>
        </w:rPr>
      </w:pPr>
      <w:r w:rsidRPr="00A84CCB">
        <w:rPr>
          <w:rFonts w:eastAsia="Gungsuh"/>
          <w:szCs w:val="20"/>
          <w:lang w:val="en-GB"/>
        </w:rPr>
        <w:t xml:space="preserve">In its final evaluation of May 21, 2011 about Turkey, </w:t>
      </w:r>
      <w:r w:rsidR="008623FA" w:rsidRPr="00A84CCB">
        <w:rPr>
          <w:rFonts w:eastAsia="Gungsuh"/>
          <w:szCs w:val="20"/>
          <w:lang w:val="en-GB"/>
        </w:rPr>
        <w:t>T</w:t>
      </w:r>
      <w:r w:rsidRPr="00A84CCB">
        <w:rPr>
          <w:rFonts w:eastAsia="Gungsuh"/>
          <w:szCs w:val="20"/>
          <w:lang w:val="en-GB"/>
        </w:rPr>
        <w:t>he United Nations’ Committee on Economic, Social, and Cultural Rights stated that substantial difficulties were suffered with respect to accessibility, which lead to great sadness and concerns, and accordingly the Committee made a series of demands for rectification of such situations.</w:t>
      </w:r>
      <w:r w:rsidRPr="00A84CCB">
        <w:rPr>
          <w:rStyle w:val="FootnoteReference"/>
          <w:rFonts w:eastAsia="Gungsuh"/>
          <w:szCs w:val="20"/>
          <w:lang w:val="en-GB"/>
        </w:rPr>
        <w:footnoteReference w:id="13"/>
      </w:r>
      <w:r w:rsidRPr="00A84CCB">
        <w:rPr>
          <w:rFonts w:eastAsia="Gungsuh"/>
          <w:szCs w:val="20"/>
          <w:lang w:val="en-GB"/>
        </w:rPr>
        <w:t xml:space="preserve"> </w:t>
      </w:r>
      <w:r w:rsidRPr="00A84CCB">
        <w:rPr>
          <w:rFonts w:eastAsia="Gungsuh"/>
          <w:szCs w:val="20"/>
          <w:lang w:val="en-GB"/>
        </w:rPr>
        <w:lastRenderedPageBreak/>
        <w:t xml:space="preserve">However, in spite of all these developments, it is impossible to talk about any actual progress made toward determination, planning, budgeting, implementation, and inspection aspects of improving accessibility conditions. </w:t>
      </w:r>
    </w:p>
    <w:p w:rsidR="00D3205F" w:rsidRPr="00A84CCB" w:rsidRDefault="00D3205F" w:rsidP="00A84CCB">
      <w:pPr>
        <w:shd w:val="clear" w:color="auto" w:fill="FFFFFF"/>
        <w:jc w:val="both"/>
        <w:rPr>
          <w:rFonts w:eastAsia="Gungsuh"/>
          <w:szCs w:val="20"/>
          <w:lang w:val="en-GB"/>
        </w:rPr>
      </w:pPr>
      <w:r w:rsidRPr="00A84CCB">
        <w:rPr>
          <w:rFonts w:eastAsia="Gungsuh"/>
          <w:szCs w:val="20"/>
          <w:lang w:val="en-GB"/>
        </w:rPr>
        <w:t>Accessibility is essential in using all fundamental rights. A review of actual actions and policies of the Government suggests that arrangements are restricted to legal texts together with ‘very insufficient’ physical and administrative arrangements, and that the Government and local administrations are required to show much more efforts in this regard. The lack of adequate political will is the biggest obst</w:t>
      </w:r>
      <w:r w:rsidR="00BF23B9" w:rsidRPr="00A84CCB">
        <w:rPr>
          <w:rFonts w:eastAsia="Gungsuh"/>
          <w:szCs w:val="20"/>
          <w:lang w:val="en-GB"/>
        </w:rPr>
        <w:t>acle in front of accessibility.</w:t>
      </w:r>
    </w:p>
    <w:p w:rsidR="009133AD" w:rsidRPr="00A84CCB" w:rsidRDefault="009133AD" w:rsidP="00A84CCB">
      <w:pPr>
        <w:pStyle w:val="Heading2"/>
        <w:rPr>
          <w:lang w:val="en-GB"/>
        </w:rPr>
      </w:pPr>
      <w:bookmarkStart w:id="12" w:name="_Toc808053"/>
      <w:r w:rsidRPr="00A84CCB">
        <w:rPr>
          <w:lang w:val="en-GB"/>
        </w:rPr>
        <w:t>Article 10: Right to Life</w:t>
      </w:r>
      <w:bookmarkEnd w:id="12"/>
    </w:p>
    <w:p w:rsidR="009133AD" w:rsidRPr="00A84CCB" w:rsidRDefault="009133AD" w:rsidP="00A84CCB">
      <w:pPr>
        <w:rPr>
          <w:color w:val="000000" w:themeColor="text1"/>
          <w:lang w:val="en-GB"/>
        </w:rPr>
      </w:pPr>
      <w:r w:rsidRPr="00A84CCB">
        <w:rPr>
          <w:color w:val="000000" w:themeColor="text1"/>
          <w:lang w:val="en-GB"/>
        </w:rPr>
        <w:t>It is almost impossible for NGOs to carry out monitoring studies in closed institutions. Closed institutions such as government’s disabled nursing homes, “hope homes” are practically closed to monitoring. The reasons for the deaths of people who lost their lives in closed institutions are not known.</w:t>
      </w:r>
    </w:p>
    <w:p w:rsidR="009133AD" w:rsidRPr="00A84CCB" w:rsidRDefault="009133AD" w:rsidP="00A84CCB">
      <w:pPr>
        <w:rPr>
          <w:color w:val="000000" w:themeColor="text1"/>
          <w:lang w:val="en-GB"/>
        </w:rPr>
      </w:pPr>
      <w:r w:rsidRPr="00A84CCB">
        <w:rPr>
          <w:color w:val="000000" w:themeColor="text1"/>
          <w:lang w:val="en-GB"/>
        </w:rPr>
        <w:t>There is no record or information about persons with disabilities who lost their lives as a result of negligence or wrong treatment.</w:t>
      </w:r>
    </w:p>
    <w:p w:rsidR="00BF23B9" w:rsidRPr="00A84CCB" w:rsidRDefault="00BF23B9" w:rsidP="00A84CCB">
      <w:pPr>
        <w:pStyle w:val="Heading2"/>
        <w:rPr>
          <w:lang w:val="en-GB"/>
        </w:rPr>
      </w:pPr>
      <w:bookmarkStart w:id="13" w:name="_Toc808054"/>
      <w:r w:rsidRPr="00A84CCB">
        <w:rPr>
          <w:lang w:val="en-GB"/>
        </w:rPr>
        <w:lastRenderedPageBreak/>
        <w:t>Article 11: Situations of Risk and Humanitarian Emergencies</w:t>
      </w:r>
      <w:bookmarkEnd w:id="13"/>
    </w:p>
    <w:p w:rsidR="00BF23B9" w:rsidRPr="00A84CCB" w:rsidRDefault="00BF23B9" w:rsidP="00A84CCB">
      <w:pPr>
        <w:jc w:val="both"/>
        <w:rPr>
          <w:lang w:val="en-GB"/>
        </w:rPr>
      </w:pPr>
      <w:r w:rsidRPr="00A84CCB">
        <w:rPr>
          <w:lang w:val="en-GB"/>
        </w:rPr>
        <w:t>As stated in the report on Turkey, Disaster and Emergency Management Presidency (AFAD) is the authorized institution to intervene in emergencies and disasters in Turkey. However, AFAD currently does not have a special plan for situations of risk and humanitarian emergencies covering the disabled.</w:t>
      </w:r>
    </w:p>
    <w:p w:rsidR="00BF23B9" w:rsidRPr="00A84CCB" w:rsidRDefault="00BF23B9" w:rsidP="00A84CCB">
      <w:pPr>
        <w:jc w:val="both"/>
        <w:rPr>
          <w:lang w:val="en-GB"/>
        </w:rPr>
      </w:pPr>
      <w:r w:rsidRPr="00A84CCB">
        <w:rPr>
          <w:lang w:val="en-GB"/>
        </w:rPr>
        <w:t xml:space="preserve">The publication "First 72 Hour of Persons with Disabilities in Earthquakes" specified in Article 84 of the Report on Turkey only describes what the persons with disabilities should do in an earthquake moment. In other words, no content was prepared regarding what AFAD would do in disasters other than earthquakes or in situations of risk and disaster. </w:t>
      </w:r>
    </w:p>
    <w:p w:rsidR="00BF23B9" w:rsidRPr="00A84CCB" w:rsidRDefault="00BF23B9" w:rsidP="00A84CCB">
      <w:pPr>
        <w:jc w:val="both"/>
        <w:rPr>
          <w:lang w:val="en-GB"/>
        </w:rPr>
      </w:pPr>
      <w:r w:rsidRPr="00A84CCB">
        <w:rPr>
          <w:lang w:val="en-GB"/>
        </w:rPr>
        <w:t>In 2017, AFAD initiated a project to create a structure regarding services for persons with disabilities in disasters and emergencies contacting certain non-governmental organizations including TOHAD. Moreover, TOHAD provided AFAD emergency response teams in Ankara and Istanbul with communication and intervention trainings for disabled persons as part of a pilot study. However, these projects remained as pilot projects. There is no information as to whether there is a response plan for persons with disabilities in situations of risk and humanitarian emergencies. AFAD has not made a declaration, announcement or communicating to NGOs.</w:t>
      </w:r>
    </w:p>
    <w:p w:rsidR="00BF23B9" w:rsidRPr="00A84CCB" w:rsidRDefault="00BF23B9" w:rsidP="00A84CCB">
      <w:pPr>
        <w:jc w:val="both"/>
        <w:rPr>
          <w:lang w:val="en-GB"/>
        </w:rPr>
      </w:pPr>
      <w:r w:rsidRPr="00A84CCB">
        <w:rPr>
          <w:lang w:val="en-GB"/>
        </w:rPr>
        <w:t xml:space="preserve">AFAD is not the only authority with problematic arrangements regarding situations of risk and humanitarian emergencies to which the disabled will be exposed. Actually, 47% of hospitals (181 hospitals) have no evacuation plans for disabled patients in emergencies according to </w:t>
      </w:r>
      <w:r w:rsidRPr="00A84CCB">
        <w:rPr>
          <w:lang w:val="en-GB"/>
        </w:rPr>
        <w:lastRenderedPageBreak/>
        <w:t xml:space="preserve">information TOHAD received from 385 large-scale state hospitals as part of its research in 2014-2015. It is thought-provoking that there is no intervention plan for disabled patients in emergencies even in critical sections of hospitals. </w:t>
      </w:r>
    </w:p>
    <w:p w:rsidR="00BF23B9" w:rsidRPr="00A84CCB" w:rsidRDefault="00BF23B9" w:rsidP="00A84CCB">
      <w:pPr>
        <w:jc w:val="both"/>
        <w:rPr>
          <w:lang w:val="en-GB"/>
        </w:rPr>
      </w:pPr>
      <w:r w:rsidRPr="00A84CCB">
        <w:rPr>
          <w:lang w:val="en-GB"/>
        </w:rPr>
        <w:t>As can be seen from the above mentioned two topics, the government has not fulfilled its obligations regarding the situations of risk and humanitarian emergencies.</w:t>
      </w:r>
    </w:p>
    <w:p w:rsidR="00BF23B9" w:rsidRPr="00A84CCB" w:rsidRDefault="00BF23B9" w:rsidP="00A84CCB">
      <w:pPr>
        <w:pStyle w:val="Heading2"/>
        <w:rPr>
          <w:lang w:val="en-GB"/>
        </w:rPr>
      </w:pPr>
      <w:bookmarkStart w:id="14" w:name="_Toc808055"/>
      <w:r w:rsidRPr="00A84CCB">
        <w:rPr>
          <w:lang w:val="en-GB"/>
        </w:rPr>
        <w:t>Article 12: Equal Recognition Before The Law</w:t>
      </w:r>
      <w:bookmarkEnd w:id="14"/>
    </w:p>
    <w:p w:rsidR="00BF23B9" w:rsidRPr="00A84CCB" w:rsidRDefault="00BF23B9" w:rsidP="00A84CCB">
      <w:pPr>
        <w:jc w:val="both"/>
        <w:rPr>
          <w:i/>
          <w:lang w:val="en-GB"/>
        </w:rPr>
      </w:pPr>
      <w:r w:rsidRPr="00A84CCB">
        <w:rPr>
          <w:i/>
          <w:lang w:val="en-GB"/>
        </w:rPr>
        <w:t>About Paragraph 87-92 of the report on Turkey</w:t>
      </w:r>
    </w:p>
    <w:p w:rsidR="00BF23B9" w:rsidRPr="00A84CCB" w:rsidRDefault="00BF23B9" w:rsidP="00A84CCB">
      <w:pPr>
        <w:jc w:val="both"/>
        <w:rPr>
          <w:lang w:val="en-GB"/>
        </w:rPr>
      </w:pPr>
      <w:r w:rsidRPr="00A84CCB">
        <w:rPr>
          <w:lang w:val="en-GB"/>
        </w:rPr>
        <w:t>According to the Turkish Civil Law, people have two types of licenses: “the capacity to have rights” namely the “capacity to benefit from civil rights” and the “capacity to act”, namely the capacity to exercise civil rights. Every individual has the capacity to have rights from the moment they fall into the mother’s womb and born alive. The capacity to have rights is earned only by being a human being. Similarly, according to the Turkish laws, everyone without a limitation and with the power to differentiate has the capacity to act. (Article 10 of Civil Law) The Civil Law defines Limitation (Article 13) as follows: any person who is not deprived of his or her ability to act in a reasonable manner due to small age or his or his mental disease, mental weakness, intoxication or similar reasons has the power to differentiate under this Law.”</w:t>
      </w:r>
    </w:p>
    <w:p w:rsidR="00BF23B9" w:rsidRPr="00A84CCB" w:rsidRDefault="00BF23B9" w:rsidP="00A84CCB">
      <w:pPr>
        <w:jc w:val="both"/>
        <w:rPr>
          <w:lang w:val="en-GB"/>
        </w:rPr>
      </w:pPr>
      <w:r w:rsidRPr="00A84CCB">
        <w:rPr>
          <w:lang w:val="en-GB"/>
        </w:rPr>
        <w:t xml:space="preserve">First of all, the concept of “reasonableness” stated in the law creates uncertainty. In addition, it is stated in the contract that disability is a </w:t>
      </w:r>
      <w:r w:rsidRPr="00A84CCB">
        <w:rPr>
          <w:lang w:val="en-GB"/>
        </w:rPr>
        <w:lastRenderedPageBreak/>
        <w:t xml:space="preserve">developing concept. </w:t>
      </w:r>
      <w:r w:rsidRPr="00A84CCB">
        <w:rPr>
          <w:rStyle w:val="FootnoteReference"/>
          <w:lang w:val="en-GB"/>
        </w:rPr>
        <w:footnoteReference w:id="14"/>
      </w:r>
      <w:r w:rsidRPr="00A84CCB">
        <w:rPr>
          <w:lang w:val="en-GB"/>
        </w:rPr>
        <w:t xml:space="preserve"> The convention defines the concept of disability as “persons with disabilities include those who have long-term physical, mental, intellectual or sensory impairments which in interaction with various barriers may hinder their full and effective participation in society on an equal basis with others.” It is because disability is caused by the attitudes and environmental limitations an individual faces as well as his own losses. At this point, the Turkish Civil Law recommends medical evaluation as the method for evaluation. According to Article 409 of the Civil Law, a decision on limitation due to mental illness or mental weakness can only be made upon the official medical board report. However, it creates a situation contrary to the spirit of the contract. Although there is a provision that a judge may listen to a disabled person, it is unclear in the light of what criteria and facts the judge will assess the status of that person. </w:t>
      </w:r>
    </w:p>
    <w:p w:rsidR="00BF23B9" w:rsidRPr="00A84CCB" w:rsidRDefault="00BF23B9" w:rsidP="00A84CCB">
      <w:pPr>
        <w:jc w:val="both"/>
        <w:rPr>
          <w:lang w:val="en-GB"/>
        </w:rPr>
      </w:pPr>
      <w:r w:rsidRPr="00A84CCB">
        <w:rPr>
          <w:lang w:val="en-GB"/>
        </w:rPr>
        <w:t xml:space="preserve">The foregoing considerations point out that the Turkish Civil Law is not in compliance with the United Nations Convention on the Rights of Persons with Disabilities. Turkey has not made its domestic law compliant with the articles of the convention since the date of signature. </w:t>
      </w:r>
    </w:p>
    <w:p w:rsidR="00BF23B9" w:rsidRPr="00A84CCB" w:rsidRDefault="00BF23B9" w:rsidP="00A84CCB">
      <w:pPr>
        <w:jc w:val="both"/>
        <w:rPr>
          <w:b/>
          <w:lang w:val="en-GB"/>
        </w:rPr>
      </w:pPr>
      <w:r w:rsidRPr="00A84CCB">
        <w:rPr>
          <w:b/>
          <w:lang w:val="en-GB"/>
        </w:rPr>
        <w:t xml:space="preserve">About Paragraph 93 of the report on Turkey </w:t>
      </w:r>
    </w:p>
    <w:p w:rsidR="00BF23B9" w:rsidRPr="00A84CCB" w:rsidRDefault="00BF23B9" w:rsidP="00A84CCB">
      <w:pPr>
        <w:jc w:val="both"/>
        <w:rPr>
          <w:lang w:val="en-GB"/>
        </w:rPr>
      </w:pPr>
      <w:r w:rsidRPr="00A84CCB">
        <w:rPr>
          <w:lang w:val="en-GB"/>
        </w:rPr>
        <w:t xml:space="preserve">As stated in the report submitted by the Turkish State, the obligation to have witnesses during the notary operations of visually impaired, hearing or speech disabled individuals was abolished with the amendment made to the Notary Law in 2005. However, serious problems have emerged in the implementation of this law. Since the day of the </w:t>
      </w:r>
      <w:r w:rsidRPr="00A84CCB">
        <w:rPr>
          <w:lang w:val="en-GB"/>
        </w:rPr>
        <w:lastRenderedPageBreak/>
        <w:t xml:space="preserve">law amendment, many NGOs operating in the fields related to the blind persons state that notaries refuse to carry out procedures without a witness. Also, there are news stories covered by the press about this topic. On the other hand, the notary publics acknowledge that the notary law was amended, but that the article of this law contradicts the conditions stipulated in the Turkish Civil Law and the Law of Obligations. Therefore, it is of great benefit to make a recommendation for the Turkish state to issue relevant compliance laws on the matter. </w:t>
      </w:r>
    </w:p>
    <w:p w:rsidR="009133AD" w:rsidRPr="00A84CCB" w:rsidRDefault="009133AD" w:rsidP="00A84CCB">
      <w:pPr>
        <w:pStyle w:val="Heading2"/>
        <w:rPr>
          <w:lang w:val="en-GB"/>
        </w:rPr>
      </w:pPr>
      <w:bookmarkStart w:id="15" w:name="_Toc808056"/>
      <w:r w:rsidRPr="00A84CCB">
        <w:rPr>
          <w:lang w:val="en-GB"/>
        </w:rPr>
        <w:t>Article 13: Access to Justice</w:t>
      </w:r>
      <w:bookmarkEnd w:id="15"/>
    </w:p>
    <w:p w:rsidR="009133AD" w:rsidRPr="00A84CCB" w:rsidRDefault="009133AD" w:rsidP="00A84CCB">
      <w:pPr>
        <w:rPr>
          <w:color w:val="000000" w:themeColor="text1"/>
          <w:lang w:val="en-GB"/>
        </w:rPr>
      </w:pPr>
      <w:r w:rsidRPr="00A84CCB">
        <w:rPr>
          <w:color w:val="000000" w:themeColor="text1"/>
          <w:lang w:val="en-GB"/>
        </w:rPr>
        <w:t>A substantial part of the courthouses in Turkey is not accessible. According to a research conducted by TOHAD in 2014, 30.99% of the courthouses do not have an elevator, 85.71% do not have tactile paving and 48.81% do not have toilets for persons with disabilities. Again, in courthouses, there is no induction loop system to serve deaf people.</w:t>
      </w:r>
    </w:p>
    <w:p w:rsidR="009133AD" w:rsidRPr="00A84CCB" w:rsidRDefault="009133AD" w:rsidP="00A84CCB">
      <w:pPr>
        <w:rPr>
          <w:color w:val="000000" w:themeColor="text1"/>
          <w:lang w:val="en-GB"/>
        </w:rPr>
      </w:pPr>
      <w:r w:rsidRPr="00A84CCB">
        <w:rPr>
          <w:color w:val="000000" w:themeColor="text1"/>
          <w:lang w:val="en-GB"/>
        </w:rPr>
        <w:t>Again, in these courthouses, there is not any staff who knows sign language to ensure deaf people’s Access to services who are in courthouses as a witness, suspect, complainant, defendant, etc. Undoubtedly, inaccessibility of courthouses and services brings up the fact that persons with disabilities cannot make use of the mechanisms for claiming their rights. According to a research which was conducted by TOHAD in 2014, it was found that 71.22% of those who suffered from the loss of right did not apply for any mechanism to claim their rights.</w:t>
      </w:r>
    </w:p>
    <w:p w:rsidR="009133AD" w:rsidRPr="00A84CCB" w:rsidRDefault="009133AD" w:rsidP="00A84CCB">
      <w:pPr>
        <w:pStyle w:val="Heading2"/>
        <w:rPr>
          <w:lang w:val="en-GB"/>
        </w:rPr>
      </w:pPr>
      <w:bookmarkStart w:id="16" w:name="_Toc808057"/>
      <w:r w:rsidRPr="00A84CCB">
        <w:rPr>
          <w:lang w:val="en-GB"/>
        </w:rPr>
        <w:lastRenderedPageBreak/>
        <w:t>Article 15: Freedom From Torture or Cruel, Inhuman or Degrading Treatment or Punishment</w:t>
      </w:r>
      <w:bookmarkEnd w:id="16"/>
    </w:p>
    <w:p w:rsidR="009133AD" w:rsidRPr="00A84CCB" w:rsidRDefault="009133AD" w:rsidP="00A84CCB">
      <w:pPr>
        <w:rPr>
          <w:color w:val="000000" w:themeColor="text1"/>
          <w:lang w:val="en-GB"/>
        </w:rPr>
      </w:pPr>
      <w:r w:rsidRPr="00A84CCB">
        <w:rPr>
          <w:color w:val="000000" w:themeColor="text1"/>
          <w:lang w:val="en-GB"/>
        </w:rPr>
        <w:t>First and foremost, the government does not collect data on these incidents. That’s why the government itself does not know which incidents are systematic. The measures the government takes to prevent torture, tyrannical, inhuman or humiliating treatments or penalties, are limited with a few legal arrangements.</w:t>
      </w:r>
    </w:p>
    <w:p w:rsidR="009133AD" w:rsidRPr="00A84CCB" w:rsidRDefault="009133AD" w:rsidP="00A84CCB">
      <w:pPr>
        <w:rPr>
          <w:color w:val="000000" w:themeColor="text1"/>
          <w:lang w:val="en-GB"/>
        </w:rPr>
      </w:pPr>
      <w:r w:rsidRPr="00A84CCB">
        <w:rPr>
          <w:color w:val="000000" w:themeColor="text1"/>
          <w:lang w:val="en-GB"/>
        </w:rPr>
        <w:t>No monitoring and control studies are performed in cooperation with NGOs particularly under the control of closed institutions to prevent crimes being committed or uncover the committed crimes. The activities of this type of closed institutions are not monitored by NGOs and it is almost impossible for NGOs to work in these institutions.</w:t>
      </w:r>
    </w:p>
    <w:p w:rsidR="009133AD" w:rsidRPr="00A84CCB" w:rsidRDefault="009133AD" w:rsidP="00A84CCB">
      <w:pPr>
        <w:rPr>
          <w:color w:val="000000" w:themeColor="text1"/>
          <w:lang w:val="en-GB"/>
        </w:rPr>
      </w:pPr>
      <w:r w:rsidRPr="00A84CCB">
        <w:rPr>
          <w:color w:val="000000" w:themeColor="text1"/>
          <w:lang w:val="en-GB"/>
        </w:rPr>
        <w:t>Administrative and legal ways that persons with disabilities and their families would use after the incidents are not accessible. Crime reporting lines should be rendered accessible for persons with disabilities. For example, deaf people are not able to give notice or make calls by sending text (SMS, smart phone apps).</w:t>
      </w:r>
    </w:p>
    <w:p w:rsidR="009133AD" w:rsidRPr="00A84CCB" w:rsidRDefault="009133AD" w:rsidP="00A84CCB">
      <w:pPr>
        <w:pStyle w:val="Heading2"/>
        <w:rPr>
          <w:lang w:val="en-GB"/>
        </w:rPr>
      </w:pPr>
      <w:bookmarkStart w:id="17" w:name="_Toc808058"/>
      <w:r w:rsidRPr="00A84CCB">
        <w:rPr>
          <w:lang w:val="en-GB"/>
        </w:rPr>
        <w:t>Article 16: Freedom From Exploitation, Violence, and Abuse</w:t>
      </w:r>
      <w:bookmarkEnd w:id="17"/>
    </w:p>
    <w:p w:rsidR="009133AD" w:rsidRPr="00A84CCB" w:rsidRDefault="009133AD" w:rsidP="00A84CCB">
      <w:pPr>
        <w:rPr>
          <w:color w:val="000000" w:themeColor="text1"/>
          <w:lang w:val="en-GB"/>
        </w:rPr>
      </w:pPr>
      <w:r w:rsidRPr="00A84CCB">
        <w:rPr>
          <w:color w:val="000000" w:themeColor="text1"/>
          <w:lang w:val="en-GB"/>
        </w:rPr>
        <w:t xml:space="preserve">According to a research conducted by TOHAD in 2017, there were 358 violence, abuse, negligence, maltreatment, sexual harassment, and rape cases reflected only in visual and printed media. In these cases, 25% of the victims were children below 15 years of age. </w:t>
      </w:r>
      <w:r w:rsidRPr="00A84CCB">
        <w:rPr>
          <w:color w:val="000000" w:themeColor="text1"/>
          <w:lang w:val="en-GB"/>
        </w:rPr>
        <w:lastRenderedPageBreak/>
        <w:t>These assaults towards the victims were generally from the immediate circle or occur in the service provider institutions and organizations. These incidents show that the situation of persons with disabilities within the family is not controlled effectively enough by public institutions. Yet, the government is, again and again gets in touch with persons with disabilities because of disabled caregiver salary, disability allowance, educational assessment reports for private education services. During all these contacts, the incidents to the persons with disabilities are exposed can be detected. A similar situation also applies to persons with disabilities getting service from public institutions. For example, according to the data from the same research, in the total cases, the ratio of those who are exposed to these assaults in public organizations is 23.27%.</w:t>
      </w:r>
    </w:p>
    <w:p w:rsidR="009133AD" w:rsidRPr="00A84CCB" w:rsidRDefault="009133AD" w:rsidP="00A84CCB">
      <w:pPr>
        <w:rPr>
          <w:color w:val="000000" w:themeColor="text1"/>
          <w:lang w:val="en-GB"/>
        </w:rPr>
      </w:pPr>
      <w:r w:rsidRPr="00A84CCB">
        <w:rPr>
          <w:color w:val="000000" w:themeColor="text1"/>
          <w:lang w:val="en-GB"/>
        </w:rPr>
        <w:t>The efforts made by the government to prevent incidents is inadequate. The method used is generally to punish those involved in crime instead of taking preventive actions. On the other hand, reductions in penalties decrease the deterrence. Practices such as pending trials of perpetrators result in new assaults to the victims. The government does not take or delays to take adequate and effective measure for the victim.</w:t>
      </w:r>
    </w:p>
    <w:p w:rsidR="009133AD" w:rsidRPr="00A84CCB" w:rsidRDefault="009133AD" w:rsidP="00A84CCB">
      <w:pPr>
        <w:rPr>
          <w:color w:val="000000" w:themeColor="text1"/>
          <w:lang w:val="en-GB"/>
        </w:rPr>
      </w:pPr>
      <w:r w:rsidRPr="00A84CCB">
        <w:rPr>
          <w:color w:val="000000" w:themeColor="text1"/>
          <w:lang w:val="en-GB"/>
        </w:rPr>
        <w:t>The government does not collect adequate information about victims.  No result can be obtained from information applications by NGOs. Because the government has no registration system regarding particularly these crimes.</w:t>
      </w:r>
    </w:p>
    <w:p w:rsidR="009133AD" w:rsidRPr="00A84CCB" w:rsidRDefault="009133AD" w:rsidP="00A84CCB">
      <w:pPr>
        <w:rPr>
          <w:color w:val="000000" w:themeColor="text1"/>
          <w:lang w:val="en-GB"/>
        </w:rPr>
      </w:pPr>
      <w:r w:rsidRPr="00A84CCB">
        <w:rPr>
          <w:color w:val="000000" w:themeColor="text1"/>
          <w:lang w:val="en-GB"/>
        </w:rPr>
        <w:t>Judicial staff and other professionals (e.g., police force, prosecutor, judge) investigating physical-sexual violence, abuse and maltreatment cases towards persons with disabilities should be given relevant education programs (disability and disability rights, gender, etc.).</w:t>
      </w:r>
    </w:p>
    <w:p w:rsidR="009133AD" w:rsidRPr="00A84CCB" w:rsidRDefault="009133AD" w:rsidP="00A84CCB">
      <w:pPr>
        <w:rPr>
          <w:color w:val="000000" w:themeColor="text1"/>
          <w:lang w:val="en-GB"/>
        </w:rPr>
      </w:pPr>
      <w:r w:rsidRPr="00A84CCB">
        <w:rPr>
          <w:color w:val="000000" w:themeColor="text1"/>
          <w:lang w:val="en-GB"/>
        </w:rPr>
        <w:lastRenderedPageBreak/>
        <w:t>On the other hand, shelter homes to which women with disabilities can go who were exposed to violence are not accessible for persons with disabilities. Also, there is an administrative arrangement which indicates that persons with disabilities are not allowed to these shelter homes.</w:t>
      </w:r>
    </w:p>
    <w:p w:rsidR="00BF23B9" w:rsidRPr="00A84CCB" w:rsidRDefault="00BF23B9" w:rsidP="00A84CCB">
      <w:pPr>
        <w:pStyle w:val="Heading2"/>
        <w:rPr>
          <w:lang w:val="en-GB"/>
        </w:rPr>
      </w:pPr>
      <w:bookmarkStart w:id="18" w:name="_Toc808059"/>
      <w:r w:rsidRPr="00A84CCB">
        <w:rPr>
          <w:lang w:val="en-GB"/>
        </w:rPr>
        <w:t xml:space="preserve">Article 19: Living Independently </w:t>
      </w:r>
      <w:r w:rsidR="00A84CCB">
        <w:rPr>
          <w:lang w:val="en-GB"/>
        </w:rPr>
        <w:t>a</w:t>
      </w:r>
      <w:r w:rsidRPr="00A84CCB">
        <w:rPr>
          <w:lang w:val="en-GB"/>
        </w:rPr>
        <w:t xml:space="preserve">nd Being Included In </w:t>
      </w:r>
      <w:r w:rsidR="00A84CCB">
        <w:rPr>
          <w:lang w:val="en-GB"/>
        </w:rPr>
        <w:t>t</w:t>
      </w:r>
      <w:r w:rsidRPr="00A84CCB">
        <w:rPr>
          <w:lang w:val="en-GB"/>
        </w:rPr>
        <w:t>he Community</w:t>
      </w:r>
      <w:bookmarkEnd w:id="18"/>
    </w:p>
    <w:p w:rsidR="00BF23B9" w:rsidRPr="00A84CCB" w:rsidRDefault="00BF23B9" w:rsidP="00A84CCB">
      <w:pPr>
        <w:jc w:val="both"/>
        <w:rPr>
          <w:rFonts w:ascii="Helvetica Neue" w:hAnsi="Helvetica Neue"/>
          <w:color w:val="000000"/>
          <w:szCs w:val="20"/>
          <w:shd w:val="clear" w:color="auto" w:fill="FFFFFF"/>
          <w:lang w:val="en-GB"/>
        </w:rPr>
      </w:pPr>
      <w:r w:rsidRPr="00A84CCB">
        <w:rPr>
          <w:lang w:val="en-GB"/>
        </w:rPr>
        <w:t xml:space="preserve">Paragraph c of Article 19 of CRPD is as follows: </w:t>
      </w:r>
      <w:r w:rsidRPr="00A84CCB">
        <w:rPr>
          <w:color w:val="000000"/>
          <w:szCs w:val="20"/>
          <w:shd w:val="clear" w:color="auto" w:fill="FFFFFF"/>
          <w:lang w:val="en-GB"/>
        </w:rPr>
        <w:t>c) Community services and facilities for the general population are available on an equal basis to persons with disabilities and are responsive to their needs.” The report submitted by Turkey says the following regarding this matter:</w:t>
      </w:r>
    </w:p>
    <w:p w:rsidR="00BF23B9" w:rsidRPr="00A84CCB" w:rsidRDefault="00BF23B9" w:rsidP="00A84CCB">
      <w:pPr>
        <w:ind w:left="708" w:firstLine="30"/>
        <w:jc w:val="both"/>
        <w:rPr>
          <w:i/>
          <w:lang w:val="en-GB"/>
        </w:rPr>
      </w:pPr>
      <w:r w:rsidRPr="00A84CCB">
        <w:rPr>
          <w:rFonts w:ascii="Helvetica Neue" w:hAnsi="Helvetica Neue"/>
          <w:color w:val="000000"/>
          <w:szCs w:val="20"/>
          <w:shd w:val="clear" w:color="auto" w:fill="FFFFFF"/>
          <w:lang w:val="en-GB"/>
        </w:rPr>
        <w:t>“</w:t>
      </w:r>
      <w:r w:rsidRPr="00A84CCB">
        <w:rPr>
          <w:i/>
          <w:lang w:val="en-GB"/>
        </w:rPr>
        <w:t>47. Various measures have been taken by related legislative arrangements in order to enhance personal mobility of PwDs and thus ensure full and equal participation of them to social life. For instance, standards on accessible entrance and guidance in buildings, audiovisual equipment to be installed in mass transportation vehicles, buildings and open spaces and emergency warning systems were established and have been monitored by Accessibility Monitoring and Auditing Mechanism (Also see Art. 9).”</w:t>
      </w:r>
    </w:p>
    <w:p w:rsidR="00BF23B9" w:rsidRPr="00A84CCB" w:rsidRDefault="00BF23B9" w:rsidP="00A84CCB">
      <w:pPr>
        <w:jc w:val="both"/>
        <w:rPr>
          <w:lang w:val="en-GB"/>
        </w:rPr>
      </w:pPr>
      <w:r w:rsidRPr="00A84CCB">
        <w:rPr>
          <w:lang w:val="en-GB"/>
        </w:rPr>
        <w:t xml:space="preserve">However, it is very clear that the actual situation in Turkey is not consistent with what is stated in the state report. The figures in the access-related section of this shadow report reveal this situation. An overwhelming majority of public facilities in Turkey is not suitable for the access of the disabled and access to services include serious difficulties. </w:t>
      </w:r>
    </w:p>
    <w:p w:rsidR="00BF23B9" w:rsidRPr="00A84CCB" w:rsidRDefault="00BF23B9" w:rsidP="00A84CCB">
      <w:pPr>
        <w:jc w:val="both"/>
        <w:rPr>
          <w:lang w:val="en-GB"/>
        </w:rPr>
      </w:pPr>
      <w:r w:rsidRPr="00A84CCB">
        <w:rPr>
          <w:lang w:val="en-GB"/>
        </w:rPr>
        <w:lastRenderedPageBreak/>
        <w:t>According to ACSHB's response to our application for information,</w:t>
      </w:r>
      <w:r w:rsidRPr="00A84CCB">
        <w:rPr>
          <w:rStyle w:val="FootnoteReference"/>
          <w:lang w:val="en-GB"/>
        </w:rPr>
        <w:footnoteReference w:id="15"/>
      </w:r>
      <w:r w:rsidRPr="00A84CCB">
        <w:rPr>
          <w:lang w:val="en-GB"/>
        </w:rPr>
        <w:t xml:space="preserve"> the total number of buildings in the Accessibility Monitoring System database is 1,525,178, only 3,280 of which are accessible by more than 75%. On the other hand, no sanctions were imposed on public institutions that did not make arrangements. It is because according to the same response, the Accessibility Monitoring and Supervision Board, which monitors and inspects institutions regarding whether they implement the law has not imposed any administrative penalties until 31.12.2014. </w:t>
      </w:r>
    </w:p>
    <w:p w:rsidR="00BF23B9" w:rsidRPr="00A84CCB" w:rsidRDefault="00BF23B9" w:rsidP="00A84CCB">
      <w:pPr>
        <w:jc w:val="both"/>
        <w:rPr>
          <w:lang w:val="en-GB"/>
        </w:rPr>
      </w:pPr>
      <w:r w:rsidRPr="00A84CCB">
        <w:rPr>
          <w:lang w:val="en-GB"/>
        </w:rPr>
        <w:t>As can be seen from the above-mentioned information, the Turkish State has fulfilled scarcely any of its obligations in this respect.</w:t>
      </w:r>
    </w:p>
    <w:p w:rsidR="00D3205F" w:rsidRPr="00A84CCB" w:rsidRDefault="00D3205F" w:rsidP="00A84CCB">
      <w:pPr>
        <w:pStyle w:val="Heading2"/>
        <w:rPr>
          <w:rFonts w:eastAsia="Gungsuh"/>
          <w:lang w:val="en-GB"/>
        </w:rPr>
      </w:pPr>
      <w:bookmarkStart w:id="19" w:name="_Toc808060"/>
      <w:bookmarkEnd w:id="7"/>
      <w:bookmarkEnd w:id="8"/>
      <w:r w:rsidRPr="00A84CCB">
        <w:rPr>
          <w:rFonts w:eastAsia="Gungsuh"/>
          <w:lang w:val="en-GB"/>
        </w:rPr>
        <w:t>Article 24</w:t>
      </w:r>
      <w:r w:rsidR="00F063BD" w:rsidRPr="00A84CCB">
        <w:rPr>
          <w:rFonts w:eastAsia="Gungsuh"/>
          <w:lang w:val="en-GB"/>
        </w:rPr>
        <w:t>:</w:t>
      </w:r>
      <w:r w:rsidRPr="00A84CCB">
        <w:rPr>
          <w:rFonts w:eastAsia="Gungsuh"/>
          <w:lang w:val="en-GB"/>
        </w:rPr>
        <w:t xml:space="preserve"> Education</w:t>
      </w:r>
      <w:bookmarkEnd w:id="19"/>
    </w:p>
    <w:p w:rsidR="00F063BD" w:rsidRPr="00A84CCB" w:rsidRDefault="00F063BD" w:rsidP="00A84CCB">
      <w:pPr>
        <w:pStyle w:val="NormalWeb"/>
        <w:spacing w:before="120" w:beforeAutospacing="0" w:after="120" w:afterAutospacing="0"/>
        <w:rPr>
          <w:rFonts w:ascii="Verdana" w:hAnsi="Verdana"/>
          <w:lang w:val="en-GB"/>
        </w:rPr>
      </w:pPr>
      <w:r w:rsidRPr="00A84CCB">
        <w:rPr>
          <w:rFonts w:ascii="Verdana" w:hAnsi="Verdana"/>
          <w:lang w:val="en-GB"/>
        </w:rPr>
        <w:t>According to data of Ministry of National Education published in September 2018</w:t>
      </w:r>
      <w:r w:rsidRPr="00A84CCB">
        <w:rPr>
          <w:rStyle w:val="FootnoteReference"/>
          <w:rFonts w:ascii="Verdana" w:hAnsi="Verdana"/>
          <w:lang w:val="en-GB"/>
        </w:rPr>
        <w:footnoteReference w:id="16"/>
      </w:r>
    </w:p>
    <w:p w:rsidR="00F063BD" w:rsidRPr="00A84CCB" w:rsidRDefault="00F063BD" w:rsidP="00A84CCB">
      <w:pPr>
        <w:pStyle w:val="NormalWeb"/>
        <w:spacing w:before="120" w:beforeAutospacing="0" w:after="120" w:afterAutospacing="0"/>
        <w:rPr>
          <w:rFonts w:ascii="Verdana" w:hAnsi="Verdana"/>
          <w:lang w:val="en-GB"/>
        </w:rPr>
      </w:pPr>
      <w:r w:rsidRPr="00A84CCB">
        <w:rPr>
          <w:rFonts w:ascii="Verdana" w:hAnsi="Verdana"/>
          <w:lang w:val="en-GB"/>
        </w:rPr>
        <w:t xml:space="preserve">A total of 17 million 885 thousand 248 students use formal education in the academic year between 2017 and 2018. In fact, the number of students that use formal special education and inclusive education is 353 thousand and 610. In other words, disabled students account for only 1.9% of total population of students. However, according to </w:t>
      </w:r>
      <w:r w:rsidR="00A84CCB" w:rsidRPr="00A84CCB">
        <w:rPr>
          <w:rFonts w:ascii="Verdana" w:hAnsi="Verdana"/>
          <w:lang w:val="en-GB"/>
        </w:rPr>
        <w:t>populations</w:t>
      </w:r>
      <w:r w:rsidRPr="00A84CCB">
        <w:rPr>
          <w:rFonts w:ascii="Verdana" w:hAnsi="Verdana"/>
          <w:lang w:val="en-GB"/>
        </w:rPr>
        <w:t xml:space="preserve"> surveys conducted by the government in 2002 and 2011, the expected rate for disabled children in this age range is between 2.3% and 4.6%.</w:t>
      </w:r>
    </w:p>
    <w:p w:rsidR="00F063BD" w:rsidRPr="00A84CCB" w:rsidRDefault="00F063BD" w:rsidP="00A84CCB">
      <w:pPr>
        <w:pStyle w:val="NormalWeb"/>
        <w:spacing w:before="120" w:beforeAutospacing="0" w:after="120" w:afterAutospacing="0"/>
        <w:rPr>
          <w:rFonts w:ascii="Verdana" w:hAnsi="Verdana"/>
          <w:lang w:val="en-GB"/>
        </w:rPr>
      </w:pPr>
      <w:r w:rsidRPr="00A84CCB">
        <w:rPr>
          <w:rFonts w:ascii="Verdana" w:hAnsi="Verdana"/>
          <w:lang w:val="en-GB"/>
        </w:rPr>
        <w:lastRenderedPageBreak/>
        <w:t>On the other hand, in the distribution of disabled students over inclusive education by levels, the rate of students for attending school is dramatically decreased when they start high school. This suggests the risk of students for staying outside of school or being pushed to crime during puberty.</w:t>
      </w:r>
    </w:p>
    <w:p w:rsidR="00F063BD" w:rsidRPr="00A84CCB" w:rsidRDefault="00F063BD" w:rsidP="00A84CCB">
      <w:pPr>
        <w:rPr>
          <w:rFonts w:eastAsia="Gungsuh"/>
          <w:szCs w:val="20"/>
          <w:lang w:val="en-GB"/>
        </w:rPr>
      </w:pPr>
      <w:r w:rsidRPr="00A84CCB">
        <w:rPr>
          <w:rFonts w:eastAsia="Gungsuh"/>
          <w:szCs w:val="20"/>
          <w:lang w:val="en-GB"/>
        </w:rPr>
        <w:t>A comparison of distribution of education levels among male and female student with disabilities indicates that male ones hold higher education levels than females do. Percentage of illiterates is 32.1% for males, and 54.9% for females. Percentage of persons who are illiterate but did not graduate from any school is 19.2% for males, and 16.8% for females. Percentage of primary school graduates is 26.3% for males, and 16.5% for females. Percentage of primary school or secondary school or any other equivalent school graduates is 12.5% for males, and 7.1% for females. Percentage of high school or higher school graduates is 9.8% for males, and 4.7% for females.</w:t>
      </w:r>
    </w:p>
    <w:p w:rsidR="00F063BD" w:rsidRPr="00A84CCB" w:rsidRDefault="00F063BD" w:rsidP="00A84CCB">
      <w:pPr>
        <w:rPr>
          <w:rFonts w:cs="Times New Roman"/>
          <w:szCs w:val="20"/>
          <w:lang w:val="en-GB"/>
        </w:rPr>
      </w:pPr>
      <w:r w:rsidRPr="00A84CCB">
        <w:rPr>
          <w:rFonts w:cs="Times New Roman"/>
          <w:szCs w:val="20"/>
          <w:lang w:val="en-GB"/>
        </w:rPr>
        <w:t xml:space="preserve">On the other hand, no data could have been obtained about status of public schools in terms of accessibility. The Ministry of National Education (MEB) does not use any recording system in this regard. As a general data, accessibility arrangements are made, even partially, at schools which were constructed especially since 2005. However, it is unknown how many of a total of 60.000 schools operated by the MEB were constructed after 2005, or whether accessibility arrangements were carried out at these schools as per applicable standards. </w:t>
      </w:r>
    </w:p>
    <w:p w:rsidR="00F063BD" w:rsidRPr="00A84CCB" w:rsidRDefault="00F063BD" w:rsidP="00A84CCB">
      <w:pPr>
        <w:rPr>
          <w:rFonts w:cs="Times New Roman"/>
          <w:szCs w:val="20"/>
          <w:lang w:val="en-GB"/>
        </w:rPr>
      </w:pPr>
      <w:r w:rsidRPr="00A84CCB">
        <w:rPr>
          <w:rFonts w:cs="Times New Roman"/>
          <w:szCs w:val="20"/>
          <w:lang w:val="en-GB"/>
        </w:rPr>
        <w:t xml:space="preserve">There are also issues suffered with respect to the number of teachers who take part in education of children with disabilities. MEB adopted a special practice to cover this deficit in the number of special education teachers. The Ministry allowed primary school teachers, who work in other fields and who are essentially specialized in other </w:t>
      </w:r>
      <w:r w:rsidRPr="00A84CCB">
        <w:rPr>
          <w:rFonts w:cs="Times New Roman"/>
          <w:szCs w:val="20"/>
          <w:lang w:val="en-GB"/>
        </w:rPr>
        <w:lastRenderedPageBreak/>
        <w:t xml:space="preserve">fields, to be employed as special education teachers subject to completion of an appropriate certification program for this purpose. These teachers underwent a 540-hour certification program. However, it is disputable to which degree such teachers would be successful in teaching of children with disabilities. On the other hand, no training programs were initiated for teachers of classrooms where students with disabilities receive education as per inclusive education system, and it was attempted to train these teachers about how to approach students with disabilities only by means of a training guide that was published over the ministry’s website. </w:t>
      </w:r>
    </w:p>
    <w:p w:rsidR="00F063BD" w:rsidRPr="00A84CCB" w:rsidRDefault="00F063BD" w:rsidP="00A84CCB">
      <w:pPr>
        <w:rPr>
          <w:rFonts w:eastAsia="Gungsuh"/>
          <w:szCs w:val="20"/>
          <w:lang w:val="en-GB"/>
        </w:rPr>
      </w:pPr>
      <w:r w:rsidRPr="00A84CCB">
        <w:rPr>
          <w:rFonts w:eastAsia="Gungsuh"/>
          <w:szCs w:val="20"/>
          <w:lang w:val="en-GB"/>
        </w:rPr>
        <w:t xml:space="preserve">Students with disabilities are also observed to suffer problems in connection with higher education placement exams. </w:t>
      </w:r>
    </w:p>
    <w:p w:rsidR="00F063BD" w:rsidRPr="00A84CCB" w:rsidRDefault="00F063BD" w:rsidP="00A84CCB">
      <w:pPr>
        <w:rPr>
          <w:rFonts w:eastAsia="Gungsuh"/>
          <w:szCs w:val="20"/>
          <w:lang w:val="en-GB"/>
        </w:rPr>
      </w:pPr>
      <w:r w:rsidRPr="00A84CCB">
        <w:rPr>
          <w:rFonts w:eastAsia="Gungsuh"/>
          <w:szCs w:val="20"/>
          <w:lang w:val="en-GB"/>
        </w:rPr>
        <w:t>First of all, the fact that the Student Selection and Placement Center inspires, in the Guide on Higher Education Quotas, persons with disabilities to choose their fields of study in due consideration of their disabilities reveals an approach which substantiate the discrimination suffered by students who could not be enrolled to higher education institutes although their disabilities do not prevent them to receive education at these institutes.</w:t>
      </w:r>
      <w:r w:rsidRPr="00A84CCB">
        <w:rPr>
          <w:rStyle w:val="FootnoteReference"/>
          <w:rFonts w:eastAsia="Gungsuh"/>
          <w:szCs w:val="20"/>
          <w:lang w:val="en-GB"/>
        </w:rPr>
        <w:footnoteReference w:id="17"/>
      </w:r>
    </w:p>
    <w:p w:rsidR="00F063BD" w:rsidRPr="00A84CCB" w:rsidRDefault="00F063BD" w:rsidP="00A84CCB">
      <w:pPr>
        <w:rPr>
          <w:rFonts w:eastAsia="Gungsuh"/>
          <w:szCs w:val="20"/>
          <w:lang w:val="en-GB"/>
        </w:rPr>
      </w:pPr>
      <w:r w:rsidRPr="00A84CCB">
        <w:rPr>
          <w:rFonts w:eastAsia="Gungsuh"/>
          <w:szCs w:val="20"/>
          <w:lang w:val="en-GB"/>
        </w:rPr>
        <w:t xml:space="preserve">Special practices intended for elimination of disadvantages associated with the Student Selection and Placement Exams were reduced into standard methods. For example, there are no provisions about which criteria would be used in making decisions in case of presence of multiple disabilities or what can be done about such persons with </w:t>
      </w:r>
      <w:r w:rsidRPr="00A84CCB">
        <w:rPr>
          <w:rFonts w:eastAsia="Gungsuh"/>
          <w:szCs w:val="20"/>
          <w:lang w:val="en-GB"/>
        </w:rPr>
        <w:lastRenderedPageBreak/>
        <w:t>disabilities who need more specific exam practices other than those that are set out in the Guide. For example, Mr. Murat Kefeli, a person with visual, hearing, and sense of touch disabilities, made a request for a special arrangement by stating that he could take the exam only by the help of a special computer due to his multiple disabilities. However the Student Selection and Placement Center dismissed such request, and Mr. Murat Kefeli failed the exam since he had to take it under negative conditions. Whereupon Mr. Murat Kefeli initiated an action before the 1st Administrative Court of Ankara, and the Court concluded that Mr. Murat Kefeli failed the exam since his special conditions were ignored, and consequently ordered the Student Selection and Placement Center to pay a sum of TL 5.000 to Mr. Murat Kefeli as a compensation of his spirutal damages.</w:t>
      </w:r>
      <w:r w:rsidRPr="00A84CCB">
        <w:rPr>
          <w:rStyle w:val="FootnoteReference"/>
          <w:rFonts w:eastAsia="Gungsuh"/>
          <w:szCs w:val="20"/>
          <w:lang w:val="en-GB"/>
        </w:rPr>
        <w:footnoteReference w:id="18"/>
      </w:r>
    </w:p>
    <w:p w:rsidR="00F063BD" w:rsidRPr="00A84CCB" w:rsidRDefault="00D3205F" w:rsidP="00A84CCB">
      <w:pPr>
        <w:pStyle w:val="Heading2"/>
        <w:rPr>
          <w:rFonts w:eastAsia="Gungsuh"/>
          <w:lang w:val="en-GB"/>
        </w:rPr>
      </w:pPr>
      <w:bookmarkStart w:id="20" w:name="_Toc808061"/>
      <w:r w:rsidRPr="00A84CCB">
        <w:rPr>
          <w:rFonts w:eastAsia="Gungsuh"/>
          <w:lang w:val="en-GB"/>
        </w:rPr>
        <w:t>Article 25 –Health</w:t>
      </w:r>
      <w:r w:rsidR="004A1E5C" w:rsidRPr="00A84CCB">
        <w:rPr>
          <w:rFonts w:eastAsia="Gungsuh"/>
          <w:lang w:val="en-GB"/>
        </w:rPr>
        <w:t xml:space="preserve"> &amp; Habilitation and rehabilitation</w:t>
      </w:r>
      <w:bookmarkEnd w:id="20"/>
    </w:p>
    <w:p w:rsidR="004A1E5C" w:rsidRPr="00A84CCB" w:rsidRDefault="004A1E5C" w:rsidP="00200A6C">
      <w:pPr>
        <w:rPr>
          <w:b/>
          <w:bCs/>
          <w:lang w:val="en-GB"/>
        </w:rPr>
      </w:pPr>
      <w:r w:rsidRPr="00A84CCB">
        <w:rPr>
          <w:lang w:val="en-GB"/>
        </w:rPr>
        <w:t xml:space="preserve">In Turkey, issues suffered by persons with disabilities in connection with the offering of healthcare services and healthcare aids (e.g. auxiliary medical devices, medical supplies, medicines, and etc.) are still prevalent. These issues are attributable to the number of healthcare facilities that are specialized for persons with disabilities, available means of access to healthcare services, and insufficiency of specialized staff; and issues suffered in the field of healthcare aids are attributable rather to the nature and contents of applicable regulations to which budgets and healthcare aids are subject. </w:t>
      </w:r>
    </w:p>
    <w:p w:rsidR="004A1E5C" w:rsidRPr="00A84CCB" w:rsidRDefault="004A1E5C" w:rsidP="00200A6C">
      <w:pPr>
        <w:rPr>
          <w:b/>
          <w:bCs/>
          <w:lang w:val="en-GB"/>
        </w:rPr>
      </w:pPr>
      <w:r w:rsidRPr="00A84CCB">
        <w:rPr>
          <w:lang w:val="en-GB"/>
        </w:rPr>
        <w:lastRenderedPageBreak/>
        <w:t xml:space="preserve">Studies performed within scope of reporting activities indicates a substantial issue in connection with hospitals which are established to provide rehabilitation-habilitation and </w:t>
      </w:r>
      <w:r w:rsidRPr="00200A6C">
        <w:rPr>
          <w:lang w:val="en-GB"/>
        </w:rPr>
        <w:t>treatment services to persons</w:t>
      </w:r>
      <w:r w:rsidR="00A84CCB" w:rsidRPr="00200A6C">
        <w:rPr>
          <w:bCs/>
          <w:lang w:val="en-GB"/>
        </w:rPr>
        <w:t xml:space="preserve"> with disabilities. 8.5 million </w:t>
      </w:r>
      <w:r w:rsidRPr="00200A6C">
        <w:rPr>
          <w:lang w:val="en-GB"/>
        </w:rPr>
        <w:t>people with disabilities live</w:t>
      </w:r>
      <w:r w:rsidRPr="00A84CCB">
        <w:rPr>
          <w:lang w:val="en-GB"/>
        </w:rPr>
        <w:t xml:space="preserve"> in Turkey. In Turkey, however, there are only thirteen (11) psychiatric hospitals to serve persons with psychosocial disabilities, and only seventeen (17) treatment and rehabilitation hospitals to serve other groups of persons with disabilities. In other words, there are only a total of 30 specific hospitals. </w:t>
      </w:r>
    </w:p>
    <w:p w:rsidR="004A1E5C" w:rsidRPr="00A84CCB" w:rsidRDefault="004A1E5C" w:rsidP="00200A6C">
      <w:pPr>
        <w:rPr>
          <w:b/>
          <w:bCs/>
          <w:lang w:val="en-GB"/>
        </w:rPr>
      </w:pPr>
      <w:r w:rsidRPr="00A84CCB">
        <w:rPr>
          <w:lang w:val="en-GB"/>
        </w:rPr>
        <w:t xml:space="preserve">Above-mentioned specific hospitals are seated in 17 of a total of 81 cities of Turkey. The number of cities where both types of these specific hospitals are available is only six. However, there are no hospitals in both categories in many cities with a population of over 1 million  people (e.g. Adana, İzmir, and etc.), and either of these specific hospitals (rehabilitation and psychiatric diseases) is not even present in many of these cities. The fact that </w:t>
      </w:r>
      <w:r w:rsidR="00E11177" w:rsidRPr="00A84CCB">
        <w:rPr>
          <w:lang w:val="en-GB"/>
        </w:rPr>
        <w:t>İ</w:t>
      </w:r>
      <w:r w:rsidRPr="00A84CCB">
        <w:rPr>
          <w:lang w:val="en-GB"/>
        </w:rPr>
        <w:t xml:space="preserve">stanbul has only four of these hospitals in spite of its overall population size of 15 million, which is even higher than that of many countries in the world, is a severe indication of actual capacity issues. In Turkey, ten cities have rehabilitation hospitals where physical rehabilitation services are offered, and there are only 1.727 beds in all of these hospitals. The overall number of beds available in rehabilitation hospitals seated in Istanbul is only 362. As a result, numbers, distributions, and capacities of these hospitals are insufficient for the whole Turkey. </w:t>
      </w:r>
    </w:p>
    <w:p w:rsidR="004A1E5C" w:rsidRPr="00A84CCB" w:rsidRDefault="004A1E5C" w:rsidP="00200A6C">
      <w:pPr>
        <w:rPr>
          <w:b/>
          <w:bCs/>
          <w:lang w:val="en-GB"/>
        </w:rPr>
      </w:pPr>
      <w:r w:rsidRPr="00A84CCB">
        <w:rPr>
          <w:lang w:val="en-GB"/>
        </w:rPr>
        <w:t xml:space="preserve">Physical arrangements play a very significant role in accessing to healthcare services by persons with disabilities. During surveillance activities performed for reporting purposes, data was collected from state and university hospitals and dental health centers (DHCs) seated across the country. In this regard, official applications were </w:t>
      </w:r>
      <w:r w:rsidRPr="00A84CCB">
        <w:rPr>
          <w:lang w:val="en-GB"/>
        </w:rPr>
        <w:lastRenderedPageBreak/>
        <w:t xml:space="preserve">filed to 476 hospitals and DHCs to get data, and we received responses from only 250 of these hospitals. </w:t>
      </w:r>
    </w:p>
    <w:p w:rsidR="00200A6C" w:rsidRDefault="004A1E5C" w:rsidP="00200A6C">
      <w:pPr>
        <w:rPr>
          <w:lang w:val="en-GB"/>
        </w:rPr>
      </w:pPr>
      <w:r w:rsidRPr="00A84CCB">
        <w:rPr>
          <w:lang w:val="en-GB"/>
        </w:rPr>
        <w:t xml:space="preserve">There are no personnel with command of sign language at 86, e.g. 34%, of the 250 healthcare organizations. These healthcare organizations are in a rather poor condition with respect to availability of information documents recorded into audio or embossed materials that are intended for persons with </w:t>
      </w:r>
      <w:r w:rsidR="00E11177" w:rsidRPr="00A84CCB">
        <w:rPr>
          <w:lang w:val="en-GB"/>
        </w:rPr>
        <w:t>blind</w:t>
      </w:r>
      <w:r w:rsidRPr="00A84CCB">
        <w:rPr>
          <w:lang w:val="en-GB"/>
        </w:rPr>
        <w:t xml:space="preserve"> (e.g. patient rights notification, illuminated consent instruments, and etc.) As a matter of fact, these materials are not available at 221, e.g. 88%, of the 250 healthcare organizations. The picture presented by hospitals in terms of availability of units or staff members to assist those persons with disabilities, who are unable to move independently or express themselves due to physical problems at hospitals, is not heartwarming. As a matter of fact, there are no units to assist persons with disabilities at 221 of the 250 healthcare organizations, and no staff members are employed in this regard at 131 of the 250 healthcare organizations. Hospitals show a rather problematic performance with respect to toilets designed for persons with disabilities, and special rooms where bedridden persons with disabilities or persons with disabilities who are unable to sit can perform their self-care activities. There are even no toilets for persons with disabilities at 51 of the 250 healthcare organizations, and there are no special care rooms at 176. Furthermore, 232 of the 250 healthcare organizations have websites without a suitable infrastructure for persons with </w:t>
      </w:r>
      <w:r w:rsidR="00E11177" w:rsidRPr="00A84CCB">
        <w:rPr>
          <w:lang w:val="en-GB"/>
        </w:rPr>
        <w:t>blind</w:t>
      </w:r>
      <w:r w:rsidRPr="00A84CCB">
        <w:rPr>
          <w:lang w:val="en-GB"/>
        </w:rPr>
        <w:t xml:space="preserve">, and 209 have websites without a suitable infrastructure for persons with hearing disabilities. Available data indicates that 21 hospitals and DHCs do not have any arrangements for persons with disabilities. There are even university hospitals among these healthcare organizations. </w:t>
      </w:r>
    </w:p>
    <w:p w:rsidR="00200A6C" w:rsidRDefault="004A1E5C" w:rsidP="00200A6C">
      <w:pPr>
        <w:rPr>
          <w:bCs/>
          <w:lang w:val="en-GB"/>
        </w:rPr>
      </w:pPr>
      <w:r w:rsidRPr="00200A6C">
        <w:rPr>
          <w:bCs/>
          <w:lang w:val="en-GB"/>
        </w:rPr>
        <w:lastRenderedPageBreak/>
        <w:t xml:space="preserve">As can be seen, many hospitals and DHCs do not have access facilities that are suitable for persons with disabilities. Moreover, the degree to which such hospitals and DHCs, which are stated to have such services and facilities, have realized such arrangements in accordance with applicable standards is uncertain. </w:t>
      </w:r>
    </w:p>
    <w:p w:rsidR="00200A6C" w:rsidRPr="00200A6C" w:rsidRDefault="004A1E5C" w:rsidP="00200A6C">
      <w:pPr>
        <w:rPr>
          <w:bCs/>
          <w:lang w:val="en-GB"/>
        </w:rPr>
      </w:pPr>
      <w:r w:rsidRPr="00200A6C">
        <w:rPr>
          <w:bCs/>
          <w:lang w:val="en-GB"/>
        </w:rPr>
        <w:t>The Communiqué on Providing Healthcare Services to Persons with Disabilities No. 2010/79, circulated by the Ministry</w:t>
      </w:r>
      <w:r w:rsidR="00FB4FF7" w:rsidRPr="00200A6C">
        <w:rPr>
          <w:bCs/>
          <w:lang w:val="en-GB"/>
        </w:rPr>
        <w:t xml:space="preserve"> of Health, stipulates that all</w:t>
      </w:r>
      <w:r w:rsidRPr="00200A6C">
        <w:rPr>
          <w:bCs/>
          <w:lang w:val="en-GB"/>
        </w:rPr>
        <w:t xml:space="preserve"> necessary physical arrangements would be carried out at healthcare facilities, and also anticipates the performance of many applications that are intended to improve quality of services. However, issues still continue to exist with respect to such aspects that are underlined in the Communiqué. </w:t>
      </w:r>
    </w:p>
    <w:p w:rsidR="00200A6C" w:rsidRPr="00200A6C" w:rsidRDefault="004A1E5C" w:rsidP="00200A6C">
      <w:pPr>
        <w:rPr>
          <w:bCs/>
          <w:lang w:val="en-GB"/>
        </w:rPr>
      </w:pPr>
      <w:r w:rsidRPr="00200A6C">
        <w:rPr>
          <w:bCs/>
          <w:lang w:val="en-GB"/>
        </w:rPr>
        <w:t xml:space="preserve">Healthcare aids are offered in accordance with the Law on </w:t>
      </w:r>
      <w:r w:rsidR="00FB4FF7" w:rsidRPr="00200A6C">
        <w:rPr>
          <w:bCs/>
          <w:lang w:val="en-GB"/>
        </w:rPr>
        <w:t xml:space="preserve">General Health Insurance  </w:t>
      </w:r>
      <w:r w:rsidRPr="00200A6C">
        <w:rPr>
          <w:bCs/>
          <w:lang w:val="en-GB"/>
        </w:rPr>
        <w:t xml:space="preserve"> </w:t>
      </w:r>
      <w:r w:rsidR="00FB4FF7" w:rsidRPr="00200A6C">
        <w:rPr>
          <w:bCs/>
          <w:lang w:val="en-GB"/>
        </w:rPr>
        <w:t xml:space="preserve">(GSS, </w:t>
      </w:r>
      <w:r w:rsidRPr="00200A6C">
        <w:rPr>
          <w:bCs/>
          <w:lang w:val="en-GB"/>
        </w:rPr>
        <w:t>No. 5510</w:t>
      </w:r>
      <w:r w:rsidR="00FB4FF7" w:rsidRPr="00200A6C">
        <w:rPr>
          <w:bCs/>
          <w:lang w:val="en-GB"/>
        </w:rPr>
        <w:t>)</w:t>
      </w:r>
      <w:r w:rsidRPr="00200A6C">
        <w:rPr>
          <w:bCs/>
          <w:lang w:val="en-GB"/>
        </w:rPr>
        <w:t xml:space="preserve">. The Law covers all citizens subject to payment of applicable premiums. Citizens suffering economic poverty also enjoy healthcare coverage subject to payment of applicable premiums by the State. In this regard, the system also covers persons with disabilities. Healthcare aids offered to persons with disabilities include all kinds of diagnosis and treatment expenses, medicines, medical devices, auxiliary medical devices, medical materials, medical supplies, and other materials which improve quality of daily life (e.g. diapers for bedridden petients, and etc.) </w:t>
      </w:r>
    </w:p>
    <w:p w:rsidR="00200A6C" w:rsidRPr="00200A6C" w:rsidRDefault="004A1E5C" w:rsidP="00200A6C">
      <w:pPr>
        <w:rPr>
          <w:bCs/>
          <w:lang w:val="en-GB"/>
        </w:rPr>
      </w:pPr>
      <w:r w:rsidRPr="00200A6C">
        <w:rPr>
          <w:bCs/>
          <w:lang w:val="en-GB"/>
        </w:rPr>
        <w:t xml:space="preserve">In this regard, all aids enjoyed by persons with disabilities are offered pursuant to the </w:t>
      </w:r>
      <w:r w:rsidR="00C27C22" w:rsidRPr="00200A6C">
        <w:rPr>
          <w:bCs/>
          <w:lang w:val="en-GB"/>
        </w:rPr>
        <w:t xml:space="preserve">Communiqué on Healthcare Practices </w:t>
      </w:r>
      <w:r w:rsidR="00FB4FF7" w:rsidRPr="00200A6C">
        <w:rPr>
          <w:bCs/>
          <w:lang w:val="en-GB"/>
        </w:rPr>
        <w:t>(SUT</w:t>
      </w:r>
      <w:r w:rsidRPr="00200A6C">
        <w:rPr>
          <w:bCs/>
          <w:lang w:val="en-GB"/>
        </w:rPr>
        <w:t>), which were circulated by the Social Security Organization pursuant to the Law No. 5510.</w:t>
      </w:r>
    </w:p>
    <w:p w:rsidR="00200A6C" w:rsidRPr="00200A6C" w:rsidRDefault="004A1E5C" w:rsidP="00200A6C">
      <w:pPr>
        <w:rPr>
          <w:bCs/>
          <w:lang w:val="en-GB"/>
        </w:rPr>
      </w:pPr>
      <w:r w:rsidRPr="00200A6C">
        <w:rPr>
          <w:bCs/>
          <w:lang w:val="en-GB"/>
        </w:rPr>
        <w:t xml:space="preserve">During surveillance activities conducted for reporting purposes, applications were filed to get information on such portion of the budget of </w:t>
      </w:r>
      <w:r w:rsidRPr="00200A6C">
        <w:rPr>
          <w:bCs/>
          <w:lang w:val="en-GB"/>
        </w:rPr>
        <w:lastRenderedPageBreak/>
        <w:t>healthcare aids that was spent for persons with disabilities, for which aid items such budget was spent, and other pertinent facts. However the Social Security Organization gave a negative response to these applications since “the data contained in databases regarding medical materials are not suitable for performance of systematic analyses, and there are still missi</w:t>
      </w:r>
      <w:r w:rsidR="00467948" w:rsidRPr="00200A6C">
        <w:rPr>
          <w:bCs/>
          <w:lang w:val="en-GB"/>
        </w:rPr>
        <w:t>ng data entries in the system.”</w:t>
      </w:r>
    </w:p>
    <w:p w:rsidR="004A1E5C" w:rsidRPr="00200A6C" w:rsidRDefault="004A1E5C" w:rsidP="00200A6C">
      <w:pPr>
        <w:rPr>
          <w:bCs/>
          <w:lang w:val="en-GB"/>
        </w:rPr>
      </w:pPr>
      <w:r w:rsidRPr="00200A6C">
        <w:rPr>
          <w:bCs/>
          <w:lang w:val="en-GB"/>
        </w:rPr>
        <w:t xml:space="preserve">In this regard, it is not possible to determine quantities of healthcare aids distributed to persons with disabilities in Turkey, distribution thereof in terms of disabilities, or attributes of aids contained in such distribution. As an extension of this negativity, it is not possible to make scientific or consistent comments on quantitative sufficiency of healthcare aids. </w:t>
      </w:r>
    </w:p>
    <w:p w:rsidR="004A1E5C" w:rsidRPr="00200A6C" w:rsidRDefault="004A1E5C" w:rsidP="00200A6C">
      <w:pPr>
        <w:rPr>
          <w:bCs/>
          <w:lang w:val="en-GB"/>
        </w:rPr>
      </w:pPr>
      <w:r w:rsidRPr="00200A6C">
        <w:rPr>
          <w:bCs/>
          <w:lang w:val="en-GB"/>
        </w:rPr>
        <w:t xml:space="preserve">However, it was noted from notifications of infringements submitted by persons with disabilities and, also from reviews of media news, that the </w:t>
      </w:r>
      <w:r w:rsidR="00467948" w:rsidRPr="00200A6C">
        <w:rPr>
          <w:bCs/>
          <w:lang w:val="en-GB"/>
        </w:rPr>
        <w:t>SUT</w:t>
      </w:r>
      <w:r w:rsidRPr="00200A6C">
        <w:rPr>
          <w:bCs/>
          <w:lang w:val="en-GB"/>
        </w:rPr>
        <w:t xml:space="preserve"> remains on the focus of issues suffered by persons with disabilities in </w:t>
      </w:r>
      <w:r w:rsidR="00A84CCB" w:rsidRPr="00200A6C">
        <w:rPr>
          <w:bCs/>
          <w:lang w:val="en-GB"/>
        </w:rPr>
        <w:t>connection with healthcare aids</w:t>
      </w:r>
      <w:r w:rsidRPr="00200A6C">
        <w:rPr>
          <w:bCs/>
          <w:lang w:val="en-GB"/>
        </w:rPr>
        <w:t xml:space="preserve">. </w:t>
      </w:r>
      <w:r w:rsidRPr="00200A6C">
        <w:rPr>
          <w:bCs/>
          <w:lang w:val="en-GB"/>
        </w:rPr>
        <w:cr/>
        <w:t xml:space="preserve">The </w:t>
      </w:r>
      <w:r w:rsidR="00467948" w:rsidRPr="00200A6C">
        <w:rPr>
          <w:bCs/>
          <w:lang w:val="en-GB"/>
        </w:rPr>
        <w:t>SUT</w:t>
      </w:r>
      <w:r w:rsidRPr="00200A6C">
        <w:rPr>
          <w:bCs/>
          <w:lang w:val="en-GB"/>
        </w:rPr>
        <w:t xml:space="preserve"> puts many auxiliary medical materials, which are needed by persons with disabilities, out of scope due to financial concerns. For example, transfer lifts, which are the most important materials for meeting personal care requirements of bedridden </w:t>
      </w:r>
      <w:r w:rsidR="00467948" w:rsidRPr="00200A6C">
        <w:rPr>
          <w:bCs/>
          <w:lang w:val="en-GB"/>
        </w:rPr>
        <w:t>patients, can</w:t>
      </w:r>
      <w:r w:rsidRPr="00200A6C">
        <w:rPr>
          <w:bCs/>
          <w:lang w:val="en-GB"/>
        </w:rPr>
        <w:t>not be supplied pursuant to medical reports. Furthermore electricity-initialized, electricity-driven devices with the ability to adjust position on feet, which are substantially beneficial for persons with disabilities with inability to use their hands to prevent the occurrence of circulation and muscle and joint problems, are not paid for.</w:t>
      </w:r>
    </w:p>
    <w:p w:rsidR="004A1E5C" w:rsidRPr="00200A6C" w:rsidRDefault="004A1E5C" w:rsidP="00200A6C">
      <w:pPr>
        <w:rPr>
          <w:bCs/>
          <w:lang w:val="en-GB"/>
        </w:rPr>
      </w:pPr>
      <w:r w:rsidRPr="00200A6C">
        <w:rPr>
          <w:bCs/>
          <w:lang w:val="en-GB"/>
        </w:rPr>
        <w:t xml:space="preserve">Entitlements of persons with disabilities with respect to healthcare services and aids are a requirement of the principles of social state and equality. No doubt that substantial improvements have been </w:t>
      </w:r>
      <w:r w:rsidRPr="00200A6C">
        <w:rPr>
          <w:bCs/>
          <w:lang w:val="en-GB"/>
        </w:rPr>
        <w:lastRenderedPageBreak/>
        <w:t xml:space="preserve">made during the last decade in terms of the scope of, and conditions for use of, healthcare entitlements of persons with disabilities. However surveillance activities suggest that issues suffered by persons with disabilities still exist. </w:t>
      </w:r>
    </w:p>
    <w:p w:rsidR="00D3205F" w:rsidRPr="00A84CCB" w:rsidRDefault="00D3205F" w:rsidP="00A84CCB">
      <w:pPr>
        <w:pStyle w:val="Heading2"/>
        <w:rPr>
          <w:rFonts w:eastAsia="Gungsuh"/>
          <w:lang w:val="en-GB"/>
        </w:rPr>
      </w:pPr>
      <w:bookmarkStart w:id="21" w:name="_Toc808062"/>
      <w:r w:rsidRPr="00A84CCB">
        <w:rPr>
          <w:rFonts w:eastAsia="Gungsuh"/>
          <w:lang w:val="en-GB"/>
        </w:rPr>
        <w:t>Article 27 - Work and Employment</w:t>
      </w:r>
      <w:bookmarkEnd w:id="21"/>
    </w:p>
    <w:p w:rsidR="00D3205F" w:rsidRPr="00A84CCB" w:rsidRDefault="00D3205F" w:rsidP="00A84CCB">
      <w:pPr>
        <w:autoSpaceDE w:val="0"/>
        <w:autoSpaceDN w:val="0"/>
        <w:adjustRightInd w:val="0"/>
        <w:jc w:val="both"/>
        <w:rPr>
          <w:rFonts w:eastAsia="Gungsuh"/>
          <w:szCs w:val="20"/>
          <w:lang w:val="en-GB"/>
        </w:rPr>
      </w:pPr>
      <w:r w:rsidRPr="00A84CCB">
        <w:rPr>
          <w:rFonts w:eastAsia="Gungsuh"/>
          <w:szCs w:val="20"/>
          <w:lang w:val="en-GB"/>
        </w:rPr>
        <w:t xml:space="preserve">Article 14 of the </w:t>
      </w:r>
      <w:r w:rsidR="00F36D14" w:rsidRPr="00A84CCB">
        <w:rPr>
          <w:rFonts w:eastAsia="Gungsuh"/>
          <w:szCs w:val="20"/>
          <w:lang w:val="en-GB"/>
        </w:rPr>
        <w:t>EHK</w:t>
      </w:r>
      <w:r w:rsidRPr="00A84CCB">
        <w:rPr>
          <w:rFonts w:eastAsia="Gungsuh"/>
          <w:szCs w:val="20"/>
          <w:lang w:val="en-GB"/>
        </w:rPr>
        <w:t xml:space="preserve"> No. 5378 reads as follows: “During the employment, no discriminative practices can be performed against persons with disabilities in any of stages from job selection, to application forms, selection process, technical evaluation, suggested working periods and conditions” This provision is intended to prevent all acts of discrimination against persons with disabilities in the course of recruitment. </w:t>
      </w:r>
    </w:p>
    <w:p w:rsidR="00D3205F" w:rsidRPr="00A84CCB" w:rsidRDefault="00D3205F" w:rsidP="00A84CCB">
      <w:pPr>
        <w:autoSpaceDE w:val="0"/>
        <w:autoSpaceDN w:val="0"/>
        <w:adjustRightInd w:val="0"/>
        <w:jc w:val="both"/>
        <w:rPr>
          <w:rFonts w:eastAsia="Gungsuh"/>
          <w:szCs w:val="20"/>
          <w:lang w:val="en-GB"/>
        </w:rPr>
      </w:pPr>
      <w:r w:rsidRPr="00A84CCB">
        <w:rPr>
          <w:rFonts w:eastAsia="Gungsuh"/>
          <w:szCs w:val="20"/>
          <w:lang w:val="en-GB"/>
        </w:rPr>
        <w:t>The same article also reads as follows: “It is obligatory tha</w:t>
      </w:r>
      <w:r w:rsidR="00467948" w:rsidRPr="00A84CCB">
        <w:rPr>
          <w:rFonts w:eastAsia="Gungsuh"/>
          <w:szCs w:val="20"/>
          <w:lang w:val="en-GB"/>
        </w:rPr>
        <w:t>t measures</w:t>
      </w:r>
      <w:r w:rsidRPr="00A84CCB">
        <w:rPr>
          <w:rFonts w:eastAsia="Gungsuh"/>
          <w:szCs w:val="20"/>
          <w:lang w:val="en-GB"/>
        </w:rPr>
        <w:t xml:space="preserve"> be taken in employment processes in order to reduce or eliminate obstacles and difficulties that may be faced by persons with disabilities who </w:t>
      </w:r>
      <w:r w:rsidR="00467948" w:rsidRPr="00A84CCB">
        <w:rPr>
          <w:rFonts w:eastAsia="Gungsuh"/>
          <w:szCs w:val="20"/>
          <w:lang w:val="en-GB"/>
        </w:rPr>
        <w:t>work or who apply for a job and</w:t>
      </w:r>
      <w:r w:rsidRPr="00A84CCB">
        <w:rPr>
          <w:rFonts w:eastAsia="Gungsuh"/>
          <w:szCs w:val="20"/>
          <w:lang w:val="en-GB"/>
        </w:rPr>
        <w:t xml:space="preserve"> physical arrangements be carried out by establishments and organizations with relevant duty, authority and responsibility and by workplaces”</w:t>
      </w:r>
      <w:r w:rsidRPr="00A84CCB">
        <w:rPr>
          <w:rStyle w:val="FootnoteReference"/>
          <w:rFonts w:eastAsia="Gungsuh"/>
          <w:szCs w:val="20"/>
          <w:lang w:val="en-GB"/>
        </w:rPr>
        <w:footnoteReference w:id="19"/>
      </w:r>
      <w:r w:rsidRPr="00A84CCB">
        <w:rPr>
          <w:rFonts w:eastAsia="Gungsuh"/>
          <w:szCs w:val="20"/>
          <w:lang w:val="en-GB"/>
        </w:rPr>
        <w:t xml:space="preserve">. With these arrangements, the duty to perform special arrangements at workplaces based on disabilities of employees was vested in employers. In addition, both private and public sector entities are held liable, under additional regulations, for performance of necessary physical arrangements for employees with disabilities. </w:t>
      </w:r>
    </w:p>
    <w:p w:rsidR="00D3205F" w:rsidRPr="00A84CCB" w:rsidRDefault="00D3205F" w:rsidP="00A84CCB">
      <w:pPr>
        <w:autoSpaceDE w:val="0"/>
        <w:autoSpaceDN w:val="0"/>
        <w:adjustRightInd w:val="0"/>
        <w:jc w:val="both"/>
        <w:rPr>
          <w:rFonts w:eastAsia="Gungsuh"/>
          <w:szCs w:val="20"/>
          <w:lang w:val="en-GB"/>
        </w:rPr>
      </w:pPr>
      <w:r w:rsidRPr="00A84CCB">
        <w:rPr>
          <w:rFonts w:eastAsia="Gungsuh"/>
          <w:szCs w:val="20"/>
          <w:lang w:val="en-GB"/>
        </w:rPr>
        <w:t xml:space="preserve">On the other hand, Turkish Government offered significant incentives and subsidies in connection with payments of social security premiums </w:t>
      </w:r>
      <w:r w:rsidRPr="00A84CCB">
        <w:rPr>
          <w:rFonts w:eastAsia="Gungsuh"/>
          <w:szCs w:val="20"/>
          <w:lang w:val="en-GB"/>
        </w:rPr>
        <w:lastRenderedPageBreak/>
        <w:t xml:space="preserve">and employer tax rates in order to increase the level of employment of persons with disabilities especially during the last five years. </w:t>
      </w:r>
    </w:p>
    <w:p w:rsidR="00D3205F" w:rsidRPr="00A84CCB" w:rsidRDefault="00D3205F" w:rsidP="00A84CCB">
      <w:pPr>
        <w:jc w:val="both"/>
        <w:rPr>
          <w:rFonts w:eastAsia="Gungsuh"/>
          <w:szCs w:val="20"/>
          <w:lang w:val="en-GB"/>
        </w:rPr>
      </w:pPr>
      <w:r w:rsidRPr="00A84CCB">
        <w:rPr>
          <w:rFonts w:eastAsia="Gungsuh"/>
          <w:szCs w:val="20"/>
          <w:lang w:val="en-GB"/>
        </w:rPr>
        <w:t>Percentage of participation of overall population in labor force was 50.8% according to a 2013 survey titled “Household Labor Statistics” whereas the 2002 Turkish Survey into Persons with Disabilities suggests that percentage of participation of persons with disabilities in labor force was 21.71%, and 22.87% for those with chronic diseases.</w:t>
      </w:r>
      <w:r w:rsidRPr="00A84CCB">
        <w:rPr>
          <w:rStyle w:val="FootnoteReference"/>
          <w:rFonts w:eastAsia="Gungsuh"/>
          <w:szCs w:val="20"/>
          <w:lang w:val="en-GB"/>
        </w:rPr>
        <w:footnoteReference w:id="20"/>
      </w:r>
      <w:r w:rsidRPr="00A84CCB">
        <w:rPr>
          <w:rFonts w:eastAsia="Gungsuh"/>
          <w:szCs w:val="20"/>
          <w:lang w:val="en-GB"/>
        </w:rPr>
        <w:t xml:space="preserve"> In summary, unemployment represents a critical issue for persons with disabilities. </w:t>
      </w:r>
    </w:p>
    <w:p w:rsidR="00D3205F" w:rsidRPr="00A84CCB" w:rsidRDefault="00D3205F" w:rsidP="00A84CCB">
      <w:pPr>
        <w:tabs>
          <w:tab w:val="num" w:pos="720"/>
        </w:tabs>
        <w:jc w:val="both"/>
        <w:rPr>
          <w:rFonts w:eastAsia="Gungsuh"/>
          <w:szCs w:val="20"/>
          <w:lang w:val="en-GB"/>
        </w:rPr>
      </w:pPr>
      <w:r w:rsidRPr="00A84CCB">
        <w:rPr>
          <w:rFonts w:eastAsia="Gungsuh"/>
          <w:szCs w:val="20"/>
          <w:lang w:val="en-GB"/>
        </w:rPr>
        <w:t xml:space="preserve">Another striking aspect of available data is that percentage of females with disabilities is lower than that of male with disabilities. Females with disabilities seem to be more disadvantageous in terms of employment. Only 110.126 are females (27%) out of a total of 401.375 persons with disabilities who applied for a job. However only 35.385 are females (14%) out of a total of 249.591 persons with disabilities who managed to find a job. Although these percentages vary over years, males with disabilities could find a job at a rate that is 5 to 9 times higher than that of females with disabilities; this rate was realized as 10 to 15 times at public sector until 2003, but reduced into the range of 6 to 9 times after 2003. </w:t>
      </w:r>
    </w:p>
    <w:p w:rsidR="00D3205F" w:rsidRPr="00A84CCB" w:rsidRDefault="00D3205F" w:rsidP="00A84CCB">
      <w:pPr>
        <w:jc w:val="both"/>
        <w:rPr>
          <w:rFonts w:eastAsia="Gungsuh"/>
          <w:szCs w:val="20"/>
          <w:lang w:val="en-GB"/>
        </w:rPr>
      </w:pPr>
      <w:r w:rsidRPr="00A84CCB">
        <w:rPr>
          <w:rFonts w:eastAsia="Gungsuh"/>
          <w:szCs w:val="20"/>
          <w:lang w:val="en-GB"/>
        </w:rPr>
        <w:t>Employment issues still exist with respect to employment of persons with disabilities as public officials. According to data obtained from the Department of State Personnel (D</w:t>
      </w:r>
      <w:r w:rsidR="00FB4FF7" w:rsidRPr="00A84CCB">
        <w:rPr>
          <w:rFonts w:eastAsia="Gungsuh"/>
          <w:szCs w:val="20"/>
          <w:lang w:val="en-GB"/>
        </w:rPr>
        <w:t>PT</w:t>
      </w:r>
      <w:r w:rsidR="00467948" w:rsidRPr="00A84CCB">
        <w:rPr>
          <w:rFonts w:eastAsia="Gungsuh"/>
          <w:szCs w:val="20"/>
          <w:lang w:val="en-GB"/>
        </w:rPr>
        <w:t>), in (D</w:t>
      </w:r>
      <w:r w:rsidRPr="00A84CCB">
        <w:rPr>
          <w:rFonts w:eastAsia="Gungsuh"/>
          <w:szCs w:val="20"/>
          <w:lang w:val="en-GB"/>
        </w:rPr>
        <w:t xml:space="preserve">ecember) 2018, only </w:t>
      </w:r>
      <w:r w:rsidRPr="00A84CCB">
        <w:rPr>
          <w:szCs w:val="20"/>
          <w:lang w:val="en-GB"/>
        </w:rPr>
        <w:t>53.017</w:t>
      </w:r>
      <w:r w:rsidRPr="00A84CCB">
        <w:rPr>
          <w:rFonts w:eastAsia="Gungsuh"/>
          <w:szCs w:val="20"/>
          <w:lang w:val="en-GB"/>
        </w:rPr>
        <w:t xml:space="preserve"> persons with disabilities were employed as public officials whereas at least </w:t>
      </w:r>
      <w:r w:rsidRPr="00A84CCB">
        <w:rPr>
          <w:szCs w:val="20"/>
          <w:lang w:val="en-GB"/>
        </w:rPr>
        <w:t>60.959</w:t>
      </w:r>
      <w:r w:rsidRPr="00A84CCB">
        <w:rPr>
          <w:rFonts w:eastAsia="Gungsuh"/>
          <w:szCs w:val="20"/>
          <w:lang w:val="en-GB"/>
        </w:rPr>
        <w:t xml:space="preserve"> persons with disabilities were required to be </w:t>
      </w:r>
      <w:r w:rsidRPr="00A84CCB">
        <w:rPr>
          <w:rFonts w:eastAsia="Gungsuh"/>
          <w:szCs w:val="20"/>
          <w:lang w:val="en-GB"/>
        </w:rPr>
        <w:lastRenderedPageBreak/>
        <w:t xml:space="preserve">employed as such pursuant to the Law No. 657. The quota available at public entities for persons with disabilities is 9.379. </w:t>
      </w:r>
    </w:p>
    <w:p w:rsidR="00D3205F" w:rsidRPr="00A84CCB" w:rsidRDefault="00D3205F" w:rsidP="00A84CCB">
      <w:pPr>
        <w:tabs>
          <w:tab w:val="num" w:pos="720"/>
        </w:tabs>
        <w:jc w:val="both"/>
        <w:rPr>
          <w:rFonts w:eastAsia="Gungsuh"/>
          <w:szCs w:val="20"/>
          <w:lang w:val="en-GB"/>
        </w:rPr>
      </w:pPr>
      <w:r w:rsidRPr="00A84CCB">
        <w:rPr>
          <w:rFonts w:eastAsia="Gungsuh"/>
          <w:szCs w:val="20"/>
          <w:lang w:val="en-GB"/>
        </w:rPr>
        <w:t xml:space="preserve">The likelihood of females with disabilities to become public officials is higher than male ones when they hold associate degrees, undergraduate degrees, or graduate degrees. In other words, the chance of females with disabilities with low education levels to become public officials is lower than that of male ones. </w:t>
      </w:r>
    </w:p>
    <w:p w:rsidR="00D3205F" w:rsidRPr="00A84CCB" w:rsidRDefault="00D3205F" w:rsidP="00A84CCB">
      <w:pPr>
        <w:jc w:val="both"/>
        <w:rPr>
          <w:rFonts w:eastAsia="Gungsuh"/>
          <w:szCs w:val="20"/>
          <w:lang w:val="en-GB"/>
        </w:rPr>
      </w:pPr>
      <w:r w:rsidRPr="00A84CCB">
        <w:rPr>
          <w:rFonts w:eastAsia="Gungsuh"/>
          <w:szCs w:val="20"/>
          <w:lang w:val="en-GB"/>
        </w:rPr>
        <w:t xml:space="preserve">Data was obtained from 18 of a total of 21 ministries in order to inquire whether public bodies and entities offer equal opportunities to persons with disabilities for promotion, and also to inquire into actual numbers of persons with disabilities employed at top to middle level positions. </w:t>
      </w:r>
    </w:p>
    <w:p w:rsidR="00D3205F" w:rsidRPr="00A84CCB" w:rsidRDefault="00D3205F" w:rsidP="00A84CCB">
      <w:pPr>
        <w:jc w:val="both"/>
        <w:rPr>
          <w:rFonts w:eastAsia="Gungsuh"/>
          <w:szCs w:val="20"/>
          <w:lang w:val="en-GB"/>
        </w:rPr>
      </w:pPr>
      <w:r w:rsidRPr="00A84CCB">
        <w:rPr>
          <w:rFonts w:eastAsia="Gungsuh"/>
          <w:szCs w:val="20"/>
          <w:lang w:val="en-GB"/>
        </w:rPr>
        <w:t xml:space="preserve">At ministries, only 11 persons with disabilities are employed at top level positions. Out of persons with disabilities employed at top level positions at ministries, 6 are consultants and one is an assistant general manager. In other words, only 11 persons with disabilities are employed at top level positions of ministries which are estimated to be several thousands. No persons with disabilities hold any highly qualified positions such as governors, district governors, judges, public prosecutors, diplomats, and etc. This is also true for medium level positions held at ministries and their subsidiaries. Only 314 persons with disabilities are employed at 11 out of a total of 81 city organizations of 21 ministries. Only 58 persons with disabilities are employed at 14 ministerial bodies and entities. </w:t>
      </w:r>
    </w:p>
    <w:p w:rsidR="00D3205F" w:rsidRPr="00A84CCB" w:rsidRDefault="00D3205F" w:rsidP="00A84CCB">
      <w:pPr>
        <w:jc w:val="both"/>
        <w:rPr>
          <w:rFonts w:eastAsia="Gungsuh"/>
          <w:szCs w:val="20"/>
          <w:lang w:val="en-GB"/>
        </w:rPr>
      </w:pPr>
      <w:r w:rsidRPr="00A84CCB">
        <w:rPr>
          <w:rFonts w:eastAsia="Gungsuh"/>
          <w:szCs w:val="20"/>
          <w:lang w:val="en-GB"/>
        </w:rPr>
        <w:t xml:space="preserve">At public sector, every employee meeting applicable criteria can be legally promoted. </w:t>
      </w:r>
      <w:r w:rsidR="00A84CCB" w:rsidRPr="00A84CCB">
        <w:rPr>
          <w:rFonts w:eastAsia="Gungsuh"/>
          <w:szCs w:val="20"/>
          <w:lang w:val="en-GB"/>
        </w:rPr>
        <w:t>However</w:t>
      </w:r>
      <w:r w:rsidRPr="00A84CCB">
        <w:rPr>
          <w:rFonts w:eastAsia="Gungsuh"/>
          <w:szCs w:val="20"/>
          <w:lang w:val="en-GB"/>
        </w:rPr>
        <w:t xml:space="preserve">, as can be understood from above data, it is actually hard and exceptional for persons with disabilities to be promoted to high to medium positions at public entities. </w:t>
      </w:r>
    </w:p>
    <w:p w:rsidR="00D3205F" w:rsidRPr="00A84CCB" w:rsidRDefault="00D3205F" w:rsidP="00A84CCB">
      <w:pPr>
        <w:rPr>
          <w:color w:val="000000" w:themeColor="text1"/>
          <w:lang w:val="en-GB"/>
        </w:rPr>
      </w:pPr>
      <w:r w:rsidRPr="00A84CCB">
        <w:rPr>
          <w:lang w:val="en-GB"/>
        </w:rPr>
        <w:lastRenderedPageBreak/>
        <w:t>Apart from employment rates of persons with disabilities, reporting activities also included a review of status of physical access arrangements at workplaces where persons with disabilities are employed. In this regard, focus was placed o</w:t>
      </w:r>
      <w:r w:rsidR="001B59EE" w:rsidRPr="00A84CCB">
        <w:rPr>
          <w:lang w:val="en-GB"/>
        </w:rPr>
        <w:t xml:space="preserve">nto public bodies and </w:t>
      </w:r>
      <w:r w:rsidR="001B59EE" w:rsidRPr="00A84CCB">
        <w:rPr>
          <w:color w:val="000000" w:themeColor="text1"/>
          <w:lang w:val="en-GB"/>
        </w:rPr>
        <w:t>entities.</w:t>
      </w:r>
    </w:p>
    <w:p w:rsidR="007658D9" w:rsidRPr="00A84CCB" w:rsidRDefault="007658D9" w:rsidP="00A84CCB">
      <w:pPr>
        <w:pStyle w:val="Heading2"/>
        <w:rPr>
          <w:lang w:val="en-GB"/>
        </w:rPr>
      </w:pPr>
      <w:bookmarkStart w:id="22" w:name="_Toc808063"/>
      <w:r w:rsidRPr="00A84CCB">
        <w:rPr>
          <w:lang w:val="en-GB"/>
        </w:rPr>
        <w:t>Article 31: Statistics and Data Collection</w:t>
      </w:r>
      <w:bookmarkEnd w:id="22"/>
      <w:r w:rsidRPr="00A84CCB">
        <w:rPr>
          <w:lang w:val="en-GB"/>
        </w:rPr>
        <w:t xml:space="preserve"> </w:t>
      </w:r>
    </w:p>
    <w:p w:rsidR="007658D9" w:rsidRPr="00A84CCB" w:rsidRDefault="007658D9" w:rsidP="00A84CCB">
      <w:pPr>
        <w:rPr>
          <w:color w:val="000000" w:themeColor="text1"/>
          <w:lang w:val="en-GB"/>
        </w:rPr>
      </w:pPr>
      <w:r w:rsidRPr="00A84CCB">
        <w:rPr>
          <w:color w:val="000000" w:themeColor="text1"/>
          <w:lang w:val="en-GB"/>
        </w:rPr>
        <w:t>To understand the actual situation in the country and to determine the policies which should be developed, monitoring and reporting should be done constantly, and they need to be updated. The two surveys which were conducted by the government in this respect is not enough in terms of scope and they are out of date. One of these surveys is “the 2002 Survey for Disabled Persons in Turkey” and the other is Residence and Population Survey conducted in 2011. Therefore, today actuality of any survey on disability is controversial. And it is not possible to develop protective and preventive policies based on noncurrent data. Also, the data set of these surveys on the other hand, are considerably inadequate.</w:t>
      </w:r>
    </w:p>
    <w:p w:rsidR="00A32187" w:rsidRPr="00A84CCB" w:rsidRDefault="007658D9" w:rsidP="00A84CCB">
      <w:pPr>
        <w:rPr>
          <w:color w:val="000000" w:themeColor="text1"/>
          <w:lang w:val="en-GB"/>
        </w:rPr>
      </w:pPr>
      <w:r w:rsidRPr="00A84CCB">
        <w:rPr>
          <w:color w:val="000000" w:themeColor="text1"/>
          <w:lang w:val="en-GB"/>
        </w:rPr>
        <w:t>Unbundled data shows to be deficient in every area. It is not possible to access data such as the numbers or conditions of persons with disabilities in prisons, the status of persons with disabilities according to unbundled information in educational life, the number of violence or abuse cases, etc. Furthermore, the government has not a plan in progress about the lack of these data.</w:t>
      </w:r>
    </w:p>
    <w:p w:rsidR="00A84CCB" w:rsidRPr="00A84CCB" w:rsidRDefault="00A84CCB">
      <w:pPr>
        <w:rPr>
          <w:color w:val="000000" w:themeColor="text1"/>
          <w:lang w:val="en-GB"/>
        </w:rPr>
      </w:pPr>
    </w:p>
    <w:sectPr w:rsidR="00A84CCB" w:rsidRPr="00A84CCB" w:rsidSect="00200A6C">
      <w:pgSz w:w="11906" w:h="16838"/>
      <w:pgMar w:top="1417" w:right="849"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6370" w:rsidRDefault="000D6370" w:rsidP="00D3205F">
      <w:pPr>
        <w:spacing w:before="0" w:after="0" w:line="240" w:lineRule="auto"/>
      </w:pPr>
      <w:r>
        <w:separator/>
      </w:r>
    </w:p>
  </w:endnote>
  <w:endnote w:type="continuationSeparator" w:id="0">
    <w:p w:rsidR="000D6370" w:rsidRDefault="000D6370" w:rsidP="00D3205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A1"/>
    <w:family w:val="roman"/>
    <w:pitch w:val="variable"/>
    <w:sig w:usb0="E0002EFF" w:usb1="C000785B" w:usb2="00000009" w:usb3="00000000" w:csb0="000001FF" w:csb1="00000000"/>
  </w:font>
  <w:font w:name="Gungsuh">
    <w:altName w:val="Arial Unicode MS"/>
    <w:charset w:val="81"/>
    <w:family w:val="roman"/>
    <w:pitch w:val="variable"/>
    <w:sig w:usb0="00000000"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Helvetica Neue">
    <w:altName w:val="Corbel"/>
    <w:charset w:val="00"/>
    <w:family w:val="auto"/>
    <w:pitch w:val="variable"/>
    <w:sig w:usb0="00000003" w:usb1="500079DB" w:usb2="0000001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6370" w:rsidRDefault="000D6370" w:rsidP="00D3205F">
      <w:pPr>
        <w:spacing w:before="0" w:after="0" w:line="240" w:lineRule="auto"/>
      </w:pPr>
      <w:r>
        <w:separator/>
      </w:r>
    </w:p>
  </w:footnote>
  <w:footnote w:type="continuationSeparator" w:id="0">
    <w:p w:rsidR="000D6370" w:rsidRDefault="000D6370" w:rsidP="00D3205F">
      <w:pPr>
        <w:spacing w:before="0" w:after="0" w:line="240" w:lineRule="auto"/>
      </w:pPr>
      <w:r>
        <w:continuationSeparator/>
      </w:r>
    </w:p>
  </w:footnote>
  <w:footnote w:id="1">
    <w:p w:rsidR="00A84CCB" w:rsidRPr="00BF23B9" w:rsidRDefault="00A84CCB" w:rsidP="00D3205F">
      <w:pPr>
        <w:pStyle w:val="FootnoteText"/>
        <w:rPr>
          <w:sz w:val="16"/>
          <w:szCs w:val="16"/>
        </w:rPr>
      </w:pPr>
      <w:r w:rsidRPr="00BF23B9">
        <w:rPr>
          <w:rStyle w:val="FootnoteReference"/>
          <w:sz w:val="16"/>
          <w:szCs w:val="16"/>
          <w:lang w:val="af-ZA"/>
        </w:rPr>
        <w:footnoteRef/>
      </w:r>
      <w:r w:rsidRPr="00BF23B9">
        <w:rPr>
          <w:sz w:val="16"/>
          <w:szCs w:val="16"/>
          <w:lang w:val="af-ZA"/>
        </w:rPr>
        <w:t xml:space="preserve"> Turkish Survey into Persons with Disabilities, Department of Persons with Disabilities, Prime Ministry, Turkish Statistics Institute, 2002, p.5, </w:t>
      </w:r>
      <w:hyperlink r:id="rId1" w:history="1">
        <w:r w:rsidRPr="00BF23B9">
          <w:rPr>
            <w:rStyle w:val="Hyperlink"/>
            <w:sz w:val="16"/>
            <w:szCs w:val="16"/>
            <w:lang w:val="af-ZA"/>
          </w:rPr>
          <w:t>http://www.eyh.gov.tr/upload/ozurluveyasli.gov.tr/mce/eski_site/arastirma/tr_ozurluler_arastirmasi/aciklama.pdf</w:t>
        </w:r>
      </w:hyperlink>
      <w:r>
        <w:rPr>
          <w:sz w:val="16"/>
          <w:szCs w:val="16"/>
          <w:lang w:val="af-ZA"/>
        </w:rPr>
        <w:t xml:space="preserve"> (date of access: 29.11.2018</w:t>
      </w:r>
      <w:r w:rsidRPr="00BF23B9">
        <w:rPr>
          <w:sz w:val="16"/>
          <w:szCs w:val="16"/>
          <w:lang w:val="af-ZA"/>
        </w:rPr>
        <w:t>)</w:t>
      </w:r>
    </w:p>
  </w:footnote>
  <w:footnote w:id="2">
    <w:p w:rsidR="00A84CCB" w:rsidRPr="00BF23B9" w:rsidRDefault="00A84CCB" w:rsidP="00D3205F">
      <w:pPr>
        <w:pStyle w:val="FootnoteText"/>
        <w:rPr>
          <w:sz w:val="16"/>
          <w:szCs w:val="16"/>
        </w:rPr>
      </w:pPr>
      <w:r w:rsidRPr="00BF23B9">
        <w:rPr>
          <w:rStyle w:val="FootnoteReference"/>
          <w:sz w:val="16"/>
          <w:szCs w:val="16"/>
          <w:lang w:val="af-ZA"/>
        </w:rPr>
        <w:footnoteRef/>
      </w:r>
      <w:r w:rsidRPr="00BF23B9">
        <w:rPr>
          <w:sz w:val="16"/>
          <w:szCs w:val="16"/>
          <w:lang w:val="af-ZA"/>
        </w:rPr>
        <w:t>An Inquiry into Issues and Expectations of Persons with Disabilities, Ministry of Family and Social Policies and Turkish Statistics Institute, Printhouse of Turkish Statistics Institute, 2011, p. 27</w:t>
      </w:r>
    </w:p>
  </w:footnote>
  <w:footnote w:id="3">
    <w:p w:rsidR="00A84CCB" w:rsidRPr="00BF23B9" w:rsidRDefault="00A84CCB" w:rsidP="00D3205F">
      <w:pPr>
        <w:pStyle w:val="FootnoteText"/>
        <w:rPr>
          <w:sz w:val="16"/>
          <w:szCs w:val="16"/>
        </w:rPr>
      </w:pPr>
      <w:r w:rsidRPr="00BF23B9">
        <w:rPr>
          <w:rStyle w:val="FootnoteReference"/>
          <w:sz w:val="16"/>
          <w:szCs w:val="16"/>
          <w:lang w:val="af-ZA"/>
        </w:rPr>
        <w:footnoteRef/>
      </w:r>
      <w:r w:rsidRPr="00BF23B9">
        <w:rPr>
          <w:sz w:val="16"/>
          <w:szCs w:val="16"/>
          <w:lang w:val="af-ZA"/>
        </w:rPr>
        <w:t>A.g.e., p.31</w:t>
      </w:r>
    </w:p>
  </w:footnote>
  <w:footnote w:id="4">
    <w:p w:rsidR="00A84CCB" w:rsidRPr="00BF23B9" w:rsidRDefault="00A84CCB" w:rsidP="00D3205F">
      <w:pPr>
        <w:pStyle w:val="FootnoteText"/>
        <w:rPr>
          <w:sz w:val="16"/>
          <w:szCs w:val="16"/>
        </w:rPr>
      </w:pPr>
      <w:r w:rsidRPr="00BF23B9">
        <w:rPr>
          <w:rStyle w:val="FootnoteReference"/>
          <w:sz w:val="16"/>
          <w:szCs w:val="16"/>
          <w:lang w:val="af-ZA"/>
        </w:rPr>
        <w:footnoteRef/>
      </w:r>
      <w:r w:rsidRPr="00BF23B9">
        <w:rPr>
          <w:sz w:val="16"/>
          <w:szCs w:val="16"/>
          <w:lang w:val="af-ZA"/>
        </w:rPr>
        <w:t>A.g.e., p.4</w:t>
      </w:r>
    </w:p>
  </w:footnote>
  <w:footnote w:id="5">
    <w:p w:rsidR="00A84CCB" w:rsidRPr="00BF23B9" w:rsidRDefault="00A84CCB" w:rsidP="00D3205F">
      <w:pPr>
        <w:pStyle w:val="FootnoteText"/>
        <w:rPr>
          <w:sz w:val="16"/>
          <w:szCs w:val="16"/>
        </w:rPr>
      </w:pPr>
      <w:r w:rsidRPr="00BF23B9">
        <w:rPr>
          <w:rStyle w:val="FootnoteReference"/>
          <w:sz w:val="16"/>
          <w:szCs w:val="16"/>
          <w:lang w:val="af-ZA"/>
        </w:rPr>
        <w:footnoteRef/>
      </w:r>
      <w:r w:rsidRPr="00BF23B9">
        <w:rPr>
          <w:sz w:val="16"/>
          <w:szCs w:val="16"/>
          <w:lang w:val="af-ZA"/>
        </w:rPr>
        <w:t>A.g.e., p.11</w:t>
      </w:r>
    </w:p>
  </w:footnote>
  <w:footnote w:id="6">
    <w:p w:rsidR="00A84CCB" w:rsidRPr="00BF23B9" w:rsidRDefault="00A84CCB" w:rsidP="00D3205F">
      <w:pPr>
        <w:pStyle w:val="FootnoteText"/>
        <w:rPr>
          <w:sz w:val="16"/>
          <w:szCs w:val="16"/>
        </w:rPr>
      </w:pPr>
      <w:r w:rsidRPr="00BF23B9">
        <w:rPr>
          <w:rStyle w:val="FootnoteReference"/>
          <w:sz w:val="16"/>
          <w:szCs w:val="16"/>
          <w:lang w:val="af-ZA"/>
        </w:rPr>
        <w:footnoteRef/>
      </w:r>
      <w:r w:rsidRPr="00BF23B9">
        <w:rPr>
          <w:sz w:val="16"/>
          <w:szCs w:val="16"/>
          <w:lang w:val="af-ZA"/>
        </w:rPr>
        <w:t>A.g.e., p.32</w:t>
      </w:r>
    </w:p>
  </w:footnote>
  <w:footnote w:id="7">
    <w:p w:rsidR="00A84CCB" w:rsidRPr="00BF23B9" w:rsidRDefault="00A84CCB" w:rsidP="00D3205F">
      <w:pPr>
        <w:pStyle w:val="FootnoteText"/>
        <w:rPr>
          <w:sz w:val="16"/>
          <w:szCs w:val="16"/>
        </w:rPr>
      </w:pPr>
      <w:r w:rsidRPr="00BF23B9">
        <w:rPr>
          <w:rStyle w:val="FootnoteReference"/>
          <w:sz w:val="16"/>
          <w:szCs w:val="16"/>
          <w:lang w:val="af-ZA"/>
        </w:rPr>
        <w:footnoteRef/>
      </w:r>
      <w:r w:rsidRPr="00BF23B9">
        <w:rPr>
          <w:sz w:val="16"/>
          <w:szCs w:val="16"/>
          <w:lang w:val="af-ZA"/>
        </w:rPr>
        <w:t xml:space="preserve">Measurement and Inquiry of Disability-based Discrimination, İşbir, E. G. (Araş. Koor.),Yorum Basın Yayın Sanayi, 2010, p. 84, </w:t>
      </w:r>
      <w:hyperlink r:id="rId2" w:history="1">
        <w:r w:rsidRPr="00BF23B9">
          <w:rPr>
            <w:rStyle w:val="Hyperlink"/>
            <w:sz w:val="16"/>
            <w:szCs w:val="16"/>
            <w:lang w:val="af-ZA"/>
          </w:rPr>
          <w:t>http://www.ozida.gov.tr/ayrimciliklamucadele/rapor_tum.pdf</w:t>
        </w:r>
      </w:hyperlink>
      <w:r w:rsidRPr="00BF23B9">
        <w:rPr>
          <w:sz w:val="16"/>
          <w:szCs w:val="16"/>
          <w:lang w:val="af-ZA"/>
        </w:rPr>
        <w:t xml:space="preserve"> (date of access: 17.03.2014)</w:t>
      </w:r>
    </w:p>
  </w:footnote>
  <w:footnote w:id="8">
    <w:p w:rsidR="00A84CCB" w:rsidRPr="00BF23B9" w:rsidRDefault="00A84CCB" w:rsidP="00D3205F">
      <w:pPr>
        <w:pStyle w:val="FootnoteText"/>
        <w:rPr>
          <w:sz w:val="16"/>
          <w:szCs w:val="16"/>
        </w:rPr>
      </w:pPr>
      <w:r w:rsidRPr="00BF23B9">
        <w:rPr>
          <w:rStyle w:val="FootnoteReference"/>
          <w:sz w:val="16"/>
          <w:szCs w:val="16"/>
          <w:lang w:val="af-ZA"/>
        </w:rPr>
        <w:footnoteRef/>
      </w:r>
      <w:r w:rsidRPr="00BF23B9">
        <w:rPr>
          <w:sz w:val="16"/>
          <w:szCs w:val="16"/>
          <w:lang w:val="af-ZA"/>
        </w:rPr>
        <w:t>A.g.e., p.77</w:t>
      </w:r>
    </w:p>
  </w:footnote>
  <w:footnote w:id="9">
    <w:p w:rsidR="00A84CCB" w:rsidRPr="00BF23B9" w:rsidRDefault="00A84CCB" w:rsidP="00D3205F">
      <w:pPr>
        <w:pStyle w:val="FootnoteText"/>
        <w:rPr>
          <w:sz w:val="16"/>
          <w:szCs w:val="16"/>
        </w:rPr>
      </w:pPr>
      <w:r w:rsidRPr="00BF23B9">
        <w:rPr>
          <w:rStyle w:val="FootnoteReference"/>
          <w:sz w:val="16"/>
          <w:szCs w:val="16"/>
          <w:lang w:val="af-ZA"/>
        </w:rPr>
        <w:footnoteRef/>
      </w:r>
      <w:r w:rsidRPr="00BF23B9">
        <w:rPr>
          <w:sz w:val="16"/>
          <w:szCs w:val="16"/>
          <w:lang w:val="af-ZA"/>
        </w:rPr>
        <w:t>Gül, İ. I,“Role of Law in Prevention of Discrimination and Securing of Equality”, Discrimination –Multi Dimensional Approaches, Çayır, K., and Ayhan Ceyhan, M. (der.), İstanbul, İstanbul Bilgi Üniversitesi Yayınları, 2012, p.268</w:t>
      </w:r>
    </w:p>
  </w:footnote>
  <w:footnote w:id="10">
    <w:p w:rsidR="00A84CCB" w:rsidRPr="00BF23B9" w:rsidRDefault="00A84CCB" w:rsidP="00BF23B9">
      <w:pPr>
        <w:pStyle w:val="FootnoteText"/>
        <w:rPr>
          <w:sz w:val="16"/>
          <w:szCs w:val="16"/>
        </w:rPr>
      </w:pPr>
      <w:r w:rsidRPr="00BF23B9">
        <w:rPr>
          <w:rStyle w:val="FootnoteReference"/>
          <w:sz w:val="16"/>
          <w:szCs w:val="16"/>
        </w:rPr>
        <w:footnoteRef/>
      </w:r>
      <w:r w:rsidRPr="00BF23B9">
        <w:rPr>
          <w:sz w:val="16"/>
          <w:szCs w:val="16"/>
        </w:rPr>
        <w:t xml:space="preserve"> Paragraph 8 of Article 8 of the Law No. 2802 on Judges and Prosecutors </w:t>
      </w:r>
    </w:p>
  </w:footnote>
  <w:footnote w:id="11">
    <w:p w:rsidR="00A84CCB" w:rsidRPr="00BF23B9" w:rsidRDefault="00A84CCB" w:rsidP="00D3205F">
      <w:pPr>
        <w:pStyle w:val="FootnoteText"/>
        <w:rPr>
          <w:sz w:val="16"/>
          <w:szCs w:val="16"/>
        </w:rPr>
      </w:pPr>
      <w:r w:rsidRPr="00BF23B9">
        <w:rPr>
          <w:rStyle w:val="FootnoteReference"/>
          <w:sz w:val="16"/>
          <w:szCs w:val="16"/>
          <w:lang w:val="af-ZA"/>
        </w:rPr>
        <w:footnoteRef/>
      </w:r>
      <w:r w:rsidRPr="00BF23B9">
        <w:rPr>
          <w:sz w:val="16"/>
          <w:szCs w:val="16"/>
          <w:lang w:val="af-ZA"/>
        </w:rPr>
        <w:t>European Commission: The Commussion Communique toward European Parliament, Council, European Economic and Social Committee, and the Commettee on Regions; European Strategy for Disabilities 2010-2020: A Renewed Commitment for a Disability-free Europe, Brussels 15.11.2010, http://eur-lex.europa.eu/LexUriServ/LexUriServ.do?uri=COM:2010:063</w:t>
      </w:r>
      <w:r>
        <w:rPr>
          <w:sz w:val="16"/>
          <w:szCs w:val="16"/>
          <w:lang w:val="af-ZA"/>
        </w:rPr>
        <w:t>6:FIN:EN:PDF (date of access: 29.11.2018</w:t>
      </w:r>
      <w:r w:rsidRPr="00BF23B9">
        <w:rPr>
          <w:sz w:val="16"/>
          <w:szCs w:val="16"/>
          <w:lang w:val="af-ZA"/>
        </w:rPr>
        <w:t>)</w:t>
      </w:r>
    </w:p>
  </w:footnote>
  <w:footnote w:id="12">
    <w:p w:rsidR="00A84CCB" w:rsidRPr="00BF23B9" w:rsidRDefault="00A84CCB" w:rsidP="00D3205F">
      <w:pPr>
        <w:pStyle w:val="FootnoteText"/>
        <w:rPr>
          <w:sz w:val="16"/>
          <w:szCs w:val="16"/>
        </w:rPr>
      </w:pPr>
      <w:r w:rsidRPr="00BF23B9">
        <w:rPr>
          <w:rStyle w:val="FootnoteReference"/>
          <w:sz w:val="16"/>
          <w:szCs w:val="16"/>
          <w:lang w:val="af-ZA"/>
        </w:rPr>
        <w:footnoteRef/>
      </w:r>
      <w:r w:rsidRPr="00BF23B9">
        <w:rPr>
          <w:sz w:val="16"/>
          <w:szCs w:val="16"/>
          <w:lang w:val="af-ZA"/>
        </w:rPr>
        <w:t>Mr. Hüseyin Yıldırım became paralyzed as a result of a traffic accident shortly before the trial.</w:t>
      </w:r>
    </w:p>
  </w:footnote>
  <w:footnote w:id="13">
    <w:p w:rsidR="00A84CCB" w:rsidRPr="00BF23B9" w:rsidRDefault="00A84CCB" w:rsidP="00D3205F">
      <w:pPr>
        <w:pStyle w:val="FootnoteText"/>
        <w:rPr>
          <w:sz w:val="16"/>
          <w:szCs w:val="16"/>
        </w:rPr>
      </w:pPr>
      <w:r w:rsidRPr="00BF23B9">
        <w:rPr>
          <w:rStyle w:val="FootnoteReference"/>
          <w:sz w:val="16"/>
          <w:szCs w:val="16"/>
          <w:lang w:val="af-ZA"/>
        </w:rPr>
        <w:footnoteRef/>
      </w:r>
      <w:r w:rsidRPr="00BF23B9">
        <w:rPr>
          <w:sz w:val="16"/>
          <w:szCs w:val="16"/>
          <w:lang w:val="af-ZA"/>
        </w:rPr>
        <w:t xml:space="preserve">Final Evaluation of Committee on Economic, Social and Cultural Rights, 11th Paragraph, p.3 (Committee on Economic, Social and Cultural Rights Forty-sixthsession, Concluding observations of the Committee on Economic, Social and Cultural Rights, Geneva, 2-20 May 2011) </w:t>
      </w:r>
      <w:hyperlink r:id="rId3" w:history="1">
        <w:r w:rsidRPr="00BF23B9">
          <w:rPr>
            <w:rStyle w:val="Hyperlink"/>
            <w:sz w:val="16"/>
            <w:szCs w:val="16"/>
            <w:lang w:val="af-ZA"/>
          </w:rPr>
          <w:t>http://www2.ohchr.org/english/bodies/cescr/docs/E.C.12.TUR.CO.1-ENG.doc</w:t>
        </w:r>
      </w:hyperlink>
      <w:r w:rsidRPr="00BF23B9">
        <w:rPr>
          <w:sz w:val="16"/>
          <w:szCs w:val="16"/>
          <w:lang w:val="af-ZA"/>
        </w:rPr>
        <w:t xml:space="preserve"> (date of access: 29.11.2018)</w:t>
      </w:r>
    </w:p>
  </w:footnote>
  <w:footnote w:id="14">
    <w:p w:rsidR="00A84CCB" w:rsidRPr="00BF23B9" w:rsidRDefault="00A84CCB" w:rsidP="00BF23B9">
      <w:pPr>
        <w:pStyle w:val="FootnoteText"/>
        <w:rPr>
          <w:sz w:val="16"/>
          <w:szCs w:val="16"/>
        </w:rPr>
      </w:pPr>
      <w:r w:rsidRPr="00BF23B9">
        <w:rPr>
          <w:rStyle w:val="FootnoteReference"/>
          <w:sz w:val="16"/>
          <w:szCs w:val="16"/>
        </w:rPr>
        <w:footnoteRef/>
      </w:r>
      <w:r w:rsidRPr="00BF23B9">
        <w:rPr>
          <w:sz w:val="16"/>
          <w:szCs w:val="16"/>
        </w:rPr>
        <w:t xml:space="preserve"> 5 Introduction (e) clause of UNCRPD: “Recognizing that disability is an evolving concept and that disability results from the interaction between persons with impairments and attitudinal and environmental barriers that hinders their full and effective participation in society on an equal basis with others,”</w:t>
      </w:r>
    </w:p>
  </w:footnote>
  <w:footnote w:id="15">
    <w:p w:rsidR="00A84CCB" w:rsidRPr="00BF23B9" w:rsidRDefault="00A84CCB" w:rsidP="00BF23B9">
      <w:pPr>
        <w:pStyle w:val="FootnoteText"/>
        <w:spacing w:line="276" w:lineRule="auto"/>
        <w:rPr>
          <w:sz w:val="16"/>
          <w:szCs w:val="16"/>
        </w:rPr>
      </w:pPr>
      <w:r w:rsidRPr="00BF23B9">
        <w:rPr>
          <w:rStyle w:val="FootnoteReference"/>
          <w:sz w:val="16"/>
          <w:szCs w:val="16"/>
        </w:rPr>
        <w:footnoteRef/>
      </w:r>
      <w:r w:rsidRPr="00BF23B9">
        <w:rPr>
          <w:sz w:val="16"/>
          <w:szCs w:val="16"/>
        </w:rPr>
        <w:t xml:space="preserve"> ACSHB’s response letter dated 14.04.2015 and numbered 96413503-622-59075 for the information requested by TOHAD </w:t>
      </w:r>
    </w:p>
  </w:footnote>
  <w:footnote w:id="16">
    <w:p w:rsidR="00A84CCB" w:rsidRPr="00077797" w:rsidRDefault="00A84CCB" w:rsidP="00F063BD">
      <w:pPr>
        <w:pStyle w:val="FootnoteText"/>
        <w:rPr>
          <w:rFonts w:ascii="Times New Roman" w:hAnsi="Times New Roman"/>
          <w:lang w:val="en-US"/>
        </w:rPr>
      </w:pPr>
      <w:r w:rsidRPr="005113FF">
        <w:rPr>
          <w:rStyle w:val="FootnoteReference"/>
        </w:rPr>
        <w:footnoteRef/>
      </w:r>
      <w:r w:rsidRPr="00BA3F20">
        <w:rPr>
          <w:rFonts w:ascii="Times New Roman" w:hAnsi="Times New Roman"/>
        </w:rPr>
        <w:t xml:space="preserve"> </w:t>
      </w:r>
      <w:r>
        <w:rPr>
          <w:rFonts w:ascii="Times New Roman" w:hAnsi="Times New Roman"/>
          <w:lang w:val="en-US"/>
        </w:rPr>
        <w:t>Ministry of National Education</w:t>
      </w:r>
      <w:r w:rsidRPr="00077797">
        <w:rPr>
          <w:rFonts w:ascii="Times New Roman" w:hAnsi="Times New Roman"/>
          <w:lang w:val="en-US"/>
        </w:rPr>
        <w:t xml:space="preserve">, 2017-2018 </w:t>
      </w:r>
      <w:r>
        <w:rPr>
          <w:rFonts w:ascii="Times New Roman" w:hAnsi="Times New Roman"/>
          <w:lang w:val="en-US"/>
        </w:rPr>
        <w:t>Education Statistics</w:t>
      </w:r>
      <w:r w:rsidRPr="00077797">
        <w:rPr>
          <w:rFonts w:ascii="Times New Roman" w:hAnsi="Times New Roman"/>
          <w:lang w:val="en-US"/>
        </w:rPr>
        <w:t>, 2018 (</w:t>
      </w:r>
      <w:hyperlink r:id="rId4" w:history="1">
        <w:r w:rsidRPr="00634F76">
          <w:rPr>
            <w:rStyle w:val="Hyperlink"/>
            <w:rFonts w:ascii="Times New Roman" w:hAnsi="Times New Roman"/>
            <w:lang w:val="en-US"/>
          </w:rPr>
          <w:t>https://sgb.meb.gov.tr/www/icerik_goruntule.php?KNO=327</w:t>
        </w:r>
      </w:hyperlink>
      <w:r>
        <w:rPr>
          <w:rFonts w:ascii="Times New Roman" w:hAnsi="Times New Roman"/>
          <w:lang w:val="en-US"/>
        </w:rPr>
        <w:t xml:space="preserve"> </w:t>
      </w:r>
      <w:r w:rsidRPr="00077797" w:rsidDel="008023C6">
        <w:rPr>
          <w:rFonts w:ascii="Times New Roman" w:hAnsi="Times New Roman"/>
          <w:lang w:val="en-US"/>
        </w:rPr>
        <w:t xml:space="preserve"> </w:t>
      </w:r>
      <w:r>
        <w:rPr>
          <w:sz w:val="16"/>
          <w:szCs w:val="16"/>
          <w:lang w:val="af-ZA"/>
        </w:rPr>
        <w:t>date of access: 29.11.2018</w:t>
      </w:r>
      <w:r w:rsidRPr="00077797">
        <w:rPr>
          <w:rFonts w:ascii="Times New Roman" w:hAnsi="Times New Roman"/>
          <w:lang w:val="en-US"/>
        </w:rPr>
        <w:t>)</w:t>
      </w:r>
    </w:p>
  </w:footnote>
  <w:footnote w:id="17">
    <w:p w:rsidR="00A84CCB" w:rsidRDefault="00A84CCB" w:rsidP="00F063BD">
      <w:pPr>
        <w:pStyle w:val="FootnoteText"/>
      </w:pPr>
      <w:r w:rsidRPr="00A217B5">
        <w:rPr>
          <w:rStyle w:val="FootnoteReference"/>
          <w:sz w:val="18"/>
          <w:szCs w:val="18"/>
          <w:lang w:val="af-ZA"/>
        </w:rPr>
        <w:footnoteRef/>
      </w:r>
      <w:r>
        <w:rPr>
          <w:sz w:val="18"/>
          <w:szCs w:val="18"/>
          <w:lang w:val="af-ZA"/>
        </w:rPr>
        <w:t>See</w:t>
      </w:r>
      <w:r w:rsidRPr="00A217B5">
        <w:rPr>
          <w:sz w:val="18"/>
          <w:szCs w:val="18"/>
          <w:lang w:val="af-ZA"/>
        </w:rPr>
        <w:t xml:space="preserve"> 2013 </w:t>
      </w:r>
      <w:r>
        <w:rPr>
          <w:sz w:val="18"/>
          <w:szCs w:val="18"/>
          <w:lang w:val="af-ZA"/>
        </w:rPr>
        <w:t xml:space="preserve">Guidance for Quotas for Higher Education Programs, the Student Selection and Placement System </w:t>
      </w:r>
      <w:r w:rsidRPr="00A217B5">
        <w:rPr>
          <w:sz w:val="18"/>
          <w:szCs w:val="18"/>
          <w:lang w:val="af-ZA"/>
        </w:rPr>
        <w:t xml:space="preserve">(ÖSYS), </w:t>
      </w:r>
      <w:r>
        <w:rPr>
          <w:sz w:val="18"/>
          <w:szCs w:val="18"/>
          <w:lang w:val="af-ZA"/>
        </w:rPr>
        <w:t>p.</w:t>
      </w:r>
      <w:r w:rsidRPr="00A217B5">
        <w:rPr>
          <w:sz w:val="18"/>
          <w:szCs w:val="18"/>
          <w:lang w:val="af-ZA"/>
        </w:rPr>
        <w:t xml:space="preserve">8, </w:t>
      </w:r>
      <w:hyperlink r:id="rId5" w:history="1">
        <w:r w:rsidRPr="00A217B5">
          <w:rPr>
            <w:rStyle w:val="Hyperlink"/>
            <w:sz w:val="18"/>
            <w:szCs w:val="18"/>
            <w:lang w:val="af-ZA"/>
          </w:rPr>
          <w:t>http://www.osym.gov.tr/dosya/1-69322/h/2013-osys-kont-kilavuzu-baski-temmuzyeni.pdf</w:t>
        </w:r>
      </w:hyperlink>
      <w:r w:rsidRPr="00A217B5">
        <w:rPr>
          <w:sz w:val="18"/>
          <w:szCs w:val="18"/>
          <w:lang w:val="af-ZA"/>
        </w:rPr>
        <w:t xml:space="preserve"> (</w:t>
      </w:r>
      <w:r>
        <w:rPr>
          <w:sz w:val="18"/>
          <w:szCs w:val="18"/>
          <w:lang w:val="af-ZA"/>
        </w:rPr>
        <w:t>date of access: 29.11.2018</w:t>
      </w:r>
      <w:r w:rsidRPr="00A217B5">
        <w:rPr>
          <w:sz w:val="18"/>
          <w:szCs w:val="18"/>
          <w:lang w:val="af-ZA"/>
        </w:rPr>
        <w:t>)</w:t>
      </w:r>
    </w:p>
  </w:footnote>
  <w:footnote w:id="18">
    <w:p w:rsidR="00A84CCB" w:rsidRDefault="00A84CCB" w:rsidP="00F063BD">
      <w:pPr>
        <w:pStyle w:val="FootnoteText"/>
      </w:pPr>
      <w:r w:rsidRPr="00A217B5">
        <w:rPr>
          <w:rStyle w:val="FootnoteReference"/>
          <w:sz w:val="18"/>
          <w:szCs w:val="18"/>
          <w:lang w:val="af-ZA"/>
        </w:rPr>
        <w:footnoteRef/>
      </w:r>
      <w:r>
        <w:rPr>
          <w:sz w:val="18"/>
          <w:szCs w:val="18"/>
          <w:lang w:val="af-ZA"/>
        </w:rPr>
        <w:t xml:space="preserve">The Award No. </w:t>
      </w:r>
      <w:r w:rsidRPr="00A217B5">
        <w:rPr>
          <w:sz w:val="18"/>
          <w:szCs w:val="18"/>
          <w:lang w:val="af-ZA"/>
        </w:rPr>
        <w:t>2010/979 E. 2012/1863 K.</w:t>
      </w:r>
      <w:r>
        <w:rPr>
          <w:sz w:val="18"/>
          <w:szCs w:val="18"/>
          <w:lang w:val="af-ZA"/>
        </w:rPr>
        <w:t xml:space="preserve"> of the 1st Administrative Court of Ankara</w:t>
      </w:r>
    </w:p>
  </w:footnote>
  <w:footnote w:id="19">
    <w:p w:rsidR="00A84CCB" w:rsidRPr="00BF23B9" w:rsidRDefault="00A84CCB" w:rsidP="00D3205F">
      <w:pPr>
        <w:pStyle w:val="FootnoteText"/>
        <w:rPr>
          <w:sz w:val="16"/>
          <w:szCs w:val="16"/>
        </w:rPr>
      </w:pPr>
      <w:r w:rsidRPr="00BF23B9">
        <w:rPr>
          <w:rStyle w:val="FootnoteReference"/>
          <w:sz w:val="16"/>
          <w:szCs w:val="16"/>
          <w:lang w:val="af-ZA"/>
        </w:rPr>
        <w:footnoteRef/>
      </w:r>
      <w:r w:rsidRPr="00BF23B9">
        <w:rPr>
          <w:sz w:val="16"/>
          <w:szCs w:val="16"/>
          <w:lang w:val="af-ZA"/>
        </w:rPr>
        <w:t xml:space="preserve">See Article 14 of the Law on Persons with Disabilities, </w:t>
      </w:r>
      <w:hyperlink r:id="rId6" w:history="1">
        <w:r w:rsidRPr="00BF23B9">
          <w:rPr>
            <w:rStyle w:val="Hyperlink"/>
            <w:sz w:val="16"/>
            <w:szCs w:val="16"/>
            <w:lang w:val="af-ZA"/>
          </w:rPr>
          <w:t>http://www.mevzuat.gov.tr/MevzuatMetin/1.5.5378.pdf</w:t>
        </w:r>
      </w:hyperlink>
      <w:r>
        <w:rPr>
          <w:sz w:val="16"/>
          <w:szCs w:val="16"/>
          <w:lang w:val="af-ZA"/>
        </w:rPr>
        <w:t xml:space="preserve"> (date of access: 29.11.2018</w:t>
      </w:r>
      <w:r w:rsidRPr="00BF23B9">
        <w:rPr>
          <w:sz w:val="16"/>
          <w:szCs w:val="16"/>
          <w:lang w:val="af-ZA"/>
        </w:rPr>
        <w:t>)</w:t>
      </w:r>
    </w:p>
  </w:footnote>
  <w:footnote w:id="20">
    <w:p w:rsidR="00A84CCB" w:rsidRPr="00BF23B9" w:rsidRDefault="00A84CCB" w:rsidP="00D3205F">
      <w:pPr>
        <w:pStyle w:val="FootnoteText"/>
        <w:rPr>
          <w:sz w:val="16"/>
          <w:szCs w:val="16"/>
        </w:rPr>
      </w:pPr>
      <w:r w:rsidRPr="00BF23B9">
        <w:rPr>
          <w:rStyle w:val="FootnoteReference"/>
          <w:sz w:val="16"/>
          <w:szCs w:val="16"/>
          <w:lang w:val="af-ZA"/>
        </w:rPr>
        <w:footnoteRef/>
      </w:r>
      <w:r w:rsidRPr="00BF23B9">
        <w:rPr>
          <w:sz w:val="16"/>
          <w:szCs w:val="16"/>
          <w:lang w:val="af-ZA"/>
        </w:rPr>
        <w:t>Turkish Survey into Persons with Disabilities, 2002, p. 14-15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26538"/>
    <w:multiLevelType w:val="hybridMultilevel"/>
    <w:tmpl w:val="13180286"/>
    <w:lvl w:ilvl="0" w:tplc="1DD03A6C">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EC"/>
    <w:rsid w:val="000D6370"/>
    <w:rsid w:val="00192E12"/>
    <w:rsid w:val="001B59EE"/>
    <w:rsid w:val="00200A6C"/>
    <w:rsid w:val="00251CD9"/>
    <w:rsid w:val="00273685"/>
    <w:rsid w:val="002E1AD6"/>
    <w:rsid w:val="00326D3F"/>
    <w:rsid w:val="0034693C"/>
    <w:rsid w:val="00356968"/>
    <w:rsid w:val="00467948"/>
    <w:rsid w:val="00483136"/>
    <w:rsid w:val="004A1E5C"/>
    <w:rsid w:val="004D544B"/>
    <w:rsid w:val="005A5C2C"/>
    <w:rsid w:val="006F123F"/>
    <w:rsid w:val="00701268"/>
    <w:rsid w:val="007038DD"/>
    <w:rsid w:val="007658D9"/>
    <w:rsid w:val="008623FA"/>
    <w:rsid w:val="009133AD"/>
    <w:rsid w:val="00A32187"/>
    <w:rsid w:val="00A84CCB"/>
    <w:rsid w:val="00AA0246"/>
    <w:rsid w:val="00AA0949"/>
    <w:rsid w:val="00BB5B7C"/>
    <w:rsid w:val="00BF23B9"/>
    <w:rsid w:val="00C13EEC"/>
    <w:rsid w:val="00C27C22"/>
    <w:rsid w:val="00D3205F"/>
    <w:rsid w:val="00D73E7E"/>
    <w:rsid w:val="00DC5740"/>
    <w:rsid w:val="00E11177"/>
    <w:rsid w:val="00E32D7A"/>
    <w:rsid w:val="00F063BD"/>
    <w:rsid w:val="00F36D14"/>
    <w:rsid w:val="00FB4FF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7E80D617-C5C6-477E-BEE1-9632E8A7F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5740"/>
    <w:pPr>
      <w:spacing w:before="120" w:after="120"/>
    </w:pPr>
    <w:rPr>
      <w:rFonts w:ascii="Verdana" w:hAnsi="Verdana"/>
      <w:sz w:val="20"/>
    </w:rPr>
  </w:style>
  <w:style w:type="paragraph" w:styleId="Heading1">
    <w:name w:val="heading 1"/>
    <w:basedOn w:val="Normal"/>
    <w:next w:val="Normal"/>
    <w:link w:val="Heading1Char"/>
    <w:uiPriority w:val="9"/>
    <w:qFormat/>
    <w:rsid w:val="00DC5740"/>
    <w:pPr>
      <w:keepNext/>
      <w:keepLines/>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DC5740"/>
    <w:pPr>
      <w:keepNext/>
      <w:keepLines/>
      <w:outlineLvl w:val="1"/>
    </w:pPr>
    <w:rPr>
      <w:rFonts w:eastAsiaTheme="majorEastAsia" w:cstheme="majorBidi"/>
      <w:b/>
      <w:bCs/>
      <w:color w:val="000000" w:themeColor="text1"/>
      <w:sz w:val="28"/>
      <w:szCs w:val="26"/>
    </w:rPr>
  </w:style>
  <w:style w:type="paragraph" w:styleId="Heading4">
    <w:name w:val="heading 4"/>
    <w:basedOn w:val="Normal"/>
    <w:next w:val="Normal"/>
    <w:link w:val="Heading4Char"/>
    <w:uiPriority w:val="9"/>
    <w:unhideWhenUsed/>
    <w:qFormat/>
    <w:rsid w:val="00D3205F"/>
    <w:pPr>
      <w:keepNext/>
      <w:spacing w:before="0" w:after="0"/>
      <w:outlineLvl w:val="3"/>
    </w:pPr>
    <w:rPr>
      <w:rFonts w:eastAsia="Times New Roman" w:cs="Times New Roman"/>
      <w:b/>
      <w:bCs/>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5740"/>
    <w:rPr>
      <w:rFonts w:ascii="Verdana" w:eastAsiaTheme="majorEastAsia" w:hAnsi="Verdana" w:cstheme="majorBidi"/>
      <w:b/>
      <w:bCs/>
      <w:sz w:val="28"/>
      <w:szCs w:val="28"/>
    </w:rPr>
  </w:style>
  <w:style w:type="character" w:customStyle="1" w:styleId="Heading2Char">
    <w:name w:val="Heading 2 Char"/>
    <w:basedOn w:val="DefaultParagraphFont"/>
    <w:link w:val="Heading2"/>
    <w:uiPriority w:val="9"/>
    <w:rsid w:val="00DC5740"/>
    <w:rPr>
      <w:rFonts w:ascii="Verdana" w:eastAsiaTheme="majorEastAsia" w:hAnsi="Verdana" w:cstheme="majorBidi"/>
      <w:b/>
      <w:bCs/>
      <w:color w:val="000000" w:themeColor="text1"/>
      <w:sz w:val="28"/>
      <w:szCs w:val="26"/>
    </w:rPr>
  </w:style>
  <w:style w:type="paragraph" w:styleId="Title">
    <w:name w:val="Title"/>
    <w:basedOn w:val="Normal"/>
    <w:next w:val="Normal"/>
    <w:link w:val="TitleChar"/>
    <w:uiPriority w:val="10"/>
    <w:qFormat/>
    <w:rsid w:val="00E32D7A"/>
    <w:pPr>
      <w:spacing w:line="360" w:lineRule="auto"/>
      <w:contextualSpacing/>
    </w:pPr>
    <w:rPr>
      <w:rFonts w:eastAsiaTheme="majorEastAsia" w:cstheme="majorBidi"/>
      <w:spacing w:val="5"/>
      <w:kern w:val="28"/>
      <w:sz w:val="22"/>
      <w:szCs w:val="52"/>
    </w:rPr>
  </w:style>
  <w:style w:type="character" w:customStyle="1" w:styleId="TitleChar">
    <w:name w:val="Title Char"/>
    <w:basedOn w:val="DefaultParagraphFont"/>
    <w:link w:val="Title"/>
    <w:uiPriority w:val="10"/>
    <w:rsid w:val="00E32D7A"/>
    <w:rPr>
      <w:rFonts w:ascii="Verdana" w:eastAsiaTheme="majorEastAsia" w:hAnsi="Verdana" w:cstheme="majorBidi"/>
      <w:spacing w:val="5"/>
      <w:kern w:val="28"/>
      <w:szCs w:val="52"/>
    </w:rPr>
  </w:style>
  <w:style w:type="character" w:customStyle="1" w:styleId="Heading4Char">
    <w:name w:val="Heading 4 Char"/>
    <w:basedOn w:val="DefaultParagraphFont"/>
    <w:link w:val="Heading4"/>
    <w:uiPriority w:val="9"/>
    <w:rsid w:val="00D3205F"/>
    <w:rPr>
      <w:rFonts w:ascii="Verdana" w:eastAsia="Times New Roman" w:hAnsi="Verdana" w:cs="Times New Roman"/>
      <w:b/>
      <w:bCs/>
      <w:szCs w:val="28"/>
    </w:rPr>
  </w:style>
  <w:style w:type="paragraph" w:styleId="FootnoteText">
    <w:name w:val="footnote text"/>
    <w:basedOn w:val="Normal"/>
    <w:link w:val="FootnoteTextChar"/>
    <w:unhideWhenUsed/>
    <w:rsid w:val="00D3205F"/>
    <w:pPr>
      <w:spacing w:before="0" w:after="0" w:line="240" w:lineRule="auto"/>
    </w:pPr>
    <w:rPr>
      <w:rFonts w:eastAsia="Calibri" w:cs="Times New Roman"/>
      <w:szCs w:val="20"/>
    </w:rPr>
  </w:style>
  <w:style w:type="character" w:customStyle="1" w:styleId="FootnoteTextChar">
    <w:name w:val="Footnote Text Char"/>
    <w:basedOn w:val="DefaultParagraphFont"/>
    <w:link w:val="FootnoteText"/>
    <w:rsid w:val="00D3205F"/>
    <w:rPr>
      <w:rFonts w:ascii="Verdana" w:eastAsia="Calibri" w:hAnsi="Verdana" w:cs="Times New Roman"/>
      <w:sz w:val="20"/>
      <w:szCs w:val="20"/>
    </w:rPr>
  </w:style>
  <w:style w:type="character" w:styleId="FootnoteReference">
    <w:name w:val="footnote reference"/>
    <w:aliases w:val="Footnote Reference Superscript"/>
    <w:basedOn w:val="DefaultParagraphFont"/>
    <w:unhideWhenUsed/>
    <w:rsid w:val="00D3205F"/>
    <w:rPr>
      <w:vertAlign w:val="superscript"/>
    </w:rPr>
  </w:style>
  <w:style w:type="character" w:styleId="Hyperlink">
    <w:name w:val="Hyperlink"/>
    <w:basedOn w:val="DefaultParagraphFont"/>
    <w:uiPriority w:val="99"/>
    <w:rsid w:val="00D3205F"/>
    <w:rPr>
      <w:color w:val="0000FF"/>
      <w:u w:val="single"/>
    </w:rPr>
  </w:style>
  <w:style w:type="character" w:customStyle="1" w:styleId="Gvdemetni">
    <w:name w:val="Gövde metni_"/>
    <w:basedOn w:val="DefaultParagraphFont"/>
    <w:link w:val="Gvdemetni0"/>
    <w:rsid w:val="00D3205F"/>
    <w:rPr>
      <w:rFonts w:ascii="Times New Roman" w:eastAsia="Times New Roman" w:hAnsi="Times New Roman"/>
      <w:shd w:val="clear" w:color="auto" w:fill="FFFFFF"/>
    </w:rPr>
  </w:style>
  <w:style w:type="paragraph" w:customStyle="1" w:styleId="Gvdemetni0">
    <w:name w:val="Gövde metni"/>
    <w:basedOn w:val="Normal"/>
    <w:link w:val="Gvdemetni"/>
    <w:rsid w:val="00D3205F"/>
    <w:pPr>
      <w:shd w:val="clear" w:color="auto" w:fill="FFFFFF"/>
      <w:spacing w:before="0" w:after="0" w:line="288" w:lineRule="exact"/>
    </w:pPr>
    <w:rPr>
      <w:rFonts w:ascii="Times New Roman" w:eastAsia="Times New Roman" w:hAnsi="Times New Roman"/>
      <w:sz w:val="22"/>
    </w:rPr>
  </w:style>
  <w:style w:type="paragraph" w:customStyle="1" w:styleId="AralkYok1">
    <w:name w:val="Aralık Yok1"/>
    <w:link w:val="NoSpacingChar"/>
    <w:rsid w:val="00D3205F"/>
    <w:pPr>
      <w:spacing w:after="0" w:line="240" w:lineRule="auto"/>
    </w:pPr>
    <w:rPr>
      <w:rFonts w:ascii="Verdana" w:eastAsia="Times New Roman" w:hAnsi="Verdana" w:cs="Times New Roman"/>
    </w:rPr>
  </w:style>
  <w:style w:type="character" w:customStyle="1" w:styleId="NoSpacingChar">
    <w:name w:val="No Spacing Char"/>
    <w:basedOn w:val="DefaultParagraphFont"/>
    <w:link w:val="AralkYok1"/>
    <w:locked/>
    <w:rsid w:val="00D3205F"/>
    <w:rPr>
      <w:rFonts w:ascii="Verdana" w:eastAsia="Times New Roman" w:hAnsi="Verdana" w:cs="Times New Roman"/>
    </w:rPr>
  </w:style>
  <w:style w:type="paragraph" w:styleId="TOC1">
    <w:name w:val="toc 1"/>
    <w:basedOn w:val="Normal"/>
    <w:next w:val="Normal"/>
    <w:autoRedefine/>
    <w:uiPriority w:val="39"/>
    <w:rsid w:val="00AA0949"/>
    <w:pPr>
      <w:tabs>
        <w:tab w:val="right" w:leader="dot" w:pos="9639"/>
      </w:tabs>
    </w:pPr>
    <w:rPr>
      <w:rFonts w:eastAsia="Times New Roman" w:cs="Times New Roman"/>
      <w:b/>
      <w:noProof/>
      <w:szCs w:val="20"/>
      <w:lang w:eastAsia="tr-TR"/>
    </w:rPr>
  </w:style>
  <w:style w:type="paragraph" w:styleId="BalloonText">
    <w:name w:val="Balloon Text"/>
    <w:basedOn w:val="Normal"/>
    <w:link w:val="BalloonTextChar"/>
    <w:uiPriority w:val="99"/>
    <w:semiHidden/>
    <w:unhideWhenUsed/>
    <w:rsid w:val="00AA0949"/>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0949"/>
    <w:rPr>
      <w:rFonts w:ascii="Tahoma" w:hAnsi="Tahoma" w:cs="Tahoma"/>
      <w:sz w:val="16"/>
      <w:szCs w:val="16"/>
    </w:rPr>
  </w:style>
  <w:style w:type="paragraph" w:customStyle="1" w:styleId="H1G">
    <w:name w:val="_ H_1_G"/>
    <w:basedOn w:val="Normal"/>
    <w:next w:val="Normal"/>
    <w:rsid w:val="00273685"/>
    <w:pPr>
      <w:keepNext/>
      <w:keepLines/>
      <w:tabs>
        <w:tab w:val="right" w:pos="851"/>
      </w:tabs>
      <w:suppressAutoHyphens/>
      <w:spacing w:before="360" w:after="240" w:line="270" w:lineRule="exact"/>
      <w:ind w:left="1134" w:right="1134" w:hanging="1134"/>
    </w:pPr>
    <w:rPr>
      <w:rFonts w:ascii="Times New Roman" w:eastAsia="SimSun" w:hAnsi="Times New Roman" w:cs="Times New Roman"/>
      <w:b/>
      <w:sz w:val="24"/>
      <w:szCs w:val="20"/>
      <w:lang w:val="en-GB" w:eastAsia="zh-CN"/>
    </w:rPr>
  </w:style>
  <w:style w:type="paragraph" w:styleId="NormalWeb">
    <w:name w:val="Normal (Web)"/>
    <w:basedOn w:val="Normal"/>
    <w:uiPriority w:val="99"/>
    <w:unhideWhenUsed/>
    <w:rsid w:val="00326D3F"/>
    <w:pPr>
      <w:spacing w:before="100" w:beforeAutospacing="1" w:after="100" w:afterAutospacing="1" w:line="240" w:lineRule="auto"/>
    </w:pPr>
    <w:rPr>
      <w:rFonts w:ascii="Times" w:eastAsiaTheme="minorEastAsia" w:hAnsi="Times" w:cs="Times New Roman"/>
      <w:szCs w:val="20"/>
    </w:rPr>
  </w:style>
  <w:style w:type="paragraph" w:styleId="TOC2">
    <w:name w:val="toc 2"/>
    <w:basedOn w:val="Normal"/>
    <w:next w:val="Normal"/>
    <w:autoRedefine/>
    <w:uiPriority w:val="39"/>
    <w:unhideWhenUsed/>
    <w:rsid w:val="00200A6C"/>
    <w:pPr>
      <w:tabs>
        <w:tab w:val="right" w:leader="dot" w:pos="9639"/>
      </w:tabs>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had.org/" TargetMode="Externa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ngellihaklariizleme.org"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bilgi@tohad.org" TargetMode="External"/><Relationship Id="rId4" Type="http://schemas.openxmlformats.org/officeDocument/2006/relationships/settings" Target="settings.xml"/><Relationship Id="rId9" Type="http://schemas.openxmlformats.org/officeDocument/2006/relationships/hyperlink" Target="mailto:bilgi@engellihaklariizleme.or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2.ohchr.org/english/bodies/cescr/docs/E.C.12.TUR.CO.1-ENG.doc" TargetMode="External"/><Relationship Id="rId2" Type="http://schemas.openxmlformats.org/officeDocument/2006/relationships/hyperlink" Target="http://www.ozida.gov.tr/ayrimciliklamucadele/rapor_tum.pdf" TargetMode="External"/><Relationship Id="rId1" Type="http://schemas.openxmlformats.org/officeDocument/2006/relationships/hyperlink" Target="http://www.eyh.gov.tr/upload/ozurluveyasli.gov.tr/mce/eski_site/arastirma/tr_ozurluler_arastirmasi/aciklama.pdf" TargetMode="External"/><Relationship Id="rId6" Type="http://schemas.openxmlformats.org/officeDocument/2006/relationships/hyperlink" Target="http://www.mevzuat.gov.tr/MevzuatMetin/1.5.5378.pdf" TargetMode="External"/><Relationship Id="rId5" Type="http://schemas.openxmlformats.org/officeDocument/2006/relationships/hyperlink" Target="http://www.osym.gov.tr/dosya/1-69322/h/2013-osys-kont-kilavuzu-baski-temmuzyeni.pdf" TargetMode="External"/><Relationship Id="rId4" Type="http://schemas.openxmlformats.org/officeDocument/2006/relationships/hyperlink" Target="https://sgb.meb.gov.tr/www/icerik_goruntule.php?KNO=327"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B2B2EE-4A6D-4727-B7E6-29AA9205592D}"/>
</file>

<file path=customXml/itemProps2.xml><?xml version="1.0" encoding="utf-8"?>
<ds:datastoreItem xmlns:ds="http://schemas.openxmlformats.org/officeDocument/2006/customXml" ds:itemID="{CEE601E5-F644-4B78-A322-72E7BC8FE9F0}"/>
</file>

<file path=customXml/itemProps3.xml><?xml version="1.0" encoding="utf-8"?>
<ds:datastoreItem xmlns:ds="http://schemas.openxmlformats.org/officeDocument/2006/customXml" ds:itemID="{49F71D80-B62A-4F66-B3DE-2A8BC644C704}"/>
</file>

<file path=customXml/itemProps4.xml><?xml version="1.0" encoding="utf-8"?>
<ds:datastoreItem xmlns:ds="http://schemas.openxmlformats.org/officeDocument/2006/customXml" ds:itemID="{2D677F01-AFD8-403F-8796-2126E905AA6A}"/>
</file>

<file path=docProps/app.xml><?xml version="1.0" encoding="utf-8"?>
<Properties xmlns="http://schemas.openxmlformats.org/officeDocument/2006/extended-properties" xmlns:vt="http://schemas.openxmlformats.org/officeDocument/2006/docPropsVTypes">
  <Template>Normal.dotm</Template>
  <TotalTime>0</TotalTime>
  <Pages>22</Pages>
  <Words>9906</Words>
  <Characters>56467</Characters>
  <Application>Microsoft Office Word</Application>
  <DocSecurity>4</DocSecurity>
  <Lines>470</Lines>
  <Paragraphs>132</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66241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Dede</dc:creator>
  <cp:lastModifiedBy>CAILLOT Lucille</cp:lastModifiedBy>
  <cp:revision>2</cp:revision>
  <dcterms:created xsi:type="dcterms:W3CDTF">2019-02-13T10:24:00Z</dcterms:created>
  <dcterms:modified xsi:type="dcterms:W3CDTF">2019-02-13T10:24:00Z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