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8E310" w14:textId="77777777" w:rsidR="001A1B85" w:rsidRPr="00CD0550" w:rsidRDefault="00000000">
      <w:pPr>
        <w:spacing w:line="360" w:lineRule="auto"/>
        <w:ind w:firstLine="567"/>
        <w:jc w:val="right"/>
        <w:rPr>
          <w:rFonts w:ascii="Times New Roman" w:eastAsia="Times New Roman" w:hAnsi="Times New Roman" w:cs="Times New Roman"/>
          <w:sz w:val="24"/>
          <w:szCs w:val="24"/>
          <w:lang w:val="en-US"/>
        </w:rPr>
      </w:pPr>
      <w:proofErr w:type="gramStart"/>
      <w:r w:rsidRPr="00CD0550">
        <w:rPr>
          <w:rFonts w:ascii="Times New Roman" w:eastAsia="Times New Roman" w:hAnsi="Times New Roman" w:cs="Times New Roman"/>
          <w:sz w:val="24"/>
          <w:szCs w:val="24"/>
          <w:lang w:val="en-US"/>
        </w:rPr>
        <w:t>April,</w:t>
      </w:r>
      <w:proofErr w:type="gramEnd"/>
      <w:r w:rsidRPr="00CD0550">
        <w:rPr>
          <w:rFonts w:ascii="Times New Roman" w:eastAsia="Times New Roman" w:hAnsi="Times New Roman" w:cs="Times New Roman"/>
          <w:sz w:val="24"/>
          <w:szCs w:val="24"/>
          <w:lang w:val="en-US"/>
        </w:rPr>
        <w:t xml:space="preserve"> 15th, 2024</w:t>
      </w:r>
    </w:p>
    <w:p w14:paraId="589BBFB7" w14:textId="77777777" w:rsidR="001A1B85" w:rsidRPr="00CD0550" w:rsidRDefault="001A1B85">
      <w:pPr>
        <w:spacing w:line="360" w:lineRule="auto"/>
        <w:ind w:firstLine="567"/>
        <w:jc w:val="both"/>
        <w:rPr>
          <w:rFonts w:ascii="Times New Roman" w:eastAsia="Times New Roman" w:hAnsi="Times New Roman" w:cs="Times New Roman"/>
          <w:sz w:val="24"/>
          <w:szCs w:val="24"/>
          <w:lang w:val="en-US"/>
        </w:rPr>
      </w:pPr>
    </w:p>
    <w:p w14:paraId="6A16C6B0" w14:textId="77777777" w:rsidR="001A1B85" w:rsidRPr="00CD0550" w:rsidRDefault="00000000">
      <w:pPr>
        <w:spacing w:line="360" w:lineRule="auto"/>
        <w:ind w:firstLine="567"/>
        <w:jc w:val="center"/>
        <w:rPr>
          <w:rFonts w:ascii="Times New Roman" w:eastAsia="Times New Roman" w:hAnsi="Times New Roman" w:cs="Times New Roman"/>
          <w:b/>
          <w:sz w:val="24"/>
          <w:szCs w:val="24"/>
          <w:lang w:val="en-US"/>
        </w:rPr>
      </w:pPr>
      <w:r w:rsidRPr="00CD0550">
        <w:rPr>
          <w:rFonts w:ascii="Times New Roman" w:eastAsia="Times New Roman" w:hAnsi="Times New Roman" w:cs="Times New Roman"/>
          <w:b/>
          <w:sz w:val="24"/>
          <w:szCs w:val="24"/>
          <w:lang w:val="en-US"/>
        </w:rPr>
        <w:t xml:space="preserve">Joint submission sent as a civil society report to the </w:t>
      </w:r>
    </w:p>
    <w:p w14:paraId="06D14DC5" w14:textId="77777777" w:rsidR="001A1B85" w:rsidRPr="00CD0550" w:rsidRDefault="00000000">
      <w:pPr>
        <w:spacing w:line="360" w:lineRule="auto"/>
        <w:ind w:firstLine="567"/>
        <w:jc w:val="center"/>
        <w:rPr>
          <w:rFonts w:ascii="Times New Roman" w:eastAsia="Times New Roman" w:hAnsi="Times New Roman" w:cs="Times New Roman"/>
          <w:b/>
          <w:sz w:val="24"/>
          <w:szCs w:val="24"/>
          <w:lang w:val="en-US"/>
        </w:rPr>
      </w:pPr>
      <w:r w:rsidRPr="00CD0550">
        <w:rPr>
          <w:rFonts w:ascii="Times New Roman" w:eastAsia="Times New Roman" w:hAnsi="Times New Roman" w:cs="Times New Roman"/>
          <w:b/>
          <w:sz w:val="24"/>
          <w:szCs w:val="24"/>
          <w:lang w:val="en-US"/>
        </w:rPr>
        <w:t xml:space="preserve">88th Session (13 May 2024 - 31 May 2024) of the </w:t>
      </w:r>
    </w:p>
    <w:p w14:paraId="26A12D66" w14:textId="77777777" w:rsidR="001A1B85" w:rsidRPr="00CD0550" w:rsidRDefault="00000000">
      <w:pPr>
        <w:spacing w:line="360" w:lineRule="auto"/>
        <w:ind w:firstLine="567"/>
        <w:jc w:val="center"/>
        <w:rPr>
          <w:rFonts w:ascii="Times New Roman" w:eastAsia="Times New Roman" w:hAnsi="Times New Roman" w:cs="Times New Roman"/>
          <w:b/>
          <w:sz w:val="24"/>
          <w:szCs w:val="24"/>
          <w:lang w:val="en-US"/>
        </w:rPr>
      </w:pPr>
      <w:r w:rsidRPr="00CD0550">
        <w:rPr>
          <w:rFonts w:ascii="Times New Roman" w:eastAsia="Times New Roman" w:hAnsi="Times New Roman" w:cs="Times New Roman"/>
          <w:b/>
          <w:sz w:val="24"/>
          <w:szCs w:val="24"/>
          <w:lang w:val="en-US"/>
        </w:rPr>
        <w:t>Convention on the Elimination of All Forms of Discrimination against Women (CEDAW)</w:t>
      </w:r>
    </w:p>
    <w:p w14:paraId="105769B0" w14:textId="77777777" w:rsidR="001A1B85" w:rsidRPr="00CD0550" w:rsidRDefault="001A1B85">
      <w:pPr>
        <w:spacing w:line="360" w:lineRule="auto"/>
        <w:jc w:val="both"/>
        <w:rPr>
          <w:rFonts w:ascii="Times New Roman" w:eastAsia="Times New Roman" w:hAnsi="Times New Roman" w:cs="Times New Roman"/>
          <w:sz w:val="24"/>
          <w:szCs w:val="24"/>
          <w:lang w:val="en-US"/>
        </w:rPr>
      </w:pPr>
    </w:p>
    <w:p w14:paraId="047E514B" w14:textId="77777777" w:rsidR="001A1B85" w:rsidRPr="00CD0550" w:rsidRDefault="00000000">
      <w:pPr>
        <w:spacing w:before="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The </w:t>
      </w:r>
      <w:hyperlink r:id="rId7">
        <w:r w:rsidRPr="00CD0550">
          <w:rPr>
            <w:rFonts w:ascii="Times New Roman" w:eastAsia="Times New Roman" w:hAnsi="Times New Roman" w:cs="Times New Roman"/>
            <w:b/>
            <w:sz w:val="24"/>
            <w:szCs w:val="24"/>
            <w:u w:val="single"/>
            <w:lang w:val="en-US"/>
          </w:rPr>
          <w:t>Brazilian Campaign for the Right to Education (BCRE)</w:t>
        </w:r>
      </w:hyperlink>
      <w:r w:rsidRPr="00CD0550">
        <w:rPr>
          <w:rFonts w:ascii="Times New Roman" w:eastAsia="Times New Roman" w:hAnsi="Times New Roman" w:cs="Times New Roman"/>
          <w:sz w:val="24"/>
          <w:szCs w:val="24"/>
          <w:lang w:val="en-US"/>
        </w:rPr>
        <w:t xml:space="preserve"> is a network that brings together 304 entities and over 340 leaders across all Brazilian states and the Federal District. Its mission is to work towards the implementation and expansion of educational policies, ensuring that everyone has their right to a public, free, inclusive, secular, and quality education guaranteed in Brazil. This involves strengthening democracy and social justice through interdisciplinary actions. Internationally, the campaign engages in advocacy within spaces for participation, definition, and monitoring of international agendas, such as the United Nations, where it holds special consultative status in the Economic and Social Council (ECOSOC). Locally, it has participated in the High-Level Political Forums of 2019, 2021, 2022, and 2023. Additionally, Andressa </w:t>
      </w:r>
      <w:proofErr w:type="spellStart"/>
      <w:r w:rsidRPr="00CD0550">
        <w:rPr>
          <w:rFonts w:ascii="Times New Roman" w:eastAsia="Times New Roman" w:hAnsi="Times New Roman" w:cs="Times New Roman"/>
          <w:sz w:val="24"/>
          <w:szCs w:val="24"/>
          <w:lang w:val="en-US"/>
        </w:rPr>
        <w:t>Pellanda</w:t>
      </w:r>
      <w:proofErr w:type="spellEnd"/>
      <w:r w:rsidRPr="00CD0550">
        <w:rPr>
          <w:rFonts w:ascii="Times New Roman" w:eastAsia="Times New Roman" w:hAnsi="Times New Roman" w:cs="Times New Roman"/>
          <w:sz w:val="24"/>
          <w:szCs w:val="24"/>
          <w:lang w:val="en-US"/>
        </w:rPr>
        <w:t>, the campaign's general coordinator, currently serves a two-year term (2024-26) in the global coordination of the Collective Consultation of NGOs for Education with UNESCO.</w:t>
      </w:r>
    </w:p>
    <w:p w14:paraId="7D01613D" w14:textId="77777777" w:rsidR="001A1B85" w:rsidRPr="00CD0550" w:rsidRDefault="00000000">
      <w:pPr>
        <w:rPr>
          <w:rFonts w:ascii="Times New Roman" w:eastAsia="Times New Roman" w:hAnsi="Times New Roman" w:cs="Times New Roman"/>
          <w:sz w:val="24"/>
          <w:szCs w:val="24"/>
          <w:lang w:val="en-US"/>
        </w:rPr>
      </w:pPr>
      <w:r w:rsidRPr="00CD0550">
        <w:rPr>
          <w:b/>
          <w:lang w:val="en-US"/>
        </w:rPr>
        <w:t xml:space="preserve">Contact: </w:t>
      </w:r>
      <w:r w:rsidRPr="00CD0550">
        <w:rPr>
          <w:color w:val="1155CC"/>
          <w:u w:val="single"/>
          <w:lang w:val="en-US"/>
        </w:rPr>
        <w:t>https://campanha.org.br/</w:t>
      </w:r>
    </w:p>
    <w:p w14:paraId="38FC6DCD" w14:textId="77777777" w:rsidR="001A1B85" w:rsidRPr="00CD0550" w:rsidRDefault="00000000">
      <w:pPr>
        <w:spacing w:before="200"/>
        <w:ind w:firstLine="720"/>
        <w:jc w:val="both"/>
        <w:rPr>
          <w:rFonts w:ascii="Times New Roman" w:eastAsia="Times New Roman" w:hAnsi="Times New Roman" w:cs="Times New Roman"/>
          <w:sz w:val="24"/>
          <w:szCs w:val="24"/>
          <w:highlight w:val="white"/>
          <w:lang w:val="en-US"/>
        </w:rPr>
      </w:pPr>
      <w:r w:rsidRPr="00CD0550">
        <w:rPr>
          <w:rFonts w:ascii="Times New Roman" w:eastAsia="Times New Roman" w:hAnsi="Times New Roman" w:cs="Times New Roman"/>
          <w:sz w:val="24"/>
          <w:szCs w:val="24"/>
          <w:lang w:val="en-US"/>
        </w:rPr>
        <w:t xml:space="preserve">The </w:t>
      </w:r>
      <w:r w:rsidRPr="00CD0550">
        <w:rPr>
          <w:rFonts w:ascii="Times New Roman" w:eastAsia="Times New Roman" w:hAnsi="Times New Roman" w:cs="Times New Roman"/>
          <w:b/>
          <w:sz w:val="24"/>
          <w:szCs w:val="24"/>
          <w:u w:val="single"/>
          <w:lang w:val="en-US"/>
        </w:rPr>
        <w:t>Institute for Development and Human Rights</w:t>
      </w:r>
      <w:hyperlink r:id="rId8">
        <w:r w:rsidRPr="00CD0550">
          <w:rPr>
            <w:rFonts w:ascii="Times New Roman" w:eastAsia="Times New Roman" w:hAnsi="Times New Roman" w:cs="Times New Roman"/>
            <w:b/>
            <w:sz w:val="24"/>
            <w:szCs w:val="24"/>
            <w:u w:val="single"/>
            <w:lang w:val="en-US"/>
          </w:rPr>
          <w:t xml:space="preserve"> - IDDH</w:t>
        </w:r>
      </w:hyperlink>
      <w:r w:rsidRPr="00CD0550">
        <w:rPr>
          <w:rFonts w:ascii="Times New Roman" w:eastAsia="Times New Roman" w:hAnsi="Times New Roman" w:cs="Times New Roman"/>
          <w:sz w:val="24"/>
          <w:szCs w:val="24"/>
          <w:lang w:val="en-US"/>
        </w:rPr>
        <w:t xml:space="preserve"> is a Brazilian CSO that, since 2004, has worked to strengthen democracy in Brazil and Latin America through international action on human rights. IDDH believes that democracy is strengthened through human rights education (HRE), an essential component of the human right to education. It currently has a program aimed at: a) Civil society at the UN; </w:t>
      </w:r>
      <w:proofErr w:type="gramStart"/>
      <w:r w:rsidRPr="00CD0550">
        <w:rPr>
          <w:rFonts w:ascii="Times New Roman" w:eastAsia="Times New Roman" w:hAnsi="Times New Roman" w:cs="Times New Roman"/>
          <w:sz w:val="24"/>
          <w:szCs w:val="24"/>
          <w:lang w:val="en-US"/>
        </w:rPr>
        <w:t>and,</w:t>
      </w:r>
      <w:proofErr w:type="gramEnd"/>
      <w:r w:rsidRPr="00CD0550">
        <w:rPr>
          <w:rFonts w:ascii="Times New Roman" w:eastAsia="Times New Roman" w:hAnsi="Times New Roman" w:cs="Times New Roman"/>
          <w:sz w:val="24"/>
          <w:szCs w:val="24"/>
          <w:lang w:val="en-US"/>
        </w:rPr>
        <w:t xml:space="preserve"> b) Youth at the UN. </w:t>
      </w:r>
      <w:r w:rsidRPr="00CD0550">
        <w:rPr>
          <w:rFonts w:ascii="Times New Roman" w:eastAsia="Times New Roman" w:hAnsi="Times New Roman" w:cs="Times New Roman"/>
          <w:sz w:val="24"/>
          <w:szCs w:val="24"/>
          <w:highlight w:val="white"/>
          <w:lang w:val="en-US"/>
        </w:rPr>
        <w:t xml:space="preserve">IDDH has consultative status with the ECOSOC since </w:t>
      </w:r>
      <w:proofErr w:type="gramStart"/>
      <w:r w:rsidRPr="00CD0550">
        <w:rPr>
          <w:rFonts w:ascii="Times New Roman" w:eastAsia="Times New Roman" w:hAnsi="Times New Roman" w:cs="Times New Roman"/>
          <w:sz w:val="24"/>
          <w:szCs w:val="24"/>
          <w:highlight w:val="white"/>
          <w:lang w:val="en-US"/>
        </w:rPr>
        <w:t>2016, and</w:t>
      </w:r>
      <w:proofErr w:type="gramEnd"/>
      <w:r w:rsidRPr="00CD0550">
        <w:rPr>
          <w:rFonts w:ascii="Times New Roman" w:eastAsia="Times New Roman" w:hAnsi="Times New Roman" w:cs="Times New Roman"/>
          <w:sz w:val="24"/>
          <w:szCs w:val="24"/>
          <w:highlight w:val="white"/>
          <w:lang w:val="en-US"/>
        </w:rPr>
        <w:t xml:space="preserve"> is also a member of the NGO Working Group for Human Rights Education and Learning of the United Nations (WG on HREL).</w:t>
      </w:r>
    </w:p>
    <w:p w14:paraId="470D2910" w14:textId="77777777" w:rsidR="001A1B85" w:rsidRDefault="00000000">
      <w:pPr>
        <w:rPr>
          <w:rFonts w:ascii="Times New Roman" w:eastAsia="Times New Roman" w:hAnsi="Times New Roman" w:cs="Times New Roman"/>
          <w:sz w:val="24"/>
          <w:szCs w:val="24"/>
        </w:rPr>
      </w:pPr>
      <w:r>
        <w:rPr>
          <w:b/>
        </w:rPr>
        <w:t>Contact:</w:t>
      </w:r>
      <w:r>
        <w:t xml:space="preserve"> </w:t>
      </w:r>
      <w:hyperlink r:id="rId9">
        <w:r>
          <w:rPr>
            <w:color w:val="1155CC"/>
            <w:u w:val="single"/>
          </w:rPr>
          <w:t>www.iddh.org.br</w:t>
        </w:r>
      </w:hyperlink>
      <w:r>
        <w:br w:type="page"/>
      </w:r>
    </w:p>
    <w:p w14:paraId="5EED319D" w14:textId="77777777" w:rsidR="001A1B85" w:rsidRDefault="001A1B85">
      <w:pPr>
        <w:spacing w:before="200"/>
        <w:jc w:val="both"/>
        <w:rPr>
          <w:rFonts w:ascii="Times New Roman" w:eastAsia="Times New Roman" w:hAnsi="Times New Roman" w:cs="Times New Roman"/>
          <w:sz w:val="24"/>
          <w:szCs w:val="24"/>
        </w:rPr>
      </w:pPr>
    </w:p>
    <w:p w14:paraId="4C9535F7" w14:textId="7F6924FB" w:rsidR="001A1B85" w:rsidRPr="00CD0550" w:rsidRDefault="00000000">
      <w:pPr>
        <w:spacing w:before="200"/>
        <w:jc w:val="center"/>
        <w:rPr>
          <w:rFonts w:ascii="Times New Roman" w:eastAsia="Times New Roman" w:hAnsi="Times New Roman" w:cs="Times New Roman"/>
          <w:b/>
          <w:sz w:val="24"/>
          <w:szCs w:val="24"/>
          <w:lang w:val="fr-FR"/>
        </w:rPr>
      </w:pPr>
      <w:r w:rsidRPr="00CD0550">
        <w:rPr>
          <w:rFonts w:ascii="Times New Roman" w:eastAsia="Times New Roman" w:hAnsi="Times New Roman" w:cs="Times New Roman"/>
          <w:b/>
          <w:sz w:val="24"/>
          <w:szCs w:val="24"/>
          <w:lang w:val="fr-FR"/>
        </w:rPr>
        <w:t>INPUTS: BRAZIL’S SCENARIO</w:t>
      </w:r>
      <w:r w:rsidR="00CD0550" w:rsidRPr="00CD0550">
        <w:rPr>
          <w:rFonts w:ascii="Times New Roman" w:eastAsia="Times New Roman" w:hAnsi="Times New Roman" w:cs="Times New Roman"/>
          <w:b/>
          <w:sz w:val="24"/>
          <w:szCs w:val="24"/>
          <w:lang w:val="fr-FR"/>
        </w:rPr>
        <w:t xml:space="preserve"> – ARTICLE 10, P</w:t>
      </w:r>
      <w:r w:rsidR="00CD0550">
        <w:rPr>
          <w:rFonts w:ascii="Times New Roman" w:eastAsia="Times New Roman" w:hAnsi="Times New Roman" w:cs="Times New Roman"/>
          <w:b/>
          <w:sz w:val="24"/>
          <w:szCs w:val="24"/>
          <w:lang w:val="fr-FR"/>
        </w:rPr>
        <w:t xml:space="preserve">ART III </w:t>
      </w:r>
      <w:r w:rsidR="00AA3E7E">
        <w:rPr>
          <w:rFonts w:ascii="Times New Roman" w:eastAsia="Times New Roman" w:hAnsi="Times New Roman" w:cs="Times New Roman"/>
          <w:b/>
          <w:sz w:val="24"/>
          <w:szCs w:val="24"/>
          <w:lang w:val="fr-FR"/>
        </w:rPr>
        <w:t>–</w:t>
      </w:r>
      <w:r w:rsidR="00CD0550">
        <w:rPr>
          <w:rFonts w:ascii="Times New Roman" w:eastAsia="Times New Roman" w:hAnsi="Times New Roman" w:cs="Times New Roman"/>
          <w:b/>
          <w:sz w:val="24"/>
          <w:szCs w:val="24"/>
          <w:lang w:val="fr-FR"/>
        </w:rPr>
        <w:t xml:space="preserve"> EDUCATION</w:t>
      </w:r>
      <w:r w:rsidR="00AA3E7E">
        <w:rPr>
          <w:rFonts w:ascii="Times New Roman" w:eastAsia="Times New Roman" w:hAnsi="Times New Roman" w:cs="Times New Roman"/>
          <w:b/>
          <w:sz w:val="24"/>
          <w:szCs w:val="24"/>
          <w:lang w:val="fr-FR"/>
        </w:rPr>
        <w:t xml:space="preserve"> </w:t>
      </w:r>
    </w:p>
    <w:p w14:paraId="13442E15" w14:textId="77777777" w:rsidR="001A1B85" w:rsidRDefault="00000000">
      <w:pPr>
        <w:spacing w:before="200"/>
        <w:ind w:firstLine="720"/>
        <w:jc w:val="both"/>
        <w:rPr>
          <w:rFonts w:ascii="Times New Roman" w:eastAsia="Times New Roman" w:hAnsi="Times New Roman" w:cs="Times New Roman"/>
          <w:sz w:val="24"/>
          <w:szCs w:val="24"/>
        </w:rPr>
      </w:pPr>
      <w:r w:rsidRPr="00CD0550">
        <w:rPr>
          <w:rFonts w:ascii="Times New Roman" w:eastAsia="Times New Roman" w:hAnsi="Times New Roman" w:cs="Times New Roman"/>
          <w:sz w:val="24"/>
          <w:szCs w:val="24"/>
          <w:lang w:val="en-US"/>
        </w:rPr>
        <w:t xml:space="preserve">In the field of education, failures in funding social policies and protecting workers exacerbate educational inequalities in Brazil, particularly affecting historically marginalized population groups, such as women and girls, especially those who are Black. </w:t>
      </w:r>
      <w:proofErr w:type="spellStart"/>
      <w:r>
        <w:rPr>
          <w:rFonts w:ascii="Times New Roman" w:eastAsia="Times New Roman" w:hAnsi="Times New Roman" w:cs="Times New Roman"/>
          <w:sz w:val="24"/>
          <w:szCs w:val="24"/>
        </w:rPr>
        <w:t>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affects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students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education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professionals</w:t>
      </w:r>
      <w:proofErr w:type="spellEnd"/>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w:t>
      </w:r>
    </w:p>
    <w:p w14:paraId="39A89DF1" w14:textId="77777777" w:rsidR="001A1B85" w:rsidRPr="00CD0550" w:rsidRDefault="00000000">
      <w:pPr>
        <w:numPr>
          <w:ilvl w:val="0"/>
          <w:numId w:val="1"/>
        </w:numPr>
        <w:spacing w:before="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Policies of labor flexibilization tend to predominantly affect women, and even more so, Black women, because women's remuneration, both in the public sector and in the private sector, is still lower than that of men. This makes them more susceptible to occupying precarious jobs. Additionally, men hold high-level positions that are, therefore, better paid and protected from </w:t>
      </w:r>
      <w:proofErr w:type="gramStart"/>
      <w:r w:rsidRPr="00CD0550">
        <w:rPr>
          <w:rFonts w:ascii="Times New Roman" w:eastAsia="Times New Roman" w:hAnsi="Times New Roman" w:cs="Times New Roman"/>
          <w:sz w:val="24"/>
          <w:szCs w:val="24"/>
          <w:lang w:val="en-US"/>
        </w:rPr>
        <w:t>precarity;</w:t>
      </w:r>
      <w:proofErr w:type="gramEnd"/>
    </w:p>
    <w:p w14:paraId="14BFF6E0" w14:textId="77777777" w:rsidR="001A1B85" w:rsidRPr="00CD0550" w:rsidRDefault="00000000">
      <w:pPr>
        <w:numPr>
          <w:ilvl w:val="0"/>
          <w:numId w:val="1"/>
        </w:numPr>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Due to their predominance in the field, female education workers face greater risks amid the growing </w:t>
      </w:r>
      <w:proofErr w:type="spellStart"/>
      <w:r w:rsidRPr="00CD0550">
        <w:rPr>
          <w:rFonts w:ascii="Times New Roman" w:eastAsia="Times New Roman" w:hAnsi="Times New Roman" w:cs="Times New Roman"/>
          <w:sz w:val="24"/>
          <w:szCs w:val="24"/>
          <w:lang w:val="en-US"/>
        </w:rPr>
        <w:t>precarization</w:t>
      </w:r>
      <w:proofErr w:type="spellEnd"/>
      <w:r w:rsidRPr="00CD0550">
        <w:rPr>
          <w:rFonts w:ascii="Times New Roman" w:eastAsia="Times New Roman" w:hAnsi="Times New Roman" w:cs="Times New Roman"/>
          <w:sz w:val="24"/>
          <w:szCs w:val="24"/>
          <w:lang w:val="en-US"/>
        </w:rPr>
        <w:t xml:space="preserve"> of work, especially considering the historical wage disparities and career progression gaps compared to their male counterparts. This scenario is even more concerning for Black female workers, who face an even more vulnerable situation in this context. The indiscriminate advancement of technology replacing education professionals further exacerbates the </w:t>
      </w:r>
      <w:proofErr w:type="gramStart"/>
      <w:r w:rsidRPr="00CD0550">
        <w:rPr>
          <w:rFonts w:ascii="Times New Roman" w:eastAsia="Times New Roman" w:hAnsi="Times New Roman" w:cs="Times New Roman"/>
          <w:sz w:val="24"/>
          <w:szCs w:val="24"/>
          <w:lang w:val="en-US"/>
        </w:rPr>
        <w:t>situation;</w:t>
      </w:r>
      <w:proofErr w:type="gramEnd"/>
    </w:p>
    <w:p w14:paraId="236EBE6D" w14:textId="77777777" w:rsidR="001A1B85" w:rsidRPr="00CD0550" w:rsidRDefault="00000000">
      <w:pPr>
        <w:numPr>
          <w:ilvl w:val="0"/>
          <w:numId w:val="1"/>
        </w:numPr>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The non-compliance with the National Education Plan (2014-2024) and the ongoing threats to public education funding in Brazil, in the face of the private sector's </w:t>
      </w:r>
      <w:proofErr w:type="spellStart"/>
      <w:r w:rsidRPr="00CD0550">
        <w:rPr>
          <w:rFonts w:ascii="Times New Roman" w:eastAsia="Times New Roman" w:hAnsi="Times New Roman" w:cs="Times New Roman"/>
          <w:sz w:val="24"/>
          <w:szCs w:val="24"/>
          <w:lang w:val="en-US"/>
        </w:rPr>
        <w:t>privatist</w:t>
      </w:r>
      <w:proofErr w:type="spellEnd"/>
      <w:r w:rsidRPr="00CD0550">
        <w:rPr>
          <w:rFonts w:ascii="Times New Roman" w:eastAsia="Times New Roman" w:hAnsi="Times New Roman" w:cs="Times New Roman"/>
          <w:sz w:val="24"/>
          <w:szCs w:val="24"/>
          <w:lang w:val="en-US"/>
        </w:rPr>
        <w:t xml:space="preserve"> interests, pose a considerable risk to ensuring the right to education, especially for Black students. These failures compromise not only access but also the quality and equity of education, further exacerbating existing inequalities.</w:t>
      </w:r>
    </w:p>
    <w:p w14:paraId="6A8C2746" w14:textId="77777777" w:rsidR="001A1B85" w:rsidRPr="00CD0550" w:rsidRDefault="00000000">
      <w:pPr>
        <w:spacing w:before="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Overall, the teaching profession, which is predominantly female, is undervalued in Brazil. In 2022, the average income of teachers with a completed higher education was 82.2% of the average income of other professionals with the same level of education. However, the average income of male teachers was 91%, while for female teachers, it was 80% of the average income of other professionals with the same level of education</w:t>
      </w:r>
      <w:r>
        <w:rPr>
          <w:rFonts w:ascii="Times New Roman" w:eastAsia="Times New Roman" w:hAnsi="Times New Roman" w:cs="Times New Roman"/>
          <w:sz w:val="24"/>
          <w:szCs w:val="24"/>
          <w:vertAlign w:val="superscript"/>
        </w:rPr>
        <w:footnoteReference w:id="2"/>
      </w:r>
      <w:r w:rsidRPr="00CD0550">
        <w:rPr>
          <w:rFonts w:ascii="Times New Roman" w:eastAsia="Times New Roman" w:hAnsi="Times New Roman" w:cs="Times New Roman"/>
          <w:sz w:val="24"/>
          <w:szCs w:val="24"/>
          <w:lang w:val="en-US"/>
        </w:rPr>
        <w:t>.</w:t>
      </w:r>
    </w:p>
    <w:p w14:paraId="1DCB93CE" w14:textId="77777777" w:rsidR="001A1B85" w:rsidRPr="00CD0550" w:rsidRDefault="00000000">
      <w:pPr>
        <w:spacing w:before="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When fundamental education goals are not met, women and girls, especially those of Black origin, experience an even more severe impact. They are more likely to be excluded from accessing basic services, missing out on job opportunities, and taking on a disproportionate share of caregiving responsibilities, which intensifies when public services fail. Institutional barriers such as workplace discrimination, an unequal division of unpaid caregiving and </w:t>
      </w:r>
      <w:r w:rsidRPr="00CD0550">
        <w:rPr>
          <w:rFonts w:ascii="Times New Roman" w:eastAsia="Times New Roman" w:hAnsi="Times New Roman" w:cs="Times New Roman"/>
          <w:sz w:val="24"/>
          <w:szCs w:val="24"/>
          <w:lang w:val="en-US"/>
        </w:rPr>
        <w:lastRenderedPageBreak/>
        <w:t>household responsibilities, and a lack of decent job opportunities are some variables that complicate the transition from school to the labor market for young women</w:t>
      </w:r>
      <w:r>
        <w:rPr>
          <w:rFonts w:ascii="Times New Roman" w:eastAsia="Times New Roman" w:hAnsi="Times New Roman" w:cs="Times New Roman"/>
          <w:sz w:val="24"/>
          <w:szCs w:val="24"/>
          <w:vertAlign w:val="superscript"/>
        </w:rPr>
        <w:footnoteReference w:id="3"/>
      </w:r>
      <w:r w:rsidRPr="00CD0550">
        <w:rPr>
          <w:rFonts w:ascii="Times New Roman" w:eastAsia="Times New Roman" w:hAnsi="Times New Roman" w:cs="Times New Roman"/>
          <w:sz w:val="24"/>
          <w:szCs w:val="24"/>
          <w:lang w:val="en-US"/>
        </w:rPr>
        <w:t>.</w:t>
      </w:r>
    </w:p>
    <w:p w14:paraId="25F2047A" w14:textId="77777777" w:rsidR="001A1B85" w:rsidRPr="00CD0550" w:rsidRDefault="00000000">
      <w:pPr>
        <w:spacing w:before="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In 2023, out of the 48.5 million Brazilians aged between 15 and 29, 15.3% were both employed and studying, 19.8% were neither employed nor studying, 25.5% were not employed but studying, and 39.4% were employed but not studying</w:t>
      </w:r>
      <w:r>
        <w:rPr>
          <w:rFonts w:ascii="Times New Roman" w:eastAsia="Times New Roman" w:hAnsi="Times New Roman" w:cs="Times New Roman"/>
          <w:sz w:val="24"/>
          <w:szCs w:val="24"/>
          <w:vertAlign w:val="superscript"/>
        </w:rPr>
        <w:footnoteReference w:id="4"/>
      </w:r>
      <w:r w:rsidRPr="00CD0550">
        <w:rPr>
          <w:rFonts w:ascii="Times New Roman" w:eastAsia="Times New Roman" w:hAnsi="Times New Roman" w:cs="Times New Roman"/>
          <w:sz w:val="24"/>
          <w:szCs w:val="24"/>
          <w:lang w:val="en-US"/>
        </w:rPr>
        <w:t>. However, about 25.6% of women were neither employed, studying, nor qualifying, while for men, this number was 14.2%. The proportion of solely working men (47.3%) was higher than that of women (31.3%). Among whites, 18.4% were both working and studying, whereas among blacks, this number was 13.2%. On the other hand, the percentage of blacks who were neither studying nor employed (22.4%) was higher than that of whites (15.8%)</w:t>
      </w:r>
      <w:r>
        <w:rPr>
          <w:rFonts w:ascii="Times New Roman" w:eastAsia="Times New Roman" w:hAnsi="Times New Roman" w:cs="Times New Roman"/>
          <w:sz w:val="24"/>
          <w:szCs w:val="24"/>
          <w:vertAlign w:val="superscript"/>
        </w:rPr>
        <w:footnoteReference w:id="5"/>
      </w:r>
      <w:r w:rsidRPr="00CD0550">
        <w:rPr>
          <w:rFonts w:ascii="Times New Roman" w:eastAsia="Times New Roman" w:hAnsi="Times New Roman" w:cs="Times New Roman"/>
          <w:sz w:val="24"/>
          <w:szCs w:val="24"/>
          <w:lang w:val="en-US"/>
        </w:rPr>
        <w:t xml:space="preserve">. </w:t>
      </w:r>
    </w:p>
    <w:p w14:paraId="50A29077" w14:textId="77777777" w:rsidR="001A1B85" w:rsidRPr="00CD0550" w:rsidRDefault="00000000">
      <w:pPr>
        <w:spacing w:before="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In the age group of 14 to 29 years, 3.8 million women did not complete high school, either because they dropped out before completing this stage or because they never attended school. In general, the highest dropout rates were observed from the age of 16, reaching 21.1% at 18 years old, an age that also recorded the largest increase since 2019, with an increase of 5.4 percentage points. It is noteworthy that at the age of 15, commonly associated with the beginning of high school, the percentage of young people who dropped out of school (12.6%) almost doubled compared to 14 years of age (6.6%), highlighting a significant change during this crucial period of educational transition</w:t>
      </w:r>
      <w:r>
        <w:rPr>
          <w:rFonts w:ascii="Times New Roman" w:eastAsia="Times New Roman" w:hAnsi="Times New Roman" w:cs="Times New Roman"/>
          <w:sz w:val="24"/>
          <w:szCs w:val="24"/>
          <w:vertAlign w:val="superscript"/>
        </w:rPr>
        <w:footnoteReference w:id="6"/>
      </w:r>
      <w:r w:rsidRPr="00CD0550">
        <w:rPr>
          <w:rFonts w:ascii="Times New Roman" w:eastAsia="Times New Roman" w:hAnsi="Times New Roman" w:cs="Times New Roman"/>
          <w:sz w:val="24"/>
          <w:szCs w:val="24"/>
          <w:lang w:val="en-US"/>
        </w:rPr>
        <w:t>.</w:t>
      </w:r>
    </w:p>
    <w:p w14:paraId="078CFE66" w14:textId="77777777" w:rsidR="001A1B85" w:rsidRPr="00CD0550" w:rsidRDefault="00000000">
      <w:pPr>
        <w:spacing w:before="200" w:after="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In 2023, 41.7% of young people aged 14 to 29 with education below high school level cited the need to work as the main reason for dropping out or never attending school, an increase of 1.5 percentage points compared to 2022. Among men in this age group, 53.4% mentioned the need to work as the reason for leaving school, followed by lack of interest in studying (25.5%). For women, the main reason was also the need to work (25.5%), followed by pregnancy (23.1%) and lack of interest in studying (20.7%). Additionally, for 9.5% of women, household chores or caregiving were the main reasons for not attending school, while for men, this percentage was low (0.8%)</w:t>
      </w:r>
      <w:r>
        <w:rPr>
          <w:rFonts w:ascii="Times New Roman" w:eastAsia="Times New Roman" w:hAnsi="Times New Roman" w:cs="Times New Roman"/>
          <w:sz w:val="24"/>
          <w:szCs w:val="24"/>
          <w:vertAlign w:val="superscript"/>
        </w:rPr>
        <w:footnoteReference w:id="7"/>
      </w:r>
      <w:r w:rsidRPr="00CD0550">
        <w:rPr>
          <w:rFonts w:ascii="Times New Roman" w:eastAsia="Times New Roman" w:hAnsi="Times New Roman" w:cs="Times New Roman"/>
          <w:sz w:val="24"/>
          <w:szCs w:val="24"/>
          <w:lang w:val="en-US"/>
        </w:rPr>
        <w:t xml:space="preserve">. </w:t>
      </w:r>
    </w:p>
    <w:p w14:paraId="47084860" w14:textId="77777777" w:rsidR="001A1B85" w:rsidRPr="00CD0550" w:rsidRDefault="00000000">
      <w:pPr>
        <w:spacing w:before="200" w:after="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lastRenderedPageBreak/>
        <w:t xml:space="preserve">Regarding the schooling of individuals aged 18 to 24, the enrollment rate was 30.5%, </w:t>
      </w:r>
      <w:proofErr w:type="gramStart"/>
      <w:r w:rsidRPr="00CD0550">
        <w:rPr>
          <w:rFonts w:ascii="Times New Roman" w:eastAsia="Times New Roman" w:hAnsi="Times New Roman" w:cs="Times New Roman"/>
          <w:sz w:val="24"/>
          <w:szCs w:val="24"/>
          <w:lang w:val="en-US"/>
        </w:rPr>
        <w:t>similar to</w:t>
      </w:r>
      <w:proofErr w:type="gramEnd"/>
      <w:r w:rsidRPr="00CD0550">
        <w:rPr>
          <w:rFonts w:ascii="Times New Roman" w:eastAsia="Times New Roman" w:hAnsi="Times New Roman" w:cs="Times New Roman"/>
          <w:sz w:val="24"/>
          <w:szCs w:val="24"/>
          <w:lang w:val="en-US"/>
        </w:rPr>
        <w:t xml:space="preserve"> that of 2022. Of these, 21.6% were enrolled in higher education, while 8.9% were behind in basic education. Only 4.3% had completed higher education, and 65.2% were not attending school and higher education yet to complete. Among blacks or browns in this age group, 26.5% were studying, with only 16.4% enrolled in higher education, whereas among whites, this number was 6.5%. In 2023, the dropout rate without completing higher education was 57.0% for whites and 70.6% for blacks or browns. Of the whites, 36.5% were studying, and 29.5% were in higher education</w:t>
      </w:r>
      <w:r>
        <w:rPr>
          <w:rFonts w:ascii="Times New Roman" w:eastAsia="Times New Roman" w:hAnsi="Times New Roman" w:cs="Times New Roman"/>
          <w:sz w:val="24"/>
          <w:szCs w:val="24"/>
          <w:vertAlign w:val="superscript"/>
        </w:rPr>
        <w:footnoteReference w:id="8"/>
      </w:r>
      <w:r w:rsidRPr="00CD0550">
        <w:rPr>
          <w:rFonts w:ascii="Times New Roman" w:eastAsia="Times New Roman" w:hAnsi="Times New Roman" w:cs="Times New Roman"/>
          <w:sz w:val="24"/>
          <w:szCs w:val="24"/>
          <w:lang w:val="en-US"/>
        </w:rPr>
        <w:t xml:space="preserve">. </w:t>
      </w:r>
    </w:p>
    <w:p w14:paraId="23CD62FE" w14:textId="77777777" w:rsidR="001A1B85" w:rsidRPr="00CD0550" w:rsidRDefault="00000000">
      <w:pPr>
        <w:spacing w:before="200" w:after="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A report made by Plan International</w:t>
      </w:r>
      <w:r>
        <w:rPr>
          <w:rFonts w:ascii="Times New Roman" w:eastAsia="Times New Roman" w:hAnsi="Times New Roman" w:cs="Times New Roman"/>
          <w:sz w:val="24"/>
          <w:szCs w:val="24"/>
          <w:vertAlign w:val="superscript"/>
        </w:rPr>
        <w:footnoteReference w:id="9"/>
      </w:r>
      <w:r w:rsidRPr="00CD0550">
        <w:rPr>
          <w:rFonts w:ascii="Times New Roman" w:eastAsia="Times New Roman" w:hAnsi="Times New Roman" w:cs="Times New Roman"/>
          <w:sz w:val="24"/>
          <w:szCs w:val="24"/>
          <w:lang w:val="en-US"/>
        </w:rPr>
        <w:t xml:space="preserve"> identifies that families aspire for the girls to finish high school and, in more than half of cases, attend university – in 2018 seven out of nine parents in Brazil indicate that they plan for their daughters to progress to higher education. The main problem faced by several Brazilian families is that the access to quality education remains low, especially in areas with limited school access, inadequate household resources, and insufficient nutrition. There is inequitable access for students from low-income households, minorities, and with illiterate parents. These environments often face unsafe school conditions and teacher shortages or extended absences.</w:t>
      </w:r>
    </w:p>
    <w:p w14:paraId="195B7521" w14:textId="77777777" w:rsidR="001A1B85" w:rsidRPr="00CD0550" w:rsidRDefault="00000000">
      <w:pPr>
        <w:spacing w:before="200" w:after="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Beyond the issue of underfunding, girls' education in Brazil is also threatened by conservative political movements. The "Escola </w:t>
      </w:r>
      <w:proofErr w:type="spellStart"/>
      <w:r w:rsidRPr="00CD0550">
        <w:rPr>
          <w:rFonts w:ascii="Times New Roman" w:eastAsia="Times New Roman" w:hAnsi="Times New Roman" w:cs="Times New Roman"/>
          <w:sz w:val="24"/>
          <w:szCs w:val="24"/>
          <w:lang w:val="en-US"/>
        </w:rPr>
        <w:t>sem</w:t>
      </w:r>
      <w:proofErr w:type="spellEnd"/>
      <w:r w:rsidRPr="00CD0550">
        <w:rPr>
          <w:rFonts w:ascii="Times New Roman" w:eastAsia="Times New Roman" w:hAnsi="Times New Roman" w:cs="Times New Roman"/>
          <w:sz w:val="24"/>
          <w:szCs w:val="24"/>
          <w:lang w:val="en-US"/>
        </w:rPr>
        <w:t xml:space="preserve"> Partido" (School without Party) movement, initiated by São Paulo State prosecutor Miguel Nagib in 2004, sought to coordinate institutions, families, and conservative politicians to restrict academic autonomy, alleging that teachers were promoting left-wing ideological indoctrination.</w:t>
      </w:r>
    </w:p>
    <w:p w14:paraId="64A93812" w14:textId="77777777" w:rsidR="001A1B85" w:rsidRPr="00CD0550" w:rsidRDefault="00000000">
      <w:pPr>
        <w:spacing w:before="200" w:after="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In 2014, the School Without Party movement gained momentum and spread nationwide, pushing for increased oversight of pedagogical practices ostensibly to shield children from perceived left-wing ideological indoctrination and "gender ideology." This resulted in proposed legislation colloquially known as the "Gag Law," purportedly advocating for educational neutrality devoid of political content. However, </w:t>
      </w:r>
      <w:proofErr w:type="gramStart"/>
      <w:r w:rsidRPr="00CD0550">
        <w:rPr>
          <w:rFonts w:ascii="Times New Roman" w:eastAsia="Times New Roman" w:hAnsi="Times New Roman" w:cs="Times New Roman"/>
          <w:sz w:val="24"/>
          <w:szCs w:val="24"/>
          <w:lang w:val="en-US"/>
        </w:rPr>
        <w:t>in reality, these</w:t>
      </w:r>
      <w:proofErr w:type="gramEnd"/>
      <w:r w:rsidRPr="00CD0550">
        <w:rPr>
          <w:rFonts w:ascii="Times New Roman" w:eastAsia="Times New Roman" w:hAnsi="Times New Roman" w:cs="Times New Roman"/>
          <w:sz w:val="24"/>
          <w:szCs w:val="24"/>
          <w:lang w:val="en-US"/>
        </w:rPr>
        <w:t xml:space="preserve"> proposals sought to enforce a conservative and religiously guided education system. Despite the dissolution of the "Escola </w:t>
      </w:r>
      <w:proofErr w:type="spellStart"/>
      <w:r w:rsidRPr="00CD0550">
        <w:rPr>
          <w:rFonts w:ascii="Times New Roman" w:eastAsia="Times New Roman" w:hAnsi="Times New Roman" w:cs="Times New Roman"/>
          <w:sz w:val="24"/>
          <w:szCs w:val="24"/>
          <w:lang w:val="en-US"/>
        </w:rPr>
        <w:t>sem</w:t>
      </w:r>
      <w:proofErr w:type="spellEnd"/>
      <w:r w:rsidRPr="00CD0550">
        <w:rPr>
          <w:rFonts w:ascii="Times New Roman" w:eastAsia="Times New Roman" w:hAnsi="Times New Roman" w:cs="Times New Roman"/>
          <w:sz w:val="24"/>
          <w:szCs w:val="24"/>
          <w:lang w:val="en-US"/>
        </w:rPr>
        <w:t xml:space="preserve"> Partido" movement in 2019, its influence continues to linger in society and among lawmakers in the National Congress and State Chambers. This has led to the introduction of several bills promoting censorship in schools and targeting education professionals, which remain relevant today</w:t>
      </w:r>
      <w:r>
        <w:rPr>
          <w:rFonts w:ascii="Times New Roman" w:eastAsia="Times New Roman" w:hAnsi="Times New Roman" w:cs="Times New Roman"/>
          <w:sz w:val="24"/>
          <w:szCs w:val="24"/>
          <w:vertAlign w:val="superscript"/>
        </w:rPr>
        <w:footnoteReference w:id="10"/>
      </w:r>
      <w:r w:rsidRPr="00CD0550">
        <w:rPr>
          <w:rFonts w:ascii="Times New Roman" w:eastAsia="Times New Roman" w:hAnsi="Times New Roman" w:cs="Times New Roman"/>
          <w:sz w:val="24"/>
          <w:szCs w:val="24"/>
          <w:lang w:val="en-US"/>
        </w:rPr>
        <w:t>.</w:t>
      </w:r>
    </w:p>
    <w:p w14:paraId="4AD8F683" w14:textId="77777777" w:rsidR="001A1B85" w:rsidRPr="00CD0550" w:rsidRDefault="00000000">
      <w:pPr>
        <w:spacing w:before="200" w:after="200"/>
        <w:ind w:firstLine="72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Various civil society organizations, including BCRE and IDDH, condemned this initiative before the UN Special Rapporteurs on the Right to Education and on the Promotion </w:t>
      </w:r>
      <w:r w:rsidRPr="00CD0550">
        <w:rPr>
          <w:rFonts w:ascii="Times New Roman" w:eastAsia="Times New Roman" w:hAnsi="Times New Roman" w:cs="Times New Roman"/>
          <w:sz w:val="24"/>
          <w:szCs w:val="24"/>
          <w:lang w:val="en-US"/>
        </w:rPr>
        <w:lastRenderedPageBreak/>
        <w:t>and Protection of the Right to Freedom of Opinion and Expression. We contended that the "Gag Law" encroached upon human rights, particularly freedom of expression and education, by curtailing schools' role in shaping students' viewpoints and prioritizing parental authority over moral, religious, and political education. Thanks to advocacy efforts and public outcry, the Supreme Court ultimately dismissed the "Gag Law."</w:t>
      </w:r>
    </w:p>
    <w:p w14:paraId="0075CF9E" w14:textId="77777777" w:rsidR="001A1B85" w:rsidRPr="00CD0550" w:rsidRDefault="001A1B85">
      <w:pPr>
        <w:spacing w:before="200" w:after="200"/>
        <w:jc w:val="both"/>
        <w:rPr>
          <w:rFonts w:ascii="Times New Roman" w:eastAsia="Times New Roman" w:hAnsi="Times New Roman" w:cs="Times New Roman"/>
          <w:sz w:val="24"/>
          <w:szCs w:val="24"/>
          <w:lang w:val="en-US"/>
        </w:rPr>
      </w:pPr>
    </w:p>
    <w:p w14:paraId="42AA9393" w14:textId="77777777" w:rsidR="001A1B85" w:rsidRPr="00CD0550" w:rsidRDefault="00000000">
      <w:pPr>
        <w:jc w:val="both"/>
        <w:rPr>
          <w:rFonts w:ascii="Times New Roman" w:eastAsia="Times New Roman" w:hAnsi="Times New Roman" w:cs="Times New Roman"/>
          <w:b/>
          <w:sz w:val="24"/>
          <w:szCs w:val="24"/>
          <w:lang w:val="en-US"/>
        </w:rPr>
      </w:pPr>
      <w:r w:rsidRPr="00CD0550">
        <w:rPr>
          <w:rFonts w:ascii="Times New Roman" w:eastAsia="Times New Roman" w:hAnsi="Times New Roman" w:cs="Times New Roman"/>
          <w:b/>
          <w:sz w:val="24"/>
          <w:szCs w:val="24"/>
          <w:lang w:val="en-US"/>
        </w:rPr>
        <w:t>RECOMMENDATIONS</w:t>
      </w:r>
    </w:p>
    <w:p w14:paraId="24EC4A91" w14:textId="77777777" w:rsidR="001A1B85" w:rsidRPr="00CD0550" w:rsidRDefault="00000000">
      <w:pPr>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Considering all that has been stated, we would like to suggest to CEDAW to recommend the Brazilian state the following:</w:t>
      </w:r>
    </w:p>
    <w:p w14:paraId="17F56BA7" w14:textId="77777777" w:rsidR="001A1B85" w:rsidRPr="00CD0550" w:rsidRDefault="001A1B85">
      <w:pPr>
        <w:jc w:val="both"/>
        <w:rPr>
          <w:rFonts w:ascii="Times New Roman" w:eastAsia="Times New Roman" w:hAnsi="Times New Roman" w:cs="Times New Roman"/>
          <w:b/>
          <w:sz w:val="24"/>
          <w:szCs w:val="24"/>
          <w:lang w:val="en-US"/>
        </w:rPr>
      </w:pPr>
    </w:p>
    <w:p w14:paraId="3D2FAA61"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1. Recognizes and promotes the </w:t>
      </w:r>
      <w:r w:rsidRPr="00CD0550">
        <w:rPr>
          <w:rFonts w:ascii="Times New Roman" w:eastAsia="Times New Roman" w:hAnsi="Times New Roman" w:cs="Times New Roman"/>
          <w:b/>
          <w:bCs/>
          <w:sz w:val="24"/>
          <w:szCs w:val="24"/>
          <w:lang w:val="en-US"/>
        </w:rPr>
        <w:t>pivotal role of education in promoting gender equity</w:t>
      </w:r>
      <w:r w:rsidRPr="00CD0550">
        <w:rPr>
          <w:rFonts w:ascii="Times New Roman" w:eastAsia="Times New Roman" w:hAnsi="Times New Roman" w:cs="Times New Roman"/>
          <w:sz w:val="24"/>
          <w:szCs w:val="24"/>
          <w:lang w:val="en-US"/>
        </w:rPr>
        <w:t xml:space="preserve">. Educational institutions possess the potential to instill new perspectives and attitudes, </w:t>
      </w:r>
      <w:r w:rsidRPr="00CD0550">
        <w:rPr>
          <w:rFonts w:ascii="Times New Roman" w:eastAsia="Times New Roman" w:hAnsi="Times New Roman" w:cs="Times New Roman"/>
          <w:b/>
          <w:bCs/>
          <w:sz w:val="24"/>
          <w:szCs w:val="24"/>
          <w:lang w:val="en-US"/>
        </w:rPr>
        <w:t>reshaping traditional gender norms and fostering enduring, sustainable transformations</w:t>
      </w:r>
      <w:r w:rsidRPr="00CD0550">
        <w:rPr>
          <w:rFonts w:ascii="Times New Roman" w:eastAsia="Times New Roman" w:hAnsi="Times New Roman" w:cs="Times New Roman"/>
          <w:sz w:val="24"/>
          <w:szCs w:val="24"/>
          <w:lang w:val="en-US"/>
        </w:rPr>
        <w:t>. Ensuring equal educational outcomes for all genders empowers individuals to pursue more fulfilling and prosperous lives. Moreover, offering scholarships and support for higher education or skill development programs is essential to mitigate gender disparities and promote equality.</w:t>
      </w:r>
    </w:p>
    <w:p w14:paraId="68A8145E"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2. That the Brazilian State follows the democratic and participatory deliberations of the </w:t>
      </w:r>
      <w:r w:rsidRPr="00CD0550">
        <w:rPr>
          <w:rFonts w:ascii="Times New Roman" w:eastAsia="Times New Roman" w:hAnsi="Times New Roman" w:cs="Times New Roman"/>
          <w:b/>
          <w:sz w:val="24"/>
          <w:szCs w:val="24"/>
          <w:lang w:val="en-US"/>
        </w:rPr>
        <w:t>2024 National Education Conference</w:t>
      </w:r>
      <w:r w:rsidRPr="00CD0550">
        <w:rPr>
          <w:rFonts w:ascii="Times New Roman" w:eastAsia="Times New Roman" w:hAnsi="Times New Roman" w:cs="Times New Roman"/>
          <w:sz w:val="24"/>
          <w:szCs w:val="24"/>
          <w:lang w:val="en-US"/>
        </w:rPr>
        <w:t>, which ensures national propositions organized by the educational community to address the challenges of education as advocated by national legislation, international treaties and SDG4, and recommendations from multilateral organizations and human rights monitoring spaces.</w:t>
      </w:r>
    </w:p>
    <w:p w14:paraId="13223EC8"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3. That the State take decisive actions to </w:t>
      </w:r>
      <w:r w:rsidRPr="00CD0550">
        <w:rPr>
          <w:rFonts w:ascii="Times New Roman" w:eastAsia="Times New Roman" w:hAnsi="Times New Roman" w:cs="Times New Roman"/>
          <w:b/>
          <w:sz w:val="24"/>
          <w:szCs w:val="24"/>
          <w:lang w:val="en-US"/>
        </w:rPr>
        <w:t>tackle the challenge of restricted access to basic education</w:t>
      </w:r>
      <w:r w:rsidRPr="00CD0550">
        <w:rPr>
          <w:rFonts w:ascii="Times New Roman" w:eastAsia="Times New Roman" w:hAnsi="Times New Roman" w:cs="Times New Roman"/>
          <w:sz w:val="24"/>
          <w:szCs w:val="24"/>
          <w:lang w:val="en-US"/>
        </w:rPr>
        <w:t xml:space="preserve">. This necessitates the establishment of </w:t>
      </w:r>
      <w:r w:rsidRPr="00CD0550">
        <w:rPr>
          <w:rFonts w:ascii="Times New Roman" w:eastAsia="Times New Roman" w:hAnsi="Times New Roman" w:cs="Times New Roman"/>
          <w:b/>
          <w:sz w:val="24"/>
          <w:szCs w:val="24"/>
          <w:lang w:val="en-US"/>
        </w:rPr>
        <w:t>robust state policies</w:t>
      </w:r>
      <w:r w:rsidRPr="00CD0550">
        <w:rPr>
          <w:rFonts w:ascii="Times New Roman" w:eastAsia="Times New Roman" w:hAnsi="Times New Roman" w:cs="Times New Roman"/>
          <w:sz w:val="24"/>
          <w:szCs w:val="24"/>
          <w:lang w:val="en-US"/>
        </w:rPr>
        <w:t xml:space="preserve">, a substantial </w:t>
      </w:r>
      <w:r w:rsidRPr="00CD0550">
        <w:rPr>
          <w:rFonts w:ascii="Times New Roman" w:eastAsia="Times New Roman" w:hAnsi="Times New Roman" w:cs="Times New Roman"/>
          <w:b/>
          <w:sz w:val="24"/>
          <w:szCs w:val="24"/>
          <w:lang w:val="en-US"/>
        </w:rPr>
        <w:t>increase in public funding</w:t>
      </w:r>
      <w:r w:rsidRPr="00CD0550">
        <w:rPr>
          <w:rFonts w:ascii="Times New Roman" w:eastAsia="Times New Roman" w:hAnsi="Times New Roman" w:cs="Times New Roman"/>
          <w:sz w:val="24"/>
          <w:szCs w:val="24"/>
          <w:lang w:val="en-US"/>
        </w:rPr>
        <w:t xml:space="preserve">, and implementing </w:t>
      </w:r>
      <w:r w:rsidRPr="00CD0550">
        <w:rPr>
          <w:rFonts w:ascii="Times New Roman" w:eastAsia="Times New Roman" w:hAnsi="Times New Roman" w:cs="Times New Roman"/>
          <w:b/>
          <w:sz w:val="24"/>
          <w:szCs w:val="24"/>
          <w:lang w:val="en-US"/>
        </w:rPr>
        <w:t>regulations governing the allocation of funds</w:t>
      </w:r>
      <w:r w:rsidRPr="00CD0550">
        <w:rPr>
          <w:rFonts w:ascii="Times New Roman" w:eastAsia="Times New Roman" w:hAnsi="Times New Roman" w:cs="Times New Roman"/>
          <w:sz w:val="24"/>
          <w:szCs w:val="24"/>
          <w:lang w:val="en-US"/>
        </w:rPr>
        <w:t>. This comprehensive approach should address crucial elements such as ensuring quality teaching, fostering continuity, promoting inclusion and equity, all managed through democratic processes that consider cultural and regional specificities, especially on traditional peoples and communities.</w:t>
      </w:r>
    </w:p>
    <w:p w14:paraId="23CF2FF6"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4. A </w:t>
      </w:r>
      <w:r w:rsidRPr="00CD0550">
        <w:rPr>
          <w:rFonts w:ascii="Times New Roman" w:eastAsia="Times New Roman" w:hAnsi="Times New Roman" w:cs="Times New Roman"/>
          <w:b/>
          <w:sz w:val="24"/>
          <w:szCs w:val="24"/>
          <w:lang w:val="en-US"/>
        </w:rPr>
        <w:t>substantial increase in funds allocated to the education sector to fortify public education</w:t>
      </w:r>
      <w:r w:rsidRPr="00CD0550">
        <w:rPr>
          <w:rFonts w:ascii="Times New Roman" w:eastAsia="Times New Roman" w:hAnsi="Times New Roman" w:cs="Times New Roman"/>
          <w:sz w:val="24"/>
          <w:szCs w:val="24"/>
          <w:lang w:val="en-US"/>
        </w:rPr>
        <w:t xml:space="preserve">, with a particular emphasis on prioritizing the implementation of the National Education Plan (PNE). In instances of resource scarcity, it is crucial that the State ensures allocations to public education institutions take precedence. </w:t>
      </w:r>
      <w:r w:rsidRPr="00CD0550">
        <w:rPr>
          <w:rFonts w:ascii="Times New Roman" w:eastAsia="Times New Roman" w:hAnsi="Times New Roman" w:cs="Times New Roman"/>
          <w:b/>
          <w:sz w:val="24"/>
          <w:szCs w:val="24"/>
          <w:lang w:val="en-US"/>
        </w:rPr>
        <w:t>A level of 10% of GDP for the PNE (2024/2034) is justified</w:t>
      </w:r>
      <w:r w:rsidRPr="00CD0550">
        <w:rPr>
          <w:rFonts w:ascii="Times New Roman" w:eastAsia="Times New Roman" w:hAnsi="Times New Roman" w:cs="Times New Roman"/>
          <w:sz w:val="24"/>
          <w:szCs w:val="24"/>
          <w:lang w:val="en-US"/>
        </w:rPr>
        <w:t xml:space="preserve">, regardless of any comparison with OECD countries, when considering Brazilian educational needs regarding access, retention, and quality across all levels, stages, and educational modalities outlined in the PNE goals (2014-2024). This financial commitment is essential for </w:t>
      </w:r>
      <w:r w:rsidRPr="00CD0550">
        <w:rPr>
          <w:rFonts w:ascii="Times New Roman" w:eastAsia="Times New Roman" w:hAnsi="Times New Roman" w:cs="Times New Roman"/>
          <w:b/>
          <w:sz w:val="24"/>
          <w:szCs w:val="24"/>
          <w:lang w:val="en-US"/>
        </w:rPr>
        <w:t>improving infrastructure and enhancing the quality of education</w:t>
      </w:r>
      <w:r w:rsidRPr="00CD0550">
        <w:rPr>
          <w:rFonts w:ascii="Times New Roman" w:eastAsia="Times New Roman" w:hAnsi="Times New Roman" w:cs="Times New Roman"/>
          <w:sz w:val="24"/>
          <w:szCs w:val="24"/>
          <w:lang w:val="en-US"/>
        </w:rPr>
        <w:t xml:space="preserve">. By prioritizing public education and aligning resource allocations with the National </w:t>
      </w:r>
      <w:r w:rsidRPr="00CD0550">
        <w:rPr>
          <w:rFonts w:ascii="Times New Roman" w:eastAsia="Times New Roman" w:hAnsi="Times New Roman" w:cs="Times New Roman"/>
          <w:sz w:val="24"/>
          <w:szCs w:val="24"/>
          <w:lang w:val="en-US"/>
        </w:rPr>
        <w:lastRenderedPageBreak/>
        <w:t>Education Plan, the State can make significant strides in addressing educational challenges and promoting a more inclusive and equitable education system for all.</w:t>
      </w:r>
    </w:p>
    <w:p w14:paraId="5E6FB7C6"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5. The State to establish a </w:t>
      </w:r>
      <w:r w:rsidRPr="00CD0550">
        <w:rPr>
          <w:rFonts w:ascii="Times New Roman" w:eastAsia="Times New Roman" w:hAnsi="Times New Roman" w:cs="Times New Roman"/>
          <w:b/>
          <w:sz w:val="24"/>
          <w:szCs w:val="24"/>
          <w:lang w:val="en-US"/>
        </w:rPr>
        <w:t>comprehensive regulatory framework for private education providers.</w:t>
      </w:r>
      <w:r w:rsidRPr="00CD0550">
        <w:rPr>
          <w:rFonts w:ascii="Times New Roman" w:eastAsia="Times New Roman" w:hAnsi="Times New Roman" w:cs="Times New Roman"/>
          <w:sz w:val="24"/>
          <w:szCs w:val="24"/>
          <w:lang w:val="en-US"/>
        </w:rPr>
        <w:t xml:space="preserve"> This includes instituting transparent reporting on financial operations, declaring non-engagement in for-profit education, phasing out public funds to the private sector, reviewing tax incentives, and discontinuing the procurement of standardized systems from private companies. These measures aim to prioritize equitable, transparent, and high-quality education within the public sector. These include the lack of provisions to prevent undue influence of privately funded educational institutions on the education system, ensuring equal standards and regulations for private institutions receiving public funding, and conducting human rights impact assessments for ongoing evaluation and improvement of education funding. </w:t>
      </w:r>
    </w:p>
    <w:p w14:paraId="7EEA04BD"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6. That the State prioritize substantial investments in </w:t>
      </w:r>
      <w:r w:rsidRPr="00CD0550">
        <w:rPr>
          <w:rFonts w:ascii="Times New Roman" w:eastAsia="Times New Roman" w:hAnsi="Times New Roman" w:cs="Times New Roman"/>
          <w:b/>
          <w:sz w:val="24"/>
          <w:szCs w:val="24"/>
          <w:lang w:val="en-US"/>
        </w:rPr>
        <w:t>enhancing school infrastructure, particularly in rural and remote areas</w:t>
      </w:r>
      <w:r w:rsidRPr="00CD0550">
        <w:rPr>
          <w:rFonts w:ascii="Times New Roman" w:eastAsia="Times New Roman" w:hAnsi="Times New Roman" w:cs="Times New Roman"/>
          <w:sz w:val="24"/>
          <w:szCs w:val="24"/>
          <w:lang w:val="en-US"/>
        </w:rPr>
        <w:t xml:space="preserve">. This should include improving access to </w:t>
      </w:r>
      <w:r w:rsidRPr="00CD0550">
        <w:rPr>
          <w:rFonts w:ascii="Times New Roman" w:eastAsia="Times New Roman" w:hAnsi="Times New Roman" w:cs="Times New Roman"/>
          <w:b/>
          <w:sz w:val="24"/>
          <w:szCs w:val="24"/>
          <w:lang w:val="en-US"/>
        </w:rPr>
        <w:t>water and sanitation</w:t>
      </w:r>
      <w:r w:rsidRPr="00CD0550">
        <w:rPr>
          <w:rFonts w:ascii="Times New Roman" w:eastAsia="Times New Roman" w:hAnsi="Times New Roman" w:cs="Times New Roman"/>
          <w:sz w:val="24"/>
          <w:szCs w:val="24"/>
          <w:lang w:val="en-US"/>
        </w:rPr>
        <w:t xml:space="preserve">, as well as establishing new schools in these underserved regions. Allocate </w:t>
      </w:r>
      <w:r w:rsidRPr="00CD0550">
        <w:rPr>
          <w:rFonts w:ascii="Times New Roman" w:eastAsia="Times New Roman" w:hAnsi="Times New Roman" w:cs="Times New Roman"/>
          <w:b/>
          <w:sz w:val="24"/>
          <w:szCs w:val="24"/>
          <w:lang w:val="en-US"/>
        </w:rPr>
        <w:t>sufficient human, technical, and financial resources</w:t>
      </w:r>
      <w:r w:rsidRPr="00CD0550">
        <w:rPr>
          <w:rFonts w:ascii="Times New Roman" w:eastAsia="Times New Roman" w:hAnsi="Times New Roman" w:cs="Times New Roman"/>
          <w:sz w:val="24"/>
          <w:szCs w:val="24"/>
          <w:lang w:val="en-US"/>
        </w:rPr>
        <w:t xml:space="preserve"> to these schools to bridge existing gaps and promote a conducive learning environment. Additionally, </w:t>
      </w:r>
      <w:r w:rsidRPr="00CD0550">
        <w:rPr>
          <w:rFonts w:ascii="Times New Roman" w:eastAsia="Times New Roman" w:hAnsi="Times New Roman" w:cs="Times New Roman"/>
          <w:b/>
          <w:sz w:val="24"/>
          <w:szCs w:val="24"/>
          <w:lang w:val="en-US"/>
        </w:rPr>
        <w:t>prioritize comprehensive and quality training programs for teachers</w:t>
      </w:r>
      <w:r w:rsidRPr="00CD0550">
        <w:rPr>
          <w:rFonts w:ascii="Times New Roman" w:eastAsia="Times New Roman" w:hAnsi="Times New Roman" w:cs="Times New Roman"/>
          <w:sz w:val="24"/>
          <w:szCs w:val="24"/>
          <w:lang w:val="en-US"/>
        </w:rPr>
        <w:t xml:space="preserve">, focusing on strategies that address the specific needs of indigenous and </w:t>
      </w:r>
      <w:proofErr w:type="spellStart"/>
      <w:r w:rsidRPr="00CD0550">
        <w:rPr>
          <w:rFonts w:ascii="Times New Roman" w:eastAsia="Times New Roman" w:hAnsi="Times New Roman" w:cs="Times New Roman"/>
          <w:sz w:val="24"/>
          <w:szCs w:val="24"/>
          <w:lang w:val="en-US"/>
        </w:rPr>
        <w:t>quilombola</w:t>
      </w:r>
      <w:proofErr w:type="spellEnd"/>
      <w:r w:rsidRPr="00CD0550">
        <w:rPr>
          <w:rFonts w:ascii="Times New Roman" w:eastAsia="Times New Roman" w:hAnsi="Times New Roman" w:cs="Times New Roman"/>
          <w:sz w:val="24"/>
          <w:szCs w:val="24"/>
          <w:lang w:val="en-US"/>
        </w:rPr>
        <w:t xml:space="preserve"> children and those residing in rural and remote areas. By taking these measures, the State can make significant strides in guaranteeing accessibility and improving the overall quality of education for these vulnerable populations.</w:t>
      </w:r>
    </w:p>
    <w:p w14:paraId="72C4B062"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7. The State to prioritize the construction of a </w:t>
      </w:r>
      <w:r w:rsidRPr="00CD0550">
        <w:rPr>
          <w:rFonts w:ascii="Times New Roman" w:eastAsia="Times New Roman" w:hAnsi="Times New Roman" w:cs="Times New Roman"/>
          <w:b/>
          <w:sz w:val="24"/>
          <w:szCs w:val="24"/>
          <w:lang w:val="en-US"/>
        </w:rPr>
        <w:t>National Education System (SNE), incorporating the regulation of the Cost of Quality Education per Student (CAQ) standard.</w:t>
      </w:r>
      <w:r w:rsidRPr="00CD0550">
        <w:rPr>
          <w:rFonts w:ascii="Times New Roman" w:eastAsia="Times New Roman" w:hAnsi="Times New Roman" w:cs="Times New Roman"/>
          <w:sz w:val="24"/>
          <w:szCs w:val="24"/>
          <w:lang w:val="en-US"/>
        </w:rPr>
        <w:t xml:space="preserve"> This initiative is crucial to establish and implement a benchmark for social quality in basic education, along with effective mechanisms to ensure its impact. The CAQ standard should serve as both an analytical and policy reference, aiming to improve the overall educational process and align with the national evaluation policy. Importantly, considerations for the territorial heterogeneity of the country should be integrated into the framework to ensure that the educational system meets the diverse needs and contexts across regions.</w:t>
      </w:r>
    </w:p>
    <w:p w14:paraId="7EAF84D4"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8. That the State </w:t>
      </w:r>
      <w:r w:rsidRPr="00CD0550">
        <w:rPr>
          <w:rFonts w:ascii="Times New Roman" w:eastAsia="Times New Roman" w:hAnsi="Times New Roman" w:cs="Times New Roman"/>
          <w:b/>
          <w:sz w:val="24"/>
          <w:szCs w:val="24"/>
          <w:lang w:val="en-US"/>
        </w:rPr>
        <w:t>increase investment in teacher training</w:t>
      </w:r>
      <w:r w:rsidRPr="00CD0550">
        <w:rPr>
          <w:rFonts w:ascii="Times New Roman" w:eastAsia="Times New Roman" w:hAnsi="Times New Roman" w:cs="Times New Roman"/>
          <w:sz w:val="24"/>
          <w:szCs w:val="24"/>
          <w:lang w:val="en-US"/>
        </w:rPr>
        <w:t xml:space="preserve">, ensuring pay equity between men and </w:t>
      </w:r>
      <w:proofErr w:type="gramStart"/>
      <w:r w:rsidRPr="00CD0550">
        <w:rPr>
          <w:rFonts w:ascii="Times New Roman" w:eastAsia="Times New Roman" w:hAnsi="Times New Roman" w:cs="Times New Roman"/>
          <w:sz w:val="24"/>
          <w:szCs w:val="24"/>
          <w:lang w:val="en-US"/>
        </w:rPr>
        <w:t>women..</w:t>
      </w:r>
      <w:proofErr w:type="gramEnd"/>
      <w:r w:rsidRPr="00CD0550">
        <w:rPr>
          <w:rFonts w:ascii="Times New Roman" w:eastAsia="Times New Roman" w:hAnsi="Times New Roman" w:cs="Times New Roman"/>
          <w:sz w:val="24"/>
          <w:szCs w:val="24"/>
          <w:lang w:val="en-US"/>
        </w:rPr>
        <w:t xml:space="preserve"> Strengthen management structures to ensure effective implementation, focusing on forming learning networks and fostering partnerships within the school community. </w:t>
      </w:r>
    </w:p>
    <w:p w14:paraId="2E87A224"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9. That the State implements a targeted and comprehensive </w:t>
      </w:r>
      <w:r w:rsidRPr="00CD0550">
        <w:rPr>
          <w:rFonts w:ascii="Times New Roman" w:eastAsia="Times New Roman" w:hAnsi="Times New Roman" w:cs="Times New Roman"/>
          <w:b/>
          <w:sz w:val="24"/>
          <w:szCs w:val="24"/>
          <w:lang w:val="en-US"/>
        </w:rPr>
        <w:t>strategy to address the root causes leading to the dropout of children, especially girls and Afro-Brazilian children, in marginalized urban areas</w:t>
      </w:r>
      <w:r w:rsidRPr="00CD0550">
        <w:rPr>
          <w:rFonts w:ascii="Times New Roman" w:eastAsia="Times New Roman" w:hAnsi="Times New Roman" w:cs="Times New Roman"/>
          <w:sz w:val="24"/>
          <w:szCs w:val="24"/>
          <w:lang w:val="en-US"/>
        </w:rPr>
        <w:t xml:space="preserve">. Tackle issues such as poverty, family violence, child labor, and teenage pregnancy by developing programs that directly address these challenges. Prioritize the creation of support mechanisms for pregnant teenagers and adolescent mothers to ensure their continued access to education. By addressing these underlying issues and implementing targeted measures, the State can foster an inclusive and supportive educational environment </w:t>
      </w:r>
      <w:r w:rsidRPr="00CD0550">
        <w:rPr>
          <w:rFonts w:ascii="Times New Roman" w:eastAsia="Times New Roman" w:hAnsi="Times New Roman" w:cs="Times New Roman"/>
          <w:sz w:val="24"/>
          <w:szCs w:val="24"/>
          <w:lang w:val="en-US"/>
        </w:rPr>
        <w:lastRenderedPageBreak/>
        <w:t>that mitigates the factors contributing to dropout rates, particularly in marginalized urban areas, ultimately promoting equal educational opportunities for all children.</w:t>
      </w:r>
    </w:p>
    <w:p w14:paraId="246412ED"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10. The </w:t>
      </w:r>
      <w:r w:rsidRPr="00CD0550">
        <w:rPr>
          <w:rFonts w:ascii="Times New Roman" w:eastAsia="Times New Roman" w:hAnsi="Times New Roman" w:cs="Times New Roman"/>
          <w:b/>
          <w:sz w:val="24"/>
          <w:szCs w:val="24"/>
          <w:lang w:val="en-US"/>
        </w:rPr>
        <w:t>repeal of Law No. 13,415/2017, which introduced the New High School model. Instead, we propose the development of a comprehensive and robust high school policy</w:t>
      </w:r>
      <w:r w:rsidRPr="00CD0550">
        <w:rPr>
          <w:rFonts w:ascii="Times New Roman" w:eastAsia="Times New Roman" w:hAnsi="Times New Roman" w:cs="Times New Roman"/>
          <w:sz w:val="24"/>
          <w:szCs w:val="24"/>
          <w:lang w:val="en-US"/>
        </w:rPr>
        <w:t xml:space="preserve"> that aligns with the principles of the right to education, as articulated by the National Education Forum (FNE). This approach will ensure a more inclusive, equitable, and effective high school system, promoting the overall well-being and academic success of students across the country.</w:t>
      </w:r>
    </w:p>
    <w:p w14:paraId="2E36CB64" w14:textId="77777777" w:rsidR="001A1B85" w:rsidRPr="00CD0550" w:rsidRDefault="00000000">
      <w:pPr>
        <w:spacing w:after="200"/>
        <w:jc w:val="both"/>
        <w:rPr>
          <w:rFonts w:ascii="Times New Roman" w:eastAsia="Times New Roman" w:hAnsi="Times New Roman" w:cs="Times New Roman"/>
          <w:sz w:val="24"/>
          <w:szCs w:val="24"/>
          <w:lang w:val="en-US"/>
        </w:rPr>
      </w:pPr>
      <w:r w:rsidRPr="00CD0550">
        <w:rPr>
          <w:rFonts w:ascii="Times New Roman" w:eastAsia="Times New Roman" w:hAnsi="Times New Roman" w:cs="Times New Roman"/>
          <w:sz w:val="24"/>
          <w:szCs w:val="24"/>
          <w:lang w:val="en-US"/>
        </w:rPr>
        <w:t xml:space="preserve">11. That the State rejects conservative policies that are based on combating "gender ideology” and ensures </w:t>
      </w:r>
      <w:r w:rsidRPr="00CD0550">
        <w:rPr>
          <w:rFonts w:ascii="Times New Roman" w:eastAsia="Times New Roman" w:hAnsi="Times New Roman" w:cs="Times New Roman"/>
          <w:b/>
          <w:sz w:val="24"/>
          <w:szCs w:val="24"/>
          <w:lang w:val="en-US"/>
        </w:rPr>
        <w:t>that all schools are operated by civilian authorities, emphasizing the implementation of child-friendly disciplinary rules and teaching methods.</w:t>
      </w:r>
      <w:r w:rsidRPr="00CD0550">
        <w:rPr>
          <w:rFonts w:ascii="Times New Roman" w:eastAsia="Times New Roman" w:hAnsi="Times New Roman" w:cs="Times New Roman"/>
          <w:sz w:val="24"/>
          <w:szCs w:val="24"/>
          <w:lang w:val="en-US"/>
        </w:rPr>
        <w:t xml:space="preserve"> As part of this effort,</w:t>
      </w:r>
      <w:r w:rsidRPr="00CD0550">
        <w:rPr>
          <w:rFonts w:ascii="Times New Roman" w:eastAsia="Times New Roman" w:hAnsi="Times New Roman" w:cs="Times New Roman"/>
          <w:b/>
          <w:sz w:val="24"/>
          <w:szCs w:val="24"/>
          <w:lang w:val="en-US"/>
        </w:rPr>
        <w:t xml:space="preserve"> we urge the expedited phase-out of public schools run by the military. </w:t>
      </w:r>
      <w:r w:rsidRPr="00CD0550">
        <w:rPr>
          <w:rFonts w:ascii="Times New Roman" w:eastAsia="Times New Roman" w:hAnsi="Times New Roman" w:cs="Times New Roman"/>
          <w:sz w:val="24"/>
          <w:szCs w:val="24"/>
          <w:lang w:val="en-US"/>
        </w:rPr>
        <w:t xml:space="preserve">This transition will contribute to a more inclusive and nurturing educational environment, aligning with contemporary pedagogical </w:t>
      </w:r>
      <w:proofErr w:type="gramStart"/>
      <w:r w:rsidRPr="00CD0550">
        <w:rPr>
          <w:rFonts w:ascii="Times New Roman" w:eastAsia="Times New Roman" w:hAnsi="Times New Roman" w:cs="Times New Roman"/>
          <w:sz w:val="24"/>
          <w:szCs w:val="24"/>
          <w:lang w:val="en-US"/>
        </w:rPr>
        <w:t>principles</w:t>
      </w:r>
      <w:proofErr w:type="gramEnd"/>
      <w:r w:rsidRPr="00CD0550">
        <w:rPr>
          <w:rFonts w:ascii="Times New Roman" w:eastAsia="Times New Roman" w:hAnsi="Times New Roman" w:cs="Times New Roman"/>
          <w:sz w:val="24"/>
          <w:szCs w:val="24"/>
          <w:lang w:val="en-US"/>
        </w:rPr>
        <w:t xml:space="preserve"> and promoting the well-being of students. By prioritizing civilian authorities and adopting child-friendly educational practices, the State can create a more conducive and supportive atmosphere for effective learning and development.</w:t>
      </w:r>
    </w:p>
    <w:sectPr w:rsidR="001A1B85" w:rsidRPr="00CD0550">
      <w:headerReference w:type="default" r:id="rId10"/>
      <w:footerReference w:type="default" r:id="rId11"/>
      <w:pgSz w:w="11909" w:h="16834"/>
      <w:pgMar w:top="144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35497" w14:textId="77777777" w:rsidR="00CC3EF6" w:rsidRDefault="00CC3EF6">
      <w:pPr>
        <w:spacing w:line="240" w:lineRule="auto"/>
      </w:pPr>
      <w:r>
        <w:separator/>
      </w:r>
    </w:p>
  </w:endnote>
  <w:endnote w:type="continuationSeparator" w:id="0">
    <w:p w14:paraId="1937AF89" w14:textId="77777777" w:rsidR="00CC3EF6" w:rsidRDefault="00CC3E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73C96" w14:textId="77777777" w:rsidR="001A1B85" w:rsidRDefault="001A1B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EDCD83" w14:textId="77777777" w:rsidR="00CC3EF6" w:rsidRDefault="00CC3EF6">
      <w:pPr>
        <w:spacing w:line="240" w:lineRule="auto"/>
      </w:pPr>
      <w:r>
        <w:separator/>
      </w:r>
    </w:p>
  </w:footnote>
  <w:footnote w:type="continuationSeparator" w:id="0">
    <w:p w14:paraId="23632FD3" w14:textId="77777777" w:rsidR="00CC3EF6" w:rsidRDefault="00CC3EF6">
      <w:pPr>
        <w:spacing w:line="240" w:lineRule="auto"/>
      </w:pPr>
      <w:r>
        <w:continuationSeparator/>
      </w:r>
    </w:p>
  </w:footnote>
  <w:footnote w:id="1">
    <w:p w14:paraId="09CA26C5"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CAMPANHA NACIONAL PELO DIREITO À EDUCAÇÃO. &lt;https://media.campanha.org.br/acervo/documentos/2._NAO_E_UMA_CRISE_CADERNO_2_1.pdf&gt;</w:t>
      </w:r>
    </w:p>
  </w:footnote>
  <w:footnote w:id="2">
    <w:p w14:paraId="2B3E10A2" w14:textId="77777777" w:rsidR="001A1B85" w:rsidRDefault="00000000">
      <w:pPr>
        <w:pBdr>
          <w:top w:val="nil"/>
          <w:left w:val="nil"/>
          <w:bottom w:val="nil"/>
          <w:right w:val="nil"/>
          <w:between w:val="nil"/>
        </w:pBd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CAMPANHA NACIONAL PELO DIREITO À EDUCAÇÃO. Balanço do Plano Nacional de </w:t>
      </w:r>
      <w:proofErr w:type="gramStart"/>
      <w:r>
        <w:rPr>
          <w:rFonts w:ascii="Times New Roman" w:eastAsia="Times New Roman" w:hAnsi="Times New Roman" w:cs="Times New Roman"/>
          <w:sz w:val="20"/>
          <w:szCs w:val="20"/>
        </w:rPr>
        <w:t>Educação(</w:t>
      </w:r>
      <w:proofErr w:type="gramEnd"/>
      <w:r>
        <w:rPr>
          <w:rFonts w:ascii="Times New Roman" w:eastAsia="Times New Roman" w:hAnsi="Times New Roman" w:cs="Times New Roman"/>
          <w:sz w:val="20"/>
          <w:szCs w:val="20"/>
        </w:rPr>
        <w:t>PNE) São Paulo, 2023. Disponível em: https://campanha.org.br/acervo/balanco-do-pne-plano-nacional-de-educacao-2023/</w:t>
      </w:r>
    </w:p>
  </w:footnote>
  <w:footnote w:id="3">
    <w:p w14:paraId="0710F21E"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Source Sans Pro" w:eastAsia="Source Sans Pro" w:hAnsi="Source Sans Pro" w:cs="Source Sans Pro"/>
          <w:color w:val="666666"/>
          <w:sz w:val="16"/>
          <w:szCs w:val="16"/>
        </w:rPr>
        <w:t xml:space="preserve"> </w:t>
      </w:r>
      <w:r>
        <w:rPr>
          <w:rFonts w:ascii="Times New Roman" w:eastAsia="Times New Roman" w:hAnsi="Times New Roman" w:cs="Times New Roman"/>
          <w:sz w:val="20"/>
          <w:szCs w:val="20"/>
        </w:rPr>
        <w:t>https://www.ohchr.org/en/press-releases/2023/01/world-failing-130-million-girls-denied-education-un-experts#:~:text=GENEVA%20(23%20January%202023)%20%E2%80%93,of%20this%20fundamental%20human%20right.</w:t>
      </w:r>
    </w:p>
  </w:footnote>
  <w:footnote w:id="4">
    <w:p w14:paraId="30252584"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BRASILEIRO DE GEOGRAFIA E ESTATÍSTICA (IBGE). Agência de notícias, com base na PNAD Contínua. Disponível em: https://agenciadenoticias.ibge.gov.br/agencia-noticias/2012-agencia-de-noticias/noticias/39530-proporcao-de-jovens-de-6-a-14-anos-no-ensino-fundamental-cai-pelo-terceiro-ano</w:t>
      </w:r>
    </w:p>
  </w:footnote>
  <w:footnote w:id="5">
    <w:p w14:paraId="1C1D10C6"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Source Sans Pro" w:eastAsia="Source Sans Pro" w:hAnsi="Source Sans Pro" w:cs="Source Sans Pro"/>
          <w:color w:val="666666"/>
          <w:sz w:val="16"/>
          <w:szCs w:val="16"/>
        </w:rPr>
        <w:t xml:space="preserve">  </w:t>
      </w:r>
      <w:r>
        <w:rPr>
          <w:rFonts w:ascii="Times New Roman" w:eastAsia="Times New Roman" w:hAnsi="Times New Roman" w:cs="Times New Roman"/>
          <w:sz w:val="20"/>
          <w:szCs w:val="20"/>
        </w:rPr>
        <w:t>INSTITUTO BRASILEIRO DE GEOGRAFIA E ESTATÍSTICA (IBGE). Agência de notícias, com base na PNAD Contínua. Disponível em: https://agenciadenoticias.ibge.gov.br/agencia-noticias/2012-agencia-de-noticias/noticias/39530-proporcao-de-jovens-de-6-a-14-anos-no-ensino-fundamental-cai-pelo-terceiro-ano</w:t>
      </w:r>
    </w:p>
  </w:footnote>
  <w:footnote w:id="6">
    <w:p w14:paraId="22192AE9"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BRASILEIRO DE GEOGRAFIA E ESTATÍSTICA (IBGE). Agência de notícias, com base na PNAD Contínua. Disponível em: https://agenciadenoticias.ibge.gov.br/agencia-noticias/2012-agencia-de-noticias/noticias/39530-proporcao-de-jovens-de-6-a-14-anos-no-ensino-fundamental-cai-pelo-terceiro-ano</w:t>
      </w:r>
    </w:p>
  </w:footnote>
  <w:footnote w:id="7">
    <w:p w14:paraId="3A900237" w14:textId="77777777" w:rsidR="001A1B85" w:rsidRDefault="00000000">
      <w:pPr>
        <w:pBdr>
          <w:top w:val="nil"/>
          <w:left w:val="nil"/>
          <w:bottom w:val="nil"/>
          <w:right w:val="nil"/>
          <w:between w:val="nil"/>
        </w:pBd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BRASILEIRO DE GEOGRAFIA E ESTATÍSTICA (IBGE). Agência de notícias, com base na PNAD Contínua. Disponível em: https://agenciadenoticias.ibge.gov.br/agencia-noticias/2012-agencia-de-noticias/noticias/39530-proporcao-de-jovens-de-6-a-14-anos-no-ensino-fundamental-cai-pelo-terceiro-ano</w:t>
      </w:r>
    </w:p>
  </w:footnote>
  <w:footnote w:id="8">
    <w:p w14:paraId="41B1BC17"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INSTITUTO BRASILEIRO DE GEOGRAFIA E ESTATÍSTICA (IBGE). Agência de notícias, com base na PNAD Contínua. Disponível em: https://agenciadenoticias.ibge.gov.br/agencia-noticias/2012-agencia-de-noticias/noticias/39530-proporcao-de-jovens-de-6-a-14-anos-no-ensino-fundamental-cai-pelo-terceiro-ano</w:t>
      </w:r>
    </w:p>
  </w:footnote>
  <w:footnote w:id="9">
    <w:p w14:paraId="5A899C77" w14:textId="77777777" w:rsidR="001A1B85" w:rsidRPr="00CD055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CD0550">
        <w:rPr>
          <w:rFonts w:ascii="Times New Roman" w:eastAsia="Times New Roman" w:hAnsi="Times New Roman" w:cs="Times New Roman"/>
          <w:sz w:val="20"/>
          <w:szCs w:val="20"/>
          <w:lang w:val="en-US"/>
        </w:rPr>
        <w:t xml:space="preserve"> </w:t>
      </w:r>
      <w:r w:rsidRPr="00CD0550">
        <w:rPr>
          <w:rFonts w:ascii="Times New Roman" w:eastAsia="Times New Roman" w:hAnsi="Times New Roman" w:cs="Times New Roman"/>
          <w:sz w:val="20"/>
          <w:szCs w:val="20"/>
          <w:lang w:val="en-US"/>
        </w:rPr>
        <w:t>PLAN INTERNATIONAL. Girls Challenging the Gender Rules: Brazil, Dominican Republic, and El Salvador. &lt;</w:t>
      </w:r>
      <w:hyperlink r:id="rId1">
        <w:r w:rsidRPr="00CD0550">
          <w:rPr>
            <w:rFonts w:ascii="Times New Roman" w:eastAsia="Times New Roman" w:hAnsi="Times New Roman" w:cs="Times New Roman"/>
            <w:color w:val="1155CC"/>
            <w:sz w:val="20"/>
            <w:szCs w:val="20"/>
            <w:u w:val="single"/>
            <w:lang w:val="en-US"/>
          </w:rPr>
          <w:t>https://plan-international.org/publications/girls-challenging-gender-rules-lac/</w:t>
        </w:r>
      </w:hyperlink>
      <w:r w:rsidRPr="00CD0550">
        <w:rPr>
          <w:rFonts w:ascii="Times New Roman" w:eastAsia="Times New Roman" w:hAnsi="Times New Roman" w:cs="Times New Roman"/>
          <w:sz w:val="20"/>
          <w:szCs w:val="20"/>
          <w:lang w:val="en-US"/>
        </w:rPr>
        <w:t xml:space="preserve">&gt;. </w:t>
      </w:r>
    </w:p>
  </w:footnote>
  <w:footnote w:id="10">
    <w:p w14:paraId="6C446076" w14:textId="77777777" w:rsidR="001A1B85" w:rsidRDefault="00000000">
      <w:pPr>
        <w:spacing w:line="240" w:lineRule="auto"/>
        <w:rPr>
          <w:rFonts w:ascii="Times New Roman" w:eastAsia="Times New Roman" w:hAnsi="Times New Roman" w:cs="Times New Roman"/>
          <w:sz w:val="20"/>
          <w:szCs w:val="20"/>
        </w:rPr>
      </w:pPr>
      <w:r>
        <w:rPr>
          <w:vertAlign w:val="superscript"/>
        </w:rPr>
        <w:footnoteRef/>
      </w:r>
      <w:r>
        <w:rPr>
          <w:rFonts w:ascii="Source Sans Pro" w:eastAsia="Source Sans Pro" w:hAnsi="Source Sans Pro" w:cs="Source Sans Pro"/>
          <w:color w:val="666666"/>
          <w:sz w:val="16"/>
          <w:szCs w:val="16"/>
        </w:rPr>
        <w:t xml:space="preserve"> </w:t>
      </w:r>
      <w:r>
        <w:rPr>
          <w:rFonts w:ascii="Times New Roman" w:eastAsia="Times New Roman" w:hAnsi="Times New Roman" w:cs="Times New Roman"/>
          <w:sz w:val="20"/>
          <w:szCs w:val="20"/>
        </w:rPr>
        <w:t xml:space="preserve">CAMPANHA NACIONAL PELO DIREITO À EDUCAÇÃO. Mapeamento Educação sob Ataque no Brasil (2023). </w:t>
      </w:r>
      <w:proofErr w:type="spellStart"/>
      <w:r>
        <w:rPr>
          <w:rFonts w:ascii="Times New Roman" w:eastAsia="Times New Roman" w:hAnsi="Times New Roman" w:cs="Times New Roman"/>
          <w:sz w:val="20"/>
          <w:szCs w:val="20"/>
        </w:rPr>
        <w:t>Available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at</w:t>
      </w:r>
      <w:proofErr w:type="spellEnd"/>
      <w:r>
        <w:rPr>
          <w:rFonts w:ascii="Times New Roman" w:eastAsia="Times New Roman" w:hAnsi="Times New Roman" w:cs="Times New Roman"/>
          <w:sz w:val="20"/>
          <w:szCs w:val="20"/>
        </w:rPr>
        <w:t>: &lt;https://educacaosobataque.org/#page-28&gt;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5C4EF" w14:textId="77777777" w:rsidR="001A1B85" w:rsidRDefault="001A1B85">
    <w:pPr>
      <w:ind w:hanging="1417"/>
    </w:pPr>
  </w:p>
  <w:p w14:paraId="0140E32A" w14:textId="77777777" w:rsidR="001A1B85" w:rsidRDefault="00000000">
    <w:pPr>
      <w:ind w:right="-607" w:hanging="1417"/>
    </w:pPr>
    <w:r>
      <w:t xml:space="preserve">           </w:t>
    </w:r>
    <w:r>
      <w:tab/>
    </w:r>
    <w:r>
      <w:rPr>
        <w:noProof/>
      </w:rPr>
      <w:drawing>
        <wp:inline distT="114300" distB="114300" distL="114300" distR="114300" wp14:anchorId="3B3D4363" wp14:editId="384F1019">
          <wp:extent cx="995363" cy="8887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95363" cy="888717"/>
                  </a:xfrm>
                  <a:prstGeom prst="rect">
                    <a:avLst/>
                  </a:prstGeom>
                  <a:ln/>
                </pic:spPr>
              </pic:pic>
            </a:graphicData>
          </a:graphic>
        </wp:inline>
      </w:drawing>
    </w:r>
    <w:r>
      <w:tab/>
    </w:r>
    <w:r>
      <w:tab/>
    </w:r>
    <w:r>
      <w:tab/>
    </w:r>
    <w:r>
      <w:tab/>
    </w:r>
    <w:r>
      <w:tab/>
    </w:r>
    <w:r>
      <w:tab/>
    </w:r>
    <w:r>
      <w:tab/>
    </w:r>
    <w:r>
      <w:rPr>
        <w:noProof/>
      </w:rPr>
      <w:drawing>
        <wp:inline distT="114300" distB="114300" distL="114300" distR="114300" wp14:anchorId="4C294E79" wp14:editId="67B4450E">
          <wp:extent cx="1576388" cy="82138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3012" r="-3012"/>
                  <a:stretch>
                    <a:fillRect/>
                  </a:stretch>
                </pic:blipFill>
                <pic:spPr>
                  <a:xfrm>
                    <a:off x="0" y="0"/>
                    <a:ext cx="1576388" cy="821381"/>
                  </a:xfrm>
                  <a:prstGeom prst="rect">
                    <a:avLst/>
                  </a:prstGeom>
                  <a:ln/>
                </pic:spPr>
              </pic:pic>
            </a:graphicData>
          </a:graphic>
        </wp:inline>
      </w:drawing>
    </w:r>
    <w:r>
      <w:tab/>
    </w:r>
  </w:p>
  <w:p w14:paraId="315769AC" w14:textId="77777777" w:rsidR="001A1B85" w:rsidRDefault="001A1B85">
    <w:pPr>
      <w:ind w:right="-607" w:hanging="141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5305D6"/>
    <w:multiLevelType w:val="multilevel"/>
    <w:tmpl w:val="01E40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3872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B85"/>
    <w:rsid w:val="001A1B85"/>
    <w:rsid w:val="00AA3E7E"/>
    <w:rsid w:val="00CC3EF6"/>
    <w:rsid w:val="00CD0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14B"/>
  <w15:docId w15:val="{E6550D05-E361-44EB-91B3-6097ACCE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ddh.org.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mpanha.o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ddh.org.br"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plan-international.org/publications/girls-challenging-gender-rules-la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65BAB3-A032-4E9A-AE3F-AB3B8AB2501E}"/>
</file>

<file path=customXml/itemProps2.xml><?xml version="1.0" encoding="utf-8"?>
<ds:datastoreItem xmlns:ds="http://schemas.openxmlformats.org/officeDocument/2006/customXml" ds:itemID="{0EF4413F-7F1B-4866-BFD2-6113F0B9B1E9}"/>
</file>

<file path=docProps/app.xml><?xml version="1.0" encoding="utf-8"?>
<Properties xmlns="http://schemas.openxmlformats.org/officeDocument/2006/extended-properties" xmlns:vt="http://schemas.openxmlformats.org/officeDocument/2006/docPropsVTypes">
  <Template>Normal</Template>
  <TotalTime>3</TotalTime>
  <Pages>7</Pages>
  <Words>2564</Words>
  <Characters>14617</Characters>
  <Application>Microsoft Office Word</Application>
  <DocSecurity>0</DocSecurity>
  <Lines>121</Lines>
  <Paragraphs>34</Paragraphs>
  <ScaleCrop>false</ScaleCrop>
  <Company/>
  <LinksUpToDate>false</LinksUpToDate>
  <CharactersWithSpaces>17147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Helena Rodrigues</cp:lastModifiedBy>
  <cp:revision>3</cp:revision>
  <dcterms:created xsi:type="dcterms:W3CDTF">2024-04-12T23:01:00Z</dcterms:created>
  <dcterms:modified xsi:type="dcterms:W3CDTF">2024-04-12T23:04:00Z</dcterms:modified>
</cp:coreProperties>
</file>