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B1DD0F2" w14:textId="77777777" w:rsidR="003D6D67" w:rsidRPr="00001432" w:rsidRDefault="003D6D67" w:rsidP="003D6D67">
      <w:pPr>
        <w:autoSpaceDE w:val="0"/>
        <w:autoSpaceDN w:val="0"/>
        <w:adjustRightInd w:val="0"/>
        <w:jc w:val="center"/>
        <w:rPr>
          <w:rFonts w:ascii="Times New Roman" w:hAnsi="Times New Roman" w:cs="Times New Roman"/>
          <w:sz w:val="24"/>
          <w:szCs w:val="24"/>
          <w:lang w:val="en-GB"/>
        </w:rPr>
      </w:pPr>
    </w:p>
    <w:p w14:paraId="6CEC6E61" w14:textId="77777777" w:rsidR="003D6D67" w:rsidRPr="00001432" w:rsidRDefault="003D6D67" w:rsidP="003D6D67">
      <w:pPr>
        <w:autoSpaceDE w:val="0"/>
        <w:autoSpaceDN w:val="0"/>
        <w:adjustRightInd w:val="0"/>
        <w:jc w:val="center"/>
        <w:rPr>
          <w:rFonts w:ascii="Times New Roman" w:hAnsi="Times New Roman" w:cs="Times New Roman"/>
          <w:b/>
          <w:bCs/>
          <w:sz w:val="24"/>
          <w:szCs w:val="24"/>
          <w:lang w:val="en-GB"/>
        </w:rPr>
      </w:pPr>
    </w:p>
    <w:p w14:paraId="2B5BF11E" w14:textId="77777777" w:rsidR="003D6D67" w:rsidRPr="00001432" w:rsidRDefault="003D6D67" w:rsidP="003D6D67">
      <w:pPr>
        <w:autoSpaceDE w:val="0"/>
        <w:autoSpaceDN w:val="0"/>
        <w:adjustRightInd w:val="0"/>
        <w:jc w:val="center"/>
        <w:rPr>
          <w:rFonts w:ascii="Times New Roman" w:hAnsi="Times New Roman" w:cs="Times New Roman"/>
          <w:b/>
          <w:bCs/>
          <w:sz w:val="24"/>
          <w:szCs w:val="24"/>
          <w:lang w:val="en-GB"/>
        </w:rPr>
      </w:pPr>
    </w:p>
    <w:p w14:paraId="3CE009A3" w14:textId="77777777" w:rsidR="003D6D67" w:rsidRPr="00001432" w:rsidRDefault="003D6D67" w:rsidP="003D6D67">
      <w:pPr>
        <w:autoSpaceDE w:val="0"/>
        <w:autoSpaceDN w:val="0"/>
        <w:adjustRightInd w:val="0"/>
        <w:jc w:val="center"/>
        <w:rPr>
          <w:rFonts w:ascii="Times New Roman" w:hAnsi="Times New Roman" w:cs="Times New Roman"/>
          <w:b/>
          <w:bCs/>
          <w:sz w:val="24"/>
          <w:szCs w:val="24"/>
          <w:lang w:val="en-GB"/>
        </w:rPr>
      </w:pPr>
    </w:p>
    <w:p w14:paraId="68D83BEB" w14:textId="77777777" w:rsidR="003D6D67" w:rsidRPr="00001432" w:rsidRDefault="003D6D67" w:rsidP="003D6D67">
      <w:pPr>
        <w:autoSpaceDE w:val="0"/>
        <w:autoSpaceDN w:val="0"/>
        <w:adjustRightInd w:val="0"/>
        <w:jc w:val="center"/>
        <w:rPr>
          <w:rFonts w:ascii="Times New Roman" w:hAnsi="Times New Roman" w:cs="Times New Roman"/>
          <w:b/>
          <w:bCs/>
          <w:sz w:val="24"/>
          <w:szCs w:val="24"/>
          <w:lang w:val="en-GB"/>
        </w:rPr>
      </w:pPr>
    </w:p>
    <w:p w14:paraId="1D34B1F1" w14:textId="77777777" w:rsidR="003D6D67" w:rsidRPr="00001432" w:rsidRDefault="003D6D67" w:rsidP="003D6D67">
      <w:pPr>
        <w:autoSpaceDE w:val="0"/>
        <w:autoSpaceDN w:val="0"/>
        <w:adjustRightInd w:val="0"/>
        <w:jc w:val="center"/>
        <w:rPr>
          <w:rFonts w:ascii="Times New Roman" w:hAnsi="Times New Roman" w:cs="Times New Roman"/>
          <w:b/>
          <w:bCs/>
          <w:sz w:val="24"/>
          <w:szCs w:val="24"/>
          <w:lang w:val="en-GB"/>
        </w:rPr>
      </w:pPr>
    </w:p>
    <w:p w14:paraId="61E586A4" w14:textId="4A7FA047" w:rsidR="003D6D67" w:rsidRPr="00001432" w:rsidRDefault="003D6D67" w:rsidP="003D6D67">
      <w:pPr>
        <w:autoSpaceDE w:val="0"/>
        <w:autoSpaceDN w:val="0"/>
        <w:adjustRightInd w:val="0"/>
        <w:jc w:val="center"/>
        <w:rPr>
          <w:rFonts w:ascii="Times New Roman" w:hAnsi="Times New Roman" w:cs="Times New Roman"/>
          <w:b/>
          <w:bCs/>
          <w:sz w:val="24"/>
          <w:szCs w:val="24"/>
          <w:lang w:val="en-GB"/>
        </w:rPr>
      </w:pPr>
      <w:r w:rsidRPr="00001432">
        <w:rPr>
          <w:rFonts w:ascii="Times New Roman" w:hAnsi="Times New Roman" w:cs="Times New Roman"/>
          <w:b/>
          <w:bCs/>
          <w:sz w:val="24"/>
          <w:szCs w:val="24"/>
          <w:lang w:val="en-GB"/>
        </w:rPr>
        <w:t>Alternative (shadow) Report to the Committee against Torture in relation to its examination of the fifth periodic Report of Azerbaijan</w:t>
      </w:r>
    </w:p>
    <w:p w14:paraId="3D6B1A4B" w14:textId="77777777" w:rsidR="003D6D67" w:rsidRPr="00001432" w:rsidRDefault="003D6D67" w:rsidP="003D6D67">
      <w:pPr>
        <w:jc w:val="center"/>
        <w:rPr>
          <w:rFonts w:ascii="Times New Roman" w:hAnsi="Times New Roman" w:cs="Times New Roman"/>
          <w:sz w:val="24"/>
          <w:szCs w:val="24"/>
          <w:lang w:val="en-GB"/>
        </w:rPr>
      </w:pPr>
    </w:p>
    <w:p w14:paraId="50DC8B7B" w14:textId="77777777" w:rsidR="003D6D67" w:rsidRPr="00001432" w:rsidRDefault="003D6D67" w:rsidP="003D6D67">
      <w:pPr>
        <w:pStyle w:val="NormalWeb"/>
        <w:shd w:val="clear" w:color="auto" w:fill="FFFFFF"/>
        <w:spacing w:after="120"/>
        <w:jc w:val="both"/>
        <w:rPr>
          <w:rStyle w:val="Strong"/>
          <w:iCs/>
          <w:color w:val="000000" w:themeColor="text1"/>
          <w:shd w:val="clear" w:color="auto" w:fill="FFFFFF"/>
          <w:lang w:val="en-GB"/>
        </w:rPr>
      </w:pPr>
    </w:p>
    <w:p w14:paraId="37DFDE87" w14:textId="77777777" w:rsidR="003D6D67" w:rsidRPr="00001432" w:rsidRDefault="003D6D67" w:rsidP="003D6D67">
      <w:pPr>
        <w:jc w:val="both"/>
        <w:rPr>
          <w:rFonts w:ascii="Times New Roman" w:hAnsi="Times New Roman" w:cs="Times New Roman"/>
          <w:color w:val="000000" w:themeColor="text1"/>
          <w:sz w:val="24"/>
          <w:szCs w:val="24"/>
          <w:lang w:val="en-GB"/>
        </w:rPr>
      </w:pPr>
    </w:p>
    <w:p w14:paraId="2268A9A7" w14:textId="77777777" w:rsidR="003D6D67" w:rsidRPr="00001432" w:rsidRDefault="003D6D67" w:rsidP="003D6D67">
      <w:pPr>
        <w:jc w:val="both"/>
        <w:rPr>
          <w:rFonts w:ascii="Times New Roman" w:hAnsi="Times New Roman" w:cs="Times New Roman"/>
          <w:color w:val="000000" w:themeColor="text1"/>
          <w:sz w:val="24"/>
          <w:szCs w:val="24"/>
          <w:lang w:val="en-GB"/>
        </w:rPr>
      </w:pPr>
    </w:p>
    <w:p w14:paraId="24411F85" w14:textId="77777777" w:rsidR="003D6D67" w:rsidRPr="00001432" w:rsidRDefault="003D6D67" w:rsidP="003D6D67">
      <w:pPr>
        <w:jc w:val="both"/>
        <w:rPr>
          <w:rFonts w:ascii="Times New Roman" w:hAnsi="Times New Roman" w:cs="Times New Roman"/>
          <w:color w:val="000000" w:themeColor="text1"/>
          <w:sz w:val="24"/>
          <w:szCs w:val="24"/>
          <w:lang w:val="en-GB"/>
        </w:rPr>
      </w:pPr>
    </w:p>
    <w:p w14:paraId="7162FF77" w14:textId="77777777" w:rsidR="003D6D67" w:rsidRPr="00001432" w:rsidRDefault="003D6D67" w:rsidP="003D6D67">
      <w:pPr>
        <w:jc w:val="both"/>
        <w:rPr>
          <w:rFonts w:ascii="Times New Roman" w:hAnsi="Times New Roman" w:cs="Times New Roman"/>
          <w:color w:val="000000" w:themeColor="text1"/>
          <w:sz w:val="24"/>
          <w:szCs w:val="24"/>
          <w:lang w:val="en-GB"/>
        </w:rPr>
      </w:pPr>
    </w:p>
    <w:p w14:paraId="7DEF6360" w14:textId="77777777" w:rsidR="003D6D67" w:rsidRPr="00001432" w:rsidRDefault="003D6D67" w:rsidP="003D6D67">
      <w:pPr>
        <w:jc w:val="both"/>
        <w:rPr>
          <w:rFonts w:ascii="Times New Roman" w:hAnsi="Times New Roman" w:cs="Times New Roman"/>
          <w:color w:val="000000" w:themeColor="text1"/>
          <w:sz w:val="24"/>
          <w:szCs w:val="24"/>
          <w:lang w:val="en-GB"/>
        </w:rPr>
      </w:pPr>
    </w:p>
    <w:p w14:paraId="63C4507C" w14:textId="77777777" w:rsidR="003D6D67" w:rsidRPr="00001432" w:rsidRDefault="003D6D67" w:rsidP="003D6D67">
      <w:pPr>
        <w:jc w:val="both"/>
        <w:rPr>
          <w:rFonts w:ascii="Times New Roman" w:hAnsi="Times New Roman" w:cs="Times New Roman"/>
          <w:color w:val="000000" w:themeColor="text1"/>
          <w:sz w:val="24"/>
          <w:szCs w:val="24"/>
          <w:lang w:val="en-GB"/>
        </w:rPr>
      </w:pPr>
    </w:p>
    <w:p w14:paraId="7D509390" w14:textId="77777777" w:rsidR="003D6D67" w:rsidRPr="00001432" w:rsidRDefault="003D6D67" w:rsidP="003D6D67">
      <w:pPr>
        <w:pStyle w:val="NormalWeb"/>
        <w:shd w:val="clear" w:color="auto" w:fill="FFFFFF"/>
        <w:spacing w:before="0" w:beforeAutospacing="0" w:after="120" w:afterAutospacing="0"/>
        <w:jc w:val="center"/>
        <w:rPr>
          <w:rStyle w:val="Strong"/>
          <w:iCs/>
          <w:color w:val="000000" w:themeColor="text1"/>
          <w:shd w:val="clear" w:color="auto" w:fill="FFFFFF"/>
          <w:lang w:val="en-GB"/>
        </w:rPr>
      </w:pPr>
      <w:r w:rsidRPr="00001432">
        <w:rPr>
          <w:rStyle w:val="Strong"/>
          <w:iCs/>
          <w:color w:val="000000" w:themeColor="text1"/>
          <w:shd w:val="clear" w:color="auto" w:fill="FFFFFF"/>
          <w:lang w:val="en-GB"/>
        </w:rPr>
        <w:t xml:space="preserve">Prepared by </w:t>
      </w:r>
    </w:p>
    <w:p w14:paraId="1739F872" w14:textId="68D27E52" w:rsidR="003D6D67" w:rsidRPr="00001432" w:rsidRDefault="003D6D67" w:rsidP="003D6D67">
      <w:pPr>
        <w:pStyle w:val="NormalWeb"/>
        <w:shd w:val="clear" w:color="auto" w:fill="FFFFFF"/>
        <w:spacing w:before="0" w:beforeAutospacing="0" w:after="120" w:afterAutospacing="0"/>
        <w:jc w:val="center"/>
        <w:rPr>
          <w:rStyle w:val="Strong"/>
          <w:iCs/>
          <w:color w:val="000000" w:themeColor="text1"/>
          <w:shd w:val="clear" w:color="auto" w:fill="FFFFFF"/>
          <w:lang w:val="en-GB"/>
        </w:rPr>
      </w:pPr>
      <w:r w:rsidRPr="00001432">
        <w:rPr>
          <w:rStyle w:val="Strong"/>
          <w:iCs/>
          <w:color w:val="000000" w:themeColor="text1"/>
          <w:shd w:val="clear" w:color="auto" w:fill="FFFFFF"/>
          <w:lang w:val="en-GB"/>
        </w:rPr>
        <w:t xml:space="preserve"> “</w:t>
      </w:r>
      <w:r w:rsidR="006E087A" w:rsidRPr="00001432">
        <w:rPr>
          <w:b/>
          <w:bCs/>
          <w:color w:val="000000"/>
        </w:rPr>
        <w:t>LEGAL PROTECTION OF HUMAN RIGHTS</w:t>
      </w:r>
      <w:r w:rsidR="006E087A" w:rsidRPr="00001432">
        <w:rPr>
          <w:rStyle w:val="Strong"/>
          <w:iCs/>
          <w:color w:val="000000" w:themeColor="text1"/>
          <w:shd w:val="clear" w:color="auto" w:fill="FFFFFF"/>
          <w:lang w:val="en-GB"/>
        </w:rPr>
        <w:t>”</w:t>
      </w:r>
      <w:r w:rsidRPr="00001432">
        <w:rPr>
          <w:rStyle w:val="Strong"/>
          <w:iCs/>
          <w:color w:val="000000" w:themeColor="text1"/>
          <w:shd w:val="clear" w:color="auto" w:fill="FFFFFF"/>
          <w:lang w:val="en-GB"/>
        </w:rPr>
        <w:t xml:space="preserve"> PUBLIC UNION</w:t>
      </w:r>
    </w:p>
    <w:p w14:paraId="25FCEE14" w14:textId="77777777" w:rsidR="003D6D67" w:rsidRPr="00001432" w:rsidRDefault="003D6D67" w:rsidP="003D6D67">
      <w:pPr>
        <w:jc w:val="both"/>
        <w:rPr>
          <w:rFonts w:ascii="Times New Roman" w:hAnsi="Times New Roman" w:cs="Times New Roman"/>
          <w:b/>
          <w:color w:val="000000" w:themeColor="text1"/>
          <w:sz w:val="24"/>
          <w:szCs w:val="24"/>
          <w:lang w:val="en-GB"/>
        </w:rPr>
      </w:pPr>
    </w:p>
    <w:p w14:paraId="734645BC" w14:textId="77777777" w:rsidR="003D6D67" w:rsidRPr="00001432" w:rsidRDefault="003D6D67" w:rsidP="003D6D67">
      <w:pPr>
        <w:jc w:val="both"/>
        <w:rPr>
          <w:rFonts w:ascii="Times New Roman" w:hAnsi="Times New Roman" w:cs="Times New Roman"/>
          <w:b/>
          <w:color w:val="000000" w:themeColor="text1"/>
          <w:sz w:val="24"/>
          <w:szCs w:val="24"/>
          <w:lang w:val="en-GB"/>
        </w:rPr>
      </w:pPr>
    </w:p>
    <w:p w14:paraId="69EE40A5" w14:textId="77777777" w:rsidR="003D6D67" w:rsidRPr="00001432" w:rsidRDefault="003D6D67" w:rsidP="003D6D67">
      <w:pPr>
        <w:jc w:val="both"/>
        <w:rPr>
          <w:rFonts w:ascii="Times New Roman" w:hAnsi="Times New Roman" w:cs="Times New Roman"/>
          <w:b/>
          <w:color w:val="000000" w:themeColor="text1"/>
          <w:sz w:val="24"/>
          <w:szCs w:val="24"/>
          <w:lang w:val="en-GB"/>
        </w:rPr>
      </w:pPr>
    </w:p>
    <w:p w14:paraId="7432E3D0" w14:textId="77777777" w:rsidR="003D6D67" w:rsidRPr="00001432" w:rsidRDefault="003D6D67" w:rsidP="003D6D67">
      <w:pPr>
        <w:jc w:val="both"/>
        <w:rPr>
          <w:rFonts w:ascii="Times New Roman" w:hAnsi="Times New Roman" w:cs="Times New Roman"/>
          <w:b/>
          <w:color w:val="000000" w:themeColor="text1"/>
          <w:sz w:val="24"/>
          <w:szCs w:val="24"/>
          <w:lang w:val="en-GB"/>
        </w:rPr>
      </w:pPr>
    </w:p>
    <w:p w14:paraId="5F5A95A7" w14:textId="77777777" w:rsidR="003D6D67" w:rsidRPr="00001432" w:rsidRDefault="003D6D67" w:rsidP="003D6D67">
      <w:pPr>
        <w:jc w:val="center"/>
        <w:rPr>
          <w:rFonts w:ascii="Times New Roman" w:hAnsi="Times New Roman" w:cs="Times New Roman"/>
          <w:b/>
          <w:color w:val="000000" w:themeColor="text1"/>
          <w:sz w:val="24"/>
          <w:szCs w:val="24"/>
          <w:lang w:val="en-GB"/>
        </w:rPr>
      </w:pPr>
    </w:p>
    <w:p w14:paraId="312C0182" w14:textId="77777777" w:rsidR="003D6D67" w:rsidRPr="00001432" w:rsidRDefault="003D6D67" w:rsidP="003D6D67">
      <w:pPr>
        <w:jc w:val="center"/>
        <w:rPr>
          <w:rFonts w:ascii="Times New Roman" w:hAnsi="Times New Roman" w:cs="Times New Roman"/>
          <w:b/>
          <w:color w:val="000000" w:themeColor="text1"/>
          <w:sz w:val="24"/>
          <w:szCs w:val="24"/>
          <w:lang w:val="en-GB"/>
        </w:rPr>
      </w:pPr>
    </w:p>
    <w:p w14:paraId="0042A9E7" w14:textId="77777777" w:rsidR="003D6D67" w:rsidRPr="00001432" w:rsidRDefault="003D6D67" w:rsidP="003D6D67">
      <w:pPr>
        <w:pStyle w:val="NormalWeb"/>
        <w:shd w:val="clear" w:color="auto" w:fill="FFFFFF"/>
        <w:spacing w:after="120"/>
        <w:jc w:val="both"/>
        <w:rPr>
          <w:rStyle w:val="Strong"/>
          <w:iCs/>
          <w:color w:val="000000" w:themeColor="text1"/>
          <w:shd w:val="clear" w:color="auto" w:fill="FFFFFF"/>
          <w:lang w:val="en-GB"/>
        </w:rPr>
      </w:pPr>
    </w:p>
    <w:p w14:paraId="187CB5F2" w14:textId="77777777" w:rsidR="003D6D67" w:rsidRPr="00001432" w:rsidRDefault="003D6D67" w:rsidP="003D6D67">
      <w:pPr>
        <w:pStyle w:val="NormalWeb"/>
        <w:shd w:val="clear" w:color="auto" w:fill="FFFFFF"/>
        <w:spacing w:after="120"/>
        <w:jc w:val="both"/>
        <w:rPr>
          <w:rStyle w:val="Strong"/>
          <w:iCs/>
          <w:color w:val="000000" w:themeColor="text1"/>
          <w:shd w:val="clear" w:color="auto" w:fill="FFFFFF"/>
          <w:lang w:val="en-GB"/>
        </w:rPr>
      </w:pPr>
    </w:p>
    <w:p w14:paraId="093A31B5" w14:textId="77777777" w:rsidR="003D6D67" w:rsidRPr="00001432" w:rsidRDefault="003D6D67" w:rsidP="003D6D67">
      <w:pPr>
        <w:pStyle w:val="NormalWeb"/>
        <w:shd w:val="clear" w:color="auto" w:fill="FFFFFF"/>
        <w:spacing w:after="120"/>
        <w:jc w:val="both"/>
        <w:rPr>
          <w:rStyle w:val="Strong"/>
          <w:iCs/>
          <w:color w:val="000000" w:themeColor="text1"/>
          <w:shd w:val="clear" w:color="auto" w:fill="FFFFFF"/>
          <w:lang w:val="en-GB"/>
        </w:rPr>
      </w:pPr>
    </w:p>
    <w:p w14:paraId="23897973" w14:textId="77777777" w:rsidR="003D6D67" w:rsidRPr="00001432" w:rsidRDefault="003D6D67" w:rsidP="003D6D67">
      <w:pPr>
        <w:pStyle w:val="NormalWeb"/>
        <w:shd w:val="clear" w:color="auto" w:fill="FFFFFF"/>
        <w:spacing w:after="120"/>
        <w:jc w:val="both"/>
        <w:rPr>
          <w:rStyle w:val="Strong"/>
          <w:iCs/>
          <w:color w:val="000000" w:themeColor="text1"/>
          <w:shd w:val="clear" w:color="auto" w:fill="FFFFFF"/>
          <w:lang w:val="en-GB"/>
        </w:rPr>
      </w:pPr>
    </w:p>
    <w:p w14:paraId="150F9832" w14:textId="77777777" w:rsidR="003D6D67" w:rsidRPr="00001432" w:rsidRDefault="003D6D67" w:rsidP="003D6D67">
      <w:pPr>
        <w:pStyle w:val="NormalWeb"/>
        <w:shd w:val="clear" w:color="auto" w:fill="FFFFFF"/>
        <w:spacing w:after="120"/>
        <w:jc w:val="both"/>
        <w:rPr>
          <w:rStyle w:val="Strong"/>
          <w:iCs/>
          <w:color w:val="000000" w:themeColor="text1"/>
          <w:shd w:val="clear" w:color="auto" w:fill="FFFFFF"/>
          <w:lang w:val="en-GB"/>
        </w:rPr>
      </w:pPr>
    </w:p>
    <w:p w14:paraId="65208B48" w14:textId="77777777" w:rsidR="003D6D67" w:rsidRPr="00001432" w:rsidRDefault="003D6D67" w:rsidP="003D6D67">
      <w:pPr>
        <w:pStyle w:val="NormalWeb"/>
        <w:shd w:val="clear" w:color="auto" w:fill="FFFFFF"/>
        <w:spacing w:after="120"/>
        <w:jc w:val="both"/>
        <w:rPr>
          <w:rStyle w:val="Strong"/>
          <w:iCs/>
          <w:color w:val="000000" w:themeColor="text1"/>
          <w:shd w:val="clear" w:color="auto" w:fill="FFFFFF"/>
          <w:lang w:val="en-GB"/>
        </w:rPr>
      </w:pPr>
    </w:p>
    <w:p w14:paraId="13CE1A96" w14:textId="77777777" w:rsidR="003D6D67" w:rsidRPr="00001432" w:rsidRDefault="003D6D67" w:rsidP="003D6D67">
      <w:pPr>
        <w:pStyle w:val="NormalWeb"/>
        <w:shd w:val="clear" w:color="auto" w:fill="FFFFFF"/>
        <w:spacing w:after="120"/>
        <w:jc w:val="both"/>
        <w:rPr>
          <w:rStyle w:val="Strong"/>
          <w:iCs/>
          <w:color w:val="000000" w:themeColor="text1"/>
          <w:shd w:val="clear" w:color="auto" w:fill="FFFFFF"/>
          <w:lang w:val="en-GB"/>
        </w:rPr>
      </w:pPr>
    </w:p>
    <w:p w14:paraId="21F54783" w14:textId="77777777" w:rsidR="006E087A" w:rsidRPr="00001432" w:rsidRDefault="006E087A" w:rsidP="00001432">
      <w:pPr>
        <w:rPr>
          <w:rFonts w:ascii="Times New Roman" w:hAnsi="Times New Roman" w:cs="Times New Roman"/>
          <w:b/>
          <w:color w:val="000000" w:themeColor="text1"/>
          <w:sz w:val="24"/>
          <w:szCs w:val="24"/>
          <w:lang w:val="en-GB"/>
        </w:rPr>
      </w:pPr>
    </w:p>
    <w:p w14:paraId="687A4930" w14:textId="77777777" w:rsidR="00001432" w:rsidRPr="00001432" w:rsidRDefault="00001432" w:rsidP="00001432">
      <w:pPr>
        <w:rPr>
          <w:rFonts w:ascii="Times New Roman" w:hAnsi="Times New Roman" w:cs="Times New Roman"/>
          <w:b/>
          <w:color w:val="000000" w:themeColor="text1"/>
          <w:sz w:val="24"/>
          <w:szCs w:val="24"/>
          <w:lang w:val="en-GB"/>
        </w:rPr>
      </w:pPr>
    </w:p>
    <w:p w14:paraId="3739684B" w14:textId="77777777" w:rsidR="00001432" w:rsidRPr="00001432" w:rsidRDefault="00001432" w:rsidP="00001432">
      <w:pPr>
        <w:rPr>
          <w:rFonts w:ascii="Times New Roman" w:hAnsi="Times New Roman" w:cs="Times New Roman"/>
          <w:b/>
          <w:color w:val="000000" w:themeColor="text1"/>
          <w:sz w:val="24"/>
          <w:szCs w:val="24"/>
          <w:lang w:val="en-GB"/>
        </w:rPr>
      </w:pPr>
    </w:p>
    <w:p w14:paraId="45B2BD6C" w14:textId="7D6D4865" w:rsidR="00102518" w:rsidRPr="00001432" w:rsidRDefault="003D6D67" w:rsidP="00001432">
      <w:pPr>
        <w:jc w:val="center"/>
        <w:rPr>
          <w:rFonts w:ascii="Times New Roman" w:hAnsi="Times New Roman" w:cs="Times New Roman"/>
          <w:b/>
          <w:color w:val="000000" w:themeColor="text1"/>
          <w:sz w:val="24"/>
          <w:szCs w:val="24"/>
          <w:lang w:val="en-GB"/>
        </w:rPr>
      </w:pPr>
      <w:r w:rsidRPr="00001432">
        <w:rPr>
          <w:rFonts w:ascii="Times New Roman" w:hAnsi="Times New Roman" w:cs="Times New Roman"/>
          <w:b/>
          <w:color w:val="000000" w:themeColor="text1"/>
          <w:sz w:val="24"/>
          <w:szCs w:val="24"/>
          <w:lang w:val="en-GB"/>
        </w:rPr>
        <w:t xml:space="preserve">79th Session of the Committee Against Torture </w:t>
      </w:r>
      <w:r w:rsidRPr="00001432">
        <w:rPr>
          <w:rFonts w:ascii="Times New Roman" w:hAnsi="Times New Roman" w:cs="Times New Roman"/>
          <w:b/>
          <w:i/>
          <w:iCs/>
          <w:color w:val="000000" w:themeColor="text1"/>
          <w:sz w:val="24"/>
          <w:szCs w:val="24"/>
          <w:lang w:val="en-GB"/>
        </w:rPr>
        <w:t>(15 April– 10 May 2024)</w:t>
      </w:r>
    </w:p>
    <w:p w14:paraId="0A85AFA0" w14:textId="77777777" w:rsidR="00102518" w:rsidRDefault="00102518" w:rsidP="00102518">
      <w:pPr>
        <w:rPr>
          <w:rFonts w:ascii="Times New Roman" w:hAnsi="Times New Roman" w:cs="Times New Roman"/>
          <w:b/>
          <w:bCs/>
          <w:color w:val="000000"/>
          <w:sz w:val="24"/>
          <w:szCs w:val="24"/>
        </w:rPr>
      </w:pPr>
    </w:p>
    <w:p w14:paraId="185968AA" w14:textId="77777777" w:rsidR="00C01F33" w:rsidRPr="00001432" w:rsidRDefault="00C01F33" w:rsidP="00102518">
      <w:pPr>
        <w:rPr>
          <w:rFonts w:ascii="Times New Roman" w:hAnsi="Times New Roman" w:cs="Times New Roman"/>
          <w:b/>
          <w:bCs/>
          <w:color w:val="000000"/>
          <w:sz w:val="24"/>
          <w:szCs w:val="24"/>
        </w:rPr>
      </w:pPr>
    </w:p>
    <w:p w14:paraId="45AF4326" w14:textId="391105DE" w:rsidR="00102518" w:rsidRDefault="00102518" w:rsidP="00102518">
      <w:pPr>
        <w:rPr>
          <w:rFonts w:ascii="Times New Roman" w:hAnsi="Times New Roman" w:cs="Times New Roman"/>
          <w:b/>
          <w:bCs/>
          <w:color w:val="000000"/>
          <w:sz w:val="24"/>
          <w:szCs w:val="24"/>
        </w:rPr>
      </w:pPr>
      <w:r w:rsidRPr="00C01F33">
        <w:rPr>
          <w:rFonts w:ascii="Times New Roman" w:hAnsi="Times New Roman" w:cs="Times New Roman"/>
          <w:b/>
          <w:bCs/>
          <w:color w:val="000000"/>
          <w:sz w:val="24"/>
          <w:szCs w:val="24"/>
        </w:rPr>
        <w:t xml:space="preserve">The submitting Organization: </w:t>
      </w:r>
      <w:r w:rsidR="006E087A" w:rsidRPr="00C01F33">
        <w:rPr>
          <w:rFonts w:ascii="Times New Roman" w:hAnsi="Times New Roman" w:cs="Times New Roman"/>
          <w:b/>
          <w:bCs/>
          <w:color w:val="000000"/>
          <w:sz w:val="24"/>
          <w:szCs w:val="24"/>
        </w:rPr>
        <w:t>“Legal Protection of Human Rights” Public Association</w:t>
      </w:r>
    </w:p>
    <w:p w14:paraId="6E0638B5" w14:textId="77777777" w:rsidR="00C01F33" w:rsidRPr="00C01F33" w:rsidRDefault="00C01F33" w:rsidP="00102518">
      <w:pPr>
        <w:rPr>
          <w:rFonts w:ascii="Times New Roman" w:hAnsi="Times New Roman" w:cs="Times New Roman"/>
          <w:b/>
          <w:color w:val="000000" w:themeColor="text1"/>
          <w:sz w:val="24"/>
          <w:szCs w:val="24"/>
          <w:lang w:val="en-GB"/>
        </w:rPr>
      </w:pPr>
    </w:p>
    <w:p w14:paraId="6FAFE138" w14:textId="77777777" w:rsidR="00102518" w:rsidRPr="00C01F33" w:rsidRDefault="00102518" w:rsidP="00102518">
      <w:pPr>
        <w:jc w:val="both"/>
        <w:rPr>
          <w:rFonts w:ascii="Times New Roman" w:hAnsi="Times New Roman" w:cs="Times New Roman"/>
          <w:color w:val="000000"/>
          <w:sz w:val="24"/>
          <w:szCs w:val="24"/>
        </w:rPr>
      </w:pPr>
    </w:p>
    <w:p w14:paraId="13C3D229" w14:textId="13A5729C" w:rsidR="00A14332" w:rsidRPr="00C01F33" w:rsidRDefault="00102518" w:rsidP="00102518">
      <w:pPr>
        <w:jc w:val="both"/>
        <w:rPr>
          <w:rFonts w:ascii="Times New Roman" w:hAnsi="Times New Roman" w:cs="Times New Roman"/>
          <w:color w:val="000000"/>
          <w:sz w:val="24"/>
          <w:szCs w:val="24"/>
        </w:rPr>
      </w:pPr>
      <w:r w:rsidRPr="00C01F33">
        <w:rPr>
          <w:rFonts w:ascii="Times New Roman" w:hAnsi="Times New Roman" w:cs="Times New Roman"/>
          <w:color w:val="000000"/>
          <w:sz w:val="24"/>
          <w:szCs w:val="24"/>
        </w:rPr>
        <w:t xml:space="preserve">The </w:t>
      </w:r>
      <w:r w:rsidR="006E087A" w:rsidRPr="00C01F33">
        <w:rPr>
          <w:rFonts w:ascii="Times New Roman" w:hAnsi="Times New Roman" w:cs="Times New Roman"/>
          <w:color w:val="000000"/>
          <w:sz w:val="24"/>
          <w:szCs w:val="24"/>
        </w:rPr>
        <w:t xml:space="preserve">“Legal Protection of Human Rights” Public Association </w:t>
      </w:r>
      <w:r w:rsidRPr="00C01F33">
        <w:rPr>
          <w:rFonts w:ascii="Times New Roman" w:hAnsi="Times New Roman" w:cs="Times New Roman"/>
          <w:color w:val="000000"/>
          <w:sz w:val="24"/>
          <w:szCs w:val="24"/>
        </w:rPr>
        <w:t>is a</w:t>
      </w:r>
      <w:r w:rsidR="006E087A" w:rsidRPr="00C01F33">
        <w:rPr>
          <w:rFonts w:ascii="Times New Roman" w:hAnsi="Times New Roman" w:cs="Times New Roman"/>
          <w:color w:val="000000"/>
          <w:sz w:val="24"/>
          <w:szCs w:val="24"/>
        </w:rPr>
        <w:t xml:space="preserve">n </w:t>
      </w:r>
      <w:r w:rsidRPr="00C01F33">
        <w:rPr>
          <w:rFonts w:ascii="Times New Roman" w:hAnsi="Times New Roman" w:cs="Times New Roman"/>
          <w:color w:val="000000"/>
          <w:sz w:val="24"/>
          <w:szCs w:val="24"/>
        </w:rPr>
        <w:t>Azerbaijan</w:t>
      </w:r>
      <w:r w:rsidR="006E087A" w:rsidRPr="00C01F33">
        <w:rPr>
          <w:rFonts w:ascii="Times New Roman" w:hAnsi="Times New Roman" w:cs="Times New Roman"/>
          <w:color w:val="000000"/>
          <w:sz w:val="24"/>
          <w:szCs w:val="24"/>
        </w:rPr>
        <w:t xml:space="preserve"> </w:t>
      </w:r>
      <w:r w:rsidRPr="00C01F33">
        <w:rPr>
          <w:rFonts w:ascii="Times New Roman" w:hAnsi="Times New Roman" w:cs="Times New Roman"/>
          <w:color w:val="000000"/>
          <w:sz w:val="24"/>
          <w:szCs w:val="24"/>
        </w:rPr>
        <w:t xml:space="preserve">based non-governmental organization established </w:t>
      </w:r>
      <w:proofErr w:type="gramStart"/>
      <w:r w:rsidRPr="00C01F33">
        <w:rPr>
          <w:rFonts w:ascii="Times New Roman" w:hAnsi="Times New Roman" w:cs="Times New Roman"/>
          <w:color w:val="000000"/>
          <w:sz w:val="24"/>
          <w:szCs w:val="24"/>
        </w:rPr>
        <w:t>in</w:t>
      </w:r>
      <w:proofErr w:type="gramEnd"/>
      <w:r w:rsidRPr="00C01F33">
        <w:rPr>
          <w:rFonts w:ascii="Times New Roman" w:hAnsi="Times New Roman" w:cs="Times New Roman"/>
          <w:color w:val="000000"/>
          <w:sz w:val="24"/>
          <w:szCs w:val="24"/>
        </w:rPr>
        <w:t xml:space="preserve"> </w:t>
      </w:r>
      <w:r w:rsidR="00A14332" w:rsidRPr="00C01F33">
        <w:rPr>
          <w:rFonts w:ascii="Times New Roman" w:hAnsi="Times New Roman" w:cs="Times New Roman"/>
          <w:color w:val="000000"/>
          <w:sz w:val="24"/>
          <w:szCs w:val="24"/>
        </w:rPr>
        <w:t xml:space="preserve">28 December </w:t>
      </w:r>
      <w:r w:rsidRPr="00C01F33">
        <w:rPr>
          <w:rFonts w:ascii="Times New Roman" w:hAnsi="Times New Roman" w:cs="Times New Roman"/>
          <w:color w:val="000000"/>
          <w:sz w:val="24"/>
          <w:szCs w:val="24"/>
        </w:rPr>
        <w:t>2022</w:t>
      </w:r>
      <w:r w:rsidR="00A14332" w:rsidRPr="00C01F33">
        <w:rPr>
          <w:rFonts w:ascii="Times New Roman" w:hAnsi="Times New Roman" w:cs="Times New Roman"/>
          <w:color w:val="000000"/>
          <w:sz w:val="24"/>
          <w:szCs w:val="24"/>
        </w:rPr>
        <w:t xml:space="preserve">. </w:t>
      </w:r>
      <w:r w:rsidR="00A14332" w:rsidRPr="00C01F33">
        <w:rPr>
          <w:rFonts w:ascii="Times New Roman" w:hAnsi="Times New Roman" w:cs="Times New Roman"/>
          <w:color w:val="0D0D0D"/>
          <w:sz w:val="24"/>
          <w:szCs w:val="24"/>
          <w:shd w:val="clear" w:color="auto" w:fill="FFFFFF"/>
        </w:rPr>
        <w:t>The organization was established to assist in defending, promoting, and supporting human rights and ensuring the rule of law in Azerbaijan. The union also seeks to play an active role in ensuring accountability of law enforcement agencies and courts in the field of human rights protection in Azerbaijan.</w:t>
      </w:r>
    </w:p>
    <w:p w14:paraId="04227595" w14:textId="77777777" w:rsidR="00102518" w:rsidRPr="00C01F33" w:rsidRDefault="00102518" w:rsidP="00102518">
      <w:pPr>
        <w:jc w:val="both"/>
        <w:rPr>
          <w:rFonts w:ascii="Times New Roman" w:hAnsi="Times New Roman" w:cs="Times New Roman"/>
          <w:color w:val="000000"/>
          <w:sz w:val="24"/>
          <w:szCs w:val="24"/>
        </w:rPr>
      </w:pPr>
    </w:p>
    <w:p w14:paraId="234715B0" w14:textId="2659CE04" w:rsidR="006E087A" w:rsidRPr="00C01F33" w:rsidRDefault="00102518" w:rsidP="00102518">
      <w:pPr>
        <w:jc w:val="both"/>
        <w:rPr>
          <w:rFonts w:ascii="Times New Roman" w:hAnsi="Times New Roman" w:cs="Times New Roman"/>
          <w:color w:val="000000"/>
          <w:sz w:val="24"/>
          <w:szCs w:val="24"/>
        </w:rPr>
      </w:pPr>
      <w:r w:rsidRPr="00C01F33">
        <w:rPr>
          <w:rFonts w:ascii="Times New Roman" w:hAnsi="Times New Roman" w:cs="Times New Roman"/>
          <w:color w:val="000000"/>
          <w:sz w:val="24"/>
          <w:szCs w:val="24"/>
        </w:rPr>
        <w:t xml:space="preserve">The </w:t>
      </w:r>
      <w:r w:rsidR="006E087A" w:rsidRPr="00C01F33">
        <w:rPr>
          <w:rFonts w:ascii="Times New Roman" w:hAnsi="Times New Roman" w:cs="Times New Roman"/>
          <w:color w:val="000000"/>
          <w:sz w:val="24"/>
          <w:szCs w:val="24"/>
        </w:rPr>
        <w:t xml:space="preserve">“Legal Protection of Human Rights” Public Association’s current alternative report has been prepared by chair of the Public Union Fariz Namazli. </w:t>
      </w:r>
    </w:p>
    <w:p w14:paraId="0F914565" w14:textId="3F925F13" w:rsidR="006B3AD4" w:rsidRPr="00C01F33" w:rsidRDefault="006B3AD4" w:rsidP="006B3AD4">
      <w:pPr>
        <w:shd w:val="clear" w:color="auto" w:fill="FFFFFF"/>
        <w:spacing w:before="100" w:beforeAutospacing="1" w:after="100" w:afterAutospacing="1"/>
        <w:jc w:val="both"/>
        <w:rPr>
          <w:rFonts w:ascii="Times New Roman" w:eastAsia="Times New Roman" w:hAnsi="Times New Roman" w:cs="Times New Roman"/>
          <w:color w:val="222222"/>
          <w:sz w:val="24"/>
          <w:szCs w:val="24"/>
          <w:lang w:eastAsia="ru-RU"/>
        </w:rPr>
      </w:pPr>
      <w:r w:rsidRPr="00C01F33">
        <w:rPr>
          <w:rFonts w:ascii="Times New Roman" w:eastAsia="Times New Roman" w:hAnsi="Times New Roman" w:cs="Times New Roman"/>
          <w:color w:val="222222"/>
          <w:sz w:val="24"/>
          <w:szCs w:val="24"/>
          <w:lang w:eastAsia="ru-RU"/>
        </w:rPr>
        <w:t xml:space="preserve">Fariz Namazli, is a human rights attorney, engaged in strategic court litigation, women's rights, property rights protection, right to liberty </w:t>
      </w:r>
      <w:proofErr w:type="gramStart"/>
      <w:r w:rsidRPr="00C01F33">
        <w:rPr>
          <w:rFonts w:ascii="Times New Roman" w:eastAsia="Times New Roman" w:hAnsi="Times New Roman" w:cs="Times New Roman"/>
          <w:color w:val="222222"/>
          <w:sz w:val="24"/>
          <w:szCs w:val="24"/>
          <w:lang w:eastAsia="ru-RU"/>
        </w:rPr>
        <w:t>and etc.</w:t>
      </w:r>
      <w:proofErr w:type="gramEnd"/>
      <w:r w:rsidRPr="00C01F33">
        <w:rPr>
          <w:rFonts w:ascii="Times New Roman" w:eastAsia="Times New Roman" w:hAnsi="Times New Roman" w:cs="Times New Roman"/>
          <w:color w:val="222222"/>
          <w:sz w:val="24"/>
          <w:szCs w:val="24"/>
          <w:lang w:eastAsia="ru-RU"/>
        </w:rPr>
        <w:t xml:space="preserve"> He has extensive experience in filing more than 100 individual complaints with the European Court of Human Rights and the UN Human Rights Committee.</w:t>
      </w:r>
    </w:p>
    <w:p w14:paraId="1BF5CECC" w14:textId="58D21C37" w:rsidR="00102518" w:rsidRPr="00C01F33" w:rsidRDefault="00102518" w:rsidP="00102518">
      <w:pPr>
        <w:rPr>
          <w:rFonts w:ascii="Times New Roman" w:hAnsi="Times New Roman" w:cs="Times New Roman"/>
          <w:color w:val="000000"/>
          <w:sz w:val="24"/>
          <w:szCs w:val="24"/>
        </w:rPr>
      </w:pPr>
    </w:p>
    <w:p w14:paraId="188E5167" w14:textId="77777777" w:rsidR="003C5ABB" w:rsidRPr="00C01F33" w:rsidRDefault="003C5ABB" w:rsidP="00102518">
      <w:pPr>
        <w:rPr>
          <w:rFonts w:ascii="Times New Roman" w:hAnsi="Times New Roman" w:cs="Times New Roman"/>
          <w:color w:val="000000"/>
          <w:sz w:val="24"/>
          <w:szCs w:val="24"/>
        </w:rPr>
      </w:pPr>
    </w:p>
    <w:p w14:paraId="3C8B2771" w14:textId="6E642389" w:rsidR="006E087A" w:rsidRPr="00C01F33" w:rsidRDefault="00C01F33" w:rsidP="00C01F33">
      <w:pPr>
        <w:jc w:val="both"/>
        <w:rPr>
          <w:rFonts w:ascii="Times New Roman" w:hAnsi="Times New Roman" w:cs="Times New Roman"/>
          <w:color w:val="000000"/>
          <w:sz w:val="24"/>
          <w:szCs w:val="24"/>
        </w:rPr>
      </w:pPr>
      <w:r w:rsidRPr="00C01F33">
        <w:rPr>
          <w:rFonts w:ascii="Times New Roman" w:hAnsi="Times New Roman" w:cs="Times New Roman"/>
          <w:color w:val="000000"/>
          <w:sz w:val="24"/>
          <w:szCs w:val="24"/>
        </w:rPr>
        <w:t xml:space="preserve">In </w:t>
      </w:r>
      <w:proofErr w:type="spellStart"/>
      <w:r w:rsidRPr="00C01F33">
        <w:rPr>
          <w:rFonts w:ascii="Times New Roman" w:hAnsi="Times New Roman" w:cs="Times New Roman"/>
          <w:color w:val="000000"/>
          <w:sz w:val="24"/>
          <w:szCs w:val="24"/>
        </w:rPr>
        <w:t>preparating</w:t>
      </w:r>
      <w:proofErr w:type="spellEnd"/>
      <w:r w:rsidRPr="00C01F33">
        <w:rPr>
          <w:rFonts w:ascii="Times New Roman" w:hAnsi="Times New Roman" w:cs="Times New Roman"/>
          <w:color w:val="000000"/>
          <w:sz w:val="24"/>
          <w:szCs w:val="24"/>
        </w:rPr>
        <w:t xml:space="preserve"> the alternative report was included in-depth analysis of relevant legislation pertaining to torture, thorough review of existing reports on human rights violations in Azerbaijan, continuous monitoring of media coverage related to torture incidents, and extensive consultation with legal experts, human rights advocates, and affected individuals. By utilizing such a multifaceted approach, the report aimed to provide a comprehensive and well-substantiated account of the prevalence of torture and the shortcomings in its prevention and prosecution within Azerbaijan.</w:t>
      </w:r>
    </w:p>
    <w:p w14:paraId="1ED5411A" w14:textId="77777777" w:rsidR="00C01F33" w:rsidRPr="00C01F33" w:rsidRDefault="00C01F33" w:rsidP="00102518">
      <w:pPr>
        <w:rPr>
          <w:rFonts w:ascii="Times New Roman" w:hAnsi="Times New Roman" w:cs="Times New Roman"/>
          <w:color w:val="000000"/>
          <w:sz w:val="24"/>
          <w:szCs w:val="24"/>
        </w:rPr>
      </w:pPr>
    </w:p>
    <w:p w14:paraId="0E5C5794" w14:textId="77777777" w:rsidR="00C01F33" w:rsidRPr="00C01F33" w:rsidRDefault="00C01F33" w:rsidP="00102518">
      <w:pPr>
        <w:rPr>
          <w:rFonts w:ascii="Times New Roman" w:hAnsi="Times New Roman" w:cs="Times New Roman"/>
          <w:color w:val="000000"/>
          <w:sz w:val="24"/>
          <w:szCs w:val="24"/>
        </w:rPr>
      </w:pPr>
    </w:p>
    <w:p w14:paraId="01F9D025" w14:textId="77777777" w:rsidR="00C01F33" w:rsidRDefault="00C01F33" w:rsidP="00102518">
      <w:pPr>
        <w:rPr>
          <w:rFonts w:ascii="Times New Roman" w:hAnsi="Times New Roman" w:cs="Times New Roman"/>
          <w:color w:val="000000"/>
          <w:sz w:val="24"/>
          <w:szCs w:val="24"/>
        </w:rPr>
      </w:pPr>
    </w:p>
    <w:p w14:paraId="2ED26C9A" w14:textId="77777777" w:rsidR="00C01F33" w:rsidRPr="00C01F33" w:rsidRDefault="00C01F33" w:rsidP="00102518">
      <w:pPr>
        <w:rPr>
          <w:rFonts w:ascii="Times New Roman" w:hAnsi="Times New Roman" w:cs="Times New Roman"/>
          <w:color w:val="000000"/>
          <w:sz w:val="24"/>
          <w:szCs w:val="24"/>
        </w:rPr>
      </w:pPr>
    </w:p>
    <w:p w14:paraId="05704F32" w14:textId="2EA0E9FB" w:rsidR="00102518" w:rsidRPr="00C01F33" w:rsidRDefault="00102518" w:rsidP="003C5ABB">
      <w:pPr>
        <w:jc w:val="both"/>
        <w:rPr>
          <w:rFonts w:ascii="Times New Roman" w:hAnsi="Times New Roman" w:cs="Times New Roman"/>
          <w:color w:val="000000"/>
          <w:sz w:val="24"/>
          <w:szCs w:val="24"/>
        </w:rPr>
      </w:pPr>
      <w:r w:rsidRPr="00C01F33">
        <w:rPr>
          <w:rFonts w:ascii="Times New Roman" w:hAnsi="Times New Roman" w:cs="Times New Roman"/>
          <w:color w:val="000000"/>
          <w:sz w:val="24"/>
          <w:szCs w:val="24"/>
        </w:rPr>
        <w:t xml:space="preserve">Contact: </w:t>
      </w:r>
      <w:r w:rsidR="006E087A" w:rsidRPr="00C01F33">
        <w:rPr>
          <w:rFonts w:ascii="Times New Roman" w:hAnsi="Times New Roman" w:cs="Times New Roman"/>
          <w:color w:val="000000"/>
          <w:sz w:val="24"/>
          <w:szCs w:val="24"/>
        </w:rPr>
        <w:t>Fariz NAMAZ</w:t>
      </w:r>
      <w:r w:rsidR="003C5ABB" w:rsidRPr="00C01F33">
        <w:rPr>
          <w:rFonts w:ascii="Times New Roman" w:hAnsi="Times New Roman" w:cs="Times New Roman"/>
          <w:color w:val="000000"/>
          <w:sz w:val="24"/>
          <w:szCs w:val="24"/>
        </w:rPr>
        <w:t>Lİ</w:t>
      </w:r>
      <w:r w:rsidRPr="00C01F33">
        <w:rPr>
          <w:rFonts w:ascii="Times New Roman" w:hAnsi="Times New Roman" w:cs="Times New Roman"/>
          <w:color w:val="000000"/>
          <w:sz w:val="24"/>
          <w:szCs w:val="24"/>
        </w:rPr>
        <w:t xml:space="preserve">, Chair of the </w:t>
      </w:r>
      <w:r w:rsidR="006E087A" w:rsidRPr="00C01F33">
        <w:rPr>
          <w:rFonts w:ascii="Times New Roman" w:hAnsi="Times New Roman" w:cs="Times New Roman"/>
          <w:color w:val="000000"/>
          <w:sz w:val="24"/>
          <w:szCs w:val="24"/>
        </w:rPr>
        <w:t>“Legal Protection of Human Rights” Public Association.</w:t>
      </w:r>
    </w:p>
    <w:p w14:paraId="0E6D0731" w14:textId="77777777" w:rsidR="006E087A" w:rsidRPr="00C01F33" w:rsidRDefault="00102518" w:rsidP="00102518">
      <w:pPr>
        <w:rPr>
          <w:rFonts w:ascii="Times New Roman" w:hAnsi="Times New Roman" w:cs="Times New Roman"/>
          <w:color w:val="000000"/>
          <w:sz w:val="24"/>
          <w:szCs w:val="24"/>
        </w:rPr>
      </w:pPr>
      <w:r w:rsidRPr="00C01F33">
        <w:rPr>
          <w:rFonts w:ascii="Times New Roman" w:hAnsi="Times New Roman" w:cs="Times New Roman"/>
          <w:color w:val="000000"/>
          <w:sz w:val="24"/>
          <w:szCs w:val="24"/>
        </w:rPr>
        <w:t>Tel: +994 (</w:t>
      </w:r>
      <w:r w:rsidR="006E087A" w:rsidRPr="00C01F33">
        <w:rPr>
          <w:rFonts w:ascii="Times New Roman" w:hAnsi="Times New Roman" w:cs="Times New Roman"/>
          <w:color w:val="000000"/>
          <w:sz w:val="24"/>
          <w:szCs w:val="24"/>
        </w:rPr>
        <w:t>50</w:t>
      </w:r>
      <w:r w:rsidRPr="00C01F33">
        <w:rPr>
          <w:rFonts w:ascii="Times New Roman" w:hAnsi="Times New Roman" w:cs="Times New Roman"/>
          <w:color w:val="000000"/>
          <w:sz w:val="24"/>
          <w:szCs w:val="24"/>
        </w:rPr>
        <w:t xml:space="preserve">) </w:t>
      </w:r>
      <w:r w:rsidR="006E087A" w:rsidRPr="00C01F33">
        <w:rPr>
          <w:rFonts w:ascii="Times New Roman" w:hAnsi="Times New Roman" w:cs="Times New Roman"/>
          <w:color w:val="000000"/>
          <w:sz w:val="24"/>
          <w:szCs w:val="24"/>
        </w:rPr>
        <w:t xml:space="preserve">292 86 24 </w:t>
      </w:r>
    </w:p>
    <w:p w14:paraId="2A980074" w14:textId="77777777" w:rsidR="006E087A" w:rsidRPr="00C01F33" w:rsidRDefault="00102518" w:rsidP="00102518">
      <w:pPr>
        <w:rPr>
          <w:rFonts w:ascii="Times New Roman" w:hAnsi="Times New Roman" w:cs="Times New Roman"/>
          <w:color w:val="000000"/>
          <w:sz w:val="24"/>
          <w:szCs w:val="24"/>
        </w:rPr>
      </w:pPr>
      <w:r w:rsidRPr="00C01F33">
        <w:rPr>
          <w:rFonts w:ascii="Times New Roman" w:hAnsi="Times New Roman" w:cs="Times New Roman"/>
          <w:color w:val="000000"/>
          <w:sz w:val="24"/>
          <w:szCs w:val="24"/>
        </w:rPr>
        <w:t>Email</w:t>
      </w:r>
      <w:r w:rsidR="006E087A" w:rsidRPr="00C01F33">
        <w:rPr>
          <w:rFonts w:ascii="Times New Roman" w:hAnsi="Times New Roman" w:cs="Times New Roman"/>
          <w:color w:val="000000"/>
          <w:sz w:val="24"/>
          <w:szCs w:val="24"/>
        </w:rPr>
        <w:t xml:space="preserve">: </w:t>
      </w:r>
      <w:hyperlink r:id="rId7" w:history="1">
        <w:r w:rsidR="006E087A" w:rsidRPr="00C01F33">
          <w:rPr>
            <w:rStyle w:val="Hyperlink"/>
            <w:rFonts w:ascii="Times New Roman" w:hAnsi="Times New Roman" w:cs="Times New Roman"/>
            <w:sz w:val="24"/>
            <w:szCs w:val="24"/>
          </w:rPr>
          <w:t>fmnamazov@gmail.com</w:t>
        </w:r>
      </w:hyperlink>
      <w:r w:rsidR="006E087A" w:rsidRPr="00C01F33">
        <w:rPr>
          <w:rFonts w:ascii="Times New Roman" w:hAnsi="Times New Roman" w:cs="Times New Roman"/>
          <w:color w:val="000000"/>
          <w:sz w:val="24"/>
          <w:szCs w:val="24"/>
        </w:rPr>
        <w:t xml:space="preserve"> </w:t>
      </w:r>
    </w:p>
    <w:p w14:paraId="72E70D5E" w14:textId="77777777" w:rsidR="006E087A" w:rsidRPr="00C01F33" w:rsidRDefault="006E087A" w:rsidP="006E087A">
      <w:pPr>
        <w:rPr>
          <w:rFonts w:ascii="Times New Roman" w:eastAsia="Calibri" w:hAnsi="Times New Roman" w:cs="Times New Roman"/>
          <w:b/>
          <w:sz w:val="24"/>
          <w:szCs w:val="24"/>
        </w:rPr>
      </w:pPr>
    </w:p>
    <w:p w14:paraId="68EBF9F3" w14:textId="77777777" w:rsidR="00C01F33" w:rsidRDefault="00C01F33" w:rsidP="006E087A">
      <w:pPr>
        <w:rPr>
          <w:rFonts w:ascii="Times New Roman" w:eastAsia="Calibri" w:hAnsi="Times New Roman" w:cs="Times New Roman"/>
          <w:b/>
          <w:sz w:val="24"/>
          <w:szCs w:val="24"/>
        </w:rPr>
      </w:pPr>
    </w:p>
    <w:p w14:paraId="2BBFFED9" w14:textId="77777777" w:rsidR="00C01F33" w:rsidRDefault="00C01F33" w:rsidP="006E087A">
      <w:pPr>
        <w:rPr>
          <w:rFonts w:ascii="Times New Roman" w:eastAsia="Calibri" w:hAnsi="Times New Roman" w:cs="Times New Roman"/>
          <w:b/>
          <w:sz w:val="24"/>
          <w:szCs w:val="24"/>
        </w:rPr>
      </w:pPr>
    </w:p>
    <w:p w14:paraId="4D6A93BB" w14:textId="77777777" w:rsidR="00C01F33" w:rsidRDefault="00C01F33" w:rsidP="006E087A">
      <w:pPr>
        <w:rPr>
          <w:rFonts w:ascii="Times New Roman" w:eastAsia="Calibri" w:hAnsi="Times New Roman" w:cs="Times New Roman"/>
          <w:b/>
          <w:sz w:val="24"/>
          <w:szCs w:val="24"/>
        </w:rPr>
      </w:pPr>
    </w:p>
    <w:p w14:paraId="2D82F4EA" w14:textId="77777777" w:rsidR="00C01F33" w:rsidRDefault="00C01F33" w:rsidP="006E087A">
      <w:pPr>
        <w:rPr>
          <w:rFonts w:ascii="Times New Roman" w:eastAsia="Calibri" w:hAnsi="Times New Roman" w:cs="Times New Roman"/>
          <w:b/>
          <w:sz w:val="24"/>
          <w:szCs w:val="24"/>
        </w:rPr>
      </w:pPr>
    </w:p>
    <w:p w14:paraId="0CAEBEDF" w14:textId="77777777" w:rsidR="00C01F33" w:rsidRDefault="00C01F33" w:rsidP="006E087A">
      <w:pPr>
        <w:rPr>
          <w:rFonts w:ascii="Times New Roman" w:eastAsia="Calibri" w:hAnsi="Times New Roman" w:cs="Times New Roman"/>
          <w:b/>
          <w:sz w:val="24"/>
          <w:szCs w:val="24"/>
        </w:rPr>
      </w:pPr>
    </w:p>
    <w:p w14:paraId="5A60F120" w14:textId="77777777" w:rsidR="00C01F33" w:rsidRDefault="00C01F33" w:rsidP="006E087A">
      <w:pPr>
        <w:rPr>
          <w:rFonts w:ascii="Times New Roman" w:eastAsia="Calibri" w:hAnsi="Times New Roman" w:cs="Times New Roman"/>
          <w:b/>
          <w:sz w:val="24"/>
          <w:szCs w:val="24"/>
        </w:rPr>
      </w:pPr>
    </w:p>
    <w:p w14:paraId="676E811F" w14:textId="77777777" w:rsidR="00C01F33" w:rsidRDefault="00C01F33" w:rsidP="006E087A">
      <w:pPr>
        <w:rPr>
          <w:rFonts w:ascii="Times New Roman" w:eastAsia="Calibri" w:hAnsi="Times New Roman" w:cs="Times New Roman"/>
          <w:b/>
          <w:sz w:val="24"/>
          <w:szCs w:val="24"/>
        </w:rPr>
      </w:pPr>
    </w:p>
    <w:p w14:paraId="0D86DEE0" w14:textId="540F3B9B" w:rsidR="00A06E6E" w:rsidRPr="00C01F33" w:rsidRDefault="003D6D67" w:rsidP="006E087A">
      <w:pPr>
        <w:rPr>
          <w:rFonts w:ascii="Times New Roman" w:eastAsia="Calibri" w:hAnsi="Times New Roman" w:cs="Times New Roman"/>
          <w:b/>
          <w:sz w:val="24"/>
          <w:szCs w:val="24"/>
        </w:rPr>
      </w:pPr>
      <w:r w:rsidRPr="00C01F33">
        <w:rPr>
          <w:rFonts w:ascii="Times New Roman" w:eastAsia="Calibri" w:hAnsi="Times New Roman" w:cs="Times New Roman"/>
          <w:b/>
          <w:sz w:val="24"/>
          <w:szCs w:val="24"/>
        </w:rPr>
        <w:lastRenderedPageBreak/>
        <w:t>Content:</w:t>
      </w:r>
    </w:p>
    <w:p w14:paraId="78BBBB7D" w14:textId="77777777" w:rsidR="006E087A" w:rsidRPr="00C01F33" w:rsidRDefault="006E087A" w:rsidP="006E087A">
      <w:pPr>
        <w:rPr>
          <w:rFonts w:ascii="Times New Roman" w:eastAsia="Calibri" w:hAnsi="Times New Roman" w:cs="Times New Roman"/>
          <w:b/>
          <w:sz w:val="24"/>
          <w:szCs w:val="24"/>
        </w:rPr>
      </w:pPr>
    </w:p>
    <w:p w14:paraId="0A2100F5" w14:textId="3DBCE550" w:rsidR="00A06E6E" w:rsidRPr="00C01F33" w:rsidRDefault="00000000" w:rsidP="003D6D67">
      <w:pPr>
        <w:pStyle w:val="ListParagraph"/>
        <w:numPr>
          <w:ilvl w:val="0"/>
          <w:numId w:val="1"/>
        </w:numPr>
        <w:rPr>
          <w:rFonts w:ascii="Times New Roman" w:eastAsia="Calibri" w:hAnsi="Times New Roman" w:cs="Times New Roman"/>
          <w:iCs/>
          <w:sz w:val="24"/>
          <w:szCs w:val="24"/>
        </w:rPr>
      </w:pPr>
      <w:r w:rsidRPr="00C01F33">
        <w:rPr>
          <w:rFonts w:ascii="Times New Roman" w:eastAsia="Calibri" w:hAnsi="Times New Roman" w:cs="Times New Roman"/>
          <w:iCs/>
          <w:sz w:val="24"/>
          <w:szCs w:val="24"/>
        </w:rPr>
        <w:t>Introduction</w:t>
      </w:r>
    </w:p>
    <w:p w14:paraId="2F2E78B8" w14:textId="77777777" w:rsidR="00A06E6E" w:rsidRPr="00C01F33" w:rsidRDefault="00000000">
      <w:pPr>
        <w:numPr>
          <w:ilvl w:val="0"/>
          <w:numId w:val="1"/>
        </w:numPr>
        <w:rPr>
          <w:rFonts w:ascii="Times New Roman" w:eastAsia="Calibri" w:hAnsi="Times New Roman" w:cs="Times New Roman"/>
          <w:iCs/>
          <w:sz w:val="24"/>
          <w:szCs w:val="24"/>
        </w:rPr>
      </w:pPr>
      <w:r w:rsidRPr="00C01F33">
        <w:rPr>
          <w:rFonts w:ascii="Times New Roman" w:eastAsia="Calibri" w:hAnsi="Times New Roman" w:cs="Times New Roman"/>
          <w:iCs/>
          <w:sz w:val="24"/>
          <w:szCs w:val="24"/>
        </w:rPr>
        <w:t>General Situation Regarding the Treatment of Complaints of Ill-treatment in Closed Institutions in the Country</w:t>
      </w:r>
    </w:p>
    <w:p w14:paraId="24D9E9C9" w14:textId="77777777" w:rsidR="00A06E6E" w:rsidRPr="00C01F33" w:rsidRDefault="00000000">
      <w:pPr>
        <w:numPr>
          <w:ilvl w:val="0"/>
          <w:numId w:val="1"/>
        </w:numPr>
        <w:rPr>
          <w:rFonts w:ascii="Times New Roman" w:eastAsia="Calibri" w:hAnsi="Times New Roman" w:cs="Times New Roman"/>
          <w:iCs/>
          <w:sz w:val="24"/>
          <w:szCs w:val="24"/>
        </w:rPr>
      </w:pPr>
      <w:r w:rsidRPr="00C01F33">
        <w:rPr>
          <w:rFonts w:ascii="Times New Roman" w:eastAsia="Calibri" w:hAnsi="Times New Roman" w:cs="Times New Roman"/>
          <w:iCs/>
          <w:sz w:val="24"/>
          <w:szCs w:val="24"/>
        </w:rPr>
        <w:t>Judgments of the European Court of Human Rights in Cases Related to Different Types of Ill-treatment in Closed Institutions</w:t>
      </w:r>
    </w:p>
    <w:p w14:paraId="4907296A" w14:textId="77777777" w:rsidR="003D6D67" w:rsidRPr="00C01F33" w:rsidRDefault="00000000" w:rsidP="003D6D67">
      <w:pPr>
        <w:numPr>
          <w:ilvl w:val="0"/>
          <w:numId w:val="1"/>
        </w:numPr>
        <w:rPr>
          <w:rFonts w:ascii="Times New Roman" w:eastAsia="Calibri" w:hAnsi="Times New Roman" w:cs="Times New Roman"/>
          <w:iCs/>
          <w:sz w:val="24"/>
          <w:szCs w:val="24"/>
        </w:rPr>
      </w:pPr>
      <w:r w:rsidRPr="00C01F33">
        <w:rPr>
          <w:rFonts w:ascii="Times New Roman" w:eastAsia="Calibri" w:hAnsi="Times New Roman" w:cs="Times New Roman"/>
          <w:iCs/>
          <w:sz w:val="24"/>
          <w:szCs w:val="24"/>
        </w:rPr>
        <w:t>Implementation of European Court Decisions on Complaints of Ill-treatment in Closed Institutions</w:t>
      </w:r>
    </w:p>
    <w:p w14:paraId="7F49EE86" w14:textId="5908FE0D" w:rsidR="00A06E6E" w:rsidRPr="00C01F33" w:rsidRDefault="00000000" w:rsidP="003D6D67">
      <w:pPr>
        <w:numPr>
          <w:ilvl w:val="0"/>
          <w:numId w:val="1"/>
        </w:numPr>
        <w:rPr>
          <w:rFonts w:ascii="Times New Roman" w:eastAsia="Calibri" w:hAnsi="Times New Roman" w:cs="Times New Roman"/>
          <w:iCs/>
          <w:sz w:val="24"/>
          <w:szCs w:val="24"/>
        </w:rPr>
      </w:pPr>
      <w:r w:rsidRPr="00C01F33">
        <w:rPr>
          <w:rFonts w:ascii="Times New Roman" w:eastAsia="Calibri" w:hAnsi="Times New Roman" w:cs="Times New Roman"/>
          <w:iCs/>
          <w:sz w:val="24"/>
          <w:szCs w:val="24"/>
        </w:rPr>
        <w:t>Conclusion and Recommendations</w:t>
      </w:r>
    </w:p>
    <w:p w14:paraId="52509239" w14:textId="77777777" w:rsidR="00A06E6E" w:rsidRPr="00C01F33" w:rsidRDefault="00A06E6E">
      <w:pPr>
        <w:rPr>
          <w:rFonts w:ascii="Times New Roman" w:eastAsia="Calibri" w:hAnsi="Times New Roman" w:cs="Times New Roman"/>
          <w:b/>
          <w:sz w:val="24"/>
          <w:szCs w:val="24"/>
        </w:rPr>
      </w:pPr>
    </w:p>
    <w:p w14:paraId="706A9896" w14:textId="77777777" w:rsidR="003D6D67" w:rsidRPr="00001432" w:rsidRDefault="003D6D67">
      <w:pPr>
        <w:rPr>
          <w:rFonts w:ascii="Times New Roman" w:eastAsia="Calibri" w:hAnsi="Times New Roman" w:cs="Times New Roman"/>
          <w:b/>
          <w:sz w:val="24"/>
          <w:szCs w:val="24"/>
        </w:rPr>
      </w:pPr>
    </w:p>
    <w:p w14:paraId="73A1905E" w14:textId="77777777" w:rsidR="00102518" w:rsidRPr="00001432" w:rsidRDefault="00102518">
      <w:pPr>
        <w:rPr>
          <w:rFonts w:ascii="Times New Roman" w:eastAsia="Calibri" w:hAnsi="Times New Roman" w:cs="Times New Roman"/>
          <w:b/>
          <w:sz w:val="24"/>
          <w:szCs w:val="24"/>
        </w:rPr>
      </w:pPr>
    </w:p>
    <w:p w14:paraId="78FAEC7A" w14:textId="77777777" w:rsidR="00102518" w:rsidRPr="00001432" w:rsidRDefault="00102518">
      <w:pPr>
        <w:rPr>
          <w:rFonts w:ascii="Times New Roman" w:eastAsia="Calibri" w:hAnsi="Times New Roman" w:cs="Times New Roman"/>
          <w:b/>
          <w:sz w:val="24"/>
          <w:szCs w:val="24"/>
        </w:rPr>
      </w:pPr>
    </w:p>
    <w:p w14:paraId="687F1C41" w14:textId="77777777" w:rsidR="00102518" w:rsidRPr="00001432" w:rsidRDefault="00102518">
      <w:pPr>
        <w:rPr>
          <w:rFonts w:ascii="Times New Roman" w:eastAsia="Calibri" w:hAnsi="Times New Roman" w:cs="Times New Roman"/>
          <w:b/>
          <w:sz w:val="24"/>
          <w:szCs w:val="24"/>
        </w:rPr>
      </w:pPr>
    </w:p>
    <w:p w14:paraId="16721114" w14:textId="77777777" w:rsidR="00102518" w:rsidRPr="00001432" w:rsidRDefault="00102518">
      <w:pPr>
        <w:rPr>
          <w:rFonts w:ascii="Times New Roman" w:eastAsia="Calibri" w:hAnsi="Times New Roman" w:cs="Times New Roman"/>
          <w:b/>
          <w:sz w:val="24"/>
          <w:szCs w:val="24"/>
        </w:rPr>
      </w:pPr>
    </w:p>
    <w:p w14:paraId="4CEBE516" w14:textId="77777777" w:rsidR="00102518" w:rsidRPr="00001432" w:rsidRDefault="00102518">
      <w:pPr>
        <w:rPr>
          <w:rFonts w:ascii="Times New Roman" w:eastAsia="Calibri" w:hAnsi="Times New Roman" w:cs="Times New Roman"/>
          <w:b/>
          <w:sz w:val="24"/>
          <w:szCs w:val="24"/>
        </w:rPr>
      </w:pPr>
    </w:p>
    <w:p w14:paraId="5790BDD0" w14:textId="77777777" w:rsidR="00102518" w:rsidRPr="00001432" w:rsidRDefault="00102518">
      <w:pPr>
        <w:rPr>
          <w:rFonts w:ascii="Times New Roman" w:eastAsia="Calibri" w:hAnsi="Times New Roman" w:cs="Times New Roman"/>
          <w:b/>
          <w:sz w:val="24"/>
          <w:szCs w:val="24"/>
        </w:rPr>
      </w:pPr>
    </w:p>
    <w:p w14:paraId="23AC0415" w14:textId="77777777" w:rsidR="00102518" w:rsidRPr="00001432" w:rsidRDefault="00102518">
      <w:pPr>
        <w:rPr>
          <w:rFonts w:ascii="Times New Roman" w:eastAsia="Calibri" w:hAnsi="Times New Roman" w:cs="Times New Roman"/>
          <w:b/>
          <w:sz w:val="24"/>
          <w:szCs w:val="24"/>
        </w:rPr>
      </w:pPr>
    </w:p>
    <w:p w14:paraId="482E296B" w14:textId="77777777" w:rsidR="00102518" w:rsidRPr="00001432" w:rsidRDefault="00102518">
      <w:pPr>
        <w:rPr>
          <w:rFonts w:ascii="Times New Roman" w:eastAsia="Calibri" w:hAnsi="Times New Roman" w:cs="Times New Roman"/>
          <w:b/>
          <w:sz w:val="24"/>
          <w:szCs w:val="24"/>
        </w:rPr>
      </w:pPr>
    </w:p>
    <w:p w14:paraId="16326B94" w14:textId="03E02E27" w:rsidR="006E087A" w:rsidRPr="00001432" w:rsidRDefault="00C01F33">
      <w:pPr>
        <w:rPr>
          <w:rFonts w:ascii="Times New Roman" w:eastAsia="Calibri" w:hAnsi="Times New Roman" w:cs="Times New Roman"/>
          <w:b/>
          <w:sz w:val="24"/>
          <w:szCs w:val="24"/>
        </w:rPr>
      </w:pPr>
      <w:r>
        <w:rPr>
          <w:rFonts w:ascii="Times New Roman" w:eastAsia="Calibri" w:hAnsi="Times New Roman" w:cs="Times New Roman"/>
          <w:b/>
          <w:sz w:val="24"/>
          <w:szCs w:val="24"/>
        </w:rPr>
        <w:br w:type="page"/>
      </w:r>
    </w:p>
    <w:p w14:paraId="7806852C" w14:textId="03683150" w:rsidR="00A06E6E" w:rsidRPr="00001432" w:rsidRDefault="00000000" w:rsidP="003D6D67">
      <w:pPr>
        <w:pStyle w:val="ListParagraph"/>
        <w:numPr>
          <w:ilvl w:val="0"/>
          <w:numId w:val="3"/>
        </w:numPr>
        <w:rPr>
          <w:rFonts w:ascii="Times New Roman" w:eastAsia="Calibri" w:hAnsi="Times New Roman" w:cs="Times New Roman"/>
          <w:b/>
          <w:sz w:val="24"/>
          <w:szCs w:val="24"/>
        </w:rPr>
      </w:pPr>
      <w:r w:rsidRPr="00001432">
        <w:rPr>
          <w:rFonts w:ascii="Times New Roman" w:eastAsia="Calibri" w:hAnsi="Times New Roman" w:cs="Times New Roman"/>
          <w:b/>
          <w:sz w:val="24"/>
          <w:szCs w:val="24"/>
        </w:rPr>
        <w:lastRenderedPageBreak/>
        <w:t>Introduction</w:t>
      </w:r>
    </w:p>
    <w:p w14:paraId="2D2FDB7A" w14:textId="77777777" w:rsidR="00A06E6E" w:rsidRPr="00001432" w:rsidRDefault="00A06E6E">
      <w:pPr>
        <w:rPr>
          <w:rFonts w:ascii="Times New Roman" w:eastAsia="Calibri" w:hAnsi="Times New Roman" w:cs="Times New Roman"/>
          <w:sz w:val="24"/>
          <w:szCs w:val="24"/>
        </w:rPr>
      </w:pPr>
    </w:p>
    <w:p w14:paraId="5BD25F5D" w14:textId="77777777" w:rsidR="003D6D67" w:rsidRPr="00001432" w:rsidRDefault="00000000" w:rsidP="003D6D67">
      <w:pPr>
        <w:pStyle w:val="ListParagraph"/>
        <w:numPr>
          <w:ilvl w:val="2"/>
          <w:numId w:val="1"/>
        </w:numPr>
        <w:ind w:left="284" w:hanging="284"/>
        <w:jc w:val="both"/>
        <w:rPr>
          <w:rFonts w:ascii="Times New Roman" w:eastAsia="Calibri" w:hAnsi="Times New Roman" w:cs="Times New Roman"/>
          <w:sz w:val="24"/>
          <w:szCs w:val="24"/>
        </w:rPr>
      </w:pPr>
      <w:r w:rsidRPr="00001432">
        <w:rPr>
          <w:rFonts w:ascii="Times New Roman" w:eastAsia="Calibri" w:hAnsi="Times New Roman" w:cs="Times New Roman"/>
          <w:sz w:val="24"/>
          <w:szCs w:val="24"/>
        </w:rPr>
        <w:t>Closed institutions have historically been hotspots for ill-treatment, encompassing torture, inhuman, and degrading treatment. In authoritarian regimes, such facilities often escape public oversight, leading to more widespread abuse. Azerbaijan is no exception in this regard.</w:t>
      </w:r>
    </w:p>
    <w:p w14:paraId="5DEEF8F9" w14:textId="77777777" w:rsidR="003D6D67" w:rsidRPr="00001432" w:rsidRDefault="00000000" w:rsidP="003D6D67">
      <w:pPr>
        <w:pStyle w:val="ListParagraph"/>
        <w:numPr>
          <w:ilvl w:val="2"/>
          <w:numId w:val="1"/>
        </w:numPr>
        <w:ind w:left="284" w:hanging="284"/>
        <w:jc w:val="both"/>
        <w:rPr>
          <w:rFonts w:ascii="Times New Roman" w:eastAsia="Calibri" w:hAnsi="Times New Roman" w:cs="Times New Roman"/>
          <w:sz w:val="24"/>
          <w:szCs w:val="24"/>
        </w:rPr>
      </w:pPr>
      <w:r w:rsidRPr="00001432">
        <w:rPr>
          <w:rFonts w:ascii="Times New Roman" w:eastAsia="Calibri" w:hAnsi="Times New Roman" w:cs="Times New Roman"/>
          <w:sz w:val="24"/>
          <w:szCs w:val="24"/>
        </w:rPr>
        <w:t>There is a lack of publicly available statistics on complaints of ill-treatment in closed institutions, including the outcomes of such complaints (whether upheld or dismissed) and accountability measures for perpetrators. Although exact figures on complaints filed with the European Court regarding ill-treatment are elusive, the rulings on these cases and their details are accessible to all.</w:t>
      </w:r>
      <w:bookmarkStart w:id="0" w:name="_gjdgxs" w:colFirst="0" w:colLast="0"/>
      <w:bookmarkEnd w:id="0"/>
    </w:p>
    <w:p w14:paraId="4F7C4290" w14:textId="076FB9B5" w:rsidR="00A06E6E" w:rsidRPr="00001432" w:rsidRDefault="00000000" w:rsidP="003D6D67">
      <w:pPr>
        <w:pStyle w:val="ListParagraph"/>
        <w:numPr>
          <w:ilvl w:val="2"/>
          <w:numId w:val="1"/>
        </w:numPr>
        <w:ind w:left="284" w:hanging="284"/>
        <w:jc w:val="both"/>
        <w:rPr>
          <w:rFonts w:ascii="Times New Roman" w:eastAsia="Calibri" w:hAnsi="Times New Roman" w:cs="Times New Roman"/>
          <w:sz w:val="24"/>
          <w:szCs w:val="24"/>
        </w:rPr>
      </w:pPr>
      <w:r w:rsidRPr="00001432">
        <w:rPr>
          <w:rFonts w:ascii="Times New Roman" w:eastAsia="Calibri" w:hAnsi="Times New Roman" w:cs="Times New Roman"/>
          <w:sz w:val="24"/>
          <w:szCs w:val="24"/>
        </w:rPr>
        <w:t>According to the most recent data released by the European Court of Human Rights (ECHR), sorted by country and article, Azerbaijan has seen a total of 61 violations related to Article 3. This includes 3 instances of torture, 32 of inhuman or degrading treatment or punishment, and 26 of failing to conduct an effective investigation under Article 3.</w:t>
      </w:r>
      <w:r w:rsidRPr="00001432">
        <w:rPr>
          <w:rFonts w:ascii="Times New Roman" w:hAnsi="Times New Roman" w:cs="Times New Roman"/>
          <w:sz w:val="24"/>
          <w:szCs w:val="24"/>
          <w:vertAlign w:val="superscript"/>
        </w:rPr>
        <w:footnoteReference w:id="1"/>
      </w:r>
      <w:r w:rsidRPr="00001432">
        <w:rPr>
          <w:rFonts w:ascii="Times New Roman" w:eastAsia="Calibri" w:hAnsi="Times New Roman" w:cs="Times New Roman"/>
          <w:sz w:val="24"/>
          <w:szCs w:val="24"/>
        </w:rPr>
        <w:t xml:space="preserve"> Notably, these figures represent the worst performance across the South Caucasus</w:t>
      </w:r>
      <w:r w:rsidRPr="00001432">
        <w:rPr>
          <w:rFonts w:ascii="Times New Roman" w:hAnsi="Times New Roman" w:cs="Times New Roman"/>
          <w:sz w:val="24"/>
          <w:szCs w:val="24"/>
          <w:vertAlign w:val="superscript"/>
        </w:rPr>
        <w:footnoteReference w:id="2"/>
      </w:r>
      <w:r w:rsidRPr="00001432">
        <w:rPr>
          <w:rFonts w:ascii="Times New Roman" w:eastAsia="Calibri" w:hAnsi="Times New Roman" w:cs="Times New Roman"/>
          <w:sz w:val="24"/>
          <w:szCs w:val="24"/>
        </w:rPr>
        <w:t xml:space="preserve"> (Chart</w:t>
      </w:r>
      <w:r w:rsidR="003D6D67" w:rsidRPr="00001432">
        <w:rPr>
          <w:rFonts w:ascii="Times New Roman" w:eastAsia="Calibri" w:hAnsi="Times New Roman" w:cs="Times New Roman"/>
          <w:sz w:val="24"/>
          <w:szCs w:val="24"/>
        </w:rPr>
        <w:t xml:space="preserve"> </w:t>
      </w:r>
      <w:r w:rsidRPr="00001432">
        <w:rPr>
          <w:rFonts w:ascii="Times New Roman" w:eastAsia="Calibri" w:hAnsi="Times New Roman" w:cs="Times New Roman"/>
          <w:sz w:val="24"/>
          <w:szCs w:val="24"/>
        </w:rPr>
        <w:t>1).</w:t>
      </w:r>
    </w:p>
    <w:p w14:paraId="6D1271AA" w14:textId="77777777" w:rsidR="00A06E6E" w:rsidRPr="00001432" w:rsidRDefault="00000000">
      <w:pPr>
        <w:widowControl w:val="0"/>
        <w:spacing w:before="200"/>
        <w:jc w:val="both"/>
        <w:rPr>
          <w:rFonts w:ascii="Times New Roman" w:eastAsia="Calibri" w:hAnsi="Times New Roman" w:cs="Times New Roman"/>
          <w:i/>
          <w:sz w:val="24"/>
          <w:szCs w:val="24"/>
        </w:rPr>
      </w:pPr>
      <w:r w:rsidRPr="00001432">
        <w:rPr>
          <w:rFonts w:ascii="Times New Roman" w:eastAsia="Calibri" w:hAnsi="Times New Roman" w:cs="Times New Roman"/>
          <w:i/>
          <w:noProof/>
          <w:sz w:val="24"/>
          <w:szCs w:val="24"/>
        </w:rPr>
        <w:drawing>
          <wp:inline distT="114300" distB="114300" distL="114300" distR="114300" wp14:anchorId="4F42B683" wp14:editId="4D608DD1">
            <wp:extent cx="5731200" cy="3441700"/>
            <wp:effectExtent l="0" t="0" r="0" b="0"/>
            <wp:docPr id="1"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8"/>
                    <a:srcRect/>
                    <a:stretch>
                      <a:fillRect/>
                    </a:stretch>
                  </pic:blipFill>
                  <pic:spPr>
                    <a:xfrm>
                      <a:off x="0" y="0"/>
                      <a:ext cx="5731200" cy="3441700"/>
                    </a:xfrm>
                    <a:prstGeom prst="rect">
                      <a:avLst/>
                    </a:prstGeom>
                    <a:ln/>
                  </pic:spPr>
                </pic:pic>
              </a:graphicData>
            </a:graphic>
          </wp:inline>
        </w:drawing>
      </w:r>
    </w:p>
    <w:p w14:paraId="3D34A6AF" w14:textId="1A1FD4BC" w:rsidR="00A06E6E" w:rsidRPr="00001432" w:rsidRDefault="00000000" w:rsidP="003D6D67">
      <w:pPr>
        <w:widowControl w:val="0"/>
        <w:spacing w:before="200"/>
        <w:jc w:val="center"/>
        <w:rPr>
          <w:rFonts w:ascii="Times New Roman" w:eastAsia="Calibri" w:hAnsi="Times New Roman" w:cs="Times New Roman"/>
          <w:i/>
          <w:sz w:val="24"/>
          <w:szCs w:val="24"/>
        </w:rPr>
      </w:pPr>
      <w:r w:rsidRPr="00001432">
        <w:rPr>
          <w:rFonts w:ascii="Times New Roman" w:eastAsia="Calibri" w:hAnsi="Times New Roman" w:cs="Times New Roman"/>
          <w:i/>
          <w:sz w:val="24"/>
          <w:szCs w:val="24"/>
        </w:rPr>
        <w:t>Chart 1.</w:t>
      </w:r>
    </w:p>
    <w:p w14:paraId="3AA73D32" w14:textId="77777777" w:rsidR="003D6D67" w:rsidRPr="00001432" w:rsidRDefault="003D6D67">
      <w:pPr>
        <w:jc w:val="both"/>
        <w:rPr>
          <w:rFonts w:ascii="Times New Roman" w:eastAsia="Calibri" w:hAnsi="Times New Roman" w:cs="Times New Roman"/>
          <w:sz w:val="24"/>
          <w:szCs w:val="24"/>
        </w:rPr>
      </w:pPr>
    </w:p>
    <w:p w14:paraId="27EB6610" w14:textId="294FADD0" w:rsidR="00A06E6E" w:rsidRPr="00001432" w:rsidRDefault="00000000" w:rsidP="003D6D67">
      <w:pPr>
        <w:pStyle w:val="ListParagraph"/>
        <w:numPr>
          <w:ilvl w:val="2"/>
          <w:numId w:val="1"/>
        </w:numPr>
        <w:ind w:left="284" w:hanging="284"/>
        <w:jc w:val="both"/>
        <w:rPr>
          <w:rFonts w:ascii="Times New Roman" w:eastAsia="Calibri" w:hAnsi="Times New Roman" w:cs="Times New Roman"/>
          <w:sz w:val="24"/>
          <w:szCs w:val="24"/>
        </w:rPr>
      </w:pPr>
      <w:r w:rsidRPr="00001432">
        <w:rPr>
          <w:rFonts w:ascii="Times New Roman" w:eastAsia="Calibri" w:hAnsi="Times New Roman" w:cs="Times New Roman"/>
          <w:sz w:val="24"/>
          <w:szCs w:val="24"/>
        </w:rPr>
        <w:t xml:space="preserve">The Council of Europe's Committee for the Prevention of Torture (CPT) has observed that the risk of intimidation and physical ill-treatment peaks immediately following an </w:t>
      </w:r>
      <w:r w:rsidRPr="00001432">
        <w:rPr>
          <w:rFonts w:ascii="Times New Roman" w:eastAsia="Calibri" w:hAnsi="Times New Roman" w:cs="Times New Roman"/>
          <w:sz w:val="24"/>
          <w:szCs w:val="24"/>
        </w:rPr>
        <w:lastRenderedPageBreak/>
        <w:t>individual’s deprivation of liberty</w:t>
      </w:r>
      <w:r w:rsidRPr="00001432">
        <w:rPr>
          <w:rFonts w:ascii="Times New Roman" w:hAnsi="Times New Roman" w:cs="Times New Roman"/>
          <w:sz w:val="24"/>
          <w:szCs w:val="24"/>
          <w:vertAlign w:val="superscript"/>
        </w:rPr>
        <w:footnoteReference w:id="3"/>
      </w:r>
      <w:r w:rsidRPr="00001432">
        <w:rPr>
          <w:rFonts w:ascii="Times New Roman" w:eastAsia="Calibri" w:hAnsi="Times New Roman" w:cs="Times New Roman"/>
          <w:sz w:val="24"/>
          <w:szCs w:val="24"/>
        </w:rPr>
        <w:t>. Moreover, the risk of deliberate ill-treatment is notably higher in police stations than in other detention facilities.</w:t>
      </w:r>
      <w:r w:rsidRPr="00001432">
        <w:rPr>
          <w:rFonts w:ascii="Times New Roman" w:hAnsi="Times New Roman" w:cs="Times New Roman"/>
          <w:sz w:val="24"/>
          <w:szCs w:val="24"/>
          <w:vertAlign w:val="superscript"/>
        </w:rPr>
        <w:footnoteReference w:id="4"/>
      </w:r>
      <w:r w:rsidRPr="00001432">
        <w:rPr>
          <w:rFonts w:ascii="Times New Roman" w:eastAsia="Calibri" w:hAnsi="Times New Roman" w:cs="Times New Roman"/>
          <w:sz w:val="24"/>
          <w:szCs w:val="24"/>
        </w:rPr>
        <w:t xml:space="preserve"> Reports from both the CPT</w:t>
      </w:r>
      <w:r w:rsidRPr="00001432">
        <w:rPr>
          <w:rFonts w:ascii="Times New Roman" w:hAnsi="Times New Roman" w:cs="Times New Roman"/>
          <w:sz w:val="24"/>
          <w:szCs w:val="24"/>
          <w:vertAlign w:val="superscript"/>
        </w:rPr>
        <w:footnoteReference w:id="5"/>
      </w:r>
      <w:r w:rsidRPr="00001432">
        <w:rPr>
          <w:rFonts w:ascii="Times New Roman" w:eastAsia="Calibri" w:hAnsi="Times New Roman" w:cs="Times New Roman"/>
          <w:sz w:val="24"/>
          <w:szCs w:val="24"/>
        </w:rPr>
        <w:t xml:space="preserve"> and the U.S. State Department</w:t>
      </w:r>
      <w:r w:rsidRPr="00001432">
        <w:rPr>
          <w:rFonts w:ascii="Times New Roman" w:hAnsi="Times New Roman" w:cs="Times New Roman"/>
          <w:sz w:val="24"/>
          <w:szCs w:val="24"/>
          <w:vertAlign w:val="superscript"/>
        </w:rPr>
        <w:footnoteReference w:id="6"/>
      </w:r>
      <w:r w:rsidRPr="00001432">
        <w:rPr>
          <w:rFonts w:ascii="Times New Roman" w:eastAsia="Calibri" w:hAnsi="Times New Roman" w:cs="Times New Roman"/>
          <w:sz w:val="24"/>
          <w:szCs w:val="24"/>
        </w:rPr>
        <w:t xml:space="preserve"> indicate that </w:t>
      </w:r>
      <w:proofErr w:type="gramStart"/>
      <w:r w:rsidRPr="00001432">
        <w:rPr>
          <w:rFonts w:ascii="Times New Roman" w:eastAsia="Calibri" w:hAnsi="Times New Roman" w:cs="Times New Roman"/>
          <w:sz w:val="24"/>
          <w:szCs w:val="24"/>
        </w:rPr>
        <w:t>the majority of</w:t>
      </w:r>
      <w:proofErr w:type="gramEnd"/>
      <w:r w:rsidRPr="00001432">
        <w:rPr>
          <w:rFonts w:ascii="Times New Roman" w:eastAsia="Calibri" w:hAnsi="Times New Roman" w:cs="Times New Roman"/>
          <w:sz w:val="24"/>
          <w:szCs w:val="24"/>
        </w:rPr>
        <w:t xml:space="preserve"> ill-treatment in Azerbaijan occurs within closed settings.</w:t>
      </w:r>
    </w:p>
    <w:p w14:paraId="69B2F052" w14:textId="77777777" w:rsidR="00A06E6E" w:rsidRPr="00001432" w:rsidRDefault="00A06E6E">
      <w:pPr>
        <w:jc w:val="both"/>
        <w:rPr>
          <w:rFonts w:ascii="Times New Roman" w:eastAsia="Calibri" w:hAnsi="Times New Roman" w:cs="Times New Roman"/>
          <w:sz w:val="24"/>
          <w:szCs w:val="24"/>
        </w:rPr>
      </w:pPr>
    </w:p>
    <w:p w14:paraId="10BA5F3F" w14:textId="76DF22EC" w:rsidR="00A06E6E" w:rsidRPr="00001432" w:rsidRDefault="00000000" w:rsidP="003D6D67">
      <w:pPr>
        <w:pStyle w:val="ListParagraph"/>
        <w:numPr>
          <w:ilvl w:val="0"/>
          <w:numId w:val="4"/>
        </w:numPr>
        <w:jc w:val="both"/>
        <w:rPr>
          <w:rFonts w:ascii="Times New Roman" w:eastAsia="Calibri" w:hAnsi="Times New Roman" w:cs="Times New Roman"/>
          <w:b/>
          <w:sz w:val="24"/>
          <w:szCs w:val="24"/>
        </w:rPr>
      </w:pPr>
      <w:r w:rsidRPr="00001432">
        <w:rPr>
          <w:rFonts w:ascii="Times New Roman" w:eastAsia="Calibri" w:hAnsi="Times New Roman" w:cs="Times New Roman"/>
          <w:b/>
          <w:sz w:val="24"/>
          <w:szCs w:val="24"/>
        </w:rPr>
        <w:t>Statistics</w:t>
      </w:r>
    </w:p>
    <w:p w14:paraId="58E4A51D" w14:textId="77777777" w:rsidR="00A06E6E" w:rsidRPr="00001432" w:rsidRDefault="00A06E6E">
      <w:pPr>
        <w:jc w:val="both"/>
        <w:rPr>
          <w:rFonts w:ascii="Times New Roman" w:eastAsia="Calibri" w:hAnsi="Times New Roman" w:cs="Times New Roman"/>
          <w:sz w:val="24"/>
          <w:szCs w:val="24"/>
        </w:rPr>
      </w:pPr>
    </w:p>
    <w:p w14:paraId="43E6BBCB" w14:textId="77777777" w:rsidR="003D6D67" w:rsidRPr="00001432" w:rsidRDefault="00000000" w:rsidP="003D6D67">
      <w:pPr>
        <w:pStyle w:val="ListParagraph"/>
        <w:numPr>
          <w:ilvl w:val="2"/>
          <w:numId w:val="1"/>
        </w:numPr>
        <w:ind w:left="284" w:hanging="284"/>
        <w:jc w:val="both"/>
        <w:rPr>
          <w:rFonts w:ascii="Times New Roman" w:eastAsia="Calibri" w:hAnsi="Times New Roman" w:cs="Times New Roman"/>
          <w:sz w:val="24"/>
          <w:szCs w:val="24"/>
        </w:rPr>
      </w:pPr>
      <w:r w:rsidRPr="00001432">
        <w:rPr>
          <w:rFonts w:ascii="Times New Roman" w:eastAsia="Calibri" w:hAnsi="Times New Roman" w:cs="Times New Roman"/>
          <w:sz w:val="24"/>
          <w:szCs w:val="24"/>
        </w:rPr>
        <w:t>While the Republic of Azerbaijan maintains records of crimes committed within its borders, specific statistics on cases of ill-treatment are notably absent.</w:t>
      </w:r>
      <w:r w:rsidRPr="00001432">
        <w:rPr>
          <w:rFonts w:ascii="Times New Roman" w:hAnsi="Times New Roman" w:cs="Times New Roman"/>
          <w:sz w:val="24"/>
          <w:szCs w:val="24"/>
          <w:vertAlign w:val="superscript"/>
        </w:rPr>
        <w:footnoteReference w:id="7"/>
      </w:r>
    </w:p>
    <w:p w14:paraId="6530C851" w14:textId="77777777" w:rsidR="003D6D67" w:rsidRPr="00001432" w:rsidRDefault="00000000" w:rsidP="003D6D67">
      <w:pPr>
        <w:pStyle w:val="ListParagraph"/>
        <w:numPr>
          <w:ilvl w:val="2"/>
          <w:numId w:val="1"/>
        </w:numPr>
        <w:ind w:left="284" w:hanging="284"/>
        <w:jc w:val="both"/>
        <w:rPr>
          <w:rFonts w:ascii="Times New Roman" w:eastAsia="Calibri" w:hAnsi="Times New Roman" w:cs="Times New Roman"/>
          <w:sz w:val="24"/>
          <w:szCs w:val="24"/>
        </w:rPr>
      </w:pPr>
      <w:r w:rsidRPr="00001432">
        <w:rPr>
          <w:rFonts w:ascii="Times New Roman" w:eastAsia="Calibri" w:hAnsi="Times New Roman" w:cs="Times New Roman"/>
          <w:sz w:val="24"/>
          <w:szCs w:val="24"/>
        </w:rPr>
        <w:t>The statistics regarding complaints of ill-treatment in closed institutions, encompassing decisions made on these complaints (whether they are upheld or dismissed), and accountability for the individuals involved, can only be gleaned from reports on Azerbaijan and the government's responses to these reports.</w:t>
      </w:r>
    </w:p>
    <w:p w14:paraId="6105BD79" w14:textId="77777777" w:rsidR="003D6D67" w:rsidRPr="00001432" w:rsidRDefault="00000000" w:rsidP="003D6D67">
      <w:pPr>
        <w:pStyle w:val="ListParagraph"/>
        <w:numPr>
          <w:ilvl w:val="2"/>
          <w:numId w:val="1"/>
        </w:numPr>
        <w:ind w:left="284" w:hanging="284"/>
        <w:jc w:val="both"/>
        <w:rPr>
          <w:rFonts w:ascii="Times New Roman" w:eastAsia="Calibri" w:hAnsi="Times New Roman" w:cs="Times New Roman"/>
          <w:sz w:val="24"/>
          <w:szCs w:val="24"/>
        </w:rPr>
      </w:pPr>
      <w:r w:rsidRPr="00001432">
        <w:rPr>
          <w:rFonts w:ascii="Times New Roman" w:eastAsia="Calibri" w:hAnsi="Times New Roman" w:cs="Times New Roman"/>
          <w:sz w:val="24"/>
          <w:szCs w:val="24"/>
        </w:rPr>
        <w:t>The 2018 report by the Committee for the Prevention of Torture (CPT) highlighted that the Azerbaijani authorities declined to authorize the publication of reports pertaining to its visits in 2012, 2013, 2015, and 2016, citing that the matter was still under consideration.</w:t>
      </w:r>
      <w:r w:rsidRPr="00001432">
        <w:rPr>
          <w:rFonts w:ascii="Times New Roman" w:hAnsi="Times New Roman" w:cs="Times New Roman"/>
          <w:sz w:val="24"/>
          <w:szCs w:val="24"/>
          <w:vertAlign w:val="superscript"/>
        </w:rPr>
        <w:footnoteReference w:id="8"/>
      </w:r>
      <w:r w:rsidRPr="00001432">
        <w:rPr>
          <w:rFonts w:ascii="Times New Roman" w:eastAsia="Calibri" w:hAnsi="Times New Roman" w:cs="Times New Roman"/>
          <w:sz w:val="24"/>
          <w:szCs w:val="24"/>
        </w:rPr>
        <w:t xml:space="preserve"> There was mention of the need to facilitate discussions on the publication of the CPT reports.</w:t>
      </w:r>
      <w:r w:rsidRPr="00001432">
        <w:rPr>
          <w:rFonts w:ascii="Times New Roman" w:hAnsi="Times New Roman" w:cs="Times New Roman"/>
          <w:sz w:val="24"/>
          <w:szCs w:val="24"/>
          <w:vertAlign w:val="superscript"/>
        </w:rPr>
        <w:footnoteReference w:id="9"/>
      </w:r>
      <w:r w:rsidRPr="00001432">
        <w:rPr>
          <w:rFonts w:ascii="Times New Roman" w:eastAsia="Calibri" w:hAnsi="Times New Roman" w:cs="Times New Roman"/>
          <w:sz w:val="24"/>
          <w:szCs w:val="24"/>
        </w:rPr>
        <w:t xml:space="preserve"> Despite Azerbaijan's declaration in 2019 to publicly release the CPT's findings,</w:t>
      </w:r>
      <w:r w:rsidRPr="00001432">
        <w:rPr>
          <w:rFonts w:ascii="Times New Roman" w:hAnsi="Times New Roman" w:cs="Times New Roman"/>
          <w:sz w:val="24"/>
          <w:szCs w:val="24"/>
          <w:vertAlign w:val="superscript"/>
        </w:rPr>
        <w:footnoteReference w:id="10"/>
      </w:r>
      <w:r w:rsidRPr="00001432">
        <w:rPr>
          <w:rFonts w:ascii="Times New Roman" w:eastAsia="Calibri" w:hAnsi="Times New Roman" w:cs="Times New Roman"/>
          <w:sz w:val="24"/>
          <w:szCs w:val="24"/>
        </w:rPr>
        <w:t xml:space="preserve"> the reports </w:t>
      </w:r>
      <w:r w:rsidRPr="00001432">
        <w:rPr>
          <w:rFonts w:ascii="Times New Roman" w:eastAsia="Calibri" w:hAnsi="Times New Roman" w:cs="Times New Roman"/>
          <w:sz w:val="24"/>
          <w:szCs w:val="24"/>
        </w:rPr>
        <w:lastRenderedPageBreak/>
        <w:t>from the committee's visits in late 2020 and 2022</w:t>
      </w:r>
      <w:r w:rsidRPr="00001432">
        <w:rPr>
          <w:rFonts w:ascii="Times New Roman" w:hAnsi="Times New Roman" w:cs="Times New Roman"/>
          <w:sz w:val="24"/>
          <w:szCs w:val="24"/>
          <w:vertAlign w:val="superscript"/>
        </w:rPr>
        <w:footnoteReference w:id="11"/>
      </w:r>
      <w:r w:rsidRPr="00001432">
        <w:rPr>
          <w:rFonts w:ascii="Times New Roman" w:eastAsia="Calibri" w:hAnsi="Times New Roman" w:cs="Times New Roman"/>
          <w:sz w:val="24"/>
          <w:szCs w:val="24"/>
        </w:rPr>
        <w:t xml:space="preserve"> remain unpublished.</w:t>
      </w:r>
      <w:r w:rsidRPr="00001432">
        <w:rPr>
          <w:rFonts w:ascii="Times New Roman" w:hAnsi="Times New Roman" w:cs="Times New Roman"/>
          <w:sz w:val="24"/>
          <w:szCs w:val="24"/>
          <w:vertAlign w:val="superscript"/>
        </w:rPr>
        <w:footnoteReference w:id="12"/>
      </w:r>
      <w:r w:rsidRPr="00001432">
        <w:rPr>
          <w:rFonts w:ascii="Times New Roman" w:eastAsia="Calibri" w:hAnsi="Times New Roman" w:cs="Times New Roman"/>
          <w:sz w:val="24"/>
          <w:szCs w:val="24"/>
        </w:rPr>
        <w:t xml:space="preserve"> In comparison, neighboring states Armenia and Georgia last released reports on CPT visits for the years 2019</w:t>
      </w:r>
      <w:r w:rsidRPr="00001432">
        <w:rPr>
          <w:rFonts w:ascii="Times New Roman" w:hAnsi="Times New Roman" w:cs="Times New Roman"/>
          <w:sz w:val="24"/>
          <w:szCs w:val="24"/>
          <w:vertAlign w:val="superscript"/>
        </w:rPr>
        <w:footnoteReference w:id="13"/>
      </w:r>
      <w:r w:rsidRPr="00001432">
        <w:rPr>
          <w:rFonts w:ascii="Times New Roman" w:eastAsia="Calibri" w:hAnsi="Times New Roman" w:cs="Times New Roman"/>
          <w:sz w:val="24"/>
          <w:szCs w:val="24"/>
        </w:rPr>
        <w:t xml:space="preserve"> and 2023</w:t>
      </w:r>
      <w:r w:rsidRPr="00001432">
        <w:rPr>
          <w:rFonts w:ascii="Times New Roman" w:hAnsi="Times New Roman" w:cs="Times New Roman"/>
          <w:sz w:val="24"/>
          <w:szCs w:val="24"/>
          <w:vertAlign w:val="superscript"/>
        </w:rPr>
        <w:footnoteReference w:id="14"/>
      </w:r>
      <w:r w:rsidRPr="00001432">
        <w:rPr>
          <w:rFonts w:ascii="Times New Roman" w:eastAsia="Calibri" w:hAnsi="Times New Roman" w:cs="Times New Roman"/>
          <w:sz w:val="24"/>
          <w:szCs w:val="24"/>
        </w:rPr>
        <w:t>, respectively.</w:t>
      </w:r>
    </w:p>
    <w:p w14:paraId="4509CD56" w14:textId="77777777" w:rsidR="003D6D67" w:rsidRPr="00001432" w:rsidRDefault="00000000" w:rsidP="003D6D67">
      <w:pPr>
        <w:pStyle w:val="ListParagraph"/>
        <w:numPr>
          <w:ilvl w:val="2"/>
          <w:numId w:val="1"/>
        </w:numPr>
        <w:ind w:left="284" w:hanging="284"/>
        <w:jc w:val="both"/>
        <w:rPr>
          <w:rFonts w:ascii="Times New Roman" w:eastAsia="Calibri" w:hAnsi="Times New Roman" w:cs="Times New Roman"/>
          <w:sz w:val="24"/>
          <w:szCs w:val="24"/>
        </w:rPr>
      </w:pPr>
      <w:r w:rsidRPr="00001432">
        <w:rPr>
          <w:rFonts w:ascii="Times New Roman" w:eastAsia="Calibri" w:hAnsi="Times New Roman" w:cs="Times New Roman"/>
          <w:sz w:val="24"/>
          <w:szCs w:val="24"/>
        </w:rPr>
        <w:t>The UN Committee Against Torture expresses concern over the 334 complaints to the Penitentiary Service and the 984 complaints to the Ministry of Internal Affairs between 2009 and 2013, as well as the 678 complaints received by the Prosecutor's Office, all alleging torture or ill-treatment by staff. Despite these numerous complaints, the state's report from 2010 to 2015 indicated that no one had been criminally prosecuted, leading the Committee to conclude that allegations of torture were not investigated in a timely, efficient, or impartial manner.</w:t>
      </w:r>
      <w:r w:rsidRPr="00001432">
        <w:rPr>
          <w:rFonts w:ascii="Times New Roman" w:hAnsi="Times New Roman" w:cs="Times New Roman"/>
          <w:sz w:val="24"/>
          <w:szCs w:val="24"/>
          <w:vertAlign w:val="superscript"/>
        </w:rPr>
        <w:footnoteReference w:id="15"/>
      </w:r>
    </w:p>
    <w:p w14:paraId="7F66B8DC" w14:textId="113F50C2" w:rsidR="00A06E6E" w:rsidRPr="00001432" w:rsidRDefault="00000000" w:rsidP="003D6D67">
      <w:pPr>
        <w:pStyle w:val="ListParagraph"/>
        <w:numPr>
          <w:ilvl w:val="2"/>
          <w:numId w:val="1"/>
        </w:numPr>
        <w:ind w:left="284" w:hanging="284"/>
        <w:jc w:val="both"/>
        <w:rPr>
          <w:rFonts w:ascii="Times New Roman" w:eastAsia="Calibri" w:hAnsi="Times New Roman" w:cs="Times New Roman"/>
          <w:sz w:val="24"/>
          <w:szCs w:val="24"/>
        </w:rPr>
      </w:pPr>
      <w:r w:rsidRPr="00001432">
        <w:rPr>
          <w:rFonts w:ascii="Times New Roman" w:eastAsia="Calibri" w:hAnsi="Times New Roman" w:cs="Times New Roman"/>
          <w:sz w:val="24"/>
          <w:szCs w:val="24"/>
        </w:rPr>
        <w:t>According to the most recent report made public from the Committee for the Prevention of Torture (CPT)'s 2018 visit to Azerbaijan, official statistics provided by the Azerbaijani government at the start of the visit reveal that there have been no recent convictions of law enforcement officials for torture or other forms of ill-treatment. This lack of convictions is notable across the entire Council of Europe, indicating a unique situation in Azerbaijan. However, this circumstance is concerning given the substantial number of credible allegations of ill-treatment received by the Committee, both currently and historically.</w:t>
      </w:r>
      <w:r w:rsidRPr="00001432">
        <w:rPr>
          <w:rFonts w:ascii="Times New Roman" w:hAnsi="Times New Roman" w:cs="Times New Roman"/>
          <w:sz w:val="24"/>
          <w:szCs w:val="24"/>
          <w:vertAlign w:val="superscript"/>
        </w:rPr>
        <w:footnoteReference w:id="16"/>
      </w:r>
    </w:p>
    <w:p w14:paraId="22CED8BE" w14:textId="77777777" w:rsidR="00A06E6E" w:rsidRPr="00001432" w:rsidRDefault="00A06E6E">
      <w:pPr>
        <w:jc w:val="both"/>
        <w:rPr>
          <w:rFonts w:ascii="Times New Roman" w:eastAsia="Calibri" w:hAnsi="Times New Roman" w:cs="Times New Roman"/>
          <w:sz w:val="24"/>
          <w:szCs w:val="24"/>
        </w:rPr>
      </w:pPr>
    </w:p>
    <w:p w14:paraId="745DBE92" w14:textId="1BB3D226" w:rsidR="00A06E6E" w:rsidRPr="00001432" w:rsidRDefault="00000000" w:rsidP="003D6D67">
      <w:pPr>
        <w:pStyle w:val="ListParagraph"/>
        <w:numPr>
          <w:ilvl w:val="0"/>
          <w:numId w:val="4"/>
        </w:numPr>
        <w:jc w:val="both"/>
        <w:rPr>
          <w:rFonts w:ascii="Times New Roman" w:eastAsia="Calibri" w:hAnsi="Times New Roman" w:cs="Times New Roman"/>
          <w:b/>
          <w:sz w:val="24"/>
          <w:szCs w:val="24"/>
        </w:rPr>
      </w:pPr>
      <w:r w:rsidRPr="00001432">
        <w:rPr>
          <w:rFonts w:ascii="Times New Roman" w:eastAsia="Calibri" w:hAnsi="Times New Roman" w:cs="Times New Roman"/>
          <w:b/>
          <w:sz w:val="24"/>
          <w:szCs w:val="24"/>
        </w:rPr>
        <w:t>Statements from State Agencies on Such Claims</w:t>
      </w:r>
    </w:p>
    <w:p w14:paraId="4B64E72B" w14:textId="77777777" w:rsidR="00A06E6E" w:rsidRPr="00001432" w:rsidRDefault="00A06E6E">
      <w:pPr>
        <w:jc w:val="both"/>
        <w:rPr>
          <w:rFonts w:ascii="Times New Roman" w:eastAsia="Calibri" w:hAnsi="Times New Roman" w:cs="Times New Roman"/>
          <w:sz w:val="24"/>
          <w:szCs w:val="24"/>
        </w:rPr>
      </w:pPr>
    </w:p>
    <w:p w14:paraId="5CC592C4" w14:textId="77777777" w:rsidR="003D6D67" w:rsidRPr="00001432" w:rsidRDefault="00000000" w:rsidP="003D6D67">
      <w:pPr>
        <w:pStyle w:val="ListParagraph"/>
        <w:numPr>
          <w:ilvl w:val="2"/>
          <w:numId w:val="1"/>
        </w:numPr>
        <w:tabs>
          <w:tab w:val="left" w:pos="426"/>
        </w:tabs>
        <w:ind w:left="284" w:hanging="284"/>
        <w:jc w:val="both"/>
        <w:rPr>
          <w:rFonts w:ascii="Times New Roman" w:eastAsia="Calibri" w:hAnsi="Times New Roman" w:cs="Times New Roman"/>
          <w:sz w:val="24"/>
          <w:szCs w:val="24"/>
        </w:rPr>
      </w:pPr>
      <w:r w:rsidRPr="00001432">
        <w:rPr>
          <w:rFonts w:ascii="Times New Roman" w:eastAsia="Calibri" w:hAnsi="Times New Roman" w:cs="Times New Roman"/>
          <w:sz w:val="24"/>
          <w:szCs w:val="24"/>
        </w:rPr>
        <w:t>The Azerbaijani government's response to the Committee for the Prevention of Torture (CPT) report outlines actions taken over the last five years and the first quarter of 2018 in response to human rights violations:</w:t>
      </w:r>
      <w:r w:rsidRPr="00001432">
        <w:rPr>
          <w:rFonts w:ascii="Times New Roman" w:hAnsi="Times New Roman" w:cs="Times New Roman"/>
          <w:sz w:val="24"/>
          <w:szCs w:val="24"/>
          <w:vertAlign w:val="superscript"/>
        </w:rPr>
        <w:footnoteReference w:id="17"/>
      </w:r>
    </w:p>
    <w:p w14:paraId="38A4C55C" w14:textId="77777777" w:rsidR="003D6D67" w:rsidRPr="00001432" w:rsidRDefault="00000000" w:rsidP="003D6D67">
      <w:pPr>
        <w:pStyle w:val="ListParagraph"/>
        <w:numPr>
          <w:ilvl w:val="0"/>
          <w:numId w:val="6"/>
        </w:numPr>
        <w:tabs>
          <w:tab w:val="left" w:pos="426"/>
        </w:tabs>
        <w:jc w:val="both"/>
        <w:rPr>
          <w:rFonts w:ascii="Times New Roman" w:eastAsia="Calibri" w:hAnsi="Times New Roman" w:cs="Times New Roman"/>
          <w:sz w:val="24"/>
          <w:szCs w:val="24"/>
        </w:rPr>
      </w:pPr>
      <w:r w:rsidRPr="00001432">
        <w:rPr>
          <w:rFonts w:ascii="Times New Roman" w:eastAsia="Calibri" w:hAnsi="Times New Roman" w:cs="Times New Roman"/>
          <w:sz w:val="24"/>
          <w:szCs w:val="24"/>
        </w:rPr>
        <w:t xml:space="preserve">Disciplinary measures were enacted against 1,909 police officers, and criminal charges were filed against </w:t>
      </w:r>
      <w:proofErr w:type="gramStart"/>
      <w:r w:rsidRPr="00001432">
        <w:rPr>
          <w:rFonts w:ascii="Times New Roman" w:eastAsia="Calibri" w:hAnsi="Times New Roman" w:cs="Times New Roman"/>
          <w:sz w:val="24"/>
          <w:szCs w:val="24"/>
        </w:rPr>
        <w:t>4;</w:t>
      </w:r>
      <w:proofErr w:type="gramEnd"/>
    </w:p>
    <w:p w14:paraId="7D28B389" w14:textId="748217FF" w:rsidR="00A06E6E" w:rsidRPr="00001432" w:rsidRDefault="00000000" w:rsidP="003D6D67">
      <w:pPr>
        <w:pStyle w:val="ListParagraph"/>
        <w:numPr>
          <w:ilvl w:val="0"/>
          <w:numId w:val="6"/>
        </w:numPr>
        <w:tabs>
          <w:tab w:val="left" w:pos="426"/>
        </w:tabs>
        <w:jc w:val="both"/>
        <w:rPr>
          <w:rFonts w:ascii="Times New Roman" w:eastAsia="Calibri" w:hAnsi="Times New Roman" w:cs="Times New Roman"/>
          <w:sz w:val="24"/>
          <w:szCs w:val="24"/>
        </w:rPr>
      </w:pPr>
      <w:proofErr w:type="gramStart"/>
      <w:r w:rsidRPr="00001432">
        <w:rPr>
          <w:rFonts w:ascii="Times New Roman" w:eastAsia="Calibri" w:hAnsi="Times New Roman" w:cs="Times New Roman"/>
          <w:sz w:val="24"/>
          <w:szCs w:val="24"/>
        </w:rPr>
        <w:t>As a consequence</w:t>
      </w:r>
      <w:proofErr w:type="gramEnd"/>
      <w:r w:rsidRPr="00001432">
        <w:rPr>
          <w:rFonts w:ascii="Times New Roman" w:eastAsia="Calibri" w:hAnsi="Times New Roman" w:cs="Times New Roman"/>
          <w:sz w:val="24"/>
          <w:szCs w:val="24"/>
        </w:rPr>
        <w:t>, 177 officers were terminated, 168 were relieved from their positions,</w:t>
      </w:r>
      <w:r w:rsidR="003D6D67" w:rsidRPr="00001432">
        <w:rPr>
          <w:rFonts w:ascii="Times New Roman" w:eastAsia="Calibri" w:hAnsi="Times New Roman" w:cs="Times New Roman"/>
          <w:sz w:val="24"/>
          <w:szCs w:val="24"/>
        </w:rPr>
        <w:t xml:space="preserve"> </w:t>
      </w:r>
      <w:r w:rsidRPr="00001432">
        <w:rPr>
          <w:rFonts w:ascii="Times New Roman" w:eastAsia="Calibri" w:hAnsi="Times New Roman" w:cs="Times New Roman"/>
          <w:sz w:val="24"/>
          <w:szCs w:val="24"/>
        </w:rPr>
        <w:t xml:space="preserve">10 faced </w:t>
      </w:r>
      <w:r w:rsidR="003D6D67" w:rsidRPr="00001432">
        <w:rPr>
          <w:rFonts w:ascii="Times New Roman" w:eastAsia="Calibri" w:hAnsi="Times New Roman" w:cs="Times New Roman"/>
          <w:sz w:val="24"/>
          <w:szCs w:val="24"/>
        </w:rPr>
        <w:t>demotions</w:t>
      </w:r>
      <w:r w:rsidRPr="00001432">
        <w:rPr>
          <w:rFonts w:ascii="Times New Roman" w:eastAsia="Calibri" w:hAnsi="Times New Roman" w:cs="Times New Roman"/>
          <w:sz w:val="24"/>
          <w:szCs w:val="24"/>
        </w:rPr>
        <w:t>, and 1,550 received warnings.</w:t>
      </w:r>
    </w:p>
    <w:p w14:paraId="1D7C9318" w14:textId="77777777" w:rsidR="00A06E6E" w:rsidRPr="00001432" w:rsidRDefault="00A06E6E">
      <w:pPr>
        <w:jc w:val="both"/>
        <w:rPr>
          <w:rFonts w:ascii="Times New Roman" w:eastAsia="Calibri" w:hAnsi="Times New Roman" w:cs="Times New Roman"/>
          <w:sz w:val="24"/>
          <w:szCs w:val="24"/>
        </w:rPr>
      </w:pPr>
    </w:p>
    <w:p w14:paraId="35402702" w14:textId="77777777" w:rsidR="003D6D67" w:rsidRPr="00001432" w:rsidRDefault="00000000" w:rsidP="003D6D67">
      <w:pPr>
        <w:pStyle w:val="ListParagraph"/>
        <w:numPr>
          <w:ilvl w:val="2"/>
          <w:numId w:val="1"/>
        </w:numPr>
        <w:tabs>
          <w:tab w:val="left" w:pos="426"/>
        </w:tabs>
        <w:ind w:left="284" w:hanging="284"/>
        <w:jc w:val="both"/>
        <w:rPr>
          <w:rFonts w:ascii="Times New Roman" w:eastAsia="Calibri" w:hAnsi="Times New Roman" w:cs="Times New Roman"/>
          <w:sz w:val="24"/>
          <w:szCs w:val="24"/>
        </w:rPr>
      </w:pPr>
      <w:r w:rsidRPr="00001432">
        <w:rPr>
          <w:rFonts w:ascii="Times New Roman" w:eastAsia="Calibri" w:hAnsi="Times New Roman" w:cs="Times New Roman"/>
          <w:sz w:val="24"/>
          <w:szCs w:val="24"/>
        </w:rPr>
        <w:lastRenderedPageBreak/>
        <w:t>However, the identities of these individuals were not disclosed.</w:t>
      </w:r>
    </w:p>
    <w:p w14:paraId="4E7B9D65" w14:textId="169034A4" w:rsidR="00A06E6E" w:rsidRPr="00001432" w:rsidRDefault="00000000" w:rsidP="003D6D67">
      <w:pPr>
        <w:pStyle w:val="ListParagraph"/>
        <w:numPr>
          <w:ilvl w:val="2"/>
          <w:numId w:val="1"/>
        </w:numPr>
        <w:tabs>
          <w:tab w:val="left" w:pos="426"/>
        </w:tabs>
        <w:ind w:left="284" w:hanging="284"/>
        <w:jc w:val="both"/>
        <w:rPr>
          <w:rFonts w:ascii="Times New Roman" w:eastAsia="Calibri" w:hAnsi="Times New Roman" w:cs="Times New Roman"/>
          <w:sz w:val="24"/>
          <w:szCs w:val="24"/>
        </w:rPr>
      </w:pPr>
      <w:r w:rsidRPr="00001432">
        <w:rPr>
          <w:rFonts w:ascii="Times New Roman" w:eastAsia="Calibri" w:hAnsi="Times New Roman" w:cs="Times New Roman"/>
          <w:sz w:val="24"/>
          <w:szCs w:val="24"/>
        </w:rPr>
        <w:t>Analysis of data presented by the Ministry of Internal Affairs to the media and reports from the Ombudsman reveals that a total of 2,961 police officers faced disciplinary action for errors over the last decade. The disclosed statistics categorize the disciplinary actions into three groups: termination, release from office, and other disciplinary measures, though the nature of these "other disciplinary measures" remains unspecified. Generally, the response to police misconduct ranges from termination in the most severe cases to minimal consequences, allowing officers to resume their duties. Of the 2,961 officers disciplined for misconduct in the past ten years, 340 were terminated, representing just 11% of the total.</w:t>
      </w:r>
    </w:p>
    <w:p w14:paraId="77521CAE" w14:textId="77777777" w:rsidR="00A06E6E" w:rsidRPr="00001432" w:rsidRDefault="00A06E6E">
      <w:pPr>
        <w:jc w:val="both"/>
        <w:rPr>
          <w:rFonts w:ascii="Times New Roman" w:eastAsia="Calibri" w:hAnsi="Times New Roman" w:cs="Times New Roman"/>
          <w:sz w:val="24"/>
          <w:szCs w:val="24"/>
        </w:rPr>
      </w:pPr>
    </w:p>
    <w:p w14:paraId="24233C1E" w14:textId="77777777" w:rsidR="00A06E6E" w:rsidRPr="00001432" w:rsidRDefault="00000000">
      <w:pPr>
        <w:jc w:val="center"/>
        <w:rPr>
          <w:rFonts w:ascii="Times New Roman" w:eastAsia="Calibri" w:hAnsi="Times New Roman" w:cs="Times New Roman"/>
          <w:sz w:val="24"/>
          <w:szCs w:val="24"/>
        </w:rPr>
      </w:pPr>
      <w:r w:rsidRPr="00001432">
        <w:rPr>
          <w:rFonts w:ascii="Times New Roman" w:eastAsia="Calibri" w:hAnsi="Times New Roman" w:cs="Times New Roman"/>
          <w:noProof/>
          <w:sz w:val="24"/>
          <w:szCs w:val="24"/>
        </w:rPr>
        <w:drawing>
          <wp:inline distT="114300" distB="114300" distL="114300" distR="114300" wp14:anchorId="0C2D56AF" wp14:editId="2544A5B2">
            <wp:extent cx="5507591" cy="3232298"/>
            <wp:effectExtent l="0" t="0" r="4445" b="6350"/>
            <wp:docPr id="3"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9"/>
                    <a:srcRect/>
                    <a:stretch>
                      <a:fillRect/>
                    </a:stretch>
                  </pic:blipFill>
                  <pic:spPr>
                    <a:xfrm>
                      <a:off x="0" y="0"/>
                      <a:ext cx="5544898" cy="3254193"/>
                    </a:xfrm>
                    <a:prstGeom prst="rect">
                      <a:avLst/>
                    </a:prstGeom>
                    <a:ln/>
                  </pic:spPr>
                </pic:pic>
              </a:graphicData>
            </a:graphic>
          </wp:inline>
        </w:drawing>
      </w:r>
      <w:r w:rsidRPr="00001432">
        <w:rPr>
          <w:rFonts w:ascii="Times New Roman" w:eastAsia="Calibri" w:hAnsi="Times New Roman" w:cs="Times New Roman"/>
          <w:sz w:val="24"/>
          <w:szCs w:val="24"/>
        </w:rPr>
        <w:t>Chart 2.</w:t>
      </w:r>
      <w:r w:rsidRPr="00001432">
        <w:rPr>
          <w:rFonts w:ascii="Times New Roman" w:eastAsia="Calibri" w:hAnsi="Times New Roman" w:cs="Times New Roman"/>
          <w:sz w:val="24"/>
          <w:szCs w:val="24"/>
          <w:vertAlign w:val="superscript"/>
        </w:rPr>
        <w:footnoteReference w:id="18"/>
      </w:r>
    </w:p>
    <w:p w14:paraId="76C61CF1" w14:textId="77777777" w:rsidR="00A06E6E" w:rsidRPr="00001432" w:rsidRDefault="00A06E6E">
      <w:pPr>
        <w:jc w:val="both"/>
        <w:rPr>
          <w:rFonts w:ascii="Times New Roman" w:eastAsia="Calibri" w:hAnsi="Times New Roman" w:cs="Times New Roman"/>
          <w:sz w:val="24"/>
          <w:szCs w:val="24"/>
        </w:rPr>
      </w:pPr>
    </w:p>
    <w:p w14:paraId="23471B31" w14:textId="77777777" w:rsidR="003D6D67" w:rsidRPr="00001432" w:rsidRDefault="00000000" w:rsidP="003D6D67">
      <w:pPr>
        <w:pStyle w:val="ListParagraph"/>
        <w:numPr>
          <w:ilvl w:val="2"/>
          <w:numId w:val="1"/>
        </w:numPr>
        <w:tabs>
          <w:tab w:val="left" w:pos="426"/>
        </w:tabs>
        <w:ind w:left="284" w:hanging="284"/>
        <w:jc w:val="both"/>
        <w:rPr>
          <w:rFonts w:ascii="Times New Roman" w:eastAsia="Calibri" w:hAnsi="Times New Roman" w:cs="Times New Roman"/>
          <w:sz w:val="24"/>
          <w:szCs w:val="24"/>
        </w:rPr>
      </w:pPr>
      <w:r w:rsidRPr="00001432">
        <w:rPr>
          <w:rFonts w:ascii="Times New Roman" w:eastAsia="Calibri" w:hAnsi="Times New Roman" w:cs="Times New Roman"/>
          <w:sz w:val="24"/>
          <w:szCs w:val="24"/>
        </w:rPr>
        <w:t xml:space="preserve">S. </w:t>
      </w:r>
      <w:proofErr w:type="spellStart"/>
      <w:r w:rsidRPr="00001432">
        <w:rPr>
          <w:rFonts w:ascii="Times New Roman" w:eastAsia="Calibri" w:hAnsi="Times New Roman" w:cs="Times New Roman"/>
          <w:sz w:val="24"/>
          <w:szCs w:val="24"/>
        </w:rPr>
        <w:t>Seyidov</w:t>
      </w:r>
      <w:proofErr w:type="spellEnd"/>
      <w:r w:rsidRPr="00001432">
        <w:rPr>
          <w:rFonts w:ascii="Times New Roman" w:eastAsia="Calibri" w:hAnsi="Times New Roman" w:cs="Times New Roman"/>
          <w:sz w:val="24"/>
          <w:szCs w:val="24"/>
        </w:rPr>
        <w:t>, leader of Azerbaijan's delegation to the Parliamentary Assembly of the Council of Europe, expressed disagreement with the CPT's assessment that "torture and physical ill-treatment by police, other law enforcement bodies, and the armed forces are systematic and widespread in Azerbaijan."</w:t>
      </w:r>
      <w:r w:rsidRPr="00001432">
        <w:rPr>
          <w:rFonts w:ascii="Times New Roman" w:hAnsi="Times New Roman" w:cs="Times New Roman"/>
          <w:sz w:val="24"/>
          <w:szCs w:val="24"/>
          <w:vertAlign w:val="superscript"/>
        </w:rPr>
        <w:footnoteReference w:id="19"/>
      </w:r>
    </w:p>
    <w:p w14:paraId="418BC5F2" w14:textId="1CB33D65" w:rsidR="00A06E6E" w:rsidRPr="00001432" w:rsidRDefault="00000000" w:rsidP="003D6D67">
      <w:pPr>
        <w:pStyle w:val="ListParagraph"/>
        <w:numPr>
          <w:ilvl w:val="2"/>
          <w:numId w:val="1"/>
        </w:numPr>
        <w:tabs>
          <w:tab w:val="left" w:pos="426"/>
        </w:tabs>
        <w:ind w:left="284" w:hanging="284"/>
        <w:jc w:val="both"/>
        <w:rPr>
          <w:rFonts w:ascii="Times New Roman" w:eastAsia="Calibri" w:hAnsi="Times New Roman" w:cs="Times New Roman"/>
          <w:sz w:val="24"/>
          <w:szCs w:val="24"/>
        </w:rPr>
      </w:pPr>
      <w:r w:rsidRPr="00001432">
        <w:rPr>
          <w:rFonts w:ascii="Times New Roman" w:eastAsia="Calibri" w:hAnsi="Times New Roman" w:cs="Times New Roman"/>
          <w:sz w:val="24"/>
          <w:szCs w:val="24"/>
        </w:rPr>
        <w:lastRenderedPageBreak/>
        <w:t xml:space="preserve">M. </w:t>
      </w:r>
      <w:proofErr w:type="spellStart"/>
      <w:r w:rsidRPr="00001432">
        <w:rPr>
          <w:rFonts w:ascii="Times New Roman" w:eastAsia="Calibri" w:hAnsi="Times New Roman" w:cs="Times New Roman"/>
          <w:sz w:val="24"/>
          <w:szCs w:val="24"/>
        </w:rPr>
        <w:t>Sadigov</w:t>
      </w:r>
      <w:proofErr w:type="spellEnd"/>
      <w:r w:rsidRPr="00001432">
        <w:rPr>
          <w:rFonts w:ascii="Times New Roman" w:eastAsia="Calibri" w:hAnsi="Times New Roman" w:cs="Times New Roman"/>
          <w:sz w:val="24"/>
          <w:szCs w:val="24"/>
        </w:rPr>
        <w:t>, the former spokesperson for the Penitentiary Service, acknowledged periodic CPT inspections of the penal institutions under the Service's control but reported no findings or complaints of torture. He stated, "Recently, there have not been any instances of prisoner torture in the institutions of the Penitentiary Service as claimed."</w:t>
      </w:r>
      <w:r w:rsidRPr="00001432">
        <w:rPr>
          <w:rFonts w:ascii="Times New Roman" w:hAnsi="Times New Roman" w:cs="Times New Roman"/>
          <w:sz w:val="24"/>
          <w:szCs w:val="24"/>
          <w:vertAlign w:val="superscript"/>
        </w:rPr>
        <w:footnoteReference w:id="20"/>
      </w:r>
    </w:p>
    <w:p w14:paraId="684A361C" w14:textId="77777777" w:rsidR="00A06E6E" w:rsidRPr="00001432" w:rsidRDefault="00A06E6E">
      <w:pPr>
        <w:jc w:val="both"/>
        <w:rPr>
          <w:rFonts w:ascii="Times New Roman" w:eastAsia="Calibri" w:hAnsi="Times New Roman" w:cs="Times New Roman"/>
          <w:sz w:val="24"/>
          <w:szCs w:val="24"/>
        </w:rPr>
      </w:pPr>
    </w:p>
    <w:p w14:paraId="020ACD62" w14:textId="2B922169" w:rsidR="00A06E6E" w:rsidRPr="00001432" w:rsidRDefault="00000000" w:rsidP="003D6D67">
      <w:pPr>
        <w:pStyle w:val="ListParagraph"/>
        <w:numPr>
          <w:ilvl w:val="0"/>
          <w:numId w:val="4"/>
        </w:numPr>
        <w:jc w:val="both"/>
        <w:rPr>
          <w:rFonts w:ascii="Times New Roman" w:eastAsia="Calibri" w:hAnsi="Times New Roman" w:cs="Times New Roman"/>
          <w:b/>
          <w:sz w:val="24"/>
          <w:szCs w:val="24"/>
        </w:rPr>
      </w:pPr>
      <w:r w:rsidRPr="00001432">
        <w:rPr>
          <w:rFonts w:ascii="Times New Roman" w:eastAsia="Calibri" w:hAnsi="Times New Roman" w:cs="Times New Roman"/>
          <w:b/>
          <w:sz w:val="24"/>
          <w:szCs w:val="24"/>
        </w:rPr>
        <w:t>Judicial Practice</w:t>
      </w:r>
    </w:p>
    <w:p w14:paraId="7375C9B8" w14:textId="77777777" w:rsidR="00A06E6E" w:rsidRPr="00001432" w:rsidRDefault="00A06E6E">
      <w:pPr>
        <w:jc w:val="both"/>
        <w:rPr>
          <w:rFonts w:ascii="Times New Roman" w:eastAsia="Calibri" w:hAnsi="Times New Roman" w:cs="Times New Roman"/>
          <w:sz w:val="24"/>
          <w:szCs w:val="24"/>
        </w:rPr>
      </w:pPr>
    </w:p>
    <w:p w14:paraId="10D72767" w14:textId="77777777" w:rsidR="003D6D67" w:rsidRPr="00001432" w:rsidRDefault="00000000" w:rsidP="003D6D67">
      <w:pPr>
        <w:pStyle w:val="ListParagraph"/>
        <w:numPr>
          <w:ilvl w:val="2"/>
          <w:numId w:val="1"/>
        </w:numPr>
        <w:tabs>
          <w:tab w:val="left" w:pos="426"/>
        </w:tabs>
        <w:ind w:left="284" w:hanging="284"/>
        <w:jc w:val="both"/>
        <w:rPr>
          <w:rFonts w:ascii="Times New Roman" w:eastAsia="Calibri" w:hAnsi="Times New Roman" w:cs="Times New Roman"/>
          <w:sz w:val="24"/>
          <w:szCs w:val="24"/>
        </w:rPr>
      </w:pPr>
      <w:r w:rsidRPr="00001432">
        <w:rPr>
          <w:rFonts w:ascii="Times New Roman" w:eastAsia="Calibri" w:hAnsi="Times New Roman" w:cs="Times New Roman"/>
          <w:sz w:val="24"/>
          <w:szCs w:val="24"/>
        </w:rPr>
        <w:t>The European Court of Human Rights (ECtHR) decisions on cases of ill-treatment in Azerbaijan, including both the volume of appeals and the recognition of violations, indicate a discouraging judicial landscape. Local courts fail to adequately investigate allegations of ill-treatment, and perpetrators often go unpunished.</w:t>
      </w:r>
    </w:p>
    <w:p w14:paraId="1EB441C6" w14:textId="77777777" w:rsidR="003D6D67" w:rsidRPr="00001432" w:rsidRDefault="00000000" w:rsidP="003D6D67">
      <w:pPr>
        <w:pStyle w:val="ListParagraph"/>
        <w:numPr>
          <w:ilvl w:val="2"/>
          <w:numId w:val="1"/>
        </w:numPr>
        <w:tabs>
          <w:tab w:val="left" w:pos="426"/>
        </w:tabs>
        <w:ind w:left="284" w:hanging="284"/>
        <w:jc w:val="both"/>
        <w:rPr>
          <w:rFonts w:ascii="Times New Roman" w:eastAsia="Calibri" w:hAnsi="Times New Roman" w:cs="Times New Roman"/>
          <w:sz w:val="24"/>
          <w:szCs w:val="24"/>
        </w:rPr>
      </w:pPr>
      <w:r w:rsidRPr="00001432">
        <w:rPr>
          <w:rFonts w:ascii="Times New Roman" w:eastAsia="Calibri" w:hAnsi="Times New Roman" w:cs="Times New Roman"/>
          <w:sz w:val="24"/>
          <w:szCs w:val="24"/>
        </w:rPr>
        <w:t>Committee of Ministers of the Council of Europe has highlighted the persistent and unresolved issue of ill-treatment by law enforcement in Azerbaijan. It expressed grave concern that cases which have been under review by the Committee for over a decade remain unresolved, and over 70 new cases related to criminal proceedings are currently pending before the European Court.</w:t>
      </w:r>
      <w:r w:rsidRPr="00001432">
        <w:rPr>
          <w:rFonts w:ascii="Times New Roman" w:hAnsi="Times New Roman" w:cs="Times New Roman"/>
          <w:sz w:val="24"/>
          <w:szCs w:val="24"/>
          <w:vertAlign w:val="superscript"/>
        </w:rPr>
        <w:footnoteReference w:id="21"/>
      </w:r>
    </w:p>
    <w:p w14:paraId="55AECB83" w14:textId="77777777" w:rsidR="003D6D67" w:rsidRPr="00001432" w:rsidRDefault="00000000" w:rsidP="003D6D67">
      <w:pPr>
        <w:pStyle w:val="ListParagraph"/>
        <w:numPr>
          <w:ilvl w:val="2"/>
          <w:numId w:val="1"/>
        </w:numPr>
        <w:tabs>
          <w:tab w:val="left" w:pos="426"/>
        </w:tabs>
        <w:ind w:left="284" w:hanging="284"/>
        <w:jc w:val="both"/>
        <w:rPr>
          <w:rFonts w:ascii="Times New Roman" w:eastAsia="Calibri" w:hAnsi="Times New Roman" w:cs="Times New Roman"/>
          <w:sz w:val="24"/>
          <w:szCs w:val="24"/>
        </w:rPr>
      </w:pPr>
      <w:r w:rsidRPr="00001432">
        <w:rPr>
          <w:rFonts w:ascii="Times New Roman" w:eastAsia="Calibri" w:hAnsi="Times New Roman" w:cs="Times New Roman"/>
          <w:sz w:val="24"/>
          <w:szCs w:val="24"/>
        </w:rPr>
        <w:t>The Committee for the Prevention of Torture (CPT) in its reports has consistently found that torture and other forms of ill-treatment by police and other law enforcement agencies, alongside corruption and a culture of impunity within the law enforcement system, are endemic and systemic.</w:t>
      </w:r>
      <w:r w:rsidRPr="00001432">
        <w:rPr>
          <w:rFonts w:ascii="Times New Roman" w:hAnsi="Times New Roman" w:cs="Times New Roman"/>
          <w:sz w:val="24"/>
          <w:szCs w:val="24"/>
          <w:vertAlign w:val="superscript"/>
        </w:rPr>
        <w:footnoteReference w:id="22"/>
      </w:r>
      <w:r w:rsidRPr="00001432">
        <w:rPr>
          <w:rFonts w:ascii="Times New Roman" w:eastAsia="Calibri" w:hAnsi="Times New Roman" w:cs="Times New Roman"/>
          <w:sz w:val="24"/>
          <w:szCs w:val="24"/>
        </w:rPr>
        <w:t xml:space="preserve"> The CPT has also observed that investigations into these allegations are "grossly ineffective,</w:t>
      </w:r>
      <w:r w:rsidRPr="00001432">
        <w:rPr>
          <w:rFonts w:ascii="Times New Roman" w:hAnsi="Times New Roman" w:cs="Times New Roman"/>
          <w:sz w:val="24"/>
          <w:szCs w:val="24"/>
          <w:vertAlign w:val="superscript"/>
        </w:rPr>
        <w:footnoteReference w:id="23"/>
      </w:r>
      <w:r w:rsidRPr="00001432">
        <w:rPr>
          <w:rFonts w:ascii="Times New Roman" w:eastAsia="Calibri" w:hAnsi="Times New Roman" w:cs="Times New Roman"/>
          <w:sz w:val="24"/>
          <w:szCs w:val="24"/>
        </w:rPr>
        <w:t xml:space="preserve"> "with safeguards against ill-treatment proving to be "largely non-functional in practice".</w:t>
      </w:r>
      <w:r w:rsidRPr="00001432">
        <w:rPr>
          <w:rFonts w:ascii="Times New Roman" w:hAnsi="Times New Roman" w:cs="Times New Roman"/>
          <w:sz w:val="24"/>
          <w:szCs w:val="24"/>
          <w:vertAlign w:val="superscript"/>
        </w:rPr>
        <w:footnoteReference w:id="24"/>
      </w:r>
    </w:p>
    <w:p w14:paraId="7EE42F8A" w14:textId="77777777" w:rsidR="003D6D67" w:rsidRPr="00001432" w:rsidRDefault="00000000" w:rsidP="003D6D67">
      <w:pPr>
        <w:pStyle w:val="ListParagraph"/>
        <w:numPr>
          <w:ilvl w:val="2"/>
          <w:numId w:val="1"/>
        </w:numPr>
        <w:tabs>
          <w:tab w:val="left" w:pos="426"/>
        </w:tabs>
        <w:ind w:left="284" w:hanging="284"/>
        <w:jc w:val="both"/>
        <w:rPr>
          <w:rFonts w:ascii="Times New Roman" w:eastAsia="Calibri" w:hAnsi="Times New Roman" w:cs="Times New Roman"/>
          <w:sz w:val="24"/>
          <w:szCs w:val="24"/>
        </w:rPr>
      </w:pPr>
      <w:r w:rsidRPr="00001432">
        <w:rPr>
          <w:rFonts w:ascii="Times New Roman" w:eastAsia="Calibri" w:hAnsi="Times New Roman" w:cs="Times New Roman"/>
          <w:sz w:val="24"/>
          <w:szCs w:val="24"/>
        </w:rPr>
        <w:t>A significant issue within judicial practices related to ill-treatment is the lack of accountability for perpetrators. Not only are these individuals not punished, but they are also seldom brought before the court. This situation undermines both the prohibition of torture and other forms of ill-treatment and public confidence in the justice system.</w:t>
      </w:r>
    </w:p>
    <w:p w14:paraId="51EBD459" w14:textId="77777777" w:rsidR="003D6D67" w:rsidRPr="00001432" w:rsidRDefault="00000000" w:rsidP="003D6D67">
      <w:pPr>
        <w:pStyle w:val="ListParagraph"/>
        <w:numPr>
          <w:ilvl w:val="2"/>
          <w:numId w:val="1"/>
        </w:numPr>
        <w:tabs>
          <w:tab w:val="left" w:pos="426"/>
        </w:tabs>
        <w:ind w:left="284" w:hanging="284"/>
        <w:jc w:val="both"/>
        <w:rPr>
          <w:rFonts w:ascii="Times New Roman" w:eastAsia="Calibri" w:hAnsi="Times New Roman" w:cs="Times New Roman"/>
          <w:sz w:val="24"/>
          <w:szCs w:val="24"/>
        </w:rPr>
      </w:pPr>
      <w:r w:rsidRPr="00001432">
        <w:rPr>
          <w:rFonts w:ascii="Times New Roman" w:eastAsia="Calibri" w:hAnsi="Times New Roman" w:cs="Times New Roman"/>
          <w:sz w:val="24"/>
          <w:szCs w:val="24"/>
        </w:rPr>
        <w:t>The CPT's special visit in 2017 highlighted a prevalent culture of violence within various law enforcement agencies and the impunity of those involved in such violence.</w:t>
      </w:r>
      <w:r w:rsidRPr="00001432">
        <w:rPr>
          <w:rFonts w:ascii="Times New Roman" w:hAnsi="Times New Roman" w:cs="Times New Roman"/>
          <w:sz w:val="24"/>
          <w:szCs w:val="24"/>
          <w:vertAlign w:val="superscript"/>
        </w:rPr>
        <w:footnoteReference w:id="25"/>
      </w:r>
      <w:r w:rsidRPr="00001432">
        <w:rPr>
          <w:rFonts w:ascii="Times New Roman" w:eastAsia="Calibri" w:hAnsi="Times New Roman" w:cs="Times New Roman"/>
          <w:sz w:val="24"/>
          <w:szCs w:val="24"/>
        </w:rPr>
        <w:t xml:space="preserve"> This sense of immunity among law enforcement personnel, emboldened by overt support from high levels of government, including the president</w:t>
      </w:r>
      <w:r w:rsidRPr="00001432">
        <w:rPr>
          <w:rFonts w:ascii="Times New Roman" w:hAnsi="Times New Roman" w:cs="Times New Roman"/>
          <w:sz w:val="24"/>
          <w:szCs w:val="24"/>
          <w:vertAlign w:val="superscript"/>
        </w:rPr>
        <w:footnoteReference w:id="26"/>
      </w:r>
      <w:r w:rsidRPr="00001432">
        <w:rPr>
          <w:rFonts w:ascii="Times New Roman" w:eastAsia="Calibri" w:hAnsi="Times New Roman" w:cs="Times New Roman"/>
          <w:sz w:val="24"/>
          <w:szCs w:val="24"/>
        </w:rPr>
        <w:t xml:space="preserve">, leads to a reluctance to curb such behavior, </w:t>
      </w:r>
      <w:r w:rsidRPr="00001432">
        <w:rPr>
          <w:rFonts w:ascii="Times New Roman" w:eastAsia="Calibri" w:hAnsi="Times New Roman" w:cs="Times New Roman"/>
          <w:sz w:val="24"/>
          <w:szCs w:val="24"/>
        </w:rPr>
        <w:lastRenderedPageBreak/>
        <w:t xml:space="preserve">fearing no repercussions. This was exemplified in President Aliyev's comments in July 2023 regarding incidents at the </w:t>
      </w:r>
      <w:proofErr w:type="spellStart"/>
      <w:r w:rsidRPr="00001432">
        <w:rPr>
          <w:rFonts w:ascii="Times New Roman" w:eastAsia="Calibri" w:hAnsi="Times New Roman" w:cs="Times New Roman"/>
          <w:sz w:val="24"/>
          <w:szCs w:val="24"/>
        </w:rPr>
        <w:t>Soyudlu</w:t>
      </w:r>
      <w:proofErr w:type="spellEnd"/>
      <w:r w:rsidRPr="00001432">
        <w:rPr>
          <w:rFonts w:ascii="Times New Roman" w:eastAsia="Calibri" w:hAnsi="Times New Roman" w:cs="Times New Roman"/>
          <w:sz w:val="24"/>
          <w:szCs w:val="24"/>
        </w:rPr>
        <w:t xml:space="preserve"> gold mine.</w:t>
      </w:r>
      <w:r w:rsidRPr="00001432">
        <w:rPr>
          <w:rFonts w:ascii="Times New Roman" w:hAnsi="Times New Roman" w:cs="Times New Roman"/>
          <w:sz w:val="24"/>
          <w:szCs w:val="24"/>
          <w:vertAlign w:val="superscript"/>
        </w:rPr>
        <w:footnoteReference w:id="27"/>
      </w:r>
    </w:p>
    <w:p w14:paraId="6830C79E" w14:textId="77777777" w:rsidR="003D6D67" w:rsidRPr="00001432" w:rsidRDefault="00000000" w:rsidP="003D6D67">
      <w:pPr>
        <w:pStyle w:val="ListParagraph"/>
        <w:numPr>
          <w:ilvl w:val="2"/>
          <w:numId w:val="1"/>
        </w:numPr>
        <w:tabs>
          <w:tab w:val="left" w:pos="426"/>
        </w:tabs>
        <w:ind w:left="284" w:hanging="284"/>
        <w:jc w:val="both"/>
        <w:rPr>
          <w:rFonts w:ascii="Times New Roman" w:eastAsia="Calibri" w:hAnsi="Times New Roman" w:cs="Times New Roman"/>
          <w:sz w:val="24"/>
          <w:szCs w:val="24"/>
        </w:rPr>
      </w:pPr>
      <w:r w:rsidRPr="00001432">
        <w:rPr>
          <w:rFonts w:ascii="Times New Roman" w:eastAsia="Calibri" w:hAnsi="Times New Roman" w:cs="Times New Roman"/>
          <w:sz w:val="24"/>
          <w:szCs w:val="24"/>
        </w:rPr>
        <w:t xml:space="preserve">As a result, incidents in </w:t>
      </w:r>
      <w:proofErr w:type="spellStart"/>
      <w:r w:rsidRPr="00001432">
        <w:rPr>
          <w:rFonts w:ascii="Times New Roman" w:eastAsia="Calibri" w:hAnsi="Times New Roman" w:cs="Times New Roman"/>
          <w:sz w:val="24"/>
          <w:szCs w:val="24"/>
        </w:rPr>
        <w:t>Yasamal</w:t>
      </w:r>
      <w:proofErr w:type="spellEnd"/>
      <w:r w:rsidRPr="00001432">
        <w:rPr>
          <w:rFonts w:ascii="Times New Roman" w:hAnsi="Times New Roman" w:cs="Times New Roman"/>
          <w:sz w:val="24"/>
          <w:szCs w:val="24"/>
          <w:vertAlign w:val="superscript"/>
        </w:rPr>
        <w:footnoteReference w:id="28"/>
      </w:r>
      <w:r w:rsidRPr="00001432">
        <w:rPr>
          <w:rFonts w:ascii="Times New Roman" w:eastAsia="Calibri" w:hAnsi="Times New Roman" w:cs="Times New Roman"/>
          <w:sz w:val="24"/>
          <w:szCs w:val="24"/>
        </w:rPr>
        <w:t xml:space="preserve">, </w:t>
      </w:r>
      <w:proofErr w:type="spellStart"/>
      <w:r w:rsidRPr="00001432">
        <w:rPr>
          <w:rFonts w:ascii="Times New Roman" w:eastAsia="Calibri" w:hAnsi="Times New Roman" w:cs="Times New Roman"/>
          <w:sz w:val="24"/>
          <w:szCs w:val="24"/>
        </w:rPr>
        <w:t>Gadabey</w:t>
      </w:r>
      <w:proofErr w:type="spellEnd"/>
      <w:r w:rsidRPr="00001432">
        <w:rPr>
          <w:rFonts w:ascii="Times New Roman" w:hAnsi="Times New Roman" w:cs="Times New Roman"/>
          <w:sz w:val="24"/>
          <w:szCs w:val="24"/>
          <w:vertAlign w:val="superscript"/>
        </w:rPr>
        <w:footnoteReference w:id="29"/>
      </w:r>
      <w:r w:rsidRPr="00001432">
        <w:rPr>
          <w:rFonts w:ascii="Times New Roman" w:eastAsia="Calibri" w:hAnsi="Times New Roman" w:cs="Times New Roman"/>
          <w:sz w:val="24"/>
          <w:szCs w:val="24"/>
        </w:rPr>
        <w:t>, and Gabala</w:t>
      </w:r>
      <w:r w:rsidRPr="00001432">
        <w:rPr>
          <w:rFonts w:ascii="Times New Roman" w:hAnsi="Times New Roman" w:cs="Times New Roman"/>
          <w:sz w:val="24"/>
          <w:szCs w:val="24"/>
          <w:vertAlign w:val="superscript"/>
        </w:rPr>
        <w:footnoteReference w:id="30"/>
      </w:r>
      <w:r w:rsidRPr="00001432">
        <w:rPr>
          <w:rFonts w:ascii="Times New Roman" w:eastAsia="Calibri" w:hAnsi="Times New Roman" w:cs="Times New Roman"/>
          <w:sz w:val="24"/>
          <w:szCs w:val="24"/>
        </w:rPr>
        <w:t xml:space="preserve"> over the last three years have become emblematic of police violence and the lack of accountability for such actions. These incidents have eroded public trust in law enforcement, fostered an atmosphere of fear and intimidation, undermined the legitimacy of the ruling party, and strained international relations and the country's socio-economic fabric.</w:t>
      </w:r>
    </w:p>
    <w:p w14:paraId="55C56BEA" w14:textId="77777777" w:rsidR="003D6D67" w:rsidRPr="00001432" w:rsidRDefault="00000000" w:rsidP="003D6D67">
      <w:pPr>
        <w:pStyle w:val="ListParagraph"/>
        <w:numPr>
          <w:ilvl w:val="2"/>
          <w:numId w:val="1"/>
        </w:numPr>
        <w:tabs>
          <w:tab w:val="left" w:pos="426"/>
        </w:tabs>
        <w:ind w:left="284" w:hanging="284"/>
        <w:jc w:val="both"/>
        <w:rPr>
          <w:rFonts w:ascii="Times New Roman" w:eastAsia="Calibri" w:hAnsi="Times New Roman" w:cs="Times New Roman"/>
          <w:sz w:val="24"/>
          <w:szCs w:val="24"/>
        </w:rPr>
      </w:pPr>
      <w:r w:rsidRPr="00001432">
        <w:rPr>
          <w:rFonts w:ascii="Times New Roman" w:eastAsia="Calibri" w:hAnsi="Times New Roman" w:cs="Times New Roman"/>
          <w:sz w:val="24"/>
          <w:szCs w:val="24"/>
        </w:rPr>
        <w:t>Victims of torture and other forms of cruel treatment feel that lodging complaints is both futile and dangerous, often reporting that their allegations,</w:t>
      </w:r>
      <w:r w:rsidRPr="00001432">
        <w:rPr>
          <w:rFonts w:ascii="Times New Roman" w:hAnsi="Times New Roman" w:cs="Times New Roman"/>
          <w:sz w:val="24"/>
          <w:szCs w:val="24"/>
          <w:vertAlign w:val="superscript"/>
        </w:rPr>
        <w:footnoteReference w:id="31"/>
      </w:r>
      <w:r w:rsidRPr="00001432">
        <w:rPr>
          <w:rFonts w:ascii="Times New Roman" w:eastAsia="Calibri" w:hAnsi="Times New Roman" w:cs="Times New Roman"/>
          <w:sz w:val="24"/>
          <w:szCs w:val="24"/>
        </w:rPr>
        <w:t xml:space="preserve"> even those substantiated by visible injuries, are disregarded by prosecutors and judges.</w:t>
      </w:r>
      <w:r w:rsidRPr="00001432">
        <w:rPr>
          <w:rFonts w:ascii="Times New Roman" w:hAnsi="Times New Roman" w:cs="Times New Roman"/>
          <w:sz w:val="24"/>
          <w:szCs w:val="24"/>
          <w:vertAlign w:val="superscript"/>
        </w:rPr>
        <w:footnoteReference w:id="32"/>
      </w:r>
    </w:p>
    <w:p w14:paraId="2B75CD9C" w14:textId="77777777" w:rsidR="003D6D67" w:rsidRPr="00001432" w:rsidRDefault="00000000" w:rsidP="003D6D67">
      <w:pPr>
        <w:pStyle w:val="ListParagraph"/>
        <w:numPr>
          <w:ilvl w:val="2"/>
          <w:numId w:val="1"/>
        </w:numPr>
        <w:tabs>
          <w:tab w:val="left" w:pos="426"/>
        </w:tabs>
        <w:ind w:left="284" w:hanging="284"/>
        <w:jc w:val="both"/>
        <w:rPr>
          <w:rFonts w:ascii="Times New Roman" w:eastAsia="Calibri" w:hAnsi="Times New Roman" w:cs="Times New Roman"/>
          <w:sz w:val="24"/>
          <w:szCs w:val="24"/>
        </w:rPr>
      </w:pPr>
      <w:r w:rsidRPr="00001432">
        <w:rPr>
          <w:rFonts w:ascii="Times New Roman" w:eastAsia="Calibri" w:hAnsi="Times New Roman" w:cs="Times New Roman"/>
          <w:sz w:val="24"/>
          <w:szCs w:val="24"/>
        </w:rPr>
        <w:t xml:space="preserve">One of the problematic aspects of local judicial practice in torture-related cases concerns the procedure of conducting post-mortem medical examinations. In the </w:t>
      </w:r>
      <w:r w:rsidRPr="00001432">
        <w:rPr>
          <w:rFonts w:ascii="Times New Roman" w:eastAsia="Calibri" w:hAnsi="Times New Roman" w:cs="Times New Roman"/>
          <w:i/>
          <w:sz w:val="24"/>
          <w:szCs w:val="24"/>
        </w:rPr>
        <w:t>case of Mammadov v. Azerbaijan</w:t>
      </w:r>
      <w:r w:rsidRPr="00001432">
        <w:rPr>
          <w:rFonts w:ascii="Times New Roman" w:eastAsia="Calibri" w:hAnsi="Times New Roman" w:cs="Times New Roman"/>
          <w:sz w:val="24"/>
          <w:szCs w:val="24"/>
        </w:rPr>
        <w:t>, the European Court of Human Rights (ECtHR) observed that the medical examination conducted after the death of the applicant's son failed to record any injuries on his body, noting serious omissions in the post-mortem medical examination</w:t>
      </w:r>
      <w:r w:rsidRPr="00001432">
        <w:rPr>
          <w:rFonts w:ascii="Times New Roman" w:hAnsi="Times New Roman" w:cs="Times New Roman"/>
          <w:sz w:val="24"/>
          <w:szCs w:val="24"/>
          <w:vertAlign w:val="superscript"/>
        </w:rPr>
        <w:footnoteReference w:id="33"/>
      </w:r>
      <w:r w:rsidRPr="00001432">
        <w:rPr>
          <w:rFonts w:ascii="Times New Roman" w:eastAsia="Calibri" w:hAnsi="Times New Roman" w:cs="Times New Roman"/>
          <w:sz w:val="24"/>
          <w:szCs w:val="24"/>
        </w:rPr>
        <w:t>—a point also highlighted in another case against Azerbaijan.</w:t>
      </w:r>
      <w:r w:rsidRPr="00001432">
        <w:rPr>
          <w:rFonts w:ascii="Times New Roman" w:hAnsi="Times New Roman" w:cs="Times New Roman"/>
          <w:sz w:val="24"/>
          <w:szCs w:val="24"/>
          <w:vertAlign w:val="superscript"/>
        </w:rPr>
        <w:footnoteReference w:id="34"/>
      </w:r>
      <w:r w:rsidRPr="00001432">
        <w:rPr>
          <w:rFonts w:ascii="Times New Roman" w:eastAsia="Calibri" w:hAnsi="Times New Roman" w:cs="Times New Roman"/>
          <w:sz w:val="24"/>
          <w:szCs w:val="24"/>
        </w:rPr>
        <w:t xml:space="preserve"> </w:t>
      </w:r>
    </w:p>
    <w:p w14:paraId="38FC9CF4" w14:textId="5F046398" w:rsidR="00A06E6E" w:rsidRPr="00001432" w:rsidRDefault="00000000" w:rsidP="003D6D67">
      <w:pPr>
        <w:pStyle w:val="ListParagraph"/>
        <w:numPr>
          <w:ilvl w:val="2"/>
          <w:numId w:val="1"/>
        </w:numPr>
        <w:tabs>
          <w:tab w:val="left" w:pos="426"/>
        </w:tabs>
        <w:ind w:left="284" w:hanging="284"/>
        <w:jc w:val="both"/>
        <w:rPr>
          <w:rFonts w:ascii="Times New Roman" w:eastAsia="Calibri" w:hAnsi="Times New Roman" w:cs="Times New Roman"/>
          <w:sz w:val="24"/>
          <w:szCs w:val="24"/>
        </w:rPr>
      </w:pPr>
      <w:r w:rsidRPr="00001432">
        <w:rPr>
          <w:rFonts w:ascii="Times New Roman" w:eastAsia="Calibri" w:hAnsi="Times New Roman" w:cs="Times New Roman"/>
          <w:sz w:val="24"/>
          <w:szCs w:val="24"/>
        </w:rPr>
        <w:t xml:space="preserve">Although the ECtHR is not obligated to comment generally on the procedures for conducting post-mortem medical examinations in Azerbaijan, it concluded that the recurrence of significant omissions observed in the </w:t>
      </w:r>
      <w:proofErr w:type="gramStart"/>
      <w:r w:rsidRPr="00001432">
        <w:rPr>
          <w:rFonts w:ascii="Times New Roman" w:eastAsia="Calibri" w:hAnsi="Times New Roman" w:cs="Times New Roman"/>
          <w:sz w:val="24"/>
          <w:szCs w:val="24"/>
        </w:rPr>
        <w:t>aforementioned cases</w:t>
      </w:r>
      <w:proofErr w:type="gramEnd"/>
      <w:r w:rsidRPr="00001432">
        <w:rPr>
          <w:rFonts w:ascii="Times New Roman" w:eastAsia="Calibri" w:hAnsi="Times New Roman" w:cs="Times New Roman"/>
          <w:sz w:val="24"/>
          <w:szCs w:val="24"/>
        </w:rPr>
        <w:t xml:space="preserve"> is a matter of concern.</w:t>
      </w:r>
      <w:r w:rsidRPr="00001432">
        <w:rPr>
          <w:rFonts w:ascii="Times New Roman" w:hAnsi="Times New Roman" w:cs="Times New Roman"/>
          <w:sz w:val="24"/>
          <w:szCs w:val="24"/>
          <w:vertAlign w:val="superscript"/>
        </w:rPr>
        <w:footnoteReference w:id="35"/>
      </w:r>
      <w:r w:rsidRPr="00001432">
        <w:rPr>
          <w:rFonts w:ascii="Times New Roman" w:eastAsia="Calibri" w:hAnsi="Times New Roman" w:cs="Times New Roman"/>
          <w:sz w:val="24"/>
          <w:szCs w:val="24"/>
        </w:rPr>
        <w:t xml:space="preserve"> The court deemed it sufficient to question the medical expert's conclusion that the applicant's son had not sustained any physical injuries while in police custody. Given these circumstances, alongside the injuries evident in the video recordings of the applicant's son's body taken before the funeral ceremony, the court inferred that he had sustained these injuries while imprisoned.</w:t>
      </w:r>
      <w:r w:rsidRPr="00001432">
        <w:rPr>
          <w:rFonts w:ascii="Times New Roman" w:hAnsi="Times New Roman" w:cs="Times New Roman"/>
          <w:sz w:val="24"/>
          <w:szCs w:val="24"/>
          <w:vertAlign w:val="superscript"/>
        </w:rPr>
        <w:footnoteReference w:id="36"/>
      </w:r>
    </w:p>
    <w:p w14:paraId="4E1E2012" w14:textId="77777777" w:rsidR="00A06E6E" w:rsidRPr="00001432" w:rsidRDefault="00A06E6E">
      <w:pPr>
        <w:jc w:val="both"/>
        <w:rPr>
          <w:rFonts w:ascii="Times New Roman" w:eastAsia="Calibri" w:hAnsi="Times New Roman" w:cs="Times New Roman"/>
          <w:sz w:val="24"/>
          <w:szCs w:val="24"/>
        </w:rPr>
      </w:pPr>
    </w:p>
    <w:p w14:paraId="3206F474" w14:textId="34B5F9BF" w:rsidR="00A06E6E" w:rsidRPr="00001432" w:rsidRDefault="00000000" w:rsidP="00001432">
      <w:pPr>
        <w:pStyle w:val="ListParagraph"/>
        <w:numPr>
          <w:ilvl w:val="0"/>
          <w:numId w:val="4"/>
        </w:numPr>
        <w:jc w:val="both"/>
        <w:rPr>
          <w:rFonts w:ascii="Times New Roman" w:eastAsia="Calibri" w:hAnsi="Times New Roman" w:cs="Times New Roman"/>
          <w:b/>
          <w:sz w:val="24"/>
          <w:szCs w:val="24"/>
        </w:rPr>
      </w:pPr>
      <w:r w:rsidRPr="00001432">
        <w:rPr>
          <w:rFonts w:ascii="Times New Roman" w:eastAsia="Calibri" w:hAnsi="Times New Roman" w:cs="Times New Roman"/>
          <w:b/>
          <w:sz w:val="24"/>
          <w:szCs w:val="24"/>
        </w:rPr>
        <w:t>Documents of Local and International Organizations</w:t>
      </w:r>
    </w:p>
    <w:p w14:paraId="4FDCDE08" w14:textId="01DF3830" w:rsidR="00A06E6E" w:rsidRPr="00001432" w:rsidRDefault="00000000" w:rsidP="003D6D67">
      <w:pPr>
        <w:pStyle w:val="ListParagraph"/>
        <w:numPr>
          <w:ilvl w:val="0"/>
          <w:numId w:val="7"/>
        </w:numPr>
        <w:jc w:val="both"/>
        <w:rPr>
          <w:rFonts w:ascii="Times New Roman" w:eastAsia="Calibri" w:hAnsi="Times New Roman" w:cs="Times New Roman"/>
          <w:b/>
          <w:i/>
          <w:sz w:val="24"/>
          <w:szCs w:val="24"/>
        </w:rPr>
      </w:pPr>
      <w:r w:rsidRPr="00001432">
        <w:rPr>
          <w:rFonts w:ascii="Times New Roman" w:eastAsia="Calibri" w:hAnsi="Times New Roman" w:cs="Times New Roman"/>
          <w:b/>
          <w:i/>
          <w:sz w:val="24"/>
          <w:szCs w:val="24"/>
        </w:rPr>
        <w:t>Reports of Local Organizations</w:t>
      </w:r>
    </w:p>
    <w:p w14:paraId="673EB537" w14:textId="77777777" w:rsidR="00A06E6E" w:rsidRPr="00001432" w:rsidRDefault="00A06E6E">
      <w:pPr>
        <w:jc w:val="both"/>
        <w:rPr>
          <w:rFonts w:ascii="Times New Roman" w:eastAsia="Calibri" w:hAnsi="Times New Roman" w:cs="Times New Roman"/>
          <w:sz w:val="24"/>
          <w:szCs w:val="24"/>
        </w:rPr>
      </w:pPr>
    </w:p>
    <w:p w14:paraId="7E9A8E3A" w14:textId="2E960E1D" w:rsidR="00A06E6E" w:rsidRPr="00001432" w:rsidRDefault="00000000">
      <w:pPr>
        <w:jc w:val="both"/>
        <w:rPr>
          <w:rFonts w:ascii="Times New Roman" w:eastAsia="Calibri" w:hAnsi="Times New Roman" w:cs="Times New Roman"/>
          <w:i/>
          <w:sz w:val="24"/>
          <w:szCs w:val="24"/>
        </w:rPr>
      </w:pPr>
      <w:r w:rsidRPr="00001432">
        <w:rPr>
          <w:rFonts w:ascii="Times New Roman" w:eastAsia="Calibri" w:hAnsi="Times New Roman" w:cs="Times New Roman"/>
          <w:i/>
          <w:sz w:val="24"/>
          <w:szCs w:val="24"/>
        </w:rPr>
        <w:t>(1) State Agencies</w:t>
      </w:r>
    </w:p>
    <w:p w14:paraId="71EC4DC7" w14:textId="77777777" w:rsidR="00BD1F30" w:rsidRPr="00001432" w:rsidRDefault="00000000" w:rsidP="00BD1F30">
      <w:pPr>
        <w:pStyle w:val="ListParagraph"/>
        <w:numPr>
          <w:ilvl w:val="2"/>
          <w:numId w:val="1"/>
        </w:numPr>
        <w:tabs>
          <w:tab w:val="left" w:pos="426"/>
        </w:tabs>
        <w:ind w:left="284" w:hanging="284"/>
        <w:jc w:val="both"/>
        <w:rPr>
          <w:rFonts w:ascii="Times New Roman" w:eastAsia="Calibri" w:hAnsi="Times New Roman" w:cs="Times New Roman"/>
          <w:sz w:val="24"/>
          <w:szCs w:val="24"/>
        </w:rPr>
      </w:pPr>
      <w:r w:rsidRPr="00001432">
        <w:rPr>
          <w:rFonts w:ascii="Times New Roman" w:eastAsia="Calibri" w:hAnsi="Times New Roman" w:cs="Times New Roman"/>
          <w:sz w:val="24"/>
          <w:szCs w:val="24"/>
        </w:rPr>
        <w:lastRenderedPageBreak/>
        <w:t>Investigations into allegations of torture within Azerbaijan predominantly fall under the purview of the Ombudsman. As a party to the Optional Protocol to the Convention against Torture and Other Cruel, Inhuman, or Degrading Treatment or Punishment, Azerbaijan committed to publishing and disseminating annual reports from its national preventive mechanisms against torture.</w:t>
      </w:r>
      <w:r w:rsidRPr="00001432">
        <w:rPr>
          <w:rFonts w:ascii="Times New Roman" w:hAnsi="Times New Roman" w:cs="Times New Roman"/>
          <w:sz w:val="24"/>
          <w:szCs w:val="24"/>
          <w:vertAlign w:val="superscript"/>
        </w:rPr>
        <w:footnoteReference w:id="37"/>
      </w:r>
      <w:r w:rsidRPr="00001432">
        <w:rPr>
          <w:rFonts w:ascii="Times New Roman" w:eastAsia="Calibri" w:hAnsi="Times New Roman" w:cs="Times New Roman"/>
          <w:sz w:val="24"/>
          <w:szCs w:val="24"/>
        </w:rPr>
        <w:t xml:space="preserve"> Despite this obligation, reports detailing the activities of the National Preventive Mechanism against Torture (Ombudsman) for the years 2020, 2021, and 2022 were significantly delayed in publication. While reports for 2020 and 2021 are now accessible online, the reports for 2022 and 2023 remain unpublished.</w:t>
      </w:r>
      <w:r w:rsidRPr="00001432">
        <w:rPr>
          <w:rFonts w:ascii="Times New Roman" w:hAnsi="Times New Roman" w:cs="Times New Roman"/>
          <w:sz w:val="24"/>
          <w:szCs w:val="24"/>
          <w:vertAlign w:val="superscript"/>
        </w:rPr>
        <w:footnoteReference w:id="38"/>
      </w:r>
    </w:p>
    <w:p w14:paraId="2C3C0765" w14:textId="7B727B2C" w:rsidR="00A06E6E" w:rsidRPr="00001432" w:rsidRDefault="00000000" w:rsidP="00BD1F30">
      <w:pPr>
        <w:pStyle w:val="ListParagraph"/>
        <w:numPr>
          <w:ilvl w:val="2"/>
          <w:numId w:val="1"/>
        </w:numPr>
        <w:tabs>
          <w:tab w:val="left" w:pos="426"/>
        </w:tabs>
        <w:ind w:left="284" w:hanging="284"/>
        <w:jc w:val="both"/>
        <w:rPr>
          <w:rFonts w:ascii="Times New Roman" w:eastAsia="Calibri" w:hAnsi="Times New Roman" w:cs="Times New Roman"/>
          <w:sz w:val="24"/>
          <w:szCs w:val="24"/>
        </w:rPr>
      </w:pPr>
      <w:r w:rsidRPr="00001432">
        <w:rPr>
          <w:rFonts w:ascii="Times New Roman" w:eastAsia="Calibri" w:hAnsi="Times New Roman" w:cs="Times New Roman"/>
          <w:sz w:val="24"/>
          <w:szCs w:val="24"/>
        </w:rPr>
        <w:t>The Public Committee under the Minister of Justice has not regularly or thoroughly reported on instances of ill-treatment within facilities overseen by the Ministry of Justice's Penitentiary Service. Although some documents from the institution mention ill-treatment, the information tends to be unsystematic, overly general, and lacks a focus on outcomes.</w:t>
      </w:r>
    </w:p>
    <w:p w14:paraId="257774E6" w14:textId="77777777" w:rsidR="00BD1F30" w:rsidRPr="00001432" w:rsidRDefault="00BD1F30">
      <w:pPr>
        <w:jc w:val="both"/>
        <w:rPr>
          <w:rFonts w:ascii="Times New Roman" w:eastAsia="Calibri" w:hAnsi="Times New Roman" w:cs="Times New Roman"/>
          <w:sz w:val="24"/>
          <w:szCs w:val="24"/>
        </w:rPr>
      </w:pPr>
    </w:p>
    <w:p w14:paraId="5F51117A" w14:textId="0CE17DB3" w:rsidR="00A06E6E" w:rsidRPr="00001432" w:rsidRDefault="00000000">
      <w:pPr>
        <w:jc w:val="both"/>
        <w:rPr>
          <w:rFonts w:ascii="Times New Roman" w:eastAsia="Calibri" w:hAnsi="Times New Roman" w:cs="Times New Roman"/>
          <w:sz w:val="24"/>
          <w:szCs w:val="24"/>
          <w:u w:val="single"/>
        </w:rPr>
      </w:pPr>
      <w:r w:rsidRPr="00001432">
        <w:rPr>
          <w:rFonts w:ascii="Times New Roman" w:eastAsia="Calibri" w:hAnsi="Times New Roman" w:cs="Times New Roman"/>
          <w:sz w:val="24"/>
          <w:szCs w:val="24"/>
          <w:u w:val="single"/>
        </w:rPr>
        <w:t>Ombudsman</w:t>
      </w:r>
    </w:p>
    <w:p w14:paraId="4418530E" w14:textId="77777777" w:rsidR="00A06E6E" w:rsidRPr="00001432" w:rsidRDefault="00A06E6E">
      <w:pPr>
        <w:jc w:val="both"/>
        <w:rPr>
          <w:rFonts w:ascii="Times New Roman" w:eastAsia="Calibri" w:hAnsi="Times New Roman" w:cs="Times New Roman"/>
          <w:sz w:val="24"/>
          <w:szCs w:val="24"/>
        </w:rPr>
      </w:pPr>
    </w:p>
    <w:p w14:paraId="0CF38299" w14:textId="77777777" w:rsidR="00BD1F30" w:rsidRPr="00001432" w:rsidRDefault="00000000" w:rsidP="00BD1F30">
      <w:pPr>
        <w:pStyle w:val="ListParagraph"/>
        <w:numPr>
          <w:ilvl w:val="2"/>
          <w:numId w:val="1"/>
        </w:numPr>
        <w:tabs>
          <w:tab w:val="left" w:pos="426"/>
        </w:tabs>
        <w:ind w:left="284" w:hanging="284"/>
        <w:jc w:val="both"/>
        <w:rPr>
          <w:rFonts w:ascii="Times New Roman" w:eastAsia="Calibri" w:hAnsi="Times New Roman" w:cs="Times New Roman"/>
          <w:sz w:val="24"/>
          <w:szCs w:val="24"/>
        </w:rPr>
      </w:pPr>
      <w:r w:rsidRPr="00001432">
        <w:rPr>
          <w:rFonts w:ascii="Times New Roman" w:eastAsia="Calibri" w:hAnsi="Times New Roman" w:cs="Times New Roman"/>
          <w:sz w:val="24"/>
          <w:szCs w:val="24"/>
        </w:rPr>
        <w:t>The Ombudsman's annual reports</w:t>
      </w:r>
      <w:r w:rsidRPr="00001432">
        <w:rPr>
          <w:rFonts w:ascii="Times New Roman" w:hAnsi="Times New Roman" w:cs="Times New Roman"/>
          <w:sz w:val="24"/>
          <w:szCs w:val="24"/>
          <w:vertAlign w:val="superscript"/>
        </w:rPr>
        <w:footnoteReference w:id="39"/>
      </w:r>
      <w:r w:rsidRPr="00001432">
        <w:rPr>
          <w:rFonts w:ascii="Times New Roman" w:eastAsia="Calibri" w:hAnsi="Times New Roman" w:cs="Times New Roman"/>
          <w:sz w:val="24"/>
          <w:szCs w:val="24"/>
        </w:rPr>
        <w:t xml:space="preserve"> include a dedicated section on maltreatment, yet the content regarding violations is often presented in a perfunctory manner. Detailed outcomes of inquiries into cases of ill-treatment, based on appeals received or findings from visits to detainees, are conspicuously absent from both visit reports and annual summaries.</w:t>
      </w:r>
      <w:r w:rsidR="00BD1F30" w:rsidRPr="00001432">
        <w:rPr>
          <w:rFonts w:ascii="Times New Roman" w:eastAsia="Calibri" w:hAnsi="Times New Roman" w:cs="Times New Roman"/>
          <w:sz w:val="24"/>
          <w:szCs w:val="24"/>
        </w:rPr>
        <w:t xml:space="preserve"> </w:t>
      </w:r>
    </w:p>
    <w:p w14:paraId="7ECA1A04" w14:textId="3A20874E" w:rsidR="00A06E6E" w:rsidRPr="00001432" w:rsidRDefault="00000000" w:rsidP="00BD1F30">
      <w:pPr>
        <w:pStyle w:val="ListParagraph"/>
        <w:numPr>
          <w:ilvl w:val="2"/>
          <w:numId w:val="1"/>
        </w:numPr>
        <w:tabs>
          <w:tab w:val="left" w:pos="426"/>
        </w:tabs>
        <w:ind w:left="284" w:hanging="284"/>
        <w:jc w:val="both"/>
        <w:rPr>
          <w:rFonts w:ascii="Times New Roman" w:eastAsia="Calibri" w:hAnsi="Times New Roman" w:cs="Times New Roman"/>
          <w:sz w:val="24"/>
          <w:szCs w:val="24"/>
        </w:rPr>
      </w:pPr>
      <w:r w:rsidRPr="00001432">
        <w:rPr>
          <w:rFonts w:ascii="Times New Roman" w:eastAsia="Calibri" w:hAnsi="Times New Roman" w:cs="Times New Roman"/>
          <w:sz w:val="24"/>
          <w:szCs w:val="24"/>
        </w:rPr>
        <w:t xml:space="preserve">For instance, the 2014 Ombudsman report mentions meetings with human rights defenders Leyla </w:t>
      </w:r>
      <w:proofErr w:type="spellStart"/>
      <w:r w:rsidRPr="00001432">
        <w:rPr>
          <w:rFonts w:ascii="Times New Roman" w:eastAsia="Calibri" w:hAnsi="Times New Roman" w:cs="Times New Roman"/>
          <w:sz w:val="24"/>
          <w:szCs w:val="24"/>
        </w:rPr>
        <w:t>Yunusova</w:t>
      </w:r>
      <w:proofErr w:type="spellEnd"/>
      <w:r w:rsidRPr="00001432">
        <w:rPr>
          <w:rFonts w:ascii="Times New Roman" w:eastAsia="Calibri" w:hAnsi="Times New Roman" w:cs="Times New Roman"/>
          <w:sz w:val="24"/>
          <w:szCs w:val="24"/>
        </w:rPr>
        <w:t xml:space="preserve"> and </w:t>
      </w:r>
      <w:proofErr w:type="spellStart"/>
      <w:r w:rsidRPr="00001432">
        <w:rPr>
          <w:rFonts w:ascii="Times New Roman" w:eastAsia="Calibri" w:hAnsi="Times New Roman" w:cs="Times New Roman"/>
          <w:sz w:val="24"/>
          <w:szCs w:val="24"/>
        </w:rPr>
        <w:t>Intigam</w:t>
      </w:r>
      <w:proofErr w:type="spellEnd"/>
      <w:r w:rsidRPr="00001432">
        <w:rPr>
          <w:rFonts w:ascii="Times New Roman" w:eastAsia="Calibri" w:hAnsi="Times New Roman" w:cs="Times New Roman"/>
          <w:sz w:val="24"/>
          <w:szCs w:val="24"/>
        </w:rPr>
        <w:t xml:space="preserve"> Aliyev, who were detained at the Baku Pre-trial Detention Center, as part of its activities under the National Preventive Mechanism. However, it omits any mention of their ill-treatment, an issue that the European Court found to be credible, ruling in favor of the complainants in the cases of </w:t>
      </w:r>
      <w:proofErr w:type="spellStart"/>
      <w:r w:rsidRPr="00001432">
        <w:rPr>
          <w:rFonts w:ascii="Times New Roman" w:eastAsia="Calibri" w:hAnsi="Times New Roman" w:cs="Times New Roman"/>
          <w:sz w:val="24"/>
          <w:szCs w:val="24"/>
        </w:rPr>
        <w:t>Yunusova</w:t>
      </w:r>
      <w:proofErr w:type="spellEnd"/>
      <w:r w:rsidRPr="00001432">
        <w:rPr>
          <w:rFonts w:ascii="Times New Roman" w:eastAsia="Calibri" w:hAnsi="Times New Roman" w:cs="Times New Roman"/>
          <w:sz w:val="24"/>
          <w:szCs w:val="24"/>
        </w:rPr>
        <w:t xml:space="preserve"> and </w:t>
      </w:r>
      <w:proofErr w:type="spellStart"/>
      <w:r w:rsidRPr="00001432">
        <w:rPr>
          <w:rFonts w:ascii="Times New Roman" w:eastAsia="Calibri" w:hAnsi="Times New Roman" w:cs="Times New Roman"/>
          <w:sz w:val="24"/>
          <w:szCs w:val="24"/>
        </w:rPr>
        <w:t>Yunusov</w:t>
      </w:r>
      <w:proofErr w:type="spellEnd"/>
      <w:r w:rsidRPr="00001432">
        <w:rPr>
          <w:rFonts w:ascii="Times New Roman" w:eastAsia="Calibri" w:hAnsi="Times New Roman" w:cs="Times New Roman"/>
          <w:sz w:val="24"/>
          <w:szCs w:val="24"/>
        </w:rPr>
        <w:t xml:space="preserve"> v. Azerbaijan and </w:t>
      </w:r>
      <w:proofErr w:type="spellStart"/>
      <w:r w:rsidRPr="00001432">
        <w:rPr>
          <w:rFonts w:ascii="Times New Roman" w:eastAsia="Calibri" w:hAnsi="Times New Roman" w:cs="Times New Roman"/>
          <w:sz w:val="24"/>
          <w:szCs w:val="24"/>
        </w:rPr>
        <w:t>Intigam</w:t>
      </w:r>
      <w:proofErr w:type="spellEnd"/>
      <w:r w:rsidRPr="00001432">
        <w:rPr>
          <w:rFonts w:ascii="Times New Roman" w:eastAsia="Calibri" w:hAnsi="Times New Roman" w:cs="Times New Roman"/>
          <w:sz w:val="24"/>
          <w:szCs w:val="24"/>
        </w:rPr>
        <w:t xml:space="preserve"> Aliyev v. Azerbaijan, recognizing violations of Article 3 of the Convention.</w:t>
      </w:r>
      <w:r w:rsidRPr="00001432">
        <w:rPr>
          <w:rFonts w:ascii="Times New Roman" w:hAnsi="Times New Roman" w:cs="Times New Roman"/>
          <w:sz w:val="24"/>
          <w:szCs w:val="24"/>
          <w:vertAlign w:val="superscript"/>
        </w:rPr>
        <w:footnoteReference w:id="40"/>
      </w:r>
    </w:p>
    <w:p w14:paraId="2A550D3C" w14:textId="77777777" w:rsidR="00A06E6E" w:rsidRDefault="00A06E6E">
      <w:pPr>
        <w:jc w:val="both"/>
        <w:rPr>
          <w:rFonts w:ascii="Times New Roman" w:eastAsia="Calibri" w:hAnsi="Times New Roman" w:cs="Times New Roman"/>
          <w:sz w:val="24"/>
          <w:szCs w:val="24"/>
        </w:rPr>
      </w:pPr>
    </w:p>
    <w:p w14:paraId="2372DD26" w14:textId="77777777" w:rsidR="00C01F33" w:rsidRPr="00001432" w:rsidRDefault="00C01F33">
      <w:pPr>
        <w:jc w:val="both"/>
        <w:rPr>
          <w:rFonts w:ascii="Times New Roman" w:eastAsia="Calibri" w:hAnsi="Times New Roman" w:cs="Times New Roman"/>
          <w:sz w:val="24"/>
          <w:szCs w:val="24"/>
        </w:rPr>
      </w:pPr>
    </w:p>
    <w:p w14:paraId="1BE97211" w14:textId="77777777" w:rsidR="00A06E6E" w:rsidRPr="00001432" w:rsidRDefault="00000000" w:rsidP="00BD1F30">
      <w:pPr>
        <w:ind w:firstLine="284"/>
        <w:jc w:val="both"/>
        <w:rPr>
          <w:rFonts w:ascii="Times New Roman" w:eastAsia="Calibri" w:hAnsi="Times New Roman" w:cs="Times New Roman"/>
          <w:sz w:val="24"/>
          <w:szCs w:val="24"/>
          <w:u w:val="single"/>
        </w:rPr>
      </w:pPr>
      <w:r w:rsidRPr="00001432">
        <w:rPr>
          <w:rFonts w:ascii="Times New Roman" w:eastAsia="Calibri" w:hAnsi="Times New Roman" w:cs="Times New Roman"/>
          <w:sz w:val="24"/>
          <w:szCs w:val="24"/>
          <w:u w:val="single"/>
        </w:rPr>
        <w:t>National Preventive Mechanism against Torture</w:t>
      </w:r>
    </w:p>
    <w:p w14:paraId="65C9C3A6" w14:textId="77777777" w:rsidR="00A06E6E" w:rsidRPr="00001432" w:rsidRDefault="00A06E6E">
      <w:pPr>
        <w:jc w:val="both"/>
        <w:rPr>
          <w:rFonts w:ascii="Times New Roman" w:eastAsia="Calibri" w:hAnsi="Times New Roman" w:cs="Times New Roman"/>
          <w:sz w:val="24"/>
          <w:szCs w:val="24"/>
        </w:rPr>
      </w:pPr>
    </w:p>
    <w:p w14:paraId="0863B078" w14:textId="62641497" w:rsidR="00A06E6E" w:rsidRPr="00001432" w:rsidRDefault="00000000" w:rsidP="00BD1F30">
      <w:pPr>
        <w:pStyle w:val="ListParagraph"/>
        <w:numPr>
          <w:ilvl w:val="2"/>
          <w:numId w:val="1"/>
        </w:numPr>
        <w:tabs>
          <w:tab w:val="left" w:pos="284"/>
          <w:tab w:val="left" w:pos="426"/>
        </w:tabs>
        <w:ind w:left="284" w:hanging="284"/>
        <w:jc w:val="both"/>
        <w:rPr>
          <w:rFonts w:ascii="Times New Roman" w:eastAsia="Calibri" w:hAnsi="Times New Roman" w:cs="Times New Roman"/>
          <w:sz w:val="24"/>
          <w:szCs w:val="24"/>
        </w:rPr>
      </w:pPr>
      <w:r w:rsidRPr="00001432">
        <w:rPr>
          <w:rFonts w:ascii="Times New Roman" w:eastAsia="Calibri" w:hAnsi="Times New Roman" w:cs="Times New Roman"/>
          <w:sz w:val="24"/>
          <w:szCs w:val="24"/>
        </w:rPr>
        <w:t>Examining the activities of the National Preventive Mechanism (NPM) against Torture from 2009-2021 reveals a notable reduction in both scheduled and unscheduled visits under the tenure of the new Ombudsman, as depicted in Chart 3.</w:t>
      </w:r>
    </w:p>
    <w:p w14:paraId="7375940D" w14:textId="77777777" w:rsidR="00A06E6E" w:rsidRPr="00001432" w:rsidRDefault="00A06E6E">
      <w:pPr>
        <w:jc w:val="both"/>
        <w:rPr>
          <w:rFonts w:ascii="Times New Roman" w:eastAsia="Calibri" w:hAnsi="Times New Roman" w:cs="Times New Roman"/>
          <w:sz w:val="24"/>
          <w:szCs w:val="24"/>
        </w:rPr>
      </w:pPr>
    </w:p>
    <w:p w14:paraId="00BDBA3A" w14:textId="77777777" w:rsidR="00A06E6E" w:rsidRPr="00001432" w:rsidRDefault="00000000">
      <w:pPr>
        <w:jc w:val="center"/>
        <w:rPr>
          <w:rFonts w:ascii="Times New Roman" w:eastAsia="Calibri" w:hAnsi="Times New Roman" w:cs="Times New Roman"/>
          <w:sz w:val="24"/>
          <w:szCs w:val="24"/>
        </w:rPr>
      </w:pPr>
      <w:r w:rsidRPr="00001432">
        <w:rPr>
          <w:rFonts w:ascii="Times New Roman" w:eastAsia="Calibri" w:hAnsi="Times New Roman" w:cs="Times New Roman"/>
          <w:noProof/>
          <w:sz w:val="24"/>
          <w:szCs w:val="24"/>
        </w:rPr>
        <w:lastRenderedPageBreak/>
        <w:drawing>
          <wp:inline distT="114300" distB="114300" distL="114300" distR="114300" wp14:anchorId="6F639B51" wp14:editId="5B4A6D4F">
            <wp:extent cx="5731200" cy="3441700"/>
            <wp:effectExtent l="0" t="0" r="0" b="0"/>
            <wp:docPr id="2"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10"/>
                    <a:srcRect/>
                    <a:stretch>
                      <a:fillRect/>
                    </a:stretch>
                  </pic:blipFill>
                  <pic:spPr>
                    <a:xfrm>
                      <a:off x="0" y="0"/>
                      <a:ext cx="5731200" cy="3441700"/>
                    </a:xfrm>
                    <a:prstGeom prst="rect">
                      <a:avLst/>
                    </a:prstGeom>
                    <a:ln/>
                  </pic:spPr>
                </pic:pic>
              </a:graphicData>
            </a:graphic>
          </wp:inline>
        </w:drawing>
      </w:r>
      <w:r w:rsidRPr="00001432">
        <w:rPr>
          <w:rFonts w:ascii="Times New Roman" w:eastAsia="Calibri" w:hAnsi="Times New Roman" w:cs="Times New Roman"/>
          <w:sz w:val="24"/>
          <w:szCs w:val="24"/>
        </w:rPr>
        <w:t>Chart 3.</w:t>
      </w:r>
      <w:r w:rsidRPr="00001432">
        <w:rPr>
          <w:rFonts w:ascii="Times New Roman" w:eastAsia="Calibri" w:hAnsi="Times New Roman" w:cs="Times New Roman"/>
          <w:sz w:val="24"/>
          <w:szCs w:val="24"/>
          <w:vertAlign w:val="superscript"/>
        </w:rPr>
        <w:footnoteReference w:id="41"/>
      </w:r>
    </w:p>
    <w:p w14:paraId="099DEE28" w14:textId="77777777" w:rsidR="00A06E6E" w:rsidRDefault="00A06E6E">
      <w:pPr>
        <w:jc w:val="both"/>
        <w:rPr>
          <w:rFonts w:ascii="Times New Roman" w:eastAsia="Calibri" w:hAnsi="Times New Roman" w:cs="Times New Roman"/>
          <w:sz w:val="24"/>
          <w:szCs w:val="24"/>
        </w:rPr>
      </w:pPr>
    </w:p>
    <w:p w14:paraId="487FC0AA" w14:textId="77777777" w:rsidR="00C01F33" w:rsidRPr="00001432" w:rsidRDefault="00C01F33">
      <w:pPr>
        <w:jc w:val="both"/>
        <w:rPr>
          <w:rFonts w:ascii="Times New Roman" w:eastAsia="Calibri" w:hAnsi="Times New Roman" w:cs="Times New Roman"/>
          <w:sz w:val="24"/>
          <w:szCs w:val="24"/>
        </w:rPr>
      </w:pPr>
    </w:p>
    <w:p w14:paraId="7B639854" w14:textId="37089B09" w:rsidR="00BD1F30" w:rsidRPr="00001432" w:rsidRDefault="00000000" w:rsidP="00001432">
      <w:pPr>
        <w:pStyle w:val="ListParagraph"/>
        <w:numPr>
          <w:ilvl w:val="2"/>
          <w:numId w:val="1"/>
        </w:numPr>
        <w:tabs>
          <w:tab w:val="left" w:pos="426"/>
        </w:tabs>
        <w:ind w:left="284" w:hanging="284"/>
        <w:jc w:val="both"/>
        <w:rPr>
          <w:rFonts w:ascii="Times New Roman" w:eastAsia="Calibri" w:hAnsi="Times New Roman" w:cs="Times New Roman"/>
          <w:sz w:val="24"/>
          <w:szCs w:val="24"/>
        </w:rPr>
      </w:pPr>
      <w:r w:rsidRPr="00001432">
        <w:rPr>
          <w:rFonts w:ascii="Times New Roman" w:eastAsia="Calibri" w:hAnsi="Times New Roman" w:cs="Times New Roman"/>
          <w:sz w:val="24"/>
          <w:szCs w:val="24"/>
        </w:rPr>
        <w:t>Despite this decrease, the annual reports for 2019, 2020, and 2021 from the National Preventive Mechanism against Torture (Ombudsman) did acknowledge instances of ill-treatment. Analysis of these violations indicates prevalent issues within the Penitentiary Service of the Ministry of Internal Affairs and the Ministry of Justice, including the specific locations where these issues occur, as outlined in Table 1:</w:t>
      </w:r>
    </w:p>
    <w:p w14:paraId="59B7CA22" w14:textId="77777777" w:rsidR="00001432" w:rsidRDefault="00001432" w:rsidP="00BD1F30">
      <w:pPr>
        <w:pBdr>
          <w:top w:val="none" w:sz="0" w:space="0" w:color="E3E3E3"/>
          <w:left w:val="none" w:sz="0" w:space="0" w:color="E3E3E3"/>
          <w:bottom w:val="none" w:sz="0" w:space="0" w:color="E3E3E3"/>
          <w:right w:val="none" w:sz="0" w:space="0" w:color="E3E3E3"/>
          <w:between w:val="none" w:sz="0" w:space="0" w:color="E3E3E3"/>
        </w:pBdr>
        <w:shd w:val="clear" w:color="auto" w:fill="FFFFFF"/>
        <w:spacing w:after="300"/>
        <w:rPr>
          <w:rFonts w:ascii="Times New Roman" w:eastAsia="Calibri" w:hAnsi="Times New Roman" w:cs="Times New Roman"/>
          <w:b/>
          <w:bCs/>
          <w:sz w:val="24"/>
          <w:szCs w:val="24"/>
        </w:rPr>
      </w:pPr>
    </w:p>
    <w:p w14:paraId="0ED4BBC2" w14:textId="77777777" w:rsidR="00C01F33" w:rsidRDefault="00C01F33" w:rsidP="00BD1F30">
      <w:pPr>
        <w:pBdr>
          <w:top w:val="none" w:sz="0" w:space="0" w:color="E3E3E3"/>
          <w:left w:val="none" w:sz="0" w:space="0" w:color="E3E3E3"/>
          <w:bottom w:val="none" w:sz="0" w:space="0" w:color="E3E3E3"/>
          <w:right w:val="none" w:sz="0" w:space="0" w:color="E3E3E3"/>
          <w:between w:val="none" w:sz="0" w:space="0" w:color="E3E3E3"/>
        </w:pBdr>
        <w:shd w:val="clear" w:color="auto" w:fill="FFFFFF"/>
        <w:spacing w:after="300"/>
        <w:rPr>
          <w:rFonts w:ascii="Times New Roman" w:eastAsia="Calibri" w:hAnsi="Times New Roman" w:cs="Times New Roman"/>
          <w:b/>
          <w:bCs/>
          <w:sz w:val="24"/>
          <w:szCs w:val="24"/>
        </w:rPr>
      </w:pPr>
    </w:p>
    <w:p w14:paraId="640B0DD0" w14:textId="77777777" w:rsidR="00C01F33" w:rsidRDefault="00C01F33" w:rsidP="00BD1F30">
      <w:pPr>
        <w:pBdr>
          <w:top w:val="none" w:sz="0" w:space="0" w:color="E3E3E3"/>
          <w:left w:val="none" w:sz="0" w:space="0" w:color="E3E3E3"/>
          <w:bottom w:val="none" w:sz="0" w:space="0" w:color="E3E3E3"/>
          <w:right w:val="none" w:sz="0" w:space="0" w:color="E3E3E3"/>
          <w:between w:val="none" w:sz="0" w:space="0" w:color="E3E3E3"/>
        </w:pBdr>
        <w:shd w:val="clear" w:color="auto" w:fill="FFFFFF"/>
        <w:spacing w:after="300"/>
        <w:rPr>
          <w:rFonts w:ascii="Times New Roman" w:eastAsia="Calibri" w:hAnsi="Times New Roman" w:cs="Times New Roman"/>
          <w:b/>
          <w:bCs/>
          <w:sz w:val="24"/>
          <w:szCs w:val="24"/>
        </w:rPr>
      </w:pPr>
    </w:p>
    <w:p w14:paraId="6C60389A" w14:textId="77777777" w:rsidR="00C01F33" w:rsidRDefault="00C01F33" w:rsidP="00BD1F30">
      <w:pPr>
        <w:pBdr>
          <w:top w:val="none" w:sz="0" w:space="0" w:color="E3E3E3"/>
          <w:left w:val="none" w:sz="0" w:space="0" w:color="E3E3E3"/>
          <w:bottom w:val="none" w:sz="0" w:space="0" w:color="E3E3E3"/>
          <w:right w:val="none" w:sz="0" w:space="0" w:color="E3E3E3"/>
          <w:between w:val="none" w:sz="0" w:space="0" w:color="E3E3E3"/>
        </w:pBdr>
        <w:shd w:val="clear" w:color="auto" w:fill="FFFFFF"/>
        <w:spacing w:after="300"/>
        <w:rPr>
          <w:rFonts w:ascii="Times New Roman" w:eastAsia="Calibri" w:hAnsi="Times New Roman" w:cs="Times New Roman"/>
          <w:b/>
          <w:bCs/>
          <w:sz w:val="24"/>
          <w:szCs w:val="24"/>
        </w:rPr>
      </w:pPr>
    </w:p>
    <w:p w14:paraId="3ACA8266" w14:textId="77777777" w:rsidR="00C01F33" w:rsidRDefault="00C01F33" w:rsidP="00BD1F30">
      <w:pPr>
        <w:pBdr>
          <w:top w:val="none" w:sz="0" w:space="0" w:color="E3E3E3"/>
          <w:left w:val="none" w:sz="0" w:space="0" w:color="E3E3E3"/>
          <w:bottom w:val="none" w:sz="0" w:space="0" w:color="E3E3E3"/>
          <w:right w:val="none" w:sz="0" w:space="0" w:color="E3E3E3"/>
          <w:between w:val="none" w:sz="0" w:space="0" w:color="E3E3E3"/>
        </w:pBdr>
        <w:shd w:val="clear" w:color="auto" w:fill="FFFFFF"/>
        <w:spacing w:after="300"/>
        <w:rPr>
          <w:rFonts w:ascii="Times New Roman" w:eastAsia="Calibri" w:hAnsi="Times New Roman" w:cs="Times New Roman"/>
          <w:b/>
          <w:bCs/>
          <w:sz w:val="24"/>
          <w:szCs w:val="24"/>
        </w:rPr>
      </w:pPr>
    </w:p>
    <w:p w14:paraId="47BE8DC6" w14:textId="77777777" w:rsidR="00C01F33" w:rsidRDefault="00C01F33" w:rsidP="00BD1F30">
      <w:pPr>
        <w:pBdr>
          <w:top w:val="none" w:sz="0" w:space="0" w:color="E3E3E3"/>
          <w:left w:val="none" w:sz="0" w:space="0" w:color="E3E3E3"/>
          <w:bottom w:val="none" w:sz="0" w:space="0" w:color="E3E3E3"/>
          <w:right w:val="none" w:sz="0" w:space="0" w:color="E3E3E3"/>
          <w:between w:val="none" w:sz="0" w:space="0" w:color="E3E3E3"/>
        </w:pBdr>
        <w:shd w:val="clear" w:color="auto" w:fill="FFFFFF"/>
        <w:spacing w:after="300"/>
        <w:rPr>
          <w:rFonts w:ascii="Times New Roman" w:eastAsia="Calibri" w:hAnsi="Times New Roman" w:cs="Times New Roman"/>
          <w:b/>
          <w:bCs/>
          <w:sz w:val="24"/>
          <w:szCs w:val="24"/>
        </w:rPr>
      </w:pPr>
    </w:p>
    <w:p w14:paraId="7D1F139C" w14:textId="77777777" w:rsidR="00C01F33" w:rsidRDefault="00C01F33" w:rsidP="00BD1F30">
      <w:pPr>
        <w:pBdr>
          <w:top w:val="none" w:sz="0" w:space="0" w:color="E3E3E3"/>
          <w:left w:val="none" w:sz="0" w:space="0" w:color="E3E3E3"/>
          <w:bottom w:val="none" w:sz="0" w:space="0" w:color="E3E3E3"/>
          <w:right w:val="none" w:sz="0" w:space="0" w:color="E3E3E3"/>
          <w:between w:val="none" w:sz="0" w:space="0" w:color="E3E3E3"/>
        </w:pBdr>
        <w:shd w:val="clear" w:color="auto" w:fill="FFFFFF"/>
        <w:spacing w:after="300"/>
        <w:rPr>
          <w:rFonts w:ascii="Times New Roman" w:eastAsia="Calibri" w:hAnsi="Times New Roman" w:cs="Times New Roman"/>
          <w:b/>
          <w:bCs/>
          <w:sz w:val="24"/>
          <w:szCs w:val="24"/>
        </w:rPr>
      </w:pPr>
    </w:p>
    <w:p w14:paraId="369F8A51" w14:textId="77777777" w:rsidR="00C01F33" w:rsidRDefault="00C01F33" w:rsidP="00BD1F30">
      <w:pPr>
        <w:pBdr>
          <w:top w:val="none" w:sz="0" w:space="0" w:color="E3E3E3"/>
          <w:left w:val="none" w:sz="0" w:space="0" w:color="E3E3E3"/>
          <w:bottom w:val="none" w:sz="0" w:space="0" w:color="E3E3E3"/>
          <w:right w:val="none" w:sz="0" w:space="0" w:color="E3E3E3"/>
          <w:between w:val="none" w:sz="0" w:space="0" w:color="E3E3E3"/>
        </w:pBdr>
        <w:shd w:val="clear" w:color="auto" w:fill="FFFFFF"/>
        <w:spacing w:after="300"/>
        <w:rPr>
          <w:rFonts w:ascii="Times New Roman" w:eastAsia="Calibri" w:hAnsi="Times New Roman" w:cs="Times New Roman"/>
          <w:b/>
          <w:bCs/>
          <w:sz w:val="24"/>
          <w:szCs w:val="24"/>
        </w:rPr>
      </w:pPr>
    </w:p>
    <w:p w14:paraId="449A91C6" w14:textId="1E4F0D23" w:rsidR="00A06E6E" w:rsidRPr="00001432" w:rsidRDefault="00000000" w:rsidP="00BD1F30">
      <w:pPr>
        <w:pBdr>
          <w:top w:val="none" w:sz="0" w:space="0" w:color="E3E3E3"/>
          <w:left w:val="none" w:sz="0" w:space="0" w:color="E3E3E3"/>
          <w:bottom w:val="none" w:sz="0" w:space="0" w:color="E3E3E3"/>
          <w:right w:val="none" w:sz="0" w:space="0" w:color="E3E3E3"/>
          <w:between w:val="none" w:sz="0" w:space="0" w:color="E3E3E3"/>
        </w:pBdr>
        <w:shd w:val="clear" w:color="auto" w:fill="FFFFFF"/>
        <w:spacing w:after="300"/>
        <w:rPr>
          <w:rFonts w:ascii="Times New Roman" w:eastAsia="Calibri" w:hAnsi="Times New Roman" w:cs="Times New Roman"/>
          <w:b/>
          <w:bCs/>
          <w:sz w:val="24"/>
          <w:szCs w:val="24"/>
        </w:rPr>
      </w:pPr>
      <w:r w:rsidRPr="00001432">
        <w:rPr>
          <w:rFonts w:ascii="Times New Roman" w:eastAsia="Calibri" w:hAnsi="Times New Roman" w:cs="Times New Roman"/>
          <w:b/>
          <w:bCs/>
          <w:sz w:val="24"/>
          <w:szCs w:val="24"/>
        </w:rPr>
        <w:lastRenderedPageBreak/>
        <w:t>Table 1.</w:t>
      </w:r>
      <w:r w:rsidRPr="00001432">
        <w:rPr>
          <w:rFonts w:ascii="Times New Roman" w:eastAsia="Calibri" w:hAnsi="Times New Roman" w:cs="Times New Roman"/>
          <w:b/>
          <w:bCs/>
          <w:sz w:val="24"/>
          <w:szCs w:val="24"/>
          <w:vertAlign w:val="superscript"/>
        </w:rPr>
        <w:footnoteReference w:id="42"/>
      </w:r>
    </w:p>
    <w:tbl>
      <w:tblPr>
        <w:tblStyle w:val="a"/>
        <w:tblW w:w="9025" w:type="dxa"/>
        <w:tblBorders>
          <w:top w:val="nil"/>
          <w:left w:val="nil"/>
          <w:bottom w:val="nil"/>
          <w:right w:val="nil"/>
          <w:insideH w:val="nil"/>
          <w:insideV w:val="nil"/>
        </w:tblBorders>
        <w:tblLayout w:type="fixed"/>
        <w:tblLook w:val="0600" w:firstRow="0" w:lastRow="0" w:firstColumn="0" w:lastColumn="0" w:noHBand="1" w:noVBand="1"/>
      </w:tblPr>
      <w:tblGrid>
        <w:gridCol w:w="1637"/>
        <w:gridCol w:w="2293"/>
        <w:gridCol w:w="2414"/>
        <w:gridCol w:w="2681"/>
      </w:tblGrid>
      <w:tr w:rsidR="00A06E6E" w:rsidRPr="00001432" w14:paraId="14B4EC75" w14:textId="77777777">
        <w:trPr>
          <w:trHeight w:val="1070"/>
        </w:trPr>
        <w:tc>
          <w:tcPr>
            <w:tcW w:w="1637" w:type="dxa"/>
            <w:tcBorders>
              <w:top w:val="single" w:sz="5" w:space="0" w:color="E3E3E3"/>
              <w:left w:val="single" w:sz="5" w:space="0" w:color="E3E3E3"/>
              <w:bottom w:val="single" w:sz="5" w:space="0" w:color="E3E3E3"/>
              <w:right w:val="nil"/>
            </w:tcBorders>
            <w:tcMar>
              <w:top w:w="100" w:type="dxa"/>
              <w:left w:w="100" w:type="dxa"/>
              <w:bottom w:w="100" w:type="dxa"/>
              <w:right w:w="100" w:type="dxa"/>
            </w:tcMar>
            <w:vAlign w:val="bottom"/>
          </w:tcPr>
          <w:p w14:paraId="78D72FEB" w14:textId="77777777" w:rsidR="00A06E6E" w:rsidRPr="00001432" w:rsidRDefault="00000000">
            <w:pPr>
              <w:spacing w:line="411" w:lineRule="auto"/>
              <w:jc w:val="both"/>
              <w:rPr>
                <w:rFonts w:ascii="Times New Roman" w:eastAsia="Calibri" w:hAnsi="Times New Roman" w:cs="Times New Roman"/>
                <w:color w:val="0D0D0D"/>
                <w:sz w:val="24"/>
                <w:szCs w:val="24"/>
              </w:rPr>
            </w:pPr>
            <w:r w:rsidRPr="00001432">
              <w:rPr>
                <w:rFonts w:ascii="Times New Roman" w:eastAsia="Calibri" w:hAnsi="Times New Roman" w:cs="Times New Roman"/>
                <w:b/>
                <w:color w:val="0D0D0D"/>
                <w:sz w:val="24"/>
                <w:szCs w:val="24"/>
              </w:rPr>
              <w:t>Category of Violation</w:t>
            </w:r>
          </w:p>
        </w:tc>
        <w:tc>
          <w:tcPr>
            <w:tcW w:w="2293" w:type="dxa"/>
            <w:tcBorders>
              <w:top w:val="single" w:sz="5" w:space="0" w:color="E3E3E3"/>
              <w:left w:val="single" w:sz="5" w:space="0" w:color="E3E3E3"/>
              <w:bottom w:val="single" w:sz="5" w:space="0" w:color="E3E3E3"/>
              <w:right w:val="nil"/>
            </w:tcBorders>
            <w:tcMar>
              <w:top w:w="100" w:type="dxa"/>
              <w:left w:w="100" w:type="dxa"/>
              <w:bottom w:w="100" w:type="dxa"/>
              <w:right w:w="100" w:type="dxa"/>
            </w:tcMar>
            <w:vAlign w:val="bottom"/>
          </w:tcPr>
          <w:p w14:paraId="72564626" w14:textId="77777777" w:rsidR="00A06E6E" w:rsidRPr="00001432" w:rsidRDefault="00000000">
            <w:pPr>
              <w:spacing w:line="411" w:lineRule="auto"/>
              <w:jc w:val="both"/>
              <w:rPr>
                <w:rFonts w:ascii="Times New Roman" w:eastAsia="Calibri" w:hAnsi="Times New Roman" w:cs="Times New Roman"/>
                <w:color w:val="0D0D0D"/>
                <w:sz w:val="24"/>
                <w:szCs w:val="24"/>
              </w:rPr>
            </w:pPr>
            <w:r w:rsidRPr="00001432">
              <w:rPr>
                <w:rFonts w:ascii="Times New Roman" w:eastAsia="Calibri" w:hAnsi="Times New Roman" w:cs="Times New Roman"/>
                <w:b/>
                <w:color w:val="0D0D0D"/>
                <w:sz w:val="24"/>
                <w:szCs w:val="24"/>
              </w:rPr>
              <w:t>Entity Responsible</w:t>
            </w:r>
          </w:p>
        </w:tc>
        <w:tc>
          <w:tcPr>
            <w:tcW w:w="2414" w:type="dxa"/>
            <w:tcBorders>
              <w:top w:val="single" w:sz="5" w:space="0" w:color="E3E3E3"/>
              <w:left w:val="single" w:sz="5" w:space="0" w:color="E3E3E3"/>
              <w:bottom w:val="single" w:sz="5" w:space="0" w:color="E3E3E3"/>
              <w:right w:val="nil"/>
            </w:tcBorders>
            <w:tcMar>
              <w:top w:w="100" w:type="dxa"/>
              <w:left w:w="100" w:type="dxa"/>
              <w:bottom w:w="100" w:type="dxa"/>
              <w:right w:w="100" w:type="dxa"/>
            </w:tcMar>
            <w:vAlign w:val="bottom"/>
          </w:tcPr>
          <w:p w14:paraId="72CE22B4" w14:textId="77777777" w:rsidR="00A06E6E" w:rsidRPr="00001432" w:rsidRDefault="00000000">
            <w:pPr>
              <w:spacing w:line="411" w:lineRule="auto"/>
              <w:jc w:val="both"/>
              <w:rPr>
                <w:rFonts w:ascii="Times New Roman" w:eastAsia="Calibri" w:hAnsi="Times New Roman" w:cs="Times New Roman"/>
                <w:color w:val="0D0D0D"/>
                <w:sz w:val="24"/>
                <w:szCs w:val="24"/>
              </w:rPr>
            </w:pPr>
            <w:r w:rsidRPr="00001432">
              <w:rPr>
                <w:rFonts w:ascii="Times New Roman" w:eastAsia="Calibri" w:hAnsi="Times New Roman" w:cs="Times New Roman"/>
                <w:b/>
                <w:color w:val="0D0D0D"/>
                <w:sz w:val="24"/>
                <w:szCs w:val="24"/>
              </w:rPr>
              <w:t>Nature of Violation</w:t>
            </w:r>
          </w:p>
        </w:tc>
        <w:tc>
          <w:tcPr>
            <w:tcW w:w="2681" w:type="dxa"/>
            <w:tcBorders>
              <w:top w:val="single" w:sz="5" w:space="0" w:color="E3E3E3"/>
              <w:left w:val="single" w:sz="5" w:space="0" w:color="E3E3E3"/>
              <w:bottom w:val="single" w:sz="5" w:space="0" w:color="E3E3E3"/>
              <w:right w:val="single" w:sz="5" w:space="0" w:color="E3E3E3"/>
            </w:tcBorders>
            <w:tcMar>
              <w:top w:w="100" w:type="dxa"/>
              <w:left w:w="100" w:type="dxa"/>
              <w:bottom w:w="100" w:type="dxa"/>
              <w:right w:w="100" w:type="dxa"/>
            </w:tcMar>
            <w:vAlign w:val="bottom"/>
          </w:tcPr>
          <w:p w14:paraId="691639D1" w14:textId="77777777" w:rsidR="00A06E6E" w:rsidRPr="00001432" w:rsidRDefault="00000000">
            <w:pPr>
              <w:spacing w:line="411" w:lineRule="auto"/>
              <w:jc w:val="both"/>
              <w:rPr>
                <w:rFonts w:ascii="Times New Roman" w:eastAsia="Calibri" w:hAnsi="Times New Roman" w:cs="Times New Roman"/>
                <w:color w:val="0D0D0D"/>
                <w:sz w:val="24"/>
                <w:szCs w:val="24"/>
              </w:rPr>
            </w:pPr>
            <w:r w:rsidRPr="00001432">
              <w:rPr>
                <w:rFonts w:ascii="Times New Roman" w:eastAsia="Calibri" w:hAnsi="Times New Roman" w:cs="Times New Roman"/>
                <w:b/>
                <w:color w:val="0D0D0D"/>
                <w:sz w:val="24"/>
                <w:szCs w:val="24"/>
              </w:rPr>
              <w:t>Legal Basis</w:t>
            </w:r>
          </w:p>
        </w:tc>
      </w:tr>
      <w:tr w:rsidR="00A06E6E" w:rsidRPr="00001432" w14:paraId="73AF29C0" w14:textId="77777777">
        <w:trPr>
          <w:trHeight w:val="3935"/>
        </w:trPr>
        <w:tc>
          <w:tcPr>
            <w:tcW w:w="1637" w:type="dxa"/>
            <w:tcBorders>
              <w:top w:val="nil"/>
              <w:left w:val="single" w:sz="5" w:space="0" w:color="E3E3E3"/>
              <w:bottom w:val="single" w:sz="5" w:space="0" w:color="E3E3E3"/>
              <w:right w:val="nil"/>
            </w:tcBorders>
            <w:tcMar>
              <w:top w:w="100" w:type="dxa"/>
              <w:left w:w="100" w:type="dxa"/>
              <w:bottom w:w="100" w:type="dxa"/>
              <w:right w:w="100" w:type="dxa"/>
            </w:tcMar>
            <w:vAlign w:val="center"/>
          </w:tcPr>
          <w:p w14:paraId="7BDFFCB2" w14:textId="77777777" w:rsidR="00A06E6E" w:rsidRPr="00001432" w:rsidRDefault="00000000">
            <w:pPr>
              <w:spacing w:line="411" w:lineRule="auto"/>
              <w:jc w:val="both"/>
              <w:rPr>
                <w:rFonts w:ascii="Times New Roman" w:eastAsia="Calibri" w:hAnsi="Times New Roman" w:cs="Times New Roman"/>
                <w:color w:val="0D0D0D"/>
                <w:sz w:val="24"/>
                <w:szCs w:val="24"/>
              </w:rPr>
            </w:pPr>
            <w:r w:rsidRPr="00001432">
              <w:rPr>
                <w:rFonts w:ascii="Times New Roman" w:eastAsia="Calibri" w:hAnsi="Times New Roman" w:cs="Times New Roman"/>
                <w:color w:val="0D0D0D"/>
                <w:sz w:val="24"/>
                <w:szCs w:val="24"/>
              </w:rPr>
              <w:t>1. Physical and Moral Violence</w:t>
            </w:r>
          </w:p>
        </w:tc>
        <w:tc>
          <w:tcPr>
            <w:tcW w:w="2293" w:type="dxa"/>
            <w:tcBorders>
              <w:top w:val="nil"/>
              <w:left w:val="single" w:sz="5" w:space="0" w:color="E3E3E3"/>
              <w:bottom w:val="single" w:sz="5" w:space="0" w:color="E3E3E3"/>
              <w:right w:val="nil"/>
            </w:tcBorders>
            <w:tcMar>
              <w:top w:w="100" w:type="dxa"/>
              <w:left w:w="100" w:type="dxa"/>
              <w:bottom w:w="100" w:type="dxa"/>
              <w:right w:w="100" w:type="dxa"/>
            </w:tcMar>
            <w:vAlign w:val="center"/>
          </w:tcPr>
          <w:p w14:paraId="5AEE41B5" w14:textId="77777777" w:rsidR="00A06E6E" w:rsidRPr="00001432" w:rsidRDefault="00000000">
            <w:pPr>
              <w:spacing w:line="411" w:lineRule="auto"/>
              <w:jc w:val="both"/>
              <w:rPr>
                <w:rFonts w:ascii="Times New Roman" w:eastAsia="Calibri" w:hAnsi="Times New Roman" w:cs="Times New Roman"/>
                <w:color w:val="0D0D0D"/>
                <w:sz w:val="24"/>
                <w:szCs w:val="24"/>
              </w:rPr>
            </w:pPr>
            <w:proofErr w:type="spellStart"/>
            <w:r w:rsidRPr="00001432">
              <w:rPr>
                <w:rFonts w:ascii="Times New Roman" w:eastAsia="Calibri" w:hAnsi="Times New Roman" w:cs="Times New Roman"/>
                <w:color w:val="0D0D0D"/>
                <w:sz w:val="24"/>
                <w:szCs w:val="24"/>
              </w:rPr>
              <w:t>Salyan</w:t>
            </w:r>
            <w:proofErr w:type="spellEnd"/>
            <w:r w:rsidRPr="00001432">
              <w:rPr>
                <w:rFonts w:ascii="Times New Roman" w:eastAsia="Calibri" w:hAnsi="Times New Roman" w:cs="Times New Roman"/>
                <w:color w:val="0D0D0D"/>
                <w:sz w:val="24"/>
                <w:szCs w:val="24"/>
              </w:rPr>
              <w:t xml:space="preserve">, </w:t>
            </w:r>
            <w:proofErr w:type="spellStart"/>
            <w:r w:rsidRPr="00001432">
              <w:rPr>
                <w:rFonts w:ascii="Times New Roman" w:eastAsia="Calibri" w:hAnsi="Times New Roman" w:cs="Times New Roman"/>
                <w:color w:val="0D0D0D"/>
                <w:sz w:val="24"/>
                <w:szCs w:val="24"/>
              </w:rPr>
              <w:t>Yevlakh</w:t>
            </w:r>
            <w:proofErr w:type="spellEnd"/>
            <w:r w:rsidRPr="00001432">
              <w:rPr>
                <w:rFonts w:ascii="Times New Roman" w:eastAsia="Calibri" w:hAnsi="Times New Roman" w:cs="Times New Roman"/>
                <w:color w:val="0D0D0D"/>
                <w:sz w:val="24"/>
                <w:szCs w:val="24"/>
              </w:rPr>
              <w:t>, and Shamkir District Police Department (DPT); Investigation Detention Center No. 2; Penitentiaries No. 6 and 13</w:t>
            </w:r>
          </w:p>
        </w:tc>
        <w:tc>
          <w:tcPr>
            <w:tcW w:w="2414" w:type="dxa"/>
            <w:tcBorders>
              <w:top w:val="nil"/>
              <w:left w:val="single" w:sz="5" w:space="0" w:color="E3E3E3"/>
              <w:bottom w:val="single" w:sz="5" w:space="0" w:color="E3E3E3"/>
              <w:right w:val="nil"/>
            </w:tcBorders>
            <w:tcMar>
              <w:top w:w="100" w:type="dxa"/>
              <w:left w:w="100" w:type="dxa"/>
              <w:bottom w:w="100" w:type="dxa"/>
              <w:right w:w="100" w:type="dxa"/>
            </w:tcMar>
            <w:vAlign w:val="center"/>
          </w:tcPr>
          <w:p w14:paraId="015B9F24" w14:textId="77777777" w:rsidR="00A06E6E" w:rsidRPr="00001432" w:rsidRDefault="00000000">
            <w:pPr>
              <w:spacing w:line="411" w:lineRule="auto"/>
              <w:jc w:val="both"/>
              <w:rPr>
                <w:rFonts w:ascii="Times New Roman" w:eastAsia="Calibri" w:hAnsi="Times New Roman" w:cs="Times New Roman"/>
                <w:color w:val="0D0D0D"/>
                <w:sz w:val="24"/>
                <w:szCs w:val="24"/>
              </w:rPr>
            </w:pPr>
            <w:r w:rsidRPr="00001432">
              <w:rPr>
                <w:rFonts w:ascii="Times New Roman" w:eastAsia="Calibri" w:hAnsi="Times New Roman" w:cs="Times New Roman"/>
                <w:color w:val="0D0D0D"/>
                <w:sz w:val="24"/>
                <w:szCs w:val="24"/>
              </w:rPr>
              <w:t>Incidents of physical and mental violence, including the use of handcuffs and rubber batons; reports of ill-treatment and inappropriate disciplinary measures</w:t>
            </w:r>
          </w:p>
        </w:tc>
        <w:tc>
          <w:tcPr>
            <w:tcW w:w="2681" w:type="dxa"/>
            <w:tcBorders>
              <w:top w:val="nil"/>
              <w:left w:val="single" w:sz="5" w:space="0" w:color="E3E3E3"/>
              <w:bottom w:val="single" w:sz="5" w:space="0" w:color="E3E3E3"/>
              <w:right w:val="single" w:sz="5" w:space="0" w:color="E3E3E3"/>
            </w:tcBorders>
            <w:tcMar>
              <w:top w:w="100" w:type="dxa"/>
              <w:left w:w="100" w:type="dxa"/>
              <w:bottom w:w="100" w:type="dxa"/>
              <w:right w:w="100" w:type="dxa"/>
            </w:tcMar>
            <w:vAlign w:val="center"/>
          </w:tcPr>
          <w:p w14:paraId="32F4C826" w14:textId="77777777" w:rsidR="00A06E6E" w:rsidRPr="00001432" w:rsidRDefault="00000000">
            <w:pPr>
              <w:spacing w:line="411" w:lineRule="auto"/>
              <w:jc w:val="both"/>
              <w:rPr>
                <w:rFonts w:ascii="Times New Roman" w:eastAsia="Calibri" w:hAnsi="Times New Roman" w:cs="Times New Roman"/>
                <w:color w:val="0D0D0D"/>
                <w:sz w:val="24"/>
                <w:szCs w:val="24"/>
              </w:rPr>
            </w:pPr>
            <w:r w:rsidRPr="00001432">
              <w:rPr>
                <w:rFonts w:ascii="Times New Roman" w:eastAsia="Calibri" w:hAnsi="Times New Roman" w:cs="Times New Roman"/>
                <w:color w:val="0D0D0D"/>
                <w:sz w:val="24"/>
                <w:szCs w:val="24"/>
              </w:rPr>
              <w:t>UN Minimum Standard Rules for the Treatment of Prisoners (43.2); Article 4.11 of the "Temporary Regulations on Detention Centers for Administrative Detainees" by the Azerbaijani Ministry of Internal Affairs; Article 60 of the European Prison Rules</w:t>
            </w:r>
          </w:p>
        </w:tc>
      </w:tr>
      <w:tr w:rsidR="00A06E6E" w:rsidRPr="00001432" w14:paraId="05FEBC5B" w14:textId="77777777">
        <w:trPr>
          <w:trHeight w:val="1055"/>
        </w:trPr>
        <w:tc>
          <w:tcPr>
            <w:tcW w:w="1637" w:type="dxa"/>
            <w:tcBorders>
              <w:top w:val="nil"/>
              <w:left w:val="single" w:sz="5" w:space="0" w:color="E3E3E3"/>
              <w:bottom w:val="single" w:sz="5" w:space="0" w:color="E3E3E3"/>
              <w:right w:val="nil"/>
            </w:tcBorders>
            <w:tcMar>
              <w:top w:w="100" w:type="dxa"/>
              <w:left w:w="100" w:type="dxa"/>
              <w:bottom w:w="100" w:type="dxa"/>
              <w:right w:w="100" w:type="dxa"/>
            </w:tcMar>
            <w:vAlign w:val="center"/>
          </w:tcPr>
          <w:p w14:paraId="21E1AF30" w14:textId="77777777" w:rsidR="00A06E6E" w:rsidRPr="00001432" w:rsidRDefault="00000000">
            <w:pPr>
              <w:spacing w:line="411" w:lineRule="auto"/>
              <w:jc w:val="both"/>
              <w:rPr>
                <w:rFonts w:ascii="Times New Roman" w:eastAsia="Calibri" w:hAnsi="Times New Roman" w:cs="Times New Roman"/>
                <w:color w:val="0D0D0D"/>
                <w:sz w:val="24"/>
                <w:szCs w:val="24"/>
              </w:rPr>
            </w:pPr>
            <w:r w:rsidRPr="00001432">
              <w:rPr>
                <w:rFonts w:ascii="Times New Roman" w:eastAsia="Calibri" w:hAnsi="Times New Roman" w:cs="Times New Roman"/>
                <w:color w:val="0D0D0D"/>
                <w:sz w:val="24"/>
                <w:szCs w:val="24"/>
              </w:rPr>
              <w:t>2. Right of Defense</w:t>
            </w:r>
          </w:p>
        </w:tc>
        <w:tc>
          <w:tcPr>
            <w:tcW w:w="2293" w:type="dxa"/>
            <w:tcBorders>
              <w:top w:val="nil"/>
              <w:left w:val="single" w:sz="5" w:space="0" w:color="E3E3E3"/>
              <w:bottom w:val="single" w:sz="5" w:space="0" w:color="E3E3E3"/>
              <w:right w:val="nil"/>
            </w:tcBorders>
            <w:tcMar>
              <w:top w:w="100" w:type="dxa"/>
              <w:left w:w="100" w:type="dxa"/>
              <w:bottom w:w="100" w:type="dxa"/>
              <w:right w:w="100" w:type="dxa"/>
            </w:tcMar>
            <w:vAlign w:val="center"/>
          </w:tcPr>
          <w:p w14:paraId="6A0A8D0A" w14:textId="77777777" w:rsidR="00A06E6E" w:rsidRPr="00001432" w:rsidRDefault="00A06E6E">
            <w:pPr>
              <w:spacing w:line="411" w:lineRule="auto"/>
              <w:jc w:val="both"/>
              <w:rPr>
                <w:rFonts w:ascii="Times New Roman" w:eastAsia="Calibri" w:hAnsi="Times New Roman" w:cs="Times New Roman"/>
                <w:color w:val="0D0D0D"/>
                <w:sz w:val="24"/>
                <w:szCs w:val="24"/>
              </w:rPr>
            </w:pPr>
          </w:p>
        </w:tc>
        <w:tc>
          <w:tcPr>
            <w:tcW w:w="2414" w:type="dxa"/>
            <w:tcBorders>
              <w:top w:val="nil"/>
              <w:left w:val="single" w:sz="5" w:space="0" w:color="E3E3E3"/>
              <w:bottom w:val="single" w:sz="5" w:space="0" w:color="E3E3E3"/>
              <w:right w:val="nil"/>
            </w:tcBorders>
            <w:tcMar>
              <w:top w:w="100" w:type="dxa"/>
              <w:left w:w="100" w:type="dxa"/>
              <w:bottom w:w="100" w:type="dxa"/>
              <w:right w:w="100" w:type="dxa"/>
            </w:tcMar>
            <w:vAlign w:val="center"/>
          </w:tcPr>
          <w:p w14:paraId="31D1B936" w14:textId="77777777" w:rsidR="00A06E6E" w:rsidRPr="00001432" w:rsidRDefault="00A06E6E">
            <w:pPr>
              <w:spacing w:line="411" w:lineRule="auto"/>
              <w:jc w:val="both"/>
              <w:rPr>
                <w:rFonts w:ascii="Times New Roman" w:eastAsia="Calibri" w:hAnsi="Times New Roman" w:cs="Times New Roman"/>
                <w:color w:val="0D0D0D"/>
                <w:sz w:val="24"/>
                <w:szCs w:val="24"/>
              </w:rPr>
            </w:pPr>
          </w:p>
        </w:tc>
        <w:tc>
          <w:tcPr>
            <w:tcW w:w="2681" w:type="dxa"/>
            <w:tcBorders>
              <w:top w:val="nil"/>
              <w:left w:val="single" w:sz="5" w:space="0" w:color="E3E3E3"/>
              <w:bottom w:val="single" w:sz="5" w:space="0" w:color="E3E3E3"/>
              <w:right w:val="single" w:sz="5" w:space="0" w:color="E3E3E3"/>
            </w:tcBorders>
            <w:tcMar>
              <w:top w:w="100" w:type="dxa"/>
              <w:left w:w="100" w:type="dxa"/>
              <w:bottom w:w="100" w:type="dxa"/>
              <w:right w:w="100" w:type="dxa"/>
            </w:tcMar>
            <w:vAlign w:val="center"/>
          </w:tcPr>
          <w:p w14:paraId="55BB1AC4" w14:textId="77777777" w:rsidR="00A06E6E" w:rsidRPr="00001432" w:rsidRDefault="00A06E6E">
            <w:pPr>
              <w:spacing w:line="411" w:lineRule="auto"/>
              <w:jc w:val="both"/>
              <w:rPr>
                <w:rFonts w:ascii="Times New Roman" w:eastAsia="Calibri" w:hAnsi="Times New Roman" w:cs="Times New Roman"/>
                <w:color w:val="0D0D0D"/>
                <w:sz w:val="24"/>
                <w:szCs w:val="24"/>
              </w:rPr>
            </w:pPr>
          </w:p>
        </w:tc>
      </w:tr>
      <w:tr w:rsidR="00A06E6E" w:rsidRPr="00001432" w14:paraId="507CC193" w14:textId="77777777">
        <w:trPr>
          <w:trHeight w:val="3575"/>
        </w:trPr>
        <w:tc>
          <w:tcPr>
            <w:tcW w:w="1637" w:type="dxa"/>
            <w:tcBorders>
              <w:top w:val="nil"/>
              <w:left w:val="single" w:sz="5" w:space="0" w:color="E3E3E3"/>
              <w:bottom w:val="single" w:sz="5" w:space="0" w:color="E3E3E3"/>
              <w:right w:val="nil"/>
            </w:tcBorders>
            <w:tcMar>
              <w:top w:w="100" w:type="dxa"/>
              <w:left w:w="100" w:type="dxa"/>
              <w:bottom w:w="100" w:type="dxa"/>
              <w:right w:w="100" w:type="dxa"/>
            </w:tcMar>
            <w:vAlign w:val="center"/>
          </w:tcPr>
          <w:p w14:paraId="188C98CC" w14:textId="77777777" w:rsidR="00A06E6E" w:rsidRPr="00001432" w:rsidRDefault="00000000">
            <w:pPr>
              <w:spacing w:line="411" w:lineRule="auto"/>
              <w:jc w:val="both"/>
              <w:rPr>
                <w:rFonts w:ascii="Times New Roman" w:eastAsia="Calibri" w:hAnsi="Times New Roman" w:cs="Times New Roman"/>
                <w:color w:val="0D0D0D"/>
                <w:sz w:val="24"/>
                <w:szCs w:val="24"/>
              </w:rPr>
            </w:pPr>
            <w:r w:rsidRPr="00001432">
              <w:rPr>
                <w:rFonts w:ascii="Times New Roman" w:eastAsia="Calibri" w:hAnsi="Times New Roman" w:cs="Times New Roman"/>
                <w:color w:val="0D0D0D"/>
                <w:sz w:val="24"/>
                <w:szCs w:val="24"/>
              </w:rPr>
              <w:t>2.1 Failure to Provide a Lawyer</w:t>
            </w:r>
          </w:p>
        </w:tc>
        <w:tc>
          <w:tcPr>
            <w:tcW w:w="2293" w:type="dxa"/>
            <w:tcBorders>
              <w:top w:val="nil"/>
              <w:left w:val="single" w:sz="5" w:space="0" w:color="E3E3E3"/>
              <w:bottom w:val="single" w:sz="5" w:space="0" w:color="E3E3E3"/>
              <w:right w:val="nil"/>
            </w:tcBorders>
            <w:tcMar>
              <w:top w:w="100" w:type="dxa"/>
              <w:left w:w="100" w:type="dxa"/>
              <w:bottom w:w="100" w:type="dxa"/>
              <w:right w:w="100" w:type="dxa"/>
            </w:tcMar>
            <w:vAlign w:val="center"/>
          </w:tcPr>
          <w:p w14:paraId="64CE8440" w14:textId="77777777" w:rsidR="00A06E6E" w:rsidRPr="00001432" w:rsidRDefault="00000000">
            <w:pPr>
              <w:spacing w:line="411" w:lineRule="auto"/>
              <w:jc w:val="both"/>
              <w:rPr>
                <w:rFonts w:ascii="Times New Roman" w:eastAsia="Calibri" w:hAnsi="Times New Roman" w:cs="Times New Roman"/>
                <w:color w:val="0D0D0D"/>
                <w:sz w:val="24"/>
                <w:szCs w:val="24"/>
              </w:rPr>
            </w:pPr>
            <w:proofErr w:type="spellStart"/>
            <w:r w:rsidRPr="00001432">
              <w:rPr>
                <w:rFonts w:ascii="Times New Roman" w:eastAsia="Calibri" w:hAnsi="Times New Roman" w:cs="Times New Roman"/>
                <w:color w:val="0D0D0D"/>
                <w:sz w:val="24"/>
                <w:szCs w:val="24"/>
              </w:rPr>
              <w:t>Goygol</w:t>
            </w:r>
            <w:proofErr w:type="spellEnd"/>
            <w:r w:rsidRPr="00001432">
              <w:rPr>
                <w:rFonts w:ascii="Times New Roman" w:eastAsia="Calibri" w:hAnsi="Times New Roman" w:cs="Times New Roman"/>
                <w:color w:val="0D0D0D"/>
                <w:sz w:val="24"/>
                <w:szCs w:val="24"/>
              </w:rPr>
              <w:t xml:space="preserve">, </w:t>
            </w:r>
            <w:proofErr w:type="spellStart"/>
            <w:r w:rsidRPr="00001432">
              <w:rPr>
                <w:rFonts w:ascii="Times New Roman" w:eastAsia="Calibri" w:hAnsi="Times New Roman" w:cs="Times New Roman"/>
                <w:color w:val="0D0D0D"/>
                <w:sz w:val="24"/>
                <w:szCs w:val="24"/>
              </w:rPr>
              <w:t>Dashkasan</w:t>
            </w:r>
            <w:proofErr w:type="spellEnd"/>
            <w:r w:rsidRPr="00001432">
              <w:rPr>
                <w:rFonts w:ascii="Times New Roman" w:eastAsia="Calibri" w:hAnsi="Times New Roman" w:cs="Times New Roman"/>
                <w:color w:val="0D0D0D"/>
                <w:sz w:val="24"/>
                <w:szCs w:val="24"/>
              </w:rPr>
              <w:t xml:space="preserve">, </w:t>
            </w:r>
            <w:proofErr w:type="spellStart"/>
            <w:r w:rsidRPr="00001432">
              <w:rPr>
                <w:rFonts w:ascii="Times New Roman" w:eastAsia="Calibri" w:hAnsi="Times New Roman" w:cs="Times New Roman"/>
                <w:color w:val="0D0D0D"/>
                <w:sz w:val="24"/>
                <w:szCs w:val="24"/>
              </w:rPr>
              <w:t>Goranboy</w:t>
            </w:r>
            <w:proofErr w:type="spellEnd"/>
            <w:r w:rsidRPr="00001432">
              <w:rPr>
                <w:rFonts w:ascii="Times New Roman" w:eastAsia="Calibri" w:hAnsi="Times New Roman" w:cs="Times New Roman"/>
                <w:color w:val="0D0D0D"/>
                <w:sz w:val="24"/>
                <w:szCs w:val="24"/>
              </w:rPr>
              <w:t xml:space="preserve">, Shamkir, </w:t>
            </w:r>
            <w:proofErr w:type="spellStart"/>
            <w:r w:rsidRPr="00001432">
              <w:rPr>
                <w:rFonts w:ascii="Times New Roman" w:eastAsia="Calibri" w:hAnsi="Times New Roman" w:cs="Times New Roman"/>
                <w:color w:val="0D0D0D"/>
                <w:sz w:val="24"/>
                <w:szCs w:val="24"/>
              </w:rPr>
              <w:t>Jalilabad</w:t>
            </w:r>
            <w:proofErr w:type="spellEnd"/>
            <w:r w:rsidRPr="00001432">
              <w:rPr>
                <w:rFonts w:ascii="Times New Roman" w:eastAsia="Calibri" w:hAnsi="Times New Roman" w:cs="Times New Roman"/>
                <w:color w:val="0D0D0D"/>
                <w:sz w:val="24"/>
                <w:szCs w:val="24"/>
              </w:rPr>
              <w:t xml:space="preserve">, </w:t>
            </w:r>
            <w:proofErr w:type="spellStart"/>
            <w:r w:rsidRPr="00001432">
              <w:rPr>
                <w:rFonts w:ascii="Times New Roman" w:eastAsia="Calibri" w:hAnsi="Times New Roman" w:cs="Times New Roman"/>
                <w:color w:val="0D0D0D"/>
                <w:sz w:val="24"/>
                <w:szCs w:val="24"/>
              </w:rPr>
              <w:t>Bilasuvar</w:t>
            </w:r>
            <w:proofErr w:type="spellEnd"/>
            <w:r w:rsidRPr="00001432">
              <w:rPr>
                <w:rFonts w:ascii="Times New Roman" w:eastAsia="Calibri" w:hAnsi="Times New Roman" w:cs="Times New Roman"/>
                <w:color w:val="0D0D0D"/>
                <w:sz w:val="24"/>
                <w:szCs w:val="24"/>
              </w:rPr>
              <w:t xml:space="preserve">, </w:t>
            </w:r>
            <w:proofErr w:type="spellStart"/>
            <w:r w:rsidRPr="00001432">
              <w:rPr>
                <w:rFonts w:ascii="Times New Roman" w:eastAsia="Calibri" w:hAnsi="Times New Roman" w:cs="Times New Roman"/>
                <w:color w:val="0D0D0D"/>
                <w:sz w:val="24"/>
                <w:szCs w:val="24"/>
              </w:rPr>
              <w:t>Yevlakh</w:t>
            </w:r>
            <w:proofErr w:type="spellEnd"/>
            <w:r w:rsidRPr="00001432">
              <w:rPr>
                <w:rFonts w:ascii="Times New Roman" w:eastAsia="Calibri" w:hAnsi="Times New Roman" w:cs="Times New Roman"/>
                <w:color w:val="0D0D0D"/>
                <w:sz w:val="24"/>
                <w:szCs w:val="24"/>
              </w:rPr>
              <w:t xml:space="preserve">, </w:t>
            </w:r>
            <w:proofErr w:type="spellStart"/>
            <w:r w:rsidRPr="00001432">
              <w:rPr>
                <w:rFonts w:ascii="Times New Roman" w:eastAsia="Calibri" w:hAnsi="Times New Roman" w:cs="Times New Roman"/>
                <w:color w:val="0D0D0D"/>
                <w:sz w:val="24"/>
                <w:szCs w:val="24"/>
              </w:rPr>
              <w:t>Absheron</w:t>
            </w:r>
            <w:proofErr w:type="spellEnd"/>
            <w:r w:rsidRPr="00001432">
              <w:rPr>
                <w:rFonts w:ascii="Times New Roman" w:eastAsia="Calibri" w:hAnsi="Times New Roman" w:cs="Times New Roman"/>
                <w:color w:val="0D0D0D"/>
                <w:sz w:val="24"/>
                <w:szCs w:val="24"/>
              </w:rPr>
              <w:t>, Guba DPT</w:t>
            </w:r>
          </w:p>
        </w:tc>
        <w:tc>
          <w:tcPr>
            <w:tcW w:w="2414" w:type="dxa"/>
            <w:tcBorders>
              <w:top w:val="nil"/>
              <w:left w:val="single" w:sz="5" w:space="0" w:color="E3E3E3"/>
              <w:bottom w:val="single" w:sz="5" w:space="0" w:color="E3E3E3"/>
              <w:right w:val="nil"/>
            </w:tcBorders>
            <w:tcMar>
              <w:top w:w="100" w:type="dxa"/>
              <w:left w:w="100" w:type="dxa"/>
              <w:bottom w:w="100" w:type="dxa"/>
              <w:right w:w="100" w:type="dxa"/>
            </w:tcMar>
            <w:vAlign w:val="center"/>
          </w:tcPr>
          <w:p w14:paraId="61B489A7" w14:textId="77777777" w:rsidR="00A06E6E" w:rsidRPr="00001432" w:rsidRDefault="00000000">
            <w:pPr>
              <w:spacing w:line="411" w:lineRule="auto"/>
              <w:jc w:val="both"/>
              <w:rPr>
                <w:rFonts w:ascii="Times New Roman" w:eastAsia="Calibri" w:hAnsi="Times New Roman" w:cs="Times New Roman"/>
                <w:color w:val="0D0D0D"/>
                <w:sz w:val="24"/>
                <w:szCs w:val="24"/>
              </w:rPr>
            </w:pPr>
            <w:r w:rsidRPr="00001432">
              <w:rPr>
                <w:rFonts w:ascii="Times New Roman" w:eastAsia="Calibri" w:hAnsi="Times New Roman" w:cs="Times New Roman"/>
                <w:color w:val="0D0D0D"/>
                <w:sz w:val="24"/>
                <w:szCs w:val="24"/>
              </w:rPr>
              <w:t xml:space="preserve">Detainees were not provided legal representation during administrative proceedings; absence of records for provision or denial of </w:t>
            </w:r>
            <w:r w:rsidRPr="00001432">
              <w:rPr>
                <w:rFonts w:ascii="Times New Roman" w:eastAsia="Calibri" w:hAnsi="Times New Roman" w:cs="Times New Roman"/>
                <w:color w:val="0D0D0D"/>
                <w:sz w:val="24"/>
                <w:szCs w:val="24"/>
              </w:rPr>
              <w:lastRenderedPageBreak/>
              <w:t>legal representation in individual cases</w:t>
            </w:r>
          </w:p>
        </w:tc>
        <w:tc>
          <w:tcPr>
            <w:tcW w:w="2681" w:type="dxa"/>
            <w:tcBorders>
              <w:top w:val="nil"/>
              <w:left w:val="single" w:sz="5" w:space="0" w:color="E3E3E3"/>
              <w:bottom w:val="single" w:sz="5" w:space="0" w:color="E3E3E3"/>
              <w:right w:val="single" w:sz="5" w:space="0" w:color="E3E3E3"/>
            </w:tcBorders>
            <w:tcMar>
              <w:top w:w="100" w:type="dxa"/>
              <w:left w:w="100" w:type="dxa"/>
              <w:bottom w:w="100" w:type="dxa"/>
              <w:right w:w="100" w:type="dxa"/>
            </w:tcMar>
            <w:vAlign w:val="center"/>
          </w:tcPr>
          <w:p w14:paraId="6611B5EA" w14:textId="77777777" w:rsidR="00A06E6E" w:rsidRPr="00001432" w:rsidRDefault="00000000">
            <w:pPr>
              <w:spacing w:line="411" w:lineRule="auto"/>
              <w:jc w:val="both"/>
              <w:rPr>
                <w:rFonts w:ascii="Times New Roman" w:eastAsia="Calibri" w:hAnsi="Times New Roman" w:cs="Times New Roman"/>
                <w:color w:val="0D0D0D"/>
                <w:sz w:val="24"/>
                <w:szCs w:val="24"/>
              </w:rPr>
            </w:pPr>
            <w:r w:rsidRPr="00001432">
              <w:rPr>
                <w:rFonts w:ascii="Times New Roman" w:eastAsia="Calibri" w:hAnsi="Times New Roman" w:cs="Times New Roman"/>
                <w:color w:val="0D0D0D"/>
                <w:sz w:val="24"/>
                <w:szCs w:val="24"/>
              </w:rPr>
              <w:lastRenderedPageBreak/>
              <w:t>Article 65.3 of the Code of Administrative Offenses</w:t>
            </w:r>
          </w:p>
        </w:tc>
      </w:tr>
      <w:tr w:rsidR="00A06E6E" w:rsidRPr="00001432" w14:paraId="5955F382" w14:textId="77777777">
        <w:trPr>
          <w:trHeight w:val="1775"/>
        </w:trPr>
        <w:tc>
          <w:tcPr>
            <w:tcW w:w="1637" w:type="dxa"/>
            <w:tcBorders>
              <w:top w:val="nil"/>
              <w:left w:val="single" w:sz="5" w:space="0" w:color="E3E3E3"/>
              <w:bottom w:val="single" w:sz="5" w:space="0" w:color="E3E3E3"/>
              <w:right w:val="nil"/>
            </w:tcBorders>
            <w:tcMar>
              <w:top w:w="100" w:type="dxa"/>
              <w:left w:w="100" w:type="dxa"/>
              <w:bottom w:w="100" w:type="dxa"/>
              <w:right w:w="100" w:type="dxa"/>
            </w:tcMar>
            <w:vAlign w:val="center"/>
          </w:tcPr>
          <w:p w14:paraId="5D1B0FFF" w14:textId="77777777" w:rsidR="00A06E6E" w:rsidRPr="00001432" w:rsidRDefault="00000000">
            <w:pPr>
              <w:spacing w:line="411" w:lineRule="auto"/>
              <w:jc w:val="both"/>
              <w:rPr>
                <w:rFonts w:ascii="Times New Roman" w:eastAsia="Calibri" w:hAnsi="Times New Roman" w:cs="Times New Roman"/>
                <w:color w:val="0D0D0D"/>
                <w:sz w:val="24"/>
                <w:szCs w:val="24"/>
              </w:rPr>
            </w:pPr>
            <w:r w:rsidRPr="00001432">
              <w:rPr>
                <w:rFonts w:ascii="Times New Roman" w:eastAsia="Calibri" w:hAnsi="Times New Roman" w:cs="Times New Roman"/>
                <w:color w:val="0D0D0D"/>
                <w:sz w:val="24"/>
                <w:szCs w:val="24"/>
              </w:rPr>
              <w:t>2.2 Surveillance in Lawyer Meeting Rooms</w:t>
            </w:r>
          </w:p>
        </w:tc>
        <w:tc>
          <w:tcPr>
            <w:tcW w:w="2293" w:type="dxa"/>
            <w:tcBorders>
              <w:top w:val="nil"/>
              <w:left w:val="single" w:sz="5" w:space="0" w:color="E3E3E3"/>
              <w:bottom w:val="single" w:sz="5" w:space="0" w:color="E3E3E3"/>
              <w:right w:val="nil"/>
            </w:tcBorders>
            <w:tcMar>
              <w:top w:w="100" w:type="dxa"/>
              <w:left w:w="100" w:type="dxa"/>
              <w:bottom w:w="100" w:type="dxa"/>
              <w:right w:w="100" w:type="dxa"/>
            </w:tcMar>
            <w:vAlign w:val="center"/>
          </w:tcPr>
          <w:p w14:paraId="7241A38B" w14:textId="77777777" w:rsidR="00A06E6E" w:rsidRPr="00001432" w:rsidRDefault="00000000">
            <w:pPr>
              <w:spacing w:line="411" w:lineRule="auto"/>
              <w:jc w:val="both"/>
              <w:rPr>
                <w:rFonts w:ascii="Times New Roman" w:eastAsia="Calibri" w:hAnsi="Times New Roman" w:cs="Times New Roman"/>
                <w:color w:val="0D0D0D"/>
                <w:sz w:val="24"/>
                <w:szCs w:val="24"/>
              </w:rPr>
            </w:pPr>
            <w:r w:rsidRPr="00001432">
              <w:rPr>
                <w:rFonts w:ascii="Times New Roman" w:eastAsia="Calibri" w:hAnsi="Times New Roman" w:cs="Times New Roman"/>
                <w:color w:val="0D0D0D"/>
                <w:sz w:val="24"/>
                <w:szCs w:val="24"/>
              </w:rPr>
              <w:t xml:space="preserve">MSY of </w:t>
            </w:r>
            <w:proofErr w:type="spellStart"/>
            <w:r w:rsidRPr="00001432">
              <w:rPr>
                <w:rFonts w:ascii="Times New Roman" w:eastAsia="Calibri" w:hAnsi="Times New Roman" w:cs="Times New Roman"/>
                <w:color w:val="0D0D0D"/>
                <w:sz w:val="24"/>
                <w:szCs w:val="24"/>
              </w:rPr>
              <w:t>Goygol</w:t>
            </w:r>
            <w:proofErr w:type="spellEnd"/>
            <w:r w:rsidRPr="00001432">
              <w:rPr>
                <w:rFonts w:ascii="Times New Roman" w:eastAsia="Calibri" w:hAnsi="Times New Roman" w:cs="Times New Roman"/>
                <w:color w:val="0D0D0D"/>
                <w:sz w:val="24"/>
                <w:szCs w:val="24"/>
              </w:rPr>
              <w:t xml:space="preserve"> RPSH; Penitentiary Service No. 2 Detention Center</w:t>
            </w:r>
          </w:p>
        </w:tc>
        <w:tc>
          <w:tcPr>
            <w:tcW w:w="2414" w:type="dxa"/>
            <w:tcBorders>
              <w:top w:val="nil"/>
              <w:left w:val="single" w:sz="5" w:space="0" w:color="E3E3E3"/>
              <w:bottom w:val="single" w:sz="5" w:space="0" w:color="E3E3E3"/>
              <w:right w:val="nil"/>
            </w:tcBorders>
            <w:tcMar>
              <w:top w:w="100" w:type="dxa"/>
              <w:left w:w="100" w:type="dxa"/>
              <w:bottom w:w="100" w:type="dxa"/>
              <w:right w:w="100" w:type="dxa"/>
            </w:tcMar>
            <w:vAlign w:val="center"/>
          </w:tcPr>
          <w:p w14:paraId="5B2BF9A4" w14:textId="77777777" w:rsidR="00A06E6E" w:rsidRPr="00001432" w:rsidRDefault="00000000">
            <w:pPr>
              <w:spacing w:line="411" w:lineRule="auto"/>
              <w:jc w:val="both"/>
              <w:rPr>
                <w:rFonts w:ascii="Times New Roman" w:eastAsia="Calibri" w:hAnsi="Times New Roman" w:cs="Times New Roman"/>
                <w:color w:val="0D0D0D"/>
                <w:sz w:val="24"/>
                <w:szCs w:val="24"/>
              </w:rPr>
            </w:pPr>
            <w:r w:rsidRPr="00001432">
              <w:rPr>
                <w:rFonts w:ascii="Times New Roman" w:eastAsia="Calibri" w:hAnsi="Times New Roman" w:cs="Times New Roman"/>
                <w:color w:val="0D0D0D"/>
                <w:sz w:val="24"/>
                <w:szCs w:val="24"/>
              </w:rPr>
              <w:t>Surveillance cameras in lawyer meeting rooms infringing on confidentiality</w:t>
            </w:r>
          </w:p>
        </w:tc>
        <w:tc>
          <w:tcPr>
            <w:tcW w:w="2681" w:type="dxa"/>
            <w:tcBorders>
              <w:top w:val="nil"/>
              <w:left w:val="single" w:sz="5" w:space="0" w:color="E3E3E3"/>
              <w:bottom w:val="single" w:sz="5" w:space="0" w:color="E3E3E3"/>
              <w:right w:val="single" w:sz="5" w:space="0" w:color="E3E3E3"/>
            </w:tcBorders>
            <w:tcMar>
              <w:top w:w="100" w:type="dxa"/>
              <w:left w:w="100" w:type="dxa"/>
              <w:bottom w:w="100" w:type="dxa"/>
              <w:right w:w="100" w:type="dxa"/>
            </w:tcMar>
            <w:vAlign w:val="center"/>
          </w:tcPr>
          <w:p w14:paraId="4114E304" w14:textId="77777777" w:rsidR="00A06E6E" w:rsidRPr="00001432" w:rsidRDefault="00000000">
            <w:pPr>
              <w:spacing w:line="411" w:lineRule="auto"/>
              <w:jc w:val="both"/>
              <w:rPr>
                <w:rFonts w:ascii="Times New Roman" w:eastAsia="Calibri" w:hAnsi="Times New Roman" w:cs="Times New Roman"/>
                <w:color w:val="0D0D0D"/>
                <w:sz w:val="24"/>
                <w:szCs w:val="24"/>
              </w:rPr>
            </w:pPr>
            <w:r w:rsidRPr="00001432">
              <w:rPr>
                <w:rFonts w:ascii="Times New Roman" w:eastAsia="Calibri" w:hAnsi="Times New Roman" w:cs="Times New Roman"/>
                <w:color w:val="0D0D0D"/>
                <w:sz w:val="24"/>
                <w:szCs w:val="24"/>
              </w:rPr>
              <w:t>Article 19.1 of the Law "On Ensuring the Rights and Freedoms of Detained Persons"</w:t>
            </w:r>
          </w:p>
        </w:tc>
      </w:tr>
      <w:tr w:rsidR="00A06E6E" w:rsidRPr="00001432" w14:paraId="3D1115EE" w14:textId="77777777">
        <w:trPr>
          <w:trHeight w:val="1415"/>
        </w:trPr>
        <w:tc>
          <w:tcPr>
            <w:tcW w:w="1637" w:type="dxa"/>
            <w:tcBorders>
              <w:top w:val="nil"/>
              <w:left w:val="single" w:sz="5" w:space="0" w:color="E3E3E3"/>
              <w:bottom w:val="single" w:sz="5" w:space="0" w:color="E3E3E3"/>
              <w:right w:val="nil"/>
            </w:tcBorders>
            <w:tcMar>
              <w:top w:w="100" w:type="dxa"/>
              <w:left w:w="100" w:type="dxa"/>
              <w:bottom w:w="100" w:type="dxa"/>
              <w:right w:w="100" w:type="dxa"/>
            </w:tcMar>
            <w:vAlign w:val="center"/>
          </w:tcPr>
          <w:p w14:paraId="516BA103" w14:textId="77777777" w:rsidR="00A06E6E" w:rsidRPr="00001432" w:rsidRDefault="00000000">
            <w:pPr>
              <w:spacing w:line="411" w:lineRule="auto"/>
              <w:jc w:val="both"/>
              <w:rPr>
                <w:rFonts w:ascii="Times New Roman" w:eastAsia="Calibri" w:hAnsi="Times New Roman" w:cs="Times New Roman"/>
                <w:color w:val="0D0D0D"/>
                <w:sz w:val="24"/>
                <w:szCs w:val="24"/>
              </w:rPr>
            </w:pPr>
            <w:r w:rsidRPr="00001432">
              <w:rPr>
                <w:rFonts w:ascii="Times New Roman" w:eastAsia="Calibri" w:hAnsi="Times New Roman" w:cs="Times New Roman"/>
                <w:color w:val="0D0D0D"/>
                <w:sz w:val="24"/>
                <w:szCs w:val="24"/>
              </w:rPr>
              <w:t>2.3 Lack of Attorney's Signature</w:t>
            </w:r>
          </w:p>
        </w:tc>
        <w:tc>
          <w:tcPr>
            <w:tcW w:w="2293" w:type="dxa"/>
            <w:tcBorders>
              <w:top w:val="nil"/>
              <w:left w:val="single" w:sz="5" w:space="0" w:color="E3E3E3"/>
              <w:bottom w:val="single" w:sz="5" w:space="0" w:color="E3E3E3"/>
              <w:right w:val="nil"/>
            </w:tcBorders>
            <w:tcMar>
              <w:top w:w="100" w:type="dxa"/>
              <w:left w:w="100" w:type="dxa"/>
              <w:bottom w:w="100" w:type="dxa"/>
              <w:right w:w="100" w:type="dxa"/>
            </w:tcMar>
            <w:vAlign w:val="center"/>
          </w:tcPr>
          <w:p w14:paraId="290CC150" w14:textId="77777777" w:rsidR="00A06E6E" w:rsidRPr="00001432" w:rsidRDefault="00000000">
            <w:pPr>
              <w:spacing w:line="411" w:lineRule="auto"/>
              <w:jc w:val="both"/>
              <w:rPr>
                <w:rFonts w:ascii="Times New Roman" w:eastAsia="Calibri" w:hAnsi="Times New Roman" w:cs="Times New Roman"/>
                <w:color w:val="0D0D0D"/>
                <w:sz w:val="24"/>
                <w:szCs w:val="24"/>
              </w:rPr>
            </w:pPr>
            <w:proofErr w:type="spellStart"/>
            <w:r w:rsidRPr="00001432">
              <w:rPr>
                <w:rFonts w:ascii="Times New Roman" w:eastAsia="Calibri" w:hAnsi="Times New Roman" w:cs="Times New Roman"/>
                <w:color w:val="0D0D0D"/>
                <w:sz w:val="24"/>
                <w:szCs w:val="24"/>
              </w:rPr>
              <w:t>Lankaran</w:t>
            </w:r>
            <w:proofErr w:type="spellEnd"/>
            <w:r w:rsidRPr="00001432">
              <w:rPr>
                <w:rFonts w:ascii="Times New Roman" w:eastAsia="Calibri" w:hAnsi="Times New Roman" w:cs="Times New Roman"/>
                <w:color w:val="0D0D0D"/>
                <w:sz w:val="24"/>
                <w:szCs w:val="24"/>
              </w:rPr>
              <w:t xml:space="preserve"> city DPT and </w:t>
            </w:r>
            <w:proofErr w:type="spellStart"/>
            <w:r w:rsidRPr="00001432">
              <w:rPr>
                <w:rFonts w:ascii="Times New Roman" w:eastAsia="Calibri" w:hAnsi="Times New Roman" w:cs="Times New Roman"/>
                <w:color w:val="0D0D0D"/>
                <w:sz w:val="24"/>
                <w:szCs w:val="24"/>
              </w:rPr>
              <w:t>Surakhani</w:t>
            </w:r>
            <w:proofErr w:type="spellEnd"/>
            <w:r w:rsidRPr="00001432">
              <w:rPr>
                <w:rFonts w:ascii="Times New Roman" w:eastAsia="Calibri" w:hAnsi="Times New Roman" w:cs="Times New Roman"/>
                <w:color w:val="0D0D0D"/>
                <w:sz w:val="24"/>
                <w:szCs w:val="24"/>
              </w:rPr>
              <w:t xml:space="preserve"> RPI Temporary storage</w:t>
            </w:r>
          </w:p>
        </w:tc>
        <w:tc>
          <w:tcPr>
            <w:tcW w:w="2414" w:type="dxa"/>
            <w:tcBorders>
              <w:top w:val="nil"/>
              <w:left w:val="single" w:sz="5" w:space="0" w:color="E3E3E3"/>
              <w:bottom w:val="single" w:sz="5" w:space="0" w:color="E3E3E3"/>
              <w:right w:val="nil"/>
            </w:tcBorders>
            <w:tcMar>
              <w:top w:w="100" w:type="dxa"/>
              <w:left w:w="100" w:type="dxa"/>
              <w:bottom w:w="100" w:type="dxa"/>
              <w:right w:w="100" w:type="dxa"/>
            </w:tcMar>
            <w:vAlign w:val="center"/>
          </w:tcPr>
          <w:p w14:paraId="6960F001" w14:textId="77777777" w:rsidR="00A06E6E" w:rsidRPr="00001432" w:rsidRDefault="00000000">
            <w:pPr>
              <w:spacing w:line="411" w:lineRule="auto"/>
              <w:jc w:val="both"/>
              <w:rPr>
                <w:rFonts w:ascii="Times New Roman" w:eastAsia="Calibri" w:hAnsi="Times New Roman" w:cs="Times New Roman"/>
                <w:color w:val="0D0D0D"/>
                <w:sz w:val="24"/>
                <w:szCs w:val="24"/>
              </w:rPr>
            </w:pPr>
            <w:r w:rsidRPr="00001432">
              <w:rPr>
                <w:rFonts w:ascii="Times New Roman" w:eastAsia="Calibri" w:hAnsi="Times New Roman" w:cs="Times New Roman"/>
                <w:color w:val="0D0D0D"/>
                <w:sz w:val="24"/>
                <w:szCs w:val="24"/>
              </w:rPr>
              <w:t>Arrest protocols missing the defense attorney's signature</w:t>
            </w:r>
          </w:p>
        </w:tc>
        <w:tc>
          <w:tcPr>
            <w:tcW w:w="2681" w:type="dxa"/>
            <w:tcBorders>
              <w:top w:val="nil"/>
              <w:left w:val="single" w:sz="5" w:space="0" w:color="E3E3E3"/>
              <w:bottom w:val="single" w:sz="5" w:space="0" w:color="E3E3E3"/>
              <w:right w:val="single" w:sz="5" w:space="0" w:color="E3E3E3"/>
            </w:tcBorders>
            <w:tcMar>
              <w:top w:w="100" w:type="dxa"/>
              <w:left w:w="100" w:type="dxa"/>
              <w:bottom w:w="100" w:type="dxa"/>
              <w:right w:w="100" w:type="dxa"/>
            </w:tcMar>
            <w:vAlign w:val="center"/>
          </w:tcPr>
          <w:p w14:paraId="46E43D51" w14:textId="77777777" w:rsidR="00A06E6E" w:rsidRPr="00001432" w:rsidRDefault="00000000">
            <w:pPr>
              <w:spacing w:line="411" w:lineRule="auto"/>
              <w:jc w:val="both"/>
              <w:rPr>
                <w:rFonts w:ascii="Times New Roman" w:eastAsia="Calibri" w:hAnsi="Times New Roman" w:cs="Times New Roman"/>
                <w:color w:val="0D0D0D"/>
                <w:sz w:val="24"/>
                <w:szCs w:val="24"/>
              </w:rPr>
            </w:pPr>
            <w:r w:rsidRPr="00001432">
              <w:rPr>
                <w:rFonts w:ascii="Times New Roman" w:eastAsia="Calibri" w:hAnsi="Times New Roman" w:cs="Times New Roman"/>
                <w:color w:val="0D0D0D"/>
                <w:sz w:val="24"/>
                <w:szCs w:val="24"/>
              </w:rPr>
              <w:t>Article 92.3.9 of the Azerbaijani Criminal Procedure Code</w:t>
            </w:r>
          </w:p>
        </w:tc>
      </w:tr>
      <w:tr w:rsidR="00A06E6E" w:rsidRPr="00001432" w14:paraId="1D79585B" w14:textId="77777777">
        <w:trPr>
          <w:trHeight w:val="1055"/>
        </w:trPr>
        <w:tc>
          <w:tcPr>
            <w:tcW w:w="1637" w:type="dxa"/>
            <w:tcBorders>
              <w:top w:val="nil"/>
              <w:left w:val="single" w:sz="5" w:space="0" w:color="E3E3E3"/>
              <w:bottom w:val="single" w:sz="5" w:space="0" w:color="E3E3E3"/>
              <w:right w:val="nil"/>
            </w:tcBorders>
            <w:tcMar>
              <w:top w:w="100" w:type="dxa"/>
              <w:left w:w="100" w:type="dxa"/>
              <w:bottom w:w="100" w:type="dxa"/>
              <w:right w:w="100" w:type="dxa"/>
            </w:tcMar>
            <w:vAlign w:val="center"/>
          </w:tcPr>
          <w:p w14:paraId="53832C91" w14:textId="77777777" w:rsidR="00A06E6E" w:rsidRPr="00001432" w:rsidRDefault="00000000">
            <w:pPr>
              <w:spacing w:line="411" w:lineRule="auto"/>
              <w:jc w:val="both"/>
              <w:rPr>
                <w:rFonts w:ascii="Times New Roman" w:eastAsia="Calibri" w:hAnsi="Times New Roman" w:cs="Times New Roman"/>
                <w:color w:val="0D0D0D"/>
                <w:sz w:val="24"/>
                <w:szCs w:val="24"/>
              </w:rPr>
            </w:pPr>
            <w:r w:rsidRPr="00001432">
              <w:rPr>
                <w:rFonts w:ascii="Times New Roman" w:eastAsia="Calibri" w:hAnsi="Times New Roman" w:cs="Times New Roman"/>
                <w:color w:val="0D0D0D"/>
                <w:sz w:val="24"/>
                <w:szCs w:val="24"/>
              </w:rPr>
              <w:t>3. Detention Conditions</w:t>
            </w:r>
          </w:p>
        </w:tc>
        <w:tc>
          <w:tcPr>
            <w:tcW w:w="2293" w:type="dxa"/>
            <w:tcBorders>
              <w:top w:val="nil"/>
              <w:left w:val="single" w:sz="5" w:space="0" w:color="E3E3E3"/>
              <w:bottom w:val="single" w:sz="5" w:space="0" w:color="E3E3E3"/>
              <w:right w:val="nil"/>
            </w:tcBorders>
            <w:tcMar>
              <w:top w:w="100" w:type="dxa"/>
              <w:left w:w="100" w:type="dxa"/>
              <w:bottom w:w="100" w:type="dxa"/>
              <w:right w:w="100" w:type="dxa"/>
            </w:tcMar>
            <w:vAlign w:val="center"/>
          </w:tcPr>
          <w:p w14:paraId="6A51A019" w14:textId="77777777" w:rsidR="00A06E6E" w:rsidRPr="00001432" w:rsidRDefault="00A06E6E">
            <w:pPr>
              <w:spacing w:line="411" w:lineRule="auto"/>
              <w:jc w:val="both"/>
              <w:rPr>
                <w:rFonts w:ascii="Times New Roman" w:eastAsia="Calibri" w:hAnsi="Times New Roman" w:cs="Times New Roman"/>
                <w:color w:val="0D0D0D"/>
                <w:sz w:val="24"/>
                <w:szCs w:val="24"/>
              </w:rPr>
            </w:pPr>
          </w:p>
        </w:tc>
        <w:tc>
          <w:tcPr>
            <w:tcW w:w="2414" w:type="dxa"/>
            <w:tcBorders>
              <w:top w:val="nil"/>
              <w:left w:val="single" w:sz="5" w:space="0" w:color="E3E3E3"/>
              <w:bottom w:val="single" w:sz="5" w:space="0" w:color="E3E3E3"/>
              <w:right w:val="nil"/>
            </w:tcBorders>
            <w:tcMar>
              <w:top w:w="100" w:type="dxa"/>
              <w:left w:w="100" w:type="dxa"/>
              <w:bottom w:w="100" w:type="dxa"/>
              <w:right w:w="100" w:type="dxa"/>
            </w:tcMar>
            <w:vAlign w:val="center"/>
          </w:tcPr>
          <w:p w14:paraId="5877CEB9" w14:textId="77777777" w:rsidR="00A06E6E" w:rsidRPr="00001432" w:rsidRDefault="00A06E6E">
            <w:pPr>
              <w:spacing w:line="411" w:lineRule="auto"/>
              <w:jc w:val="both"/>
              <w:rPr>
                <w:rFonts w:ascii="Times New Roman" w:eastAsia="Calibri" w:hAnsi="Times New Roman" w:cs="Times New Roman"/>
                <w:color w:val="0D0D0D"/>
                <w:sz w:val="24"/>
                <w:szCs w:val="24"/>
              </w:rPr>
            </w:pPr>
          </w:p>
        </w:tc>
        <w:tc>
          <w:tcPr>
            <w:tcW w:w="2681" w:type="dxa"/>
            <w:tcBorders>
              <w:top w:val="nil"/>
              <w:left w:val="single" w:sz="5" w:space="0" w:color="E3E3E3"/>
              <w:bottom w:val="single" w:sz="5" w:space="0" w:color="E3E3E3"/>
              <w:right w:val="single" w:sz="5" w:space="0" w:color="E3E3E3"/>
            </w:tcBorders>
            <w:tcMar>
              <w:top w:w="100" w:type="dxa"/>
              <w:left w:w="100" w:type="dxa"/>
              <w:bottom w:w="100" w:type="dxa"/>
              <w:right w:w="100" w:type="dxa"/>
            </w:tcMar>
            <w:vAlign w:val="center"/>
          </w:tcPr>
          <w:p w14:paraId="074281C7" w14:textId="77777777" w:rsidR="00A06E6E" w:rsidRPr="00001432" w:rsidRDefault="00A06E6E">
            <w:pPr>
              <w:spacing w:line="411" w:lineRule="auto"/>
              <w:jc w:val="both"/>
              <w:rPr>
                <w:rFonts w:ascii="Times New Roman" w:eastAsia="Calibri" w:hAnsi="Times New Roman" w:cs="Times New Roman"/>
                <w:color w:val="0D0D0D"/>
                <w:sz w:val="24"/>
                <w:szCs w:val="24"/>
              </w:rPr>
            </w:pPr>
          </w:p>
        </w:tc>
      </w:tr>
      <w:tr w:rsidR="00A06E6E" w:rsidRPr="00001432" w14:paraId="22A4BD64" w14:textId="77777777">
        <w:trPr>
          <w:trHeight w:val="1415"/>
        </w:trPr>
        <w:tc>
          <w:tcPr>
            <w:tcW w:w="1637" w:type="dxa"/>
            <w:tcBorders>
              <w:top w:val="nil"/>
              <w:left w:val="single" w:sz="5" w:space="0" w:color="E3E3E3"/>
              <w:bottom w:val="single" w:sz="5" w:space="0" w:color="E3E3E3"/>
              <w:right w:val="nil"/>
            </w:tcBorders>
            <w:tcMar>
              <w:top w:w="100" w:type="dxa"/>
              <w:left w:w="100" w:type="dxa"/>
              <w:bottom w:w="100" w:type="dxa"/>
              <w:right w:w="100" w:type="dxa"/>
            </w:tcMar>
            <w:vAlign w:val="center"/>
          </w:tcPr>
          <w:p w14:paraId="533F6337" w14:textId="77777777" w:rsidR="00A06E6E" w:rsidRPr="00001432" w:rsidRDefault="00000000">
            <w:pPr>
              <w:spacing w:line="411" w:lineRule="auto"/>
              <w:jc w:val="both"/>
              <w:rPr>
                <w:rFonts w:ascii="Times New Roman" w:eastAsia="Calibri" w:hAnsi="Times New Roman" w:cs="Times New Roman"/>
                <w:color w:val="0D0D0D"/>
                <w:sz w:val="24"/>
                <w:szCs w:val="24"/>
              </w:rPr>
            </w:pPr>
            <w:r w:rsidRPr="00001432">
              <w:rPr>
                <w:rFonts w:ascii="Times New Roman" w:eastAsia="Calibri" w:hAnsi="Times New Roman" w:cs="Times New Roman"/>
                <w:color w:val="0D0D0D"/>
                <w:sz w:val="24"/>
                <w:szCs w:val="24"/>
              </w:rPr>
              <w:t>3.1 First-time Offenders with Others</w:t>
            </w:r>
          </w:p>
        </w:tc>
        <w:tc>
          <w:tcPr>
            <w:tcW w:w="2293" w:type="dxa"/>
            <w:tcBorders>
              <w:top w:val="nil"/>
              <w:left w:val="single" w:sz="5" w:space="0" w:color="E3E3E3"/>
              <w:bottom w:val="single" w:sz="5" w:space="0" w:color="E3E3E3"/>
              <w:right w:val="nil"/>
            </w:tcBorders>
            <w:tcMar>
              <w:top w:w="100" w:type="dxa"/>
              <w:left w:w="100" w:type="dxa"/>
              <w:bottom w:w="100" w:type="dxa"/>
              <w:right w:w="100" w:type="dxa"/>
            </w:tcMar>
            <w:vAlign w:val="center"/>
          </w:tcPr>
          <w:p w14:paraId="41CE0BBF" w14:textId="77777777" w:rsidR="00A06E6E" w:rsidRPr="00001432" w:rsidRDefault="00000000">
            <w:pPr>
              <w:spacing w:line="411" w:lineRule="auto"/>
              <w:jc w:val="both"/>
              <w:rPr>
                <w:rFonts w:ascii="Times New Roman" w:eastAsia="Calibri" w:hAnsi="Times New Roman" w:cs="Times New Roman"/>
                <w:color w:val="0D0D0D"/>
                <w:sz w:val="24"/>
                <w:szCs w:val="24"/>
              </w:rPr>
            </w:pPr>
            <w:r w:rsidRPr="00001432">
              <w:rPr>
                <w:rFonts w:ascii="Times New Roman" w:eastAsia="Calibri" w:hAnsi="Times New Roman" w:cs="Times New Roman"/>
                <w:color w:val="0D0D0D"/>
                <w:sz w:val="24"/>
                <w:szCs w:val="24"/>
              </w:rPr>
              <w:t xml:space="preserve">Detention Center No. 2; </w:t>
            </w:r>
            <w:proofErr w:type="spellStart"/>
            <w:r w:rsidRPr="00001432">
              <w:rPr>
                <w:rFonts w:ascii="Times New Roman" w:eastAsia="Calibri" w:hAnsi="Times New Roman" w:cs="Times New Roman"/>
                <w:color w:val="0D0D0D"/>
                <w:sz w:val="24"/>
                <w:szCs w:val="24"/>
              </w:rPr>
              <w:t>Tovuz</w:t>
            </w:r>
            <w:proofErr w:type="spellEnd"/>
            <w:r w:rsidRPr="00001432">
              <w:rPr>
                <w:rFonts w:ascii="Times New Roman" w:eastAsia="Calibri" w:hAnsi="Times New Roman" w:cs="Times New Roman"/>
                <w:color w:val="0D0D0D"/>
                <w:sz w:val="24"/>
                <w:szCs w:val="24"/>
              </w:rPr>
              <w:t xml:space="preserve">, Ganja, Shamkir, </w:t>
            </w:r>
            <w:proofErr w:type="spellStart"/>
            <w:r w:rsidRPr="00001432">
              <w:rPr>
                <w:rFonts w:ascii="Times New Roman" w:eastAsia="Calibri" w:hAnsi="Times New Roman" w:cs="Times New Roman"/>
                <w:color w:val="0D0D0D"/>
                <w:sz w:val="24"/>
                <w:szCs w:val="24"/>
              </w:rPr>
              <w:t>Siyazan</w:t>
            </w:r>
            <w:proofErr w:type="spellEnd"/>
            <w:r w:rsidRPr="00001432">
              <w:rPr>
                <w:rFonts w:ascii="Times New Roman" w:eastAsia="Calibri" w:hAnsi="Times New Roman" w:cs="Times New Roman"/>
                <w:color w:val="0D0D0D"/>
                <w:sz w:val="24"/>
                <w:szCs w:val="24"/>
              </w:rPr>
              <w:t xml:space="preserve"> DPTs</w:t>
            </w:r>
          </w:p>
        </w:tc>
        <w:tc>
          <w:tcPr>
            <w:tcW w:w="2414" w:type="dxa"/>
            <w:tcBorders>
              <w:top w:val="nil"/>
              <w:left w:val="single" w:sz="5" w:space="0" w:color="E3E3E3"/>
              <w:bottom w:val="single" w:sz="5" w:space="0" w:color="E3E3E3"/>
              <w:right w:val="nil"/>
            </w:tcBorders>
            <w:tcMar>
              <w:top w:w="100" w:type="dxa"/>
              <w:left w:w="100" w:type="dxa"/>
              <w:bottom w:w="100" w:type="dxa"/>
              <w:right w:w="100" w:type="dxa"/>
            </w:tcMar>
            <w:vAlign w:val="center"/>
          </w:tcPr>
          <w:p w14:paraId="18A58544" w14:textId="77777777" w:rsidR="00A06E6E" w:rsidRPr="00001432" w:rsidRDefault="00000000">
            <w:pPr>
              <w:spacing w:line="411" w:lineRule="auto"/>
              <w:jc w:val="both"/>
              <w:rPr>
                <w:rFonts w:ascii="Times New Roman" w:eastAsia="Calibri" w:hAnsi="Times New Roman" w:cs="Times New Roman"/>
                <w:color w:val="0D0D0D"/>
                <w:sz w:val="24"/>
                <w:szCs w:val="24"/>
              </w:rPr>
            </w:pPr>
            <w:r w:rsidRPr="00001432">
              <w:rPr>
                <w:rFonts w:ascii="Times New Roman" w:eastAsia="Calibri" w:hAnsi="Times New Roman" w:cs="Times New Roman"/>
                <w:color w:val="0D0D0D"/>
                <w:sz w:val="24"/>
                <w:szCs w:val="24"/>
              </w:rPr>
              <w:t>Mixing first-time or non-convicted individuals with regular detainees</w:t>
            </w:r>
          </w:p>
        </w:tc>
        <w:tc>
          <w:tcPr>
            <w:tcW w:w="2681" w:type="dxa"/>
            <w:tcBorders>
              <w:top w:val="nil"/>
              <w:left w:val="single" w:sz="5" w:space="0" w:color="E3E3E3"/>
              <w:bottom w:val="single" w:sz="5" w:space="0" w:color="E3E3E3"/>
              <w:right w:val="single" w:sz="5" w:space="0" w:color="E3E3E3"/>
            </w:tcBorders>
            <w:tcMar>
              <w:top w:w="100" w:type="dxa"/>
              <w:left w:w="100" w:type="dxa"/>
              <w:bottom w:w="100" w:type="dxa"/>
              <w:right w:w="100" w:type="dxa"/>
            </w:tcMar>
            <w:vAlign w:val="center"/>
          </w:tcPr>
          <w:p w14:paraId="20F6443E" w14:textId="77777777" w:rsidR="00A06E6E" w:rsidRPr="00001432" w:rsidRDefault="00000000">
            <w:pPr>
              <w:spacing w:line="411" w:lineRule="auto"/>
              <w:jc w:val="both"/>
              <w:rPr>
                <w:rFonts w:ascii="Times New Roman" w:eastAsia="Calibri" w:hAnsi="Times New Roman" w:cs="Times New Roman"/>
                <w:color w:val="0D0D0D"/>
                <w:sz w:val="24"/>
                <w:szCs w:val="24"/>
              </w:rPr>
            </w:pPr>
            <w:r w:rsidRPr="00001432">
              <w:rPr>
                <w:rFonts w:ascii="Times New Roman" w:eastAsia="Calibri" w:hAnsi="Times New Roman" w:cs="Times New Roman"/>
                <w:color w:val="0D0D0D"/>
                <w:sz w:val="24"/>
                <w:szCs w:val="24"/>
              </w:rPr>
              <w:t>Clause 5.11.3 of the Internal Disciplinary Rules of Detention Centers</w:t>
            </w:r>
          </w:p>
        </w:tc>
      </w:tr>
      <w:tr w:rsidR="00A06E6E" w:rsidRPr="00001432" w14:paraId="5B4478C8" w14:textId="77777777">
        <w:trPr>
          <w:trHeight w:val="2135"/>
        </w:trPr>
        <w:tc>
          <w:tcPr>
            <w:tcW w:w="1637" w:type="dxa"/>
            <w:tcBorders>
              <w:top w:val="nil"/>
              <w:left w:val="single" w:sz="5" w:space="0" w:color="E3E3E3"/>
              <w:bottom w:val="single" w:sz="5" w:space="0" w:color="E3E3E3"/>
              <w:right w:val="nil"/>
            </w:tcBorders>
            <w:tcMar>
              <w:top w:w="100" w:type="dxa"/>
              <w:left w:w="100" w:type="dxa"/>
              <w:bottom w:w="100" w:type="dxa"/>
              <w:right w:w="100" w:type="dxa"/>
            </w:tcMar>
            <w:vAlign w:val="center"/>
          </w:tcPr>
          <w:p w14:paraId="25026804" w14:textId="77777777" w:rsidR="00A06E6E" w:rsidRPr="00001432" w:rsidRDefault="00000000">
            <w:pPr>
              <w:spacing w:line="411" w:lineRule="auto"/>
              <w:jc w:val="both"/>
              <w:rPr>
                <w:rFonts w:ascii="Times New Roman" w:eastAsia="Calibri" w:hAnsi="Times New Roman" w:cs="Times New Roman"/>
                <w:color w:val="0D0D0D"/>
                <w:sz w:val="24"/>
                <w:szCs w:val="24"/>
              </w:rPr>
            </w:pPr>
            <w:r w:rsidRPr="00001432">
              <w:rPr>
                <w:rFonts w:ascii="Times New Roman" w:eastAsia="Calibri" w:hAnsi="Times New Roman" w:cs="Times New Roman"/>
                <w:color w:val="0D0D0D"/>
                <w:sz w:val="24"/>
                <w:szCs w:val="24"/>
              </w:rPr>
              <w:t>3.2 Minors with Adults</w:t>
            </w:r>
          </w:p>
        </w:tc>
        <w:tc>
          <w:tcPr>
            <w:tcW w:w="2293" w:type="dxa"/>
            <w:tcBorders>
              <w:top w:val="nil"/>
              <w:left w:val="single" w:sz="5" w:space="0" w:color="E3E3E3"/>
              <w:bottom w:val="single" w:sz="5" w:space="0" w:color="E3E3E3"/>
              <w:right w:val="nil"/>
            </w:tcBorders>
            <w:tcMar>
              <w:top w:w="100" w:type="dxa"/>
              <w:left w:w="100" w:type="dxa"/>
              <w:bottom w:w="100" w:type="dxa"/>
              <w:right w:w="100" w:type="dxa"/>
            </w:tcMar>
            <w:vAlign w:val="center"/>
          </w:tcPr>
          <w:p w14:paraId="685D2E41" w14:textId="77777777" w:rsidR="00A06E6E" w:rsidRPr="00001432" w:rsidRDefault="00000000">
            <w:pPr>
              <w:spacing w:line="411" w:lineRule="auto"/>
              <w:jc w:val="both"/>
              <w:rPr>
                <w:rFonts w:ascii="Times New Roman" w:eastAsia="Calibri" w:hAnsi="Times New Roman" w:cs="Times New Roman"/>
                <w:color w:val="0D0D0D"/>
                <w:sz w:val="24"/>
                <w:szCs w:val="24"/>
              </w:rPr>
            </w:pPr>
            <w:r w:rsidRPr="00001432">
              <w:rPr>
                <w:rFonts w:ascii="Times New Roman" w:eastAsia="Calibri" w:hAnsi="Times New Roman" w:cs="Times New Roman"/>
                <w:color w:val="0D0D0D"/>
                <w:sz w:val="24"/>
                <w:szCs w:val="24"/>
              </w:rPr>
              <w:t xml:space="preserve">Baku's Temporary Detention Center for Minors; Sheki Penitentiary; </w:t>
            </w:r>
            <w:r w:rsidRPr="00001432">
              <w:rPr>
                <w:rFonts w:ascii="Times New Roman" w:eastAsia="Calibri" w:hAnsi="Times New Roman" w:cs="Times New Roman"/>
                <w:color w:val="0D0D0D"/>
                <w:sz w:val="24"/>
                <w:szCs w:val="24"/>
              </w:rPr>
              <w:lastRenderedPageBreak/>
              <w:t>Detention Center No. 2</w:t>
            </w:r>
          </w:p>
        </w:tc>
        <w:tc>
          <w:tcPr>
            <w:tcW w:w="2414" w:type="dxa"/>
            <w:tcBorders>
              <w:top w:val="nil"/>
              <w:left w:val="single" w:sz="5" w:space="0" w:color="E3E3E3"/>
              <w:bottom w:val="single" w:sz="5" w:space="0" w:color="E3E3E3"/>
              <w:right w:val="nil"/>
            </w:tcBorders>
            <w:tcMar>
              <w:top w:w="100" w:type="dxa"/>
              <w:left w:w="100" w:type="dxa"/>
              <w:bottom w:w="100" w:type="dxa"/>
              <w:right w:w="100" w:type="dxa"/>
            </w:tcMar>
            <w:vAlign w:val="center"/>
          </w:tcPr>
          <w:p w14:paraId="59C4546B" w14:textId="77777777" w:rsidR="00A06E6E" w:rsidRPr="00001432" w:rsidRDefault="00000000">
            <w:pPr>
              <w:spacing w:line="411" w:lineRule="auto"/>
              <w:jc w:val="both"/>
              <w:rPr>
                <w:rFonts w:ascii="Times New Roman" w:eastAsia="Calibri" w:hAnsi="Times New Roman" w:cs="Times New Roman"/>
                <w:color w:val="0D0D0D"/>
                <w:sz w:val="24"/>
                <w:szCs w:val="24"/>
              </w:rPr>
            </w:pPr>
            <w:r w:rsidRPr="00001432">
              <w:rPr>
                <w:rFonts w:ascii="Times New Roman" w:eastAsia="Calibri" w:hAnsi="Times New Roman" w:cs="Times New Roman"/>
                <w:color w:val="0D0D0D"/>
                <w:sz w:val="24"/>
                <w:szCs w:val="24"/>
              </w:rPr>
              <w:lastRenderedPageBreak/>
              <w:t>Detaining juveniles alongside adults, contrary to rules</w:t>
            </w:r>
          </w:p>
        </w:tc>
        <w:tc>
          <w:tcPr>
            <w:tcW w:w="2681" w:type="dxa"/>
            <w:tcBorders>
              <w:top w:val="nil"/>
              <w:left w:val="single" w:sz="5" w:space="0" w:color="E3E3E3"/>
              <w:bottom w:val="single" w:sz="5" w:space="0" w:color="E3E3E3"/>
              <w:right w:val="single" w:sz="5" w:space="0" w:color="E3E3E3"/>
            </w:tcBorders>
            <w:tcMar>
              <w:top w:w="100" w:type="dxa"/>
              <w:left w:w="100" w:type="dxa"/>
              <w:bottom w:w="100" w:type="dxa"/>
              <w:right w:w="100" w:type="dxa"/>
            </w:tcMar>
            <w:vAlign w:val="center"/>
          </w:tcPr>
          <w:p w14:paraId="5BE780C9" w14:textId="77777777" w:rsidR="00A06E6E" w:rsidRPr="00001432" w:rsidRDefault="00000000">
            <w:pPr>
              <w:spacing w:line="411" w:lineRule="auto"/>
              <w:jc w:val="both"/>
              <w:rPr>
                <w:rFonts w:ascii="Times New Roman" w:eastAsia="Calibri" w:hAnsi="Times New Roman" w:cs="Times New Roman"/>
                <w:color w:val="0D0D0D"/>
                <w:sz w:val="24"/>
                <w:szCs w:val="24"/>
              </w:rPr>
            </w:pPr>
            <w:r w:rsidRPr="00001432">
              <w:rPr>
                <w:rFonts w:ascii="Times New Roman" w:eastAsia="Calibri" w:hAnsi="Times New Roman" w:cs="Times New Roman"/>
                <w:color w:val="0D0D0D"/>
                <w:sz w:val="24"/>
                <w:szCs w:val="24"/>
              </w:rPr>
              <w:t>Article 5.11.2 of the Internal Disciplinary Rules for Pretrial Detention Centers</w:t>
            </w:r>
          </w:p>
        </w:tc>
      </w:tr>
      <w:tr w:rsidR="00A06E6E" w:rsidRPr="00001432" w14:paraId="5DA325C5" w14:textId="77777777">
        <w:trPr>
          <w:trHeight w:val="3215"/>
        </w:trPr>
        <w:tc>
          <w:tcPr>
            <w:tcW w:w="1637" w:type="dxa"/>
            <w:tcBorders>
              <w:top w:val="nil"/>
              <w:left w:val="single" w:sz="5" w:space="0" w:color="E3E3E3"/>
              <w:bottom w:val="single" w:sz="5" w:space="0" w:color="E3E3E3"/>
              <w:right w:val="nil"/>
            </w:tcBorders>
            <w:tcMar>
              <w:top w:w="100" w:type="dxa"/>
              <w:left w:w="100" w:type="dxa"/>
              <w:bottom w:w="100" w:type="dxa"/>
              <w:right w:w="100" w:type="dxa"/>
            </w:tcMar>
            <w:vAlign w:val="center"/>
          </w:tcPr>
          <w:p w14:paraId="6CDA81B8" w14:textId="77777777" w:rsidR="00A06E6E" w:rsidRPr="00001432" w:rsidRDefault="00000000">
            <w:pPr>
              <w:spacing w:line="411" w:lineRule="auto"/>
              <w:jc w:val="both"/>
              <w:rPr>
                <w:rFonts w:ascii="Times New Roman" w:eastAsia="Calibri" w:hAnsi="Times New Roman" w:cs="Times New Roman"/>
                <w:color w:val="0D0D0D"/>
                <w:sz w:val="24"/>
                <w:szCs w:val="24"/>
              </w:rPr>
            </w:pPr>
            <w:r w:rsidRPr="00001432">
              <w:rPr>
                <w:rFonts w:ascii="Times New Roman" w:eastAsia="Calibri" w:hAnsi="Times New Roman" w:cs="Times New Roman"/>
                <w:color w:val="0D0D0D"/>
                <w:sz w:val="24"/>
                <w:szCs w:val="24"/>
              </w:rPr>
              <w:t>3.3 Overcrowding</w:t>
            </w:r>
          </w:p>
        </w:tc>
        <w:tc>
          <w:tcPr>
            <w:tcW w:w="2293" w:type="dxa"/>
            <w:tcBorders>
              <w:top w:val="nil"/>
              <w:left w:val="single" w:sz="5" w:space="0" w:color="E3E3E3"/>
              <w:bottom w:val="single" w:sz="5" w:space="0" w:color="E3E3E3"/>
              <w:right w:val="nil"/>
            </w:tcBorders>
            <w:tcMar>
              <w:top w:w="100" w:type="dxa"/>
              <w:left w:w="100" w:type="dxa"/>
              <w:bottom w:w="100" w:type="dxa"/>
              <w:right w:w="100" w:type="dxa"/>
            </w:tcMar>
            <w:vAlign w:val="center"/>
          </w:tcPr>
          <w:p w14:paraId="15AF73B8" w14:textId="77777777" w:rsidR="00A06E6E" w:rsidRPr="00001432" w:rsidRDefault="00000000">
            <w:pPr>
              <w:spacing w:line="411" w:lineRule="auto"/>
              <w:jc w:val="both"/>
              <w:rPr>
                <w:rFonts w:ascii="Times New Roman" w:eastAsia="Calibri" w:hAnsi="Times New Roman" w:cs="Times New Roman"/>
                <w:color w:val="0D0D0D"/>
                <w:sz w:val="24"/>
                <w:szCs w:val="24"/>
              </w:rPr>
            </w:pPr>
            <w:r w:rsidRPr="00001432">
              <w:rPr>
                <w:rFonts w:ascii="Times New Roman" w:eastAsia="Calibri" w:hAnsi="Times New Roman" w:cs="Times New Roman"/>
                <w:color w:val="0D0D0D"/>
                <w:sz w:val="24"/>
                <w:szCs w:val="24"/>
              </w:rPr>
              <w:t xml:space="preserve">Detention Centers No. 2, 3; Penitentiaries No. 4, 6, 10, 13, 17; Sheki; </w:t>
            </w:r>
            <w:proofErr w:type="spellStart"/>
            <w:r w:rsidRPr="00001432">
              <w:rPr>
                <w:rFonts w:ascii="Times New Roman" w:eastAsia="Calibri" w:hAnsi="Times New Roman" w:cs="Times New Roman"/>
                <w:color w:val="0D0D0D"/>
                <w:sz w:val="24"/>
                <w:szCs w:val="24"/>
              </w:rPr>
              <w:t>Lankaran</w:t>
            </w:r>
            <w:proofErr w:type="spellEnd"/>
            <w:r w:rsidRPr="00001432">
              <w:rPr>
                <w:rFonts w:ascii="Times New Roman" w:eastAsia="Calibri" w:hAnsi="Times New Roman" w:cs="Times New Roman"/>
                <w:color w:val="0D0D0D"/>
                <w:sz w:val="24"/>
                <w:szCs w:val="24"/>
              </w:rPr>
              <w:t xml:space="preserve"> City DPTs; </w:t>
            </w:r>
            <w:proofErr w:type="spellStart"/>
            <w:r w:rsidRPr="00001432">
              <w:rPr>
                <w:rFonts w:ascii="Times New Roman" w:eastAsia="Calibri" w:hAnsi="Times New Roman" w:cs="Times New Roman"/>
                <w:color w:val="0D0D0D"/>
                <w:sz w:val="24"/>
                <w:szCs w:val="24"/>
              </w:rPr>
              <w:t>Sabunchu</w:t>
            </w:r>
            <w:proofErr w:type="spellEnd"/>
            <w:r w:rsidRPr="00001432">
              <w:rPr>
                <w:rFonts w:ascii="Times New Roman" w:eastAsia="Calibri" w:hAnsi="Times New Roman" w:cs="Times New Roman"/>
                <w:color w:val="0D0D0D"/>
                <w:sz w:val="24"/>
                <w:szCs w:val="24"/>
              </w:rPr>
              <w:t xml:space="preserve"> DPT 15th Police Department; </w:t>
            </w:r>
            <w:proofErr w:type="spellStart"/>
            <w:r w:rsidRPr="00001432">
              <w:rPr>
                <w:rFonts w:ascii="Times New Roman" w:eastAsia="Calibri" w:hAnsi="Times New Roman" w:cs="Times New Roman"/>
                <w:color w:val="0D0D0D"/>
                <w:sz w:val="24"/>
                <w:szCs w:val="24"/>
              </w:rPr>
              <w:t>Goranboy</w:t>
            </w:r>
            <w:proofErr w:type="spellEnd"/>
            <w:r w:rsidRPr="00001432">
              <w:rPr>
                <w:rFonts w:ascii="Times New Roman" w:eastAsia="Calibri" w:hAnsi="Times New Roman" w:cs="Times New Roman"/>
                <w:color w:val="0D0D0D"/>
                <w:sz w:val="24"/>
                <w:szCs w:val="24"/>
              </w:rPr>
              <w:t xml:space="preserve"> facility for minor offenses</w:t>
            </w:r>
          </w:p>
        </w:tc>
        <w:tc>
          <w:tcPr>
            <w:tcW w:w="2414" w:type="dxa"/>
            <w:tcBorders>
              <w:top w:val="nil"/>
              <w:left w:val="single" w:sz="5" w:space="0" w:color="E3E3E3"/>
              <w:bottom w:val="single" w:sz="5" w:space="0" w:color="E3E3E3"/>
              <w:right w:val="nil"/>
            </w:tcBorders>
            <w:tcMar>
              <w:top w:w="100" w:type="dxa"/>
              <w:left w:w="100" w:type="dxa"/>
              <w:bottom w:w="100" w:type="dxa"/>
              <w:right w:w="100" w:type="dxa"/>
            </w:tcMar>
            <w:vAlign w:val="center"/>
          </w:tcPr>
          <w:p w14:paraId="06F727B3" w14:textId="77777777" w:rsidR="00A06E6E" w:rsidRPr="00001432" w:rsidRDefault="00000000">
            <w:pPr>
              <w:spacing w:line="411" w:lineRule="auto"/>
              <w:jc w:val="both"/>
              <w:rPr>
                <w:rFonts w:ascii="Times New Roman" w:eastAsia="Calibri" w:hAnsi="Times New Roman" w:cs="Times New Roman"/>
                <w:color w:val="0D0D0D"/>
                <w:sz w:val="24"/>
                <w:szCs w:val="24"/>
              </w:rPr>
            </w:pPr>
            <w:r w:rsidRPr="00001432">
              <w:rPr>
                <w:rFonts w:ascii="Times New Roman" w:eastAsia="Calibri" w:hAnsi="Times New Roman" w:cs="Times New Roman"/>
                <w:color w:val="0D0D0D"/>
                <w:sz w:val="24"/>
                <w:szCs w:val="24"/>
              </w:rPr>
              <w:t>Excessive detainee population exceeding facility capacities and internal standards</w:t>
            </w:r>
          </w:p>
        </w:tc>
        <w:tc>
          <w:tcPr>
            <w:tcW w:w="2681" w:type="dxa"/>
            <w:tcBorders>
              <w:top w:val="nil"/>
              <w:left w:val="single" w:sz="5" w:space="0" w:color="E3E3E3"/>
              <w:bottom w:val="single" w:sz="5" w:space="0" w:color="E3E3E3"/>
              <w:right w:val="single" w:sz="5" w:space="0" w:color="E3E3E3"/>
            </w:tcBorders>
            <w:tcMar>
              <w:top w:w="100" w:type="dxa"/>
              <w:left w:w="100" w:type="dxa"/>
              <w:bottom w:w="100" w:type="dxa"/>
              <w:right w:w="100" w:type="dxa"/>
            </w:tcMar>
            <w:vAlign w:val="center"/>
          </w:tcPr>
          <w:p w14:paraId="52BAA6F0" w14:textId="77777777" w:rsidR="00A06E6E" w:rsidRPr="00001432" w:rsidRDefault="00000000">
            <w:pPr>
              <w:spacing w:line="411" w:lineRule="auto"/>
              <w:jc w:val="both"/>
              <w:rPr>
                <w:rFonts w:ascii="Times New Roman" w:eastAsia="Calibri" w:hAnsi="Times New Roman" w:cs="Times New Roman"/>
                <w:color w:val="0D0D0D"/>
                <w:sz w:val="24"/>
                <w:szCs w:val="24"/>
              </w:rPr>
            </w:pPr>
            <w:r w:rsidRPr="00001432">
              <w:rPr>
                <w:rFonts w:ascii="Times New Roman" w:eastAsia="Calibri" w:hAnsi="Times New Roman" w:cs="Times New Roman"/>
                <w:color w:val="0D0D0D"/>
                <w:sz w:val="24"/>
                <w:szCs w:val="24"/>
              </w:rPr>
              <w:t>Clause 4.1 of the Internal Disciplinary Rules for Pretrial Detention Centers</w:t>
            </w:r>
          </w:p>
        </w:tc>
      </w:tr>
      <w:tr w:rsidR="00A06E6E" w:rsidRPr="00001432" w14:paraId="29DE5811" w14:textId="77777777">
        <w:trPr>
          <w:trHeight w:val="3575"/>
        </w:trPr>
        <w:tc>
          <w:tcPr>
            <w:tcW w:w="1637" w:type="dxa"/>
            <w:tcBorders>
              <w:top w:val="nil"/>
              <w:left w:val="single" w:sz="5" w:space="0" w:color="E3E3E3"/>
              <w:bottom w:val="single" w:sz="5" w:space="0" w:color="E3E3E3"/>
              <w:right w:val="nil"/>
            </w:tcBorders>
            <w:tcMar>
              <w:top w:w="100" w:type="dxa"/>
              <w:left w:w="100" w:type="dxa"/>
              <w:bottom w:w="100" w:type="dxa"/>
              <w:right w:w="100" w:type="dxa"/>
            </w:tcMar>
            <w:vAlign w:val="center"/>
          </w:tcPr>
          <w:p w14:paraId="56ECD593" w14:textId="77777777" w:rsidR="00A06E6E" w:rsidRPr="00001432" w:rsidRDefault="00000000">
            <w:pPr>
              <w:spacing w:line="411" w:lineRule="auto"/>
              <w:jc w:val="both"/>
              <w:rPr>
                <w:rFonts w:ascii="Times New Roman" w:eastAsia="Calibri" w:hAnsi="Times New Roman" w:cs="Times New Roman"/>
                <w:color w:val="0D0D0D"/>
                <w:sz w:val="24"/>
                <w:szCs w:val="24"/>
              </w:rPr>
            </w:pPr>
            <w:r w:rsidRPr="00001432">
              <w:rPr>
                <w:rFonts w:ascii="Times New Roman" w:eastAsia="Calibri" w:hAnsi="Times New Roman" w:cs="Times New Roman"/>
                <w:color w:val="0D0D0D"/>
                <w:sz w:val="24"/>
                <w:szCs w:val="24"/>
              </w:rPr>
              <w:t>3.4 Medical Care</w:t>
            </w:r>
          </w:p>
        </w:tc>
        <w:tc>
          <w:tcPr>
            <w:tcW w:w="2293" w:type="dxa"/>
            <w:tcBorders>
              <w:top w:val="nil"/>
              <w:left w:val="single" w:sz="5" w:space="0" w:color="E3E3E3"/>
              <w:bottom w:val="single" w:sz="5" w:space="0" w:color="E3E3E3"/>
              <w:right w:val="nil"/>
            </w:tcBorders>
            <w:tcMar>
              <w:top w:w="100" w:type="dxa"/>
              <w:left w:w="100" w:type="dxa"/>
              <w:bottom w:w="100" w:type="dxa"/>
              <w:right w:w="100" w:type="dxa"/>
            </w:tcMar>
            <w:vAlign w:val="center"/>
          </w:tcPr>
          <w:p w14:paraId="56CA4E87" w14:textId="77777777" w:rsidR="00A06E6E" w:rsidRPr="00001432" w:rsidRDefault="00000000">
            <w:pPr>
              <w:spacing w:line="411" w:lineRule="auto"/>
              <w:jc w:val="both"/>
              <w:rPr>
                <w:rFonts w:ascii="Times New Roman" w:eastAsia="Calibri" w:hAnsi="Times New Roman" w:cs="Times New Roman"/>
                <w:color w:val="0D0D0D"/>
                <w:sz w:val="24"/>
                <w:szCs w:val="24"/>
              </w:rPr>
            </w:pPr>
            <w:r w:rsidRPr="00001432">
              <w:rPr>
                <w:rFonts w:ascii="Times New Roman" w:eastAsia="Calibri" w:hAnsi="Times New Roman" w:cs="Times New Roman"/>
                <w:color w:val="0D0D0D"/>
                <w:sz w:val="24"/>
                <w:szCs w:val="24"/>
              </w:rPr>
              <w:t xml:space="preserve">Facilities in </w:t>
            </w:r>
            <w:proofErr w:type="spellStart"/>
            <w:r w:rsidRPr="00001432">
              <w:rPr>
                <w:rFonts w:ascii="Times New Roman" w:eastAsia="Calibri" w:hAnsi="Times New Roman" w:cs="Times New Roman"/>
                <w:color w:val="0D0D0D"/>
                <w:sz w:val="24"/>
                <w:szCs w:val="24"/>
              </w:rPr>
              <w:t>Dashkasan</w:t>
            </w:r>
            <w:proofErr w:type="spellEnd"/>
            <w:r w:rsidRPr="00001432">
              <w:rPr>
                <w:rFonts w:ascii="Times New Roman" w:eastAsia="Calibri" w:hAnsi="Times New Roman" w:cs="Times New Roman"/>
                <w:color w:val="0D0D0D"/>
                <w:sz w:val="24"/>
                <w:szCs w:val="24"/>
              </w:rPr>
              <w:t xml:space="preserve">, </w:t>
            </w:r>
            <w:proofErr w:type="spellStart"/>
            <w:r w:rsidRPr="00001432">
              <w:rPr>
                <w:rFonts w:ascii="Times New Roman" w:eastAsia="Calibri" w:hAnsi="Times New Roman" w:cs="Times New Roman"/>
                <w:color w:val="0D0D0D"/>
                <w:sz w:val="24"/>
                <w:szCs w:val="24"/>
              </w:rPr>
              <w:t>Yevlakh</w:t>
            </w:r>
            <w:proofErr w:type="spellEnd"/>
            <w:r w:rsidRPr="00001432">
              <w:rPr>
                <w:rFonts w:ascii="Times New Roman" w:eastAsia="Calibri" w:hAnsi="Times New Roman" w:cs="Times New Roman"/>
                <w:color w:val="0D0D0D"/>
                <w:sz w:val="24"/>
                <w:szCs w:val="24"/>
              </w:rPr>
              <w:t xml:space="preserve">, Shamkir, </w:t>
            </w:r>
            <w:proofErr w:type="spellStart"/>
            <w:r w:rsidRPr="00001432">
              <w:rPr>
                <w:rFonts w:ascii="Times New Roman" w:eastAsia="Calibri" w:hAnsi="Times New Roman" w:cs="Times New Roman"/>
                <w:color w:val="0D0D0D"/>
                <w:sz w:val="24"/>
                <w:szCs w:val="24"/>
              </w:rPr>
              <w:t>Goygol</w:t>
            </w:r>
            <w:proofErr w:type="spellEnd"/>
            <w:r w:rsidRPr="00001432">
              <w:rPr>
                <w:rFonts w:ascii="Times New Roman" w:eastAsia="Calibri" w:hAnsi="Times New Roman" w:cs="Times New Roman"/>
                <w:color w:val="0D0D0D"/>
                <w:sz w:val="24"/>
                <w:szCs w:val="24"/>
              </w:rPr>
              <w:t xml:space="preserve">, </w:t>
            </w:r>
            <w:proofErr w:type="spellStart"/>
            <w:r w:rsidRPr="00001432">
              <w:rPr>
                <w:rFonts w:ascii="Times New Roman" w:eastAsia="Calibri" w:hAnsi="Times New Roman" w:cs="Times New Roman"/>
                <w:color w:val="0D0D0D"/>
                <w:sz w:val="24"/>
                <w:szCs w:val="24"/>
              </w:rPr>
              <w:t>Naftalan</w:t>
            </w:r>
            <w:proofErr w:type="spellEnd"/>
            <w:r w:rsidRPr="00001432">
              <w:rPr>
                <w:rFonts w:ascii="Times New Roman" w:eastAsia="Calibri" w:hAnsi="Times New Roman" w:cs="Times New Roman"/>
                <w:color w:val="0D0D0D"/>
                <w:sz w:val="24"/>
                <w:szCs w:val="24"/>
              </w:rPr>
              <w:t xml:space="preserve">, Gabala, </w:t>
            </w:r>
            <w:proofErr w:type="spellStart"/>
            <w:r w:rsidRPr="00001432">
              <w:rPr>
                <w:rFonts w:ascii="Times New Roman" w:eastAsia="Calibri" w:hAnsi="Times New Roman" w:cs="Times New Roman"/>
                <w:color w:val="0D0D0D"/>
                <w:sz w:val="24"/>
                <w:szCs w:val="24"/>
              </w:rPr>
              <w:t>Shabran</w:t>
            </w:r>
            <w:proofErr w:type="spellEnd"/>
            <w:r w:rsidRPr="00001432">
              <w:rPr>
                <w:rFonts w:ascii="Times New Roman" w:eastAsia="Calibri" w:hAnsi="Times New Roman" w:cs="Times New Roman"/>
                <w:color w:val="0D0D0D"/>
                <w:sz w:val="24"/>
                <w:szCs w:val="24"/>
              </w:rPr>
              <w:t xml:space="preserve">; Detention Facilities No. 6, </w:t>
            </w:r>
            <w:proofErr w:type="spellStart"/>
            <w:r w:rsidRPr="00001432">
              <w:rPr>
                <w:rFonts w:ascii="Times New Roman" w:eastAsia="Calibri" w:hAnsi="Times New Roman" w:cs="Times New Roman"/>
                <w:color w:val="0D0D0D"/>
                <w:sz w:val="24"/>
                <w:szCs w:val="24"/>
              </w:rPr>
              <w:t>Surakhani</w:t>
            </w:r>
            <w:proofErr w:type="spellEnd"/>
            <w:r w:rsidRPr="00001432">
              <w:rPr>
                <w:rFonts w:ascii="Times New Roman" w:eastAsia="Calibri" w:hAnsi="Times New Roman" w:cs="Times New Roman"/>
                <w:color w:val="0D0D0D"/>
                <w:sz w:val="24"/>
                <w:szCs w:val="24"/>
              </w:rPr>
              <w:t xml:space="preserve">, </w:t>
            </w:r>
            <w:proofErr w:type="spellStart"/>
            <w:r w:rsidRPr="00001432">
              <w:rPr>
                <w:rFonts w:ascii="Times New Roman" w:eastAsia="Calibri" w:hAnsi="Times New Roman" w:cs="Times New Roman"/>
                <w:color w:val="0D0D0D"/>
                <w:sz w:val="24"/>
                <w:szCs w:val="24"/>
              </w:rPr>
              <w:t>Binagadi</w:t>
            </w:r>
            <w:proofErr w:type="spellEnd"/>
            <w:r w:rsidRPr="00001432">
              <w:rPr>
                <w:rFonts w:ascii="Times New Roman" w:eastAsia="Calibri" w:hAnsi="Times New Roman" w:cs="Times New Roman"/>
                <w:color w:val="0D0D0D"/>
                <w:sz w:val="24"/>
                <w:szCs w:val="24"/>
              </w:rPr>
              <w:t>; Detention Centers No. 2, 3; Ganja's Precinct Type Facility No. 5</w:t>
            </w:r>
          </w:p>
        </w:tc>
        <w:tc>
          <w:tcPr>
            <w:tcW w:w="2414" w:type="dxa"/>
            <w:tcBorders>
              <w:top w:val="nil"/>
              <w:left w:val="single" w:sz="5" w:space="0" w:color="E3E3E3"/>
              <w:bottom w:val="single" w:sz="5" w:space="0" w:color="E3E3E3"/>
              <w:right w:val="nil"/>
            </w:tcBorders>
            <w:tcMar>
              <w:top w:w="100" w:type="dxa"/>
              <w:left w:w="100" w:type="dxa"/>
              <w:bottom w:w="100" w:type="dxa"/>
              <w:right w:w="100" w:type="dxa"/>
            </w:tcMar>
            <w:vAlign w:val="center"/>
          </w:tcPr>
          <w:p w14:paraId="2A3380FD" w14:textId="77777777" w:rsidR="00A06E6E" w:rsidRPr="00001432" w:rsidRDefault="00000000">
            <w:pPr>
              <w:spacing w:line="411" w:lineRule="auto"/>
              <w:jc w:val="both"/>
              <w:rPr>
                <w:rFonts w:ascii="Times New Roman" w:eastAsia="Calibri" w:hAnsi="Times New Roman" w:cs="Times New Roman"/>
                <w:color w:val="0D0D0D"/>
                <w:sz w:val="24"/>
                <w:szCs w:val="24"/>
              </w:rPr>
            </w:pPr>
            <w:r w:rsidRPr="00001432">
              <w:rPr>
                <w:rFonts w:ascii="Times New Roman" w:eastAsia="Calibri" w:hAnsi="Times New Roman" w:cs="Times New Roman"/>
                <w:color w:val="0D0D0D"/>
                <w:sz w:val="24"/>
                <w:szCs w:val="24"/>
              </w:rPr>
              <w:t>Inadequate medical records and injury reports; medical examinations conducted without necessary police involvement; emergency medical services personnel performing exams (Gabala DPT)</w:t>
            </w:r>
          </w:p>
        </w:tc>
        <w:tc>
          <w:tcPr>
            <w:tcW w:w="2681" w:type="dxa"/>
            <w:tcBorders>
              <w:top w:val="nil"/>
              <w:left w:val="single" w:sz="5" w:space="0" w:color="E3E3E3"/>
              <w:bottom w:val="single" w:sz="5" w:space="0" w:color="E3E3E3"/>
              <w:right w:val="single" w:sz="5" w:space="0" w:color="E3E3E3"/>
            </w:tcBorders>
            <w:tcMar>
              <w:top w:w="100" w:type="dxa"/>
              <w:left w:w="100" w:type="dxa"/>
              <w:bottom w:w="100" w:type="dxa"/>
              <w:right w:w="100" w:type="dxa"/>
            </w:tcMar>
            <w:vAlign w:val="center"/>
          </w:tcPr>
          <w:p w14:paraId="14E82BA0" w14:textId="77777777" w:rsidR="00A06E6E" w:rsidRPr="00001432" w:rsidRDefault="00000000">
            <w:pPr>
              <w:spacing w:line="411" w:lineRule="auto"/>
              <w:jc w:val="both"/>
              <w:rPr>
                <w:rFonts w:ascii="Times New Roman" w:eastAsia="Calibri" w:hAnsi="Times New Roman" w:cs="Times New Roman"/>
                <w:color w:val="0D0D0D"/>
                <w:sz w:val="24"/>
                <w:szCs w:val="24"/>
              </w:rPr>
            </w:pPr>
            <w:r w:rsidRPr="00001432">
              <w:rPr>
                <w:rFonts w:ascii="Times New Roman" w:eastAsia="Calibri" w:hAnsi="Times New Roman" w:cs="Times New Roman"/>
                <w:color w:val="0D0D0D"/>
                <w:sz w:val="24"/>
                <w:szCs w:val="24"/>
              </w:rPr>
              <w:t>Clause 2.8 of the "Rules for Medical and Psychological Assistance"; Article 119.2 of the Code of Execution of Sentences</w:t>
            </w:r>
          </w:p>
        </w:tc>
      </w:tr>
    </w:tbl>
    <w:p w14:paraId="311FB1B3" w14:textId="77777777" w:rsidR="00C01F33" w:rsidRDefault="00C01F33">
      <w:pPr>
        <w:pBdr>
          <w:top w:val="none" w:sz="0" w:space="0" w:color="E3E3E3"/>
          <w:left w:val="none" w:sz="0" w:space="0" w:color="E3E3E3"/>
          <w:bottom w:val="none" w:sz="0" w:space="0" w:color="E3E3E3"/>
          <w:right w:val="none" w:sz="0" w:space="0" w:color="E3E3E3"/>
          <w:between w:val="none" w:sz="0" w:space="0" w:color="E3E3E3"/>
        </w:pBdr>
        <w:shd w:val="clear" w:color="auto" w:fill="FFFFFF"/>
        <w:spacing w:before="300"/>
        <w:jc w:val="both"/>
        <w:rPr>
          <w:rFonts w:ascii="Times New Roman" w:eastAsia="Calibri" w:hAnsi="Times New Roman" w:cs="Times New Roman"/>
          <w:color w:val="0D0D0D"/>
          <w:sz w:val="24"/>
          <w:szCs w:val="24"/>
          <w:u w:val="single"/>
        </w:rPr>
      </w:pPr>
    </w:p>
    <w:p w14:paraId="61FF3335" w14:textId="77777777" w:rsidR="00C01F33" w:rsidRDefault="00C01F33">
      <w:pPr>
        <w:pBdr>
          <w:top w:val="none" w:sz="0" w:space="0" w:color="E3E3E3"/>
          <w:left w:val="none" w:sz="0" w:space="0" w:color="E3E3E3"/>
          <w:bottom w:val="none" w:sz="0" w:space="0" w:color="E3E3E3"/>
          <w:right w:val="none" w:sz="0" w:space="0" w:color="E3E3E3"/>
          <w:between w:val="none" w:sz="0" w:space="0" w:color="E3E3E3"/>
        </w:pBdr>
        <w:shd w:val="clear" w:color="auto" w:fill="FFFFFF"/>
        <w:spacing w:before="300"/>
        <w:jc w:val="both"/>
        <w:rPr>
          <w:rFonts w:ascii="Times New Roman" w:eastAsia="Calibri" w:hAnsi="Times New Roman" w:cs="Times New Roman"/>
          <w:color w:val="0D0D0D"/>
          <w:sz w:val="24"/>
          <w:szCs w:val="24"/>
          <w:u w:val="single"/>
        </w:rPr>
      </w:pPr>
    </w:p>
    <w:p w14:paraId="64E7AD0F" w14:textId="27F0F54C" w:rsidR="00A06E6E" w:rsidRPr="00001432" w:rsidRDefault="00000000">
      <w:pPr>
        <w:pBdr>
          <w:top w:val="none" w:sz="0" w:space="0" w:color="E3E3E3"/>
          <w:left w:val="none" w:sz="0" w:space="0" w:color="E3E3E3"/>
          <w:bottom w:val="none" w:sz="0" w:space="0" w:color="E3E3E3"/>
          <w:right w:val="none" w:sz="0" w:space="0" w:color="E3E3E3"/>
          <w:between w:val="none" w:sz="0" w:space="0" w:color="E3E3E3"/>
        </w:pBdr>
        <w:shd w:val="clear" w:color="auto" w:fill="FFFFFF"/>
        <w:spacing w:before="300"/>
        <w:jc w:val="both"/>
        <w:rPr>
          <w:rFonts w:ascii="Times New Roman" w:eastAsia="Calibri" w:hAnsi="Times New Roman" w:cs="Times New Roman"/>
          <w:color w:val="0D0D0D"/>
          <w:sz w:val="24"/>
          <w:szCs w:val="24"/>
          <w:u w:val="single"/>
        </w:rPr>
      </w:pPr>
      <w:r w:rsidRPr="00001432">
        <w:rPr>
          <w:rFonts w:ascii="Times New Roman" w:eastAsia="Calibri" w:hAnsi="Times New Roman" w:cs="Times New Roman"/>
          <w:color w:val="0D0D0D"/>
          <w:sz w:val="24"/>
          <w:szCs w:val="24"/>
          <w:u w:val="single"/>
        </w:rPr>
        <w:lastRenderedPageBreak/>
        <w:t>Public Committee under the Minister of Justice</w:t>
      </w:r>
    </w:p>
    <w:p w14:paraId="0A0CE5FD" w14:textId="373994C9" w:rsidR="00BD1F30" w:rsidRPr="00001432" w:rsidRDefault="00000000" w:rsidP="00BD1F30">
      <w:pPr>
        <w:pStyle w:val="ListParagraph"/>
        <w:numPr>
          <w:ilvl w:val="2"/>
          <w:numId w:val="1"/>
        </w:numPr>
        <w:pBdr>
          <w:top w:val="none" w:sz="0" w:space="0" w:color="E3E3E3"/>
          <w:left w:val="none" w:sz="0" w:space="0" w:color="E3E3E3"/>
          <w:bottom w:val="none" w:sz="0" w:space="0" w:color="E3E3E3"/>
          <w:right w:val="none" w:sz="0" w:space="0" w:color="E3E3E3"/>
          <w:between w:val="none" w:sz="0" w:space="0" w:color="E3E3E3"/>
        </w:pBdr>
        <w:shd w:val="clear" w:color="auto" w:fill="FFFFFF"/>
        <w:tabs>
          <w:tab w:val="left" w:pos="426"/>
        </w:tabs>
        <w:spacing w:before="300"/>
        <w:ind w:left="284" w:hanging="284"/>
        <w:jc w:val="both"/>
        <w:rPr>
          <w:rFonts w:ascii="Times New Roman" w:eastAsia="Calibri" w:hAnsi="Times New Roman" w:cs="Times New Roman"/>
          <w:color w:val="0D0D0D"/>
          <w:sz w:val="24"/>
          <w:szCs w:val="24"/>
        </w:rPr>
      </w:pPr>
      <w:r w:rsidRPr="00001432">
        <w:rPr>
          <w:rFonts w:ascii="Times New Roman" w:eastAsia="Calibri" w:hAnsi="Times New Roman" w:cs="Times New Roman"/>
          <w:color w:val="0D0D0D"/>
          <w:sz w:val="24"/>
          <w:szCs w:val="24"/>
        </w:rPr>
        <w:t>The Public Committee under the Minister of Justice was established to monitor the modernization of the penitentiary system and its infrastructure, enhance the conditions of detention, and improve medical and other provisions for prisoners.</w:t>
      </w:r>
      <w:r w:rsidRPr="00001432">
        <w:rPr>
          <w:rFonts w:ascii="Times New Roman" w:hAnsi="Times New Roman" w:cs="Times New Roman"/>
          <w:sz w:val="24"/>
          <w:szCs w:val="24"/>
          <w:vertAlign w:val="superscript"/>
        </w:rPr>
        <w:footnoteReference w:id="43"/>
      </w:r>
      <w:r w:rsidRPr="00001432">
        <w:rPr>
          <w:rFonts w:ascii="Times New Roman" w:eastAsia="Calibri" w:hAnsi="Times New Roman" w:cs="Times New Roman"/>
          <w:color w:val="0D0D0D"/>
          <w:sz w:val="24"/>
          <w:szCs w:val="24"/>
        </w:rPr>
        <w:t xml:space="preserve"> It also focuses on prisoner reform and provides various forms of legal assistance. Despite these objectives, assessments from both local and international organizations that investigate ill-treatment cases suggest that the committee's independence is </w:t>
      </w:r>
      <w:r w:rsidR="00BD1F30" w:rsidRPr="00001432">
        <w:rPr>
          <w:rFonts w:ascii="Times New Roman" w:eastAsia="Calibri" w:hAnsi="Times New Roman" w:cs="Times New Roman"/>
          <w:color w:val="0D0D0D"/>
          <w:sz w:val="24"/>
          <w:szCs w:val="24"/>
        </w:rPr>
        <w:t>compromised,</w:t>
      </w:r>
      <w:r w:rsidRPr="00001432">
        <w:rPr>
          <w:rFonts w:ascii="Times New Roman" w:eastAsia="Calibri" w:hAnsi="Times New Roman" w:cs="Times New Roman"/>
          <w:color w:val="0D0D0D"/>
          <w:sz w:val="24"/>
          <w:szCs w:val="24"/>
        </w:rPr>
        <w:t xml:space="preserve"> and its activities are largely superficial.</w:t>
      </w:r>
      <w:r w:rsidRPr="00001432">
        <w:rPr>
          <w:rFonts w:ascii="Times New Roman" w:hAnsi="Times New Roman" w:cs="Times New Roman"/>
          <w:sz w:val="24"/>
          <w:szCs w:val="24"/>
          <w:vertAlign w:val="superscript"/>
        </w:rPr>
        <w:footnoteReference w:id="44"/>
      </w:r>
    </w:p>
    <w:p w14:paraId="060385E2" w14:textId="1818CA12" w:rsidR="00A06E6E" w:rsidRPr="00001432" w:rsidRDefault="00000000" w:rsidP="00BD1F30">
      <w:pPr>
        <w:pStyle w:val="ListParagraph"/>
        <w:numPr>
          <w:ilvl w:val="2"/>
          <w:numId w:val="1"/>
        </w:numPr>
        <w:pBdr>
          <w:top w:val="none" w:sz="0" w:space="0" w:color="E3E3E3"/>
          <w:left w:val="none" w:sz="0" w:space="0" w:color="E3E3E3"/>
          <w:bottom w:val="none" w:sz="0" w:space="0" w:color="E3E3E3"/>
          <w:right w:val="none" w:sz="0" w:space="0" w:color="E3E3E3"/>
          <w:between w:val="none" w:sz="0" w:space="0" w:color="E3E3E3"/>
        </w:pBdr>
        <w:shd w:val="clear" w:color="auto" w:fill="FFFFFF"/>
        <w:tabs>
          <w:tab w:val="left" w:pos="426"/>
        </w:tabs>
        <w:spacing w:before="300"/>
        <w:ind w:left="284" w:hanging="284"/>
        <w:jc w:val="both"/>
        <w:rPr>
          <w:rFonts w:ascii="Times New Roman" w:eastAsia="Calibri" w:hAnsi="Times New Roman" w:cs="Times New Roman"/>
          <w:color w:val="0D0D0D"/>
          <w:sz w:val="24"/>
          <w:szCs w:val="24"/>
        </w:rPr>
      </w:pPr>
      <w:r w:rsidRPr="00001432">
        <w:rPr>
          <w:rFonts w:ascii="Times New Roman" w:eastAsia="Calibri" w:hAnsi="Times New Roman" w:cs="Times New Roman"/>
          <w:color w:val="0D0D0D"/>
          <w:sz w:val="24"/>
          <w:szCs w:val="24"/>
        </w:rPr>
        <w:t>On October 28, 2021, the International Partnership for Human Rights expressed its concern regarding the public's limited access to information on ill-treatment collected by state authorities. This concern was raised in response to statements from official bodies about general measures and questioned the independence of the Public Committee.</w:t>
      </w:r>
      <w:r w:rsidRPr="00001432">
        <w:rPr>
          <w:rFonts w:ascii="Times New Roman" w:hAnsi="Times New Roman" w:cs="Times New Roman"/>
          <w:sz w:val="24"/>
          <w:szCs w:val="24"/>
          <w:vertAlign w:val="superscript"/>
        </w:rPr>
        <w:footnoteReference w:id="45"/>
      </w:r>
    </w:p>
    <w:p w14:paraId="5033F442" w14:textId="77777777" w:rsidR="00A06E6E" w:rsidRPr="00001432" w:rsidRDefault="00000000">
      <w:pPr>
        <w:pBdr>
          <w:top w:val="none" w:sz="0" w:space="0" w:color="E3E3E3"/>
          <w:left w:val="none" w:sz="0" w:space="0" w:color="E3E3E3"/>
          <w:bottom w:val="none" w:sz="0" w:space="0" w:color="E3E3E3"/>
          <w:right w:val="none" w:sz="0" w:space="0" w:color="E3E3E3"/>
          <w:between w:val="none" w:sz="0" w:space="0" w:color="E3E3E3"/>
        </w:pBdr>
        <w:shd w:val="clear" w:color="auto" w:fill="FFFFFF"/>
        <w:spacing w:before="300"/>
        <w:jc w:val="both"/>
        <w:rPr>
          <w:rFonts w:ascii="Times New Roman" w:eastAsia="Calibri" w:hAnsi="Times New Roman" w:cs="Times New Roman"/>
          <w:i/>
          <w:color w:val="0D0D0D"/>
          <w:sz w:val="24"/>
          <w:szCs w:val="24"/>
        </w:rPr>
      </w:pPr>
      <w:r w:rsidRPr="00001432">
        <w:rPr>
          <w:rFonts w:ascii="Times New Roman" w:eastAsia="Calibri" w:hAnsi="Times New Roman" w:cs="Times New Roman"/>
          <w:i/>
          <w:color w:val="0D0D0D"/>
          <w:sz w:val="24"/>
          <w:szCs w:val="24"/>
        </w:rPr>
        <w:t>(2) Non-governmental Organizations</w:t>
      </w:r>
    </w:p>
    <w:p w14:paraId="742E7AEA" w14:textId="77777777" w:rsidR="00A06E6E" w:rsidRPr="00001432" w:rsidRDefault="00000000">
      <w:pPr>
        <w:pBdr>
          <w:top w:val="none" w:sz="0" w:space="0" w:color="E3E3E3"/>
          <w:left w:val="none" w:sz="0" w:space="0" w:color="E3E3E3"/>
          <w:bottom w:val="none" w:sz="0" w:space="0" w:color="E3E3E3"/>
          <w:right w:val="none" w:sz="0" w:space="0" w:color="E3E3E3"/>
          <w:between w:val="none" w:sz="0" w:space="0" w:color="E3E3E3"/>
        </w:pBdr>
        <w:shd w:val="clear" w:color="auto" w:fill="FFFFFF"/>
        <w:spacing w:before="300"/>
        <w:jc w:val="both"/>
        <w:rPr>
          <w:rFonts w:ascii="Times New Roman" w:eastAsia="Calibri" w:hAnsi="Times New Roman" w:cs="Times New Roman"/>
          <w:color w:val="0D0D0D"/>
          <w:sz w:val="24"/>
          <w:szCs w:val="24"/>
          <w:u w:val="single"/>
        </w:rPr>
      </w:pPr>
      <w:r w:rsidRPr="00001432">
        <w:rPr>
          <w:rFonts w:ascii="Times New Roman" w:eastAsia="Calibri" w:hAnsi="Times New Roman" w:cs="Times New Roman"/>
          <w:color w:val="0D0D0D"/>
          <w:sz w:val="24"/>
          <w:szCs w:val="24"/>
          <w:u w:val="single"/>
        </w:rPr>
        <w:t>Center for Research Against Torture</w:t>
      </w:r>
    </w:p>
    <w:p w14:paraId="362E5546" w14:textId="1F62FE13" w:rsidR="00A06E6E" w:rsidRPr="00001432" w:rsidRDefault="00000000" w:rsidP="00BD1F30">
      <w:pPr>
        <w:pStyle w:val="ListParagraph"/>
        <w:numPr>
          <w:ilvl w:val="2"/>
          <w:numId w:val="1"/>
        </w:numPr>
        <w:pBdr>
          <w:top w:val="none" w:sz="0" w:space="0" w:color="E3E3E3"/>
          <w:left w:val="none" w:sz="0" w:space="0" w:color="E3E3E3"/>
          <w:bottom w:val="none" w:sz="0" w:space="0" w:color="E3E3E3"/>
          <w:right w:val="none" w:sz="0" w:space="0" w:color="E3E3E3"/>
          <w:between w:val="none" w:sz="0" w:space="0" w:color="E3E3E3"/>
        </w:pBdr>
        <w:shd w:val="clear" w:color="auto" w:fill="FFFFFF"/>
        <w:tabs>
          <w:tab w:val="left" w:pos="426"/>
        </w:tabs>
        <w:spacing w:before="300"/>
        <w:ind w:left="284" w:hanging="284"/>
        <w:jc w:val="both"/>
        <w:rPr>
          <w:rFonts w:ascii="Times New Roman" w:eastAsia="Calibri" w:hAnsi="Times New Roman" w:cs="Times New Roman"/>
          <w:color w:val="0D0D0D"/>
          <w:sz w:val="24"/>
          <w:szCs w:val="24"/>
        </w:rPr>
      </w:pPr>
      <w:r w:rsidRPr="00001432">
        <w:rPr>
          <w:rFonts w:ascii="Times New Roman" w:eastAsia="Calibri" w:hAnsi="Times New Roman" w:cs="Times New Roman"/>
          <w:color w:val="0D0D0D"/>
          <w:sz w:val="24"/>
          <w:szCs w:val="24"/>
        </w:rPr>
        <w:t>The report from the Center for Research Against Torture highlighted that the Ministry of Justice's Penitentiary Institutions and Pre-trial Detention Centers are places where severe torture is a daily occurrence for detainees, sometimes resulting in death under torture.</w:t>
      </w:r>
      <w:r w:rsidRPr="00001432">
        <w:rPr>
          <w:rFonts w:ascii="Times New Roman" w:hAnsi="Times New Roman" w:cs="Times New Roman"/>
          <w:sz w:val="24"/>
          <w:szCs w:val="24"/>
          <w:vertAlign w:val="superscript"/>
        </w:rPr>
        <w:footnoteReference w:id="46"/>
      </w:r>
      <w:r w:rsidRPr="00001432">
        <w:rPr>
          <w:rFonts w:ascii="Times New Roman" w:eastAsia="Calibri" w:hAnsi="Times New Roman" w:cs="Times New Roman"/>
          <w:color w:val="0D0D0D"/>
          <w:sz w:val="24"/>
          <w:szCs w:val="24"/>
        </w:rPr>
        <w:t xml:space="preserve"> The report further stated that access to these facilities by the Ministries of Justice and Internal Affairs is restricted.</w:t>
      </w:r>
      <w:r w:rsidRPr="00001432">
        <w:rPr>
          <w:rFonts w:ascii="Times New Roman" w:hAnsi="Times New Roman" w:cs="Times New Roman"/>
          <w:sz w:val="24"/>
          <w:szCs w:val="24"/>
          <w:vertAlign w:val="superscript"/>
        </w:rPr>
        <w:footnoteReference w:id="47"/>
      </w:r>
      <w:r w:rsidRPr="00001432">
        <w:rPr>
          <w:rFonts w:ascii="Times New Roman" w:eastAsia="Calibri" w:hAnsi="Times New Roman" w:cs="Times New Roman"/>
          <w:color w:val="0D0D0D"/>
          <w:sz w:val="24"/>
          <w:szCs w:val="24"/>
        </w:rPr>
        <w:t xml:space="preserve"> It was also noted that citizens' complaints are often disregarded, or redirected back to the complainants. Officials complained about pressuring the complainants, sometimes leading to their arrest under various pretexts.</w:t>
      </w:r>
      <w:r w:rsidRPr="00001432">
        <w:rPr>
          <w:rFonts w:ascii="Times New Roman" w:hAnsi="Times New Roman" w:cs="Times New Roman"/>
          <w:sz w:val="24"/>
          <w:szCs w:val="24"/>
          <w:vertAlign w:val="superscript"/>
        </w:rPr>
        <w:footnoteReference w:id="48"/>
      </w:r>
      <w:r w:rsidRPr="00001432">
        <w:rPr>
          <w:rFonts w:ascii="Times New Roman" w:eastAsia="Calibri" w:hAnsi="Times New Roman" w:cs="Times New Roman"/>
          <w:color w:val="0D0D0D"/>
          <w:sz w:val="24"/>
          <w:szCs w:val="24"/>
        </w:rPr>
        <w:t xml:space="preserve"> Another report by the center pointed out the concealment of torture cases involving individuals detained or serving sentences under the Ministries of Justice and Internal Affairs.</w:t>
      </w:r>
      <w:r w:rsidRPr="00001432">
        <w:rPr>
          <w:rFonts w:ascii="Times New Roman" w:hAnsi="Times New Roman" w:cs="Times New Roman"/>
          <w:sz w:val="24"/>
          <w:szCs w:val="24"/>
          <w:vertAlign w:val="superscript"/>
        </w:rPr>
        <w:footnoteReference w:id="49"/>
      </w:r>
    </w:p>
    <w:p w14:paraId="2A8A386C" w14:textId="77777777" w:rsidR="00A06E6E" w:rsidRPr="00001432" w:rsidRDefault="00000000">
      <w:pPr>
        <w:pBdr>
          <w:top w:val="none" w:sz="0" w:space="0" w:color="E3E3E3"/>
          <w:left w:val="none" w:sz="0" w:space="0" w:color="E3E3E3"/>
          <w:bottom w:val="none" w:sz="0" w:space="0" w:color="E3E3E3"/>
          <w:right w:val="none" w:sz="0" w:space="0" w:color="E3E3E3"/>
          <w:between w:val="none" w:sz="0" w:space="0" w:color="E3E3E3"/>
        </w:pBdr>
        <w:shd w:val="clear" w:color="auto" w:fill="FFFFFF"/>
        <w:spacing w:before="300"/>
        <w:jc w:val="both"/>
        <w:rPr>
          <w:rFonts w:ascii="Times New Roman" w:eastAsia="Calibri" w:hAnsi="Times New Roman" w:cs="Times New Roman"/>
          <w:color w:val="0D0D0D"/>
          <w:sz w:val="24"/>
          <w:szCs w:val="24"/>
          <w:u w:val="single"/>
        </w:rPr>
      </w:pPr>
      <w:r w:rsidRPr="00001432">
        <w:rPr>
          <w:rFonts w:ascii="Times New Roman" w:eastAsia="Calibri" w:hAnsi="Times New Roman" w:cs="Times New Roman"/>
          <w:color w:val="0D0D0D"/>
          <w:sz w:val="24"/>
          <w:szCs w:val="24"/>
          <w:u w:val="single"/>
        </w:rPr>
        <w:t>Institute for Democratic Initiatives (IDI)</w:t>
      </w:r>
      <w:r w:rsidRPr="00001432">
        <w:rPr>
          <w:rFonts w:ascii="Times New Roman" w:eastAsia="Calibri" w:hAnsi="Times New Roman" w:cs="Times New Roman"/>
          <w:color w:val="0D0D0D"/>
          <w:sz w:val="24"/>
          <w:szCs w:val="24"/>
          <w:vertAlign w:val="superscript"/>
        </w:rPr>
        <w:footnoteReference w:id="50"/>
      </w:r>
    </w:p>
    <w:p w14:paraId="13A3407C" w14:textId="00403942" w:rsidR="00A06E6E" w:rsidRPr="00001432" w:rsidRDefault="00000000" w:rsidP="00BD1F30">
      <w:pPr>
        <w:pStyle w:val="ListParagraph"/>
        <w:numPr>
          <w:ilvl w:val="2"/>
          <w:numId w:val="1"/>
        </w:numPr>
        <w:pBdr>
          <w:top w:val="none" w:sz="0" w:space="0" w:color="E3E3E3"/>
          <w:left w:val="none" w:sz="0" w:space="0" w:color="E3E3E3"/>
          <w:bottom w:val="none" w:sz="0" w:space="0" w:color="E3E3E3"/>
          <w:right w:val="none" w:sz="0" w:space="0" w:color="E3E3E3"/>
          <w:between w:val="none" w:sz="0" w:space="0" w:color="E3E3E3"/>
        </w:pBdr>
        <w:shd w:val="clear" w:color="auto" w:fill="FFFFFF"/>
        <w:tabs>
          <w:tab w:val="left" w:pos="426"/>
        </w:tabs>
        <w:spacing w:before="300"/>
        <w:ind w:left="284" w:hanging="284"/>
        <w:jc w:val="both"/>
        <w:rPr>
          <w:rFonts w:ascii="Times New Roman" w:eastAsia="Calibri" w:hAnsi="Times New Roman" w:cs="Times New Roman"/>
          <w:color w:val="0D0D0D"/>
          <w:sz w:val="24"/>
          <w:szCs w:val="24"/>
        </w:rPr>
      </w:pPr>
      <w:r w:rsidRPr="00001432">
        <w:rPr>
          <w:rFonts w:ascii="Times New Roman" w:eastAsia="Calibri" w:hAnsi="Times New Roman" w:cs="Times New Roman"/>
          <w:color w:val="0D0D0D"/>
          <w:sz w:val="24"/>
          <w:szCs w:val="24"/>
        </w:rPr>
        <w:t xml:space="preserve">The IDI's report on media monitoring of ill-treatment from 2019 to 2021 revealed that, in 2021, 26 out of 37 allegations of ill-treatment (approximately 70.3%) occurred in locations under active state control, such as police stations, penitentiaries, the General Directorate for </w:t>
      </w:r>
      <w:r w:rsidRPr="00001432">
        <w:rPr>
          <w:rFonts w:ascii="Times New Roman" w:eastAsia="Calibri" w:hAnsi="Times New Roman" w:cs="Times New Roman"/>
          <w:color w:val="0D0D0D"/>
          <w:sz w:val="24"/>
          <w:szCs w:val="24"/>
        </w:rPr>
        <w:lastRenderedPageBreak/>
        <w:t>Combating Organized Crime, temporary holding areas of district police departments, detention centers for administrative detainees, and former detention centers of the Ministry of National Security.</w:t>
      </w:r>
      <w:r w:rsidRPr="00001432">
        <w:rPr>
          <w:rFonts w:ascii="Times New Roman" w:hAnsi="Times New Roman" w:cs="Times New Roman"/>
          <w:sz w:val="24"/>
          <w:szCs w:val="24"/>
          <w:vertAlign w:val="superscript"/>
        </w:rPr>
        <w:footnoteReference w:id="51"/>
      </w:r>
    </w:p>
    <w:p w14:paraId="78ED7FD4" w14:textId="77777777" w:rsidR="00A06E6E" w:rsidRPr="00001432" w:rsidRDefault="00000000">
      <w:pPr>
        <w:pBdr>
          <w:top w:val="none" w:sz="0" w:space="0" w:color="E3E3E3"/>
          <w:left w:val="none" w:sz="0" w:space="0" w:color="E3E3E3"/>
          <w:bottom w:val="none" w:sz="0" w:space="0" w:color="E3E3E3"/>
          <w:right w:val="none" w:sz="0" w:space="0" w:color="E3E3E3"/>
          <w:between w:val="none" w:sz="0" w:space="0" w:color="E3E3E3"/>
        </w:pBdr>
        <w:shd w:val="clear" w:color="auto" w:fill="FFFFFF"/>
        <w:spacing w:before="300"/>
        <w:jc w:val="both"/>
        <w:rPr>
          <w:rFonts w:ascii="Times New Roman" w:eastAsia="Calibri" w:hAnsi="Times New Roman" w:cs="Times New Roman"/>
          <w:b/>
          <w:i/>
          <w:color w:val="0D0D0D"/>
          <w:sz w:val="24"/>
          <w:szCs w:val="24"/>
        </w:rPr>
      </w:pPr>
      <w:r w:rsidRPr="00001432">
        <w:rPr>
          <w:rFonts w:ascii="Times New Roman" w:eastAsia="Calibri" w:hAnsi="Times New Roman" w:cs="Times New Roman"/>
          <w:b/>
          <w:i/>
          <w:color w:val="0D0D0D"/>
          <w:sz w:val="24"/>
          <w:szCs w:val="24"/>
        </w:rPr>
        <w:t>b. International Organizations</w:t>
      </w:r>
    </w:p>
    <w:p w14:paraId="4A4DDD5A" w14:textId="4D5BD96A" w:rsidR="00A06E6E" w:rsidRPr="00001432" w:rsidRDefault="00000000" w:rsidP="00BD1F30">
      <w:pPr>
        <w:pStyle w:val="ListParagraph"/>
        <w:numPr>
          <w:ilvl w:val="2"/>
          <w:numId w:val="1"/>
        </w:numPr>
        <w:pBdr>
          <w:top w:val="none" w:sz="0" w:space="0" w:color="E3E3E3"/>
          <w:left w:val="none" w:sz="0" w:space="0" w:color="E3E3E3"/>
          <w:bottom w:val="none" w:sz="0" w:space="0" w:color="E3E3E3"/>
          <w:right w:val="none" w:sz="0" w:space="0" w:color="E3E3E3"/>
          <w:between w:val="none" w:sz="0" w:space="0" w:color="E3E3E3"/>
        </w:pBdr>
        <w:shd w:val="clear" w:color="auto" w:fill="FFFFFF"/>
        <w:tabs>
          <w:tab w:val="left" w:pos="426"/>
        </w:tabs>
        <w:spacing w:before="300"/>
        <w:ind w:left="284" w:hanging="284"/>
        <w:jc w:val="both"/>
        <w:rPr>
          <w:rFonts w:ascii="Times New Roman" w:eastAsia="Calibri" w:hAnsi="Times New Roman" w:cs="Times New Roman"/>
          <w:color w:val="0D0D0D"/>
          <w:sz w:val="24"/>
          <w:szCs w:val="24"/>
        </w:rPr>
      </w:pPr>
      <w:r w:rsidRPr="00001432">
        <w:rPr>
          <w:rFonts w:ascii="Times New Roman" w:eastAsia="Calibri" w:hAnsi="Times New Roman" w:cs="Times New Roman"/>
          <w:color w:val="0D0D0D"/>
          <w:sz w:val="24"/>
          <w:szCs w:val="24"/>
        </w:rPr>
        <w:t>For a comprehensive understanding, here are highlights from reports by authoritative bodies on ill-treatment in Azerbaijan over the last seven years:</w:t>
      </w:r>
    </w:p>
    <w:p w14:paraId="2831B0EB" w14:textId="77777777" w:rsidR="00A06E6E" w:rsidRPr="00001432" w:rsidRDefault="00000000">
      <w:pPr>
        <w:pBdr>
          <w:top w:val="none" w:sz="0" w:space="0" w:color="E3E3E3"/>
          <w:left w:val="none" w:sz="0" w:space="0" w:color="E3E3E3"/>
          <w:bottom w:val="none" w:sz="0" w:space="0" w:color="E3E3E3"/>
          <w:right w:val="none" w:sz="0" w:space="0" w:color="E3E3E3"/>
          <w:between w:val="none" w:sz="0" w:space="0" w:color="E3E3E3"/>
        </w:pBdr>
        <w:shd w:val="clear" w:color="auto" w:fill="FFFFFF"/>
        <w:spacing w:before="300"/>
        <w:jc w:val="both"/>
        <w:rPr>
          <w:rFonts w:ascii="Times New Roman" w:eastAsia="Calibri" w:hAnsi="Times New Roman" w:cs="Times New Roman"/>
          <w:color w:val="0D0D0D"/>
          <w:sz w:val="24"/>
          <w:szCs w:val="24"/>
          <w:u w:val="single"/>
        </w:rPr>
      </w:pPr>
      <w:r w:rsidRPr="00001432">
        <w:rPr>
          <w:rFonts w:ascii="Times New Roman" w:eastAsia="Calibri" w:hAnsi="Times New Roman" w:cs="Times New Roman"/>
          <w:color w:val="0D0D0D"/>
          <w:sz w:val="24"/>
          <w:szCs w:val="24"/>
          <w:u w:val="single"/>
        </w:rPr>
        <w:t>UN Committee against Torture</w:t>
      </w:r>
    </w:p>
    <w:p w14:paraId="67BA2DB9" w14:textId="77777777" w:rsidR="00BD1F30" w:rsidRPr="00001432" w:rsidRDefault="00000000" w:rsidP="00BD1F30">
      <w:pPr>
        <w:pStyle w:val="ListParagraph"/>
        <w:numPr>
          <w:ilvl w:val="2"/>
          <w:numId w:val="1"/>
        </w:numPr>
        <w:pBdr>
          <w:top w:val="none" w:sz="0" w:space="0" w:color="E3E3E3"/>
          <w:left w:val="none" w:sz="0" w:space="0" w:color="E3E3E3"/>
          <w:bottom w:val="none" w:sz="0" w:space="0" w:color="E3E3E3"/>
          <w:right w:val="none" w:sz="0" w:space="0" w:color="E3E3E3"/>
          <w:between w:val="none" w:sz="0" w:space="0" w:color="E3E3E3"/>
        </w:pBdr>
        <w:shd w:val="clear" w:color="auto" w:fill="FFFFFF"/>
        <w:tabs>
          <w:tab w:val="left" w:pos="426"/>
        </w:tabs>
        <w:spacing w:before="300"/>
        <w:ind w:left="284" w:hanging="284"/>
        <w:jc w:val="both"/>
        <w:rPr>
          <w:rFonts w:ascii="Times New Roman" w:eastAsia="Calibri" w:hAnsi="Times New Roman" w:cs="Times New Roman"/>
          <w:color w:val="0D0D0D"/>
          <w:sz w:val="24"/>
          <w:szCs w:val="24"/>
        </w:rPr>
      </w:pPr>
      <w:r w:rsidRPr="00001432">
        <w:rPr>
          <w:rFonts w:ascii="Times New Roman" w:eastAsia="Calibri" w:hAnsi="Times New Roman" w:cs="Times New Roman"/>
          <w:color w:val="0D0D0D"/>
          <w:sz w:val="24"/>
          <w:szCs w:val="24"/>
        </w:rPr>
        <w:t>The UN Committee Against Torture expressed its concern about the following issues:</w:t>
      </w:r>
    </w:p>
    <w:p w14:paraId="180E9E03" w14:textId="77777777" w:rsidR="00BD1F30" w:rsidRPr="00001432" w:rsidRDefault="00000000" w:rsidP="00BD1F30">
      <w:pPr>
        <w:pStyle w:val="ListParagraph"/>
        <w:numPr>
          <w:ilvl w:val="0"/>
          <w:numId w:val="6"/>
        </w:numPr>
        <w:pBdr>
          <w:top w:val="none" w:sz="0" w:space="0" w:color="E3E3E3"/>
          <w:left w:val="none" w:sz="0" w:space="0" w:color="E3E3E3"/>
          <w:bottom w:val="none" w:sz="0" w:space="0" w:color="E3E3E3"/>
          <w:right w:val="none" w:sz="0" w:space="0" w:color="E3E3E3"/>
          <w:between w:val="none" w:sz="0" w:space="0" w:color="E3E3E3"/>
        </w:pBdr>
        <w:shd w:val="clear" w:color="auto" w:fill="FFFFFF"/>
        <w:tabs>
          <w:tab w:val="left" w:pos="426"/>
        </w:tabs>
        <w:spacing w:before="300"/>
        <w:ind w:left="709" w:hanging="142"/>
        <w:jc w:val="both"/>
        <w:rPr>
          <w:rFonts w:ascii="Times New Roman" w:eastAsia="Calibri" w:hAnsi="Times New Roman" w:cs="Times New Roman"/>
          <w:color w:val="0D0D0D"/>
          <w:sz w:val="24"/>
          <w:szCs w:val="24"/>
        </w:rPr>
      </w:pPr>
      <w:r w:rsidRPr="00001432">
        <w:rPr>
          <w:rFonts w:ascii="Times New Roman" w:eastAsia="Calibri" w:hAnsi="Times New Roman" w:cs="Times New Roman"/>
          <w:color w:val="0D0D0D"/>
          <w:sz w:val="24"/>
          <w:szCs w:val="24"/>
        </w:rPr>
        <w:t>Numerous allegations suggest that torture and ill-treatment have been committed by law enforcement officers or investigators, or with their instigation or consent, to extract confessions or information from individuals during criminal case investigations. Furthermore, the State party has deemed the allegations of torture or ill-treatment raised during the dialogue as unfounded, some of which had previously been a concern to the UN and other regional human rights mechanisms;</w:t>
      </w:r>
      <w:r w:rsidRPr="00001432">
        <w:rPr>
          <w:rFonts w:ascii="Times New Roman" w:hAnsi="Times New Roman" w:cs="Times New Roman"/>
          <w:sz w:val="24"/>
          <w:szCs w:val="24"/>
          <w:vertAlign w:val="superscript"/>
        </w:rPr>
        <w:footnoteReference w:id="52"/>
      </w:r>
    </w:p>
    <w:p w14:paraId="3CD1563C" w14:textId="77777777" w:rsidR="00BD1F30" w:rsidRPr="00001432" w:rsidRDefault="00000000" w:rsidP="00BD1F30">
      <w:pPr>
        <w:pStyle w:val="ListParagraph"/>
        <w:numPr>
          <w:ilvl w:val="0"/>
          <w:numId w:val="6"/>
        </w:numPr>
        <w:pBdr>
          <w:top w:val="none" w:sz="0" w:space="0" w:color="E3E3E3"/>
          <w:left w:val="none" w:sz="0" w:space="0" w:color="E3E3E3"/>
          <w:bottom w:val="none" w:sz="0" w:space="0" w:color="E3E3E3"/>
          <w:right w:val="none" w:sz="0" w:space="0" w:color="E3E3E3"/>
          <w:between w:val="none" w:sz="0" w:space="0" w:color="E3E3E3"/>
        </w:pBdr>
        <w:shd w:val="clear" w:color="auto" w:fill="FFFFFF"/>
        <w:tabs>
          <w:tab w:val="left" w:pos="426"/>
        </w:tabs>
        <w:spacing w:before="300"/>
        <w:ind w:left="709" w:hanging="142"/>
        <w:jc w:val="both"/>
        <w:rPr>
          <w:rFonts w:ascii="Times New Roman" w:eastAsia="Calibri" w:hAnsi="Times New Roman" w:cs="Times New Roman"/>
          <w:color w:val="0D0D0D"/>
          <w:sz w:val="24"/>
          <w:szCs w:val="24"/>
        </w:rPr>
      </w:pPr>
      <w:r w:rsidRPr="00001432">
        <w:rPr>
          <w:rFonts w:ascii="Times New Roman" w:eastAsia="Calibri" w:hAnsi="Times New Roman" w:cs="Times New Roman"/>
          <w:color w:val="0D0D0D"/>
          <w:sz w:val="24"/>
          <w:szCs w:val="24"/>
        </w:rPr>
        <w:t>Allegations concerning the ineffective functioning of the National Preventive Mechanism in matters related to the prevention of torture and legal violations in detention centers;</w:t>
      </w:r>
      <w:r w:rsidRPr="00001432">
        <w:rPr>
          <w:rFonts w:ascii="Times New Roman" w:hAnsi="Times New Roman" w:cs="Times New Roman"/>
          <w:sz w:val="24"/>
          <w:szCs w:val="24"/>
          <w:vertAlign w:val="superscript"/>
        </w:rPr>
        <w:footnoteReference w:id="53"/>
      </w:r>
    </w:p>
    <w:p w14:paraId="0F816F4E" w14:textId="77777777" w:rsidR="00BD1F30" w:rsidRPr="00001432" w:rsidRDefault="00000000" w:rsidP="00BD1F30">
      <w:pPr>
        <w:pStyle w:val="ListParagraph"/>
        <w:numPr>
          <w:ilvl w:val="0"/>
          <w:numId w:val="6"/>
        </w:numPr>
        <w:pBdr>
          <w:top w:val="none" w:sz="0" w:space="0" w:color="E3E3E3"/>
          <w:left w:val="none" w:sz="0" w:space="0" w:color="E3E3E3"/>
          <w:bottom w:val="none" w:sz="0" w:space="0" w:color="E3E3E3"/>
          <w:right w:val="none" w:sz="0" w:space="0" w:color="E3E3E3"/>
          <w:between w:val="none" w:sz="0" w:space="0" w:color="E3E3E3"/>
        </w:pBdr>
        <w:shd w:val="clear" w:color="auto" w:fill="FFFFFF"/>
        <w:tabs>
          <w:tab w:val="left" w:pos="426"/>
        </w:tabs>
        <w:spacing w:before="300"/>
        <w:ind w:left="709" w:hanging="142"/>
        <w:jc w:val="both"/>
        <w:rPr>
          <w:rFonts w:ascii="Times New Roman" w:eastAsia="Calibri" w:hAnsi="Times New Roman" w:cs="Times New Roman"/>
          <w:color w:val="0D0D0D"/>
          <w:sz w:val="24"/>
          <w:szCs w:val="24"/>
        </w:rPr>
      </w:pPr>
      <w:r w:rsidRPr="00001432">
        <w:rPr>
          <w:rFonts w:ascii="Times New Roman" w:eastAsia="Calibri" w:hAnsi="Times New Roman" w:cs="Times New Roman"/>
          <w:color w:val="0D0D0D"/>
          <w:sz w:val="24"/>
          <w:szCs w:val="24"/>
        </w:rPr>
        <w:t>Despite the participating State providing information about the reduction in the number of prisoners in penal institutions and the improvement of conditions within these, particularly in newly built facilities, there are numerous allegations related to the occurrence of violence in penal institutions, prisoner deaths while in custody, and in some instances, these are attributed to torture or ill-treatment;</w:t>
      </w:r>
      <w:r w:rsidRPr="00001432">
        <w:rPr>
          <w:rFonts w:ascii="Times New Roman" w:hAnsi="Times New Roman" w:cs="Times New Roman"/>
          <w:sz w:val="24"/>
          <w:szCs w:val="24"/>
          <w:vertAlign w:val="superscript"/>
        </w:rPr>
        <w:footnoteReference w:id="54"/>
      </w:r>
    </w:p>
    <w:p w14:paraId="593FE521" w14:textId="38AAE78A" w:rsidR="00A06E6E" w:rsidRPr="00001432" w:rsidRDefault="00000000" w:rsidP="00BD1F30">
      <w:pPr>
        <w:pStyle w:val="ListParagraph"/>
        <w:numPr>
          <w:ilvl w:val="0"/>
          <w:numId w:val="6"/>
        </w:numPr>
        <w:pBdr>
          <w:top w:val="none" w:sz="0" w:space="0" w:color="E3E3E3"/>
          <w:left w:val="none" w:sz="0" w:space="0" w:color="E3E3E3"/>
          <w:bottom w:val="none" w:sz="0" w:space="0" w:color="E3E3E3"/>
          <w:right w:val="none" w:sz="0" w:space="0" w:color="E3E3E3"/>
          <w:between w:val="none" w:sz="0" w:space="0" w:color="E3E3E3"/>
        </w:pBdr>
        <w:shd w:val="clear" w:color="auto" w:fill="FFFFFF"/>
        <w:tabs>
          <w:tab w:val="left" w:pos="426"/>
        </w:tabs>
        <w:spacing w:before="300"/>
        <w:ind w:left="709" w:hanging="142"/>
        <w:jc w:val="both"/>
        <w:rPr>
          <w:rFonts w:ascii="Times New Roman" w:eastAsia="Calibri" w:hAnsi="Times New Roman" w:cs="Times New Roman"/>
          <w:color w:val="0D0D0D"/>
          <w:sz w:val="24"/>
          <w:szCs w:val="24"/>
        </w:rPr>
      </w:pPr>
      <w:r w:rsidRPr="00001432">
        <w:rPr>
          <w:rFonts w:ascii="Times New Roman" w:eastAsia="Calibri" w:hAnsi="Times New Roman" w:cs="Times New Roman"/>
          <w:color w:val="0D0D0D"/>
          <w:sz w:val="24"/>
          <w:szCs w:val="24"/>
        </w:rPr>
        <w:t>Unsatisfactory conditions in prisons No. 6 and 14.</w:t>
      </w:r>
      <w:r w:rsidRPr="00001432">
        <w:rPr>
          <w:rFonts w:ascii="Times New Roman" w:hAnsi="Times New Roman" w:cs="Times New Roman"/>
          <w:sz w:val="24"/>
          <w:szCs w:val="24"/>
          <w:vertAlign w:val="superscript"/>
        </w:rPr>
        <w:footnoteReference w:id="55"/>
      </w:r>
    </w:p>
    <w:p w14:paraId="0346109D" w14:textId="77777777" w:rsidR="00A06E6E" w:rsidRPr="00001432" w:rsidRDefault="00000000">
      <w:pPr>
        <w:pBdr>
          <w:top w:val="none" w:sz="0" w:space="0" w:color="E3E3E3"/>
          <w:left w:val="none" w:sz="0" w:space="0" w:color="E3E3E3"/>
          <w:bottom w:val="none" w:sz="0" w:space="0" w:color="E3E3E3"/>
          <w:right w:val="none" w:sz="0" w:space="0" w:color="E3E3E3"/>
          <w:between w:val="none" w:sz="0" w:space="0" w:color="E3E3E3"/>
        </w:pBdr>
        <w:shd w:val="clear" w:color="auto" w:fill="FFFFFF"/>
        <w:spacing w:before="300"/>
        <w:jc w:val="both"/>
        <w:rPr>
          <w:rFonts w:ascii="Times New Roman" w:eastAsia="Calibri" w:hAnsi="Times New Roman" w:cs="Times New Roman"/>
          <w:color w:val="0D0D0D"/>
          <w:sz w:val="24"/>
          <w:szCs w:val="24"/>
        </w:rPr>
      </w:pPr>
      <w:r w:rsidRPr="00001432">
        <w:rPr>
          <w:rFonts w:ascii="Times New Roman" w:eastAsia="Calibri" w:hAnsi="Times New Roman" w:cs="Times New Roman"/>
          <w:color w:val="0D0D0D"/>
          <w:sz w:val="24"/>
          <w:szCs w:val="24"/>
          <w:u w:val="single"/>
        </w:rPr>
        <w:t>Council of Europe Committee Against Torture (CPT)</w:t>
      </w:r>
    </w:p>
    <w:p w14:paraId="466C8BCA" w14:textId="77777777" w:rsidR="00BD1F30" w:rsidRPr="00001432" w:rsidRDefault="00000000" w:rsidP="00BD1F30">
      <w:pPr>
        <w:pStyle w:val="ListParagraph"/>
        <w:numPr>
          <w:ilvl w:val="2"/>
          <w:numId w:val="1"/>
        </w:numPr>
        <w:pBdr>
          <w:top w:val="none" w:sz="0" w:space="0" w:color="E3E3E3"/>
          <w:left w:val="none" w:sz="0" w:space="0" w:color="E3E3E3"/>
          <w:bottom w:val="none" w:sz="0" w:space="0" w:color="E3E3E3"/>
          <w:right w:val="none" w:sz="0" w:space="0" w:color="E3E3E3"/>
          <w:between w:val="none" w:sz="0" w:space="0" w:color="E3E3E3"/>
        </w:pBdr>
        <w:shd w:val="clear" w:color="auto" w:fill="FFFFFF"/>
        <w:tabs>
          <w:tab w:val="left" w:pos="426"/>
        </w:tabs>
        <w:spacing w:before="300"/>
        <w:ind w:left="284" w:hanging="284"/>
        <w:jc w:val="both"/>
        <w:rPr>
          <w:rFonts w:ascii="Times New Roman" w:eastAsia="Calibri" w:hAnsi="Times New Roman" w:cs="Times New Roman"/>
          <w:color w:val="0D0D0D"/>
          <w:sz w:val="24"/>
          <w:szCs w:val="24"/>
        </w:rPr>
      </w:pPr>
      <w:r w:rsidRPr="00001432">
        <w:rPr>
          <w:rFonts w:ascii="Times New Roman" w:eastAsia="Calibri" w:hAnsi="Times New Roman" w:cs="Times New Roman"/>
          <w:color w:val="0D0D0D"/>
          <w:sz w:val="24"/>
          <w:szCs w:val="24"/>
        </w:rPr>
        <w:t>The reports of the Council of Europe Committee Against Torture (CPT) from 2004 to 2018 highlight the prevalence and normalization of violent treatment within Azerbaijan's law enforcement agencies, serious issues in the investigation of torture and other forms of ill-treatment allegations, and a pattern of impunity for those responsible.</w:t>
      </w:r>
      <w:r w:rsidRPr="00001432">
        <w:rPr>
          <w:rFonts w:ascii="Times New Roman" w:hAnsi="Times New Roman" w:cs="Times New Roman"/>
          <w:sz w:val="24"/>
          <w:szCs w:val="24"/>
          <w:vertAlign w:val="superscript"/>
        </w:rPr>
        <w:footnoteReference w:id="56"/>
      </w:r>
      <w:r w:rsidRPr="00001432">
        <w:rPr>
          <w:rFonts w:ascii="Times New Roman" w:eastAsia="Calibri" w:hAnsi="Times New Roman" w:cs="Times New Roman"/>
          <w:color w:val="0D0D0D"/>
          <w:sz w:val="24"/>
          <w:szCs w:val="24"/>
        </w:rPr>
        <w:t xml:space="preserve"> Furthermore, the findings from the special visit in 2017 indicate a widespread culture of violence among officers from various law enforcement agencies.</w:t>
      </w:r>
      <w:r w:rsidRPr="00001432">
        <w:rPr>
          <w:rFonts w:ascii="Times New Roman" w:hAnsi="Times New Roman" w:cs="Times New Roman"/>
          <w:sz w:val="24"/>
          <w:szCs w:val="24"/>
          <w:vertAlign w:val="superscript"/>
        </w:rPr>
        <w:footnoteReference w:id="57"/>
      </w:r>
      <w:r w:rsidRPr="00001432">
        <w:rPr>
          <w:rFonts w:ascii="Times New Roman" w:eastAsia="Calibri" w:hAnsi="Times New Roman" w:cs="Times New Roman"/>
          <w:color w:val="0D0D0D"/>
          <w:sz w:val="24"/>
          <w:szCs w:val="24"/>
        </w:rPr>
        <w:t xml:space="preserve"> The CPT's long-term observations affirm that this issue remains severe.</w:t>
      </w:r>
    </w:p>
    <w:p w14:paraId="16E12FCC" w14:textId="77777777" w:rsidR="00BD1F30" w:rsidRPr="00001432" w:rsidRDefault="00000000" w:rsidP="00BD1F30">
      <w:pPr>
        <w:pStyle w:val="ListParagraph"/>
        <w:numPr>
          <w:ilvl w:val="2"/>
          <w:numId w:val="1"/>
        </w:numPr>
        <w:pBdr>
          <w:top w:val="none" w:sz="0" w:space="0" w:color="E3E3E3"/>
          <w:left w:val="none" w:sz="0" w:space="0" w:color="E3E3E3"/>
          <w:bottom w:val="none" w:sz="0" w:space="0" w:color="E3E3E3"/>
          <w:right w:val="none" w:sz="0" w:space="0" w:color="E3E3E3"/>
          <w:between w:val="none" w:sz="0" w:space="0" w:color="E3E3E3"/>
        </w:pBdr>
        <w:shd w:val="clear" w:color="auto" w:fill="FFFFFF"/>
        <w:tabs>
          <w:tab w:val="left" w:pos="426"/>
        </w:tabs>
        <w:spacing w:before="300"/>
        <w:ind w:left="284" w:hanging="284"/>
        <w:jc w:val="both"/>
        <w:rPr>
          <w:rFonts w:ascii="Times New Roman" w:eastAsia="Calibri" w:hAnsi="Times New Roman" w:cs="Times New Roman"/>
          <w:color w:val="0D0D0D"/>
          <w:sz w:val="24"/>
          <w:szCs w:val="24"/>
        </w:rPr>
      </w:pPr>
      <w:r w:rsidRPr="00001432">
        <w:rPr>
          <w:rFonts w:ascii="Times New Roman" w:eastAsia="Calibri" w:hAnsi="Times New Roman" w:cs="Times New Roman"/>
          <w:color w:val="0D0D0D"/>
          <w:sz w:val="24"/>
          <w:szCs w:val="24"/>
        </w:rPr>
        <w:lastRenderedPageBreak/>
        <w:t xml:space="preserve">The CPT's most recent report on Azerbaijan details the use of </w:t>
      </w:r>
      <w:proofErr w:type="spellStart"/>
      <w:r w:rsidRPr="00001432">
        <w:rPr>
          <w:rFonts w:ascii="Times New Roman" w:eastAsia="Calibri" w:hAnsi="Times New Roman" w:cs="Times New Roman"/>
          <w:color w:val="0D0D0D"/>
          <w:sz w:val="24"/>
          <w:szCs w:val="24"/>
        </w:rPr>
        <w:t>falaka</w:t>
      </w:r>
      <w:proofErr w:type="spellEnd"/>
      <w:r w:rsidRPr="00001432">
        <w:rPr>
          <w:rFonts w:ascii="Times New Roman" w:eastAsia="Calibri" w:hAnsi="Times New Roman" w:cs="Times New Roman"/>
          <w:color w:val="0D0D0D"/>
          <w:sz w:val="24"/>
          <w:szCs w:val="24"/>
        </w:rPr>
        <w:t xml:space="preserve"> and electric shocks as torture methods by law enforcement, as well as beatings with fists, slaps, kicks, batons, baseball bats, thick books, and plastic bottles filled with water used as instruments of torture.</w:t>
      </w:r>
      <w:r w:rsidRPr="00001432">
        <w:rPr>
          <w:rFonts w:ascii="Times New Roman" w:hAnsi="Times New Roman" w:cs="Times New Roman"/>
          <w:sz w:val="24"/>
          <w:szCs w:val="24"/>
          <w:vertAlign w:val="superscript"/>
        </w:rPr>
        <w:footnoteReference w:id="58"/>
      </w:r>
    </w:p>
    <w:p w14:paraId="64CF6318" w14:textId="77777777" w:rsidR="00BD1F30" w:rsidRPr="00001432" w:rsidRDefault="00000000" w:rsidP="00BD1F30">
      <w:pPr>
        <w:pStyle w:val="ListParagraph"/>
        <w:numPr>
          <w:ilvl w:val="2"/>
          <w:numId w:val="1"/>
        </w:numPr>
        <w:pBdr>
          <w:top w:val="none" w:sz="0" w:space="0" w:color="E3E3E3"/>
          <w:left w:val="none" w:sz="0" w:space="0" w:color="E3E3E3"/>
          <w:bottom w:val="none" w:sz="0" w:space="0" w:color="E3E3E3"/>
          <w:right w:val="none" w:sz="0" w:space="0" w:color="E3E3E3"/>
          <w:between w:val="none" w:sz="0" w:space="0" w:color="E3E3E3"/>
        </w:pBdr>
        <w:shd w:val="clear" w:color="auto" w:fill="FFFFFF"/>
        <w:tabs>
          <w:tab w:val="left" w:pos="426"/>
        </w:tabs>
        <w:spacing w:before="300"/>
        <w:ind w:left="284" w:hanging="284"/>
        <w:jc w:val="both"/>
        <w:rPr>
          <w:rFonts w:ascii="Times New Roman" w:eastAsia="Calibri" w:hAnsi="Times New Roman" w:cs="Times New Roman"/>
          <w:color w:val="0D0D0D"/>
          <w:sz w:val="24"/>
          <w:szCs w:val="24"/>
        </w:rPr>
      </w:pPr>
      <w:r w:rsidRPr="00001432">
        <w:rPr>
          <w:rFonts w:ascii="Times New Roman" w:eastAsia="Calibri" w:hAnsi="Times New Roman" w:cs="Times New Roman"/>
          <w:color w:val="0D0D0D"/>
          <w:sz w:val="24"/>
          <w:szCs w:val="24"/>
        </w:rPr>
        <w:t>In that document, the CPT acknowledged that Azerbaijan's decision to publish the Committee's report is a significant step but insufficient on its own. It emphasized that Azerbaijan's leadership must publicly declare an unequivocal stance of "zero tolerance" towards torture and other forms of ill-treatment and guarantee the swift and effective investigation of all such allegations.</w:t>
      </w:r>
      <w:r w:rsidRPr="00001432">
        <w:rPr>
          <w:rFonts w:ascii="Times New Roman" w:hAnsi="Times New Roman" w:cs="Times New Roman"/>
          <w:sz w:val="24"/>
          <w:szCs w:val="24"/>
          <w:vertAlign w:val="superscript"/>
        </w:rPr>
        <w:footnoteReference w:id="59"/>
      </w:r>
    </w:p>
    <w:p w14:paraId="00FC043D" w14:textId="717F149E" w:rsidR="00BD1F30" w:rsidRPr="00001432" w:rsidRDefault="00BD1F30" w:rsidP="00BD1F30">
      <w:pPr>
        <w:pBdr>
          <w:top w:val="none" w:sz="0" w:space="0" w:color="E3E3E3"/>
          <w:left w:val="none" w:sz="0" w:space="0" w:color="E3E3E3"/>
          <w:bottom w:val="none" w:sz="0" w:space="0" w:color="E3E3E3"/>
          <w:right w:val="none" w:sz="0" w:space="0" w:color="E3E3E3"/>
          <w:between w:val="none" w:sz="0" w:space="0" w:color="E3E3E3"/>
        </w:pBdr>
        <w:shd w:val="clear" w:color="auto" w:fill="FFFFFF"/>
        <w:spacing w:before="300"/>
        <w:jc w:val="both"/>
        <w:rPr>
          <w:rFonts w:ascii="Times New Roman" w:eastAsia="Calibri" w:hAnsi="Times New Roman" w:cs="Times New Roman"/>
          <w:color w:val="0D0D0D"/>
          <w:sz w:val="24"/>
          <w:szCs w:val="24"/>
          <w:u w:val="single"/>
        </w:rPr>
      </w:pPr>
      <w:r w:rsidRPr="00001432">
        <w:rPr>
          <w:rFonts w:ascii="Times New Roman" w:eastAsia="Calibri" w:hAnsi="Times New Roman" w:cs="Times New Roman"/>
          <w:color w:val="0D0D0D"/>
          <w:sz w:val="24"/>
          <w:szCs w:val="24"/>
          <w:u w:val="single"/>
        </w:rPr>
        <w:t>Human Rights Watch</w:t>
      </w:r>
    </w:p>
    <w:p w14:paraId="3ECB0C69" w14:textId="77777777" w:rsidR="00BD1F30" w:rsidRPr="00001432" w:rsidRDefault="00000000" w:rsidP="00BD1F30">
      <w:pPr>
        <w:pStyle w:val="ListParagraph"/>
        <w:numPr>
          <w:ilvl w:val="2"/>
          <w:numId w:val="1"/>
        </w:numPr>
        <w:pBdr>
          <w:top w:val="none" w:sz="0" w:space="0" w:color="E3E3E3"/>
          <w:left w:val="none" w:sz="0" w:space="0" w:color="E3E3E3"/>
          <w:bottom w:val="none" w:sz="0" w:space="0" w:color="E3E3E3"/>
          <w:right w:val="none" w:sz="0" w:space="0" w:color="E3E3E3"/>
          <w:between w:val="none" w:sz="0" w:space="0" w:color="E3E3E3"/>
        </w:pBdr>
        <w:shd w:val="clear" w:color="auto" w:fill="FFFFFF"/>
        <w:tabs>
          <w:tab w:val="left" w:pos="426"/>
        </w:tabs>
        <w:spacing w:before="300"/>
        <w:ind w:left="284" w:hanging="284"/>
        <w:jc w:val="both"/>
        <w:rPr>
          <w:rFonts w:ascii="Times New Roman" w:eastAsia="Calibri" w:hAnsi="Times New Roman" w:cs="Times New Roman"/>
          <w:color w:val="0D0D0D"/>
          <w:sz w:val="24"/>
          <w:szCs w:val="24"/>
        </w:rPr>
      </w:pPr>
      <w:r w:rsidRPr="00001432">
        <w:rPr>
          <w:rFonts w:ascii="Times New Roman" w:eastAsia="Calibri" w:hAnsi="Times New Roman" w:cs="Times New Roman"/>
          <w:color w:val="0D0D0D"/>
          <w:sz w:val="24"/>
          <w:szCs w:val="24"/>
        </w:rPr>
        <w:t>Human Rights Watch reports that authorities routinely dismiss complaints of torture and other ill-treatment in detention, with such practices continuing with impunity.</w:t>
      </w:r>
      <w:r w:rsidRPr="00001432">
        <w:rPr>
          <w:rFonts w:ascii="Times New Roman" w:hAnsi="Times New Roman" w:cs="Times New Roman"/>
          <w:sz w:val="24"/>
          <w:szCs w:val="24"/>
          <w:vertAlign w:val="superscript"/>
        </w:rPr>
        <w:footnoteReference w:id="60"/>
      </w:r>
      <w:r w:rsidRPr="00001432">
        <w:rPr>
          <w:rFonts w:ascii="Times New Roman" w:eastAsia="Calibri" w:hAnsi="Times New Roman" w:cs="Times New Roman"/>
          <w:color w:val="0D0D0D"/>
          <w:sz w:val="24"/>
          <w:szCs w:val="24"/>
        </w:rPr>
        <w:t xml:space="preserve"> The 2021 report highlighted that the use of various torture methods to extract confessions in detention centers is widespread. During this time, the detainee's access to family and independent medical care is denied, and they are not provided with an independent lawyer.</w:t>
      </w:r>
      <w:r w:rsidRPr="00001432">
        <w:rPr>
          <w:rFonts w:ascii="Times New Roman" w:hAnsi="Times New Roman" w:cs="Times New Roman"/>
          <w:sz w:val="24"/>
          <w:szCs w:val="24"/>
          <w:vertAlign w:val="superscript"/>
        </w:rPr>
        <w:footnoteReference w:id="61"/>
      </w:r>
    </w:p>
    <w:p w14:paraId="4DE36267" w14:textId="77777777" w:rsidR="00BD1F30" w:rsidRPr="00001432" w:rsidRDefault="00000000" w:rsidP="00BD1F30">
      <w:pPr>
        <w:pStyle w:val="ListParagraph"/>
        <w:numPr>
          <w:ilvl w:val="2"/>
          <w:numId w:val="1"/>
        </w:numPr>
        <w:pBdr>
          <w:top w:val="none" w:sz="0" w:space="0" w:color="E3E3E3"/>
          <w:left w:val="none" w:sz="0" w:space="0" w:color="E3E3E3"/>
          <w:bottom w:val="none" w:sz="0" w:space="0" w:color="E3E3E3"/>
          <w:right w:val="none" w:sz="0" w:space="0" w:color="E3E3E3"/>
          <w:between w:val="none" w:sz="0" w:space="0" w:color="E3E3E3"/>
        </w:pBdr>
        <w:shd w:val="clear" w:color="auto" w:fill="FFFFFF"/>
        <w:tabs>
          <w:tab w:val="left" w:pos="426"/>
        </w:tabs>
        <w:spacing w:before="300"/>
        <w:ind w:left="284" w:hanging="284"/>
        <w:jc w:val="both"/>
        <w:rPr>
          <w:rFonts w:ascii="Times New Roman" w:eastAsia="Calibri" w:hAnsi="Times New Roman" w:cs="Times New Roman"/>
          <w:color w:val="0D0D0D"/>
          <w:sz w:val="24"/>
          <w:szCs w:val="24"/>
        </w:rPr>
      </w:pPr>
      <w:r w:rsidRPr="00001432">
        <w:rPr>
          <w:rFonts w:ascii="Times New Roman" w:eastAsia="Calibri" w:hAnsi="Times New Roman" w:cs="Times New Roman"/>
          <w:color w:val="0D0D0D"/>
          <w:sz w:val="24"/>
          <w:szCs w:val="24"/>
        </w:rPr>
        <w:t xml:space="preserve">A recent report noted that authorities routinely ignore complaints of torture and other ill-treatment in detention, particularly from government critics. The report includes the investigation into </w:t>
      </w:r>
      <w:proofErr w:type="spellStart"/>
      <w:r w:rsidRPr="00001432">
        <w:rPr>
          <w:rFonts w:ascii="Times New Roman" w:eastAsia="Calibri" w:hAnsi="Times New Roman" w:cs="Times New Roman"/>
          <w:color w:val="0D0D0D"/>
          <w:sz w:val="24"/>
          <w:szCs w:val="24"/>
        </w:rPr>
        <w:t>Tofiq</w:t>
      </w:r>
      <w:proofErr w:type="spellEnd"/>
      <w:r w:rsidRPr="00001432">
        <w:rPr>
          <w:rFonts w:ascii="Times New Roman" w:eastAsia="Calibri" w:hAnsi="Times New Roman" w:cs="Times New Roman"/>
          <w:color w:val="0D0D0D"/>
          <w:sz w:val="24"/>
          <w:szCs w:val="24"/>
        </w:rPr>
        <w:t xml:space="preserve"> </w:t>
      </w:r>
      <w:proofErr w:type="spellStart"/>
      <w:r w:rsidRPr="00001432">
        <w:rPr>
          <w:rFonts w:ascii="Times New Roman" w:eastAsia="Calibri" w:hAnsi="Times New Roman" w:cs="Times New Roman"/>
          <w:color w:val="0D0D0D"/>
          <w:sz w:val="24"/>
          <w:szCs w:val="24"/>
        </w:rPr>
        <w:t>Yagublu's</w:t>
      </w:r>
      <w:proofErr w:type="spellEnd"/>
      <w:r w:rsidRPr="00001432">
        <w:rPr>
          <w:rFonts w:ascii="Times New Roman" w:eastAsia="Calibri" w:hAnsi="Times New Roman" w:cs="Times New Roman"/>
          <w:color w:val="0D0D0D"/>
          <w:sz w:val="24"/>
          <w:szCs w:val="24"/>
        </w:rPr>
        <w:t xml:space="preserve"> severe beating in December 2021 that resulted in multiple injuries while in custody; the findings suggest that he "self-inflicted" his injuries. Other cases include the refusal to transfer him and the April incident when masked individuals kidnapped well-known opposition activist Bakhtiyar Hajiyev. He was taken to an undisclosed location, blindfolded, beaten, and threatened with death if he continued his public criticisms of the interior minister.</w:t>
      </w:r>
      <w:r w:rsidRPr="00001432">
        <w:rPr>
          <w:rFonts w:ascii="Times New Roman" w:hAnsi="Times New Roman" w:cs="Times New Roman"/>
          <w:sz w:val="24"/>
          <w:szCs w:val="24"/>
          <w:vertAlign w:val="superscript"/>
        </w:rPr>
        <w:footnoteReference w:id="62"/>
      </w:r>
    </w:p>
    <w:p w14:paraId="6C24241A" w14:textId="06FAB2CD" w:rsidR="00BD1F30" w:rsidRPr="00001432" w:rsidRDefault="00000000" w:rsidP="00001432">
      <w:pPr>
        <w:pStyle w:val="ListParagraph"/>
        <w:numPr>
          <w:ilvl w:val="2"/>
          <w:numId w:val="1"/>
        </w:numPr>
        <w:pBdr>
          <w:top w:val="none" w:sz="0" w:space="0" w:color="E3E3E3"/>
          <w:left w:val="none" w:sz="0" w:space="0" w:color="E3E3E3"/>
          <w:bottom w:val="none" w:sz="0" w:space="0" w:color="E3E3E3"/>
          <w:right w:val="none" w:sz="0" w:space="0" w:color="E3E3E3"/>
          <w:between w:val="none" w:sz="0" w:space="0" w:color="E3E3E3"/>
        </w:pBdr>
        <w:shd w:val="clear" w:color="auto" w:fill="FFFFFF"/>
        <w:tabs>
          <w:tab w:val="left" w:pos="426"/>
        </w:tabs>
        <w:spacing w:before="300"/>
        <w:ind w:left="284" w:hanging="284"/>
        <w:jc w:val="both"/>
        <w:rPr>
          <w:rFonts w:ascii="Times New Roman" w:eastAsia="Calibri" w:hAnsi="Times New Roman" w:cs="Times New Roman"/>
          <w:color w:val="0D0D0D"/>
          <w:sz w:val="24"/>
          <w:szCs w:val="24"/>
        </w:rPr>
      </w:pPr>
      <w:r w:rsidRPr="00001432">
        <w:rPr>
          <w:rFonts w:ascii="Times New Roman" w:eastAsia="Calibri" w:hAnsi="Times New Roman" w:cs="Times New Roman"/>
          <w:color w:val="0D0D0D"/>
          <w:sz w:val="24"/>
          <w:szCs w:val="24"/>
        </w:rPr>
        <w:t>The report also mentioned that in September, authorities announced the identification of 405 victims in Tartar and two other regions. Several hundred had been subjected to torture. Seventeen high-ranking military officers were prosecuted for violence and torture, with the prosecutor's office indicting an army general and a military lawyer for illegal detention, torture, and inhumane treatment. The report noted positive developments, such as the arrest of these individuals on charges of abuse of power.</w:t>
      </w:r>
      <w:r w:rsidRPr="00001432">
        <w:rPr>
          <w:rFonts w:ascii="Times New Roman" w:hAnsi="Times New Roman" w:cs="Times New Roman"/>
          <w:sz w:val="24"/>
          <w:szCs w:val="24"/>
          <w:vertAlign w:val="superscript"/>
        </w:rPr>
        <w:footnoteReference w:id="63"/>
      </w:r>
    </w:p>
    <w:p w14:paraId="0996B8EB" w14:textId="73579007" w:rsidR="00BD1F30" w:rsidRPr="00001432" w:rsidRDefault="00BD1F30" w:rsidP="00BD1F30">
      <w:pPr>
        <w:pBdr>
          <w:top w:val="none" w:sz="0" w:space="0" w:color="E3E3E3"/>
          <w:left w:val="none" w:sz="0" w:space="0" w:color="E3E3E3"/>
          <w:bottom w:val="none" w:sz="0" w:space="0" w:color="E3E3E3"/>
          <w:right w:val="none" w:sz="0" w:space="0" w:color="E3E3E3"/>
          <w:between w:val="none" w:sz="0" w:space="0" w:color="E3E3E3"/>
        </w:pBdr>
        <w:shd w:val="clear" w:color="auto" w:fill="FFFFFF"/>
        <w:spacing w:before="300"/>
        <w:jc w:val="both"/>
        <w:rPr>
          <w:rFonts w:ascii="Times New Roman" w:eastAsia="Calibri" w:hAnsi="Times New Roman" w:cs="Times New Roman"/>
          <w:color w:val="0D0D0D"/>
          <w:sz w:val="24"/>
          <w:szCs w:val="24"/>
        </w:rPr>
      </w:pPr>
      <w:r w:rsidRPr="00001432">
        <w:rPr>
          <w:rFonts w:ascii="Times New Roman" w:eastAsia="Calibri" w:hAnsi="Times New Roman" w:cs="Times New Roman"/>
          <w:color w:val="0D0D0D"/>
          <w:sz w:val="24"/>
          <w:szCs w:val="24"/>
          <w:u w:val="single"/>
        </w:rPr>
        <w:t>US Department of State</w:t>
      </w:r>
    </w:p>
    <w:p w14:paraId="000F9719" w14:textId="77777777" w:rsidR="00BD1F30" w:rsidRPr="00001432" w:rsidRDefault="00000000" w:rsidP="00BD1F30">
      <w:pPr>
        <w:pStyle w:val="ListParagraph"/>
        <w:numPr>
          <w:ilvl w:val="2"/>
          <w:numId w:val="1"/>
        </w:numPr>
        <w:pBdr>
          <w:top w:val="none" w:sz="0" w:space="0" w:color="E3E3E3"/>
          <w:left w:val="none" w:sz="0" w:space="0" w:color="E3E3E3"/>
          <w:bottom w:val="none" w:sz="0" w:space="0" w:color="E3E3E3"/>
          <w:right w:val="none" w:sz="0" w:space="0" w:color="E3E3E3"/>
          <w:between w:val="none" w:sz="0" w:space="0" w:color="E3E3E3"/>
        </w:pBdr>
        <w:shd w:val="clear" w:color="auto" w:fill="FFFFFF"/>
        <w:tabs>
          <w:tab w:val="left" w:pos="426"/>
        </w:tabs>
        <w:spacing w:before="300"/>
        <w:ind w:left="284" w:hanging="284"/>
        <w:jc w:val="both"/>
        <w:rPr>
          <w:rFonts w:ascii="Times New Roman" w:eastAsia="Calibri" w:hAnsi="Times New Roman" w:cs="Times New Roman"/>
          <w:color w:val="0D0D0D"/>
          <w:sz w:val="24"/>
          <w:szCs w:val="24"/>
        </w:rPr>
      </w:pPr>
      <w:r w:rsidRPr="00001432">
        <w:rPr>
          <w:rFonts w:ascii="Times New Roman" w:eastAsia="Calibri" w:hAnsi="Times New Roman" w:cs="Times New Roman"/>
          <w:color w:val="0D0D0D"/>
          <w:sz w:val="24"/>
          <w:szCs w:val="24"/>
        </w:rPr>
        <w:lastRenderedPageBreak/>
        <w:t xml:space="preserve">In the latest report of the US State Department, it is noted that during the year, the Government did not take any action in response to the reports of the CPT's six visits to the country between 2004 and </w:t>
      </w:r>
      <w:proofErr w:type="gramStart"/>
      <w:r w:rsidRPr="00001432">
        <w:rPr>
          <w:rFonts w:ascii="Times New Roman" w:eastAsia="Calibri" w:hAnsi="Times New Roman" w:cs="Times New Roman"/>
          <w:color w:val="0D0D0D"/>
          <w:sz w:val="24"/>
          <w:szCs w:val="24"/>
        </w:rPr>
        <w:t>2017, and</w:t>
      </w:r>
      <w:proofErr w:type="gramEnd"/>
      <w:r w:rsidRPr="00001432">
        <w:rPr>
          <w:rFonts w:ascii="Times New Roman" w:eastAsia="Calibri" w:hAnsi="Times New Roman" w:cs="Times New Roman"/>
          <w:color w:val="0D0D0D"/>
          <w:sz w:val="24"/>
          <w:szCs w:val="24"/>
        </w:rPr>
        <w:t xml:space="preserve"> did not publish the reports of the CPT's visits to the country in 2020 and 2022.</w:t>
      </w:r>
      <w:r w:rsidRPr="00001432">
        <w:rPr>
          <w:rFonts w:ascii="Times New Roman" w:hAnsi="Times New Roman" w:cs="Times New Roman"/>
          <w:sz w:val="24"/>
          <w:szCs w:val="24"/>
          <w:vertAlign w:val="superscript"/>
        </w:rPr>
        <w:footnoteReference w:id="64"/>
      </w:r>
      <w:r w:rsidRPr="00001432">
        <w:rPr>
          <w:rFonts w:ascii="Times New Roman" w:eastAsia="Calibri" w:hAnsi="Times New Roman" w:cs="Times New Roman"/>
          <w:color w:val="0D0D0D"/>
          <w:sz w:val="24"/>
          <w:szCs w:val="24"/>
        </w:rPr>
        <w:t xml:space="preserve"> The report also includes notes on the "Tartar case". The document states that although the investigation into this case has been resumed, 12 people accused of espionage remain in prison. The document mentions the illegal detention or arrest of </w:t>
      </w:r>
      <w:proofErr w:type="gramStart"/>
      <w:r w:rsidRPr="00001432">
        <w:rPr>
          <w:rFonts w:ascii="Times New Roman" w:eastAsia="Calibri" w:hAnsi="Times New Roman" w:cs="Times New Roman"/>
          <w:color w:val="0D0D0D"/>
          <w:sz w:val="24"/>
          <w:szCs w:val="24"/>
        </w:rPr>
        <w:t>a number of</w:t>
      </w:r>
      <w:proofErr w:type="gramEnd"/>
      <w:r w:rsidRPr="00001432">
        <w:rPr>
          <w:rFonts w:ascii="Times New Roman" w:eastAsia="Calibri" w:hAnsi="Times New Roman" w:cs="Times New Roman"/>
          <w:color w:val="0D0D0D"/>
          <w:sz w:val="24"/>
          <w:szCs w:val="24"/>
        </w:rPr>
        <w:t xml:space="preserve"> other persons - activists, human rights defenders, journalists, and it is said that illegalities during arrest and detention in general continue to be committed in Azerbaijan. In addition, the document mentions that reports about the use of torture by the Main Directorate for Combating Organized Crime of the Ministry of Internal Affairs of Azerbaijan continued to arrive.</w:t>
      </w:r>
    </w:p>
    <w:p w14:paraId="785CDEFE" w14:textId="08D66897" w:rsidR="00BD1F30" w:rsidRPr="00001432" w:rsidRDefault="00000000" w:rsidP="00BD1F30">
      <w:pPr>
        <w:pStyle w:val="ListParagraph"/>
        <w:numPr>
          <w:ilvl w:val="2"/>
          <w:numId w:val="1"/>
        </w:numPr>
        <w:pBdr>
          <w:top w:val="none" w:sz="0" w:space="0" w:color="E3E3E3"/>
          <w:left w:val="none" w:sz="0" w:space="0" w:color="E3E3E3"/>
          <w:bottom w:val="none" w:sz="0" w:space="0" w:color="E3E3E3"/>
          <w:right w:val="none" w:sz="0" w:space="0" w:color="E3E3E3"/>
          <w:between w:val="none" w:sz="0" w:space="0" w:color="E3E3E3"/>
        </w:pBdr>
        <w:shd w:val="clear" w:color="auto" w:fill="FFFFFF"/>
        <w:tabs>
          <w:tab w:val="left" w:pos="426"/>
        </w:tabs>
        <w:spacing w:before="300"/>
        <w:ind w:left="284" w:hanging="284"/>
        <w:jc w:val="both"/>
        <w:rPr>
          <w:rFonts w:ascii="Times New Roman" w:eastAsia="Calibri" w:hAnsi="Times New Roman" w:cs="Times New Roman"/>
          <w:color w:val="0D0D0D"/>
          <w:sz w:val="24"/>
          <w:szCs w:val="24"/>
        </w:rPr>
      </w:pPr>
      <w:r w:rsidRPr="00001432">
        <w:rPr>
          <w:rFonts w:ascii="Times New Roman" w:eastAsia="Calibri" w:hAnsi="Times New Roman" w:cs="Times New Roman"/>
          <w:color w:val="0D0D0D"/>
          <w:sz w:val="24"/>
          <w:szCs w:val="24"/>
        </w:rPr>
        <w:t xml:space="preserve">"According to one of these reports, members of the Muslim Union Movement (MUM) Mail Karimov and Suleyman </w:t>
      </w:r>
      <w:proofErr w:type="spellStart"/>
      <w:r w:rsidRPr="00001432">
        <w:rPr>
          <w:rFonts w:ascii="Times New Roman" w:eastAsia="Calibri" w:hAnsi="Times New Roman" w:cs="Times New Roman"/>
          <w:color w:val="0D0D0D"/>
          <w:sz w:val="24"/>
          <w:szCs w:val="24"/>
        </w:rPr>
        <w:t>Alakbarov</w:t>
      </w:r>
      <w:proofErr w:type="spellEnd"/>
      <w:r w:rsidRPr="00001432">
        <w:rPr>
          <w:rFonts w:ascii="Times New Roman" w:eastAsia="Calibri" w:hAnsi="Times New Roman" w:cs="Times New Roman"/>
          <w:color w:val="0D0D0D"/>
          <w:sz w:val="24"/>
          <w:szCs w:val="24"/>
        </w:rPr>
        <w:t xml:space="preserve"> were tortured for coming to a court hearing on May 20 of last year. They claimed that they were taken to an unknown place, beaten, and threatened with rape. After that, </w:t>
      </w:r>
      <w:proofErr w:type="spellStart"/>
      <w:r w:rsidRPr="00001432">
        <w:rPr>
          <w:rFonts w:ascii="Times New Roman" w:eastAsia="Calibri" w:hAnsi="Times New Roman" w:cs="Times New Roman"/>
          <w:color w:val="0D0D0D"/>
          <w:sz w:val="24"/>
          <w:szCs w:val="24"/>
        </w:rPr>
        <w:t>their</w:t>
      </w:r>
      <w:proofErr w:type="spellEnd"/>
      <w:r w:rsidRPr="00001432">
        <w:rPr>
          <w:rFonts w:ascii="Times New Roman" w:eastAsia="Calibri" w:hAnsi="Times New Roman" w:cs="Times New Roman"/>
          <w:color w:val="0D0D0D"/>
          <w:sz w:val="24"/>
          <w:szCs w:val="24"/>
        </w:rPr>
        <w:t xml:space="preserve"> was captured on video saying that they would not come to court again," the department's report said. In addition, it is reported that another member of the MUM - </w:t>
      </w:r>
      <w:proofErr w:type="spellStart"/>
      <w:r w:rsidRPr="00001432">
        <w:rPr>
          <w:rFonts w:ascii="Times New Roman" w:eastAsia="Calibri" w:hAnsi="Times New Roman" w:cs="Times New Roman"/>
          <w:color w:val="0D0D0D"/>
          <w:sz w:val="24"/>
          <w:szCs w:val="24"/>
        </w:rPr>
        <w:t>Elgiz</w:t>
      </w:r>
      <w:proofErr w:type="spellEnd"/>
      <w:r w:rsidRPr="00001432">
        <w:rPr>
          <w:rFonts w:ascii="Times New Roman" w:eastAsia="Calibri" w:hAnsi="Times New Roman" w:cs="Times New Roman"/>
          <w:color w:val="0D0D0D"/>
          <w:sz w:val="24"/>
          <w:szCs w:val="24"/>
        </w:rPr>
        <w:t xml:space="preserve"> Mammadov was arrested right in the courtyard of the court. He claimed that he was tortured and raped by the police during the month of his imprisonment.</w:t>
      </w:r>
      <w:r w:rsidRPr="00001432">
        <w:rPr>
          <w:rFonts w:ascii="Times New Roman" w:hAnsi="Times New Roman" w:cs="Times New Roman"/>
          <w:sz w:val="24"/>
          <w:szCs w:val="24"/>
          <w:vertAlign w:val="superscript"/>
        </w:rPr>
        <w:footnoteReference w:id="65"/>
      </w:r>
      <w:r w:rsidRPr="00001432">
        <w:rPr>
          <w:rFonts w:ascii="Times New Roman" w:eastAsia="Calibri" w:hAnsi="Times New Roman" w:cs="Times New Roman"/>
          <w:color w:val="0D0D0D"/>
          <w:sz w:val="24"/>
          <w:szCs w:val="24"/>
        </w:rPr>
        <w:t xml:space="preserve"> Later, opposition activist Tofig </w:t>
      </w:r>
      <w:proofErr w:type="spellStart"/>
      <w:r w:rsidRPr="00001432">
        <w:rPr>
          <w:rFonts w:ascii="Times New Roman" w:eastAsia="Calibri" w:hAnsi="Times New Roman" w:cs="Times New Roman"/>
          <w:color w:val="0D0D0D"/>
          <w:sz w:val="24"/>
          <w:szCs w:val="24"/>
        </w:rPr>
        <w:t>Yagublu</w:t>
      </w:r>
      <w:proofErr w:type="spellEnd"/>
      <w:r w:rsidRPr="00001432">
        <w:rPr>
          <w:rFonts w:ascii="Times New Roman" w:eastAsia="Calibri" w:hAnsi="Times New Roman" w:cs="Times New Roman"/>
          <w:color w:val="0D0D0D"/>
          <w:sz w:val="24"/>
          <w:szCs w:val="24"/>
        </w:rPr>
        <w:t xml:space="preserve"> shared photos of his injuries </w:t>
      </w:r>
      <w:proofErr w:type="gramStart"/>
      <w:r w:rsidRPr="00001432">
        <w:rPr>
          <w:rFonts w:ascii="Times New Roman" w:eastAsia="Calibri" w:hAnsi="Times New Roman" w:cs="Times New Roman"/>
          <w:color w:val="0D0D0D"/>
          <w:sz w:val="24"/>
          <w:szCs w:val="24"/>
        </w:rPr>
        <w:t>as a result of</w:t>
      </w:r>
      <w:proofErr w:type="gramEnd"/>
      <w:r w:rsidRPr="00001432">
        <w:rPr>
          <w:rFonts w:ascii="Times New Roman" w:eastAsia="Calibri" w:hAnsi="Times New Roman" w:cs="Times New Roman"/>
          <w:color w:val="0D0D0D"/>
          <w:sz w:val="24"/>
          <w:szCs w:val="24"/>
        </w:rPr>
        <w:t xml:space="preserve"> being beaten in prison, but his request for an investigation into the criminal case was rejected, political blogger Rashad </w:t>
      </w:r>
      <w:proofErr w:type="spellStart"/>
      <w:r w:rsidRPr="00001432">
        <w:rPr>
          <w:rFonts w:ascii="Times New Roman" w:eastAsia="Calibri" w:hAnsi="Times New Roman" w:cs="Times New Roman"/>
          <w:color w:val="0D0D0D"/>
          <w:sz w:val="24"/>
          <w:szCs w:val="24"/>
        </w:rPr>
        <w:t>Ramazanov</w:t>
      </w:r>
      <w:proofErr w:type="spellEnd"/>
      <w:r w:rsidRPr="00001432">
        <w:rPr>
          <w:rFonts w:ascii="Times New Roman" w:eastAsia="Calibri" w:hAnsi="Times New Roman" w:cs="Times New Roman"/>
          <w:color w:val="0D0D0D"/>
          <w:sz w:val="24"/>
          <w:szCs w:val="24"/>
        </w:rPr>
        <w:t xml:space="preserve"> was physically abused by Baku police and false drug charges were brought against him. In </w:t>
      </w:r>
      <w:proofErr w:type="spellStart"/>
      <w:r w:rsidRPr="00001432">
        <w:rPr>
          <w:rFonts w:ascii="Times New Roman" w:eastAsia="Calibri" w:hAnsi="Times New Roman" w:cs="Times New Roman"/>
          <w:color w:val="0D0D0D"/>
          <w:sz w:val="24"/>
          <w:szCs w:val="24"/>
        </w:rPr>
        <w:t>Nakhchivan</w:t>
      </w:r>
      <w:proofErr w:type="spellEnd"/>
      <w:r w:rsidRPr="00001432">
        <w:rPr>
          <w:rFonts w:ascii="Times New Roman" w:eastAsia="Calibri" w:hAnsi="Times New Roman" w:cs="Times New Roman"/>
          <w:color w:val="0D0D0D"/>
          <w:sz w:val="24"/>
          <w:szCs w:val="24"/>
        </w:rPr>
        <w:t xml:space="preserve"> Autonomous Province over 20 young individuals were arrested and subjected to physical abuse until they confessed to drug-related charges. Subsequently, officers from the </w:t>
      </w:r>
      <w:proofErr w:type="spellStart"/>
      <w:r w:rsidRPr="00001432">
        <w:rPr>
          <w:rFonts w:ascii="Times New Roman" w:eastAsia="Calibri" w:hAnsi="Times New Roman" w:cs="Times New Roman"/>
          <w:color w:val="0D0D0D"/>
          <w:sz w:val="24"/>
          <w:szCs w:val="24"/>
        </w:rPr>
        <w:t>Nakhchivan</w:t>
      </w:r>
      <w:proofErr w:type="spellEnd"/>
      <w:r w:rsidRPr="00001432">
        <w:rPr>
          <w:rFonts w:ascii="Times New Roman" w:eastAsia="Calibri" w:hAnsi="Times New Roman" w:cs="Times New Roman"/>
          <w:color w:val="0D0D0D"/>
          <w:sz w:val="24"/>
          <w:szCs w:val="24"/>
        </w:rPr>
        <w:t xml:space="preserve"> City Police Department demanded a bribe of approximately 3,400 AZN (2,000 USD) from these individuals to halt the investigation and prosecution.</w:t>
      </w:r>
      <w:r w:rsidRPr="00001432">
        <w:rPr>
          <w:rFonts w:ascii="Times New Roman" w:hAnsi="Times New Roman" w:cs="Times New Roman"/>
          <w:sz w:val="24"/>
          <w:szCs w:val="24"/>
          <w:vertAlign w:val="superscript"/>
        </w:rPr>
        <w:footnoteReference w:id="66"/>
      </w:r>
    </w:p>
    <w:p w14:paraId="454667C6" w14:textId="0B478013" w:rsidR="00BD1F30" w:rsidRPr="00001432" w:rsidRDefault="00BD1F30" w:rsidP="00BD1F30">
      <w:pPr>
        <w:pBdr>
          <w:top w:val="none" w:sz="0" w:space="0" w:color="E3E3E3"/>
          <w:left w:val="none" w:sz="0" w:space="0" w:color="E3E3E3"/>
          <w:bottom w:val="none" w:sz="0" w:space="0" w:color="E3E3E3"/>
          <w:right w:val="none" w:sz="0" w:space="0" w:color="E3E3E3"/>
          <w:between w:val="none" w:sz="0" w:space="0" w:color="E3E3E3"/>
        </w:pBdr>
        <w:shd w:val="clear" w:color="auto" w:fill="FFFFFF"/>
        <w:spacing w:before="300"/>
        <w:jc w:val="both"/>
        <w:rPr>
          <w:rFonts w:ascii="Times New Roman" w:eastAsia="Calibri" w:hAnsi="Times New Roman" w:cs="Times New Roman"/>
          <w:color w:val="0D0D0D"/>
          <w:sz w:val="24"/>
          <w:szCs w:val="24"/>
          <w:u w:val="single"/>
        </w:rPr>
      </w:pPr>
      <w:r w:rsidRPr="00001432">
        <w:rPr>
          <w:rFonts w:ascii="Times New Roman" w:eastAsia="Calibri" w:hAnsi="Times New Roman" w:cs="Times New Roman"/>
          <w:color w:val="0D0D0D"/>
          <w:sz w:val="24"/>
          <w:szCs w:val="24"/>
          <w:u w:val="single"/>
        </w:rPr>
        <w:t>Freedom House</w:t>
      </w:r>
    </w:p>
    <w:p w14:paraId="699C3871" w14:textId="516A8B05" w:rsidR="00A06E6E" w:rsidRPr="00001432" w:rsidRDefault="00000000" w:rsidP="00001432">
      <w:pPr>
        <w:pStyle w:val="ListParagraph"/>
        <w:numPr>
          <w:ilvl w:val="2"/>
          <w:numId w:val="1"/>
        </w:numPr>
        <w:pBdr>
          <w:top w:val="none" w:sz="0" w:space="0" w:color="E3E3E3"/>
          <w:left w:val="none" w:sz="0" w:space="0" w:color="E3E3E3"/>
          <w:bottom w:val="none" w:sz="0" w:space="0" w:color="E3E3E3"/>
          <w:right w:val="none" w:sz="0" w:space="0" w:color="E3E3E3"/>
          <w:between w:val="none" w:sz="0" w:space="0" w:color="E3E3E3"/>
        </w:pBdr>
        <w:shd w:val="clear" w:color="auto" w:fill="FFFFFF"/>
        <w:tabs>
          <w:tab w:val="left" w:pos="426"/>
        </w:tabs>
        <w:spacing w:before="300"/>
        <w:ind w:left="284" w:hanging="284"/>
        <w:jc w:val="both"/>
        <w:rPr>
          <w:rFonts w:ascii="Times New Roman" w:eastAsia="Calibri" w:hAnsi="Times New Roman" w:cs="Times New Roman"/>
          <w:color w:val="0D0D0D"/>
          <w:sz w:val="24"/>
          <w:szCs w:val="24"/>
        </w:rPr>
      </w:pPr>
      <w:r w:rsidRPr="00001432">
        <w:rPr>
          <w:rFonts w:ascii="Times New Roman" w:eastAsia="Calibri" w:hAnsi="Times New Roman" w:cs="Times New Roman"/>
          <w:color w:val="0D0D0D"/>
          <w:sz w:val="24"/>
          <w:szCs w:val="24"/>
        </w:rPr>
        <w:t>Freedom House also confirmed that the impunity of torturers is endemic in Azerbaijan's justice system</w:t>
      </w:r>
      <w:r w:rsidRPr="00001432">
        <w:rPr>
          <w:rFonts w:ascii="Times New Roman" w:hAnsi="Times New Roman" w:cs="Times New Roman"/>
          <w:sz w:val="24"/>
          <w:szCs w:val="24"/>
          <w:vertAlign w:val="superscript"/>
        </w:rPr>
        <w:footnoteReference w:id="67"/>
      </w:r>
      <w:r w:rsidRPr="00001432">
        <w:rPr>
          <w:rFonts w:ascii="Times New Roman" w:eastAsia="Calibri" w:hAnsi="Times New Roman" w:cs="Times New Roman"/>
          <w:color w:val="0D0D0D"/>
          <w:sz w:val="24"/>
          <w:szCs w:val="24"/>
        </w:rPr>
        <w:t>, noting that the police regularly beat people during arrests, prison conditions are substandard and overcrowded, and the general inadequacy of medical care is commonplace.</w:t>
      </w:r>
      <w:r w:rsidRPr="00001432">
        <w:rPr>
          <w:rFonts w:ascii="Times New Roman" w:hAnsi="Times New Roman" w:cs="Times New Roman"/>
          <w:sz w:val="24"/>
          <w:szCs w:val="24"/>
          <w:vertAlign w:val="superscript"/>
        </w:rPr>
        <w:footnoteReference w:id="68"/>
      </w:r>
    </w:p>
    <w:p w14:paraId="474C5649" w14:textId="77777777" w:rsidR="00001432" w:rsidRDefault="00001432">
      <w:pPr>
        <w:rPr>
          <w:rFonts w:ascii="Times New Roman" w:eastAsia="Calibri" w:hAnsi="Times New Roman" w:cs="Times New Roman"/>
          <w:b/>
          <w:sz w:val="24"/>
          <w:szCs w:val="24"/>
        </w:rPr>
      </w:pPr>
    </w:p>
    <w:p w14:paraId="292E3B91" w14:textId="10B9E9D5" w:rsidR="00A06E6E" w:rsidRPr="00001432" w:rsidRDefault="00000000">
      <w:pPr>
        <w:rPr>
          <w:rFonts w:ascii="Times New Roman" w:eastAsia="Calibri" w:hAnsi="Times New Roman" w:cs="Times New Roman"/>
          <w:b/>
          <w:sz w:val="24"/>
          <w:szCs w:val="24"/>
        </w:rPr>
      </w:pPr>
      <w:r w:rsidRPr="00001432">
        <w:rPr>
          <w:rFonts w:ascii="Times New Roman" w:eastAsia="Calibri" w:hAnsi="Times New Roman" w:cs="Times New Roman"/>
          <w:b/>
          <w:sz w:val="24"/>
          <w:szCs w:val="24"/>
        </w:rPr>
        <w:t>II. European Court of Justice Decisions on Ill-treatment in Closed Institutions</w:t>
      </w:r>
    </w:p>
    <w:p w14:paraId="6DAFEE75" w14:textId="77777777" w:rsidR="00A06E6E" w:rsidRPr="00001432" w:rsidRDefault="00A06E6E">
      <w:pPr>
        <w:rPr>
          <w:rFonts w:ascii="Times New Roman" w:eastAsia="Calibri" w:hAnsi="Times New Roman" w:cs="Times New Roman"/>
          <w:sz w:val="24"/>
          <w:szCs w:val="24"/>
        </w:rPr>
      </w:pPr>
    </w:p>
    <w:p w14:paraId="115BF4F8" w14:textId="77777777" w:rsidR="00A06E6E" w:rsidRPr="00001432" w:rsidRDefault="00000000">
      <w:pPr>
        <w:rPr>
          <w:rFonts w:ascii="Times New Roman" w:eastAsia="Calibri" w:hAnsi="Times New Roman" w:cs="Times New Roman"/>
          <w:b/>
          <w:i/>
          <w:sz w:val="24"/>
          <w:szCs w:val="24"/>
        </w:rPr>
      </w:pPr>
      <w:r w:rsidRPr="00001432">
        <w:rPr>
          <w:rFonts w:ascii="Times New Roman" w:eastAsia="Calibri" w:hAnsi="Times New Roman" w:cs="Times New Roman"/>
          <w:b/>
          <w:i/>
          <w:sz w:val="24"/>
          <w:szCs w:val="24"/>
        </w:rPr>
        <w:t>1. Cases on Allegations of Physical and Moral Violence</w:t>
      </w:r>
    </w:p>
    <w:p w14:paraId="0FD18851" w14:textId="77777777" w:rsidR="00A06E6E" w:rsidRPr="00001432" w:rsidRDefault="00A06E6E">
      <w:pPr>
        <w:rPr>
          <w:rFonts w:ascii="Times New Roman" w:eastAsia="Calibri" w:hAnsi="Times New Roman" w:cs="Times New Roman"/>
          <w:sz w:val="24"/>
          <w:szCs w:val="24"/>
        </w:rPr>
      </w:pPr>
    </w:p>
    <w:p w14:paraId="2C59A87A" w14:textId="77777777" w:rsidR="00BD1F30" w:rsidRPr="00001432" w:rsidRDefault="00000000" w:rsidP="00BD1F30">
      <w:pPr>
        <w:pStyle w:val="ListParagraph"/>
        <w:numPr>
          <w:ilvl w:val="2"/>
          <w:numId w:val="1"/>
        </w:numPr>
        <w:tabs>
          <w:tab w:val="left" w:pos="426"/>
        </w:tabs>
        <w:ind w:left="284" w:hanging="284"/>
        <w:jc w:val="both"/>
        <w:rPr>
          <w:rFonts w:ascii="Times New Roman" w:eastAsia="Calibri" w:hAnsi="Times New Roman" w:cs="Times New Roman"/>
          <w:sz w:val="24"/>
          <w:szCs w:val="24"/>
        </w:rPr>
      </w:pPr>
      <w:r w:rsidRPr="00001432">
        <w:rPr>
          <w:rFonts w:ascii="Times New Roman" w:eastAsia="Calibri" w:hAnsi="Times New Roman" w:cs="Times New Roman"/>
          <w:sz w:val="24"/>
          <w:szCs w:val="24"/>
        </w:rPr>
        <w:t>The European Court has addressed claims of ill-treatment, including physical and moral violence, in several cases, notably in Mammadov (</w:t>
      </w:r>
      <w:proofErr w:type="spellStart"/>
      <w:r w:rsidRPr="00001432">
        <w:rPr>
          <w:rFonts w:ascii="Times New Roman" w:eastAsia="Calibri" w:hAnsi="Times New Roman" w:cs="Times New Roman"/>
          <w:sz w:val="24"/>
          <w:szCs w:val="24"/>
        </w:rPr>
        <w:t>Jalaloglu</w:t>
      </w:r>
      <w:proofErr w:type="spellEnd"/>
      <w:r w:rsidRPr="00001432">
        <w:rPr>
          <w:rFonts w:ascii="Times New Roman" w:eastAsia="Calibri" w:hAnsi="Times New Roman" w:cs="Times New Roman"/>
          <w:sz w:val="24"/>
          <w:szCs w:val="24"/>
        </w:rPr>
        <w:t xml:space="preserve">), Ibrahimov and Mammadov, and </w:t>
      </w:r>
      <w:proofErr w:type="spellStart"/>
      <w:r w:rsidRPr="00001432">
        <w:rPr>
          <w:rFonts w:ascii="Times New Roman" w:eastAsia="Calibri" w:hAnsi="Times New Roman" w:cs="Times New Roman"/>
          <w:sz w:val="24"/>
          <w:szCs w:val="24"/>
        </w:rPr>
        <w:t>Layijov</w:t>
      </w:r>
      <w:proofErr w:type="spellEnd"/>
      <w:r w:rsidRPr="00001432">
        <w:rPr>
          <w:rFonts w:ascii="Times New Roman" w:eastAsia="Calibri" w:hAnsi="Times New Roman" w:cs="Times New Roman"/>
          <w:sz w:val="24"/>
          <w:szCs w:val="24"/>
        </w:rPr>
        <w:t>, among others.</w:t>
      </w:r>
    </w:p>
    <w:p w14:paraId="7D19B81F" w14:textId="77777777" w:rsidR="00BD1F30" w:rsidRPr="00001432" w:rsidRDefault="00000000" w:rsidP="00BD1F30">
      <w:pPr>
        <w:pStyle w:val="ListParagraph"/>
        <w:numPr>
          <w:ilvl w:val="2"/>
          <w:numId w:val="1"/>
        </w:numPr>
        <w:tabs>
          <w:tab w:val="left" w:pos="426"/>
        </w:tabs>
        <w:ind w:left="284" w:hanging="284"/>
        <w:jc w:val="both"/>
        <w:rPr>
          <w:rFonts w:ascii="Times New Roman" w:eastAsia="Calibri" w:hAnsi="Times New Roman" w:cs="Times New Roman"/>
          <w:sz w:val="24"/>
          <w:szCs w:val="24"/>
        </w:rPr>
      </w:pPr>
      <w:r w:rsidRPr="00001432">
        <w:rPr>
          <w:rFonts w:ascii="Times New Roman" w:eastAsia="Calibri" w:hAnsi="Times New Roman" w:cs="Times New Roman"/>
          <w:sz w:val="24"/>
          <w:szCs w:val="24"/>
        </w:rPr>
        <w:t xml:space="preserve">In case of </w:t>
      </w:r>
      <w:r w:rsidRPr="00001432">
        <w:rPr>
          <w:rFonts w:ascii="Times New Roman" w:eastAsia="Calibri" w:hAnsi="Times New Roman" w:cs="Times New Roman"/>
          <w:i/>
          <w:sz w:val="24"/>
          <w:szCs w:val="24"/>
        </w:rPr>
        <w:t>Mammadov (</w:t>
      </w:r>
      <w:proofErr w:type="spellStart"/>
      <w:r w:rsidRPr="00001432">
        <w:rPr>
          <w:rFonts w:ascii="Times New Roman" w:eastAsia="Calibri" w:hAnsi="Times New Roman" w:cs="Times New Roman"/>
          <w:i/>
          <w:sz w:val="24"/>
          <w:szCs w:val="24"/>
        </w:rPr>
        <w:t>Jalaloglu</w:t>
      </w:r>
      <w:proofErr w:type="spellEnd"/>
      <w:r w:rsidRPr="00001432">
        <w:rPr>
          <w:rFonts w:ascii="Times New Roman" w:eastAsia="Calibri" w:hAnsi="Times New Roman" w:cs="Times New Roman"/>
          <w:i/>
          <w:sz w:val="24"/>
          <w:szCs w:val="24"/>
        </w:rPr>
        <w:t>) v. Azerbaijan</w:t>
      </w:r>
      <w:r w:rsidRPr="00001432">
        <w:rPr>
          <w:rFonts w:ascii="Times New Roman" w:eastAsia="Calibri" w:hAnsi="Times New Roman" w:cs="Times New Roman"/>
          <w:sz w:val="24"/>
          <w:szCs w:val="24"/>
        </w:rPr>
        <w:t>,</w:t>
      </w:r>
      <w:r w:rsidRPr="00001432">
        <w:rPr>
          <w:rFonts w:ascii="Times New Roman" w:hAnsi="Times New Roman" w:cs="Times New Roman"/>
          <w:sz w:val="24"/>
          <w:szCs w:val="24"/>
          <w:vertAlign w:val="superscript"/>
        </w:rPr>
        <w:footnoteReference w:id="69"/>
      </w:r>
      <w:r w:rsidRPr="00001432">
        <w:rPr>
          <w:rFonts w:ascii="Times New Roman" w:eastAsia="Calibri" w:hAnsi="Times New Roman" w:cs="Times New Roman"/>
          <w:sz w:val="24"/>
          <w:szCs w:val="24"/>
        </w:rPr>
        <w:t xml:space="preserve"> the applicant reported being subjected to torture-level ill-treatment while detained at the Department of Combating Organized Crime (ODC). Shortly after his arrival at MCQMI, a police officer assaulted him with a baton across various body parts. The following day, during an interrogation by the deputy chief of MCQMI, two masked officers beat him on the heels with batons for about four hours to extract information. This assault, coupled with threats of rape, caused the applicant severe physical pain, rendering him temporarily unable to walk unassisted.</w:t>
      </w:r>
      <w:r w:rsidRPr="00001432">
        <w:rPr>
          <w:rFonts w:ascii="Times New Roman" w:hAnsi="Times New Roman" w:cs="Times New Roman"/>
          <w:sz w:val="24"/>
          <w:szCs w:val="24"/>
          <w:vertAlign w:val="superscript"/>
        </w:rPr>
        <w:footnoteReference w:id="70"/>
      </w:r>
      <w:r w:rsidRPr="00001432">
        <w:rPr>
          <w:rFonts w:ascii="Times New Roman" w:eastAsia="Calibri" w:hAnsi="Times New Roman" w:cs="Times New Roman"/>
          <w:sz w:val="24"/>
          <w:szCs w:val="24"/>
        </w:rPr>
        <w:t xml:space="preserve"> He also reported continuous threats of rape while held in an airless cell for three days without legal representation, during which he heard other detainees being similarly mistreated. The psychological torment from these threats, combined with the physical abuse, inflicted significant mental suffering.</w:t>
      </w:r>
      <w:r w:rsidRPr="00001432">
        <w:rPr>
          <w:rFonts w:ascii="Times New Roman" w:hAnsi="Times New Roman" w:cs="Times New Roman"/>
          <w:sz w:val="24"/>
          <w:szCs w:val="24"/>
          <w:vertAlign w:val="superscript"/>
        </w:rPr>
        <w:footnoteReference w:id="71"/>
      </w:r>
    </w:p>
    <w:p w14:paraId="267D6D94" w14:textId="77777777" w:rsidR="00BD1F30" w:rsidRPr="00001432" w:rsidRDefault="00000000" w:rsidP="00BD1F30">
      <w:pPr>
        <w:pStyle w:val="ListParagraph"/>
        <w:numPr>
          <w:ilvl w:val="2"/>
          <w:numId w:val="1"/>
        </w:numPr>
        <w:tabs>
          <w:tab w:val="left" w:pos="426"/>
        </w:tabs>
        <w:ind w:left="284" w:hanging="284"/>
        <w:jc w:val="both"/>
        <w:rPr>
          <w:rFonts w:ascii="Times New Roman" w:eastAsia="Calibri" w:hAnsi="Times New Roman" w:cs="Times New Roman"/>
          <w:sz w:val="24"/>
          <w:szCs w:val="24"/>
        </w:rPr>
      </w:pPr>
      <w:r w:rsidRPr="00001432">
        <w:rPr>
          <w:rFonts w:ascii="Times New Roman" w:eastAsia="Calibri" w:hAnsi="Times New Roman" w:cs="Times New Roman"/>
          <w:sz w:val="24"/>
          <w:szCs w:val="24"/>
        </w:rPr>
        <w:t>The European Court of Human Rights (ECtHR) concluded this treatment was sufficiently severe and cruel to be categorized as torture, thereby recognizing a violation of Article 3 of the European Convention on Human Rights. The Court noted that the nature of the ill-treatment (beating under the feet) indicated premeditation and an intent to coerce a confession or extract information.</w:t>
      </w:r>
      <w:r w:rsidRPr="00001432">
        <w:rPr>
          <w:rFonts w:ascii="Times New Roman" w:hAnsi="Times New Roman" w:cs="Times New Roman"/>
          <w:sz w:val="24"/>
          <w:szCs w:val="24"/>
          <w:vertAlign w:val="superscript"/>
        </w:rPr>
        <w:footnoteReference w:id="72"/>
      </w:r>
    </w:p>
    <w:p w14:paraId="6EEC68A6" w14:textId="77777777" w:rsidR="00BD1F30" w:rsidRPr="00001432" w:rsidRDefault="00000000" w:rsidP="00BD1F30">
      <w:pPr>
        <w:pStyle w:val="ListParagraph"/>
        <w:numPr>
          <w:ilvl w:val="2"/>
          <w:numId w:val="1"/>
        </w:numPr>
        <w:tabs>
          <w:tab w:val="left" w:pos="426"/>
        </w:tabs>
        <w:ind w:left="284" w:hanging="284"/>
        <w:jc w:val="both"/>
        <w:rPr>
          <w:rFonts w:ascii="Times New Roman" w:eastAsia="Calibri" w:hAnsi="Times New Roman" w:cs="Times New Roman"/>
          <w:sz w:val="24"/>
          <w:szCs w:val="24"/>
        </w:rPr>
      </w:pPr>
      <w:r w:rsidRPr="00001432">
        <w:rPr>
          <w:rFonts w:ascii="Times New Roman" w:eastAsia="Calibri" w:hAnsi="Times New Roman" w:cs="Times New Roman"/>
          <w:sz w:val="24"/>
          <w:szCs w:val="24"/>
        </w:rPr>
        <w:t xml:space="preserve">In </w:t>
      </w:r>
      <w:r w:rsidRPr="00001432">
        <w:rPr>
          <w:rFonts w:ascii="Times New Roman" w:eastAsia="Calibri" w:hAnsi="Times New Roman" w:cs="Times New Roman"/>
          <w:i/>
          <w:sz w:val="24"/>
          <w:szCs w:val="24"/>
        </w:rPr>
        <w:t>Ibrahimov and Mammadov v. Azerbaijan</w:t>
      </w:r>
      <w:r w:rsidRPr="00001432">
        <w:rPr>
          <w:rFonts w:ascii="Times New Roman" w:hAnsi="Times New Roman" w:cs="Times New Roman"/>
          <w:i/>
          <w:sz w:val="24"/>
          <w:szCs w:val="24"/>
          <w:vertAlign w:val="superscript"/>
        </w:rPr>
        <w:footnoteReference w:id="73"/>
      </w:r>
      <w:r w:rsidRPr="00001432">
        <w:rPr>
          <w:rFonts w:ascii="Times New Roman" w:eastAsia="Calibri" w:hAnsi="Times New Roman" w:cs="Times New Roman"/>
          <w:sz w:val="24"/>
          <w:szCs w:val="24"/>
        </w:rPr>
        <w:t>, the applicants alleged mistreatment and torture by police as punishment for graffiti on a statue of H. Aliyev and to force confessions on fabricated charges. They described being beaten, threatened with humiliation, and coerced into admitting to false drug charges.</w:t>
      </w:r>
      <w:r w:rsidRPr="00001432">
        <w:rPr>
          <w:rFonts w:ascii="Times New Roman" w:hAnsi="Times New Roman" w:cs="Times New Roman"/>
          <w:sz w:val="24"/>
          <w:szCs w:val="24"/>
          <w:vertAlign w:val="superscript"/>
        </w:rPr>
        <w:footnoteReference w:id="74"/>
      </w:r>
    </w:p>
    <w:p w14:paraId="17103892" w14:textId="77777777" w:rsidR="00BD1F30" w:rsidRPr="00001432" w:rsidRDefault="00000000" w:rsidP="00BD1F30">
      <w:pPr>
        <w:pStyle w:val="ListParagraph"/>
        <w:numPr>
          <w:ilvl w:val="2"/>
          <w:numId w:val="1"/>
        </w:numPr>
        <w:tabs>
          <w:tab w:val="left" w:pos="426"/>
        </w:tabs>
        <w:ind w:left="284" w:hanging="284"/>
        <w:jc w:val="both"/>
        <w:rPr>
          <w:rFonts w:ascii="Times New Roman" w:eastAsia="Calibri" w:hAnsi="Times New Roman" w:cs="Times New Roman"/>
          <w:sz w:val="24"/>
          <w:szCs w:val="24"/>
        </w:rPr>
      </w:pPr>
      <w:r w:rsidRPr="00001432">
        <w:rPr>
          <w:rFonts w:ascii="Times New Roman" w:eastAsia="Calibri" w:hAnsi="Times New Roman" w:cs="Times New Roman"/>
          <w:sz w:val="24"/>
          <w:szCs w:val="24"/>
        </w:rPr>
        <w:t>The ECtHR found the applicants had endured inhuman and degrading treatment, violating Article 3.</w:t>
      </w:r>
      <w:r w:rsidRPr="00001432">
        <w:rPr>
          <w:rFonts w:ascii="Times New Roman" w:hAnsi="Times New Roman" w:cs="Times New Roman"/>
          <w:sz w:val="24"/>
          <w:szCs w:val="24"/>
          <w:vertAlign w:val="superscript"/>
        </w:rPr>
        <w:footnoteReference w:id="75"/>
      </w:r>
      <w:r w:rsidRPr="00001432">
        <w:rPr>
          <w:rFonts w:ascii="Times New Roman" w:eastAsia="Calibri" w:hAnsi="Times New Roman" w:cs="Times New Roman"/>
          <w:sz w:val="24"/>
          <w:szCs w:val="24"/>
        </w:rPr>
        <w:t xml:space="preserve"> The Court emphasized the detailed, consistent accounts of ill-treatment aligned with the patterns of abuse identified by the Committee for the Prevention of Torture (CPT) during its visits to Azerbaijan. This included practices such as </w:t>
      </w:r>
      <w:proofErr w:type="spellStart"/>
      <w:r w:rsidRPr="00001432">
        <w:rPr>
          <w:rFonts w:ascii="Times New Roman" w:eastAsia="Calibri" w:hAnsi="Times New Roman" w:cs="Times New Roman"/>
          <w:sz w:val="24"/>
          <w:szCs w:val="24"/>
        </w:rPr>
        <w:t>falakka</w:t>
      </w:r>
      <w:proofErr w:type="spellEnd"/>
      <w:r w:rsidRPr="00001432">
        <w:rPr>
          <w:rFonts w:ascii="Times New Roman" w:eastAsia="Calibri" w:hAnsi="Times New Roman" w:cs="Times New Roman"/>
          <w:sz w:val="24"/>
          <w:szCs w:val="24"/>
        </w:rPr>
        <w:t xml:space="preserve"> (beating on the soles of the feet) and threats with a rubber baton, matching the types of abuse reported by others interviewed by the CPT.</w:t>
      </w:r>
      <w:r w:rsidRPr="00001432">
        <w:rPr>
          <w:rFonts w:ascii="Times New Roman" w:hAnsi="Times New Roman" w:cs="Times New Roman"/>
          <w:sz w:val="24"/>
          <w:szCs w:val="24"/>
          <w:vertAlign w:val="superscript"/>
        </w:rPr>
        <w:footnoteReference w:id="76"/>
      </w:r>
    </w:p>
    <w:p w14:paraId="580F7BA0" w14:textId="77777777" w:rsidR="00BD1F30" w:rsidRPr="00001432" w:rsidRDefault="00000000" w:rsidP="00BD1F30">
      <w:pPr>
        <w:pStyle w:val="ListParagraph"/>
        <w:numPr>
          <w:ilvl w:val="2"/>
          <w:numId w:val="1"/>
        </w:numPr>
        <w:tabs>
          <w:tab w:val="left" w:pos="426"/>
        </w:tabs>
        <w:ind w:left="284" w:hanging="284"/>
        <w:jc w:val="both"/>
        <w:rPr>
          <w:rFonts w:ascii="Times New Roman" w:eastAsia="Calibri" w:hAnsi="Times New Roman" w:cs="Times New Roman"/>
          <w:sz w:val="24"/>
          <w:szCs w:val="24"/>
        </w:rPr>
      </w:pPr>
      <w:r w:rsidRPr="00001432">
        <w:rPr>
          <w:rFonts w:ascii="Times New Roman" w:eastAsia="Calibri" w:hAnsi="Times New Roman" w:cs="Times New Roman"/>
          <w:sz w:val="24"/>
          <w:szCs w:val="24"/>
        </w:rPr>
        <w:t xml:space="preserve">In </w:t>
      </w:r>
      <w:proofErr w:type="spellStart"/>
      <w:r w:rsidRPr="00001432">
        <w:rPr>
          <w:rFonts w:ascii="Times New Roman" w:eastAsia="Calibri" w:hAnsi="Times New Roman" w:cs="Times New Roman"/>
          <w:i/>
          <w:sz w:val="24"/>
          <w:szCs w:val="24"/>
        </w:rPr>
        <w:t>Layijov</w:t>
      </w:r>
      <w:proofErr w:type="spellEnd"/>
      <w:r w:rsidRPr="00001432">
        <w:rPr>
          <w:rFonts w:ascii="Times New Roman" w:eastAsia="Calibri" w:hAnsi="Times New Roman" w:cs="Times New Roman"/>
          <w:i/>
          <w:sz w:val="24"/>
          <w:szCs w:val="24"/>
        </w:rPr>
        <w:t xml:space="preserve"> v. Azerbaijan</w:t>
      </w:r>
      <w:r w:rsidRPr="00001432">
        <w:rPr>
          <w:rFonts w:ascii="Times New Roman" w:hAnsi="Times New Roman" w:cs="Times New Roman"/>
          <w:i/>
          <w:sz w:val="24"/>
          <w:szCs w:val="24"/>
          <w:vertAlign w:val="superscript"/>
        </w:rPr>
        <w:footnoteReference w:id="77"/>
      </w:r>
      <w:r w:rsidRPr="00001432">
        <w:rPr>
          <w:rFonts w:ascii="Times New Roman" w:eastAsia="Calibri" w:hAnsi="Times New Roman" w:cs="Times New Roman"/>
          <w:sz w:val="24"/>
          <w:szCs w:val="24"/>
        </w:rPr>
        <w:t xml:space="preserve">, the applicant claimed he was physically abused by police officers upon arrest and detention at the </w:t>
      </w:r>
      <w:proofErr w:type="spellStart"/>
      <w:r w:rsidRPr="00001432">
        <w:rPr>
          <w:rFonts w:ascii="Times New Roman" w:eastAsia="Calibri" w:hAnsi="Times New Roman" w:cs="Times New Roman"/>
          <w:sz w:val="24"/>
          <w:szCs w:val="24"/>
        </w:rPr>
        <w:t>Zagatala</w:t>
      </w:r>
      <w:proofErr w:type="spellEnd"/>
      <w:r w:rsidRPr="00001432">
        <w:rPr>
          <w:rFonts w:ascii="Times New Roman" w:eastAsia="Calibri" w:hAnsi="Times New Roman" w:cs="Times New Roman"/>
          <w:sz w:val="24"/>
          <w:szCs w:val="24"/>
        </w:rPr>
        <w:t xml:space="preserve"> District Police Department.</w:t>
      </w:r>
      <w:r w:rsidRPr="00001432">
        <w:rPr>
          <w:rFonts w:ascii="Times New Roman" w:hAnsi="Times New Roman" w:cs="Times New Roman"/>
          <w:sz w:val="24"/>
          <w:szCs w:val="24"/>
          <w:vertAlign w:val="superscript"/>
        </w:rPr>
        <w:footnoteReference w:id="78"/>
      </w:r>
    </w:p>
    <w:p w14:paraId="4092B569" w14:textId="36A7A270" w:rsidR="00A06E6E" w:rsidRPr="00001432" w:rsidRDefault="00000000" w:rsidP="00BD1F30">
      <w:pPr>
        <w:pStyle w:val="ListParagraph"/>
        <w:numPr>
          <w:ilvl w:val="2"/>
          <w:numId w:val="1"/>
        </w:numPr>
        <w:tabs>
          <w:tab w:val="left" w:pos="426"/>
        </w:tabs>
        <w:ind w:left="284" w:hanging="284"/>
        <w:jc w:val="both"/>
        <w:rPr>
          <w:rFonts w:ascii="Times New Roman" w:eastAsia="Calibri" w:hAnsi="Times New Roman" w:cs="Times New Roman"/>
          <w:sz w:val="24"/>
          <w:szCs w:val="24"/>
        </w:rPr>
      </w:pPr>
      <w:r w:rsidRPr="00001432">
        <w:rPr>
          <w:rFonts w:ascii="Times New Roman" w:eastAsia="Calibri" w:hAnsi="Times New Roman" w:cs="Times New Roman"/>
          <w:sz w:val="24"/>
          <w:szCs w:val="24"/>
        </w:rPr>
        <w:t xml:space="preserve">The ECtHR determined that, while the injuries did not necessitate major medical treatment, they caused significant physical pain and emotional suffering. The Court found </w:t>
      </w:r>
      <w:r w:rsidRPr="00001432">
        <w:rPr>
          <w:rFonts w:ascii="Times New Roman" w:eastAsia="Calibri" w:hAnsi="Times New Roman" w:cs="Times New Roman"/>
          <w:sz w:val="24"/>
          <w:szCs w:val="24"/>
        </w:rPr>
        <w:lastRenderedPageBreak/>
        <w:t>the ill-treatment and its aftermath amounted to inhuman and degrading treatment, thus constituting a violation of Article 3.</w:t>
      </w:r>
      <w:r w:rsidRPr="00001432">
        <w:rPr>
          <w:rFonts w:ascii="Times New Roman" w:hAnsi="Times New Roman" w:cs="Times New Roman"/>
          <w:sz w:val="24"/>
          <w:szCs w:val="24"/>
          <w:vertAlign w:val="superscript"/>
        </w:rPr>
        <w:footnoteReference w:id="79"/>
      </w:r>
    </w:p>
    <w:p w14:paraId="57464573" w14:textId="77777777" w:rsidR="00A06E6E" w:rsidRPr="00001432" w:rsidRDefault="00A06E6E">
      <w:pPr>
        <w:jc w:val="both"/>
        <w:rPr>
          <w:rFonts w:ascii="Times New Roman" w:eastAsia="Calibri" w:hAnsi="Times New Roman" w:cs="Times New Roman"/>
          <w:sz w:val="24"/>
          <w:szCs w:val="24"/>
        </w:rPr>
      </w:pPr>
    </w:p>
    <w:p w14:paraId="3DE3317B" w14:textId="77755FCD" w:rsidR="00A06E6E" w:rsidRPr="00001432" w:rsidRDefault="00000000">
      <w:pPr>
        <w:jc w:val="both"/>
        <w:rPr>
          <w:rFonts w:ascii="Times New Roman" w:eastAsia="Calibri" w:hAnsi="Times New Roman" w:cs="Times New Roman"/>
          <w:b/>
          <w:i/>
          <w:sz w:val="24"/>
          <w:szCs w:val="24"/>
        </w:rPr>
      </w:pPr>
      <w:r w:rsidRPr="00001432">
        <w:rPr>
          <w:rFonts w:ascii="Times New Roman" w:eastAsia="Calibri" w:hAnsi="Times New Roman" w:cs="Times New Roman"/>
          <w:b/>
          <w:i/>
          <w:sz w:val="24"/>
          <w:szCs w:val="24"/>
        </w:rPr>
        <w:t>2.Cases involving claims of mistreatment related to the denial of access to necessary medical care</w:t>
      </w:r>
    </w:p>
    <w:p w14:paraId="4FEE1A51" w14:textId="77777777" w:rsidR="00A06E6E" w:rsidRPr="00001432" w:rsidRDefault="00A06E6E">
      <w:pPr>
        <w:jc w:val="both"/>
        <w:rPr>
          <w:rFonts w:ascii="Times New Roman" w:eastAsia="Calibri" w:hAnsi="Times New Roman" w:cs="Times New Roman"/>
          <w:sz w:val="24"/>
          <w:szCs w:val="24"/>
        </w:rPr>
      </w:pPr>
    </w:p>
    <w:p w14:paraId="107A90F1" w14:textId="77777777" w:rsidR="00BD1F30" w:rsidRPr="00001432" w:rsidRDefault="00000000" w:rsidP="00BD1F30">
      <w:pPr>
        <w:pStyle w:val="ListParagraph"/>
        <w:numPr>
          <w:ilvl w:val="2"/>
          <w:numId w:val="1"/>
        </w:numPr>
        <w:tabs>
          <w:tab w:val="left" w:pos="426"/>
        </w:tabs>
        <w:ind w:left="284" w:hanging="284"/>
        <w:jc w:val="both"/>
        <w:rPr>
          <w:rFonts w:ascii="Times New Roman" w:eastAsia="Calibri" w:hAnsi="Times New Roman" w:cs="Times New Roman"/>
          <w:sz w:val="24"/>
          <w:szCs w:val="24"/>
        </w:rPr>
      </w:pPr>
      <w:r w:rsidRPr="00001432">
        <w:rPr>
          <w:rFonts w:ascii="Times New Roman" w:eastAsia="Calibri" w:hAnsi="Times New Roman" w:cs="Times New Roman"/>
          <w:sz w:val="24"/>
          <w:szCs w:val="24"/>
        </w:rPr>
        <w:t xml:space="preserve">The European Court has examined and adjudicated such claims in the cases of </w:t>
      </w:r>
      <w:proofErr w:type="spellStart"/>
      <w:r w:rsidRPr="00001432">
        <w:rPr>
          <w:rFonts w:ascii="Times New Roman" w:eastAsia="Calibri" w:hAnsi="Times New Roman" w:cs="Times New Roman"/>
          <w:sz w:val="24"/>
          <w:szCs w:val="24"/>
        </w:rPr>
        <w:t>Yunusova</w:t>
      </w:r>
      <w:proofErr w:type="spellEnd"/>
      <w:r w:rsidRPr="00001432">
        <w:rPr>
          <w:rFonts w:ascii="Times New Roman" w:eastAsia="Calibri" w:hAnsi="Times New Roman" w:cs="Times New Roman"/>
          <w:sz w:val="24"/>
          <w:szCs w:val="24"/>
        </w:rPr>
        <w:t xml:space="preserve"> and </w:t>
      </w:r>
      <w:proofErr w:type="spellStart"/>
      <w:r w:rsidRPr="00001432">
        <w:rPr>
          <w:rFonts w:ascii="Times New Roman" w:eastAsia="Calibri" w:hAnsi="Times New Roman" w:cs="Times New Roman"/>
          <w:sz w:val="24"/>
          <w:szCs w:val="24"/>
        </w:rPr>
        <w:t>Yunusov</w:t>
      </w:r>
      <w:proofErr w:type="spellEnd"/>
      <w:r w:rsidRPr="00001432">
        <w:rPr>
          <w:rFonts w:ascii="Times New Roman" w:eastAsia="Calibri" w:hAnsi="Times New Roman" w:cs="Times New Roman"/>
          <w:sz w:val="24"/>
          <w:szCs w:val="24"/>
        </w:rPr>
        <w:t xml:space="preserve">, </w:t>
      </w:r>
      <w:proofErr w:type="spellStart"/>
      <w:r w:rsidRPr="00001432">
        <w:rPr>
          <w:rFonts w:ascii="Times New Roman" w:eastAsia="Calibri" w:hAnsi="Times New Roman" w:cs="Times New Roman"/>
          <w:sz w:val="24"/>
          <w:szCs w:val="24"/>
        </w:rPr>
        <w:t>Hummatov</w:t>
      </w:r>
      <w:proofErr w:type="spellEnd"/>
      <w:r w:rsidRPr="00001432">
        <w:rPr>
          <w:rFonts w:ascii="Times New Roman" w:eastAsia="Calibri" w:hAnsi="Times New Roman" w:cs="Times New Roman"/>
          <w:sz w:val="24"/>
          <w:szCs w:val="24"/>
        </w:rPr>
        <w:t>, Mammadov and others against Azerbaijan.</w:t>
      </w:r>
    </w:p>
    <w:p w14:paraId="21085073" w14:textId="77777777" w:rsidR="00BD1F30" w:rsidRPr="00001432" w:rsidRDefault="00000000" w:rsidP="00BD1F30">
      <w:pPr>
        <w:pStyle w:val="ListParagraph"/>
        <w:numPr>
          <w:ilvl w:val="2"/>
          <w:numId w:val="1"/>
        </w:numPr>
        <w:tabs>
          <w:tab w:val="left" w:pos="426"/>
        </w:tabs>
        <w:ind w:left="284" w:hanging="284"/>
        <w:jc w:val="both"/>
        <w:rPr>
          <w:rFonts w:ascii="Times New Roman" w:eastAsia="Calibri" w:hAnsi="Times New Roman" w:cs="Times New Roman"/>
          <w:sz w:val="24"/>
          <w:szCs w:val="24"/>
        </w:rPr>
      </w:pPr>
      <w:r w:rsidRPr="00001432">
        <w:rPr>
          <w:rFonts w:ascii="Times New Roman" w:eastAsia="Calibri" w:hAnsi="Times New Roman" w:cs="Times New Roman"/>
          <w:sz w:val="24"/>
          <w:szCs w:val="24"/>
        </w:rPr>
        <w:t>In the</w:t>
      </w:r>
      <w:r w:rsidRPr="00001432">
        <w:rPr>
          <w:rFonts w:ascii="Times New Roman" w:eastAsia="Calibri" w:hAnsi="Times New Roman" w:cs="Times New Roman"/>
          <w:i/>
          <w:sz w:val="24"/>
          <w:szCs w:val="24"/>
        </w:rPr>
        <w:t xml:space="preserve"> case of </w:t>
      </w:r>
      <w:proofErr w:type="spellStart"/>
      <w:r w:rsidRPr="00001432">
        <w:rPr>
          <w:rFonts w:ascii="Times New Roman" w:eastAsia="Calibri" w:hAnsi="Times New Roman" w:cs="Times New Roman"/>
          <w:i/>
          <w:sz w:val="24"/>
          <w:szCs w:val="24"/>
        </w:rPr>
        <w:t>Yunusova</w:t>
      </w:r>
      <w:proofErr w:type="spellEnd"/>
      <w:r w:rsidRPr="00001432">
        <w:rPr>
          <w:rFonts w:ascii="Times New Roman" w:eastAsia="Calibri" w:hAnsi="Times New Roman" w:cs="Times New Roman"/>
          <w:i/>
          <w:sz w:val="24"/>
          <w:szCs w:val="24"/>
        </w:rPr>
        <w:t xml:space="preserve"> and </w:t>
      </w:r>
      <w:proofErr w:type="spellStart"/>
      <w:r w:rsidRPr="00001432">
        <w:rPr>
          <w:rFonts w:ascii="Times New Roman" w:eastAsia="Calibri" w:hAnsi="Times New Roman" w:cs="Times New Roman"/>
          <w:i/>
          <w:sz w:val="24"/>
          <w:szCs w:val="24"/>
        </w:rPr>
        <w:t>Yunusov</w:t>
      </w:r>
      <w:proofErr w:type="spellEnd"/>
      <w:r w:rsidRPr="00001432">
        <w:rPr>
          <w:rFonts w:ascii="Times New Roman" w:hAnsi="Times New Roman" w:cs="Times New Roman"/>
          <w:i/>
          <w:sz w:val="24"/>
          <w:szCs w:val="24"/>
          <w:vertAlign w:val="superscript"/>
        </w:rPr>
        <w:footnoteReference w:id="80"/>
      </w:r>
      <w:r w:rsidRPr="00001432">
        <w:rPr>
          <w:rFonts w:ascii="Times New Roman" w:eastAsia="Calibri" w:hAnsi="Times New Roman" w:cs="Times New Roman"/>
          <w:sz w:val="24"/>
          <w:szCs w:val="24"/>
        </w:rPr>
        <w:t xml:space="preserve">, Leyla and </w:t>
      </w:r>
      <w:proofErr w:type="spellStart"/>
      <w:r w:rsidRPr="00001432">
        <w:rPr>
          <w:rFonts w:ascii="Times New Roman" w:eastAsia="Calibri" w:hAnsi="Times New Roman" w:cs="Times New Roman"/>
          <w:sz w:val="24"/>
          <w:szCs w:val="24"/>
        </w:rPr>
        <w:t>Arif</w:t>
      </w:r>
      <w:proofErr w:type="spellEnd"/>
      <w:r w:rsidRPr="00001432">
        <w:rPr>
          <w:rFonts w:ascii="Times New Roman" w:eastAsia="Calibri" w:hAnsi="Times New Roman" w:cs="Times New Roman"/>
          <w:sz w:val="24"/>
          <w:szCs w:val="24"/>
        </w:rPr>
        <w:t xml:space="preserve"> </w:t>
      </w:r>
      <w:proofErr w:type="spellStart"/>
      <w:r w:rsidRPr="00001432">
        <w:rPr>
          <w:rFonts w:ascii="Times New Roman" w:eastAsia="Calibri" w:hAnsi="Times New Roman" w:cs="Times New Roman"/>
          <w:sz w:val="24"/>
          <w:szCs w:val="24"/>
        </w:rPr>
        <w:t>Yunus</w:t>
      </w:r>
      <w:proofErr w:type="spellEnd"/>
      <w:r w:rsidRPr="00001432">
        <w:rPr>
          <w:rFonts w:ascii="Times New Roman" w:eastAsia="Calibri" w:hAnsi="Times New Roman" w:cs="Times New Roman"/>
          <w:sz w:val="24"/>
          <w:szCs w:val="24"/>
        </w:rPr>
        <w:t>, human rights defenders, alleged they suffered from several illnesses and that the medical care provided during their detention was insufficient, amounting to torture.</w:t>
      </w:r>
      <w:r w:rsidRPr="00001432">
        <w:rPr>
          <w:rFonts w:ascii="Times New Roman" w:hAnsi="Times New Roman" w:cs="Times New Roman"/>
          <w:sz w:val="24"/>
          <w:szCs w:val="24"/>
          <w:vertAlign w:val="superscript"/>
        </w:rPr>
        <w:footnoteReference w:id="81"/>
      </w:r>
    </w:p>
    <w:p w14:paraId="0108AAAE" w14:textId="77777777" w:rsidR="00BD1F30" w:rsidRPr="00001432" w:rsidRDefault="00000000" w:rsidP="00BD1F30">
      <w:pPr>
        <w:pStyle w:val="ListParagraph"/>
        <w:numPr>
          <w:ilvl w:val="2"/>
          <w:numId w:val="1"/>
        </w:numPr>
        <w:tabs>
          <w:tab w:val="left" w:pos="426"/>
        </w:tabs>
        <w:ind w:left="284" w:hanging="284"/>
        <w:jc w:val="both"/>
        <w:rPr>
          <w:rFonts w:ascii="Times New Roman" w:eastAsia="Calibri" w:hAnsi="Times New Roman" w:cs="Times New Roman"/>
          <w:sz w:val="24"/>
          <w:szCs w:val="24"/>
        </w:rPr>
      </w:pPr>
      <w:r w:rsidRPr="00001432">
        <w:rPr>
          <w:rFonts w:ascii="Times New Roman" w:eastAsia="Calibri" w:hAnsi="Times New Roman" w:cs="Times New Roman"/>
          <w:sz w:val="24"/>
          <w:szCs w:val="24"/>
        </w:rPr>
        <w:t>The European Court found a breach of Article 3 of the European Convention on Human Rights, determining that the authorities' failure to provide necessary medical care amounted to inhuman and degrading treatment.</w:t>
      </w:r>
      <w:r w:rsidRPr="00001432">
        <w:rPr>
          <w:rFonts w:ascii="Times New Roman" w:hAnsi="Times New Roman" w:cs="Times New Roman"/>
          <w:sz w:val="24"/>
          <w:szCs w:val="24"/>
          <w:vertAlign w:val="superscript"/>
        </w:rPr>
        <w:footnoteReference w:id="82"/>
      </w:r>
    </w:p>
    <w:p w14:paraId="6DB6F1E5" w14:textId="77777777" w:rsidR="00BD1F30" w:rsidRPr="00001432" w:rsidRDefault="00000000" w:rsidP="00BD1F30">
      <w:pPr>
        <w:pStyle w:val="ListParagraph"/>
        <w:numPr>
          <w:ilvl w:val="2"/>
          <w:numId w:val="1"/>
        </w:numPr>
        <w:tabs>
          <w:tab w:val="left" w:pos="426"/>
        </w:tabs>
        <w:ind w:left="284" w:hanging="284"/>
        <w:jc w:val="both"/>
        <w:rPr>
          <w:rFonts w:ascii="Times New Roman" w:eastAsia="Calibri" w:hAnsi="Times New Roman" w:cs="Times New Roman"/>
          <w:sz w:val="24"/>
          <w:szCs w:val="24"/>
        </w:rPr>
      </w:pPr>
      <w:r w:rsidRPr="00001432">
        <w:rPr>
          <w:rFonts w:ascii="Times New Roman" w:eastAsia="Calibri" w:hAnsi="Times New Roman" w:cs="Times New Roman"/>
          <w:sz w:val="24"/>
          <w:szCs w:val="24"/>
        </w:rPr>
        <w:t xml:space="preserve">In </w:t>
      </w:r>
      <w:proofErr w:type="spellStart"/>
      <w:r w:rsidRPr="00001432">
        <w:rPr>
          <w:rFonts w:ascii="Times New Roman" w:eastAsia="Calibri" w:hAnsi="Times New Roman" w:cs="Times New Roman"/>
          <w:i/>
          <w:sz w:val="24"/>
          <w:szCs w:val="24"/>
        </w:rPr>
        <w:t>Hummatov</w:t>
      </w:r>
      <w:proofErr w:type="spellEnd"/>
      <w:r w:rsidRPr="00001432">
        <w:rPr>
          <w:rFonts w:ascii="Times New Roman" w:eastAsia="Calibri" w:hAnsi="Times New Roman" w:cs="Times New Roman"/>
          <w:i/>
          <w:sz w:val="24"/>
          <w:szCs w:val="24"/>
        </w:rPr>
        <w:t xml:space="preserve"> v. Azerbaijan</w:t>
      </w:r>
      <w:r w:rsidRPr="00001432">
        <w:rPr>
          <w:rFonts w:ascii="Times New Roman" w:hAnsi="Times New Roman" w:cs="Times New Roman"/>
          <w:sz w:val="24"/>
          <w:szCs w:val="24"/>
          <w:vertAlign w:val="superscript"/>
        </w:rPr>
        <w:footnoteReference w:id="83"/>
      </w:r>
      <w:r w:rsidRPr="00001432">
        <w:rPr>
          <w:rFonts w:ascii="Times New Roman" w:eastAsia="Calibri" w:hAnsi="Times New Roman" w:cs="Times New Roman"/>
          <w:i/>
          <w:sz w:val="24"/>
          <w:szCs w:val="24"/>
        </w:rPr>
        <w:t>,</w:t>
      </w:r>
      <w:r w:rsidRPr="00001432">
        <w:rPr>
          <w:rFonts w:ascii="Times New Roman" w:eastAsia="Calibri" w:hAnsi="Times New Roman" w:cs="Times New Roman"/>
          <w:sz w:val="24"/>
          <w:szCs w:val="24"/>
        </w:rPr>
        <w:t xml:space="preserve"> the ECtHR concluded that the absence of adequate medical care in Gobustan prison could have inflicted considerable mental distress on the applicant, constituting a degradation of human dignity in violation of Article 3.</w:t>
      </w:r>
      <w:r w:rsidRPr="00001432">
        <w:rPr>
          <w:rFonts w:ascii="Times New Roman" w:hAnsi="Times New Roman" w:cs="Times New Roman"/>
          <w:sz w:val="24"/>
          <w:szCs w:val="24"/>
          <w:vertAlign w:val="superscript"/>
        </w:rPr>
        <w:footnoteReference w:id="84"/>
      </w:r>
    </w:p>
    <w:p w14:paraId="686D51F6" w14:textId="77777777" w:rsidR="00BD1F30" w:rsidRPr="00001432" w:rsidRDefault="00000000" w:rsidP="00BD1F30">
      <w:pPr>
        <w:pStyle w:val="ListParagraph"/>
        <w:numPr>
          <w:ilvl w:val="2"/>
          <w:numId w:val="1"/>
        </w:numPr>
        <w:tabs>
          <w:tab w:val="left" w:pos="426"/>
        </w:tabs>
        <w:ind w:left="284" w:hanging="284"/>
        <w:jc w:val="both"/>
        <w:rPr>
          <w:rFonts w:ascii="Times New Roman" w:eastAsia="Calibri" w:hAnsi="Times New Roman" w:cs="Times New Roman"/>
          <w:sz w:val="24"/>
          <w:szCs w:val="24"/>
        </w:rPr>
      </w:pPr>
      <w:r w:rsidRPr="00001432">
        <w:rPr>
          <w:rFonts w:ascii="Times New Roman" w:eastAsia="Calibri" w:hAnsi="Times New Roman" w:cs="Times New Roman"/>
          <w:sz w:val="24"/>
          <w:szCs w:val="24"/>
        </w:rPr>
        <w:t xml:space="preserve">In </w:t>
      </w:r>
      <w:r w:rsidRPr="00001432">
        <w:rPr>
          <w:rFonts w:ascii="Times New Roman" w:eastAsia="Calibri" w:hAnsi="Times New Roman" w:cs="Times New Roman"/>
          <w:i/>
          <w:sz w:val="24"/>
          <w:szCs w:val="24"/>
        </w:rPr>
        <w:t>Mammadov and others v. Azerbaijan</w:t>
      </w:r>
      <w:r w:rsidRPr="00001432">
        <w:rPr>
          <w:rFonts w:ascii="Times New Roman" w:hAnsi="Times New Roman" w:cs="Times New Roman"/>
          <w:i/>
          <w:sz w:val="24"/>
          <w:szCs w:val="24"/>
          <w:vertAlign w:val="superscript"/>
        </w:rPr>
        <w:footnoteReference w:id="85"/>
      </w:r>
      <w:r w:rsidRPr="00001432">
        <w:rPr>
          <w:rFonts w:ascii="Times New Roman" w:eastAsia="Calibri" w:hAnsi="Times New Roman" w:cs="Times New Roman"/>
          <w:i/>
          <w:sz w:val="24"/>
          <w:szCs w:val="24"/>
        </w:rPr>
        <w:t>,</w:t>
      </w:r>
      <w:r w:rsidRPr="00001432">
        <w:rPr>
          <w:rFonts w:ascii="Times New Roman" w:eastAsia="Calibri" w:hAnsi="Times New Roman" w:cs="Times New Roman"/>
          <w:sz w:val="24"/>
          <w:szCs w:val="24"/>
        </w:rPr>
        <w:t xml:space="preserve"> the applicant, an Azerbaijani academic, claimed that following his arrest and subsequent 24-hour disappearance, he was given a 15-day administrative detention. During this period, he alleged ill-treatment and reported suffering from high blood pressure, prostatitis, and an overactive thyroid gland, for which no medical assistance was provided.</w:t>
      </w:r>
      <w:r w:rsidRPr="00001432">
        <w:rPr>
          <w:rFonts w:ascii="Times New Roman" w:hAnsi="Times New Roman" w:cs="Times New Roman"/>
          <w:sz w:val="24"/>
          <w:szCs w:val="24"/>
          <w:vertAlign w:val="superscript"/>
        </w:rPr>
        <w:footnoteReference w:id="86"/>
      </w:r>
    </w:p>
    <w:p w14:paraId="4D2E3E1D" w14:textId="1132E44E" w:rsidR="00A06E6E" w:rsidRPr="00001432" w:rsidRDefault="00000000" w:rsidP="00BD1F30">
      <w:pPr>
        <w:pStyle w:val="ListParagraph"/>
        <w:numPr>
          <w:ilvl w:val="2"/>
          <w:numId w:val="1"/>
        </w:numPr>
        <w:tabs>
          <w:tab w:val="left" w:pos="426"/>
        </w:tabs>
        <w:ind w:left="284" w:hanging="284"/>
        <w:jc w:val="both"/>
        <w:rPr>
          <w:rFonts w:ascii="Times New Roman" w:eastAsia="Calibri" w:hAnsi="Times New Roman" w:cs="Times New Roman"/>
          <w:sz w:val="24"/>
          <w:szCs w:val="24"/>
        </w:rPr>
      </w:pPr>
      <w:r w:rsidRPr="00001432">
        <w:rPr>
          <w:rFonts w:ascii="Times New Roman" w:eastAsia="Calibri" w:hAnsi="Times New Roman" w:cs="Times New Roman"/>
          <w:sz w:val="24"/>
          <w:szCs w:val="24"/>
        </w:rPr>
        <w:t>Here, the ECtHR recognized a violation of Article 3, deeming the treatment inhuman and degrading due to the denial of medical care to the applicant.</w:t>
      </w:r>
      <w:r w:rsidRPr="00001432">
        <w:rPr>
          <w:rFonts w:ascii="Times New Roman" w:hAnsi="Times New Roman" w:cs="Times New Roman"/>
          <w:sz w:val="24"/>
          <w:szCs w:val="24"/>
          <w:vertAlign w:val="superscript"/>
        </w:rPr>
        <w:footnoteReference w:id="87"/>
      </w:r>
    </w:p>
    <w:p w14:paraId="0211BBFA" w14:textId="77777777" w:rsidR="00A06E6E" w:rsidRPr="00001432" w:rsidRDefault="00A06E6E">
      <w:pPr>
        <w:jc w:val="both"/>
        <w:rPr>
          <w:rFonts w:ascii="Times New Roman" w:eastAsia="Calibri" w:hAnsi="Times New Roman" w:cs="Times New Roman"/>
          <w:sz w:val="24"/>
          <w:szCs w:val="24"/>
        </w:rPr>
      </w:pPr>
    </w:p>
    <w:p w14:paraId="7D650656" w14:textId="77777777" w:rsidR="00A06E6E" w:rsidRPr="00001432" w:rsidRDefault="00000000">
      <w:pPr>
        <w:jc w:val="both"/>
        <w:rPr>
          <w:rFonts w:ascii="Times New Roman" w:eastAsia="Calibri" w:hAnsi="Times New Roman" w:cs="Times New Roman"/>
          <w:b/>
          <w:i/>
          <w:sz w:val="24"/>
          <w:szCs w:val="24"/>
        </w:rPr>
      </w:pPr>
      <w:r w:rsidRPr="00001432">
        <w:rPr>
          <w:rFonts w:ascii="Times New Roman" w:eastAsia="Calibri" w:hAnsi="Times New Roman" w:cs="Times New Roman"/>
          <w:b/>
          <w:i/>
          <w:sz w:val="24"/>
          <w:szCs w:val="24"/>
        </w:rPr>
        <w:t>3. Cases on Allegations That Conditions in Detention Facilities Amount to Ill-Treatment</w:t>
      </w:r>
    </w:p>
    <w:p w14:paraId="27B10B01" w14:textId="77777777" w:rsidR="00A06E6E" w:rsidRPr="00001432" w:rsidRDefault="00A06E6E">
      <w:pPr>
        <w:jc w:val="both"/>
        <w:rPr>
          <w:rFonts w:ascii="Times New Roman" w:eastAsia="Calibri" w:hAnsi="Times New Roman" w:cs="Times New Roman"/>
          <w:sz w:val="24"/>
          <w:szCs w:val="24"/>
        </w:rPr>
      </w:pPr>
    </w:p>
    <w:p w14:paraId="41CF003E" w14:textId="77777777" w:rsidR="00791D10" w:rsidRPr="00001432" w:rsidRDefault="00000000" w:rsidP="00791D10">
      <w:pPr>
        <w:pStyle w:val="ListParagraph"/>
        <w:numPr>
          <w:ilvl w:val="2"/>
          <w:numId w:val="1"/>
        </w:numPr>
        <w:tabs>
          <w:tab w:val="left" w:pos="426"/>
        </w:tabs>
        <w:ind w:left="284" w:hanging="284"/>
        <w:jc w:val="both"/>
        <w:rPr>
          <w:rFonts w:ascii="Times New Roman" w:eastAsia="Calibri" w:hAnsi="Times New Roman" w:cs="Times New Roman"/>
          <w:sz w:val="24"/>
          <w:szCs w:val="24"/>
        </w:rPr>
      </w:pPr>
      <w:r w:rsidRPr="00001432">
        <w:rPr>
          <w:rFonts w:ascii="Times New Roman" w:eastAsia="Calibri" w:hAnsi="Times New Roman" w:cs="Times New Roman"/>
          <w:sz w:val="24"/>
          <w:szCs w:val="24"/>
        </w:rPr>
        <w:t xml:space="preserve">The European Court has addressed several cases concerning the conditions within detention facilities, including Aliyev, </w:t>
      </w:r>
      <w:proofErr w:type="spellStart"/>
      <w:r w:rsidRPr="00001432">
        <w:rPr>
          <w:rFonts w:ascii="Times New Roman" w:eastAsia="Calibri" w:hAnsi="Times New Roman" w:cs="Times New Roman"/>
          <w:sz w:val="24"/>
          <w:szCs w:val="24"/>
        </w:rPr>
        <w:t>Insanov</w:t>
      </w:r>
      <w:proofErr w:type="spellEnd"/>
      <w:r w:rsidRPr="00001432">
        <w:rPr>
          <w:rFonts w:ascii="Times New Roman" w:eastAsia="Calibri" w:hAnsi="Times New Roman" w:cs="Times New Roman"/>
          <w:sz w:val="24"/>
          <w:szCs w:val="24"/>
        </w:rPr>
        <w:t xml:space="preserve">, </w:t>
      </w:r>
      <w:proofErr w:type="spellStart"/>
      <w:r w:rsidRPr="00001432">
        <w:rPr>
          <w:rFonts w:ascii="Times New Roman" w:eastAsia="Calibri" w:hAnsi="Times New Roman" w:cs="Times New Roman"/>
          <w:sz w:val="24"/>
          <w:szCs w:val="24"/>
        </w:rPr>
        <w:t>Rzakhanov</w:t>
      </w:r>
      <w:proofErr w:type="spellEnd"/>
      <w:r w:rsidRPr="00001432">
        <w:rPr>
          <w:rFonts w:ascii="Times New Roman" w:eastAsia="Calibri" w:hAnsi="Times New Roman" w:cs="Times New Roman"/>
          <w:sz w:val="24"/>
          <w:szCs w:val="24"/>
        </w:rPr>
        <w:t xml:space="preserve">, and Natig </w:t>
      </w:r>
      <w:proofErr w:type="spellStart"/>
      <w:r w:rsidRPr="00001432">
        <w:rPr>
          <w:rFonts w:ascii="Times New Roman" w:eastAsia="Calibri" w:hAnsi="Times New Roman" w:cs="Times New Roman"/>
          <w:sz w:val="24"/>
          <w:szCs w:val="24"/>
        </w:rPr>
        <w:t>Jafarov</w:t>
      </w:r>
      <w:proofErr w:type="spellEnd"/>
      <w:r w:rsidRPr="00001432">
        <w:rPr>
          <w:rFonts w:ascii="Times New Roman" w:eastAsia="Calibri" w:hAnsi="Times New Roman" w:cs="Times New Roman"/>
          <w:sz w:val="24"/>
          <w:szCs w:val="24"/>
        </w:rPr>
        <w:t xml:space="preserve"> against Azerbaijan.</w:t>
      </w:r>
    </w:p>
    <w:p w14:paraId="61A76346" w14:textId="77777777" w:rsidR="00791D10" w:rsidRPr="00001432" w:rsidRDefault="00000000" w:rsidP="00791D10">
      <w:pPr>
        <w:pStyle w:val="ListParagraph"/>
        <w:numPr>
          <w:ilvl w:val="2"/>
          <w:numId w:val="1"/>
        </w:numPr>
        <w:tabs>
          <w:tab w:val="left" w:pos="426"/>
        </w:tabs>
        <w:ind w:left="284" w:hanging="284"/>
        <w:jc w:val="both"/>
        <w:rPr>
          <w:rFonts w:ascii="Times New Roman" w:eastAsia="Calibri" w:hAnsi="Times New Roman" w:cs="Times New Roman"/>
          <w:sz w:val="24"/>
          <w:szCs w:val="24"/>
        </w:rPr>
      </w:pPr>
      <w:r w:rsidRPr="00001432">
        <w:rPr>
          <w:rFonts w:ascii="Times New Roman" w:eastAsia="Calibri" w:hAnsi="Times New Roman" w:cs="Times New Roman"/>
          <w:i/>
          <w:sz w:val="24"/>
          <w:szCs w:val="24"/>
        </w:rPr>
        <w:t>In the Aliyev case</w:t>
      </w:r>
      <w:r w:rsidRPr="00001432">
        <w:rPr>
          <w:rFonts w:ascii="Times New Roman" w:hAnsi="Times New Roman" w:cs="Times New Roman"/>
          <w:i/>
          <w:sz w:val="24"/>
          <w:szCs w:val="24"/>
          <w:vertAlign w:val="superscript"/>
        </w:rPr>
        <w:footnoteReference w:id="88"/>
      </w:r>
      <w:r w:rsidRPr="00001432">
        <w:rPr>
          <w:rFonts w:ascii="Times New Roman" w:eastAsia="Calibri" w:hAnsi="Times New Roman" w:cs="Times New Roman"/>
          <w:sz w:val="24"/>
          <w:szCs w:val="24"/>
        </w:rPr>
        <w:t xml:space="preserve">, human rights defender </w:t>
      </w:r>
      <w:proofErr w:type="spellStart"/>
      <w:r w:rsidRPr="00001432">
        <w:rPr>
          <w:rFonts w:ascii="Times New Roman" w:eastAsia="Calibri" w:hAnsi="Times New Roman" w:cs="Times New Roman"/>
          <w:sz w:val="24"/>
          <w:szCs w:val="24"/>
        </w:rPr>
        <w:t>Intigam</w:t>
      </w:r>
      <w:proofErr w:type="spellEnd"/>
      <w:r w:rsidRPr="00001432">
        <w:rPr>
          <w:rFonts w:ascii="Times New Roman" w:eastAsia="Calibri" w:hAnsi="Times New Roman" w:cs="Times New Roman"/>
          <w:sz w:val="24"/>
          <w:szCs w:val="24"/>
        </w:rPr>
        <w:t xml:space="preserve"> Aliyev reported poor conditions in the quarantine cell at the detention center. He described being crowded with eight other prisoners in a space he estimated to be about 10 m² without a personal bed, forcing him to share with others. He highlighted the lack of adequate ventilation, the absence of a designated smoking area despite most inmates being smokers, extremely high temperatures, </w:t>
      </w:r>
      <w:r w:rsidRPr="00001432">
        <w:rPr>
          <w:rFonts w:ascii="Times New Roman" w:eastAsia="Calibri" w:hAnsi="Times New Roman" w:cs="Times New Roman"/>
          <w:sz w:val="24"/>
          <w:szCs w:val="24"/>
        </w:rPr>
        <w:lastRenderedPageBreak/>
        <w:t>no access to outdoor activities, and appalling sanitary conditions without a proper bathroom.</w:t>
      </w:r>
      <w:r w:rsidRPr="00001432">
        <w:rPr>
          <w:rFonts w:ascii="Times New Roman" w:hAnsi="Times New Roman" w:cs="Times New Roman"/>
          <w:sz w:val="24"/>
          <w:szCs w:val="24"/>
          <w:vertAlign w:val="superscript"/>
        </w:rPr>
        <w:footnoteReference w:id="89"/>
      </w:r>
    </w:p>
    <w:p w14:paraId="395C0F66" w14:textId="77777777" w:rsidR="00791D10" w:rsidRPr="00001432" w:rsidRDefault="00000000" w:rsidP="00791D10">
      <w:pPr>
        <w:pStyle w:val="ListParagraph"/>
        <w:numPr>
          <w:ilvl w:val="2"/>
          <w:numId w:val="1"/>
        </w:numPr>
        <w:tabs>
          <w:tab w:val="left" w:pos="426"/>
        </w:tabs>
        <w:ind w:left="284" w:hanging="284"/>
        <w:jc w:val="both"/>
        <w:rPr>
          <w:rFonts w:ascii="Times New Roman" w:eastAsia="Calibri" w:hAnsi="Times New Roman" w:cs="Times New Roman"/>
          <w:sz w:val="24"/>
          <w:szCs w:val="24"/>
        </w:rPr>
      </w:pPr>
      <w:r w:rsidRPr="00001432">
        <w:rPr>
          <w:rFonts w:ascii="Times New Roman" w:eastAsia="Calibri" w:hAnsi="Times New Roman" w:cs="Times New Roman"/>
          <w:sz w:val="24"/>
          <w:szCs w:val="24"/>
        </w:rPr>
        <w:t xml:space="preserve">The European Court of Human Rights (ECtHR) found these conditions to constitute degrading treatment, violating Article 3 of the Convention. The court emphasized that the mere 1.1 m² of personal space provided to Aliyev, significantly below the standard 3 m², was </w:t>
      </w:r>
      <w:proofErr w:type="gramStart"/>
      <w:r w:rsidRPr="00001432">
        <w:rPr>
          <w:rFonts w:ascii="Times New Roman" w:eastAsia="Calibri" w:hAnsi="Times New Roman" w:cs="Times New Roman"/>
          <w:sz w:val="24"/>
          <w:szCs w:val="24"/>
        </w:rPr>
        <w:t>in itself sufficient</w:t>
      </w:r>
      <w:proofErr w:type="gramEnd"/>
      <w:r w:rsidRPr="00001432">
        <w:rPr>
          <w:rFonts w:ascii="Times New Roman" w:eastAsia="Calibri" w:hAnsi="Times New Roman" w:cs="Times New Roman"/>
          <w:sz w:val="24"/>
          <w:szCs w:val="24"/>
        </w:rPr>
        <w:t xml:space="preserve"> to constitute a violation.</w:t>
      </w:r>
      <w:r w:rsidRPr="00001432">
        <w:rPr>
          <w:rFonts w:ascii="Times New Roman" w:hAnsi="Times New Roman" w:cs="Times New Roman"/>
          <w:sz w:val="24"/>
          <w:szCs w:val="24"/>
          <w:vertAlign w:val="superscript"/>
        </w:rPr>
        <w:footnoteReference w:id="90"/>
      </w:r>
    </w:p>
    <w:p w14:paraId="0DB94BAC" w14:textId="77777777" w:rsidR="00791D10" w:rsidRPr="00001432" w:rsidRDefault="00000000" w:rsidP="00791D10">
      <w:pPr>
        <w:pStyle w:val="ListParagraph"/>
        <w:numPr>
          <w:ilvl w:val="2"/>
          <w:numId w:val="1"/>
        </w:numPr>
        <w:tabs>
          <w:tab w:val="left" w:pos="426"/>
        </w:tabs>
        <w:ind w:left="284" w:hanging="284"/>
        <w:jc w:val="both"/>
        <w:rPr>
          <w:rFonts w:ascii="Times New Roman" w:eastAsia="Calibri" w:hAnsi="Times New Roman" w:cs="Times New Roman"/>
          <w:sz w:val="24"/>
          <w:szCs w:val="24"/>
        </w:rPr>
      </w:pPr>
      <w:r w:rsidRPr="00001432">
        <w:rPr>
          <w:rFonts w:ascii="Times New Roman" w:eastAsia="Calibri" w:hAnsi="Times New Roman" w:cs="Times New Roman"/>
          <w:i/>
          <w:sz w:val="24"/>
          <w:szCs w:val="24"/>
        </w:rPr>
        <w:t xml:space="preserve">In the case of </w:t>
      </w:r>
      <w:proofErr w:type="spellStart"/>
      <w:r w:rsidRPr="00001432">
        <w:rPr>
          <w:rFonts w:ascii="Times New Roman" w:eastAsia="Calibri" w:hAnsi="Times New Roman" w:cs="Times New Roman"/>
          <w:i/>
          <w:sz w:val="24"/>
          <w:szCs w:val="24"/>
        </w:rPr>
        <w:t>Insanov</w:t>
      </w:r>
      <w:proofErr w:type="spellEnd"/>
      <w:r w:rsidRPr="00001432">
        <w:rPr>
          <w:rFonts w:ascii="Times New Roman" w:eastAsia="Calibri" w:hAnsi="Times New Roman" w:cs="Times New Roman"/>
          <w:i/>
          <w:sz w:val="24"/>
          <w:szCs w:val="24"/>
        </w:rPr>
        <w:t xml:space="preserve"> v. Azerbaijan</w:t>
      </w:r>
      <w:r w:rsidRPr="00001432">
        <w:rPr>
          <w:rFonts w:ascii="Times New Roman" w:hAnsi="Times New Roman" w:cs="Times New Roman"/>
          <w:sz w:val="24"/>
          <w:szCs w:val="24"/>
          <w:vertAlign w:val="superscript"/>
        </w:rPr>
        <w:footnoteReference w:id="91"/>
      </w:r>
      <w:r w:rsidRPr="00001432">
        <w:rPr>
          <w:rFonts w:ascii="Times New Roman" w:eastAsia="Calibri" w:hAnsi="Times New Roman" w:cs="Times New Roman"/>
          <w:sz w:val="24"/>
          <w:szCs w:val="24"/>
        </w:rPr>
        <w:t>, the ECtHR identified three key issues contributing to inhumane and degrading treatment: poor sanitary conditions, overcrowding, and the absence of heating. The cumulative effect of these conditions led the Court to conclude that the applicant’s detention conditions were in violation of Article 3.</w:t>
      </w:r>
      <w:r w:rsidRPr="00001432">
        <w:rPr>
          <w:rFonts w:ascii="Times New Roman" w:hAnsi="Times New Roman" w:cs="Times New Roman"/>
          <w:sz w:val="24"/>
          <w:szCs w:val="24"/>
          <w:vertAlign w:val="superscript"/>
        </w:rPr>
        <w:footnoteReference w:id="92"/>
      </w:r>
    </w:p>
    <w:p w14:paraId="3935E12E" w14:textId="77777777" w:rsidR="00791D10" w:rsidRPr="00001432" w:rsidRDefault="00000000" w:rsidP="00791D10">
      <w:pPr>
        <w:pStyle w:val="ListParagraph"/>
        <w:numPr>
          <w:ilvl w:val="2"/>
          <w:numId w:val="1"/>
        </w:numPr>
        <w:tabs>
          <w:tab w:val="left" w:pos="426"/>
        </w:tabs>
        <w:ind w:left="284" w:hanging="284"/>
        <w:jc w:val="both"/>
        <w:rPr>
          <w:rFonts w:ascii="Times New Roman" w:eastAsia="Calibri" w:hAnsi="Times New Roman" w:cs="Times New Roman"/>
          <w:sz w:val="24"/>
          <w:szCs w:val="24"/>
        </w:rPr>
      </w:pPr>
      <w:r w:rsidRPr="00001432">
        <w:rPr>
          <w:rFonts w:ascii="Times New Roman" w:eastAsia="Calibri" w:hAnsi="Times New Roman" w:cs="Times New Roman"/>
          <w:i/>
          <w:sz w:val="24"/>
          <w:szCs w:val="24"/>
        </w:rPr>
        <w:t xml:space="preserve">In the case of </w:t>
      </w:r>
      <w:proofErr w:type="spellStart"/>
      <w:r w:rsidRPr="00001432">
        <w:rPr>
          <w:rFonts w:ascii="Times New Roman" w:eastAsia="Calibri" w:hAnsi="Times New Roman" w:cs="Times New Roman"/>
          <w:i/>
          <w:sz w:val="24"/>
          <w:szCs w:val="24"/>
        </w:rPr>
        <w:t>Rzakhanov</w:t>
      </w:r>
      <w:proofErr w:type="spellEnd"/>
      <w:r w:rsidRPr="00001432">
        <w:rPr>
          <w:rFonts w:ascii="Times New Roman" w:eastAsia="Calibri" w:hAnsi="Times New Roman" w:cs="Times New Roman"/>
          <w:i/>
          <w:sz w:val="24"/>
          <w:szCs w:val="24"/>
        </w:rPr>
        <w:t xml:space="preserve"> v. Azerbaijan</w:t>
      </w:r>
      <w:r w:rsidRPr="00001432">
        <w:rPr>
          <w:rFonts w:ascii="Times New Roman" w:hAnsi="Times New Roman" w:cs="Times New Roman"/>
          <w:i/>
          <w:sz w:val="24"/>
          <w:szCs w:val="24"/>
          <w:vertAlign w:val="superscript"/>
        </w:rPr>
        <w:footnoteReference w:id="93"/>
      </w:r>
      <w:r w:rsidRPr="00001432">
        <w:rPr>
          <w:rFonts w:ascii="Times New Roman" w:eastAsia="Calibri" w:hAnsi="Times New Roman" w:cs="Times New Roman"/>
          <w:sz w:val="24"/>
          <w:szCs w:val="24"/>
        </w:rPr>
        <w:t>, the Court focused on the inhuman and degrading treatment stemming from prolonged solitary confinement. The applicant was isolated for 2 years and 10 months, spending 23 hours a day without access to recreational or educational activities.</w:t>
      </w:r>
      <w:r w:rsidRPr="00001432">
        <w:rPr>
          <w:rFonts w:ascii="Times New Roman" w:hAnsi="Times New Roman" w:cs="Times New Roman"/>
          <w:sz w:val="24"/>
          <w:szCs w:val="24"/>
          <w:vertAlign w:val="superscript"/>
        </w:rPr>
        <w:footnoteReference w:id="94"/>
      </w:r>
      <w:r w:rsidRPr="00001432">
        <w:rPr>
          <w:rFonts w:ascii="Times New Roman" w:eastAsia="Calibri" w:hAnsi="Times New Roman" w:cs="Times New Roman"/>
          <w:sz w:val="24"/>
          <w:szCs w:val="24"/>
        </w:rPr>
        <w:t xml:space="preserve"> The ECtHR criticized the lack of justification for such severe measures and pointed out that the harshness of this solitary confinement exceeded the unavoidable level of suffering inherent in detention, thus violating Article 3.</w:t>
      </w:r>
      <w:r w:rsidRPr="00001432">
        <w:rPr>
          <w:rFonts w:ascii="Times New Roman" w:hAnsi="Times New Roman" w:cs="Times New Roman"/>
          <w:sz w:val="24"/>
          <w:szCs w:val="24"/>
          <w:vertAlign w:val="superscript"/>
        </w:rPr>
        <w:footnoteReference w:id="95"/>
      </w:r>
    </w:p>
    <w:p w14:paraId="77BF4759" w14:textId="1C746AE7" w:rsidR="00A06E6E" w:rsidRPr="00001432" w:rsidRDefault="00000000" w:rsidP="00791D10">
      <w:pPr>
        <w:pStyle w:val="ListParagraph"/>
        <w:numPr>
          <w:ilvl w:val="2"/>
          <w:numId w:val="1"/>
        </w:numPr>
        <w:tabs>
          <w:tab w:val="left" w:pos="426"/>
        </w:tabs>
        <w:ind w:left="284" w:hanging="284"/>
        <w:jc w:val="both"/>
        <w:rPr>
          <w:rFonts w:ascii="Times New Roman" w:eastAsia="Calibri" w:hAnsi="Times New Roman" w:cs="Times New Roman"/>
          <w:sz w:val="24"/>
          <w:szCs w:val="24"/>
        </w:rPr>
      </w:pPr>
      <w:r w:rsidRPr="00001432">
        <w:rPr>
          <w:rFonts w:ascii="Times New Roman" w:eastAsia="Calibri" w:hAnsi="Times New Roman" w:cs="Times New Roman"/>
          <w:i/>
          <w:sz w:val="24"/>
          <w:szCs w:val="24"/>
        </w:rPr>
        <w:t xml:space="preserve">In the case of Natig </w:t>
      </w:r>
      <w:proofErr w:type="spellStart"/>
      <w:r w:rsidRPr="00001432">
        <w:rPr>
          <w:rFonts w:ascii="Times New Roman" w:eastAsia="Calibri" w:hAnsi="Times New Roman" w:cs="Times New Roman"/>
          <w:i/>
          <w:sz w:val="24"/>
          <w:szCs w:val="24"/>
        </w:rPr>
        <w:t>Jafarov</w:t>
      </w:r>
      <w:proofErr w:type="spellEnd"/>
      <w:r w:rsidRPr="00001432">
        <w:rPr>
          <w:rFonts w:ascii="Times New Roman" w:eastAsia="Calibri" w:hAnsi="Times New Roman" w:cs="Times New Roman"/>
          <w:i/>
          <w:sz w:val="24"/>
          <w:szCs w:val="24"/>
        </w:rPr>
        <w:t xml:space="preserve"> v. Azerbaijan</w:t>
      </w:r>
      <w:r w:rsidRPr="00001432">
        <w:rPr>
          <w:rFonts w:ascii="Times New Roman" w:hAnsi="Times New Roman" w:cs="Times New Roman"/>
          <w:i/>
          <w:sz w:val="24"/>
          <w:szCs w:val="24"/>
          <w:vertAlign w:val="superscript"/>
        </w:rPr>
        <w:footnoteReference w:id="96"/>
      </w:r>
      <w:r w:rsidRPr="00001432">
        <w:rPr>
          <w:rFonts w:ascii="Times New Roman" w:eastAsia="Calibri" w:hAnsi="Times New Roman" w:cs="Times New Roman"/>
          <w:sz w:val="24"/>
          <w:szCs w:val="24"/>
        </w:rPr>
        <w:t xml:space="preserve">, the Court considered the use of a metal cage during court proceedings as inherently degrading. </w:t>
      </w:r>
      <w:proofErr w:type="spellStart"/>
      <w:r w:rsidRPr="00001432">
        <w:rPr>
          <w:rFonts w:ascii="Times New Roman" w:eastAsia="Calibri" w:hAnsi="Times New Roman" w:cs="Times New Roman"/>
          <w:sz w:val="24"/>
          <w:szCs w:val="24"/>
        </w:rPr>
        <w:t>Jafarov’s</w:t>
      </w:r>
      <w:proofErr w:type="spellEnd"/>
      <w:r w:rsidRPr="00001432">
        <w:rPr>
          <w:rFonts w:ascii="Times New Roman" w:eastAsia="Calibri" w:hAnsi="Times New Roman" w:cs="Times New Roman"/>
          <w:sz w:val="24"/>
          <w:szCs w:val="24"/>
        </w:rPr>
        <w:t xml:space="preserve"> containment in a metal cage during his hearing on pre-trial detention was seen as an affront to human dignity, amounting to humiliating treatment and breaching Article 3 of the Convention.</w:t>
      </w:r>
      <w:r w:rsidRPr="00001432">
        <w:rPr>
          <w:rFonts w:ascii="Times New Roman" w:hAnsi="Times New Roman" w:cs="Times New Roman"/>
          <w:sz w:val="24"/>
          <w:szCs w:val="24"/>
          <w:vertAlign w:val="superscript"/>
        </w:rPr>
        <w:footnoteReference w:id="97"/>
      </w:r>
    </w:p>
    <w:p w14:paraId="10DFA43A" w14:textId="77777777" w:rsidR="00A06E6E" w:rsidRPr="00001432" w:rsidRDefault="00A06E6E">
      <w:pPr>
        <w:jc w:val="both"/>
        <w:rPr>
          <w:rFonts w:ascii="Times New Roman" w:eastAsia="Calibri" w:hAnsi="Times New Roman" w:cs="Times New Roman"/>
          <w:b/>
          <w:sz w:val="24"/>
          <w:szCs w:val="24"/>
        </w:rPr>
      </w:pPr>
    </w:p>
    <w:p w14:paraId="6EAC0DE6" w14:textId="3E97D07D" w:rsidR="00A06E6E" w:rsidRPr="00001432" w:rsidRDefault="00000000">
      <w:pPr>
        <w:jc w:val="both"/>
        <w:rPr>
          <w:rFonts w:ascii="Times New Roman" w:eastAsia="Calibri" w:hAnsi="Times New Roman" w:cs="Times New Roman"/>
          <w:b/>
          <w:sz w:val="24"/>
          <w:szCs w:val="24"/>
        </w:rPr>
      </w:pPr>
      <w:r w:rsidRPr="00001432">
        <w:rPr>
          <w:rFonts w:ascii="Times New Roman" w:eastAsia="Calibri" w:hAnsi="Times New Roman" w:cs="Times New Roman"/>
          <w:b/>
          <w:sz w:val="24"/>
          <w:szCs w:val="24"/>
        </w:rPr>
        <w:t>III.</w:t>
      </w:r>
      <w:r w:rsidR="00791D10" w:rsidRPr="00001432">
        <w:rPr>
          <w:rFonts w:ascii="Times New Roman" w:eastAsia="Calibri" w:hAnsi="Times New Roman" w:cs="Times New Roman"/>
          <w:b/>
          <w:sz w:val="24"/>
          <w:szCs w:val="24"/>
        </w:rPr>
        <w:t xml:space="preserve"> </w:t>
      </w:r>
      <w:r w:rsidRPr="00001432">
        <w:rPr>
          <w:rFonts w:ascii="Times New Roman" w:eastAsia="Calibri" w:hAnsi="Times New Roman" w:cs="Times New Roman"/>
          <w:b/>
          <w:sz w:val="24"/>
          <w:szCs w:val="24"/>
        </w:rPr>
        <w:t xml:space="preserve"> Implementation of European Court Decisions on Complaints of Ill-treatment in Closed Institutions</w:t>
      </w:r>
    </w:p>
    <w:p w14:paraId="599E2E0A" w14:textId="77777777" w:rsidR="00A06E6E" w:rsidRPr="00001432" w:rsidRDefault="00A06E6E">
      <w:pPr>
        <w:jc w:val="both"/>
        <w:rPr>
          <w:rFonts w:ascii="Times New Roman" w:eastAsia="Calibri" w:hAnsi="Times New Roman" w:cs="Times New Roman"/>
          <w:sz w:val="24"/>
          <w:szCs w:val="24"/>
        </w:rPr>
      </w:pPr>
    </w:p>
    <w:p w14:paraId="245920DB" w14:textId="77777777" w:rsidR="00A06E6E" w:rsidRPr="00001432" w:rsidRDefault="00000000">
      <w:pPr>
        <w:jc w:val="both"/>
        <w:rPr>
          <w:rFonts w:ascii="Times New Roman" w:eastAsia="Calibri" w:hAnsi="Times New Roman" w:cs="Times New Roman"/>
          <w:b/>
          <w:i/>
          <w:sz w:val="24"/>
          <w:szCs w:val="24"/>
        </w:rPr>
      </w:pPr>
      <w:r w:rsidRPr="00001432">
        <w:rPr>
          <w:rFonts w:ascii="Times New Roman" w:eastAsia="Calibri" w:hAnsi="Times New Roman" w:cs="Times New Roman"/>
          <w:b/>
          <w:i/>
          <w:sz w:val="24"/>
          <w:szCs w:val="24"/>
        </w:rPr>
        <w:t>1. Status of Implementation of Decisions on Specific Cases</w:t>
      </w:r>
    </w:p>
    <w:p w14:paraId="0A4E48A1" w14:textId="77777777" w:rsidR="00A06E6E" w:rsidRPr="00001432" w:rsidRDefault="00A06E6E">
      <w:pPr>
        <w:jc w:val="both"/>
        <w:rPr>
          <w:rFonts w:ascii="Times New Roman" w:eastAsia="Calibri" w:hAnsi="Times New Roman" w:cs="Times New Roman"/>
          <w:sz w:val="24"/>
          <w:szCs w:val="24"/>
        </w:rPr>
      </w:pPr>
    </w:p>
    <w:p w14:paraId="752F8DD5" w14:textId="77777777" w:rsidR="00791D10" w:rsidRPr="00001432" w:rsidRDefault="00000000" w:rsidP="00791D10">
      <w:pPr>
        <w:pStyle w:val="ListParagraph"/>
        <w:numPr>
          <w:ilvl w:val="2"/>
          <w:numId w:val="1"/>
        </w:numPr>
        <w:tabs>
          <w:tab w:val="left" w:pos="426"/>
        </w:tabs>
        <w:ind w:left="284" w:hanging="284"/>
        <w:jc w:val="both"/>
        <w:rPr>
          <w:rFonts w:ascii="Times New Roman" w:eastAsia="Calibri" w:hAnsi="Times New Roman" w:cs="Times New Roman"/>
          <w:sz w:val="24"/>
          <w:szCs w:val="24"/>
        </w:rPr>
      </w:pPr>
      <w:r w:rsidRPr="00001432">
        <w:rPr>
          <w:rFonts w:ascii="Times New Roman" w:eastAsia="Calibri" w:hAnsi="Times New Roman" w:cs="Times New Roman"/>
          <w:sz w:val="24"/>
          <w:szCs w:val="24"/>
        </w:rPr>
        <w:t>The Department for the Implementation of Judgments of the European Court of Human Rights (HUDOC)</w:t>
      </w:r>
      <w:r w:rsidRPr="00001432">
        <w:rPr>
          <w:rFonts w:ascii="Times New Roman" w:hAnsi="Times New Roman" w:cs="Times New Roman"/>
          <w:sz w:val="24"/>
          <w:szCs w:val="24"/>
          <w:vertAlign w:val="superscript"/>
        </w:rPr>
        <w:footnoteReference w:id="98"/>
      </w:r>
      <w:r w:rsidRPr="00001432">
        <w:rPr>
          <w:rFonts w:ascii="Times New Roman" w:eastAsia="Calibri" w:hAnsi="Times New Roman" w:cs="Times New Roman"/>
          <w:sz w:val="24"/>
          <w:szCs w:val="24"/>
        </w:rPr>
        <w:t>, tasked with overseeing the implementation of ECtHR judgments, has categorized judgments concerning ill-treatment in closed environments into several groups:</w:t>
      </w:r>
    </w:p>
    <w:p w14:paraId="66EB3B13" w14:textId="77777777" w:rsidR="00791D10" w:rsidRPr="00001432" w:rsidRDefault="00000000" w:rsidP="00791D10">
      <w:pPr>
        <w:pStyle w:val="ListParagraph"/>
        <w:numPr>
          <w:ilvl w:val="0"/>
          <w:numId w:val="6"/>
        </w:numPr>
        <w:tabs>
          <w:tab w:val="left" w:pos="426"/>
        </w:tabs>
        <w:ind w:left="1134" w:hanging="425"/>
        <w:jc w:val="both"/>
        <w:rPr>
          <w:rFonts w:ascii="Times New Roman" w:eastAsia="Calibri" w:hAnsi="Times New Roman" w:cs="Times New Roman"/>
          <w:sz w:val="24"/>
          <w:szCs w:val="24"/>
        </w:rPr>
      </w:pPr>
      <w:r w:rsidRPr="00001432">
        <w:rPr>
          <w:rFonts w:ascii="Times New Roman" w:eastAsia="Calibri" w:hAnsi="Times New Roman" w:cs="Times New Roman"/>
          <w:sz w:val="24"/>
          <w:szCs w:val="24"/>
        </w:rPr>
        <w:t>The implementation of 14 ECtHR judgments related to Azerbaijan is being overseen under the Mammadov (</w:t>
      </w:r>
      <w:proofErr w:type="spellStart"/>
      <w:r w:rsidRPr="00001432">
        <w:rPr>
          <w:rFonts w:ascii="Times New Roman" w:eastAsia="Calibri" w:hAnsi="Times New Roman" w:cs="Times New Roman"/>
          <w:sz w:val="24"/>
          <w:szCs w:val="24"/>
        </w:rPr>
        <w:t>Jalaloglu</w:t>
      </w:r>
      <w:proofErr w:type="spellEnd"/>
      <w:r w:rsidRPr="00001432">
        <w:rPr>
          <w:rFonts w:ascii="Times New Roman" w:eastAsia="Calibri" w:hAnsi="Times New Roman" w:cs="Times New Roman"/>
          <w:sz w:val="24"/>
          <w:szCs w:val="24"/>
        </w:rPr>
        <w:t>) group, which encompasses cases concerning police ill-treatment. Out of these, 5 judgments</w:t>
      </w:r>
      <w:r w:rsidRPr="00001432">
        <w:rPr>
          <w:rFonts w:ascii="Times New Roman" w:hAnsi="Times New Roman" w:cs="Times New Roman"/>
          <w:sz w:val="24"/>
          <w:szCs w:val="24"/>
          <w:vertAlign w:val="superscript"/>
        </w:rPr>
        <w:footnoteReference w:id="99"/>
      </w:r>
      <w:r w:rsidRPr="00001432">
        <w:rPr>
          <w:rFonts w:ascii="Times New Roman" w:eastAsia="Calibri" w:hAnsi="Times New Roman" w:cs="Times New Roman"/>
          <w:sz w:val="24"/>
          <w:szCs w:val="24"/>
        </w:rPr>
        <w:t xml:space="preserve"> specifically pertain to </w:t>
      </w:r>
      <w:r w:rsidRPr="00001432">
        <w:rPr>
          <w:rFonts w:ascii="Times New Roman" w:eastAsia="Calibri" w:hAnsi="Times New Roman" w:cs="Times New Roman"/>
          <w:sz w:val="24"/>
          <w:szCs w:val="24"/>
        </w:rPr>
        <w:lastRenderedPageBreak/>
        <w:t>ill-treatment in places of confinement. The individual measures providing redress to the applicants of this group have not been fully executed. The required information regarding the steps to reopen proceedings at the national level has not been furnished to the Council of Europe Committee of Ministers.</w:t>
      </w:r>
      <w:r w:rsidRPr="00001432">
        <w:rPr>
          <w:rFonts w:ascii="Times New Roman" w:hAnsi="Times New Roman" w:cs="Times New Roman"/>
          <w:sz w:val="24"/>
          <w:szCs w:val="24"/>
          <w:vertAlign w:val="superscript"/>
        </w:rPr>
        <w:footnoteReference w:id="100"/>
      </w:r>
    </w:p>
    <w:p w14:paraId="15C2FEE6" w14:textId="57D02368" w:rsidR="00A06E6E" w:rsidRPr="00001432" w:rsidRDefault="00000000" w:rsidP="00791D10">
      <w:pPr>
        <w:pStyle w:val="ListParagraph"/>
        <w:numPr>
          <w:ilvl w:val="0"/>
          <w:numId w:val="6"/>
        </w:numPr>
        <w:tabs>
          <w:tab w:val="left" w:pos="426"/>
        </w:tabs>
        <w:ind w:left="1134" w:hanging="425"/>
        <w:jc w:val="both"/>
        <w:rPr>
          <w:rFonts w:ascii="Times New Roman" w:eastAsia="Calibri" w:hAnsi="Times New Roman" w:cs="Times New Roman"/>
          <w:sz w:val="24"/>
          <w:szCs w:val="24"/>
        </w:rPr>
      </w:pPr>
      <w:r w:rsidRPr="00001432">
        <w:rPr>
          <w:rFonts w:ascii="Times New Roman" w:eastAsia="Calibri" w:hAnsi="Times New Roman" w:cs="Times New Roman"/>
          <w:sz w:val="24"/>
          <w:szCs w:val="24"/>
        </w:rPr>
        <w:t>The resolution concerning the general measures that need to be undertaken as part of the execution of these judgments, including the Mammadov (</w:t>
      </w:r>
      <w:proofErr w:type="spellStart"/>
      <w:r w:rsidRPr="00001432">
        <w:rPr>
          <w:rFonts w:ascii="Times New Roman" w:eastAsia="Calibri" w:hAnsi="Times New Roman" w:cs="Times New Roman"/>
          <w:sz w:val="24"/>
          <w:szCs w:val="24"/>
        </w:rPr>
        <w:t>Jalaloglu</w:t>
      </w:r>
      <w:proofErr w:type="spellEnd"/>
      <w:r w:rsidRPr="00001432">
        <w:rPr>
          <w:rFonts w:ascii="Times New Roman" w:eastAsia="Calibri" w:hAnsi="Times New Roman" w:cs="Times New Roman"/>
          <w:sz w:val="24"/>
          <w:szCs w:val="24"/>
        </w:rPr>
        <w:t xml:space="preserve">) group, underscores the necessity to improve the effectiveness of investigations, prevent incidents of ill-treatment, and requests the government to report back to the Council of Ministers. The government has been given a deadline until 30 June 2024 to submit the information. The status of the implementation of the </w:t>
      </w:r>
      <w:proofErr w:type="gramStart"/>
      <w:r w:rsidRPr="00001432">
        <w:rPr>
          <w:rFonts w:ascii="Times New Roman" w:eastAsia="Calibri" w:hAnsi="Times New Roman" w:cs="Times New Roman"/>
          <w:sz w:val="24"/>
          <w:szCs w:val="24"/>
        </w:rPr>
        <w:t>aforementioned judgments</w:t>
      </w:r>
      <w:proofErr w:type="gramEnd"/>
      <w:r w:rsidRPr="00001432">
        <w:rPr>
          <w:rFonts w:ascii="Times New Roman" w:eastAsia="Calibri" w:hAnsi="Times New Roman" w:cs="Times New Roman"/>
          <w:sz w:val="24"/>
          <w:szCs w:val="24"/>
        </w:rPr>
        <w:t xml:space="preserve"> will be revisited at one of the Committee of Ministers' meetings in December 2024</w:t>
      </w:r>
      <w:r w:rsidRPr="00001432">
        <w:rPr>
          <w:rFonts w:ascii="Times New Roman" w:hAnsi="Times New Roman" w:cs="Times New Roman"/>
          <w:sz w:val="24"/>
          <w:szCs w:val="24"/>
          <w:vertAlign w:val="superscript"/>
        </w:rPr>
        <w:footnoteReference w:id="101"/>
      </w:r>
      <w:r w:rsidRPr="00001432">
        <w:rPr>
          <w:rFonts w:ascii="Times New Roman" w:eastAsia="Calibri" w:hAnsi="Times New Roman" w:cs="Times New Roman"/>
          <w:sz w:val="24"/>
          <w:szCs w:val="24"/>
        </w:rPr>
        <w:t xml:space="preserve">. </w:t>
      </w:r>
    </w:p>
    <w:p w14:paraId="44F091E6" w14:textId="77777777" w:rsidR="00791D10" w:rsidRPr="00001432" w:rsidRDefault="00000000" w:rsidP="00791D10">
      <w:pPr>
        <w:pStyle w:val="ListParagraph"/>
        <w:numPr>
          <w:ilvl w:val="2"/>
          <w:numId w:val="1"/>
        </w:numPr>
        <w:tabs>
          <w:tab w:val="left" w:pos="426"/>
        </w:tabs>
        <w:ind w:left="284" w:hanging="284"/>
        <w:jc w:val="both"/>
        <w:rPr>
          <w:rFonts w:ascii="Times New Roman" w:eastAsia="Calibri" w:hAnsi="Times New Roman" w:cs="Times New Roman"/>
          <w:sz w:val="24"/>
          <w:szCs w:val="24"/>
        </w:rPr>
      </w:pPr>
      <w:r w:rsidRPr="00001432">
        <w:rPr>
          <w:rFonts w:ascii="Times New Roman" w:eastAsia="Calibri" w:hAnsi="Times New Roman" w:cs="Times New Roman"/>
          <w:sz w:val="24"/>
          <w:szCs w:val="24"/>
        </w:rPr>
        <w:t>Two judgments</w:t>
      </w:r>
      <w:r w:rsidRPr="00001432">
        <w:rPr>
          <w:rFonts w:ascii="Times New Roman" w:hAnsi="Times New Roman" w:cs="Times New Roman"/>
          <w:sz w:val="24"/>
          <w:szCs w:val="24"/>
          <w:vertAlign w:val="superscript"/>
        </w:rPr>
        <w:footnoteReference w:id="102"/>
      </w:r>
      <w:r w:rsidRPr="00001432">
        <w:rPr>
          <w:rFonts w:ascii="Times New Roman" w:eastAsia="Calibri" w:hAnsi="Times New Roman" w:cs="Times New Roman"/>
          <w:sz w:val="24"/>
          <w:szCs w:val="24"/>
        </w:rPr>
        <w:t xml:space="preserve"> are being implemented under the </w:t>
      </w:r>
      <w:proofErr w:type="spellStart"/>
      <w:r w:rsidRPr="00001432">
        <w:rPr>
          <w:rFonts w:ascii="Times New Roman" w:eastAsia="Calibri" w:hAnsi="Times New Roman" w:cs="Times New Roman"/>
          <w:i/>
          <w:sz w:val="24"/>
          <w:szCs w:val="24"/>
        </w:rPr>
        <w:t>Hummatov</w:t>
      </w:r>
      <w:proofErr w:type="spellEnd"/>
      <w:r w:rsidRPr="00001432">
        <w:rPr>
          <w:rFonts w:ascii="Times New Roman" w:eastAsia="Calibri" w:hAnsi="Times New Roman" w:cs="Times New Roman"/>
          <w:i/>
          <w:sz w:val="24"/>
          <w:szCs w:val="24"/>
        </w:rPr>
        <w:t xml:space="preserve"> group</w:t>
      </w:r>
      <w:r w:rsidRPr="00001432">
        <w:rPr>
          <w:rFonts w:ascii="Times New Roman" w:eastAsia="Calibri" w:hAnsi="Times New Roman" w:cs="Times New Roman"/>
          <w:sz w:val="24"/>
          <w:szCs w:val="24"/>
        </w:rPr>
        <w:t>, which includes cases regarding the necessity of medical treatment in detention. Both cases involved allegations of mistreatment within closed settings. The execution of individual measures for both judgments has been partially realized.</w:t>
      </w:r>
      <w:r w:rsidRPr="00001432">
        <w:rPr>
          <w:rFonts w:ascii="Times New Roman" w:hAnsi="Times New Roman" w:cs="Times New Roman"/>
          <w:i/>
          <w:sz w:val="24"/>
          <w:szCs w:val="24"/>
          <w:vertAlign w:val="superscript"/>
        </w:rPr>
        <w:footnoteReference w:id="103"/>
      </w:r>
    </w:p>
    <w:p w14:paraId="043E07C4" w14:textId="546F17CA" w:rsidR="00A06E6E" w:rsidRPr="00001432" w:rsidRDefault="00000000" w:rsidP="00791D10">
      <w:pPr>
        <w:pStyle w:val="ListParagraph"/>
        <w:numPr>
          <w:ilvl w:val="2"/>
          <w:numId w:val="1"/>
        </w:numPr>
        <w:tabs>
          <w:tab w:val="left" w:pos="426"/>
        </w:tabs>
        <w:ind w:left="284" w:hanging="284"/>
        <w:jc w:val="both"/>
        <w:rPr>
          <w:rFonts w:ascii="Times New Roman" w:eastAsia="Calibri" w:hAnsi="Times New Roman" w:cs="Times New Roman"/>
          <w:sz w:val="24"/>
          <w:szCs w:val="24"/>
        </w:rPr>
      </w:pPr>
      <w:r w:rsidRPr="00001432">
        <w:rPr>
          <w:rFonts w:ascii="Times New Roman" w:eastAsia="Calibri" w:hAnsi="Times New Roman" w:cs="Times New Roman"/>
          <w:sz w:val="24"/>
          <w:szCs w:val="24"/>
        </w:rPr>
        <w:t>Lastly, the enforcement of 2 judgments</w:t>
      </w:r>
      <w:r w:rsidRPr="00001432">
        <w:rPr>
          <w:rFonts w:ascii="Times New Roman" w:hAnsi="Times New Roman" w:cs="Times New Roman"/>
          <w:sz w:val="24"/>
          <w:szCs w:val="24"/>
          <w:vertAlign w:val="superscript"/>
        </w:rPr>
        <w:footnoteReference w:id="104"/>
      </w:r>
      <w:r w:rsidRPr="00001432">
        <w:rPr>
          <w:rFonts w:ascii="Times New Roman" w:eastAsia="Calibri" w:hAnsi="Times New Roman" w:cs="Times New Roman"/>
          <w:sz w:val="24"/>
          <w:szCs w:val="24"/>
        </w:rPr>
        <w:t xml:space="preserve"> is being tracked under the </w:t>
      </w:r>
      <w:proofErr w:type="spellStart"/>
      <w:r w:rsidRPr="00001432">
        <w:rPr>
          <w:rFonts w:ascii="Times New Roman" w:eastAsia="Calibri" w:hAnsi="Times New Roman" w:cs="Times New Roman"/>
          <w:sz w:val="24"/>
          <w:szCs w:val="24"/>
        </w:rPr>
        <w:t>Insanov</w:t>
      </w:r>
      <w:proofErr w:type="spellEnd"/>
      <w:r w:rsidRPr="00001432">
        <w:rPr>
          <w:rFonts w:ascii="Times New Roman" w:eastAsia="Calibri" w:hAnsi="Times New Roman" w:cs="Times New Roman"/>
          <w:sz w:val="24"/>
          <w:szCs w:val="24"/>
        </w:rPr>
        <w:t xml:space="preserve"> group, which deals with cases of ill-treatment stemming from conditions of detention. Both decisions substantively address ill-treatment in confinement and have been partially satisfied.</w:t>
      </w:r>
      <w:r w:rsidRPr="00001432">
        <w:rPr>
          <w:rFonts w:ascii="Times New Roman" w:hAnsi="Times New Roman" w:cs="Times New Roman"/>
          <w:sz w:val="24"/>
          <w:szCs w:val="24"/>
          <w:vertAlign w:val="superscript"/>
        </w:rPr>
        <w:footnoteReference w:id="105"/>
      </w:r>
      <w:r w:rsidRPr="00001432">
        <w:rPr>
          <w:rFonts w:ascii="Times New Roman" w:eastAsia="Calibri" w:hAnsi="Times New Roman" w:cs="Times New Roman"/>
          <w:sz w:val="24"/>
          <w:szCs w:val="24"/>
        </w:rPr>
        <w:t xml:space="preserve"> On February 7, 2019, the authorities submitted an updated action plan concerning the </w:t>
      </w:r>
      <w:proofErr w:type="spellStart"/>
      <w:r w:rsidRPr="00001432">
        <w:rPr>
          <w:rFonts w:ascii="Times New Roman" w:eastAsia="Calibri" w:hAnsi="Times New Roman" w:cs="Times New Roman"/>
          <w:i/>
          <w:sz w:val="24"/>
          <w:szCs w:val="24"/>
        </w:rPr>
        <w:t>Insanov</w:t>
      </w:r>
      <w:proofErr w:type="spellEnd"/>
      <w:r w:rsidRPr="00001432">
        <w:rPr>
          <w:rFonts w:ascii="Times New Roman" w:eastAsia="Calibri" w:hAnsi="Times New Roman" w:cs="Times New Roman"/>
          <w:i/>
          <w:sz w:val="24"/>
          <w:szCs w:val="24"/>
        </w:rPr>
        <w:t xml:space="preserve"> case</w:t>
      </w:r>
      <w:r w:rsidRPr="00001432">
        <w:rPr>
          <w:rFonts w:ascii="Times New Roman" w:eastAsia="Calibri" w:hAnsi="Times New Roman" w:cs="Times New Roman"/>
          <w:sz w:val="24"/>
          <w:szCs w:val="24"/>
        </w:rPr>
        <w:t xml:space="preserve">, whereas information pertaining to the </w:t>
      </w:r>
      <w:proofErr w:type="spellStart"/>
      <w:r w:rsidRPr="00001432">
        <w:rPr>
          <w:rFonts w:ascii="Times New Roman" w:eastAsia="Calibri" w:hAnsi="Times New Roman" w:cs="Times New Roman"/>
          <w:sz w:val="24"/>
          <w:szCs w:val="24"/>
        </w:rPr>
        <w:t>Rzakhanov</w:t>
      </w:r>
      <w:proofErr w:type="spellEnd"/>
      <w:r w:rsidRPr="00001432">
        <w:rPr>
          <w:rFonts w:ascii="Times New Roman" w:eastAsia="Calibri" w:hAnsi="Times New Roman" w:cs="Times New Roman"/>
          <w:sz w:val="24"/>
          <w:szCs w:val="24"/>
        </w:rPr>
        <w:t xml:space="preserve"> case is still pending.</w:t>
      </w:r>
      <w:r w:rsidRPr="00001432">
        <w:rPr>
          <w:rFonts w:ascii="Times New Roman" w:hAnsi="Times New Roman" w:cs="Times New Roman"/>
          <w:sz w:val="24"/>
          <w:szCs w:val="24"/>
          <w:vertAlign w:val="superscript"/>
        </w:rPr>
        <w:footnoteReference w:id="106"/>
      </w:r>
    </w:p>
    <w:p w14:paraId="0FE03A8F" w14:textId="77777777" w:rsidR="00A06E6E" w:rsidRPr="00001432" w:rsidRDefault="00A06E6E">
      <w:pPr>
        <w:jc w:val="both"/>
        <w:rPr>
          <w:rFonts w:ascii="Times New Roman" w:eastAsia="Calibri" w:hAnsi="Times New Roman" w:cs="Times New Roman"/>
          <w:sz w:val="24"/>
          <w:szCs w:val="24"/>
        </w:rPr>
      </w:pPr>
    </w:p>
    <w:p w14:paraId="28334735" w14:textId="4F5064BE" w:rsidR="00A06E6E" w:rsidRPr="00001432" w:rsidRDefault="00000000">
      <w:pPr>
        <w:jc w:val="both"/>
        <w:rPr>
          <w:rFonts w:ascii="Times New Roman" w:eastAsia="Calibri" w:hAnsi="Times New Roman" w:cs="Times New Roman"/>
          <w:b/>
          <w:i/>
          <w:sz w:val="24"/>
          <w:szCs w:val="24"/>
        </w:rPr>
      </w:pPr>
      <w:r w:rsidRPr="00001432">
        <w:rPr>
          <w:rFonts w:ascii="Times New Roman" w:eastAsia="Calibri" w:hAnsi="Times New Roman" w:cs="Times New Roman"/>
          <w:b/>
          <w:i/>
          <w:sz w:val="24"/>
          <w:szCs w:val="24"/>
        </w:rPr>
        <w:t>2.</w:t>
      </w:r>
      <w:r w:rsidR="00791D10" w:rsidRPr="00001432">
        <w:rPr>
          <w:rFonts w:ascii="Times New Roman" w:eastAsia="Calibri" w:hAnsi="Times New Roman" w:cs="Times New Roman"/>
          <w:b/>
          <w:i/>
          <w:sz w:val="24"/>
          <w:szCs w:val="24"/>
        </w:rPr>
        <w:t xml:space="preserve"> </w:t>
      </w:r>
      <w:r w:rsidRPr="00001432">
        <w:rPr>
          <w:rFonts w:ascii="Times New Roman" w:eastAsia="Calibri" w:hAnsi="Times New Roman" w:cs="Times New Roman"/>
          <w:b/>
          <w:i/>
          <w:sz w:val="24"/>
          <w:szCs w:val="24"/>
        </w:rPr>
        <w:t>General Recommendations of the Council of Europe's Committee of Ministers to the Government of Azerbaijan</w:t>
      </w:r>
    </w:p>
    <w:p w14:paraId="523F8C20" w14:textId="77777777" w:rsidR="00A06E6E" w:rsidRPr="00001432" w:rsidRDefault="00A06E6E">
      <w:pPr>
        <w:jc w:val="both"/>
        <w:rPr>
          <w:rFonts w:ascii="Times New Roman" w:eastAsia="Calibri" w:hAnsi="Times New Roman" w:cs="Times New Roman"/>
          <w:sz w:val="24"/>
          <w:szCs w:val="24"/>
        </w:rPr>
      </w:pPr>
    </w:p>
    <w:p w14:paraId="6AEF9997" w14:textId="591AB870" w:rsidR="00A06E6E" w:rsidRPr="00001432" w:rsidRDefault="00000000" w:rsidP="00791D10">
      <w:pPr>
        <w:pStyle w:val="ListParagraph"/>
        <w:numPr>
          <w:ilvl w:val="2"/>
          <w:numId w:val="1"/>
        </w:numPr>
        <w:tabs>
          <w:tab w:val="left" w:pos="426"/>
        </w:tabs>
        <w:ind w:left="284" w:hanging="284"/>
        <w:jc w:val="both"/>
        <w:rPr>
          <w:rFonts w:ascii="Times New Roman" w:eastAsia="Calibri" w:hAnsi="Times New Roman" w:cs="Times New Roman"/>
          <w:sz w:val="24"/>
          <w:szCs w:val="24"/>
        </w:rPr>
      </w:pPr>
      <w:r w:rsidRPr="00001432">
        <w:rPr>
          <w:rFonts w:ascii="Times New Roman" w:eastAsia="Calibri" w:hAnsi="Times New Roman" w:cs="Times New Roman"/>
          <w:sz w:val="24"/>
          <w:szCs w:val="24"/>
        </w:rPr>
        <w:t>Despite the Council of Europe Committee (</w:t>
      </w:r>
      <w:proofErr w:type="spellStart"/>
      <w:r w:rsidRPr="00001432">
        <w:rPr>
          <w:rFonts w:ascii="Times New Roman" w:eastAsia="Calibri" w:hAnsi="Times New Roman" w:cs="Times New Roman"/>
          <w:sz w:val="24"/>
          <w:szCs w:val="24"/>
        </w:rPr>
        <w:t>CoE</w:t>
      </w:r>
      <w:proofErr w:type="spellEnd"/>
      <w:r w:rsidRPr="00001432">
        <w:rPr>
          <w:rFonts w:ascii="Times New Roman" w:eastAsia="Calibri" w:hAnsi="Times New Roman" w:cs="Times New Roman"/>
          <w:sz w:val="24"/>
          <w:szCs w:val="24"/>
        </w:rPr>
        <w:t>) tasked with overseeing the implementation of the European Court of Human Rights (ECHR) judgments providing several recommendations to the Government of Azerbaijan to address ill-treatment in closed institutions, these have not yet been implemented:</w:t>
      </w:r>
    </w:p>
    <w:p w14:paraId="04E41A43" w14:textId="77777777" w:rsidR="00A06E6E" w:rsidRPr="00001432" w:rsidRDefault="00A06E6E">
      <w:pPr>
        <w:jc w:val="both"/>
        <w:rPr>
          <w:rFonts w:ascii="Times New Roman" w:eastAsia="Calibri" w:hAnsi="Times New Roman" w:cs="Times New Roman"/>
          <w:sz w:val="24"/>
          <w:szCs w:val="24"/>
        </w:rPr>
      </w:pPr>
    </w:p>
    <w:p w14:paraId="3DD03F1A" w14:textId="77777777" w:rsidR="00A06E6E" w:rsidRPr="00001432" w:rsidRDefault="00000000">
      <w:pPr>
        <w:numPr>
          <w:ilvl w:val="0"/>
          <w:numId w:val="2"/>
        </w:numPr>
        <w:ind w:left="566"/>
        <w:jc w:val="both"/>
        <w:rPr>
          <w:rFonts w:ascii="Times New Roman" w:hAnsi="Times New Roman" w:cs="Times New Roman"/>
          <w:sz w:val="24"/>
          <w:szCs w:val="24"/>
        </w:rPr>
      </w:pPr>
      <w:r w:rsidRPr="00001432">
        <w:rPr>
          <w:rFonts w:ascii="Times New Roman" w:eastAsia="Calibri" w:hAnsi="Times New Roman" w:cs="Times New Roman"/>
          <w:sz w:val="24"/>
          <w:szCs w:val="24"/>
        </w:rPr>
        <w:t xml:space="preserve">The Committee has strongly recommended that the country permit the publication of all future reports from the European Committee for the Prevention of Torture (CPT) along </w:t>
      </w:r>
      <w:r w:rsidRPr="00001432">
        <w:rPr>
          <w:rFonts w:ascii="Times New Roman" w:eastAsia="Calibri" w:hAnsi="Times New Roman" w:cs="Times New Roman"/>
          <w:sz w:val="24"/>
          <w:szCs w:val="24"/>
        </w:rPr>
        <w:lastRenderedPageBreak/>
        <w:t>with the authorities' responses.</w:t>
      </w:r>
      <w:r w:rsidRPr="00001432">
        <w:rPr>
          <w:rFonts w:ascii="Times New Roman" w:eastAsia="Calibri" w:hAnsi="Times New Roman" w:cs="Times New Roman"/>
          <w:sz w:val="24"/>
          <w:szCs w:val="24"/>
          <w:shd w:val="clear" w:color="auto" w:fill="FDFDFD"/>
          <w:vertAlign w:val="superscript"/>
        </w:rPr>
        <w:footnoteReference w:id="107"/>
      </w:r>
      <w:r w:rsidRPr="00001432">
        <w:rPr>
          <w:rFonts w:ascii="Times New Roman" w:eastAsia="Calibri" w:hAnsi="Times New Roman" w:cs="Times New Roman"/>
          <w:sz w:val="24"/>
          <w:szCs w:val="24"/>
        </w:rPr>
        <w:t xml:space="preserve"> It is noted that the Azerbaijani government shows a lack of interest in disclosing not only the CPT reports concerning cases of ill-treatment but also information from other local and international organizations.</w:t>
      </w:r>
      <w:r w:rsidRPr="00001432">
        <w:rPr>
          <w:rFonts w:ascii="Times New Roman" w:eastAsia="Calibri" w:hAnsi="Times New Roman" w:cs="Times New Roman"/>
          <w:sz w:val="24"/>
          <w:szCs w:val="24"/>
          <w:shd w:val="clear" w:color="auto" w:fill="FDFDFD"/>
          <w:vertAlign w:val="superscript"/>
        </w:rPr>
        <w:footnoteReference w:id="108"/>
      </w:r>
    </w:p>
    <w:p w14:paraId="79119C36" w14:textId="77777777" w:rsidR="00A06E6E" w:rsidRPr="00001432" w:rsidRDefault="00A06E6E">
      <w:pPr>
        <w:jc w:val="both"/>
        <w:rPr>
          <w:rFonts w:ascii="Times New Roman" w:eastAsia="Calibri" w:hAnsi="Times New Roman" w:cs="Times New Roman"/>
          <w:sz w:val="24"/>
          <w:szCs w:val="24"/>
        </w:rPr>
      </w:pPr>
    </w:p>
    <w:p w14:paraId="33A2C6AB" w14:textId="77777777" w:rsidR="00A06E6E" w:rsidRPr="00001432" w:rsidRDefault="00000000">
      <w:pPr>
        <w:numPr>
          <w:ilvl w:val="0"/>
          <w:numId w:val="2"/>
        </w:numPr>
        <w:ind w:left="566"/>
        <w:jc w:val="both"/>
        <w:rPr>
          <w:rFonts w:ascii="Times New Roman" w:hAnsi="Times New Roman" w:cs="Times New Roman"/>
          <w:sz w:val="24"/>
          <w:szCs w:val="24"/>
        </w:rPr>
      </w:pPr>
      <w:r w:rsidRPr="00001432">
        <w:rPr>
          <w:rFonts w:ascii="Times New Roman" w:eastAsia="Calibri" w:hAnsi="Times New Roman" w:cs="Times New Roman"/>
          <w:sz w:val="24"/>
          <w:szCs w:val="24"/>
        </w:rPr>
        <w:t>With grave concern, the Committee points to the conclusions drawn by the CPT, specifically the 2017 report on Azerbaijan that underscored the systematic nature of torture and other forms of ill-treatment, as well as the ineffectiveness of investigations.</w:t>
      </w:r>
      <w:r w:rsidRPr="00001432">
        <w:rPr>
          <w:rFonts w:ascii="Times New Roman" w:eastAsia="Calibri" w:hAnsi="Times New Roman" w:cs="Times New Roman"/>
          <w:sz w:val="24"/>
          <w:szCs w:val="24"/>
          <w:shd w:val="clear" w:color="auto" w:fill="FDFDFD"/>
          <w:vertAlign w:val="superscript"/>
        </w:rPr>
        <w:footnoteReference w:id="109"/>
      </w:r>
      <w:r w:rsidRPr="00001432">
        <w:rPr>
          <w:rFonts w:ascii="Times New Roman" w:eastAsia="Calibri" w:hAnsi="Times New Roman" w:cs="Times New Roman"/>
          <w:sz w:val="24"/>
          <w:szCs w:val="24"/>
        </w:rPr>
        <w:t xml:space="preserve"> The Committee urges the authorities to give due consideration to the CPT’s recommendations. Time has passed, yet these recommendations remain unaddressed. For instance, the CPT suggested that the issue of inadequate separation between the detention center and the Investigative Department of the State Security Service could be resolved by transferring responsibility for the detention center to the Ministry of Justice, as it operates de facto as a pre-trial detention center.</w:t>
      </w:r>
      <w:r w:rsidRPr="00001432">
        <w:rPr>
          <w:rFonts w:ascii="Times New Roman" w:eastAsia="Calibri" w:hAnsi="Times New Roman" w:cs="Times New Roman"/>
          <w:sz w:val="24"/>
          <w:szCs w:val="24"/>
          <w:shd w:val="clear" w:color="auto" w:fill="FDFDFD"/>
          <w:vertAlign w:val="superscript"/>
        </w:rPr>
        <w:footnoteReference w:id="110"/>
      </w:r>
      <w:r w:rsidRPr="00001432">
        <w:rPr>
          <w:rFonts w:ascii="Times New Roman" w:eastAsia="Calibri" w:hAnsi="Times New Roman" w:cs="Times New Roman"/>
          <w:sz w:val="24"/>
          <w:szCs w:val="24"/>
        </w:rPr>
        <w:t xml:space="preserve"> This issue persists</w:t>
      </w:r>
      <w:r w:rsidRPr="00001432">
        <w:rPr>
          <w:rFonts w:ascii="Times New Roman" w:eastAsia="Calibri" w:hAnsi="Times New Roman" w:cs="Times New Roman"/>
          <w:sz w:val="24"/>
          <w:szCs w:val="24"/>
          <w:shd w:val="clear" w:color="auto" w:fill="FDFDFD"/>
          <w:vertAlign w:val="superscript"/>
        </w:rPr>
        <w:footnoteReference w:id="111"/>
      </w:r>
      <w:r w:rsidRPr="00001432">
        <w:rPr>
          <w:rFonts w:ascii="Times New Roman" w:eastAsia="Calibri" w:hAnsi="Times New Roman" w:cs="Times New Roman"/>
          <w:sz w:val="24"/>
          <w:szCs w:val="24"/>
        </w:rPr>
        <w:t>, and recommendations regarding detention conditions, medical care, and the treatment of detainees have been neglected.</w:t>
      </w:r>
      <w:r w:rsidRPr="00001432">
        <w:rPr>
          <w:rFonts w:ascii="Times New Roman" w:eastAsia="Calibri" w:hAnsi="Times New Roman" w:cs="Times New Roman"/>
          <w:sz w:val="24"/>
          <w:szCs w:val="24"/>
          <w:shd w:val="clear" w:color="auto" w:fill="FDFDFD"/>
          <w:vertAlign w:val="superscript"/>
        </w:rPr>
        <w:footnoteReference w:id="112"/>
      </w:r>
    </w:p>
    <w:p w14:paraId="06AC5C20" w14:textId="77777777" w:rsidR="00A06E6E" w:rsidRPr="00001432" w:rsidRDefault="00A06E6E">
      <w:pPr>
        <w:ind w:left="720"/>
        <w:jc w:val="both"/>
        <w:rPr>
          <w:rFonts w:ascii="Times New Roman" w:eastAsia="Calibri" w:hAnsi="Times New Roman" w:cs="Times New Roman"/>
          <w:sz w:val="24"/>
          <w:szCs w:val="24"/>
        </w:rPr>
      </w:pPr>
    </w:p>
    <w:p w14:paraId="2B07704D" w14:textId="21FE341F" w:rsidR="00A06E6E" w:rsidRPr="00001432" w:rsidRDefault="00000000" w:rsidP="00791D10">
      <w:pPr>
        <w:numPr>
          <w:ilvl w:val="0"/>
          <w:numId w:val="2"/>
        </w:numPr>
        <w:ind w:left="566"/>
        <w:jc w:val="both"/>
        <w:rPr>
          <w:rFonts w:ascii="Times New Roman" w:hAnsi="Times New Roman" w:cs="Times New Roman"/>
          <w:sz w:val="24"/>
          <w:szCs w:val="24"/>
        </w:rPr>
      </w:pPr>
      <w:r w:rsidRPr="00001432">
        <w:rPr>
          <w:rFonts w:ascii="Times New Roman" w:eastAsia="Calibri" w:hAnsi="Times New Roman" w:cs="Times New Roman"/>
          <w:sz w:val="24"/>
          <w:szCs w:val="24"/>
        </w:rPr>
        <w:t>In response to the government's remarks that following legislative changes in 2012, torture was classified as a serious crime under the Criminal Code, the Committee encourages the authorities to consider abolishing the exemption from liability for</w:t>
      </w:r>
      <w:r w:rsidR="00791D10" w:rsidRPr="00001432">
        <w:rPr>
          <w:rFonts w:ascii="Times New Roman" w:eastAsia="Calibri" w:hAnsi="Times New Roman" w:cs="Times New Roman"/>
          <w:sz w:val="24"/>
          <w:szCs w:val="24"/>
        </w:rPr>
        <w:t xml:space="preserve"> </w:t>
      </w:r>
      <w:r w:rsidRPr="00001432">
        <w:rPr>
          <w:rFonts w:ascii="Times New Roman" w:eastAsia="Calibri" w:hAnsi="Times New Roman" w:cs="Times New Roman"/>
          <w:sz w:val="24"/>
          <w:szCs w:val="24"/>
        </w:rPr>
        <w:t>torture offenses, aligning with practices in other member states and recommendations of the Committee.</w:t>
      </w:r>
      <w:r w:rsidRPr="00001432">
        <w:rPr>
          <w:rFonts w:ascii="Times New Roman" w:eastAsia="Calibri" w:hAnsi="Times New Roman" w:cs="Times New Roman"/>
          <w:sz w:val="24"/>
          <w:szCs w:val="24"/>
          <w:shd w:val="clear" w:color="auto" w:fill="FDFDFD"/>
          <w:vertAlign w:val="superscript"/>
        </w:rPr>
        <w:footnoteReference w:id="113"/>
      </w:r>
    </w:p>
    <w:p w14:paraId="63643C3B" w14:textId="3B2E8CB1" w:rsidR="00A06E6E" w:rsidRPr="00001432" w:rsidRDefault="00000000" w:rsidP="00791D10">
      <w:pPr>
        <w:numPr>
          <w:ilvl w:val="0"/>
          <w:numId w:val="2"/>
        </w:numPr>
        <w:ind w:left="566"/>
        <w:jc w:val="both"/>
        <w:rPr>
          <w:rFonts w:ascii="Times New Roman" w:hAnsi="Times New Roman" w:cs="Times New Roman"/>
          <w:sz w:val="24"/>
          <w:szCs w:val="24"/>
        </w:rPr>
      </w:pPr>
      <w:r w:rsidRPr="00001432">
        <w:rPr>
          <w:rFonts w:ascii="Times New Roman" w:eastAsia="Calibri" w:hAnsi="Times New Roman" w:cs="Times New Roman"/>
          <w:sz w:val="24"/>
          <w:szCs w:val="24"/>
        </w:rPr>
        <w:t>It is worth mentioning that five Council of Europe member states have already taken or are planning to take such actions.</w:t>
      </w:r>
      <w:r w:rsidRPr="00001432">
        <w:rPr>
          <w:rFonts w:ascii="Times New Roman" w:eastAsia="Calibri" w:hAnsi="Times New Roman" w:cs="Times New Roman"/>
          <w:sz w:val="24"/>
          <w:szCs w:val="24"/>
          <w:shd w:val="clear" w:color="auto" w:fill="FDFDFD"/>
          <w:vertAlign w:val="superscript"/>
        </w:rPr>
        <w:footnoteReference w:id="114"/>
      </w:r>
    </w:p>
    <w:p w14:paraId="7B2076DD" w14:textId="7BA053ED" w:rsidR="00A06E6E" w:rsidRPr="00001432" w:rsidRDefault="00000000" w:rsidP="00791D10">
      <w:pPr>
        <w:numPr>
          <w:ilvl w:val="0"/>
          <w:numId w:val="2"/>
        </w:numPr>
        <w:ind w:left="566"/>
        <w:jc w:val="both"/>
        <w:rPr>
          <w:rFonts w:ascii="Times New Roman" w:hAnsi="Times New Roman" w:cs="Times New Roman"/>
          <w:sz w:val="24"/>
          <w:szCs w:val="24"/>
        </w:rPr>
      </w:pPr>
      <w:r w:rsidRPr="00001432">
        <w:rPr>
          <w:rFonts w:ascii="Times New Roman" w:eastAsia="Calibri" w:hAnsi="Times New Roman" w:cs="Times New Roman"/>
          <w:sz w:val="24"/>
          <w:szCs w:val="24"/>
        </w:rPr>
        <w:t>The Committee believes it is essential for audio and video recordings to be made during all hearings.</w:t>
      </w:r>
      <w:r w:rsidRPr="00001432">
        <w:rPr>
          <w:rFonts w:ascii="Times New Roman" w:eastAsia="Calibri" w:hAnsi="Times New Roman" w:cs="Times New Roman"/>
          <w:sz w:val="24"/>
          <w:szCs w:val="24"/>
          <w:shd w:val="clear" w:color="auto" w:fill="FDFDFD"/>
          <w:vertAlign w:val="superscript"/>
        </w:rPr>
        <w:footnoteReference w:id="115"/>
      </w:r>
      <w:r w:rsidRPr="00001432">
        <w:rPr>
          <w:rFonts w:ascii="Times New Roman" w:eastAsia="Calibri" w:hAnsi="Times New Roman" w:cs="Times New Roman"/>
          <w:sz w:val="24"/>
          <w:szCs w:val="24"/>
        </w:rPr>
        <w:t xml:space="preserve"> At present, video recording is mandatory only in the absence of witnesses during searches or seizures.</w:t>
      </w:r>
      <w:r w:rsidRPr="00001432">
        <w:rPr>
          <w:rFonts w:ascii="Times New Roman" w:eastAsia="Calibri" w:hAnsi="Times New Roman" w:cs="Times New Roman"/>
          <w:sz w:val="24"/>
          <w:szCs w:val="24"/>
          <w:shd w:val="clear" w:color="auto" w:fill="FDFDFD"/>
          <w:vertAlign w:val="superscript"/>
        </w:rPr>
        <w:footnoteReference w:id="116"/>
      </w:r>
      <w:r w:rsidRPr="00001432">
        <w:rPr>
          <w:rFonts w:ascii="Times New Roman" w:eastAsia="Calibri" w:hAnsi="Times New Roman" w:cs="Times New Roman"/>
          <w:sz w:val="24"/>
          <w:szCs w:val="24"/>
        </w:rPr>
        <w:t xml:space="preserve"> It is up to the investigator's discretion to use such tools during the interrogation of witnesses, suspects, and accused individuals.</w:t>
      </w:r>
      <w:r w:rsidRPr="00001432">
        <w:rPr>
          <w:rFonts w:ascii="Times New Roman" w:eastAsia="Calibri" w:hAnsi="Times New Roman" w:cs="Times New Roman"/>
          <w:sz w:val="24"/>
          <w:szCs w:val="24"/>
          <w:shd w:val="clear" w:color="auto" w:fill="FDFDFD"/>
          <w:vertAlign w:val="superscript"/>
        </w:rPr>
        <w:footnoteReference w:id="117"/>
      </w:r>
    </w:p>
    <w:p w14:paraId="277CE4BD" w14:textId="77777777" w:rsidR="00A06E6E" w:rsidRPr="00001432" w:rsidRDefault="00A06E6E">
      <w:pPr>
        <w:jc w:val="both"/>
        <w:rPr>
          <w:rFonts w:ascii="Times New Roman" w:eastAsia="Calibri" w:hAnsi="Times New Roman" w:cs="Times New Roman"/>
          <w:sz w:val="24"/>
          <w:szCs w:val="24"/>
        </w:rPr>
      </w:pPr>
    </w:p>
    <w:p w14:paraId="6276B46B" w14:textId="4C6DD9C9" w:rsidR="00A06E6E" w:rsidRPr="00001432" w:rsidRDefault="00000000">
      <w:pPr>
        <w:jc w:val="both"/>
        <w:rPr>
          <w:rFonts w:ascii="Times New Roman" w:eastAsia="Calibri" w:hAnsi="Times New Roman" w:cs="Times New Roman"/>
          <w:b/>
          <w:i/>
          <w:sz w:val="24"/>
          <w:szCs w:val="24"/>
        </w:rPr>
      </w:pPr>
      <w:r w:rsidRPr="00001432">
        <w:rPr>
          <w:rFonts w:ascii="Times New Roman" w:eastAsia="Calibri" w:hAnsi="Times New Roman" w:cs="Times New Roman"/>
          <w:b/>
          <w:i/>
          <w:sz w:val="24"/>
          <w:szCs w:val="24"/>
        </w:rPr>
        <w:t>3.</w:t>
      </w:r>
      <w:r w:rsidR="00791D10" w:rsidRPr="00001432">
        <w:rPr>
          <w:rFonts w:ascii="Times New Roman" w:eastAsia="Calibri" w:hAnsi="Times New Roman" w:cs="Times New Roman"/>
          <w:b/>
          <w:i/>
          <w:sz w:val="24"/>
          <w:szCs w:val="24"/>
        </w:rPr>
        <w:t xml:space="preserve"> </w:t>
      </w:r>
      <w:r w:rsidRPr="00001432">
        <w:rPr>
          <w:rFonts w:ascii="Times New Roman" w:eastAsia="Calibri" w:hAnsi="Times New Roman" w:cs="Times New Roman"/>
          <w:b/>
          <w:i/>
          <w:sz w:val="24"/>
          <w:szCs w:val="24"/>
        </w:rPr>
        <w:t>Government's Response on Measures to Implement European Court Decisions</w:t>
      </w:r>
    </w:p>
    <w:p w14:paraId="60725B89" w14:textId="77777777" w:rsidR="00791D10" w:rsidRPr="00001432" w:rsidRDefault="00791D10">
      <w:pPr>
        <w:jc w:val="both"/>
        <w:rPr>
          <w:rFonts w:ascii="Times New Roman" w:eastAsia="Calibri" w:hAnsi="Times New Roman" w:cs="Times New Roman"/>
          <w:b/>
          <w:i/>
          <w:sz w:val="24"/>
          <w:szCs w:val="24"/>
        </w:rPr>
      </w:pPr>
    </w:p>
    <w:p w14:paraId="7EF455B1" w14:textId="00B5774A" w:rsidR="00A06E6E" w:rsidRPr="00001432" w:rsidRDefault="00000000" w:rsidP="00791D10">
      <w:pPr>
        <w:pStyle w:val="ListParagraph"/>
        <w:numPr>
          <w:ilvl w:val="2"/>
          <w:numId w:val="1"/>
        </w:numPr>
        <w:tabs>
          <w:tab w:val="left" w:pos="426"/>
        </w:tabs>
        <w:ind w:left="284" w:hanging="284"/>
        <w:jc w:val="both"/>
        <w:rPr>
          <w:rFonts w:ascii="Times New Roman" w:eastAsia="Calibri" w:hAnsi="Times New Roman" w:cs="Times New Roman"/>
          <w:sz w:val="24"/>
          <w:szCs w:val="24"/>
        </w:rPr>
      </w:pPr>
      <w:r w:rsidRPr="00001432">
        <w:rPr>
          <w:rFonts w:ascii="Times New Roman" w:eastAsia="Calibri" w:hAnsi="Times New Roman" w:cs="Times New Roman"/>
          <w:sz w:val="24"/>
          <w:szCs w:val="24"/>
        </w:rPr>
        <w:t>The Government provided the following information to the Council of Europe Committee (</w:t>
      </w:r>
      <w:proofErr w:type="spellStart"/>
      <w:r w:rsidRPr="00001432">
        <w:rPr>
          <w:rFonts w:ascii="Times New Roman" w:eastAsia="Calibri" w:hAnsi="Times New Roman" w:cs="Times New Roman"/>
          <w:sz w:val="24"/>
          <w:szCs w:val="24"/>
        </w:rPr>
        <w:t>CoE</w:t>
      </w:r>
      <w:proofErr w:type="spellEnd"/>
      <w:r w:rsidRPr="00001432">
        <w:rPr>
          <w:rFonts w:ascii="Times New Roman" w:eastAsia="Calibri" w:hAnsi="Times New Roman" w:cs="Times New Roman"/>
          <w:sz w:val="24"/>
          <w:szCs w:val="24"/>
        </w:rPr>
        <w:t>) about the measures taken to implement the decisions of the European Court of Human Rights (ECHR):</w:t>
      </w:r>
    </w:p>
    <w:p w14:paraId="651A4D96" w14:textId="77777777" w:rsidR="00791D10" w:rsidRPr="00001432" w:rsidRDefault="00000000" w:rsidP="00791D10">
      <w:pPr>
        <w:pStyle w:val="ListParagraph"/>
        <w:numPr>
          <w:ilvl w:val="0"/>
          <w:numId w:val="6"/>
        </w:numPr>
        <w:jc w:val="both"/>
        <w:rPr>
          <w:rFonts w:ascii="Times New Roman" w:eastAsia="Calibri" w:hAnsi="Times New Roman" w:cs="Times New Roman"/>
          <w:sz w:val="24"/>
          <w:szCs w:val="24"/>
        </w:rPr>
      </w:pPr>
      <w:r w:rsidRPr="00001432">
        <w:rPr>
          <w:rFonts w:ascii="Times New Roman" w:eastAsia="Calibri" w:hAnsi="Times New Roman" w:cs="Times New Roman"/>
          <w:sz w:val="24"/>
          <w:szCs w:val="24"/>
        </w:rPr>
        <w:lastRenderedPageBreak/>
        <w:t>Within 24 hours of admission into custody, detainees are medically examined. If there are any complaints regarding injuries or ill-treatment, these are forwarded to the prosecutor's office. Furthermore, to effectively prevent mistreatment, information about the hotline number has been posted in various detention areas. The government also mentioned that the use of audio and video recording during investigative actions has increased, and places for temporary detention are now equipped with video surveillance systems.</w:t>
      </w:r>
      <w:r w:rsidRPr="00001432">
        <w:rPr>
          <w:rFonts w:ascii="Times New Roman" w:hAnsi="Times New Roman" w:cs="Times New Roman"/>
          <w:sz w:val="24"/>
          <w:szCs w:val="24"/>
          <w:vertAlign w:val="superscript"/>
        </w:rPr>
        <w:footnoteReference w:id="118"/>
      </w:r>
    </w:p>
    <w:p w14:paraId="07D65D44" w14:textId="77777777" w:rsidR="00791D10" w:rsidRPr="00001432" w:rsidRDefault="00000000" w:rsidP="00791D10">
      <w:pPr>
        <w:pStyle w:val="ListParagraph"/>
        <w:numPr>
          <w:ilvl w:val="0"/>
          <w:numId w:val="6"/>
        </w:numPr>
        <w:jc w:val="both"/>
        <w:rPr>
          <w:rFonts w:ascii="Times New Roman" w:eastAsia="Calibri" w:hAnsi="Times New Roman" w:cs="Times New Roman"/>
          <w:sz w:val="24"/>
          <w:szCs w:val="24"/>
        </w:rPr>
      </w:pPr>
      <w:r w:rsidRPr="00001432">
        <w:rPr>
          <w:rFonts w:ascii="Times New Roman" w:eastAsia="Calibri" w:hAnsi="Times New Roman" w:cs="Times New Roman"/>
          <w:sz w:val="24"/>
          <w:szCs w:val="24"/>
        </w:rPr>
        <w:t xml:space="preserve">As part of the "Support to Justice Reform Initiatives in Azerbaijan" project implemented by the Council of Europe, a draft containing recommendations for additions and modifications to the Criminal Procedure Code (CPC) has been prepared to combat ill-treatment. Based on this draft, the following amendments to the CPC are </w:t>
      </w:r>
      <w:proofErr w:type="gramStart"/>
      <w:r w:rsidRPr="00001432">
        <w:rPr>
          <w:rFonts w:ascii="Times New Roman" w:eastAsia="Calibri" w:hAnsi="Times New Roman" w:cs="Times New Roman"/>
          <w:sz w:val="24"/>
          <w:szCs w:val="24"/>
        </w:rPr>
        <w:t>proposed:.</w:t>
      </w:r>
      <w:proofErr w:type="gramEnd"/>
      <w:r w:rsidRPr="00001432">
        <w:rPr>
          <w:rFonts w:ascii="Times New Roman" w:hAnsi="Times New Roman" w:cs="Times New Roman"/>
          <w:sz w:val="24"/>
          <w:szCs w:val="24"/>
          <w:vertAlign w:val="superscript"/>
        </w:rPr>
        <w:footnoteReference w:id="119"/>
      </w:r>
    </w:p>
    <w:p w14:paraId="6A1E7394" w14:textId="77777777" w:rsidR="00791D10" w:rsidRPr="00001432" w:rsidRDefault="00000000" w:rsidP="00791D10">
      <w:pPr>
        <w:ind w:left="1440"/>
        <w:jc w:val="both"/>
        <w:rPr>
          <w:rFonts w:ascii="Times New Roman" w:eastAsia="Calibri" w:hAnsi="Times New Roman" w:cs="Times New Roman"/>
          <w:sz w:val="24"/>
          <w:szCs w:val="24"/>
        </w:rPr>
      </w:pPr>
      <w:r w:rsidRPr="00001432">
        <w:rPr>
          <w:rFonts w:ascii="Times New Roman" w:eastAsia="Calibri" w:hAnsi="Times New Roman" w:cs="Times New Roman"/>
          <w:sz w:val="24"/>
          <w:szCs w:val="24"/>
        </w:rPr>
        <w:t xml:space="preserve">(1) The law will be amended to require the immediate initiation of criminal proceedings and preliminary investigations upon the filing of an ill-treatment </w:t>
      </w:r>
      <w:proofErr w:type="gramStart"/>
      <w:r w:rsidRPr="00001432">
        <w:rPr>
          <w:rFonts w:ascii="Times New Roman" w:eastAsia="Calibri" w:hAnsi="Times New Roman" w:cs="Times New Roman"/>
          <w:sz w:val="24"/>
          <w:szCs w:val="24"/>
        </w:rPr>
        <w:t>complaint;</w:t>
      </w:r>
      <w:proofErr w:type="gramEnd"/>
    </w:p>
    <w:p w14:paraId="5FBCDFC3" w14:textId="77777777" w:rsidR="00791D10" w:rsidRPr="00001432" w:rsidRDefault="00000000" w:rsidP="00791D10">
      <w:pPr>
        <w:ind w:left="1440"/>
        <w:jc w:val="both"/>
        <w:rPr>
          <w:rFonts w:ascii="Times New Roman" w:eastAsia="Calibri" w:hAnsi="Times New Roman" w:cs="Times New Roman"/>
          <w:sz w:val="24"/>
          <w:szCs w:val="24"/>
        </w:rPr>
      </w:pPr>
      <w:r w:rsidRPr="00001432">
        <w:rPr>
          <w:rFonts w:ascii="Times New Roman" w:eastAsia="Calibri" w:hAnsi="Times New Roman" w:cs="Times New Roman"/>
          <w:sz w:val="24"/>
          <w:szCs w:val="24"/>
        </w:rPr>
        <w:t xml:space="preserve"> (2) Investigations will be carried out by a senior independent </w:t>
      </w:r>
      <w:proofErr w:type="gramStart"/>
      <w:r w:rsidRPr="00001432">
        <w:rPr>
          <w:rFonts w:ascii="Times New Roman" w:eastAsia="Calibri" w:hAnsi="Times New Roman" w:cs="Times New Roman"/>
          <w:sz w:val="24"/>
          <w:szCs w:val="24"/>
        </w:rPr>
        <w:t>prosecutor;</w:t>
      </w:r>
      <w:proofErr w:type="gramEnd"/>
    </w:p>
    <w:p w14:paraId="47BE17AB" w14:textId="6BE13286" w:rsidR="00A06E6E" w:rsidRPr="00001432" w:rsidRDefault="00000000" w:rsidP="00791D10">
      <w:pPr>
        <w:ind w:left="1440"/>
        <w:jc w:val="both"/>
        <w:rPr>
          <w:rFonts w:ascii="Times New Roman" w:eastAsia="Calibri" w:hAnsi="Times New Roman" w:cs="Times New Roman"/>
          <w:sz w:val="24"/>
          <w:szCs w:val="24"/>
        </w:rPr>
      </w:pPr>
      <w:r w:rsidRPr="00001432">
        <w:rPr>
          <w:rFonts w:ascii="Times New Roman" w:eastAsia="Calibri" w:hAnsi="Times New Roman" w:cs="Times New Roman"/>
          <w:sz w:val="24"/>
          <w:szCs w:val="24"/>
        </w:rPr>
        <w:t xml:space="preserve"> (3) It will be established that the burden of proof in cases of ill-treatment lies with the authorities.</w:t>
      </w:r>
    </w:p>
    <w:p w14:paraId="629EC4A0" w14:textId="77777777" w:rsidR="00A06E6E" w:rsidRPr="00001432" w:rsidRDefault="00A06E6E">
      <w:pPr>
        <w:jc w:val="both"/>
        <w:rPr>
          <w:rFonts w:ascii="Times New Roman" w:eastAsia="Calibri" w:hAnsi="Times New Roman" w:cs="Times New Roman"/>
          <w:sz w:val="24"/>
          <w:szCs w:val="24"/>
        </w:rPr>
      </w:pPr>
    </w:p>
    <w:p w14:paraId="7FEA0F3A" w14:textId="06C035D1" w:rsidR="00A06E6E" w:rsidRPr="00001432" w:rsidRDefault="00000000" w:rsidP="00791D10">
      <w:pPr>
        <w:pStyle w:val="ListParagraph"/>
        <w:numPr>
          <w:ilvl w:val="2"/>
          <w:numId w:val="1"/>
        </w:numPr>
        <w:ind w:left="284" w:hanging="284"/>
        <w:jc w:val="both"/>
        <w:rPr>
          <w:rFonts w:ascii="Times New Roman" w:eastAsia="Calibri" w:hAnsi="Times New Roman" w:cs="Times New Roman"/>
          <w:sz w:val="24"/>
          <w:szCs w:val="24"/>
        </w:rPr>
      </w:pPr>
      <w:r w:rsidRPr="00001432">
        <w:rPr>
          <w:rFonts w:ascii="Times New Roman" w:eastAsia="Calibri" w:hAnsi="Times New Roman" w:cs="Times New Roman"/>
          <w:sz w:val="24"/>
          <w:szCs w:val="24"/>
        </w:rPr>
        <w:t>Despite these initiatives, more than two years have passed without these proposed changes being incorporated into the criminal procedural legislation.</w:t>
      </w:r>
      <w:r w:rsidRPr="00001432">
        <w:rPr>
          <w:rFonts w:ascii="Times New Roman" w:hAnsi="Times New Roman" w:cs="Times New Roman"/>
          <w:sz w:val="24"/>
          <w:szCs w:val="24"/>
          <w:vertAlign w:val="superscript"/>
        </w:rPr>
        <w:footnoteReference w:id="120"/>
      </w:r>
    </w:p>
    <w:p w14:paraId="71E27091" w14:textId="77777777" w:rsidR="00C01F33" w:rsidRDefault="00C01F33" w:rsidP="00791D10">
      <w:pPr>
        <w:jc w:val="center"/>
        <w:rPr>
          <w:rFonts w:ascii="Times New Roman" w:eastAsia="Calibri" w:hAnsi="Times New Roman" w:cs="Times New Roman"/>
          <w:b/>
          <w:sz w:val="24"/>
          <w:szCs w:val="24"/>
        </w:rPr>
      </w:pPr>
    </w:p>
    <w:p w14:paraId="107A9EF7" w14:textId="165C66DA" w:rsidR="00A06E6E" w:rsidRPr="00001432" w:rsidRDefault="00000000" w:rsidP="00791D10">
      <w:pPr>
        <w:jc w:val="center"/>
        <w:rPr>
          <w:rFonts w:ascii="Times New Roman" w:eastAsia="Calibri" w:hAnsi="Times New Roman" w:cs="Times New Roman"/>
          <w:b/>
          <w:sz w:val="24"/>
          <w:szCs w:val="24"/>
        </w:rPr>
      </w:pPr>
      <w:r w:rsidRPr="00001432">
        <w:rPr>
          <w:rFonts w:ascii="Times New Roman" w:eastAsia="Calibri" w:hAnsi="Times New Roman" w:cs="Times New Roman"/>
          <w:b/>
          <w:sz w:val="24"/>
          <w:szCs w:val="24"/>
        </w:rPr>
        <w:t>Conclusion and Recommendations</w:t>
      </w:r>
    </w:p>
    <w:p w14:paraId="4B313508" w14:textId="77777777" w:rsidR="00A06E6E" w:rsidRPr="00001432" w:rsidRDefault="00A06E6E">
      <w:pPr>
        <w:jc w:val="both"/>
        <w:rPr>
          <w:rFonts w:ascii="Times New Roman" w:eastAsia="Calibri" w:hAnsi="Times New Roman" w:cs="Times New Roman"/>
          <w:sz w:val="24"/>
          <w:szCs w:val="24"/>
        </w:rPr>
      </w:pPr>
    </w:p>
    <w:p w14:paraId="7EB37B09" w14:textId="77777777" w:rsidR="00791D10" w:rsidRPr="00001432" w:rsidRDefault="00000000" w:rsidP="00791D10">
      <w:pPr>
        <w:pStyle w:val="ListParagraph"/>
        <w:numPr>
          <w:ilvl w:val="2"/>
          <w:numId w:val="1"/>
        </w:numPr>
        <w:tabs>
          <w:tab w:val="left" w:pos="426"/>
        </w:tabs>
        <w:ind w:left="284" w:hanging="284"/>
        <w:jc w:val="both"/>
        <w:rPr>
          <w:rFonts w:ascii="Times New Roman" w:eastAsia="Calibri" w:hAnsi="Times New Roman" w:cs="Times New Roman"/>
          <w:sz w:val="24"/>
          <w:szCs w:val="24"/>
        </w:rPr>
      </w:pPr>
      <w:r w:rsidRPr="00001432">
        <w:rPr>
          <w:rFonts w:ascii="Times New Roman" w:eastAsia="Calibri" w:hAnsi="Times New Roman" w:cs="Times New Roman"/>
          <w:sz w:val="24"/>
          <w:szCs w:val="24"/>
        </w:rPr>
        <w:t>Victims, their legal representatives, and both local and international organizations have criticized the Azerbaijani government's efforts to prevent ill-treatment as merely formalistic, highlighting a reluctance to adopt substantive measures that would definitively prevent torture, particularly in closed institutions. This has resulted in many of the European Court of Human Rights (ECtHR) decisions on torture remaining unaddressed for extended periods within the Council of Europe's archives.</w:t>
      </w:r>
    </w:p>
    <w:p w14:paraId="15B92269" w14:textId="77777777" w:rsidR="00791D10" w:rsidRPr="00001432" w:rsidRDefault="00000000" w:rsidP="00791D10">
      <w:pPr>
        <w:pStyle w:val="ListParagraph"/>
        <w:numPr>
          <w:ilvl w:val="2"/>
          <w:numId w:val="1"/>
        </w:numPr>
        <w:tabs>
          <w:tab w:val="left" w:pos="426"/>
        </w:tabs>
        <w:ind w:left="284" w:hanging="284"/>
        <w:jc w:val="both"/>
        <w:rPr>
          <w:rFonts w:ascii="Times New Roman" w:eastAsia="Calibri" w:hAnsi="Times New Roman" w:cs="Times New Roman"/>
          <w:sz w:val="24"/>
          <w:szCs w:val="24"/>
        </w:rPr>
      </w:pPr>
      <w:proofErr w:type="spellStart"/>
      <w:r w:rsidRPr="00001432">
        <w:rPr>
          <w:rFonts w:ascii="Times New Roman" w:eastAsia="Calibri" w:hAnsi="Times New Roman" w:cs="Times New Roman"/>
          <w:sz w:val="24"/>
          <w:szCs w:val="24"/>
        </w:rPr>
        <w:t>Intigam</w:t>
      </w:r>
      <w:proofErr w:type="spellEnd"/>
      <w:r w:rsidRPr="00001432">
        <w:rPr>
          <w:rFonts w:ascii="Times New Roman" w:eastAsia="Calibri" w:hAnsi="Times New Roman" w:cs="Times New Roman"/>
          <w:sz w:val="24"/>
          <w:szCs w:val="24"/>
        </w:rPr>
        <w:t xml:space="preserve"> Aliyev, a prominent Azerbaijani human rights defender and former political prisoner, asserts that the government considers its obligations fulfilled merely by compensating victims recognized by the Strasbourg Court. It has categorically failed to enact legislative and institutional changes that would prevent future violations and address the obligations stemming from the ECtHR's rulings concerning torture in closed facilities.</w:t>
      </w:r>
      <w:r w:rsidRPr="00001432">
        <w:rPr>
          <w:rFonts w:ascii="Times New Roman" w:hAnsi="Times New Roman" w:cs="Times New Roman"/>
          <w:sz w:val="24"/>
          <w:szCs w:val="24"/>
          <w:vertAlign w:val="superscript"/>
        </w:rPr>
        <w:footnoteReference w:id="121"/>
      </w:r>
    </w:p>
    <w:p w14:paraId="7652DCF6" w14:textId="77777777" w:rsidR="00791D10" w:rsidRPr="00001432" w:rsidRDefault="00000000" w:rsidP="00791D10">
      <w:pPr>
        <w:pStyle w:val="ListParagraph"/>
        <w:numPr>
          <w:ilvl w:val="2"/>
          <w:numId w:val="1"/>
        </w:numPr>
        <w:tabs>
          <w:tab w:val="left" w:pos="426"/>
        </w:tabs>
        <w:ind w:left="284" w:hanging="284"/>
        <w:jc w:val="both"/>
        <w:rPr>
          <w:rFonts w:ascii="Times New Roman" w:eastAsia="Calibri" w:hAnsi="Times New Roman" w:cs="Times New Roman"/>
          <w:sz w:val="24"/>
          <w:szCs w:val="24"/>
        </w:rPr>
      </w:pPr>
      <w:r w:rsidRPr="00001432">
        <w:rPr>
          <w:rFonts w:ascii="Times New Roman" w:eastAsia="Calibri" w:hAnsi="Times New Roman" w:cs="Times New Roman"/>
          <w:sz w:val="24"/>
          <w:szCs w:val="24"/>
        </w:rPr>
        <w:t xml:space="preserve">The measures reported by the government fail to address the systemic and structural issues within the law enforcement system, such as ensuring effective investigation of claims, a fundamental requirement of both international and Azerbaijani law. The government's </w:t>
      </w:r>
      <w:r w:rsidRPr="00001432">
        <w:rPr>
          <w:rFonts w:ascii="Times New Roman" w:eastAsia="Calibri" w:hAnsi="Times New Roman" w:cs="Times New Roman"/>
          <w:sz w:val="24"/>
          <w:szCs w:val="24"/>
        </w:rPr>
        <w:lastRenderedPageBreak/>
        <w:t>action plan lacks evidence of how the adoption of decrees aimed at preventing ill-treatment and torture has led to tangible improvements in detention conditions and the safeguarding of detainees' rights.</w:t>
      </w:r>
      <w:r w:rsidRPr="00001432">
        <w:rPr>
          <w:rFonts w:ascii="Times New Roman" w:hAnsi="Times New Roman" w:cs="Times New Roman"/>
          <w:sz w:val="24"/>
          <w:szCs w:val="24"/>
          <w:vertAlign w:val="superscript"/>
        </w:rPr>
        <w:footnoteReference w:id="122"/>
      </w:r>
    </w:p>
    <w:p w14:paraId="088C5BB6" w14:textId="30277F7E" w:rsidR="00A06E6E" w:rsidRPr="00001432" w:rsidRDefault="00000000" w:rsidP="00791D10">
      <w:pPr>
        <w:pStyle w:val="ListParagraph"/>
        <w:numPr>
          <w:ilvl w:val="2"/>
          <w:numId w:val="1"/>
        </w:numPr>
        <w:tabs>
          <w:tab w:val="left" w:pos="426"/>
        </w:tabs>
        <w:ind w:left="284" w:hanging="284"/>
        <w:jc w:val="both"/>
        <w:rPr>
          <w:rFonts w:ascii="Times New Roman" w:eastAsia="Calibri" w:hAnsi="Times New Roman" w:cs="Times New Roman"/>
          <w:sz w:val="24"/>
          <w:szCs w:val="24"/>
        </w:rPr>
      </w:pPr>
      <w:r w:rsidRPr="00001432">
        <w:rPr>
          <w:rFonts w:ascii="Times New Roman" w:eastAsia="Calibri" w:hAnsi="Times New Roman" w:cs="Times New Roman"/>
          <w:color w:val="0D0D0D"/>
          <w:sz w:val="24"/>
          <w:szCs w:val="24"/>
          <w:highlight w:val="white"/>
        </w:rPr>
        <w:t>To address concerns related to torture in closed institutions, the following recommendations are offered to establish effective mechanisms for protection:</w:t>
      </w:r>
    </w:p>
    <w:p w14:paraId="0BA6FD35" w14:textId="77777777" w:rsidR="00A06E6E" w:rsidRPr="00001432" w:rsidRDefault="00A06E6E">
      <w:pPr>
        <w:jc w:val="both"/>
        <w:rPr>
          <w:rFonts w:ascii="Times New Roman" w:eastAsia="Calibri" w:hAnsi="Times New Roman" w:cs="Times New Roman"/>
          <w:b/>
          <w:sz w:val="24"/>
          <w:szCs w:val="24"/>
        </w:rPr>
      </w:pPr>
    </w:p>
    <w:p w14:paraId="62D6A6E1" w14:textId="77777777" w:rsidR="00791D10" w:rsidRPr="00001432" w:rsidRDefault="00000000" w:rsidP="00791D10">
      <w:pPr>
        <w:ind w:left="720"/>
        <w:jc w:val="both"/>
        <w:rPr>
          <w:rFonts w:ascii="Times New Roman" w:eastAsia="Calibri" w:hAnsi="Times New Roman" w:cs="Times New Roman"/>
          <w:sz w:val="24"/>
          <w:szCs w:val="24"/>
        </w:rPr>
      </w:pPr>
      <w:r w:rsidRPr="00001432">
        <w:rPr>
          <w:rFonts w:ascii="Times New Roman" w:eastAsia="Calibri" w:hAnsi="Times New Roman" w:cs="Times New Roman"/>
          <w:b/>
          <w:sz w:val="24"/>
          <w:szCs w:val="24"/>
        </w:rPr>
        <w:t xml:space="preserve">1. Independent Monitoring: </w:t>
      </w:r>
      <w:r w:rsidRPr="00001432">
        <w:rPr>
          <w:rFonts w:ascii="Times New Roman" w:eastAsia="Calibri" w:hAnsi="Times New Roman" w:cs="Times New Roman"/>
          <w:sz w:val="24"/>
          <w:szCs w:val="24"/>
        </w:rPr>
        <w:t>Azerbaijan must establish a national system that enables independent, efficient, and regular monitoring of detention facilities. This system must allow for the public reporting of results and the presentation of concerns about detention conditions and instances of torture or ill-treatment to state authorities. Amendments must be made to legislation, regulatory acts, and policies to ensure that independent national and international human rights and humanitarian organizations have full access to all places of detention, enabling monitoring without prior notification according to international standards.</w:t>
      </w:r>
    </w:p>
    <w:p w14:paraId="580B9ACF" w14:textId="77777777" w:rsidR="00791D10" w:rsidRPr="00001432" w:rsidRDefault="00000000" w:rsidP="00791D10">
      <w:pPr>
        <w:ind w:left="720"/>
        <w:jc w:val="both"/>
        <w:rPr>
          <w:rFonts w:ascii="Times New Roman" w:eastAsia="Calibri" w:hAnsi="Times New Roman" w:cs="Times New Roman"/>
          <w:sz w:val="24"/>
          <w:szCs w:val="24"/>
        </w:rPr>
      </w:pPr>
      <w:r w:rsidRPr="00001432">
        <w:rPr>
          <w:rFonts w:ascii="Times New Roman" w:eastAsia="Calibri" w:hAnsi="Times New Roman" w:cs="Times New Roman"/>
          <w:b/>
          <w:sz w:val="24"/>
          <w:szCs w:val="24"/>
        </w:rPr>
        <w:t xml:space="preserve">2. Reporting and Accountability: </w:t>
      </w:r>
      <w:r w:rsidRPr="00001432">
        <w:rPr>
          <w:rFonts w:ascii="Times New Roman" w:eastAsia="Calibri" w:hAnsi="Times New Roman" w:cs="Times New Roman"/>
          <w:sz w:val="24"/>
          <w:szCs w:val="24"/>
        </w:rPr>
        <w:t>Azerbaijan must regularly provide the Committee with updates on the number of torture and ill-treatment allegations against law enforcement and state officials, detailing the investigations conducted and any resulting legal proceedings, arrests, and sentences. It must also report on disciplinary actions taken against officials who fail to investigate such complaints properly or refuse to cooperate in investigations.</w:t>
      </w:r>
    </w:p>
    <w:p w14:paraId="222FD44A" w14:textId="77777777" w:rsidR="00791D10" w:rsidRPr="00001432" w:rsidRDefault="00000000" w:rsidP="00791D10">
      <w:pPr>
        <w:ind w:left="720"/>
        <w:jc w:val="both"/>
        <w:rPr>
          <w:rFonts w:ascii="Times New Roman" w:eastAsia="Calibri" w:hAnsi="Times New Roman" w:cs="Times New Roman"/>
          <w:sz w:val="24"/>
          <w:szCs w:val="24"/>
        </w:rPr>
      </w:pPr>
      <w:r w:rsidRPr="00001432">
        <w:rPr>
          <w:rFonts w:ascii="Times New Roman" w:eastAsia="Calibri" w:hAnsi="Times New Roman" w:cs="Times New Roman"/>
          <w:b/>
          <w:sz w:val="24"/>
          <w:szCs w:val="24"/>
        </w:rPr>
        <w:t>3. Access to Complaint Mechanisms:</w:t>
      </w:r>
      <w:r w:rsidRPr="00001432">
        <w:rPr>
          <w:rFonts w:ascii="Times New Roman" w:eastAsia="Calibri" w:hAnsi="Times New Roman" w:cs="Times New Roman"/>
          <w:sz w:val="24"/>
          <w:szCs w:val="24"/>
        </w:rPr>
        <w:t xml:space="preserve"> It must be ensured, both legally and in practice, that everyone has access to independent and effective complaint mechanisms that guarantee prompt investigations and responses. Those accused of violence must be prosecuted, and if convicted, they must receive punishments that are commensurate with the severity of their crimes. Victims must receive adequate compensation.</w:t>
      </w:r>
    </w:p>
    <w:p w14:paraId="1737E0CE" w14:textId="77777777" w:rsidR="00791D10" w:rsidRPr="00001432" w:rsidRDefault="00000000" w:rsidP="00791D10">
      <w:pPr>
        <w:ind w:left="720"/>
        <w:jc w:val="both"/>
        <w:rPr>
          <w:rFonts w:ascii="Times New Roman" w:eastAsia="Calibri" w:hAnsi="Times New Roman" w:cs="Times New Roman"/>
          <w:sz w:val="24"/>
          <w:szCs w:val="24"/>
        </w:rPr>
      </w:pPr>
      <w:r w:rsidRPr="00001432">
        <w:rPr>
          <w:rFonts w:ascii="Times New Roman" w:eastAsia="Calibri" w:hAnsi="Times New Roman" w:cs="Times New Roman"/>
          <w:b/>
          <w:sz w:val="24"/>
          <w:szCs w:val="24"/>
        </w:rPr>
        <w:t>4. Investigation of Deaths in Custody:</w:t>
      </w:r>
      <w:r w:rsidRPr="00001432">
        <w:rPr>
          <w:rFonts w:ascii="Times New Roman" w:eastAsia="Calibri" w:hAnsi="Times New Roman" w:cs="Times New Roman"/>
          <w:sz w:val="24"/>
          <w:szCs w:val="24"/>
        </w:rPr>
        <w:t xml:space="preserve"> Azerbaijan must promptly investigate all deaths occurring within penal institutions, with a focus on prosecuting those responsible for deaths resulting from torture, ill-treatment, or other unlawful acts.</w:t>
      </w:r>
    </w:p>
    <w:p w14:paraId="59EEE117" w14:textId="77777777" w:rsidR="00791D10" w:rsidRPr="00001432" w:rsidRDefault="00000000" w:rsidP="00791D10">
      <w:pPr>
        <w:ind w:left="720"/>
        <w:jc w:val="both"/>
        <w:rPr>
          <w:rFonts w:ascii="Times New Roman" w:eastAsia="Calibri" w:hAnsi="Times New Roman" w:cs="Times New Roman"/>
          <w:sz w:val="24"/>
          <w:szCs w:val="24"/>
        </w:rPr>
      </w:pPr>
      <w:r w:rsidRPr="00001432">
        <w:rPr>
          <w:rFonts w:ascii="Times New Roman" w:eastAsia="Calibri" w:hAnsi="Times New Roman" w:cs="Times New Roman"/>
          <w:b/>
          <w:sz w:val="24"/>
          <w:szCs w:val="24"/>
        </w:rPr>
        <w:t xml:space="preserve">5. Improvement of Detention Conditions: </w:t>
      </w:r>
      <w:r w:rsidRPr="00001432">
        <w:rPr>
          <w:rFonts w:ascii="Times New Roman" w:eastAsia="Calibri" w:hAnsi="Times New Roman" w:cs="Times New Roman"/>
          <w:sz w:val="24"/>
          <w:szCs w:val="24"/>
        </w:rPr>
        <w:t>There must be a concentrated effort to improve conditions within penal institutions.</w:t>
      </w:r>
    </w:p>
    <w:p w14:paraId="25FC4B0B" w14:textId="77777777" w:rsidR="00791D10" w:rsidRPr="00001432" w:rsidRDefault="00000000" w:rsidP="00791D10">
      <w:pPr>
        <w:ind w:left="720"/>
        <w:jc w:val="both"/>
        <w:rPr>
          <w:rFonts w:ascii="Times New Roman" w:eastAsia="Calibri" w:hAnsi="Times New Roman" w:cs="Times New Roman"/>
          <w:sz w:val="24"/>
          <w:szCs w:val="24"/>
        </w:rPr>
      </w:pPr>
      <w:r w:rsidRPr="00001432">
        <w:rPr>
          <w:rFonts w:ascii="Times New Roman" w:eastAsia="Calibri" w:hAnsi="Times New Roman" w:cs="Times New Roman"/>
          <w:b/>
          <w:sz w:val="24"/>
          <w:szCs w:val="24"/>
        </w:rPr>
        <w:t>6. Initiation of Criminal Proceedings Upon Complaints of Torture:</w:t>
      </w:r>
      <w:r w:rsidRPr="00001432">
        <w:rPr>
          <w:rFonts w:ascii="Times New Roman" w:eastAsia="Calibri" w:hAnsi="Times New Roman" w:cs="Times New Roman"/>
          <w:sz w:val="24"/>
          <w:szCs w:val="24"/>
        </w:rPr>
        <w:t xml:space="preserve"> Immediate initiation of criminal proceedings should be a standard response to any allegations of torture. This process should include conducting necessary investigative actions such as interviewing involved parties, inspecting the scene, and verifying statements on the spot to ensure thorough examination and accountability.</w:t>
      </w:r>
    </w:p>
    <w:p w14:paraId="11168760" w14:textId="77777777" w:rsidR="00791D10" w:rsidRPr="00001432" w:rsidRDefault="00000000" w:rsidP="00791D10">
      <w:pPr>
        <w:ind w:left="720"/>
        <w:jc w:val="both"/>
        <w:rPr>
          <w:rFonts w:ascii="Times New Roman" w:eastAsia="Calibri" w:hAnsi="Times New Roman" w:cs="Times New Roman"/>
          <w:sz w:val="24"/>
          <w:szCs w:val="24"/>
        </w:rPr>
      </w:pPr>
      <w:r w:rsidRPr="00001432">
        <w:rPr>
          <w:rFonts w:ascii="Times New Roman" w:eastAsia="Calibri" w:hAnsi="Times New Roman" w:cs="Times New Roman"/>
          <w:b/>
          <w:sz w:val="24"/>
          <w:szCs w:val="24"/>
        </w:rPr>
        <w:t xml:space="preserve">7. Establishing an Independent Investigative Body: </w:t>
      </w:r>
      <w:r w:rsidRPr="00001432">
        <w:rPr>
          <w:rFonts w:ascii="Times New Roman" w:eastAsia="Calibri" w:hAnsi="Times New Roman" w:cs="Times New Roman"/>
          <w:sz w:val="24"/>
          <w:szCs w:val="24"/>
        </w:rPr>
        <w:t>An independent body should be established under the Prosecutor General's Office specifically tasked with investigating complaints about torture. This body's independence is crucial for ensuring unbiased investigations and fostering trust in the justice system's ability to address such serious allegations effectively.</w:t>
      </w:r>
    </w:p>
    <w:p w14:paraId="740D29E8" w14:textId="77777777" w:rsidR="00791D10" w:rsidRPr="00001432" w:rsidRDefault="00000000" w:rsidP="00791D10">
      <w:pPr>
        <w:ind w:left="720"/>
        <w:jc w:val="both"/>
        <w:rPr>
          <w:rFonts w:ascii="Times New Roman" w:eastAsia="Calibri" w:hAnsi="Times New Roman" w:cs="Times New Roman"/>
          <w:sz w:val="24"/>
          <w:szCs w:val="24"/>
        </w:rPr>
      </w:pPr>
      <w:r w:rsidRPr="00001432">
        <w:rPr>
          <w:rFonts w:ascii="Times New Roman" w:eastAsia="Calibri" w:hAnsi="Times New Roman" w:cs="Times New Roman"/>
          <w:b/>
          <w:sz w:val="24"/>
          <w:szCs w:val="24"/>
        </w:rPr>
        <w:lastRenderedPageBreak/>
        <w:t xml:space="preserve">8. Expediting Prosecutor Access to Detention Facilities: </w:t>
      </w:r>
      <w:r w:rsidRPr="00001432">
        <w:rPr>
          <w:rFonts w:ascii="Times New Roman" w:eastAsia="Calibri" w:hAnsi="Times New Roman" w:cs="Times New Roman"/>
          <w:sz w:val="24"/>
          <w:szCs w:val="24"/>
        </w:rPr>
        <w:t>When complaints about torture are filed by persons detained in penal institutions or their legal representatives, there should be a mechanism to expedite prosecutors' access to Closed Circuit Monitoring (CCM) systems. Currently, the process, which involves applying to the Penitentiary Service for access and waiting 15-20 days for consideration and response, significantly delays investigations. Streamlining this procedure would facilitate prompt and efficient investigations into torture allegations.</w:t>
      </w:r>
    </w:p>
    <w:p w14:paraId="175DBF0F" w14:textId="77777777" w:rsidR="00791D10" w:rsidRPr="00001432" w:rsidRDefault="00000000" w:rsidP="00791D10">
      <w:pPr>
        <w:ind w:left="720"/>
        <w:jc w:val="both"/>
        <w:rPr>
          <w:rFonts w:ascii="Times New Roman" w:eastAsia="Calibri" w:hAnsi="Times New Roman" w:cs="Times New Roman"/>
          <w:sz w:val="24"/>
          <w:szCs w:val="24"/>
        </w:rPr>
      </w:pPr>
      <w:r w:rsidRPr="00001432">
        <w:rPr>
          <w:rFonts w:ascii="Times New Roman" w:eastAsia="Calibri" w:hAnsi="Times New Roman" w:cs="Times New Roman"/>
          <w:sz w:val="24"/>
          <w:szCs w:val="24"/>
        </w:rPr>
        <w:t>Furthermore, aligning with the CPT recommendations, the Ministry of Internal Affairs and other relevant entities in Azerbaijan must ensure their practices reflect the core principles of the European Code of Police Ethics. This includes:</w:t>
      </w:r>
    </w:p>
    <w:p w14:paraId="38B0ED54" w14:textId="77777777" w:rsidR="00791D10" w:rsidRPr="00001432" w:rsidRDefault="00000000" w:rsidP="00791D10">
      <w:pPr>
        <w:ind w:left="1440"/>
        <w:jc w:val="both"/>
        <w:rPr>
          <w:rFonts w:ascii="Times New Roman" w:eastAsia="Calibri" w:hAnsi="Times New Roman" w:cs="Times New Roman"/>
          <w:sz w:val="24"/>
          <w:szCs w:val="24"/>
        </w:rPr>
      </w:pPr>
      <w:r w:rsidRPr="00001432">
        <w:rPr>
          <w:rFonts w:ascii="Times New Roman" w:eastAsia="Calibri" w:hAnsi="Times New Roman" w:cs="Times New Roman"/>
          <w:b/>
          <w:i/>
          <w:sz w:val="24"/>
          <w:szCs w:val="24"/>
        </w:rPr>
        <w:t>—Zero Tolerance for Torture</w:t>
      </w:r>
      <w:r w:rsidRPr="00001432">
        <w:rPr>
          <w:rFonts w:ascii="Times New Roman" w:eastAsia="Calibri" w:hAnsi="Times New Roman" w:cs="Times New Roman"/>
          <w:b/>
          <w:sz w:val="24"/>
          <w:szCs w:val="24"/>
        </w:rPr>
        <w:t xml:space="preserve">: </w:t>
      </w:r>
      <w:r w:rsidRPr="00001432">
        <w:rPr>
          <w:rFonts w:ascii="Times New Roman" w:eastAsia="Calibri" w:hAnsi="Times New Roman" w:cs="Times New Roman"/>
          <w:sz w:val="24"/>
          <w:szCs w:val="24"/>
        </w:rPr>
        <w:t>Law enforcement officers must be fully aware of their responsibility to prevent any act of torture or ill-treatment, understanding that the intentional physical abuse of detainees is a criminal act.</w:t>
      </w:r>
    </w:p>
    <w:p w14:paraId="51575365" w14:textId="77777777" w:rsidR="00791D10" w:rsidRPr="00001432" w:rsidRDefault="00000000" w:rsidP="00791D10">
      <w:pPr>
        <w:ind w:left="1440"/>
        <w:jc w:val="both"/>
        <w:rPr>
          <w:rFonts w:ascii="Times New Roman" w:eastAsia="Calibri" w:hAnsi="Times New Roman" w:cs="Times New Roman"/>
          <w:sz w:val="24"/>
          <w:szCs w:val="24"/>
        </w:rPr>
      </w:pPr>
      <w:r w:rsidRPr="00001432">
        <w:rPr>
          <w:rFonts w:ascii="Times New Roman" w:eastAsia="Calibri" w:hAnsi="Times New Roman" w:cs="Times New Roman"/>
          <w:b/>
          <w:i/>
          <w:sz w:val="24"/>
          <w:szCs w:val="24"/>
        </w:rPr>
        <w:t>— Forensic Examinations:</w:t>
      </w:r>
      <w:r w:rsidRPr="00001432">
        <w:rPr>
          <w:rFonts w:ascii="Times New Roman" w:eastAsia="Calibri" w:hAnsi="Times New Roman" w:cs="Times New Roman"/>
          <w:b/>
          <w:sz w:val="24"/>
          <w:szCs w:val="24"/>
        </w:rPr>
        <w:t xml:space="preserve"> </w:t>
      </w:r>
      <w:r w:rsidRPr="00001432">
        <w:rPr>
          <w:rFonts w:ascii="Times New Roman" w:eastAsia="Calibri" w:hAnsi="Times New Roman" w:cs="Times New Roman"/>
          <w:sz w:val="24"/>
          <w:szCs w:val="24"/>
        </w:rPr>
        <w:t>There must be a provision for forensic examinations for any individual under supervision if there are indications of ill-treatment, such as visible injuries.</w:t>
      </w:r>
    </w:p>
    <w:p w14:paraId="5E8087F6" w14:textId="77777777" w:rsidR="00791D10" w:rsidRPr="00001432" w:rsidRDefault="00000000" w:rsidP="00791D10">
      <w:pPr>
        <w:ind w:left="1440"/>
        <w:jc w:val="both"/>
        <w:rPr>
          <w:rFonts w:ascii="Times New Roman" w:eastAsia="Calibri" w:hAnsi="Times New Roman" w:cs="Times New Roman"/>
          <w:sz w:val="24"/>
          <w:szCs w:val="24"/>
        </w:rPr>
      </w:pPr>
      <w:r w:rsidRPr="00001432">
        <w:rPr>
          <w:rFonts w:ascii="Times New Roman" w:eastAsia="Calibri" w:hAnsi="Times New Roman" w:cs="Times New Roman"/>
          <w:b/>
          <w:i/>
          <w:sz w:val="24"/>
          <w:szCs w:val="24"/>
        </w:rPr>
        <w:t>—Duty to Treat Detainees Well:</w:t>
      </w:r>
      <w:r w:rsidRPr="00001432">
        <w:rPr>
          <w:rFonts w:ascii="Times New Roman" w:eastAsia="Calibri" w:hAnsi="Times New Roman" w:cs="Times New Roman"/>
          <w:sz w:val="24"/>
          <w:szCs w:val="24"/>
        </w:rPr>
        <w:t xml:space="preserve"> Officers must treat all detainees humanely and report any signs of ill-treatment by colleagues to the appropriate authorities, with such actions receiving positive recognition.</w:t>
      </w:r>
    </w:p>
    <w:p w14:paraId="438FDEF0" w14:textId="77777777" w:rsidR="00791D10" w:rsidRPr="00001432" w:rsidRDefault="00000000" w:rsidP="00791D10">
      <w:pPr>
        <w:ind w:left="1440"/>
        <w:jc w:val="both"/>
        <w:rPr>
          <w:rFonts w:ascii="Times New Roman" w:eastAsia="Calibri" w:hAnsi="Times New Roman" w:cs="Times New Roman"/>
          <w:sz w:val="24"/>
          <w:szCs w:val="24"/>
        </w:rPr>
      </w:pPr>
      <w:r w:rsidRPr="00001432">
        <w:rPr>
          <w:rFonts w:ascii="Times New Roman" w:eastAsia="Calibri" w:hAnsi="Times New Roman" w:cs="Times New Roman"/>
          <w:sz w:val="24"/>
          <w:szCs w:val="24"/>
        </w:rPr>
        <w:t>Additionally, measures to protect "whistleblowers" must be implemented, establishing a legal framework that offers protection to those who expose ill-treatment and misconduct, ensuring they are safeguarded from retaliation.</w:t>
      </w:r>
    </w:p>
    <w:p w14:paraId="5CAF61AB" w14:textId="306F940F" w:rsidR="00A06E6E" w:rsidRPr="00001432" w:rsidRDefault="00000000" w:rsidP="00791D10">
      <w:pPr>
        <w:ind w:left="1440"/>
        <w:jc w:val="both"/>
        <w:rPr>
          <w:rFonts w:ascii="Times New Roman" w:eastAsia="Calibri" w:hAnsi="Times New Roman" w:cs="Times New Roman"/>
          <w:sz w:val="24"/>
          <w:szCs w:val="24"/>
        </w:rPr>
      </w:pPr>
      <w:r w:rsidRPr="00001432">
        <w:rPr>
          <w:rFonts w:ascii="Times New Roman" w:eastAsia="Calibri" w:hAnsi="Times New Roman" w:cs="Times New Roman"/>
          <w:sz w:val="24"/>
          <w:szCs w:val="24"/>
        </w:rPr>
        <w:t>These recommendations underscore the need for Azerbaijan to commit to improving its human rights practices, particularly in the treatment of individuals in custody, to meet international standards and obligations.</w:t>
      </w:r>
    </w:p>
    <w:sectPr w:rsidR="00A06E6E" w:rsidRPr="00001432">
      <w:headerReference w:type="default" r:id="rId11"/>
      <w:pgSz w:w="11909" w:h="16834"/>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791E675" w14:textId="77777777" w:rsidR="00634BD7" w:rsidRDefault="00634BD7">
      <w:pPr>
        <w:spacing w:line="240" w:lineRule="auto"/>
      </w:pPr>
      <w:r>
        <w:separator/>
      </w:r>
    </w:p>
  </w:endnote>
  <w:endnote w:type="continuationSeparator" w:id="0">
    <w:p w14:paraId="0CD41192" w14:textId="77777777" w:rsidR="00634BD7" w:rsidRDefault="00634BD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ACFF"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Symbol">
    <w:panose1 w:val="05050102010706020507"/>
    <w:charset w:val="02"/>
    <w:family w:val="decorative"/>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40119C1" w14:textId="77777777" w:rsidR="00634BD7" w:rsidRDefault="00634BD7">
      <w:pPr>
        <w:spacing w:line="240" w:lineRule="auto"/>
      </w:pPr>
      <w:r>
        <w:separator/>
      </w:r>
    </w:p>
  </w:footnote>
  <w:footnote w:type="continuationSeparator" w:id="0">
    <w:p w14:paraId="7660E628" w14:textId="77777777" w:rsidR="00634BD7" w:rsidRDefault="00634BD7">
      <w:pPr>
        <w:spacing w:line="240" w:lineRule="auto"/>
      </w:pPr>
      <w:r>
        <w:continuationSeparator/>
      </w:r>
    </w:p>
  </w:footnote>
  <w:footnote w:id="1">
    <w:p w14:paraId="1BF64061" w14:textId="77777777" w:rsidR="00A06E6E" w:rsidRPr="003D6D67" w:rsidRDefault="00000000" w:rsidP="003D6D67">
      <w:pPr>
        <w:spacing w:line="240" w:lineRule="auto"/>
        <w:jc w:val="both"/>
        <w:rPr>
          <w:rFonts w:ascii="Calibri" w:eastAsia="Times New Roman" w:hAnsi="Calibri" w:cs="Calibri"/>
          <w:sz w:val="18"/>
          <w:szCs w:val="18"/>
        </w:rPr>
      </w:pPr>
      <w:r w:rsidRPr="003D6D67">
        <w:rPr>
          <w:rFonts w:ascii="Calibri" w:hAnsi="Calibri" w:cs="Calibri"/>
          <w:sz w:val="18"/>
          <w:szCs w:val="18"/>
          <w:vertAlign w:val="superscript"/>
        </w:rPr>
        <w:footnoteRef/>
      </w:r>
      <w:r w:rsidRPr="003D6D67">
        <w:rPr>
          <w:rFonts w:ascii="Calibri" w:eastAsia="Times New Roman" w:hAnsi="Calibri" w:cs="Calibri"/>
          <w:sz w:val="18"/>
          <w:szCs w:val="18"/>
        </w:rPr>
        <w:t xml:space="preserve">  ECHR “Violations by Article and by State” 1959-2022, n.d., </w:t>
      </w:r>
      <w:hyperlink r:id="rId1">
        <w:r w:rsidRPr="003D6D67">
          <w:rPr>
            <w:rFonts w:ascii="Calibri" w:eastAsia="Times New Roman" w:hAnsi="Calibri" w:cs="Calibri"/>
            <w:color w:val="1155CC"/>
            <w:sz w:val="18"/>
            <w:szCs w:val="18"/>
            <w:u w:val="single"/>
          </w:rPr>
          <w:t>https://www.echr.coe.int/documents/d/echr/stats_violation_1959_2022_eng</w:t>
        </w:r>
      </w:hyperlink>
      <w:r w:rsidRPr="003D6D67">
        <w:rPr>
          <w:rFonts w:ascii="Calibri" w:eastAsia="Times New Roman" w:hAnsi="Calibri" w:cs="Calibri"/>
          <w:sz w:val="18"/>
          <w:szCs w:val="18"/>
        </w:rPr>
        <w:t xml:space="preserve">,  Violations by Article and by State 2023, </w:t>
      </w:r>
      <w:hyperlink r:id="rId2">
        <w:r w:rsidRPr="003D6D67">
          <w:rPr>
            <w:rFonts w:ascii="Calibri" w:eastAsia="Times New Roman" w:hAnsi="Calibri" w:cs="Calibri"/>
            <w:color w:val="1155CC"/>
            <w:sz w:val="18"/>
            <w:szCs w:val="18"/>
            <w:u w:val="single"/>
          </w:rPr>
          <w:t>https://www.echr.coe.int/documents/d/echr/stats-violation-2023-eng</w:t>
        </w:r>
      </w:hyperlink>
    </w:p>
  </w:footnote>
  <w:footnote w:id="2">
    <w:p w14:paraId="5110904F" w14:textId="77777777" w:rsidR="00A06E6E" w:rsidRDefault="00000000" w:rsidP="003D6D67">
      <w:pPr>
        <w:spacing w:line="240" w:lineRule="auto"/>
        <w:jc w:val="both"/>
        <w:rPr>
          <w:rFonts w:ascii="Times New Roman" w:eastAsia="Times New Roman" w:hAnsi="Times New Roman" w:cs="Times New Roman"/>
          <w:sz w:val="20"/>
          <w:szCs w:val="20"/>
        </w:rPr>
      </w:pPr>
      <w:r w:rsidRPr="003D6D67">
        <w:rPr>
          <w:rFonts w:ascii="Calibri" w:hAnsi="Calibri" w:cs="Calibri"/>
          <w:sz w:val="18"/>
          <w:szCs w:val="18"/>
          <w:vertAlign w:val="superscript"/>
        </w:rPr>
        <w:footnoteRef/>
      </w:r>
      <w:r w:rsidRPr="003D6D67">
        <w:rPr>
          <w:rFonts w:ascii="Calibri" w:eastAsia="Times New Roman" w:hAnsi="Calibri" w:cs="Calibri"/>
          <w:sz w:val="18"/>
          <w:szCs w:val="18"/>
        </w:rPr>
        <w:t xml:space="preserve"> Id.</w:t>
      </w:r>
    </w:p>
  </w:footnote>
  <w:footnote w:id="3">
    <w:p w14:paraId="037CF856" w14:textId="6D54954C" w:rsidR="00A06E6E" w:rsidRPr="003D6D67" w:rsidRDefault="00000000" w:rsidP="003D6D67">
      <w:pPr>
        <w:spacing w:line="240" w:lineRule="auto"/>
        <w:jc w:val="both"/>
        <w:rPr>
          <w:rFonts w:ascii="Calibri" w:eastAsia="Times New Roman" w:hAnsi="Calibri" w:cs="Calibri"/>
          <w:sz w:val="18"/>
          <w:szCs w:val="18"/>
        </w:rPr>
      </w:pPr>
      <w:r w:rsidRPr="003D6D67">
        <w:rPr>
          <w:rFonts w:ascii="Calibri" w:hAnsi="Calibri" w:cs="Calibri"/>
          <w:sz w:val="18"/>
          <w:szCs w:val="18"/>
          <w:vertAlign w:val="superscript"/>
        </w:rPr>
        <w:footnoteRef/>
      </w:r>
      <w:r w:rsidRPr="003D6D67">
        <w:rPr>
          <w:rFonts w:ascii="Calibri" w:eastAsia="Times New Roman" w:hAnsi="Calibri" w:cs="Calibri"/>
          <w:sz w:val="18"/>
          <w:szCs w:val="18"/>
        </w:rPr>
        <w:t xml:space="preserve">  European Committee for the Prevention of Torture and Inhuman or Degrading Treatment or Punishment (CPT), 6th General Report on the CPT's activities covering the period 1 January to 31 December 1995, 5 August 1996, </w:t>
      </w:r>
      <w:r w:rsidRPr="003D6D67">
        <w:rPr>
          <w:rFonts w:ascii="Calibri" w:eastAsia="Times New Roman" w:hAnsi="Calibri" w:cs="Calibri"/>
          <w:sz w:val="18"/>
          <w:szCs w:val="18"/>
          <w:shd w:val="clear" w:color="auto" w:fill="FDFDFD"/>
        </w:rPr>
        <w:t xml:space="preserve">§ </w:t>
      </w:r>
      <w:r w:rsidRPr="003D6D67">
        <w:rPr>
          <w:rFonts w:ascii="Calibri" w:eastAsia="Times New Roman" w:hAnsi="Calibri" w:cs="Calibri"/>
          <w:sz w:val="18"/>
          <w:szCs w:val="18"/>
        </w:rPr>
        <w:t xml:space="preserve">15, </w:t>
      </w:r>
      <w:hyperlink r:id="rId3" w:history="1">
        <w:r w:rsidR="003D6D67" w:rsidRPr="003D6D67">
          <w:rPr>
            <w:rStyle w:val="Hyperlink"/>
            <w:rFonts w:ascii="Calibri" w:eastAsia="Times New Roman" w:hAnsi="Calibri" w:cs="Calibri"/>
            <w:sz w:val="18"/>
            <w:szCs w:val="18"/>
          </w:rPr>
          <w:t>https://rm.coe.int/1680696a70</w:t>
        </w:r>
      </w:hyperlink>
      <w:r w:rsidRPr="003D6D67">
        <w:rPr>
          <w:rFonts w:ascii="Calibri" w:eastAsia="Times New Roman" w:hAnsi="Calibri" w:cs="Calibri"/>
          <w:sz w:val="18"/>
          <w:szCs w:val="18"/>
        </w:rPr>
        <w:t>.</w:t>
      </w:r>
    </w:p>
  </w:footnote>
  <w:footnote w:id="4">
    <w:p w14:paraId="4A362043" w14:textId="39E0F29B" w:rsidR="00A06E6E" w:rsidRPr="003D6D67" w:rsidRDefault="00000000" w:rsidP="003D6D67">
      <w:pPr>
        <w:spacing w:line="240" w:lineRule="auto"/>
        <w:jc w:val="both"/>
        <w:rPr>
          <w:rFonts w:ascii="Calibri" w:eastAsia="Times New Roman" w:hAnsi="Calibri" w:cs="Calibri"/>
          <w:sz w:val="18"/>
          <w:szCs w:val="18"/>
          <w:shd w:val="clear" w:color="auto" w:fill="FDFDFD"/>
        </w:rPr>
      </w:pPr>
      <w:r w:rsidRPr="003D6D67">
        <w:rPr>
          <w:rFonts w:ascii="Calibri" w:hAnsi="Calibri" w:cs="Calibri"/>
          <w:sz w:val="18"/>
          <w:szCs w:val="18"/>
          <w:vertAlign w:val="superscript"/>
        </w:rPr>
        <w:footnoteRef/>
      </w:r>
      <w:r w:rsidRPr="003D6D67">
        <w:rPr>
          <w:rFonts w:ascii="Calibri" w:eastAsia="Times New Roman" w:hAnsi="Calibri" w:cs="Calibri"/>
          <w:sz w:val="18"/>
          <w:szCs w:val="18"/>
        </w:rPr>
        <w:t xml:space="preserve">  European Committee for the Prevention of Torture and Inhuman or Degrading Treatment or Punishment (CPT), 9th General Report on the CPT's activities covering the period 1 January to 31 December 1998, 30 August 1999, </w:t>
      </w:r>
      <w:r w:rsidRPr="003D6D67">
        <w:rPr>
          <w:rFonts w:ascii="Calibri" w:eastAsia="Times New Roman" w:hAnsi="Calibri" w:cs="Calibri"/>
          <w:sz w:val="18"/>
          <w:szCs w:val="18"/>
          <w:shd w:val="clear" w:color="auto" w:fill="FDFDFD"/>
        </w:rPr>
        <w:t>§ 23,</w:t>
      </w:r>
      <w:r w:rsidR="003D6D67" w:rsidRPr="003D6D67">
        <w:rPr>
          <w:rFonts w:ascii="Calibri" w:eastAsia="Times New Roman" w:hAnsi="Calibri" w:cs="Calibri"/>
          <w:sz w:val="18"/>
          <w:szCs w:val="18"/>
          <w:shd w:val="clear" w:color="auto" w:fill="FDFDFD"/>
        </w:rPr>
        <w:t xml:space="preserve"> </w:t>
      </w:r>
      <w:hyperlink r:id="rId4" w:history="1">
        <w:r w:rsidR="003D6D67" w:rsidRPr="003D6D67">
          <w:rPr>
            <w:rStyle w:val="Hyperlink"/>
            <w:rFonts w:ascii="Calibri" w:eastAsia="Times New Roman" w:hAnsi="Calibri" w:cs="Calibri"/>
            <w:sz w:val="18"/>
            <w:szCs w:val="18"/>
          </w:rPr>
          <w:t>https://rm.coe.int/1680696a73</w:t>
        </w:r>
      </w:hyperlink>
      <w:r w:rsidRPr="003D6D67">
        <w:rPr>
          <w:rFonts w:ascii="Calibri" w:eastAsia="Times New Roman" w:hAnsi="Calibri" w:cs="Calibri"/>
          <w:sz w:val="18"/>
          <w:szCs w:val="18"/>
        </w:rPr>
        <w:t xml:space="preserve">. </w:t>
      </w:r>
    </w:p>
  </w:footnote>
  <w:footnote w:id="5">
    <w:p w14:paraId="3F7F2CB7" w14:textId="5BB33A74" w:rsidR="00A06E6E" w:rsidRPr="003D6D67" w:rsidRDefault="00000000" w:rsidP="003D6D67">
      <w:pPr>
        <w:spacing w:line="240" w:lineRule="auto"/>
        <w:jc w:val="both"/>
        <w:rPr>
          <w:rFonts w:ascii="Calibri" w:eastAsia="Times New Roman" w:hAnsi="Calibri" w:cs="Calibri"/>
          <w:sz w:val="18"/>
          <w:szCs w:val="18"/>
          <w:shd w:val="clear" w:color="auto" w:fill="FDFDFD"/>
        </w:rPr>
      </w:pPr>
      <w:r w:rsidRPr="003D6D67">
        <w:rPr>
          <w:rFonts w:ascii="Calibri" w:hAnsi="Calibri" w:cs="Calibri"/>
          <w:sz w:val="18"/>
          <w:szCs w:val="18"/>
          <w:vertAlign w:val="superscript"/>
        </w:rPr>
        <w:footnoteRef/>
      </w:r>
      <w:r w:rsidRPr="003D6D67">
        <w:rPr>
          <w:rFonts w:ascii="Calibri" w:eastAsia="Times New Roman" w:hAnsi="Calibri" w:cs="Calibri"/>
          <w:sz w:val="18"/>
          <w:szCs w:val="18"/>
        </w:rPr>
        <w:t xml:space="preserve">  CPT, “Report to the Azerbaijani Government on the visit to Azerbaijan carried out by the European Committee for the Prevention of Torture and Inhuman or Degrading Treatment or Punishment (CPT) from 23 to 30 October 2017”, </w:t>
      </w:r>
      <w:r w:rsidRPr="003D6D67">
        <w:rPr>
          <w:rFonts w:ascii="Calibri" w:eastAsia="Times New Roman" w:hAnsi="Calibri" w:cs="Calibri"/>
          <w:sz w:val="18"/>
          <w:szCs w:val="18"/>
          <w:shd w:val="clear" w:color="auto" w:fill="FDFDFD"/>
        </w:rPr>
        <w:t>26 mart 2018, § 25,</w:t>
      </w:r>
      <w:r w:rsidR="003D6D67" w:rsidRPr="003D6D67">
        <w:rPr>
          <w:rFonts w:ascii="Calibri" w:eastAsia="Times New Roman" w:hAnsi="Calibri" w:cs="Calibri"/>
          <w:sz w:val="18"/>
          <w:szCs w:val="18"/>
          <w:shd w:val="clear" w:color="auto" w:fill="FDFDFD"/>
        </w:rPr>
        <w:t xml:space="preserve"> </w:t>
      </w:r>
      <w:hyperlink r:id="rId5" w:history="1">
        <w:r w:rsidR="003D6D67" w:rsidRPr="003D6D67">
          <w:rPr>
            <w:rStyle w:val="Hyperlink"/>
            <w:rFonts w:ascii="Calibri" w:eastAsia="Times New Roman" w:hAnsi="Calibri" w:cs="Calibri"/>
            <w:sz w:val="18"/>
            <w:szCs w:val="18"/>
          </w:rPr>
          <w:t>https://hudoc.cpt.coe.int/eng?i=p-aze-20171023-en-7</w:t>
        </w:r>
      </w:hyperlink>
      <w:r w:rsidRPr="003D6D67">
        <w:rPr>
          <w:rFonts w:ascii="Calibri" w:eastAsia="Times New Roman" w:hAnsi="Calibri" w:cs="Calibri"/>
          <w:sz w:val="18"/>
          <w:szCs w:val="18"/>
        </w:rPr>
        <w:t xml:space="preserve">, </w:t>
      </w:r>
      <w:r w:rsidRPr="003D6D67">
        <w:rPr>
          <w:rFonts w:ascii="Calibri" w:eastAsia="Times New Roman" w:hAnsi="Calibri" w:cs="Calibri"/>
          <w:sz w:val="18"/>
          <w:szCs w:val="18"/>
        </w:rPr>
        <w:br/>
        <w:t xml:space="preserve">“Report to the Azerbaijani Government on the visit to Azerbaijan carried out by the European Committee for the Prevention of Torture and Inhuman or Degrading Treatment or Punishment (CPT) from 29 March to 8 April 2016”, 18 July 2018, </w:t>
      </w:r>
      <w:r w:rsidRPr="003D6D67">
        <w:rPr>
          <w:rFonts w:ascii="Calibri" w:eastAsia="Times New Roman" w:hAnsi="Calibri" w:cs="Calibri"/>
          <w:sz w:val="18"/>
          <w:szCs w:val="18"/>
          <w:shd w:val="clear" w:color="auto" w:fill="FDFDFD"/>
        </w:rPr>
        <w:t>§ 21,</w:t>
      </w:r>
      <w:r w:rsidR="003D6D67" w:rsidRPr="003D6D67">
        <w:rPr>
          <w:rFonts w:ascii="Calibri" w:eastAsia="Times New Roman" w:hAnsi="Calibri" w:cs="Calibri"/>
          <w:sz w:val="18"/>
          <w:szCs w:val="18"/>
          <w:shd w:val="clear" w:color="auto" w:fill="FDFDFD"/>
        </w:rPr>
        <w:t xml:space="preserve"> </w:t>
      </w:r>
      <w:hyperlink r:id="rId6" w:history="1">
        <w:r w:rsidR="003D6D67" w:rsidRPr="003D6D67">
          <w:rPr>
            <w:rStyle w:val="Hyperlink"/>
            <w:rFonts w:ascii="Calibri" w:eastAsia="Times New Roman" w:hAnsi="Calibri" w:cs="Calibri"/>
            <w:sz w:val="18"/>
            <w:szCs w:val="18"/>
          </w:rPr>
          <w:t>https://hudoc.cpt.coe.int/eng?i=p-aze-20160329-en-9</w:t>
        </w:r>
      </w:hyperlink>
      <w:r w:rsidRPr="003D6D67">
        <w:rPr>
          <w:rFonts w:ascii="Calibri" w:eastAsia="Times New Roman" w:hAnsi="Calibri" w:cs="Calibri"/>
          <w:sz w:val="18"/>
          <w:szCs w:val="18"/>
        </w:rPr>
        <w:t>.</w:t>
      </w:r>
    </w:p>
  </w:footnote>
  <w:footnote w:id="6">
    <w:p w14:paraId="0CE333A3" w14:textId="77777777" w:rsidR="00A06E6E" w:rsidRPr="003D6D67" w:rsidRDefault="00000000" w:rsidP="003D6D67">
      <w:pPr>
        <w:spacing w:line="240" w:lineRule="auto"/>
        <w:jc w:val="both"/>
        <w:rPr>
          <w:rFonts w:ascii="Calibri" w:eastAsia="Times New Roman" w:hAnsi="Calibri" w:cs="Calibri"/>
          <w:color w:val="1155CC"/>
          <w:sz w:val="18"/>
          <w:szCs w:val="18"/>
          <w:u w:val="single"/>
        </w:rPr>
      </w:pPr>
      <w:r w:rsidRPr="003D6D67">
        <w:rPr>
          <w:rFonts w:ascii="Calibri" w:hAnsi="Calibri" w:cs="Calibri"/>
          <w:sz w:val="18"/>
          <w:szCs w:val="18"/>
          <w:vertAlign w:val="superscript"/>
        </w:rPr>
        <w:footnoteRef/>
      </w:r>
      <w:r w:rsidRPr="003D6D67">
        <w:rPr>
          <w:rFonts w:ascii="Calibri" w:eastAsia="Times New Roman" w:hAnsi="Calibri" w:cs="Calibri"/>
          <w:sz w:val="18"/>
          <w:szCs w:val="18"/>
        </w:rPr>
        <w:t xml:space="preserve">  U.S. Department of State, “2020 Country Reports on Human Rights Practices: Azerbaijan”, 30 march 2021, </w:t>
      </w:r>
      <w:hyperlink r:id="rId7">
        <w:r w:rsidRPr="003D6D67">
          <w:rPr>
            <w:rFonts w:ascii="Calibri" w:eastAsia="Times New Roman" w:hAnsi="Calibri" w:cs="Calibri"/>
            <w:color w:val="1155CC"/>
            <w:sz w:val="18"/>
            <w:szCs w:val="18"/>
            <w:u w:val="single"/>
          </w:rPr>
          <w:t>https://www.state.gov/reports/2020-country-reports-on-human-rights-practices/azerbaijan/</w:t>
        </w:r>
      </w:hyperlink>
      <w:r w:rsidRPr="003D6D67">
        <w:rPr>
          <w:rFonts w:ascii="Calibri" w:eastAsia="Times New Roman" w:hAnsi="Calibri" w:cs="Calibri"/>
          <w:sz w:val="18"/>
          <w:szCs w:val="18"/>
        </w:rPr>
        <w:t>, U.S. Department of State, “Country Reports on Human Rights Practices: Azerbaijan”, n.d.,</w:t>
      </w:r>
      <w:r w:rsidRPr="003D6D67">
        <w:rPr>
          <w:rFonts w:ascii="Calibri" w:eastAsia="Times New Roman" w:hAnsi="Calibri" w:cs="Calibri"/>
          <w:color w:val="BDC1C6"/>
          <w:sz w:val="18"/>
          <w:szCs w:val="18"/>
        </w:rPr>
        <w:t xml:space="preserve"> </w:t>
      </w:r>
      <w:hyperlink r:id="rId8">
        <w:r w:rsidRPr="003D6D67">
          <w:rPr>
            <w:rFonts w:ascii="Calibri" w:eastAsia="Times New Roman" w:hAnsi="Calibri" w:cs="Calibri"/>
            <w:color w:val="1155CC"/>
            <w:sz w:val="18"/>
            <w:szCs w:val="18"/>
            <w:u w:val="single"/>
          </w:rPr>
          <w:t>https://www.state.gov/reports/2021-country-reports-on-human-rights-practices/azerbaijan/</w:t>
        </w:r>
      </w:hyperlink>
      <w:r w:rsidRPr="003D6D67">
        <w:rPr>
          <w:rFonts w:ascii="Calibri" w:eastAsia="Times New Roman" w:hAnsi="Calibri" w:cs="Calibri"/>
          <w:color w:val="1155CC"/>
          <w:sz w:val="18"/>
          <w:szCs w:val="18"/>
          <w:u w:val="single"/>
        </w:rPr>
        <w:t>,</w:t>
      </w:r>
    </w:p>
    <w:p w14:paraId="0340AED0" w14:textId="77777777" w:rsidR="00A06E6E" w:rsidRDefault="00000000" w:rsidP="003D6D67">
      <w:pPr>
        <w:keepNext/>
        <w:spacing w:line="240" w:lineRule="auto"/>
        <w:jc w:val="both"/>
        <w:rPr>
          <w:rFonts w:ascii="Times New Roman" w:eastAsia="Times New Roman" w:hAnsi="Times New Roman" w:cs="Times New Roman"/>
          <w:sz w:val="20"/>
          <w:szCs w:val="20"/>
        </w:rPr>
      </w:pPr>
      <w:r w:rsidRPr="003D6D67">
        <w:rPr>
          <w:rFonts w:ascii="Calibri" w:eastAsia="Times New Roman" w:hAnsi="Calibri" w:cs="Calibri"/>
          <w:sz w:val="18"/>
          <w:szCs w:val="18"/>
        </w:rPr>
        <w:t xml:space="preserve">U.S. Department of State, “2022 Country Reports on Human Rights Practices: Azerbaijan”, n.d., </w:t>
      </w:r>
      <w:hyperlink r:id="rId9" w:anchor=":~:text=Other%20significant%20human%20rights%20issues,detention%3B%20political%20prisoners%3B%20politically%20motivated">
        <w:r w:rsidRPr="003D6D67">
          <w:rPr>
            <w:rFonts w:ascii="Calibri" w:eastAsia="Times New Roman" w:hAnsi="Calibri" w:cs="Calibri"/>
            <w:color w:val="0000FF"/>
            <w:sz w:val="18"/>
            <w:szCs w:val="18"/>
            <w:u w:val="single"/>
          </w:rPr>
          <w:t>https://www.state.gov/reports/2022-country-reports-on-human-rights-practices/azerbaijan/#:~:text=Other%20significant%20human%20rights%20issues,detention%3B%20political%20prisoners%3B%20politically%20motivated</w:t>
        </w:r>
      </w:hyperlink>
      <w:r w:rsidRPr="003D6D67">
        <w:rPr>
          <w:rFonts w:ascii="Calibri" w:eastAsia="Times New Roman" w:hAnsi="Calibri" w:cs="Calibri"/>
          <w:sz w:val="18"/>
          <w:szCs w:val="18"/>
        </w:rPr>
        <w:t>.</w:t>
      </w:r>
    </w:p>
  </w:footnote>
  <w:footnote w:id="7">
    <w:p w14:paraId="637F16AF" w14:textId="77777777" w:rsidR="00A06E6E" w:rsidRPr="003D6D67" w:rsidRDefault="00000000" w:rsidP="003D6D67">
      <w:pPr>
        <w:spacing w:line="240" w:lineRule="auto"/>
        <w:jc w:val="both"/>
        <w:rPr>
          <w:rFonts w:ascii="Calibri" w:eastAsia="Times New Roman" w:hAnsi="Calibri" w:cs="Calibri"/>
          <w:sz w:val="18"/>
          <w:szCs w:val="18"/>
        </w:rPr>
      </w:pPr>
      <w:r w:rsidRPr="003D6D67">
        <w:rPr>
          <w:rFonts w:ascii="Calibri" w:hAnsi="Calibri" w:cs="Calibri"/>
          <w:sz w:val="18"/>
          <w:szCs w:val="18"/>
          <w:vertAlign w:val="superscript"/>
        </w:rPr>
        <w:footnoteRef/>
      </w:r>
      <w:r w:rsidRPr="003D6D67">
        <w:rPr>
          <w:rFonts w:ascii="Calibri" w:eastAsia="Times New Roman" w:hAnsi="Calibri" w:cs="Calibri"/>
          <w:sz w:val="18"/>
          <w:szCs w:val="18"/>
        </w:rPr>
        <w:t xml:space="preserve"> The State Statistical Committee of the Republic of Azerbaijan, "Crime and Offenses", Last updated: 09 October 2023,</w:t>
      </w:r>
    </w:p>
    <w:p w14:paraId="1D962F77" w14:textId="77777777" w:rsidR="00A06E6E" w:rsidRPr="003D6D67" w:rsidRDefault="00000000" w:rsidP="003D6D67">
      <w:pPr>
        <w:spacing w:line="240" w:lineRule="auto"/>
        <w:jc w:val="both"/>
        <w:rPr>
          <w:rFonts w:ascii="Calibri" w:eastAsia="Times New Roman" w:hAnsi="Calibri" w:cs="Calibri"/>
          <w:sz w:val="18"/>
          <w:szCs w:val="18"/>
        </w:rPr>
      </w:pPr>
      <w:hyperlink r:id="rId10">
        <w:r w:rsidRPr="003D6D67">
          <w:rPr>
            <w:rFonts w:ascii="Calibri" w:eastAsia="Times New Roman" w:hAnsi="Calibri" w:cs="Calibri"/>
            <w:color w:val="1155CC"/>
            <w:sz w:val="18"/>
            <w:szCs w:val="18"/>
            <w:u w:val="single"/>
          </w:rPr>
          <w:t>https://stat.gov.az/source/crimes/</w:t>
        </w:r>
      </w:hyperlink>
      <w:r w:rsidRPr="003D6D67">
        <w:rPr>
          <w:rFonts w:ascii="Calibri" w:eastAsia="Times New Roman" w:hAnsi="Calibri" w:cs="Calibri"/>
          <w:sz w:val="18"/>
          <w:szCs w:val="18"/>
        </w:rPr>
        <w:t>.</w:t>
      </w:r>
    </w:p>
  </w:footnote>
  <w:footnote w:id="8">
    <w:p w14:paraId="25A7A453" w14:textId="77777777" w:rsidR="00A06E6E" w:rsidRPr="003D6D67" w:rsidRDefault="00000000" w:rsidP="003D6D67">
      <w:pPr>
        <w:spacing w:line="240" w:lineRule="auto"/>
        <w:jc w:val="both"/>
        <w:rPr>
          <w:rFonts w:ascii="Calibri" w:eastAsia="Times New Roman" w:hAnsi="Calibri" w:cs="Calibri"/>
          <w:sz w:val="18"/>
          <w:szCs w:val="18"/>
        </w:rPr>
      </w:pPr>
      <w:r w:rsidRPr="003D6D67">
        <w:rPr>
          <w:rFonts w:ascii="Calibri" w:hAnsi="Calibri" w:cs="Calibri"/>
          <w:sz w:val="18"/>
          <w:szCs w:val="18"/>
          <w:vertAlign w:val="superscript"/>
        </w:rPr>
        <w:footnoteRef/>
      </w:r>
      <w:r w:rsidRPr="003D6D67">
        <w:rPr>
          <w:rFonts w:ascii="Calibri" w:eastAsia="Times New Roman" w:hAnsi="Calibri" w:cs="Calibri"/>
          <w:sz w:val="18"/>
          <w:szCs w:val="18"/>
        </w:rPr>
        <w:t xml:space="preserve">  CPT, “Report to the Azerbaijani Government on the visit to Azerbaijan carried out by the European Committee for the Prevention of Torture and Inhuman or Degrading Treatment or Punishment (CPT) from 23 to 30 October 2017”, </w:t>
      </w:r>
      <w:r w:rsidRPr="003D6D67">
        <w:rPr>
          <w:rFonts w:ascii="Calibri" w:eastAsia="Times New Roman" w:hAnsi="Calibri" w:cs="Calibri"/>
          <w:sz w:val="18"/>
          <w:szCs w:val="18"/>
          <w:shd w:val="clear" w:color="auto" w:fill="FDFDFD"/>
        </w:rPr>
        <w:t>26 March 2018, § 14,</w:t>
      </w:r>
    </w:p>
    <w:p w14:paraId="2B57D18E" w14:textId="77777777" w:rsidR="00A06E6E" w:rsidRPr="003D6D67" w:rsidRDefault="00000000" w:rsidP="003D6D67">
      <w:pPr>
        <w:keepNext/>
        <w:spacing w:line="240" w:lineRule="auto"/>
        <w:jc w:val="both"/>
        <w:rPr>
          <w:rFonts w:ascii="Calibri" w:eastAsia="Times New Roman" w:hAnsi="Calibri" w:cs="Calibri"/>
          <w:sz w:val="18"/>
          <w:szCs w:val="18"/>
        </w:rPr>
      </w:pPr>
      <w:hyperlink r:id="rId11">
        <w:r w:rsidRPr="003D6D67">
          <w:rPr>
            <w:rFonts w:ascii="Calibri" w:eastAsia="Times New Roman" w:hAnsi="Calibri" w:cs="Calibri"/>
            <w:color w:val="1155CC"/>
            <w:sz w:val="18"/>
            <w:szCs w:val="18"/>
            <w:u w:val="single"/>
            <w:shd w:val="clear" w:color="auto" w:fill="FDFDFD"/>
          </w:rPr>
          <w:t>https://hudoc.cpt.coe.int/eng?i=p-aze-20171023-en-7</w:t>
        </w:r>
      </w:hyperlink>
      <w:r w:rsidRPr="003D6D67">
        <w:rPr>
          <w:rFonts w:ascii="Calibri" w:eastAsia="Times New Roman" w:hAnsi="Calibri" w:cs="Calibri"/>
          <w:sz w:val="18"/>
          <w:szCs w:val="18"/>
        </w:rPr>
        <w:t>.</w:t>
      </w:r>
    </w:p>
  </w:footnote>
  <w:footnote w:id="9">
    <w:p w14:paraId="630F0069" w14:textId="77777777" w:rsidR="00A06E6E" w:rsidRPr="003D6D67" w:rsidRDefault="00000000" w:rsidP="003D6D67">
      <w:pPr>
        <w:spacing w:line="240" w:lineRule="auto"/>
        <w:jc w:val="both"/>
        <w:rPr>
          <w:rFonts w:ascii="Calibri" w:eastAsia="Times New Roman" w:hAnsi="Calibri" w:cs="Calibri"/>
          <w:sz w:val="18"/>
          <w:szCs w:val="18"/>
        </w:rPr>
      </w:pPr>
      <w:r w:rsidRPr="003D6D67">
        <w:rPr>
          <w:rFonts w:ascii="Calibri" w:hAnsi="Calibri" w:cs="Calibri"/>
          <w:sz w:val="18"/>
          <w:szCs w:val="18"/>
          <w:vertAlign w:val="superscript"/>
        </w:rPr>
        <w:footnoteRef/>
      </w:r>
      <w:r w:rsidRPr="003D6D67">
        <w:rPr>
          <w:rFonts w:ascii="Calibri" w:eastAsia="Times New Roman" w:hAnsi="Calibri" w:cs="Calibri"/>
          <w:sz w:val="18"/>
          <w:szCs w:val="18"/>
        </w:rPr>
        <w:t xml:space="preserve"> Ibid, </w:t>
      </w:r>
      <w:r w:rsidRPr="003D6D67">
        <w:rPr>
          <w:rFonts w:ascii="Calibri" w:eastAsia="Times New Roman" w:hAnsi="Calibri" w:cs="Calibri"/>
          <w:sz w:val="18"/>
          <w:szCs w:val="18"/>
          <w:shd w:val="clear" w:color="auto" w:fill="FDFDFD"/>
        </w:rPr>
        <w:t>§ 15.</w:t>
      </w:r>
    </w:p>
  </w:footnote>
  <w:footnote w:id="10">
    <w:p w14:paraId="518FB574" w14:textId="77777777" w:rsidR="00A06E6E" w:rsidRPr="003D6D67" w:rsidRDefault="00000000" w:rsidP="003D6D67">
      <w:pPr>
        <w:spacing w:line="240" w:lineRule="auto"/>
        <w:jc w:val="both"/>
        <w:rPr>
          <w:rFonts w:ascii="Calibri" w:eastAsia="Times New Roman" w:hAnsi="Calibri" w:cs="Calibri"/>
          <w:sz w:val="18"/>
          <w:szCs w:val="18"/>
        </w:rPr>
      </w:pPr>
      <w:r w:rsidRPr="003D6D67">
        <w:rPr>
          <w:rFonts w:ascii="Calibri" w:hAnsi="Calibri" w:cs="Calibri"/>
          <w:sz w:val="18"/>
          <w:szCs w:val="18"/>
          <w:vertAlign w:val="superscript"/>
        </w:rPr>
        <w:footnoteRef/>
      </w:r>
      <w:r w:rsidRPr="003D6D67">
        <w:rPr>
          <w:rFonts w:ascii="Calibri" w:eastAsia="Times New Roman" w:hAnsi="Calibri" w:cs="Calibri"/>
          <w:sz w:val="18"/>
          <w:szCs w:val="18"/>
        </w:rPr>
        <w:t xml:space="preserve"> BBC Azerbaijan, "CPT: "Torture...is systematic and widespread" in Azerbaijan, July 19, 2018, </w:t>
      </w:r>
      <w:hyperlink r:id="rId12">
        <w:r w:rsidRPr="003D6D67">
          <w:rPr>
            <w:rFonts w:ascii="Calibri" w:eastAsia="Times New Roman" w:hAnsi="Calibri" w:cs="Calibri"/>
            <w:color w:val="1155CC"/>
            <w:sz w:val="18"/>
            <w:szCs w:val="18"/>
            <w:u w:val="single"/>
          </w:rPr>
          <w:t>https://www.bbc.com/azeri/azerbaijan-44878258</w:t>
        </w:r>
      </w:hyperlink>
      <w:r w:rsidRPr="003D6D67">
        <w:rPr>
          <w:rFonts w:ascii="Calibri" w:eastAsia="Times New Roman" w:hAnsi="Calibri" w:cs="Calibri"/>
          <w:sz w:val="18"/>
          <w:szCs w:val="18"/>
        </w:rPr>
        <w:t xml:space="preserve">. </w:t>
      </w:r>
    </w:p>
  </w:footnote>
  <w:footnote w:id="11">
    <w:p w14:paraId="1130FFE8" w14:textId="77777777" w:rsidR="00A06E6E" w:rsidRPr="003D6D67" w:rsidRDefault="00000000" w:rsidP="003D6D67">
      <w:pPr>
        <w:spacing w:line="240" w:lineRule="auto"/>
        <w:jc w:val="both"/>
        <w:rPr>
          <w:rFonts w:ascii="Calibri" w:eastAsia="Times New Roman" w:hAnsi="Calibri" w:cs="Calibri"/>
          <w:sz w:val="18"/>
          <w:szCs w:val="18"/>
        </w:rPr>
      </w:pPr>
      <w:r w:rsidRPr="003D6D67">
        <w:rPr>
          <w:rFonts w:ascii="Calibri" w:hAnsi="Calibri" w:cs="Calibri"/>
          <w:sz w:val="18"/>
          <w:szCs w:val="18"/>
          <w:vertAlign w:val="superscript"/>
        </w:rPr>
        <w:footnoteRef/>
      </w:r>
      <w:r w:rsidRPr="003D6D67">
        <w:rPr>
          <w:rFonts w:ascii="Calibri" w:eastAsia="Times New Roman" w:hAnsi="Calibri" w:cs="Calibri"/>
          <w:sz w:val="18"/>
          <w:szCs w:val="18"/>
        </w:rPr>
        <w:t xml:space="preserve"> Council of Europe, “Council of Europe anti-torture Committee visits Azerbaijan”, 23 December 2020, </w:t>
      </w:r>
      <w:hyperlink r:id="rId13">
        <w:r w:rsidRPr="003D6D67">
          <w:rPr>
            <w:rFonts w:ascii="Calibri" w:eastAsia="Times New Roman" w:hAnsi="Calibri" w:cs="Calibri"/>
            <w:color w:val="1155CC"/>
            <w:sz w:val="18"/>
            <w:szCs w:val="18"/>
            <w:u w:val="single"/>
          </w:rPr>
          <w:t>https://www.coe.int/en/web/cpt/-/council-of-europe-anti-torture-committee-visits-azerbaij-8</w:t>
        </w:r>
      </w:hyperlink>
      <w:r w:rsidRPr="003D6D67">
        <w:rPr>
          <w:rFonts w:ascii="Calibri" w:eastAsia="Times New Roman" w:hAnsi="Calibri" w:cs="Calibri"/>
          <w:sz w:val="18"/>
          <w:szCs w:val="18"/>
        </w:rPr>
        <w:t>,</w:t>
      </w:r>
    </w:p>
    <w:p w14:paraId="1FD615D0" w14:textId="77777777" w:rsidR="00A06E6E" w:rsidRPr="003D6D67" w:rsidRDefault="00000000" w:rsidP="003D6D67">
      <w:pPr>
        <w:spacing w:line="240" w:lineRule="auto"/>
        <w:jc w:val="both"/>
        <w:rPr>
          <w:rFonts w:ascii="Calibri" w:eastAsia="Times New Roman" w:hAnsi="Calibri" w:cs="Calibri"/>
          <w:sz w:val="18"/>
          <w:szCs w:val="18"/>
        </w:rPr>
      </w:pPr>
      <w:r w:rsidRPr="003D6D67">
        <w:rPr>
          <w:rFonts w:ascii="Calibri" w:eastAsia="Times New Roman" w:hAnsi="Calibri" w:cs="Calibri"/>
          <w:sz w:val="18"/>
          <w:szCs w:val="18"/>
        </w:rPr>
        <w:t xml:space="preserve">Council of Europe anti-torture Committee (CPT) carries out a visit to Azerbaijan, 3 January 2023, </w:t>
      </w:r>
      <w:hyperlink r:id="rId14">
        <w:r w:rsidRPr="003D6D67">
          <w:rPr>
            <w:rFonts w:ascii="Calibri" w:eastAsia="Times New Roman" w:hAnsi="Calibri" w:cs="Calibri"/>
            <w:color w:val="1155CC"/>
            <w:sz w:val="18"/>
            <w:szCs w:val="18"/>
            <w:u w:val="single"/>
          </w:rPr>
          <w:t>https://www.coe.int/en/web/cpt/-/council-of-europe-anti-torture-committee-cpt-carries-out-a-visit-to-azerbaijan</w:t>
        </w:r>
      </w:hyperlink>
      <w:r w:rsidRPr="003D6D67">
        <w:rPr>
          <w:rFonts w:ascii="Calibri" w:eastAsia="Times New Roman" w:hAnsi="Calibri" w:cs="Calibri"/>
          <w:sz w:val="18"/>
          <w:szCs w:val="18"/>
        </w:rPr>
        <w:t xml:space="preserve">. </w:t>
      </w:r>
    </w:p>
  </w:footnote>
  <w:footnote w:id="12">
    <w:p w14:paraId="730F9EAE" w14:textId="77777777" w:rsidR="00A06E6E" w:rsidRPr="003D6D67" w:rsidRDefault="00000000" w:rsidP="003D6D67">
      <w:pPr>
        <w:spacing w:line="240" w:lineRule="auto"/>
        <w:jc w:val="both"/>
        <w:rPr>
          <w:rFonts w:ascii="Calibri" w:eastAsia="Times New Roman" w:hAnsi="Calibri" w:cs="Calibri"/>
          <w:sz w:val="18"/>
          <w:szCs w:val="18"/>
        </w:rPr>
      </w:pPr>
      <w:r w:rsidRPr="003D6D67">
        <w:rPr>
          <w:rFonts w:ascii="Calibri" w:hAnsi="Calibri" w:cs="Calibri"/>
          <w:sz w:val="18"/>
          <w:szCs w:val="18"/>
          <w:vertAlign w:val="superscript"/>
        </w:rPr>
        <w:footnoteRef/>
      </w:r>
      <w:r w:rsidRPr="003D6D67">
        <w:rPr>
          <w:rFonts w:ascii="Calibri" w:eastAsia="Times New Roman" w:hAnsi="Calibri" w:cs="Calibri"/>
          <w:sz w:val="18"/>
          <w:szCs w:val="18"/>
        </w:rPr>
        <w:t xml:space="preserve">  Council of Europe, “The CPT and Azerbaijan”, </w:t>
      </w:r>
      <w:hyperlink r:id="rId15">
        <w:r w:rsidRPr="003D6D67">
          <w:rPr>
            <w:rFonts w:ascii="Calibri" w:eastAsia="Times New Roman" w:hAnsi="Calibri" w:cs="Calibri"/>
            <w:color w:val="1155CC"/>
            <w:sz w:val="18"/>
            <w:szCs w:val="18"/>
            <w:u w:val="single"/>
          </w:rPr>
          <w:t>https://www.coe.int/en/web/cpt/azerbaijan</w:t>
        </w:r>
      </w:hyperlink>
      <w:r w:rsidRPr="003D6D67">
        <w:rPr>
          <w:rFonts w:ascii="Calibri" w:eastAsia="Times New Roman" w:hAnsi="Calibri" w:cs="Calibri"/>
          <w:sz w:val="18"/>
          <w:szCs w:val="18"/>
        </w:rPr>
        <w:t xml:space="preserve">, HUDOC-CPT, </w:t>
      </w:r>
      <w:hyperlink r:id="rId16" w:anchor="%7B%22sort%22:%5B%22CPTDocumentDate%20Descending,CPTDocumentID%20Ascending,CPTSectionNumber%20Ascending%22%5D,%22CPTState%22:%5B%22AZE%22">
        <w:r w:rsidRPr="003D6D67">
          <w:rPr>
            <w:rFonts w:ascii="Calibri" w:eastAsia="Times New Roman" w:hAnsi="Calibri" w:cs="Calibri"/>
            <w:color w:val="1155CC"/>
            <w:sz w:val="18"/>
            <w:szCs w:val="18"/>
            <w:u w:val="single"/>
          </w:rPr>
          <w:t>https://hudoc.cpt.coe.int/eng#{%22sort%22:[%22CPTDocumentDate%20Descending,CPTDocumentID%20Ascending,CPTSectionNumber%20Ascending%22],%22CPTState%22:[%22AZE%22</w:t>
        </w:r>
      </w:hyperlink>
      <w:r w:rsidRPr="003D6D67">
        <w:rPr>
          <w:rFonts w:ascii="Calibri" w:eastAsia="Times New Roman" w:hAnsi="Calibri" w:cs="Calibri"/>
          <w:sz w:val="18"/>
          <w:szCs w:val="18"/>
        </w:rPr>
        <w:t>]}.</w:t>
      </w:r>
    </w:p>
  </w:footnote>
  <w:footnote w:id="13">
    <w:p w14:paraId="39477C69" w14:textId="77777777" w:rsidR="00A06E6E" w:rsidRPr="003D6D67" w:rsidRDefault="00000000" w:rsidP="003D6D67">
      <w:pPr>
        <w:spacing w:line="240" w:lineRule="auto"/>
        <w:jc w:val="both"/>
        <w:rPr>
          <w:rFonts w:ascii="Calibri" w:eastAsia="Times New Roman" w:hAnsi="Calibri" w:cs="Calibri"/>
          <w:sz w:val="18"/>
          <w:szCs w:val="18"/>
        </w:rPr>
      </w:pPr>
      <w:r w:rsidRPr="003D6D67">
        <w:rPr>
          <w:rFonts w:ascii="Calibri" w:hAnsi="Calibri" w:cs="Calibri"/>
          <w:sz w:val="18"/>
          <w:szCs w:val="18"/>
          <w:vertAlign w:val="superscript"/>
        </w:rPr>
        <w:footnoteRef/>
      </w:r>
      <w:r w:rsidRPr="003D6D67">
        <w:rPr>
          <w:rFonts w:ascii="Calibri" w:eastAsia="Times New Roman" w:hAnsi="Calibri" w:cs="Calibri"/>
          <w:sz w:val="18"/>
          <w:szCs w:val="18"/>
        </w:rPr>
        <w:t xml:space="preserve">  CPT, “Report to the Armenian Government on the visit to Armenia carried out by the European Committee for the Prevention of Torture and Inhuman or Degrading Treatment or Punishment (CPT) from 2 to 12 December 2019”, 26 May 2021, </w:t>
      </w:r>
      <w:hyperlink r:id="rId17">
        <w:r w:rsidRPr="003D6D67">
          <w:rPr>
            <w:rFonts w:ascii="Calibri" w:eastAsia="Times New Roman" w:hAnsi="Calibri" w:cs="Calibri"/>
            <w:color w:val="1155CC"/>
            <w:sz w:val="18"/>
            <w:szCs w:val="18"/>
            <w:u w:val="single"/>
          </w:rPr>
          <w:t>https://rm.coe.int/1680a29ba1</w:t>
        </w:r>
      </w:hyperlink>
      <w:r w:rsidRPr="003D6D67">
        <w:rPr>
          <w:rFonts w:ascii="Calibri" w:eastAsia="Times New Roman" w:hAnsi="Calibri" w:cs="Calibri"/>
          <w:sz w:val="18"/>
          <w:szCs w:val="18"/>
        </w:rPr>
        <w:t>.</w:t>
      </w:r>
    </w:p>
  </w:footnote>
  <w:footnote w:id="14">
    <w:p w14:paraId="067CA416" w14:textId="77777777" w:rsidR="00A06E6E" w:rsidRPr="003D6D67" w:rsidRDefault="00000000" w:rsidP="003D6D67">
      <w:pPr>
        <w:spacing w:line="240" w:lineRule="auto"/>
        <w:jc w:val="both"/>
        <w:rPr>
          <w:rFonts w:ascii="Calibri" w:eastAsia="Times New Roman" w:hAnsi="Calibri" w:cs="Calibri"/>
          <w:sz w:val="18"/>
          <w:szCs w:val="18"/>
        </w:rPr>
      </w:pPr>
      <w:r w:rsidRPr="003D6D67">
        <w:rPr>
          <w:rFonts w:ascii="Calibri" w:hAnsi="Calibri" w:cs="Calibri"/>
          <w:sz w:val="18"/>
          <w:szCs w:val="18"/>
          <w:vertAlign w:val="superscript"/>
        </w:rPr>
        <w:footnoteRef/>
      </w:r>
      <w:r w:rsidRPr="003D6D67">
        <w:rPr>
          <w:rFonts w:ascii="Calibri" w:eastAsia="Times New Roman" w:hAnsi="Calibri" w:cs="Calibri"/>
          <w:sz w:val="18"/>
          <w:szCs w:val="18"/>
        </w:rPr>
        <w:t xml:space="preserve"> CPT, “ Report to the Georgian Government on the ad hoc visit to Georgia carried out by the European Committee for the Prevention of Torture and Inhuman or Degrading Treatment or Punishment (CPT) from 25 to 27 March 2023”</w:t>
      </w:r>
      <w:hyperlink r:id="rId18">
        <w:r w:rsidRPr="003D6D67">
          <w:rPr>
            <w:rFonts w:ascii="Calibri" w:eastAsia="Times New Roman" w:hAnsi="Calibri" w:cs="Calibri"/>
            <w:color w:val="1155CC"/>
            <w:sz w:val="18"/>
            <w:szCs w:val="18"/>
            <w:u w:val="single"/>
          </w:rPr>
          <w:t>https://www.coe.int/en/web/cpt/georgia</w:t>
        </w:r>
      </w:hyperlink>
      <w:r w:rsidRPr="003D6D67">
        <w:rPr>
          <w:rFonts w:ascii="Calibri" w:eastAsia="Times New Roman" w:hAnsi="Calibri" w:cs="Calibri"/>
          <w:sz w:val="18"/>
          <w:szCs w:val="18"/>
        </w:rPr>
        <w:t xml:space="preserve"> </w:t>
      </w:r>
    </w:p>
  </w:footnote>
  <w:footnote w:id="15">
    <w:p w14:paraId="76AF8E98" w14:textId="77777777" w:rsidR="00A06E6E" w:rsidRDefault="00000000" w:rsidP="003D6D67">
      <w:pPr>
        <w:spacing w:line="240" w:lineRule="auto"/>
        <w:jc w:val="both"/>
        <w:rPr>
          <w:rFonts w:ascii="Times New Roman" w:eastAsia="Times New Roman" w:hAnsi="Times New Roman" w:cs="Times New Roman"/>
          <w:sz w:val="20"/>
          <w:szCs w:val="20"/>
        </w:rPr>
      </w:pPr>
      <w:r w:rsidRPr="003D6D67">
        <w:rPr>
          <w:rFonts w:ascii="Calibri" w:hAnsi="Calibri" w:cs="Calibri"/>
          <w:sz w:val="18"/>
          <w:szCs w:val="18"/>
          <w:vertAlign w:val="superscript"/>
        </w:rPr>
        <w:footnoteRef/>
      </w:r>
      <w:r w:rsidRPr="003D6D67">
        <w:rPr>
          <w:rFonts w:ascii="Calibri" w:eastAsia="Times New Roman" w:hAnsi="Calibri" w:cs="Calibri"/>
          <w:sz w:val="18"/>
          <w:szCs w:val="18"/>
        </w:rPr>
        <w:t xml:space="preserve"> Selected Collection of Concluding Observations on Azerbaijan by the UN Committee against Torture, the Human Rights Committee of the International Covenant on Civil and Political Rights, and the Committee on the Elimination of Racial Discrimination, Baku 2019, § 8, </w:t>
      </w:r>
      <w:hyperlink r:id="rId19">
        <w:r w:rsidRPr="003D6D67">
          <w:rPr>
            <w:rFonts w:ascii="Calibri" w:eastAsia="Times New Roman" w:hAnsi="Calibri" w:cs="Calibri"/>
            <w:color w:val="1155CC"/>
            <w:sz w:val="18"/>
            <w:szCs w:val="18"/>
            <w:u w:val="single"/>
          </w:rPr>
          <w:t>https://azerbaijan.un.org/sites/default/files/2021-01/3.%20Compilation%20of%20Concluding%20Observations%20of%20CAT%2C%20CCPR%20and%20CERD.pdf</w:t>
        </w:r>
      </w:hyperlink>
      <w:r>
        <w:rPr>
          <w:rFonts w:ascii="Times New Roman" w:eastAsia="Times New Roman" w:hAnsi="Times New Roman" w:cs="Times New Roman"/>
          <w:sz w:val="20"/>
          <w:szCs w:val="20"/>
        </w:rPr>
        <w:t xml:space="preserve"> </w:t>
      </w:r>
    </w:p>
  </w:footnote>
  <w:footnote w:id="16">
    <w:p w14:paraId="47FE5CAC" w14:textId="77777777" w:rsidR="00A06E6E" w:rsidRPr="003D6D67" w:rsidRDefault="00000000" w:rsidP="003D6D67">
      <w:pPr>
        <w:spacing w:line="240" w:lineRule="auto"/>
        <w:jc w:val="both"/>
        <w:rPr>
          <w:rFonts w:ascii="Calibri" w:eastAsia="Times New Roman" w:hAnsi="Calibri" w:cs="Calibri"/>
          <w:sz w:val="18"/>
          <w:szCs w:val="18"/>
        </w:rPr>
      </w:pPr>
      <w:r w:rsidRPr="003D6D67">
        <w:rPr>
          <w:rFonts w:ascii="Calibri" w:hAnsi="Calibri" w:cs="Calibri"/>
          <w:sz w:val="18"/>
          <w:szCs w:val="18"/>
          <w:vertAlign w:val="superscript"/>
        </w:rPr>
        <w:footnoteRef/>
      </w:r>
      <w:r w:rsidRPr="003D6D67">
        <w:rPr>
          <w:rFonts w:ascii="Calibri" w:eastAsia="Times New Roman" w:hAnsi="Calibri" w:cs="Calibri"/>
          <w:sz w:val="18"/>
          <w:szCs w:val="18"/>
        </w:rPr>
        <w:t xml:space="preserve"> Supra note 8,</w:t>
      </w:r>
      <w:r w:rsidRPr="003D6D67">
        <w:rPr>
          <w:rFonts w:ascii="Calibri" w:eastAsia="Times New Roman" w:hAnsi="Calibri" w:cs="Calibri"/>
          <w:sz w:val="18"/>
          <w:szCs w:val="18"/>
          <w:shd w:val="clear" w:color="auto" w:fill="FDFDFD"/>
        </w:rPr>
        <w:t xml:space="preserve"> § 28,</w:t>
      </w:r>
    </w:p>
  </w:footnote>
  <w:footnote w:id="17">
    <w:p w14:paraId="285B5FA3" w14:textId="5CC3B2DA" w:rsidR="00A06E6E" w:rsidRPr="00001432" w:rsidRDefault="00000000" w:rsidP="00001432">
      <w:pPr>
        <w:spacing w:line="240" w:lineRule="auto"/>
        <w:jc w:val="both"/>
        <w:rPr>
          <w:rFonts w:ascii="Calibri" w:eastAsia="Times New Roman" w:hAnsi="Calibri" w:cs="Calibri"/>
          <w:sz w:val="18"/>
          <w:szCs w:val="18"/>
        </w:rPr>
      </w:pPr>
      <w:r w:rsidRPr="003D6D67">
        <w:rPr>
          <w:rFonts w:ascii="Calibri" w:hAnsi="Calibri" w:cs="Calibri"/>
          <w:sz w:val="18"/>
          <w:szCs w:val="18"/>
          <w:vertAlign w:val="superscript"/>
        </w:rPr>
        <w:footnoteRef/>
      </w:r>
      <w:r w:rsidRPr="003D6D67">
        <w:rPr>
          <w:rFonts w:ascii="Calibri" w:eastAsia="Times New Roman" w:hAnsi="Calibri" w:cs="Calibri"/>
          <w:sz w:val="18"/>
          <w:szCs w:val="18"/>
        </w:rPr>
        <w:t xml:space="preserve"> “Response of the Azerbaijani Government to the report of the European Committee for the Prevention of Torture and Inhuman or Degrading Treatment or Punishment (CPT) on its visit to Azerbaijan from 23 to 30 October 2017”, 18 July 2018, page 11,</w:t>
      </w:r>
      <w:r w:rsidR="00001432">
        <w:rPr>
          <w:rFonts w:ascii="Calibri" w:eastAsia="Times New Roman" w:hAnsi="Calibri" w:cs="Calibri"/>
          <w:sz w:val="18"/>
          <w:szCs w:val="18"/>
        </w:rPr>
        <w:t xml:space="preserve"> </w:t>
      </w:r>
      <w:hyperlink r:id="rId20" w:history="1">
        <w:r w:rsidR="00001432" w:rsidRPr="00811DE6">
          <w:rPr>
            <w:rStyle w:val="Hyperlink"/>
            <w:rFonts w:ascii="Calibri" w:eastAsia="Times New Roman" w:hAnsi="Calibri" w:cs="Calibri"/>
            <w:sz w:val="18"/>
            <w:szCs w:val="18"/>
          </w:rPr>
          <w:t>https://rm.coe.int/16808c5e48</w:t>
        </w:r>
      </w:hyperlink>
    </w:p>
  </w:footnote>
  <w:footnote w:id="18">
    <w:p w14:paraId="5470B692" w14:textId="77777777" w:rsidR="00A06E6E" w:rsidRPr="003D6D67" w:rsidRDefault="00000000" w:rsidP="003D6D67">
      <w:pPr>
        <w:spacing w:line="240" w:lineRule="auto"/>
        <w:jc w:val="both"/>
        <w:rPr>
          <w:rFonts w:ascii="Calibri" w:eastAsia="Times New Roman" w:hAnsi="Calibri" w:cs="Calibri"/>
          <w:sz w:val="18"/>
          <w:szCs w:val="18"/>
        </w:rPr>
      </w:pPr>
      <w:r w:rsidRPr="003D6D67">
        <w:rPr>
          <w:rFonts w:ascii="Calibri" w:hAnsi="Calibri" w:cs="Calibri"/>
          <w:sz w:val="18"/>
          <w:szCs w:val="18"/>
          <w:vertAlign w:val="superscript"/>
        </w:rPr>
        <w:footnoteRef/>
      </w:r>
      <w:r w:rsidRPr="003D6D67">
        <w:rPr>
          <w:rFonts w:ascii="Calibri" w:eastAsia="Times New Roman" w:hAnsi="Calibri" w:cs="Calibri"/>
          <w:sz w:val="18"/>
          <w:szCs w:val="18"/>
        </w:rPr>
        <w:t xml:space="preserve"> Annual report of the Commissioner for Human Rights (Ombudsman) of the Republic of Azerbaijan "On the state of provision and protection of human rights and freedoms in Azerbaijan" for 2013, p. 33, annual report for 2014, p. 8, 2015 annual report, p. 26, annual report for 2016, p. 24, annual report for 2017, p. 23, annual report for 2018, p. 22,</w:t>
      </w:r>
    </w:p>
    <w:p w14:paraId="0318EE63" w14:textId="77777777" w:rsidR="00A06E6E" w:rsidRPr="003D6D67" w:rsidRDefault="00000000" w:rsidP="003D6D67">
      <w:pPr>
        <w:spacing w:line="240" w:lineRule="auto"/>
        <w:jc w:val="both"/>
        <w:rPr>
          <w:rFonts w:ascii="Calibri" w:eastAsia="Times New Roman" w:hAnsi="Calibri" w:cs="Calibri"/>
          <w:sz w:val="18"/>
          <w:szCs w:val="18"/>
        </w:rPr>
      </w:pPr>
      <w:r w:rsidRPr="003D6D67">
        <w:rPr>
          <w:rFonts w:ascii="Calibri" w:eastAsia="Times New Roman" w:hAnsi="Calibri" w:cs="Calibri"/>
          <w:sz w:val="18"/>
          <w:szCs w:val="18"/>
        </w:rPr>
        <w:t xml:space="preserve">Modern.az, In Azerbaijan, 19 policemen were dismissed from service, 37 were dismissed from their duties - OFFICIAL, April 2, 2020, </w:t>
      </w:r>
      <w:hyperlink r:id="rId21">
        <w:r w:rsidRPr="003D6D67">
          <w:rPr>
            <w:rFonts w:ascii="Calibri" w:eastAsia="Times New Roman" w:hAnsi="Calibri" w:cs="Calibri"/>
            <w:color w:val="1155CC"/>
            <w:sz w:val="18"/>
            <w:szCs w:val="18"/>
            <w:u w:val="single"/>
          </w:rPr>
          <w:t>https://modern.az/az/news/233482</w:t>
        </w:r>
      </w:hyperlink>
      <w:r w:rsidRPr="003D6D67">
        <w:rPr>
          <w:rFonts w:ascii="Calibri" w:eastAsia="Times New Roman" w:hAnsi="Calibri" w:cs="Calibri"/>
          <w:sz w:val="18"/>
          <w:szCs w:val="18"/>
        </w:rPr>
        <w:t>,</w:t>
      </w:r>
    </w:p>
    <w:p w14:paraId="6E7DFC4B" w14:textId="77777777" w:rsidR="00A06E6E" w:rsidRPr="003D6D67" w:rsidRDefault="00000000" w:rsidP="003D6D67">
      <w:pPr>
        <w:spacing w:line="240" w:lineRule="auto"/>
        <w:jc w:val="both"/>
        <w:rPr>
          <w:rFonts w:ascii="Calibri" w:eastAsia="Times New Roman" w:hAnsi="Calibri" w:cs="Calibri"/>
          <w:sz w:val="18"/>
          <w:szCs w:val="18"/>
        </w:rPr>
      </w:pPr>
      <w:r w:rsidRPr="003D6D67">
        <w:rPr>
          <w:rFonts w:ascii="Calibri" w:eastAsia="Times New Roman" w:hAnsi="Calibri" w:cs="Calibri"/>
          <w:sz w:val="18"/>
          <w:szCs w:val="18"/>
        </w:rPr>
        <w:t xml:space="preserve">Ministry of Internal Affairs, "2020 report on ethical behavior issues", </w:t>
      </w:r>
      <w:hyperlink r:id="rId22">
        <w:r w:rsidRPr="003D6D67">
          <w:rPr>
            <w:rFonts w:ascii="Calibri" w:eastAsia="Times New Roman" w:hAnsi="Calibri" w:cs="Calibri"/>
            <w:color w:val="1155CC"/>
            <w:sz w:val="18"/>
            <w:szCs w:val="18"/>
            <w:u w:val="single"/>
          </w:rPr>
          <w:t>https://mia.gov.az/az/menu/30186</w:t>
        </w:r>
      </w:hyperlink>
      <w:r w:rsidRPr="003D6D67">
        <w:rPr>
          <w:rFonts w:ascii="Calibri" w:eastAsia="Times New Roman" w:hAnsi="Calibri" w:cs="Calibri"/>
          <w:sz w:val="18"/>
          <w:szCs w:val="18"/>
        </w:rPr>
        <w:t>,</w:t>
      </w:r>
    </w:p>
    <w:p w14:paraId="7244A927" w14:textId="77777777" w:rsidR="00A06E6E" w:rsidRPr="003D6D67" w:rsidRDefault="00000000" w:rsidP="003D6D67">
      <w:pPr>
        <w:spacing w:line="240" w:lineRule="auto"/>
        <w:jc w:val="both"/>
        <w:rPr>
          <w:rFonts w:ascii="Calibri" w:eastAsia="Times New Roman" w:hAnsi="Calibri" w:cs="Calibri"/>
          <w:sz w:val="18"/>
          <w:szCs w:val="18"/>
        </w:rPr>
      </w:pPr>
      <w:r w:rsidRPr="003D6D67">
        <w:rPr>
          <w:rFonts w:ascii="Calibri" w:eastAsia="Times New Roman" w:hAnsi="Calibri" w:cs="Calibri"/>
          <w:sz w:val="18"/>
          <w:szCs w:val="18"/>
        </w:rPr>
        <w:t xml:space="preserve">Redaktor.az, "The number of policemen punished in Azerbaijan was announced", 09.03.2022, </w:t>
      </w:r>
      <w:hyperlink r:id="rId23">
        <w:r w:rsidRPr="003D6D67">
          <w:rPr>
            <w:rFonts w:ascii="Calibri" w:eastAsia="Times New Roman" w:hAnsi="Calibri" w:cs="Calibri"/>
            <w:color w:val="1155CC"/>
            <w:sz w:val="18"/>
            <w:szCs w:val="18"/>
            <w:u w:val="single"/>
          </w:rPr>
          <w:t>https://redaktor.az/news/country/160880-azerbaycanda-cezalandirilan-polislerin-sayi-aciglandi</w:t>
        </w:r>
      </w:hyperlink>
      <w:r w:rsidRPr="003D6D67">
        <w:rPr>
          <w:rFonts w:ascii="Calibri" w:eastAsia="Times New Roman" w:hAnsi="Calibri" w:cs="Calibri"/>
          <w:sz w:val="18"/>
          <w:szCs w:val="18"/>
        </w:rPr>
        <w:t>,</w:t>
      </w:r>
    </w:p>
    <w:p w14:paraId="4F1A4144" w14:textId="77777777" w:rsidR="00A06E6E" w:rsidRPr="003D6D67" w:rsidRDefault="00000000" w:rsidP="003D6D67">
      <w:pPr>
        <w:spacing w:line="240" w:lineRule="auto"/>
        <w:jc w:val="both"/>
        <w:rPr>
          <w:rFonts w:ascii="Calibri" w:eastAsia="Times New Roman" w:hAnsi="Calibri" w:cs="Calibri"/>
          <w:sz w:val="18"/>
          <w:szCs w:val="18"/>
        </w:rPr>
      </w:pPr>
      <w:r w:rsidRPr="003D6D67">
        <w:rPr>
          <w:rFonts w:ascii="Calibri" w:eastAsia="Times New Roman" w:hAnsi="Calibri" w:cs="Calibri"/>
          <w:sz w:val="18"/>
          <w:szCs w:val="18"/>
        </w:rPr>
        <w:t xml:space="preserve">Telegraf.com, "351 policemen were punished in Azerbaijan last year", 17.03.2023, </w:t>
      </w:r>
      <w:hyperlink r:id="rId24">
        <w:r w:rsidRPr="003D6D67">
          <w:rPr>
            <w:rFonts w:ascii="Calibri" w:eastAsia="Times New Roman" w:hAnsi="Calibri" w:cs="Calibri"/>
            <w:color w:val="1155CC"/>
            <w:sz w:val="18"/>
            <w:szCs w:val="18"/>
            <w:u w:val="single"/>
          </w:rPr>
          <w:t>https://telegraf.com/news/toplum/370863.html</w:t>
        </w:r>
      </w:hyperlink>
      <w:r w:rsidRPr="003D6D67">
        <w:rPr>
          <w:rFonts w:ascii="Calibri" w:eastAsia="Times New Roman" w:hAnsi="Calibri" w:cs="Calibri"/>
          <w:sz w:val="18"/>
          <w:szCs w:val="18"/>
        </w:rPr>
        <w:t>,</w:t>
      </w:r>
    </w:p>
    <w:p w14:paraId="3D46B089" w14:textId="77777777" w:rsidR="00A06E6E" w:rsidRPr="003D6D67" w:rsidRDefault="00000000" w:rsidP="003D6D67">
      <w:pPr>
        <w:spacing w:line="240" w:lineRule="auto"/>
        <w:jc w:val="both"/>
        <w:rPr>
          <w:rFonts w:ascii="Calibri" w:eastAsia="Times New Roman" w:hAnsi="Calibri" w:cs="Calibri"/>
          <w:sz w:val="18"/>
          <w:szCs w:val="18"/>
        </w:rPr>
      </w:pPr>
      <w:r w:rsidRPr="003D6D67">
        <w:rPr>
          <w:rFonts w:ascii="Calibri" w:eastAsia="Times New Roman" w:hAnsi="Calibri" w:cs="Calibri"/>
          <w:sz w:val="18"/>
          <w:szCs w:val="18"/>
        </w:rPr>
        <w:t xml:space="preserve">Report.az, This year 7 people were expelled from the internal affairs bodies, 16 were relieved of their duties, 27.10.2023, </w:t>
      </w:r>
      <w:hyperlink r:id="rId25">
        <w:r w:rsidRPr="003D6D67">
          <w:rPr>
            <w:rFonts w:ascii="Calibri" w:eastAsia="Times New Roman" w:hAnsi="Calibri" w:cs="Calibri"/>
            <w:color w:val="1155CC"/>
            <w:sz w:val="18"/>
            <w:szCs w:val="18"/>
            <w:u w:val="single"/>
          </w:rPr>
          <w:t>https://report.az/daxili-siyaset/bu-il-7-nefer-daxili-isler-orqanlarindan-xaric-edilib-16-si-vezifesinden-azad-olunub/</w:t>
        </w:r>
      </w:hyperlink>
      <w:r w:rsidRPr="003D6D67">
        <w:rPr>
          <w:rFonts w:ascii="Calibri" w:eastAsia="Times New Roman" w:hAnsi="Calibri" w:cs="Calibri"/>
          <w:sz w:val="18"/>
          <w:szCs w:val="18"/>
        </w:rPr>
        <w:t>.</w:t>
      </w:r>
    </w:p>
    <w:p w14:paraId="5BEF41A6" w14:textId="77777777" w:rsidR="00A06E6E" w:rsidRPr="003D6D67" w:rsidRDefault="00000000" w:rsidP="003D6D67">
      <w:pPr>
        <w:spacing w:line="240" w:lineRule="auto"/>
        <w:jc w:val="both"/>
        <w:rPr>
          <w:rFonts w:ascii="Calibri" w:eastAsia="Times New Roman" w:hAnsi="Calibri" w:cs="Calibri"/>
          <w:bCs/>
          <w:i/>
          <w:sz w:val="18"/>
          <w:szCs w:val="18"/>
        </w:rPr>
      </w:pPr>
      <w:r w:rsidRPr="003D6D67">
        <w:rPr>
          <w:rFonts w:ascii="Calibri" w:eastAsia="Times New Roman" w:hAnsi="Calibri" w:cs="Calibri"/>
          <w:bCs/>
          <w:i/>
          <w:sz w:val="18"/>
          <w:szCs w:val="18"/>
        </w:rPr>
        <w:t>Note: The data for 2023 covered the first 9 months.</w:t>
      </w:r>
    </w:p>
  </w:footnote>
  <w:footnote w:id="19">
    <w:p w14:paraId="04B65AE5" w14:textId="77777777" w:rsidR="00A06E6E" w:rsidRPr="003D6D67" w:rsidRDefault="00000000" w:rsidP="003D6D67">
      <w:pPr>
        <w:spacing w:line="240" w:lineRule="auto"/>
        <w:jc w:val="both"/>
        <w:rPr>
          <w:rFonts w:ascii="Calibri" w:eastAsia="Times New Roman" w:hAnsi="Calibri" w:cs="Calibri"/>
          <w:sz w:val="18"/>
          <w:szCs w:val="18"/>
        </w:rPr>
      </w:pPr>
      <w:r w:rsidRPr="003D6D67">
        <w:rPr>
          <w:rFonts w:ascii="Calibri" w:hAnsi="Calibri" w:cs="Calibri"/>
          <w:sz w:val="18"/>
          <w:szCs w:val="18"/>
          <w:vertAlign w:val="superscript"/>
        </w:rPr>
        <w:footnoteRef/>
      </w:r>
      <w:r w:rsidRPr="003D6D67">
        <w:rPr>
          <w:rFonts w:ascii="Calibri" w:eastAsia="Times New Roman" w:hAnsi="Calibri" w:cs="Calibri"/>
          <w:sz w:val="18"/>
          <w:szCs w:val="18"/>
        </w:rPr>
        <w:t xml:space="preserve"> BBC Azerbaijan, "Is there torture in Azerbaijan?", 19 July 2018,</w:t>
      </w:r>
    </w:p>
    <w:p w14:paraId="62C9B1A5" w14:textId="77777777" w:rsidR="00A06E6E" w:rsidRPr="003D6D67" w:rsidRDefault="00000000" w:rsidP="003D6D67">
      <w:pPr>
        <w:spacing w:line="240" w:lineRule="auto"/>
        <w:jc w:val="both"/>
        <w:rPr>
          <w:rFonts w:ascii="Calibri" w:eastAsia="Times New Roman" w:hAnsi="Calibri" w:cs="Calibri"/>
          <w:sz w:val="18"/>
          <w:szCs w:val="18"/>
        </w:rPr>
      </w:pPr>
      <w:hyperlink r:id="rId26">
        <w:r w:rsidRPr="003D6D67">
          <w:rPr>
            <w:rFonts w:ascii="Calibri" w:eastAsia="Times New Roman" w:hAnsi="Calibri" w:cs="Calibri"/>
            <w:color w:val="1155CC"/>
            <w:sz w:val="18"/>
            <w:szCs w:val="18"/>
            <w:u w:val="single"/>
          </w:rPr>
          <w:t>https://www.bbc.com/azeri/azerbaijan-44882594</w:t>
        </w:r>
      </w:hyperlink>
      <w:r w:rsidRPr="003D6D67">
        <w:rPr>
          <w:rFonts w:ascii="Calibri" w:eastAsia="Times New Roman" w:hAnsi="Calibri" w:cs="Calibri"/>
          <w:sz w:val="18"/>
          <w:szCs w:val="18"/>
        </w:rPr>
        <w:t>.</w:t>
      </w:r>
    </w:p>
  </w:footnote>
  <w:footnote w:id="20">
    <w:p w14:paraId="6EB0F875" w14:textId="77777777" w:rsidR="00A06E6E" w:rsidRDefault="00000000" w:rsidP="003D6D67">
      <w:pPr>
        <w:spacing w:line="240" w:lineRule="auto"/>
        <w:jc w:val="both"/>
        <w:rPr>
          <w:rFonts w:ascii="Times New Roman" w:eastAsia="Times New Roman" w:hAnsi="Times New Roman" w:cs="Times New Roman"/>
          <w:sz w:val="20"/>
          <w:szCs w:val="20"/>
        </w:rPr>
      </w:pPr>
      <w:r w:rsidRPr="003D6D67">
        <w:rPr>
          <w:rFonts w:ascii="Calibri" w:hAnsi="Calibri" w:cs="Calibri"/>
          <w:sz w:val="18"/>
          <w:szCs w:val="18"/>
          <w:vertAlign w:val="superscript"/>
        </w:rPr>
        <w:footnoteRef/>
      </w:r>
      <w:r w:rsidRPr="003D6D67">
        <w:rPr>
          <w:rFonts w:ascii="Calibri" w:eastAsia="Times New Roman" w:hAnsi="Calibri" w:cs="Calibri"/>
          <w:sz w:val="18"/>
          <w:szCs w:val="18"/>
        </w:rPr>
        <w:t xml:space="preserve"> Id.</w:t>
      </w:r>
    </w:p>
  </w:footnote>
  <w:footnote w:id="21">
    <w:p w14:paraId="16388177" w14:textId="77777777" w:rsidR="00A06E6E" w:rsidRPr="003D6D67" w:rsidRDefault="00000000" w:rsidP="003D6D67">
      <w:pPr>
        <w:spacing w:line="240" w:lineRule="auto"/>
        <w:jc w:val="both"/>
        <w:rPr>
          <w:rFonts w:ascii="Calibri" w:eastAsia="Times New Roman" w:hAnsi="Calibri" w:cs="Calibri"/>
          <w:sz w:val="18"/>
          <w:szCs w:val="18"/>
        </w:rPr>
      </w:pPr>
      <w:r w:rsidRPr="003D6D67">
        <w:rPr>
          <w:rFonts w:ascii="Calibri" w:hAnsi="Calibri" w:cs="Calibri"/>
          <w:sz w:val="18"/>
          <w:szCs w:val="18"/>
          <w:vertAlign w:val="superscript"/>
        </w:rPr>
        <w:footnoteRef/>
      </w:r>
      <w:r w:rsidRPr="003D6D67">
        <w:rPr>
          <w:rFonts w:ascii="Calibri" w:eastAsia="Times New Roman" w:hAnsi="Calibri" w:cs="Calibri"/>
          <w:sz w:val="18"/>
          <w:szCs w:val="18"/>
        </w:rPr>
        <w:t xml:space="preserve"> Mammadov (</w:t>
      </w:r>
      <w:r w:rsidRPr="003D6D67">
        <w:rPr>
          <w:rFonts w:ascii="Calibri" w:eastAsia="Times New Roman" w:hAnsi="Calibri" w:cs="Calibri"/>
          <w:sz w:val="18"/>
          <w:szCs w:val="18"/>
        </w:rPr>
        <w:t>Jalaloglu) group implementation situation,</w:t>
      </w:r>
    </w:p>
    <w:p w14:paraId="10CB6782" w14:textId="77777777" w:rsidR="00A06E6E" w:rsidRPr="003D6D67" w:rsidRDefault="00000000" w:rsidP="003D6D67">
      <w:pPr>
        <w:spacing w:line="240" w:lineRule="auto"/>
        <w:jc w:val="both"/>
        <w:rPr>
          <w:rFonts w:ascii="Calibri" w:eastAsia="Times New Roman" w:hAnsi="Calibri" w:cs="Calibri"/>
          <w:sz w:val="18"/>
          <w:szCs w:val="18"/>
        </w:rPr>
      </w:pPr>
      <w:hyperlink r:id="rId27">
        <w:r w:rsidRPr="003D6D67">
          <w:rPr>
            <w:rFonts w:ascii="Calibri" w:eastAsia="Times New Roman" w:hAnsi="Calibri" w:cs="Calibri"/>
            <w:color w:val="1155CC"/>
            <w:sz w:val="18"/>
            <w:szCs w:val="18"/>
            <w:u w:val="single"/>
          </w:rPr>
          <w:t>https://hudoc.exec.coe.int/eng?i=004-1759</w:t>
        </w:r>
      </w:hyperlink>
      <w:r w:rsidRPr="003D6D67">
        <w:rPr>
          <w:rFonts w:ascii="Calibri" w:eastAsia="Times New Roman" w:hAnsi="Calibri" w:cs="Calibri"/>
          <w:sz w:val="18"/>
          <w:szCs w:val="18"/>
        </w:rPr>
        <w:t>.</w:t>
      </w:r>
    </w:p>
  </w:footnote>
  <w:footnote w:id="22">
    <w:p w14:paraId="664E9F52" w14:textId="77777777" w:rsidR="00A06E6E" w:rsidRPr="003D6D67" w:rsidRDefault="00000000" w:rsidP="003D6D67">
      <w:pPr>
        <w:spacing w:line="240" w:lineRule="auto"/>
        <w:jc w:val="both"/>
        <w:rPr>
          <w:rFonts w:ascii="Calibri" w:eastAsia="Times New Roman" w:hAnsi="Calibri" w:cs="Calibri"/>
          <w:sz w:val="18"/>
          <w:szCs w:val="18"/>
        </w:rPr>
      </w:pPr>
      <w:r w:rsidRPr="003D6D67">
        <w:rPr>
          <w:rFonts w:ascii="Calibri" w:hAnsi="Calibri" w:cs="Calibri"/>
          <w:sz w:val="18"/>
          <w:szCs w:val="18"/>
          <w:vertAlign w:val="superscript"/>
        </w:rPr>
        <w:footnoteRef/>
      </w:r>
      <w:r w:rsidRPr="003D6D67">
        <w:rPr>
          <w:rFonts w:ascii="Calibri" w:eastAsia="Times New Roman" w:hAnsi="Calibri" w:cs="Calibri"/>
          <w:sz w:val="18"/>
          <w:szCs w:val="18"/>
        </w:rPr>
        <w:t xml:space="preserve"> Supra note 8, </w:t>
      </w:r>
      <w:r w:rsidRPr="003D6D67">
        <w:rPr>
          <w:rFonts w:ascii="Calibri" w:eastAsia="Times New Roman" w:hAnsi="Calibri" w:cs="Calibri"/>
          <w:sz w:val="18"/>
          <w:szCs w:val="18"/>
          <w:shd w:val="clear" w:color="auto" w:fill="FDFDFD"/>
        </w:rPr>
        <w:t>§ 27</w:t>
      </w:r>
      <w:r w:rsidRPr="003D6D67">
        <w:rPr>
          <w:rFonts w:ascii="Calibri" w:eastAsia="Times New Roman" w:hAnsi="Calibri" w:cs="Calibri"/>
          <w:sz w:val="18"/>
          <w:szCs w:val="18"/>
        </w:rPr>
        <w:t>.</w:t>
      </w:r>
    </w:p>
  </w:footnote>
  <w:footnote w:id="23">
    <w:p w14:paraId="7142F65C" w14:textId="77777777" w:rsidR="00A06E6E" w:rsidRPr="003D6D67" w:rsidRDefault="00000000" w:rsidP="003D6D67">
      <w:pPr>
        <w:keepNext/>
        <w:spacing w:line="240" w:lineRule="auto"/>
        <w:jc w:val="both"/>
        <w:rPr>
          <w:rFonts w:ascii="Calibri" w:eastAsia="Times New Roman" w:hAnsi="Calibri" w:cs="Calibri"/>
          <w:sz w:val="18"/>
          <w:szCs w:val="18"/>
        </w:rPr>
      </w:pPr>
      <w:r w:rsidRPr="003D6D67">
        <w:rPr>
          <w:rFonts w:ascii="Calibri" w:hAnsi="Calibri" w:cs="Calibri"/>
          <w:sz w:val="18"/>
          <w:szCs w:val="18"/>
          <w:vertAlign w:val="superscript"/>
        </w:rPr>
        <w:footnoteRef/>
      </w:r>
      <w:r w:rsidRPr="003D6D67">
        <w:rPr>
          <w:rFonts w:ascii="Calibri" w:eastAsia="Times New Roman" w:hAnsi="Calibri" w:cs="Calibri"/>
          <w:sz w:val="18"/>
          <w:szCs w:val="18"/>
          <w:shd w:val="clear" w:color="auto" w:fill="FDFDFD"/>
        </w:rPr>
        <w:t xml:space="preserve"> Ibid, § 28.</w:t>
      </w:r>
    </w:p>
  </w:footnote>
  <w:footnote w:id="24">
    <w:p w14:paraId="30F22501" w14:textId="77777777" w:rsidR="00A06E6E" w:rsidRPr="003D6D67" w:rsidRDefault="00000000" w:rsidP="003D6D67">
      <w:pPr>
        <w:spacing w:line="240" w:lineRule="auto"/>
        <w:jc w:val="both"/>
        <w:rPr>
          <w:rFonts w:ascii="Calibri" w:eastAsia="Times New Roman" w:hAnsi="Calibri" w:cs="Calibri"/>
          <w:sz w:val="18"/>
          <w:szCs w:val="18"/>
        </w:rPr>
      </w:pPr>
      <w:r w:rsidRPr="003D6D67">
        <w:rPr>
          <w:rFonts w:ascii="Calibri" w:hAnsi="Calibri" w:cs="Calibri"/>
          <w:sz w:val="18"/>
          <w:szCs w:val="18"/>
          <w:vertAlign w:val="superscript"/>
        </w:rPr>
        <w:footnoteRef/>
      </w:r>
      <w:r w:rsidRPr="003D6D67">
        <w:rPr>
          <w:rFonts w:ascii="Calibri" w:eastAsia="Times New Roman" w:hAnsi="Calibri" w:cs="Calibri"/>
          <w:sz w:val="18"/>
          <w:szCs w:val="18"/>
        </w:rPr>
        <w:t xml:space="preserve"> Ibid</w:t>
      </w:r>
      <w:r w:rsidRPr="003D6D67">
        <w:rPr>
          <w:rFonts w:ascii="Calibri" w:eastAsia="Times New Roman" w:hAnsi="Calibri" w:cs="Calibri"/>
          <w:sz w:val="18"/>
          <w:szCs w:val="18"/>
          <w:shd w:val="clear" w:color="auto" w:fill="FDFDFD"/>
        </w:rPr>
        <w:t xml:space="preserve"> § 31.</w:t>
      </w:r>
    </w:p>
  </w:footnote>
  <w:footnote w:id="25">
    <w:p w14:paraId="54825B53" w14:textId="77777777" w:rsidR="00A06E6E" w:rsidRPr="003D6D67" w:rsidRDefault="00000000" w:rsidP="003D6D67">
      <w:pPr>
        <w:spacing w:line="240" w:lineRule="auto"/>
        <w:jc w:val="both"/>
        <w:rPr>
          <w:rFonts w:ascii="Calibri" w:eastAsia="Times New Roman" w:hAnsi="Calibri" w:cs="Calibri"/>
          <w:sz w:val="18"/>
          <w:szCs w:val="18"/>
        </w:rPr>
      </w:pPr>
      <w:r w:rsidRPr="003D6D67">
        <w:rPr>
          <w:rFonts w:ascii="Calibri" w:hAnsi="Calibri" w:cs="Calibri"/>
          <w:sz w:val="18"/>
          <w:szCs w:val="18"/>
          <w:vertAlign w:val="superscript"/>
        </w:rPr>
        <w:footnoteRef/>
      </w:r>
      <w:r w:rsidRPr="003D6D67">
        <w:rPr>
          <w:rFonts w:ascii="Calibri" w:eastAsia="Times New Roman" w:hAnsi="Calibri" w:cs="Calibri"/>
          <w:sz w:val="18"/>
          <w:szCs w:val="18"/>
        </w:rPr>
        <w:t xml:space="preserve"> Ibid </w:t>
      </w:r>
      <w:r w:rsidRPr="003D6D67">
        <w:rPr>
          <w:rFonts w:ascii="Calibri" w:eastAsia="Times New Roman" w:hAnsi="Calibri" w:cs="Calibri"/>
          <w:sz w:val="18"/>
          <w:szCs w:val="18"/>
          <w:shd w:val="clear" w:color="auto" w:fill="FDFDFD"/>
        </w:rPr>
        <w:t>§ 27.</w:t>
      </w:r>
    </w:p>
  </w:footnote>
  <w:footnote w:id="26">
    <w:p w14:paraId="27F64F54" w14:textId="77777777" w:rsidR="00A06E6E" w:rsidRPr="003D6D67" w:rsidRDefault="00000000" w:rsidP="003D6D67">
      <w:pPr>
        <w:spacing w:line="240" w:lineRule="auto"/>
        <w:jc w:val="both"/>
        <w:rPr>
          <w:rFonts w:ascii="Calibri" w:eastAsia="Times New Roman" w:hAnsi="Calibri" w:cs="Calibri"/>
          <w:sz w:val="18"/>
          <w:szCs w:val="18"/>
        </w:rPr>
      </w:pPr>
      <w:r w:rsidRPr="003D6D67">
        <w:rPr>
          <w:rFonts w:ascii="Calibri" w:hAnsi="Calibri" w:cs="Calibri"/>
          <w:sz w:val="18"/>
          <w:szCs w:val="18"/>
          <w:vertAlign w:val="superscript"/>
        </w:rPr>
        <w:footnoteRef/>
      </w:r>
      <w:r w:rsidRPr="003D6D67">
        <w:rPr>
          <w:rFonts w:ascii="Calibri" w:eastAsia="Times New Roman" w:hAnsi="Calibri" w:cs="Calibri"/>
          <w:sz w:val="18"/>
          <w:szCs w:val="18"/>
        </w:rPr>
        <w:t xml:space="preserve"> Institute For Peace </w:t>
      </w:r>
      <w:r w:rsidRPr="003D6D67">
        <w:rPr>
          <w:rFonts w:ascii="Calibri" w:eastAsia="Times New Roman" w:hAnsi="Calibri" w:cs="Calibri"/>
          <w:sz w:val="18"/>
          <w:szCs w:val="18"/>
        </w:rPr>
        <w:t xml:space="preserve">And Democracy, “Torture And </w:t>
      </w:r>
      <w:r w:rsidRPr="003D6D67">
        <w:rPr>
          <w:rFonts w:ascii="Calibri" w:eastAsia="Times New Roman" w:hAnsi="Calibri" w:cs="Calibri"/>
          <w:sz w:val="18"/>
          <w:szCs w:val="18"/>
        </w:rPr>
        <w:t xml:space="preserve">Atrocıtıes By Law Enforcement Bodıes Of Azerbaıjan Authorısed By Presıdent Ilham Alıyev”, n.d., </w:t>
      </w:r>
    </w:p>
    <w:p w14:paraId="2F4E0AA1" w14:textId="77777777" w:rsidR="00A06E6E" w:rsidRPr="003D6D67" w:rsidRDefault="00000000" w:rsidP="003D6D67">
      <w:pPr>
        <w:spacing w:line="240" w:lineRule="auto"/>
        <w:jc w:val="both"/>
        <w:rPr>
          <w:rFonts w:ascii="Calibri" w:eastAsia="Times New Roman" w:hAnsi="Calibri" w:cs="Calibri"/>
          <w:sz w:val="18"/>
          <w:szCs w:val="18"/>
        </w:rPr>
      </w:pPr>
      <w:hyperlink r:id="rId28">
        <w:r w:rsidRPr="003D6D67">
          <w:rPr>
            <w:rFonts w:ascii="Calibri" w:eastAsia="Times New Roman" w:hAnsi="Calibri" w:cs="Calibri"/>
            <w:color w:val="1155CC"/>
            <w:sz w:val="18"/>
            <w:szCs w:val="18"/>
            <w:u w:val="single"/>
          </w:rPr>
          <w:t>https://www.ipd-az.org/torture-and-atrocities-by-law-enforcement-bodies-of-azerbaijan-authorised-by-president-ilham-aliyev/</w:t>
        </w:r>
      </w:hyperlink>
      <w:r w:rsidRPr="003D6D67">
        <w:rPr>
          <w:rFonts w:ascii="Calibri" w:eastAsia="Times New Roman" w:hAnsi="Calibri" w:cs="Calibri"/>
          <w:sz w:val="18"/>
          <w:szCs w:val="18"/>
        </w:rPr>
        <w:t xml:space="preserve">, </w:t>
      </w:r>
    </w:p>
    <w:p w14:paraId="5FFA9668" w14:textId="77777777" w:rsidR="00A06E6E" w:rsidRPr="003D6D67" w:rsidRDefault="00000000" w:rsidP="003D6D67">
      <w:pPr>
        <w:spacing w:line="240" w:lineRule="auto"/>
        <w:jc w:val="both"/>
        <w:rPr>
          <w:rFonts w:ascii="Calibri" w:eastAsia="Times New Roman" w:hAnsi="Calibri" w:cs="Calibri"/>
          <w:sz w:val="18"/>
          <w:szCs w:val="18"/>
        </w:rPr>
      </w:pPr>
      <w:r w:rsidRPr="003D6D67">
        <w:rPr>
          <w:rFonts w:ascii="Calibri" w:eastAsia="Times New Roman" w:hAnsi="Calibri" w:cs="Calibri"/>
          <w:sz w:val="18"/>
          <w:szCs w:val="18"/>
        </w:rPr>
        <w:t xml:space="preserve">"Ilham Aliyev participated in the ceremony dedicated to the 95th anniversary of the establishment of the Azerbaijan police at the Police Academy of the Ministry of Internal Affairs", President.az, July 2, 2013, </w:t>
      </w:r>
      <w:hyperlink r:id="rId29">
        <w:r w:rsidRPr="003D6D67">
          <w:rPr>
            <w:rFonts w:ascii="Calibri" w:eastAsia="Times New Roman" w:hAnsi="Calibri" w:cs="Calibri"/>
            <w:color w:val="1155CC"/>
            <w:sz w:val="18"/>
            <w:szCs w:val="18"/>
            <w:u w:val="single"/>
          </w:rPr>
          <w:t>https://president.az/az/articles/view/8594</w:t>
        </w:r>
      </w:hyperlink>
    </w:p>
    <w:p w14:paraId="2B68FE68" w14:textId="77777777" w:rsidR="00A06E6E" w:rsidRDefault="00000000" w:rsidP="003D6D67">
      <w:pPr>
        <w:spacing w:line="240" w:lineRule="auto"/>
        <w:jc w:val="both"/>
        <w:rPr>
          <w:rFonts w:ascii="Times New Roman" w:eastAsia="Times New Roman" w:hAnsi="Times New Roman" w:cs="Times New Roman"/>
          <w:sz w:val="20"/>
          <w:szCs w:val="20"/>
        </w:rPr>
      </w:pPr>
      <w:r w:rsidRPr="003D6D67">
        <w:rPr>
          <w:rFonts w:ascii="Calibri" w:eastAsia="Times New Roman" w:hAnsi="Calibri" w:cs="Calibri"/>
          <w:i/>
          <w:sz w:val="18"/>
          <w:szCs w:val="18"/>
        </w:rPr>
        <w:t>"In some cases, Azerbaijan was subjected to pressure from international organizations. Now, of course, no one can put pressure on us, and I can say that these attempts have already been exhausted. But at that time there was strong pressure to condemn the actions of the police authorities, as if they had acted excessively, and to punish the officers of the police authorities. That is, they set a condition for us. I said then, and I want to say it today, not a single police officer will be punished. Because they stand guard over the law and ensure security. They risk their lives and ensure the comfortable life of the Azerbaijani state."</w:t>
      </w:r>
    </w:p>
  </w:footnote>
  <w:footnote w:id="27">
    <w:p w14:paraId="75F4A176" w14:textId="77777777" w:rsidR="00A06E6E" w:rsidRPr="003D6D67" w:rsidRDefault="00000000" w:rsidP="003D6D67">
      <w:pPr>
        <w:spacing w:line="240" w:lineRule="auto"/>
        <w:jc w:val="both"/>
        <w:rPr>
          <w:rFonts w:ascii="Calibri" w:eastAsia="Times New Roman" w:hAnsi="Calibri" w:cs="Calibri"/>
          <w:sz w:val="18"/>
          <w:szCs w:val="18"/>
        </w:rPr>
      </w:pPr>
      <w:r w:rsidRPr="003D6D67">
        <w:rPr>
          <w:rFonts w:ascii="Calibri" w:hAnsi="Calibri" w:cs="Calibri"/>
          <w:sz w:val="18"/>
          <w:szCs w:val="18"/>
          <w:vertAlign w:val="superscript"/>
        </w:rPr>
        <w:footnoteRef/>
      </w:r>
      <w:r w:rsidRPr="003D6D67">
        <w:rPr>
          <w:rFonts w:ascii="Calibri" w:eastAsia="Times New Roman" w:hAnsi="Calibri" w:cs="Calibri"/>
          <w:sz w:val="18"/>
          <w:szCs w:val="18"/>
        </w:rPr>
        <w:t xml:space="preserve"> Voice of America, "The President of Azerbaijan expressed a critical opinion on the events of </w:t>
      </w:r>
      <w:r w:rsidRPr="003D6D67">
        <w:rPr>
          <w:rFonts w:ascii="Calibri" w:eastAsia="Times New Roman" w:hAnsi="Calibri" w:cs="Calibri"/>
          <w:sz w:val="18"/>
          <w:szCs w:val="18"/>
        </w:rPr>
        <w:t>Soyudlu" 11.07.2023,</w:t>
      </w:r>
    </w:p>
    <w:p w14:paraId="44E32939" w14:textId="77777777" w:rsidR="00A06E6E" w:rsidRPr="003D6D67" w:rsidRDefault="00000000" w:rsidP="003D6D67">
      <w:pPr>
        <w:spacing w:line="240" w:lineRule="auto"/>
        <w:jc w:val="both"/>
        <w:rPr>
          <w:rFonts w:ascii="Calibri" w:eastAsia="Times New Roman" w:hAnsi="Calibri" w:cs="Calibri"/>
          <w:i/>
          <w:sz w:val="18"/>
          <w:szCs w:val="18"/>
        </w:rPr>
      </w:pPr>
      <w:r w:rsidRPr="003D6D67">
        <w:rPr>
          <w:rFonts w:ascii="Calibri" w:eastAsia="Times New Roman" w:hAnsi="Calibri" w:cs="Calibri"/>
          <w:i/>
          <w:sz w:val="18"/>
          <w:szCs w:val="18"/>
        </w:rPr>
        <w:t xml:space="preserve">"The only one who behaved with dignity here was the Azerbaijani police... if the Azerbaijani police show tolerance, it does not mean that anyone can throw stones at the police. This is </w:t>
      </w:r>
      <w:r w:rsidRPr="003D6D67">
        <w:rPr>
          <w:rFonts w:ascii="Calibri" w:eastAsia="Times New Roman" w:hAnsi="Calibri" w:cs="Calibri"/>
          <w:i/>
          <w:sz w:val="18"/>
          <w:szCs w:val="18"/>
        </w:rPr>
        <w:t>absolutely impossible. I tell everyone, here we are not playing with someone's whims, how is it necessary, if we know it is necessary, we will punish in such a way that he will regret it."</w:t>
      </w:r>
    </w:p>
    <w:p w14:paraId="59B14533" w14:textId="77777777" w:rsidR="00A06E6E" w:rsidRPr="003D6D67" w:rsidRDefault="00000000" w:rsidP="003D6D67">
      <w:pPr>
        <w:spacing w:line="240" w:lineRule="auto"/>
        <w:jc w:val="both"/>
        <w:rPr>
          <w:rFonts w:ascii="Calibri" w:eastAsia="Times New Roman" w:hAnsi="Calibri" w:cs="Calibri"/>
          <w:sz w:val="18"/>
          <w:szCs w:val="18"/>
        </w:rPr>
      </w:pPr>
      <w:hyperlink r:id="rId30">
        <w:r w:rsidRPr="003D6D67">
          <w:rPr>
            <w:rFonts w:ascii="Calibri" w:eastAsia="Times New Roman" w:hAnsi="Calibri" w:cs="Calibri"/>
            <w:color w:val="1155CC"/>
            <w:sz w:val="18"/>
            <w:szCs w:val="18"/>
            <w:u w:val="single"/>
          </w:rPr>
          <w:t>https://www.americaninsesi.org/a/7176214.html</w:t>
        </w:r>
      </w:hyperlink>
      <w:r w:rsidRPr="003D6D67">
        <w:rPr>
          <w:rFonts w:ascii="Calibri" w:eastAsia="Times New Roman" w:hAnsi="Calibri" w:cs="Calibri"/>
          <w:sz w:val="18"/>
          <w:szCs w:val="18"/>
        </w:rPr>
        <w:t>.</w:t>
      </w:r>
    </w:p>
  </w:footnote>
  <w:footnote w:id="28">
    <w:p w14:paraId="00B89909" w14:textId="77777777" w:rsidR="00A06E6E" w:rsidRPr="003D6D67" w:rsidRDefault="00000000" w:rsidP="003D6D67">
      <w:pPr>
        <w:spacing w:line="240" w:lineRule="auto"/>
        <w:jc w:val="both"/>
        <w:rPr>
          <w:rFonts w:ascii="Calibri" w:eastAsia="Times New Roman" w:hAnsi="Calibri" w:cs="Calibri"/>
          <w:sz w:val="18"/>
          <w:szCs w:val="18"/>
        </w:rPr>
      </w:pPr>
      <w:r w:rsidRPr="003D6D67">
        <w:rPr>
          <w:rFonts w:ascii="Calibri" w:hAnsi="Calibri" w:cs="Calibri"/>
          <w:sz w:val="18"/>
          <w:szCs w:val="18"/>
          <w:vertAlign w:val="superscript"/>
        </w:rPr>
        <w:footnoteRef/>
      </w:r>
      <w:r w:rsidRPr="003D6D67">
        <w:rPr>
          <w:rFonts w:ascii="Calibri" w:eastAsia="Times New Roman" w:hAnsi="Calibri" w:cs="Calibri"/>
          <w:sz w:val="18"/>
          <w:szCs w:val="18"/>
        </w:rPr>
        <w:t xml:space="preserve"> BBC Azerbaijan, "What happened in </w:t>
      </w:r>
      <w:r w:rsidRPr="003D6D67">
        <w:rPr>
          <w:rFonts w:ascii="Calibri" w:eastAsia="Times New Roman" w:hAnsi="Calibri" w:cs="Calibri"/>
          <w:sz w:val="18"/>
          <w:szCs w:val="18"/>
        </w:rPr>
        <w:t>Yasamal?" In answer to 10 questions", 10.06.2020,</w:t>
      </w:r>
    </w:p>
    <w:p w14:paraId="44D3AA23" w14:textId="77777777" w:rsidR="00A06E6E" w:rsidRPr="003D6D67" w:rsidRDefault="00000000" w:rsidP="003D6D67">
      <w:pPr>
        <w:spacing w:line="240" w:lineRule="auto"/>
        <w:jc w:val="both"/>
        <w:rPr>
          <w:rFonts w:ascii="Calibri" w:eastAsia="Times New Roman" w:hAnsi="Calibri" w:cs="Calibri"/>
          <w:sz w:val="18"/>
          <w:szCs w:val="18"/>
        </w:rPr>
      </w:pPr>
      <w:hyperlink r:id="rId31">
        <w:r w:rsidRPr="003D6D67">
          <w:rPr>
            <w:rFonts w:ascii="Calibri" w:eastAsia="Times New Roman" w:hAnsi="Calibri" w:cs="Calibri"/>
            <w:color w:val="1155CC"/>
            <w:sz w:val="18"/>
            <w:szCs w:val="18"/>
            <w:u w:val="single"/>
          </w:rPr>
          <w:t>https://www.bbc.com/azeri/azerbaijan-52994225</w:t>
        </w:r>
      </w:hyperlink>
      <w:r w:rsidRPr="003D6D67">
        <w:rPr>
          <w:rFonts w:ascii="Calibri" w:eastAsia="Times New Roman" w:hAnsi="Calibri" w:cs="Calibri"/>
          <w:sz w:val="18"/>
          <w:szCs w:val="18"/>
        </w:rPr>
        <w:t xml:space="preserve">. </w:t>
      </w:r>
    </w:p>
  </w:footnote>
  <w:footnote w:id="29">
    <w:p w14:paraId="0732DF94" w14:textId="77777777" w:rsidR="00A06E6E" w:rsidRPr="003D6D67" w:rsidRDefault="00000000" w:rsidP="003D6D67">
      <w:pPr>
        <w:spacing w:line="240" w:lineRule="auto"/>
        <w:jc w:val="both"/>
        <w:rPr>
          <w:rFonts w:ascii="Calibri" w:eastAsia="Times New Roman" w:hAnsi="Calibri" w:cs="Calibri"/>
          <w:sz w:val="18"/>
          <w:szCs w:val="18"/>
        </w:rPr>
      </w:pPr>
      <w:r w:rsidRPr="003D6D67">
        <w:rPr>
          <w:rFonts w:ascii="Calibri" w:hAnsi="Calibri" w:cs="Calibri"/>
          <w:sz w:val="18"/>
          <w:szCs w:val="18"/>
          <w:vertAlign w:val="superscript"/>
        </w:rPr>
        <w:footnoteRef/>
      </w:r>
      <w:r w:rsidRPr="003D6D67">
        <w:rPr>
          <w:rFonts w:ascii="Calibri" w:eastAsia="Times New Roman" w:hAnsi="Calibri" w:cs="Calibri"/>
          <w:sz w:val="18"/>
          <w:szCs w:val="18"/>
        </w:rPr>
        <w:t xml:space="preserve"> BBC Azerbaijan, "Residents of </w:t>
      </w:r>
      <w:r w:rsidRPr="003D6D67">
        <w:rPr>
          <w:rFonts w:ascii="Calibri" w:eastAsia="Times New Roman" w:hAnsi="Calibri" w:cs="Calibri"/>
          <w:sz w:val="18"/>
          <w:szCs w:val="18"/>
        </w:rPr>
        <w:t>Soyudlu village: "We are under pressure, they have gone to the houses, they are pressuring everyone"", 20.06.2023,</w:t>
      </w:r>
    </w:p>
    <w:p w14:paraId="45B7EE0F" w14:textId="77777777" w:rsidR="00A06E6E" w:rsidRPr="003D6D67" w:rsidRDefault="00000000" w:rsidP="003D6D67">
      <w:pPr>
        <w:spacing w:line="240" w:lineRule="auto"/>
        <w:jc w:val="both"/>
        <w:rPr>
          <w:rFonts w:ascii="Calibri" w:eastAsia="Times New Roman" w:hAnsi="Calibri" w:cs="Calibri"/>
          <w:sz w:val="18"/>
          <w:szCs w:val="18"/>
        </w:rPr>
      </w:pPr>
      <w:hyperlink r:id="rId32">
        <w:r w:rsidRPr="003D6D67">
          <w:rPr>
            <w:rFonts w:ascii="Calibri" w:eastAsia="Times New Roman" w:hAnsi="Calibri" w:cs="Calibri"/>
            <w:color w:val="1155CC"/>
            <w:sz w:val="18"/>
            <w:szCs w:val="18"/>
            <w:u w:val="single"/>
          </w:rPr>
          <w:t>https://www.bbc.com/azeri/azerbaijan-65968546</w:t>
        </w:r>
      </w:hyperlink>
      <w:r w:rsidRPr="003D6D67">
        <w:rPr>
          <w:rFonts w:ascii="Calibri" w:eastAsia="Times New Roman" w:hAnsi="Calibri" w:cs="Calibri"/>
          <w:sz w:val="18"/>
          <w:szCs w:val="18"/>
        </w:rPr>
        <w:t>.</w:t>
      </w:r>
    </w:p>
  </w:footnote>
  <w:footnote w:id="30">
    <w:p w14:paraId="3C347F41" w14:textId="77777777" w:rsidR="00A06E6E" w:rsidRPr="003D6D67" w:rsidRDefault="00000000" w:rsidP="003D6D67">
      <w:pPr>
        <w:spacing w:line="240" w:lineRule="auto"/>
        <w:jc w:val="both"/>
        <w:rPr>
          <w:rFonts w:ascii="Calibri" w:eastAsia="Times New Roman" w:hAnsi="Calibri" w:cs="Calibri"/>
          <w:sz w:val="18"/>
          <w:szCs w:val="18"/>
        </w:rPr>
      </w:pPr>
      <w:r w:rsidRPr="003D6D67">
        <w:rPr>
          <w:rFonts w:ascii="Calibri" w:hAnsi="Calibri" w:cs="Calibri"/>
          <w:sz w:val="18"/>
          <w:szCs w:val="18"/>
          <w:vertAlign w:val="superscript"/>
        </w:rPr>
        <w:footnoteRef/>
      </w:r>
      <w:r w:rsidRPr="003D6D67">
        <w:rPr>
          <w:rFonts w:ascii="Calibri" w:eastAsia="Times New Roman" w:hAnsi="Calibri" w:cs="Calibri"/>
          <w:sz w:val="18"/>
          <w:szCs w:val="18"/>
        </w:rPr>
        <w:t xml:space="preserve"> </w:t>
      </w:r>
      <w:r w:rsidRPr="003D6D67">
        <w:rPr>
          <w:rFonts w:ascii="Calibri" w:eastAsia="Times New Roman" w:hAnsi="Calibri" w:cs="Calibri"/>
          <w:sz w:val="18"/>
          <w:szCs w:val="18"/>
        </w:rPr>
        <w:t>Gozetchi, "The image of the police beating a 12-year-old boy was spread in Gabala", 04.12.2023,</w:t>
      </w:r>
    </w:p>
    <w:p w14:paraId="4502B73B" w14:textId="77777777" w:rsidR="00A06E6E" w:rsidRPr="003D6D67" w:rsidRDefault="00000000" w:rsidP="003D6D67">
      <w:pPr>
        <w:spacing w:line="240" w:lineRule="auto"/>
        <w:jc w:val="both"/>
        <w:rPr>
          <w:rFonts w:ascii="Calibri" w:eastAsia="Times New Roman" w:hAnsi="Calibri" w:cs="Calibri"/>
          <w:sz w:val="18"/>
          <w:szCs w:val="18"/>
        </w:rPr>
      </w:pPr>
      <w:hyperlink r:id="rId33">
        <w:r w:rsidRPr="003D6D67">
          <w:rPr>
            <w:rFonts w:ascii="Calibri" w:eastAsia="Times New Roman" w:hAnsi="Calibri" w:cs="Calibri"/>
            <w:color w:val="1155CC"/>
            <w:sz w:val="18"/>
            <w:szCs w:val="18"/>
            <w:u w:val="single"/>
          </w:rPr>
          <w:t>https://gozetci.az/2023/12/30590</w:t>
        </w:r>
      </w:hyperlink>
      <w:r w:rsidRPr="003D6D67">
        <w:rPr>
          <w:rFonts w:ascii="Calibri" w:eastAsia="Times New Roman" w:hAnsi="Calibri" w:cs="Calibri"/>
          <w:sz w:val="18"/>
          <w:szCs w:val="18"/>
        </w:rPr>
        <w:t>.</w:t>
      </w:r>
    </w:p>
  </w:footnote>
  <w:footnote w:id="31">
    <w:p w14:paraId="143C2B60" w14:textId="77777777" w:rsidR="00A06E6E" w:rsidRPr="003D6D67" w:rsidRDefault="00000000" w:rsidP="003D6D67">
      <w:pPr>
        <w:spacing w:line="240" w:lineRule="auto"/>
        <w:jc w:val="both"/>
        <w:rPr>
          <w:rFonts w:ascii="Calibri" w:eastAsia="Times New Roman" w:hAnsi="Calibri" w:cs="Calibri"/>
          <w:sz w:val="18"/>
          <w:szCs w:val="18"/>
        </w:rPr>
      </w:pPr>
      <w:r w:rsidRPr="003D6D67">
        <w:rPr>
          <w:rFonts w:ascii="Calibri" w:hAnsi="Calibri" w:cs="Calibri"/>
          <w:sz w:val="18"/>
          <w:szCs w:val="18"/>
          <w:vertAlign w:val="superscript"/>
        </w:rPr>
        <w:footnoteRef/>
      </w:r>
      <w:r w:rsidRPr="003D6D67">
        <w:rPr>
          <w:rFonts w:ascii="Calibri" w:eastAsia="Times New Roman" w:hAnsi="Calibri" w:cs="Calibri"/>
          <w:sz w:val="18"/>
          <w:szCs w:val="18"/>
        </w:rPr>
        <w:t xml:space="preserve"> Supra note 8,</w:t>
      </w:r>
      <w:r w:rsidRPr="003D6D67">
        <w:rPr>
          <w:rFonts w:ascii="Calibri" w:eastAsia="Times New Roman" w:hAnsi="Calibri" w:cs="Calibri"/>
          <w:sz w:val="18"/>
          <w:szCs w:val="18"/>
          <w:shd w:val="clear" w:color="auto" w:fill="FDFDFD"/>
        </w:rPr>
        <w:t xml:space="preserve"> § 27.</w:t>
      </w:r>
    </w:p>
  </w:footnote>
  <w:footnote w:id="32">
    <w:p w14:paraId="6358CCA7" w14:textId="77777777" w:rsidR="00A06E6E" w:rsidRPr="003D6D67" w:rsidRDefault="00000000" w:rsidP="003D6D67">
      <w:pPr>
        <w:spacing w:line="240" w:lineRule="auto"/>
        <w:jc w:val="both"/>
        <w:rPr>
          <w:rFonts w:ascii="Calibri" w:eastAsia="Times New Roman" w:hAnsi="Calibri" w:cs="Calibri"/>
          <w:sz w:val="18"/>
          <w:szCs w:val="18"/>
        </w:rPr>
      </w:pPr>
      <w:r w:rsidRPr="003D6D67">
        <w:rPr>
          <w:rFonts w:ascii="Calibri" w:hAnsi="Calibri" w:cs="Calibri"/>
          <w:sz w:val="18"/>
          <w:szCs w:val="18"/>
          <w:vertAlign w:val="superscript"/>
        </w:rPr>
        <w:footnoteRef/>
      </w:r>
      <w:r w:rsidRPr="003D6D67">
        <w:rPr>
          <w:rFonts w:ascii="Calibri" w:eastAsia="Times New Roman" w:hAnsi="Calibri" w:cs="Calibri"/>
          <w:sz w:val="18"/>
          <w:szCs w:val="18"/>
        </w:rPr>
        <w:t xml:space="preserve"> Id.</w:t>
      </w:r>
    </w:p>
  </w:footnote>
  <w:footnote w:id="33">
    <w:p w14:paraId="60B00725" w14:textId="77777777" w:rsidR="00A06E6E" w:rsidRPr="003D6D67" w:rsidRDefault="00000000" w:rsidP="003D6D67">
      <w:pPr>
        <w:keepNext/>
        <w:spacing w:line="240" w:lineRule="auto"/>
        <w:jc w:val="both"/>
        <w:rPr>
          <w:rFonts w:ascii="Calibri" w:eastAsia="Times New Roman" w:hAnsi="Calibri" w:cs="Calibri"/>
          <w:sz w:val="18"/>
          <w:szCs w:val="18"/>
        </w:rPr>
      </w:pPr>
      <w:r w:rsidRPr="003D6D67">
        <w:rPr>
          <w:rFonts w:ascii="Calibri" w:hAnsi="Calibri" w:cs="Calibri"/>
          <w:sz w:val="18"/>
          <w:szCs w:val="18"/>
          <w:vertAlign w:val="superscript"/>
        </w:rPr>
        <w:footnoteRef/>
      </w:r>
      <w:r w:rsidRPr="003D6D67">
        <w:rPr>
          <w:rFonts w:ascii="Calibri" w:eastAsia="Times New Roman" w:hAnsi="Calibri" w:cs="Calibri"/>
          <w:sz w:val="18"/>
          <w:szCs w:val="18"/>
        </w:rPr>
        <w:t xml:space="preserve"> </w:t>
      </w:r>
      <w:r w:rsidRPr="003D6D67">
        <w:rPr>
          <w:rFonts w:ascii="Calibri" w:eastAsia="Times New Roman" w:hAnsi="Calibri" w:cs="Calibri"/>
          <w:i/>
          <w:sz w:val="18"/>
          <w:szCs w:val="18"/>
          <w:highlight w:val="white"/>
        </w:rPr>
        <w:t>Mammadov v. Azerbaijan</w:t>
      </w:r>
      <w:r w:rsidRPr="003D6D67">
        <w:rPr>
          <w:rFonts w:ascii="Calibri" w:eastAsia="Times New Roman" w:hAnsi="Calibri" w:cs="Calibri"/>
          <w:sz w:val="18"/>
          <w:szCs w:val="18"/>
          <w:highlight w:val="white"/>
        </w:rPr>
        <w:t xml:space="preserve"> </w:t>
      </w:r>
      <w:r w:rsidRPr="003D6D67">
        <w:rPr>
          <w:rFonts w:ascii="Calibri" w:eastAsia="Times New Roman" w:hAnsi="Calibri" w:cs="Calibri"/>
          <w:sz w:val="18"/>
          <w:szCs w:val="18"/>
        </w:rPr>
        <w:t xml:space="preserve">(application </w:t>
      </w:r>
      <w:r w:rsidRPr="003D6D67">
        <w:rPr>
          <w:rFonts w:ascii="Calibri" w:eastAsia="Times New Roman" w:hAnsi="Calibri" w:cs="Calibri"/>
          <w:sz w:val="18"/>
          <w:szCs w:val="18"/>
          <w:highlight w:val="white"/>
        </w:rPr>
        <w:t xml:space="preserve">no. </w:t>
      </w:r>
      <w:hyperlink r:id="rId34" w:anchor="%7B%22appno%22:%5B%2236837/11%22%5D%7D">
        <w:r w:rsidRPr="003D6D67">
          <w:rPr>
            <w:rFonts w:ascii="Calibri" w:eastAsia="Times New Roman" w:hAnsi="Calibri" w:cs="Calibri"/>
            <w:color w:val="0069D6"/>
            <w:sz w:val="18"/>
            <w:szCs w:val="18"/>
            <w:highlight w:val="white"/>
            <w:u w:val="single"/>
          </w:rPr>
          <w:t>36837/11</w:t>
        </w:r>
      </w:hyperlink>
      <w:r w:rsidRPr="003D6D67">
        <w:rPr>
          <w:rFonts w:ascii="Calibri" w:eastAsia="Times New Roman" w:hAnsi="Calibri" w:cs="Calibri"/>
          <w:sz w:val="18"/>
          <w:szCs w:val="18"/>
          <w:highlight w:val="white"/>
        </w:rPr>
        <w:t xml:space="preserve">), </w:t>
      </w:r>
      <w:r w:rsidRPr="003D6D67">
        <w:rPr>
          <w:rFonts w:ascii="Calibri" w:eastAsia="Times New Roman" w:hAnsi="Calibri" w:cs="Calibri"/>
          <w:sz w:val="18"/>
          <w:szCs w:val="18"/>
        </w:rPr>
        <w:t xml:space="preserve">judgment of </w:t>
      </w:r>
      <w:r w:rsidRPr="003D6D67">
        <w:rPr>
          <w:rFonts w:ascii="Calibri" w:eastAsia="Times New Roman" w:hAnsi="Calibri" w:cs="Calibri"/>
          <w:sz w:val="18"/>
          <w:szCs w:val="18"/>
          <w:highlight w:val="white"/>
        </w:rPr>
        <w:t>14 February 2019, § 41.</w:t>
      </w:r>
    </w:p>
  </w:footnote>
  <w:footnote w:id="34">
    <w:p w14:paraId="5C0F0688" w14:textId="77777777" w:rsidR="00A06E6E" w:rsidRPr="003D6D67" w:rsidRDefault="00000000" w:rsidP="003D6D67">
      <w:pPr>
        <w:keepNext/>
        <w:spacing w:line="240" w:lineRule="auto"/>
        <w:jc w:val="both"/>
        <w:rPr>
          <w:rFonts w:ascii="Calibri" w:eastAsia="Times New Roman" w:hAnsi="Calibri" w:cs="Calibri"/>
          <w:sz w:val="18"/>
          <w:szCs w:val="18"/>
        </w:rPr>
      </w:pPr>
      <w:r w:rsidRPr="003D6D67">
        <w:rPr>
          <w:rFonts w:ascii="Calibri" w:hAnsi="Calibri" w:cs="Calibri"/>
          <w:sz w:val="18"/>
          <w:szCs w:val="18"/>
          <w:vertAlign w:val="superscript"/>
        </w:rPr>
        <w:footnoteRef/>
      </w:r>
      <w:r w:rsidRPr="003D6D67">
        <w:rPr>
          <w:rFonts w:ascii="Calibri" w:eastAsia="Times New Roman" w:hAnsi="Calibri" w:cs="Calibri"/>
          <w:i/>
          <w:sz w:val="18"/>
          <w:szCs w:val="18"/>
          <w:highlight w:val="white"/>
        </w:rPr>
        <w:t xml:space="preserve"> </w:t>
      </w:r>
      <w:r w:rsidRPr="003D6D67">
        <w:rPr>
          <w:rFonts w:ascii="Calibri" w:eastAsia="Times New Roman" w:hAnsi="Calibri" w:cs="Calibri"/>
          <w:i/>
          <w:sz w:val="18"/>
          <w:szCs w:val="18"/>
          <w:highlight w:val="white"/>
        </w:rPr>
        <w:t>Gasimov v. Azerbaijan</w:t>
      </w:r>
      <w:r w:rsidRPr="003D6D67">
        <w:rPr>
          <w:rFonts w:ascii="Calibri" w:eastAsia="Times New Roman" w:hAnsi="Calibri" w:cs="Calibri"/>
          <w:sz w:val="18"/>
          <w:szCs w:val="18"/>
          <w:highlight w:val="white"/>
        </w:rPr>
        <w:t xml:space="preserve"> </w:t>
      </w:r>
      <w:r w:rsidRPr="003D6D67">
        <w:rPr>
          <w:rFonts w:ascii="Calibri" w:eastAsia="Times New Roman" w:hAnsi="Calibri" w:cs="Calibri"/>
          <w:sz w:val="18"/>
          <w:szCs w:val="18"/>
        </w:rPr>
        <w:t>(application</w:t>
      </w:r>
      <w:r w:rsidRPr="003D6D67">
        <w:rPr>
          <w:rFonts w:ascii="Calibri" w:eastAsia="Times New Roman" w:hAnsi="Calibri" w:cs="Calibri"/>
          <w:sz w:val="18"/>
          <w:szCs w:val="18"/>
          <w:highlight w:val="white"/>
        </w:rPr>
        <w:t xml:space="preserve"> no. </w:t>
      </w:r>
      <w:hyperlink r:id="rId35" w:anchor="%7B%22appno%22:%5B%228937/09%22%5D%7D">
        <w:r w:rsidRPr="003D6D67">
          <w:rPr>
            <w:rFonts w:ascii="Calibri" w:eastAsia="Times New Roman" w:hAnsi="Calibri" w:cs="Calibri"/>
            <w:color w:val="0069D6"/>
            <w:sz w:val="18"/>
            <w:szCs w:val="18"/>
            <w:highlight w:val="white"/>
            <w:u w:val="single"/>
          </w:rPr>
          <w:t>8937/09</w:t>
        </w:r>
      </w:hyperlink>
      <w:r w:rsidRPr="003D6D67">
        <w:rPr>
          <w:rFonts w:ascii="Calibri" w:eastAsia="Times New Roman" w:hAnsi="Calibri" w:cs="Calibri"/>
          <w:sz w:val="18"/>
          <w:szCs w:val="18"/>
          <w:highlight w:val="white"/>
        </w:rPr>
        <w:t xml:space="preserve">), </w:t>
      </w:r>
      <w:r w:rsidRPr="003D6D67">
        <w:rPr>
          <w:rFonts w:ascii="Calibri" w:eastAsia="Times New Roman" w:hAnsi="Calibri" w:cs="Calibri"/>
          <w:sz w:val="18"/>
          <w:szCs w:val="18"/>
        </w:rPr>
        <w:t xml:space="preserve">judgment of </w:t>
      </w:r>
      <w:r w:rsidRPr="003D6D67">
        <w:rPr>
          <w:rFonts w:ascii="Calibri" w:eastAsia="Times New Roman" w:hAnsi="Calibri" w:cs="Calibri"/>
          <w:sz w:val="18"/>
          <w:szCs w:val="18"/>
          <w:highlight w:val="white"/>
        </w:rPr>
        <w:t>10 November 2016</w:t>
      </w:r>
      <w:r w:rsidRPr="003D6D67">
        <w:rPr>
          <w:rFonts w:ascii="Calibri" w:eastAsia="Times New Roman" w:hAnsi="Calibri" w:cs="Calibri"/>
          <w:sz w:val="18"/>
          <w:szCs w:val="18"/>
        </w:rPr>
        <w:t>,</w:t>
      </w:r>
      <w:r w:rsidRPr="003D6D67">
        <w:rPr>
          <w:rFonts w:ascii="Calibri" w:eastAsia="Times New Roman" w:hAnsi="Calibri" w:cs="Calibri"/>
          <w:sz w:val="18"/>
          <w:szCs w:val="18"/>
          <w:highlight w:val="white"/>
        </w:rPr>
        <w:t>§ 81.</w:t>
      </w:r>
    </w:p>
  </w:footnote>
  <w:footnote w:id="35">
    <w:p w14:paraId="477A856B" w14:textId="77777777" w:rsidR="00A06E6E" w:rsidRPr="003D6D67" w:rsidRDefault="00000000" w:rsidP="003D6D67">
      <w:pPr>
        <w:keepNext/>
        <w:spacing w:line="240" w:lineRule="auto"/>
        <w:jc w:val="both"/>
        <w:rPr>
          <w:rFonts w:ascii="Calibri" w:eastAsia="Times New Roman" w:hAnsi="Calibri" w:cs="Calibri"/>
          <w:sz w:val="18"/>
          <w:szCs w:val="18"/>
        </w:rPr>
      </w:pPr>
      <w:r w:rsidRPr="003D6D67">
        <w:rPr>
          <w:rFonts w:ascii="Calibri" w:hAnsi="Calibri" w:cs="Calibri"/>
          <w:sz w:val="18"/>
          <w:szCs w:val="18"/>
          <w:vertAlign w:val="superscript"/>
        </w:rPr>
        <w:footnoteRef/>
      </w:r>
      <w:r w:rsidRPr="003D6D67">
        <w:rPr>
          <w:rFonts w:ascii="Calibri" w:eastAsia="Times New Roman" w:hAnsi="Calibri" w:cs="Calibri"/>
          <w:sz w:val="18"/>
          <w:szCs w:val="18"/>
        </w:rPr>
        <w:t xml:space="preserve"> </w:t>
      </w:r>
      <w:r w:rsidRPr="003D6D67">
        <w:rPr>
          <w:rFonts w:ascii="Calibri" w:eastAsia="Times New Roman" w:hAnsi="Calibri" w:cs="Calibri"/>
          <w:i/>
          <w:sz w:val="18"/>
          <w:szCs w:val="18"/>
          <w:highlight w:val="white"/>
        </w:rPr>
        <w:t xml:space="preserve">Shuriyya Zeynalov v. Azerbaijan </w:t>
      </w:r>
      <w:r w:rsidRPr="003D6D67">
        <w:rPr>
          <w:rFonts w:ascii="Calibri" w:eastAsia="Times New Roman" w:hAnsi="Calibri" w:cs="Calibri"/>
          <w:sz w:val="18"/>
          <w:szCs w:val="18"/>
        </w:rPr>
        <w:t>(application</w:t>
      </w:r>
      <w:r w:rsidRPr="003D6D67">
        <w:rPr>
          <w:rFonts w:ascii="Calibri" w:eastAsia="Times New Roman" w:hAnsi="Calibri" w:cs="Calibri"/>
          <w:sz w:val="18"/>
          <w:szCs w:val="18"/>
          <w:highlight w:val="white"/>
        </w:rPr>
        <w:t xml:space="preserve"> no.</w:t>
      </w:r>
      <w:r w:rsidRPr="003D6D67">
        <w:rPr>
          <w:rFonts w:ascii="Calibri" w:eastAsia="Times New Roman" w:hAnsi="Calibri" w:cs="Calibri"/>
          <w:sz w:val="18"/>
          <w:szCs w:val="18"/>
        </w:rPr>
        <w:t xml:space="preserve"> </w:t>
      </w:r>
      <w:hyperlink r:id="rId36" w:anchor="%7B%22appno%22:%5B%2269460/12%22%5D%7D">
        <w:r w:rsidRPr="003D6D67">
          <w:rPr>
            <w:rFonts w:ascii="Calibri" w:eastAsia="Times New Roman" w:hAnsi="Calibri" w:cs="Calibri"/>
            <w:i/>
            <w:color w:val="0069D6"/>
            <w:sz w:val="18"/>
            <w:szCs w:val="18"/>
            <w:highlight w:val="white"/>
            <w:u w:val="single"/>
          </w:rPr>
          <w:t>69460/12</w:t>
        </w:r>
      </w:hyperlink>
      <w:r w:rsidRPr="003D6D67">
        <w:rPr>
          <w:rFonts w:ascii="Calibri" w:eastAsia="Times New Roman" w:hAnsi="Calibri" w:cs="Calibri"/>
          <w:sz w:val="18"/>
          <w:szCs w:val="18"/>
        </w:rPr>
        <w:t xml:space="preserve">), judgment of  </w:t>
      </w:r>
      <w:r w:rsidRPr="003D6D67">
        <w:rPr>
          <w:rFonts w:ascii="Calibri" w:eastAsia="Times New Roman" w:hAnsi="Calibri" w:cs="Calibri"/>
          <w:sz w:val="18"/>
          <w:szCs w:val="18"/>
          <w:highlight w:val="white"/>
        </w:rPr>
        <w:t xml:space="preserve">10 September 2020, § </w:t>
      </w:r>
      <w:r w:rsidRPr="003D6D67">
        <w:rPr>
          <w:rFonts w:ascii="Calibri" w:eastAsia="Times New Roman" w:hAnsi="Calibri" w:cs="Calibri"/>
          <w:sz w:val="18"/>
          <w:szCs w:val="18"/>
        </w:rPr>
        <w:t>56.</w:t>
      </w:r>
    </w:p>
  </w:footnote>
  <w:footnote w:id="36">
    <w:p w14:paraId="425D36EF" w14:textId="77777777" w:rsidR="00A06E6E" w:rsidRDefault="00000000" w:rsidP="003D6D67">
      <w:pPr>
        <w:keepNext/>
        <w:spacing w:line="240" w:lineRule="auto"/>
        <w:jc w:val="both"/>
        <w:rPr>
          <w:rFonts w:ascii="Times New Roman" w:eastAsia="Times New Roman" w:hAnsi="Times New Roman" w:cs="Times New Roman"/>
          <w:sz w:val="20"/>
          <w:szCs w:val="20"/>
        </w:rPr>
      </w:pPr>
      <w:r w:rsidRPr="003D6D67">
        <w:rPr>
          <w:rFonts w:ascii="Calibri" w:hAnsi="Calibri" w:cs="Calibri"/>
          <w:sz w:val="18"/>
          <w:szCs w:val="18"/>
          <w:vertAlign w:val="superscript"/>
        </w:rPr>
        <w:footnoteRef/>
      </w:r>
      <w:r w:rsidRPr="003D6D67">
        <w:rPr>
          <w:rFonts w:ascii="Calibri" w:eastAsia="Times New Roman" w:hAnsi="Calibri" w:cs="Calibri"/>
          <w:sz w:val="18"/>
          <w:szCs w:val="18"/>
          <w:highlight w:val="white"/>
        </w:rPr>
        <w:t xml:space="preserve"> Ibid</w:t>
      </w:r>
      <w:r w:rsidRPr="003D6D67">
        <w:rPr>
          <w:rFonts w:ascii="Calibri" w:eastAsia="Times New Roman" w:hAnsi="Calibri" w:cs="Calibri"/>
          <w:i/>
          <w:sz w:val="18"/>
          <w:szCs w:val="18"/>
          <w:highlight w:val="white"/>
        </w:rPr>
        <w:t xml:space="preserve"> </w:t>
      </w:r>
      <w:r w:rsidRPr="003D6D67">
        <w:rPr>
          <w:rFonts w:ascii="Calibri" w:eastAsia="Times New Roman" w:hAnsi="Calibri" w:cs="Calibri"/>
          <w:sz w:val="18"/>
          <w:szCs w:val="18"/>
          <w:highlight w:val="white"/>
        </w:rPr>
        <w:t xml:space="preserve">§ </w:t>
      </w:r>
      <w:r w:rsidRPr="003D6D67">
        <w:rPr>
          <w:rFonts w:ascii="Calibri" w:eastAsia="Times New Roman" w:hAnsi="Calibri" w:cs="Calibri"/>
          <w:sz w:val="18"/>
          <w:szCs w:val="18"/>
        </w:rPr>
        <w:t>57.</w:t>
      </w:r>
    </w:p>
  </w:footnote>
  <w:footnote w:id="37">
    <w:p w14:paraId="0D11393B" w14:textId="77777777" w:rsidR="00A06E6E" w:rsidRDefault="00000000">
      <w:pPr>
        <w:spacing w:line="240" w:lineRule="auto"/>
        <w:rPr>
          <w:rFonts w:ascii="Times New Roman" w:eastAsia="Times New Roman" w:hAnsi="Times New Roman" w:cs="Times New Roman"/>
          <w:sz w:val="20"/>
          <w:szCs w:val="20"/>
        </w:rPr>
      </w:pPr>
      <w:r>
        <w:rPr>
          <w:vertAlign w:val="superscript"/>
        </w:rPr>
        <w:footnoteRef/>
      </w:r>
      <w:r>
        <w:rPr>
          <w:rFonts w:ascii="Times New Roman" w:eastAsia="Times New Roman" w:hAnsi="Times New Roman" w:cs="Times New Roman"/>
          <w:sz w:val="20"/>
          <w:szCs w:val="20"/>
        </w:rPr>
        <w:t xml:space="preserve"> AR Law on the Approval of the Optional Protocol to the Convention against Torture and Other Cruel, Inhuman or Degrading Treatment or Punishment, Article 23, E-qanun, </w:t>
      </w:r>
      <w:hyperlink r:id="rId37">
        <w:r>
          <w:rPr>
            <w:rFonts w:ascii="Times New Roman" w:eastAsia="Times New Roman" w:hAnsi="Times New Roman" w:cs="Times New Roman"/>
            <w:color w:val="1155CC"/>
            <w:sz w:val="20"/>
            <w:szCs w:val="20"/>
            <w:u w:val="single"/>
          </w:rPr>
          <w:t>https://e-qanun.az/framework/16054</w:t>
        </w:r>
      </w:hyperlink>
      <w:r>
        <w:rPr>
          <w:rFonts w:ascii="Times New Roman" w:eastAsia="Times New Roman" w:hAnsi="Times New Roman" w:cs="Times New Roman"/>
          <w:sz w:val="20"/>
          <w:szCs w:val="20"/>
        </w:rPr>
        <w:t xml:space="preserve">. </w:t>
      </w:r>
    </w:p>
  </w:footnote>
  <w:footnote w:id="38">
    <w:p w14:paraId="68CD4E12" w14:textId="77777777" w:rsidR="00A06E6E" w:rsidRDefault="00000000">
      <w:pPr>
        <w:spacing w:line="240" w:lineRule="auto"/>
        <w:rPr>
          <w:rFonts w:ascii="Times New Roman" w:eastAsia="Times New Roman" w:hAnsi="Times New Roman" w:cs="Times New Roman"/>
          <w:sz w:val="20"/>
          <w:szCs w:val="20"/>
        </w:rPr>
      </w:pPr>
      <w:r>
        <w:rPr>
          <w:vertAlign w:val="superscript"/>
        </w:rPr>
        <w:footnoteRef/>
      </w:r>
      <w:r>
        <w:rPr>
          <w:rFonts w:ascii="Times New Roman" w:eastAsia="Times New Roman" w:hAnsi="Times New Roman" w:cs="Times New Roman"/>
          <w:sz w:val="20"/>
          <w:szCs w:val="20"/>
        </w:rPr>
        <w:t xml:space="preserve"> Ombudsman.az, "Reports of the national preventive mechanism against torture", </w:t>
      </w:r>
      <w:hyperlink r:id="rId38">
        <w:r>
          <w:rPr>
            <w:rFonts w:ascii="Times New Roman" w:eastAsia="Times New Roman" w:hAnsi="Times New Roman" w:cs="Times New Roman"/>
            <w:color w:val="1155CC"/>
            <w:sz w:val="20"/>
            <w:szCs w:val="20"/>
            <w:u w:val="single"/>
          </w:rPr>
          <w:t>https://ombudsman.az/az/view/pages/68</w:t>
        </w:r>
      </w:hyperlink>
      <w:r>
        <w:rPr>
          <w:rFonts w:ascii="Times New Roman" w:eastAsia="Times New Roman" w:hAnsi="Times New Roman" w:cs="Times New Roman"/>
          <w:sz w:val="20"/>
          <w:szCs w:val="20"/>
        </w:rPr>
        <w:t>.</w:t>
      </w:r>
    </w:p>
  </w:footnote>
  <w:footnote w:id="39">
    <w:p w14:paraId="2738E6E0" w14:textId="77777777" w:rsidR="00A06E6E" w:rsidRDefault="00000000">
      <w:pPr>
        <w:spacing w:line="240" w:lineRule="auto"/>
        <w:rPr>
          <w:rFonts w:ascii="Times New Roman" w:eastAsia="Times New Roman" w:hAnsi="Times New Roman" w:cs="Times New Roman"/>
          <w:sz w:val="20"/>
          <w:szCs w:val="20"/>
        </w:rPr>
      </w:pPr>
      <w:r>
        <w:rPr>
          <w:vertAlign w:val="superscript"/>
        </w:rPr>
        <w:footnoteRef/>
      </w:r>
      <w:r>
        <w:rPr>
          <w:rFonts w:ascii="Times New Roman" w:eastAsia="Times New Roman" w:hAnsi="Times New Roman" w:cs="Times New Roman"/>
          <w:sz w:val="20"/>
          <w:szCs w:val="20"/>
        </w:rPr>
        <w:t xml:space="preserve"> </w:t>
      </w:r>
      <w:r>
        <w:rPr>
          <w:rFonts w:ascii="Times New Roman" w:eastAsia="Times New Roman" w:hAnsi="Times New Roman" w:cs="Times New Roman"/>
          <w:i/>
          <w:sz w:val="20"/>
          <w:szCs w:val="20"/>
        </w:rPr>
        <w:t>At the end of each year, the document submitted by the Ombudsman to the President of the Republic of Azerbaijan on the protection of human rights in the country and presented before the Milli Majlis of the Republic of Azerbaijan</w:t>
      </w:r>
      <w:r>
        <w:rPr>
          <w:rFonts w:ascii="Times New Roman" w:eastAsia="Times New Roman" w:hAnsi="Times New Roman" w:cs="Times New Roman"/>
          <w:sz w:val="20"/>
          <w:szCs w:val="20"/>
        </w:rPr>
        <w:t xml:space="preserve"> (Law on the Ombudsman for Human Rights of the Republic of Azerbaijan, Article 14),</w:t>
      </w:r>
    </w:p>
    <w:p w14:paraId="4CFDED26" w14:textId="77777777" w:rsidR="00A06E6E" w:rsidRDefault="00000000">
      <w:pPr>
        <w:spacing w:line="240" w:lineRule="auto"/>
        <w:rPr>
          <w:rFonts w:ascii="Times New Roman" w:eastAsia="Times New Roman" w:hAnsi="Times New Roman" w:cs="Times New Roman"/>
          <w:sz w:val="20"/>
          <w:szCs w:val="20"/>
        </w:rPr>
      </w:pPr>
      <w:hyperlink r:id="rId39">
        <w:r>
          <w:rPr>
            <w:rFonts w:ascii="Times New Roman" w:eastAsia="Times New Roman" w:hAnsi="Times New Roman" w:cs="Times New Roman"/>
            <w:color w:val="1155CC"/>
            <w:sz w:val="20"/>
            <w:szCs w:val="20"/>
            <w:u w:val="single"/>
          </w:rPr>
          <w:t>https://e-ganun.az/framework/1407</w:t>
        </w:r>
      </w:hyperlink>
      <w:r>
        <w:rPr>
          <w:rFonts w:ascii="Times New Roman" w:eastAsia="Times New Roman" w:hAnsi="Times New Roman" w:cs="Times New Roman"/>
          <w:sz w:val="20"/>
          <w:szCs w:val="20"/>
        </w:rPr>
        <w:t>.</w:t>
      </w:r>
    </w:p>
  </w:footnote>
  <w:footnote w:id="40">
    <w:p w14:paraId="447FB979" w14:textId="77777777" w:rsidR="00A06E6E" w:rsidRDefault="00000000">
      <w:pPr>
        <w:spacing w:line="240" w:lineRule="auto"/>
        <w:rPr>
          <w:rFonts w:ascii="Times New Roman" w:eastAsia="Times New Roman" w:hAnsi="Times New Roman" w:cs="Times New Roman"/>
          <w:sz w:val="20"/>
          <w:szCs w:val="20"/>
        </w:rPr>
      </w:pPr>
      <w:r>
        <w:rPr>
          <w:vertAlign w:val="superscript"/>
        </w:rPr>
        <w:footnoteRef/>
      </w:r>
      <w:r>
        <w:rPr>
          <w:rFonts w:ascii="Times New Roman" w:eastAsia="Times New Roman" w:hAnsi="Times New Roman" w:cs="Times New Roman"/>
          <w:sz w:val="20"/>
          <w:szCs w:val="20"/>
        </w:rPr>
        <w:t xml:space="preserve"> </w:t>
      </w:r>
      <w:r>
        <w:rPr>
          <w:rFonts w:ascii="Times New Roman" w:eastAsia="Times New Roman" w:hAnsi="Times New Roman" w:cs="Times New Roman"/>
          <w:sz w:val="20"/>
          <w:szCs w:val="20"/>
        </w:rPr>
        <w:t xml:space="preserve">Fakt yoxla, "Ombudsman is indifferent to facts of torture", August 19, 2020, </w:t>
      </w:r>
      <w:hyperlink r:id="rId40">
        <w:r>
          <w:rPr>
            <w:rFonts w:ascii="Times New Roman" w:eastAsia="Times New Roman" w:hAnsi="Times New Roman" w:cs="Times New Roman"/>
            <w:color w:val="1155CC"/>
            <w:sz w:val="20"/>
            <w:szCs w:val="20"/>
            <w:u w:val="single"/>
          </w:rPr>
          <w:t>https://faktyoxla.info/articles/Ombudsman-ishgence-faktlarina-biganedir</w:t>
        </w:r>
      </w:hyperlink>
      <w:r>
        <w:rPr>
          <w:rFonts w:ascii="Times New Roman" w:eastAsia="Times New Roman" w:hAnsi="Times New Roman" w:cs="Times New Roman"/>
          <w:sz w:val="20"/>
          <w:szCs w:val="20"/>
        </w:rPr>
        <w:t xml:space="preserve">, </w:t>
      </w:r>
    </w:p>
    <w:p w14:paraId="72FB3BA8" w14:textId="77777777" w:rsidR="00A06E6E" w:rsidRDefault="00000000">
      <w:pPr>
        <w:keepNext/>
        <w:spacing w:line="240" w:lineRule="auto"/>
        <w:jc w:val="both"/>
        <w:rPr>
          <w:rFonts w:ascii="Times New Roman" w:eastAsia="Times New Roman" w:hAnsi="Times New Roman" w:cs="Times New Roman"/>
          <w:sz w:val="20"/>
          <w:szCs w:val="20"/>
        </w:rPr>
      </w:pPr>
      <w:r>
        <w:rPr>
          <w:rFonts w:ascii="Times New Roman" w:eastAsia="Times New Roman" w:hAnsi="Times New Roman" w:cs="Times New Roman"/>
          <w:i/>
          <w:sz w:val="20"/>
          <w:szCs w:val="20"/>
          <w:shd w:val="clear" w:color="auto" w:fill="FDFDFD"/>
        </w:rPr>
        <w:t>see: Yunusova and Yunusov v. Azerbaijan</w:t>
      </w:r>
      <w:r>
        <w:rPr>
          <w:rFonts w:ascii="Times New Roman" w:eastAsia="Times New Roman" w:hAnsi="Times New Roman" w:cs="Times New Roman"/>
          <w:sz w:val="20"/>
          <w:szCs w:val="20"/>
          <w:shd w:val="clear" w:color="auto" w:fill="FDFDFD"/>
        </w:rPr>
        <w:t xml:space="preserve"> (application no. </w:t>
      </w:r>
      <w:hyperlink r:id="rId41" w:anchor="%7B%22appno%22:%5B%2268817/14%22%5D%7D">
        <w:r>
          <w:rPr>
            <w:rFonts w:ascii="Times New Roman" w:eastAsia="Times New Roman" w:hAnsi="Times New Roman" w:cs="Times New Roman"/>
            <w:color w:val="0069D6"/>
            <w:sz w:val="20"/>
            <w:szCs w:val="20"/>
            <w:u w:val="single"/>
            <w:shd w:val="clear" w:color="auto" w:fill="FDFDFD"/>
          </w:rPr>
          <w:t>68817/14</w:t>
        </w:r>
      </w:hyperlink>
      <w:r>
        <w:rPr>
          <w:rFonts w:ascii="Times New Roman" w:eastAsia="Times New Roman" w:hAnsi="Times New Roman" w:cs="Times New Roman"/>
          <w:sz w:val="20"/>
          <w:szCs w:val="20"/>
          <w:shd w:val="clear" w:color="auto" w:fill="FDFDFD"/>
        </w:rPr>
        <w:t xml:space="preserve">), </w:t>
      </w:r>
      <w:r>
        <w:rPr>
          <w:rFonts w:ascii="Times New Roman" w:eastAsia="Times New Roman" w:hAnsi="Times New Roman" w:cs="Times New Roman"/>
          <w:sz w:val="20"/>
          <w:szCs w:val="20"/>
        </w:rPr>
        <w:t xml:space="preserve">judgment of  </w:t>
      </w:r>
      <w:r>
        <w:rPr>
          <w:rFonts w:ascii="Times New Roman" w:eastAsia="Times New Roman" w:hAnsi="Times New Roman" w:cs="Times New Roman"/>
          <w:sz w:val="20"/>
          <w:szCs w:val="20"/>
          <w:shd w:val="clear" w:color="auto" w:fill="FDFDFD"/>
        </w:rPr>
        <w:t xml:space="preserve">16 July 2020, </w:t>
      </w:r>
      <w:r>
        <w:rPr>
          <w:rFonts w:ascii="Times New Roman" w:eastAsia="Times New Roman" w:hAnsi="Times New Roman" w:cs="Times New Roman"/>
          <w:i/>
          <w:sz w:val="20"/>
          <w:szCs w:val="20"/>
        </w:rPr>
        <w:t>Aliyev v. Azerbaijan</w:t>
      </w:r>
      <w:r>
        <w:rPr>
          <w:rFonts w:ascii="Times New Roman" w:eastAsia="Times New Roman" w:hAnsi="Times New Roman" w:cs="Times New Roman"/>
          <w:sz w:val="20"/>
          <w:szCs w:val="20"/>
        </w:rPr>
        <w:t xml:space="preserve"> (applications nos. </w:t>
      </w:r>
      <w:hyperlink r:id="rId42" w:anchor="%7B%22appno%22:%5B%2268762/14%22%5D%7D">
        <w:r>
          <w:rPr>
            <w:rFonts w:ascii="Times New Roman" w:eastAsia="Times New Roman" w:hAnsi="Times New Roman" w:cs="Times New Roman"/>
            <w:color w:val="0069D6"/>
            <w:sz w:val="20"/>
            <w:szCs w:val="20"/>
            <w:u w:val="single"/>
          </w:rPr>
          <w:t>68762/14</w:t>
        </w:r>
      </w:hyperlink>
      <w:r>
        <w:rPr>
          <w:rFonts w:ascii="Times New Roman" w:eastAsia="Times New Roman" w:hAnsi="Times New Roman" w:cs="Times New Roman"/>
          <w:sz w:val="20"/>
          <w:szCs w:val="20"/>
        </w:rPr>
        <w:t xml:space="preserve"> and </w:t>
      </w:r>
      <w:hyperlink r:id="rId43" w:anchor="%7B%22appno%22:%5B%2271200/14%22%5D%7D">
        <w:r>
          <w:rPr>
            <w:rFonts w:ascii="Times New Roman" w:eastAsia="Times New Roman" w:hAnsi="Times New Roman" w:cs="Times New Roman"/>
            <w:color w:val="0069D6"/>
            <w:sz w:val="20"/>
            <w:szCs w:val="20"/>
            <w:u w:val="single"/>
          </w:rPr>
          <w:t>71200/14</w:t>
        </w:r>
      </w:hyperlink>
      <w:r>
        <w:rPr>
          <w:rFonts w:ascii="Times New Roman" w:eastAsia="Times New Roman" w:hAnsi="Times New Roman" w:cs="Times New Roman"/>
          <w:sz w:val="20"/>
          <w:szCs w:val="20"/>
        </w:rPr>
        <w:t>), judgment of  20 September 2018.</w:t>
      </w:r>
    </w:p>
  </w:footnote>
  <w:footnote w:id="41">
    <w:p w14:paraId="2B2CA108" w14:textId="77777777" w:rsidR="00A06E6E" w:rsidRDefault="00000000">
      <w:pPr>
        <w:spacing w:line="240" w:lineRule="auto"/>
        <w:rPr>
          <w:rFonts w:ascii="Times New Roman" w:eastAsia="Times New Roman" w:hAnsi="Times New Roman" w:cs="Times New Roman"/>
          <w:sz w:val="20"/>
          <w:szCs w:val="20"/>
        </w:rPr>
      </w:pPr>
      <w:r>
        <w:rPr>
          <w:vertAlign w:val="superscript"/>
        </w:rPr>
        <w:footnoteRef/>
      </w:r>
      <w:r>
        <w:rPr>
          <w:rFonts w:ascii="Times New Roman" w:eastAsia="Times New Roman" w:hAnsi="Times New Roman" w:cs="Times New Roman"/>
          <w:sz w:val="20"/>
          <w:szCs w:val="20"/>
        </w:rPr>
        <w:t xml:space="preserve"> 2021 report on the activities of the National Preventive Mechanism against Torture (Ombudsman), p. 73.</w:t>
      </w:r>
    </w:p>
  </w:footnote>
  <w:footnote w:id="42">
    <w:p w14:paraId="6A2A7344" w14:textId="77777777" w:rsidR="00A06E6E" w:rsidRDefault="00000000">
      <w:pPr>
        <w:spacing w:line="240" w:lineRule="auto"/>
        <w:rPr>
          <w:rFonts w:ascii="Times New Roman" w:eastAsia="Times New Roman" w:hAnsi="Times New Roman" w:cs="Times New Roman"/>
          <w:sz w:val="20"/>
          <w:szCs w:val="20"/>
        </w:rPr>
      </w:pPr>
      <w:r>
        <w:rPr>
          <w:vertAlign w:val="superscript"/>
        </w:rPr>
        <w:footnoteRef/>
      </w:r>
      <w:r>
        <w:rPr>
          <w:rFonts w:ascii="Times New Roman" w:eastAsia="Times New Roman" w:hAnsi="Times New Roman" w:cs="Times New Roman"/>
          <w:sz w:val="20"/>
          <w:szCs w:val="20"/>
        </w:rPr>
        <w:t xml:space="preserve"> The table was prepared by the author based on the reports of the National Preventive Mechanism against Torture (Ombudsman) for the years 2019 (p. 16-47), 2020 (p. 14-37) and 2021 (p. 14-34).</w:t>
      </w:r>
    </w:p>
  </w:footnote>
  <w:footnote w:id="43">
    <w:p w14:paraId="7994DCDA" w14:textId="77777777" w:rsidR="00A06E6E" w:rsidRPr="00BD1F30" w:rsidRDefault="00000000">
      <w:pPr>
        <w:spacing w:line="240" w:lineRule="auto"/>
        <w:rPr>
          <w:rFonts w:ascii="Calibri" w:eastAsia="Times New Roman" w:hAnsi="Calibri" w:cs="Calibri"/>
          <w:sz w:val="18"/>
          <w:szCs w:val="18"/>
        </w:rPr>
      </w:pPr>
      <w:r w:rsidRPr="00BD1F30">
        <w:rPr>
          <w:rFonts w:ascii="Calibri" w:hAnsi="Calibri" w:cs="Calibri"/>
          <w:sz w:val="18"/>
          <w:szCs w:val="18"/>
          <w:vertAlign w:val="superscript"/>
        </w:rPr>
        <w:footnoteRef/>
      </w:r>
      <w:r w:rsidRPr="00BD1F30">
        <w:rPr>
          <w:rFonts w:ascii="Calibri" w:eastAsia="Times New Roman" w:hAnsi="Calibri" w:cs="Calibri"/>
          <w:sz w:val="18"/>
          <w:szCs w:val="18"/>
        </w:rPr>
        <w:t xml:space="preserve"> Public Committee under the Minister of Justice, December 7, 2016, </w:t>
      </w:r>
      <w:hyperlink r:id="rId44">
        <w:r w:rsidRPr="00BD1F30">
          <w:rPr>
            <w:rFonts w:ascii="Calibri" w:eastAsia="Times New Roman" w:hAnsi="Calibri" w:cs="Calibri"/>
            <w:color w:val="1155CC"/>
            <w:sz w:val="18"/>
            <w:szCs w:val="18"/>
            <w:u w:val="single"/>
          </w:rPr>
          <w:t>http://penitensiar.justice.gov.az/news/334-pen.html</w:t>
        </w:r>
      </w:hyperlink>
      <w:r w:rsidRPr="00BD1F30">
        <w:rPr>
          <w:rFonts w:ascii="Calibri" w:eastAsia="Times New Roman" w:hAnsi="Calibri" w:cs="Calibri"/>
          <w:sz w:val="18"/>
          <w:szCs w:val="18"/>
        </w:rPr>
        <w:t>.</w:t>
      </w:r>
    </w:p>
  </w:footnote>
  <w:footnote w:id="44">
    <w:p w14:paraId="5EE99FA3" w14:textId="77777777" w:rsidR="00A06E6E" w:rsidRPr="00BD1F30" w:rsidRDefault="00000000" w:rsidP="00BD1F30">
      <w:pPr>
        <w:spacing w:line="240" w:lineRule="auto"/>
        <w:jc w:val="both"/>
        <w:rPr>
          <w:rFonts w:ascii="Calibri" w:eastAsia="Times New Roman" w:hAnsi="Calibri" w:cs="Calibri"/>
          <w:sz w:val="18"/>
          <w:szCs w:val="18"/>
        </w:rPr>
      </w:pPr>
      <w:r w:rsidRPr="00BD1F30">
        <w:rPr>
          <w:rFonts w:ascii="Calibri" w:hAnsi="Calibri" w:cs="Calibri"/>
          <w:sz w:val="18"/>
          <w:szCs w:val="18"/>
          <w:vertAlign w:val="superscript"/>
        </w:rPr>
        <w:footnoteRef/>
      </w:r>
      <w:r w:rsidRPr="00BD1F30">
        <w:rPr>
          <w:rFonts w:ascii="Calibri" w:eastAsia="Times New Roman" w:hAnsi="Calibri" w:cs="Calibri"/>
          <w:sz w:val="18"/>
          <w:szCs w:val="18"/>
        </w:rPr>
        <w:t xml:space="preserve">  “1419th meeting, 30 November – 2 December 2021 (DH), H46-5 </w:t>
      </w:r>
      <w:r w:rsidRPr="00BD1F30">
        <w:rPr>
          <w:rFonts w:ascii="Calibri" w:eastAsia="Times New Roman" w:hAnsi="Calibri" w:cs="Calibri"/>
          <w:sz w:val="18"/>
          <w:szCs w:val="18"/>
        </w:rPr>
        <w:t xml:space="preserve">Muradova (Application No. 22684/05), Mammadov (Jalaloglu) (Application No. 34445/04) and Mikayil Mammadov groups (Application No. 4762/05) v. Azerbaijan”, Coe.int, </w:t>
      </w:r>
      <w:hyperlink r:id="rId45">
        <w:r w:rsidRPr="00BD1F30">
          <w:rPr>
            <w:rFonts w:ascii="Calibri" w:eastAsia="Times New Roman" w:hAnsi="Calibri" w:cs="Calibri"/>
            <w:color w:val="1155CC"/>
            <w:sz w:val="18"/>
            <w:szCs w:val="18"/>
            <w:u w:val="single"/>
          </w:rPr>
          <w:t>https://search.coe.int/cm/pages/result_details.aspx?objectid=0900001680a48a79</w:t>
        </w:r>
      </w:hyperlink>
      <w:r w:rsidRPr="00BD1F30">
        <w:rPr>
          <w:rFonts w:ascii="Calibri" w:eastAsia="Times New Roman" w:hAnsi="Calibri" w:cs="Calibri"/>
          <w:sz w:val="18"/>
          <w:szCs w:val="18"/>
        </w:rPr>
        <w:t>.</w:t>
      </w:r>
    </w:p>
  </w:footnote>
  <w:footnote w:id="45">
    <w:p w14:paraId="439E2793" w14:textId="77777777" w:rsidR="00A06E6E" w:rsidRPr="00BD1F30" w:rsidRDefault="00000000" w:rsidP="00BD1F30">
      <w:pPr>
        <w:spacing w:line="240" w:lineRule="auto"/>
        <w:jc w:val="both"/>
        <w:rPr>
          <w:rFonts w:ascii="Calibri" w:eastAsia="Times New Roman" w:hAnsi="Calibri" w:cs="Calibri"/>
          <w:sz w:val="18"/>
          <w:szCs w:val="18"/>
        </w:rPr>
      </w:pPr>
      <w:r w:rsidRPr="00BD1F30">
        <w:rPr>
          <w:rFonts w:ascii="Calibri" w:hAnsi="Calibri" w:cs="Calibri"/>
          <w:sz w:val="18"/>
          <w:szCs w:val="18"/>
          <w:vertAlign w:val="superscript"/>
        </w:rPr>
        <w:footnoteRef/>
      </w:r>
      <w:r w:rsidRPr="00BD1F30">
        <w:rPr>
          <w:rFonts w:ascii="Calibri" w:eastAsia="Times New Roman" w:hAnsi="Calibri" w:cs="Calibri"/>
          <w:sz w:val="18"/>
          <w:szCs w:val="18"/>
        </w:rPr>
        <w:t xml:space="preserve"> Id.</w:t>
      </w:r>
    </w:p>
  </w:footnote>
  <w:footnote w:id="46">
    <w:p w14:paraId="256119CE" w14:textId="77777777" w:rsidR="00A06E6E" w:rsidRPr="00BD1F30" w:rsidRDefault="00000000" w:rsidP="00BD1F30">
      <w:pPr>
        <w:spacing w:line="240" w:lineRule="auto"/>
        <w:jc w:val="both"/>
        <w:rPr>
          <w:rFonts w:ascii="Calibri" w:eastAsia="Times New Roman" w:hAnsi="Calibri" w:cs="Calibri"/>
          <w:sz w:val="18"/>
          <w:szCs w:val="18"/>
        </w:rPr>
      </w:pPr>
      <w:r w:rsidRPr="00BD1F30">
        <w:rPr>
          <w:rFonts w:ascii="Calibri" w:hAnsi="Calibri" w:cs="Calibri"/>
          <w:sz w:val="18"/>
          <w:szCs w:val="18"/>
          <w:vertAlign w:val="superscript"/>
        </w:rPr>
        <w:footnoteRef/>
      </w:r>
      <w:r w:rsidRPr="00BD1F30">
        <w:rPr>
          <w:rFonts w:ascii="Calibri" w:eastAsia="Times New Roman" w:hAnsi="Calibri" w:cs="Calibri"/>
          <w:sz w:val="18"/>
          <w:szCs w:val="18"/>
        </w:rPr>
        <w:t xml:space="preserve"> "Center for Research Against Torture" Public Union released a report on human rights, Azerbaijan </w:t>
      </w:r>
      <w:r w:rsidRPr="00BD1F30">
        <w:rPr>
          <w:rFonts w:ascii="Calibri" w:eastAsia="Times New Roman" w:hAnsi="Calibri" w:cs="Calibri"/>
          <w:sz w:val="18"/>
          <w:szCs w:val="18"/>
        </w:rPr>
        <w:t xml:space="preserve">Realligi, June 6, 2022, </w:t>
      </w:r>
      <w:hyperlink r:id="rId46">
        <w:r w:rsidRPr="00BD1F30">
          <w:rPr>
            <w:rFonts w:ascii="Calibri" w:eastAsia="Times New Roman" w:hAnsi="Calibri" w:cs="Calibri"/>
            <w:color w:val="1155CC"/>
            <w:sz w:val="18"/>
            <w:szCs w:val="18"/>
            <w:u w:val="single"/>
          </w:rPr>
          <w:t>https://www.azerbaycanrealligi.com/cmiyyt/7201-gnclr-leyhin-aradrmalar-mrkzi-ctimai-birliyinin-insan-hquqlarna-dair-hesabat.html</w:t>
        </w:r>
      </w:hyperlink>
      <w:r w:rsidRPr="00BD1F30">
        <w:rPr>
          <w:rFonts w:ascii="Calibri" w:eastAsia="Times New Roman" w:hAnsi="Calibri" w:cs="Calibri"/>
          <w:sz w:val="18"/>
          <w:szCs w:val="18"/>
        </w:rPr>
        <w:t>.</w:t>
      </w:r>
    </w:p>
  </w:footnote>
  <w:footnote w:id="47">
    <w:p w14:paraId="1927C0CA" w14:textId="77777777" w:rsidR="00A06E6E" w:rsidRPr="00BD1F30" w:rsidRDefault="00000000" w:rsidP="00BD1F30">
      <w:pPr>
        <w:spacing w:line="240" w:lineRule="auto"/>
        <w:jc w:val="both"/>
        <w:rPr>
          <w:rFonts w:ascii="Calibri" w:eastAsia="Times New Roman" w:hAnsi="Calibri" w:cs="Calibri"/>
          <w:sz w:val="18"/>
          <w:szCs w:val="18"/>
        </w:rPr>
      </w:pPr>
      <w:r w:rsidRPr="00BD1F30">
        <w:rPr>
          <w:rFonts w:ascii="Calibri" w:hAnsi="Calibri" w:cs="Calibri"/>
          <w:sz w:val="18"/>
          <w:szCs w:val="18"/>
          <w:vertAlign w:val="superscript"/>
        </w:rPr>
        <w:footnoteRef/>
      </w:r>
      <w:r w:rsidRPr="00BD1F30">
        <w:rPr>
          <w:rFonts w:ascii="Calibri" w:eastAsia="Times New Roman" w:hAnsi="Calibri" w:cs="Calibri"/>
          <w:sz w:val="18"/>
          <w:szCs w:val="18"/>
        </w:rPr>
        <w:t xml:space="preserve"> Id.</w:t>
      </w:r>
    </w:p>
  </w:footnote>
  <w:footnote w:id="48">
    <w:p w14:paraId="251BCDC4" w14:textId="77777777" w:rsidR="00A06E6E" w:rsidRPr="00BD1F30" w:rsidRDefault="00000000" w:rsidP="00BD1F30">
      <w:pPr>
        <w:spacing w:line="240" w:lineRule="auto"/>
        <w:jc w:val="both"/>
        <w:rPr>
          <w:rFonts w:ascii="Calibri" w:eastAsia="Times New Roman" w:hAnsi="Calibri" w:cs="Calibri"/>
          <w:sz w:val="18"/>
          <w:szCs w:val="18"/>
        </w:rPr>
      </w:pPr>
      <w:r w:rsidRPr="00BD1F30">
        <w:rPr>
          <w:rFonts w:ascii="Calibri" w:hAnsi="Calibri" w:cs="Calibri"/>
          <w:sz w:val="18"/>
          <w:szCs w:val="18"/>
          <w:vertAlign w:val="superscript"/>
        </w:rPr>
        <w:footnoteRef/>
      </w:r>
      <w:r w:rsidRPr="00BD1F30">
        <w:rPr>
          <w:rFonts w:ascii="Calibri" w:eastAsia="Times New Roman" w:hAnsi="Calibri" w:cs="Calibri"/>
          <w:sz w:val="18"/>
          <w:szCs w:val="18"/>
        </w:rPr>
        <w:t xml:space="preserve"> </w:t>
      </w:r>
      <w:r w:rsidRPr="00BD1F30">
        <w:rPr>
          <w:rFonts w:ascii="Calibri" w:eastAsia="Times New Roman" w:hAnsi="Calibri" w:cs="Calibri"/>
          <w:color w:val="0D0D0D"/>
          <w:sz w:val="18"/>
          <w:szCs w:val="18"/>
        </w:rPr>
        <w:t>Id.</w:t>
      </w:r>
    </w:p>
  </w:footnote>
  <w:footnote w:id="49">
    <w:p w14:paraId="36B19D83" w14:textId="77777777" w:rsidR="00A06E6E" w:rsidRPr="00BD1F30" w:rsidRDefault="00000000" w:rsidP="00BD1F30">
      <w:pPr>
        <w:spacing w:line="240" w:lineRule="auto"/>
        <w:jc w:val="both"/>
        <w:rPr>
          <w:rFonts w:ascii="Calibri" w:eastAsia="Times New Roman" w:hAnsi="Calibri" w:cs="Calibri"/>
          <w:sz w:val="18"/>
          <w:szCs w:val="18"/>
        </w:rPr>
      </w:pPr>
      <w:r w:rsidRPr="00BD1F30">
        <w:rPr>
          <w:rFonts w:ascii="Calibri" w:hAnsi="Calibri" w:cs="Calibri"/>
          <w:sz w:val="18"/>
          <w:szCs w:val="18"/>
          <w:vertAlign w:val="superscript"/>
        </w:rPr>
        <w:footnoteRef/>
      </w:r>
      <w:r w:rsidRPr="00BD1F30">
        <w:rPr>
          <w:rFonts w:ascii="Calibri" w:eastAsia="Times New Roman" w:hAnsi="Calibri" w:cs="Calibri"/>
          <w:sz w:val="18"/>
          <w:szCs w:val="18"/>
        </w:rPr>
        <w:t xml:space="preserve"> Center for Research Against Torture: "The country's human rights situation has worsened," Abzas.org, August 1, 2022, </w:t>
      </w:r>
      <w:hyperlink r:id="rId47">
        <w:r w:rsidRPr="00BD1F30">
          <w:rPr>
            <w:rFonts w:ascii="Calibri" w:eastAsia="Times New Roman" w:hAnsi="Calibri" w:cs="Calibri"/>
            <w:color w:val="1155CC"/>
            <w:sz w:val="18"/>
            <w:szCs w:val="18"/>
            <w:u w:val="single"/>
          </w:rPr>
          <w:t>https://abzas.org/2022/8/isgnclr-leyhin-arasdrmaf2a13c76-8/</w:t>
        </w:r>
      </w:hyperlink>
      <w:r w:rsidRPr="00BD1F30">
        <w:rPr>
          <w:rFonts w:ascii="Calibri" w:eastAsia="Times New Roman" w:hAnsi="Calibri" w:cs="Calibri"/>
          <w:sz w:val="18"/>
          <w:szCs w:val="18"/>
        </w:rPr>
        <w:t>.</w:t>
      </w:r>
    </w:p>
  </w:footnote>
  <w:footnote w:id="50">
    <w:p w14:paraId="56F4851A" w14:textId="77777777" w:rsidR="00A06E6E" w:rsidRPr="00BD1F30" w:rsidRDefault="00000000" w:rsidP="00BD1F30">
      <w:pPr>
        <w:spacing w:line="240" w:lineRule="auto"/>
        <w:jc w:val="both"/>
        <w:rPr>
          <w:rFonts w:ascii="Calibri" w:eastAsia="Times New Roman" w:hAnsi="Calibri" w:cs="Calibri"/>
          <w:sz w:val="18"/>
          <w:szCs w:val="18"/>
        </w:rPr>
      </w:pPr>
      <w:r w:rsidRPr="00BD1F30">
        <w:rPr>
          <w:rFonts w:ascii="Calibri" w:hAnsi="Calibri" w:cs="Calibri"/>
          <w:sz w:val="18"/>
          <w:szCs w:val="18"/>
          <w:vertAlign w:val="superscript"/>
        </w:rPr>
        <w:footnoteRef/>
      </w:r>
      <w:r w:rsidRPr="00BD1F30">
        <w:rPr>
          <w:rFonts w:ascii="Calibri" w:eastAsia="Times New Roman" w:hAnsi="Calibri" w:cs="Calibri"/>
          <w:sz w:val="18"/>
          <w:szCs w:val="18"/>
        </w:rPr>
        <w:t xml:space="preserve"> Although the organization is not registered by the Ministry of Justice, the AIHM recognized the non-registration of IDI as a violation of the freedom of association. </w:t>
      </w:r>
      <w:r w:rsidRPr="00BD1F30">
        <w:rPr>
          <w:rFonts w:ascii="Calibri" w:eastAsia="Times New Roman" w:hAnsi="Calibri" w:cs="Calibri"/>
          <w:i/>
          <w:sz w:val="18"/>
          <w:szCs w:val="18"/>
        </w:rPr>
        <w:t>Abdullayev and others v. Azerbaijan</w:t>
      </w:r>
      <w:r w:rsidRPr="00BD1F30">
        <w:rPr>
          <w:rFonts w:ascii="Calibri" w:eastAsia="Times New Roman" w:hAnsi="Calibri" w:cs="Calibri"/>
          <w:sz w:val="18"/>
          <w:szCs w:val="18"/>
        </w:rPr>
        <w:t xml:space="preserve"> (applications nos. </w:t>
      </w:r>
      <w:hyperlink r:id="rId48" w:anchor="%7B%22appno%22:%5B%2269466/14%22%5D%7D">
        <w:r w:rsidRPr="00BD1F30">
          <w:rPr>
            <w:rFonts w:ascii="Calibri" w:eastAsia="Times New Roman" w:hAnsi="Calibri" w:cs="Calibri"/>
            <w:i/>
            <w:color w:val="0069D6"/>
            <w:sz w:val="18"/>
            <w:szCs w:val="18"/>
            <w:highlight w:val="white"/>
            <w:u w:val="single"/>
          </w:rPr>
          <w:t>69466/14</w:t>
        </w:r>
      </w:hyperlink>
      <w:r w:rsidRPr="00BD1F30">
        <w:rPr>
          <w:rFonts w:ascii="Calibri" w:eastAsia="Times New Roman" w:hAnsi="Calibri" w:cs="Calibri"/>
          <w:i/>
          <w:sz w:val="18"/>
          <w:szCs w:val="18"/>
          <w:highlight w:val="white"/>
        </w:rPr>
        <w:t xml:space="preserve"> </w:t>
      </w:r>
      <w:r w:rsidRPr="00BD1F30">
        <w:rPr>
          <w:rFonts w:ascii="Calibri" w:eastAsia="Times New Roman" w:hAnsi="Calibri" w:cs="Calibri"/>
          <w:sz w:val="18"/>
          <w:szCs w:val="18"/>
        </w:rPr>
        <w:t xml:space="preserve"> and 12 others), judgment of 20 may 2021.</w:t>
      </w:r>
    </w:p>
  </w:footnote>
  <w:footnote w:id="51">
    <w:p w14:paraId="7DA32077" w14:textId="77777777" w:rsidR="00A06E6E" w:rsidRDefault="00000000" w:rsidP="00BD1F30">
      <w:pPr>
        <w:spacing w:line="240" w:lineRule="auto"/>
        <w:jc w:val="both"/>
        <w:rPr>
          <w:rFonts w:ascii="Times New Roman" w:eastAsia="Times New Roman" w:hAnsi="Times New Roman" w:cs="Times New Roman"/>
          <w:sz w:val="20"/>
          <w:szCs w:val="20"/>
        </w:rPr>
      </w:pPr>
      <w:r w:rsidRPr="00BD1F30">
        <w:rPr>
          <w:rFonts w:ascii="Calibri" w:hAnsi="Calibri" w:cs="Calibri"/>
          <w:sz w:val="18"/>
          <w:szCs w:val="18"/>
          <w:vertAlign w:val="superscript"/>
        </w:rPr>
        <w:footnoteRef/>
      </w:r>
      <w:r w:rsidRPr="00BD1F30">
        <w:rPr>
          <w:rFonts w:ascii="Calibri" w:eastAsia="Times New Roman" w:hAnsi="Calibri" w:cs="Calibri"/>
          <w:sz w:val="18"/>
          <w:szCs w:val="18"/>
        </w:rPr>
        <w:t xml:space="preserve"> IDI, Mistreatment Media Monitoring Report (2019-2021), 2022, p. 12, </w:t>
      </w:r>
      <w:hyperlink r:id="rId49">
        <w:r w:rsidRPr="00BD1F30">
          <w:rPr>
            <w:rFonts w:ascii="Calibri" w:eastAsia="Times New Roman" w:hAnsi="Calibri" w:cs="Calibri"/>
            <w:color w:val="1155CC"/>
            <w:sz w:val="18"/>
            <w:szCs w:val="18"/>
            <w:u w:val="single"/>
          </w:rPr>
          <w:t>http://idi-aze.org/files/pdf/2022-08-10/pjAlyOo9Rm5z9O1vX27WrlEVvroToXGhcOezNKoD.pdf</w:t>
        </w:r>
      </w:hyperlink>
      <w:r w:rsidRPr="00BD1F30">
        <w:rPr>
          <w:rFonts w:ascii="Calibri" w:eastAsia="Times New Roman" w:hAnsi="Calibri" w:cs="Calibri"/>
          <w:sz w:val="18"/>
          <w:szCs w:val="18"/>
        </w:rPr>
        <w:t>.</w:t>
      </w:r>
      <w:r>
        <w:rPr>
          <w:rFonts w:ascii="Times New Roman" w:eastAsia="Times New Roman" w:hAnsi="Times New Roman" w:cs="Times New Roman"/>
          <w:sz w:val="20"/>
          <w:szCs w:val="20"/>
        </w:rPr>
        <w:t xml:space="preserve"> </w:t>
      </w:r>
    </w:p>
  </w:footnote>
  <w:footnote w:id="52">
    <w:p w14:paraId="76217641" w14:textId="77777777" w:rsidR="00A06E6E" w:rsidRPr="00BD1F30" w:rsidRDefault="00000000">
      <w:pPr>
        <w:spacing w:line="240" w:lineRule="auto"/>
        <w:rPr>
          <w:rFonts w:ascii="Calibri" w:eastAsia="Times New Roman" w:hAnsi="Calibri" w:cs="Calibri"/>
          <w:sz w:val="18"/>
          <w:szCs w:val="18"/>
        </w:rPr>
      </w:pPr>
      <w:r w:rsidRPr="00BD1F30">
        <w:rPr>
          <w:rFonts w:ascii="Calibri" w:hAnsi="Calibri" w:cs="Calibri"/>
          <w:sz w:val="18"/>
          <w:szCs w:val="18"/>
          <w:vertAlign w:val="superscript"/>
        </w:rPr>
        <w:footnoteRef/>
      </w:r>
      <w:r w:rsidRPr="00BD1F30">
        <w:rPr>
          <w:rFonts w:ascii="Calibri" w:eastAsia="Times New Roman" w:hAnsi="Calibri" w:cs="Calibri"/>
          <w:sz w:val="18"/>
          <w:szCs w:val="18"/>
        </w:rPr>
        <w:t xml:space="preserve"> Supra note 15.</w:t>
      </w:r>
    </w:p>
  </w:footnote>
  <w:footnote w:id="53">
    <w:p w14:paraId="7CC293B8" w14:textId="77777777" w:rsidR="00A06E6E" w:rsidRPr="00BD1F30" w:rsidRDefault="00000000">
      <w:pPr>
        <w:spacing w:line="240" w:lineRule="auto"/>
        <w:rPr>
          <w:rFonts w:ascii="Calibri" w:eastAsia="Times New Roman" w:hAnsi="Calibri" w:cs="Calibri"/>
          <w:sz w:val="18"/>
          <w:szCs w:val="18"/>
        </w:rPr>
      </w:pPr>
      <w:r w:rsidRPr="00BD1F30">
        <w:rPr>
          <w:rFonts w:ascii="Calibri" w:hAnsi="Calibri" w:cs="Calibri"/>
          <w:sz w:val="18"/>
          <w:szCs w:val="18"/>
          <w:vertAlign w:val="superscript"/>
        </w:rPr>
        <w:footnoteRef/>
      </w:r>
      <w:r w:rsidRPr="00BD1F30">
        <w:rPr>
          <w:rFonts w:ascii="Calibri" w:eastAsia="Times New Roman" w:hAnsi="Calibri" w:cs="Calibri"/>
          <w:sz w:val="18"/>
          <w:szCs w:val="18"/>
        </w:rPr>
        <w:t xml:space="preserve"> Ibid. 15, § 22</w:t>
      </w:r>
    </w:p>
  </w:footnote>
  <w:footnote w:id="54">
    <w:p w14:paraId="4FAA00A4" w14:textId="77777777" w:rsidR="00A06E6E" w:rsidRPr="00BD1F30" w:rsidRDefault="00000000">
      <w:pPr>
        <w:spacing w:line="240" w:lineRule="auto"/>
        <w:rPr>
          <w:rFonts w:ascii="Calibri" w:eastAsia="Times New Roman" w:hAnsi="Calibri" w:cs="Calibri"/>
          <w:sz w:val="18"/>
          <w:szCs w:val="18"/>
        </w:rPr>
      </w:pPr>
      <w:r w:rsidRPr="00BD1F30">
        <w:rPr>
          <w:rFonts w:ascii="Calibri" w:hAnsi="Calibri" w:cs="Calibri"/>
          <w:sz w:val="18"/>
          <w:szCs w:val="18"/>
          <w:vertAlign w:val="superscript"/>
        </w:rPr>
        <w:footnoteRef/>
      </w:r>
      <w:r w:rsidRPr="00BD1F30">
        <w:rPr>
          <w:rFonts w:ascii="Calibri" w:eastAsia="Times New Roman" w:hAnsi="Calibri" w:cs="Calibri"/>
          <w:sz w:val="18"/>
          <w:szCs w:val="18"/>
        </w:rPr>
        <w:t xml:space="preserve"> Ibid. </w:t>
      </w:r>
      <w:r w:rsidRPr="00BD1F30">
        <w:rPr>
          <w:rFonts w:ascii="Calibri" w:eastAsia="Times New Roman" w:hAnsi="Calibri" w:cs="Calibri"/>
          <w:sz w:val="18"/>
          <w:szCs w:val="18"/>
        </w:rPr>
        <w:t xml:space="preserve">15,  </w:t>
      </w:r>
      <w:r w:rsidRPr="00BD1F30">
        <w:rPr>
          <w:rFonts w:ascii="Calibri" w:eastAsia="Times New Roman" w:hAnsi="Calibri" w:cs="Calibri"/>
          <w:sz w:val="18"/>
          <w:szCs w:val="18"/>
          <w:shd w:val="clear" w:color="auto" w:fill="FDFDFD"/>
        </w:rPr>
        <w:t>§ 24</w:t>
      </w:r>
    </w:p>
  </w:footnote>
  <w:footnote w:id="55">
    <w:p w14:paraId="47E764BA" w14:textId="77777777" w:rsidR="00A06E6E" w:rsidRPr="00BD1F30" w:rsidRDefault="00000000">
      <w:pPr>
        <w:spacing w:line="240" w:lineRule="auto"/>
        <w:rPr>
          <w:rFonts w:ascii="Calibri" w:eastAsia="Times New Roman" w:hAnsi="Calibri" w:cs="Calibri"/>
          <w:sz w:val="18"/>
          <w:szCs w:val="18"/>
        </w:rPr>
      </w:pPr>
      <w:r w:rsidRPr="00BD1F30">
        <w:rPr>
          <w:rFonts w:ascii="Calibri" w:hAnsi="Calibri" w:cs="Calibri"/>
          <w:sz w:val="18"/>
          <w:szCs w:val="18"/>
          <w:vertAlign w:val="superscript"/>
        </w:rPr>
        <w:footnoteRef/>
      </w:r>
      <w:r w:rsidRPr="00BD1F30">
        <w:rPr>
          <w:rFonts w:ascii="Calibri" w:eastAsia="Times New Roman" w:hAnsi="Calibri" w:cs="Calibri"/>
          <w:sz w:val="18"/>
          <w:szCs w:val="18"/>
        </w:rPr>
        <w:t xml:space="preserve"> Id.</w:t>
      </w:r>
    </w:p>
  </w:footnote>
  <w:footnote w:id="56">
    <w:p w14:paraId="1310028C" w14:textId="77777777" w:rsidR="00A06E6E" w:rsidRPr="00BD1F30" w:rsidRDefault="00000000">
      <w:pPr>
        <w:spacing w:line="240" w:lineRule="auto"/>
        <w:rPr>
          <w:rFonts w:ascii="Calibri" w:eastAsia="Times New Roman" w:hAnsi="Calibri" w:cs="Calibri"/>
          <w:sz w:val="18"/>
          <w:szCs w:val="18"/>
        </w:rPr>
      </w:pPr>
      <w:r w:rsidRPr="00BD1F30">
        <w:rPr>
          <w:rFonts w:ascii="Calibri" w:hAnsi="Calibri" w:cs="Calibri"/>
          <w:sz w:val="18"/>
          <w:szCs w:val="18"/>
          <w:vertAlign w:val="superscript"/>
        </w:rPr>
        <w:footnoteRef/>
      </w:r>
      <w:r w:rsidRPr="00BD1F30">
        <w:rPr>
          <w:rFonts w:ascii="Calibri" w:eastAsia="Times New Roman" w:hAnsi="Calibri" w:cs="Calibri"/>
          <w:sz w:val="18"/>
          <w:szCs w:val="18"/>
        </w:rPr>
        <w:t xml:space="preserve"> Supra note 10.</w:t>
      </w:r>
    </w:p>
  </w:footnote>
  <w:footnote w:id="57">
    <w:p w14:paraId="683E7991" w14:textId="77777777" w:rsidR="00A06E6E" w:rsidRDefault="00000000">
      <w:pPr>
        <w:spacing w:line="240" w:lineRule="auto"/>
        <w:rPr>
          <w:rFonts w:ascii="Times New Roman" w:eastAsia="Times New Roman" w:hAnsi="Times New Roman" w:cs="Times New Roman"/>
          <w:sz w:val="20"/>
          <w:szCs w:val="20"/>
        </w:rPr>
      </w:pPr>
      <w:r w:rsidRPr="00BD1F30">
        <w:rPr>
          <w:rFonts w:ascii="Calibri" w:hAnsi="Calibri" w:cs="Calibri"/>
          <w:sz w:val="18"/>
          <w:szCs w:val="18"/>
          <w:vertAlign w:val="superscript"/>
        </w:rPr>
        <w:footnoteRef/>
      </w:r>
      <w:r w:rsidRPr="00BD1F30">
        <w:rPr>
          <w:rFonts w:ascii="Calibri" w:eastAsia="Times New Roman" w:hAnsi="Calibri" w:cs="Calibri"/>
          <w:sz w:val="18"/>
          <w:szCs w:val="18"/>
        </w:rPr>
        <w:t xml:space="preserve"> Id.</w:t>
      </w:r>
    </w:p>
  </w:footnote>
  <w:footnote w:id="58">
    <w:p w14:paraId="3FCA9F2B" w14:textId="77777777" w:rsidR="00A06E6E" w:rsidRPr="00BD1F30" w:rsidRDefault="00000000">
      <w:pPr>
        <w:spacing w:line="240" w:lineRule="auto"/>
        <w:rPr>
          <w:rFonts w:ascii="Calibri" w:eastAsia="Times New Roman" w:hAnsi="Calibri" w:cs="Calibri"/>
          <w:sz w:val="18"/>
          <w:szCs w:val="18"/>
        </w:rPr>
      </w:pPr>
      <w:r w:rsidRPr="00BD1F30">
        <w:rPr>
          <w:rFonts w:ascii="Calibri" w:hAnsi="Calibri" w:cs="Calibri"/>
          <w:sz w:val="18"/>
          <w:szCs w:val="18"/>
          <w:vertAlign w:val="superscript"/>
        </w:rPr>
        <w:footnoteRef/>
      </w:r>
      <w:r w:rsidRPr="00BD1F30">
        <w:rPr>
          <w:rFonts w:ascii="Calibri" w:eastAsia="Times New Roman" w:hAnsi="Calibri" w:cs="Calibri"/>
          <w:sz w:val="18"/>
          <w:szCs w:val="18"/>
        </w:rPr>
        <w:t xml:space="preserve"> Supra note, 8,</w:t>
      </w:r>
      <w:r w:rsidRPr="00BD1F30">
        <w:rPr>
          <w:rFonts w:ascii="Calibri" w:eastAsia="Times New Roman" w:hAnsi="Calibri" w:cs="Calibri"/>
          <w:sz w:val="18"/>
          <w:szCs w:val="18"/>
          <w:shd w:val="clear" w:color="auto" w:fill="FDFDFD"/>
        </w:rPr>
        <w:t xml:space="preserve"> § 25.</w:t>
      </w:r>
    </w:p>
  </w:footnote>
  <w:footnote w:id="59">
    <w:p w14:paraId="5B491940" w14:textId="77777777" w:rsidR="00A06E6E" w:rsidRPr="00BD1F30" w:rsidRDefault="00000000">
      <w:pPr>
        <w:spacing w:line="240" w:lineRule="auto"/>
        <w:rPr>
          <w:rFonts w:ascii="Calibri" w:eastAsia="Times New Roman" w:hAnsi="Calibri" w:cs="Calibri"/>
          <w:sz w:val="18"/>
          <w:szCs w:val="18"/>
        </w:rPr>
      </w:pPr>
      <w:r w:rsidRPr="00BD1F30">
        <w:rPr>
          <w:rFonts w:ascii="Calibri" w:hAnsi="Calibri" w:cs="Calibri"/>
          <w:sz w:val="18"/>
          <w:szCs w:val="18"/>
          <w:vertAlign w:val="superscript"/>
        </w:rPr>
        <w:footnoteRef/>
      </w:r>
      <w:r w:rsidRPr="00BD1F30">
        <w:rPr>
          <w:rFonts w:ascii="Calibri" w:eastAsia="Times New Roman" w:hAnsi="Calibri" w:cs="Calibri"/>
          <w:sz w:val="18"/>
          <w:szCs w:val="18"/>
        </w:rPr>
        <w:t xml:space="preserve">  Council of Europe, “Azerbaijan: torture, impunity and corruption highlighted in new anti-torture committee publications”, 18 July 2018,    </w:t>
      </w:r>
    </w:p>
    <w:p w14:paraId="1E5A83EB" w14:textId="77777777" w:rsidR="00A06E6E" w:rsidRPr="00BD1F30" w:rsidRDefault="00000000">
      <w:pPr>
        <w:keepNext/>
        <w:spacing w:line="240" w:lineRule="auto"/>
        <w:jc w:val="both"/>
        <w:rPr>
          <w:rFonts w:ascii="Calibri" w:eastAsia="Times New Roman" w:hAnsi="Calibri" w:cs="Calibri"/>
          <w:sz w:val="18"/>
          <w:szCs w:val="18"/>
        </w:rPr>
      </w:pPr>
      <w:hyperlink r:id="rId50">
        <w:r w:rsidRPr="00BD1F30">
          <w:rPr>
            <w:rFonts w:ascii="Calibri" w:eastAsia="Times New Roman" w:hAnsi="Calibri" w:cs="Calibri"/>
            <w:color w:val="1155CC"/>
            <w:sz w:val="18"/>
            <w:szCs w:val="18"/>
            <w:u w:val="single"/>
          </w:rPr>
          <w:t>https://www.coe.int/en/web/cpt/-/azerbaijan-torture-impunity-and-corruption-highlighted-in-new-anti-torture-committee-publications</w:t>
        </w:r>
      </w:hyperlink>
      <w:r w:rsidRPr="00BD1F30">
        <w:rPr>
          <w:rFonts w:ascii="Calibri" w:eastAsia="Times New Roman" w:hAnsi="Calibri" w:cs="Calibri"/>
          <w:sz w:val="18"/>
          <w:szCs w:val="18"/>
        </w:rPr>
        <w:t>.</w:t>
      </w:r>
    </w:p>
  </w:footnote>
  <w:footnote w:id="60">
    <w:p w14:paraId="118395C8" w14:textId="77777777" w:rsidR="00A06E6E" w:rsidRPr="00BD1F30" w:rsidRDefault="00000000">
      <w:pPr>
        <w:spacing w:line="240" w:lineRule="auto"/>
        <w:rPr>
          <w:rFonts w:ascii="Calibri" w:eastAsia="Times New Roman" w:hAnsi="Calibri" w:cs="Calibri"/>
          <w:sz w:val="18"/>
          <w:szCs w:val="18"/>
        </w:rPr>
      </w:pPr>
      <w:r w:rsidRPr="00BD1F30">
        <w:rPr>
          <w:rFonts w:ascii="Calibri" w:hAnsi="Calibri" w:cs="Calibri"/>
          <w:sz w:val="18"/>
          <w:szCs w:val="18"/>
          <w:vertAlign w:val="superscript"/>
        </w:rPr>
        <w:footnoteRef/>
      </w:r>
      <w:r w:rsidRPr="00BD1F30">
        <w:rPr>
          <w:rFonts w:ascii="Calibri" w:eastAsia="Times New Roman" w:hAnsi="Calibri" w:cs="Calibri"/>
          <w:sz w:val="18"/>
          <w:szCs w:val="18"/>
        </w:rPr>
        <w:t xml:space="preserve">  Human Rights Watch, “Azerbaijan events of 2020”, </w:t>
      </w:r>
      <w:hyperlink r:id="rId51">
        <w:r w:rsidRPr="00BD1F30">
          <w:rPr>
            <w:rFonts w:ascii="Calibri" w:eastAsia="Times New Roman" w:hAnsi="Calibri" w:cs="Calibri"/>
            <w:color w:val="1155CC"/>
            <w:sz w:val="18"/>
            <w:szCs w:val="18"/>
            <w:u w:val="single"/>
          </w:rPr>
          <w:t>https://www.hrw.org/world-report/2021/country-chapters/azerbaijan</w:t>
        </w:r>
      </w:hyperlink>
      <w:r w:rsidRPr="00BD1F30">
        <w:rPr>
          <w:rFonts w:ascii="Calibri" w:eastAsia="Times New Roman" w:hAnsi="Calibri" w:cs="Calibri"/>
          <w:sz w:val="18"/>
          <w:szCs w:val="18"/>
        </w:rPr>
        <w:t xml:space="preserve">, Human Rights Watch, “Azerbaijan events of 2021”, </w:t>
      </w:r>
      <w:hyperlink r:id="rId52">
        <w:r w:rsidRPr="00BD1F30">
          <w:rPr>
            <w:rFonts w:ascii="Calibri" w:eastAsia="Times New Roman" w:hAnsi="Calibri" w:cs="Calibri"/>
            <w:color w:val="1155CC"/>
            <w:sz w:val="18"/>
            <w:szCs w:val="18"/>
            <w:u w:val="single"/>
          </w:rPr>
          <w:t>https://www.hrw.org/world-report/2022/country-chapters/azerbaijan</w:t>
        </w:r>
      </w:hyperlink>
      <w:r w:rsidRPr="00BD1F30">
        <w:rPr>
          <w:rFonts w:ascii="Calibri" w:eastAsia="Times New Roman" w:hAnsi="Calibri" w:cs="Calibri"/>
          <w:sz w:val="18"/>
          <w:szCs w:val="18"/>
        </w:rPr>
        <w:t>.</w:t>
      </w:r>
    </w:p>
  </w:footnote>
  <w:footnote w:id="61">
    <w:p w14:paraId="0015D11B" w14:textId="77777777" w:rsidR="00A06E6E" w:rsidRPr="00BD1F30" w:rsidRDefault="00000000">
      <w:pPr>
        <w:spacing w:line="240" w:lineRule="auto"/>
        <w:rPr>
          <w:rFonts w:ascii="Calibri" w:eastAsia="Times New Roman" w:hAnsi="Calibri" w:cs="Calibri"/>
          <w:sz w:val="18"/>
          <w:szCs w:val="18"/>
        </w:rPr>
      </w:pPr>
      <w:r w:rsidRPr="00BD1F30">
        <w:rPr>
          <w:rFonts w:ascii="Calibri" w:hAnsi="Calibri" w:cs="Calibri"/>
          <w:sz w:val="18"/>
          <w:szCs w:val="18"/>
          <w:vertAlign w:val="superscript"/>
        </w:rPr>
        <w:footnoteRef/>
      </w:r>
      <w:r w:rsidRPr="00BD1F30">
        <w:rPr>
          <w:rFonts w:ascii="Calibri" w:eastAsia="Times New Roman" w:hAnsi="Calibri" w:cs="Calibri"/>
          <w:sz w:val="18"/>
          <w:szCs w:val="18"/>
        </w:rPr>
        <w:t xml:space="preserve">  Human Rights Watch, ‘Azerbaijan events of 2021’, </w:t>
      </w:r>
      <w:hyperlink r:id="rId53">
        <w:r w:rsidRPr="00BD1F30">
          <w:rPr>
            <w:rFonts w:ascii="Calibri" w:eastAsia="Times New Roman" w:hAnsi="Calibri" w:cs="Calibri"/>
            <w:color w:val="1155CC"/>
            <w:sz w:val="18"/>
            <w:szCs w:val="18"/>
            <w:u w:val="single"/>
          </w:rPr>
          <w:t>https://www.hrw.org/world-report/2022/country-chapters/azerbaijan</w:t>
        </w:r>
      </w:hyperlink>
      <w:r w:rsidRPr="00BD1F30">
        <w:rPr>
          <w:rFonts w:ascii="Calibri" w:eastAsia="Times New Roman" w:hAnsi="Calibri" w:cs="Calibri"/>
          <w:sz w:val="18"/>
          <w:szCs w:val="18"/>
        </w:rPr>
        <w:t>.</w:t>
      </w:r>
    </w:p>
  </w:footnote>
  <w:footnote w:id="62">
    <w:p w14:paraId="6003BC2B" w14:textId="77777777" w:rsidR="00A06E6E" w:rsidRPr="00BD1F30" w:rsidRDefault="00000000">
      <w:pPr>
        <w:spacing w:line="240" w:lineRule="auto"/>
        <w:rPr>
          <w:rFonts w:ascii="Calibri" w:eastAsia="Times New Roman" w:hAnsi="Calibri" w:cs="Calibri"/>
          <w:sz w:val="18"/>
          <w:szCs w:val="18"/>
        </w:rPr>
      </w:pPr>
      <w:r w:rsidRPr="00BD1F30">
        <w:rPr>
          <w:rFonts w:ascii="Calibri" w:hAnsi="Calibri" w:cs="Calibri"/>
          <w:sz w:val="18"/>
          <w:szCs w:val="18"/>
          <w:vertAlign w:val="superscript"/>
        </w:rPr>
        <w:footnoteRef/>
      </w:r>
      <w:r w:rsidRPr="00BD1F30">
        <w:rPr>
          <w:rFonts w:ascii="Calibri" w:eastAsia="Times New Roman" w:hAnsi="Calibri" w:cs="Calibri"/>
          <w:sz w:val="18"/>
          <w:szCs w:val="18"/>
        </w:rPr>
        <w:t xml:space="preserve">  Human Rights Watch, “Azerbaijan events of 2022”,</w:t>
      </w:r>
    </w:p>
    <w:p w14:paraId="0A56A2C7" w14:textId="77777777" w:rsidR="00A06E6E" w:rsidRPr="00BD1F30" w:rsidRDefault="00000000">
      <w:pPr>
        <w:spacing w:line="240" w:lineRule="auto"/>
        <w:jc w:val="both"/>
        <w:rPr>
          <w:rFonts w:ascii="Calibri" w:eastAsia="Times New Roman" w:hAnsi="Calibri" w:cs="Calibri"/>
          <w:sz w:val="18"/>
          <w:szCs w:val="18"/>
        </w:rPr>
      </w:pPr>
      <w:r w:rsidRPr="00BD1F30">
        <w:rPr>
          <w:rFonts w:ascii="Calibri" w:eastAsia="Times New Roman" w:hAnsi="Calibri" w:cs="Calibri"/>
          <w:color w:val="1155CC"/>
          <w:sz w:val="18"/>
          <w:szCs w:val="18"/>
          <w:u w:val="single"/>
        </w:rPr>
        <w:t>https://www.hrw.org/world-report/2021/co.</w:t>
      </w:r>
    </w:p>
  </w:footnote>
  <w:footnote w:id="63">
    <w:p w14:paraId="38AF75A6" w14:textId="77777777" w:rsidR="00A06E6E" w:rsidRDefault="00000000">
      <w:pPr>
        <w:spacing w:line="240" w:lineRule="auto"/>
        <w:rPr>
          <w:rFonts w:ascii="Times New Roman" w:eastAsia="Times New Roman" w:hAnsi="Times New Roman" w:cs="Times New Roman"/>
          <w:sz w:val="20"/>
          <w:szCs w:val="20"/>
        </w:rPr>
      </w:pPr>
      <w:r w:rsidRPr="00BD1F30">
        <w:rPr>
          <w:rFonts w:ascii="Calibri" w:hAnsi="Calibri" w:cs="Calibri"/>
          <w:sz w:val="18"/>
          <w:szCs w:val="18"/>
          <w:vertAlign w:val="superscript"/>
        </w:rPr>
        <w:footnoteRef/>
      </w:r>
      <w:r w:rsidRPr="00BD1F30">
        <w:rPr>
          <w:rFonts w:ascii="Calibri" w:eastAsia="Times New Roman" w:hAnsi="Calibri" w:cs="Calibri"/>
          <w:sz w:val="18"/>
          <w:szCs w:val="18"/>
        </w:rPr>
        <w:t xml:space="preserve"> Id.</w:t>
      </w:r>
    </w:p>
  </w:footnote>
  <w:footnote w:id="64">
    <w:p w14:paraId="3E41347A" w14:textId="77777777" w:rsidR="00A06E6E" w:rsidRPr="00BD1F30" w:rsidRDefault="00000000" w:rsidP="00BD1F30">
      <w:pPr>
        <w:spacing w:line="240" w:lineRule="auto"/>
        <w:jc w:val="both"/>
        <w:rPr>
          <w:rFonts w:ascii="Calibri" w:eastAsia="Times New Roman" w:hAnsi="Calibri" w:cs="Calibri"/>
          <w:sz w:val="18"/>
          <w:szCs w:val="18"/>
        </w:rPr>
      </w:pPr>
      <w:r w:rsidRPr="00BD1F30">
        <w:rPr>
          <w:rFonts w:ascii="Calibri" w:hAnsi="Calibri" w:cs="Calibri"/>
          <w:sz w:val="18"/>
          <w:szCs w:val="18"/>
          <w:vertAlign w:val="superscript"/>
        </w:rPr>
        <w:footnoteRef/>
      </w:r>
      <w:r w:rsidRPr="00BD1F30">
        <w:rPr>
          <w:rFonts w:ascii="Calibri" w:eastAsia="Times New Roman" w:hAnsi="Calibri" w:cs="Calibri"/>
          <w:sz w:val="18"/>
          <w:szCs w:val="18"/>
        </w:rPr>
        <w:t xml:space="preserve">  U.S. Department of State, “Country Reports on Human Rights Practices: Azerbaijan”, 2021,</w:t>
      </w:r>
      <w:r w:rsidRPr="00BD1F30">
        <w:rPr>
          <w:rFonts w:ascii="Calibri" w:eastAsia="Times New Roman" w:hAnsi="Calibri" w:cs="Calibri"/>
          <w:color w:val="BDC1C6"/>
          <w:sz w:val="18"/>
          <w:szCs w:val="18"/>
        </w:rPr>
        <w:t xml:space="preserve"> </w:t>
      </w:r>
      <w:hyperlink r:id="rId54">
        <w:r w:rsidRPr="00BD1F30">
          <w:rPr>
            <w:rFonts w:ascii="Calibri" w:eastAsia="Times New Roman" w:hAnsi="Calibri" w:cs="Calibri"/>
            <w:color w:val="1155CC"/>
            <w:sz w:val="18"/>
            <w:szCs w:val="18"/>
            <w:u w:val="single"/>
          </w:rPr>
          <w:t>https://www.state.gov/reports/2021-country-reports-on-human-rights-practices/azerbaijan/</w:t>
        </w:r>
      </w:hyperlink>
      <w:r w:rsidRPr="00BD1F30">
        <w:rPr>
          <w:rFonts w:ascii="Calibri" w:eastAsia="Times New Roman" w:hAnsi="Calibri" w:cs="Calibri"/>
          <w:sz w:val="18"/>
          <w:szCs w:val="18"/>
        </w:rPr>
        <w:t>.</w:t>
      </w:r>
    </w:p>
  </w:footnote>
  <w:footnote w:id="65">
    <w:p w14:paraId="6686F79F" w14:textId="77777777" w:rsidR="00A06E6E" w:rsidRPr="00BD1F30" w:rsidRDefault="00000000" w:rsidP="00BD1F30">
      <w:pPr>
        <w:spacing w:line="240" w:lineRule="auto"/>
        <w:jc w:val="both"/>
        <w:rPr>
          <w:rFonts w:ascii="Calibri" w:eastAsia="Times New Roman" w:hAnsi="Calibri" w:cs="Calibri"/>
          <w:sz w:val="18"/>
          <w:szCs w:val="18"/>
        </w:rPr>
      </w:pPr>
      <w:r w:rsidRPr="00BD1F30">
        <w:rPr>
          <w:rFonts w:ascii="Calibri" w:hAnsi="Calibri" w:cs="Calibri"/>
          <w:sz w:val="18"/>
          <w:szCs w:val="18"/>
          <w:vertAlign w:val="superscript"/>
        </w:rPr>
        <w:footnoteRef/>
      </w:r>
      <w:r w:rsidRPr="00BD1F30">
        <w:rPr>
          <w:rFonts w:ascii="Calibri" w:eastAsia="Times New Roman" w:hAnsi="Calibri" w:cs="Calibri"/>
          <w:sz w:val="18"/>
          <w:szCs w:val="18"/>
        </w:rPr>
        <w:t xml:space="preserve">  U.S. Department of State, “Country Reports on Human Rights Practices: Azerbaijan”,2022, </w:t>
      </w:r>
      <w:hyperlink r:id="rId55">
        <w:r w:rsidRPr="00BD1F30">
          <w:rPr>
            <w:rFonts w:ascii="Calibri" w:eastAsia="Times New Roman" w:hAnsi="Calibri" w:cs="Calibri"/>
            <w:color w:val="0000FF"/>
            <w:sz w:val="18"/>
            <w:szCs w:val="18"/>
            <w:u w:val="single"/>
          </w:rPr>
          <w:t>https://www.state.gov/reports/2022-country-reports-on-human-rights-practices/azerbaijan/</w:t>
        </w:r>
      </w:hyperlink>
      <w:r w:rsidRPr="00BD1F30">
        <w:rPr>
          <w:rFonts w:ascii="Calibri" w:eastAsia="Times New Roman" w:hAnsi="Calibri" w:cs="Calibri"/>
          <w:sz w:val="18"/>
          <w:szCs w:val="18"/>
        </w:rPr>
        <w:t>.</w:t>
      </w:r>
    </w:p>
  </w:footnote>
  <w:footnote w:id="66">
    <w:p w14:paraId="62D67DA7" w14:textId="77777777" w:rsidR="00A06E6E" w:rsidRPr="00BD1F30" w:rsidRDefault="00000000" w:rsidP="00BD1F30">
      <w:pPr>
        <w:spacing w:line="240" w:lineRule="auto"/>
        <w:jc w:val="both"/>
        <w:rPr>
          <w:rFonts w:ascii="Calibri" w:eastAsia="Times New Roman" w:hAnsi="Calibri" w:cs="Calibri"/>
          <w:sz w:val="18"/>
          <w:szCs w:val="18"/>
        </w:rPr>
      </w:pPr>
      <w:r w:rsidRPr="00BD1F30">
        <w:rPr>
          <w:rFonts w:ascii="Calibri" w:hAnsi="Calibri" w:cs="Calibri"/>
          <w:sz w:val="18"/>
          <w:szCs w:val="18"/>
          <w:vertAlign w:val="superscript"/>
        </w:rPr>
        <w:footnoteRef/>
      </w:r>
      <w:r w:rsidRPr="00BD1F30">
        <w:rPr>
          <w:rFonts w:ascii="Calibri" w:eastAsia="Times New Roman" w:hAnsi="Calibri" w:cs="Calibri"/>
          <w:sz w:val="18"/>
          <w:szCs w:val="18"/>
        </w:rPr>
        <w:t xml:space="preserve"> Id.</w:t>
      </w:r>
    </w:p>
  </w:footnote>
  <w:footnote w:id="67">
    <w:p w14:paraId="53969B10" w14:textId="056CC3B4" w:rsidR="00A06E6E" w:rsidRPr="00BD1F30" w:rsidRDefault="00000000" w:rsidP="00BD1F30">
      <w:pPr>
        <w:spacing w:line="240" w:lineRule="auto"/>
        <w:jc w:val="both"/>
        <w:rPr>
          <w:rFonts w:ascii="Calibri" w:eastAsia="Times New Roman" w:hAnsi="Calibri" w:cs="Calibri"/>
          <w:sz w:val="18"/>
          <w:szCs w:val="18"/>
        </w:rPr>
      </w:pPr>
      <w:r w:rsidRPr="00BD1F30">
        <w:rPr>
          <w:rFonts w:ascii="Calibri" w:hAnsi="Calibri" w:cs="Calibri"/>
          <w:sz w:val="18"/>
          <w:szCs w:val="18"/>
          <w:vertAlign w:val="superscript"/>
        </w:rPr>
        <w:footnoteRef/>
      </w:r>
      <w:r w:rsidRPr="00BD1F30">
        <w:rPr>
          <w:rFonts w:ascii="Calibri" w:eastAsia="Times New Roman" w:hAnsi="Calibri" w:cs="Calibri"/>
          <w:sz w:val="18"/>
          <w:szCs w:val="18"/>
        </w:rPr>
        <w:t xml:space="preserve">  Freedom House, “Freedom in the world </w:t>
      </w:r>
      <w:r w:rsidRPr="00BD1F30">
        <w:rPr>
          <w:rFonts w:ascii="Calibri" w:eastAsia="Times New Roman" w:hAnsi="Calibri" w:cs="Calibri"/>
          <w:sz w:val="18"/>
          <w:szCs w:val="18"/>
        </w:rPr>
        <w:t>2022:Azerbaijan”,</w:t>
      </w:r>
      <w:r w:rsidR="00BD1F30">
        <w:rPr>
          <w:rFonts w:ascii="Calibri" w:eastAsia="Times New Roman" w:hAnsi="Calibri" w:cs="Calibri"/>
          <w:sz w:val="18"/>
          <w:szCs w:val="18"/>
        </w:rPr>
        <w:t xml:space="preserve"> </w:t>
      </w:r>
      <w:hyperlink r:id="rId56" w:history="1">
        <w:r w:rsidR="00BD1F30" w:rsidRPr="00811DE6">
          <w:rPr>
            <w:rStyle w:val="Hyperlink"/>
            <w:rFonts w:ascii="Calibri" w:eastAsia="Times New Roman" w:hAnsi="Calibri" w:cs="Calibri"/>
            <w:sz w:val="18"/>
            <w:szCs w:val="18"/>
            <w:highlight w:val="white"/>
          </w:rPr>
          <w:t>https://freedomhouse.org/country/azerbaijan/freedom-world/2022</w:t>
        </w:r>
      </w:hyperlink>
      <w:r w:rsidRPr="00BD1F30">
        <w:rPr>
          <w:rFonts w:ascii="Calibri" w:eastAsia="Times New Roman" w:hAnsi="Calibri" w:cs="Calibri"/>
          <w:sz w:val="18"/>
          <w:szCs w:val="18"/>
        </w:rPr>
        <w:t>.</w:t>
      </w:r>
    </w:p>
  </w:footnote>
  <w:footnote w:id="68">
    <w:p w14:paraId="53C79F96" w14:textId="77777777" w:rsidR="00A06E6E" w:rsidRDefault="00000000" w:rsidP="00BD1F30">
      <w:pPr>
        <w:spacing w:line="240" w:lineRule="auto"/>
        <w:jc w:val="both"/>
        <w:rPr>
          <w:rFonts w:ascii="Times New Roman" w:eastAsia="Times New Roman" w:hAnsi="Times New Roman" w:cs="Times New Roman"/>
          <w:sz w:val="20"/>
          <w:szCs w:val="20"/>
        </w:rPr>
      </w:pPr>
      <w:r w:rsidRPr="00BD1F30">
        <w:rPr>
          <w:rFonts w:ascii="Calibri" w:hAnsi="Calibri" w:cs="Calibri"/>
          <w:sz w:val="18"/>
          <w:szCs w:val="18"/>
          <w:vertAlign w:val="superscript"/>
        </w:rPr>
        <w:footnoteRef/>
      </w:r>
      <w:r w:rsidRPr="00BD1F30">
        <w:rPr>
          <w:rFonts w:ascii="Calibri" w:eastAsia="Times New Roman" w:hAnsi="Calibri" w:cs="Calibri"/>
          <w:sz w:val="18"/>
          <w:szCs w:val="18"/>
        </w:rPr>
        <w:t xml:space="preserve"> Id.</w:t>
      </w:r>
    </w:p>
  </w:footnote>
  <w:footnote w:id="69">
    <w:p w14:paraId="2C42111D" w14:textId="77777777" w:rsidR="00A06E6E" w:rsidRPr="00BD1F30" w:rsidRDefault="00000000">
      <w:pPr>
        <w:spacing w:line="240" w:lineRule="auto"/>
        <w:rPr>
          <w:rFonts w:ascii="Calibri" w:eastAsia="Times New Roman" w:hAnsi="Calibri" w:cs="Calibri"/>
          <w:sz w:val="18"/>
          <w:szCs w:val="18"/>
        </w:rPr>
      </w:pPr>
      <w:r w:rsidRPr="00BD1F30">
        <w:rPr>
          <w:rFonts w:ascii="Calibri" w:hAnsi="Calibri" w:cs="Calibri"/>
          <w:sz w:val="18"/>
          <w:szCs w:val="18"/>
          <w:vertAlign w:val="superscript"/>
        </w:rPr>
        <w:footnoteRef/>
      </w:r>
      <w:r w:rsidRPr="00BD1F30">
        <w:rPr>
          <w:rFonts w:ascii="Calibri" w:eastAsia="Times New Roman" w:hAnsi="Calibri" w:cs="Calibri"/>
          <w:sz w:val="18"/>
          <w:szCs w:val="18"/>
        </w:rPr>
        <w:t xml:space="preserve">  </w:t>
      </w:r>
      <w:r w:rsidRPr="00BD1F30">
        <w:rPr>
          <w:rFonts w:ascii="Calibri" w:eastAsia="Times New Roman" w:hAnsi="Calibri" w:cs="Calibri"/>
          <w:i/>
          <w:sz w:val="18"/>
          <w:szCs w:val="18"/>
          <w:highlight w:val="white"/>
        </w:rPr>
        <w:t>Mammadov (</w:t>
      </w:r>
      <w:r w:rsidRPr="00BD1F30">
        <w:rPr>
          <w:rFonts w:ascii="Calibri" w:eastAsia="Times New Roman" w:hAnsi="Calibri" w:cs="Calibri"/>
          <w:i/>
          <w:sz w:val="18"/>
          <w:szCs w:val="18"/>
          <w:highlight w:val="white"/>
        </w:rPr>
        <w:t>Jalaloglu)</w:t>
      </w:r>
      <w:r w:rsidRPr="00BD1F30">
        <w:rPr>
          <w:rFonts w:ascii="Calibri" w:eastAsia="Times New Roman" w:hAnsi="Calibri" w:cs="Calibri"/>
          <w:sz w:val="18"/>
          <w:szCs w:val="18"/>
          <w:highlight w:val="white"/>
        </w:rPr>
        <w:t xml:space="preserve"> v. Azerbaijan </w:t>
      </w:r>
      <w:r w:rsidRPr="00BD1F30">
        <w:rPr>
          <w:rFonts w:ascii="Calibri" w:eastAsia="Times New Roman" w:hAnsi="Calibri" w:cs="Calibri"/>
          <w:sz w:val="18"/>
          <w:szCs w:val="18"/>
          <w:shd w:val="clear" w:color="auto" w:fill="FDFDFD"/>
        </w:rPr>
        <w:t xml:space="preserve">(application </w:t>
      </w:r>
      <w:r w:rsidRPr="00BD1F30">
        <w:rPr>
          <w:rFonts w:ascii="Calibri" w:eastAsia="Times New Roman" w:hAnsi="Calibri" w:cs="Calibri"/>
          <w:sz w:val="18"/>
          <w:szCs w:val="18"/>
          <w:highlight w:val="white"/>
        </w:rPr>
        <w:t xml:space="preserve"> no. </w:t>
      </w:r>
      <w:hyperlink r:id="rId57" w:anchor="%7B%22appno%22:%5B%2234445/04%22%5D%7D">
        <w:r w:rsidRPr="00BD1F30">
          <w:rPr>
            <w:rFonts w:ascii="Calibri" w:eastAsia="Times New Roman" w:hAnsi="Calibri" w:cs="Calibri"/>
            <w:color w:val="0069D6"/>
            <w:sz w:val="18"/>
            <w:szCs w:val="18"/>
            <w:highlight w:val="white"/>
            <w:u w:val="single"/>
          </w:rPr>
          <w:t>34445/04</w:t>
        </w:r>
      </w:hyperlink>
      <w:r w:rsidRPr="00BD1F30">
        <w:rPr>
          <w:rFonts w:ascii="Calibri" w:eastAsia="Times New Roman" w:hAnsi="Calibri" w:cs="Calibri"/>
          <w:sz w:val="18"/>
          <w:szCs w:val="18"/>
        </w:rPr>
        <w:t xml:space="preserve">), judgment of </w:t>
      </w:r>
      <w:r w:rsidRPr="00BD1F30">
        <w:rPr>
          <w:rFonts w:ascii="Calibri" w:eastAsia="Times New Roman" w:hAnsi="Calibri" w:cs="Calibri"/>
          <w:sz w:val="18"/>
          <w:szCs w:val="18"/>
          <w:highlight w:val="white"/>
        </w:rPr>
        <w:t>11 January 2007</w:t>
      </w:r>
      <w:r w:rsidRPr="00BD1F30">
        <w:rPr>
          <w:rFonts w:ascii="Calibri" w:eastAsia="Times New Roman" w:hAnsi="Calibri" w:cs="Calibri"/>
          <w:sz w:val="18"/>
          <w:szCs w:val="18"/>
        </w:rPr>
        <w:t>.</w:t>
      </w:r>
    </w:p>
  </w:footnote>
  <w:footnote w:id="70">
    <w:p w14:paraId="7D975448" w14:textId="77777777" w:rsidR="00A06E6E" w:rsidRPr="00BD1F30" w:rsidRDefault="00000000">
      <w:pPr>
        <w:spacing w:line="240" w:lineRule="auto"/>
        <w:rPr>
          <w:rFonts w:ascii="Calibri" w:eastAsia="Times New Roman" w:hAnsi="Calibri" w:cs="Calibri"/>
          <w:sz w:val="18"/>
          <w:szCs w:val="18"/>
        </w:rPr>
      </w:pPr>
      <w:r w:rsidRPr="00BD1F30">
        <w:rPr>
          <w:rFonts w:ascii="Calibri" w:hAnsi="Calibri" w:cs="Calibri"/>
          <w:sz w:val="18"/>
          <w:szCs w:val="18"/>
          <w:vertAlign w:val="superscript"/>
        </w:rPr>
        <w:footnoteRef/>
      </w:r>
      <w:r w:rsidRPr="00BD1F30">
        <w:rPr>
          <w:rFonts w:ascii="Calibri" w:eastAsia="Times New Roman" w:hAnsi="Calibri" w:cs="Calibri"/>
          <w:sz w:val="18"/>
          <w:szCs w:val="18"/>
        </w:rPr>
        <w:t xml:space="preserve"> Ibid. § 56.</w:t>
      </w:r>
    </w:p>
  </w:footnote>
  <w:footnote w:id="71">
    <w:p w14:paraId="31894AB0" w14:textId="77777777" w:rsidR="00A06E6E" w:rsidRPr="00BD1F30" w:rsidRDefault="00000000">
      <w:pPr>
        <w:spacing w:line="240" w:lineRule="auto"/>
        <w:rPr>
          <w:rFonts w:ascii="Calibri" w:eastAsia="Times New Roman" w:hAnsi="Calibri" w:cs="Calibri"/>
          <w:sz w:val="18"/>
          <w:szCs w:val="18"/>
        </w:rPr>
      </w:pPr>
      <w:r w:rsidRPr="00BD1F30">
        <w:rPr>
          <w:rFonts w:ascii="Calibri" w:hAnsi="Calibri" w:cs="Calibri"/>
          <w:sz w:val="18"/>
          <w:szCs w:val="18"/>
          <w:vertAlign w:val="superscript"/>
        </w:rPr>
        <w:footnoteRef/>
      </w:r>
      <w:r w:rsidRPr="00BD1F30">
        <w:rPr>
          <w:rFonts w:ascii="Calibri" w:eastAsia="Times New Roman" w:hAnsi="Calibri" w:cs="Calibri"/>
          <w:sz w:val="18"/>
          <w:szCs w:val="18"/>
        </w:rPr>
        <w:t xml:space="preserve"> Ibid. § 57.</w:t>
      </w:r>
    </w:p>
  </w:footnote>
  <w:footnote w:id="72">
    <w:p w14:paraId="7B031794" w14:textId="77777777" w:rsidR="00A06E6E" w:rsidRPr="00BD1F30" w:rsidRDefault="00000000">
      <w:pPr>
        <w:spacing w:line="240" w:lineRule="auto"/>
        <w:rPr>
          <w:rFonts w:ascii="Calibri" w:eastAsia="Times New Roman" w:hAnsi="Calibri" w:cs="Calibri"/>
          <w:sz w:val="18"/>
          <w:szCs w:val="18"/>
        </w:rPr>
      </w:pPr>
      <w:r w:rsidRPr="00BD1F30">
        <w:rPr>
          <w:rFonts w:ascii="Calibri" w:hAnsi="Calibri" w:cs="Calibri"/>
          <w:sz w:val="18"/>
          <w:szCs w:val="18"/>
          <w:vertAlign w:val="superscript"/>
        </w:rPr>
        <w:footnoteRef/>
      </w:r>
      <w:r w:rsidRPr="00BD1F30">
        <w:rPr>
          <w:rFonts w:ascii="Calibri" w:eastAsia="Times New Roman" w:hAnsi="Calibri" w:cs="Calibri"/>
          <w:sz w:val="18"/>
          <w:szCs w:val="18"/>
        </w:rPr>
        <w:t xml:space="preserve"> Ibid. § 69-70.</w:t>
      </w:r>
    </w:p>
  </w:footnote>
  <w:footnote w:id="73">
    <w:p w14:paraId="40AC7A35" w14:textId="77777777" w:rsidR="00A06E6E" w:rsidRPr="00BD1F30" w:rsidRDefault="00000000">
      <w:pPr>
        <w:spacing w:line="240" w:lineRule="auto"/>
        <w:rPr>
          <w:rFonts w:ascii="Calibri" w:eastAsia="Times New Roman" w:hAnsi="Calibri" w:cs="Calibri"/>
          <w:sz w:val="18"/>
          <w:szCs w:val="18"/>
        </w:rPr>
      </w:pPr>
      <w:r w:rsidRPr="00BD1F30">
        <w:rPr>
          <w:rFonts w:ascii="Calibri" w:hAnsi="Calibri" w:cs="Calibri"/>
          <w:sz w:val="18"/>
          <w:szCs w:val="18"/>
          <w:vertAlign w:val="superscript"/>
        </w:rPr>
        <w:footnoteRef/>
      </w:r>
      <w:r w:rsidRPr="00BD1F30">
        <w:rPr>
          <w:rFonts w:ascii="Calibri" w:eastAsia="Times New Roman" w:hAnsi="Calibri" w:cs="Calibri"/>
          <w:sz w:val="18"/>
          <w:szCs w:val="18"/>
        </w:rPr>
        <w:t xml:space="preserve">  </w:t>
      </w:r>
      <w:r w:rsidRPr="00BD1F30">
        <w:rPr>
          <w:rFonts w:ascii="Calibri" w:eastAsia="Times New Roman" w:hAnsi="Calibri" w:cs="Calibri"/>
          <w:i/>
          <w:sz w:val="18"/>
          <w:szCs w:val="18"/>
        </w:rPr>
        <w:t>Ibrahimov and Mammadov v. Azerbaijan</w:t>
      </w:r>
      <w:r w:rsidRPr="00BD1F30">
        <w:rPr>
          <w:rFonts w:ascii="Calibri" w:eastAsia="Times New Roman" w:hAnsi="Calibri" w:cs="Calibri"/>
          <w:sz w:val="18"/>
          <w:szCs w:val="18"/>
          <w:highlight w:val="white"/>
        </w:rPr>
        <w:t xml:space="preserve"> </w:t>
      </w:r>
      <w:r w:rsidRPr="00BD1F30">
        <w:rPr>
          <w:rFonts w:ascii="Calibri" w:eastAsia="Times New Roman" w:hAnsi="Calibri" w:cs="Calibri"/>
          <w:sz w:val="18"/>
          <w:szCs w:val="18"/>
          <w:shd w:val="clear" w:color="auto" w:fill="FDFDFD"/>
        </w:rPr>
        <w:t xml:space="preserve">(application </w:t>
      </w:r>
      <w:r w:rsidRPr="00BD1F30">
        <w:rPr>
          <w:rFonts w:ascii="Calibri" w:eastAsia="Times New Roman" w:hAnsi="Calibri" w:cs="Calibri"/>
          <w:sz w:val="18"/>
          <w:szCs w:val="18"/>
          <w:highlight w:val="white"/>
        </w:rPr>
        <w:t xml:space="preserve"> nos. </w:t>
      </w:r>
      <w:hyperlink r:id="rId58" w:anchor="%7B%22appno%22:%5B%2263571/16%22%5D%7D">
        <w:r w:rsidRPr="00BD1F30">
          <w:rPr>
            <w:rFonts w:ascii="Calibri" w:eastAsia="Times New Roman" w:hAnsi="Calibri" w:cs="Calibri"/>
            <w:color w:val="0069D6"/>
            <w:sz w:val="18"/>
            <w:szCs w:val="18"/>
            <w:highlight w:val="white"/>
            <w:u w:val="single"/>
          </w:rPr>
          <w:t>63571/16</w:t>
        </w:r>
      </w:hyperlink>
      <w:r w:rsidRPr="00BD1F30">
        <w:rPr>
          <w:rFonts w:ascii="Calibri" w:eastAsia="Times New Roman" w:hAnsi="Calibri" w:cs="Calibri"/>
          <w:sz w:val="18"/>
          <w:szCs w:val="18"/>
          <w:highlight w:val="white"/>
        </w:rPr>
        <w:t xml:space="preserve"> and 5 others – see appended list)</w:t>
      </w:r>
      <w:r w:rsidRPr="00BD1F30">
        <w:rPr>
          <w:rFonts w:ascii="Calibri" w:eastAsia="Times New Roman" w:hAnsi="Calibri" w:cs="Calibri"/>
          <w:sz w:val="18"/>
          <w:szCs w:val="18"/>
        </w:rPr>
        <w:t xml:space="preserve">, judgment of  </w:t>
      </w:r>
      <w:r w:rsidRPr="00BD1F30">
        <w:rPr>
          <w:rFonts w:ascii="Calibri" w:eastAsia="Times New Roman" w:hAnsi="Calibri" w:cs="Calibri"/>
          <w:sz w:val="18"/>
          <w:szCs w:val="18"/>
          <w:highlight w:val="white"/>
        </w:rPr>
        <w:t>13 February 2020.</w:t>
      </w:r>
    </w:p>
  </w:footnote>
  <w:footnote w:id="74">
    <w:p w14:paraId="33D91D65" w14:textId="77777777" w:rsidR="00A06E6E" w:rsidRPr="00BD1F30" w:rsidRDefault="00000000">
      <w:pPr>
        <w:spacing w:line="240" w:lineRule="auto"/>
        <w:rPr>
          <w:rFonts w:ascii="Calibri" w:eastAsia="Times New Roman" w:hAnsi="Calibri" w:cs="Calibri"/>
          <w:sz w:val="18"/>
          <w:szCs w:val="18"/>
        </w:rPr>
      </w:pPr>
      <w:r w:rsidRPr="00BD1F30">
        <w:rPr>
          <w:rFonts w:ascii="Calibri" w:hAnsi="Calibri" w:cs="Calibri"/>
          <w:sz w:val="18"/>
          <w:szCs w:val="18"/>
          <w:vertAlign w:val="superscript"/>
        </w:rPr>
        <w:footnoteRef/>
      </w:r>
      <w:r w:rsidRPr="00BD1F30">
        <w:rPr>
          <w:rFonts w:ascii="Calibri" w:eastAsia="Times New Roman" w:hAnsi="Calibri" w:cs="Calibri"/>
          <w:sz w:val="18"/>
          <w:szCs w:val="18"/>
        </w:rPr>
        <w:t xml:space="preserve"> Ibid. § 8-29.</w:t>
      </w:r>
    </w:p>
  </w:footnote>
  <w:footnote w:id="75">
    <w:p w14:paraId="2B4972E0" w14:textId="77777777" w:rsidR="00A06E6E" w:rsidRPr="00BD1F30" w:rsidRDefault="00000000">
      <w:pPr>
        <w:spacing w:line="240" w:lineRule="auto"/>
        <w:rPr>
          <w:rFonts w:ascii="Calibri" w:eastAsia="Times New Roman" w:hAnsi="Calibri" w:cs="Calibri"/>
          <w:sz w:val="18"/>
          <w:szCs w:val="18"/>
        </w:rPr>
      </w:pPr>
      <w:r w:rsidRPr="00BD1F30">
        <w:rPr>
          <w:rFonts w:ascii="Calibri" w:hAnsi="Calibri" w:cs="Calibri"/>
          <w:sz w:val="18"/>
          <w:szCs w:val="18"/>
          <w:vertAlign w:val="superscript"/>
        </w:rPr>
        <w:footnoteRef/>
      </w:r>
      <w:r w:rsidRPr="00BD1F30">
        <w:rPr>
          <w:rFonts w:ascii="Calibri" w:eastAsia="Times New Roman" w:hAnsi="Calibri" w:cs="Calibri"/>
          <w:sz w:val="18"/>
          <w:szCs w:val="18"/>
        </w:rPr>
        <w:t xml:space="preserve"> Ibid. § 98-99</w:t>
      </w:r>
    </w:p>
  </w:footnote>
  <w:footnote w:id="76">
    <w:p w14:paraId="3BC8C448" w14:textId="77777777" w:rsidR="00A06E6E" w:rsidRDefault="00000000">
      <w:pPr>
        <w:spacing w:line="240" w:lineRule="auto"/>
        <w:rPr>
          <w:rFonts w:ascii="Times New Roman" w:eastAsia="Times New Roman" w:hAnsi="Times New Roman" w:cs="Times New Roman"/>
          <w:sz w:val="20"/>
          <w:szCs w:val="20"/>
        </w:rPr>
      </w:pPr>
      <w:r w:rsidRPr="00BD1F30">
        <w:rPr>
          <w:rFonts w:ascii="Calibri" w:hAnsi="Calibri" w:cs="Calibri"/>
          <w:sz w:val="18"/>
          <w:szCs w:val="18"/>
          <w:vertAlign w:val="superscript"/>
        </w:rPr>
        <w:footnoteRef/>
      </w:r>
      <w:r w:rsidRPr="00BD1F30">
        <w:rPr>
          <w:rFonts w:ascii="Calibri" w:eastAsia="Times New Roman" w:hAnsi="Calibri" w:cs="Calibri"/>
          <w:sz w:val="18"/>
          <w:szCs w:val="18"/>
        </w:rPr>
        <w:t xml:space="preserve"> Ibid. § 91.</w:t>
      </w:r>
    </w:p>
  </w:footnote>
  <w:footnote w:id="77">
    <w:p w14:paraId="201ECDE2" w14:textId="77777777" w:rsidR="00A06E6E" w:rsidRPr="00791D10" w:rsidRDefault="00000000">
      <w:pPr>
        <w:spacing w:line="240" w:lineRule="auto"/>
        <w:rPr>
          <w:rFonts w:ascii="Calibri" w:eastAsia="Times New Roman" w:hAnsi="Calibri" w:cs="Calibri"/>
          <w:sz w:val="18"/>
          <w:szCs w:val="18"/>
        </w:rPr>
      </w:pPr>
      <w:r w:rsidRPr="00791D10">
        <w:rPr>
          <w:rFonts w:ascii="Calibri" w:hAnsi="Calibri" w:cs="Calibri"/>
          <w:sz w:val="18"/>
          <w:szCs w:val="18"/>
          <w:vertAlign w:val="superscript"/>
        </w:rPr>
        <w:footnoteRef/>
      </w:r>
      <w:r w:rsidRPr="00791D10">
        <w:rPr>
          <w:rFonts w:ascii="Calibri" w:eastAsia="Times New Roman" w:hAnsi="Calibri" w:cs="Calibri"/>
          <w:sz w:val="18"/>
          <w:szCs w:val="18"/>
        </w:rPr>
        <w:t xml:space="preserve"> </w:t>
      </w:r>
      <w:r w:rsidRPr="00791D10">
        <w:rPr>
          <w:rFonts w:ascii="Calibri" w:eastAsia="Times New Roman" w:hAnsi="Calibri" w:cs="Calibri"/>
          <w:i/>
          <w:sz w:val="18"/>
          <w:szCs w:val="18"/>
          <w:shd w:val="clear" w:color="auto" w:fill="FDFDFD"/>
        </w:rPr>
        <w:t>Layijov v. Azerbaijan</w:t>
      </w:r>
      <w:r w:rsidRPr="00791D10">
        <w:rPr>
          <w:rFonts w:ascii="Calibri" w:eastAsia="Times New Roman" w:hAnsi="Calibri" w:cs="Calibri"/>
          <w:sz w:val="18"/>
          <w:szCs w:val="18"/>
          <w:shd w:val="clear" w:color="auto" w:fill="FDFDFD"/>
        </w:rPr>
        <w:t xml:space="preserve"> (application no. </w:t>
      </w:r>
      <w:hyperlink r:id="rId59" w:anchor="%7B%22appno%22:%5B%2222062/07%22%5D%7D">
        <w:r w:rsidRPr="00791D10">
          <w:rPr>
            <w:rFonts w:ascii="Calibri" w:eastAsia="Times New Roman" w:hAnsi="Calibri" w:cs="Calibri"/>
            <w:color w:val="0069D6"/>
            <w:sz w:val="18"/>
            <w:szCs w:val="18"/>
            <w:u w:val="single"/>
            <w:shd w:val="clear" w:color="auto" w:fill="FDFDFD"/>
          </w:rPr>
          <w:t>22062/07</w:t>
        </w:r>
      </w:hyperlink>
      <w:r w:rsidRPr="00791D10">
        <w:rPr>
          <w:rFonts w:ascii="Calibri" w:eastAsia="Times New Roman" w:hAnsi="Calibri" w:cs="Calibri"/>
          <w:sz w:val="18"/>
          <w:szCs w:val="18"/>
          <w:shd w:val="clear" w:color="auto" w:fill="FDFDFD"/>
        </w:rPr>
        <w:t xml:space="preserve">), </w:t>
      </w:r>
      <w:r w:rsidRPr="00791D10">
        <w:rPr>
          <w:rFonts w:ascii="Calibri" w:eastAsia="Times New Roman" w:hAnsi="Calibri" w:cs="Calibri"/>
          <w:sz w:val="18"/>
          <w:szCs w:val="18"/>
        </w:rPr>
        <w:t xml:space="preserve">judgment of </w:t>
      </w:r>
      <w:r w:rsidRPr="00791D10">
        <w:rPr>
          <w:rFonts w:ascii="Calibri" w:eastAsia="Times New Roman" w:hAnsi="Calibri" w:cs="Calibri"/>
          <w:sz w:val="18"/>
          <w:szCs w:val="18"/>
          <w:shd w:val="clear" w:color="auto" w:fill="FDFDFD"/>
        </w:rPr>
        <w:t>10 April 2014</w:t>
      </w:r>
      <w:r w:rsidRPr="00791D10">
        <w:rPr>
          <w:rFonts w:ascii="Calibri" w:eastAsia="Times New Roman" w:hAnsi="Calibri" w:cs="Calibri"/>
          <w:sz w:val="18"/>
          <w:szCs w:val="18"/>
        </w:rPr>
        <w:t>.</w:t>
      </w:r>
    </w:p>
  </w:footnote>
  <w:footnote w:id="78">
    <w:p w14:paraId="58CD14C4" w14:textId="77777777" w:rsidR="00A06E6E" w:rsidRPr="00791D10" w:rsidRDefault="00000000">
      <w:pPr>
        <w:spacing w:line="240" w:lineRule="auto"/>
        <w:rPr>
          <w:rFonts w:ascii="Calibri" w:eastAsia="Times New Roman" w:hAnsi="Calibri" w:cs="Calibri"/>
          <w:sz w:val="18"/>
          <w:szCs w:val="18"/>
        </w:rPr>
      </w:pPr>
      <w:r w:rsidRPr="00791D10">
        <w:rPr>
          <w:rFonts w:ascii="Calibri" w:hAnsi="Calibri" w:cs="Calibri"/>
          <w:sz w:val="18"/>
          <w:szCs w:val="18"/>
          <w:vertAlign w:val="superscript"/>
        </w:rPr>
        <w:footnoteRef/>
      </w:r>
      <w:r w:rsidRPr="00791D10">
        <w:rPr>
          <w:rFonts w:ascii="Calibri" w:eastAsia="Times New Roman" w:hAnsi="Calibri" w:cs="Calibri"/>
          <w:sz w:val="18"/>
          <w:szCs w:val="18"/>
        </w:rPr>
        <w:t xml:space="preserve"> Ibid. § 7-9</w:t>
      </w:r>
    </w:p>
  </w:footnote>
  <w:footnote w:id="79">
    <w:p w14:paraId="4EA28FD9" w14:textId="77777777" w:rsidR="00A06E6E" w:rsidRPr="00791D10" w:rsidRDefault="00000000">
      <w:pPr>
        <w:spacing w:line="240" w:lineRule="auto"/>
        <w:rPr>
          <w:rFonts w:ascii="Calibri" w:eastAsia="Times New Roman" w:hAnsi="Calibri" w:cs="Calibri"/>
          <w:sz w:val="18"/>
          <w:szCs w:val="18"/>
        </w:rPr>
      </w:pPr>
      <w:r w:rsidRPr="00791D10">
        <w:rPr>
          <w:rFonts w:ascii="Calibri" w:hAnsi="Calibri" w:cs="Calibri"/>
          <w:sz w:val="18"/>
          <w:szCs w:val="18"/>
          <w:vertAlign w:val="superscript"/>
        </w:rPr>
        <w:footnoteRef/>
      </w:r>
      <w:r w:rsidRPr="00791D10">
        <w:rPr>
          <w:rFonts w:ascii="Calibri" w:eastAsia="Times New Roman" w:hAnsi="Calibri" w:cs="Calibri"/>
          <w:sz w:val="18"/>
          <w:szCs w:val="18"/>
        </w:rPr>
        <w:t xml:space="preserve"> Ibid. § 47-48.</w:t>
      </w:r>
    </w:p>
  </w:footnote>
  <w:footnote w:id="80">
    <w:p w14:paraId="4D756035" w14:textId="77777777" w:rsidR="00A06E6E" w:rsidRPr="00791D10" w:rsidRDefault="00000000">
      <w:pPr>
        <w:spacing w:line="240" w:lineRule="auto"/>
        <w:rPr>
          <w:rFonts w:ascii="Calibri" w:eastAsia="Times New Roman" w:hAnsi="Calibri" w:cs="Calibri"/>
          <w:sz w:val="18"/>
          <w:szCs w:val="18"/>
        </w:rPr>
      </w:pPr>
      <w:r w:rsidRPr="00791D10">
        <w:rPr>
          <w:rFonts w:ascii="Calibri" w:hAnsi="Calibri" w:cs="Calibri"/>
          <w:sz w:val="18"/>
          <w:szCs w:val="18"/>
          <w:vertAlign w:val="superscript"/>
        </w:rPr>
        <w:footnoteRef/>
      </w:r>
      <w:r w:rsidRPr="00791D10">
        <w:rPr>
          <w:rFonts w:ascii="Calibri" w:eastAsia="Times New Roman" w:hAnsi="Calibri" w:cs="Calibri"/>
          <w:sz w:val="18"/>
          <w:szCs w:val="18"/>
        </w:rPr>
        <w:t xml:space="preserve"> Supra note </w:t>
      </w:r>
      <w:r w:rsidRPr="00791D10">
        <w:rPr>
          <w:rFonts w:ascii="Calibri" w:eastAsia="Times New Roman" w:hAnsi="Calibri" w:cs="Calibri"/>
          <w:sz w:val="18"/>
          <w:szCs w:val="18"/>
          <w:shd w:val="clear" w:color="auto" w:fill="FDFDFD"/>
        </w:rPr>
        <w:t>40,</w:t>
      </w:r>
      <w:r w:rsidRPr="00791D10">
        <w:rPr>
          <w:rFonts w:ascii="Calibri" w:eastAsia="Times New Roman" w:hAnsi="Calibri" w:cs="Calibri"/>
          <w:i/>
          <w:sz w:val="18"/>
          <w:szCs w:val="18"/>
          <w:shd w:val="clear" w:color="auto" w:fill="FDFDFD"/>
        </w:rPr>
        <w:t xml:space="preserve"> </w:t>
      </w:r>
      <w:r w:rsidRPr="00791D10">
        <w:rPr>
          <w:rFonts w:ascii="Calibri" w:eastAsia="Times New Roman" w:hAnsi="Calibri" w:cs="Calibri"/>
          <w:i/>
          <w:sz w:val="18"/>
          <w:szCs w:val="18"/>
          <w:shd w:val="clear" w:color="auto" w:fill="FDFDFD"/>
        </w:rPr>
        <w:t>Yunusova and Yunusov v. Azerbaijan</w:t>
      </w:r>
      <w:r w:rsidRPr="00791D10">
        <w:rPr>
          <w:rFonts w:ascii="Calibri" w:eastAsia="Times New Roman" w:hAnsi="Calibri" w:cs="Calibri"/>
          <w:sz w:val="18"/>
          <w:szCs w:val="18"/>
          <w:shd w:val="clear" w:color="auto" w:fill="FDFDFD"/>
        </w:rPr>
        <w:t>.</w:t>
      </w:r>
    </w:p>
  </w:footnote>
  <w:footnote w:id="81">
    <w:p w14:paraId="2AF8AC12" w14:textId="77777777" w:rsidR="00A06E6E" w:rsidRPr="00791D10" w:rsidRDefault="00000000">
      <w:pPr>
        <w:spacing w:line="240" w:lineRule="auto"/>
        <w:rPr>
          <w:rFonts w:ascii="Calibri" w:eastAsia="Times New Roman" w:hAnsi="Calibri" w:cs="Calibri"/>
          <w:sz w:val="18"/>
          <w:szCs w:val="18"/>
        </w:rPr>
      </w:pPr>
      <w:r w:rsidRPr="00791D10">
        <w:rPr>
          <w:rFonts w:ascii="Calibri" w:hAnsi="Calibri" w:cs="Calibri"/>
          <w:sz w:val="18"/>
          <w:szCs w:val="18"/>
          <w:vertAlign w:val="superscript"/>
        </w:rPr>
        <w:footnoteRef/>
      </w:r>
      <w:r w:rsidRPr="00791D10">
        <w:rPr>
          <w:rFonts w:ascii="Calibri" w:eastAsia="Times New Roman" w:hAnsi="Calibri" w:cs="Calibri"/>
          <w:sz w:val="18"/>
          <w:szCs w:val="18"/>
        </w:rPr>
        <w:t xml:space="preserve"> Ibid. § 34-45, § 64.</w:t>
      </w:r>
    </w:p>
  </w:footnote>
  <w:footnote w:id="82">
    <w:p w14:paraId="20EDE7B6" w14:textId="77777777" w:rsidR="00A06E6E" w:rsidRPr="00791D10" w:rsidRDefault="00000000">
      <w:pPr>
        <w:spacing w:line="240" w:lineRule="auto"/>
        <w:rPr>
          <w:rFonts w:ascii="Calibri" w:eastAsia="Times New Roman" w:hAnsi="Calibri" w:cs="Calibri"/>
          <w:sz w:val="18"/>
          <w:szCs w:val="18"/>
        </w:rPr>
      </w:pPr>
      <w:r w:rsidRPr="00791D10">
        <w:rPr>
          <w:rFonts w:ascii="Calibri" w:hAnsi="Calibri" w:cs="Calibri"/>
          <w:sz w:val="18"/>
          <w:szCs w:val="18"/>
          <w:vertAlign w:val="superscript"/>
        </w:rPr>
        <w:footnoteRef/>
      </w:r>
      <w:r w:rsidRPr="00791D10">
        <w:rPr>
          <w:rFonts w:ascii="Calibri" w:eastAsia="Times New Roman" w:hAnsi="Calibri" w:cs="Calibri"/>
          <w:sz w:val="18"/>
          <w:szCs w:val="18"/>
        </w:rPr>
        <w:t xml:space="preserve"> Ibid. § 150.</w:t>
      </w:r>
    </w:p>
  </w:footnote>
  <w:footnote w:id="83">
    <w:p w14:paraId="61DEFB4B" w14:textId="77777777" w:rsidR="00A06E6E" w:rsidRPr="00791D10" w:rsidRDefault="00000000">
      <w:pPr>
        <w:spacing w:line="240" w:lineRule="auto"/>
        <w:rPr>
          <w:rFonts w:ascii="Calibri" w:eastAsia="Times New Roman" w:hAnsi="Calibri" w:cs="Calibri"/>
          <w:sz w:val="18"/>
          <w:szCs w:val="18"/>
        </w:rPr>
      </w:pPr>
      <w:r w:rsidRPr="00791D10">
        <w:rPr>
          <w:rFonts w:ascii="Calibri" w:hAnsi="Calibri" w:cs="Calibri"/>
          <w:sz w:val="18"/>
          <w:szCs w:val="18"/>
          <w:vertAlign w:val="superscript"/>
        </w:rPr>
        <w:footnoteRef/>
      </w:r>
      <w:r w:rsidRPr="00791D10">
        <w:rPr>
          <w:rFonts w:ascii="Calibri" w:eastAsia="Times New Roman" w:hAnsi="Calibri" w:cs="Calibri"/>
          <w:sz w:val="18"/>
          <w:szCs w:val="18"/>
        </w:rPr>
        <w:t xml:space="preserve"> </w:t>
      </w:r>
      <w:r w:rsidRPr="00791D10">
        <w:rPr>
          <w:rFonts w:ascii="Calibri" w:eastAsia="Times New Roman" w:hAnsi="Calibri" w:cs="Calibri"/>
          <w:i/>
          <w:sz w:val="18"/>
          <w:szCs w:val="18"/>
        </w:rPr>
        <w:t>Hummatov v. Azerbaijan</w:t>
      </w:r>
      <w:r w:rsidRPr="00791D10">
        <w:rPr>
          <w:rFonts w:ascii="Calibri" w:eastAsia="Times New Roman" w:hAnsi="Calibri" w:cs="Calibri"/>
          <w:sz w:val="18"/>
          <w:szCs w:val="18"/>
          <w:highlight w:val="white"/>
        </w:rPr>
        <w:t xml:space="preserve">, (applications nos. </w:t>
      </w:r>
      <w:hyperlink r:id="rId60" w:anchor="%7B%22appno%22:%5B%229852/03%22%5D%7D">
        <w:r w:rsidRPr="00791D10">
          <w:rPr>
            <w:rFonts w:ascii="Calibri" w:eastAsia="Times New Roman" w:hAnsi="Calibri" w:cs="Calibri"/>
            <w:color w:val="0069D6"/>
            <w:sz w:val="18"/>
            <w:szCs w:val="18"/>
            <w:highlight w:val="white"/>
            <w:u w:val="single"/>
          </w:rPr>
          <w:t>9852/03</w:t>
        </w:r>
      </w:hyperlink>
      <w:r w:rsidRPr="00791D10">
        <w:rPr>
          <w:rFonts w:ascii="Calibri" w:eastAsia="Times New Roman" w:hAnsi="Calibri" w:cs="Calibri"/>
          <w:sz w:val="18"/>
          <w:szCs w:val="18"/>
          <w:highlight w:val="white"/>
        </w:rPr>
        <w:t xml:space="preserve"> and </w:t>
      </w:r>
      <w:hyperlink r:id="rId61" w:anchor="%7B%22appno%22:%5B%2213413/04%22%5D%7D">
        <w:r w:rsidRPr="00791D10">
          <w:rPr>
            <w:rFonts w:ascii="Calibri" w:eastAsia="Times New Roman" w:hAnsi="Calibri" w:cs="Calibri"/>
            <w:color w:val="0069D6"/>
            <w:sz w:val="18"/>
            <w:szCs w:val="18"/>
            <w:highlight w:val="white"/>
            <w:u w:val="single"/>
          </w:rPr>
          <w:t>13413/04</w:t>
        </w:r>
      </w:hyperlink>
      <w:r w:rsidRPr="00791D10">
        <w:rPr>
          <w:rFonts w:ascii="Calibri" w:eastAsia="Times New Roman" w:hAnsi="Calibri" w:cs="Calibri"/>
          <w:sz w:val="18"/>
          <w:szCs w:val="18"/>
        </w:rPr>
        <w:t xml:space="preserve">), judgment of </w:t>
      </w:r>
      <w:r w:rsidRPr="00791D10">
        <w:rPr>
          <w:rFonts w:ascii="Calibri" w:eastAsia="Times New Roman" w:hAnsi="Calibri" w:cs="Calibri"/>
          <w:sz w:val="18"/>
          <w:szCs w:val="18"/>
          <w:highlight w:val="white"/>
        </w:rPr>
        <w:t>29 November 2007</w:t>
      </w:r>
      <w:r w:rsidRPr="00791D10">
        <w:rPr>
          <w:rFonts w:ascii="Calibri" w:eastAsia="Times New Roman" w:hAnsi="Calibri" w:cs="Calibri"/>
          <w:sz w:val="18"/>
          <w:szCs w:val="18"/>
        </w:rPr>
        <w:t>.</w:t>
      </w:r>
    </w:p>
  </w:footnote>
  <w:footnote w:id="84">
    <w:p w14:paraId="425B65B4" w14:textId="77777777" w:rsidR="00A06E6E" w:rsidRPr="00791D10" w:rsidRDefault="00000000">
      <w:pPr>
        <w:keepNext/>
        <w:spacing w:line="240" w:lineRule="auto"/>
        <w:jc w:val="both"/>
        <w:rPr>
          <w:rFonts w:ascii="Calibri" w:eastAsia="Times New Roman" w:hAnsi="Calibri" w:cs="Calibri"/>
          <w:sz w:val="18"/>
          <w:szCs w:val="18"/>
        </w:rPr>
      </w:pPr>
      <w:r w:rsidRPr="00791D10">
        <w:rPr>
          <w:rFonts w:ascii="Calibri" w:hAnsi="Calibri" w:cs="Calibri"/>
          <w:sz w:val="18"/>
          <w:szCs w:val="18"/>
          <w:vertAlign w:val="superscript"/>
        </w:rPr>
        <w:footnoteRef/>
      </w:r>
      <w:r w:rsidRPr="00791D10">
        <w:rPr>
          <w:rFonts w:ascii="Calibri" w:eastAsia="Times New Roman" w:hAnsi="Calibri" w:cs="Calibri"/>
          <w:sz w:val="18"/>
          <w:szCs w:val="18"/>
        </w:rPr>
        <w:t xml:space="preserve"> Ibid, § 121.</w:t>
      </w:r>
    </w:p>
  </w:footnote>
  <w:footnote w:id="85">
    <w:p w14:paraId="47599517" w14:textId="77777777" w:rsidR="00A06E6E" w:rsidRPr="00791D10" w:rsidRDefault="00000000">
      <w:pPr>
        <w:keepNext/>
        <w:spacing w:line="240" w:lineRule="auto"/>
        <w:jc w:val="both"/>
        <w:rPr>
          <w:rFonts w:ascii="Calibri" w:eastAsia="Times New Roman" w:hAnsi="Calibri" w:cs="Calibri"/>
          <w:sz w:val="18"/>
          <w:szCs w:val="18"/>
        </w:rPr>
      </w:pPr>
      <w:r w:rsidRPr="00791D10">
        <w:rPr>
          <w:rFonts w:ascii="Calibri" w:hAnsi="Calibri" w:cs="Calibri"/>
          <w:sz w:val="18"/>
          <w:szCs w:val="18"/>
          <w:vertAlign w:val="superscript"/>
        </w:rPr>
        <w:footnoteRef/>
      </w:r>
      <w:r w:rsidRPr="00791D10">
        <w:rPr>
          <w:rFonts w:ascii="Calibri" w:eastAsia="Times New Roman" w:hAnsi="Calibri" w:cs="Calibri"/>
          <w:i/>
          <w:sz w:val="18"/>
          <w:szCs w:val="18"/>
        </w:rPr>
        <w:t>Mammadov and Others v. Azerbaijan</w:t>
      </w:r>
      <w:r w:rsidRPr="00791D10">
        <w:rPr>
          <w:rFonts w:ascii="Calibri" w:eastAsia="Times New Roman" w:hAnsi="Calibri" w:cs="Calibri"/>
          <w:sz w:val="18"/>
          <w:szCs w:val="18"/>
        </w:rPr>
        <w:t xml:space="preserve"> (application no. </w:t>
      </w:r>
      <w:hyperlink r:id="rId62" w:anchor="%7B%22appno%22:%5B%2235432/07%22%5D%7D">
        <w:r w:rsidRPr="00791D10">
          <w:rPr>
            <w:rFonts w:ascii="Calibri" w:eastAsia="Times New Roman" w:hAnsi="Calibri" w:cs="Calibri"/>
            <w:color w:val="0069D6"/>
            <w:sz w:val="18"/>
            <w:szCs w:val="18"/>
            <w:u w:val="single"/>
          </w:rPr>
          <w:t>35432/07</w:t>
        </w:r>
      </w:hyperlink>
      <w:r w:rsidRPr="00791D10">
        <w:rPr>
          <w:rFonts w:ascii="Calibri" w:eastAsia="Times New Roman" w:hAnsi="Calibri" w:cs="Calibri"/>
          <w:sz w:val="18"/>
          <w:szCs w:val="18"/>
        </w:rPr>
        <w:t>), judgment of  21 February 2019.</w:t>
      </w:r>
    </w:p>
  </w:footnote>
  <w:footnote w:id="86">
    <w:p w14:paraId="52B96002" w14:textId="77777777" w:rsidR="00A06E6E" w:rsidRPr="00791D10" w:rsidRDefault="00000000">
      <w:pPr>
        <w:spacing w:line="240" w:lineRule="auto"/>
        <w:rPr>
          <w:rFonts w:ascii="Calibri" w:eastAsia="Times New Roman" w:hAnsi="Calibri" w:cs="Calibri"/>
          <w:sz w:val="18"/>
          <w:szCs w:val="18"/>
        </w:rPr>
      </w:pPr>
      <w:r w:rsidRPr="00791D10">
        <w:rPr>
          <w:rFonts w:ascii="Calibri" w:hAnsi="Calibri" w:cs="Calibri"/>
          <w:sz w:val="18"/>
          <w:szCs w:val="18"/>
          <w:vertAlign w:val="superscript"/>
        </w:rPr>
        <w:footnoteRef/>
      </w:r>
      <w:r w:rsidRPr="00791D10">
        <w:rPr>
          <w:rFonts w:ascii="Calibri" w:eastAsia="Times New Roman" w:hAnsi="Calibri" w:cs="Calibri"/>
          <w:sz w:val="18"/>
          <w:szCs w:val="18"/>
        </w:rPr>
        <w:t xml:space="preserve"> Ibid. § 104.</w:t>
      </w:r>
    </w:p>
  </w:footnote>
  <w:footnote w:id="87">
    <w:p w14:paraId="2CA4FF99" w14:textId="77777777" w:rsidR="00A06E6E" w:rsidRDefault="00000000">
      <w:pPr>
        <w:spacing w:line="240" w:lineRule="auto"/>
        <w:rPr>
          <w:rFonts w:ascii="Times New Roman" w:eastAsia="Times New Roman" w:hAnsi="Times New Roman" w:cs="Times New Roman"/>
          <w:sz w:val="20"/>
          <w:szCs w:val="20"/>
        </w:rPr>
      </w:pPr>
      <w:r w:rsidRPr="00791D10">
        <w:rPr>
          <w:rFonts w:ascii="Calibri" w:hAnsi="Calibri" w:cs="Calibri"/>
          <w:sz w:val="18"/>
          <w:szCs w:val="18"/>
          <w:vertAlign w:val="superscript"/>
        </w:rPr>
        <w:footnoteRef/>
      </w:r>
      <w:r w:rsidRPr="00791D10">
        <w:rPr>
          <w:rFonts w:ascii="Calibri" w:eastAsia="Times New Roman" w:hAnsi="Calibri" w:cs="Calibri"/>
          <w:sz w:val="18"/>
          <w:szCs w:val="18"/>
        </w:rPr>
        <w:t xml:space="preserve"> Ibid. § 119-121.</w:t>
      </w:r>
    </w:p>
  </w:footnote>
  <w:footnote w:id="88">
    <w:p w14:paraId="50EE6660" w14:textId="77777777" w:rsidR="00A06E6E" w:rsidRDefault="00000000">
      <w:pPr>
        <w:spacing w:line="240" w:lineRule="auto"/>
        <w:rPr>
          <w:rFonts w:ascii="Times New Roman" w:eastAsia="Times New Roman" w:hAnsi="Times New Roman" w:cs="Times New Roman"/>
          <w:sz w:val="20"/>
          <w:szCs w:val="20"/>
        </w:rPr>
      </w:pPr>
      <w:r>
        <w:rPr>
          <w:vertAlign w:val="superscript"/>
        </w:rPr>
        <w:footnoteRef/>
      </w:r>
      <w:r>
        <w:rPr>
          <w:rFonts w:ascii="Times New Roman" w:eastAsia="Times New Roman" w:hAnsi="Times New Roman" w:cs="Times New Roman"/>
          <w:sz w:val="20"/>
          <w:szCs w:val="20"/>
        </w:rPr>
        <w:t xml:space="preserve"> Supra note 40, </w:t>
      </w:r>
      <w:r>
        <w:rPr>
          <w:rFonts w:ascii="Times New Roman" w:eastAsia="Times New Roman" w:hAnsi="Times New Roman" w:cs="Times New Roman"/>
          <w:i/>
          <w:sz w:val="20"/>
          <w:szCs w:val="20"/>
        </w:rPr>
        <w:t>Aliyev v. Azerbaijan</w:t>
      </w:r>
    </w:p>
  </w:footnote>
  <w:footnote w:id="89">
    <w:p w14:paraId="64DA49E3" w14:textId="77777777" w:rsidR="00A06E6E" w:rsidRDefault="00000000">
      <w:pPr>
        <w:spacing w:line="240" w:lineRule="auto"/>
        <w:rPr>
          <w:rFonts w:ascii="Times New Roman" w:eastAsia="Times New Roman" w:hAnsi="Times New Roman" w:cs="Times New Roman"/>
          <w:sz w:val="20"/>
          <w:szCs w:val="20"/>
        </w:rPr>
      </w:pPr>
      <w:r>
        <w:rPr>
          <w:vertAlign w:val="superscript"/>
        </w:rPr>
        <w:footnoteRef/>
      </w:r>
      <w:r>
        <w:rPr>
          <w:rFonts w:ascii="Times New Roman" w:eastAsia="Times New Roman" w:hAnsi="Times New Roman" w:cs="Times New Roman"/>
          <w:sz w:val="20"/>
          <w:szCs w:val="20"/>
        </w:rPr>
        <w:t xml:space="preserve"> Ibid. § 45.</w:t>
      </w:r>
    </w:p>
  </w:footnote>
  <w:footnote w:id="90">
    <w:p w14:paraId="25518194" w14:textId="77777777" w:rsidR="00A06E6E" w:rsidRDefault="00000000">
      <w:pPr>
        <w:spacing w:line="240" w:lineRule="auto"/>
        <w:rPr>
          <w:rFonts w:ascii="Times New Roman" w:eastAsia="Times New Roman" w:hAnsi="Times New Roman" w:cs="Times New Roman"/>
          <w:sz w:val="20"/>
          <w:szCs w:val="20"/>
        </w:rPr>
      </w:pPr>
      <w:r>
        <w:rPr>
          <w:vertAlign w:val="superscript"/>
        </w:rPr>
        <w:footnoteRef/>
      </w:r>
      <w:r>
        <w:rPr>
          <w:rFonts w:ascii="Times New Roman" w:eastAsia="Times New Roman" w:hAnsi="Times New Roman" w:cs="Times New Roman"/>
          <w:sz w:val="20"/>
          <w:szCs w:val="20"/>
        </w:rPr>
        <w:t xml:space="preserve"> Ibid.  § 123-127</w:t>
      </w:r>
    </w:p>
  </w:footnote>
  <w:footnote w:id="91">
    <w:p w14:paraId="42E4C4C3" w14:textId="77777777" w:rsidR="00A06E6E" w:rsidRDefault="00000000">
      <w:pPr>
        <w:spacing w:line="240" w:lineRule="auto"/>
        <w:rPr>
          <w:rFonts w:ascii="Times New Roman" w:eastAsia="Times New Roman" w:hAnsi="Times New Roman" w:cs="Times New Roman"/>
          <w:sz w:val="20"/>
          <w:szCs w:val="20"/>
        </w:rPr>
      </w:pPr>
      <w:r>
        <w:rPr>
          <w:vertAlign w:val="superscript"/>
        </w:rPr>
        <w:footnoteRef/>
      </w:r>
      <w:r>
        <w:rPr>
          <w:rFonts w:ascii="Times New Roman" w:eastAsia="Times New Roman" w:hAnsi="Times New Roman" w:cs="Times New Roman"/>
          <w:sz w:val="20"/>
          <w:szCs w:val="20"/>
        </w:rPr>
        <w:t xml:space="preserve"> </w:t>
      </w:r>
      <w:r>
        <w:rPr>
          <w:rFonts w:ascii="Times New Roman" w:eastAsia="Times New Roman" w:hAnsi="Times New Roman" w:cs="Times New Roman"/>
          <w:i/>
          <w:sz w:val="20"/>
          <w:szCs w:val="20"/>
        </w:rPr>
        <w:t>Insanov v. Azerbaijan</w:t>
      </w:r>
      <w:r>
        <w:rPr>
          <w:rFonts w:ascii="Times New Roman" w:eastAsia="Times New Roman" w:hAnsi="Times New Roman" w:cs="Times New Roman"/>
          <w:sz w:val="20"/>
          <w:szCs w:val="20"/>
        </w:rPr>
        <w:t xml:space="preserve"> (application no. </w:t>
      </w:r>
      <w:hyperlink r:id="rId63" w:anchor="%7B%22appno%22:%5B%2216133/08%22%5D%7D">
        <w:r>
          <w:rPr>
            <w:rFonts w:ascii="Times New Roman" w:eastAsia="Times New Roman" w:hAnsi="Times New Roman" w:cs="Times New Roman"/>
            <w:color w:val="0069D6"/>
            <w:sz w:val="20"/>
            <w:szCs w:val="20"/>
            <w:u w:val="single"/>
          </w:rPr>
          <w:t>16133/08</w:t>
        </w:r>
      </w:hyperlink>
      <w:r>
        <w:rPr>
          <w:rFonts w:ascii="Times New Roman" w:eastAsia="Times New Roman" w:hAnsi="Times New Roman" w:cs="Times New Roman"/>
          <w:sz w:val="20"/>
          <w:szCs w:val="20"/>
        </w:rPr>
        <w:t>), judgment of  14 March 2013.</w:t>
      </w:r>
    </w:p>
  </w:footnote>
  <w:footnote w:id="92">
    <w:p w14:paraId="5D5D36F1" w14:textId="77777777" w:rsidR="00A06E6E" w:rsidRDefault="00000000">
      <w:pPr>
        <w:spacing w:line="240" w:lineRule="auto"/>
        <w:rPr>
          <w:rFonts w:ascii="Times New Roman" w:eastAsia="Times New Roman" w:hAnsi="Times New Roman" w:cs="Times New Roman"/>
          <w:sz w:val="20"/>
          <w:szCs w:val="20"/>
        </w:rPr>
      </w:pPr>
      <w:r>
        <w:rPr>
          <w:vertAlign w:val="superscript"/>
        </w:rPr>
        <w:footnoteRef/>
      </w:r>
      <w:r>
        <w:rPr>
          <w:rFonts w:ascii="Times New Roman" w:eastAsia="Times New Roman" w:hAnsi="Times New Roman" w:cs="Times New Roman"/>
          <w:sz w:val="20"/>
          <w:szCs w:val="20"/>
        </w:rPr>
        <w:t xml:space="preserve"> Ibid. § 110-127.</w:t>
      </w:r>
    </w:p>
  </w:footnote>
  <w:footnote w:id="93">
    <w:p w14:paraId="5C11AE0A" w14:textId="77777777" w:rsidR="00A06E6E" w:rsidRDefault="00000000">
      <w:pPr>
        <w:spacing w:line="240" w:lineRule="auto"/>
        <w:rPr>
          <w:rFonts w:ascii="Times New Roman" w:eastAsia="Times New Roman" w:hAnsi="Times New Roman" w:cs="Times New Roman"/>
          <w:sz w:val="20"/>
          <w:szCs w:val="20"/>
        </w:rPr>
      </w:pPr>
      <w:r>
        <w:rPr>
          <w:vertAlign w:val="superscript"/>
        </w:rPr>
        <w:footnoteRef/>
      </w:r>
      <w:r>
        <w:rPr>
          <w:rFonts w:ascii="Times New Roman" w:eastAsia="Times New Roman" w:hAnsi="Times New Roman" w:cs="Times New Roman"/>
          <w:sz w:val="20"/>
          <w:szCs w:val="20"/>
        </w:rPr>
        <w:t xml:space="preserve"> </w:t>
      </w:r>
      <w:r>
        <w:rPr>
          <w:rFonts w:ascii="Times New Roman" w:eastAsia="Times New Roman" w:hAnsi="Times New Roman" w:cs="Times New Roman"/>
          <w:i/>
          <w:sz w:val="20"/>
          <w:szCs w:val="20"/>
        </w:rPr>
        <w:t>Rzakhanov v. Azerbaijan</w:t>
      </w:r>
      <w:r>
        <w:rPr>
          <w:rFonts w:ascii="Times New Roman" w:eastAsia="Times New Roman" w:hAnsi="Times New Roman" w:cs="Times New Roman"/>
          <w:sz w:val="20"/>
          <w:szCs w:val="20"/>
        </w:rPr>
        <w:t xml:space="preserve"> (application no. </w:t>
      </w:r>
      <w:hyperlink r:id="rId64" w:anchor="%7B%22appno%22:%5B%224242/07%22%5D%7D">
        <w:r>
          <w:rPr>
            <w:rFonts w:ascii="Times New Roman" w:eastAsia="Times New Roman" w:hAnsi="Times New Roman" w:cs="Times New Roman"/>
            <w:color w:val="0069D6"/>
            <w:sz w:val="20"/>
            <w:szCs w:val="20"/>
            <w:u w:val="single"/>
          </w:rPr>
          <w:t>4242/07</w:t>
        </w:r>
      </w:hyperlink>
      <w:r>
        <w:rPr>
          <w:rFonts w:ascii="Times New Roman" w:eastAsia="Times New Roman" w:hAnsi="Times New Roman" w:cs="Times New Roman"/>
          <w:sz w:val="20"/>
          <w:szCs w:val="20"/>
        </w:rPr>
        <w:t>), judgment of 4 July 2013.</w:t>
      </w:r>
    </w:p>
  </w:footnote>
  <w:footnote w:id="94">
    <w:p w14:paraId="2D4EA474" w14:textId="77777777" w:rsidR="00A06E6E" w:rsidRDefault="00000000">
      <w:pPr>
        <w:spacing w:line="240" w:lineRule="auto"/>
        <w:rPr>
          <w:rFonts w:ascii="Times New Roman" w:eastAsia="Times New Roman" w:hAnsi="Times New Roman" w:cs="Times New Roman"/>
          <w:sz w:val="20"/>
          <w:szCs w:val="20"/>
        </w:rPr>
      </w:pPr>
      <w:r>
        <w:rPr>
          <w:vertAlign w:val="superscript"/>
        </w:rPr>
        <w:footnoteRef/>
      </w:r>
      <w:r>
        <w:rPr>
          <w:rFonts w:ascii="Times New Roman" w:eastAsia="Times New Roman" w:hAnsi="Times New Roman" w:cs="Times New Roman"/>
          <w:sz w:val="20"/>
          <w:szCs w:val="20"/>
        </w:rPr>
        <w:t xml:space="preserve"> Ibid. § 72.</w:t>
      </w:r>
    </w:p>
  </w:footnote>
  <w:footnote w:id="95">
    <w:p w14:paraId="3D07C26B" w14:textId="77777777" w:rsidR="00A06E6E" w:rsidRDefault="00000000">
      <w:pPr>
        <w:spacing w:line="240" w:lineRule="auto"/>
        <w:rPr>
          <w:rFonts w:ascii="Times New Roman" w:eastAsia="Times New Roman" w:hAnsi="Times New Roman" w:cs="Times New Roman"/>
          <w:sz w:val="20"/>
          <w:szCs w:val="20"/>
        </w:rPr>
      </w:pPr>
      <w:r>
        <w:rPr>
          <w:vertAlign w:val="superscript"/>
        </w:rPr>
        <w:footnoteRef/>
      </w:r>
      <w:r>
        <w:rPr>
          <w:rFonts w:ascii="Times New Roman" w:eastAsia="Times New Roman" w:hAnsi="Times New Roman" w:cs="Times New Roman"/>
          <w:sz w:val="20"/>
          <w:szCs w:val="20"/>
        </w:rPr>
        <w:t xml:space="preserve"> Ibid. § 76.</w:t>
      </w:r>
    </w:p>
  </w:footnote>
  <w:footnote w:id="96">
    <w:p w14:paraId="6DBA5943" w14:textId="77777777" w:rsidR="00A06E6E" w:rsidRDefault="00000000">
      <w:pPr>
        <w:spacing w:line="240" w:lineRule="auto"/>
        <w:rPr>
          <w:rFonts w:ascii="Times New Roman" w:eastAsia="Times New Roman" w:hAnsi="Times New Roman" w:cs="Times New Roman"/>
          <w:sz w:val="20"/>
          <w:szCs w:val="20"/>
        </w:rPr>
      </w:pPr>
      <w:r>
        <w:rPr>
          <w:vertAlign w:val="superscript"/>
        </w:rPr>
        <w:footnoteRef/>
      </w:r>
      <w:r>
        <w:rPr>
          <w:rFonts w:ascii="Times New Roman" w:eastAsia="Times New Roman" w:hAnsi="Times New Roman" w:cs="Times New Roman"/>
          <w:sz w:val="20"/>
          <w:szCs w:val="20"/>
        </w:rPr>
        <w:t xml:space="preserve">  </w:t>
      </w:r>
      <w:r>
        <w:rPr>
          <w:rFonts w:ascii="Times New Roman" w:eastAsia="Times New Roman" w:hAnsi="Times New Roman" w:cs="Times New Roman"/>
          <w:i/>
          <w:sz w:val="20"/>
          <w:szCs w:val="20"/>
          <w:highlight w:val="white"/>
        </w:rPr>
        <w:t xml:space="preserve">Natig </w:t>
      </w:r>
      <w:r>
        <w:rPr>
          <w:rFonts w:ascii="Times New Roman" w:eastAsia="Times New Roman" w:hAnsi="Times New Roman" w:cs="Times New Roman"/>
          <w:i/>
          <w:sz w:val="20"/>
          <w:szCs w:val="20"/>
          <w:highlight w:val="white"/>
        </w:rPr>
        <w:t>Jafarov v. Azerbaijan</w:t>
      </w:r>
      <w:r>
        <w:rPr>
          <w:rFonts w:ascii="Times New Roman" w:eastAsia="Times New Roman" w:hAnsi="Times New Roman" w:cs="Times New Roman"/>
          <w:sz w:val="20"/>
          <w:szCs w:val="20"/>
          <w:highlight w:val="white"/>
        </w:rPr>
        <w:t xml:space="preserve"> (application no. </w:t>
      </w:r>
      <w:hyperlink r:id="rId65" w:anchor="%7B%22appno%22:%5B%2264581/16%22%5D%7D">
        <w:r>
          <w:rPr>
            <w:rFonts w:ascii="Times New Roman" w:eastAsia="Times New Roman" w:hAnsi="Times New Roman" w:cs="Times New Roman"/>
            <w:color w:val="0069D6"/>
            <w:sz w:val="20"/>
            <w:szCs w:val="20"/>
            <w:highlight w:val="white"/>
            <w:u w:val="single"/>
          </w:rPr>
          <w:t>64581/16</w:t>
        </w:r>
      </w:hyperlink>
      <w:r>
        <w:rPr>
          <w:rFonts w:ascii="Times New Roman" w:eastAsia="Times New Roman" w:hAnsi="Times New Roman" w:cs="Times New Roman"/>
          <w:sz w:val="20"/>
          <w:szCs w:val="20"/>
        </w:rPr>
        <w:t xml:space="preserve">), judgment of  </w:t>
      </w:r>
      <w:r>
        <w:rPr>
          <w:rFonts w:ascii="Times New Roman" w:eastAsia="Times New Roman" w:hAnsi="Times New Roman" w:cs="Times New Roman"/>
          <w:sz w:val="20"/>
          <w:szCs w:val="20"/>
          <w:highlight w:val="white"/>
        </w:rPr>
        <w:t>7 November 2019</w:t>
      </w:r>
      <w:r>
        <w:rPr>
          <w:rFonts w:ascii="Times New Roman" w:eastAsia="Times New Roman" w:hAnsi="Times New Roman" w:cs="Times New Roman"/>
          <w:sz w:val="20"/>
          <w:szCs w:val="20"/>
        </w:rPr>
        <w:t>.</w:t>
      </w:r>
    </w:p>
  </w:footnote>
  <w:footnote w:id="97">
    <w:p w14:paraId="20FF49BE" w14:textId="77777777" w:rsidR="00A06E6E" w:rsidRDefault="00000000">
      <w:pPr>
        <w:spacing w:line="240" w:lineRule="auto"/>
        <w:rPr>
          <w:rFonts w:ascii="Times New Roman" w:eastAsia="Times New Roman" w:hAnsi="Times New Roman" w:cs="Times New Roman"/>
          <w:sz w:val="20"/>
          <w:szCs w:val="20"/>
        </w:rPr>
      </w:pPr>
      <w:r>
        <w:rPr>
          <w:vertAlign w:val="superscript"/>
        </w:rPr>
        <w:footnoteRef/>
      </w:r>
      <w:r>
        <w:rPr>
          <w:rFonts w:ascii="Times New Roman" w:eastAsia="Times New Roman" w:hAnsi="Times New Roman" w:cs="Times New Roman"/>
          <w:sz w:val="20"/>
          <w:szCs w:val="20"/>
        </w:rPr>
        <w:t xml:space="preserve"> Ibid. § 40-41.</w:t>
      </w:r>
    </w:p>
  </w:footnote>
  <w:footnote w:id="98">
    <w:p w14:paraId="7CBCAECC" w14:textId="77777777" w:rsidR="00A06E6E" w:rsidRPr="00791D10" w:rsidRDefault="00000000">
      <w:pPr>
        <w:keepNext/>
        <w:spacing w:line="240" w:lineRule="auto"/>
        <w:rPr>
          <w:rFonts w:ascii="Calibri" w:eastAsia="Times New Roman" w:hAnsi="Calibri" w:cs="Calibri"/>
          <w:sz w:val="18"/>
          <w:szCs w:val="18"/>
        </w:rPr>
      </w:pPr>
      <w:r w:rsidRPr="00791D10">
        <w:rPr>
          <w:rFonts w:ascii="Calibri" w:hAnsi="Calibri" w:cs="Calibri"/>
          <w:sz w:val="18"/>
          <w:szCs w:val="18"/>
          <w:vertAlign w:val="superscript"/>
        </w:rPr>
        <w:footnoteRef/>
      </w:r>
      <w:r w:rsidRPr="00791D10">
        <w:rPr>
          <w:rFonts w:ascii="Calibri" w:eastAsia="Times New Roman" w:hAnsi="Calibri" w:cs="Calibri"/>
          <w:sz w:val="18"/>
          <w:szCs w:val="18"/>
        </w:rPr>
        <w:t xml:space="preserve"> HUDOC-EXEC, </w:t>
      </w:r>
      <w:hyperlink r:id="rId66" w:anchor="%7B%22EXECDocumentTypeCollection%22:%5B%22CEC%22%5D,%22EXECState%22:%5B%22AZE%22%5D,%22EXECViolationsFromECHR%22:%5B%223%22">
        <w:r w:rsidRPr="00791D10">
          <w:rPr>
            <w:rFonts w:ascii="Calibri" w:eastAsia="Times New Roman" w:hAnsi="Calibri" w:cs="Calibri"/>
            <w:color w:val="1155CC"/>
            <w:sz w:val="18"/>
            <w:szCs w:val="18"/>
            <w:u w:val="single"/>
          </w:rPr>
          <w:t>https://hudoc.exec.coe.int/eng#{%22EXECDocumentTypeCollection%22:[%22CEC%22],%22EXECState%22:[%22AZE%22],%22EXECViolationsFromECHR%22:[%223%22</w:t>
        </w:r>
      </w:hyperlink>
      <w:r w:rsidRPr="00791D10">
        <w:rPr>
          <w:rFonts w:ascii="Calibri" w:eastAsia="Times New Roman" w:hAnsi="Calibri" w:cs="Calibri"/>
          <w:sz w:val="18"/>
          <w:szCs w:val="18"/>
        </w:rPr>
        <w:t xml:space="preserve">]}. </w:t>
      </w:r>
    </w:p>
  </w:footnote>
  <w:footnote w:id="99">
    <w:p w14:paraId="6D8AD1D3" w14:textId="77777777" w:rsidR="00A06E6E" w:rsidRPr="00791D10" w:rsidRDefault="00000000">
      <w:pPr>
        <w:keepNext/>
        <w:spacing w:line="240" w:lineRule="auto"/>
        <w:jc w:val="both"/>
        <w:rPr>
          <w:rFonts w:ascii="Calibri" w:eastAsia="Times New Roman" w:hAnsi="Calibri" w:cs="Calibri"/>
          <w:sz w:val="18"/>
          <w:szCs w:val="18"/>
        </w:rPr>
      </w:pPr>
      <w:r w:rsidRPr="00791D10">
        <w:rPr>
          <w:rFonts w:ascii="Calibri" w:hAnsi="Calibri" w:cs="Calibri"/>
          <w:sz w:val="18"/>
          <w:szCs w:val="18"/>
          <w:vertAlign w:val="superscript"/>
        </w:rPr>
        <w:footnoteRef/>
      </w:r>
      <w:r w:rsidRPr="00791D10">
        <w:rPr>
          <w:rFonts w:ascii="Calibri" w:eastAsia="Times New Roman" w:hAnsi="Calibri" w:cs="Calibri"/>
          <w:sz w:val="18"/>
          <w:szCs w:val="18"/>
        </w:rPr>
        <w:t xml:space="preserve"> </w:t>
      </w:r>
      <w:r w:rsidRPr="00791D10">
        <w:rPr>
          <w:rFonts w:ascii="Calibri" w:eastAsia="Times New Roman" w:hAnsi="Calibri" w:cs="Calibri"/>
          <w:i/>
          <w:sz w:val="18"/>
          <w:szCs w:val="18"/>
        </w:rPr>
        <w:t>Mammadov (</w:t>
      </w:r>
      <w:r w:rsidRPr="00791D10">
        <w:rPr>
          <w:rFonts w:ascii="Calibri" w:eastAsia="Times New Roman" w:hAnsi="Calibri" w:cs="Calibri"/>
          <w:i/>
          <w:sz w:val="18"/>
          <w:szCs w:val="18"/>
        </w:rPr>
        <w:t>Jalaloglu) v. Azerbaijan</w:t>
      </w:r>
      <w:r w:rsidRPr="00791D10">
        <w:rPr>
          <w:rFonts w:ascii="Calibri" w:eastAsia="Times New Roman" w:hAnsi="Calibri" w:cs="Calibri"/>
          <w:sz w:val="18"/>
          <w:szCs w:val="18"/>
        </w:rPr>
        <w:t xml:space="preserve"> (application no. </w:t>
      </w:r>
      <w:hyperlink r:id="rId67" w:anchor="%7B%22appno%22:%5B%2234445/04%22%5D%7D">
        <w:r w:rsidRPr="00791D10">
          <w:rPr>
            <w:rFonts w:ascii="Calibri" w:eastAsia="Times New Roman" w:hAnsi="Calibri" w:cs="Calibri"/>
            <w:color w:val="0069D6"/>
            <w:sz w:val="18"/>
            <w:szCs w:val="18"/>
            <w:u w:val="single"/>
          </w:rPr>
          <w:t>34445/04</w:t>
        </w:r>
      </w:hyperlink>
      <w:r w:rsidRPr="00791D10">
        <w:rPr>
          <w:rFonts w:ascii="Calibri" w:eastAsia="Times New Roman" w:hAnsi="Calibri" w:cs="Calibri"/>
          <w:sz w:val="18"/>
          <w:szCs w:val="18"/>
        </w:rPr>
        <w:t xml:space="preserve">), judgment of  11 January 2007; </w:t>
      </w:r>
      <w:r w:rsidRPr="00791D10">
        <w:rPr>
          <w:rFonts w:ascii="Calibri" w:eastAsia="Times New Roman" w:hAnsi="Calibri" w:cs="Calibri"/>
          <w:i/>
          <w:sz w:val="18"/>
          <w:szCs w:val="18"/>
        </w:rPr>
        <w:t>Emin Huseynov v. Azerbaijan</w:t>
      </w:r>
      <w:r w:rsidRPr="00791D10">
        <w:rPr>
          <w:rFonts w:ascii="Calibri" w:eastAsia="Times New Roman" w:hAnsi="Calibri" w:cs="Calibri"/>
          <w:sz w:val="18"/>
          <w:szCs w:val="18"/>
        </w:rPr>
        <w:t xml:space="preserve"> (application no. </w:t>
      </w:r>
      <w:hyperlink r:id="rId68" w:anchor="%7B%22appno%22:%5B%2259135/09%22%5D%7D">
        <w:r w:rsidRPr="00791D10">
          <w:rPr>
            <w:rFonts w:ascii="Calibri" w:eastAsia="Times New Roman" w:hAnsi="Calibri" w:cs="Calibri"/>
            <w:color w:val="0069D6"/>
            <w:sz w:val="18"/>
            <w:szCs w:val="18"/>
            <w:u w:val="single"/>
          </w:rPr>
          <w:t>59135/09</w:t>
        </w:r>
      </w:hyperlink>
      <w:r w:rsidRPr="00791D10">
        <w:rPr>
          <w:rFonts w:ascii="Calibri" w:eastAsia="Times New Roman" w:hAnsi="Calibri" w:cs="Calibri"/>
          <w:sz w:val="18"/>
          <w:szCs w:val="18"/>
        </w:rPr>
        <w:t xml:space="preserve">), judgment of  7 May 2015; </w:t>
      </w:r>
      <w:r w:rsidRPr="00791D10">
        <w:rPr>
          <w:rFonts w:ascii="Calibri" w:eastAsia="Times New Roman" w:hAnsi="Calibri" w:cs="Calibri"/>
          <w:i/>
          <w:sz w:val="18"/>
          <w:szCs w:val="18"/>
        </w:rPr>
        <w:t>Hilal Mammadov v. Azerbaijan</w:t>
      </w:r>
      <w:r w:rsidRPr="00791D10">
        <w:rPr>
          <w:rFonts w:ascii="Calibri" w:eastAsia="Times New Roman" w:hAnsi="Calibri" w:cs="Calibri"/>
          <w:sz w:val="18"/>
          <w:szCs w:val="18"/>
        </w:rPr>
        <w:t xml:space="preserve"> (application no. </w:t>
      </w:r>
      <w:hyperlink r:id="rId69" w:anchor="%7B%22appno%22:%5B%2281553/12%22%5D%7D">
        <w:r w:rsidRPr="00791D10">
          <w:rPr>
            <w:rFonts w:ascii="Calibri" w:eastAsia="Times New Roman" w:hAnsi="Calibri" w:cs="Calibri"/>
            <w:color w:val="0069D6"/>
            <w:sz w:val="18"/>
            <w:szCs w:val="18"/>
            <w:u w:val="single"/>
          </w:rPr>
          <w:t>81553/12</w:t>
        </w:r>
      </w:hyperlink>
      <w:r w:rsidRPr="00791D10">
        <w:rPr>
          <w:rFonts w:ascii="Calibri" w:eastAsia="Times New Roman" w:hAnsi="Calibri" w:cs="Calibri"/>
          <w:sz w:val="18"/>
          <w:szCs w:val="18"/>
        </w:rPr>
        <w:t xml:space="preserve">), judgment of  4 February 2016; </w:t>
      </w:r>
      <w:r w:rsidRPr="00791D10">
        <w:rPr>
          <w:rFonts w:ascii="Calibri" w:eastAsia="Times New Roman" w:hAnsi="Calibri" w:cs="Calibri"/>
          <w:i/>
          <w:sz w:val="18"/>
          <w:szCs w:val="18"/>
        </w:rPr>
        <w:t>Layijov v. Azerbaijan</w:t>
      </w:r>
      <w:r w:rsidRPr="00791D10">
        <w:rPr>
          <w:rFonts w:ascii="Calibri" w:eastAsia="Times New Roman" w:hAnsi="Calibri" w:cs="Calibri"/>
          <w:sz w:val="18"/>
          <w:szCs w:val="18"/>
        </w:rPr>
        <w:t xml:space="preserve"> (application no. </w:t>
      </w:r>
      <w:hyperlink r:id="rId70" w:anchor="%7B%22appno%22:%5B%2222062/07%22%5D%7D">
        <w:r w:rsidRPr="00791D10">
          <w:rPr>
            <w:rFonts w:ascii="Calibri" w:eastAsia="Times New Roman" w:hAnsi="Calibri" w:cs="Calibri"/>
            <w:color w:val="0069D6"/>
            <w:sz w:val="18"/>
            <w:szCs w:val="18"/>
            <w:u w:val="single"/>
          </w:rPr>
          <w:t>22062/07</w:t>
        </w:r>
      </w:hyperlink>
      <w:r w:rsidRPr="00791D10">
        <w:rPr>
          <w:rFonts w:ascii="Calibri" w:eastAsia="Times New Roman" w:hAnsi="Calibri" w:cs="Calibri"/>
          <w:sz w:val="18"/>
          <w:szCs w:val="18"/>
        </w:rPr>
        <w:t xml:space="preserve">), judgment of 10 April 2014; </w:t>
      </w:r>
      <w:r w:rsidRPr="00791D10">
        <w:rPr>
          <w:rFonts w:ascii="Calibri" w:eastAsia="Times New Roman" w:hAnsi="Calibri" w:cs="Calibri"/>
          <w:i/>
          <w:sz w:val="18"/>
          <w:szCs w:val="18"/>
        </w:rPr>
        <w:t>Pirgurban v. Azerbaijan</w:t>
      </w:r>
      <w:r w:rsidRPr="00791D10">
        <w:rPr>
          <w:rFonts w:ascii="Calibri" w:eastAsia="Times New Roman" w:hAnsi="Calibri" w:cs="Calibri"/>
          <w:sz w:val="18"/>
          <w:szCs w:val="18"/>
        </w:rPr>
        <w:t xml:space="preserve"> (application no. </w:t>
      </w:r>
      <w:hyperlink r:id="rId71" w:anchor="%7B%22appno%22:%5B%2239254/10%22%5D%7D">
        <w:r w:rsidRPr="00791D10">
          <w:rPr>
            <w:rFonts w:ascii="Calibri" w:eastAsia="Times New Roman" w:hAnsi="Calibri" w:cs="Calibri"/>
            <w:color w:val="0069D6"/>
            <w:sz w:val="18"/>
            <w:szCs w:val="18"/>
            <w:u w:val="single"/>
          </w:rPr>
          <w:t>39254/10</w:t>
        </w:r>
      </w:hyperlink>
      <w:r w:rsidRPr="00791D10">
        <w:rPr>
          <w:rFonts w:ascii="Calibri" w:eastAsia="Times New Roman" w:hAnsi="Calibri" w:cs="Calibri"/>
          <w:sz w:val="18"/>
          <w:szCs w:val="18"/>
        </w:rPr>
        <w:t>), judgment of 20 December 2016.</w:t>
      </w:r>
    </w:p>
  </w:footnote>
  <w:footnote w:id="100">
    <w:p w14:paraId="01A08677" w14:textId="77777777" w:rsidR="00A06E6E" w:rsidRPr="00791D10" w:rsidRDefault="00000000">
      <w:pPr>
        <w:spacing w:line="240" w:lineRule="auto"/>
        <w:rPr>
          <w:rFonts w:ascii="Calibri" w:eastAsia="Times New Roman" w:hAnsi="Calibri" w:cs="Calibri"/>
          <w:sz w:val="18"/>
          <w:szCs w:val="18"/>
        </w:rPr>
      </w:pPr>
      <w:r w:rsidRPr="00791D10">
        <w:rPr>
          <w:rFonts w:ascii="Calibri" w:hAnsi="Calibri" w:cs="Calibri"/>
          <w:sz w:val="18"/>
          <w:szCs w:val="18"/>
          <w:vertAlign w:val="superscript"/>
        </w:rPr>
        <w:footnoteRef/>
      </w:r>
      <w:r w:rsidRPr="00791D10">
        <w:rPr>
          <w:rFonts w:ascii="Calibri" w:eastAsia="Times New Roman" w:hAnsi="Calibri" w:cs="Calibri"/>
          <w:sz w:val="18"/>
          <w:szCs w:val="18"/>
        </w:rPr>
        <w:t xml:space="preserve"> Supra note 21.</w:t>
      </w:r>
    </w:p>
  </w:footnote>
  <w:footnote w:id="101">
    <w:p w14:paraId="06532B9F" w14:textId="77777777" w:rsidR="00A06E6E" w:rsidRPr="00791D10" w:rsidRDefault="00000000">
      <w:pPr>
        <w:spacing w:line="240" w:lineRule="auto"/>
        <w:rPr>
          <w:rFonts w:ascii="Calibri" w:hAnsi="Calibri" w:cs="Calibri"/>
          <w:sz w:val="18"/>
          <w:szCs w:val="18"/>
        </w:rPr>
      </w:pPr>
      <w:r w:rsidRPr="00791D10">
        <w:rPr>
          <w:rFonts w:ascii="Calibri" w:hAnsi="Calibri" w:cs="Calibri"/>
          <w:sz w:val="18"/>
          <w:szCs w:val="18"/>
          <w:vertAlign w:val="superscript"/>
        </w:rPr>
        <w:footnoteRef/>
      </w:r>
      <w:r w:rsidRPr="00791D10">
        <w:rPr>
          <w:rFonts w:ascii="Calibri" w:hAnsi="Calibri" w:cs="Calibri"/>
          <w:sz w:val="18"/>
          <w:szCs w:val="18"/>
        </w:rPr>
        <w:t xml:space="preserve"> </w:t>
      </w:r>
      <w:hyperlink r:id="rId72">
        <w:r w:rsidRPr="00791D10">
          <w:rPr>
            <w:rFonts w:ascii="Calibri" w:hAnsi="Calibri" w:cs="Calibri"/>
            <w:color w:val="1155CC"/>
            <w:sz w:val="18"/>
            <w:szCs w:val="18"/>
            <w:u w:val="single"/>
          </w:rPr>
          <w:t>https://hudoc.exec.coe.int/?i=004-1759</w:t>
        </w:r>
      </w:hyperlink>
      <w:r w:rsidRPr="00791D10">
        <w:rPr>
          <w:rFonts w:ascii="Calibri" w:hAnsi="Calibri" w:cs="Calibri"/>
          <w:sz w:val="18"/>
          <w:szCs w:val="18"/>
        </w:rPr>
        <w:t xml:space="preserve"> </w:t>
      </w:r>
    </w:p>
  </w:footnote>
  <w:footnote w:id="102">
    <w:p w14:paraId="3FBD2291" w14:textId="77777777" w:rsidR="00A06E6E" w:rsidRPr="00791D10" w:rsidRDefault="00000000">
      <w:pPr>
        <w:keepNext/>
        <w:spacing w:line="240" w:lineRule="auto"/>
        <w:jc w:val="both"/>
        <w:rPr>
          <w:rFonts w:ascii="Calibri" w:eastAsia="Times New Roman" w:hAnsi="Calibri" w:cs="Calibri"/>
          <w:sz w:val="18"/>
          <w:szCs w:val="18"/>
        </w:rPr>
      </w:pPr>
      <w:r w:rsidRPr="00791D10">
        <w:rPr>
          <w:rFonts w:ascii="Calibri" w:hAnsi="Calibri" w:cs="Calibri"/>
          <w:sz w:val="18"/>
          <w:szCs w:val="18"/>
          <w:vertAlign w:val="superscript"/>
        </w:rPr>
        <w:footnoteRef/>
      </w:r>
      <w:r w:rsidRPr="00791D10">
        <w:rPr>
          <w:rFonts w:ascii="Calibri" w:eastAsia="Times New Roman" w:hAnsi="Calibri" w:cs="Calibri"/>
          <w:sz w:val="18"/>
          <w:szCs w:val="18"/>
        </w:rPr>
        <w:t xml:space="preserve"> </w:t>
      </w:r>
      <w:r w:rsidRPr="00791D10">
        <w:rPr>
          <w:rFonts w:ascii="Calibri" w:eastAsia="Times New Roman" w:hAnsi="Calibri" w:cs="Calibri"/>
          <w:i/>
          <w:sz w:val="18"/>
          <w:szCs w:val="18"/>
          <w:shd w:val="clear" w:color="auto" w:fill="FDFDFD"/>
        </w:rPr>
        <w:t xml:space="preserve"> </w:t>
      </w:r>
      <w:r w:rsidRPr="00791D10">
        <w:rPr>
          <w:rFonts w:ascii="Calibri" w:eastAsia="Times New Roman" w:hAnsi="Calibri" w:cs="Calibri"/>
          <w:sz w:val="18"/>
          <w:szCs w:val="18"/>
          <w:shd w:val="clear" w:color="auto" w:fill="FDFDFD"/>
        </w:rPr>
        <w:t>Supra note 40,</w:t>
      </w:r>
      <w:r w:rsidRPr="00791D10">
        <w:rPr>
          <w:rFonts w:ascii="Calibri" w:eastAsia="Times New Roman" w:hAnsi="Calibri" w:cs="Calibri"/>
          <w:i/>
          <w:sz w:val="18"/>
          <w:szCs w:val="18"/>
          <w:shd w:val="clear" w:color="auto" w:fill="FDFDFD"/>
        </w:rPr>
        <w:t xml:space="preserve"> </w:t>
      </w:r>
      <w:r w:rsidRPr="00791D10">
        <w:rPr>
          <w:rFonts w:ascii="Calibri" w:eastAsia="Times New Roman" w:hAnsi="Calibri" w:cs="Calibri"/>
          <w:i/>
          <w:sz w:val="18"/>
          <w:szCs w:val="18"/>
          <w:shd w:val="clear" w:color="auto" w:fill="FDFDFD"/>
        </w:rPr>
        <w:t>Yunusova and Yunusov v. Azerbaijan,</w:t>
      </w:r>
      <w:r w:rsidRPr="00791D10">
        <w:rPr>
          <w:rFonts w:ascii="Calibri" w:eastAsia="Times New Roman" w:hAnsi="Calibri" w:cs="Calibri"/>
          <w:sz w:val="18"/>
          <w:szCs w:val="18"/>
        </w:rPr>
        <w:t xml:space="preserve"> yuxarıda 73, </w:t>
      </w:r>
      <w:r w:rsidRPr="00791D10">
        <w:rPr>
          <w:rFonts w:ascii="Calibri" w:eastAsia="Times New Roman" w:hAnsi="Calibri" w:cs="Calibri"/>
          <w:i/>
          <w:sz w:val="18"/>
          <w:szCs w:val="18"/>
        </w:rPr>
        <w:t>Hummatov v. Azerbaijan</w:t>
      </w:r>
    </w:p>
  </w:footnote>
  <w:footnote w:id="103">
    <w:p w14:paraId="55E3F5AA" w14:textId="77777777" w:rsidR="00A06E6E" w:rsidRPr="00791D10" w:rsidRDefault="00000000">
      <w:pPr>
        <w:keepNext/>
        <w:spacing w:line="240" w:lineRule="auto"/>
        <w:jc w:val="both"/>
        <w:rPr>
          <w:rFonts w:ascii="Calibri" w:eastAsia="Times New Roman" w:hAnsi="Calibri" w:cs="Calibri"/>
          <w:i/>
          <w:sz w:val="18"/>
          <w:szCs w:val="18"/>
          <w:shd w:val="clear" w:color="auto" w:fill="FDFDFD"/>
        </w:rPr>
      </w:pPr>
      <w:r w:rsidRPr="00791D10">
        <w:rPr>
          <w:rFonts w:ascii="Calibri" w:hAnsi="Calibri" w:cs="Calibri"/>
          <w:sz w:val="18"/>
          <w:szCs w:val="18"/>
          <w:vertAlign w:val="superscript"/>
        </w:rPr>
        <w:footnoteRef/>
      </w:r>
      <w:r w:rsidRPr="00791D10">
        <w:rPr>
          <w:rFonts w:ascii="Calibri" w:eastAsia="Times New Roman" w:hAnsi="Calibri" w:cs="Calibri"/>
          <w:sz w:val="18"/>
          <w:szCs w:val="18"/>
          <w:shd w:val="clear" w:color="auto" w:fill="FDFDFD"/>
        </w:rPr>
        <w:t xml:space="preserve"> </w:t>
      </w:r>
      <w:r w:rsidRPr="00791D10">
        <w:rPr>
          <w:rFonts w:ascii="Calibri" w:eastAsia="Times New Roman" w:hAnsi="Calibri" w:cs="Calibri"/>
          <w:i/>
          <w:sz w:val="18"/>
          <w:szCs w:val="18"/>
          <w:shd w:val="clear" w:color="auto" w:fill="FDFDFD"/>
        </w:rPr>
        <w:t xml:space="preserve">Yunusova and Yunusov v. Azerbaijan işinin icra vəziyyəti, </w:t>
      </w:r>
    </w:p>
    <w:p w14:paraId="2554654F" w14:textId="77777777" w:rsidR="00A06E6E" w:rsidRPr="00791D10" w:rsidRDefault="00000000">
      <w:pPr>
        <w:keepNext/>
        <w:spacing w:line="240" w:lineRule="auto"/>
        <w:jc w:val="both"/>
        <w:rPr>
          <w:rFonts w:ascii="Calibri" w:eastAsia="Times New Roman" w:hAnsi="Calibri" w:cs="Calibri"/>
          <w:sz w:val="18"/>
          <w:szCs w:val="18"/>
        </w:rPr>
      </w:pPr>
      <w:hyperlink r:id="rId73">
        <w:r w:rsidRPr="00791D10">
          <w:rPr>
            <w:rFonts w:ascii="Calibri" w:eastAsia="Times New Roman" w:hAnsi="Calibri" w:cs="Calibri"/>
            <w:color w:val="0000FF"/>
            <w:sz w:val="18"/>
            <w:szCs w:val="18"/>
            <w:u w:val="single"/>
          </w:rPr>
          <w:t>https://hudoc.exec.coe.int/eng?i=DH-DD(2019)206E</w:t>
        </w:r>
      </w:hyperlink>
      <w:r w:rsidRPr="00791D10">
        <w:rPr>
          <w:rFonts w:ascii="Calibri" w:eastAsia="Times New Roman" w:hAnsi="Calibri" w:cs="Calibri"/>
          <w:sz w:val="18"/>
          <w:szCs w:val="18"/>
          <w:shd w:val="clear" w:color="auto" w:fill="FDFDFD"/>
        </w:rPr>
        <w:t xml:space="preserve">, </w:t>
      </w:r>
      <w:r w:rsidRPr="00791D10">
        <w:rPr>
          <w:rFonts w:ascii="Calibri" w:eastAsia="Times New Roman" w:hAnsi="Calibri" w:cs="Calibri"/>
          <w:sz w:val="18"/>
          <w:szCs w:val="18"/>
          <w:shd w:val="clear" w:color="auto" w:fill="FDFDFD"/>
        </w:rPr>
        <w:br/>
      </w:r>
      <w:r w:rsidRPr="00791D10">
        <w:rPr>
          <w:rFonts w:ascii="Calibri" w:eastAsia="Times New Roman" w:hAnsi="Calibri" w:cs="Calibri"/>
          <w:i/>
          <w:sz w:val="18"/>
          <w:szCs w:val="18"/>
          <w:shd w:val="clear" w:color="auto" w:fill="FDFDFD"/>
        </w:rPr>
        <w:t xml:space="preserve">Hummatov v. Azerbaijan işinin </w:t>
      </w:r>
      <w:r w:rsidRPr="00791D10">
        <w:rPr>
          <w:rFonts w:ascii="Calibri" w:eastAsia="Times New Roman" w:hAnsi="Calibri" w:cs="Calibri"/>
          <w:sz w:val="18"/>
          <w:szCs w:val="18"/>
          <w:shd w:val="clear" w:color="auto" w:fill="FDFDFD"/>
        </w:rPr>
        <w:t xml:space="preserve">icra vəziyyəti, </w:t>
      </w:r>
    </w:p>
    <w:p w14:paraId="31BF466A" w14:textId="77777777" w:rsidR="00A06E6E" w:rsidRPr="00791D10" w:rsidRDefault="00000000">
      <w:pPr>
        <w:keepNext/>
        <w:spacing w:line="240" w:lineRule="auto"/>
        <w:jc w:val="both"/>
        <w:rPr>
          <w:rFonts w:ascii="Calibri" w:eastAsia="Times New Roman" w:hAnsi="Calibri" w:cs="Calibri"/>
          <w:sz w:val="18"/>
          <w:szCs w:val="18"/>
        </w:rPr>
      </w:pPr>
      <w:r w:rsidRPr="00791D10">
        <w:rPr>
          <w:rFonts w:ascii="Calibri" w:eastAsia="Times New Roman" w:hAnsi="Calibri" w:cs="Calibri"/>
          <w:sz w:val="18"/>
          <w:szCs w:val="18"/>
          <w:shd w:val="clear" w:color="auto" w:fill="FDFDFD"/>
        </w:rPr>
        <w:t xml:space="preserve"> </w:t>
      </w:r>
      <w:hyperlink r:id="rId74">
        <w:r w:rsidRPr="00791D10">
          <w:rPr>
            <w:rFonts w:ascii="Calibri" w:eastAsia="Times New Roman" w:hAnsi="Calibri" w:cs="Calibri"/>
            <w:color w:val="1155CC"/>
            <w:sz w:val="18"/>
            <w:szCs w:val="18"/>
            <w:u w:val="single"/>
            <w:shd w:val="clear" w:color="auto" w:fill="FDFDFD"/>
          </w:rPr>
          <w:t>https://hudoc.exec.coe.int/eng?i=004-1611</w:t>
        </w:r>
      </w:hyperlink>
      <w:r w:rsidRPr="00791D10">
        <w:rPr>
          <w:rFonts w:ascii="Calibri" w:eastAsia="Times New Roman" w:hAnsi="Calibri" w:cs="Calibri"/>
          <w:color w:val="1155CC"/>
          <w:sz w:val="18"/>
          <w:szCs w:val="18"/>
          <w:u w:val="single"/>
          <w:shd w:val="clear" w:color="auto" w:fill="FDFDFD"/>
        </w:rPr>
        <w:t xml:space="preserve"> .</w:t>
      </w:r>
    </w:p>
  </w:footnote>
  <w:footnote w:id="104">
    <w:p w14:paraId="11FD2BA0" w14:textId="77777777" w:rsidR="00A06E6E" w:rsidRPr="00791D10" w:rsidRDefault="00000000">
      <w:pPr>
        <w:keepNext/>
        <w:spacing w:line="240" w:lineRule="auto"/>
        <w:jc w:val="both"/>
        <w:rPr>
          <w:rFonts w:ascii="Calibri" w:eastAsia="Times New Roman" w:hAnsi="Calibri" w:cs="Calibri"/>
          <w:sz w:val="18"/>
          <w:szCs w:val="18"/>
        </w:rPr>
      </w:pPr>
      <w:r w:rsidRPr="00791D10">
        <w:rPr>
          <w:rFonts w:ascii="Calibri" w:hAnsi="Calibri" w:cs="Calibri"/>
          <w:sz w:val="18"/>
          <w:szCs w:val="18"/>
          <w:vertAlign w:val="superscript"/>
        </w:rPr>
        <w:footnoteRef/>
      </w:r>
      <w:r w:rsidRPr="00791D10">
        <w:rPr>
          <w:rFonts w:ascii="Calibri" w:eastAsia="Times New Roman" w:hAnsi="Calibri" w:cs="Calibri"/>
          <w:sz w:val="18"/>
          <w:szCs w:val="18"/>
        </w:rPr>
        <w:t xml:space="preserve"> Supra note 91, </w:t>
      </w:r>
      <w:r w:rsidRPr="00791D10">
        <w:rPr>
          <w:rFonts w:ascii="Calibri" w:eastAsia="Times New Roman" w:hAnsi="Calibri" w:cs="Calibri"/>
          <w:i/>
          <w:sz w:val="18"/>
          <w:szCs w:val="18"/>
        </w:rPr>
        <w:t>Insanov v. Azerbaijan</w:t>
      </w:r>
      <w:r w:rsidRPr="00791D10">
        <w:rPr>
          <w:rFonts w:ascii="Calibri" w:eastAsia="Times New Roman" w:hAnsi="Calibri" w:cs="Calibri"/>
          <w:sz w:val="18"/>
          <w:szCs w:val="18"/>
        </w:rPr>
        <w:t xml:space="preserve">, yuxarıda 93, </w:t>
      </w:r>
      <w:r w:rsidRPr="00791D10">
        <w:rPr>
          <w:rFonts w:ascii="Calibri" w:eastAsia="Times New Roman" w:hAnsi="Calibri" w:cs="Calibri"/>
          <w:i/>
          <w:sz w:val="18"/>
          <w:szCs w:val="18"/>
        </w:rPr>
        <w:t>Rzakhanov v. Azerbaijan</w:t>
      </w:r>
    </w:p>
  </w:footnote>
  <w:footnote w:id="105">
    <w:p w14:paraId="387F47CE" w14:textId="77777777" w:rsidR="00A06E6E" w:rsidRPr="00791D10" w:rsidRDefault="00000000">
      <w:pPr>
        <w:keepNext/>
        <w:spacing w:line="240" w:lineRule="auto"/>
        <w:jc w:val="both"/>
        <w:rPr>
          <w:rFonts w:ascii="Calibri" w:eastAsia="Times New Roman" w:hAnsi="Calibri" w:cs="Calibri"/>
          <w:sz w:val="18"/>
          <w:szCs w:val="18"/>
        </w:rPr>
      </w:pPr>
      <w:r w:rsidRPr="00791D10">
        <w:rPr>
          <w:rFonts w:ascii="Calibri" w:hAnsi="Calibri" w:cs="Calibri"/>
          <w:sz w:val="18"/>
          <w:szCs w:val="18"/>
          <w:vertAlign w:val="superscript"/>
        </w:rPr>
        <w:footnoteRef/>
      </w:r>
      <w:r w:rsidRPr="00791D10">
        <w:rPr>
          <w:rFonts w:ascii="Calibri" w:eastAsia="Times New Roman" w:hAnsi="Calibri" w:cs="Calibri"/>
          <w:sz w:val="18"/>
          <w:szCs w:val="18"/>
        </w:rPr>
        <w:t xml:space="preserve"> 1340th meeting (March 2019) (DH) - Action plan (07/02/2019) - Communication from Azerbaijan concerning the INSANOV group of cases v. Azerbaijan (Application No. 16133/08), </w:t>
      </w:r>
    </w:p>
    <w:p w14:paraId="05F289E6" w14:textId="77777777" w:rsidR="00A06E6E" w:rsidRDefault="00000000">
      <w:pPr>
        <w:keepNext/>
        <w:spacing w:line="240" w:lineRule="auto"/>
        <w:jc w:val="both"/>
        <w:rPr>
          <w:rFonts w:ascii="Times New Roman" w:eastAsia="Times New Roman" w:hAnsi="Times New Roman" w:cs="Times New Roman"/>
          <w:sz w:val="20"/>
          <w:szCs w:val="20"/>
        </w:rPr>
      </w:pPr>
      <w:hyperlink r:id="rId75">
        <w:r w:rsidRPr="00791D10">
          <w:rPr>
            <w:rFonts w:ascii="Calibri" w:eastAsia="Times New Roman" w:hAnsi="Calibri" w:cs="Calibri"/>
            <w:color w:val="0000FF"/>
            <w:sz w:val="18"/>
            <w:szCs w:val="18"/>
            <w:u w:val="single"/>
          </w:rPr>
          <w:t>https://search.coe.int/cm/Pages/result_details.aspx?ObjectID=09000016809262ec</w:t>
        </w:r>
      </w:hyperlink>
      <w:r w:rsidRPr="00791D10">
        <w:rPr>
          <w:rFonts w:ascii="Calibri" w:eastAsia="Times New Roman" w:hAnsi="Calibri" w:cs="Calibri"/>
          <w:sz w:val="18"/>
          <w:szCs w:val="18"/>
        </w:rPr>
        <w:t>.</w:t>
      </w:r>
      <w:r>
        <w:rPr>
          <w:rFonts w:ascii="Times New Roman" w:eastAsia="Times New Roman" w:hAnsi="Times New Roman" w:cs="Times New Roman"/>
          <w:sz w:val="20"/>
          <w:szCs w:val="20"/>
        </w:rPr>
        <w:t xml:space="preserve"> </w:t>
      </w:r>
    </w:p>
  </w:footnote>
  <w:footnote w:id="106">
    <w:p w14:paraId="44A0EAC9" w14:textId="77777777" w:rsidR="00A06E6E" w:rsidRPr="00791D10" w:rsidRDefault="00000000">
      <w:pPr>
        <w:keepNext/>
        <w:spacing w:line="240" w:lineRule="auto"/>
        <w:jc w:val="both"/>
        <w:rPr>
          <w:rFonts w:ascii="Calibri" w:eastAsia="Times New Roman" w:hAnsi="Calibri" w:cs="Calibri"/>
          <w:sz w:val="18"/>
          <w:szCs w:val="18"/>
        </w:rPr>
      </w:pPr>
      <w:r w:rsidRPr="00791D10">
        <w:rPr>
          <w:rFonts w:ascii="Calibri" w:hAnsi="Calibri" w:cs="Calibri"/>
          <w:sz w:val="18"/>
          <w:szCs w:val="18"/>
          <w:vertAlign w:val="superscript"/>
        </w:rPr>
        <w:footnoteRef/>
      </w:r>
      <w:r w:rsidRPr="00791D10">
        <w:rPr>
          <w:rFonts w:ascii="Calibri" w:eastAsia="Times New Roman" w:hAnsi="Calibri" w:cs="Calibri"/>
          <w:sz w:val="18"/>
          <w:szCs w:val="18"/>
        </w:rPr>
        <w:t xml:space="preserve"> </w:t>
      </w:r>
      <w:r w:rsidRPr="00791D10">
        <w:rPr>
          <w:rFonts w:ascii="Calibri" w:eastAsia="Times New Roman" w:hAnsi="Calibri" w:cs="Calibri"/>
          <w:i/>
          <w:sz w:val="18"/>
          <w:szCs w:val="18"/>
        </w:rPr>
        <w:t xml:space="preserve">Insanov v. Azerbaijan </w:t>
      </w:r>
      <w:r w:rsidRPr="00791D10">
        <w:rPr>
          <w:rFonts w:ascii="Calibri" w:eastAsia="Times New Roman" w:hAnsi="Calibri" w:cs="Calibri"/>
          <w:sz w:val="18"/>
          <w:szCs w:val="18"/>
        </w:rPr>
        <w:t xml:space="preserve">qrupu üzrə icra vəziyyəti, HUDOC-EXEC, n.d., </w:t>
      </w:r>
    </w:p>
    <w:p w14:paraId="6C5BFDA1" w14:textId="77777777" w:rsidR="00A06E6E" w:rsidRPr="00791D10" w:rsidRDefault="00000000">
      <w:pPr>
        <w:keepNext/>
        <w:spacing w:line="240" w:lineRule="auto"/>
        <w:jc w:val="both"/>
        <w:rPr>
          <w:rFonts w:ascii="Calibri" w:eastAsia="Times New Roman" w:hAnsi="Calibri" w:cs="Calibri"/>
          <w:sz w:val="18"/>
          <w:szCs w:val="18"/>
        </w:rPr>
      </w:pPr>
      <w:hyperlink r:id="rId76">
        <w:r w:rsidRPr="00791D10">
          <w:rPr>
            <w:rFonts w:ascii="Calibri" w:eastAsia="Times New Roman" w:hAnsi="Calibri" w:cs="Calibri"/>
            <w:color w:val="0000FF"/>
            <w:sz w:val="18"/>
            <w:szCs w:val="18"/>
            <w:u w:val="single"/>
          </w:rPr>
          <w:t>https://hudoc.exec.coe.int/eng?i=004-1801</w:t>
        </w:r>
      </w:hyperlink>
      <w:r w:rsidRPr="00791D10">
        <w:rPr>
          <w:rFonts w:ascii="Calibri" w:eastAsia="Times New Roman" w:hAnsi="Calibri" w:cs="Calibri"/>
          <w:sz w:val="18"/>
          <w:szCs w:val="18"/>
        </w:rPr>
        <w:t>.</w:t>
      </w:r>
    </w:p>
  </w:footnote>
  <w:footnote w:id="107">
    <w:p w14:paraId="201DF6D0" w14:textId="77777777" w:rsidR="00A06E6E" w:rsidRPr="00791D10" w:rsidRDefault="00000000">
      <w:pPr>
        <w:keepNext/>
        <w:spacing w:line="240" w:lineRule="auto"/>
        <w:jc w:val="both"/>
        <w:rPr>
          <w:rFonts w:ascii="Calibri" w:eastAsia="Times New Roman" w:hAnsi="Calibri" w:cs="Calibri"/>
          <w:sz w:val="18"/>
          <w:szCs w:val="18"/>
        </w:rPr>
      </w:pPr>
      <w:r w:rsidRPr="00791D10">
        <w:rPr>
          <w:rFonts w:ascii="Calibri" w:hAnsi="Calibri" w:cs="Calibri"/>
          <w:sz w:val="18"/>
          <w:szCs w:val="18"/>
          <w:vertAlign w:val="superscript"/>
        </w:rPr>
        <w:footnoteRef/>
      </w:r>
      <w:r w:rsidRPr="00791D10">
        <w:rPr>
          <w:rFonts w:ascii="Calibri" w:eastAsia="Times New Roman" w:hAnsi="Calibri" w:cs="Calibri"/>
          <w:sz w:val="18"/>
          <w:szCs w:val="18"/>
        </w:rPr>
        <w:t xml:space="preserve"> “1340th meeting, 12-14 March 2019 (DH) H46-3 </w:t>
      </w:r>
      <w:r w:rsidRPr="00791D10">
        <w:rPr>
          <w:rFonts w:ascii="Calibri" w:eastAsia="Times New Roman" w:hAnsi="Calibri" w:cs="Calibri"/>
          <w:sz w:val="18"/>
          <w:szCs w:val="18"/>
        </w:rPr>
        <w:t xml:space="preserve">Insanov group v. Azerbaijan (Application No. 16133/08)”, HUDOC.EXEC, </w:t>
      </w:r>
      <w:r w:rsidRPr="00791D10">
        <w:rPr>
          <w:rFonts w:ascii="Calibri" w:eastAsia="Times New Roman" w:hAnsi="Calibri" w:cs="Calibri"/>
          <w:sz w:val="18"/>
          <w:szCs w:val="18"/>
        </w:rPr>
        <w:br/>
      </w:r>
      <w:hyperlink r:id="rId77">
        <w:r w:rsidRPr="00791D10">
          <w:rPr>
            <w:rFonts w:ascii="Calibri" w:eastAsia="Times New Roman" w:hAnsi="Calibri" w:cs="Calibri"/>
            <w:color w:val="1155CC"/>
            <w:sz w:val="18"/>
            <w:szCs w:val="18"/>
            <w:u w:val="single"/>
          </w:rPr>
          <w:t>https://hudoc.exec.coe.int/eng?i=CM/Del/Dec(2019)1340/H46-3E</w:t>
        </w:r>
      </w:hyperlink>
      <w:r w:rsidRPr="00791D10">
        <w:rPr>
          <w:rFonts w:ascii="Calibri" w:eastAsia="Times New Roman" w:hAnsi="Calibri" w:cs="Calibri"/>
          <w:sz w:val="18"/>
          <w:szCs w:val="18"/>
        </w:rPr>
        <w:t xml:space="preserve">. </w:t>
      </w:r>
    </w:p>
  </w:footnote>
  <w:footnote w:id="108">
    <w:p w14:paraId="38923DA3" w14:textId="77777777" w:rsidR="00A06E6E" w:rsidRPr="00791D10" w:rsidRDefault="00000000">
      <w:pPr>
        <w:keepNext/>
        <w:spacing w:line="240" w:lineRule="auto"/>
        <w:jc w:val="both"/>
        <w:rPr>
          <w:rFonts w:ascii="Calibri" w:eastAsia="Times New Roman" w:hAnsi="Calibri" w:cs="Calibri"/>
          <w:sz w:val="18"/>
          <w:szCs w:val="18"/>
        </w:rPr>
      </w:pPr>
      <w:r w:rsidRPr="00791D10">
        <w:rPr>
          <w:rFonts w:ascii="Calibri" w:hAnsi="Calibri" w:cs="Calibri"/>
          <w:sz w:val="18"/>
          <w:szCs w:val="18"/>
          <w:vertAlign w:val="superscript"/>
        </w:rPr>
        <w:footnoteRef/>
      </w:r>
      <w:r w:rsidRPr="00791D10">
        <w:rPr>
          <w:rFonts w:ascii="Calibri" w:eastAsia="Times New Roman" w:hAnsi="Calibri" w:cs="Calibri"/>
          <w:sz w:val="18"/>
          <w:szCs w:val="18"/>
        </w:rPr>
        <w:t xml:space="preserve"> Supra note 12, 38, 44.</w:t>
      </w:r>
    </w:p>
  </w:footnote>
  <w:footnote w:id="109">
    <w:p w14:paraId="5D537945" w14:textId="77777777" w:rsidR="00A06E6E" w:rsidRPr="00791D10" w:rsidRDefault="00000000">
      <w:pPr>
        <w:keepNext/>
        <w:spacing w:line="240" w:lineRule="auto"/>
        <w:jc w:val="both"/>
        <w:rPr>
          <w:rFonts w:ascii="Calibri" w:eastAsia="Times New Roman" w:hAnsi="Calibri" w:cs="Calibri"/>
          <w:sz w:val="18"/>
          <w:szCs w:val="18"/>
        </w:rPr>
      </w:pPr>
      <w:r w:rsidRPr="00791D10">
        <w:rPr>
          <w:rFonts w:ascii="Calibri" w:hAnsi="Calibri" w:cs="Calibri"/>
          <w:sz w:val="18"/>
          <w:szCs w:val="18"/>
          <w:vertAlign w:val="superscript"/>
        </w:rPr>
        <w:footnoteRef/>
      </w:r>
      <w:r w:rsidRPr="00791D10">
        <w:rPr>
          <w:rFonts w:ascii="Calibri" w:eastAsia="Times New Roman" w:hAnsi="Calibri" w:cs="Calibri"/>
          <w:sz w:val="18"/>
          <w:szCs w:val="18"/>
        </w:rPr>
        <w:t xml:space="preserve"> Supra note 44.</w:t>
      </w:r>
    </w:p>
  </w:footnote>
  <w:footnote w:id="110">
    <w:p w14:paraId="66602AD9" w14:textId="77777777" w:rsidR="00A06E6E" w:rsidRPr="00791D10" w:rsidRDefault="00000000">
      <w:pPr>
        <w:keepNext/>
        <w:spacing w:line="240" w:lineRule="auto"/>
        <w:jc w:val="both"/>
        <w:rPr>
          <w:rFonts w:ascii="Calibri" w:eastAsia="Times New Roman" w:hAnsi="Calibri" w:cs="Calibri"/>
          <w:sz w:val="18"/>
          <w:szCs w:val="18"/>
        </w:rPr>
      </w:pPr>
      <w:r w:rsidRPr="00791D10">
        <w:rPr>
          <w:rFonts w:ascii="Calibri" w:hAnsi="Calibri" w:cs="Calibri"/>
          <w:sz w:val="18"/>
          <w:szCs w:val="18"/>
          <w:vertAlign w:val="superscript"/>
        </w:rPr>
        <w:footnoteRef/>
      </w:r>
      <w:r w:rsidRPr="00791D10">
        <w:rPr>
          <w:rFonts w:ascii="Calibri" w:eastAsia="Times New Roman" w:hAnsi="Calibri" w:cs="Calibri"/>
          <w:sz w:val="18"/>
          <w:szCs w:val="18"/>
        </w:rPr>
        <w:t xml:space="preserve"> Supra note 8, § 47</w:t>
      </w:r>
    </w:p>
  </w:footnote>
  <w:footnote w:id="111">
    <w:p w14:paraId="1258BE6C" w14:textId="77777777" w:rsidR="00A06E6E" w:rsidRPr="00791D10" w:rsidRDefault="00000000">
      <w:pPr>
        <w:keepNext/>
        <w:spacing w:line="240" w:lineRule="auto"/>
        <w:jc w:val="both"/>
        <w:rPr>
          <w:rFonts w:ascii="Calibri" w:eastAsia="Times New Roman" w:hAnsi="Calibri" w:cs="Calibri"/>
          <w:sz w:val="18"/>
          <w:szCs w:val="18"/>
        </w:rPr>
      </w:pPr>
      <w:r w:rsidRPr="00791D10">
        <w:rPr>
          <w:rFonts w:ascii="Calibri" w:hAnsi="Calibri" w:cs="Calibri"/>
          <w:sz w:val="18"/>
          <w:szCs w:val="18"/>
          <w:vertAlign w:val="superscript"/>
        </w:rPr>
        <w:footnoteRef/>
      </w:r>
      <w:r w:rsidRPr="00791D10">
        <w:rPr>
          <w:rFonts w:ascii="Calibri" w:eastAsia="Times New Roman" w:hAnsi="Calibri" w:cs="Calibri"/>
          <w:sz w:val="18"/>
          <w:szCs w:val="18"/>
        </w:rPr>
        <w:t xml:space="preserve"> Turan.az, “The Ministry of Justice of Azerbaijan fails to fulfill its obligations to execute sentences for convicts”, 14 March 2022, </w:t>
      </w:r>
      <w:r w:rsidRPr="00791D10">
        <w:rPr>
          <w:rFonts w:ascii="Calibri" w:eastAsia="Times New Roman" w:hAnsi="Calibri" w:cs="Calibri"/>
          <w:color w:val="1F2124"/>
          <w:sz w:val="18"/>
          <w:szCs w:val="18"/>
        </w:rPr>
        <w:t xml:space="preserve"> </w:t>
      </w:r>
      <w:hyperlink r:id="rId78">
        <w:r w:rsidRPr="00791D10">
          <w:rPr>
            <w:rFonts w:ascii="Calibri" w:eastAsia="Times New Roman" w:hAnsi="Calibri" w:cs="Calibri"/>
            <w:color w:val="1155CC"/>
            <w:sz w:val="18"/>
            <w:szCs w:val="18"/>
            <w:u w:val="single"/>
          </w:rPr>
          <w:t>https://www.turan.az/ext/news/2022/3/free/Social/en/2532.htm/001</w:t>
        </w:r>
      </w:hyperlink>
      <w:r w:rsidRPr="00791D10">
        <w:rPr>
          <w:rFonts w:ascii="Calibri" w:eastAsia="Times New Roman" w:hAnsi="Calibri" w:cs="Calibri"/>
          <w:color w:val="1F2124"/>
          <w:sz w:val="18"/>
          <w:szCs w:val="18"/>
        </w:rPr>
        <w:t xml:space="preserve"> </w:t>
      </w:r>
    </w:p>
  </w:footnote>
  <w:footnote w:id="112">
    <w:p w14:paraId="718DE4D0" w14:textId="77777777" w:rsidR="00A06E6E" w:rsidRDefault="00000000">
      <w:pPr>
        <w:keepNext/>
        <w:spacing w:line="240" w:lineRule="auto"/>
        <w:jc w:val="both"/>
        <w:rPr>
          <w:rFonts w:ascii="Times New Roman" w:eastAsia="Times New Roman" w:hAnsi="Times New Roman" w:cs="Times New Roman"/>
          <w:sz w:val="20"/>
          <w:szCs w:val="20"/>
        </w:rPr>
      </w:pPr>
      <w:r w:rsidRPr="00791D10">
        <w:rPr>
          <w:rFonts w:ascii="Calibri" w:hAnsi="Calibri" w:cs="Calibri"/>
          <w:sz w:val="18"/>
          <w:szCs w:val="18"/>
          <w:vertAlign w:val="superscript"/>
        </w:rPr>
        <w:footnoteRef/>
      </w:r>
      <w:r w:rsidRPr="00791D10">
        <w:rPr>
          <w:rFonts w:ascii="Calibri" w:eastAsia="Times New Roman" w:hAnsi="Calibri" w:cs="Calibri"/>
          <w:sz w:val="18"/>
          <w:szCs w:val="18"/>
        </w:rPr>
        <w:t xml:space="preserve"> Supra note 42.</w:t>
      </w:r>
    </w:p>
  </w:footnote>
  <w:footnote w:id="113">
    <w:p w14:paraId="6B8FE683" w14:textId="77777777" w:rsidR="00A06E6E" w:rsidRPr="00791D10" w:rsidRDefault="00000000">
      <w:pPr>
        <w:keepNext/>
        <w:spacing w:line="240" w:lineRule="auto"/>
        <w:jc w:val="both"/>
        <w:rPr>
          <w:rFonts w:ascii="Calibri" w:eastAsia="Times New Roman" w:hAnsi="Calibri" w:cs="Calibri"/>
          <w:sz w:val="18"/>
          <w:szCs w:val="18"/>
        </w:rPr>
      </w:pPr>
      <w:r w:rsidRPr="00791D10">
        <w:rPr>
          <w:rFonts w:ascii="Calibri" w:hAnsi="Calibri" w:cs="Calibri"/>
          <w:sz w:val="18"/>
          <w:szCs w:val="18"/>
          <w:vertAlign w:val="superscript"/>
        </w:rPr>
        <w:footnoteRef/>
      </w:r>
      <w:r w:rsidRPr="00791D10">
        <w:rPr>
          <w:rFonts w:ascii="Calibri" w:eastAsia="Times New Roman" w:hAnsi="Calibri" w:cs="Calibri"/>
          <w:sz w:val="18"/>
          <w:szCs w:val="18"/>
        </w:rPr>
        <w:t xml:space="preserve"> Supra note 44.</w:t>
      </w:r>
    </w:p>
  </w:footnote>
  <w:footnote w:id="114">
    <w:p w14:paraId="0A8B1F9C" w14:textId="77777777" w:rsidR="00A06E6E" w:rsidRPr="00791D10" w:rsidRDefault="00000000">
      <w:pPr>
        <w:keepNext/>
        <w:spacing w:line="240" w:lineRule="auto"/>
        <w:jc w:val="both"/>
        <w:rPr>
          <w:rFonts w:ascii="Calibri" w:eastAsia="Times New Roman" w:hAnsi="Calibri" w:cs="Calibri"/>
          <w:sz w:val="18"/>
          <w:szCs w:val="18"/>
        </w:rPr>
      </w:pPr>
      <w:r w:rsidRPr="00791D10">
        <w:rPr>
          <w:rFonts w:ascii="Calibri" w:hAnsi="Calibri" w:cs="Calibri"/>
          <w:sz w:val="18"/>
          <w:szCs w:val="18"/>
          <w:vertAlign w:val="superscript"/>
        </w:rPr>
        <w:footnoteRef/>
      </w:r>
      <w:r w:rsidRPr="00791D10">
        <w:rPr>
          <w:rFonts w:ascii="Calibri" w:eastAsia="Times New Roman" w:hAnsi="Calibri" w:cs="Calibri"/>
          <w:sz w:val="18"/>
          <w:szCs w:val="18"/>
        </w:rPr>
        <w:t xml:space="preserve"> </w:t>
      </w:r>
      <w:r w:rsidRPr="00791D10">
        <w:rPr>
          <w:rFonts w:ascii="Calibri" w:eastAsia="Times New Roman" w:hAnsi="Calibri" w:cs="Calibri"/>
          <w:sz w:val="18"/>
          <w:szCs w:val="18"/>
        </w:rPr>
        <w:t>Ibid..</w:t>
      </w:r>
    </w:p>
  </w:footnote>
  <w:footnote w:id="115">
    <w:p w14:paraId="16486C6E" w14:textId="77777777" w:rsidR="00A06E6E" w:rsidRPr="00791D10" w:rsidRDefault="00000000">
      <w:pPr>
        <w:keepNext/>
        <w:spacing w:line="240" w:lineRule="auto"/>
        <w:jc w:val="both"/>
        <w:rPr>
          <w:rFonts w:ascii="Calibri" w:eastAsia="Times New Roman" w:hAnsi="Calibri" w:cs="Calibri"/>
          <w:sz w:val="18"/>
          <w:szCs w:val="18"/>
        </w:rPr>
      </w:pPr>
      <w:r w:rsidRPr="00791D10">
        <w:rPr>
          <w:rFonts w:ascii="Calibri" w:hAnsi="Calibri" w:cs="Calibri"/>
          <w:sz w:val="18"/>
          <w:szCs w:val="18"/>
          <w:vertAlign w:val="superscript"/>
        </w:rPr>
        <w:footnoteRef/>
      </w:r>
      <w:r w:rsidRPr="00791D10">
        <w:rPr>
          <w:rFonts w:ascii="Calibri" w:eastAsia="Times New Roman" w:hAnsi="Calibri" w:cs="Calibri"/>
          <w:sz w:val="18"/>
          <w:szCs w:val="18"/>
        </w:rPr>
        <w:t xml:space="preserve"> </w:t>
      </w:r>
      <w:r w:rsidRPr="00791D10">
        <w:rPr>
          <w:rFonts w:ascii="Calibri" w:eastAsia="Times New Roman" w:hAnsi="Calibri" w:cs="Calibri"/>
          <w:sz w:val="18"/>
          <w:szCs w:val="18"/>
        </w:rPr>
        <w:t>Ibid..</w:t>
      </w:r>
    </w:p>
  </w:footnote>
  <w:footnote w:id="116">
    <w:p w14:paraId="737479BF" w14:textId="77777777" w:rsidR="00A06E6E" w:rsidRPr="00791D10" w:rsidRDefault="00000000">
      <w:pPr>
        <w:keepNext/>
        <w:spacing w:line="240" w:lineRule="auto"/>
        <w:jc w:val="both"/>
        <w:rPr>
          <w:rFonts w:ascii="Calibri" w:eastAsia="Times New Roman" w:hAnsi="Calibri" w:cs="Calibri"/>
          <w:sz w:val="18"/>
          <w:szCs w:val="18"/>
        </w:rPr>
      </w:pPr>
      <w:r w:rsidRPr="00791D10">
        <w:rPr>
          <w:rFonts w:ascii="Calibri" w:hAnsi="Calibri" w:cs="Calibri"/>
          <w:sz w:val="18"/>
          <w:szCs w:val="18"/>
          <w:vertAlign w:val="superscript"/>
        </w:rPr>
        <w:footnoteRef/>
      </w:r>
      <w:r w:rsidRPr="00791D10">
        <w:rPr>
          <w:rFonts w:ascii="Calibri" w:eastAsia="Times New Roman" w:hAnsi="Calibri" w:cs="Calibri"/>
          <w:sz w:val="18"/>
          <w:szCs w:val="18"/>
        </w:rPr>
        <w:t xml:space="preserve"> Supra note 44, </w:t>
      </w:r>
      <w:r w:rsidRPr="00791D10">
        <w:rPr>
          <w:rFonts w:ascii="Calibri" w:eastAsia="Times New Roman" w:hAnsi="Calibri" w:cs="Calibri"/>
          <w:i/>
          <w:color w:val="333333"/>
          <w:sz w:val="18"/>
          <w:szCs w:val="18"/>
          <w:highlight w:val="white"/>
        </w:rPr>
        <w:t xml:space="preserve">ii, b), </w:t>
      </w:r>
      <w:r w:rsidRPr="00791D10">
        <w:rPr>
          <w:rFonts w:ascii="Calibri" w:eastAsia="Times New Roman" w:hAnsi="Calibri" w:cs="Calibri"/>
          <w:sz w:val="18"/>
          <w:szCs w:val="18"/>
        </w:rPr>
        <w:t xml:space="preserve">Criminal Procedure Code (CPC), Art. 245.3, </w:t>
      </w:r>
      <w:hyperlink r:id="rId79">
        <w:r w:rsidRPr="00791D10">
          <w:rPr>
            <w:rFonts w:ascii="Calibri" w:eastAsia="Times New Roman" w:hAnsi="Calibri" w:cs="Calibri"/>
            <w:color w:val="1155CC"/>
            <w:sz w:val="18"/>
            <w:szCs w:val="18"/>
            <w:u w:val="single"/>
          </w:rPr>
          <w:t>https://www.e-qanun.az/framework/46950</w:t>
        </w:r>
      </w:hyperlink>
      <w:r w:rsidRPr="00791D10">
        <w:rPr>
          <w:rFonts w:ascii="Calibri" w:eastAsia="Times New Roman" w:hAnsi="Calibri" w:cs="Calibri"/>
          <w:sz w:val="18"/>
          <w:szCs w:val="18"/>
        </w:rPr>
        <w:t>.</w:t>
      </w:r>
    </w:p>
  </w:footnote>
  <w:footnote w:id="117">
    <w:p w14:paraId="566F80A8" w14:textId="77777777" w:rsidR="00A06E6E" w:rsidRPr="00791D10" w:rsidRDefault="00000000">
      <w:pPr>
        <w:keepNext/>
        <w:spacing w:line="240" w:lineRule="auto"/>
        <w:jc w:val="both"/>
        <w:rPr>
          <w:rFonts w:ascii="Calibri" w:eastAsia="Times New Roman" w:hAnsi="Calibri" w:cs="Calibri"/>
          <w:sz w:val="18"/>
          <w:szCs w:val="18"/>
        </w:rPr>
      </w:pPr>
      <w:r w:rsidRPr="00791D10">
        <w:rPr>
          <w:rFonts w:ascii="Calibri" w:hAnsi="Calibri" w:cs="Calibri"/>
          <w:sz w:val="18"/>
          <w:szCs w:val="18"/>
          <w:vertAlign w:val="superscript"/>
        </w:rPr>
        <w:footnoteRef/>
      </w:r>
      <w:r w:rsidRPr="00791D10">
        <w:rPr>
          <w:rFonts w:ascii="Calibri" w:eastAsia="Times New Roman" w:hAnsi="Calibri" w:cs="Calibri"/>
          <w:sz w:val="18"/>
          <w:szCs w:val="18"/>
        </w:rPr>
        <w:t xml:space="preserve"> CPC, Art. 227,232,233, </w:t>
      </w:r>
      <w:hyperlink r:id="rId80">
        <w:r w:rsidRPr="00791D10">
          <w:rPr>
            <w:rFonts w:ascii="Calibri" w:eastAsia="Times New Roman" w:hAnsi="Calibri" w:cs="Calibri"/>
            <w:color w:val="1155CC"/>
            <w:sz w:val="18"/>
            <w:szCs w:val="18"/>
            <w:u w:val="single"/>
          </w:rPr>
          <w:t>https://www.e-qanun.az/framework/46950</w:t>
        </w:r>
      </w:hyperlink>
      <w:r w:rsidRPr="00791D10">
        <w:rPr>
          <w:rFonts w:ascii="Calibri" w:eastAsia="Times New Roman" w:hAnsi="Calibri" w:cs="Calibri"/>
          <w:sz w:val="18"/>
          <w:szCs w:val="18"/>
        </w:rPr>
        <w:t xml:space="preserve">. </w:t>
      </w:r>
    </w:p>
  </w:footnote>
  <w:footnote w:id="118">
    <w:p w14:paraId="0EA79902" w14:textId="77777777" w:rsidR="00A06E6E" w:rsidRPr="00791D10" w:rsidRDefault="00000000">
      <w:pPr>
        <w:keepNext/>
        <w:spacing w:line="240" w:lineRule="auto"/>
        <w:jc w:val="both"/>
        <w:rPr>
          <w:rFonts w:ascii="Calibri" w:eastAsia="Times New Roman" w:hAnsi="Calibri" w:cs="Calibri"/>
          <w:sz w:val="18"/>
          <w:szCs w:val="18"/>
        </w:rPr>
      </w:pPr>
      <w:r w:rsidRPr="00791D10">
        <w:rPr>
          <w:rFonts w:ascii="Calibri" w:hAnsi="Calibri" w:cs="Calibri"/>
          <w:sz w:val="18"/>
          <w:szCs w:val="18"/>
          <w:vertAlign w:val="superscript"/>
        </w:rPr>
        <w:footnoteRef/>
      </w:r>
      <w:r w:rsidRPr="00791D10">
        <w:rPr>
          <w:rFonts w:ascii="Calibri" w:eastAsia="Times New Roman" w:hAnsi="Calibri" w:cs="Calibri"/>
          <w:sz w:val="18"/>
          <w:szCs w:val="18"/>
        </w:rPr>
        <w:t xml:space="preserve"> Supra note 44.</w:t>
      </w:r>
    </w:p>
  </w:footnote>
  <w:footnote w:id="119">
    <w:p w14:paraId="4EA58B63" w14:textId="77777777" w:rsidR="00A06E6E" w:rsidRDefault="00000000" w:rsidP="00791D10">
      <w:pPr>
        <w:keepNext/>
        <w:tabs>
          <w:tab w:val="left" w:pos="284"/>
          <w:tab w:val="left" w:pos="426"/>
          <w:tab w:val="left" w:pos="567"/>
        </w:tabs>
        <w:spacing w:line="240" w:lineRule="auto"/>
        <w:ind w:left="426" w:hanging="426"/>
        <w:jc w:val="both"/>
        <w:rPr>
          <w:rFonts w:ascii="Times New Roman" w:eastAsia="Times New Roman" w:hAnsi="Times New Roman" w:cs="Times New Roman"/>
          <w:sz w:val="20"/>
          <w:szCs w:val="20"/>
        </w:rPr>
      </w:pPr>
      <w:r w:rsidRPr="00791D10">
        <w:rPr>
          <w:rFonts w:ascii="Calibri" w:hAnsi="Calibri" w:cs="Calibri"/>
          <w:sz w:val="18"/>
          <w:szCs w:val="18"/>
          <w:vertAlign w:val="superscript"/>
        </w:rPr>
        <w:footnoteRef/>
      </w:r>
      <w:r w:rsidRPr="00791D10">
        <w:rPr>
          <w:rFonts w:ascii="Calibri" w:eastAsia="Times New Roman" w:hAnsi="Calibri" w:cs="Calibri"/>
          <w:sz w:val="18"/>
          <w:szCs w:val="18"/>
        </w:rPr>
        <w:t xml:space="preserve"> </w:t>
      </w:r>
      <w:r w:rsidRPr="00791D10">
        <w:rPr>
          <w:rFonts w:ascii="Calibri" w:eastAsia="Times New Roman" w:hAnsi="Calibri" w:cs="Calibri"/>
          <w:sz w:val="18"/>
          <w:szCs w:val="18"/>
        </w:rPr>
        <w:t>Ibid..</w:t>
      </w:r>
    </w:p>
  </w:footnote>
  <w:footnote w:id="120">
    <w:p w14:paraId="3FE12E81" w14:textId="77777777" w:rsidR="00A06E6E" w:rsidRDefault="00000000">
      <w:pPr>
        <w:keepNext/>
        <w:spacing w:line="240" w:lineRule="auto"/>
        <w:jc w:val="both"/>
        <w:rPr>
          <w:rFonts w:ascii="Times New Roman" w:eastAsia="Times New Roman" w:hAnsi="Times New Roman" w:cs="Times New Roman"/>
          <w:sz w:val="20"/>
          <w:szCs w:val="20"/>
        </w:rPr>
      </w:pPr>
      <w:r>
        <w:rPr>
          <w:vertAlign w:val="superscript"/>
        </w:rPr>
        <w:footnoteRef/>
      </w:r>
      <w:r>
        <w:rPr>
          <w:rFonts w:ascii="Times New Roman" w:eastAsia="Times New Roman" w:hAnsi="Times New Roman" w:cs="Times New Roman"/>
          <w:i/>
          <w:sz w:val="20"/>
          <w:szCs w:val="20"/>
        </w:rPr>
        <w:t xml:space="preserve"> </w:t>
      </w:r>
      <w:r>
        <w:rPr>
          <w:rFonts w:ascii="Times New Roman" w:eastAsia="Times New Roman" w:hAnsi="Times New Roman" w:cs="Times New Roman"/>
          <w:sz w:val="20"/>
          <w:szCs w:val="20"/>
        </w:rPr>
        <w:t xml:space="preserve">CPC, Art. 125.8, m. 209, </w:t>
      </w:r>
    </w:p>
    <w:p w14:paraId="3CC1E707" w14:textId="77777777" w:rsidR="00A06E6E" w:rsidRDefault="00000000">
      <w:pPr>
        <w:keepNext/>
        <w:spacing w:line="240" w:lineRule="auto"/>
        <w:jc w:val="both"/>
        <w:rPr>
          <w:rFonts w:ascii="Times New Roman" w:eastAsia="Times New Roman" w:hAnsi="Times New Roman" w:cs="Times New Roman"/>
          <w:sz w:val="20"/>
          <w:szCs w:val="20"/>
        </w:rPr>
      </w:pPr>
      <w:hyperlink r:id="rId81">
        <w:r>
          <w:rPr>
            <w:rFonts w:ascii="Times New Roman" w:eastAsia="Times New Roman" w:hAnsi="Times New Roman" w:cs="Times New Roman"/>
            <w:color w:val="0000FF"/>
            <w:sz w:val="20"/>
            <w:szCs w:val="20"/>
            <w:u w:val="single"/>
          </w:rPr>
          <w:t>https://www.e-qanun.az/framework/46950</w:t>
        </w:r>
      </w:hyperlink>
      <w:r>
        <w:rPr>
          <w:rFonts w:ascii="Times New Roman" w:eastAsia="Times New Roman" w:hAnsi="Times New Roman" w:cs="Times New Roman"/>
          <w:sz w:val="20"/>
          <w:szCs w:val="20"/>
        </w:rPr>
        <w:t>.</w:t>
      </w:r>
    </w:p>
  </w:footnote>
  <w:footnote w:id="121">
    <w:p w14:paraId="75C8BB0D" w14:textId="77777777" w:rsidR="00A06E6E" w:rsidRDefault="00000000">
      <w:pPr>
        <w:spacing w:line="240" w:lineRule="auto"/>
        <w:rPr>
          <w:rFonts w:ascii="Times New Roman" w:eastAsia="Times New Roman" w:hAnsi="Times New Roman" w:cs="Times New Roman"/>
          <w:sz w:val="20"/>
          <w:szCs w:val="20"/>
        </w:rPr>
      </w:pPr>
      <w:r>
        <w:rPr>
          <w:vertAlign w:val="superscript"/>
        </w:rPr>
        <w:footnoteRef/>
      </w:r>
      <w:r>
        <w:rPr>
          <w:rFonts w:ascii="Times New Roman" w:eastAsia="Times New Roman" w:hAnsi="Times New Roman" w:cs="Times New Roman"/>
          <w:sz w:val="20"/>
          <w:szCs w:val="20"/>
        </w:rPr>
        <w:t xml:space="preserve"> "I. Aliyev: Fines measured in hundreds of thousands and millions are expected", Meydan TV, September 24, 2016, </w:t>
      </w:r>
      <w:hyperlink r:id="rId82">
        <w:r>
          <w:rPr>
            <w:rFonts w:ascii="Times New Roman" w:eastAsia="Times New Roman" w:hAnsi="Times New Roman" w:cs="Times New Roman"/>
            <w:color w:val="1155CC"/>
            <w:sz w:val="20"/>
            <w:szCs w:val="20"/>
            <w:u w:val="single"/>
          </w:rPr>
          <w:t>https://d9mc3ts4czbpr.cloudfront.net/az/article/intigam-eliyev-yuzminlerle-milyonlarla-olculen-cerimeler-gozlenilir/</w:t>
        </w:r>
      </w:hyperlink>
      <w:r>
        <w:rPr>
          <w:rFonts w:ascii="Times New Roman" w:eastAsia="Times New Roman" w:hAnsi="Times New Roman" w:cs="Times New Roman"/>
          <w:sz w:val="20"/>
          <w:szCs w:val="20"/>
        </w:rPr>
        <w:t xml:space="preserve">. </w:t>
      </w:r>
    </w:p>
  </w:footnote>
  <w:footnote w:id="122">
    <w:p w14:paraId="30BCD4D0" w14:textId="77777777" w:rsidR="00A06E6E" w:rsidRDefault="00000000">
      <w:pPr>
        <w:keepNext/>
        <w:spacing w:line="240" w:lineRule="auto"/>
        <w:jc w:val="both"/>
        <w:rPr>
          <w:rFonts w:ascii="Times New Roman" w:eastAsia="Times New Roman" w:hAnsi="Times New Roman" w:cs="Times New Roman"/>
          <w:sz w:val="20"/>
          <w:szCs w:val="20"/>
        </w:rPr>
      </w:pPr>
      <w:r>
        <w:rPr>
          <w:vertAlign w:val="superscript"/>
        </w:rPr>
        <w:footnoteRef/>
      </w:r>
      <w:r>
        <w:rPr>
          <w:rFonts w:ascii="Times New Roman" w:eastAsia="Times New Roman" w:hAnsi="Times New Roman" w:cs="Times New Roman"/>
          <w:sz w:val="20"/>
          <w:szCs w:val="20"/>
        </w:rPr>
        <w:t xml:space="preserve"> </w:t>
      </w:r>
      <w:r>
        <w:rPr>
          <w:rFonts w:ascii="Times New Roman" w:eastAsia="Times New Roman" w:hAnsi="Times New Roman" w:cs="Times New Roman"/>
          <w:color w:val="080808"/>
          <w:sz w:val="20"/>
          <w:szCs w:val="20"/>
          <w:highlight w:val="white"/>
        </w:rPr>
        <w:t xml:space="preserve">R. </w:t>
      </w:r>
      <w:r>
        <w:rPr>
          <w:rFonts w:ascii="Times New Roman" w:eastAsia="Times New Roman" w:hAnsi="Times New Roman" w:cs="Times New Roman"/>
          <w:color w:val="080808"/>
          <w:sz w:val="20"/>
          <w:szCs w:val="20"/>
          <w:highlight w:val="white"/>
        </w:rPr>
        <w:t xml:space="preserve">Remezaite and U. Aliyeva, </w:t>
      </w:r>
      <w:r>
        <w:rPr>
          <w:rFonts w:ascii="Times New Roman" w:eastAsia="Times New Roman" w:hAnsi="Times New Roman" w:cs="Times New Roman"/>
          <w:sz w:val="20"/>
          <w:szCs w:val="20"/>
        </w:rPr>
        <w:t xml:space="preserve">Council of Europe’s old pandemic: ‘endemic’ ill-treatment and torture in custody in Azerbaijan, 23 </w:t>
      </w:r>
      <w:hyperlink r:id="rId83">
        <w:r>
          <w:rPr>
            <w:rFonts w:ascii="Times New Roman" w:eastAsia="Times New Roman" w:hAnsi="Times New Roman" w:cs="Times New Roman"/>
            <w:sz w:val="20"/>
            <w:szCs w:val="20"/>
            <w:highlight w:val="white"/>
          </w:rPr>
          <w:t xml:space="preserve">July 2020, </w:t>
        </w:r>
      </w:hyperlink>
    </w:p>
    <w:p w14:paraId="573D0967" w14:textId="77777777" w:rsidR="00A06E6E" w:rsidRDefault="00000000">
      <w:pPr>
        <w:keepNext/>
        <w:spacing w:line="240" w:lineRule="auto"/>
        <w:jc w:val="both"/>
        <w:rPr>
          <w:rFonts w:ascii="Times New Roman" w:eastAsia="Times New Roman" w:hAnsi="Times New Roman" w:cs="Times New Roman"/>
          <w:sz w:val="20"/>
          <w:szCs w:val="20"/>
        </w:rPr>
      </w:pPr>
      <w:hyperlink r:id="rId84">
        <w:r>
          <w:rPr>
            <w:rFonts w:ascii="Times New Roman" w:eastAsia="Times New Roman" w:hAnsi="Times New Roman" w:cs="Times New Roman"/>
            <w:color w:val="0000FF"/>
            <w:sz w:val="20"/>
            <w:szCs w:val="20"/>
            <w:u w:val="single"/>
          </w:rPr>
          <w:t>https://www.einnetwork.org/ein-voices/2020/7/23/council-of-europes-old-pandemic-endemic-ill-treatment-and-torture-in-custody-in-azerbaijan</w:t>
        </w:r>
      </w:hyperlink>
      <w:r>
        <w:rPr>
          <w:rFonts w:ascii="Times New Roman" w:eastAsia="Times New Roman" w:hAnsi="Times New Roman" w:cs="Times New Roman"/>
          <w:sz w:val="20"/>
          <w:szCs w:val="20"/>
        </w:rPr>
        <w:t xml:space="preserv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7D97999" w14:textId="77777777" w:rsidR="003D6D67" w:rsidRDefault="003D6D67" w:rsidP="003D6D67">
    <w:pPr>
      <w:jc w:val="center"/>
      <w:rPr>
        <w:rFonts w:ascii="Calibri" w:eastAsia="Calibri" w:hAnsi="Calibri" w:cs="Calibri"/>
        <w:b/>
        <w:sz w:val="24"/>
        <w:szCs w:val="24"/>
      </w:rPr>
    </w:pPr>
    <w:r>
      <w:rPr>
        <w:rFonts w:ascii="Calibri" w:eastAsia="Calibri" w:hAnsi="Calibri" w:cs="Calibri"/>
        <w:b/>
        <w:sz w:val="24"/>
        <w:szCs w:val="24"/>
      </w:rPr>
      <w:t>Unheard Voices: The Plight of Ill-treatment in Closed Institutions in Azerbaijan</w:t>
    </w:r>
  </w:p>
  <w:p w14:paraId="6E79409E" w14:textId="77777777" w:rsidR="003D6D67" w:rsidRDefault="003D6D67" w:rsidP="003D6D67">
    <w:pPr>
      <w:pStyle w:val="Header"/>
      <w:jc w:val="cent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8519A"/>
    <w:multiLevelType w:val="multilevel"/>
    <w:tmpl w:val="6AC69CF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117160DE"/>
    <w:multiLevelType w:val="hybridMultilevel"/>
    <w:tmpl w:val="678E386C"/>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25DE76B5"/>
    <w:multiLevelType w:val="hybridMultilevel"/>
    <w:tmpl w:val="9712FEC8"/>
    <w:lvl w:ilvl="0" w:tplc="9EE426E6">
      <w:start w:val="10"/>
      <w:numFmt w:val="bullet"/>
      <w:lvlText w:val="-"/>
      <w:lvlJc w:val="left"/>
      <w:pPr>
        <w:ind w:left="928" w:hanging="360"/>
      </w:pPr>
      <w:rPr>
        <w:rFonts w:ascii="Calibri" w:eastAsia="Calibri" w:hAnsi="Calibri" w:cs="Calibri"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3" w15:restartNumberingAfterBreak="0">
    <w:nsid w:val="340321D8"/>
    <w:multiLevelType w:val="hybridMultilevel"/>
    <w:tmpl w:val="1E365F6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4D550CFD"/>
    <w:multiLevelType w:val="hybridMultilevel"/>
    <w:tmpl w:val="8E50FE38"/>
    <w:lvl w:ilvl="0" w:tplc="9EE426E6">
      <w:start w:val="10"/>
      <w:numFmt w:val="bullet"/>
      <w:lvlText w:val="-"/>
      <w:lvlJc w:val="left"/>
      <w:pPr>
        <w:ind w:left="644" w:hanging="360"/>
      </w:pPr>
      <w:rPr>
        <w:rFonts w:ascii="Calibri" w:eastAsia="Calibri" w:hAnsi="Calibri" w:cs="Calibri" w:hint="default"/>
      </w:rPr>
    </w:lvl>
    <w:lvl w:ilvl="1" w:tplc="04090003">
      <w:start w:val="1"/>
      <w:numFmt w:val="bullet"/>
      <w:lvlText w:val="o"/>
      <w:lvlJc w:val="left"/>
      <w:pPr>
        <w:ind w:left="1364" w:hanging="360"/>
      </w:pPr>
      <w:rPr>
        <w:rFonts w:ascii="Courier New" w:hAnsi="Courier New" w:cs="Courier New" w:hint="default"/>
      </w:rPr>
    </w:lvl>
    <w:lvl w:ilvl="2" w:tplc="04090005" w:tentative="1">
      <w:start w:val="1"/>
      <w:numFmt w:val="bullet"/>
      <w:lvlText w:val=""/>
      <w:lvlJc w:val="left"/>
      <w:pPr>
        <w:ind w:left="2084" w:hanging="360"/>
      </w:pPr>
      <w:rPr>
        <w:rFonts w:ascii="Wingdings" w:hAnsi="Wingdings" w:hint="default"/>
      </w:rPr>
    </w:lvl>
    <w:lvl w:ilvl="3" w:tplc="04090001" w:tentative="1">
      <w:start w:val="1"/>
      <w:numFmt w:val="bullet"/>
      <w:lvlText w:val=""/>
      <w:lvlJc w:val="left"/>
      <w:pPr>
        <w:ind w:left="2804" w:hanging="360"/>
      </w:pPr>
      <w:rPr>
        <w:rFonts w:ascii="Symbol" w:hAnsi="Symbol" w:hint="default"/>
      </w:rPr>
    </w:lvl>
    <w:lvl w:ilvl="4" w:tplc="04090003" w:tentative="1">
      <w:start w:val="1"/>
      <w:numFmt w:val="bullet"/>
      <w:lvlText w:val="o"/>
      <w:lvlJc w:val="left"/>
      <w:pPr>
        <w:ind w:left="3524" w:hanging="360"/>
      </w:pPr>
      <w:rPr>
        <w:rFonts w:ascii="Courier New" w:hAnsi="Courier New" w:cs="Courier New" w:hint="default"/>
      </w:rPr>
    </w:lvl>
    <w:lvl w:ilvl="5" w:tplc="04090005" w:tentative="1">
      <w:start w:val="1"/>
      <w:numFmt w:val="bullet"/>
      <w:lvlText w:val=""/>
      <w:lvlJc w:val="left"/>
      <w:pPr>
        <w:ind w:left="4244" w:hanging="360"/>
      </w:pPr>
      <w:rPr>
        <w:rFonts w:ascii="Wingdings" w:hAnsi="Wingdings" w:hint="default"/>
      </w:rPr>
    </w:lvl>
    <w:lvl w:ilvl="6" w:tplc="04090001" w:tentative="1">
      <w:start w:val="1"/>
      <w:numFmt w:val="bullet"/>
      <w:lvlText w:val=""/>
      <w:lvlJc w:val="left"/>
      <w:pPr>
        <w:ind w:left="4964" w:hanging="360"/>
      </w:pPr>
      <w:rPr>
        <w:rFonts w:ascii="Symbol" w:hAnsi="Symbol" w:hint="default"/>
      </w:rPr>
    </w:lvl>
    <w:lvl w:ilvl="7" w:tplc="04090003" w:tentative="1">
      <w:start w:val="1"/>
      <w:numFmt w:val="bullet"/>
      <w:lvlText w:val="o"/>
      <w:lvlJc w:val="left"/>
      <w:pPr>
        <w:ind w:left="5684" w:hanging="360"/>
      </w:pPr>
      <w:rPr>
        <w:rFonts w:ascii="Courier New" w:hAnsi="Courier New" w:cs="Courier New" w:hint="default"/>
      </w:rPr>
    </w:lvl>
    <w:lvl w:ilvl="8" w:tplc="04090005" w:tentative="1">
      <w:start w:val="1"/>
      <w:numFmt w:val="bullet"/>
      <w:lvlText w:val=""/>
      <w:lvlJc w:val="left"/>
      <w:pPr>
        <w:ind w:left="6404" w:hanging="360"/>
      </w:pPr>
      <w:rPr>
        <w:rFonts w:ascii="Wingdings" w:hAnsi="Wingdings" w:hint="default"/>
      </w:rPr>
    </w:lvl>
  </w:abstractNum>
  <w:abstractNum w:abstractNumId="5" w15:restartNumberingAfterBreak="0">
    <w:nsid w:val="59E14E46"/>
    <w:multiLevelType w:val="hybridMultilevel"/>
    <w:tmpl w:val="447EECE4"/>
    <w:lvl w:ilvl="0" w:tplc="A5568290">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6B3361E2"/>
    <w:multiLevelType w:val="hybridMultilevel"/>
    <w:tmpl w:val="F3A8208E"/>
    <w:lvl w:ilvl="0" w:tplc="04090001">
      <w:start w:val="1"/>
      <w:numFmt w:val="bullet"/>
      <w:lvlText w:val=""/>
      <w:lvlJc w:val="left"/>
      <w:pPr>
        <w:ind w:left="1004" w:hanging="360"/>
      </w:pPr>
      <w:rPr>
        <w:rFonts w:ascii="Symbol" w:hAnsi="Symbo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7" w15:restartNumberingAfterBreak="0">
    <w:nsid w:val="7FE961BA"/>
    <w:multiLevelType w:val="multilevel"/>
    <w:tmpl w:val="BFBC0A24"/>
    <w:lvl w:ilvl="0">
      <w:start w:val="1"/>
      <w:numFmt w:val="upperRoman"/>
      <w:lvlText w:val="%1."/>
      <w:lvlJc w:val="right"/>
      <w:pPr>
        <w:ind w:left="720" w:hanging="360"/>
      </w:pPr>
      <w:rPr>
        <w:u w:val="none"/>
      </w:rPr>
    </w:lvl>
    <w:lvl w:ilvl="1">
      <w:start w:val="1"/>
      <w:numFmt w:val="upperLetter"/>
      <w:lvlText w:val="%2."/>
      <w:lvlJc w:val="left"/>
      <w:pPr>
        <w:ind w:left="1440" w:hanging="360"/>
      </w:pPr>
      <w:rPr>
        <w:u w:val="none"/>
      </w:rPr>
    </w:lvl>
    <w:lvl w:ilvl="2">
      <w:start w:val="1"/>
      <w:numFmt w:val="decimal"/>
      <w:lvlText w:val="%3."/>
      <w:lvlJc w:val="left"/>
      <w:pPr>
        <w:ind w:left="2160" w:hanging="360"/>
      </w:pPr>
      <w:rPr>
        <w:u w:val="none"/>
      </w:rPr>
    </w:lvl>
    <w:lvl w:ilvl="3">
      <w:start w:val="1"/>
      <w:numFmt w:val="lowerLetter"/>
      <w:lvlText w:val="%4)"/>
      <w:lvlJc w:val="left"/>
      <w:pPr>
        <w:ind w:left="2880" w:hanging="360"/>
      </w:pPr>
      <w:rPr>
        <w:u w:val="none"/>
      </w:rPr>
    </w:lvl>
    <w:lvl w:ilvl="4">
      <w:start w:val="1"/>
      <w:numFmt w:val="decimal"/>
      <w:lvlText w:val="(%5)"/>
      <w:lvlJc w:val="left"/>
      <w:pPr>
        <w:ind w:left="3600" w:hanging="360"/>
      </w:pPr>
      <w:rPr>
        <w:u w:val="none"/>
      </w:rPr>
    </w:lvl>
    <w:lvl w:ilvl="5">
      <w:start w:val="1"/>
      <w:numFmt w:val="lowerLetter"/>
      <w:lvlText w:val="(%6)"/>
      <w:lvlJc w:val="left"/>
      <w:pPr>
        <w:ind w:left="4320" w:hanging="360"/>
      </w:pPr>
      <w:rPr>
        <w:u w:val="none"/>
      </w:rPr>
    </w:lvl>
    <w:lvl w:ilvl="6">
      <w:start w:val="1"/>
      <w:numFmt w:val="lowerRoman"/>
      <w:lvlText w:val="(%7)"/>
      <w:lvlJc w:val="righ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num w:numId="1" w16cid:durableId="1209301747">
    <w:abstractNumId w:val="7"/>
  </w:num>
  <w:num w:numId="2" w16cid:durableId="117719837">
    <w:abstractNumId w:val="0"/>
  </w:num>
  <w:num w:numId="3" w16cid:durableId="2002002507">
    <w:abstractNumId w:val="5"/>
  </w:num>
  <w:num w:numId="4" w16cid:durableId="1250000703">
    <w:abstractNumId w:val="3"/>
  </w:num>
  <w:num w:numId="5" w16cid:durableId="483743989">
    <w:abstractNumId w:val="6"/>
  </w:num>
  <w:num w:numId="6" w16cid:durableId="1758939325">
    <w:abstractNumId w:val="4"/>
  </w:num>
  <w:num w:numId="7" w16cid:durableId="1769545451">
    <w:abstractNumId w:val="1"/>
  </w:num>
  <w:num w:numId="8" w16cid:durableId="49731208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66"/>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06E6E"/>
    <w:rsid w:val="00001432"/>
    <w:rsid w:val="00102518"/>
    <w:rsid w:val="001F2405"/>
    <w:rsid w:val="003C5ABB"/>
    <w:rsid w:val="003D6D67"/>
    <w:rsid w:val="00634BD7"/>
    <w:rsid w:val="006B3AD4"/>
    <w:rsid w:val="006E087A"/>
    <w:rsid w:val="00791D10"/>
    <w:rsid w:val="007B2ABE"/>
    <w:rsid w:val="00875368"/>
    <w:rsid w:val="00A06E6E"/>
    <w:rsid w:val="00A14332"/>
    <w:rsid w:val="00BD1F30"/>
    <w:rsid w:val="00C01F33"/>
    <w:rsid w:val="00D10917"/>
    <w:rsid w:val="00F32568"/>
  </w:rsids>
  <m:mathPr>
    <m:mathFont m:val="Cambria Math"/>
    <m:brkBin m:val="before"/>
    <m:brkBinSub m:val="--"/>
    <m:smallFrac m:val="0"/>
    <m:dispDef/>
    <m:lMargin m:val="0"/>
    <m:rMargin m:val="0"/>
    <m:defJc m:val="centerGroup"/>
    <m:wrapIndent m:val="1440"/>
    <m:intLim m:val="subSup"/>
    <m:naryLim m:val="undOvr"/>
  </m:mathPr>
  <w:themeFontLang w:val="en-AZ"/>
  <w:clrSchemeMapping w:bg1="light1" w:t1="dark1" w:bg2="light2" w:t2="dark2" w:accent1="accent1" w:accent2="accent2" w:accent3="accent3" w:accent4="accent4" w:accent5="accent5" w:accent6="accent6" w:hyperlink="hyperlink" w:followedHyperlink="followedHyperlink"/>
  <w:decimalSymbol w:val=","/>
  <w:listSeparator w:val=","/>
  <w14:docId w14:val="4D9BE29D"/>
  <w15:docId w15:val="{5C13E9CE-9F30-9D47-91F5-43D8A8BBD51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en-US" w:eastAsia="en-US"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00" w:after="120"/>
      <w:outlineLvl w:val="0"/>
    </w:pPr>
    <w:rPr>
      <w:sz w:val="40"/>
      <w:szCs w:val="40"/>
    </w:rPr>
  </w:style>
  <w:style w:type="paragraph" w:styleId="Heading2">
    <w:name w:val="heading 2"/>
    <w:basedOn w:val="Normal"/>
    <w:next w:val="Normal"/>
    <w:uiPriority w:val="9"/>
    <w:semiHidden/>
    <w:unhideWhenUsed/>
    <w:qFormat/>
    <w:pPr>
      <w:keepNext/>
      <w:keepLines/>
      <w:spacing w:before="360" w:after="120"/>
      <w:outlineLvl w:val="1"/>
    </w:pPr>
    <w:rPr>
      <w:sz w:val="32"/>
      <w:szCs w:val="32"/>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 w:type="table" w:customStyle="1" w:styleId="a">
    <w:basedOn w:val="TableNormal"/>
    <w:tblPr>
      <w:tblStyleRowBandSize w:val="1"/>
      <w:tblStyleColBandSize w:val="1"/>
      <w:tblCellMar>
        <w:left w:w="115" w:type="dxa"/>
        <w:right w:w="115" w:type="dxa"/>
      </w:tblCellMar>
    </w:tblPr>
    <w:tcPr>
      <w:shd w:val="clear" w:color="auto" w:fill="FFFFFF"/>
    </w:tcPr>
  </w:style>
  <w:style w:type="paragraph" w:styleId="NormalWeb">
    <w:name w:val="Normal (Web)"/>
    <w:basedOn w:val="Normal"/>
    <w:uiPriority w:val="99"/>
    <w:unhideWhenUsed/>
    <w:rsid w:val="003D6D67"/>
    <w:pPr>
      <w:spacing w:before="100" w:beforeAutospacing="1" w:after="100" w:afterAutospacing="1" w:line="240" w:lineRule="auto"/>
    </w:pPr>
    <w:rPr>
      <w:rFonts w:ascii="Times New Roman" w:eastAsia="Times New Roman" w:hAnsi="Times New Roman" w:cs="Times New Roman"/>
      <w:sz w:val="24"/>
      <w:szCs w:val="24"/>
      <w:lang w:val="en-AZ"/>
    </w:rPr>
  </w:style>
  <w:style w:type="character" w:styleId="Strong">
    <w:name w:val="Strong"/>
    <w:basedOn w:val="DefaultParagraphFont"/>
    <w:uiPriority w:val="22"/>
    <w:qFormat/>
    <w:rsid w:val="003D6D67"/>
    <w:rPr>
      <w:b/>
      <w:bCs/>
    </w:rPr>
  </w:style>
  <w:style w:type="character" w:styleId="Hyperlink">
    <w:name w:val="Hyperlink"/>
    <w:basedOn w:val="DefaultParagraphFont"/>
    <w:uiPriority w:val="99"/>
    <w:unhideWhenUsed/>
    <w:rsid w:val="003D6D67"/>
    <w:rPr>
      <w:color w:val="0000FF" w:themeColor="hyperlink"/>
      <w:u w:val="single"/>
    </w:rPr>
  </w:style>
  <w:style w:type="character" w:styleId="UnresolvedMention">
    <w:name w:val="Unresolved Mention"/>
    <w:basedOn w:val="DefaultParagraphFont"/>
    <w:uiPriority w:val="99"/>
    <w:semiHidden/>
    <w:unhideWhenUsed/>
    <w:rsid w:val="003D6D67"/>
    <w:rPr>
      <w:color w:val="605E5C"/>
      <w:shd w:val="clear" w:color="auto" w:fill="E1DFDD"/>
    </w:rPr>
  </w:style>
  <w:style w:type="paragraph" w:styleId="Header">
    <w:name w:val="header"/>
    <w:basedOn w:val="Normal"/>
    <w:link w:val="HeaderChar"/>
    <w:uiPriority w:val="99"/>
    <w:unhideWhenUsed/>
    <w:rsid w:val="003D6D67"/>
    <w:pPr>
      <w:tabs>
        <w:tab w:val="center" w:pos="4680"/>
        <w:tab w:val="right" w:pos="9360"/>
      </w:tabs>
      <w:spacing w:line="240" w:lineRule="auto"/>
    </w:pPr>
  </w:style>
  <w:style w:type="character" w:customStyle="1" w:styleId="HeaderChar">
    <w:name w:val="Header Char"/>
    <w:basedOn w:val="DefaultParagraphFont"/>
    <w:link w:val="Header"/>
    <w:uiPriority w:val="99"/>
    <w:rsid w:val="003D6D67"/>
  </w:style>
  <w:style w:type="paragraph" w:styleId="Footer">
    <w:name w:val="footer"/>
    <w:basedOn w:val="Normal"/>
    <w:link w:val="FooterChar"/>
    <w:uiPriority w:val="99"/>
    <w:unhideWhenUsed/>
    <w:rsid w:val="003D6D67"/>
    <w:pPr>
      <w:tabs>
        <w:tab w:val="center" w:pos="4680"/>
        <w:tab w:val="right" w:pos="9360"/>
      </w:tabs>
      <w:spacing w:line="240" w:lineRule="auto"/>
    </w:pPr>
  </w:style>
  <w:style w:type="character" w:customStyle="1" w:styleId="FooterChar">
    <w:name w:val="Footer Char"/>
    <w:basedOn w:val="DefaultParagraphFont"/>
    <w:link w:val="Footer"/>
    <w:uiPriority w:val="99"/>
    <w:rsid w:val="003D6D67"/>
  </w:style>
  <w:style w:type="paragraph" w:styleId="ListParagraph">
    <w:name w:val="List Paragraph"/>
    <w:basedOn w:val="Normal"/>
    <w:uiPriority w:val="34"/>
    <w:qFormat/>
    <w:rsid w:val="003D6D67"/>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mailto:fmnamazov@gmail.com"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1.xml"/><Relationship Id="rId5" Type="http://schemas.openxmlformats.org/officeDocument/2006/relationships/footnotes" Target="footnotes.xml"/><Relationship Id="rId10" Type="http://schemas.openxmlformats.org/officeDocument/2006/relationships/image" Target="media/image3.png"/><Relationship Id="rId4" Type="http://schemas.openxmlformats.org/officeDocument/2006/relationships/webSettings" Target="webSettings.xml"/><Relationship Id="rId9" Type="http://schemas.openxmlformats.org/officeDocument/2006/relationships/image" Target="media/image2.png"/></Relationships>
</file>

<file path=word/_rels/footnotes.xml.rels><?xml version="1.0" encoding="UTF-8" standalone="yes"?>
<Relationships xmlns="http://schemas.openxmlformats.org/package/2006/relationships"><Relationship Id="rId26" Type="http://schemas.openxmlformats.org/officeDocument/2006/relationships/hyperlink" Target="https://www.bbc.com/azeri/azerbaijan-44882594" TargetMode="External"/><Relationship Id="rId21" Type="http://schemas.openxmlformats.org/officeDocument/2006/relationships/hyperlink" Target="https://modern.az/az/news/233482" TargetMode="External"/><Relationship Id="rId42" Type="http://schemas.openxmlformats.org/officeDocument/2006/relationships/hyperlink" Target="https://hudoc.echr.coe.int/eng" TargetMode="External"/><Relationship Id="rId47" Type="http://schemas.openxmlformats.org/officeDocument/2006/relationships/hyperlink" Target="https://abzas.org/2022/8/isgnclr-leyhin-arasdrmaf2a13c76-8/" TargetMode="External"/><Relationship Id="rId63" Type="http://schemas.openxmlformats.org/officeDocument/2006/relationships/hyperlink" Target="https://hudoc.echr.coe.int/eng" TargetMode="External"/><Relationship Id="rId68" Type="http://schemas.openxmlformats.org/officeDocument/2006/relationships/hyperlink" Target="https://hudoc.echr.coe.int/eng" TargetMode="External"/><Relationship Id="rId84" Type="http://schemas.openxmlformats.org/officeDocument/2006/relationships/hyperlink" Target="https://www.einnetwork.org/ein-voices/2020/7/23/council-of-europes-old-pandemic-endemic-ill-treatment-and-torture-in-custody-in-azerbaijan" TargetMode="External"/><Relationship Id="rId16" Type="http://schemas.openxmlformats.org/officeDocument/2006/relationships/hyperlink" Target="https://hudoc.cpt.coe.int/eng" TargetMode="External"/><Relationship Id="rId11" Type="http://schemas.openxmlformats.org/officeDocument/2006/relationships/hyperlink" Target="https://hudoc.cpt.coe.int/eng?i=p-aze-20171023-en-7" TargetMode="External"/><Relationship Id="rId32" Type="http://schemas.openxmlformats.org/officeDocument/2006/relationships/hyperlink" Target="https://www.bbc.com/azeri/azerbaijan-65968546" TargetMode="External"/><Relationship Id="rId37" Type="http://schemas.openxmlformats.org/officeDocument/2006/relationships/hyperlink" Target="https://e-qanun.az/framework/16054" TargetMode="External"/><Relationship Id="rId53" Type="http://schemas.openxmlformats.org/officeDocument/2006/relationships/hyperlink" Target="https://www.hrw.org/world-report/2022/country-chapters/azerbaijan" TargetMode="External"/><Relationship Id="rId58" Type="http://schemas.openxmlformats.org/officeDocument/2006/relationships/hyperlink" Target="https://hudoc.echr.coe.int/eng" TargetMode="External"/><Relationship Id="rId74" Type="http://schemas.openxmlformats.org/officeDocument/2006/relationships/hyperlink" Target="https://hudoc.exec.coe.int/eng?i=004-1611" TargetMode="External"/><Relationship Id="rId79" Type="http://schemas.openxmlformats.org/officeDocument/2006/relationships/hyperlink" Target="https://www.e-qanun.az/framework/46950" TargetMode="External"/><Relationship Id="rId5" Type="http://schemas.openxmlformats.org/officeDocument/2006/relationships/hyperlink" Target="https://hudoc.cpt.coe.int/eng?i=p-aze-20171023-en-7" TargetMode="External"/><Relationship Id="rId61" Type="http://schemas.openxmlformats.org/officeDocument/2006/relationships/hyperlink" Target="https://hudoc.echr.coe.int/eng" TargetMode="External"/><Relationship Id="rId82" Type="http://schemas.openxmlformats.org/officeDocument/2006/relationships/hyperlink" Target="https://d9mc3ts4czbpr.cloudfront.net/az/article/intigam-eliyev-yuzminlerle-milyonlarla-olculen-cerimeler-gozlenilir/" TargetMode="External"/><Relationship Id="rId19" Type="http://schemas.openxmlformats.org/officeDocument/2006/relationships/hyperlink" Target="https://azerbaijan.un.org/sites/default/files/2021-01/3.%20Compilation%20of%20Concluding%20Observations%20of%20CAT%2C%20CCPR%20and%20CERD.pdf" TargetMode="External"/><Relationship Id="rId14" Type="http://schemas.openxmlformats.org/officeDocument/2006/relationships/hyperlink" Target="https://www.coe.int/en/web/cpt/-/council-of-europe-anti-torture-committee-cpt-carries-out-a-visit-to-azerbaijan" TargetMode="External"/><Relationship Id="rId22" Type="http://schemas.openxmlformats.org/officeDocument/2006/relationships/hyperlink" Target="https://mia.gov.az/az/menu/30186" TargetMode="External"/><Relationship Id="rId27" Type="http://schemas.openxmlformats.org/officeDocument/2006/relationships/hyperlink" Target="https://hudoc.exec.coe.int/eng?i=004-1759" TargetMode="External"/><Relationship Id="rId30" Type="http://schemas.openxmlformats.org/officeDocument/2006/relationships/hyperlink" Target="https://www.americaninsesi.org/a/7176214.html" TargetMode="External"/><Relationship Id="rId35" Type="http://schemas.openxmlformats.org/officeDocument/2006/relationships/hyperlink" Target="https://hudoc.echr.coe.int/eng" TargetMode="External"/><Relationship Id="rId43" Type="http://schemas.openxmlformats.org/officeDocument/2006/relationships/hyperlink" Target="https://hudoc.echr.coe.int/eng" TargetMode="External"/><Relationship Id="rId48" Type="http://schemas.openxmlformats.org/officeDocument/2006/relationships/hyperlink" Target="https://hudoc.echr.coe.int/eng" TargetMode="External"/><Relationship Id="rId56" Type="http://schemas.openxmlformats.org/officeDocument/2006/relationships/hyperlink" Target="https://freedomhouse.org/country/azerbaijan/freedom-world/2022" TargetMode="External"/><Relationship Id="rId64" Type="http://schemas.openxmlformats.org/officeDocument/2006/relationships/hyperlink" Target="https://hudoc.echr.coe.int/eng" TargetMode="External"/><Relationship Id="rId69" Type="http://schemas.openxmlformats.org/officeDocument/2006/relationships/hyperlink" Target="https://hudoc.echr.coe.int/eng" TargetMode="External"/><Relationship Id="rId77" Type="http://schemas.openxmlformats.org/officeDocument/2006/relationships/hyperlink" Target="https://hudoc.exec.coe.int/eng?i=CM/Del/Dec(2019)1340/H46-3E" TargetMode="External"/><Relationship Id="rId8" Type="http://schemas.openxmlformats.org/officeDocument/2006/relationships/hyperlink" Target="https://www.state.gov/reports/2021-country-reports-on-human-rights-practices/azerbaijan/" TargetMode="External"/><Relationship Id="rId51" Type="http://schemas.openxmlformats.org/officeDocument/2006/relationships/hyperlink" Target="https://www.hrw.org/world-report/2021/country-chapters/azerbaijan" TargetMode="External"/><Relationship Id="rId72" Type="http://schemas.openxmlformats.org/officeDocument/2006/relationships/hyperlink" Target="https://hudoc.exec.coe.int/?i=004-1759" TargetMode="External"/><Relationship Id="rId80" Type="http://schemas.openxmlformats.org/officeDocument/2006/relationships/hyperlink" Target="https://www.e-qanun.az/framework/46950" TargetMode="External"/><Relationship Id="rId3" Type="http://schemas.openxmlformats.org/officeDocument/2006/relationships/hyperlink" Target="https://rm.coe.int/1680696a70" TargetMode="External"/><Relationship Id="rId12" Type="http://schemas.openxmlformats.org/officeDocument/2006/relationships/hyperlink" Target="https://www.bbc.com/azeri/azerbaijan-44878258" TargetMode="External"/><Relationship Id="rId17" Type="http://schemas.openxmlformats.org/officeDocument/2006/relationships/hyperlink" Target="https://rm.coe.int/1680a29ba1" TargetMode="External"/><Relationship Id="rId25" Type="http://schemas.openxmlformats.org/officeDocument/2006/relationships/hyperlink" Target="https://report.az/daxili-siyaset/bu-il-7-nefer-daxili-isler-orqanlarindan-xaric-edilib-16-si-vezifesinden-azad-olunub/" TargetMode="External"/><Relationship Id="rId33" Type="http://schemas.openxmlformats.org/officeDocument/2006/relationships/hyperlink" Target="https://gozetci.az/2023/12/30590" TargetMode="External"/><Relationship Id="rId38" Type="http://schemas.openxmlformats.org/officeDocument/2006/relationships/hyperlink" Target="https://ombudsman.az/az/view/pages/68" TargetMode="External"/><Relationship Id="rId46" Type="http://schemas.openxmlformats.org/officeDocument/2006/relationships/hyperlink" Target="https://www.azerbaycanrealligi.com/cmiyyt/7201-gnclr-leyhin-aradrmalar-mrkzi-ctimai-birliyinin-insan-hquqlarna-dair-hesabat.html" TargetMode="External"/><Relationship Id="rId59" Type="http://schemas.openxmlformats.org/officeDocument/2006/relationships/hyperlink" Target="https://hudoc.echr.coe.int/eng" TargetMode="External"/><Relationship Id="rId67" Type="http://schemas.openxmlformats.org/officeDocument/2006/relationships/hyperlink" Target="https://hudoc.echr.coe.int/eng" TargetMode="External"/><Relationship Id="rId20" Type="http://schemas.openxmlformats.org/officeDocument/2006/relationships/hyperlink" Target="https://rm.coe.int/16808c5e48" TargetMode="External"/><Relationship Id="rId41" Type="http://schemas.openxmlformats.org/officeDocument/2006/relationships/hyperlink" Target="https://hudoc.echr.coe.int/eng" TargetMode="External"/><Relationship Id="rId54" Type="http://schemas.openxmlformats.org/officeDocument/2006/relationships/hyperlink" Target="https://www.state.gov/reports/2021-country-reports-on-human-rights-practices/azerbaijan/" TargetMode="External"/><Relationship Id="rId62" Type="http://schemas.openxmlformats.org/officeDocument/2006/relationships/hyperlink" Target="https://hudoc.echr.coe.int/eng" TargetMode="External"/><Relationship Id="rId70" Type="http://schemas.openxmlformats.org/officeDocument/2006/relationships/hyperlink" Target="https://hudoc.echr.coe.int/eng" TargetMode="External"/><Relationship Id="rId75" Type="http://schemas.openxmlformats.org/officeDocument/2006/relationships/hyperlink" Target="https://search.coe.int/cm/Pages/result_details.aspx?ObjectID=09000016809262ec" TargetMode="External"/><Relationship Id="rId83" Type="http://schemas.openxmlformats.org/officeDocument/2006/relationships/hyperlink" Target="https://www.einnetwork.org/ein-voices/2020/7/23/council-of-europes-old-pandemic-endemic-ill-treatment-and-torture-in-custody-in-azerbaijan" TargetMode="External"/><Relationship Id="rId1" Type="http://schemas.openxmlformats.org/officeDocument/2006/relationships/hyperlink" Target="https://www.echr.coe.int/documents/d/echr/stats_violation_1959_2022_eng" TargetMode="External"/><Relationship Id="rId6" Type="http://schemas.openxmlformats.org/officeDocument/2006/relationships/hyperlink" Target="https://hudoc.cpt.coe.int/eng?i=p-aze-20160329-en-9" TargetMode="External"/><Relationship Id="rId15" Type="http://schemas.openxmlformats.org/officeDocument/2006/relationships/hyperlink" Target="https://www.coe.int/en/web/cpt/azerbaijan" TargetMode="External"/><Relationship Id="rId23" Type="http://schemas.openxmlformats.org/officeDocument/2006/relationships/hyperlink" Target="https://redaktor.az/news/country/160880-azerbaycanda-cezalandirilan-polislerin-sayi-aciglandi" TargetMode="External"/><Relationship Id="rId28" Type="http://schemas.openxmlformats.org/officeDocument/2006/relationships/hyperlink" Target="https://www.ipd-az.org/torture-and-atrocities-by-law-enforcement-bodies-of-azerbaijan-authorised-by-president-ilham-aliyev/" TargetMode="External"/><Relationship Id="rId36" Type="http://schemas.openxmlformats.org/officeDocument/2006/relationships/hyperlink" Target="https://hudoc.echr.coe.int/eng" TargetMode="External"/><Relationship Id="rId49" Type="http://schemas.openxmlformats.org/officeDocument/2006/relationships/hyperlink" Target="http://idi-aze.org/files/pdf/2022-08-10/pjAlyOo9Rm5z9O1vX27WrlEVvroToXGhcOezNKoD.pdf" TargetMode="External"/><Relationship Id="rId57" Type="http://schemas.openxmlformats.org/officeDocument/2006/relationships/hyperlink" Target="https://hudoc.echr.coe.int/eng" TargetMode="External"/><Relationship Id="rId10" Type="http://schemas.openxmlformats.org/officeDocument/2006/relationships/hyperlink" Target="https://stat.gov.az/source/crimes/" TargetMode="External"/><Relationship Id="rId31" Type="http://schemas.openxmlformats.org/officeDocument/2006/relationships/hyperlink" Target="https://www.bbc.com/azeri/azerbaijan-52994225" TargetMode="External"/><Relationship Id="rId44" Type="http://schemas.openxmlformats.org/officeDocument/2006/relationships/hyperlink" Target="http://penitensiar.justice.gov.az/news/334-pen.html" TargetMode="External"/><Relationship Id="rId52" Type="http://schemas.openxmlformats.org/officeDocument/2006/relationships/hyperlink" Target="https://www.hrw.org/world-report/2022/country-chapters/azerbaijan" TargetMode="External"/><Relationship Id="rId60" Type="http://schemas.openxmlformats.org/officeDocument/2006/relationships/hyperlink" Target="https://hudoc.echr.coe.int/eng" TargetMode="External"/><Relationship Id="rId65" Type="http://schemas.openxmlformats.org/officeDocument/2006/relationships/hyperlink" Target="https://hudoc.echr.coe.int/eng" TargetMode="External"/><Relationship Id="rId73" Type="http://schemas.openxmlformats.org/officeDocument/2006/relationships/hyperlink" Target="https://hudoc.exec.coe.int/eng?i=DH-DD(2019)206E" TargetMode="External"/><Relationship Id="rId78" Type="http://schemas.openxmlformats.org/officeDocument/2006/relationships/hyperlink" Target="https://www.turan.az/ext/news/2022/3/free/Social/en/2532.htm/001" TargetMode="External"/><Relationship Id="rId81" Type="http://schemas.openxmlformats.org/officeDocument/2006/relationships/hyperlink" Target="https://www.e-qanun.az/framework/46950" TargetMode="External"/><Relationship Id="rId4" Type="http://schemas.openxmlformats.org/officeDocument/2006/relationships/hyperlink" Target="https://rm.coe.int/1680696a73" TargetMode="External"/><Relationship Id="rId9" Type="http://schemas.openxmlformats.org/officeDocument/2006/relationships/hyperlink" Target="https://www.state.gov/reports/2022-country-reports-on-human-rights-practices/azerbaijan/" TargetMode="External"/><Relationship Id="rId13" Type="http://schemas.openxmlformats.org/officeDocument/2006/relationships/hyperlink" Target="https://www.coe.int/en/web/cpt/-/council-of-europe-anti-torture-committee-visits-azerbaij-8" TargetMode="External"/><Relationship Id="rId18" Type="http://schemas.openxmlformats.org/officeDocument/2006/relationships/hyperlink" Target="https://www.coe.int/en/web/cpt/georgia" TargetMode="External"/><Relationship Id="rId39" Type="http://schemas.openxmlformats.org/officeDocument/2006/relationships/hyperlink" Target="https://e-ganun.az/framework/1407" TargetMode="External"/><Relationship Id="rId34" Type="http://schemas.openxmlformats.org/officeDocument/2006/relationships/hyperlink" Target="https://hudoc.echr.coe.int/eng" TargetMode="External"/><Relationship Id="rId50" Type="http://schemas.openxmlformats.org/officeDocument/2006/relationships/hyperlink" Target="https://www.coe.int/en/web/cpt/-/azerbaijan-torture-impunity-and-corruption-highlighted-in-new-anti-torture-committee-publications" TargetMode="External"/><Relationship Id="rId55" Type="http://schemas.openxmlformats.org/officeDocument/2006/relationships/hyperlink" Target="https://www.state.gov/reports/2022-country-reports-on-human-rights-practices/azerbaijan/" TargetMode="External"/><Relationship Id="rId76" Type="http://schemas.openxmlformats.org/officeDocument/2006/relationships/hyperlink" Target="https://hudoc.exec.coe.int/eng?i=004-1801" TargetMode="External"/><Relationship Id="rId7" Type="http://schemas.openxmlformats.org/officeDocument/2006/relationships/hyperlink" Target="https://www.state.gov/reports/2020-country-reports-on-human-rights-practices/azerbaijan/" TargetMode="External"/><Relationship Id="rId71" Type="http://schemas.openxmlformats.org/officeDocument/2006/relationships/hyperlink" Target="https://hudoc.echr.coe.int/eng" TargetMode="External"/><Relationship Id="rId2" Type="http://schemas.openxmlformats.org/officeDocument/2006/relationships/hyperlink" Target="https://www.echr.coe.int/documents/d/echr/stats-violation-2023-eng" TargetMode="External"/><Relationship Id="rId29" Type="http://schemas.openxmlformats.org/officeDocument/2006/relationships/hyperlink" Target="https://president.az/az/articles/view/8594" TargetMode="External"/><Relationship Id="rId24" Type="http://schemas.openxmlformats.org/officeDocument/2006/relationships/hyperlink" Target="https://telegraf.com/news/toplum/370863.html" TargetMode="External"/><Relationship Id="rId40" Type="http://schemas.openxmlformats.org/officeDocument/2006/relationships/hyperlink" Target="https://faktyoxla.info/articles/Ombudsman-ishgence-faktlarina-biganedir" TargetMode="External"/><Relationship Id="rId45" Type="http://schemas.openxmlformats.org/officeDocument/2006/relationships/hyperlink" Target="https://search.coe.int/cm/pages/result_details.aspx?objectid=0900001680a48a79" TargetMode="External"/><Relationship Id="rId66" Type="http://schemas.openxmlformats.org/officeDocument/2006/relationships/hyperlink" Target="https://hudoc.exec.coe.int/eng"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48</TotalTime>
  <Pages>26</Pages>
  <Words>6890</Words>
  <Characters>39274</Characters>
  <Application>Microsoft Office Word</Application>
  <DocSecurity>0</DocSecurity>
  <Lines>327</Lines>
  <Paragraphs>92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46072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Fariz Namazov</cp:lastModifiedBy>
  <cp:revision>6</cp:revision>
  <dcterms:created xsi:type="dcterms:W3CDTF">2024-03-17T20:10:00Z</dcterms:created>
  <dcterms:modified xsi:type="dcterms:W3CDTF">2024-04-22T13:04:00Z</dcterms:modified>
</cp:coreProperties>
</file>