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C1CA12" w14:textId="6CC682F1" w:rsidR="00C05D9B" w:rsidRPr="00D610A5" w:rsidRDefault="00B83AE2" w:rsidP="00C65EDE">
      <w:pPr>
        <w:tabs>
          <w:tab w:val="left" w:pos="3870"/>
        </w:tabs>
      </w:pPr>
      <w:r w:rsidRPr="00D610A5">
        <w:tab/>
      </w:r>
    </w:p>
    <w:p w14:paraId="1C720C6D" w14:textId="77777777" w:rsidR="005403E3" w:rsidRPr="00D610A5" w:rsidRDefault="005403E3" w:rsidP="00626C39"/>
    <w:p w14:paraId="5E537D0D" w14:textId="77777777" w:rsidR="005403E3" w:rsidRPr="00D610A5" w:rsidRDefault="005403E3" w:rsidP="00626C39"/>
    <w:p w14:paraId="43F13231" w14:textId="524984D7" w:rsidR="004B1E4E" w:rsidRPr="00D610A5" w:rsidRDefault="00B27B0E" w:rsidP="004B1E4E">
      <w:pPr>
        <w:jc w:val="center"/>
        <w:rPr>
          <w:b/>
        </w:rPr>
      </w:pPr>
      <w:r w:rsidRPr="00D610A5">
        <w:rPr>
          <w:b/>
        </w:rPr>
        <w:t>State of Palestine</w:t>
      </w:r>
      <w:r w:rsidR="004B1E4E" w:rsidRPr="00D610A5">
        <w:rPr>
          <w:b/>
        </w:rPr>
        <w:t xml:space="preserve">’s Compliance with </w:t>
      </w:r>
      <w:r w:rsidRPr="00D610A5">
        <w:rPr>
          <w:b/>
        </w:rPr>
        <w:t>the International Cov</w:t>
      </w:r>
      <w:r w:rsidR="005850E0" w:rsidRPr="00D610A5">
        <w:rPr>
          <w:b/>
        </w:rPr>
        <w:t>e</w:t>
      </w:r>
      <w:r w:rsidRPr="00D610A5">
        <w:rPr>
          <w:b/>
        </w:rPr>
        <w:t>n</w:t>
      </w:r>
      <w:r w:rsidR="005850E0" w:rsidRPr="00D610A5">
        <w:rPr>
          <w:b/>
        </w:rPr>
        <w:t>a</w:t>
      </w:r>
      <w:r w:rsidRPr="00D610A5">
        <w:rPr>
          <w:b/>
        </w:rPr>
        <w:t xml:space="preserve">nt on </w:t>
      </w:r>
      <w:r w:rsidR="005850E0" w:rsidRPr="00D610A5">
        <w:rPr>
          <w:b/>
        </w:rPr>
        <w:t>Civil and Political Rights: Death Penalty</w:t>
      </w:r>
    </w:p>
    <w:p w14:paraId="171F4CCF" w14:textId="77777777" w:rsidR="004B1E4E" w:rsidRPr="00D610A5" w:rsidRDefault="004B1E4E" w:rsidP="004B1E4E">
      <w:pPr>
        <w:jc w:val="center"/>
      </w:pPr>
    </w:p>
    <w:p w14:paraId="26D24DDC" w14:textId="77777777" w:rsidR="004B1E4E" w:rsidRPr="00D610A5" w:rsidRDefault="004B1E4E" w:rsidP="004B1E4E">
      <w:pPr>
        <w:jc w:val="center"/>
        <w:rPr>
          <w:b/>
        </w:rPr>
      </w:pPr>
      <w:r w:rsidRPr="00D610A5">
        <w:rPr>
          <w:b/>
        </w:rPr>
        <w:t xml:space="preserve">Submitted by </w:t>
      </w:r>
      <w:r w:rsidR="00AA7FCB" w:rsidRPr="00D610A5">
        <w:rPr>
          <w:b/>
        </w:rPr>
        <w:t>T</w:t>
      </w:r>
      <w:r w:rsidRPr="00D610A5">
        <w:rPr>
          <w:b/>
        </w:rPr>
        <w:t>he Advocates for Human Rights</w:t>
      </w:r>
    </w:p>
    <w:p w14:paraId="6D01AE49" w14:textId="77777777" w:rsidR="004B1E4E" w:rsidRPr="00D610A5" w:rsidRDefault="004B1E4E" w:rsidP="004B1E4E">
      <w:pPr>
        <w:jc w:val="center"/>
      </w:pPr>
      <w:r w:rsidRPr="00D610A5">
        <w:t>a non-governmental organization in special consultative status with ECOSOC</w:t>
      </w:r>
      <w:r w:rsidR="00624A10" w:rsidRPr="00D610A5">
        <w:t xml:space="preserve"> since 1996</w:t>
      </w:r>
    </w:p>
    <w:p w14:paraId="74881DA7" w14:textId="4175BEEC" w:rsidR="004B1E4E" w:rsidRPr="00D610A5" w:rsidRDefault="00B83AE2" w:rsidP="004B1E4E">
      <w:pPr>
        <w:jc w:val="center"/>
      </w:pPr>
      <w:r w:rsidRPr="00D610A5">
        <w:rPr>
          <w:b/>
          <w:bCs/>
        </w:rPr>
        <w:t>The World Coalition Against the Death Penalty</w:t>
      </w:r>
    </w:p>
    <w:p w14:paraId="550EB3F5" w14:textId="19F39F0A" w:rsidR="00B83AE2" w:rsidRPr="00D610A5" w:rsidRDefault="00B83AE2" w:rsidP="004B1E4E">
      <w:pPr>
        <w:jc w:val="center"/>
      </w:pPr>
      <w:r w:rsidRPr="00D610A5">
        <w:t>and</w:t>
      </w:r>
    </w:p>
    <w:p w14:paraId="7BAC930C" w14:textId="0D640A85" w:rsidR="00B83AE2" w:rsidRDefault="00B83AE2" w:rsidP="004B1E4E">
      <w:pPr>
        <w:jc w:val="center"/>
        <w:rPr>
          <w:b/>
          <w:bCs/>
        </w:rPr>
      </w:pPr>
      <w:r w:rsidRPr="00D610A5">
        <w:rPr>
          <w:b/>
          <w:bCs/>
        </w:rPr>
        <w:t>Human Rights and Democratic Participation Center (SHAMS)</w:t>
      </w:r>
    </w:p>
    <w:p w14:paraId="3072625B" w14:textId="57B559C0" w:rsidR="005B38AA" w:rsidRPr="005B38AA" w:rsidRDefault="004A0B7A" w:rsidP="004B1E4E">
      <w:pPr>
        <w:jc w:val="center"/>
      </w:pPr>
      <w:r>
        <w:t>a</w:t>
      </w:r>
      <w:r w:rsidR="005B38AA">
        <w:t xml:space="preserve"> non-governmental organization in special consultative status with ECOSOC</w:t>
      </w:r>
    </w:p>
    <w:p w14:paraId="1814FE26" w14:textId="77777777" w:rsidR="00B83AE2" w:rsidRPr="00D610A5" w:rsidRDefault="00B83AE2" w:rsidP="004B1E4E">
      <w:pPr>
        <w:jc w:val="center"/>
        <w:rPr>
          <w:b/>
        </w:rPr>
      </w:pPr>
    </w:p>
    <w:p w14:paraId="24E688AE" w14:textId="7683A5CA" w:rsidR="004B1E4E" w:rsidRPr="00D610A5" w:rsidRDefault="004B1E4E" w:rsidP="004B1E4E">
      <w:pPr>
        <w:jc w:val="center"/>
        <w:rPr>
          <w:b/>
          <w:bCs/>
        </w:rPr>
      </w:pPr>
      <w:r w:rsidRPr="00D610A5">
        <w:rPr>
          <w:b/>
          <w:bCs/>
        </w:rPr>
        <w:t xml:space="preserve">for the </w:t>
      </w:r>
      <w:r w:rsidR="00AE2632" w:rsidRPr="00D610A5">
        <w:rPr>
          <w:b/>
          <w:bCs/>
        </w:rPr>
        <w:t>138th</w:t>
      </w:r>
      <w:r w:rsidRPr="00D610A5">
        <w:rPr>
          <w:b/>
          <w:bCs/>
        </w:rPr>
        <w:t xml:space="preserve"> Session of the </w:t>
      </w:r>
      <w:r w:rsidR="005850E0" w:rsidRPr="00D610A5">
        <w:rPr>
          <w:b/>
          <w:bCs/>
        </w:rPr>
        <w:t>Human Rights Committee</w:t>
      </w:r>
    </w:p>
    <w:p w14:paraId="3B163C2D" w14:textId="4EB73408" w:rsidR="004B1E4E" w:rsidRPr="00D610A5" w:rsidRDefault="00AE2632" w:rsidP="004B1E4E">
      <w:pPr>
        <w:jc w:val="center"/>
        <w:rPr>
          <w:b/>
          <w:bCs/>
        </w:rPr>
      </w:pPr>
      <w:r w:rsidRPr="00D610A5">
        <w:rPr>
          <w:b/>
          <w:bCs/>
        </w:rPr>
        <w:t>26 June</w:t>
      </w:r>
      <w:r w:rsidR="00D94D1C" w:rsidRPr="00D610A5">
        <w:rPr>
          <w:b/>
          <w:bCs/>
        </w:rPr>
        <w:t>–</w:t>
      </w:r>
      <w:r w:rsidR="00443E02" w:rsidRPr="00D610A5">
        <w:rPr>
          <w:b/>
          <w:bCs/>
        </w:rPr>
        <w:t>28 July 2023</w:t>
      </w:r>
    </w:p>
    <w:p w14:paraId="42599716" w14:textId="02060FAC" w:rsidR="00C214BA" w:rsidRPr="00D610A5" w:rsidRDefault="00C214BA" w:rsidP="004B1E4E">
      <w:pPr>
        <w:jc w:val="center"/>
        <w:rPr>
          <w:b/>
          <w:bCs/>
        </w:rPr>
      </w:pPr>
    </w:p>
    <w:p w14:paraId="3D93E372" w14:textId="32E18BAF" w:rsidR="00C214BA" w:rsidRPr="00D610A5" w:rsidRDefault="00C214BA" w:rsidP="004B1E4E">
      <w:pPr>
        <w:jc w:val="center"/>
        <w:rPr>
          <w:b/>
          <w:bCs/>
        </w:rPr>
      </w:pPr>
      <w:r w:rsidRPr="00D610A5">
        <w:rPr>
          <w:b/>
          <w:bCs/>
        </w:rPr>
        <w:t xml:space="preserve">Submitted </w:t>
      </w:r>
      <w:r w:rsidR="005850E0" w:rsidRPr="00D610A5">
        <w:rPr>
          <w:b/>
          <w:bCs/>
        </w:rPr>
        <w:t>29</w:t>
      </w:r>
      <w:r w:rsidRPr="00D610A5">
        <w:rPr>
          <w:b/>
          <w:bCs/>
        </w:rPr>
        <w:t xml:space="preserve"> </w:t>
      </w:r>
      <w:r w:rsidR="005850E0" w:rsidRPr="00D610A5">
        <w:rPr>
          <w:b/>
          <w:bCs/>
        </w:rPr>
        <w:t>May</w:t>
      </w:r>
      <w:r w:rsidRPr="00D610A5">
        <w:rPr>
          <w:b/>
          <w:bCs/>
        </w:rPr>
        <w:t xml:space="preserve"> </w:t>
      </w:r>
      <w:r w:rsidR="005850E0" w:rsidRPr="00D610A5">
        <w:rPr>
          <w:b/>
          <w:bCs/>
        </w:rPr>
        <w:t>2023</w:t>
      </w:r>
    </w:p>
    <w:p w14:paraId="5F0F5054" w14:textId="77777777" w:rsidR="001565F9" w:rsidRPr="00D610A5" w:rsidRDefault="001565F9" w:rsidP="005132BB"/>
    <w:p w14:paraId="69899961" w14:textId="77777777" w:rsidR="005132BB" w:rsidRPr="00D610A5" w:rsidRDefault="005132BB" w:rsidP="00626C39"/>
    <w:p w14:paraId="64B92EAF" w14:textId="45D4BF0A" w:rsidR="27553789" w:rsidRPr="00D610A5" w:rsidRDefault="004B1E4E" w:rsidP="20EBB8F7">
      <w:pPr>
        <w:jc w:val="both"/>
      </w:pPr>
      <w:r w:rsidRPr="00D610A5">
        <w:rPr>
          <w:b/>
        </w:rPr>
        <w:t xml:space="preserve">The Advocates for Human Rights </w:t>
      </w:r>
      <w:r w:rsidRPr="00D610A5">
        <w:t>(The Advocates) is a volunteer-based nongovernmental organization committed to the impartial promotion and protection of international human rights standards and the rule of law. Established in 1983, The Advocates conducts a range of programs to promote human rights in the United States and around the world, including monitoring and fact finding, direct legal representation, education and training, and publications.</w:t>
      </w:r>
      <w:r w:rsidR="005850E0" w:rsidRPr="00D610A5">
        <w:t xml:space="preserve"> I</w:t>
      </w:r>
      <w:r w:rsidR="27553789" w:rsidRPr="00D610A5">
        <w:t>n 1991, The Advocates adopted a formal commitment to oppose the death penalty worldwide and organized a death penalty project to provide pro bono assistance on post-conviction appeals, as well as education and advocacy to end capital punishment. The Advocates currently holds a seat on the Steering Committee of the World Coalition against the Death Penalty.</w:t>
      </w:r>
    </w:p>
    <w:p w14:paraId="09DD66E0" w14:textId="77777777" w:rsidR="00B83AE2" w:rsidRPr="00D610A5" w:rsidRDefault="00B83AE2" w:rsidP="20EBB8F7">
      <w:pPr>
        <w:jc w:val="both"/>
      </w:pPr>
    </w:p>
    <w:p w14:paraId="1355FDBD" w14:textId="77777777" w:rsidR="007F26D3" w:rsidRPr="00D610A5" w:rsidRDefault="007F26D3" w:rsidP="007F26D3">
      <w:pPr>
        <w:jc w:val="both"/>
        <w:rPr>
          <w:spacing w:val="-2"/>
        </w:rPr>
      </w:pPr>
      <w:r w:rsidRPr="00D610A5">
        <w:rPr>
          <w:b/>
          <w:bCs/>
          <w:spacing w:val="-2"/>
        </w:rPr>
        <w:t>The World Coalition Against the Death Penalty</w:t>
      </w:r>
      <w:r w:rsidRPr="00D610A5">
        <w:rPr>
          <w:spacing w:val="-2"/>
        </w:rPr>
        <w:t xml:space="preserve"> is a volunteer-based non-government organization committed to strengthen the international dimension of the fight against the death penalty. Established in 2002, its ultimate objective is to obtain the universal abolition of the death penalty. To achieve its goal, the World Coalition advocates for a definitive end to death sentences and executions in those countries where the death penalty is in force. In some countries, it is seeking to obtain a reduction in the use of capital punishment as a first step towards abolition.</w:t>
      </w:r>
    </w:p>
    <w:p w14:paraId="674053CC" w14:textId="77777777" w:rsidR="005850E0" w:rsidRPr="00D610A5" w:rsidRDefault="005850E0" w:rsidP="007A1D5F">
      <w:pPr>
        <w:jc w:val="both"/>
      </w:pPr>
    </w:p>
    <w:p w14:paraId="1915947D" w14:textId="0FAFDE44" w:rsidR="2F9E912E" w:rsidRPr="00D610A5" w:rsidRDefault="003F2285" w:rsidP="007A1D5F">
      <w:pPr>
        <w:jc w:val="both"/>
      </w:pPr>
      <w:r w:rsidRPr="00D610A5">
        <w:rPr>
          <w:b/>
          <w:bCs/>
        </w:rPr>
        <w:t xml:space="preserve">Human Rights and Democratic Participation Center </w:t>
      </w:r>
      <w:r w:rsidR="00C216CE" w:rsidRPr="00D610A5">
        <w:t>(</w:t>
      </w:r>
      <w:r w:rsidR="2F9E912E" w:rsidRPr="00D610A5">
        <w:t>SHAMS</w:t>
      </w:r>
      <w:r w:rsidR="00C216CE" w:rsidRPr="00D610A5">
        <w:t>)</w:t>
      </w:r>
      <w:r w:rsidR="2F9E912E" w:rsidRPr="00D610A5">
        <w:t xml:space="preserve"> is a Palestinian NGO, founded in 2003 that operates in the West Bank and Gaza Strip. SHAMS holds consultative membership</w:t>
      </w:r>
      <w:r w:rsidR="007A1D5F" w:rsidRPr="00D610A5">
        <w:t xml:space="preserve"> </w:t>
      </w:r>
      <w:r w:rsidR="2F9E912E" w:rsidRPr="00D610A5">
        <w:t xml:space="preserve">with the United Nations Economic and Social Council (ECOSOC); is a member of the World Coalition against the Death Penalty; and is a member of many local, regional, and international coalitions. SHAMS is active in opposing the death penalty, in addition to its ongoing work on promoting and defending human rights and democracy within the Palestinian community; promoting good governance and human rights within the Palestinian security sector; enhancing women’s access to justice; advocating for children’s rights and community safety; defending the right to peaceful assembly; and providing legal aid to women and children. </w:t>
      </w:r>
    </w:p>
    <w:p w14:paraId="1FC77D31" w14:textId="77777777" w:rsidR="004B1E4E" w:rsidRPr="00D610A5" w:rsidRDefault="004B1E4E" w:rsidP="004B1E4E">
      <w:pPr>
        <w:jc w:val="center"/>
        <w:rPr>
          <w:b/>
          <w:caps/>
        </w:rPr>
      </w:pPr>
      <w:r w:rsidRPr="00D610A5">
        <w:br w:type="page"/>
      </w:r>
      <w:r w:rsidRPr="00D610A5">
        <w:rPr>
          <w:b/>
          <w:caps/>
        </w:rPr>
        <w:lastRenderedPageBreak/>
        <w:t>Executive Summary</w:t>
      </w:r>
    </w:p>
    <w:p w14:paraId="431A8E80" w14:textId="77777777" w:rsidR="004B1E4E" w:rsidRPr="00D610A5" w:rsidRDefault="004B1E4E" w:rsidP="00626C39"/>
    <w:p w14:paraId="2F560385" w14:textId="0E4AE8B6" w:rsidR="00FA6500" w:rsidRPr="00D610A5" w:rsidRDefault="005D1D65" w:rsidP="00FA6500">
      <w:pPr>
        <w:numPr>
          <w:ilvl w:val="0"/>
          <w:numId w:val="7"/>
        </w:numPr>
        <w:spacing w:after="120"/>
        <w:ind w:left="360"/>
        <w:jc w:val="both"/>
      </w:pPr>
      <w:r w:rsidRPr="00D610A5">
        <w:t xml:space="preserve">The State of Palestine </w:t>
      </w:r>
      <w:r w:rsidR="006923F0" w:rsidRPr="00D610A5">
        <w:t xml:space="preserve">acceded to </w:t>
      </w:r>
      <w:r w:rsidRPr="00D610A5">
        <w:t xml:space="preserve">the Second Optional Protocol to the </w:t>
      </w:r>
      <w:r w:rsidR="00683C78" w:rsidRPr="00D610A5">
        <w:t xml:space="preserve">International Covenant on Civil and Political Rights </w:t>
      </w:r>
      <w:r w:rsidR="008F6E9F" w:rsidRPr="00D610A5">
        <w:t>o</w:t>
      </w:r>
      <w:r w:rsidR="0024300A" w:rsidRPr="00D610A5">
        <w:t xml:space="preserve">n </w:t>
      </w:r>
      <w:r w:rsidR="006923F0" w:rsidRPr="00D610A5">
        <w:t xml:space="preserve">18 </w:t>
      </w:r>
      <w:r w:rsidR="008F6E9F" w:rsidRPr="00D610A5">
        <w:t>March</w:t>
      </w:r>
      <w:r w:rsidR="008F6E9F" w:rsidRPr="00D610A5" w:rsidDel="006923F0">
        <w:t xml:space="preserve"> </w:t>
      </w:r>
      <w:r w:rsidR="0024300A" w:rsidRPr="00D610A5">
        <w:t>201</w:t>
      </w:r>
      <w:r w:rsidR="008F6E9F" w:rsidRPr="00D610A5">
        <w:t>9.</w:t>
      </w:r>
      <w:r w:rsidR="008F6E9F" w:rsidRPr="00D610A5">
        <w:rPr>
          <w:rStyle w:val="FootnoteReference"/>
        </w:rPr>
        <w:footnoteReference w:id="2"/>
      </w:r>
      <w:r w:rsidR="008F6E9F" w:rsidRPr="00D610A5">
        <w:t xml:space="preserve"> </w:t>
      </w:r>
      <w:r w:rsidR="00683C78" w:rsidRPr="00D610A5">
        <w:t xml:space="preserve">The State is now working to harmonize its domestic legislation </w:t>
      </w:r>
      <w:r w:rsidR="005C2C5D" w:rsidRPr="00D610A5">
        <w:t xml:space="preserve">as </w:t>
      </w:r>
      <w:r w:rsidR="000E0883" w:rsidRPr="00D610A5">
        <w:t>obligat</w:t>
      </w:r>
      <w:r w:rsidR="005C2C5D" w:rsidRPr="00D610A5">
        <w:t>ed</w:t>
      </w:r>
      <w:r w:rsidR="000E0883" w:rsidRPr="00D610A5">
        <w:t xml:space="preserve"> </w:t>
      </w:r>
      <w:r w:rsidR="005C2C5D" w:rsidRPr="00D610A5">
        <w:t>by</w:t>
      </w:r>
      <w:r w:rsidR="000E0883" w:rsidRPr="00D610A5">
        <w:t xml:space="preserve"> </w:t>
      </w:r>
      <w:r w:rsidR="00F547E7" w:rsidRPr="00D610A5">
        <w:t>the Second Optional Protocol and remove the death penalty</w:t>
      </w:r>
      <w:r w:rsidR="00AA516E" w:rsidRPr="00D610A5">
        <w:t xml:space="preserve"> in its penal code</w:t>
      </w:r>
      <w:r w:rsidR="00F547E7" w:rsidRPr="00D610A5">
        <w:t xml:space="preserve">. </w:t>
      </w:r>
    </w:p>
    <w:p w14:paraId="75AD932A" w14:textId="78E5476A" w:rsidR="008F6E9F" w:rsidRPr="00D610A5" w:rsidRDefault="38E880AD" w:rsidP="00FA6500">
      <w:pPr>
        <w:numPr>
          <w:ilvl w:val="0"/>
          <w:numId w:val="7"/>
        </w:numPr>
        <w:spacing w:after="120"/>
        <w:ind w:left="360"/>
        <w:jc w:val="both"/>
      </w:pPr>
      <w:r w:rsidRPr="00D610A5">
        <w:t>T</w:t>
      </w:r>
      <w:r w:rsidR="008F6E9F" w:rsidRPr="00D610A5">
        <w:t>he State of Palestine</w:t>
      </w:r>
      <w:r w:rsidR="22A41945" w:rsidRPr="00D610A5">
        <w:t>, however,</w:t>
      </w:r>
      <w:r w:rsidR="008F6E9F" w:rsidRPr="00D610A5">
        <w:t xml:space="preserve"> has not yet abolished the death penalty. </w:t>
      </w:r>
      <w:r w:rsidR="0B20DFAE" w:rsidRPr="00D610A5">
        <w:t xml:space="preserve">Nor has </w:t>
      </w:r>
      <w:r w:rsidR="00AA516E" w:rsidRPr="00D610A5">
        <w:t xml:space="preserve">Palestine </w:t>
      </w:r>
      <w:r w:rsidR="00241A45" w:rsidRPr="00D610A5">
        <w:t xml:space="preserve">instituted </w:t>
      </w:r>
      <w:r w:rsidR="00A3423B" w:rsidRPr="00D610A5">
        <w:t>the</w:t>
      </w:r>
      <w:r w:rsidR="7D84242B" w:rsidRPr="00D610A5">
        <w:t xml:space="preserve"> </w:t>
      </w:r>
      <w:r w:rsidR="00241A45" w:rsidRPr="00D610A5">
        <w:t xml:space="preserve">new penal code. </w:t>
      </w:r>
      <w:r w:rsidR="00EF26B1" w:rsidRPr="00D610A5">
        <w:t xml:space="preserve">Moreover, in addition to the Revolutionary Penal Code, three other laws authorize </w:t>
      </w:r>
      <w:r w:rsidR="00241A45" w:rsidRPr="00D610A5">
        <w:t>the death penalty,</w:t>
      </w:r>
      <w:r w:rsidR="00241A45" w:rsidRPr="00D610A5" w:rsidDel="00EF26B1">
        <w:t xml:space="preserve"> </w:t>
      </w:r>
      <w:r w:rsidR="00EF26B1" w:rsidRPr="00D610A5">
        <w:t xml:space="preserve">and </w:t>
      </w:r>
      <w:r w:rsidR="155BB5FD" w:rsidRPr="00D610A5">
        <w:t>Palestine</w:t>
      </w:r>
      <w:r w:rsidR="00241A45" w:rsidRPr="00D610A5">
        <w:t xml:space="preserve"> </w:t>
      </w:r>
      <w:r w:rsidR="7FB4E3F9" w:rsidRPr="00D610A5">
        <w:t xml:space="preserve">must </w:t>
      </w:r>
      <w:r w:rsidR="00241A45" w:rsidRPr="00D610A5">
        <w:t>amend or harmonize</w:t>
      </w:r>
      <w:r w:rsidR="006262C2" w:rsidRPr="00D610A5">
        <w:t xml:space="preserve"> these laws as well</w:t>
      </w:r>
      <w:r w:rsidR="00241A45" w:rsidRPr="00D610A5">
        <w:t xml:space="preserve">. </w:t>
      </w:r>
      <w:r w:rsidR="006262C2" w:rsidRPr="00D610A5">
        <w:t>D</w:t>
      </w:r>
      <w:r w:rsidR="00FA6500" w:rsidRPr="00D610A5">
        <w:t xml:space="preserve">eath sentences continue to be </w:t>
      </w:r>
      <w:r w:rsidR="329D74B2" w:rsidRPr="00D610A5">
        <w:t xml:space="preserve">an available punishment </w:t>
      </w:r>
      <w:r w:rsidR="006262C2" w:rsidRPr="00D610A5">
        <w:t xml:space="preserve">and courts </w:t>
      </w:r>
      <w:r w:rsidR="00FA6500" w:rsidRPr="00D610A5">
        <w:t>in the West Bank and Gaza</w:t>
      </w:r>
      <w:r w:rsidR="006262C2" w:rsidRPr="00D610A5">
        <w:t xml:space="preserve"> continue to sentence people to death</w:t>
      </w:r>
      <w:r w:rsidR="00FA6500" w:rsidRPr="00D610A5">
        <w:t xml:space="preserve">. </w:t>
      </w:r>
    </w:p>
    <w:p w14:paraId="1D41858F" w14:textId="777ACA41" w:rsidR="008F6E9F" w:rsidRPr="00D610A5" w:rsidRDefault="005306CB" w:rsidP="007B46CD">
      <w:pPr>
        <w:numPr>
          <w:ilvl w:val="0"/>
          <w:numId w:val="7"/>
        </w:numPr>
        <w:spacing w:after="120"/>
        <w:ind w:left="360"/>
        <w:jc w:val="both"/>
      </w:pPr>
      <w:r w:rsidRPr="00D610A5">
        <w:t>Authorities in Gaza continue to carry out e</w:t>
      </w:r>
      <w:r w:rsidR="00FA6500" w:rsidRPr="00D610A5">
        <w:t>xecutions</w:t>
      </w:r>
      <w:r w:rsidR="4CE4159E" w:rsidRPr="00D610A5">
        <w:t>,</w:t>
      </w:r>
      <w:r w:rsidR="4CE4159E" w:rsidRPr="00D610A5" w:rsidDel="005306CB">
        <w:t xml:space="preserve"> </w:t>
      </w:r>
      <w:r w:rsidRPr="00D610A5">
        <w:t xml:space="preserve">while authorities in the West Bank have observed </w:t>
      </w:r>
      <w:r w:rsidR="4CE4159E" w:rsidRPr="00D610A5">
        <w:t xml:space="preserve">a moratorium on executions </w:t>
      </w:r>
      <w:r w:rsidR="53635E3B" w:rsidRPr="00D610A5">
        <w:t>since 2005</w:t>
      </w:r>
      <w:r w:rsidR="00241A45" w:rsidRPr="00D610A5">
        <w:t xml:space="preserve">. </w:t>
      </w:r>
      <w:r w:rsidR="00FA6500" w:rsidRPr="00D610A5">
        <w:t>T</w:t>
      </w:r>
      <w:r w:rsidR="00241A45" w:rsidRPr="00D610A5">
        <w:t>h</w:t>
      </w:r>
      <w:r w:rsidR="00FA6500" w:rsidRPr="00D610A5">
        <w:t>e law stipulates that e</w:t>
      </w:r>
      <w:r w:rsidR="00241A45" w:rsidRPr="00D610A5">
        <w:t xml:space="preserve">xecutions can be carried out </w:t>
      </w:r>
      <w:r w:rsidR="00BC3D1C" w:rsidRPr="00D610A5">
        <w:t xml:space="preserve">only </w:t>
      </w:r>
      <w:r w:rsidR="00241A45" w:rsidRPr="00D610A5">
        <w:t xml:space="preserve">if the President ratifies the death sentence, </w:t>
      </w:r>
      <w:r w:rsidR="00FA6500" w:rsidRPr="00D610A5">
        <w:t>and the President has not ratified a death sentence</w:t>
      </w:r>
      <w:r w:rsidR="5BF6CDEF" w:rsidRPr="00D610A5">
        <w:t xml:space="preserve"> since 2005</w:t>
      </w:r>
      <w:r w:rsidR="00FA6500" w:rsidRPr="00D610A5">
        <w:t xml:space="preserve">. </w:t>
      </w:r>
      <w:r w:rsidR="00BC3D1C" w:rsidRPr="00D610A5">
        <w:t xml:space="preserve">After the </w:t>
      </w:r>
      <w:r w:rsidR="00FA6500" w:rsidRPr="00D610A5">
        <w:t xml:space="preserve">split in power </w:t>
      </w:r>
      <w:r w:rsidR="00BC3D1C" w:rsidRPr="00D610A5">
        <w:t xml:space="preserve">on 14 June 2007 </w:t>
      </w:r>
      <w:r w:rsidR="00FA6500" w:rsidRPr="00D610A5">
        <w:t xml:space="preserve">between the Palestinian Authority in the West Bank under President Abbas, and the Hamas movement in Gaza, </w:t>
      </w:r>
      <w:r w:rsidR="4EB00DF3" w:rsidRPr="00D610A5">
        <w:t xml:space="preserve">Hamas has carried out </w:t>
      </w:r>
      <w:r w:rsidR="00FA6500" w:rsidRPr="00D610A5">
        <w:t xml:space="preserve">executions in Gaza without the </w:t>
      </w:r>
      <w:r w:rsidR="0D570DB6" w:rsidRPr="00D610A5">
        <w:t xml:space="preserve">President’s </w:t>
      </w:r>
      <w:r w:rsidR="00FA6500" w:rsidRPr="00D610A5">
        <w:t xml:space="preserve">requisite signature. Gazan military courts </w:t>
      </w:r>
      <w:r w:rsidR="7D6FB6C4" w:rsidRPr="00D610A5">
        <w:t>have</w:t>
      </w:r>
      <w:r w:rsidR="00FA6500" w:rsidRPr="00D610A5">
        <w:t xml:space="preserve"> also conduct</w:t>
      </w:r>
      <w:r w:rsidR="5B67D143" w:rsidRPr="00D610A5">
        <w:t>ed</w:t>
      </w:r>
      <w:r w:rsidR="00FA6500" w:rsidRPr="00D610A5">
        <w:t xml:space="preserve"> trials of civilians, </w:t>
      </w:r>
      <w:r w:rsidR="2F778CE2" w:rsidRPr="00D610A5">
        <w:t xml:space="preserve">in which </w:t>
      </w:r>
      <w:r w:rsidR="00FA6500" w:rsidRPr="00D610A5">
        <w:t>they can be sentenced to death.</w:t>
      </w:r>
    </w:p>
    <w:p w14:paraId="75B00959" w14:textId="6C472600" w:rsidR="008F2F99" w:rsidRPr="00D610A5" w:rsidRDefault="00641F67" w:rsidP="008F2F99">
      <w:pPr>
        <w:spacing w:after="120"/>
        <w:jc w:val="center"/>
        <w:rPr>
          <w:b/>
        </w:rPr>
      </w:pPr>
      <w:r w:rsidRPr="00D610A5">
        <w:rPr>
          <w:b/>
        </w:rPr>
        <w:t xml:space="preserve">The </w:t>
      </w:r>
      <w:r w:rsidR="00851D70" w:rsidRPr="00D610A5">
        <w:rPr>
          <w:b/>
        </w:rPr>
        <w:t>State of Palestine</w:t>
      </w:r>
      <w:r w:rsidR="008F2F99" w:rsidRPr="00D610A5">
        <w:rPr>
          <w:b/>
        </w:rPr>
        <w:t xml:space="preserve"> fails to uphold its obligations under the </w:t>
      </w:r>
      <w:r w:rsidR="00851D70" w:rsidRPr="00D610A5">
        <w:rPr>
          <w:b/>
        </w:rPr>
        <w:t>International Covenant on Civil and Political Rights</w:t>
      </w:r>
    </w:p>
    <w:p w14:paraId="71FF20C1" w14:textId="2ED9EBDC" w:rsidR="004B1E4E" w:rsidRPr="00D610A5" w:rsidRDefault="001F5803" w:rsidP="00F23CD7">
      <w:pPr>
        <w:keepNext/>
        <w:numPr>
          <w:ilvl w:val="0"/>
          <w:numId w:val="8"/>
        </w:numPr>
        <w:spacing w:before="240" w:after="240"/>
        <w:ind w:left="720" w:hanging="360"/>
        <w:rPr>
          <w:b/>
        </w:rPr>
      </w:pPr>
      <w:r w:rsidRPr="00D610A5">
        <w:rPr>
          <w:b/>
        </w:rPr>
        <w:t xml:space="preserve">Palestine has failed to </w:t>
      </w:r>
      <w:r w:rsidR="00641F67" w:rsidRPr="00D610A5">
        <w:rPr>
          <w:b/>
        </w:rPr>
        <w:t xml:space="preserve">fulfill </w:t>
      </w:r>
      <w:r w:rsidR="00C940A5" w:rsidRPr="00D610A5">
        <w:rPr>
          <w:b/>
        </w:rPr>
        <w:t>its obligation to abolish the death penalty under the Second Optional Protocol</w:t>
      </w:r>
      <w:r w:rsidR="00452AFB" w:rsidRPr="00D610A5">
        <w:rPr>
          <w:b/>
        </w:rPr>
        <w:t>, and Palestine continues to sentence people to death</w:t>
      </w:r>
      <w:r w:rsidR="00FF098A" w:rsidRPr="00D610A5">
        <w:rPr>
          <w:b/>
        </w:rPr>
        <w:t>.</w:t>
      </w:r>
      <w:r w:rsidR="009D3CDE" w:rsidRPr="00D610A5">
        <w:rPr>
          <w:b/>
        </w:rPr>
        <w:t xml:space="preserve"> (List of Issues paragraph 7)</w:t>
      </w:r>
      <w:r w:rsidRPr="00D610A5">
        <w:rPr>
          <w:b/>
        </w:rPr>
        <w:t xml:space="preserve"> </w:t>
      </w:r>
    </w:p>
    <w:p w14:paraId="639881D3" w14:textId="1743C6B6" w:rsidR="00757A1C" w:rsidRPr="00D610A5" w:rsidRDefault="00795DCF" w:rsidP="00AC040C">
      <w:pPr>
        <w:numPr>
          <w:ilvl w:val="0"/>
          <w:numId w:val="7"/>
        </w:numPr>
        <w:spacing w:after="120"/>
        <w:ind w:left="360"/>
        <w:jc w:val="both"/>
      </w:pPr>
      <w:r w:rsidRPr="00D610A5">
        <w:t>The Committe</w:t>
      </w:r>
      <w:r w:rsidR="00E4440A" w:rsidRPr="00D610A5">
        <w:t>e</w:t>
      </w:r>
      <w:r w:rsidR="007F750B" w:rsidRPr="00D610A5">
        <w:t>,</w:t>
      </w:r>
      <w:r w:rsidR="00F86AB8" w:rsidRPr="00D610A5">
        <w:t xml:space="preserve"> in its List of Issues</w:t>
      </w:r>
      <w:r w:rsidR="007F750B" w:rsidRPr="00D610A5">
        <w:t>,</w:t>
      </w:r>
      <w:r w:rsidR="00F86AB8" w:rsidRPr="00D610A5">
        <w:t xml:space="preserve"> requested information on measures </w:t>
      </w:r>
      <w:r w:rsidR="00B41091" w:rsidRPr="00D610A5">
        <w:t xml:space="preserve">that Palestine has taken </w:t>
      </w:r>
      <w:r w:rsidR="00F86AB8" w:rsidRPr="00D610A5">
        <w:t xml:space="preserve">to establish a formal moratorium on </w:t>
      </w:r>
      <w:r w:rsidR="00223EF6" w:rsidRPr="00D610A5">
        <w:t xml:space="preserve">executions, </w:t>
      </w:r>
      <w:r w:rsidR="008B2BAF" w:rsidRPr="00D610A5">
        <w:t xml:space="preserve">commute all death sentences, and end the </w:t>
      </w:r>
      <w:r w:rsidR="00B41091" w:rsidRPr="00D610A5">
        <w:t xml:space="preserve">practice of military tribunals </w:t>
      </w:r>
      <w:r w:rsidR="008B2BAF" w:rsidRPr="00D610A5">
        <w:t>sentencing civilians to death.</w:t>
      </w:r>
      <w:r w:rsidR="000107FA" w:rsidRPr="00D610A5">
        <w:rPr>
          <w:rStyle w:val="FootnoteReference"/>
        </w:rPr>
        <w:footnoteReference w:id="3"/>
      </w:r>
    </w:p>
    <w:p w14:paraId="32E16216" w14:textId="60229542" w:rsidR="009C1A53" w:rsidRPr="00D610A5" w:rsidRDefault="00C15C21" w:rsidP="009C1A53">
      <w:pPr>
        <w:numPr>
          <w:ilvl w:val="0"/>
          <w:numId w:val="7"/>
        </w:numPr>
        <w:spacing w:after="120"/>
        <w:ind w:left="360"/>
        <w:jc w:val="both"/>
      </w:pPr>
      <w:r w:rsidRPr="00D610A5">
        <w:t>T</w:t>
      </w:r>
      <w:r w:rsidR="00331597" w:rsidRPr="00D610A5">
        <w:t xml:space="preserve">he Committee </w:t>
      </w:r>
      <w:r w:rsidR="00D75066" w:rsidRPr="00D610A5">
        <w:t xml:space="preserve">also </w:t>
      </w:r>
      <w:r w:rsidR="00331597" w:rsidRPr="00D610A5">
        <w:t xml:space="preserve">requested an update on the status of the draft criminal code. </w:t>
      </w:r>
      <w:r w:rsidR="296C5C4C" w:rsidRPr="00D610A5">
        <w:t xml:space="preserve">In its </w:t>
      </w:r>
      <w:r w:rsidR="4186E157" w:rsidRPr="00D610A5">
        <w:t>Initial</w:t>
      </w:r>
      <w:r w:rsidR="296C5C4C" w:rsidRPr="00D610A5">
        <w:t xml:space="preserve"> </w:t>
      </w:r>
      <w:r w:rsidR="4186E157" w:rsidRPr="00D610A5">
        <w:t>R</w:t>
      </w:r>
      <w:r w:rsidR="296C5C4C" w:rsidRPr="00D610A5">
        <w:t>eport</w:t>
      </w:r>
      <w:r w:rsidR="74FB2C84" w:rsidRPr="00D610A5">
        <w:t xml:space="preserve"> </w:t>
      </w:r>
      <w:r w:rsidR="4496B131" w:rsidRPr="00D610A5">
        <w:t xml:space="preserve">submitted </w:t>
      </w:r>
      <w:r w:rsidR="74FB2C84" w:rsidRPr="00D610A5">
        <w:t>in 20</w:t>
      </w:r>
      <w:r w:rsidR="4496B131" w:rsidRPr="00D610A5">
        <w:t>20</w:t>
      </w:r>
      <w:r w:rsidR="296C5C4C" w:rsidRPr="00D610A5">
        <w:t>, Palestine reported that it is</w:t>
      </w:r>
      <w:r w:rsidR="3D16E234" w:rsidRPr="00D610A5">
        <w:t xml:space="preserve"> working to abolish the death penalty in its domestic legislation:</w:t>
      </w:r>
      <w:r w:rsidR="296C5C4C" w:rsidRPr="00D610A5">
        <w:t xml:space="preserve"> “The State of Palestine is working to abolish the death penalty from legislative texts, to which end a draft criminal code has been prepared which does not contemplate the death penalty for any offence.”</w:t>
      </w:r>
      <w:r w:rsidR="0004654E" w:rsidRPr="00D610A5">
        <w:rPr>
          <w:rStyle w:val="FootnoteReference"/>
        </w:rPr>
        <w:footnoteReference w:id="4"/>
      </w:r>
      <w:r w:rsidR="3D16E234" w:rsidRPr="00D610A5">
        <w:t xml:space="preserve"> </w:t>
      </w:r>
    </w:p>
    <w:p w14:paraId="13889910" w14:textId="65225BDC" w:rsidR="00976874" w:rsidRPr="00D610A5" w:rsidRDefault="008F6E9F" w:rsidP="00C771B5">
      <w:pPr>
        <w:numPr>
          <w:ilvl w:val="0"/>
          <w:numId w:val="7"/>
        </w:numPr>
        <w:spacing w:after="120"/>
        <w:ind w:left="360"/>
        <w:jc w:val="both"/>
      </w:pPr>
      <w:r w:rsidRPr="00D610A5">
        <w:t>The State of Palestine has officially enshrined the death penalty in four different laws: (1) the Revolutionary Penal Code (1979) (issued by the Palestinian Liberation Organization</w:t>
      </w:r>
      <w:r w:rsidRPr="00D610A5" w:rsidDel="00A2526A">
        <w:t xml:space="preserve"> </w:t>
      </w:r>
      <w:r w:rsidRPr="00D610A5">
        <w:t>before</w:t>
      </w:r>
      <w:r w:rsidRPr="00D610A5" w:rsidDel="00A2526A">
        <w:t xml:space="preserve"> the </w:t>
      </w:r>
      <w:r w:rsidRPr="00D610A5">
        <w:t>Palestinian Authority</w:t>
      </w:r>
      <w:r w:rsidR="00A2526A" w:rsidRPr="00D610A5">
        <w:t xml:space="preserve"> emerged</w:t>
      </w:r>
      <w:r w:rsidRPr="00D610A5">
        <w:t xml:space="preserve">, authorizing the death penalty for 45 crimes, most of which </w:t>
      </w:r>
      <w:r w:rsidRPr="00D610A5">
        <w:lastRenderedPageBreak/>
        <w:t xml:space="preserve">are vaguely defined political crimes); (2) the British Mandate Penal Code of 1936 (applied in the Gaza Strip) (authorizing the death penalty for 15 crimes, some of which are political crimes </w:t>
      </w:r>
      <w:r w:rsidR="00A037B1" w:rsidRPr="00D610A5">
        <w:t xml:space="preserve">designed </w:t>
      </w:r>
      <w:r w:rsidRPr="00D610A5">
        <w:t>to prevent Palestinians from resisting the British Occupation); (3) the Jordanian Penal Code of 1960 (applied in the West Bank) (an old version of the Jordanian Penal Code, which came into force in the West Bank during Jordan’s rule over the West Bank, authorizing the death penalty for 16 crimes, some of which are political); and (4) the amended Jordanian law of explosives (1963).</w:t>
      </w:r>
      <w:r w:rsidRPr="00D610A5">
        <w:rPr>
          <w:rStyle w:val="FootnoteReference"/>
        </w:rPr>
        <w:footnoteReference w:id="5"/>
      </w:r>
      <w:r w:rsidRPr="00D610A5">
        <w:t xml:space="preserve"> </w:t>
      </w:r>
    </w:p>
    <w:p w14:paraId="3D9161F1" w14:textId="1D80D835" w:rsidR="00223193" w:rsidRPr="00D610A5" w:rsidRDefault="00694575" w:rsidP="00C771B5">
      <w:pPr>
        <w:numPr>
          <w:ilvl w:val="0"/>
          <w:numId w:val="7"/>
        </w:numPr>
        <w:spacing w:after="120"/>
        <w:ind w:left="360"/>
        <w:jc w:val="both"/>
      </w:pPr>
      <w:r w:rsidRPr="00D610A5">
        <w:t xml:space="preserve">Abolition of the death penalty is complicated by the fact that </w:t>
      </w:r>
      <w:r w:rsidR="00D66DB7" w:rsidRPr="00D610A5">
        <w:t xml:space="preserve">the Palestinian legal system </w:t>
      </w:r>
      <w:r w:rsidRPr="00D610A5">
        <w:t>is not harmonized</w:t>
      </w:r>
      <w:r w:rsidR="00D66DB7" w:rsidRPr="00D610A5">
        <w:t xml:space="preserve">. </w:t>
      </w:r>
      <w:r w:rsidR="005C7E3F" w:rsidRPr="00D610A5">
        <w:t xml:space="preserve">These laws </w:t>
      </w:r>
      <w:r w:rsidR="008F6E9F" w:rsidRPr="00D610A5">
        <w:t>are arguably relics of a past era or enacted by a political entity that lacked a mandate to promulgate them.</w:t>
      </w:r>
      <w:r w:rsidR="008F6E9F" w:rsidRPr="00D610A5">
        <w:rPr>
          <w:rStyle w:val="FootnoteReference"/>
        </w:rPr>
        <w:footnoteReference w:id="6"/>
      </w:r>
      <w:r w:rsidR="00C771B5" w:rsidRPr="00D610A5">
        <w:t xml:space="preserve"> </w:t>
      </w:r>
      <w:r w:rsidR="00416367" w:rsidRPr="00D610A5">
        <w:t xml:space="preserve">The Revolutionary Penal Code, under which </w:t>
      </w:r>
      <w:r w:rsidR="009F2437" w:rsidRPr="00D610A5">
        <w:t xml:space="preserve">courts may sentence </w:t>
      </w:r>
      <w:r w:rsidR="000F7CAA" w:rsidRPr="00D610A5">
        <w:t xml:space="preserve">people to death in </w:t>
      </w:r>
      <w:r w:rsidR="009F2437" w:rsidRPr="00D610A5">
        <w:t xml:space="preserve">the </w:t>
      </w:r>
      <w:r w:rsidR="000F7CAA" w:rsidRPr="00D610A5">
        <w:t xml:space="preserve">Gaza strip, </w:t>
      </w:r>
      <w:r w:rsidR="00B37BCB" w:rsidRPr="00D610A5">
        <w:t xml:space="preserve">emerged during </w:t>
      </w:r>
      <w:r w:rsidR="00371A5B" w:rsidRPr="00D610A5">
        <w:t xml:space="preserve">the era of the national liberation struggle but not by a legislative authority of </w:t>
      </w:r>
      <w:r w:rsidR="00220197" w:rsidRPr="00D610A5">
        <w:t xml:space="preserve">a </w:t>
      </w:r>
      <w:r w:rsidR="00371A5B" w:rsidRPr="00D610A5">
        <w:t xml:space="preserve">stable civic state. </w:t>
      </w:r>
      <w:r w:rsidR="5156FF1B" w:rsidRPr="00D610A5">
        <w:t xml:space="preserve">Further, the four laws authorizing the death penalty do not limit the death penalty to the most serious crimes, failing to align with the </w:t>
      </w:r>
      <w:r w:rsidR="08F0C82A" w:rsidRPr="00D610A5">
        <w:t xml:space="preserve">Article 6 of the </w:t>
      </w:r>
      <w:r w:rsidR="6172A383" w:rsidRPr="00D610A5">
        <w:t>ICCPR.</w:t>
      </w:r>
      <w:r w:rsidR="00223193" w:rsidRPr="00D610A5">
        <w:t xml:space="preserve"> </w:t>
      </w:r>
    </w:p>
    <w:p w14:paraId="07F43DC1" w14:textId="385D5ADD" w:rsidR="009C1A53" w:rsidRPr="00D610A5" w:rsidRDefault="00223193" w:rsidP="00C771B5">
      <w:pPr>
        <w:numPr>
          <w:ilvl w:val="0"/>
          <w:numId w:val="7"/>
        </w:numPr>
        <w:spacing w:after="120"/>
        <w:ind w:left="360"/>
        <w:jc w:val="both"/>
      </w:pPr>
      <w:r w:rsidRPr="00D610A5">
        <w:t>Courts continue to hand down death sentences in both the West Bank and the Gaza Strip. West Bank</w:t>
      </w:r>
      <w:r w:rsidR="00137040" w:rsidRPr="00D610A5">
        <w:t xml:space="preserve"> courts </w:t>
      </w:r>
      <w:r w:rsidR="002D16F2" w:rsidRPr="00D610A5">
        <w:t xml:space="preserve">last </w:t>
      </w:r>
      <w:r w:rsidR="00137040" w:rsidRPr="00D610A5">
        <w:t>issued</w:t>
      </w:r>
      <w:r w:rsidRPr="00D610A5">
        <w:t xml:space="preserve"> </w:t>
      </w:r>
      <w:r w:rsidR="002D16F2" w:rsidRPr="00D610A5">
        <w:t xml:space="preserve">death sentences </w:t>
      </w:r>
      <w:r w:rsidRPr="00D610A5">
        <w:t xml:space="preserve">in 2015, when </w:t>
      </w:r>
      <w:r w:rsidR="002D16F2" w:rsidRPr="00D610A5">
        <w:t xml:space="preserve">they sentenced </w:t>
      </w:r>
      <w:r w:rsidR="00EC28E4" w:rsidRPr="00D610A5">
        <w:t>two</w:t>
      </w:r>
      <w:r w:rsidR="002468F6" w:rsidRPr="00D610A5">
        <w:t xml:space="preserve"> people to death.</w:t>
      </w:r>
      <w:r w:rsidR="00DF75F9" w:rsidRPr="00D610A5">
        <w:rPr>
          <w:rStyle w:val="FootnoteReference"/>
        </w:rPr>
        <w:footnoteReference w:id="7"/>
      </w:r>
      <w:r w:rsidR="002468F6" w:rsidRPr="00D610A5">
        <w:t xml:space="preserve"> </w:t>
      </w:r>
      <w:r w:rsidR="00D7610A" w:rsidRPr="00D610A5">
        <w:t>In Gaza,</w:t>
      </w:r>
      <w:r w:rsidR="00A90A75" w:rsidRPr="00D610A5">
        <w:t xml:space="preserve"> </w:t>
      </w:r>
      <w:r w:rsidR="002D16F2" w:rsidRPr="00D610A5">
        <w:t xml:space="preserve">courts sentence people to </w:t>
      </w:r>
      <w:r w:rsidR="00A54CAE" w:rsidRPr="00D610A5">
        <w:t>death more frequently, with</w:t>
      </w:r>
      <w:r w:rsidR="00D7610A" w:rsidRPr="00D610A5">
        <w:t xml:space="preserve"> </w:t>
      </w:r>
      <w:r w:rsidR="00A90A75" w:rsidRPr="00D610A5">
        <w:t>the most recent being in</w:t>
      </w:r>
      <w:r w:rsidR="00D7610A" w:rsidRPr="00D610A5">
        <w:t xml:space="preserve"> March 2023.</w:t>
      </w:r>
      <w:r w:rsidR="003A7923" w:rsidRPr="00D610A5">
        <w:rPr>
          <w:rStyle w:val="FootnoteReference"/>
        </w:rPr>
        <w:footnoteReference w:id="8"/>
      </w:r>
      <w:r w:rsidR="00D7610A" w:rsidRPr="00D610A5">
        <w:t xml:space="preserve"> </w:t>
      </w:r>
      <w:r w:rsidR="00810D8D" w:rsidRPr="00D610A5">
        <w:t xml:space="preserve">Amnesty international reports that </w:t>
      </w:r>
      <w:r w:rsidR="00923679" w:rsidRPr="00D610A5">
        <w:t xml:space="preserve">there are </w:t>
      </w:r>
      <w:r w:rsidR="00810D8D" w:rsidRPr="00D610A5">
        <w:t xml:space="preserve">currently </w:t>
      </w:r>
      <w:r w:rsidR="00923679" w:rsidRPr="00D610A5">
        <w:t xml:space="preserve">at least </w:t>
      </w:r>
      <w:r w:rsidR="00810D8D" w:rsidRPr="00D610A5">
        <w:t>238 people on death row.</w:t>
      </w:r>
      <w:r w:rsidR="00810D8D" w:rsidRPr="00D610A5">
        <w:rPr>
          <w:rStyle w:val="FootnoteReference"/>
        </w:rPr>
        <w:footnoteReference w:id="9"/>
      </w:r>
    </w:p>
    <w:p w14:paraId="53992A85" w14:textId="5E885C60" w:rsidR="00C771B5" w:rsidRPr="00D610A5" w:rsidRDefault="00DB652B" w:rsidP="00C771B5">
      <w:pPr>
        <w:numPr>
          <w:ilvl w:val="0"/>
          <w:numId w:val="7"/>
        </w:numPr>
        <w:spacing w:after="120"/>
        <w:ind w:left="360"/>
        <w:jc w:val="both"/>
        <w:rPr>
          <w:rFonts w:eastAsiaTheme="minorEastAsia"/>
          <w:kern w:val="0"/>
          <w:shd w:val="clear" w:color="auto" w:fill="FFFFFF"/>
        </w:rPr>
      </w:pPr>
      <w:r w:rsidRPr="00D610A5">
        <w:t xml:space="preserve">Even though </w:t>
      </w:r>
      <w:r w:rsidR="6F12DFD6" w:rsidRPr="00D610A5">
        <w:t xml:space="preserve">courts continue </w:t>
      </w:r>
      <w:r w:rsidRPr="00D610A5">
        <w:t xml:space="preserve">to </w:t>
      </w:r>
      <w:r w:rsidR="6F12DFD6" w:rsidRPr="00D610A5">
        <w:t>sentenc</w:t>
      </w:r>
      <w:r w:rsidRPr="00D610A5">
        <w:t>e</w:t>
      </w:r>
      <w:r w:rsidR="6F12DFD6" w:rsidRPr="00D610A5" w:rsidDel="00DB652B">
        <w:t xml:space="preserve"> </w:t>
      </w:r>
      <w:r w:rsidR="6F12DFD6" w:rsidRPr="00D610A5">
        <w:t xml:space="preserve">people to death, </w:t>
      </w:r>
      <w:r w:rsidRPr="00D610A5">
        <w:t xml:space="preserve">authorities cannot carry out </w:t>
      </w:r>
      <w:r w:rsidR="6F12DFD6" w:rsidRPr="00D610A5">
        <w:t>e</w:t>
      </w:r>
      <w:r w:rsidR="009C1A53" w:rsidRPr="00D610A5">
        <w:t>xecutions unless the President ratifies the death sentence.</w:t>
      </w:r>
      <w:r w:rsidR="009C1A53" w:rsidRPr="00D610A5">
        <w:rPr>
          <w:rStyle w:val="FootnoteReference"/>
        </w:rPr>
        <w:footnoteReference w:id="10"/>
      </w:r>
      <w:r w:rsidR="009C1A53" w:rsidRPr="00D610A5">
        <w:t xml:space="preserve"> The President of Palestine is authorized to stop executions by commuting sentences or granting a pardon.</w:t>
      </w:r>
      <w:r w:rsidR="009C1A53" w:rsidRPr="00D610A5">
        <w:rPr>
          <w:rStyle w:val="FootnoteReference"/>
        </w:rPr>
        <w:footnoteReference w:id="11"/>
      </w:r>
      <w:r w:rsidR="009C1A53" w:rsidRPr="00D610A5">
        <w:t xml:space="preserve"> </w:t>
      </w:r>
      <w:r w:rsidR="00C771B5" w:rsidRPr="00D610A5">
        <w:t xml:space="preserve">In 2005, President </w:t>
      </w:r>
      <w:r w:rsidR="641EF2AE" w:rsidRPr="00D610A5">
        <w:t>Abbas</w:t>
      </w:r>
      <w:r w:rsidR="00C771B5" w:rsidRPr="00D610A5">
        <w:t xml:space="preserve"> committed to no longer ratifying any new death sentences. </w:t>
      </w:r>
      <w:r w:rsidR="00C771B5" w:rsidRPr="00D610A5">
        <w:rPr>
          <w:rFonts w:eastAsiaTheme="minorEastAsia"/>
          <w:kern w:val="0"/>
        </w:rPr>
        <w:t xml:space="preserve">Despite this commitment, in 2005 the President approved five </w:t>
      </w:r>
      <w:r w:rsidR="006D3383" w:rsidRPr="00D610A5">
        <w:rPr>
          <w:rFonts w:eastAsiaTheme="minorEastAsia"/>
          <w:kern w:val="0"/>
        </w:rPr>
        <w:t>executions</w:t>
      </w:r>
      <w:r w:rsidR="00C771B5" w:rsidRPr="00D610A5">
        <w:rPr>
          <w:rFonts w:eastAsiaTheme="minorEastAsia"/>
          <w:kern w:val="0"/>
        </w:rPr>
        <w:t>, one of which authorities carried out on May 27, 2005. Authorities carried out the remaining four on June 12, 2005</w:t>
      </w:r>
      <w:r w:rsidR="00C771B5" w:rsidRPr="00D610A5">
        <w:rPr>
          <w:rFonts w:eastAsiaTheme="minorEastAsia"/>
        </w:rPr>
        <w:t>.</w:t>
      </w:r>
      <w:r w:rsidR="00C771B5" w:rsidRPr="00D610A5">
        <w:rPr>
          <w:rFonts w:eastAsia="Calibri"/>
          <w:kern w:val="0"/>
        </w:rPr>
        <w:t xml:space="preserve"> </w:t>
      </w:r>
      <w:r w:rsidR="00981805" w:rsidRPr="00D610A5">
        <w:rPr>
          <w:rFonts w:eastAsia="Calibri"/>
          <w:kern w:val="0"/>
        </w:rPr>
        <w:t xml:space="preserve">Authorities in </w:t>
      </w:r>
      <w:r w:rsidR="006D3383" w:rsidRPr="00D610A5">
        <w:rPr>
          <w:rFonts w:eastAsia="Calibri"/>
          <w:kern w:val="0"/>
        </w:rPr>
        <w:t xml:space="preserve">the </w:t>
      </w:r>
      <w:r w:rsidR="005C7E3F" w:rsidRPr="00D610A5">
        <w:rPr>
          <w:rFonts w:eastAsia="Calibri"/>
          <w:kern w:val="0"/>
        </w:rPr>
        <w:t xml:space="preserve">West Bank </w:t>
      </w:r>
      <w:r w:rsidR="00981805" w:rsidRPr="00D610A5">
        <w:rPr>
          <w:rFonts w:eastAsia="Calibri"/>
          <w:kern w:val="0"/>
        </w:rPr>
        <w:t xml:space="preserve">have not carried out any executions </w:t>
      </w:r>
      <w:r w:rsidR="005C7E3F" w:rsidRPr="00D610A5">
        <w:rPr>
          <w:rFonts w:eastAsia="Calibri"/>
          <w:kern w:val="0"/>
        </w:rPr>
        <w:t>since 2005.</w:t>
      </w:r>
    </w:p>
    <w:p w14:paraId="2F87CEBE" w14:textId="76E4A379" w:rsidR="008F6E9F" w:rsidRPr="00D610A5" w:rsidRDefault="00C771B5" w:rsidP="005C7E3F">
      <w:pPr>
        <w:numPr>
          <w:ilvl w:val="0"/>
          <w:numId w:val="7"/>
        </w:numPr>
        <w:spacing w:after="120"/>
        <w:ind w:left="360"/>
        <w:jc w:val="both"/>
        <w:rPr>
          <w:rFonts w:eastAsiaTheme="minorEastAsia"/>
          <w:kern w:val="0"/>
          <w:shd w:val="clear" w:color="auto" w:fill="FFFFFF"/>
        </w:rPr>
      </w:pPr>
      <w:r w:rsidRPr="00D610A5">
        <w:rPr>
          <w:rFonts w:eastAsia="Calibri"/>
          <w:kern w:val="0"/>
        </w:rPr>
        <w:t xml:space="preserve">Since the 2007 split, however, Hamas has </w:t>
      </w:r>
      <w:r w:rsidR="6F6E21F9" w:rsidRPr="00D610A5">
        <w:rPr>
          <w:rFonts w:eastAsia="Calibri"/>
          <w:kern w:val="0"/>
        </w:rPr>
        <w:t>resumed</w:t>
      </w:r>
      <w:r w:rsidRPr="00D610A5">
        <w:rPr>
          <w:rFonts w:eastAsia="Calibri"/>
          <w:kern w:val="0"/>
        </w:rPr>
        <w:t xml:space="preserve"> executions.</w:t>
      </w:r>
      <w:r w:rsidRPr="00D610A5">
        <w:rPr>
          <w:rStyle w:val="FootnoteReference"/>
        </w:rPr>
        <w:footnoteReference w:id="12"/>
      </w:r>
      <w:r w:rsidRPr="00D610A5">
        <w:rPr>
          <w:rFonts w:eastAsia="Calibri"/>
          <w:kern w:val="0"/>
        </w:rPr>
        <w:t xml:space="preserve"> </w:t>
      </w:r>
      <w:r w:rsidR="007A588F" w:rsidRPr="00D610A5">
        <w:rPr>
          <w:rFonts w:eastAsia="Calibri"/>
          <w:kern w:val="0"/>
        </w:rPr>
        <w:t>Hamas authorities executed f</w:t>
      </w:r>
      <w:r w:rsidR="50041497" w:rsidRPr="00D610A5">
        <w:rPr>
          <w:rFonts w:eastAsia="Calibri"/>
          <w:kern w:val="0"/>
        </w:rPr>
        <w:t>ive</w:t>
      </w:r>
      <w:r w:rsidR="00914E75" w:rsidRPr="00D610A5">
        <w:rPr>
          <w:rFonts w:eastAsia="Calibri"/>
          <w:kern w:val="0"/>
        </w:rPr>
        <w:t xml:space="preserve"> people</w:t>
      </w:r>
      <w:r w:rsidR="00914E75" w:rsidRPr="00D610A5" w:rsidDel="007A588F">
        <w:rPr>
          <w:rFonts w:eastAsia="Calibri"/>
          <w:kern w:val="0"/>
        </w:rPr>
        <w:t xml:space="preserve"> </w:t>
      </w:r>
      <w:r w:rsidR="00914E75" w:rsidRPr="00D610A5">
        <w:rPr>
          <w:rFonts w:eastAsia="Calibri"/>
          <w:kern w:val="0"/>
        </w:rPr>
        <w:t>in 2022</w:t>
      </w:r>
      <w:r w:rsidR="330D2E88" w:rsidRPr="00D610A5">
        <w:rPr>
          <w:rFonts w:eastAsia="Calibri"/>
          <w:kern w:val="0"/>
        </w:rPr>
        <w:t>:</w:t>
      </w:r>
      <w:r w:rsidR="00914E75" w:rsidRPr="00D610A5">
        <w:rPr>
          <w:rStyle w:val="FootnoteReference"/>
          <w:rFonts w:eastAsia="Calibri"/>
          <w:kern w:val="0"/>
        </w:rPr>
        <w:footnoteReference w:id="13"/>
      </w:r>
      <w:r w:rsidR="00914E75" w:rsidRPr="00D610A5">
        <w:rPr>
          <w:rFonts w:eastAsia="Calibri"/>
          <w:kern w:val="0"/>
        </w:rPr>
        <w:t xml:space="preserve"> </w:t>
      </w:r>
      <w:r w:rsidR="008F6E9F" w:rsidRPr="00D610A5">
        <w:t xml:space="preserve">“September 4, 2022, five citizens were executed by the status quo </w:t>
      </w:r>
      <w:r w:rsidR="008F6E9F" w:rsidRPr="00D610A5">
        <w:lastRenderedPageBreak/>
        <w:t>government in [the] Gaza Strip. Two were accused of communication with [a] hostile party and three were accused of murder crimes</w:t>
      </w:r>
      <w:proofErr w:type="gramStart"/>
      <w:r w:rsidR="007A588F" w:rsidRPr="00D610A5">
        <w:t>. . . .</w:t>
      </w:r>
      <w:proofErr w:type="gramEnd"/>
      <w:r w:rsidR="005C7E3F" w:rsidRPr="00D610A5">
        <w:t xml:space="preserve"> </w:t>
      </w:r>
      <w:r w:rsidR="00AA516E" w:rsidRPr="00D610A5">
        <w:t>In 2021, there was a significant increase in the number of death sentences issued by the military and civilian courts of first instance while [the Palestinian Centre for Human Rights] reported 2 cases of serious breaches in use of death penalty in the Gaza Strip.”</w:t>
      </w:r>
      <w:r w:rsidR="00AA516E" w:rsidRPr="00D610A5">
        <w:rPr>
          <w:rStyle w:val="FootnoteReference"/>
        </w:rPr>
        <w:footnoteReference w:id="14"/>
      </w:r>
      <w:r w:rsidR="00F43AB7" w:rsidRPr="00D610A5">
        <w:t xml:space="preserve"> </w:t>
      </w:r>
    </w:p>
    <w:p w14:paraId="55474501" w14:textId="18311BDE" w:rsidR="008F6E9F" w:rsidRPr="00D610A5" w:rsidRDefault="008F6E9F" w:rsidP="003D4793">
      <w:pPr>
        <w:numPr>
          <w:ilvl w:val="0"/>
          <w:numId w:val="7"/>
        </w:numPr>
        <w:spacing w:after="120"/>
        <w:ind w:left="360"/>
        <w:jc w:val="both"/>
      </w:pPr>
      <w:r w:rsidRPr="00D610A5">
        <w:t>In Gaza, there are</w:t>
      </w:r>
      <w:r w:rsidR="432576C6" w:rsidRPr="00D610A5">
        <w:t xml:space="preserve"> credible</w:t>
      </w:r>
      <w:r w:rsidRPr="00D610A5">
        <w:t xml:space="preserve"> reports of military tribunals sentencing civilians to death</w:t>
      </w:r>
      <w:r w:rsidR="005C7E3F" w:rsidRPr="00D610A5">
        <w:t xml:space="preserve"> </w:t>
      </w:r>
      <w:r w:rsidRPr="00D610A5">
        <w:t>without presidential ratification.</w:t>
      </w:r>
      <w:r w:rsidRPr="00D610A5">
        <w:rPr>
          <w:rStyle w:val="FootnoteReference"/>
        </w:rPr>
        <w:footnoteReference w:id="15"/>
      </w:r>
      <w:r w:rsidRPr="00D610A5">
        <w:t xml:space="preserve"> Civil society organizations have repeatedly called for an end to the use of military tribunals to try civilians and sentence them to death.</w:t>
      </w:r>
      <w:r w:rsidRPr="00D610A5">
        <w:rPr>
          <w:rStyle w:val="FootnoteReference"/>
        </w:rPr>
        <w:footnoteReference w:id="16"/>
      </w:r>
      <w:r w:rsidRPr="00D610A5">
        <w:t xml:space="preserve"> </w:t>
      </w:r>
      <w:r w:rsidR="008C081B" w:rsidRPr="00D610A5">
        <w:t xml:space="preserve">SHAMS reported that in 2022, </w:t>
      </w:r>
      <w:r w:rsidR="002B570E" w:rsidRPr="00D610A5">
        <w:t xml:space="preserve">courts in Gaza sentenced at least </w:t>
      </w:r>
      <w:r w:rsidR="00F16E22" w:rsidRPr="00D610A5">
        <w:t>2</w:t>
      </w:r>
      <w:r w:rsidR="00235075" w:rsidRPr="00D610A5">
        <w:t>3</w:t>
      </w:r>
      <w:r w:rsidRPr="00D610A5">
        <w:t xml:space="preserve"> people</w:t>
      </w:r>
      <w:r w:rsidR="00F16E22" w:rsidRPr="00D610A5">
        <w:t xml:space="preserve"> </w:t>
      </w:r>
      <w:r w:rsidRPr="00D610A5">
        <w:t>to death</w:t>
      </w:r>
      <w:r w:rsidR="0056024F" w:rsidRPr="00D610A5">
        <w:t>, and</w:t>
      </w:r>
      <w:r w:rsidR="00235075" w:rsidRPr="00D610A5">
        <w:t xml:space="preserve"> </w:t>
      </w:r>
      <w:r w:rsidR="00254FB5" w:rsidRPr="00D610A5">
        <w:t xml:space="preserve">courts reaffirmed </w:t>
      </w:r>
      <w:r w:rsidR="004A781A" w:rsidRPr="00D610A5">
        <w:t>seven</w:t>
      </w:r>
      <w:r w:rsidR="00235075" w:rsidRPr="00D610A5">
        <w:t xml:space="preserve"> </w:t>
      </w:r>
      <w:r w:rsidR="00B22BA0" w:rsidRPr="00D610A5">
        <w:t xml:space="preserve">death </w:t>
      </w:r>
      <w:r w:rsidR="00BD4509" w:rsidRPr="00D610A5">
        <w:t xml:space="preserve">sentences </w:t>
      </w:r>
      <w:r w:rsidR="00254FB5" w:rsidRPr="00D610A5">
        <w:t>after appellate review</w:t>
      </w:r>
      <w:r w:rsidR="0056024F" w:rsidRPr="00D610A5">
        <w:t>.</w:t>
      </w:r>
      <w:r w:rsidR="0056024F" w:rsidRPr="00D610A5">
        <w:rPr>
          <w:rStyle w:val="FootnoteReference"/>
        </w:rPr>
        <w:footnoteReference w:id="17"/>
      </w:r>
      <w:r w:rsidR="00B306C0" w:rsidRPr="00D610A5">
        <w:t xml:space="preserve"> </w:t>
      </w:r>
      <w:r w:rsidR="007E1B87" w:rsidRPr="00D610A5">
        <w:t xml:space="preserve">In January 2023, the </w:t>
      </w:r>
      <w:r w:rsidR="008A280C" w:rsidRPr="00D610A5">
        <w:t xml:space="preserve">Permanent </w:t>
      </w:r>
      <w:r w:rsidR="007E1B87" w:rsidRPr="00D610A5">
        <w:t>Military Court in Gaza sentenced</w:t>
      </w:r>
      <w:r w:rsidR="008A280C" w:rsidRPr="00D610A5">
        <w:t xml:space="preserve"> an individual to death for drug </w:t>
      </w:r>
      <w:r w:rsidR="004A76E7" w:rsidRPr="00D610A5">
        <w:t>dealing.</w:t>
      </w:r>
      <w:r w:rsidR="00334399" w:rsidRPr="00D610A5">
        <w:rPr>
          <w:rStyle w:val="FootnoteReference"/>
        </w:rPr>
        <w:footnoteReference w:id="18"/>
      </w:r>
      <w:r w:rsidR="007E1B87" w:rsidRPr="00D610A5">
        <w:t xml:space="preserve"> </w:t>
      </w:r>
      <w:r w:rsidR="00632B77" w:rsidRPr="00D610A5">
        <w:t xml:space="preserve">In </w:t>
      </w:r>
      <w:r w:rsidR="004C33B9" w:rsidRPr="00D610A5">
        <w:t xml:space="preserve">March </w:t>
      </w:r>
      <w:r w:rsidR="002044C4" w:rsidRPr="00D610A5">
        <w:t>2</w:t>
      </w:r>
      <w:r w:rsidR="00632B77" w:rsidRPr="00D610A5">
        <w:t>023, the Military Judicial Authority</w:t>
      </w:r>
      <w:r w:rsidR="00407293" w:rsidRPr="00D610A5">
        <w:t xml:space="preserve"> </w:t>
      </w:r>
      <w:r w:rsidR="00632B77" w:rsidRPr="00D610A5">
        <w:t>sentenced</w:t>
      </w:r>
      <w:r w:rsidR="00407293" w:rsidRPr="00D610A5">
        <w:t xml:space="preserve"> </w:t>
      </w:r>
      <w:r w:rsidR="00632B77" w:rsidRPr="00D610A5">
        <w:t>three people to death.</w:t>
      </w:r>
      <w:r w:rsidR="00983A93" w:rsidRPr="00D610A5">
        <w:rPr>
          <w:rStyle w:val="FootnoteReference"/>
        </w:rPr>
        <w:footnoteReference w:id="19"/>
      </w:r>
      <w:r w:rsidR="00632B77" w:rsidRPr="00D610A5">
        <w:t xml:space="preserve"> </w:t>
      </w:r>
      <w:r w:rsidR="016B76FC" w:rsidRPr="00D610A5">
        <w:t>T</w:t>
      </w:r>
      <w:r w:rsidR="253FB1B5" w:rsidRPr="00D610A5">
        <w:t xml:space="preserve">he </w:t>
      </w:r>
      <w:r w:rsidR="005E2DCF" w:rsidRPr="00D610A5">
        <w:t>c</w:t>
      </w:r>
      <w:r w:rsidR="1979323D" w:rsidRPr="00D610A5">
        <w:t>ourt convicted</w:t>
      </w:r>
      <w:r w:rsidR="253FB1B5" w:rsidRPr="00D610A5">
        <w:t xml:space="preserve"> t</w:t>
      </w:r>
      <w:r w:rsidR="016B76FC" w:rsidRPr="00D610A5">
        <w:t xml:space="preserve">wo </w:t>
      </w:r>
      <w:r w:rsidR="11DDF682" w:rsidRPr="00D610A5">
        <w:t xml:space="preserve">of the </w:t>
      </w:r>
      <w:r w:rsidR="00282DBD" w:rsidRPr="00D610A5">
        <w:t>individuals</w:t>
      </w:r>
      <w:r w:rsidR="00282DBD" w:rsidRPr="00D610A5" w:rsidDel="00043CFA">
        <w:t xml:space="preserve"> </w:t>
      </w:r>
      <w:r w:rsidR="00043CFA" w:rsidRPr="00D610A5">
        <w:t xml:space="preserve">of </w:t>
      </w:r>
      <w:r w:rsidR="016B76FC" w:rsidRPr="00D610A5">
        <w:t>communicat</w:t>
      </w:r>
      <w:r w:rsidR="00043CFA" w:rsidRPr="00D610A5">
        <w:t>ing</w:t>
      </w:r>
      <w:r w:rsidR="00282DBD" w:rsidRPr="00D610A5">
        <w:t xml:space="preserve"> with a </w:t>
      </w:r>
      <w:r w:rsidR="00C171AB" w:rsidRPr="00D610A5">
        <w:t xml:space="preserve">hostile party </w:t>
      </w:r>
      <w:r w:rsidR="00C513EA" w:rsidRPr="00D610A5">
        <w:t xml:space="preserve">in violation of the Revolutionary Penalty Act 1979 and the </w:t>
      </w:r>
      <w:r w:rsidR="00903265" w:rsidRPr="00D610A5">
        <w:t>C</w:t>
      </w:r>
      <w:r w:rsidR="00C513EA" w:rsidRPr="00D610A5">
        <w:t xml:space="preserve">riminal </w:t>
      </w:r>
      <w:r w:rsidR="00903265" w:rsidRPr="00D610A5">
        <w:t>P</w:t>
      </w:r>
      <w:r w:rsidR="00C513EA" w:rsidRPr="00D610A5">
        <w:t xml:space="preserve">rocedures </w:t>
      </w:r>
      <w:r w:rsidR="00903265" w:rsidRPr="00D610A5">
        <w:t>L</w:t>
      </w:r>
      <w:r w:rsidR="00C513EA" w:rsidRPr="00D610A5">
        <w:t>aw (3/ 2001</w:t>
      </w:r>
      <w:r w:rsidR="00F62B9B" w:rsidRPr="00D610A5">
        <w:t xml:space="preserve">). </w:t>
      </w:r>
      <w:r w:rsidR="5B3F1B3B" w:rsidRPr="00D610A5">
        <w:t>It convicted the</w:t>
      </w:r>
      <w:r w:rsidR="00F62B9B" w:rsidRPr="00D610A5">
        <w:t xml:space="preserve"> third person </w:t>
      </w:r>
      <w:r w:rsidR="234D386E" w:rsidRPr="00D610A5">
        <w:t xml:space="preserve">of </w:t>
      </w:r>
      <w:r w:rsidR="00F62B9B" w:rsidRPr="00D610A5">
        <w:t>possessing and promoting narcotics. The military court found the defendant to be in violation of Article 1/28 of the Combating Narcotics and Psychotropic Substances Law (7/2013).</w:t>
      </w:r>
      <w:r w:rsidRPr="00D610A5">
        <w:rPr>
          <w:rStyle w:val="FootnoteReference"/>
        </w:rPr>
        <w:footnoteReference w:id="20"/>
      </w:r>
      <w:r w:rsidR="00980F4B" w:rsidRPr="00D610A5">
        <w:t xml:space="preserve"> </w:t>
      </w:r>
    </w:p>
    <w:p w14:paraId="53F06C3E" w14:textId="26F5E55E" w:rsidR="004B1E4E" w:rsidRPr="00D610A5" w:rsidRDefault="00CE75BB" w:rsidP="00F23CD7">
      <w:pPr>
        <w:keepNext/>
        <w:numPr>
          <w:ilvl w:val="0"/>
          <w:numId w:val="8"/>
        </w:numPr>
        <w:spacing w:before="240" w:after="240"/>
        <w:ind w:left="720" w:hanging="360"/>
        <w:rPr>
          <w:b/>
        </w:rPr>
      </w:pPr>
      <w:r w:rsidRPr="00D610A5">
        <w:rPr>
          <w:b/>
        </w:rPr>
        <w:t>Failure to abolish the death penalty</w:t>
      </w:r>
      <w:r w:rsidR="00437886" w:rsidRPr="00D610A5">
        <w:rPr>
          <w:b/>
        </w:rPr>
        <w:t xml:space="preserve"> also implicates due process rights</w:t>
      </w:r>
      <w:r w:rsidR="005E2DCF" w:rsidRPr="00D610A5">
        <w:rPr>
          <w:b/>
        </w:rPr>
        <w:t>.</w:t>
      </w:r>
      <w:r w:rsidR="00CF0170" w:rsidRPr="00D610A5">
        <w:rPr>
          <w:b/>
        </w:rPr>
        <w:t xml:space="preserve"> </w:t>
      </w:r>
      <w:r w:rsidR="00BF7FF5" w:rsidRPr="00D610A5">
        <w:rPr>
          <w:b/>
        </w:rPr>
        <w:t xml:space="preserve">(List of Issues </w:t>
      </w:r>
      <w:r w:rsidR="00C50D12" w:rsidRPr="00D610A5">
        <w:rPr>
          <w:b/>
        </w:rPr>
        <w:t>paragraph 12</w:t>
      </w:r>
      <w:r w:rsidR="00FA01E7" w:rsidRPr="00D610A5">
        <w:rPr>
          <w:b/>
        </w:rPr>
        <w:t xml:space="preserve"> and 18</w:t>
      </w:r>
      <w:r w:rsidR="00C50D12" w:rsidRPr="00D610A5">
        <w:rPr>
          <w:b/>
        </w:rPr>
        <w:t>)</w:t>
      </w:r>
    </w:p>
    <w:p w14:paraId="37E38F2C" w14:textId="167A70FF" w:rsidR="0037341E" w:rsidRPr="00D610A5" w:rsidRDefault="0037341E" w:rsidP="00D66DB7">
      <w:pPr>
        <w:numPr>
          <w:ilvl w:val="0"/>
          <w:numId w:val="7"/>
        </w:numPr>
        <w:spacing w:after="120"/>
        <w:ind w:left="360"/>
        <w:jc w:val="both"/>
      </w:pPr>
      <w:r w:rsidRPr="00D610A5">
        <w:t>The Committee in its List of Issues requested information on what measures the State has taken to guarantee</w:t>
      </w:r>
      <w:r w:rsidR="00090952" w:rsidRPr="00D610A5">
        <w:t>, both in law and in practice,</w:t>
      </w:r>
      <w:r w:rsidRPr="00D610A5">
        <w:t xml:space="preserve"> the right to coun</w:t>
      </w:r>
      <w:r w:rsidR="00FE5603" w:rsidRPr="00D610A5">
        <w:t>sel</w:t>
      </w:r>
      <w:r w:rsidRPr="00D610A5">
        <w:t xml:space="preserve"> for detained persons.</w:t>
      </w:r>
      <w:r w:rsidRPr="00D610A5">
        <w:rPr>
          <w:rStyle w:val="FootnoteReference"/>
        </w:rPr>
        <w:footnoteReference w:id="21"/>
      </w:r>
      <w:r w:rsidRPr="00D610A5">
        <w:t xml:space="preserve"> The </w:t>
      </w:r>
      <w:r w:rsidRPr="00D610A5">
        <w:lastRenderedPageBreak/>
        <w:t xml:space="preserve">Committee also asked the State of Palestine to respond to reports that the President </w:t>
      </w:r>
      <w:r w:rsidR="00090952" w:rsidRPr="00D610A5">
        <w:t xml:space="preserve">had </w:t>
      </w:r>
      <w:r w:rsidRPr="00D610A5">
        <w:t xml:space="preserve">signed four decrees </w:t>
      </w:r>
      <w:r w:rsidR="009C7700" w:rsidRPr="00D610A5">
        <w:t xml:space="preserve">that </w:t>
      </w:r>
      <w:r w:rsidR="00E302FA" w:rsidRPr="00D610A5">
        <w:t xml:space="preserve">may interfere with the right to </w:t>
      </w:r>
      <w:r w:rsidR="009C7700" w:rsidRPr="00D610A5">
        <w:t xml:space="preserve">mount a </w:t>
      </w:r>
      <w:r w:rsidR="00E302FA" w:rsidRPr="00D610A5">
        <w:t xml:space="preserve">defense and </w:t>
      </w:r>
      <w:r w:rsidR="009C7700" w:rsidRPr="00D610A5">
        <w:t xml:space="preserve">may </w:t>
      </w:r>
      <w:r w:rsidR="00E302FA" w:rsidRPr="00D610A5">
        <w:t xml:space="preserve">raise the threshold for </w:t>
      </w:r>
      <w:r w:rsidR="009176B6" w:rsidRPr="00D610A5">
        <w:t xml:space="preserve">authorities to hold </w:t>
      </w:r>
      <w:r w:rsidR="00E302FA" w:rsidRPr="00D610A5">
        <w:t>public officials and law enforcement accountable for crimes.</w:t>
      </w:r>
      <w:r w:rsidR="00E302FA" w:rsidRPr="00D610A5">
        <w:rPr>
          <w:rStyle w:val="FootnoteReference"/>
        </w:rPr>
        <w:footnoteReference w:id="22"/>
      </w:r>
      <w:r w:rsidR="00E302FA" w:rsidRPr="00D610A5">
        <w:t xml:space="preserve"> </w:t>
      </w:r>
    </w:p>
    <w:p w14:paraId="39480BFB" w14:textId="3AF583C4" w:rsidR="004331D5" w:rsidRPr="00D610A5" w:rsidRDefault="00D66DB7" w:rsidP="00D66DB7">
      <w:pPr>
        <w:numPr>
          <w:ilvl w:val="0"/>
          <w:numId w:val="7"/>
        </w:numPr>
        <w:spacing w:after="120"/>
        <w:ind w:left="360"/>
        <w:jc w:val="both"/>
      </w:pPr>
      <w:r w:rsidRPr="00D610A5">
        <w:t xml:space="preserve">In its </w:t>
      </w:r>
      <w:r w:rsidR="00AB5DD7" w:rsidRPr="00D610A5">
        <w:t>S</w:t>
      </w:r>
      <w:r w:rsidR="28EECC79" w:rsidRPr="00D610A5">
        <w:t>tate</w:t>
      </w:r>
      <w:r w:rsidR="616AA5FB" w:rsidRPr="00D610A5">
        <w:t xml:space="preserve"> </w:t>
      </w:r>
      <w:r w:rsidR="00AB5DD7" w:rsidRPr="00D610A5">
        <w:t>R</w:t>
      </w:r>
      <w:r w:rsidRPr="00D610A5">
        <w:t>eport, Palestine reported that d</w:t>
      </w:r>
      <w:r w:rsidR="004331D5" w:rsidRPr="00D610A5">
        <w:t>efendants must have coun</w:t>
      </w:r>
      <w:r w:rsidR="009176B6" w:rsidRPr="00D610A5">
        <w:t>sel</w:t>
      </w:r>
      <w:r w:rsidR="004331D5" w:rsidRPr="00D610A5">
        <w:t xml:space="preserve"> in capital cases, and the State of Palestine must appoint a lawyer </w:t>
      </w:r>
      <w:r w:rsidR="495E9746" w:rsidRPr="00D610A5">
        <w:t>f</w:t>
      </w:r>
      <w:r w:rsidR="158E7D9C" w:rsidRPr="00D610A5">
        <w:t>o</w:t>
      </w:r>
      <w:r w:rsidR="4E3CF5E2" w:rsidRPr="00D610A5">
        <w:t>r</w:t>
      </w:r>
      <w:r w:rsidR="004331D5" w:rsidRPr="00D610A5">
        <w:t xml:space="preserve"> defendants </w:t>
      </w:r>
      <w:r w:rsidR="009176B6" w:rsidRPr="00D610A5">
        <w:t xml:space="preserve">who do not have </w:t>
      </w:r>
      <w:r w:rsidR="004331D5" w:rsidRPr="00D610A5">
        <w:t xml:space="preserve">the means to </w:t>
      </w:r>
      <w:r w:rsidR="13753D46" w:rsidRPr="00D610A5">
        <w:t>secure their own representation</w:t>
      </w:r>
      <w:r w:rsidR="158E7D9C" w:rsidRPr="00D610A5">
        <w:t>.</w:t>
      </w:r>
      <w:r w:rsidR="00A00DF2" w:rsidRPr="00D610A5">
        <w:rPr>
          <w:rStyle w:val="FootnoteReference"/>
        </w:rPr>
        <w:footnoteReference w:id="23"/>
      </w:r>
      <w:r w:rsidR="158E7D9C" w:rsidRPr="00D610A5">
        <w:t xml:space="preserve"> </w:t>
      </w:r>
      <w:r w:rsidR="00C10CD9" w:rsidRPr="00D610A5">
        <w:t>The</w:t>
      </w:r>
      <w:r w:rsidR="1A3CCD03" w:rsidRPr="00D610A5">
        <w:t xml:space="preserve"> State noted that e</w:t>
      </w:r>
      <w:r w:rsidR="004331D5" w:rsidRPr="00D610A5">
        <w:t xml:space="preserve">ven if </w:t>
      </w:r>
      <w:r w:rsidR="6255FE5D" w:rsidRPr="00D610A5">
        <w:t xml:space="preserve">a person under sentence of death </w:t>
      </w:r>
      <w:r w:rsidR="15BDCBC1" w:rsidRPr="00D610A5">
        <w:t>chooses</w:t>
      </w:r>
      <w:r w:rsidR="15BDCBC1" w:rsidRPr="00D610A5" w:rsidDel="007031A2">
        <w:t xml:space="preserve"> </w:t>
      </w:r>
      <w:r w:rsidR="004331D5" w:rsidRPr="00D610A5">
        <w:t xml:space="preserve">not </w:t>
      </w:r>
      <w:r w:rsidR="1884C082" w:rsidRPr="00D610A5">
        <w:t>to</w:t>
      </w:r>
      <w:r w:rsidR="158E7D9C" w:rsidRPr="00D610A5">
        <w:t xml:space="preserve"> appeal</w:t>
      </w:r>
      <w:r w:rsidR="53F3E0D5" w:rsidRPr="00D610A5">
        <w:t xml:space="preserve"> the sentence</w:t>
      </w:r>
      <w:r w:rsidR="004331D5" w:rsidRPr="00D610A5">
        <w:t xml:space="preserve">, </w:t>
      </w:r>
      <w:r w:rsidR="007031A2" w:rsidRPr="00D610A5">
        <w:t xml:space="preserve">an appellate court nonetheless reviews </w:t>
      </w:r>
      <w:r w:rsidR="004331D5" w:rsidRPr="00D610A5">
        <w:t xml:space="preserve">the case </w:t>
      </w:r>
      <w:r w:rsidR="007031A2" w:rsidRPr="00D610A5">
        <w:t xml:space="preserve">on </w:t>
      </w:r>
      <w:r w:rsidR="004331D5" w:rsidRPr="00D610A5">
        <w:t>appeal.</w:t>
      </w:r>
      <w:r w:rsidR="004331D5" w:rsidRPr="00D610A5">
        <w:rPr>
          <w:rStyle w:val="FootnoteReference"/>
        </w:rPr>
        <w:footnoteReference w:id="24"/>
      </w:r>
      <w:r w:rsidR="004331D5" w:rsidRPr="00D610A5">
        <w:t xml:space="preserve"> </w:t>
      </w:r>
      <w:r w:rsidR="00C10CD9" w:rsidRPr="00D610A5">
        <w:t>Further, a</w:t>
      </w:r>
      <w:r w:rsidR="15A52E0B" w:rsidRPr="00D610A5">
        <w:t xml:space="preserve"> r</w:t>
      </w:r>
      <w:r w:rsidR="004331D5" w:rsidRPr="00D610A5">
        <w:t xml:space="preserve">equest for </w:t>
      </w:r>
      <w:r w:rsidR="350D4FBA" w:rsidRPr="00D610A5">
        <w:t xml:space="preserve">a </w:t>
      </w:r>
      <w:r w:rsidR="004331D5" w:rsidRPr="00D610A5">
        <w:t>retrial suspends executions.</w:t>
      </w:r>
      <w:r w:rsidR="004331D5" w:rsidRPr="00D610A5">
        <w:rPr>
          <w:rStyle w:val="FootnoteReference"/>
        </w:rPr>
        <w:footnoteReference w:id="25"/>
      </w:r>
    </w:p>
    <w:p w14:paraId="1975062E" w14:textId="55AA8680" w:rsidR="00D66DB7" w:rsidRPr="00D610A5" w:rsidRDefault="00D66DB7" w:rsidP="00D66DB7">
      <w:pPr>
        <w:numPr>
          <w:ilvl w:val="0"/>
          <w:numId w:val="7"/>
        </w:numPr>
        <w:spacing w:after="120"/>
        <w:ind w:left="360"/>
        <w:jc w:val="both"/>
      </w:pPr>
      <w:r w:rsidRPr="00D610A5">
        <w:t xml:space="preserve">Despite these advances, civil society organizations have </w:t>
      </w:r>
      <w:r w:rsidR="003243FC" w:rsidRPr="00D610A5">
        <w:t xml:space="preserve">observed </w:t>
      </w:r>
      <w:r w:rsidRPr="00D610A5">
        <w:t xml:space="preserve">that the application of the death penalty in the State of Palestine often violates the accused’s due process rights, in part because of how quickly </w:t>
      </w:r>
      <w:r w:rsidR="003243FC" w:rsidRPr="00D610A5">
        <w:t xml:space="preserve">authorities carry out </w:t>
      </w:r>
      <w:r w:rsidRPr="00D610A5">
        <w:t xml:space="preserve">the </w:t>
      </w:r>
      <w:r w:rsidR="003243FC" w:rsidRPr="00D610A5">
        <w:t>execution</w:t>
      </w:r>
      <w:r w:rsidRPr="00D610A5">
        <w:t xml:space="preserve">. </w:t>
      </w:r>
      <w:r w:rsidR="2F1DF178" w:rsidRPr="00D610A5">
        <w:t>Due, in part, to the</w:t>
      </w:r>
      <w:r w:rsidRPr="00D610A5">
        <w:t xml:space="preserve"> short window between sentencing and execution</w:t>
      </w:r>
      <w:r w:rsidR="79D7B6DC" w:rsidRPr="00D610A5">
        <w:t xml:space="preserve">, many people under sentence of death are unable to fully </w:t>
      </w:r>
      <w:r w:rsidR="00E46E57" w:rsidRPr="00D610A5">
        <w:t xml:space="preserve">realize </w:t>
      </w:r>
      <w:r w:rsidR="79D7B6DC" w:rsidRPr="00D610A5">
        <w:t>their due process rights</w:t>
      </w:r>
      <w:r w:rsidR="616AA5FB" w:rsidRPr="00D610A5">
        <w:t xml:space="preserve">. </w:t>
      </w:r>
      <w:r w:rsidRPr="00D610A5">
        <w:t>Further, the use of military tribunals to try civil cases i</w:t>
      </w:r>
      <w:r w:rsidR="00D3498B" w:rsidRPr="00D610A5">
        <w:t>nfringe</w:t>
      </w:r>
      <w:r w:rsidRPr="00D610A5">
        <w:t>s upon civilians’ due process rights.</w:t>
      </w:r>
      <w:r w:rsidR="00D23133" w:rsidRPr="00D610A5">
        <w:t xml:space="preserve"> </w:t>
      </w:r>
    </w:p>
    <w:p w14:paraId="397AE189" w14:textId="49BA2DF5" w:rsidR="00D66DB7" w:rsidRPr="00D610A5" w:rsidRDefault="00D66DB7" w:rsidP="00D66DB7">
      <w:pPr>
        <w:numPr>
          <w:ilvl w:val="0"/>
          <w:numId w:val="7"/>
        </w:numPr>
        <w:spacing w:after="120"/>
        <w:ind w:left="360"/>
        <w:jc w:val="both"/>
      </w:pPr>
      <w:r w:rsidRPr="00D610A5">
        <w:t>Palestinian security services engage in practices that violate the due process rights of civilians in both the West Bank and Gaza Strip, including a “policy of arbitrary arrests, summonses, and detention of Palestinian citizens, without due process of law and in violation of the Palestinian Basic Law (PBL), Code of Criminal Procedure, and Palestine’s contractual obligations, including International Covenant on Civil and Political Rights (ICCPR) and Convention against Torture (CAT).”</w:t>
      </w:r>
      <w:r w:rsidRPr="00D610A5">
        <w:rPr>
          <w:rStyle w:val="FootnoteReference"/>
        </w:rPr>
        <w:footnoteReference w:id="26"/>
      </w:r>
    </w:p>
    <w:p w14:paraId="3A2B21E8" w14:textId="22D1F214" w:rsidR="00D66DB7" w:rsidRPr="00D610A5" w:rsidRDefault="00D66DB7" w:rsidP="00D66DB7">
      <w:pPr>
        <w:numPr>
          <w:ilvl w:val="0"/>
          <w:numId w:val="7"/>
        </w:numPr>
        <w:spacing w:after="120"/>
        <w:ind w:left="360"/>
        <w:jc w:val="both"/>
      </w:pPr>
      <w:r w:rsidRPr="00D610A5">
        <w:t xml:space="preserve">Palestinian human rights groups are concerned that the trial of the only woman currently </w:t>
      </w:r>
      <w:r w:rsidR="00B243DF" w:rsidRPr="00D610A5">
        <w:t xml:space="preserve">under </w:t>
      </w:r>
      <w:r w:rsidR="00050B54" w:rsidRPr="00D610A5">
        <w:t>known</w:t>
      </w:r>
      <w:r w:rsidR="00B243DF" w:rsidRPr="00D610A5">
        <w:t xml:space="preserve"> sentence of </w:t>
      </w:r>
      <w:r w:rsidRPr="00D610A5">
        <w:t>death in Palestine, Nahla Abu Anza</w:t>
      </w:r>
      <w:r w:rsidR="00B243DF" w:rsidRPr="00D610A5">
        <w:t>,</w:t>
      </w:r>
      <w:r w:rsidRPr="00D610A5">
        <w:t xml:space="preserve"> lacked the minimum guarantees of a fair trial. Anza</w:t>
      </w:r>
      <w:r w:rsidR="1144E60D" w:rsidRPr="00D610A5">
        <w:t xml:space="preserve"> </w:t>
      </w:r>
      <w:r w:rsidRPr="00D610A5">
        <w:t>killed her husband</w:t>
      </w:r>
      <w:r w:rsidR="50CD1A58" w:rsidRPr="00D610A5">
        <w:t xml:space="preserve"> after he </w:t>
      </w:r>
      <w:r w:rsidRPr="00D610A5">
        <w:t xml:space="preserve">had subjected her to domestic violence, and </w:t>
      </w:r>
      <w:r w:rsidR="218FBFF1" w:rsidRPr="00D610A5">
        <w:t>following her arrest,</w:t>
      </w:r>
      <w:r w:rsidR="616AA5FB" w:rsidRPr="00D610A5">
        <w:t xml:space="preserve"> </w:t>
      </w:r>
      <w:r w:rsidRPr="00D610A5">
        <w:t>her family refused to hire her a lawyer</w:t>
      </w:r>
      <w:r w:rsidR="00A269DB" w:rsidRPr="00D610A5">
        <w:t>, allegedly</w:t>
      </w:r>
      <w:r w:rsidRPr="00D610A5">
        <w:t xml:space="preserve"> to avoid paying “blood money” to the husband’s family. The court appointed Anza a lawyer who reportedly provided substandard </w:t>
      </w:r>
      <w:r w:rsidR="00A269DB" w:rsidRPr="00D610A5">
        <w:t>representation</w:t>
      </w:r>
      <w:r w:rsidRPr="00D610A5">
        <w:t>.</w:t>
      </w:r>
      <w:r w:rsidRPr="00D610A5">
        <w:rPr>
          <w:rStyle w:val="FootnoteReference"/>
        </w:rPr>
        <w:footnoteReference w:id="27"/>
      </w:r>
      <w:r w:rsidRPr="00D610A5">
        <w:t xml:space="preserve"> </w:t>
      </w:r>
    </w:p>
    <w:p w14:paraId="41BF3E3D" w14:textId="51D36F9D" w:rsidR="00BA7601" w:rsidRPr="00D610A5" w:rsidRDefault="00BA7601" w:rsidP="00BA7601">
      <w:pPr>
        <w:numPr>
          <w:ilvl w:val="0"/>
          <w:numId w:val="7"/>
        </w:numPr>
        <w:spacing w:after="160"/>
        <w:ind w:left="360"/>
        <w:jc w:val="both"/>
        <w:rPr>
          <w:spacing w:val="-2"/>
        </w:rPr>
      </w:pPr>
      <w:r w:rsidRPr="00D610A5">
        <w:rPr>
          <w:spacing w:val="-2"/>
        </w:rPr>
        <w:t>In a 2018 study, the Cornell Center on the Death Penalty Worldwide found that, in the global context, women are more vulnerable and most likely to be sentenced to death for criminal offenses committed within the context of gender-based violence</w:t>
      </w:r>
      <w:r w:rsidRPr="00D610A5">
        <w:rPr>
          <w:rStyle w:val="FootnoteReference"/>
          <w:spacing w:val="-2"/>
        </w:rPr>
        <w:footnoteReference w:id="28"/>
      </w:r>
      <w:r w:rsidRPr="00D610A5">
        <w:rPr>
          <w:spacing w:val="-2"/>
        </w:rPr>
        <w:t xml:space="preserve"> and manipulative or coercive relationships with male co-defendants.</w:t>
      </w:r>
      <w:r w:rsidRPr="00D610A5">
        <w:rPr>
          <w:rStyle w:val="FootnoteReference"/>
          <w:spacing w:val="-2"/>
        </w:rPr>
        <w:footnoteReference w:id="29"/>
      </w:r>
      <w:r w:rsidRPr="00D610A5">
        <w:rPr>
          <w:spacing w:val="-2"/>
        </w:rPr>
        <w:t xml:space="preserve"> Cornell’s data </w:t>
      </w:r>
      <w:r w:rsidRPr="00D610A5">
        <w:t xml:space="preserve">indicate that most women under </w:t>
      </w:r>
      <w:r w:rsidRPr="00D610A5">
        <w:lastRenderedPageBreak/>
        <w:t>sentence of death have been sentenced to death for the crime of murder</w:t>
      </w:r>
      <w:r w:rsidR="00DC01F2" w:rsidRPr="00D610A5">
        <w:t>, as was Nahla Abu Anza</w:t>
      </w:r>
      <w:r w:rsidR="00091AFB" w:rsidRPr="00D610A5">
        <w:t xml:space="preserve"> in the State of Palestine</w:t>
      </w:r>
      <w:r w:rsidRPr="00D610A5">
        <w:t>.</w:t>
      </w:r>
      <w:r w:rsidRPr="00D610A5">
        <w:rPr>
          <w:rStyle w:val="FootnoteReference"/>
        </w:rPr>
        <w:footnoteReference w:id="30"/>
      </w:r>
      <w:r w:rsidRPr="00D610A5">
        <w:t xml:space="preserve"> These women have overwhelmingly experienced prolonged domestic violence at the hands of a partner, spouse, or another family member</w:t>
      </w:r>
      <w:r w:rsidR="00091AFB" w:rsidRPr="00D610A5">
        <w:t xml:space="preserve">, as Nahla Abu Anza </w:t>
      </w:r>
      <w:r w:rsidR="00585B6C" w:rsidRPr="00D610A5">
        <w:t>apparently did</w:t>
      </w:r>
      <w:r w:rsidRPr="00D610A5">
        <w:t>.</w:t>
      </w:r>
      <w:r w:rsidRPr="00D610A5">
        <w:rPr>
          <w:vertAlign w:val="superscript"/>
          <w:lang w:eastAsia="zh-CN"/>
        </w:rPr>
        <w:footnoteReference w:id="31"/>
      </w:r>
      <w:r w:rsidRPr="00D610A5">
        <w:t xml:space="preserve"> In many cases, the abuse has occurred repeatedly. </w:t>
      </w:r>
      <w:r w:rsidRPr="00D610A5">
        <w:rPr>
          <w:lang w:eastAsia="zh-CN"/>
        </w:rPr>
        <w:t>Many women under sentence of death are survivors of gender-based violence and come from disadvantaged socio-economic backgrounds.</w:t>
      </w:r>
      <w:r w:rsidRPr="00D610A5">
        <w:rPr>
          <w:vertAlign w:val="superscript"/>
          <w:lang w:eastAsia="zh-CN"/>
        </w:rPr>
        <w:footnoteReference w:id="32"/>
      </w:r>
      <w:r w:rsidRPr="00D610A5">
        <w:t xml:space="preserve"> At a global level, sentencing </w:t>
      </w:r>
      <w:r w:rsidRPr="00D610A5">
        <w:rPr>
          <w:spacing w:val="-2"/>
        </w:rPr>
        <w:t xml:space="preserve">courts typically fail to </w:t>
      </w:r>
      <w:proofErr w:type="gramStart"/>
      <w:r w:rsidRPr="00D610A5">
        <w:rPr>
          <w:spacing w:val="-2"/>
        </w:rPr>
        <w:t>take into account</w:t>
      </w:r>
      <w:proofErr w:type="gramEnd"/>
      <w:r w:rsidRPr="00D610A5">
        <w:rPr>
          <w:spacing w:val="-2"/>
        </w:rPr>
        <w:t xml:space="preserve"> a defendant’s experience as a survivor of gender-based violence or a victim of a manipulative or coercive relationship as mitigating factors during sentencing.</w:t>
      </w:r>
      <w:r w:rsidRPr="00D610A5">
        <w:rPr>
          <w:rStyle w:val="FootnoteReference"/>
          <w:spacing w:val="-2"/>
        </w:rPr>
        <w:footnoteReference w:id="33"/>
      </w:r>
      <w:r w:rsidRPr="00D610A5">
        <w:rPr>
          <w:spacing w:val="-2"/>
        </w:rPr>
        <w:t xml:space="preserve"> </w:t>
      </w:r>
    </w:p>
    <w:p w14:paraId="185C0E03" w14:textId="2A5F54A3" w:rsidR="007557B3" w:rsidRPr="00D610A5" w:rsidRDefault="00BA7601" w:rsidP="005B650F">
      <w:pPr>
        <w:numPr>
          <w:ilvl w:val="0"/>
          <w:numId w:val="7"/>
        </w:numPr>
        <w:spacing w:after="120"/>
        <w:ind w:left="360"/>
        <w:jc w:val="both"/>
      </w:pPr>
      <w:r w:rsidRPr="00D610A5">
        <w:rPr>
          <w:spacing w:val="-2"/>
        </w:rPr>
        <w:t>Cases documented by the Cornell Center on the Death Penalty Worldwide have shown violations of women’s right to a fair trial. A 2021 follow-up study demonstrated that “fair trial principles dictate that courts should consider all relevant mitigating circumstances before imposing a sentence. In practice, however, many courts neglect gender-specific mitigation.”</w:t>
      </w:r>
      <w:r w:rsidRPr="00D610A5">
        <w:rPr>
          <w:rStyle w:val="FootnoteReference"/>
          <w:spacing w:val="-2"/>
        </w:rPr>
        <w:footnoteReference w:id="34"/>
      </w:r>
    </w:p>
    <w:p w14:paraId="1AD0A612" w14:textId="5758AA10" w:rsidR="00A00DF2" w:rsidRPr="00D610A5" w:rsidRDefault="0013050F" w:rsidP="00B01A9C">
      <w:pPr>
        <w:pStyle w:val="ListParagraph"/>
        <w:keepNext/>
        <w:numPr>
          <w:ilvl w:val="0"/>
          <w:numId w:val="8"/>
        </w:numPr>
        <w:spacing w:after="120" w:line="240" w:lineRule="auto"/>
        <w:contextualSpacing w:val="0"/>
        <w:rPr>
          <w:rFonts w:ascii="Times New Roman" w:hAnsi="Times New Roman"/>
          <w:b/>
          <w:sz w:val="24"/>
          <w:szCs w:val="24"/>
        </w:rPr>
      </w:pPr>
      <w:r w:rsidRPr="00D610A5">
        <w:rPr>
          <w:rFonts w:ascii="Times New Roman" w:hAnsi="Times New Roman"/>
          <w:b/>
          <w:sz w:val="24"/>
          <w:szCs w:val="24"/>
        </w:rPr>
        <w:t>Torture</w:t>
      </w:r>
      <w:r w:rsidR="00B8386A" w:rsidRPr="00D610A5">
        <w:rPr>
          <w:rFonts w:ascii="Times New Roman" w:hAnsi="Times New Roman"/>
          <w:b/>
          <w:sz w:val="24"/>
          <w:szCs w:val="24"/>
        </w:rPr>
        <w:t xml:space="preserve"> and ill-treatment persist in</w:t>
      </w:r>
      <w:r w:rsidR="00F33A60" w:rsidRPr="00D610A5">
        <w:rPr>
          <w:rFonts w:ascii="Times New Roman" w:hAnsi="Times New Roman"/>
          <w:b/>
          <w:sz w:val="24"/>
          <w:szCs w:val="24"/>
        </w:rPr>
        <w:t xml:space="preserve"> detention </w:t>
      </w:r>
      <w:r w:rsidR="00E11F88" w:rsidRPr="00D610A5">
        <w:rPr>
          <w:rFonts w:ascii="Times New Roman" w:hAnsi="Times New Roman"/>
          <w:b/>
          <w:sz w:val="24"/>
          <w:szCs w:val="24"/>
        </w:rPr>
        <w:t>(List of Issues paragraph</w:t>
      </w:r>
      <w:r w:rsidR="000844E8" w:rsidRPr="00D610A5">
        <w:rPr>
          <w:rFonts w:ascii="Times New Roman" w:hAnsi="Times New Roman"/>
          <w:b/>
          <w:sz w:val="24"/>
          <w:szCs w:val="24"/>
        </w:rPr>
        <w:t xml:space="preserve">s 10 and 13) </w:t>
      </w:r>
    </w:p>
    <w:p w14:paraId="057D9037" w14:textId="4846F1ED" w:rsidR="003C74D6" w:rsidRPr="00D610A5" w:rsidRDefault="003C74D6" w:rsidP="0013050F">
      <w:pPr>
        <w:numPr>
          <w:ilvl w:val="0"/>
          <w:numId w:val="7"/>
        </w:numPr>
        <w:spacing w:after="120"/>
        <w:ind w:left="360"/>
        <w:jc w:val="both"/>
      </w:pPr>
      <w:r w:rsidRPr="00D610A5">
        <w:t>In its List of Issues, the Committee requested</w:t>
      </w:r>
      <w:r w:rsidR="00E40568" w:rsidRPr="00D610A5">
        <w:t xml:space="preserve"> data on </w:t>
      </w:r>
      <w:r w:rsidR="00C4542A" w:rsidRPr="00D610A5">
        <w:t>investigations of torture</w:t>
      </w:r>
      <w:r w:rsidR="008C0716" w:rsidRPr="00D610A5">
        <w:t xml:space="preserve"> of </w:t>
      </w:r>
      <w:r w:rsidR="4648CD1B" w:rsidRPr="00D610A5">
        <w:t xml:space="preserve">and complaints by </w:t>
      </w:r>
      <w:r w:rsidR="008C0716" w:rsidRPr="00D610A5">
        <w:t xml:space="preserve">people </w:t>
      </w:r>
      <w:r w:rsidR="005D02D7" w:rsidRPr="00D610A5">
        <w:t>deprived of their liberty</w:t>
      </w:r>
      <w:r w:rsidR="00D97C86" w:rsidRPr="00D610A5">
        <w:t>.</w:t>
      </w:r>
      <w:r w:rsidR="00C4542A" w:rsidRPr="00D610A5">
        <w:rPr>
          <w:rStyle w:val="FootnoteReference"/>
        </w:rPr>
        <w:footnoteReference w:id="35"/>
      </w:r>
      <w:r w:rsidR="00D97C86" w:rsidRPr="00D610A5">
        <w:t xml:space="preserve"> The Committee also requested information on </w:t>
      </w:r>
      <w:r w:rsidR="00B357BD" w:rsidRPr="00D610A5">
        <w:t xml:space="preserve">any </w:t>
      </w:r>
      <w:r w:rsidR="00D97C86" w:rsidRPr="00D610A5">
        <w:t xml:space="preserve">progress </w:t>
      </w:r>
      <w:r w:rsidR="00B357BD" w:rsidRPr="00D610A5">
        <w:t xml:space="preserve">toward </w:t>
      </w:r>
      <w:r w:rsidR="006E1EC8" w:rsidRPr="00D610A5">
        <w:t>improving healthcare in detention.</w:t>
      </w:r>
      <w:r w:rsidR="006E1EC8" w:rsidRPr="00D610A5">
        <w:rPr>
          <w:rStyle w:val="FootnoteReference"/>
        </w:rPr>
        <w:footnoteReference w:id="36"/>
      </w:r>
    </w:p>
    <w:p w14:paraId="50BD85CD" w14:textId="0C5832F1" w:rsidR="006F5537" w:rsidRPr="00D610A5" w:rsidRDefault="006F5537" w:rsidP="0013050F">
      <w:pPr>
        <w:numPr>
          <w:ilvl w:val="0"/>
          <w:numId w:val="7"/>
        </w:numPr>
        <w:spacing w:after="120"/>
        <w:ind w:left="360"/>
        <w:jc w:val="both"/>
      </w:pPr>
      <w:r w:rsidRPr="00D610A5">
        <w:t xml:space="preserve">In its </w:t>
      </w:r>
      <w:r w:rsidR="00A67D35" w:rsidRPr="00D610A5">
        <w:t>State</w:t>
      </w:r>
      <w:r w:rsidR="654158CB" w:rsidRPr="00D610A5">
        <w:t xml:space="preserve"> </w:t>
      </w:r>
      <w:r w:rsidR="00A67D35" w:rsidRPr="00D610A5">
        <w:t>R</w:t>
      </w:r>
      <w:r w:rsidR="654158CB" w:rsidRPr="00D610A5">
        <w:t>eport</w:t>
      </w:r>
      <w:r w:rsidRPr="00D610A5">
        <w:t xml:space="preserve">, Palestine </w:t>
      </w:r>
      <w:r w:rsidR="32CE6EB0" w:rsidRPr="00D610A5">
        <w:t xml:space="preserve">noted </w:t>
      </w:r>
      <w:r w:rsidR="00A81307" w:rsidRPr="00D610A5">
        <w:t xml:space="preserve">that its </w:t>
      </w:r>
      <w:r w:rsidR="00777D76" w:rsidRPr="00D610A5">
        <w:t>new</w:t>
      </w:r>
      <w:r w:rsidR="00A81307" w:rsidRPr="00D610A5">
        <w:t xml:space="preserve"> </w:t>
      </w:r>
      <w:r w:rsidR="78065DEF" w:rsidRPr="00D610A5">
        <w:t>p</w:t>
      </w:r>
      <w:r w:rsidR="7CB30732" w:rsidRPr="00D610A5">
        <w:t xml:space="preserve">enal </w:t>
      </w:r>
      <w:r w:rsidR="65995FC9" w:rsidRPr="00D610A5">
        <w:t>c</w:t>
      </w:r>
      <w:r w:rsidR="00A81307" w:rsidRPr="00D610A5">
        <w:t xml:space="preserve">ode </w:t>
      </w:r>
      <w:r w:rsidR="00777D76" w:rsidRPr="00D610A5">
        <w:t xml:space="preserve">will </w:t>
      </w:r>
      <w:r w:rsidR="00A81307" w:rsidRPr="00D610A5">
        <w:t>includ</w:t>
      </w:r>
      <w:r w:rsidR="00777D76" w:rsidRPr="00D610A5">
        <w:t>e</w:t>
      </w:r>
      <w:r w:rsidR="00A81307" w:rsidRPr="00D610A5">
        <w:t xml:space="preserve"> a definition of torture </w:t>
      </w:r>
      <w:r w:rsidR="0063336E" w:rsidRPr="00D610A5">
        <w:t xml:space="preserve">that </w:t>
      </w:r>
      <w:r w:rsidR="00A81307" w:rsidRPr="00D610A5">
        <w:t>is consistent with the Convention</w:t>
      </w:r>
      <w:r w:rsidR="0063336E" w:rsidRPr="00D610A5">
        <w:t xml:space="preserve"> Against Torture</w:t>
      </w:r>
      <w:r w:rsidR="00A81307" w:rsidRPr="00D610A5">
        <w:t>.</w:t>
      </w:r>
      <w:r w:rsidR="00A81307" w:rsidRPr="00D610A5">
        <w:rPr>
          <w:rStyle w:val="FootnoteReference"/>
        </w:rPr>
        <w:footnoteReference w:id="37"/>
      </w:r>
    </w:p>
    <w:p w14:paraId="5E239233" w14:textId="4D586D81" w:rsidR="00EB31AF" w:rsidRPr="00D610A5" w:rsidRDefault="00062EC6" w:rsidP="0013050F">
      <w:pPr>
        <w:numPr>
          <w:ilvl w:val="0"/>
          <w:numId w:val="7"/>
        </w:numPr>
        <w:spacing w:after="120"/>
        <w:ind w:left="360"/>
        <w:jc w:val="both"/>
      </w:pPr>
      <w:r w:rsidRPr="00D610A5">
        <w:lastRenderedPageBreak/>
        <w:t xml:space="preserve">In both the West Bank and </w:t>
      </w:r>
      <w:r w:rsidR="0063336E" w:rsidRPr="00D610A5">
        <w:t xml:space="preserve">the </w:t>
      </w:r>
      <w:r w:rsidRPr="00D610A5">
        <w:t xml:space="preserve">Gaza Strip, Palestinian authorities have reportedly tortured civilians who have expressed disagreement with the </w:t>
      </w:r>
      <w:r w:rsidR="0063336E" w:rsidRPr="00D610A5">
        <w:t>g</w:t>
      </w:r>
      <w:r w:rsidRPr="00D610A5">
        <w:t>overnment.</w:t>
      </w:r>
      <w:r w:rsidR="00447029" w:rsidRPr="00D610A5">
        <w:rPr>
          <w:rStyle w:val="FootnoteReference"/>
        </w:rPr>
        <w:footnoteReference w:id="38"/>
      </w:r>
    </w:p>
    <w:p w14:paraId="30AC83D8" w14:textId="77777777" w:rsidR="0013050F" w:rsidRPr="00D610A5" w:rsidRDefault="00062EC6" w:rsidP="0013050F">
      <w:pPr>
        <w:numPr>
          <w:ilvl w:val="0"/>
          <w:numId w:val="7"/>
        </w:numPr>
        <w:spacing w:after="120"/>
        <w:ind w:left="360"/>
        <w:jc w:val="both"/>
      </w:pPr>
      <w:r w:rsidRPr="00D610A5">
        <w:t>Amnesty International reported on widespread torture in Palestine throughout 2021, including</w:t>
      </w:r>
      <w:r w:rsidR="0013050F" w:rsidRPr="00D610A5">
        <w:t xml:space="preserve"> </w:t>
      </w:r>
      <w:r w:rsidRPr="00D610A5">
        <w:t>104 complaints of torture and ill-treatment filed with the Independent Commission for Human</w:t>
      </w:r>
      <w:r w:rsidR="0013050F" w:rsidRPr="00D610A5">
        <w:t xml:space="preserve"> </w:t>
      </w:r>
      <w:r w:rsidRPr="00D610A5">
        <w:t>Rights (ICHR) against government officials in the West Bank and 104 complaints against</w:t>
      </w:r>
      <w:r w:rsidR="0013050F" w:rsidRPr="00D610A5">
        <w:t xml:space="preserve"> </w:t>
      </w:r>
      <w:r w:rsidRPr="00D610A5">
        <w:t>government officials in Gaza.</w:t>
      </w:r>
      <w:r w:rsidR="0090313C" w:rsidRPr="00D610A5">
        <w:rPr>
          <w:rStyle w:val="FootnoteReference"/>
        </w:rPr>
        <w:footnoteReference w:id="39"/>
      </w:r>
    </w:p>
    <w:p w14:paraId="51AA0561" w14:textId="79309946" w:rsidR="0013050F" w:rsidRPr="00D610A5" w:rsidRDefault="00062EC6" w:rsidP="0013050F">
      <w:pPr>
        <w:numPr>
          <w:ilvl w:val="0"/>
          <w:numId w:val="7"/>
        </w:numPr>
        <w:spacing w:after="120"/>
        <w:ind w:left="360"/>
        <w:jc w:val="both"/>
      </w:pPr>
      <w:r w:rsidRPr="00D610A5">
        <w:t xml:space="preserve">Prosecutors with the ICHR </w:t>
      </w:r>
      <w:r w:rsidR="00A80428" w:rsidRPr="00D610A5">
        <w:t>closed</w:t>
      </w:r>
      <w:r w:rsidR="00C3607A" w:rsidRPr="00D610A5">
        <w:t xml:space="preserve"> </w:t>
      </w:r>
      <w:r w:rsidRPr="00D610A5">
        <w:t xml:space="preserve">an investigation into the torture and custodial death of </w:t>
      </w:r>
      <w:r w:rsidR="00105094" w:rsidRPr="00D610A5">
        <w:t xml:space="preserve">activist </w:t>
      </w:r>
      <w:r w:rsidRPr="00D610A5">
        <w:t xml:space="preserve">Nizar Banat, finding extensive injuries all over Banat’s body. </w:t>
      </w:r>
      <w:r w:rsidR="008B3B6C" w:rsidRPr="00D610A5">
        <w:rPr>
          <w:rStyle w:val="normaltextrun"/>
          <w:color w:val="000000"/>
          <w:shd w:val="clear" w:color="auto" w:fill="FFFFFF"/>
        </w:rPr>
        <w:t xml:space="preserve">The investigation </w:t>
      </w:r>
      <w:r w:rsidR="00D058CC" w:rsidRPr="00D610A5">
        <w:rPr>
          <w:rStyle w:val="normaltextrun"/>
          <w:color w:val="000000"/>
          <w:shd w:val="clear" w:color="auto" w:fill="FFFFFF"/>
        </w:rPr>
        <w:t>concluded</w:t>
      </w:r>
      <w:r w:rsidR="008B3B6C" w:rsidRPr="00D610A5">
        <w:rPr>
          <w:rStyle w:val="normaltextrun"/>
          <w:color w:val="000000"/>
          <w:shd w:val="clear" w:color="auto" w:fill="FFFFFF"/>
        </w:rPr>
        <w:t xml:space="preserve"> that </w:t>
      </w:r>
      <w:r w:rsidR="00853C52" w:rsidRPr="00D610A5">
        <w:rPr>
          <w:rStyle w:val="normaltextrun"/>
          <w:color w:val="000000"/>
          <w:shd w:val="clear" w:color="auto" w:fill="FFFFFF"/>
        </w:rPr>
        <w:t xml:space="preserve">the </w:t>
      </w:r>
      <w:r w:rsidR="003D6EE3" w:rsidRPr="00D610A5">
        <w:rPr>
          <w:rStyle w:val="normaltextrun"/>
          <w:color w:val="000000"/>
          <w:bdr w:val="none" w:sz="0" w:space="0" w:color="auto" w:frame="1"/>
        </w:rPr>
        <w:t>Preventive Security Service</w:t>
      </w:r>
      <w:r w:rsidR="00853C52" w:rsidRPr="00D610A5">
        <w:rPr>
          <w:rStyle w:val="normaltextrun"/>
          <w:color w:val="000000"/>
          <w:bdr w:val="none" w:sz="0" w:space="0" w:color="auto" w:frame="1"/>
        </w:rPr>
        <w:t xml:space="preserve"> violated Banat’s </w:t>
      </w:r>
      <w:r w:rsidR="003D6EE3" w:rsidRPr="00D610A5">
        <w:rPr>
          <w:rStyle w:val="normaltextrun"/>
          <w:color w:val="000000"/>
          <w:bdr w:val="none" w:sz="0" w:space="0" w:color="auto" w:frame="1"/>
        </w:rPr>
        <w:t>constitutional rights, including personal freedom, protection against torture, and prohibition of inhumane and degrading treatment.</w:t>
      </w:r>
      <w:r w:rsidR="006C175E" w:rsidRPr="00D610A5">
        <w:rPr>
          <w:rStyle w:val="FootnoteReference"/>
          <w:color w:val="000000"/>
          <w:shd w:val="clear" w:color="auto" w:fill="FFFFFF"/>
        </w:rPr>
        <w:footnoteReference w:id="40"/>
      </w:r>
      <w:r w:rsidR="008B3B6C" w:rsidRPr="00D610A5">
        <w:rPr>
          <w:rStyle w:val="normaltextrun"/>
          <w:color w:val="000000"/>
          <w:shd w:val="clear" w:color="auto" w:fill="FFFFFF"/>
        </w:rPr>
        <w:t xml:space="preserve"> </w:t>
      </w:r>
      <w:r w:rsidR="00297803" w:rsidRPr="00D610A5">
        <w:rPr>
          <w:rStyle w:val="normaltextrun"/>
          <w:color w:val="000000"/>
          <w:shd w:val="clear" w:color="auto" w:fill="FFFFFF"/>
        </w:rPr>
        <w:t xml:space="preserve">The investigation also found that </w:t>
      </w:r>
      <w:r w:rsidR="0042438D" w:rsidRPr="00D610A5">
        <w:rPr>
          <w:rStyle w:val="normaltextrun"/>
          <w:color w:val="000000"/>
          <w:shd w:val="clear" w:color="auto" w:fill="FFFFFF"/>
        </w:rPr>
        <w:t>S</w:t>
      </w:r>
      <w:r w:rsidR="00297803" w:rsidRPr="00D610A5">
        <w:rPr>
          <w:rStyle w:val="normaltextrun"/>
          <w:color w:val="000000"/>
          <w:shd w:val="clear" w:color="auto" w:fill="FFFFFF"/>
        </w:rPr>
        <w:t>tate authorities did not adequately investigate</w:t>
      </w:r>
      <w:r w:rsidR="000A2F71" w:rsidRPr="00D610A5">
        <w:rPr>
          <w:rStyle w:val="normaltextrun"/>
          <w:color w:val="000000"/>
          <w:shd w:val="clear" w:color="auto" w:fill="FFFFFF"/>
        </w:rPr>
        <w:t>.</w:t>
      </w:r>
      <w:r w:rsidR="00F15229" w:rsidRPr="00D610A5">
        <w:rPr>
          <w:rStyle w:val="normaltextrun"/>
          <w:color w:val="000000"/>
          <w:shd w:val="clear" w:color="auto" w:fill="FFFFFF"/>
        </w:rPr>
        <w:t xml:space="preserve"> </w:t>
      </w:r>
      <w:r w:rsidR="00D006F0">
        <w:rPr>
          <w:rStyle w:val="normaltextrun"/>
          <w:color w:val="000000"/>
          <w:shd w:val="clear" w:color="auto" w:fill="FFFFFF"/>
        </w:rPr>
        <w:t xml:space="preserve">Authorities charged </w:t>
      </w:r>
      <w:r w:rsidR="00C72F4B">
        <w:rPr>
          <w:rStyle w:val="normaltextrun"/>
          <w:color w:val="000000"/>
          <w:shd w:val="clear" w:color="auto" w:fill="FFFFFF"/>
        </w:rPr>
        <w:t>14</w:t>
      </w:r>
      <w:r w:rsidR="00F15229" w:rsidRPr="00D610A5">
        <w:rPr>
          <w:rStyle w:val="normaltextrun"/>
          <w:color w:val="000000"/>
          <w:shd w:val="clear" w:color="auto" w:fill="FFFFFF"/>
        </w:rPr>
        <w:t xml:space="preserve"> members of the force directly involved in the arrest and killing</w:t>
      </w:r>
      <w:r w:rsidR="00F15229">
        <w:rPr>
          <w:rStyle w:val="normaltextrun"/>
          <w:color w:val="000000"/>
          <w:shd w:val="clear" w:color="auto" w:fill="FFFFFF"/>
        </w:rPr>
        <w:t>,</w:t>
      </w:r>
      <w:r w:rsidR="00494B14">
        <w:rPr>
          <w:rStyle w:val="FootnoteReference"/>
        </w:rPr>
        <w:footnoteReference w:id="41"/>
      </w:r>
      <w:r w:rsidR="00F15229" w:rsidRPr="00D610A5">
        <w:t xml:space="preserve"> </w:t>
      </w:r>
      <w:r w:rsidR="000A2F71" w:rsidRPr="00D610A5">
        <w:t xml:space="preserve">but </w:t>
      </w:r>
      <w:r w:rsidR="00494B14" w:rsidRPr="00D610A5">
        <w:rPr>
          <w:rStyle w:val="normaltextrun"/>
          <w:color w:val="000000"/>
          <w:shd w:val="clear" w:color="auto" w:fill="FFFFFF"/>
        </w:rPr>
        <w:t>higher-ranking officials, including the deputy director of the Preventive Security Agency in Hebron, were not held accountable.</w:t>
      </w:r>
      <w:r w:rsidR="008A513D">
        <w:rPr>
          <w:rStyle w:val="FootnoteReference"/>
          <w:color w:val="000000"/>
          <w:shd w:val="clear" w:color="auto" w:fill="FFFFFF"/>
        </w:rPr>
        <w:footnoteReference w:id="42"/>
      </w:r>
      <w:r w:rsidR="000A2F71" w:rsidRPr="00D610A5">
        <w:t xml:space="preserve"> </w:t>
      </w:r>
      <w:r w:rsidR="00B41912" w:rsidRPr="00D610A5">
        <w:t>Banat’s family has asked the International Criminal Court to open an</w:t>
      </w:r>
      <w:r w:rsidR="009C41C3" w:rsidRPr="00D610A5">
        <w:t xml:space="preserve"> investigation.</w:t>
      </w:r>
      <w:r w:rsidR="001F6532" w:rsidRPr="00D610A5">
        <w:rPr>
          <w:rStyle w:val="FootnoteReference"/>
        </w:rPr>
        <w:footnoteReference w:id="43"/>
      </w:r>
    </w:p>
    <w:p w14:paraId="5D36C6C9" w14:textId="200D3AF8" w:rsidR="00D66DB7" w:rsidRPr="00D610A5" w:rsidRDefault="00062EC6" w:rsidP="00A00DF2">
      <w:pPr>
        <w:numPr>
          <w:ilvl w:val="0"/>
          <w:numId w:val="7"/>
        </w:numPr>
        <w:spacing w:after="120"/>
        <w:ind w:left="360"/>
        <w:jc w:val="both"/>
      </w:pPr>
      <w:r w:rsidRPr="00D610A5">
        <w:t>With respect to detention conditions, the Palestinian Centre for Human Rights has reported that several people in Palestinian prisons have suffered declining health, resulting in their</w:t>
      </w:r>
      <w:r w:rsidR="00C11D88" w:rsidRPr="00D610A5">
        <w:t xml:space="preserve"> </w:t>
      </w:r>
      <w:r w:rsidRPr="00D610A5">
        <w:t>custodial death.</w:t>
      </w:r>
      <w:r w:rsidR="003B64D7" w:rsidRPr="00D610A5">
        <w:rPr>
          <w:rStyle w:val="FootnoteReference"/>
        </w:rPr>
        <w:footnoteReference w:id="44"/>
      </w:r>
      <w:r w:rsidR="000C38E5" w:rsidRPr="00D610A5">
        <w:t xml:space="preserve"> </w:t>
      </w:r>
      <w:r w:rsidR="00737FDE" w:rsidRPr="00D610A5">
        <w:t>So far i</w:t>
      </w:r>
      <w:r w:rsidR="000C38E5" w:rsidRPr="00D610A5">
        <w:t>n 2023, two people have died in</w:t>
      </w:r>
      <w:r w:rsidR="00AF749F" w:rsidRPr="00D610A5">
        <w:t xml:space="preserve"> </w:t>
      </w:r>
      <w:r w:rsidR="00683DEA" w:rsidRPr="00D610A5">
        <w:t xml:space="preserve">police </w:t>
      </w:r>
      <w:r w:rsidR="000C38E5" w:rsidRPr="00D610A5">
        <w:t>detention</w:t>
      </w:r>
      <w:r w:rsidR="00C4382E" w:rsidRPr="00D610A5">
        <w:t xml:space="preserve">. On </w:t>
      </w:r>
      <w:r w:rsidR="00412E9E" w:rsidRPr="00D610A5">
        <w:t xml:space="preserve">1 </w:t>
      </w:r>
      <w:r w:rsidR="00C4382E" w:rsidRPr="00D610A5">
        <w:t xml:space="preserve">May, A.L. </w:t>
      </w:r>
      <w:r w:rsidR="00C4382E" w:rsidRPr="00D610A5">
        <w:lastRenderedPageBreak/>
        <w:t xml:space="preserve">died in </w:t>
      </w:r>
      <w:r w:rsidR="7660DFA9" w:rsidRPr="00D610A5">
        <w:t xml:space="preserve">military police </w:t>
      </w:r>
      <w:r w:rsidR="00C4382E" w:rsidRPr="00D610A5">
        <w:t>detention after his health condition worsened</w:t>
      </w:r>
      <w:r w:rsidR="00AF749F" w:rsidRPr="00D610A5">
        <w:t>.</w:t>
      </w:r>
      <w:r w:rsidR="00AF749F" w:rsidRPr="00D610A5">
        <w:rPr>
          <w:rStyle w:val="FootnoteReference"/>
        </w:rPr>
        <w:footnoteReference w:id="45"/>
      </w:r>
      <w:r w:rsidR="004160CA" w:rsidRPr="00D610A5">
        <w:t xml:space="preserve"> </w:t>
      </w:r>
      <w:r w:rsidR="00FB166B" w:rsidRPr="00D610A5">
        <w:t xml:space="preserve">On 20 April, </w:t>
      </w:r>
      <w:r w:rsidR="003727E1" w:rsidRPr="00D610A5">
        <w:t>M.S.</w:t>
      </w:r>
      <w:r w:rsidR="004160CA" w:rsidRPr="00D610A5">
        <w:t xml:space="preserve"> died </w:t>
      </w:r>
      <w:r w:rsidR="5D28B35A" w:rsidRPr="00D610A5">
        <w:t xml:space="preserve">while </w:t>
      </w:r>
      <w:r w:rsidR="004160CA" w:rsidRPr="00D610A5">
        <w:t xml:space="preserve">in </w:t>
      </w:r>
      <w:r w:rsidR="1DFCBF2A" w:rsidRPr="00D610A5">
        <w:t xml:space="preserve">police </w:t>
      </w:r>
      <w:r w:rsidR="004160CA" w:rsidRPr="00D610A5">
        <w:t xml:space="preserve">detention </w:t>
      </w:r>
      <w:r w:rsidR="00801E68" w:rsidRPr="00D610A5">
        <w:t xml:space="preserve">after officers beat him </w:t>
      </w:r>
      <w:r w:rsidR="1F76C8F5" w:rsidRPr="00D610A5">
        <w:t>while interrogating</w:t>
      </w:r>
      <w:r w:rsidR="7993C275" w:rsidRPr="00D610A5">
        <w:t xml:space="preserve"> </w:t>
      </w:r>
      <w:r w:rsidR="65E406F2" w:rsidRPr="00D610A5">
        <w:t>him</w:t>
      </w:r>
      <w:r w:rsidR="00801E68" w:rsidRPr="00D610A5">
        <w:t xml:space="preserve"> about </w:t>
      </w:r>
      <w:r w:rsidR="00466EFF" w:rsidRPr="00D610A5">
        <w:t>illegal drugs.</w:t>
      </w:r>
      <w:r w:rsidR="004160CA" w:rsidRPr="00D610A5">
        <w:rPr>
          <w:rStyle w:val="FootnoteReference"/>
        </w:rPr>
        <w:footnoteReference w:id="46"/>
      </w:r>
      <w:r w:rsidR="00A205BD" w:rsidRPr="00D610A5">
        <w:t xml:space="preserve"> </w:t>
      </w:r>
    </w:p>
    <w:p w14:paraId="5BA5FD26" w14:textId="3E29E98E" w:rsidR="00085935" w:rsidRPr="00D610A5" w:rsidRDefault="00111994" w:rsidP="00F23CD7">
      <w:pPr>
        <w:keepNext/>
        <w:numPr>
          <w:ilvl w:val="0"/>
          <w:numId w:val="8"/>
        </w:numPr>
        <w:spacing w:before="240" w:after="240"/>
        <w:ind w:left="720" w:hanging="360"/>
        <w:jc w:val="both"/>
        <w:rPr>
          <w:b/>
        </w:rPr>
      </w:pPr>
      <w:r w:rsidRPr="00D610A5">
        <w:rPr>
          <w:b/>
        </w:rPr>
        <w:t>Suggested recommendations</w:t>
      </w:r>
      <w:r w:rsidR="00255789" w:rsidRPr="00D610A5">
        <w:rPr>
          <w:b/>
        </w:rPr>
        <w:t xml:space="preserve"> for</w:t>
      </w:r>
      <w:r w:rsidR="000A66B8" w:rsidRPr="00D610A5">
        <w:rPr>
          <w:b/>
        </w:rPr>
        <w:t xml:space="preserve"> the Government of </w:t>
      </w:r>
      <w:r w:rsidR="44BDD822" w:rsidRPr="00D610A5">
        <w:rPr>
          <w:b/>
          <w:bCs/>
        </w:rPr>
        <w:t xml:space="preserve">the </w:t>
      </w:r>
      <w:r w:rsidR="00992630" w:rsidRPr="00D610A5">
        <w:rPr>
          <w:b/>
        </w:rPr>
        <w:t>State of Palestine</w:t>
      </w:r>
      <w:r w:rsidR="00656150">
        <w:rPr>
          <w:b/>
        </w:rPr>
        <w:t>:</w:t>
      </w:r>
    </w:p>
    <w:p w14:paraId="09ED740C" w14:textId="2B756985" w:rsidR="00111994" w:rsidRPr="00D610A5" w:rsidRDefault="00181B2A" w:rsidP="00B14D63">
      <w:pPr>
        <w:numPr>
          <w:ilvl w:val="0"/>
          <w:numId w:val="7"/>
        </w:numPr>
        <w:spacing w:after="120"/>
        <w:ind w:left="360"/>
        <w:jc w:val="both"/>
      </w:pPr>
      <w:r w:rsidRPr="00D610A5">
        <w:t xml:space="preserve">The </w:t>
      </w:r>
      <w:r w:rsidR="00737FDE" w:rsidRPr="00D610A5">
        <w:t xml:space="preserve">coauthors suggest that the </w:t>
      </w:r>
      <w:r w:rsidRPr="00D610A5">
        <w:t xml:space="preserve">Committee </w:t>
      </w:r>
      <w:r w:rsidR="00737FDE" w:rsidRPr="00D610A5">
        <w:t xml:space="preserve">make the following </w:t>
      </w:r>
      <w:r w:rsidR="00FB08BE" w:rsidRPr="00D610A5">
        <w:t>recommend</w:t>
      </w:r>
      <w:r w:rsidR="00737FDE" w:rsidRPr="00D610A5">
        <w:t xml:space="preserve">ations to </w:t>
      </w:r>
      <w:r w:rsidRPr="00D610A5">
        <w:t xml:space="preserve">the Government of </w:t>
      </w:r>
      <w:r w:rsidR="007D05BA" w:rsidRPr="00D610A5">
        <w:t>Palestine</w:t>
      </w:r>
      <w:r w:rsidR="00255789" w:rsidRPr="00D610A5">
        <w:t>:</w:t>
      </w:r>
    </w:p>
    <w:p w14:paraId="3086F7D0" w14:textId="77777777" w:rsidR="00E62CBB" w:rsidRDefault="00D7726A" w:rsidP="00E6788F">
      <w:pPr>
        <w:pStyle w:val="ListParagraph"/>
        <w:numPr>
          <w:ilvl w:val="0"/>
          <w:numId w:val="10"/>
        </w:numPr>
        <w:spacing w:after="120" w:line="240" w:lineRule="auto"/>
        <w:contextualSpacing w:val="0"/>
        <w:jc w:val="both"/>
        <w:rPr>
          <w:rFonts w:ascii="Times New Roman" w:hAnsi="Times New Roman"/>
          <w:sz w:val="24"/>
          <w:szCs w:val="24"/>
        </w:rPr>
      </w:pPr>
      <w:r w:rsidRPr="00D610A5">
        <w:rPr>
          <w:rFonts w:ascii="Times New Roman" w:hAnsi="Times New Roman"/>
          <w:sz w:val="24"/>
          <w:szCs w:val="24"/>
        </w:rPr>
        <w:t>I</w:t>
      </w:r>
      <w:r w:rsidR="00A133E5" w:rsidRPr="00D610A5">
        <w:rPr>
          <w:rFonts w:ascii="Times New Roman" w:hAnsi="Times New Roman"/>
          <w:sz w:val="24"/>
          <w:szCs w:val="24"/>
        </w:rPr>
        <w:t xml:space="preserve">n line with its obligations under the Second Optional Protocol to the ICCPR, </w:t>
      </w:r>
      <w:r w:rsidR="003B1B2B">
        <w:rPr>
          <w:rFonts w:ascii="Times New Roman" w:hAnsi="Times New Roman"/>
          <w:sz w:val="24"/>
          <w:szCs w:val="24"/>
        </w:rPr>
        <w:t>abolish the death penalty.</w:t>
      </w:r>
      <w:r w:rsidR="00611B76">
        <w:rPr>
          <w:rFonts w:ascii="Times New Roman" w:hAnsi="Times New Roman"/>
          <w:sz w:val="24"/>
          <w:szCs w:val="24"/>
        </w:rPr>
        <w:t xml:space="preserve"> </w:t>
      </w:r>
    </w:p>
    <w:p w14:paraId="4E6825D0" w14:textId="4AA69785" w:rsidR="002C01BB" w:rsidRPr="00656150" w:rsidRDefault="00E6788F" w:rsidP="00AC281F">
      <w:pPr>
        <w:pStyle w:val="ListParagraph"/>
        <w:numPr>
          <w:ilvl w:val="0"/>
          <w:numId w:val="10"/>
        </w:numPr>
        <w:spacing w:after="120" w:line="240" w:lineRule="auto"/>
        <w:contextualSpacing w:val="0"/>
        <w:jc w:val="both"/>
        <w:rPr>
          <w:rFonts w:ascii="Times New Roman" w:hAnsi="Times New Roman"/>
          <w:sz w:val="24"/>
          <w:szCs w:val="24"/>
        </w:rPr>
      </w:pPr>
      <w:r>
        <w:rPr>
          <w:rFonts w:ascii="Times New Roman" w:hAnsi="Times New Roman"/>
          <w:sz w:val="24"/>
          <w:szCs w:val="24"/>
        </w:rPr>
        <w:t>F</w:t>
      </w:r>
      <w:r w:rsidRPr="187E5581">
        <w:rPr>
          <w:rFonts w:ascii="Times New Roman" w:hAnsi="Times New Roman"/>
          <w:sz w:val="24"/>
          <w:szCs w:val="24"/>
        </w:rPr>
        <w:t xml:space="preserve">inalize and adopt </w:t>
      </w:r>
      <w:r w:rsidR="00A72828">
        <w:rPr>
          <w:rFonts w:ascii="Times New Roman" w:hAnsi="Times New Roman"/>
          <w:sz w:val="24"/>
          <w:szCs w:val="24"/>
        </w:rPr>
        <w:t>the</w:t>
      </w:r>
      <w:r w:rsidRPr="187E5581">
        <w:rPr>
          <w:rFonts w:ascii="Times New Roman" w:hAnsi="Times New Roman"/>
          <w:sz w:val="24"/>
          <w:szCs w:val="24"/>
        </w:rPr>
        <w:t xml:space="preserve"> </w:t>
      </w:r>
      <w:r>
        <w:rPr>
          <w:rFonts w:ascii="Times New Roman" w:hAnsi="Times New Roman"/>
          <w:sz w:val="24"/>
          <w:szCs w:val="24"/>
        </w:rPr>
        <w:t xml:space="preserve">new </w:t>
      </w:r>
      <w:r w:rsidRPr="187E5581">
        <w:rPr>
          <w:rFonts w:ascii="Times New Roman" w:hAnsi="Times New Roman"/>
          <w:sz w:val="24"/>
          <w:szCs w:val="24"/>
        </w:rPr>
        <w:t>penal c</w:t>
      </w:r>
      <w:r>
        <w:rPr>
          <w:rFonts w:ascii="Times New Roman" w:hAnsi="Times New Roman"/>
          <w:sz w:val="24"/>
          <w:szCs w:val="24"/>
        </w:rPr>
        <w:t>ode which removes the death penalty and updates the definition of torture</w:t>
      </w:r>
      <w:r w:rsidRPr="187E5581">
        <w:rPr>
          <w:rFonts w:ascii="Times New Roman" w:hAnsi="Times New Roman"/>
          <w:sz w:val="24"/>
          <w:szCs w:val="24"/>
        </w:rPr>
        <w:t xml:space="preserve">. </w:t>
      </w:r>
      <w:r w:rsidR="00396752">
        <w:rPr>
          <w:rFonts w:ascii="Times New Roman" w:hAnsi="Times New Roman"/>
          <w:sz w:val="24"/>
          <w:szCs w:val="24"/>
        </w:rPr>
        <w:t>R</w:t>
      </w:r>
      <w:r>
        <w:rPr>
          <w:rFonts w:ascii="Times New Roman" w:hAnsi="Times New Roman"/>
          <w:sz w:val="24"/>
          <w:szCs w:val="24"/>
        </w:rPr>
        <w:t xml:space="preserve">evise </w:t>
      </w:r>
      <w:r w:rsidRPr="002B68A9">
        <w:rPr>
          <w:rFonts w:ascii="Times New Roman" w:hAnsi="Times New Roman"/>
          <w:sz w:val="24"/>
          <w:szCs w:val="24"/>
        </w:rPr>
        <w:t xml:space="preserve">the </w:t>
      </w:r>
      <w:r>
        <w:rPr>
          <w:rFonts w:ascii="Times New Roman" w:hAnsi="Times New Roman"/>
          <w:sz w:val="24"/>
          <w:szCs w:val="24"/>
        </w:rPr>
        <w:t xml:space="preserve">Revolutionary Penal Code of 1979, the </w:t>
      </w:r>
      <w:r w:rsidRPr="002B68A9">
        <w:rPr>
          <w:rFonts w:ascii="Times New Roman" w:hAnsi="Times New Roman"/>
          <w:sz w:val="24"/>
          <w:szCs w:val="24"/>
        </w:rPr>
        <w:t>British Mandate Penal Code of 1936</w:t>
      </w:r>
      <w:r w:rsidRPr="187E5581">
        <w:rPr>
          <w:rFonts w:ascii="Times New Roman" w:hAnsi="Times New Roman"/>
          <w:sz w:val="24"/>
          <w:szCs w:val="24"/>
        </w:rPr>
        <w:t>,</w:t>
      </w:r>
      <w:r>
        <w:rPr>
          <w:rFonts w:ascii="Times New Roman" w:hAnsi="Times New Roman"/>
          <w:sz w:val="24"/>
          <w:szCs w:val="24"/>
        </w:rPr>
        <w:t xml:space="preserve"> </w:t>
      </w:r>
      <w:r w:rsidRPr="002B68A9">
        <w:rPr>
          <w:rFonts w:ascii="Times New Roman" w:hAnsi="Times New Roman"/>
          <w:sz w:val="24"/>
          <w:szCs w:val="24"/>
        </w:rPr>
        <w:t>the Jordanian Penal Code of 1960</w:t>
      </w:r>
      <w:r w:rsidRPr="187E5581">
        <w:rPr>
          <w:rFonts w:ascii="Times New Roman" w:hAnsi="Times New Roman"/>
          <w:sz w:val="24"/>
          <w:szCs w:val="24"/>
        </w:rPr>
        <w:t>,</w:t>
      </w:r>
      <w:r w:rsidRPr="002B68A9">
        <w:rPr>
          <w:rFonts w:ascii="Times New Roman" w:hAnsi="Times New Roman"/>
          <w:sz w:val="24"/>
          <w:szCs w:val="24"/>
        </w:rPr>
        <w:t xml:space="preserve"> </w:t>
      </w:r>
      <w:r>
        <w:rPr>
          <w:rFonts w:ascii="Times New Roman" w:hAnsi="Times New Roman"/>
          <w:sz w:val="24"/>
          <w:szCs w:val="24"/>
        </w:rPr>
        <w:t xml:space="preserve">and </w:t>
      </w:r>
      <w:r w:rsidRPr="002B68A9">
        <w:rPr>
          <w:rFonts w:ascii="Times New Roman" w:hAnsi="Times New Roman"/>
          <w:sz w:val="24"/>
          <w:szCs w:val="24"/>
        </w:rPr>
        <w:t xml:space="preserve">the amended Jordanian law of explosives </w:t>
      </w:r>
      <w:r>
        <w:rPr>
          <w:rFonts w:ascii="Times New Roman" w:hAnsi="Times New Roman"/>
          <w:sz w:val="24"/>
          <w:szCs w:val="24"/>
        </w:rPr>
        <w:t xml:space="preserve">of </w:t>
      </w:r>
      <w:r w:rsidRPr="002B68A9">
        <w:rPr>
          <w:rFonts w:ascii="Times New Roman" w:hAnsi="Times New Roman"/>
          <w:sz w:val="24"/>
          <w:szCs w:val="24"/>
        </w:rPr>
        <w:t>1963</w:t>
      </w:r>
      <w:r>
        <w:rPr>
          <w:rFonts w:ascii="Times New Roman" w:hAnsi="Times New Roman"/>
          <w:sz w:val="24"/>
          <w:szCs w:val="24"/>
        </w:rPr>
        <w:t xml:space="preserve"> to fully </w:t>
      </w:r>
      <w:r w:rsidRPr="187E5581">
        <w:rPr>
          <w:rFonts w:ascii="Times New Roman" w:hAnsi="Times New Roman"/>
          <w:sz w:val="24"/>
          <w:szCs w:val="24"/>
        </w:rPr>
        <w:t xml:space="preserve">abolish </w:t>
      </w:r>
      <w:r>
        <w:rPr>
          <w:rFonts w:ascii="Times New Roman" w:hAnsi="Times New Roman"/>
          <w:sz w:val="24"/>
          <w:szCs w:val="24"/>
        </w:rPr>
        <w:t xml:space="preserve">the death </w:t>
      </w:r>
      <w:r w:rsidRPr="00B03F03">
        <w:rPr>
          <w:rFonts w:ascii="Times New Roman" w:hAnsi="Times New Roman"/>
          <w:sz w:val="24"/>
          <w:szCs w:val="24"/>
        </w:rPr>
        <w:t>penalty</w:t>
      </w:r>
      <w:r>
        <w:rPr>
          <w:rFonts w:ascii="Times New Roman" w:hAnsi="Times New Roman"/>
          <w:sz w:val="24"/>
          <w:szCs w:val="24"/>
        </w:rPr>
        <w:t xml:space="preserve"> in both the West Bank and Gaza Strip</w:t>
      </w:r>
      <w:r w:rsidRPr="00B03F03">
        <w:rPr>
          <w:rFonts w:ascii="Times New Roman" w:hAnsi="Times New Roman"/>
          <w:sz w:val="24"/>
          <w:szCs w:val="24"/>
        </w:rPr>
        <w:t>.</w:t>
      </w:r>
    </w:p>
    <w:p w14:paraId="4FDA9DE5" w14:textId="77777777" w:rsidR="003F56C9" w:rsidRPr="00D610A5" w:rsidRDefault="003F56C9" w:rsidP="003F56C9">
      <w:pPr>
        <w:pStyle w:val="ListParagraph"/>
        <w:numPr>
          <w:ilvl w:val="0"/>
          <w:numId w:val="10"/>
        </w:numPr>
        <w:spacing w:after="120" w:line="240" w:lineRule="auto"/>
        <w:contextualSpacing w:val="0"/>
        <w:jc w:val="both"/>
        <w:rPr>
          <w:rFonts w:ascii="Times New Roman" w:hAnsi="Times New Roman"/>
          <w:sz w:val="24"/>
          <w:szCs w:val="24"/>
        </w:rPr>
      </w:pPr>
      <w:r>
        <w:rPr>
          <w:rFonts w:ascii="Times New Roman" w:hAnsi="Times New Roman"/>
          <w:sz w:val="24"/>
          <w:szCs w:val="24"/>
        </w:rPr>
        <w:t xml:space="preserve">Ensure that authorities </w:t>
      </w:r>
      <w:r w:rsidRPr="00D610A5">
        <w:rPr>
          <w:rFonts w:ascii="Times New Roman" w:hAnsi="Times New Roman"/>
          <w:sz w:val="24"/>
          <w:szCs w:val="24"/>
        </w:rPr>
        <w:t xml:space="preserve">in the Gaza Strip immediately end the practice of trying civilians before military courts. </w:t>
      </w:r>
    </w:p>
    <w:p w14:paraId="07A80A5A" w14:textId="027B8C47" w:rsidR="0036549C" w:rsidRPr="00D610A5" w:rsidRDefault="0036549C" w:rsidP="0051033F">
      <w:pPr>
        <w:numPr>
          <w:ilvl w:val="0"/>
          <w:numId w:val="10"/>
        </w:numPr>
        <w:tabs>
          <w:tab w:val="left" w:pos="720"/>
        </w:tabs>
        <w:spacing w:after="120"/>
        <w:jc w:val="both"/>
        <w:textAlignment w:val="baseline"/>
        <w:rPr>
          <w:color w:val="000000"/>
        </w:rPr>
      </w:pPr>
      <w:r w:rsidRPr="00D610A5">
        <w:rPr>
          <w:color w:val="000000"/>
        </w:rPr>
        <w:t xml:space="preserve">On at least an annual basis, publish transparent information on the number of </w:t>
      </w:r>
      <w:r w:rsidR="009C3EE4" w:rsidRPr="00D610A5">
        <w:rPr>
          <w:color w:val="000000"/>
        </w:rPr>
        <w:t xml:space="preserve">men, </w:t>
      </w:r>
      <w:r w:rsidRPr="00D610A5">
        <w:rPr>
          <w:color w:val="000000"/>
        </w:rPr>
        <w:t>women, transgender persons, and nonbinary persons sentenced to death and on death row, disaggregated by age, age of dependent children (if any), nationality, race / ethnic group, relationship to the victim,</w:t>
      </w:r>
      <w:r w:rsidR="004C7662" w:rsidRPr="00D610A5">
        <w:rPr>
          <w:color w:val="000000"/>
        </w:rPr>
        <w:t xml:space="preserve"> relationship to any codefendants,</w:t>
      </w:r>
      <w:r w:rsidRPr="00D610A5">
        <w:rPr>
          <w:color w:val="000000"/>
        </w:rPr>
        <w:t xml:space="preserve"> date of arrest, date of notification of the right to consular notification (if applicable), crime of conviction, date of conviction, and date of execution (if applicable), to facilitate analysis of the demographics of women on death row.</w:t>
      </w:r>
    </w:p>
    <w:p w14:paraId="38BB35CD" w14:textId="30622E5A" w:rsidR="0051033F" w:rsidRPr="00D610A5" w:rsidRDefault="0051033F" w:rsidP="0051033F">
      <w:pPr>
        <w:numPr>
          <w:ilvl w:val="0"/>
          <w:numId w:val="10"/>
        </w:numPr>
        <w:tabs>
          <w:tab w:val="left" w:pos="720"/>
        </w:tabs>
        <w:spacing w:after="120"/>
        <w:jc w:val="both"/>
        <w:textAlignment w:val="baseline"/>
        <w:rPr>
          <w:color w:val="000000"/>
        </w:rPr>
      </w:pPr>
      <w:r w:rsidRPr="00D610A5">
        <w:rPr>
          <w:color w:val="000000"/>
        </w:rPr>
        <w:t>In collaboration with civil society organizations specializing in gender-based violence, provide all judges who have sentencing authority with comprehensive gender-sensitization instruction, including with respect to women and girls accused of crimes who have experienced gender-based violence, focusing on gender-based discrimination, domestic violence, and coercion that may lead women to commit capital offenses.</w:t>
      </w:r>
    </w:p>
    <w:p w14:paraId="010BCFF2" w14:textId="77777777" w:rsidR="0051033F" w:rsidRPr="00D610A5" w:rsidRDefault="0051033F" w:rsidP="0051033F">
      <w:pPr>
        <w:numPr>
          <w:ilvl w:val="0"/>
          <w:numId w:val="10"/>
        </w:numPr>
        <w:tabs>
          <w:tab w:val="left" w:pos="720"/>
        </w:tabs>
        <w:spacing w:after="120"/>
        <w:jc w:val="both"/>
        <w:textAlignment w:val="baseline"/>
        <w:rPr>
          <w:color w:val="000000"/>
        </w:rPr>
      </w:pPr>
      <w:r w:rsidRPr="00D610A5">
        <w:rPr>
          <w:color w:val="000000"/>
        </w:rPr>
        <w:t xml:space="preserve">Ensure that all women accused of capital crimes have access to free and effective legal representation by attorneys who specialize in death penalty cases, </w:t>
      </w:r>
      <w:proofErr w:type="gramStart"/>
      <w:r w:rsidRPr="00D610A5">
        <w:rPr>
          <w:color w:val="000000"/>
        </w:rPr>
        <w:t>ensure access to counsel at all times</w:t>
      </w:r>
      <w:proofErr w:type="gramEnd"/>
      <w:r w:rsidRPr="00D610A5">
        <w:rPr>
          <w:color w:val="000000"/>
        </w:rPr>
        <w:t>, from the start of the investigation through any appeals, and ensure that the defense team has sufficient funding to conduct a thorough investigation and to secure relevant expert witnesses, particularly regarding gender-specific defenses.</w:t>
      </w:r>
    </w:p>
    <w:p w14:paraId="378C6A14" w14:textId="77777777" w:rsidR="00396AAF" w:rsidRPr="00D610A5" w:rsidRDefault="00396AAF" w:rsidP="00396AAF">
      <w:pPr>
        <w:numPr>
          <w:ilvl w:val="0"/>
          <w:numId w:val="10"/>
        </w:numPr>
        <w:tabs>
          <w:tab w:val="left" w:pos="720"/>
        </w:tabs>
        <w:spacing w:after="120"/>
        <w:jc w:val="both"/>
        <w:textAlignment w:val="baseline"/>
        <w:rPr>
          <w:color w:val="000000"/>
        </w:rPr>
      </w:pPr>
      <w:r w:rsidRPr="00D610A5">
        <w:rPr>
          <w:color w:val="000000"/>
        </w:rPr>
        <w:t xml:space="preserve">Implement legislative reforms to prevent the application of the death penalty to women and girls who have survived gender-based violence, including early and forced marriage as well as rape and sexual assault, and who subsequently engage in criminal conduct against their abusers. </w:t>
      </w:r>
    </w:p>
    <w:p w14:paraId="3752EFEA" w14:textId="20CE5E1B" w:rsidR="0051033F" w:rsidRPr="00656150" w:rsidRDefault="00396AAF" w:rsidP="00656150">
      <w:pPr>
        <w:numPr>
          <w:ilvl w:val="0"/>
          <w:numId w:val="10"/>
        </w:numPr>
        <w:tabs>
          <w:tab w:val="left" w:pos="720"/>
        </w:tabs>
        <w:spacing w:after="120"/>
        <w:jc w:val="both"/>
        <w:textAlignment w:val="baseline"/>
        <w:rPr>
          <w:color w:val="000000"/>
        </w:rPr>
      </w:pPr>
      <w:r w:rsidRPr="00D610A5">
        <w:rPr>
          <w:color w:val="000000"/>
        </w:rPr>
        <w:lastRenderedPageBreak/>
        <w:t>Commute the sentences of women sentenced to death for killing people who perpetrated gender-based violence against them.</w:t>
      </w:r>
    </w:p>
    <w:p w14:paraId="3DEBE99E" w14:textId="6271EEE4" w:rsidR="00A133E5" w:rsidRPr="00D610A5" w:rsidRDefault="002C01BB" w:rsidP="00E415EE">
      <w:pPr>
        <w:pStyle w:val="ListParagraph"/>
        <w:numPr>
          <w:ilvl w:val="0"/>
          <w:numId w:val="10"/>
        </w:numPr>
        <w:spacing w:after="120" w:line="240" w:lineRule="auto"/>
        <w:contextualSpacing w:val="0"/>
        <w:jc w:val="both"/>
        <w:rPr>
          <w:rFonts w:ascii="Times New Roman" w:hAnsi="Times New Roman"/>
          <w:sz w:val="24"/>
          <w:szCs w:val="24"/>
        </w:rPr>
      </w:pPr>
      <w:r w:rsidRPr="00D610A5">
        <w:rPr>
          <w:rFonts w:ascii="Times New Roman" w:hAnsi="Times New Roman"/>
          <w:sz w:val="24"/>
          <w:szCs w:val="24"/>
        </w:rPr>
        <w:t>Proceed with presidential and legislative elections, in abeyance since 2010, to restore democratic integrity to the government and safeguard against executive overreaching, especially regarding the independent judiciary.</w:t>
      </w:r>
    </w:p>
    <w:p w14:paraId="271786C2" w14:textId="1B22DA21" w:rsidR="004E4781" w:rsidRPr="00D610A5" w:rsidRDefault="05EDE6F8" w:rsidP="00E415EE">
      <w:pPr>
        <w:pStyle w:val="ListParagraph"/>
        <w:numPr>
          <w:ilvl w:val="0"/>
          <w:numId w:val="10"/>
        </w:numPr>
        <w:spacing w:after="120" w:line="240" w:lineRule="auto"/>
        <w:contextualSpacing w:val="0"/>
        <w:jc w:val="both"/>
        <w:rPr>
          <w:rFonts w:ascii="Times New Roman" w:hAnsi="Times New Roman"/>
          <w:sz w:val="24"/>
          <w:szCs w:val="24"/>
        </w:rPr>
      </w:pPr>
      <w:r w:rsidRPr="00D610A5">
        <w:rPr>
          <w:rFonts w:ascii="Times New Roman" w:hAnsi="Times New Roman"/>
          <w:sz w:val="24"/>
          <w:szCs w:val="24"/>
        </w:rPr>
        <w:t>Prohibit</w:t>
      </w:r>
      <w:r w:rsidR="004E4781" w:rsidRPr="00D610A5">
        <w:rPr>
          <w:rFonts w:ascii="Times New Roman" w:hAnsi="Times New Roman"/>
          <w:sz w:val="24"/>
          <w:szCs w:val="24"/>
        </w:rPr>
        <w:t xml:space="preserve"> courts</w:t>
      </w:r>
      <w:r w:rsidR="0081044A" w:rsidRPr="00D610A5">
        <w:rPr>
          <w:rFonts w:ascii="Times New Roman" w:hAnsi="Times New Roman"/>
          <w:sz w:val="24"/>
          <w:szCs w:val="24"/>
        </w:rPr>
        <w:t xml:space="preserve"> </w:t>
      </w:r>
      <w:r w:rsidR="004E4781" w:rsidRPr="00D610A5">
        <w:rPr>
          <w:rFonts w:ascii="Times New Roman" w:hAnsi="Times New Roman"/>
          <w:sz w:val="24"/>
          <w:szCs w:val="24"/>
        </w:rPr>
        <w:t xml:space="preserve">from considering any evidence obtained through torture, except with respect to evidence of the crime of torture </w:t>
      </w:r>
      <w:proofErr w:type="gramStart"/>
      <w:r w:rsidR="004E4781" w:rsidRPr="00D610A5">
        <w:rPr>
          <w:rFonts w:ascii="Times New Roman" w:hAnsi="Times New Roman"/>
          <w:sz w:val="24"/>
          <w:szCs w:val="24"/>
        </w:rPr>
        <w:t>itself,</w:t>
      </w:r>
      <w:r w:rsidR="00656150">
        <w:rPr>
          <w:rFonts w:ascii="Times New Roman" w:hAnsi="Times New Roman"/>
          <w:sz w:val="24"/>
          <w:szCs w:val="24"/>
        </w:rPr>
        <w:t xml:space="preserve"> </w:t>
      </w:r>
      <w:r w:rsidR="004E4781" w:rsidRPr="00D610A5">
        <w:rPr>
          <w:rFonts w:ascii="Times New Roman" w:hAnsi="Times New Roman"/>
          <w:sz w:val="24"/>
          <w:szCs w:val="24"/>
        </w:rPr>
        <w:t>and</w:t>
      </w:r>
      <w:proofErr w:type="gramEnd"/>
      <w:r w:rsidR="004E4781" w:rsidRPr="00D610A5">
        <w:rPr>
          <w:rFonts w:ascii="Times New Roman" w:hAnsi="Times New Roman"/>
          <w:sz w:val="24"/>
          <w:szCs w:val="24"/>
        </w:rPr>
        <w:t xml:space="preserve"> create a mechanism by which defendants may raise the issue of inadmissibility before trial</w:t>
      </w:r>
      <w:r w:rsidR="5ECECFC9" w:rsidRPr="00D610A5">
        <w:rPr>
          <w:rFonts w:ascii="Times New Roman" w:hAnsi="Times New Roman"/>
          <w:sz w:val="24"/>
          <w:szCs w:val="24"/>
        </w:rPr>
        <w:t>, in order to comply with existing Palestinian criminal procedure</w:t>
      </w:r>
      <w:r w:rsidR="269080FC" w:rsidRPr="00D610A5">
        <w:rPr>
          <w:rFonts w:ascii="Times New Roman" w:hAnsi="Times New Roman"/>
          <w:sz w:val="24"/>
          <w:szCs w:val="24"/>
        </w:rPr>
        <w:t>.</w:t>
      </w:r>
      <w:r w:rsidR="004E4781" w:rsidRPr="00D610A5">
        <w:rPr>
          <w:rFonts w:ascii="Times New Roman" w:hAnsi="Times New Roman"/>
          <w:sz w:val="24"/>
          <w:szCs w:val="24"/>
        </w:rPr>
        <w:t xml:space="preserve"> Ensure that all judicial authorities receive adequate training and support to assess such allegations and have the capacity to bar consideration of such evidence.</w:t>
      </w:r>
    </w:p>
    <w:p w14:paraId="6D2B91BE" w14:textId="77777777" w:rsidR="003779DA" w:rsidRPr="00D610A5" w:rsidRDefault="004E4781" w:rsidP="00E415EE">
      <w:pPr>
        <w:pStyle w:val="ListParagraph"/>
        <w:numPr>
          <w:ilvl w:val="0"/>
          <w:numId w:val="10"/>
        </w:numPr>
        <w:spacing w:after="120" w:line="240" w:lineRule="auto"/>
        <w:contextualSpacing w:val="0"/>
        <w:jc w:val="both"/>
        <w:rPr>
          <w:rFonts w:ascii="Times New Roman" w:hAnsi="Times New Roman"/>
          <w:sz w:val="24"/>
          <w:szCs w:val="24"/>
        </w:rPr>
      </w:pPr>
      <w:r w:rsidRPr="00D610A5">
        <w:rPr>
          <w:rFonts w:ascii="Times New Roman" w:hAnsi="Times New Roman"/>
          <w:sz w:val="24"/>
          <w:szCs w:val="24"/>
        </w:rPr>
        <w:t xml:space="preserve">Ensure that all persons charged with capital offences are provided with legal counsel free of </w:t>
      </w:r>
      <w:proofErr w:type="gramStart"/>
      <w:r w:rsidRPr="00D610A5">
        <w:rPr>
          <w:rFonts w:ascii="Times New Roman" w:hAnsi="Times New Roman"/>
          <w:sz w:val="24"/>
          <w:szCs w:val="24"/>
        </w:rPr>
        <w:t>charge, and</w:t>
      </w:r>
      <w:proofErr w:type="gramEnd"/>
      <w:r w:rsidRPr="00D610A5">
        <w:rPr>
          <w:rFonts w:ascii="Times New Roman" w:hAnsi="Times New Roman"/>
          <w:sz w:val="24"/>
          <w:szCs w:val="24"/>
        </w:rPr>
        <w:t xml:space="preserve"> ensure that they have access to counsel from the time of charging through any appeals, including during any interrogations.</w:t>
      </w:r>
    </w:p>
    <w:p w14:paraId="0EA2FCC4" w14:textId="067F4C36" w:rsidR="003779DA" w:rsidRPr="00D610A5" w:rsidRDefault="004E4781" w:rsidP="00E415EE">
      <w:pPr>
        <w:pStyle w:val="ListParagraph"/>
        <w:numPr>
          <w:ilvl w:val="0"/>
          <w:numId w:val="10"/>
        </w:numPr>
        <w:spacing w:after="120" w:line="240" w:lineRule="auto"/>
        <w:contextualSpacing w:val="0"/>
        <w:jc w:val="both"/>
        <w:rPr>
          <w:rFonts w:ascii="Times New Roman" w:hAnsi="Times New Roman"/>
          <w:sz w:val="24"/>
          <w:szCs w:val="24"/>
        </w:rPr>
      </w:pPr>
      <w:r w:rsidRPr="00D610A5">
        <w:rPr>
          <w:rFonts w:ascii="Times New Roman" w:hAnsi="Times New Roman"/>
          <w:sz w:val="24"/>
          <w:szCs w:val="24"/>
        </w:rPr>
        <w:t>Take concrete measures to improve conditions in prisons for all persons, including people on death row, in accordance with the Nelson Mandela Rules</w:t>
      </w:r>
      <w:r w:rsidR="00BE0594" w:rsidRPr="00D610A5">
        <w:rPr>
          <w:rFonts w:ascii="Times New Roman" w:hAnsi="Times New Roman"/>
          <w:sz w:val="24"/>
          <w:szCs w:val="24"/>
        </w:rPr>
        <w:t xml:space="preserve"> and Bangkok Rules</w:t>
      </w:r>
      <w:r w:rsidRPr="00D610A5">
        <w:rPr>
          <w:rFonts w:ascii="Times New Roman" w:hAnsi="Times New Roman"/>
          <w:sz w:val="24"/>
          <w:szCs w:val="24"/>
        </w:rPr>
        <w:t>, and enact a policy prohibiting the use of solitary confinement as the standard method of detention for persons who might be sentenced to death, consistent with Rule 45 of the Nelson Mandela Rules.</w:t>
      </w:r>
    </w:p>
    <w:p w14:paraId="3E4AA44D" w14:textId="296260D7" w:rsidR="00F51AFD" w:rsidRPr="00656150" w:rsidRDefault="004E4781" w:rsidP="002C01BB">
      <w:pPr>
        <w:pStyle w:val="ListParagraph"/>
        <w:numPr>
          <w:ilvl w:val="0"/>
          <w:numId w:val="10"/>
        </w:numPr>
        <w:spacing w:after="120" w:line="240" w:lineRule="auto"/>
        <w:contextualSpacing w:val="0"/>
        <w:jc w:val="both"/>
        <w:rPr>
          <w:rFonts w:ascii="Times New Roman" w:hAnsi="Times New Roman"/>
          <w:sz w:val="24"/>
          <w:szCs w:val="24"/>
        </w:rPr>
      </w:pPr>
      <w:r w:rsidRPr="00D610A5">
        <w:rPr>
          <w:rFonts w:ascii="Times New Roman" w:hAnsi="Times New Roman"/>
          <w:sz w:val="24"/>
          <w:szCs w:val="24"/>
        </w:rPr>
        <w:t xml:space="preserve">Establish a system </w:t>
      </w:r>
      <w:r w:rsidR="00BE0594" w:rsidRPr="00D610A5">
        <w:rPr>
          <w:rFonts w:ascii="Times New Roman" w:hAnsi="Times New Roman"/>
          <w:sz w:val="24"/>
          <w:szCs w:val="24"/>
        </w:rPr>
        <w:t xml:space="preserve">to facilitate </w:t>
      </w:r>
      <w:r w:rsidRPr="00D610A5">
        <w:rPr>
          <w:rFonts w:ascii="Times New Roman" w:hAnsi="Times New Roman"/>
          <w:sz w:val="24"/>
          <w:szCs w:val="24"/>
        </w:rPr>
        <w:t xml:space="preserve">regular unannounced visits to all places of detention by national and international monitors, </w:t>
      </w:r>
      <w:r w:rsidR="00D1385A" w:rsidRPr="00D610A5">
        <w:rPr>
          <w:rFonts w:ascii="Times New Roman" w:hAnsi="Times New Roman"/>
          <w:sz w:val="24"/>
          <w:szCs w:val="24"/>
        </w:rPr>
        <w:t xml:space="preserve">and </w:t>
      </w:r>
      <w:r w:rsidRPr="00D610A5">
        <w:rPr>
          <w:rFonts w:ascii="Times New Roman" w:hAnsi="Times New Roman"/>
          <w:sz w:val="24"/>
          <w:szCs w:val="24"/>
        </w:rPr>
        <w:t xml:space="preserve">grant entry and access </w:t>
      </w:r>
      <w:r w:rsidR="00D1385A" w:rsidRPr="00D610A5">
        <w:rPr>
          <w:rFonts w:ascii="Times New Roman" w:hAnsi="Times New Roman"/>
          <w:sz w:val="24"/>
          <w:szCs w:val="24"/>
        </w:rPr>
        <w:t xml:space="preserve">to </w:t>
      </w:r>
      <w:r w:rsidRPr="00D610A5">
        <w:rPr>
          <w:rFonts w:ascii="Times New Roman" w:hAnsi="Times New Roman"/>
          <w:sz w:val="24"/>
          <w:szCs w:val="24"/>
        </w:rPr>
        <w:t>all human rights nongovernmental organizations.</w:t>
      </w:r>
    </w:p>
    <w:sectPr w:rsidR="00F51AFD" w:rsidRPr="00656150" w:rsidSect="004B1E4E">
      <w:headerReference w:type="default" r:id="rId12"/>
      <w:footerReference w:type="default" r:id="rId13"/>
      <w:headerReference w:type="first" r:id="rId14"/>
      <w:footerReference w:type="first" r:id="rId15"/>
      <w:pgSz w:w="12240" w:h="15840" w:code="1"/>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DFD451" w14:textId="77777777" w:rsidR="00FE7682" w:rsidRDefault="00FE7682">
      <w:r>
        <w:separator/>
      </w:r>
    </w:p>
  </w:endnote>
  <w:endnote w:type="continuationSeparator" w:id="0">
    <w:p w14:paraId="24ABE965" w14:textId="77777777" w:rsidR="00FE7682" w:rsidRDefault="00FE7682">
      <w:r>
        <w:continuationSeparator/>
      </w:r>
    </w:p>
  </w:endnote>
  <w:endnote w:type="continuationNotice" w:id="1">
    <w:p w14:paraId="247CC094" w14:textId="77777777" w:rsidR="00FE7682" w:rsidRDefault="00FE768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Yu Mincho">
    <w:altName w:val="游明朝"/>
    <w:panose1 w:val="00000000000000000000"/>
    <w:charset w:val="80"/>
    <w:family w:val="roman"/>
    <w:notTrueType/>
    <w:pitch w:val="variable"/>
    <w:sig w:usb0="800002E7" w:usb1="2AC7FCFF" w:usb2="00000012" w:usb3="00000000" w:csb0="0002009F" w:csb1="00000000"/>
  </w:font>
  <w:font w:name="Calisto MT">
    <w:panose1 w:val="02040603050505030304"/>
    <w:charset w:val="00"/>
    <w:family w:val="roman"/>
    <w:pitch w:val="variable"/>
    <w:sig w:usb0="00000003" w:usb1="00000000" w:usb2="00000000" w:usb3="00000000" w:csb0="00000001" w:csb1="00000000"/>
  </w:font>
  <w:font w:name="Gill Sans MT">
    <w:altName w:val="Calibri"/>
    <w:panose1 w:val="020B0502020104020203"/>
    <w:charset w:val="00"/>
    <w:family w:val="swiss"/>
    <w:pitch w:val="variable"/>
    <w:sig w:usb0="00000007" w:usb1="00000000" w:usb2="00000000" w:usb3="00000000" w:csb0="00000003" w:csb1="00000000"/>
  </w:font>
  <w:font w:name="Adobe Jenson Pro">
    <w:altName w:val="Times New Roman"/>
    <w:panose1 w:val="00000000000000000000"/>
    <w:charset w:val="00"/>
    <w:family w:val="roman"/>
    <w:notTrueType/>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630B52" w14:textId="77777777" w:rsidR="00804604" w:rsidRDefault="00804604">
    <w:pPr>
      <w:pStyle w:val="Footer"/>
      <w:jc w:val="center"/>
    </w:pPr>
    <w:r>
      <w:fldChar w:fldCharType="begin"/>
    </w:r>
    <w:r>
      <w:instrText xml:space="preserve"> PAGE   \* MERGEFORMAT </w:instrText>
    </w:r>
    <w:r>
      <w:fldChar w:fldCharType="separate"/>
    </w:r>
    <w:r w:rsidR="00DD3996">
      <w:rPr>
        <w:noProof/>
      </w:rPr>
      <w:t>2</w:t>
    </w:r>
    <w:r>
      <w:rPr>
        <w:noProof/>
      </w:rPr>
      <w:fldChar w:fldCharType="end"/>
    </w:r>
  </w:p>
  <w:p w14:paraId="36B5F958" w14:textId="77777777" w:rsidR="00804604" w:rsidRPr="00C26130" w:rsidRDefault="00804604" w:rsidP="00C26130">
    <w:pPr>
      <w:pStyle w:val="Footer"/>
      <w:rPr>
        <w:szCs w:val="18"/>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6B8E91" w14:textId="2146F7AB" w:rsidR="00804604" w:rsidRDefault="002F7A11" w:rsidP="00C26130">
    <w:pPr>
      <w:widowControl w:val="0"/>
      <w:jc w:val="center"/>
      <w:rPr>
        <w:rFonts w:ascii="Gill Sans MT" w:hAnsi="Gill Sans MT"/>
        <w:color w:val="333333"/>
        <w:lang w:val="en"/>
      </w:rPr>
    </w:pPr>
    <w:r>
      <w:rPr>
        <w:rFonts w:ascii="Calisto MT" w:hAnsi="Calisto MT"/>
        <w:noProof/>
        <w:color w:val="800080"/>
        <w:sz w:val="26"/>
        <w:szCs w:val="26"/>
      </w:rPr>
      <mc:AlternateContent>
        <mc:Choice Requires="wps">
          <w:drawing>
            <wp:anchor distT="0" distB="0" distL="114300" distR="114300" simplePos="0" relativeHeight="251658241" behindDoc="0" locked="0" layoutInCell="1" allowOverlap="1" wp14:anchorId="13FDBD67" wp14:editId="2E5F8390">
              <wp:simplePos x="0" y="0"/>
              <wp:positionH relativeFrom="column">
                <wp:posOffset>-356235</wp:posOffset>
              </wp:positionH>
              <wp:positionV relativeFrom="paragraph">
                <wp:posOffset>132715</wp:posOffset>
              </wp:positionV>
              <wp:extent cx="6649720" cy="0"/>
              <wp:effectExtent l="5715" t="8890" r="12065" b="1016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649720" cy="0"/>
                      </a:xfrm>
                      <a:prstGeom prst="line">
                        <a:avLst/>
                      </a:prstGeom>
                      <a:noFill/>
                      <a:ln w="9525">
                        <a:solidFill>
                          <a:srgbClr val="333333"/>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C756755" id="Straight Connector 1" o:spid="_x0000_s1026" style="position:absolute;flip:y;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05pt,10.45pt" to="495.55pt,10.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" strokecolor="#333"/>
          </w:pict>
        </mc:Fallback>
      </mc:AlternateContent>
    </w:r>
  </w:p>
  <w:p w14:paraId="38491264" w14:textId="4743F842" w:rsidR="00804604" w:rsidRPr="00345B90" w:rsidRDefault="00804604" w:rsidP="00C26130">
    <w:pPr>
      <w:widowControl w:val="0"/>
      <w:jc w:val="center"/>
      <w:rPr>
        <w:rFonts w:ascii="Adobe Jenson Pro" w:hAnsi="Adobe Jenson Pro"/>
        <w:i/>
        <w:iCs/>
        <w:color w:val="542344"/>
        <w:sz w:val="23"/>
        <w:szCs w:val="23"/>
        <w:lang w:val="en"/>
      </w:rPr>
    </w:pPr>
    <w:r>
      <w:rPr>
        <w:rFonts w:ascii="Gill Sans MT" w:hAnsi="Gill Sans MT"/>
        <w:color w:val="333333"/>
        <w:sz w:val="18"/>
        <w:szCs w:val="18"/>
        <w:lang w:val="en"/>
      </w:rPr>
      <w:t>330</w:t>
    </w:r>
    <w:r w:rsidRPr="008856D7">
      <w:rPr>
        <w:rFonts w:ascii="Gill Sans MT" w:hAnsi="Gill Sans MT"/>
        <w:color w:val="333333"/>
        <w:sz w:val="18"/>
        <w:szCs w:val="18"/>
        <w:lang w:val="en"/>
      </w:rPr>
      <w:t xml:space="preserve"> </w:t>
    </w:r>
    <w:r>
      <w:rPr>
        <w:rFonts w:ascii="Gill Sans MT" w:hAnsi="Gill Sans MT"/>
        <w:color w:val="333333"/>
        <w:sz w:val="18"/>
        <w:szCs w:val="18"/>
        <w:lang w:val="en"/>
      </w:rPr>
      <w:t>Second</w:t>
    </w:r>
    <w:r w:rsidRPr="008856D7">
      <w:rPr>
        <w:rFonts w:ascii="Gill Sans MT" w:hAnsi="Gill Sans MT"/>
        <w:color w:val="333333"/>
        <w:sz w:val="18"/>
        <w:szCs w:val="18"/>
        <w:lang w:val="en"/>
      </w:rPr>
      <w:t xml:space="preserve"> Avenue South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Suite </w:t>
    </w:r>
    <w:r>
      <w:rPr>
        <w:rFonts w:ascii="Gill Sans MT" w:hAnsi="Gill Sans MT"/>
        <w:color w:val="333333"/>
        <w:sz w:val="18"/>
        <w:szCs w:val="18"/>
        <w:lang w:val="en"/>
      </w:rPr>
      <w:t>800</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Minneapolis, MN</w:t>
    </w:r>
    <w:r w:rsidR="00B306C0">
      <w:rPr>
        <w:rFonts w:ascii="Gill Sans MT" w:hAnsi="Gill Sans MT"/>
        <w:color w:val="333333"/>
        <w:sz w:val="18"/>
        <w:szCs w:val="18"/>
        <w:lang w:val="en"/>
      </w:rPr>
      <w:t xml:space="preserve"> </w:t>
    </w:r>
    <w:r w:rsidRPr="008856D7">
      <w:rPr>
        <w:rFonts w:ascii="Gill Sans MT" w:hAnsi="Gill Sans MT"/>
        <w:color w:val="333333"/>
        <w:sz w:val="18"/>
        <w:szCs w:val="18"/>
        <w:lang w:val="en"/>
      </w:rPr>
      <w:t>5540</w:t>
    </w:r>
    <w:r>
      <w:rPr>
        <w:rFonts w:ascii="Gill Sans MT" w:hAnsi="Gill Sans MT"/>
        <w:color w:val="333333"/>
        <w:sz w:val="18"/>
        <w:szCs w:val="18"/>
        <w:lang w:val="en"/>
      </w:rPr>
      <w:t>1</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Pr="008856D7">
      <w:rPr>
        <w:rFonts w:ascii="Gill Sans MT" w:hAnsi="Gill Sans MT"/>
        <w:color w:val="333333"/>
        <w:sz w:val="18"/>
        <w:szCs w:val="18"/>
        <w:lang w:val="en"/>
      </w:rPr>
      <w:t xml:space="preserve"> USA </w:t>
    </w:r>
  </w:p>
  <w:p w14:paraId="66534544" w14:textId="704BC0FA" w:rsidR="00804604" w:rsidRPr="008856D7" w:rsidRDefault="00804604" w:rsidP="00E114C5">
    <w:pPr>
      <w:widowControl w:val="0"/>
      <w:jc w:val="center"/>
      <w:rPr>
        <w:rFonts w:ascii="Gill Sans MT" w:hAnsi="Gill Sans MT"/>
        <w:color w:val="333333"/>
        <w:sz w:val="18"/>
        <w:szCs w:val="18"/>
        <w:lang w:val="en"/>
      </w:rPr>
    </w:pPr>
    <w:r w:rsidRPr="008856D7">
      <w:rPr>
        <w:rFonts w:ascii="Gill Sans MT" w:hAnsi="Gill Sans MT"/>
        <w:color w:val="333333"/>
        <w:sz w:val="18"/>
        <w:szCs w:val="18"/>
        <w:lang w:val="en"/>
      </w:rPr>
      <w:t>Tel</w:t>
    </w:r>
    <w:r w:rsidR="0009644E">
      <w:rPr>
        <w:rFonts w:ascii="Gill Sans MT" w:hAnsi="Gill Sans MT"/>
        <w:color w:val="333333"/>
        <w:sz w:val="18"/>
        <w:szCs w:val="18"/>
        <w:lang w:val="en"/>
      </w:rPr>
      <w:t>:</w:t>
    </w:r>
    <w:r w:rsidR="00B306C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00AD0AA1">
      <w:rPr>
        <w:rFonts w:ascii="Gill Sans MT" w:hAnsi="Gill Sans MT"/>
        <w:color w:val="333333"/>
        <w:sz w:val="18"/>
        <w:szCs w:val="18"/>
        <w:lang w:val="en"/>
      </w:rPr>
      <w:t>3302</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09644E">
      <w:rPr>
        <w:rFonts w:ascii="Gill Sans MT" w:hAnsi="Gill Sans MT"/>
        <w:color w:val="333333"/>
        <w:sz w:val="18"/>
        <w:szCs w:val="18"/>
        <w:lang w:val="en"/>
      </w:rPr>
      <w:t xml:space="preserve"> Fax:</w:t>
    </w:r>
    <w:r w:rsidR="00B306C0">
      <w:rPr>
        <w:rFonts w:ascii="Gill Sans MT" w:hAnsi="Gill Sans MT"/>
        <w:color w:val="333333"/>
        <w:sz w:val="18"/>
        <w:szCs w:val="18"/>
        <w:lang w:val="en"/>
      </w:rPr>
      <w:t xml:space="preserve"> </w:t>
    </w:r>
    <w:r w:rsidR="0009644E">
      <w:rPr>
        <w:rFonts w:ascii="Gill Sans MT" w:hAnsi="Gill Sans MT"/>
        <w:color w:val="333333"/>
        <w:sz w:val="18"/>
        <w:szCs w:val="18"/>
        <w:lang w:val="en"/>
      </w:rPr>
      <w:t>612-341-</w:t>
    </w:r>
    <w:r w:rsidRPr="008856D7">
      <w:rPr>
        <w:rFonts w:ascii="Gill Sans MT" w:hAnsi="Gill Sans MT"/>
        <w:color w:val="333333"/>
        <w:sz w:val="18"/>
        <w:szCs w:val="18"/>
        <w:lang w:val="en"/>
      </w:rPr>
      <w:t xml:space="preserve">2971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Email: hrights@advrights.org</w:t>
    </w:r>
    <w:r w:rsidRPr="008856D7">
      <w:rPr>
        <w:rFonts w:ascii="Gill Sans MT" w:hAnsi="Gill Sans MT"/>
        <w:color w:val="333333"/>
        <w:sz w:val="18"/>
        <w:szCs w:val="18"/>
        <w:lang w:val="en"/>
      </w:rPr>
      <w:t xml:space="preserve"> </w:t>
    </w:r>
    <w:r w:rsidRPr="008856D7">
      <w:rPr>
        <w:rFonts w:ascii="Verdana" w:hAnsi="Verdana"/>
        <w:color w:val="333333"/>
        <w:sz w:val="18"/>
        <w:szCs w:val="18"/>
        <w:lang w:val="en"/>
      </w:rPr>
      <w:t>•</w:t>
    </w:r>
    <w:r w:rsidR="00AD0AA1">
      <w:rPr>
        <w:rFonts w:ascii="Gill Sans MT" w:hAnsi="Gill Sans MT"/>
        <w:color w:val="333333"/>
        <w:sz w:val="18"/>
        <w:szCs w:val="18"/>
        <w:lang w:val="en"/>
      </w:rPr>
      <w:t xml:space="preserve"> </w:t>
    </w:r>
    <w:r w:rsidR="0009644E">
      <w:rPr>
        <w:rFonts w:ascii="Gill Sans MT" w:hAnsi="Gill Sans MT"/>
        <w:color w:val="333333"/>
        <w:sz w:val="18"/>
        <w:szCs w:val="18"/>
        <w:lang w:val="en"/>
      </w:rPr>
      <w:t>www.TheAdvocatesForHumanR</w:t>
    </w:r>
    <w:r w:rsidRPr="008856D7">
      <w:rPr>
        <w:rFonts w:ascii="Gill Sans MT" w:hAnsi="Gill Sans MT"/>
        <w:color w:val="333333"/>
        <w:sz w:val="18"/>
        <w:szCs w:val="18"/>
        <w:lang w:val="en"/>
      </w:rPr>
      <w:t xml:space="preserve">ights.org </w:t>
    </w:r>
  </w:p>
  <w:p w14:paraId="239531B9" w14:textId="77777777" w:rsidR="00804604" w:rsidRDefault="008046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8A0EBF" w14:textId="77777777" w:rsidR="00FE7682" w:rsidRDefault="00FE7682">
      <w:r>
        <w:separator/>
      </w:r>
    </w:p>
  </w:footnote>
  <w:footnote w:type="continuationSeparator" w:id="0">
    <w:p w14:paraId="1D86F95E" w14:textId="77777777" w:rsidR="00FE7682" w:rsidRDefault="00FE7682">
      <w:r>
        <w:continuationSeparator/>
      </w:r>
    </w:p>
  </w:footnote>
  <w:footnote w:type="continuationNotice" w:id="1">
    <w:p w14:paraId="097E920F" w14:textId="77777777" w:rsidR="00FE7682" w:rsidRDefault="00FE7682"/>
  </w:footnote>
  <w:footnote w:id="2">
    <w:p w14:paraId="7B197BEA" w14:textId="77777777" w:rsidR="008F6E9F" w:rsidRPr="004719B3" w:rsidRDefault="008F6E9F" w:rsidP="008F6E9F">
      <w:pPr>
        <w:pStyle w:val="FootnoteText"/>
        <w:rPr>
          <w:sz w:val="20"/>
          <w:szCs w:val="20"/>
        </w:rPr>
      </w:pPr>
      <w:r w:rsidRPr="004719B3">
        <w:rPr>
          <w:rStyle w:val="FootnoteReference"/>
          <w:sz w:val="20"/>
          <w:szCs w:val="20"/>
        </w:rPr>
        <w:footnoteRef/>
      </w:r>
      <w:r w:rsidRPr="004719B3">
        <w:rPr>
          <w:sz w:val="20"/>
          <w:szCs w:val="20"/>
        </w:rPr>
        <w:t xml:space="preserve"> United Nations, “Second Optional Protocol to the International Covenant on Civil and Political Rights, aiming at the abolition of the death penalty,” accessed June 8, 2022, https://treaties.un.org/Pages/ViewDetails.aspx?src=IND&amp;mtdsg_no=IV-12&amp;chapter=4&amp;clang=_en#:~:text=Under%20Article%202%2C%20paragraph%201%20of%20the%20Second%20Optional%20Protocol,time%20of%20ratification%20or%20accession.</w:t>
      </w:r>
    </w:p>
  </w:footnote>
  <w:footnote w:id="3">
    <w:p w14:paraId="65A2E3BD" w14:textId="4A67A44E" w:rsidR="000107FA" w:rsidRPr="004719B3" w:rsidRDefault="000107FA">
      <w:pPr>
        <w:pStyle w:val="FootnoteText"/>
        <w:rPr>
          <w:sz w:val="20"/>
          <w:szCs w:val="20"/>
        </w:rPr>
      </w:pPr>
      <w:r w:rsidRPr="004719B3">
        <w:rPr>
          <w:rStyle w:val="FootnoteReference"/>
          <w:sz w:val="20"/>
          <w:szCs w:val="20"/>
        </w:rPr>
        <w:footnoteRef/>
      </w:r>
      <w:r w:rsidRPr="004719B3">
        <w:rPr>
          <w:sz w:val="20"/>
          <w:szCs w:val="20"/>
        </w:rPr>
        <w:t xml:space="preserve"> Human Rights Committee, </w:t>
      </w:r>
      <w:r w:rsidR="00B579B9" w:rsidRPr="004719B3">
        <w:rPr>
          <w:rFonts w:eastAsiaTheme="minorEastAsia"/>
          <w:sz w:val="20"/>
          <w:szCs w:val="20"/>
          <w:lang w:eastAsia="zh-CN"/>
        </w:rPr>
        <w:t>List of issues in relation to the initial report of the State of Palestine</w:t>
      </w:r>
      <w:r w:rsidR="00714539" w:rsidRPr="004719B3">
        <w:rPr>
          <w:rFonts w:eastAsiaTheme="minorEastAsia"/>
          <w:sz w:val="20"/>
          <w:szCs w:val="20"/>
          <w:lang w:eastAsia="zh-CN"/>
        </w:rPr>
        <w:t>, (</w:t>
      </w:r>
      <w:r w:rsidR="00AD5827" w:rsidRPr="004719B3">
        <w:rPr>
          <w:rFonts w:eastAsiaTheme="minorEastAsia"/>
          <w:sz w:val="20"/>
          <w:szCs w:val="20"/>
          <w:lang w:eastAsia="zh-CN"/>
        </w:rPr>
        <w:t xml:space="preserve">September 19, 2022), U.N. Doc. </w:t>
      </w:r>
      <w:r w:rsidR="00883B44" w:rsidRPr="004719B3">
        <w:rPr>
          <w:rFonts w:eastAsiaTheme="minorEastAsia"/>
          <w:sz w:val="20"/>
          <w:szCs w:val="20"/>
          <w:lang w:eastAsia="zh-CN"/>
        </w:rPr>
        <w:t xml:space="preserve">CCPR/C/PSE/Q/1, </w:t>
      </w:r>
      <w:r w:rsidR="00883B44" w:rsidRPr="004719B3">
        <w:rPr>
          <w:sz w:val="20"/>
          <w:szCs w:val="20"/>
        </w:rPr>
        <w:t>¶</w:t>
      </w:r>
      <w:r w:rsidR="00E7295B" w:rsidRPr="004719B3">
        <w:rPr>
          <w:sz w:val="20"/>
          <w:szCs w:val="20"/>
        </w:rPr>
        <w:t> </w:t>
      </w:r>
      <w:r w:rsidR="005B3196" w:rsidRPr="004719B3">
        <w:rPr>
          <w:sz w:val="20"/>
          <w:szCs w:val="20"/>
        </w:rPr>
        <w:t xml:space="preserve">7. </w:t>
      </w:r>
    </w:p>
  </w:footnote>
  <w:footnote w:id="4">
    <w:p w14:paraId="312712F3" w14:textId="63491FA7" w:rsidR="0004654E" w:rsidRPr="004719B3" w:rsidRDefault="0004654E">
      <w:pPr>
        <w:pStyle w:val="FootnoteText"/>
        <w:rPr>
          <w:sz w:val="20"/>
          <w:szCs w:val="20"/>
        </w:rPr>
      </w:pPr>
      <w:r w:rsidRPr="004719B3">
        <w:rPr>
          <w:rStyle w:val="FootnoteReference"/>
          <w:sz w:val="20"/>
          <w:szCs w:val="20"/>
        </w:rPr>
        <w:footnoteRef/>
      </w:r>
      <w:r w:rsidRPr="004719B3">
        <w:rPr>
          <w:sz w:val="20"/>
          <w:szCs w:val="20"/>
        </w:rPr>
        <w:t xml:space="preserve"> Human Rights Committee, </w:t>
      </w:r>
      <w:r w:rsidR="009C324E" w:rsidRPr="004719B3">
        <w:rPr>
          <w:sz w:val="20"/>
          <w:szCs w:val="20"/>
        </w:rPr>
        <w:t xml:space="preserve">Initial report submitted by the State of Palestine under article 40 of the Covenant, due in 2015, </w:t>
      </w:r>
      <w:r w:rsidR="00C16854" w:rsidRPr="004719B3">
        <w:rPr>
          <w:sz w:val="20"/>
          <w:szCs w:val="20"/>
        </w:rPr>
        <w:t>(</w:t>
      </w:r>
      <w:r w:rsidR="00D94A95" w:rsidRPr="004719B3">
        <w:rPr>
          <w:sz w:val="20"/>
          <w:szCs w:val="20"/>
        </w:rPr>
        <w:t xml:space="preserve">August 26, 2021), U.N. Doc. </w:t>
      </w:r>
      <w:r w:rsidR="00127E59" w:rsidRPr="004719B3">
        <w:rPr>
          <w:sz w:val="20"/>
          <w:szCs w:val="20"/>
        </w:rPr>
        <w:t>CCPR/C/PSE/1</w:t>
      </w:r>
      <w:r w:rsidR="00E973DD" w:rsidRPr="004719B3">
        <w:rPr>
          <w:sz w:val="20"/>
          <w:szCs w:val="20"/>
        </w:rPr>
        <w:t>, ¶</w:t>
      </w:r>
      <w:r w:rsidR="00E7295B" w:rsidRPr="004719B3">
        <w:rPr>
          <w:sz w:val="20"/>
          <w:szCs w:val="20"/>
        </w:rPr>
        <w:t> </w:t>
      </w:r>
      <w:r w:rsidR="004674F6" w:rsidRPr="004719B3">
        <w:rPr>
          <w:sz w:val="20"/>
          <w:szCs w:val="20"/>
        </w:rPr>
        <w:t xml:space="preserve">124. </w:t>
      </w:r>
    </w:p>
  </w:footnote>
  <w:footnote w:id="5">
    <w:p w14:paraId="1A391F34" w14:textId="77777777" w:rsidR="008F6E9F" w:rsidRPr="004719B3" w:rsidRDefault="008F6E9F" w:rsidP="008F6E9F">
      <w:pPr>
        <w:pStyle w:val="FootnoteText"/>
        <w:rPr>
          <w:sz w:val="20"/>
          <w:szCs w:val="20"/>
        </w:rPr>
      </w:pPr>
      <w:r w:rsidRPr="004719B3">
        <w:rPr>
          <w:rStyle w:val="FootnoteReference"/>
          <w:sz w:val="20"/>
          <w:szCs w:val="20"/>
        </w:rPr>
        <w:footnoteRef/>
      </w:r>
      <w:r w:rsidRPr="004719B3">
        <w:rPr>
          <w:sz w:val="20"/>
          <w:szCs w:val="20"/>
        </w:rPr>
        <w:t xml:space="preserve"> The Human Rights and Democracy Media Centre/SHAMS, </w:t>
      </w:r>
      <w:r w:rsidRPr="004719B3">
        <w:rPr>
          <w:i/>
          <w:sz w:val="20"/>
          <w:szCs w:val="20"/>
        </w:rPr>
        <w:t>Information about the Death Penalty in the Palestinian Territories</w:t>
      </w:r>
      <w:r w:rsidRPr="004719B3">
        <w:rPr>
          <w:sz w:val="20"/>
          <w:szCs w:val="20"/>
        </w:rPr>
        <w:t xml:space="preserve"> (2022), 1-2 (hereinafter “SHAMS Information Document”), source on file with the author.</w:t>
      </w:r>
    </w:p>
  </w:footnote>
  <w:footnote w:id="6">
    <w:p w14:paraId="1C6EDA05" w14:textId="29190580" w:rsidR="008F6E9F" w:rsidRPr="004719B3" w:rsidRDefault="008F6E9F" w:rsidP="008F6E9F">
      <w:pPr>
        <w:pStyle w:val="FootnoteText"/>
        <w:rPr>
          <w:sz w:val="20"/>
          <w:szCs w:val="20"/>
        </w:rPr>
      </w:pPr>
      <w:r w:rsidRPr="004719B3">
        <w:rPr>
          <w:rStyle w:val="FootnoteReference"/>
          <w:sz w:val="20"/>
          <w:szCs w:val="20"/>
        </w:rPr>
        <w:footnoteRef/>
      </w:r>
      <w:r w:rsidRPr="004719B3">
        <w:rPr>
          <w:sz w:val="20"/>
          <w:szCs w:val="20"/>
        </w:rPr>
        <w:t xml:space="preserve"> </w:t>
      </w:r>
      <w:r w:rsidR="002B35C4" w:rsidRPr="004719B3">
        <w:rPr>
          <w:sz w:val="20"/>
          <w:szCs w:val="20"/>
        </w:rPr>
        <w:t xml:space="preserve">The Human Rights and Democracy Media Centre/SHAMS, </w:t>
      </w:r>
      <w:r w:rsidR="002B35C4" w:rsidRPr="004719B3">
        <w:rPr>
          <w:i/>
          <w:sz w:val="20"/>
          <w:szCs w:val="20"/>
        </w:rPr>
        <w:t>Information about the Death Penalty in the Palestinian Territories</w:t>
      </w:r>
      <w:r w:rsidR="002B35C4" w:rsidRPr="004719B3">
        <w:rPr>
          <w:sz w:val="20"/>
          <w:szCs w:val="20"/>
        </w:rPr>
        <w:t xml:space="preserve"> (2022), 2 (hereinafter “SHAMS Information Document”), source on file with the author. </w:t>
      </w:r>
    </w:p>
  </w:footnote>
  <w:footnote w:id="7">
    <w:p w14:paraId="225A74C9" w14:textId="297368E8" w:rsidR="00DF75F9" w:rsidRPr="004719B3" w:rsidRDefault="00DF75F9">
      <w:pPr>
        <w:pStyle w:val="FootnoteText"/>
        <w:rPr>
          <w:sz w:val="20"/>
          <w:szCs w:val="20"/>
        </w:rPr>
      </w:pPr>
      <w:r w:rsidRPr="004719B3">
        <w:rPr>
          <w:rStyle w:val="FootnoteReference"/>
          <w:sz w:val="20"/>
          <w:szCs w:val="20"/>
        </w:rPr>
        <w:footnoteRef/>
      </w:r>
      <w:r w:rsidRPr="004719B3">
        <w:rPr>
          <w:sz w:val="20"/>
          <w:szCs w:val="20"/>
        </w:rPr>
        <w:t xml:space="preserve"> Personal Communication with Human Rights and Democracy Media Centre/SHAMS</w:t>
      </w:r>
      <w:r w:rsidR="00262D9F" w:rsidRPr="004719B3">
        <w:rPr>
          <w:sz w:val="20"/>
          <w:szCs w:val="20"/>
        </w:rPr>
        <w:t>,</w:t>
      </w:r>
      <w:r w:rsidRPr="004719B3">
        <w:rPr>
          <w:sz w:val="20"/>
          <w:szCs w:val="20"/>
        </w:rPr>
        <w:t xml:space="preserve"> </w:t>
      </w:r>
      <w:r w:rsidR="00262D9F" w:rsidRPr="004719B3">
        <w:rPr>
          <w:sz w:val="20"/>
          <w:szCs w:val="20"/>
        </w:rPr>
        <w:t xml:space="preserve">(25 </w:t>
      </w:r>
      <w:proofErr w:type="gramStart"/>
      <w:r w:rsidR="00262D9F" w:rsidRPr="004719B3">
        <w:rPr>
          <w:sz w:val="20"/>
          <w:szCs w:val="20"/>
        </w:rPr>
        <w:t>May,</w:t>
      </w:r>
      <w:proofErr w:type="gramEnd"/>
      <w:r w:rsidR="00262D9F" w:rsidRPr="004719B3">
        <w:rPr>
          <w:sz w:val="20"/>
          <w:szCs w:val="20"/>
        </w:rPr>
        <w:t xml:space="preserve"> 2023).</w:t>
      </w:r>
    </w:p>
  </w:footnote>
  <w:footnote w:id="8">
    <w:p w14:paraId="13A9CD17" w14:textId="7E5C8892" w:rsidR="003A7923" w:rsidRPr="004719B3" w:rsidRDefault="003A7923">
      <w:pPr>
        <w:pStyle w:val="FootnoteText"/>
        <w:rPr>
          <w:sz w:val="20"/>
          <w:szCs w:val="20"/>
        </w:rPr>
      </w:pPr>
      <w:r w:rsidRPr="004719B3">
        <w:rPr>
          <w:rStyle w:val="FootnoteReference"/>
          <w:sz w:val="20"/>
          <w:szCs w:val="20"/>
        </w:rPr>
        <w:footnoteRef/>
      </w:r>
      <w:r w:rsidRPr="004719B3">
        <w:rPr>
          <w:sz w:val="20"/>
          <w:szCs w:val="20"/>
        </w:rPr>
        <w:t xml:space="preserve"> </w:t>
      </w:r>
      <w:r w:rsidR="00DD2361" w:rsidRPr="004719B3">
        <w:rPr>
          <w:color w:val="000000" w:themeColor="text1"/>
          <w:sz w:val="20"/>
          <w:szCs w:val="20"/>
        </w:rPr>
        <w:t xml:space="preserve">Human Rights and Democracy Media Center- SHAMS: </w:t>
      </w:r>
      <w:r w:rsidR="00DD2361" w:rsidRPr="004719B3">
        <w:rPr>
          <w:i/>
          <w:iCs/>
          <w:color w:val="000000" w:themeColor="text1"/>
          <w:sz w:val="20"/>
          <w:szCs w:val="20"/>
        </w:rPr>
        <w:t>Issuing three death sentences by the Military Judicial Authority is a Clear Violation of the Palestinian Basic Law</w:t>
      </w:r>
      <w:r w:rsidR="00DD2361" w:rsidRPr="004719B3">
        <w:rPr>
          <w:color w:val="000000" w:themeColor="text1"/>
          <w:sz w:val="20"/>
          <w:szCs w:val="20"/>
        </w:rPr>
        <w:t xml:space="preserve">, Press Release, (March 12, 2023) </w:t>
      </w:r>
      <w:hyperlink r:id="rId1" w:history="1">
        <w:r w:rsidR="00DD2361" w:rsidRPr="004719B3">
          <w:rPr>
            <w:rStyle w:val="Hyperlink"/>
            <w:color w:val="000000" w:themeColor="text1"/>
            <w:sz w:val="20"/>
            <w:szCs w:val="20"/>
            <w:u w:val="none"/>
          </w:rPr>
          <w:t>10/8/2017 (shams-pal.org)</w:t>
        </w:r>
      </w:hyperlink>
      <w:r w:rsidR="00DD2361" w:rsidRPr="004719B3">
        <w:rPr>
          <w:color w:val="000000" w:themeColor="text1"/>
          <w:sz w:val="20"/>
          <w:szCs w:val="20"/>
        </w:rPr>
        <w:t>.</w:t>
      </w:r>
    </w:p>
  </w:footnote>
  <w:footnote w:id="9">
    <w:p w14:paraId="55486E28" w14:textId="1FBCB6DE" w:rsidR="00810D8D" w:rsidRPr="004719B3" w:rsidRDefault="00810D8D">
      <w:pPr>
        <w:pStyle w:val="FootnoteText"/>
        <w:rPr>
          <w:sz w:val="20"/>
          <w:szCs w:val="20"/>
        </w:rPr>
      </w:pPr>
      <w:r w:rsidRPr="004719B3">
        <w:rPr>
          <w:rStyle w:val="FootnoteReference"/>
          <w:sz w:val="20"/>
          <w:szCs w:val="20"/>
        </w:rPr>
        <w:footnoteRef/>
      </w:r>
      <w:r w:rsidRPr="004719B3">
        <w:rPr>
          <w:sz w:val="20"/>
          <w:szCs w:val="20"/>
        </w:rPr>
        <w:t xml:space="preserve"> Amnesty International, </w:t>
      </w:r>
      <w:r w:rsidRPr="004719B3">
        <w:rPr>
          <w:i/>
          <w:iCs/>
          <w:sz w:val="20"/>
          <w:szCs w:val="20"/>
        </w:rPr>
        <w:t xml:space="preserve">Death sentences and executions 2022 </w:t>
      </w:r>
      <w:r w:rsidRPr="004719B3">
        <w:rPr>
          <w:sz w:val="20"/>
          <w:szCs w:val="20"/>
        </w:rPr>
        <w:t xml:space="preserve">(2023) at </w:t>
      </w:r>
      <w:r w:rsidR="00923679" w:rsidRPr="004719B3">
        <w:rPr>
          <w:sz w:val="20"/>
          <w:szCs w:val="20"/>
        </w:rPr>
        <w:t>28</w:t>
      </w:r>
      <w:r w:rsidRPr="004719B3">
        <w:rPr>
          <w:sz w:val="20"/>
          <w:szCs w:val="20"/>
        </w:rPr>
        <w:t>, available at https://www.amnesty.org/en/documents/act50/6548/2023/en/.</w:t>
      </w:r>
    </w:p>
  </w:footnote>
  <w:footnote w:id="10">
    <w:p w14:paraId="1E56CB78" w14:textId="77777777" w:rsidR="009C1A53" w:rsidRPr="004719B3" w:rsidRDefault="009C1A53" w:rsidP="009C1A53">
      <w:pPr>
        <w:pStyle w:val="FootnoteText"/>
        <w:rPr>
          <w:sz w:val="20"/>
          <w:szCs w:val="20"/>
        </w:rPr>
      </w:pPr>
      <w:r w:rsidRPr="004719B3">
        <w:rPr>
          <w:rStyle w:val="FootnoteReference"/>
          <w:sz w:val="20"/>
          <w:szCs w:val="20"/>
        </w:rPr>
        <w:footnoteRef/>
      </w:r>
      <w:r w:rsidRPr="004719B3">
        <w:rPr>
          <w:sz w:val="20"/>
          <w:szCs w:val="20"/>
        </w:rPr>
        <w:t xml:space="preserve"> Human Rights Committee, Initial report submitted by the State of Palestine under article 40 of the Covenant, due in 2015, (August 26, 2021), U.N. Doc. CCPR/C/PSE/1, ¶128. </w:t>
      </w:r>
    </w:p>
  </w:footnote>
  <w:footnote w:id="11">
    <w:p w14:paraId="61AE921E" w14:textId="39F2E416" w:rsidR="009C1A53" w:rsidRPr="004719B3" w:rsidRDefault="009C1A53" w:rsidP="005C7E3F">
      <w:pPr>
        <w:spacing w:after="120"/>
        <w:jc w:val="both"/>
        <w:rPr>
          <w:rFonts w:eastAsiaTheme="minorHAnsi"/>
          <w:kern w:val="0"/>
          <w:sz w:val="20"/>
          <w:szCs w:val="20"/>
          <w:shd w:val="clear" w:color="auto" w:fill="FFFFFF"/>
        </w:rPr>
      </w:pPr>
      <w:r w:rsidRPr="004719B3">
        <w:rPr>
          <w:rStyle w:val="FootnoteReference"/>
          <w:sz w:val="20"/>
          <w:szCs w:val="20"/>
        </w:rPr>
        <w:footnoteRef/>
      </w:r>
      <w:r w:rsidRPr="004719B3">
        <w:rPr>
          <w:sz w:val="20"/>
          <w:szCs w:val="20"/>
        </w:rPr>
        <w:t xml:space="preserve"> Human Rights Committee, Initial report submitted by the State of Palestine under article 40 of the Covenant, due in 2015, (August 26, 2021), U.N. Doc. CCPR/C/PSE/1, ¶127. </w:t>
      </w:r>
    </w:p>
  </w:footnote>
  <w:footnote w:id="12">
    <w:p w14:paraId="362D6A13" w14:textId="1ADB2CBC" w:rsidR="00C771B5" w:rsidRPr="004719B3" w:rsidRDefault="00C771B5" w:rsidP="00C771B5">
      <w:pPr>
        <w:pStyle w:val="FootnoteText"/>
        <w:rPr>
          <w:sz w:val="20"/>
          <w:szCs w:val="20"/>
        </w:rPr>
      </w:pPr>
      <w:r w:rsidRPr="004719B3">
        <w:rPr>
          <w:rStyle w:val="FootnoteReference"/>
          <w:sz w:val="20"/>
          <w:szCs w:val="20"/>
        </w:rPr>
        <w:footnoteRef/>
      </w:r>
      <w:r w:rsidRPr="004719B3">
        <w:rPr>
          <w:sz w:val="20"/>
          <w:szCs w:val="20"/>
        </w:rPr>
        <w:t xml:space="preserve"> </w:t>
      </w:r>
      <w:r w:rsidR="0057066C" w:rsidRPr="004719B3">
        <w:rPr>
          <w:rStyle w:val="normaltextrun"/>
          <w:color w:val="000000"/>
          <w:sz w:val="20"/>
          <w:szCs w:val="20"/>
          <w:shd w:val="clear" w:color="auto" w:fill="FFFFFF"/>
        </w:rPr>
        <w:t>Palestinian Centre for Human Rights, </w:t>
      </w:r>
      <w:r w:rsidR="0057066C" w:rsidRPr="004719B3">
        <w:rPr>
          <w:rStyle w:val="normaltextrun"/>
          <w:i/>
          <w:iCs/>
          <w:color w:val="000000"/>
          <w:sz w:val="20"/>
          <w:szCs w:val="20"/>
          <w:shd w:val="clear" w:color="auto" w:fill="FFFFFF"/>
        </w:rPr>
        <w:t>Annual Report 2021:</w:t>
      </w:r>
      <w:r w:rsidR="0057066C" w:rsidRPr="004719B3">
        <w:rPr>
          <w:rStyle w:val="normaltextrun"/>
          <w:color w:val="000000"/>
          <w:sz w:val="20"/>
          <w:szCs w:val="20"/>
          <w:shd w:val="clear" w:color="auto" w:fill="FFFFFF"/>
        </w:rPr>
        <w:t> </w:t>
      </w:r>
      <w:r w:rsidR="0057066C" w:rsidRPr="004719B3">
        <w:rPr>
          <w:rStyle w:val="normaltextrun"/>
          <w:i/>
          <w:iCs/>
          <w:color w:val="000000"/>
          <w:sz w:val="20"/>
          <w:szCs w:val="20"/>
          <w:shd w:val="clear" w:color="auto" w:fill="FFFFFF"/>
        </w:rPr>
        <w:t>Human Rights in the occupied Palestinian Territory (oPt) </w:t>
      </w:r>
      <w:r w:rsidR="0057066C" w:rsidRPr="004719B3">
        <w:rPr>
          <w:rStyle w:val="normaltextrun"/>
          <w:color w:val="000000"/>
          <w:sz w:val="20"/>
          <w:szCs w:val="20"/>
          <w:shd w:val="clear" w:color="auto" w:fill="FFFFFF"/>
        </w:rPr>
        <w:t>(Gaza City: 2022) (hereinafter “PCHR Annual Report 2021”), 27,101-08. Also available online at https://pchrgaza.org/en/annual-report-2021/.</w:t>
      </w:r>
    </w:p>
  </w:footnote>
  <w:footnote w:id="13">
    <w:p w14:paraId="5E477086" w14:textId="5417B0D6" w:rsidR="00914E75" w:rsidRPr="004719B3" w:rsidRDefault="00914E75">
      <w:pPr>
        <w:pStyle w:val="FootnoteText"/>
        <w:rPr>
          <w:sz w:val="20"/>
          <w:szCs w:val="20"/>
        </w:rPr>
      </w:pPr>
      <w:r w:rsidRPr="004719B3">
        <w:rPr>
          <w:rStyle w:val="FootnoteReference"/>
          <w:sz w:val="20"/>
          <w:szCs w:val="20"/>
        </w:rPr>
        <w:footnoteRef/>
      </w:r>
      <w:r w:rsidRPr="004719B3">
        <w:rPr>
          <w:sz w:val="20"/>
          <w:szCs w:val="20"/>
        </w:rPr>
        <w:t xml:space="preserve"> Human Rights and Democracy Center/SHAMS </w:t>
      </w:r>
      <w:r w:rsidRPr="004719B3">
        <w:rPr>
          <w:i/>
          <w:iCs/>
          <w:sz w:val="20"/>
          <w:szCs w:val="20"/>
        </w:rPr>
        <w:t xml:space="preserve">Information about the Death Penalty in the Palestinian Territories. </w:t>
      </w:r>
      <w:r w:rsidRPr="004719B3">
        <w:rPr>
          <w:sz w:val="20"/>
          <w:szCs w:val="20"/>
        </w:rPr>
        <w:t>2023.</w:t>
      </w:r>
    </w:p>
  </w:footnote>
  <w:footnote w:id="14">
    <w:p w14:paraId="58389326" w14:textId="77777777" w:rsidR="00AA516E" w:rsidRPr="004719B3" w:rsidRDefault="00AA516E" w:rsidP="00AA516E">
      <w:pPr>
        <w:pStyle w:val="FootnoteText"/>
        <w:rPr>
          <w:sz w:val="20"/>
          <w:szCs w:val="20"/>
        </w:rPr>
      </w:pPr>
      <w:r w:rsidRPr="004719B3">
        <w:rPr>
          <w:rStyle w:val="FootnoteReference"/>
          <w:sz w:val="20"/>
          <w:szCs w:val="20"/>
        </w:rPr>
        <w:footnoteRef/>
      </w:r>
      <w:r w:rsidRPr="004719B3">
        <w:rPr>
          <w:sz w:val="20"/>
          <w:szCs w:val="20"/>
        </w:rPr>
        <w:t xml:space="preserve"> </w:t>
      </w:r>
      <w:r w:rsidRPr="004719B3">
        <w:rPr>
          <w:bCs/>
          <w:sz w:val="20"/>
          <w:szCs w:val="20"/>
        </w:rPr>
        <w:t xml:space="preserve">Palestinian Centre for Human Rights, </w:t>
      </w:r>
      <w:r w:rsidRPr="004719B3">
        <w:rPr>
          <w:bCs/>
          <w:i/>
          <w:iCs/>
          <w:sz w:val="20"/>
          <w:szCs w:val="20"/>
        </w:rPr>
        <w:t>Annual Report 2021:</w:t>
      </w:r>
      <w:r w:rsidRPr="004719B3">
        <w:rPr>
          <w:bCs/>
          <w:sz w:val="20"/>
          <w:szCs w:val="20"/>
        </w:rPr>
        <w:t xml:space="preserve"> </w:t>
      </w:r>
      <w:r w:rsidRPr="004719B3">
        <w:rPr>
          <w:bCs/>
          <w:i/>
          <w:sz w:val="20"/>
          <w:szCs w:val="20"/>
        </w:rPr>
        <w:t xml:space="preserve">Human Rights in the occupied Palestinian Territory (oPt) </w:t>
      </w:r>
      <w:r w:rsidRPr="004719B3">
        <w:rPr>
          <w:bCs/>
          <w:iCs/>
          <w:sz w:val="20"/>
          <w:szCs w:val="20"/>
        </w:rPr>
        <w:t>(Gaza City: 2022)</w:t>
      </w:r>
      <w:r w:rsidRPr="004719B3">
        <w:rPr>
          <w:bCs/>
          <w:sz w:val="20"/>
          <w:szCs w:val="20"/>
        </w:rPr>
        <w:t xml:space="preserve"> (hereinafter “PCHR Annual Report 2021”), 27,103-08. Also available online at https://pchrgaza.org/en/annual-report-2021/.</w:t>
      </w:r>
    </w:p>
  </w:footnote>
  <w:footnote w:id="15">
    <w:p w14:paraId="70F58525" w14:textId="6DDD5D19" w:rsidR="008F6E9F" w:rsidRPr="004719B3" w:rsidRDefault="008F6E9F" w:rsidP="008F6E9F">
      <w:pPr>
        <w:jc w:val="both"/>
        <w:rPr>
          <w:sz w:val="20"/>
          <w:szCs w:val="20"/>
        </w:rPr>
      </w:pPr>
      <w:r w:rsidRPr="004719B3">
        <w:rPr>
          <w:rStyle w:val="FootnoteReference"/>
          <w:sz w:val="20"/>
          <w:szCs w:val="20"/>
        </w:rPr>
        <w:footnoteRef/>
      </w:r>
      <w:r w:rsidRPr="004719B3">
        <w:rPr>
          <w:sz w:val="20"/>
          <w:szCs w:val="20"/>
        </w:rPr>
        <w:t xml:space="preserve"> </w:t>
      </w:r>
      <w:r w:rsidR="002C4A92" w:rsidRPr="004719B3">
        <w:rPr>
          <w:rStyle w:val="normaltextrun"/>
          <w:color w:val="000000"/>
          <w:sz w:val="20"/>
          <w:szCs w:val="20"/>
          <w:shd w:val="clear" w:color="auto" w:fill="FFFFFF"/>
        </w:rPr>
        <w:t>Palestinian Centre for Human Rights, </w:t>
      </w:r>
      <w:r w:rsidR="002C4A92" w:rsidRPr="004719B3">
        <w:rPr>
          <w:rStyle w:val="normaltextrun"/>
          <w:i/>
          <w:iCs/>
          <w:color w:val="000000"/>
          <w:sz w:val="20"/>
          <w:szCs w:val="20"/>
          <w:shd w:val="clear" w:color="auto" w:fill="FFFFFF"/>
        </w:rPr>
        <w:t>Annual Report 2021:</w:t>
      </w:r>
      <w:r w:rsidR="002C4A92" w:rsidRPr="004719B3">
        <w:rPr>
          <w:rStyle w:val="normaltextrun"/>
          <w:color w:val="000000"/>
          <w:sz w:val="20"/>
          <w:szCs w:val="20"/>
          <w:shd w:val="clear" w:color="auto" w:fill="FFFFFF"/>
        </w:rPr>
        <w:t> </w:t>
      </w:r>
      <w:r w:rsidR="002C4A92" w:rsidRPr="004719B3">
        <w:rPr>
          <w:rStyle w:val="normaltextrun"/>
          <w:i/>
          <w:iCs/>
          <w:color w:val="000000"/>
          <w:sz w:val="20"/>
          <w:szCs w:val="20"/>
          <w:shd w:val="clear" w:color="auto" w:fill="FFFFFF"/>
        </w:rPr>
        <w:t>Human Rights in the occupied Palestinian Territory (oPt) </w:t>
      </w:r>
      <w:r w:rsidR="002C4A92" w:rsidRPr="004719B3">
        <w:rPr>
          <w:rStyle w:val="normaltextrun"/>
          <w:color w:val="000000"/>
          <w:sz w:val="20"/>
          <w:szCs w:val="20"/>
          <w:shd w:val="clear" w:color="auto" w:fill="FFFFFF"/>
        </w:rPr>
        <w:t>(Gaza City: 2022) (hereinafter “PCHR Annual Report 2021”), 27, 119-21. Also available online at https://pchrgaza.org/en/annual-report-2021/.</w:t>
      </w:r>
    </w:p>
  </w:footnote>
  <w:footnote w:id="16">
    <w:p w14:paraId="1601C6D8" w14:textId="77777777" w:rsidR="008F6E9F" w:rsidRPr="004719B3" w:rsidRDefault="008F6E9F" w:rsidP="008F6E9F">
      <w:pPr>
        <w:rPr>
          <w:color w:val="000000" w:themeColor="text1"/>
          <w:sz w:val="20"/>
          <w:szCs w:val="20"/>
        </w:rPr>
      </w:pPr>
      <w:r w:rsidRPr="004719B3">
        <w:rPr>
          <w:rStyle w:val="FootnoteReference"/>
          <w:sz w:val="20"/>
          <w:szCs w:val="20"/>
        </w:rPr>
        <w:footnoteRef/>
      </w:r>
      <w:r w:rsidRPr="004719B3">
        <w:rPr>
          <w:sz w:val="20"/>
          <w:szCs w:val="20"/>
        </w:rPr>
        <w:t xml:space="preserve"> Press Release, The Human Rights and Democracy Media Centre/SHAMS, </w:t>
      </w:r>
      <w:r w:rsidRPr="004719B3">
        <w:rPr>
          <w:bCs/>
          <w:iCs/>
          <w:sz w:val="20"/>
          <w:szCs w:val="20"/>
        </w:rPr>
        <w:t xml:space="preserve">About the Issuance of a Death Sentence by the Gaza Court of First Instance to a Citizen by Hanging “There is no justice in Capital Punishment” </w:t>
      </w:r>
      <w:r w:rsidRPr="004719B3">
        <w:rPr>
          <w:bCs/>
          <w:sz w:val="20"/>
          <w:szCs w:val="20"/>
        </w:rPr>
        <w:t xml:space="preserve">(Sep. 12, 2021); Press Release, </w:t>
      </w:r>
      <w:r w:rsidRPr="004719B3">
        <w:rPr>
          <w:sz w:val="20"/>
          <w:szCs w:val="20"/>
        </w:rPr>
        <w:t xml:space="preserve">The Human Rights and Democracy Media Centre/SHAMS, </w:t>
      </w:r>
      <w:r w:rsidRPr="004719B3">
        <w:rPr>
          <w:bCs/>
          <w:iCs/>
          <w:sz w:val="20"/>
          <w:szCs w:val="20"/>
          <w:lang w:bidi="ar-EG"/>
        </w:rPr>
        <w:t>Issuing a death sentence after only one week of starting trials confirms the absence of fair-trial guarantees, and the transformation of Gaza’s Judiciary system into vengeance tool controlled by the public opinion and its vengeful desires</w:t>
      </w:r>
      <w:r w:rsidRPr="004719B3">
        <w:rPr>
          <w:bCs/>
          <w:sz w:val="20"/>
          <w:szCs w:val="20"/>
          <w:lang w:bidi="ar-EG"/>
        </w:rPr>
        <w:t xml:space="preserve"> (Dec. 2, 2021); Press Release, </w:t>
      </w:r>
      <w:r w:rsidRPr="004719B3">
        <w:rPr>
          <w:sz w:val="20"/>
          <w:szCs w:val="20"/>
        </w:rPr>
        <w:t xml:space="preserve">The Human Rights and Democracy Media Centre/SHAMS, </w:t>
      </w:r>
      <w:r w:rsidRPr="004719B3">
        <w:rPr>
          <w:bCs/>
          <w:iCs/>
          <w:sz w:val="20"/>
          <w:szCs w:val="20"/>
          <w:lang w:bidi="ar-EG"/>
        </w:rPr>
        <w:t>The Judicial Sector in Gaza Welcomes Ramadan Month with a Death Sentence against a Citizen</w:t>
      </w:r>
      <w:r w:rsidRPr="004719B3">
        <w:rPr>
          <w:bCs/>
          <w:sz w:val="20"/>
          <w:szCs w:val="20"/>
          <w:lang w:bidi="ar-EG"/>
        </w:rPr>
        <w:t xml:space="preserve"> (Apr. 4, 2022); Press Release, </w:t>
      </w:r>
      <w:r w:rsidRPr="004719B3">
        <w:rPr>
          <w:sz w:val="20"/>
          <w:szCs w:val="20"/>
        </w:rPr>
        <w:t xml:space="preserve">The Human Rights and </w:t>
      </w:r>
      <w:r w:rsidRPr="004719B3">
        <w:rPr>
          <w:color w:val="000000" w:themeColor="text1"/>
          <w:sz w:val="20"/>
          <w:szCs w:val="20"/>
        </w:rPr>
        <w:t xml:space="preserve">Democracy Media Centre/SHAMS, </w:t>
      </w:r>
      <w:r w:rsidRPr="004719B3">
        <w:rPr>
          <w:bCs/>
          <w:iCs/>
          <w:color w:val="000000" w:themeColor="text1"/>
          <w:sz w:val="20"/>
          <w:szCs w:val="20"/>
        </w:rPr>
        <w:t>The Military Court in Gaza Sentenced to Death by hanging against a Palestinian Civilian in Violation of Law</w:t>
      </w:r>
      <w:r w:rsidRPr="004719B3">
        <w:rPr>
          <w:bCs/>
          <w:color w:val="000000" w:themeColor="text1"/>
          <w:sz w:val="20"/>
          <w:szCs w:val="20"/>
        </w:rPr>
        <w:t xml:space="preserve"> (Apr. 11, 2022).</w:t>
      </w:r>
    </w:p>
  </w:footnote>
  <w:footnote w:id="17">
    <w:p w14:paraId="46740FFA" w14:textId="7CE62BE5" w:rsidR="0056024F" w:rsidRPr="004719B3" w:rsidRDefault="0056024F">
      <w:pPr>
        <w:pStyle w:val="FootnoteText"/>
        <w:rPr>
          <w:sz w:val="20"/>
          <w:szCs w:val="20"/>
        </w:rPr>
      </w:pPr>
      <w:r w:rsidRPr="004719B3">
        <w:rPr>
          <w:rStyle w:val="FootnoteReference"/>
          <w:sz w:val="20"/>
          <w:szCs w:val="20"/>
        </w:rPr>
        <w:footnoteRef/>
      </w:r>
      <w:r w:rsidRPr="004719B3">
        <w:rPr>
          <w:sz w:val="20"/>
          <w:szCs w:val="20"/>
        </w:rPr>
        <w:t xml:space="preserve"> </w:t>
      </w:r>
      <w:r w:rsidR="00653D6B" w:rsidRPr="004719B3">
        <w:rPr>
          <w:sz w:val="20"/>
          <w:szCs w:val="20"/>
        </w:rPr>
        <w:t xml:space="preserve">Human Rights and Democracy Center/SHAMS </w:t>
      </w:r>
      <w:r w:rsidR="00F43AB7" w:rsidRPr="004719B3">
        <w:rPr>
          <w:i/>
          <w:iCs/>
          <w:sz w:val="20"/>
          <w:szCs w:val="20"/>
        </w:rPr>
        <w:t>Information about the Death Penalty in the Palestinian Territories</w:t>
      </w:r>
      <w:r w:rsidR="008C081B" w:rsidRPr="004719B3">
        <w:rPr>
          <w:i/>
          <w:iCs/>
          <w:sz w:val="20"/>
          <w:szCs w:val="20"/>
        </w:rPr>
        <w:t>,</w:t>
      </w:r>
      <w:r w:rsidR="00F43AB7" w:rsidRPr="004719B3">
        <w:rPr>
          <w:i/>
          <w:iCs/>
          <w:sz w:val="20"/>
          <w:szCs w:val="20"/>
        </w:rPr>
        <w:t xml:space="preserve"> </w:t>
      </w:r>
      <w:r w:rsidR="00F43AB7" w:rsidRPr="004719B3">
        <w:rPr>
          <w:sz w:val="20"/>
          <w:szCs w:val="20"/>
        </w:rPr>
        <w:t xml:space="preserve">2023. </w:t>
      </w:r>
    </w:p>
  </w:footnote>
  <w:footnote w:id="18">
    <w:p w14:paraId="37BD33B7" w14:textId="2B930A04" w:rsidR="00334399" w:rsidRPr="004719B3" w:rsidRDefault="00334399">
      <w:pPr>
        <w:pStyle w:val="FootnoteText"/>
        <w:rPr>
          <w:sz w:val="20"/>
          <w:szCs w:val="20"/>
        </w:rPr>
      </w:pPr>
      <w:r w:rsidRPr="004719B3">
        <w:rPr>
          <w:rStyle w:val="FootnoteReference"/>
          <w:color w:val="000000" w:themeColor="text1"/>
          <w:sz w:val="20"/>
          <w:szCs w:val="20"/>
        </w:rPr>
        <w:footnoteRef/>
      </w:r>
      <w:r w:rsidRPr="004719B3">
        <w:rPr>
          <w:color w:val="000000" w:themeColor="text1"/>
          <w:sz w:val="20"/>
          <w:szCs w:val="20"/>
        </w:rPr>
        <w:t xml:space="preserve"> Palestinian Center for Human Rights, Death Sentence against a Drug Dealer in Gaza: PCHR Calls Upon the Authorities to End This Inhuman Penalty</w:t>
      </w:r>
      <w:r w:rsidR="00901819" w:rsidRPr="004719B3">
        <w:rPr>
          <w:color w:val="000000" w:themeColor="text1"/>
          <w:sz w:val="20"/>
          <w:szCs w:val="20"/>
        </w:rPr>
        <w:t xml:space="preserve">, Press Release, (March 21, 2023) </w:t>
      </w:r>
      <w:hyperlink r:id="rId2" w:history="1">
        <w:r w:rsidR="00901819" w:rsidRPr="004719B3">
          <w:rPr>
            <w:rStyle w:val="Hyperlink"/>
            <w:color w:val="000000" w:themeColor="text1"/>
            <w:sz w:val="20"/>
            <w:szCs w:val="20"/>
            <w:u w:val="none"/>
          </w:rPr>
          <w:t>https://pchrgaza.org/en/death-sentence-against-a-drug-dealer-in-gaza-pchr-calls-upon-the-authorities-to-end-this-inhuman-penalty/</w:t>
        </w:r>
      </w:hyperlink>
      <w:r w:rsidRPr="004719B3">
        <w:rPr>
          <w:color w:val="000000" w:themeColor="text1"/>
          <w:sz w:val="20"/>
          <w:szCs w:val="20"/>
        </w:rPr>
        <w:t xml:space="preserve">. </w:t>
      </w:r>
    </w:p>
  </w:footnote>
  <w:footnote w:id="19">
    <w:p w14:paraId="69029AF9" w14:textId="476D2AC0" w:rsidR="00983A93" w:rsidRPr="004719B3" w:rsidRDefault="00983A93">
      <w:pPr>
        <w:pStyle w:val="FootnoteText"/>
        <w:rPr>
          <w:sz w:val="20"/>
          <w:szCs w:val="20"/>
        </w:rPr>
      </w:pPr>
      <w:r w:rsidRPr="004719B3">
        <w:rPr>
          <w:rStyle w:val="FootnoteReference"/>
          <w:sz w:val="20"/>
          <w:szCs w:val="20"/>
        </w:rPr>
        <w:footnoteRef/>
      </w:r>
      <w:r w:rsidRPr="004719B3">
        <w:rPr>
          <w:sz w:val="20"/>
          <w:szCs w:val="20"/>
        </w:rPr>
        <w:t xml:space="preserve"> </w:t>
      </w:r>
      <w:r w:rsidR="005E6FB3" w:rsidRPr="004719B3">
        <w:rPr>
          <w:color w:val="000000" w:themeColor="text1"/>
          <w:sz w:val="20"/>
          <w:szCs w:val="20"/>
        </w:rPr>
        <w:t xml:space="preserve">Human Rights and Democracy Media Center- SHAMS: </w:t>
      </w:r>
      <w:r w:rsidR="005E6FB3" w:rsidRPr="004719B3">
        <w:rPr>
          <w:i/>
          <w:iCs/>
          <w:color w:val="000000" w:themeColor="text1"/>
          <w:sz w:val="20"/>
          <w:szCs w:val="20"/>
        </w:rPr>
        <w:t>Issuing three death sentences by the Military Judicial Authority is a Clear Violation of the Palestinian Basic Law</w:t>
      </w:r>
      <w:r w:rsidR="005E6FB3" w:rsidRPr="004719B3">
        <w:rPr>
          <w:color w:val="000000" w:themeColor="text1"/>
          <w:sz w:val="20"/>
          <w:szCs w:val="20"/>
        </w:rPr>
        <w:t xml:space="preserve">, Press Release, </w:t>
      </w:r>
      <w:r w:rsidR="0010577C" w:rsidRPr="004719B3">
        <w:rPr>
          <w:color w:val="000000" w:themeColor="text1"/>
          <w:sz w:val="20"/>
          <w:szCs w:val="20"/>
        </w:rPr>
        <w:t>(</w:t>
      </w:r>
      <w:r w:rsidRPr="004719B3">
        <w:rPr>
          <w:color w:val="000000" w:themeColor="text1"/>
          <w:sz w:val="20"/>
          <w:szCs w:val="20"/>
        </w:rPr>
        <w:t xml:space="preserve">March </w:t>
      </w:r>
      <w:r w:rsidR="0010577C" w:rsidRPr="004719B3">
        <w:rPr>
          <w:color w:val="000000" w:themeColor="text1"/>
          <w:sz w:val="20"/>
          <w:szCs w:val="20"/>
        </w:rPr>
        <w:t xml:space="preserve">12, </w:t>
      </w:r>
      <w:r w:rsidRPr="004719B3">
        <w:rPr>
          <w:color w:val="000000" w:themeColor="text1"/>
          <w:sz w:val="20"/>
          <w:szCs w:val="20"/>
        </w:rPr>
        <w:t>2023</w:t>
      </w:r>
      <w:r w:rsidR="0010577C" w:rsidRPr="004719B3">
        <w:rPr>
          <w:color w:val="000000" w:themeColor="text1"/>
          <w:sz w:val="20"/>
          <w:szCs w:val="20"/>
        </w:rPr>
        <w:t>)</w:t>
      </w:r>
      <w:r w:rsidR="00DD0B51" w:rsidRPr="004719B3">
        <w:rPr>
          <w:color w:val="000000" w:themeColor="text1"/>
          <w:sz w:val="20"/>
          <w:szCs w:val="20"/>
        </w:rPr>
        <w:t xml:space="preserve"> </w:t>
      </w:r>
      <w:r w:rsidR="00DD0B51" w:rsidRPr="004719B3">
        <w:rPr>
          <w:sz w:val="20"/>
          <w:szCs w:val="20"/>
        </w:rPr>
        <w:t>10/8/2017 (shams-pal.org)</w:t>
      </w:r>
      <w:r w:rsidR="00DD0B51" w:rsidRPr="004719B3">
        <w:rPr>
          <w:color w:val="000000" w:themeColor="text1"/>
          <w:sz w:val="20"/>
          <w:szCs w:val="20"/>
        </w:rPr>
        <w:t xml:space="preserve">. </w:t>
      </w:r>
    </w:p>
  </w:footnote>
  <w:footnote w:id="20">
    <w:p w14:paraId="5D35FD3F" w14:textId="77777777" w:rsidR="008F6E9F" w:rsidRPr="004719B3" w:rsidRDefault="008F6E9F" w:rsidP="008F6E9F">
      <w:pPr>
        <w:pStyle w:val="FootnoteText"/>
        <w:rPr>
          <w:sz w:val="20"/>
          <w:szCs w:val="20"/>
        </w:rPr>
      </w:pPr>
      <w:r w:rsidRPr="004719B3">
        <w:rPr>
          <w:rStyle w:val="FootnoteReference"/>
          <w:sz w:val="20"/>
          <w:szCs w:val="20"/>
        </w:rPr>
        <w:footnoteRef/>
      </w:r>
      <w:r w:rsidRPr="004719B3">
        <w:rPr>
          <w:sz w:val="20"/>
          <w:szCs w:val="20"/>
        </w:rPr>
        <w:t xml:space="preserve"> SHAMS Information Document, 1; The Human Rights and Democracy Media Centre/SHAMS, “SHAMS center condemns the issuance of a death sentence by hanging by the military court against a Palestinian citizen,” accessed June 8, 2022, https://www.shams-pal.org/eng/?p=3709.</w:t>
      </w:r>
    </w:p>
  </w:footnote>
  <w:footnote w:id="21">
    <w:p w14:paraId="3A320809" w14:textId="7C8975B6" w:rsidR="0037341E" w:rsidRPr="004719B3" w:rsidRDefault="0037341E">
      <w:pPr>
        <w:pStyle w:val="FootnoteText"/>
        <w:rPr>
          <w:sz w:val="20"/>
          <w:szCs w:val="20"/>
        </w:rPr>
      </w:pPr>
      <w:r w:rsidRPr="004719B3">
        <w:rPr>
          <w:rStyle w:val="FootnoteReference"/>
          <w:sz w:val="20"/>
          <w:szCs w:val="20"/>
        </w:rPr>
        <w:footnoteRef/>
      </w:r>
      <w:r w:rsidRPr="004719B3">
        <w:rPr>
          <w:sz w:val="20"/>
          <w:szCs w:val="20"/>
        </w:rPr>
        <w:t xml:space="preserve"> Human Rights Committee, </w:t>
      </w:r>
      <w:r w:rsidRPr="004719B3">
        <w:rPr>
          <w:rFonts w:eastAsiaTheme="minorEastAsia"/>
          <w:sz w:val="20"/>
          <w:szCs w:val="20"/>
          <w:lang w:eastAsia="zh-CN"/>
        </w:rPr>
        <w:t xml:space="preserve">List of issues in relation to the initial report of the State of Palestine, (September 19, 2022), U.N. Doc. CCPR/C/PSE/Q/1, </w:t>
      </w:r>
      <w:r w:rsidRPr="004719B3">
        <w:rPr>
          <w:sz w:val="20"/>
          <w:szCs w:val="20"/>
        </w:rPr>
        <w:t xml:space="preserve">¶12. </w:t>
      </w:r>
    </w:p>
  </w:footnote>
  <w:footnote w:id="22">
    <w:p w14:paraId="7A2CC4D2" w14:textId="33D9FDCF" w:rsidR="00E302FA" w:rsidRPr="004719B3" w:rsidRDefault="00E302FA">
      <w:pPr>
        <w:pStyle w:val="FootnoteText"/>
        <w:rPr>
          <w:sz w:val="20"/>
          <w:szCs w:val="20"/>
        </w:rPr>
      </w:pPr>
      <w:r w:rsidRPr="004719B3">
        <w:rPr>
          <w:rStyle w:val="FootnoteReference"/>
          <w:sz w:val="20"/>
          <w:szCs w:val="20"/>
        </w:rPr>
        <w:footnoteRef/>
      </w:r>
      <w:r w:rsidRPr="004719B3">
        <w:rPr>
          <w:sz w:val="20"/>
          <w:szCs w:val="20"/>
        </w:rPr>
        <w:t xml:space="preserve"> Human Rights Committee, </w:t>
      </w:r>
      <w:r w:rsidRPr="004719B3">
        <w:rPr>
          <w:rFonts w:eastAsiaTheme="minorEastAsia"/>
          <w:sz w:val="20"/>
          <w:szCs w:val="20"/>
          <w:lang w:eastAsia="zh-CN"/>
        </w:rPr>
        <w:t xml:space="preserve">List of issues in relation to the initial report of the State of Palestine, (September 19, 2022), U.N. Doc. CCPR/C/PSE/Q/1, </w:t>
      </w:r>
      <w:r w:rsidRPr="004719B3">
        <w:rPr>
          <w:sz w:val="20"/>
          <w:szCs w:val="20"/>
        </w:rPr>
        <w:t xml:space="preserve">¶17. </w:t>
      </w:r>
    </w:p>
  </w:footnote>
  <w:footnote w:id="23">
    <w:p w14:paraId="0BF2CAB3" w14:textId="52B3A26E" w:rsidR="00A00DF2" w:rsidRPr="004719B3" w:rsidRDefault="00A00DF2">
      <w:pPr>
        <w:pStyle w:val="FootnoteText"/>
        <w:rPr>
          <w:sz w:val="20"/>
          <w:szCs w:val="20"/>
        </w:rPr>
      </w:pPr>
      <w:r w:rsidRPr="004719B3">
        <w:rPr>
          <w:rStyle w:val="FootnoteReference"/>
          <w:sz w:val="20"/>
          <w:szCs w:val="20"/>
        </w:rPr>
        <w:footnoteRef/>
      </w:r>
      <w:r w:rsidRPr="004719B3">
        <w:rPr>
          <w:sz w:val="20"/>
          <w:szCs w:val="20"/>
        </w:rPr>
        <w:t>Human Rights Committee, Initial report submitted by the State of Palestine under article 40 of the Covenant, due in 2015, (August 26, 2021), U.N. Doc. CCPR/C/PSE/1, ¶</w:t>
      </w:r>
      <w:r w:rsidR="00BE49E2" w:rsidRPr="004719B3">
        <w:rPr>
          <w:sz w:val="20"/>
          <w:szCs w:val="20"/>
        </w:rPr>
        <w:t>125.</w:t>
      </w:r>
      <w:r w:rsidRPr="004719B3">
        <w:rPr>
          <w:sz w:val="20"/>
          <w:szCs w:val="20"/>
        </w:rPr>
        <w:t xml:space="preserve"> </w:t>
      </w:r>
    </w:p>
  </w:footnote>
  <w:footnote w:id="24">
    <w:p w14:paraId="1C005C66" w14:textId="4A991B71" w:rsidR="004331D5" w:rsidRPr="004719B3" w:rsidRDefault="004331D5" w:rsidP="004331D5">
      <w:pPr>
        <w:pStyle w:val="FootnoteText"/>
        <w:rPr>
          <w:sz w:val="20"/>
          <w:szCs w:val="20"/>
        </w:rPr>
      </w:pPr>
      <w:r w:rsidRPr="004719B3">
        <w:rPr>
          <w:rStyle w:val="FootnoteReference"/>
          <w:sz w:val="20"/>
          <w:szCs w:val="20"/>
        </w:rPr>
        <w:footnoteRef/>
      </w:r>
      <w:r w:rsidRPr="004719B3">
        <w:rPr>
          <w:sz w:val="20"/>
          <w:szCs w:val="20"/>
        </w:rPr>
        <w:t xml:space="preserve"> Human Rights Committee, Initial report submitted by the State of Palestine under article 40 of the Covenant, due in 2015, (August 26, 2021), U.N. Doc. CCPR/C/PSE/1, ¶126. </w:t>
      </w:r>
    </w:p>
  </w:footnote>
  <w:footnote w:id="25">
    <w:p w14:paraId="54E58214" w14:textId="6EBEA873" w:rsidR="004331D5" w:rsidRPr="004719B3" w:rsidRDefault="004331D5" w:rsidP="004331D5">
      <w:pPr>
        <w:pStyle w:val="FootnoteText"/>
        <w:rPr>
          <w:sz w:val="20"/>
          <w:szCs w:val="20"/>
        </w:rPr>
      </w:pPr>
      <w:r w:rsidRPr="004719B3">
        <w:rPr>
          <w:rStyle w:val="FootnoteReference"/>
          <w:sz w:val="20"/>
          <w:szCs w:val="20"/>
        </w:rPr>
        <w:footnoteRef/>
      </w:r>
      <w:r w:rsidRPr="004719B3">
        <w:rPr>
          <w:sz w:val="20"/>
          <w:szCs w:val="20"/>
        </w:rPr>
        <w:t xml:space="preserve"> Human Rights Committee, Initial report submitted by the State of Palestine under article 40 of the Covenant, due in 2015, (August 26, 2021), U.N. Doc. CCPR/C/PSE/1, ¶125. </w:t>
      </w:r>
    </w:p>
  </w:footnote>
  <w:footnote w:id="26">
    <w:p w14:paraId="2DC6F48C" w14:textId="77777777" w:rsidR="00D66DB7" w:rsidRPr="004719B3" w:rsidRDefault="00D66DB7" w:rsidP="00D66DB7">
      <w:pPr>
        <w:pStyle w:val="FootnoteText"/>
        <w:rPr>
          <w:sz w:val="20"/>
          <w:szCs w:val="20"/>
        </w:rPr>
      </w:pPr>
      <w:r w:rsidRPr="004719B3">
        <w:rPr>
          <w:rStyle w:val="FootnoteReference"/>
          <w:sz w:val="20"/>
          <w:szCs w:val="20"/>
        </w:rPr>
        <w:footnoteRef/>
      </w:r>
      <w:r w:rsidRPr="004719B3">
        <w:rPr>
          <w:sz w:val="20"/>
          <w:szCs w:val="20"/>
        </w:rPr>
        <w:t xml:space="preserve"> PCHR Annual Report 2021, 29.</w:t>
      </w:r>
    </w:p>
  </w:footnote>
  <w:footnote w:id="27">
    <w:p w14:paraId="44A07D92" w14:textId="77777777" w:rsidR="00D66DB7" w:rsidRPr="004719B3" w:rsidRDefault="00D66DB7" w:rsidP="00D66DB7">
      <w:pPr>
        <w:pStyle w:val="FootnoteText"/>
        <w:rPr>
          <w:sz w:val="20"/>
          <w:szCs w:val="20"/>
        </w:rPr>
      </w:pPr>
      <w:r w:rsidRPr="004719B3">
        <w:rPr>
          <w:rStyle w:val="FootnoteReference"/>
          <w:sz w:val="20"/>
          <w:szCs w:val="20"/>
        </w:rPr>
        <w:footnoteRef/>
      </w:r>
      <w:r w:rsidRPr="004719B3">
        <w:rPr>
          <w:sz w:val="20"/>
          <w:szCs w:val="20"/>
        </w:rPr>
        <w:t xml:space="preserve"> Information on file with author.</w:t>
      </w:r>
    </w:p>
  </w:footnote>
  <w:footnote w:id="28">
    <w:p w14:paraId="4580FEA2" w14:textId="77777777" w:rsidR="00BA7601" w:rsidRPr="004719B3" w:rsidRDefault="00BA7601" w:rsidP="00BA7601">
      <w:pPr>
        <w:pStyle w:val="FootnoteText"/>
        <w:rPr>
          <w:sz w:val="20"/>
          <w:szCs w:val="20"/>
        </w:rPr>
      </w:pPr>
      <w:r w:rsidRPr="004719B3">
        <w:rPr>
          <w:rStyle w:val="FootnoteReference"/>
          <w:sz w:val="20"/>
          <w:szCs w:val="20"/>
        </w:rPr>
        <w:footnoteRef/>
      </w:r>
      <w:r w:rsidRPr="004719B3">
        <w:rPr>
          <w:sz w:val="20"/>
          <w:szCs w:val="20"/>
        </w:rPr>
        <w:t xml:space="preserve"> Cornell Center on the Death Penalty Worldwide, </w:t>
      </w:r>
      <w:r w:rsidRPr="004719B3">
        <w:rPr>
          <w:i/>
          <w:iCs/>
          <w:sz w:val="20"/>
          <w:szCs w:val="20"/>
        </w:rPr>
        <w:t>Judged for More Than Her Crime: A Global Overview of Women Facing the Death Penalty</w:t>
      </w:r>
      <w:r w:rsidRPr="004719B3">
        <w:rPr>
          <w:sz w:val="20"/>
          <w:szCs w:val="20"/>
        </w:rPr>
        <w:t xml:space="preserve"> (Sept. 4, 2018). Available online at https://www.deathpenaltyworldwide.org/wp-content/uploads/2019/12/Judged-More-Than-Her-Crime.pdf. </w:t>
      </w:r>
    </w:p>
  </w:footnote>
  <w:footnote w:id="29">
    <w:p w14:paraId="00B55BFB" w14:textId="77777777" w:rsidR="00BA7601" w:rsidRPr="004719B3" w:rsidRDefault="00BA7601" w:rsidP="00BA7601">
      <w:pPr>
        <w:pStyle w:val="FootnoteText"/>
        <w:rPr>
          <w:sz w:val="20"/>
          <w:szCs w:val="20"/>
        </w:rPr>
      </w:pPr>
      <w:r w:rsidRPr="004719B3">
        <w:rPr>
          <w:rStyle w:val="FootnoteReference"/>
          <w:sz w:val="20"/>
          <w:szCs w:val="20"/>
        </w:rPr>
        <w:footnoteRef/>
      </w:r>
      <w:r w:rsidRPr="004719B3">
        <w:rPr>
          <w:sz w:val="20"/>
          <w:szCs w:val="20"/>
        </w:rPr>
        <w:t xml:space="preserve"> Cornell Center on the Death Penalty Worldwide, </w:t>
      </w:r>
      <w:r w:rsidRPr="004719B3">
        <w:rPr>
          <w:i/>
          <w:iCs/>
          <w:sz w:val="20"/>
          <w:szCs w:val="20"/>
        </w:rPr>
        <w:t xml:space="preserve">“No One Believed Me”: A Global Overview of Women Facing the Death Penalty for Drug Offenses </w:t>
      </w:r>
      <w:r w:rsidRPr="004719B3">
        <w:rPr>
          <w:sz w:val="20"/>
          <w:szCs w:val="20"/>
        </w:rPr>
        <w:t>(Sept. 6, 2021), 6. Available online at https://deathpenaltyworldwide.org/wp-content/uploads/2021/10/No-One-Believed-Me-A-Global-Overview-of-Women-Facing-the-Death-Penalty-for-Drug-Offenses.pdf.</w:t>
      </w:r>
    </w:p>
  </w:footnote>
  <w:footnote w:id="30">
    <w:p w14:paraId="48965877" w14:textId="77777777" w:rsidR="00BA7601" w:rsidRPr="004719B3" w:rsidRDefault="00BA7601" w:rsidP="00BA7601">
      <w:pPr>
        <w:pStyle w:val="FootnoteText"/>
        <w:rPr>
          <w:color w:val="000000" w:themeColor="text1"/>
          <w:sz w:val="20"/>
          <w:szCs w:val="20"/>
        </w:rPr>
      </w:pPr>
      <w:r w:rsidRPr="004719B3">
        <w:rPr>
          <w:rStyle w:val="FootnoteReference"/>
          <w:color w:val="000000" w:themeColor="text1"/>
          <w:sz w:val="20"/>
          <w:szCs w:val="20"/>
        </w:rPr>
        <w:footnoteRef/>
      </w:r>
      <w:r w:rsidRPr="004719B3">
        <w:rPr>
          <w:color w:val="000000" w:themeColor="text1"/>
          <w:sz w:val="20"/>
          <w:szCs w:val="20"/>
        </w:rPr>
        <w:t xml:space="preserve"> </w:t>
      </w:r>
      <w:r w:rsidRPr="004719B3">
        <w:rPr>
          <w:sz w:val="20"/>
          <w:szCs w:val="20"/>
        </w:rPr>
        <w:t xml:space="preserve">Cornell Center on the Death Penalty Worldwide, </w:t>
      </w:r>
      <w:r w:rsidRPr="004719B3">
        <w:rPr>
          <w:i/>
          <w:iCs/>
          <w:sz w:val="20"/>
          <w:szCs w:val="20"/>
        </w:rPr>
        <w:t xml:space="preserve">“No One Believed Me”: A Global Overview of Women Facing the Death Penalty for Drug Offenses </w:t>
      </w:r>
      <w:r w:rsidRPr="004719B3">
        <w:rPr>
          <w:sz w:val="20"/>
          <w:szCs w:val="20"/>
        </w:rPr>
        <w:t>(Sept. 6, 2021), 11. Available online at https://deathpenaltyworldwide.org/wp-content/uploads/2021/10/No-One-Believed-Me-A-Global-Overview-of-Women-Facing-the-Death-Penalty-for-Drug-Offenses.pdf.</w:t>
      </w:r>
    </w:p>
  </w:footnote>
  <w:footnote w:id="31">
    <w:p w14:paraId="4ACCB47C" w14:textId="77777777" w:rsidR="00BA7601" w:rsidRPr="004719B3" w:rsidRDefault="00BA7601" w:rsidP="00BA7601">
      <w:pPr>
        <w:pStyle w:val="NormalWeb"/>
        <w:spacing w:before="0" w:beforeAutospacing="0" w:after="0" w:afterAutospacing="0"/>
        <w:rPr>
          <w:sz w:val="20"/>
          <w:szCs w:val="20"/>
          <w:lang w:eastAsia="zh-CN"/>
        </w:rPr>
      </w:pPr>
      <w:r w:rsidRPr="004719B3">
        <w:rPr>
          <w:rStyle w:val="FootnoteReference"/>
          <w:sz w:val="20"/>
          <w:szCs w:val="20"/>
        </w:rPr>
        <w:footnoteRef/>
      </w:r>
      <w:r w:rsidRPr="004719B3">
        <w:rPr>
          <w:i/>
          <w:iCs/>
          <w:sz w:val="20"/>
          <w:szCs w:val="20"/>
        </w:rPr>
        <w:t xml:space="preserve"> </w:t>
      </w:r>
      <w:r w:rsidRPr="004719B3">
        <w:rPr>
          <w:sz w:val="20"/>
          <w:szCs w:val="20"/>
        </w:rPr>
        <w:t xml:space="preserve">Cornell Center on the Death Penalty Worldwide, </w:t>
      </w:r>
      <w:r w:rsidRPr="004719B3">
        <w:rPr>
          <w:i/>
          <w:iCs/>
          <w:sz w:val="20"/>
          <w:szCs w:val="20"/>
        </w:rPr>
        <w:t>Judged for More Than Her Crime: A Global Overview of Women Facing the Death Penalty</w:t>
      </w:r>
      <w:r w:rsidRPr="004719B3">
        <w:rPr>
          <w:sz w:val="20"/>
          <w:szCs w:val="20"/>
        </w:rPr>
        <w:t xml:space="preserve"> (Sept. 4, 2018), 4. Available online at https://www.deathpenaltyworldwide.org/wp-content/uploads/2019/12/Judged-More-Than-Her-Crime.pdf.</w:t>
      </w:r>
    </w:p>
  </w:footnote>
  <w:footnote w:id="32">
    <w:p w14:paraId="2A34C387" w14:textId="77777777" w:rsidR="00BA7601" w:rsidRPr="004719B3" w:rsidRDefault="00BA7601" w:rsidP="00BA7601">
      <w:pPr>
        <w:pStyle w:val="NormalWeb"/>
        <w:spacing w:before="0" w:beforeAutospacing="0" w:after="0" w:afterAutospacing="0"/>
        <w:rPr>
          <w:sz w:val="20"/>
          <w:szCs w:val="20"/>
          <w:lang w:eastAsia="zh-CN"/>
        </w:rPr>
      </w:pPr>
      <w:r w:rsidRPr="004719B3">
        <w:rPr>
          <w:rStyle w:val="FootnoteReference"/>
          <w:sz w:val="20"/>
          <w:szCs w:val="20"/>
        </w:rPr>
        <w:footnoteRef/>
      </w:r>
      <w:r w:rsidRPr="004719B3">
        <w:rPr>
          <w:sz w:val="20"/>
          <w:szCs w:val="20"/>
        </w:rPr>
        <w:t xml:space="preserve"> Cornell Center on the Death Penalty Worldwide, </w:t>
      </w:r>
      <w:r w:rsidRPr="004719B3">
        <w:rPr>
          <w:i/>
          <w:iCs/>
          <w:sz w:val="20"/>
          <w:szCs w:val="20"/>
        </w:rPr>
        <w:t>Judged for More Than Her Crime: A Global Overview of Women Facing the Death Penalty</w:t>
      </w:r>
      <w:r w:rsidRPr="004719B3">
        <w:rPr>
          <w:sz w:val="20"/>
          <w:szCs w:val="20"/>
        </w:rPr>
        <w:t xml:space="preserve"> (Sept. 4, 2018), 4. Available online at https://www.deathpenaltyworldwide.org/wp-content/uploads/2019/12/Judged-More-Than-Her-Crime.pdf.</w:t>
      </w:r>
    </w:p>
  </w:footnote>
  <w:footnote w:id="33">
    <w:p w14:paraId="453DDAA6" w14:textId="77777777" w:rsidR="00BA7601" w:rsidRPr="004719B3" w:rsidRDefault="00BA7601" w:rsidP="00BA7601">
      <w:pPr>
        <w:pStyle w:val="FootnoteText"/>
        <w:rPr>
          <w:sz w:val="20"/>
          <w:szCs w:val="20"/>
        </w:rPr>
      </w:pPr>
      <w:r w:rsidRPr="004719B3">
        <w:rPr>
          <w:rStyle w:val="FootnoteReference"/>
          <w:sz w:val="20"/>
          <w:szCs w:val="20"/>
        </w:rPr>
        <w:footnoteRef/>
      </w:r>
      <w:r w:rsidRPr="004719B3">
        <w:rPr>
          <w:sz w:val="20"/>
          <w:szCs w:val="20"/>
        </w:rPr>
        <w:t xml:space="preserve"> Cornell Center on the Death Penalty Worldwide, </w:t>
      </w:r>
      <w:r w:rsidRPr="004719B3">
        <w:rPr>
          <w:i/>
          <w:iCs/>
          <w:sz w:val="20"/>
          <w:szCs w:val="20"/>
        </w:rPr>
        <w:t>“No One Believed Me”: A Global Overview of Women Facing the Death Penalty for Drug Offenses</w:t>
      </w:r>
      <w:r w:rsidRPr="004719B3">
        <w:rPr>
          <w:sz w:val="20"/>
          <w:szCs w:val="20"/>
        </w:rPr>
        <w:t xml:space="preserve"> (Sept. 6, 2021). Available online at https://deathpenaltyworldwide.org/publication/no-one-believed-me-a-global-overview-of-women-facing-the-death-penalty-for-drug-offenses/.</w:t>
      </w:r>
    </w:p>
  </w:footnote>
  <w:footnote w:id="34">
    <w:p w14:paraId="70F9EC84" w14:textId="77777777" w:rsidR="00BA7601" w:rsidRPr="004719B3" w:rsidRDefault="00BA7601" w:rsidP="00BA7601">
      <w:pPr>
        <w:pStyle w:val="FootnoteText"/>
        <w:rPr>
          <w:sz w:val="20"/>
          <w:szCs w:val="20"/>
        </w:rPr>
      </w:pPr>
      <w:r w:rsidRPr="004719B3">
        <w:rPr>
          <w:rStyle w:val="FootnoteReference"/>
          <w:sz w:val="20"/>
          <w:szCs w:val="20"/>
        </w:rPr>
        <w:footnoteRef/>
      </w:r>
      <w:r w:rsidRPr="004719B3">
        <w:rPr>
          <w:sz w:val="20"/>
          <w:szCs w:val="20"/>
        </w:rPr>
        <w:t xml:space="preserve"> Cornell Center on the Death Penalty Worldwide, </w:t>
      </w:r>
      <w:r w:rsidRPr="004719B3">
        <w:rPr>
          <w:i/>
          <w:iCs/>
          <w:sz w:val="20"/>
          <w:szCs w:val="20"/>
        </w:rPr>
        <w:t>“No One Believed Me”: A Global Overview of Women Facing the Death Penalty for Drug Offenses</w:t>
      </w:r>
      <w:r w:rsidRPr="004719B3">
        <w:rPr>
          <w:sz w:val="20"/>
          <w:szCs w:val="20"/>
        </w:rPr>
        <w:t xml:space="preserve"> (Sept. 6, 2021). Available online at https://deathpenaltyworldwide.org/publication/no-one-believed-me-a-global-overview-of-women-facing-the-death-penalty-for-drug-offenses/.</w:t>
      </w:r>
    </w:p>
  </w:footnote>
  <w:footnote w:id="35">
    <w:p w14:paraId="4FD05451" w14:textId="19E0DE6E" w:rsidR="00C4542A" w:rsidRPr="004719B3" w:rsidRDefault="00C4542A">
      <w:pPr>
        <w:pStyle w:val="FootnoteText"/>
        <w:rPr>
          <w:sz w:val="20"/>
          <w:szCs w:val="20"/>
        </w:rPr>
      </w:pPr>
      <w:r w:rsidRPr="004719B3">
        <w:rPr>
          <w:rStyle w:val="FootnoteReference"/>
          <w:sz w:val="20"/>
          <w:szCs w:val="20"/>
        </w:rPr>
        <w:footnoteRef/>
      </w:r>
      <w:r w:rsidRPr="004719B3">
        <w:rPr>
          <w:sz w:val="20"/>
          <w:szCs w:val="20"/>
        </w:rPr>
        <w:t xml:space="preserve"> </w:t>
      </w:r>
      <w:r w:rsidR="008C0716" w:rsidRPr="004719B3">
        <w:rPr>
          <w:sz w:val="20"/>
          <w:szCs w:val="20"/>
        </w:rPr>
        <w:t xml:space="preserve">Human Rights Committee, </w:t>
      </w:r>
      <w:r w:rsidR="008C0716" w:rsidRPr="004719B3">
        <w:rPr>
          <w:rFonts w:eastAsiaTheme="minorEastAsia"/>
          <w:sz w:val="20"/>
          <w:szCs w:val="20"/>
          <w:lang w:eastAsia="zh-CN"/>
        </w:rPr>
        <w:t xml:space="preserve">List of issues in relation to the initial report of the State of Palestine, (September 19, 2022), U.N. Doc. CCPR/C/PSE/Q/1, </w:t>
      </w:r>
      <w:r w:rsidR="008C0716" w:rsidRPr="004719B3">
        <w:rPr>
          <w:sz w:val="20"/>
          <w:szCs w:val="20"/>
        </w:rPr>
        <w:t>¶</w:t>
      </w:r>
      <w:r w:rsidR="004719B3">
        <w:rPr>
          <w:sz w:val="20"/>
          <w:szCs w:val="20"/>
        </w:rPr>
        <w:t> </w:t>
      </w:r>
      <w:r w:rsidR="008C0716" w:rsidRPr="004719B3">
        <w:rPr>
          <w:sz w:val="20"/>
          <w:szCs w:val="20"/>
        </w:rPr>
        <w:t>10.</w:t>
      </w:r>
    </w:p>
  </w:footnote>
  <w:footnote w:id="36">
    <w:p w14:paraId="37BD0645" w14:textId="13F01C56" w:rsidR="006E1EC8" w:rsidRPr="004719B3" w:rsidRDefault="006E1EC8">
      <w:pPr>
        <w:pStyle w:val="FootnoteText"/>
        <w:rPr>
          <w:sz w:val="20"/>
          <w:szCs w:val="20"/>
        </w:rPr>
      </w:pPr>
      <w:r w:rsidRPr="004719B3">
        <w:rPr>
          <w:rStyle w:val="FootnoteReference"/>
          <w:sz w:val="20"/>
          <w:szCs w:val="20"/>
        </w:rPr>
        <w:footnoteRef/>
      </w:r>
      <w:r w:rsidRPr="004719B3">
        <w:rPr>
          <w:sz w:val="20"/>
          <w:szCs w:val="20"/>
        </w:rPr>
        <w:t xml:space="preserve"> Human Rights Committee, </w:t>
      </w:r>
      <w:r w:rsidRPr="004719B3">
        <w:rPr>
          <w:rFonts w:eastAsiaTheme="minorEastAsia"/>
          <w:sz w:val="20"/>
          <w:szCs w:val="20"/>
          <w:lang w:eastAsia="zh-CN"/>
        </w:rPr>
        <w:t xml:space="preserve">List of issues in relation to the initial report of the State of Palestine, (September 19, 2022), U.N. Doc. CCPR/C/PSE/Q/1, </w:t>
      </w:r>
      <w:r w:rsidRPr="004719B3">
        <w:rPr>
          <w:sz w:val="20"/>
          <w:szCs w:val="20"/>
        </w:rPr>
        <w:t>¶</w:t>
      </w:r>
      <w:r w:rsidR="004719B3">
        <w:rPr>
          <w:sz w:val="20"/>
          <w:szCs w:val="20"/>
        </w:rPr>
        <w:t> </w:t>
      </w:r>
      <w:r w:rsidRPr="004719B3">
        <w:rPr>
          <w:sz w:val="20"/>
          <w:szCs w:val="20"/>
        </w:rPr>
        <w:t xml:space="preserve">13. </w:t>
      </w:r>
    </w:p>
  </w:footnote>
  <w:footnote w:id="37">
    <w:p w14:paraId="772AC85A" w14:textId="437A72B7" w:rsidR="00A81307" w:rsidRPr="004719B3" w:rsidRDefault="00A81307">
      <w:pPr>
        <w:pStyle w:val="FootnoteText"/>
        <w:rPr>
          <w:sz w:val="20"/>
          <w:szCs w:val="20"/>
        </w:rPr>
      </w:pPr>
      <w:r w:rsidRPr="004719B3">
        <w:rPr>
          <w:rStyle w:val="FootnoteReference"/>
          <w:sz w:val="20"/>
          <w:szCs w:val="20"/>
        </w:rPr>
        <w:footnoteRef/>
      </w:r>
      <w:r w:rsidRPr="004719B3">
        <w:rPr>
          <w:sz w:val="20"/>
          <w:szCs w:val="20"/>
        </w:rPr>
        <w:t xml:space="preserve"> </w:t>
      </w:r>
      <w:r w:rsidR="001E7628" w:rsidRPr="004719B3">
        <w:rPr>
          <w:sz w:val="20"/>
          <w:szCs w:val="20"/>
        </w:rPr>
        <w:t>Human Rights Committee, Initial report submitted by the State of Palestine under article 40 of the Covenant, due in 2015, (August 26, 2021), U.N. Doc. CCPR/C/PSE/1, ¶</w:t>
      </w:r>
      <w:r w:rsidR="004719B3">
        <w:rPr>
          <w:sz w:val="20"/>
          <w:szCs w:val="20"/>
        </w:rPr>
        <w:t> </w:t>
      </w:r>
      <w:r w:rsidR="00777D76" w:rsidRPr="004719B3">
        <w:rPr>
          <w:sz w:val="20"/>
          <w:szCs w:val="20"/>
        </w:rPr>
        <w:t xml:space="preserve">148. </w:t>
      </w:r>
    </w:p>
  </w:footnote>
  <w:footnote w:id="38">
    <w:p w14:paraId="47F7DA73" w14:textId="75A4440A" w:rsidR="0090313C" w:rsidRPr="004719B3" w:rsidRDefault="00447029" w:rsidP="0090313C">
      <w:pPr>
        <w:pStyle w:val="FootnoteText"/>
        <w:rPr>
          <w:color w:val="000000" w:themeColor="text1"/>
          <w:sz w:val="20"/>
          <w:szCs w:val="20"/>
        </w:rPr>
      </w:pPr>
      <w:r w:rsidRPr="004719B3">
        <w:rPr>
          <w:rStyle w:val="FootnoteReference"/>
          <w:color w:val="000000" w:themeColor="text1"/>
          <w:sz w:val="20"/>
          <w:szCs w:val="20"/>
        </w:rPr>
        <w:footnoteRef/>
      </w:r>
      <w:r w:rsidRPr="004719B3">
        <w:rPr>
          <w:color w:val="000000" w:themeColor="text1"/>
          <w:sz w:val="20"/>
          <w:szCs w:val="20"/>
        </w:rPr>
        <w:t xml:space="preserve"> </w:t>
      </w:r>
      <w:r w:rsidR="0090313C" w:rsidRPr="004719B3">
        <w:rPr>
          <w:color w:val="000000" w:themeColor="text1"/>
          <w:sz w:val="20"/>
          <w:szCs w:val="20"/>
        </w:rPr>
        <w:t xml:space="preserve">Amnesty International, Amnesty International Report 2021/22: The State of the World’s Human Rights, by Amnesty International (London: Amnesty International Ltd, 2022), 290. Also available at </w:t>
      </w:r>
    </w:p>
    <w:p w14:paraId="0F3B5A01" w14:textId="23D14919" w:rsidR="00447029" w:rsidRPr="004719B3" w:rsidRDefault="00EC7505" w:rsidP="0090313C">
      <w:pPr>
        <w:pStyle w:val="FootnoteText"/>
        <w:rPr>
          <w:color w:val="000000" w:themeColor="text1"/>
          <w:sz w:val="20"/>
          <w:szCs w:val="20"/>
        </w:rPr>
      </w:pPr>
      <w:hyperlink r:id="rId3" w:history="1">
        <w:r w:rsidR="0090313C" w:rsidRPr="004719B3">
          <w:rPr>
            <w:rStyle w:val="Hyperlink"/>
            <w:color w:val="000000" w:themeColor="text1"/>
            <w:sz w:val="20"/>
            <w:szCs w:val="20"/>
            <w:u w:val="none"/>
          </w:rPr>
          <w:t>https://www.amnesty.org/en/wp-content/uploads/2022/03/WEBPOL1048702022ENGLISH.pdf</w:t>
        </w:r>
      </w:hyperlink>
      <w:r w:rsidR="0090313C" w:rsidRPr="004719B3">
        <w:rPr>
          <w:color w:val="000000" w:themeColor="text1"/>
          <w:sz w:val="20"/>
          <w:szCs w:val="20"/>
        </w:rPr>
        <w:t xml:space="preserve">. </w:t>
      </w:r>
    </w:p>
  </w:footnote>
  <w:footnote w:id="39">
    <w:p w14:paraId="7EA6B996" w14:textId="77777777" w:rsidR="00503BEC" w:rsidRPr="004719B3" w:rsidRDefault="0090313C" w:rsidP="00503BEC">
      <w:pPr>
        <w:pStyle w:val="FootnoteText"/>
        <w:rPr>
          <w:color w:val="000000" w:themeColor="text1"/>
          <w:sz w:val="20"/>
          <w:szCs w:val="20"/>
        </w:rPr>
      </w:pPr>
      <w:r w:rsidRPr="004719B3">
        <w:rPr>
          <w:rStyle w:val="FootnoteReference"/>
          <w:color w:val="000000" w:themeColor="text1"/>
          <w:sz w:val="20"/>
          <w:szCs w:val="20"/>
        </w:rPr>
        <w:footnoteRef/>
      </w:r>
      <w:r w:rsidRPr="004719B3">
        <w:rPr>
          <w:color w:val="000000" w:themeColor="text1"/>
          <w:sz w:val="20"/>
          <w:szCs w:val="20"/>
        </w:rPr>
        <w:t xml:space="preserve"> </w:t>
      </w:r>
      <w:r w:rsidR="00503BEC" w:rsidRPr="004719B3">
        <w:rPr>
          <w:color w:val="000000" w:themeColor="text1"/>
          <w:sz w:val="20"/>
          <w:szCs w:val="20"/>
        </w:rPr>
        <w:t xml:space="preserve">Amnesty International, Amnesty International Report 2021/22: The State of the World’s Human Rights, by </w:t>
      </w:r>
    </w:p>
    <w:p w14:paraId="5D2A9C70" w14:textId="7EF44EEF" w:rsidR="00503BEC" w:rsidRPr="004719B3" w:rsidRDefault="00503BEC" w:rsidP="00503BEC">
      <w:pPr>
        <w:pStyle w:val="FootnoteText"/>
        <w:rPr>
          <w:color w:val="000000" w:themeColor="text1"/>
          <w:sz w:val="20"/>
          <w:szCs w:val="20"/>
        </w:rPr>
      </w:pPr>
      <w:r w:rsidRPr="004719B3">
        <w:rPr>
          <w:color w:val="000000" w:themeColor="text1"/>
          <w:sz w:val="20"/>
          <w:szCs w:val="20"/>
        </w:rPr>
        <w:t xml:space="preserve">Amnesty International (London: Amnesty International Ltd, 2022), 291. Also available at </w:t>
      </w:r>
    </w:p>
    <w:p w14:paraId="3FC514AE" w14:textId="721DDDBC" w:rsidR="0090313C" w:rsidRPr="004719B3" w:rsidRDefault="00EC7505" w:rsidP="00503BEC">
      <w:pPr>
        <w:pStyle w:val="FootnoteText"/>
        <w:rPr>
          <w:color w:val="000000" w:themeColor="text1"/>
          <w:sz w:val="20"/>
          <w:szCs w:val="20"/>
        </w:rPr>
      </w:pPr>
      <w:hyperlink r:id="rId4" w:history="1">
        <w:r w:rsidR="00503BEC" w:rsidRPr="004719B3">
          <w:rPr>
            <w:rStyle w:val="Hyperlink"/>
            <w:color w:val="000000" w:themeColor="text1"/>
            <w:sz w:val="20"/>
            <w:szCs w:val="20"/>
            <w:u w:val="none"/>
          </w:rPr>
          <w:t>https://www.amnesty.org/en/wp-content/uploads/2022/03/WEBPOL1048702022ENGLISH.pdf</w:t>
        </w:r>
      </w:hyperlink>
      <w:r w:rsidR="00503BEC" w:rsidRPr="004719B3">
        <w:rPr>
          <w:color w:val="000000" w:themeColor="text1"/>
          <w:sz w:val="20"/>
          <w:szCs w:val="20"/>
        </w:rPr>
        <w:t xml:space="preserve">. </w:t>
      </w:r>
    </w:p>
  </w:footnote>
  <w:footnote w:id="40">
    <w:p w14:paraId="1B4DDE5B" w14:textId="3604D90D" w:rsidR="006C175E" w:rsidRPr="00656150" w:rsidRDefault="006C175E" w:rsidP="00B10468">
      <w:pPr>
        <w:pStyle w:val="FootnoteText"/>
        <w:rPr>
          <w:sz w:val="20"/>
          <w:szCs w:val="20"/>
        </w:rPr>
      </w:pPr>
      <w:r w:rsidRPr="00656150">
        <w:rPr>
          <w:rStyle w:val="FootnoteReference"/>
          <w:sz w:val="20"/>
          <w:szCs w:val="20"/>
        </w:rPr>
        <w:footnoteRef/>
      </w:r>
      <w:r w:rsidRPr="00656150">
        <w:rPr>
          <w:sz w:val="20"/>
          <w:szCs w:val="20"/>
        </w:rPr>
        <w:t xml:space="preserve"> </w:t>
      </w:r>
      <w:proofErr w:type="spellStart"/>
      <w:r w:rsidR="00B10468" w:rsidRPr="00656150">
        <w:rPr>
          <w:sz w:val="20"/>
          <w:szCs w:val="20"/>
        </w:rPr>
        <w:t>الهيئة</w:t>
      </w:r>
      <w:proofErr w:type="spellEnd"/>
      <w:r w:rsidR="00B10468" w:rsidRPr="00656150">
        <w:rPr>
          <w:sz w:val="20"/>
          <w:szCs w:val="20"/>
        </w:rPr>
        <w:t xml:space="preserve"> </w:t>
      </w:r>
      <w:proofErr w:type="spellStart"/>
      <w:r w:rsidR="00B10468" w:rsidRPr="00656150">
        <w:rPr>
          <w:sz w:val="20"/>
          <w:szCs w:val="20"/>
        </w:rPr>
        <w:t>المستقلة</w:t>
      </w:r>
      <w:proofErr w:type="spellEnd"/>
      <w:r w:rsidR="00B10468" w:rsidRPr="00656150">
        <w:rPr>
          <w:sz w:val="20"/>
          <w:szCs w:val="20"/>
        </w:rPr>
        <w:t xml:space="preserve"> </w:t>
      </w:r>
      <w:proofErr w:type="spellStart"/>
      <w:r w:rsidR="00B10468" w:rsidRPr="00656150">
        <w:rPr>
          <w:sz w:val="20"/>
          <w:szCs w:val="20"/>
        </w:rPr>
        <w:t>لحقوق</w:t>
      </w:r>
      <w:proofErr w:type="spellEnd"/>
      <w:r w:rsidR="00B10468" w:rsidRPr="00656150">
        <w:rPr>
          <w:sz w:val="20"/>
          <w:szCs w:val="20"/>
        </w:rPr>
        <w:t xml:space="preserve"> </w:t>
      </w:r>
      <w:proofErr w:type="spellStart"/>
      <w:r w:rsidR="00B10468" w:rsidRPr="00656150">
        <w:rPr>
          <w:sz w:val="20"/>
          <w:szCs w:val="20"/>
        </w:rPr>
        <w:t>الإنسان</w:t>
      </w:r>
      <w:proofErr w:type="spellEnd"/>
      <w:r w:rsidR="00B10468" w:rsidRPr="00656150">
        <w:rPr>
          <w:sz w:val="20"/>
          <w:szCs w:val="20"/>
        </w:rPr>
        <w:t xml:space="preserve"> </w:t>
      </w:r>
      <w:proofErr w:type="spellStart"/>
      <w:r w:rsidR="00B10468" w:rsidRPr="00656150">
        <w:rPr>
          <w:sz w:val="20"/>
          <w:szCs w:val="20"/>
        </w:rPr>
        <w:t>ومؤسسة</w:t>
      </w:r>
      <w:proofErr w:type="spellEnd"/>
      <w:r w:rsidR="00B10468" w:rsidRPr="00656150">
        <w:rPr>
          <w:sz w:val="20"/>
          <w:szCs w:val="20"/>
        </w:rPr>
        <w:t xml:space="preserve"> </w:t>
      </w:r>
      <w:proofErr w:type="spellStart"/>
      <w:r w:rsidR="00B10468" w:rsidRPr="00656150">
        <w:rPr>
          <w:sz w:val="20"/>
          <w:szCs w:val="20"/>
        </w:rPr>
        <w:t>الحق</w:t>
      </w:r>
      <w:proofErr w:type="spellEnd"/>
      <w:r w:rsidR="00B10468" w:rsidRPr="00656150">
        <w:rPr>
          <w:sz w:val="20"/>
          <w:szCs w:val="20"/>
        </w:rPr>
        <w:t xml:space="preserve">، </w:t>
      </w:r>
      <w:proofErr w:type="spellStart"/>
      <w:r w:rsidR="00B10468" w:rsidRPr="00656150">
        <w:rPr>
          <w:sz w:val="20"/>
          <w:szCs w:val="20"/>
        </w:rPr>
        <w:t>تقرير</w:t>
      </w:r>
      <w:proofErr w:type="spellEnd"/>
      <w:r w:rsidR="00B10468" w:rsidRPr="00656150">
        <w:rPr>
          <w:sz w:val="20"/>
          <w:szCs w:val="20"/>
        </w:rPr>
        <w:t xml:space="preserve"> </w:t>
      </w:r>
      <w:proofErr w:type="spellStart"/>
      <w:r w:rsidR="00B10468" w:rsidRPr="00656150">
        <w:rPr>
          <w:sz w:val="20"/>
          <w:szCs w:val="20"/>
        </w:rPr>
        <w:t>تقصي</w:t>
      </w:r>
      <w:proofErr w:type="spellEnd"/>
      <w:r w:rsidR="00B10468" w:rsidRPr="00656150">
        <w:rPr>
          <w:sz w:val="20"/>
          <w:szCs w:val="20"/>
        </w:rPr>
        <w:t xml:space="preserve"> </w:t>
      </w:r>
      <w:proofErr w:type="spellStart"/>
      <w:r w:rsidR="00B10468" w:rsidRPr="00656150">
        <w:rPr>
          <w:sz w:val="20"/>
          <w:szCs w:val="20"/>
        </w:rPr>
        <w:t>الحقائق</w:t>
      </w:r>
      <w:proofErr w:type="spellEnd"/>
      <w:r w:rsidR="00B10468" w:rsidRPr="00656150">
        <w:rPr>
          <w:sz w:val="20"/>
          <w:szCs w:val="20"/>
        </w:rPr>
        <w:t xml:space="preserve"> </w:t>
      </w:r>
      <w:proofErr w:type="spellStart"/>
      <w:r w:rsidR="00B10468" w:rsidRPr="00656150">
        <w:rPr>
          <w:sz w:val="20"/>
          <w:szCs w:val="20"/>
        </w:rPr>
        <w:t>المشترك</w:t>
      </w:r>
      <w:proofErr w:type="spellEnd"/>
      <w:r w:rsidR="00B10468" w:rsidRPr="00656150">
        <w:rPr>
          <w:sz w:val="20"/>
          <w:szCs w:val="20"/>
        </w:rPr>
        <w:t xml:space="preserve"> </w:t>
      </w:r>
      <w:proofErr w:type="spellStart"/>
      <w:r w:rsidR="00B10468" w:rsidRPr="00656150">
        <w:rPr>
          <w:sz w:val="20"/>
          <w:szCs w:val="20"/>
        </w:rPr>
        <w:t>بشأن</w:t>
      </w:r>
      <w:proofErr w:type="spellEnd"/>
      <w:r w:rsidR="00B10468" w:rsidRPr="00656150">
        <w:rPr>
          <w:sz w:val="20"/>
          <w:szCs w:val="20"/>
        </w:rPr>
        <w:t xml:space="preserve"> </w:t>
      </w:r>
      <w:proofErr w:type="spellStart"/>
      <w:r w:rsidR="00B10468" w:rsidRPr="00656150">
        <w:rPr>
          <w:sz w:val="20"/>
          <w:szCs w:val="20"/>
        </w:rPr>
        <w:t>مقتل</w:t>
      </w:r>
      <w:proofErr w:type="spellEnd"/>
      <w:r w:rsidR="00B10468" w:rsidRPr="00656150">
        <w:rPr>
          <w:sz w:val="20"/>
          <w:szCs w:val="20"/>
        </w:rPr>
        <w:t xml:space="preserve"> </w:t>
      </w:r>
      <w:proofErr w:type="spellStart"/>
      <w:r w:rsidR="00B10468" w:rsidRPr="00656150">
        <w:rPr>
          <w:sz w:val="20"/>
          <w:szCs w:val="20"/>
        </w:rPr>
        <w:t>الناشط</w:t>
      </w:r>
      <w:proofErr w:type="spellEnd"/>
      <w:r w:rsidR="00B10468" w:rsidRPr="00656150">
        <w:rPr>
          <w:sz w:val="20"/>
          <w:szCs w:val="20"/>
        </w:rPr>
        <w:t xml:space="preserve"> </w:t>
      </w:r>
      <w:proofErr w:type="spellStart"/>
      <w:r w:rsidR="00B10468" w:rsidRPr="00656150">
        <w:rPr>
          <w:sz w:val="20"/>
          <w:szCs w:val="20"/>
        </w:rPr>
        <w:t>السياسي</w:t>
      </w:r>
      <w:proofErr w:type="spellEnd"/>
      <w:r w:rsidR="00B10468" w:rsidRPr="00656150">
        <w:rPr>
          <w:sz w:val="20"/>
          <w:szCs w:val="20"/>
        </w:rPr>
        <w:t xml:space="preserve"> </w:t>
      </w:r>
      <w:proofErr w:type="spellStart"/>
      <w:r w:rsidR="00B10468" w:rsidRPr="00656150">
        <w:rPr>
          <w:sz w:val="20"/>
          <w:szCs w:val="20"/>
        </w:rPr>
        <w:t>نزار</w:t>
      </w:r>
      <w:proofErr w:type="spellEnd"/>
      <w:r w:rsidR="00B10468" w:rsidRPr="00656150">
        <w:rPr>
          <w:sz w:val="20"/>
          <w:szCs w:val="20"/>
        </w:rPr>
        <w:t xml:space="preserve"> </w:t>
      </w:r>
      <w:proofErr w:type="spellStart"/>
      <w:r w:rsidR="00B10468" w:rsidRPr="00656150">
        <w:rPr>
          <w:sz w:val="20"/>
          <w:szCs w:val="20"/>
        </w:rPr>
        <w:t>بنات</w:t>
      </w:r>
      <w:proofErr w:type="spellEnd"/>
      <w:r w:rsidR="00B10468" w:rsidRPr="00656150">
        <w:rPr>
          <w:sz w:val="20"/>
          <w:szCs w:val="20"/>
        </w:rPr>
        <w:t>، 7 مارس2022, https://www.ichr.ps/category-1/6039.html.</w:t>
      </w:r>
      <w:r w:rsidR="00B10468" w:rsidRPr="00656150">
        <w:rPr>
          <w:rStyle w:val="normaltextrun"/>
          <w:color w:val="000000"/>
          <w:sz w:val="20"/>
          <w:szCs w:val="20"/>
          <w:shd w:val="clear" w:color="auto" w:fill="FFFFFF"/>
        </w:rPr>
        <w:t xml:space="preserve"> </w:t>
      </w:r>
    </w:p>
  </w:footnote>
  <w:footnote w:id="41">
    <w:p w14:paraId="74E81E50" w14:textId="77777777" w:rsidR="00494B14" w:rsidRPr="00D35D5F" w:rsidRDefault="00494B14" w:rsidP="00494B14">
      <w:pPr>
        <w:pStyle w:val="FootnoteText"/>
        <w:rPr>
          <w:color w:val="000000" w:themeColor="text1"/>
          <w:sz w:val="20"/>
          <w:szCs w:val="20"/>
        </w:rPr>
      </w:pPr>
      <w:r w:rsidRPr="00D35D5F">
        <w:rPr>
          <w:rStyle w:val="FootnoteReference"/>
          <w:color w:val="000000" w:themeColor="text1"/>
          <w:sz w:val="20"/>
          <w:szCs w:val="20"/>
        </w:rPr>
        <w:footnoteRef/>
      </w:r>
      <w:r w:rsidRPr="00D35D5F">
        <w:rPr>
          <w:color w:val="000000" w:themeColor="text1"/>
          <w:sz w:val="20"/>
          <w:szCs w:val="20"/>
        </w:rPr>
        <w:t xml:space="preserve"> Amnesty International, Amnesty International Report 2021/22: The State of the World’s Human Rights, by </w:t>
      </w:r>
    </w:p>
    <w:p w14:paraId="07DFD81B" w14:textId="77777777" w:rsidR="00494B14" w:rsidRPr="00D35D5F" w:rsidRDefault="00494B14" w:rsidP="00494B14">
      <w:pPr>
        <w:pStyle w:val="FootnoteText"/>
        <w:rPr>
          <w:color w:val="000000" w:themeColor="text1"/>
          <w:sz w:val="20"/>
          <w:szCs w:val="20"/>
        </w:rPr>
      </w:pPr>
      <w:r w:rsidRPr="00D35D5F">
        <w:rPr>
          <w:color w:val="000000" w:themeColor="text1"/>
          <w:sz w:val="20"/>
          <w:szCs w:val="20"/>
        </w:rPr>
        <w:t xml:space="preserve">Amnesty International (London: Amnesty International Ltd, 2022), 291. Also available at </w:t>
      </w:r>
    </w:p>
    <w:p w14:paraId="31722CCC" w14:textId="77777777" w:rsidR="00494B14" w:rsidRPr="00335D7A" w:rsidRDefault="00EC7505" w:rsidP="00494B14">
      <w:pPr>
        <w:pStyle w:val="FootnoteText"/>
        <w:rPr>
          <w:sz w:val="20"/>
          <w:szCs w:val="20"/>
        </w:rPr>
      </w:pPr>
      <w:hyperlink r:id="rId5" w:history="1">
        <w:r w:rsidR="00494B14" w:rsidRPr="00335D7A">
          <w:rPr>
            <w:rStyle w:val="Hyperlink"/>
            <w:color w:val="000000" w:themeColor="text1"/>
            <w:sz w:val="20"/>
            <w:szCs w:val="20"/>
            <w:u w:val="none"/>
          </w:rPr>
          <w:t>https://www.amnesty.org/en/wp-content/uploads/2022/03/WEBPOL1048702022ENGLISH.pdf</w:t>
        </w:r>
      </w:hyperlink>
      <w:r w:rsidR="00494B14" w:rsidRPr="00335D7A">
        <w:rPr>
          <w:color w:val="000000" w:themeColor="text1"/>
          <w:sz w:val="20"/>
          <w:szCs w:val="20"/>
        </w:rPr>
        <w:t xml:space="preserve">. </w:t>
      </w:r>
    </w:p>
  </w:footnote>
  <w:footnote w:id="42">
    <w:p w14:paraId="690157DA" w14:textId="11E57112" w:rsidR="008A513D" w:rsidRPr="004719B3" w:rsidRDefault="008A513D" w:rsidP="008A513D">
      <w:pPr>
        <w:pStyle w:val="FootnoteText"/>
        <w:rPr>
          <w:sz w:val="20"/>
          <w:szCs w:val="20"/>
        </w:rPr>
      </w:pPr>
      <w:r w:rsidRPr="004719B3">
        <w:rPr>
          <w:rStyle w:val="FootnoteReference"/>
          <w:sz w:val="20"/>
          <w:szCs w:val="20"/>
        </w:rPr>
        <w:footnoteRef/>
      </w:r>
      <w:r w:rsidRPr="004719B3">
        <w:rPr>
          <w:sz w:val="20"/>
          <w:szCs w:val="20"/>
        </w:rPr>
        <w:t xml:space="preserve"> </w:t>
      </w:r>
      <w:proofErr w:type="spellStart"/>
      <w:r w:rsidR="009B5C14" w:rsidRPr="00656150">
        <w:rPr>
          <w:sz w:val="20"/>
          <w:szCs w:val="20"/>
        </w:rPr>
        <w:t>الهيئة</w:t>
      </w:r>
      <w:proofErr w:type="spellEnd"/>
      <w:r w:rsidR="009B5C14" w:rsidRPr="00656150">
        <w:rPr>
          <w:sz w:val="20"/>
          <w:szCs w:val="20"/>
        </w:rPr>
        <w:t xml:space="preserve"> </w:t>
      </w:r>
      <w:proofErr w:type="spellStart"/>
      <w:r w:rsidR="009B5C14" w:rsidRPr="00656150">
        <w:rPr>
          <w:sz w:val="20"/>
          <w:szCs w:val="20"/>
        </w:rPr>
        <w:t>المستقلة</w:t>
      </w:r>
      <w:proofErr w:type="spellEnd"/>
      <w:r w:rsidR="009B5C14" w:rsidRPr="00656150">
        <w:rPr>
          <w:sz w:val="20"/>
          <w:szCs w:val="20"/>
        </w:rPr>
        <w:t xml:space="preserve"> </w:t>
      </w:r>
      <w:proofErr w:type="spellStart"/>
      <w:r w:rsidR="009B5C14" w:rsidRPr="00656150">
        <w:rPr>
          <w:sz w:val="20"/>
          <w:szCs w:val="20"/>
        </w:rPr>
        <w:t>لحقوق</w:t>
      </w:r>
      <w:proofErr w:type="spellEnd"/>
      <w:r w:rsidR="009B5C14" w:rsidRPr="00656150">
        <w:rPr>
          <w:sz w:val="20"/>
          <w:szCs w:val="20"/>
        </w:rPr>
        <w:t xml:space="preserve"> </w:t>
      </w:r>
      <w:proofErr w:type="spellStart"/>
      <w:r w:rsidR="009B5C14" w:rsidRPr="00656150">
        <w:rPr>
          <w:sz w:val="20"/>
          <w:szCs w:val="20"/>
        </w:rPr>
        <w:t>الإنسان</w:t>
      </w:r>
      <w:proofErr w:type="spellEnd"/>
      <w:r w:rsidR="009B5C14" w:rsidRPr="00656150">
        <w:rPr>
          <w:sz w:val="20"/>
          <w:szCs w:val="20"/>
        </w:rPr>
        <w:t xml:space="preserve"> </w:t>
      </w:r>
      <w:proofErr w:type="spellStart"/>
      <w:r w:rsidR="009B5C14" w:rsidRPr="00656150">
        <w:rPr>
          <w:sz w:val="20"/>
          <w:szCs w:val="20"/>
        </w:rPr>
        <w:t>ومؤسسة</w:t>
      </w:r>
      <w:proofErr w:type="spellEnd"/>
      <w:r w:rsidR="009B5C14" w:rsidRPr="00656150">
        <w:rPr>
          <w:sz w:val="20"/>
          <w:szCs w:val="20"/>
        </w:rPr>
        <w:t xml:space="preserve"> </w:t>
      </w:r>
      <w:proofErr w:type="spellStart"/>
      <w:r w:rsidR="009B5C14" w:rsidRPr="00656150">
        <w:rPr>
          <w:sz w:val="20"/>
          <w:szCs w:val="20"/>
        </w:rPr>
        <w:t>الحق</w:t>
      </w:r>
      <w:proofErr w:type="spellEnd"/>
      <w:r w:rsidR="009B5C14" w:rsidRPr="00656150">
        <w:rPr>
          <w:sz w:val="20"/>
          <w:szCs w:val="20"/>
        </w:rPr>
        <w:t xml:space="preserve">، </w:t>
      </w:r>
      <w:proofErr w:type="spellStart"/>
      <w:r w:rsidR="009B5C14" w:rsidRPr="00656150">
        <w:rPr>
          <w:sz w:val="20"/>
          <w:szCs w:val="20"/>
        </w:rPr>
        <w:t>تقرير</w:t>
      </w:r>
      <w:proofErr w:type="spellEnd"/>
      <w:r w:rsidR="009B5C14" w:rsidRPr="00656150">
        <w:rPr>
          <w:sz w:val="20"/>
          <w:szCs w:val="20"/>
        </w:rPr>
        <w:t xml:space="preserve"> </w:t>
      </w:r>
      <w:proofErr w:type="spellStart"/>
      <w:r w:rsidR="009B5C14" w:rsidRPr="00656150">
        <w:rPr>
          <w:sz w:val="20"/>
          <w:szCs w:val="20"/>
        </w:rPr>
        <w:t>تقصي</w:t>
      </w:r>
      <w:proofErr w:type="spellEnd"/>
      <w:r w:rsidR="009B5C14" w:rsidRPr="00656150">
        <w:rPr>
          <w:sz w:val="20"/>
          <w:szCs w:val="20"/>
        </w:rPr>
        <w:t xml:space="preserve"> </w:t>
      </w:r>
      <w:proofErr w:type="spellStart"/>
      <w:r w:rsidR="009B5C14" w:rsidRPr="00656150">
        <w:rPr>
          <w:sz w:val="20"/>
          <w:szCs w:val="20"/>
        </w:rPr>
        <w:t>الحقائق</w:t>
      </w:r>
      <w:proofErr w:type="spellEnd"/>
      <w:r w:rsidR="009B5C14" w:rsidRPr="00656150">
        <w:rPr>
          <w:sz w:val="20"/>
          <w:szCs w:val="20"/>
        </w:rPr>
        <w:t xml:space="preserve"> </w:t>
      </w:r>
      <w:proofErr w:type="spellStart"/>
      <w:r w:rsidR="009B5C14" w:rsidRPr="00656150">
        <w:rPr>
          <w:sz w:val="20"/>
          <w:szCs w:val="20"/>
        </w:rPr>
        <w:t>المشترك</w:t>
      </w:r>
      <w:proofErr w:type="spellEnd"/>
      <w:r w:rsidR="009B5C14" w:rsidRPr="00656150">
        <w:rPr>
          <w:sz w:val="20"/>
          <w:szCs w:val="20"/>
        </w:rPr>
        <w:t xml:space="preserve"> </w:t>
      </w:r>
      <w:proofErr w:type="spellStart"/>
      <w:r w:rsidR="009B5C14" w:rsidRPr="00656150">
        <w:rPr>
          <w:sz w:val="20"/>
          <w:szCs w:val="20"/>
        </w:rPr>
        <w:t>بشأن</w:t>
      </w:r>
      <w:proofErr w:type="spellEnd"/>
      <w:r w:rsidR="009B5C14" w:rsidRPr="00656150">
        <w:rPr>
          <w:sz w:val="20"/>
          <w:szCs w:val="20"/>
        </w:rPr>
        <w:t xml:space="preserve"> </w:t>
      </w:r>
      <w:proofErr w:type="spellStart"/>
      <w:r w:rsidR="009B5C14" w:rsidRPr="00656150">
        <w:rPr>
          <w:sz w:val="20"/>
          <w:szCs w:val="20"/>
        </w:rPr>
        <w:t>مقتل</w:t>
      </w:r>
      <w:proofErr w:type="spellEnd"/>
      <w:r w:rsidR="009B5C14" w:rsidRPr="00656150">
        <w:rPr>
          <w:sz w:val="20"/>
          <w:szCs w:val="20"/>
        </w:rPr>
        <w:t xml:space="preserve"> </w:t>
      </w:r>
      <w:proofErr w:type="spellStart"/>
      <w:r w:rsidR="009B5C14" w:rsidRPr="00656150">
        <w:rPr>
          <w:sz w:val="20"/>
          <w:szCs w:val="20"/>
        </w:rPr>
        <w:t>الناشط</w:t>
      </w:r>
      <w:proofErr w:type="spellEnd"/>
      <w:r w:rsidR="009B5C14" w:rsidRPr="00656150">
        <w:rPr>
          <w:sz w:val="20"/>
          <w:szCs w:val="20"/>
        </w:rPr>
        <w:t xml:space="preserve"> </w:t>
      </w:r>
      <w:proofErr w:type="spellStart"/>
      <w:r w:rsidR="009B5C14" w:rsidRPr="00656150">
        <w:rPr>
          <w:sz w:val="20"/>
          <w:szCs w:val="20"/>
        </w:rPr>
        <w:t>السياسي</w:t>
      </w:r>
      <w:proofErr w:type="spellEnd"/>
      <w:r w:rsidR="009B5C14" w:rsidRPr="00656150">
        <w:rPr>
          <w:sz w:val="20"/>
          <w:szCs w:val="20"/>
        </w:rPr>
        <w:t xml:space="preserve"> </w:t>
      </w:r>
      <w:proofErr w:type="spellStart"/>
      <w:r w:rsidR="009B5C14" w:rsidRPr="00656150">
        <w:rPr>
          <w:sz w:val="20"/>
          <w:szCs w:val="20"/>
        </w:rPr>
        <w:t>نزار</w:t>
      </w:r>
      <w:proofErr w:type="spellEnd"/>
      <w:r w:rsidR="009B5C14" w:rsidRPr="00656150">
        <w:rPr>
          <w:sz w:val="20"/>
          <w:szCs w:val="20"/>
        </w:rPr>
        <w:t xml:space="preserve"> </w:t>
      </w:r>
      <w:proofErr w:type="spellStart"/>
      <w:r w:rsidR="009B5C14" w:rsidRPr="00656150">
        <w:rPr>
          <w:sz w:val="20"/>
          <w:szCs w:val="20"/>
        </w:rPr>
        <w:t>بنات</w:t>
      </w:r>
      <w:proofErr w:type="spellEnd"/>
      <w:r w:rsidR="009B5C14" w:rsidRPr="00656150">
        <w:rPr>
          <w:sz w:val="20"/>
          <w:szCs w:val="20"/>
        </w:rPr>
        <w:t>، 7 مارس2022, https://www.ichr.ps/category-1/6039.html.</w:t>
      </w:r>
    </w:p>
  </w:footnote>
  <w:footnote w:id="43">
    <w:p w14:paraId="3A9A5275" w14:textId="46E5EECF" w:rsidR="001F6532" w:rsidRPr="004719B3" w:rsidRDefault="001F6532">
      <w:pPr>
        <w:pStyle w:val="FootnoteText"/>
        <w:rPr>
          <w:sz w:val="20"/>
          <w:szCs w:val="20"/>
        </w:rPr>
      </w:pPr>
      <w:r w:rsidRPr="004719B3">
        <w:rPr>
          <w:rStyle w:val="FootnoteReference"/>
          <w:sz w:val="20"/>
          <w:szCs w:val="20"/>
        </w:rPr>
        <w:footnoteRef/>
      </w:r>
      <w:r w:rsidRPr="004719B3">
        <w:rPr>
          <w:sz w:val="20"/>
          <w:szCs w:val="20"/>
        </w:rPr>
        <w:t xml:space="preserve"> AP News, </w:t>
      </w:r>
      <w:r w:rsidR="00304BEE" w:rsidRPr="004719B3">
        <w:rPr>
          <w:sz w:val="20"/>
          <w:szCs w:val="20"/>
        </w:rPr>
        <w:t xml:space="preserve">Jalal </w:t>
      </w:r>
      <w:proofErr w:type="spellStart"/>
      <w:r w:rsidR="00304BEE" w:rsidRPr="004719B3">
        <w:rPr>
          <w:sz w:val="20"/>
          <w:szCs w:val="20"/>
        </w:rPr>
        <w:t>B</w:t>
      </w:r>
      <w:r w:rsidR="00335D7A" w:rsidRPr="004719B3">
        <w:rPr>
          <w:sz w:val="20"/>
          <w:szCs w:val="20"/>
        </w:rPr>
        <w:t>waitel</w:t>
      </w:r>
      <w:proofErr w:type="spellEnd"/>
      <w:r w:rsidR="00335D7A" w:rsidRPr="004719B3">
        <w:rPr>
          <w:sz w:val="20"/>
          <w:szCs w:val="20"/>
        </w:rPr>
        <w:t xml:space="preserve">, </w:t>
      </w:r>
      <w:r w:rsidR="00335D7A" w:rsidRPr="004719B3">
        <w:rPr>
          <w:i/>
          <w:iCs/>
          <w:sz w:val="20"/>
          <w:szCs w:val="20"/>
        </w:rPr>
        <w:t xml:space="preserve">Palestinian activist’s family seeks ICC probe into his death </w:t>
      </w:r>
      <w:r w:rsidRPr="004719B3">
        <w:rPr>
          <w:i/>
          <w:iCs/>
          <w:sz w:val="20"/>
          <w:szCs w:val="20"/>
        </w:rPr>
        <w:t>Associated Press</w:t>
      </w:r>
      <w:r w:rsidRPr="004719B3">
        <w:rPr>
          <w:sz w:val="20"/>
          <w:szCs w:val="20"/>
        </w:rPr>
        <w:t xml:space="preserve">, </w:t>
      </w:r>
      <w:r w:rsidR="00304BEE" w:rsidRPr="004719B3">
        <w:rPr>
          <w:sz w:val="20"/>
          <w:szCs w:val="20"/>
        </w:rPr>
        <w:t xml:space="preserve">(December 15, 2022), </w:t>
      </w:r>
      <w:r w:rsidR="007324BC" w:rsidRPr="00656150">
        <w:t>https://apnews.com/article/israel-west-bank-international-criminal-court-ramallah-f36a652af1b6c787474faf2a9ca1d65a</w:t>
      </w:r>
      <w:r w:rsidRPr="004719B3">
        <w:rPr>
          <w:sz w:val="20"/>
          <w:szCs w:val="20"/>
        </w:rPr>
        <w:t xml:space="preserve">. </w:t>
      </w:r>
    </w:p>
  </w:footnote>
  <w:footnote w:id="44">
    <w:p w14:paraId="50E325E2" w14:textId="406215C0" w:rsidR="003B64D7" w:rsidRPr="004719B3" w:rsidRDefault="003B64D7" w:rsidP="005C6E9C">
      <w:pPr>
        <w:pStyle w:val="FootnoteText"/>
        <w:rPr>
          <w:sz w:val="20"/>
          <w:szCs w:val="20"/>
        </w:rPr>
      </w:pPr>
      <w:r w:rsidRPr="004719B3">
        <w:rPr>
          <w:rStyle w:val="FootnoteReference"/>
          <w:sz w:val="20"/>
          <w:szCs w:val="20"/>
        </w:rPr>
        <w:footnoteRef/>
      </w:r>
      <w:r w:rsidRPr="004719B3">
        <w:rPr>
          <w:sz w:val="20"/>
          <w:szCs w:val="20"/>
        </w:rPr>
        <w:t xml:space="preserve"> </w:t>
      </w:r>
      <w:r w:rsidR="005C6E9C" w:rsidRPr="004719B3">
        <w:rPr>
          <w:sz w:val="20"/>
          <w:szCs w:val="20"/>
        </w:rPr>
        <w:t>PCHR Annual Report 2021, 112-13. Palestinians are also housed in Israeli jails, where they reportedly experience “degrading treatment and inhumane conditions from the first moments of their arrest, as they are subjected to mental and physical torture, including physical abuse, sleep deprivation, [and] threats . . . Inside the prison, detainees are subjected to the same treatment, including: solitary confinement, barred of visitation rights, arbitrary transfer, and deprivation of adequate medical treatment.” Ibid., 19, 60-64. Israeli forces have allegedly tortured and mistreated Palestinians in detention, and Israeli courts do not discredit testimony coerced under such conditions, legislatively sanctioned use of solitary confinement is systematically employed in Israeli prisons against Palestinians. Initial State Party Report, ¶¶ 184, 197</w:t>
      </w:r>
      <w:r w:rsidR="00137F09" w:rsidRPr="004719B3">
        <w:rPr>
          <w:sz w:val="20"/>
          <w:szCs w:val="20"/>
        </w:rPr>
        <w:t>–</w:t>
      </w:r>
      <w:r w:rsidR="005C6E9C" w:rsidRPr="004719B3">
        <w:rPr>
          <w:sz w:val="20"/>
          <w:szCs w:val="20"/>
        </w:rPr>
        <w:t>99. Israeli officials reportedly hide evidence of their mistreatment of Palestinians in Israeli custody by retaining of the bodies of those who have died in custody and preventing autopsies that could reveal mistreatment as the cause of death. PCHR Annual Report 2021, 61-62</w:t>
      </w:r>
      <w:r w:rsidR="004618DA" w:rsidRPr="004719B3">
        <w:rPr>
          <w:sz w:val="20"/>
          <w:szCs w:val="20"/>
        </w:rPr>
        <w:t xml:space="preserve">. </w:t>
      </w:r>
    </w:p>
  </w:footnote>
  <w:footnote w:id="45">
    <w:p w14:paraId="69571A44" w14:textId="4299CDA3" w:rsidR="00AF749F" w:rsidRPr="004719B3" w:rsidRDefault="00AF749F">
      <w:pPr>
        <w:pStyle w:val="FootnoteText"/>
        <w:rPr>
          <w:sz w:val="20"/>
          <w:szCs w:val="20"/>
        </w:rPr>
      </w:pPr>
      <w:r w:rsidRPr="004719B3">
        <w:rPr>
          <w:rStyle w:val="FootnoteReference"/>
          <w:sz w:val="20"/>
          <w:szCs w:val="20"/>
        </w:rPr>
        <w:footnoteRef/>
      </w:r>
      <w:r w:rsidRPr="004719B3">
        <w:rPr>
          <w:sz w:val="20"/>
          <w:szCs w:val="20"/>
        </w:rPr>
        <w:t xml:space="preserve"> Palestinian Center for Human Rights</w:t>
      </w:r>
      <w:r w:rsidR="00E11957" w:rsidRPr="004719B3">
        <w:rPr>
          <w:sz w:val="20"/>
          <w:szCs w:val="20"/>
        </w:rPr>
        <w:t xml:space="preserve">, Second Case of This Year: Palestinian Detainee Died at Military Police Detention, </w:t>
      </w:r>
      <w:r w:rsidR="00165343" w:rsidRPr="004719B3">
        <w:rPr>
          <w:sz w:val="20"/>
          <w:szCs w:val="20"/>
        </w:rPr>
        <w:t xml:space="preserve">Press Release, </w:t>
      </w:r>
      <w:r w:rsidR="00E11957" w:rsidRPr="004719B3">
        <w:rPr>
          <w:sz w:val="20"/>
          <w:szCs w:val="20"/>
        </w:rPr>
        <w:t>(May 1, 2023),</w:t>
      </w:r>
      <w:r w:rsidRPr="004719B3">
        <w:rPr>
          <w:sz w:val="20"/>
          <w:szCs w:val="20"/>
        </w:rPr>
        <w:t xml:space="preserve"> </w:t>
      </w:r>
      <w:hyperlink r:id="rId6" w:history="1">
        <w:r w:rsidRPr="004719B3">
          <w:rPr>
            <w:rStyle w:val="Hyperlink"/>
            <w:color w:val="000000" w:themeColor="text1"/>
            <w:sz w:val="20"/>
            <w:szCs w:val="20"/>
            <w:u w:val="none"/>
          </w:rPr>
          <w:t>https://pchrgaza.org/en/second-case-of-this-year-palestinian-detainee-died-at-military-police-detention/</w:t>
        </w:r>
      </w:hyperlink>
      <w:r w:rsidRPr="004719B3">
        <w:rPr>
          <w:color w:val="000000" w:themeColor="text1"/>
          <w:sz w:val="20"/>
          <w:szCs w:val="20"/>
        </w:rPr>
        <w:t xml:space="preserve">. </w:t>
      </w:r>
    </w:p>
  </w:footnote>
  <w:footnote w:id="46">
    <w:p w14:paraId="22E3BF08" w14:textId="4ED11009" w:rsidR="004160CA" w:rsidRPr="004719B3" w:rsidRDefault="004160CA">
      <w:pPr>
        <w:pStyle w:val="FootnoteText"/>
        <w:rPr>
          <w:sz w:val="20"/>
          <w:szCs w:val="20"/>
        </w:rPr>
      </w:pPr>
      <w:r w:rsidRPr="004719B3">
        <w:rPr>
          <w:rStyle w:val="FootnoteReference"/>
          <w:sz w:val="20"/>
          <w:szCs w:val="20"/>
        </w:rPr>
        <w:footnoteRef/>
      </w:r>
      <w:r w:rsidRPr="004719B3">
        <w:rPr>
          <w:sz w:val="20"/>
          <w:szCs w:val="20"/>
        </w:rPr>
        <w:t xml:space="preserve"> </w:t>
      </w:r>
      <w:r w:rsidR="00606905" w:rsidRPr="004719B3">
        <w:rPr>
          <w:color w:val="000000" w:themeColor="text1"/>
          <w:sz w:val="20"/>
          <w:szCs w:val="20"/>
        </w:rPr>
        <w:t xml:space="preserve">Palestinian Center for Human Rights, </w:t>
      </w:r>
      <w:r w:rsidR="00606905" w:rsidRPr="004719B3">
        <w:rPr>
          <w:i/>
          <w:iCs/>
          <w:color w:val="000000" w:themeColor="text1"/>
          <w:sz w:val="20"/>
          <w:szCs w:val="20"/>
        </w:rPr>
        <w:t>PCHR Demands Investigation into Death Circumstances of Detainee in Police Custody in Rafah,</w:t>
      </w:r>
      <w:r w:rsidR="00606905" w:rsidRPr="004719B3">
        <w:rPr>
          <w:color w:val="000000" w:themeColor="text1"/>
          <w:sz w:val="20"/>
          <w:szCs w:val="20"/>
        </w:rPr>
        <w:t xml:space="preserve"> </w:t>
      </w:r>
      <w:r w:rsidR="00165343" w:rsidRPr="004719B3">
        <w:rPr>
          <w:color w:val="000000" w:themeColor="text1"/>
          <w:sz w:val="20"/>
          <w:szCs w:val="20"/>
        </w:rPr>
        <w:t xml:space="preserve">Press Release,(April 20, 2023), </w:t>
      </w:r>
      <w:hyperlink r:id="rId7" w:history="1">
        <w:r w:rsidR="00165343" w:rsidRPr="004719B3">
          <w:rPr>
            <w:rStyle w:val="Hyperlink"/>
            <w:color w:val="000000" w:themeColor="text1"/>
            <w:sz w:val="20"/>
            <w:szCs w:val="20"/>
            <w:u w:val="none"/>
          </w:rPr>
          <w:t>https://pchrgaza.org/en/pchr-demands-investigation-into-death-circumstances-of-detainee-in-police-custody-in-rafah/</w:t>
        </w:r>
      </w:hyperlink>
      <w:r w:rsidRPr="004719B3">
        <w:rPr>
          <w:color w:val="000000" w:themeColor="text1"/>
          <w:sz w:val="20"/>
          <w:szCs w:val="20"/>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8008FD" w14:textId="77777777" w:rsidR="00804604" w:rsidRDefault="00804604" w:rsidP="00C26130">
    <w:pPr>
      <w:pStyle w:val="Header"/>
      <w:tabs>
        <w:tab w:val="left" w:pos="2700"/>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7B087" w14:textId="00C4626B" w:rsidR="00804604" w:rsidRDefault="00763D84">
    <w:pPr>
      <w:pStyle w:val="Header"/>
    </w:pPr>
    <w:r>
      <w:rPr>
        <w:noProof/>
      </w:rPr>
      <w:drawing>
        <wp:anchor distT="0" distB="0" distL="114300" distR="114300" simplePos="0" relativeHeight="251658243" behindDoc="0" locked="0" layoutInCell="1" allowOverlap="1" wp14:anchorId="224D3AD3" wp14:editId="00EFDAA4">
          <wp:simplePos x="0" y="0"/>
          <wp:positionH relativeFrom="column">
            <wp:posOffset>-403860</wp:posOffset>
          </wp:positionH>
          <wp:positionV relativeFrom="paragraph">
            <wp:posOffset>-198120</wp:posOffset>
          </wp:positionV>
          <wp:extent cx="1943100" cy="1030803"/>
          <wp:effectExtent l="0" t="0" r="0" b="0"/>
          <wp:wrapNone/>
          <wp:docPr id="1012211555" name="Picture 1012211555" descr="A picture containing text, font, graphics,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2211555" name="Picture 1" descr="A picture containing text, font, graphics,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1948860" cy="1033859"/>
                  </a:xfrm>
                  <a:prstGeom prst="rect">
                    <a:avLst/>
                  </a:prstGeom>
                </pic:spPr>
              </pic:pic>
            </a:graphicData>
          </a:graphic>
          <wp14:sizeRelH relativeFrom="page">
            <wp14:pctWidth>0</wp14:pctWidth>
          </wp14:sizeRelH>
          <wp14:sizeRelV relativeFrom="page">
            <wp14:pctHeight>0</wp14:pctHeight>
          </wp14:sizeRelV>
        </wp:anchor>
      </w:drawing>
    </w:r>
    <w:r w:rsidRPr="007C5717">
      <w:rPr>
        <w:noProof/>
      </w:rPr>
      <w:drawing>
        <wp:anchor distT="0" distB="0" distL="114300" distR="114300" simplePos="0" relativeHeight="251658242" behindDoc="0" locked="0" layoutInCell="1" allowOverlap="1" wp14:anchorId="483A89CF" wp14:editId="38247CF9">
          <wp:simplePos x="0" y="0"/>
          <wp:positionH relativeFrom="margin">
            <wp:align>center</wp:align>
          </wp:positionH>
          <wp:positionV relativeFrom="paragraph">
            <wp:posOffset>-273356</wp:posOffset>
          </wp:positionV>
          <wp:extent cx="1314844" cy="1097280"/>
          <wp:effectExtent l="0" t="0" r="0" b="7620"/>
          <wp:wrapNone/>
          <wp:docPr id="1846114802" name="Picture 1846114802"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6114802" name="Picture 2" descr="A picture containing text, font, logo, symbol&#10;&#10;Description automatically generated"/>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14844" cy="1097280"/>
                  </a:xfrm>
                  <a:prstGeom prst="rect">
                    <a:avLst/>
                  </a:prstGeom>
                  <a:noFill/>
                  <a:ln>
                    <a:noFill/>
                  </a:ln>
                </pic:spPr>
              </pic:pic>
            </a:graphicData>
          </a:graphic>
          <wp14:sizeRelH relativeFrom="page">
            <wp14:pctWidth>0</wp14:pctWidth>
          </wp14:sizeRelH>
          <wp14:sizeRelV relativeFrom="page">
            <wp14:pctHeight>0</wp14:pctHeight>
          </wp14:sizeRelV>
        </wp:anchor>
      </w:drawing>
    </w:r>
    <w:r w:rsidR="00230BB8">
      <w:rPr>
        <w:noProof/>
      </w:rPr>
      <w:drawing>
        <wp:anchor distT="0" distB="0" distL="114300" distR="114300" simplePos="0" relativeHeight="251658240" behindDoc="1" locked="0" layoutInCell="1" allowOverlap="1" wp14:anchorId="0D691956" wp14:editId="7AA41871">
          <wp:simplePos x="0" y="0"/>
          <wp:positionH relativeFrom="column">
            <wp:posOffset>4206875</wp:posOffset>
          </wp:positionH>
          <wp:positionV relativeFrom="paragraph">
            <wp:posOffset>-183515</wp:posOffset>
          </wp:positionV>
          <wp:extent cx="2308225" cy="884555"/>
          <wp:effectExtent l="0" t="0" r="0" b="0"/>
          <wp:wrapTight wrapText="bothSides">
            <wp:wrapPolygon edited="0">
              <wp:start x="0" y="0"/>
              <wp:lineTo x="0" y="20933"/>
              <wp:lineTo x="21392" y="20933"/>
              <wp:lineTo x="21392" y="0"/>
              <wp:lineTo x="0" y="0"/>
            </wp:wrapPolygon>
          </wp:wrapTight>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08225" cy="884555"/>
                  </a:xfrm>
                  <a:prstGeom prst="rect">
                    <a:avLst/>
                  </a:prstGeom>
                  <a:noFill/>
                  <a:ln>
                    <a:noFill/>
                  </a:ln>
                </pic:spPr>
              </pic:pic>
            </a:graphicData>
          </a:graphic>
          <wp14:sizeRelH relativeFrom="page">
            <wp14:pctWidth>0</wp14:pctWidth>
          </wp14:sizeRelH>
          <wp14:sizeRelV relativeFrom="page">
            <wp14:pctHeight>0</wp14:pctHeight>
          </wp14:sizeRelV>
        </wp:anchor>
      </w:drawing>
    </w:r>
    <w:r w:rsidR="007C5717" w:rsidRPr="007C5717">
      <w:br/>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AB0EAC"/>
    <w:multiLevelType w:val="multilevel"/>
    <w:tmpl w:val="25D244B8"/>
    <w:lvl w:ilvl="0">
      <w:numFmt w:val="bullet"/>
      <w:lvlText w:val="·"/>
      <w:lvlJc w:val="left"/>
      <w:pPr>
        <w:tabs>
          <w:tab w:val="left" w:pos="360"/>
        </w:tabs>
      </w:pPr>
      <w:rPr>
        <w:rFonts w:ascii="Symbol" w:eastAsia="Symbol" w:hAnsi="Symbol"/>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13097D68"/>
    <w:multiLevelType w:val="multilevel"/>
    <w:tmpl w:val="91643CF6"/>
    <w:lvl w:ilvl="0">
      <w:start w:val="1"/>
      <w:numFmt w:val="decimal"/>
      <w:lvlText w:val="%1."/>
      <w:lvlJc w:val="left"/>
      <w:pPr>
        <w:tabs>
          <w:tab w:val="left" w:pos="360"/>
        </w:tabs>
      </w:pPr>
      <w:rPr>
        <w:rFonts w:ascii="Times New Roman" w:eastAsia="Times New Roman" w:hAnsi="Times New Roman"/>
        <w:color w:val="000000"/>
        <w:spacing w:val="0"/>
        <w:w w:val="100"/>
        <w:sz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34E5838"/>
    <w:multiLevelType w:val="hybridMultilevel"/>
    <w:tmpl w:val="11FAF6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E61781"/>
    <w:multiLevelType w:val="hybridMultilevel"/>
    <w:tmpl w:val="73DE869C"/>
    <w:lvl w:ilvl="0" w:tplc="D8CEEDE0">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8BC2376"/>
    <w:multiLevelType w:val="hybridMultilevel"/>
    <w:tmpl w:val="991C3848"/>
    <w:lvl w:ilvl="0" w:tplc="9670D4BC">
      <w:start w:val="1"/>
      <w:numFmt w:val="decimal"/>
      <w:lvlText w:val="%1."/>
      <w:lvlJc w:val="left"/>
      <w:pPr>
        <w:tabs>
          <w:tab w:val="num" w:pos="720"/>
        </w:tabs>
        <w:ind w:left="720" w:hanging="360"/>
      </w:pPr>
      <w:rPr>
        <w:b w:val="0"/>
      </w:rPr>
    </w:lvl>
    <w:lvl w:ilvl="1" w:tplc="109A5DFE">
      <w:start w:val="1"/>
      <w:numFmt w:val="decimal"/>
      <w:lvlText w:val="%2."/>
      <w:lvlJc w:val="left"/>
      <w:pPr>
        <w:tabs>
          <w:tab w:val="num" w:pos="1440"/>
        </w:tabs>
        <w:ind w:left="1440" w:hanging="360"/>
      </w:pPr>
    </w:lvl>
    <w:lvl w:ilvl="2" w:tplc="4A260800">
      <w:start w:val="1"/>
      <w:numFmt w:val="decimal"/>
      <w:lvlText w:val="%3."/>
      <w:lvlJc w:val="left"/>
      <w:pPr>
        <w:tabs>
          <w:tab w:val="num" w:pos="2160"/>
        </w:tabs>
        <w:ind w:left="2160" w:hanging="360"/>
      </w:pPr>
    </w:lvl>
    <w:lvl w:ilvl="3" w:tplc="52223D66">
      <w:start w:val="1"/>
      <w:numFmt w:val="decimal"/>
      <w:lvlText w:val="%4."/>
      <w:lvlJc w:val="left"/>
      <w:pPr>
        <w:tabs>
          <w:tab w:val="num" w:pos="2880"/>
        </w:tabs>
        <w:ind w:left="2880" w:hanging="360"/>
      </w:pPr>
    </w:lvl>
    <w:lvl w:ilvl="4" w:tplc="D0A6172E">
      <w:start w:val="1"/>
      <w:numFmt w:val="decimal"/>
      <w:lvlText w:val="%5."/>
      <w:lvlJc w:val="left"/>
      <w:pPr>
        <w:tabs>
          <w:tab w:val="num" w:pos="3600"/>
        </w:tabs>
        <w:ind w:left="3600" w:hanging="360"/>
      </w:pPr>
    </w:lvl>
    <w:lvl w:ilvl="5" w:tplc="B8564790">
      <w:start w:val="1"/>
      <w:numFmt w:val="decimal"/>
      <w:lvlText w:val="%6."/>
      <w:lvlJc w:val="left"/>
      <w:pPr>
        <w:tabs>
          <w:tab w:val="num" w:pos="4320"/>
        </w:tabs>
        <w:ind w:left="4320" w:hanging="360"/>
      </w:pPr>
    </w:lvl>
    <w:lvl w:ilvl="6" w:tplc="F154A354">
      <w:start w:val="1"/>
      <w:numFmt w:val="decimal"/>
      <w:lvlText w:val="%7."/>
      <w:lvlJc w:val="left"/>
      <w:pPr>
        <w:tabs>
          <w:tab w:val="num" w:pos="5040"/>
        </w:tabs>
        <w:ind w:left="5040" w:hanging="360"/>
      </w:pPr>
    </w:lvl>
    <w:lvl w:ilvl="7" w:tplc="3CC00626">
      <w:start w:val="1"/>
      <w:numFmt w:val="decimal"/>
      <w:lvlText w:val="%8."/>
      <w:lvlJc w:val="left"/>
      <w:pPr>
        <w:tabs>
          <w:tab w:val="num" w:pos="5760"/>
        </w:tabs>
        <w:ind w:left="5760" w:hanging="360"/>
      </w:pPr>
    </w:lvl>
    <w:lvl w:ilvl="8" w:tplc="5008A68C">
      <w:start w:val="1"/>
      <w:numFmt w:val="decimal"/>
      <w:lvlText w:val="%9."/>
      <w:lvlJc w:val="left"/>
      <w:pPr>
        <w:tabs>
          <w:tab w:val="num" w:pos="6480"/>
        </w:tabs>
        <w:ind w:left="6480" w:hanging="360"/>
      </w:pPr>
    </w:lvl>
  </w:abstractNum>
  <w:abstractNum w:abstractNumId="5" w15:restartNumberingAfterBreak="0">
    <w:nsid w:val="1D5153BE"/>
    <w:multiLevelType w:val="hybridMultilevel"/>
    <w:tmpl w:val="20885664"/>
    <w:lvl w:ilvl="0" w:tplc="0409000F">
      <w:start w:val="1"/>
      <w:numFmt w:val="decimal"/>
      <w:lvlText w:val="%1."/>
      <w:lvlJc w:val="left"/>
      <w:pPr>
        <w:ind w:left="720" w:hanging="360"/>
      </w:p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1991D27"/>
    <w:multiLevelType w:val="hybridMultilevel"/>
    <w:tmpl w:val="1F0EE0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92073C0"/>
    <w:multiLevelType w:val="hybridMultilevel"/>
    <w:tmpl w:val="BE6A58D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2EA41173"/>
    <w:multiLevelType w:val="hybridMultilevel"/>
    <w:tmpl w:val="55727C80"/>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35A46C4"/>
    <w:multiLevelType w:val="hybridMultilevel"/>
    <w:tmpl w:val="467A1396"/>
    <w:lvl w:ilvl="0" w:tplc="228E1F4E">
      <w:start w:val="2550"/>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5B41C3D"/>
    <w:multiLevelType w:val="hybridMultilevel"/>
    <w:tmpl w:val="087A7B9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667D1B3D"/>
    <w:multiLevelType w:val="hybridMultilevel"/>
    <w:tmpl w:val="73DE869C"/>
    <w:lvl w:ilvl="0" w:tplc="D8CEEDE0">
      <w:start w:val="1"/>
      <w:numFmt w:val="upp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915969075">
    <w:abstractNumId w:val="8"/>
  </w:num>
  <w:num w:numId="2" w16cid:durableId="2029719975">
    <w:abstractNumId w:val="7"/>
  </w:num>
  <w:num w:numId="3" w16cid:durableId="1539776804">
    <w:abstractNumId w:val="10"/>
  </w:num>
  <w:num w:numId="4" w16cid:durableId="36367969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155686896">
    <w:abstractNumId w:val="9"/>
  </w:num>
  <w:num w:numId="6" w16cid:durableId="594171688">
    <w:abstractNumId w:val="2"/>
  </w:num>
  <w:num w:numId="7" w16cid:durableId="1938251912">
    <w:abstractNumId w:val="5"/>
  </w:num>
  <w:num w:numId="8" w16cid:durableId="1784962959">
    <w:abstractNumId w:val="11"/>
  </w:num>
  <w:num w:numId="9" w16cid:durableId="1023946614">
    <w:abstractNumId w:val="3"/>
  </w:num>
  <w:num w:numId="10" w16cid:durableId="1272394108">
    <w:abstractNumId w:val="6"/>
  </w:num>
  <w:num w:numId="11" w16cid:durableId="1633441869">
    <w:abstractNumId w:val="0"/>
  </w:num>
  <w:num w:numId="12" w16cid:durableId="20511031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drawingGridHorizontalSpacing w:val="187"/>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41C9"/>
    <w:rsid w:val="00000EBB"/>
    <w:rsid w:val="000107FA"/>
    <w:rsid w:val="00030F59"/>
    <w:rsid w:val="000316F0"/>
    <w:rsid w:val="000342B6"/>
    <w:rsid w:val="00043CFA"/>
    <w:rsid w:val="00046377"/>
    <w:rsid w:val="0004654E"/>
    <w:rsid w:val="00050B54"/>
    <w:rsid w:val="00056CF5"/>
    <w:rsid w:val="00060480"/>
    <w:rsid w:val="00062EC6"/>
    <w:rsid w:val="000734A4"/>
    <w:rsid w:val="0008238F"/>
    <w:rsid w:val="000844E8"/>
    <w:rsid w:val="00085935"/>
    <w:rsid w:val="00090647"/>
    <w:rsid w:val="00090952"/>
    <w:rsid w:val="000910FC"/>
    <w:rsid w:val="00091AFB"/>
    <w:rsid w:val="000938A2"/>
    <w:rsid w:val="0009644E"/>
    <w:rsid w:val="000A1F17"/>
    <w:rsid w:val="000A2F71"/>
    <w:rsid w:val="000A4587"/>
    <w:rsid w:val="000A66B8"/>
    <w:rsid w:val="000A7BEC"/>
    <w:rsid w:val="000B042D"/>
    <w:rsid w:val="000B173D"/>
    <w:rsid w:val="000B1F91"/>
    <w:rsid w:val="000B4DB3"/>
    <w:rsid w:val="000B5E39"/>
    <w:rsid w:val="000C38E5"/>
    <w:rsid w:val="000C6340"/>
    <w:rsid w:val="000D0680"/>
    <w:rsid w:val="000D3F3F"/>
    <w:rsid w:val="000D7E37"/>
    <w:rsid w:val="000E0883"/>
    <w:rsid w:val="000E1DDC"/>
    <w:rsid w:val="000E25C5"/>
    <w:rsid w:val="000E474F"/>
    <w:rsid w:val="000F1E67"/>
    <w:rsid w:val="000F568D"/>
    <w:rsid w:val="000F56E0"/>
    <w:rsid w:val="000F7CAA"/>
    <w:rsid w:val="001008D1"/>
    <w:rsid w:val="00105094"/>
    <w:rsid w:val="0010577C"/>
    <w:rsid w:val="00111994"/>
    <w:rsid w:val="0011309A"/>
    <w:rsid w:val="0011693C"/>
    <w:rsid w:val="001215B4"/>
    <w:rsid w:val="00124273"/>
    <w:rsid w:val="00127E59"/>
    <w:rsid w:val="0013050F"/>
    <w:rsid w:val="00136514"/>
    <w:rsid w:val="00137040"/>
    <w:rsid w:val="0013709A"/>
    <w:rsid w:val="00137F09"/>
    <w:rsid w:val="00140524"/>
    <w:rsid w:val="00143423"/>
    <w:rsid w:val="0014482F"/>
    <w:rsid w:val="00147EA4"/>
    <w:rsid w:val="0015585F"/>
    <w:rsid w:val="001565F9"/>
    <w:rsid w:val="00157206"/>
    <w:rsid w:val="00160BDA"/>
    <w:rsid w:val="00162F95"/>
    <w:rsid w:val="00165343"/>
    <w:rsid w:val="00166067"/>
    <w:rsid w:val="00181B2A"/>
    <w:rsid w:val="00181EF5"/>
    <w:rsid w:val="0018642B"/>
    <w:rsid w:val="00196AA6"/>
    <w:rsid w:val="001A1451"/>
    <w:rsid w:val="001A59C1"/>
    <w:rsid w:val="001A5ED5"/>
    <w:rsid w:val="001A7AF4"/>
    <w:rsid w:val="001B1AC4"/>
    <w:rsid w:val="001B27D7"/>
    <w:rsid w:val="001B46C2"/>
    <w:rsid w:val="001B799A"/>
    <w:rsid w:val="001C313E"/>
    <w:rsid w:val="001C42EB"/>
    <w:rsid w:val="001D1BA2"/>
    <w:rsid w:val="001D624B"/>
    <w:rsid w:val="001D65F8"/>
    <w:rsid w:val="001D7A84"/>
    <w:rsid w:val="001E7628"/>
    <w:rsid w:val="001F2105"/>
    <w:rsid w:val="001F313A"/>
    <w:rsid w:val="001F5803"/>
    <w:rsid w:val="001F6532"/>
    <w:rsid w:val="0020376C"/>
    <w:rsid w:val="002044C4"/>
    <w:rsid w:val="00220197"/>
    <w:rsid w:val="00220D48"/>
    <w:rsid w:val="00223193"/>
    <w:rsid w:val="00223A9E"/>
    <w:rsid w:val="00223EF6"/>
    <w:rsid w:val="00224A7C"/>
    <w:rsid w:val="002265DD"/>
    <w:rsid w:val="00230BB8"/>
    <w:rsid w:val="00235075"/>
    <w:rsid w:val="00236345"/>
    <w:rsid w:val="00237C8C"/>
    <w:rsid w:val="00241A45"/>
    <w:rsid w:val="00242F64"/>
    <w:rsid w:val="0024300A"/>
    <w:rsid w:val="002439A3"/>
    <w:rsid w:val="00243E14"/>
    <w:rsid w:val="002468F6"/>
    <w:rsid w:val="00254FB5"/>
    <w:rsid w:val="00255789"/>
    <w:rsid w:val="0025590A"/>
    <w:rsid w:val="0026276B"/>
    <w:rsid w:val="00262D9F"/>
    <w:rsid w:val="00271D00"/>
    <w:rsid w:val="00272519"/>
    <w:rsid w:val="002734D9"/>
    <w:rsid w:val="00273933"/>
    <w:rsid w:val="002765C0"/>
    <w:rsid w:val="00276A3C"/>
    <w:rsid w:val="002815C4"/>
    <w:rsid w:val="00281D51"/>
    <w:rsid w:val="00282223"/>
    <w:rsid w:val="00282DBD"/>
    <w:rsid w:val="00291BE8"/>
    <w:rsid w:val="00297754"/>
    <w:rsid w:val="00297803"/>
    <w:rsid w:val="002A0797"/>
    <w:rsid w:val="002A4679"/>
    <w:rsid w:val="002A4838"/>
    <w:rsid w:val="002A6DD4"/>
    <w:rsid w:val="002B35C4"/>
    <w:rsid w:val="002B570E"/>
    <w:rsid w:val="002B68A9"/>
    <w:rsid w:val="002C01BB"/>
    <w:rsid w:val="002C4A92"/>
    <w:rsid w:val="002C57BC"/>
    <w:rsid w:val="002D16F2"/>
    <w:rsid w:val="002D36C6"/>
    <w:rsid w:val="002E34EA"/>
    <w:rsid w:val="002E46A1"/>
    <w:rsid w:val="002E50B1"/>
    <w:rsid w:val="002F3AC2"/>
    <w:rsid w:val="002F6C46"/>
    <w:rsid w:val="002F7A11"/>
    <w:rsid w:val="0030454C"/>
    <w:rsid w:val="00304BEE"/>
    <w:rsid w:val="0031455F"/>
    <w:rsid w:val="00314971"/>
    <w:rsid w:val="00315C53"/>
    <w:rsid w:val="00317153"/>
    <w:rsid w:val="00322CB1"/>
    <w:rsid w:val="003243FC"/>
    <w:rsid w:val="00325A99"/>
    <w:rsid w:val="00331597"/>
    <w:rsid w:val="003326FC"/>
    <w:rsid w:val="00334399"/>
    <w:rsid w:val="00335D7A"/>
    <w:rsid w:val="003369A6"/>
    <w:rsid w:val="0033759D"/>
    <w:rsid w:val="00340484"/>
    <w:rsid w:val="00341F21"/>
    <w:rsid w:val="00344140"/>
    <w:rsid w:val="00344556"/>
    <w:rsid w:val="00345B90"/>
    <w:rsid w:val="0035378E"/>
    <w:rsid w:val="0035424D"/>
    <w:rsid w:val="00360624"/>
    <w:rsid w:val="00360D60"/>
    <w:rsid w:val="0036549C"/>
    <w:rsid w:val="00371A5B"/>
    <w:rsid w:val="003727E1"/>
    <w:rsid w:val="0037341E"/>
    <w:rsid w:val="00373E98"/>
    <w:rsid w:val="00373F62"/>
    <w:rsid w:val="00374E72"/>
    <w:rsid w:val="00374FD8"/>
    <w:rsid w:val="003779DA"/>
    <w:rsid w:val="00390486"/>
    <w:rsid w:val="00390AC3"/>
    <w:rsid w:val="00391C50"/>
    <w:rsid w:val="003937C6"/>
    <w:rsid w:val="00394EDB"/>
    <w:rsid w:val="00396752"/>
    <w:rsid w:val="00396AAF"/>
    <w:rsid w:val="003A0BC2"/>
    <w:rsid w:val="003A1D3E"/>
    <w:rsid w:val="003A6F6D"/>
    <w:rsid w:val="003A7923"/>
    <w:rsid w:val="003B1B2B"/>
    <w:rsid w:val="003B640F"/>
    <w:rsid w:val="003B64D7"/>
    <w:rsid w:val="003C06BB"/>
    <w:rsid w:val="003C1E49"/>
    <w:rsid w:val="003C60FE"/>
    <w:rsid w:val="003C74D6"/>
    <w:rsid w:val="003D4793"/>
    <w:rsid w:val="003D608F"/>
    <w:rsid w:val="003D6EE3"/>
    <w:rsid w:val="003E6A6D"/>
    <w:rsid w:val="003F02DE"/>
    <w:rsid w:val="003F2285"/>
    <w:rsid w:val="003F30BA"/>
    <w:rsid w:val="003F46DB"/>
    <w:rsid w:val="003F56C9"/>
    <w:rsid w:val="00403E13"/>
    <w:rsid w:val="00407293"/>
    <w:rsid w:val="004076CD"/>
    <w:rsid w:val="00412E9E"/>
    <w:rsid w:val="004160CA"/>
    <w:rsid w:val="00416367"/>
    <w:rsid w:val="00417CE5"/>
    <w:rsid w:val="0042438D"/>
    <w:rsid w:val="0042663C"/>
    <w:rsid w:val="00430A63"/>
    <w:rsid w:val="004331D5"/>
    <w:rsid w:val="00433D7B"/>
    <w:rsid w:val="00437886"/>
    <w:rsid w:val="00443E02"/>
    <w:rsid w:val="004442F3"/>
    <w:rsid w:val="00447029"/>
    <w:rsid w:val="00450118"/>
    <w:rsid w:val="00450405"/>
    <w:rsid w:val="004504A6"/>
    <w:rsid w:val="00452AFB"/>
    <w:rsid w:val="00453314"/>
    <w:rsid w:val="004618DA"/>
    <w:rsid w:val="00462023"/>
    <w:rsid w:val="004642AD"/>
    <w:rsid w:val="00466EFF"/>
    <w:rsid w:val="004674F6"/>
    <w:rsid w:val="00470059"/>
    <w:rsid w:val="004719B3"/>
    <w:rsid w:val="00476CC4"/>
    <w:rsid w:val="00481F81"/>
    <w:rsid w:val="00482E32"/>
    <w:rsid w:val="004866AE"/>
    <w:rsid w:val="0048700E"/>
    <w:rsid w:val="00494B14"/>
    <w:rsid w:val="00496CC2"/>
    <w:rsid w:val="00497815"/>
    <w:rsid w:val="004A0B7A"/>
    <w:rsid w:val="004A17D9"/>
    <w:rsid w:val="004A5B01"/>
    <w:rsid w:val="004A76E7"/>
    <w:rsid w:val="004A781A"/>
    <w:rsid w:val="004A7D93"/>
    <w:rsid w:val="004A7FF9"/>
    <w:rsid w:val="004B1E4E"/>
    <w:rsid w:val="004B4CAF"/>
    <w:rsid w:val="004B73AF"/>
    <w:rsid w:val="004C0041"/>
    <w:rsid w:val="004C20C6"/>
    <w:rsid w:val="004C33B9"/>
    <w:rsid w:val="004C5938"/>
    <w:rsid w:val="004C7662"/>
    <w:rsid w:val="004D2568"/>
    <w:rsid w:val="004D29AF"/>
    <w:rsid w:val="004D3EE9"/>
    <w:rsid w:val="004D5118"/>
    <w:rsid w:val="004D51DD"/>
    <w:rsid w:val="004E150B"/>
    <w:rsid w:val="004E4781"/>
    <w:rsid w:val="004E7176"/>
    <w:rsid w:val="004E783D"/>
    <w:rsid w:val="004F2465"/>
    <w:rsid w:val="004F34E5"/>
    <w:rsid w:val="004F42C1"/>
    <w:rsid w:val="004F5C20"/>
    <w:rsid w:val="004F6F41"/>
    <w:rsid w:val="00501288"/>
    <w:rsid w:val="00503A5E"/>
    <w:rsid w:val="00503BEC"/>
    <w:rsid w:val="0051033F"/>
    <w:rsid w:val="00511EB7"/>
    <w:rsid w:val="00512FC9"/>
    <w:rsid w:val="005132BB"/>
    <w:rsid w:val="0051394D"/>
    <w:rsid w:val="0051494C"/>
    <w:rsid w:val="00524166"/>
    <w:rsid w:val="00524C18"/>
    <w:rsid w:val="00526722"/>
    <w:rsid w:val="005306CB"/>
    <w:rsid w:val="00532B0F"/>
    <w:rsid w:val="005336C2"/>
    <w:rsid w:val="00535CB5"/>
    <w:rsid w:val="005403E3"/>
    <w:rsid w:val="005439B1"/>
    <w:rsid w:val="00547E23"/>
    <w:rsid w:val="005508D8"/>
    <w:rsid w:val="0055461C"/>
    <w:rsid w:val="0056024F"/>
    <w:rsid w:val="0056661F"/>
    <w:rsid w:val="00567FD1"/>
    <w:rsid w:val="0057066C"/>
    <w:rsid w:val="00571EF6"/>
    <w:rsid w:val="00572DFD"/>
    <w:rsid w:val="005730D1"/>
    <w:rsid w:val="00581BA8"/>
    <w:rsid w:val="005850E0"/>
    <w:rsid w:val="00585B6C"/>
    <w:rsid w:val="0059754B"/>
    <w:rsid w:val="005B0C1B"/>
    <w:rsid w:val="005B3196"/>
    <w:rsid w:val="005B38AA"/>
    <w:rsid w:val="005B650F"/>
    <w:rsid w:val="005C183B"/>
    <w:rsid w:val="005C2C5D"/>
    <w:rsid w:val="005C58B6"/>
    <w:rsid w:val="005C5BF7"/>
    <w:rsid w:val="005C6E9C"/>
    <w:rsid w:val="005C7E3F"/>
    <w:rsid w:val="005D02D7"/>
    <w:rsid w:val="005D1D65"/>
    <w:rsid w:val="005D4EE6"/>
    <w:rsid w:val="005D5F82"/>
    <w:rsid w:val="005D73D2"/>
    <w:rsid w:val="005E2DCF"/>
    <w:rsid w:val="005E6FB3"/>
    <w:rsid w:val="005F2A19"/>
    <w:rsid w:val="00600F87"/>
    <w:rsid w:val="0060568A"/>
    <w:rsid w:val="0060622C"/>
    <w:rsid w:val="00606905"/>
    <w:rsid w:val="0061078E"/>
    <w:rsid w:val="00611B76"/>
    <w:rsid w:val="0061778F"/>
    <w:rsid w:val="00624A10"/>
    <w:rsid w:val="006262C2"/>
    <w:rsid w:val="00626C39"/>
    <w:rsid w:val="00632B77"/>
    <w:rsid w:val="0063336E"/>
    <w:rsid w:val="00633D08"/>
    <w:rsid w:val="00641435"/>
    <w:rsid w:val="00641F67"/>
    <w:rsid w:val="00643D7A"/>
    <w:rsid w:val="006468B6"/>
    <w:rsid w:val="00646D29"/>
    <w:rsid w:val="00652A6A"/>
    <w:rsid w:val="00653D6B"/>
    <w:rsid w:val="0065442A"/>
    <w:rsid w:val="00656150"/>
    <w:rsid w:val="006619C5"/>
    <w:rsid w:val="0066318F"/>
    <w:rsid w:val="0068002D"/>
    <w:rsid w:val="00681B13"/>
    <w:rsid w:val="00683C78"/>
    <w:rsid w:val="00683DEA"/>
    <w:rsid w:val="00690A40"/>
    <w:rsid w:val="006923F0"/>
    <w:rsid w:val="006927DD"/>
    <w:rsid w:val="00694575"/>
    <w:rsid w:val="006B11CA"/>
    <w:rsid w:val="006B7B89"/>
    <w:rsid w:val="006C175E"/>
    <w:rsid w:val="006C7ED2"/>
    <w:rsid w:val="006D3383"/>
    <w:rsid w:val="006D39C4"/>
    <w:rsid w:val="006D5A83"/>
    <w:rsid w:val="006D6349"/>
    <w:rsid w:val="006E11DC"/>
    <w:rsid w:val="006E1EC8"/>
    <w:rsid w:val="006E7D5B"/>
    <w:rsid w:val="006F21DD"/>
    <w:rsid w:val="006F3B9C"/>
    <w:rsid w:val="006F5537"/>
    <w:rsid w:val="006F582F"/>
    <w:rsid w:val="00702363"/>
    <w:rsid w:val="007031A2"/>
    <w:rsid w:val="007064C2"/>
    <w:rsid w:val="007143B8"/>
    <w:rsid w:val="00714539"/>
    <w:rsid w:val="00715233"/>
    <w:rsid w:val="00715A4A"/>
    <w:rsid w:val="007211BE"/>
    <w:rsid w:val="007316AA"/>
    <w:rsid w:val="007324BC"/>
    <w:rsid w:val="00732E7A"/>
    <w:rsid w:val="0073397B"/>
    <w:rsid w:val="00737FDE"/>
    <w:rsid w:val="00741B9C"/>
    <w:rsid w:val="0075323A"/>
    <w:rsid w:val="007557B3"/>
    <w:rsid w:val="00757A1C"/>
    <w:rsid w:val="0076255F"/>
    <w:rsid w:val="007637D8"/>
    <w:rsid w:val="00763D84"/>
    <w:rsid w:val="00765EBC"/>
    <w:rsid w:val="0077231B"/>
    <w:rsid w:val="00774643"/>
    <w:rsid w:val="00777D76"/>
    <w:rsid w:val="007838DE"/>
    <w:rsid w:val="007841C9"/>
    <w:rsid w:val="007842EC"/>
    <w:rsid w:val="00795DCF"/>
    <w:rsid w:val="007A1D5F"/>
    <w:rsid w:val="007A588F"/>
    <w:rsid w:val="007A6434"/>
    <w:rsid w:val="007B0074"/>
    <w:rsid w:val="007B46CD"/>
    <w:rsid w:val="007C4387"/>
    <w:rsid w:val="007C513D"/>
    <w:rsid w:val="007C5717"/>
    <w:rsid w:val="007C743C"/>
    <w:rsid w:val="007C7CCE"/>
    <w:rsid w:val="007D05BA"/>
    <w:rsid w:val="007D2FB7"/>
    <w:rsid w:val="007D40EF"/>
    <w:rsid w:val="007E1A1A"/>
    <w:rsid w:val="007E1B87"/>
    <w:rsid w:val="007E7306"/>
    <w:rsid w:val="007E7384"/>
    <w:rsid w:val="007E79C4"/>
    <w:rsid w:val="007F214D"/>
    <w:rsid w:val="007F23A8"/>
    <w:rsid w:val="007F26D3"/>
    <w:rsid w:val="007F750B"/>
    <w:rsid w:val="00801E68"/>
    <w:rsid w:val="00804604"/>
    <w:rsid w:val="0081044A"/>
    <w:rsid w:val="00810D8D"/>
    <w:rsid w:val="0081221D"/>
    <w:rsid w:val="00817FA1"/>
    <w:rsid w:val="00826961"/>
    <w:rsid w:val="00831AAD"/>
    <w:rsid w:val="008356A7"/>
    <w:rsid w:val="00835D03"/>
    <w:rsid w:val="00836428"/>
    <w:rsid w:val="00845B33"/>
    <w:rsid w:val="00847C78"/>
    <w:rsid w:val="00850523"/>
    <w:rsid w:val="00851D70"/>
    <w:rsid w:val="00852B97"/>
    <w:rsid w:val="00853C52"/>
    <w:rsid w:val="00856352"/>
    <w:rsid w:val="00866665"/>
    <w:rsid w:val="00870521"/>
    <w:rsid w:val="0087642D"/>
    <w:rsid w:val="0088040B"/>
    <w:rsid w:val="008806CE"/>
    <w:rsid w:val="00880EA0"/>
    <w:rsid w:val="00881671"/>
    <w:rsid w:val="00883B44"/>
    <w:rsid w:val="00884CFB"/>
    <w:rsid w:val="008856D7"/>
    <w:rsid w:val="00890056"/>
    <w:rsid w:val="00891E4A"/>
    <w:rsid w:val="0089523C"/>
    <w:rsid w:val="008A09CC"/>
    <w:rsid w:val="008A280C"/>
    <w:rsid w:val="008A513D"/>
    <w:rsid w:val="008B2BAF"/>
    <w:rsid w:val="008B3B6C"/>
    <w:rsid w:val="008C0716"/>
    <w:rsid w:val="008C081B"/>
    <w:rsid w:val="008C3B9B"/>
    <w:rsid w:val="008C4DE0"/>
    <w:rsid w:val="008C7B1F"/>
    <w:rsid w:val="008C7B63"/>
    <w:rsid w:val="008D171E"/>
    <w:rsid w:val="008E0859"/>
    <w:rsid w:val="008E0BBD"/>
    <w:rsid w:val="008E676C"/>
    <w:rsid w:val="008F0BDD"/>
    <w:rsid w:val="008F140B"/>
    <w:rsid w:val="008F1E08"/>
    <w:rsid w:val="008F2F99"/>
    <w:rsid w:val="008F6084"/>
    <w:rsid w:val="008F6E9F"/>
    <w:rsid w:val="00901819"/>
    <w:rsid w:val="00902E81"/>
    <w:rsid w:val="00902FBE"/>
    <w:rsid w:val="0090313C"/>
    <w:rsid w:val="00903265"/>
    <w:rsid w:val="009057C8"/>
    <w:rsid w:val="00914E75"/>
    <w:rsid w:val="009176B6"/>
    <w:rsid w:val="00920B4B"/>
    <w:rsid w:val="00923679"/>
    <w:rsid w:val="009249BC"/>
    <w:rsid w:val="00924EB9"/>
    <w:rsid w:val="00930690"/>
    <w:rsid w:val="0093193B"/>
    <w:rsid w:val="00947170"/>
    <w:rsid w:val="00947B3D"/>
    <w:rsid w:val="00956E94"/>
    <w:rsid w:val="00962312"/>
    <w:rsid w:val="009627A1"/>
    <w:rsid w:val="009712FE"/>
    <w:rsid w:val="00976874"/>
    <w:rsid w:val="00980F4B"/>
    <w:rsid w:val="00981805"/>
    <w:rsid w:val="00982110"/>
    <w:rsid w:val="00983A93"/>
    <w:rsid w:val="009875AD"/>
    <w:rsid w:val="009924AF"/>
    <w:rsid w:val="00992630"/>
    <w:rsid w:val="009953B5"/>
    <w:rsid w:val="009A7F71"/>
    <w:rsid w:val="009B51D7"/>
    <w:rsid w:val="009B5C14"/>
    <w:rsid w:val="009C1A53"/>
    <w:rsid w:val="009C324E"/>
    <w:rsid w:val="009C3EE4"/>
    <w:rsid w:val="009C41C3"/>
    <w:rsid w:val="009C7700"/>
    <w:rsid w:val="009D36C6"/>
    <w:rsid w:val="009D3BEA"/>
    <w:rsid w:val="009D3CDE"/>
    <w:rsid w:val="009D5161"/>
    <w:rsid w:val="009E02DC"/>
    <w:rsid w:val="009E4D16"/>
    <w:rsid w:val="009F12E2"/>
    <w:rsid w:val="009F1B09"/>
    <w:rsid w:val="009F2437"/>
    <w:rsid w:val="009F3358"/>
    <w:rsid w:val="009F478B"/>
    <w:rsid w:val="009F69C1"/>
    <w:rsid w:val="00A00DF2"/>
    <w:rsid w:val="00A02338"/>
    <w:rsid w:val="00A037B1"/>
    <w:rsid w:val="00A133E5"/>
    <w:rsid w:val="00A205BD"/>
    <w:rsid w:val="00A2526A"/>
    <w:rsid w:val="00A26552"/>
    <w:rsid w:val="00A269DB"/>
    <w:rsid w:val="00A3423B"/>
    <w:rsid w:val="00A40EE1"/>
    <w:rsid w:val="00A412B1"/>
    <w:rsid w:val="00A423ED"/>
    <w:rsid w:val="00A46716"/>
    <w:rsid w:val="00A51CF5"/>
    <w:rsid w:val="00A536F3"/>
    <w:rsid w:val="00A54CAE"/>
    <w:rsid w:val="00A602E4"/>
    <w:rsid w:val="00A67D35"/>
    <w:rsid w:val="00A70A67"/>
    <w:rsid w:val="00A72103"/>
    <w:rsid w:val="00A72828"/>
    <w:rsid w:val="00A75C67"/>
    <w:rsid w:val="00A77321"/>
    <w:rsid w:val="00A80428"/>
    <w:rsid w:val="00A81307"/>
    <w:rsid w:val="00A839E1"/>
    <w:rsid w:val="00A85656"/>
    <w:rsid w:val="00A90A75"/>
    <w:rsid w:val="00A91D08"/>
    <w:rsid w:val="00A97F86"/>
    <w:rsid w:val="00AA2B2F"/>
    <w:rsid w:val="00AA516E"/>
    <w:rsid w:val="00AA6318"/>
    <w:rsid w:val="00AA7FCB"/>
    <w:rsid w:val="00AB2E41"/>
    <w:rsid w:val="00AB59AE"/>
    <w:rsid w:val="00AB5BD9"/>
    <w:rsid w:val="00AB5DD7"/>
    <w:rsid w:val="00AC040C"/>
    <w:rsid w:val="00AC281F"/>
    <w:rsid w:val="00AC4924"/>
    <w:rsid w:val="00AD0AA1"/>
    <w:rsid w:val="00AD5827"/>
    <w:rsid w:val="00AE07A3"/>
    <w:rsid w:val="00AE2632"/>
    <w:rsid w:val="00AE372A"/>
    <w:rsid w:val="00AF158D"/>
    <w:rsid w:val="00AF439B"/>
    <w:rsid w:val="00AF749F"/>
    <w:rsid w:val="00B01A9C"/>
    <w:rsid w:val="00B03F03"/>
    <w:rsid w:val="00B05948"/>
    <w:rsid w:val="00B10468"/>
    <w:rsid w:val="00B14D63"/>
    <w:rsid w:val="00B17FC2"/>
    <w:rsid w:val="00B226DB"/>
    <w:rsid w:val="00B22BA0"/>
    <w:rsid w:val="00B233BF"/>
    <w:rsid w:val="00B243DF"/>
    <w:rsid w:val="00B275A9"/>
    <w:rsid w:val="00B27B0E"/>
    <w:rsid w:val="00B306C0"/>
    <w:rsid w:val="00B3396F"/>
    <w:rsid w:val="00B3494E"/>
    <w:rsid w:val="00B357BD"/>
    <w:rsid w:val="00B37BCB"/>
    <w:rsid w:val="00B40DBF"/>
    <w:rsid w:val="00B41091"/>
    <w:rsid w:val="00B41912"/>
    <w:rsid w:val="00B44231"/>
    <w:rsid w:val="00B457C4"/>
    <w:rsid w:val="00B4746C"/>
    <w:rsid w:val="00B54060"/>
    <w:rsid w:val="00B56D83"/>
    <w:rsid w:val="00B579B9"/>
    <w:rsid w:val="00B67EEC"/>
    <w:rsid w:val="00B71178"/>
    <w:rsid w:val="00B75A51"/>
    <w:rsid w:val="00B831C4"/>
    <w:rsid w:val="00B8386A"/>
    <w:rsid w:val="00B83AE2"/>
    <w:rsid w:val="00B914A2"/>
    <w:rsid w:val="00B91F2C"/>
    <w:rsid w:val="00B9541E"/>
    <w:rsid w:val="00BA0FDF"/>
    <w:rsid w:val="00BA4CDE"/>
    <w:rsid w:val="00BA59FC"/>
    <w:rsid w:val="00BA7601"/>
    <w:rsid w:val="00BB0488"/>
    <w:rsid w:val="00BB0F48"/>
    <w:rsid w:val="00BB3ED5"/>
    <w:rsid w:val="00BB4AB9"/>
    <w:rsid w:val="00BB5B21"/>
    <w:rsid w:val="00BC07C0"/>
    <w:rsid w:val="00BC3D1C"/>
    <w:rsid w:val="00BD15C7"/>
    <w:rsid w:val="00BD3CFF"/>
    <w:rsid w:val="00BD4509"/>
    <w:rsid w:val="00BE0594"/>
    <w:rsid w:val="00BE1EA7"/>
    <w:rsid w:val="00BE251E"/>
    <w:rsid w:val="00BE49E2"/>
    <w:rsid w:val="00BE59BD"/>
    <w:rsid w:val="00BF71AB"/>
    <w:rsid w:val="00BF7FF5"/>
    <w:rsid w:val="00C0174A"/>
    <w:rsid w:val="00C040C7"/>
    <w:rsid w:val="00C05D9B"/>
    <w:rsid w:val="00C100FD"/>
    <w:rsid w:val="00C10CD9"/>
    <w:rsid w:val="00C11D88"/>
    <w:rsid w:val="00C15C21"/>
    <w:rsid w:val="00C16854"/>
    <w:rsid w:val="00C171AB"/>
    <w:rsid w:val="00C17554"/>
    <w:rsid w:val="00C214BA"/>
    <w:rsid w:val="00C216CE"/>
    <w:rsid w:val="00C26130"/>
    <w:rsid w:val="00C275FC"/>
    <w:rsid w:val="00C315B6"/>
    <w:rsid w:val="00C3607A"/>
    <w:rsid w:val="00C376F3"/>
    <w:rsid w:val="00C4132F"/>
    <w:rsid w:val="00C4382E"/>
    <w:rsid w:val="00C4542A"/>
    <w:rsid w:val="00C463D2"/>
    <w:rsid w:val="00C50D12"/>
    <w:rsid w:val="00C513EA"/>
    <w:rsid w:val="00C54EFC"/>
    <w:rsid w:val="00C62A44"/>
    <w:rsid w:val="00C65EDE"/>
    <w:rsid w:val="00C72F4B"/>
    <w:rsid w:val="00C771B5"/>
    <w:rsid w:val="00C80304"/>
    <w:rsid w:val="00C80A39"/>
    <w:rsid w:val="00C81936"/>
    <w:rsid w:val="00C84C4C"/>
    <w:rsid w:val="00C87FCE"/>
    <w:rsid w:val="00C92E71"/>
    <w:rsid w:val="00C940A5"/>
    <w:rsid w:val="00C941B5"/>
    <w:rsid w:val="00CA06D4"/>
    <w:rsid w:val="00CA1702"/>
    <w:rsid w:val="00CA5A13"/>
    <w:rsid w:val="00CA5CC2"/>
    <w:rsid w:val="00CA7D78"/>
    <w:rsid w:val="00CB1D77"/>
    <w:rsid w:val="00CB1F56"/>
    <w:rsid w:val="00CB21FC"/>
    <w:rsid w:val="00CB631F"/>
    <w:rsid w:val="00CC5314"/>
    <w:rsid w:val="00CD5276"/>
    <w:rsid w:val="00CE440F"/>
    <w:rsid w:val="00CE75BB"/>
    <w:rsid w:val="00CF0170"/>
    <w:rsid w:val="00CF5003"/>
    <w:rsid w:val="00D0019C"/>
    <w:rsid w:val="00D006F0"/>
    <w:rsid w:val="00D058CC"/>
    <w:rsid w:val="00D116B3"/>
    <w:rsid w:val="00D1204F"/>
    <w:rsid w:val="00D1385A"/>
    <w:rsid w:val="00D16D96"/>
    <w:rsid w:val="00D17F80"/>
    <w:rsid w:val="00D23133"/>
    <w:rsid w:val="00D2792E"/>
    <w:rsid w:val="00D27DCA"/>
    <w:rsid w:val="00D3182B"/>
    <w:rsid w:val="00D3498B"/>
    <w:rsid w:val="00D35918"/>
    <w:rsid w:val="00D35D5F"/>
    <w:rsid w:val="00D52AD6"/>
    <w:rsid w:val="00D610A5"/>
    <w:rsid w:val="00D66DB7"/>
    <w:rsid w:val="00D75066"/>
    <w:rsid w:val="00D7610A"/>
    <w:rsid w:val="00D7726A"/>
    <w:rsid w:val="00D8254C"/>
    <w:rsid w:val="00D83EC9"/>
    <w:rsid w:val="00D861C1"/>
    <w:rsid w:val="00D86901"/>
    <w:rsid w:val="00D92835"/>
    <w:rsid w:val="00D94424"/>
    <w:rsid w:val="00D94A95"/>
    <w:rsid w:val="00D94B72"/>
    <w:rsid w:val="00D94D1C"/>
    <w:rsid w:val="00D97C86"/>
    <w:rsid w:val="00DA0F1D"/>
    <w:rsid w:val="00DA1CE7"/>
    <w:rsid w:val="00DA6DB6"/>
    <w:rsid w:val="00DB1875"/>
    <w:rsid w:val="00DB476E"/>
    <w:rsid w:val="00DB652B"/>
    <w:rsid w:val="00DC002D"/>
    <w:rsid w:val="00DC01F2"/>
    <w:rsid w:val="00DC3497"/>
    <w:rsid w:val="00DC41C9"/>
    <w:rsid w:val="00DC5473"/>
    <w:rsid w:val="00DC6055"/>
    <w:rsid w:val="00DC6208"/>
    <w:rsid w:val="00DC62CF"/>
    <w:rsid w:val="00DC6A3F"/>
    <w:rsid w:val="00DD0B51"/>
    <w:rsid w:val="00DD2361"/>
    <w:rsid w:val="00DD2F76"/>
    <w:rsid w:val="00DD3163"/>
    <w:rsid w:val="00DD3996"/>
    <w:rsid w:val="00DE6FE8"/>
    <w:rsid w:val="00DF08BB"/>
    <w:rsid w:val="00DF75F9"/>
    <w:rsid w:val="00E049D9"/>
    <w:rsid w:val="00E07132"/>
    <w:rsid w:val="00E114C5"/>
    <w:rsid w:val="00E11957"/>
    <w:rsid w:val="00E11F88"/>
    <w:rsid w:val="00E13D93"/>
    <w:rsid w:val="00E162F5"/>
    <w:rsid w:val="00E246F2"/>
    <w:rsid w:val="00E2B792"/>
    <w:rsid w:val="00E302FA"/>
    <w:rsid w:val="00E307F3"/>
    <w:rsid w:val="00E3230E"/>
    <w:rsid w:val="00E35775"/>
    <w:rsid w:val="00E37102"/>
    <w:rsid w:val="00E40568"/>
    <w:rsid w:val="00E41167"/>
    <w:rsid w:val="00E415EE"/>
    <w:rsid w:val="00E4440A"/>
    <w:rsid w:val="00E46E57"/>
    <w:rsid w:val="00E55CF3"/>
    <w:rsid w:val="00E62CBB"/>
    <w:rsid w:val="00E67000"/>
    <w:rsid w:val="00E6788F"/>
    <w:rsid w:val="00E719BE"/>
    <w:rsid w:val="00E7295B"/>
    <w:rsid w:val="00E826D1"/>
    <w:rsid w:val="00E95CF7"/>
    <w:rsid w:val="00E973DD"/>
    <w:rsid w:val="00EA0EEB"/>
    <w:rsid w:val="00EA4B78"/>
    <w:rsid w:val="00EB2D27"/>
    <w:rsid w:val="00EB31AF"/>
    <w:rsid w:val="00EB62E2"/>
    <w:rsid w:val="00EB718E"/>
    <w:rsid w:val="00EC28E4"/>
    <w:rsid w:val="00EC7505"/>
    <w:rsid w:val="00ED176D"/>
    <w:rsid w:val="00ED2912"/>
    <w:rsid w:val="00ED2DCC"/>
    <w:rsid w:val="00EE247E"/>
    <w:rsid w:val="00EE6BB2"/>
    <w:rsid w:val="00EF013E"/>
    <w:rsid w:val="00EF26B1"/>
    <w:rsid w:val="00EF2BE5"/>
    <w:rsid w:val="00EF3FA4"/>
    <w:rsid w:val="00EF668A"/>
    <w:rsid w:val="00F042FA"/>
    <w:rsid w:val="00F1246B"/>
    <w:rsid w:val="00F15229"/>
    <w:rsid w:val="00F16374"/>
    <w:rsid w:val="00F16E22"/>
    <w:rsid w:val="00F22813"/>
    <w:rsid w:val="00F23CD7"/>
    <w:rsid w:val="00F2442A"/>
    <w:rsid w:val="00F30CD2"/>
    <w:rsid w:val="00F32FDA"/>
    <w:rsid w:val="00F33A60"/>
    <w:rsid w:val="00F36361"/>
    <w:rsid w:val="00F4107A"/>
    <w:rsid w:val="00F43977"/>
    <w:rsid w:val="00F43AB7"/>
    <w:rsid w:val="00F43D69"/>
    <w:rsid w:val="00F4482C"/>
    <w:rsid w:val="00F45D83"/>
    <w:rsid w:val="00F51AFD"/>
    <w:rsid w:val="00F547E7"/>
    <w:rsid w:val="00F54D1B"/>
    <w:rsid w:val="00F574E4"/>
    <w:rsid w:val="00F612FF"/>
    <w:rsid w:val="00F62B9B"/>
    <w:rsid w:val="00F6493F"/>
    <w:rsid w:val="00F65C28"/>
    <w:rsid w:val="00F75663"/>
    <w:rsid w:val="00F75785"/>
    <w:rsid w:val="00F811E7"/>
    <w:rsid w:val="00F84D44"/>
    <w:rsid w:val="00F86AB8"/>
    <w:rsid w:val="00F9056C"/>
    <w:rsid w:val="00F92EF4"/>
    <w:rsid w:val="00FA01E7"/>
    <w:rsid w:val="00FA6500"/>
    <w:rsid w:val="00FA6562"/>
    <w:rsid w:val="00FB08BE"/>
    <w:rsid w:val="00FB166B"/>
    <w:rsid w:val="00FB4891"/>
    <w:rsid w:val="00FC686F"/>
    <w:rsid w:val="00FC779E"/>
    <w:rsid w:val="00FC7FBE"/>
    <w:rsid w:val="00FD0D86"/>
    <w:rsid w:val="00FD47FB"/>
    <w:rsid w:val="00FD7ABE"/>
    <w:rsid w:val="00FE0378"/>
    <w:rsid w:val="00FE2347"/>
    <w:rsid w:val="00FE31FD"/>
    <w:rsid w:val="00FE5603"/>
    <w:rsid w:val="00FE7682"/>
    <w:rsid w:val="00FF098A"/>
    <w:rsid w:val="00FF50E1"/>
    <w:rsid w:val="00FF6DA9"/>
    <w:rsid w:val="016B76FC"/>
    <w:rsid w:val="016EE6A3"/>
    <w:rsid w:val="02202C39"/>
    <w:rsid w:val="02C123BC"/>
    <w:rsid w:val="037DF118"/>
    <w:rsid w:val="03A4A6FC"/>
    <w:rsid w:val="058207F6"/>
    <w:rsid w:val="05EDE6F8"/>
    <w:rsid w:val="0623EE69"/>
    <w:rsid w:val="065275CC"/>
    <w:rsid w:val="06F39D5C"/>
    <w:rsid w:val="077376EA"/>
    <w:rsid w:val="07B04A38"/>
    <w:rsid w:val="08F0C82A"/>
    <w:rsid w:val="091BEA2E"/>
    <w:rsid w:val="09A87F17"/>
    <w:rsid w:val="0A1215C1"/>
    <w:rsid w:val="0A5F6460"/>
    <w:rsid w:val="0B20DFAE"/>
    <w:rsid w:val="0B260B99"/>
    <w:rsid w:val="0C2E768B"/>
    <w:rsid w:val="0CC35575"/>
    <w:rsid w:val="0D192D2C"/>
    <w:rsid w:val="0D570DB6"/>
    <w:rsid w:val="0DF99965"/>
    <w:rsid w:val="0E0A7E4E"/>
    <w:rsid w:val="0E46B46F"/>
    <w:rsid w:val="0E5C9A99"/>
    <w:rsid w:val="0EA7866D"/>
    <w:rsid w:val="0FBBB986"/>
    <w:rsid w:val="11319161"/>
    <w:rsid w:val="1144E60D"/>
    <w:rsid w:val="115DC618"/>
    <w:rsid w:val="11DDF682"/>
    <w:rsid w:val="12B9E8C7"/>
    <w:rsid w:val="13196E9C"/>
    <w:rsid w:val="13753D46"/>
    <w:rsid w:val="13BEEC54"/>
    <w:rsid w:val="155BB5FD"/>
    <w:rsid w:val="157BF67D"/>
    <w:rsid w:val="158E7D9C"/>
    <w:rsid w:val="15A52E0B"/>
    <w:rsid w:val="15B173D6"/>
    <w:rsid w:val="15BDCBC1"/>
    <w:rsid w:val="16203C80"/>
    <w:rsid w:val="163850C4"/>
    <w:rsid w:val="1730ADBE"/>
    <w:rsid w:val="176B188E"/>
    <w:rsid w:val="18246823"/>
    <w:rsid w:val="18797693"/>
    <w:rsid w:val="187E5581"/>
    <w:rsid w:val="1884C082"/>
    <w:rsid w:val="1979323D"/>
    <w:rsid w:val="1A332606"/>
    <w:rsid w:val="1A3CCD03"/>
    <w:rsid w:val="1B08E478"/>
    <w:rsid w:val="1B344E34"/>
    <w:rsid w:val="1B4673C0"/>
    <w:rsid w:val="1D1DBC5D"/>
    <w:rsid w:val="1DFCBF2A"/>
    <w:rsid w:val="1F76C8F5"/>
    <w:rsid w:val="1FA367C2"/>
    <w:rsid w:val="20EBB8F7"/>
    <w:rsid w:val="218B3E02"/>
    <w:rsid w:val="218FBFF1"/>
    <w:rsid w:val="226F110F"/>
    <w:rsid w:val="22A41945"/>
    <w:rsid w:val="22B1C410"/>
    <w:rsid w:val="234D386E"/>
    <w:rsid w:val="23DCFDA4"/>
    <w:rsid w:val="23DE15B8"/>
    <w:rsid w:val="253FB1B5"/>
    <w:rsid w:val="269080FC"/>
    <w:rsid w:val="27553789"/>
    <w:rsid w:val="27A620C6"/>
    <w:rsid w:val="28DA79AB"/>
    <w:rsid w:val="28EECC79"/>
    <w:rsid w:val="292EA93B"/>
    <w:rsid w:val="29410317"/>
    <w:rsid w:val="296C5C4C"/>
    <w:rsid w:val="29831BD7"/>
    <w:rsid w:val="29A6D6DA"/>
    <w:rsid w:val="2A642E46"/>
    <w:rsid w:val="2AD0D9CE"/>
    <w:rsid w:val="2B392193"/>
    <w:rsid w:val="2C397015"/>
    <w:rsid w:val="2CBF2B5A"/>
    <w:rsid w:val="2F1DF178"/>
    <w:rsid w:val="2F778CE2"/>
    <w:rsid w:val="2F9E912E"/>
    <w:rsid w:val="300FFFDA"/>
    <w:rsid w:val="31252619"/>
    <w:rsid w:val="31E91F5F"/>
    <w:rsid w:val="320350E4"/>
    <w:rsid w:val="32194290"/>
    <w:rsid w:val="32902837"/>
    <w:rsid w:val="329D74B2"/>
    <w:rsid w:val="32CE6EB0"/>
    <w:rsid w:val="330D2E88"/>
    <w:rsid w:val="33A7E4E3"/>
    <w:rsid w:val="3401CC8F"/>
    <w:rsid w:val="34071FDF"/>
    <w:rsid w:val="34FCE754"/>
    <w:rsid w:val="35010136"/>
    <w:rsid w:val="350D4FBA"/>
    <w:rsid w:val="35E0C3FA"/>
    <w:rsid w:val="35FFDCEA"/>
    <w:rsid w:val="36248C94"/>
    <w:rsid w:val="36698C65"/>
    <w:rsid w:val="36B18503"/>
    <w:rsid w:val="374F6D85"/>
    <w:rsid w:val="38AF2B9D"/>
    <w:rsid w:val="38E880AD"/>
    <w:rsid w:val="38F57661"/>
    <w:rsid w:val="3AAB231F"/>
    <w:rsid w:val="3AC52121"/>
    <w:rsid w:val="3B8D0172"/>
    <w:rsid w:val="3C106E66"/>
    <w:rsid w:val="3C22DEA8"/>
    <w:rsid w:val="3C46F380"/>
    <w:rsid w:val="3D16E234"/>
    <w:rsid w:val="3ED105E0"/>
    <w:rsid w:val="3ED7C5F5"/>
    <w:rsid w:val="3EEAC5B8"/>
    <w:rsid w:val="3F091A38"/>
    <w:rsid w:val="3F6AF0F3"/>
    <w:rsid w:val="41633409"/>
    <w:rsid w:val="4173955E"/>
    <w:rsid w:val="4186E157"/>
    <w:rsid w:val="42B3DD44"/>
    <w:rsid w:val="432576C6"/>
    <w:rsid w:val="437F0576"/>
    <w:rsid w:val="43800E86"/>
    <w:rsid w:val="4496B131"/>
    <w:rsid w:val="44BDD822"/>
    <w:rsid w:val="4512B00F"/>
    <w:rsid w:val="45724E8E"/>
    <w:rsid w:val="46233A8A"/>
    <w:rsid w:val="4648CD1B"/>
    <w:rsid w:val="472DD8F8"/>
    <w:rsid w:val="48EDE301"/>
    <w:rsid w:val="495E9746"/>
    <w:rsid w:val="4977423C"/>
    <w:rsid w:val="4B77CCA7"/>
    <w:rsid w:val="4CE4159E"/>
    <w:rsid w:val="4DBBC2FB"/>
    <w:rsid w:val="4E3CF5E2"/>
    <w:rsid w:val="4E989D9B"/>
    <w:rsid w:val="4EB00DF3"/>
    <w:rsid w:val="4F1BA05E"/>
    <w:rsid w:val="50041497"/>
    <w:rsid w:val="506F52A2"/>
    <w:rsid w:val="50CD1A58"/>
    <w:rsid w:val="50EC354D"/>
    <w:rsid w:val="51452611"/>
    <w:rsid w:val="5156FF1B"/>
    <w:rsid w:val="51BD08B6"/>
    <w:rsid w:val="51ED0278"/>
    <w:rsid w:val="524557CC"/>
    <w:rsid w:val="53635E3B"/>
    <w:rsid w:val="53F3E0D5"/>
    <w:rsid w:val="54033A6D"/>
    <w:rsid w:val="5547FD5E"/>
    <w:rsid w:val="57630A48"/>
    <w:rsid w:val="57D02B4A"/>
    <w:rsid w:val="57D71222"/>
    <w:rsid w:val="596DB1CB"/>
    <w:rsid w:val="59BC39E4"/>
    <w:rsid w:val="59EE4B9B"/>
    <w:rsid w:val="5AFFF0AB"/>
    <w:rsid w:val="5B3F1B3B"/>
    <w:rsid w:val="5B67D143"/>
    <w:rsid w:val="5B6A12E9"/>
    <w:rsid w:val="5BF6CDEF"/>
    <w:rsid w:val="5C8D2CE0"/>
    <w:rsid w:val="5C907111"/>
    <w:rsid w:val="5CB31BDA"/>
    <w:rsid w:val="5D28B35A"/>
    <w:rsid w:val="5D3A325B"/>
    <w:rsid w:val="5DADC05B"/>
    <w:rsid w:val="5ECECFC9"/>
    <w:rsid w:val="6020FB45"/>
    <w:rsid w:val="60A87A48"/>
    <w:rsid w:val="616AA5FB"/>
    <w:rsid w:val="6172A383"/>
    <w:rsid w:val="61AC7D65"/>
    <w:rsid w:val="6249EEDC"/>
    <w:rsid w:val="6255FE5D"/>
    <w:rsid w:val="62BD9E72"/>
    <w:rsid w:val="62C99036"/>
    <w:rsid w:val="638A2CE0"/>
    <w:rsid w:val="641EF2AE"/>
    <w:rsid w:val="64C569A6"/>
    <w:rsid w:val="64DA68E0"/>
    <w:rsid w:val="64F8DF22"/>
    <w:rsid w:val="654158CB"/>
    <w:rsid w:val="65995FC9"/>
    <w:rsid w:val="65A80E70"/>
    <w:rsid w:val="65B9350C"/>
    <w:rsid w:val="65E406F2"/>
    <w:rsid w:val="67798821"/>
    <w:rsid w:val="68666523"/>
    <w:rsid w:val="68DA3140"/>
    <w:rsid w:val="68F07CBA"/>
    <w:rsid w:val="6C14433F"/>
    <w:rsid w:val="6C154DCA"/>
    <w:rsid w:val="6D8DF70B"/>
    <w:rsid w:val="6E279557"/>
    <w:rsid w:val="6F12DFD6"/>
    <w:rsid w:val="6F40C7A4"/>
    <w:rsid w:val="6F6E21F9"/>
    <w:rsid w:val="6FD8D0D4"/>
    <w:rsid w:val="70B2550E"/>
    <w:rsid w:val="70C0AA6C"/>
    <w:rsid w:val="71014DBD"/>
    <w:rsid w:val="71439671"/>
    <w:rsid w:val="72F1E5E9"/>
    <w:rsid w:val="7453DA8A"/>
    <w:rsid w:val="74FB2C84"/>
    <w:rsid w:val="75966B1C"/>
    <w:rsid w:val="75DAB32D"/>
    <w:rsid w:val="761E7B2C"/>
    <w:rsid w:val="7660DFA9"/>
    <w:rsid w:val="77E5A365"/>
    <w:rsid w:val="78065DEF"/>
    <w:rsid w:val="7812768C"/>
    <w:rsid w:val="795F6A3A"/>
    <w:rsid w:val="7993C275"/>
    <w:rsid w:val="79D7B6DC"/>
    <w:rsid w:val="7A1D1BA3"/>
    <w:rsid w:val="7A21773F"/>
    <w:rsid w:val="7B40BFCD"/>
    <w:rsid w:val="7C45C412"/>
    <w:rsid w:val="7C46A0C8"/>
    <w:rsid w:val="7C47C71E"/>
    <w:rsid w:val="7C502E8B"/>
    <w:rsid w:val="7CB30732"/>
    <w:rsid w:val="7D6FB6C4"/>
    <w:rsid w:val="7D84242B"/>
    <w:rsid w:val="7FB4E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6A4BC44"/>
  <w15:chartTrackingRefBased/>
  <w15:docId w15:val="{8F6A88F7-2961-4B1A-B514-78243EFD9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kern w:val="28"/>
        <w:sz w:val="24"/>
        <w:szCs w:val="24"/>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C41C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C41C9"/>
    <w:pPr>
      <w:tabs>
        <w:tab w:val="center" w:pos="4320"/>
        <w:tab w:val="right" w:pos="8640"/>
      </w:tabs>
    </w:pPr>
  </w:style>
  <w:style w:type="paragraph" w:styleId="Footer">
    <w:name w:val="footer"/>
    <w:basedOn w:val="Normal"/>
    <w:link w:val="FooterChar"/>
    <w:uiPriority w:val="99"/>
    <w:rsid w:val="00DC41C9"/>
    <w:pPr>
      <w:tabs>
        <w:tab w:val="center" w:pos="4320"/>
        <w:tab w:val="right" w:pos="8640"/>
      </w:tabs>
    </w:pPr>
  </w:style>
  <w:style w:type="paragraph" w:styleId="BodyText">
    <w:name w:val="Body Text"/>
    <w:aliases w:val="bt"/>
    <w:basedOn w:val="Normal"/>
    <w:rsid w:val="004F34E5"/>
    <w:rPr>
      <w:kern w:val="0"/>
    </w:rPr>
  </w:style>
  <w:style w:type="character" w:styleId="Hyperlink">
    <w:name w:val="Hyperlink"/>
    <w:uiPriority w:val="99"/>
    <w:rsid w:val="004F34E5"/>
    <w:rPr>
      <w:color w:val="0000FF"/>
      <w:u w:val="single"/>
    </w:rPr>
  </w:style>
  <w:style w:type="paragraph" w:styleId="BalloonText">
    <w:name w:val="Balloon Text"/>
    <w:basedOn w:val="Normal"/>
    <w:semiHidden/>
    <w:rsid w:val="00136514"/>
    <w:rPr>
      <w:rFonts w:ascii="Tahoma" w:hAnsi="Tahoma" w:cs="Tahoma"/>
      <w:sz w:val="16"/>
      <w:szCs w:val="16"/>
    </w:rPr>
  </w:style>
  <w:style w:type="character" w:customStyle="1" w:styleId="cthomas">
    <w:name w:val="cthomas"/>
    <w:semiHidden/>
    <w:rsid w:val="002E34EA"/>
    <w:rPr>
      <w:rFonts w:ascii="Arial" w:hAnsi="Arial" w:cs="Arial"/>
      <w:color w:val="auto"/>
      <w:sz w:val="20"/>
      <w:szCs w:val="20"/>
    </w:rPr>
  </w:style>
  <w:style w:type="paragraph" w:styleId="NormalWeb">
    <w:name w:val="Normal (Web)"/>
    <w:basedOn w:val="Normal"/>
    <w:rsid w:val="002C57BC"/>
    <w:pPr>
      <w:spacing w:before="100" w:beforeAutospacing="1" w:after="100" w:afterAutospacing="1"/>
    </w:pPr>
    <w:rPr>
      <w:kern w:val="0"/>
    </w:rPr>
  </w:style>
  <w:style w:type="character" w:customStyle="1" w:styleId="apple-converted-space">
    <w:name w:val="apple-converted-space"/>
    <w:basedOn w:val="DefaultParagraphFont"/>
    <w:rsid w:val="002C57BC"/>
  </w:style>
  <w:style w:type="character" w:styleId="Strong">
    <w:name w:val="Strong"/>
    <w:qFormat/>
    <w:rsid w:val="002C57BC"/>
    <w:rPr>
      <w:b/>
      <w:bCs/>
    </w:rPr>
  </w:style>
  <w:style w:type="character" w:styleId="Emphasis">
    <w:name w:val="Emphasis"/>
    <w:uiPriority w:val="20"/>
    <w:qFormat/>
    <w:rsid w:val="002C57BC"/>
    <w:rPr>
      <w:i/>
      <w:iCs/>
    </w:rPr>
  </w:style>
  <w:style w:type="paragraph" w:styleId="BodyText2">
    <w:name w:val="Body Text 2"/>
    <w:basedOn w:val="Normal"/>
    <w:rsid w:val="007143B8"/>
    <w:pPr>
      <w:spacing w:after="120" w:line="480" w:lineRule="auto"/>
    </w:pPr>
  </w:style>
  <w:style w:type="paragraph" w:styleId="ListParagraph">
    <w:name w:val="List Paragraph"/>
    <w:basedOn w:val="Normal"/>
    <w:uiPriority w:val="34"/>
    <w:qFormat/>
    <w:rsid w:val="004D3EE9"/>
    <w:pPr>
      <w:spacing w:after="200" w:line="276" w:lineRule="auto"/>
      <w:ind w:left="720"/>
      <w:contextualSpacing/>
    </w:pPr>
    <w:rPr>
      <w:rFonts w:ascii="Calibri" w:eastAsia="Calibri" w:hAnsi="Calibri"/>
      <w:kern w:val="0"/>
      <w:sz w:val="22"/>
      <w:szCs w:val="22"/>
    </w:rPr>
  </w:style>
  <w:style w:type="character" w:customStyle="1" w:styleId="FooterChar">
    <w:name w:val="Footer Char"/>
    <w:link w:val="Footer"/>
    <w:uiPriority w:val="99"/>
    <w:rsid w:val="004B1E4E"/>
    <w:rPr>
      <w:color w:val="000000"/>
      <w:kern w:val="28"/>
    </w:rPr>
  </w:style>
  <w:style w:type="paragraph" w:styleId="FootnoteText">
    <w:name w:val="footnote text"/>
    <w:basedOn w:val="Normal"/>
    <w:link w:val="FootnoteTextChar"/>
    <w:rsid w:val="00D17F80"/>
  </w:style>
  <w:style w:type="character" w:customStyle="1" w:styleId="FootnoteTextChar">
    <w:name w:val="Footnote Text Char"/>
    <w:link w:val="FootnoteText"/>
    <w:rsid w:val="00D17F80"/>
    <w:rPr>
      <w:color w:val="000000"/>
      <w:kern w:val="28"/>
    </w:rPr>
  </w:style>
  <w:style w:type="character" w:styleId="FootnoteReference">
    <w:name w:val="footnote reference"/>
    <w:rsid w:val="00D17F80"/>
    <w:rPr>
      <w:vertAlign w:val="superscript"/>
    </w:rPr>
  </w:style>
  <w:style w:type="character" w:styleId="CommentReference">
    <w:name w:val="annotation reference"/>
    <w:rsid w:val="00DD3996"/>
    <w:rPr>
      <w:sz w:val="16"/>
      <w:szCs w:val="16"/>
    </w:rPr>
  </w:style>
  <w:style w:type="paragraph" w:styleId="CommentText">
    <w:name w:val="annotation text"/>
    <w:basedOn w:val="Normal"/>
    <w:link w:val="CommentTextChar"/>
    <w:rsid w:val="00DD3996"/>
  </w:style>
  <w:style w:type="character" w:customStyle="1" w:styleId="CommentTextChar">
    <w:name w:val="Comment Text Char"/>
    <w:link w:val="CommentText"/>
    <w:rsid w:val="00DD3996"/>
    <w:rPr>
      <w:color w:val="000000"/>
      <w:kern w:val="28"/>
    </w:rPr>
  </w:style>
  <w:style w:type="paragraph" w:styleId="CommentSubject">
    <w:name w:val="annotation subject"/>
    <w:basedOn w:val="CommentText"/>
    <w:next w:val="CommentText"/>
    <w:link w:val="CommentSubjectChar"/>
    <w:rsid w:val="00DD3996"/>
    <w:rPr>
      <w:b/>
      <w:bCs/>
    </w:rPr>
  </w:style>
  <w:style w:type="character" w:customStyle="1" w:styleId="CommentSubjectChar">
    <w:name w:val="Comment Subject Char"/>
    <w:link w:val="CommentSubject"/>
    <w:rsid w:val="00DD3996"/>
    <w:rPr>
      <w:b/>
      <w:bCs/>
      <w:color w:val="000000"/>
      <w:kern w:val="28"/>
    </w:rPr>
  </w:style>
  <w:style w:type="character" w:styleId="UnresolvedMention">
    <w:name w:val="Unresolved Mention"/>
    <w:basedOn w:val="DefaultParagraphFont"/>
    <w:uiPriority w:val="99"/>
    <w:semiHidden/>
    <w:unhideWhenUsed/>
    <w:rsid w:val="0090313C"/>
    <w:rPr>
      <w:color w:val="605E5C"/>
      <w:shd w:val="clear" w:color="auto" w:fill="E1DFDD"/>
    </w:rPr>
  </w:style>
  <w:style w:type="character" w:customStyle="1" w:styleId="normaltextrun">
    <w:name w:val="normaltextrun"/>
    <w:basedOn w:val="DefaultParagraphFont"/>
    <w:rsid w:val="0057066C"/>
  </w:style>
  <w:style w:type="character" w:styleId="FollowedHyperlink">
    <w:name w:val="FollowedHyperlink"/>
    <w:basedOn w:val="DefaultParagraphFont"/>
    <w:rsid w:val="00DD0B51"/>
    <w:rPr>
      <w:color w:val="954F72" w:themeColor="followedHyperlink"/>
      <w:u w:val="single"/>
    </w:rPr>
  </w:style>
  <w:style w:type="paragraph" w:styleId="Revision">
    <w:name w:val="Revision"/>
    <w:hidden/>
    <w:uiPriority w:val="99"/>
    <w:semiHidden/>
    <w:rsid w:val="00D94D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528531">
      <w:bodyDiv w:val="1"/>
      <w:marLeft w:val="0"/>
      <w:marRight w:val="0"/>
      <w:marTop w:val="0"/>
      <w:marBottom w:val="0"/>
      <w:divBdr>
        <w:top w:val="none" w:sz="0" w:space="0" w:color="auto"/>
        <w:left w:val="none" w:sz="0" w:space="0" w:color="auto"/>
        <w:bottom w:val="none" w:sz="0" w:space="0" w:color="auto"/>
        <w:right w:val="none" w:sz="0" w:space="0" w:color="auto"/>
      </w:divBdr>
    </w:div>
    <w:div w:id="482504726">
      <w:bodyDiv w:val="1"/>
      <w:marLeft w:val="0"/>
      <w:marRight w:val="0"/>
      <w:marTop w:val="0"/>
      <w:marBottom w:val="0"/>
      <w:divBdr>
        <w:top w:val="none" w:sz="0" w:space="0" w:color="auto"/>
        <w:left w:val="none" w:sz="0" w:space="0" w:color="auto"/>
        <w:bottom w:val="none" w:sz="0" w:space="0" w:color="auto"/>
        <w:right w:val="none" w:sz="0" w:space="0" w:color="auto"/>
      </w:divBdr>
    </w:div>
    <w:div w:id="715279104">
      <w:bodyDiv w:val="1"/>
      <w:marLeft w:val="0"/>
      <w:marRight w:val="0"/>
      <w:marTop w:val="0"/>
      <w:marBottom w:val="0"/>
      <w:divBdr>
        <w:top w:val="none" w:sz="0" w:space="0" w:color="auto"/>
        <w:left w:val="none" w:sz="0" w:space="0" w:color="auto"/>
        <w:bottom w:val="none" w:sz="0" w:space="0" w:color="auto"/>
        <w:right w:val="none" w:sz="0" w:space="0" w:color="auto"/>
      </w:divBdr>
    </w:div>
    <w:div w:id="988824248">
      <w:bodyDiv w:val="1"/>
      <w:marLeft w:val="0"/>
      <w:marRight w:val="0"/>
      <w:marTop w:val="0"/>
      <w:marBottom w:val="0"/>
      <w:divBdr>
        <w:top w:val="none" w:sz="0" w:space="0" w:color="auto"/>
        <w:left w:val="none" w:sz="0" w:space="0" w:color="auto"/>
        <w:bottom w:val="none" w:sz="0" w:space="0" w:color="auto"/>
        <w:right w:val="none" w:sz="0" w:space="0" w:color="auto"/>
      </w:divBdr>
    </w:div>
    <w:div w:id="1312754747">
      <w:bodyDiv w:val="1"/>
      <w:marLeft w:val="0"/>
      <w:marRight w:val="0"/>
      <w:marTop w:val="0"/>
      <w:marBottom w:val="0"/>
      <w:divBdr>
        <w:top w:val="none" w:sz="0" w:space="0" w:color="auto"/>
        <w:left w:val="none" w:sz="0" w:space="0" w:color="auto"/>
        <w:bottom w:val="none" w:sz="0" w:space="0" w:color="auto"/>
        <w:right w:val="none" w:sz="0" w:space="0" w:color="auto"/>
      </w:divBdr>
    </w:div>
    <w:div w:id="1430926390">
      <w:bodyDiv w:val="1"/>
      <w:marLeft w:val="0"/>
      <w:marRight w:val="0"/>
      <w:marTop w:val="0"/>
      <w:marBottom w:val="0"/>
      <w:divBdr>
        <w:top w:val="none" w:sz="0" w:space="0" w:color="auto"/>
        <w:left w:val="none" w:sz="0" w:space="0" w:color="auto"/>
        <w:bottom w:val="none" w:sz="0" w:space="0" w:color="auto"/>
        <w:right w:val="none" w:sz="0" w:space="0" w:color="auto"/>
      </w:divBdr>
    </w:div>
    <w:div w:id="1479028091">
      <w:bodyDiv w:val="1"/>
      <w:marLeft w:val="0"/>
      <w:marRight w:val="0"/>
      <w:marTop w:val="0"/>
      <w:marBottom w:val="0"/>
      <w:divBdr>
        <w:top w:val="none" w:sz="0" w:space="0" w:color="auto"/>
        <w:left w:val="none" w:sz="0" w:space="0" w:color="auto"/>
        <w:bottom w:val="none" w:sz="0" w:space="0" w:color="auto"/>
        <w:right w:val="none" w:sz="0" w:space="0" w:color="auto"/>
      </w:divBdr>
    </w:div>
    <w:div w:id="1624798998">
      <w:bodyDiv w:val="1"/>
      <w:marLeft w:val="0"/>
      <w:marRight w:val="0"/>
      <w:marTop w:val="0"/>
      <w:marBottom w:val="0"/>
      <w:divBdr>
        <w:top w:val="none" w:sz="0" w:space="0" w:color="auto"/>
        <w:left w:val="none" w:sz="0" w:space="0" w:color="auto"/>
        <w:bottom w:val="none" w:sz="0" w:space="0" w:color="auto"/>
        <w:right w:val="none" w:sz="0" w:space="0" w:color="auto"/>
      </w:divBdr>
    </w:div>
    <w:div w:id="19274195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3" Type="http://schemas.openxmlformats.org/officeDocument/2006/relationships/hyperlink" Target="https://www.amnesty.org/en/wp-content/uploads/2022/03/WEBPOL1048702022ENGLISH.pdf" TargetMode="External"/><Relationship Id="rId7" Type="http://schemas.openxmlformats.org/officeDocument/2006/relationships/hyperlink" Target="https://pchrgaza.org/en/pchr-demands-investigation-into-death-circumstances-of-detainee-in-police-custody-in-rafah/" TargetMode="External"/><Relationship Id="rId2" Type="http://schemas.openxmlformats.org/officeDocument/2006/relationships/hyperlink" Target="https://pchrgaza.org/en/death-sentence-against-a-drug-dealer-in-gaza-pchr-calls-upon-the-authorities-to-end-this-inhuman-penalty/" TargetMode="External"/><Relationship Id="rId1" Type="http://schemas.openxmlformats.org/officeDocument/2006/relationships/hyperlink" Target="https://www.shams-pal.org/eng/wp-content/uploads/2023/press-releases/press12_3_2023.pdf" TargetMode="External"/><Relationship Id="rId6" Type="http://schemas.openxmlformats.org/officeDocument/2006/relationships/hyperlink" Target="https://pchrgaza.org/en/second-case-of-this-year-palestinian-detainee-died-at-military-police-detention/" TargetMode="External"/><Relationship Id="rId5" Type="http://schemas.openxmlformats.org/officeDocument/2006/relationships/hyperlink" Target="https://www.amnesty.org/en/wp-content/uploads/2022/03/WEBPOL1048702022ENGLISH.pdf" TargetMode="External"/><Relationship Id="rId4" Type="http://schemas.openxmlformats.org/officeDocument/2006/relationships/hyperlink" Target="https://www.amnesty.org/en/wp-content/uploads/2022/03/WEBPOL1048702022ENGLISH.pdf"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BDADA77824941B327CDF72849C9BE" ma:contentTypeVersion="12" ma:contentTypeDescription="Create a new document." ma:contentTypeScope="" ma:versionID="7213085b488133520041f96dea9f09ed">
  <xsd:schema xmlns:xsd="http://www.w3.org/2001/XMLSchema" xmlns:xs="http://www.w3.org/2001/XMLSchema" xmlns:p="http://schemas.microsoft.com/office/2006/metadata/properties" xmlns:ns2="42df7cb3-2fea-4ba3-b9bf-21660104d6dd" xmlns:ns3="e968d4b9-9f0d-4b6f-81c6-222446f6098e" targetNamespace="http://schemas.microsoft.com/office/2006/metadata/properties" ma:root="true" ma:fieldsID="05b2589d9bded401c9c02f96a3cf6f82" ns2:_="" ns3:_="">
    <xsd:import namespace="42df7cb3-2fea-4ba3-b9bf-21660104d6dd"/>
    <xsd:import namespace="e968d4b9-9f0d-4b6f-81c6-222446f6098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ServiceDateTake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2df7cb3-2fea-4ba3-b9bf-21660104d6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968d4b9-9f0d-4b6f-81c6-222446f6098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LongProperties xmlns="http://schemas.microsoft.com/office/2006/metadata/long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haredWithUsers xmlns="e968d4b9-9f0d-4b6f-81c6-222446f6098e">
      <UserInfo>
        <DisplayName>Amy Bergquist</DisplayName>
        <AccountId>44</AccountId>
        <AccountType/>
      </UserInfo>
    </SharedWithUsers>
    <MediaLengthInSeconds xmlns="42df7cb3-2fea-4ba3-b9bf-21660104d6dd" xsi:nil="true"/>
  </documentManagement>
</p:properties>
</file>

<file path=customXml/itemProps1.xml><?xml version="1.0" encoding="utf-8"?>
<ds:datastoreItem xmlns:ds="http://schemas.openxmlformats.org/officeDocument/2006/customXml" ds:itemID="{3C9E05D5-D229-41B6-B48F-DE5E1560DDF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2df7cb3-2fea-4ba3-b9bf-21660104d6dd"/>
    <ds:schemaRef ds:uri="e968d4b9-9f0d-4b6f-81c6-222446f6098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3540FA-63B9-4F6A-B043-62B4C63AC5ED}">
  <ds:schemaRefs>
    <ds:schemaRef ds:uri="http://schemas.openxmlformats.org/officeDocument/2006/bibliography"/>
  </ds:schemaRefs>
</ds:datastoreItem>
</file>

<file path=customXml/itemProps3.xml><?xml version="1.0" encoding="utf-8"?>
<ds:datastoreItem xmlns:ds="http://schemas.openxmlformats.org/officeDocument/2006/customXml" ds:itemID="{E5666974-8AB2-419D-892B-A5759F61C585}">
  <ds:schemaRefs>
    <ds:schemaRef ds:uri="http://schemas.microsoft.com/office/2006/metadata/longProperties"/>
  </ds:schemaRefs>
</ds:datastoreItem>
</file>

<file path=customXml/itemProps4.xml><?xml version="1.0" encoding="utf-8"?>
<ds:datastoreItem xmlns:ds="http://schemas.openxmlformats.org/officeDocument/2006/customXml" ds:itemID="{A55CEA42-45A5-4DA1-8159-46BE07E12372}">
  <ds:schemaRefs>
    <ds:schemaRef ds:uri="http://schemas.microsoft.com/sharepoint/v3/contenttype/forms"/>
  </ds:schemaRefs>
</ds:datastoreItem>
</file>

<file path=customXml/itemProps5.xml><?xml version="1.0" encoding="utf-8"?>
<ds:datastoreItem xmlns:ds="http://schemas.openxmlformats.org/officeDocument/2006/customXml" ds:itemID="{DBDE3E44-F393-47EA-8149-AE595556AE50}">
  <ds:schemaRefs>
    <ds:schemaRef ds:uri="http://schemas.openxmlformats.org/package/2006/metadata/core-properties"/>
    <ds:schemaRef ds:uri="http://schemas.microsoft.com/office/2006/metadata/properties"/>
    <ds:schemaRef ds:uri="e968d4b9-9f0d-4b6f-81c6-222446f6098e"/>
    <ds:schemaRef ds:uri="http://schemas.microsoft.com/office/2006/documentManagement/types"/>
    <ds:schemaRef ds:uri="http://purl.org/dc/elements/1.1/"/>
    <ds:schemaRef ds:uri="http://purl.org/dc/terms/"/>
    <ds:schemaRef ds:uri="42df7cb3-2fea-4ba3-b9bf-21660104d6dd"/>
    <ds:schemaRef ds:uri="http://schemas.microsoft.com/office/infopath/2007/PartnerControl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2874</Words>
  <Characters>16388</Characters>
  <Application>Microsoft Office Word</Application>
  <DocSecurity>0</DocSecurity>
  <Lines>136</Lines>
  <Paragraphs>38</Paragraphs>
  <ScaleCrop>false</ScaleCrop>
  <Company>Minnesota Advocates for Human Rights</Company>
  <LinksUpToDate>false</LinksUpToDate>
  <CharactersWithSpaces>19224</CharactersWithSpaces>
  <SharedDoc>false</SharedDoc>
  <HLinks>
    <vt:vector size="42" baseType="variant">
      <vt:variant>
        <vt:i4>2883628</vt:i4>
      </vt:variant>
      <vt:variant>
        <vt:i4>21</vt:i4>
      </vt:variant>
      <vt:variant>
        <vt:i4>0</vt:i4>
      </vt:variant>
      <vt:variant>
        <vt:i4>5</vt:i4>
      </vt:variant>
      <vt:variant>
        <vt:lpwstr>https://pchrgaza.org/en/pchr-demands-investigation-into-death-circumstances-of-detainee-in-police-custody-in-rafah/</vt:lpwstr>
      </vt:variant>
      <vt:variant>
        <vt:lpwstr/>
      </vt:variant>
      <vt:variant>
        <vt:i4>6226006</vt:i4>
      </vt:variant>
      <vt:variant>
        <vt:i4>18</vt:i4>
      </vt:variant>
      <vt:variant>
        <vt:i4>0</vt:i4>
      </vt:variant>
      <vt:variant>
        <vt:i4>5</vt:i4>
      </vt:variant>
      <vt:variant>
        <vt:lpwstr>https://pchrgaza.org/en/second-case-of-this-year-palestinian-detainee-died-at-military-police-detention/</vt:lpwstr>
      </vt:variant>
      <vt:variant>
        <vt:lpwstr/>
      </vt:variant>
      <vt:variant>
        <vt:i4>1572935</vt:i4>
      </vt:variant>
      <vt:variant>
        <vt:i4>12</vt:i4>
      </vt:variant>
      <vt:variant>
        <vt:i4>0</vt:i4>
      </vt:variant>
      <vt:variant>
        <vt:i4>5</vt:i4>
      </vt:variant>
      <vt:variant>
        <vt:lpwstr>https://www.amnesty.org/en/wp-content/uploads/2022/03/WEBPOL1048702022ENGLISH.pdf</vt:lpwstr>
      </vt:variant>
      <vt:variant>
        <vt:lpwstr/>
      </vt:variant>
      <vt:variant>
        <vt:i4>1572935</vt:i4>
      </vt:variant>
      <vt:variant>
        <vt:i4>9</vt:i4>
      </vt:variant>
      <vt:variant>
        <vt:i4>0</vt:i4>
      </vt:variant>
      <vt:variant>
        <vt:i4>5</vt:i4>
      </vt:variant>
      <vt:variant>
        <vt:lpwstr>https://www.amnesty.org/en/wp-content/uploads/2022/03/WEBPOL1048702022ENGLISH.pdf</vt:lpwstr>
      </vt:variant>
      <vt:variant>
        <vt:lpwstr/>
      </vt:variant>
      <vt:variant>
        <vt:i4>1572935</vt:i4>
      </vt:variant>
      <vt:variant>
        <vt:i4>6</vt:i4>
      </vt:variant>
      <vt:variant>
        <vt:i4>0</vt:i4>
      </vt:variant>
      <vt:variant>
        <vt:i4>5</vt:i4>
      </vt:variant>
      <vt:variant>
        <vt:lpwstr>https://www.amnesty.org/en/wp-content/uploads/2022/03/WEBPOL1048702022ENGLISH.pdf</vt:lpwstr>
      </vt:variant>
      <vt:variant>
        <vt:lpwstr/>
      </vt:variant>
      <vt:variant>
        <vt:i4>458829</vt:i4>
      </vt:variant>
      <vt:variant>
        <vt:i4>3</vt:i4>
      </vt:variant>
      <vt:variant>
        <vt:i4>0</vt:i4>
      </vt:variant>
      <vt:variant>
        <vt:i4>5</vt:i4>
      </vt:variant>
      <vt:variant>
        <vt:lpwstr>https://pchrgaza.org/en/death-sentence-against-a-drug-dealer-in-gaza-pchr-calls-upon-the-authorities-to-end-this-inhuman-penalty/</vt:lpwstr>
      </vt:variant>
      <vt:variant>
        <vt:lpwstr/>
      </vt:variant>
      <vt:variant>
        <vt:i4>7995504</vt:i4>
      </vt:variant>
      <vt:variant>
        <vt:i4>0</vt:i4>
      </vt:variant>
      <vt:variant>
        <vt:i4>0</vt:i4>
      </vt:variant>
      <vt:variant>
        <vt:i4>5</vt:i4>
      </vt:variant>
      <vt:variant>
        <vt:lpwstr>https://www.shams-pal.org/eng/wp-content/uploads/2023/press-releases/press12_3_2023.pdf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Herder</dc:creator>
  <cp:keywords/>
  <cp:lastModifiedBy>Katia Galambos</cp:lastModifiedBy>
  <cp:revision>2</cp:revision>
  <cp:lastPrinted>2011-09-16T18:52:00Z</cp:lastPrinted>
  <dcterms:created xsi:type="dcterms:W3CDTF">2023-05-30T15:49:00Z</dcterms:created>
  <dcterms:modified xsi:type="dcterms:W3CDTF">2023-05-30T15:49:00Z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BUILTIN\Administrators</vt:lpwstr>
  </property>
  <property fmtid="{D5CDD505-2E9C-101B-9397-08002B2CF9AE}" pid="3" name="Order">
    <vt:r8>188600</vt:r8>
  </property>
  <property fmtid="{D5CDD505-2E9C-101B-9397-08002B2CF9AE}" pid="4" name="display_urn:schemas-microsoft-com:office:office#Author">
    <vt:lpwstr>BUILTIN\Administrators</vt:lpwstr>
  </property>
  <property fmtid="{D5CDD505-2E9C-101B-9397-08002B2CF9AE}" pid="5" name="display_urn:schemas-microsoft-com:office:office#SharedWithUsers">
    <vt:lpwstr>Amy Bergquist</vt:lpwstr>
  </property>
  <property fmtid="{D5CDD505-2E9C-101B-9397-08002B2CF9AE}" pid="6" name="SharedWithUsers">
    <vt:lpwstr>51;#Amy Bergquist</vt:lpwstr>
  </property>
  <property fmtid="{D5CDD505-2E9C-101B-9397-08002B2CF9AE}" pid="7" name="ContentTypeId">
    <vt:lpwstr>0x010100452BDADA77824941B327CDF72849C9BE</vt:lpwstr>
  </property>
  <property fmtid="{D5CDD505-2E9C-101B-9397-08002B2CF9AE}" pid="8" name="MediaServiceImageTags">
    <vt:lpwstr/>
  </property>
  <property fmtid="{D5CDD505-2E9C-101B-9397-08002B2CF9AE}" pid="9" name="xd_Signature">
    <vt:bool>false</vt:bool>
  </property>
  <property fmtid="{D5CDD505-2E9C-101B-9397-08002B2CF9AE}" pid="10" name="xd_ProgID">
    <vt:lpwstr/>
  </property>
  <property fmtid="{D5CDD505-2E9C-101B-9397-08002B2CF9AE}" pid="11" name="_ColorHex">
    <vt:lpwstr/>
  </property>
  <property fmtid="{D5CDD505-2E9C-101B-9397-08002B2CF9AE}" pid="12" name="_Emoji">
    <vt:lpwstr/>
  </property>
  <property fmtid="{D5CDD505-2E9C-101B-9397-08002B2CF9AE}" pid="13" name="ComplianceAssetId">
    <vt:lpwstr/>
  </property>
  <property fmtid="{D5CDD505-2E9C-101B-9397-08002B2CF9AE}" pid="14" name="TemplateUrl">
    <vt:lpwstr/>
  </property>
  <property fmtid="{D5CDD505-2E9C-101B-9397-08002B2CF9AE}" pid="15" name="_ExtendedDescription">
    <vt:lpwstr/>
  </property>
  <property fmtid="{D5CDD505-2E9C-101B-9397-08002B2CF9AE}" pid="16" name="_ColorTag">
    <vt:lpwstr/>
  </property>
  <property fmtid="{D5CDD505-2E9C-101B-9397-08002B2CF9AE}" pid="17" name="TriggerFlowInfo">
    <vt:lpwstr/>
  </property>
</Properties>
</file>