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356" w:rsidRPr="00EE36F4" w:rsidRDefault="00ED2114" w:rsidP="00DC0DE8">
      <w:pPr>
        <w:pStyle w:val="En-tte"/>
        <w:tabs>
          <w:tab w:val="left" w:pos="720"/>
        </w:tabs>
        <w:ind w:left="-1418" w:right="-1370"/>
        <w:jc w:val="center"/>
        <w:rPr>
          <w:lang w:val="en-GB"/>
        </w:rPr>
      </w:pPr>
      <w:r>
        <w:rPr>
          <w:noProof/>
          <w:lang w:val="fr-CH" w:eastAsia="fr-CH"/>
        </w:rPr>
        <w:drawing>
          <wp:inline distT="0" distB="0" distL="0" distR="0">
            <wp:extent cx="1600200" cy="768350"/>
            <wp:effectExtent l="19050" t="0" r="0" b="0"/>
            <wp:docPr id="1" name="Picture 1" descr="karama logo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ama logo 800"/>
                    <pic:cNvPicPr>
                      <a:picLocks noChangeAspect="1" noChangeArrowheads="1"/>
                    </pic:cNvPicPr>
                  </pic:nvPicPr>
                  <pic:blipFill>
                    <a:blip r:embed="rId8"/>
                    <a:srcRect/>
                    <a:stretch>
                      <a:fillRect/>
                    </a:stretch>
                  </pic:blipFill>
                  <pic:spPr bwMode="auto">
                    <a:xfrm>
                      <a:off x="0" y="0"/>
                      <a:ext cx="1600200" cy="768350"/>
                    </a:xfrm>
                    <a:prstGeom prst="rect">
                      <a:avLst/>
                    </a:prstGeom>
                    <a:noFill/>
                    <a:ln w="9525">
                      <a:noFill/>
                      <a:miter lim="800000"/>
                      <a:headEnd/>
                      <a:tailEnd/>
                    </a:ln>
                  </pic:spPr>
                </pic:pic>
              </a:graphicData>
            </a:graphic>
          </wp:inline>
        </w:drawing>
      </w:r>
    </w:p>
    <w:p w:rsidR="00BF0356" w:rsidRPr="00EE36F4" w:rsidRDefault="00BF0356"/>
    <w:p w:rsidR="00BF0356" w:rsidRPr="00EE36F4" w:rsidRDefault="00BF0356"/>
    <w:p w:rsidR="00BF0356" w:rsidRPr="00EE36F4" w:rsidRDefault="00BF0356"/>
    <w:p w:rsidR="00BF0356" w:rsidRPr="00EE36F4" w:rsidRDefault="00BF0356"/>
    <w:p w:rsidR="00BF0356" w:rsidRPr="00EE36F4" w:rsidRDefault="00BF0356"/>
    <w:p w:rsidR="00BF0356" w:rsidRPr="00EE36F4" w:rsidRDefault="00BF0356"/>
    <w:p w:rsidR="00BF0356" w:rsidRPr="00EE36F4" w:rsidRDefault="00BF0356"/>
    <w:p w:rsidR="00BF0356" w:rsidRPr="00EE36F4" w:rsidRDefault="005D0447" w:rsidP="00E539D8">
      <w:pPr>
        <w:jc w:val="center"/>
        <w:rPr>
          <w:b/>
          <w:bCs/>
          <w:sz w:val="40"/>
          <w:szCs w:val="40"/>
        </w:rPr>
      </w:pPr>
      <w:r>
        <w:rPr>
          <w:b/>
          <w:bCs/>
          <w:sz w:val="40"/>
          <w:szCs w:val="40"/>
        </w:rPr>
        <w:t>IRAQ</w:t>
      </w:r>
    </w:p>
    <w:p w:rsidR="00BF0356" w:rsidRPr="00EE36F4" w:rsidRDefault="005D0447" w:rsidP="00906A36">
      <w:pPr>
        <w:jc w:val="center"/>
        <w:rPr>
          <w:b/>
          <w:bCs/>
          <w:sz w:val="32"/>
          <w:szCs w:val="32"/>
        </w:rPr>
      </w:pPr>
      <w:r>
        <w:rPr>
          <w:b/>
          <w:bCs/>
          <w:sz w:val="32"/>
          <w:szCs w:val="32"/>
        </w:rPr>
        <w:t>Shadow report</w:t>
      </w: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5D0447" w:rsidP="00475741">
      <w:pPr>
        <w:jc w:val="center"/>
        <w:rPr>
          <w:b/>
          <w:bCs/>
          <w:sz w:val="28"/>
          <w:szCs w:val="28"/>
        </w:rPr>
      </w:pPr>
      <w:r>
        <w:rPr>
          <w:b/>
          <w:bCs/>
          <w:sz w:val="28"/>
          <w:szCs w:val="28"/>
        </w:rPr>
        <w:t xml:space="preserve">Report submitted to the Human Rights Committee in the </w:t>
      </w:r>
      <w:proofErr w:type="gramStart"/>
      <w:r>
        <w:rPr>
          <w:b/>
          <w:bCs/>
          <w:sz w:val="28"/>
          <w:szCs w:val="28"/>
        </w:rPr>
        <w:t>context</w:t>
      </w:r>
      <w:proofErr w:type="gramEnd"/>
      <w:r>
        <w:rPr>
          <w:b/>
          <w:bCs/>
          <w:sz w:val="28"/>
          <w:szCs w:val="28"/>
        </w:rPr>
        <w:t xml:space="preserve"> of the review of the </w:t>
      </w:r>
      <w:r w:rsidR="00475741">
        <w:rPr>
          <w:b/>
          <w:bCs/>
          <w:sz w:val="28"/>
          <w:szCs w:val="28"/>
        </w:rPr>
        <w:t xml:space="preserve">initial </w:t>
      </w:r>
      <w:r>
        <w:rPr>
          <w:b/>
          <w:bCs/>
          <w:sz w:val="28"/>
          <w:szCs w:val="28"/>
        </w:rPr>
        <w:t>report for Iraq</w:t>
      </w: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BF0356" w:rsidP="0031260E">
      <w:pPr>
        <w:jc w:val="center"/>
        <w:rPr>
          <w:b/>
          <w:bCs/>
          <w:sz w:val="28"/>
          <w:szCs w:val="28"/>
        </w:rPr>
      </w:pPr>
    </w:p>
    <w:p w:rsidR="00BF0356" w:rsidRPr="00EE36F4" w:rsidRDefault="005D0447" w:rsidP="00851068">
      <w:pPr>
        <w:jc w:val="center"/>
        <w:rPr>
          <w:b/>
          <w:bCs/>
          <w:sz w:val="24"/>
          <w:szCs w:val="24"/>
        </w:rPr>
      </w:pPr>
      <w:r>
        <w:rPr>
          <w:b/>
          <w:bCs/>
        </w:rPr>
        <w:t xml:space="preserve"> </w:t>
      </w:r>
      <w:r>
        <w:rPr>
          <w:b/>
          <w:bCs/>
          <w:sz w:val="24"/>
          <w:szCs w:val="24"/>
        </w:rPr>
        <w:t>Alkarama Foundation – 2</w:t>
      </w:r>
      <w:r w:rsidR="00475741">
        <w:rPr>
          <w:b/>
          <w:bCs/>
          <w:sz w:val="24"/>
          <w:szCs w:val="24"/>
        </w:rPr>
        <w:t>5</w:t>
      </w:r>
      <w:r>
        <w:rPr>
          <w:b/>
          <w:bCs/>
          <w:sz w:val="24"/>
          <w:szCs w:val="24"/>
        </w:rPr>
        <w:t xml:space="preserve"> September 2015</w:t>
      </w:r>
    </w:p>
    <w:p w:rsidR="00BF0356" w:rsidRPr="00EE36F4" w:rsidRDefault="00BF0356" w:rsidP="0031260E">
      <w:pPr>
        <w:jc w:val="center"/>
        <w:rPr>
          <w:b/>
          <w:bCs/>
        </w:rPr>
      </w:pPr>
    </w:p>
    <w:p w:rsidR="00BF0356" w:rsidRPr="00EE36F4" w:rsidRDefault="0039530F" w:rsidP="00990ABE">
      <w:pPr>
        <w:pStyle w:val="Titre1"/>
        <w:rPr>
          <w:lang w:val="en-GB"/>
        </w:rPr>
      </w:pPr>
      <w:r w:rsidRPr="0039530F">
        <w:rPr>
          <w:rFonts w:cs="Times New Roman"/>
          <w:lang w:val="en-GB"/>
        </w:rPr>
        <w:br w:type="page"/>
      </w:r>
      <w:bookmarkStart w:id="0" w:name="_Toc222224482"/>
      <w:bookmarkStart w:id="1" w:name="_Toc222226005"/>
      <w:bookmarkStart w:id="2" w:name="_Toc222895123"/>
      <w:bookmarkStart w:id="3" w:name="_Toc222895457"/>
      <w:bookmarkStart w:id="4" w:name="_Toc430939979"/>
      <w:r w:rsidRPr="0039530F">
        <w:rPr>
          <w:lang w:val="en-GB"/>
        </w:rPr>
        <w:lastRenderedPageBreak/>
        <w:t>Table of contents</w:t>
      </w:r>
      <w:bookmarkEnd w:id="0"/>
      <w:bookmarkEnd w:id="1"/>
      <w:bookmarkEnd w:id="2"/>
      <w:bookmarkEnd w:id="3"/>
      <w:bookmarkEnd w:id="4"/>
    </w:p>
    <w:p w:rsidR="00BF0356" w:rsidRPr="00EE36F4" w:rsidRDefault="00BF0356">
      <w:pPr>
        <w:pStyle w:val="TM1"/>
        <w:tabs>
          <w:tab w:val="left" w:pos="440"/>
          <w:tab w:val="right" w:leader="dot" w:pos="9062"/>
        </w:tabs>
      </w:pPr>
    </w:p>
    <w:p w:rsidR="00475741" w:rsidRDefault="00E40B1D">
      <w:pPr>
        <w:pStyle w:val="TM1"/>
        <w:tabs>
          <w:tab w:val="left" w:pos="400"/>
          <w:tab w:val="right" w:leader="dot" w:pos="9062"/>
        </w:tabs>
        <w:rPr>
          <w:rFonts w:asciiTheme="minorHAnsi" w:eastAsiaTheme="minorEastAsia" w:hAnsiTheme="minorHAnsi" w:cstheme="minorBidi"/>
          <w:b w:val="0"/>
          <w:bCs w:val="0"/>
          <w:caps w:val="0"/>
          <w:noProof/>
          <w:sz w:val="22"/>
          <w:szCs w:val="22"/>
          <w:lang w:val="fr-CH" w:eastAsia="fr-CH"/>
        </w:rPr>
      </w:pPr>
      <w:r w:rsidRPr="00E40B1D">
        <w:rPr>
          <w:rFonts w:ascii="Tahoma" w:hAnsi="Tahoma" w:cs="Tahoma"/>
          <w:i/>
          <w:iCs/>
          <w:caps w:val="0"/>
        </w:rPr>
        <w:fldChar w:fldCharType="begin"/>
      </w:r>
      <w:r w:rsidR="0039530F" w:rsidRPr="0039530F">
        <w:rPr>
          <w:rFonts w:ascii="Tahoma" w:hAnsi="Tahoma" w:cs="Tahoma"/>
          <w:i/>
          <w:iCs/>
          <w:caps w:val="0"/>
        </w:rPr>
        <w:instrText xml:space="preserve"> TOC \o "1-3" \h \z \u </w:instrText>
      </w:r>
      <w:r w:rsidRPr="00E40B1D">
        <w:rPr>
          <w:rFonts w:ascii="Tahoma" w:hAnsi="Tahoma" w:cs="Tahoma"/>
          <w:i/>
          <w:iCs/>
          <w:caps w:val="0"/>
        </w:rPr>
        <w:fldChar w:fldCharType="separate"/>
      </w:r>
      <w:hyperlink w:anchor="_Toc430939979" w:history="1">
        <w:r w:rsidR="00475741" w:rsidRPr="00F44567">
          <w:rPr>
            <w:rStyle w:val="Lienhypertexte"/>
            <w:noProof/>
          </w:rPr>
          <w:t>1.</w:t>
        </w:r>
        <w:r w:rsidR="00475741">
          <w:rPr>
            <w:rFonts w:asciiTheme="minorHAnsi" w:eastAsiaTheme="minorEastAsia" w:hAnsiTheme="minorHAnsi" w:cstheme="minorBidi"/>
            <w:b w:val="0"/>
            <w:bCs w:val="0"/>
            <w:caps w:val="0"/>
            <w:noProof/>
            <w:sz w:val="22"/>
            <w:szCs w:val="22"/>
            <w:lang w:val="fr-CH" w:eastAsia="fr-CH"/>
          </w:rPr>
          <w:tab/>
        </w:r>
        <w:r w:rsidR="00475741" w:rsidRPr="00F44567">
          <w:rPr>
            <w:rStyle w:val="Lienhypertexte"/>
            <w:noProof/>
          </w:rPr>
          <w:t>Table of contents</w:t>
        </w:r>
        <w:r w:rsidR="00475741">
          <w:rPr>
            <w:noProof/>
            <w:webHidden/>
          </w:rPr>
          <w:tab/>
        </w:r>
        <w:r>
          <w:rPr>
            <w:noProof/>
            <w:webHidden/>
          </w:rPr>
          <w:fldChar w:fldCharType="begin"/>
        </w:r>
        <w:r w:rsidR="00475741">
          <w:rPr>
            <w:noProof/>
            <w:webHidden/>
          </w:rPr>
          <w:instrText xml:space="preserve"> PAGEREF _Toc430939979 \h </w:instrText>
        </w:r>
        <w:r>
          <w:rPr>
            <w:noProof/>
            <w:webHidden/>
          </w:rPr>
        </w:r>
        <w:r>
          <w:rPr>
            <w:noProof/>
            <w:webHidden/>
          </w:rPr>
          <w:fldChar w:fldCharType="separate"/>
        </w:r>
        <w:r w:rsidR="00EE29A1">
          <w:rPr>
            <w:noProof/>
            <w:webHidden/>
          </w:rPr>
          <w:t>2</w:t>
        </w:r>
        <w:r>
          <w:rPr>
            <w:noProof/>
            <w:webHidden/>
          </w:rPr>
          <w:fldChar w:fldCharType="end"/>
        </w:r>
      </w:hyperlink>
    </w:p>
    <w:p w:rsidR="00475741" w:rsidRDefault="00E40B1D">
      <w:pPr>
        <w:pStyle w:val="TM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30939980" w:history="1">
        <w:r w:rsidR="00475741" w:rsidRPr="00F44567">
          <w:rPr>
            <w:rStyle w:val="Lienhypertexte"/>
            <w:noProof/>
          </w:rPr>
          <w:t>1.</w:t>
        </w:r>
        <w:r w:rsidR="00475741">
          <w:rPr>
            <w:rFonts w:asciiTheme="minorHAnsi" w:eastAsiaTheme="minorEastAsia" w:hAnsiTheme="minorHAnsi" w:cstheme="minorBidi"/>
            <w:b w:val="0"/>
            <w:bCs w:val="0"/>
            <w:caps w:val="0"/>
            <w:noProof/>
            <w:sz w:val="22"/>
            <w:szCs w:val="22"/>
            <w:lang w:val="fr-CH" w:eastAsia="fr-CH"/>
          </w:rPr>
          <w:tab/>
        </w:r>
        <w:r w:rsidR="00475741" w:rsidRPr="00F44567">
          <w:rPr>
            <w:rStyle w:val="Lienhypertexte"/>
            <w:noProof/>
          </w:rPr>
          <w:t>Introduction</w:t>
        </w:r>
        <w:r w:rsidR="00475741">
          <w:rPr>
            <w:noProof/>
            <w:webHidden/>
          </w:rPr>
          <w:tab/>
        </w:r>
        <w:r>
          <w:rPr>
            <w:noProof/>
            <w:webHidden/>
          </w:rPr>
          <w:fldChar w:fldCharType="begin"/>
        </w:r>
        <w:r w:rsidR="00475741">
          <w:rPr>
            <w:noProof/>
            <w:webHidden/>
          </w:rPr>
          <w:instrText xml:space="preserve"> PAGEREF _Toc430939980 \h </w:instrText>
        </w:r>
        <w:r>
          <w:rPr>
            <w:noProof/>
            <w:webHidden/>
          </w:rPr>
        </w:r>
        <w:r>
          <w:rPr>
            <w:noProof/>
            <w:webHidden/>
          </w:rPr>
          <w:fldChar w:fldCharType="separate"/>
        </w:r>
        <w:r w:rsidR="00EE29A1">
          <w:rPr>
            <w:noProof/>
            <w:webHidden/>
          </w:rPr>
          <w:t>3</w:t>
        </w:r>
        <w:r>
          <w:rPr>
            <w:noProof/>
            <w:webHidden/>
          </w:rPr>
          <w:fldChar w:fldCharType="end"/>
        </w:r>
      </w:hyperlink>
    </w:p>
    <w:p w:rsidR="00475741" w:rsidRDefault="00E40B1D">
      <w:pPr>
        <w:pStyle w:val="TM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30939981" w:history="1">
        <w:r w:rsidR="00475741" w:rsidRPr="00F44567">
          <w:rPr>
            <w:rStyle w:val="Lienhypertexte"/>
            <w:rFonts w:cs="Times New Roman"/>
            <w:noProof/>
          </w:rPr>
          <w:t>2.</w:t>
        </w:r>
        <w:r w:rsidR="00475741">
          <w:rPr>
            <w:rFonts w:asciiTheme="minorHAnsi" w:eastAsiaTheme="minorEastAsia" w:hAnsiTheme="minorHAnsi" w:cstheme="minorBidi"/>
            <w:b w:val="0"/>
            <w:bCs w:val="0"/>
            <w:caps w:val="0"/>
            <w:noProof/>
            <w:sz w:val="22"/>
            <w:szCs w:val="22"/>
            <w:lang w:val="fr-CH" w:eastAsia="fr-CH"/>
          </w:rPr>
          <w:tab/>
        </w:r>
        <w:r w:rsidR="00475741" w:rsidRPr="00F44567">
          <w:rPr>
            <w:rStyle w:val="Lienhypertexte"/>
            <w:noProof/>
          </w:rPr>
          <w:t>The Current Situation in Iraq</w:t>
        </w:r>
        <w:r w:rsidR="00475741">
          <w:rPr>
            <w:noProof/>
            <w:webHidden/>
          </w:rPr>
          <w:tab/>
        </w:r>
        <w:r>
          <w:rPr>
            <w:noProof/>
            <w:webHidden/>
          </w:rPr>
          <w:fldChar w:fldCharType="begin"/>
        </w:r>
        <w:r w:rsidR="00475741">
          <w:rPr>
            <w:noProof/>
            <w:webHidden/>
          </w:rPr>
          <w:instrText xml:space="preserve"> PAGEREF _Toc430939981 \h </w:instrText>
        </w:r>
        <w:r>
          <w:rPr>
            <w:noProof/>
            <w:webHidden/>
          </w:rPr>
        </w:r>
        <w:r>
          <w:rPr>
            <w:noProof/>
            <w:webHidden/>
          </w:rPr>
          <w:fldChar w:fldCharType="separate"/>
        </w:r>
        <w:r w:rsidR="00EE29A1">
          <w:rPr>
            <w:noProof/>
            <w:webHidden/>
          </w:rPr>
          <w:t>3</w:t>
        </w:r>
        <w:r>
          <w:rPr>
            <w:noProof/>
            <w:webHidden/>
          </w:rPr>
          <w:fldChar w:fldCharType="end"/>
        </w:r>
      </w:hyperlink>
    </w:p>
    <w:p w:rsidR="00475741" w:rsidRDefault="00E40B1D">
      <w:pPr>
        <w:pStyle w:val="TM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30939982" w:history="1">
        <w:r w:rsidR="00475741" w:rsidRPr="00F44567">
          <w:rPr>
            <w:rStyle w:val="Lienhypertexte"/>
            <w:noProof/>
          </w:rPr>
          <w:t>3.</w:t>
        </w:r>
        <w:r w:rsidR="00475741">
          <w:rPr>
            <w:rFonts w:asciiTheme="minorHAnsi" w:eastAsiaTheme="minorEastAsia" w:hAnsiTheme="minorHAnsi" w:cstheme="minorBidi"/>
            <w:b w:val="0"/>
            <w:bCs w:val="0"/>
            <w:caps w:val="0"/>
            <w:noProof/>
            <w:sz w:val="22"/>
            <w:szCs w:val="22"/>
            <w:lang w:val="fr-CH" w:eastAsia="fr-CH"/>
          </w:rPr>
          <w:tab/>
        </w:r>
        <w:r w:rsidR="00475741" w:rsidRPr="00F44567">
          <w:rPr>
            <w:rStyle w:val="Lienhypertexte"/>
            <w:noProof/>
          </w:rPr>
          <w:t>Implementation of the Covenant in Iraq</w:t>
        </w:r>
        <w:r w:rsidR="00475741">
          <w:rPr>
            <w:noProof/>
            <w:webHidden/>
          </w:rPr>
          <w:tab/>
        </w:r>
        <w:r>
          <w:rPr>
            <w:noProof/>
            <w:webHidden/>
          </w:rPr>
          <w:fldChar w:fldCharType="begin"/>
        </w:r>
        <w:r w:rsidR="00475741">
          <w:rPr>
            <w:noProof/>
            <w:webHidden/>
          </w:rPr>
          <w:instrText xml:space="preserve"> PAGEREF _Toc430939982 \h </w:instrText>
        </w:r>
        <w:r>
          <w:rPr>
            <w:noProof/>
            <w:webHidden/>
          </w:rPr>
        </w:r>
        <w:r>
          <w:rPr>
            <w:noProof/>
            <w:webHidden/>
          </w:rPr>
          <w:fldChar w:fldCharType="separate"/>
        </w:r>
        <w:r w:rsidR="00EE29A1">
          <w:rPr>
            <w:noProof/>
            <w:webHidden/>
          </w:rPr>
          <w:t>4</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39983" w:history="1">
        <w:r w:rsidR="00475741" w:rsidRPr="00F44567">
          <w:rPr>
            <w:rStyle w:val="Lienhypertexte"/>
            <w:noProof/>
            <w:lang w:eastAsia="fr-FR"/>
          </w:rPr>
          <w:t>3.1</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lang w:eastAsia="fr-FR"/>
          </w:rPr>
          <w:t>Scope of Application of the Covenant (Article 2)</w:t>
        </w:r>
        <w:r w:rsidR="00475741">
          <w:rPr>
            <w:noProof/>
            <w:webHidden/>
          </w:rPr>
          <w:tab/>
        </w:r>
        <w:r>
          <w:rPr>
            <w:noProof/>
            <w:webHidden/>
          </w:rPr>
          <w:fldChar w:fldCharType="begin"/>
        </w:r>
        <w:r w:rsidR="00475741">
          <w:rPr>
            <w:noProof/>
            <w:webHidden/>
          </w:rPr>
          <w:instrText xml:space="preserve"> PAGEREF _Toc430939983 \h </w:instrText>
        </w:r>
        <w:r>
          <w:rPr>
            <w:noProof/>
            <w:webHidden/>
          </w:rPr>
        </w:r>
        <w:r>
          <w:rPr>
            <w:noProof/>
            <w:webHidden/>
          </w:rPr>
          <w:fldChar w:fldCharType="separate"/>
        </w:r>
        <w:r w:rsidR="00EE29A1">
          <w:rPr>
            <w:noProof/>
            <w:webHidden/>
          </w:rPr>
          <w:t>4</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84" w:history="1">
        <w:r w:rsidR="00475741" w:rsidRPr="00F44567">
          <w:rPr>
            <w:rStyle w:val="Lienhypertexte"/>
            <w:noProof/>
          </w:rPr>
          <w:t>3.1.1</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Application of the Covenant to violations committed by the occupying forces, government-backed militias and the violation of the right to an effective remedy</w:t>
        </w:r>
        <w:r w:rsidR="00475741">
          <w:rPr>
            <w:noProof/>
            <w:webHidden/>
          </w:rPr>
          <w:tab/>
        </w:r>
        <w:r>
          <w:rPr>
            <w:noProof/>
            <w:webHidden/>
          </w:rPr>
          <w:fldChar w:fldCharType="begin"/>
        </w:r>
        <w:r w:rsidR="00475741">
          <w:rPr>
            <w:noProof/>
            <w:webHidden/>
          </w:rPr>
          <w:instrText xml:space="preserve"> PAGEREF _Toc430939984 \h </w:instrText>
        </w:r>
        <w:r>
          <w:rPr>
            <w:noProof/>
            <w:webHidden/>
          </w:rPr>
        </w:r>
        <w:r>
          <w:rPr>
            <w:noProof/>
            <w:webHidden/>
          </w:rPr>
          <w:fldChar w:fldCharType="separate"/>
        </w:r>
        <w:r w:rsidR="00EE29A1">
          <w:rPr>
            <w:noProof/>
            <w:webHidden/>
          </w:rPr>
          <w:t>4</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85" w:history="1">
        <w:r w:rsidR="00475741" w:rsidRPr="00F44567">
          <w:rPr>
            <w:rStyle w:val="Lienhypertexte"/>
            <w:noProof/>
          </w:rPr>
          <w:t>3.1.2</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The Iraqi High Commission for Human Rights</w:t>
        </w:r>
        <w:r w:rsidR="00475741">
          <w:rPr>
            <w:noProof/>
            <w:webHidden/>
          </w:rPr>
          <w:tab/>
        </w:r>
        <w:r>
          <w:rPr>
            <w:noProof/>
            <w:webHidden/>
          </w:rPr>
          <w:fldChar w:fldCharType="begin"/>
        </w:r>
        <w:r w:rsidR="00475741">
          <w:rPr>
            <w:noProof/>
            <w:webHidden/>
          </w:rPr>
          <w:instrText xml:space="preserve"> PAGEREF _Toc430939985 \h </w:instrText>
        </w:r>
        <w:r>
          <w:rPr>
            <w:noProof/>
            <w:webHidden/>
          </w:rPr>
        </w:r>
        <w:r>
          <w:rPr>
            <w:noProof/>
            <w:webHidden/>
          </w:rPr>
          <w:fldChar w:fldCharType="separate"/>
        </w:r>
        <w:r w:rsidR="00EE29A1">
          <w:rPr>
            <w:noProof/>
            <w:webHidden/>
          </w:rPr>
          <w:t>7</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39986" w:history="1">
        <w:r w:rsidR="00475741" w:rsidRPr="00F44567">
          <w:rPr>
            <w:rStyle w:val="Lienhypertexte"/>
            <w:rFonts w:cs="Times New Roman"/>
            <w:noProof/>
            <w:lang w:eastAsia="fr-FR"/>
          </w:rPr>
          <w:t>3.2</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rPr>
          <w:t>Right to Life (Article 6)</w:t>
        </w:r>
        <w:r w:rsidR="00475741">
          <w:rPr>
            <w:noProof/>
            <w:webHidden/>
          </w:rPr>
          <w:tab/>
        </w:r>
        <w:r>
          <w:rPr>
            <w:noProof/>
            <w:webHidden/>
          </w:rPr>
          <w:fldChar w:fldCharType="begin"/>
        </w:r>
        <w:r w:rsidR="00475741">
          <w:rPr>
            <w:noProof/>
            <w:webHidden/>
          </w:rPr>
          <w:instrText xml:space="preserve"> PAGEREF _Toc430939986 \h </w:instrText>
        </w:r>
        <w:r>
          <w:rPr>
            <w:noProof/>
            <w:webHidden/>
          </w:rPr>
        </w:r>
        <w:r>
          <w:rPr>
            <w:noProof/>
            <w:webHidden/>
          </w:rPr>
          <w:fldChar w:fldCharType="separate"/>
        </w:r>
        <w:r w:rsidR="00EE29A1">
          <w:rPr>
            <w:noProof/>
            <w:webHidden/>
          </w:rPr>
          <w:t>8</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87" w:history="1">
        <w:r w:rsidR="00475741" w:rsidRPr="00F44567">
          <w:rPr>
            <w:rStyle w:val="Lienhypertexte"/>
            <w:noProof/>
          </w:rPr>
          <w:t>3.2.1</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The issue of the death penalty</w:t>
        </w:r>
        <w:r w:rsidR="00475741">
          <w:rPr>
            <w:noProof/>
            <w:webHidden/>
          </w:rPr>
          <w:tab/>
        </w:r>
        <w:r>
          <w:rPr>
            <w:noProof/>
            <w:webHidden/>
          </w:rPr>
          <w:fldChar w:fldCharType="begin"/>
        </w:r>
        <w:r w:rsidR="00475741">
          <w:rPr>
            <w:noProof/>
            <w:webHidden/>
          </w:rPr>
          <w:instrText xml:space="preserve"> PAGEREF _Toc430939987 \h </w:instrText>
        </w:r>
        <w:r>
          <w:rPr>
            <w:noProof/>
            <w:webHidden/>
          </w:rPr>
        </w:r>
        <w:r>
          <w:rPr>
            <w:noProof/>
            <w:webHidden/>
          </w:rPr>
          <w:fldChar w:fldCharType="separate"/>
        </w:r>
        <w:r w:rsidR="00EE29A1">
          <w:rPr>
            <w:noProof/>
            <w:webHidden/>
          </w:rPr>
          <w:t>8</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88" w:history="1">
        <w:r w:rsidR="00475741" w:rsidRPr="00F44567">
          <w:rPr>
            <w:rStyle w:val="Lienhypertexte"/>
            <w:noProof/>
          </w:rPr>
          <w:t>3.2.2</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Extrajudicial executions: reprisals against the civilian population and the excessive use of force during peaceful protests</w:t>
        </w:r>
        <w:r w:rsidR="00475741">
          <w:rPr>
            <w:noProof/>
            <w:webHidden/>
          </w:rPr>
          <w:tab/>
        </w:r>
        <w:r>
          <w:rPr>
            <w:noProof/>
            <w:webHidden/>
          </w:rPr>
          <w:fldChar w:fldCharType="begin"/>
        </w:r>
        <w:r w:rsidR="00475741">
          <w:rPr>
            <w:noProof/>
            <w:webHidden/>
          </w:rPr>
          <w:instrText xml:space="preserve"> PAGEREF _Toc430939988 \h </w:instrText>
        </w:r>
        <w:r>
          <w:rPr>
            <w:noProof/>
            <w:webHidden/>
          </w:rPr>
        </w:r>
        <w:r>
          <w:rPr>
            <w:noProof/>
            <w:webHidden/>
          </w:rPr>
          <w:fldChar w:fldCharType="separate"/>
        </w:r>
        <w:r w:rsidR="00EE29A1">
          <w:rPr>
            <w:noProof/>
            <w:webHidden/>
          </w:rPr>
          <w:t>11</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39989" w:history="1">
        <w:r w:rsidR="00475741" w:rsidRPr="00F44567">
          <w:rPr>
            <w:rStyle w:val="Lienhypertexte"/>
            <w:noProof/>
          </w:rPr>
          <w:t>3.3</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rPr>
          <w:t>The Right to Physical Integrity and the Prohibition of Torture and Other Cruel, Inhuman or Degrading Treatment or Punishment (Articles 7 and 10)</w:t>
        </w:r>
        <w:r w:rsidR="00475741">
          <w:rPr>
            <w:noProof/>
            <w:webHidden/>
          </w:rPr>
          <w:tab/>
        </w:r>
        <w:r>
          <w:rPr>
            <w:noProof/>
            <w:webHidden/>
          </w:rPr>
          <w:fldChar w:fldCharType="begin"/>
        </w:r>
        <w:r w:rsidR="00475741">
          <w:rPr>
            <w:noProof/>
            <w:webHidden/>
          </w:rPr>
          <w:instrText xml:space="preserve"> PAGEREF _Toc430939989 \h </w:instrText>
        </w:r>
        <w:r>
          <w:rPr>
            <w:noProof/>
            <w:webHidden/>
          </w:rPr>
        </w:r>
        <w:r>
          <w:rPr>
            <w:noProof/>
            <w:webHidden/>
          </w:rPr>
          <w:fldChar w:fldCharType="separate"/>
        </w:r>
        <w:r w:rsidR="00EE29A1">
          <w:rPr>
            <w:noProof/>
            <w:webHidden/>
          </w:rPr>
          <w:t>12</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0" w:history="1">
        <w:r w:rsidR="00475741" w:rsidRPr="00F44567">
          <w:rPr>
            <w:rStyle w:val="Lienhypertexte"/>
            <w:noProof/>
          </w:rPr>
          <w:t>3.3.1</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Prohibition and criminalisation of torture</w:t>
        </w:r>
        <w:r w:rsidR="00475741">
          <w:rPr>
            <w:noProof/>
            <w:webHidden/>
          </w:rPr>
          <w:tab/>
        </w:r>
        <w:r>
          <w:rPr>
            <w:noProof/>
            <w:webHidden/>
          </w:rPr>
          <w:fldChar w:fldCharType="begin"/>
        </w:r>
        <w:r w:rsidR="00475741">
          <w:rPr>
            <w:noProof/>
            <w:webHidden/>
          </w:rPr>
          <w:instrText xml:space="preserve"> PAGEREF _Toc430939990 \h </w:instrText>
        </w:r>
        <w:r>
          <w:rPr>
            <w:noProof/>
            <w:webHidden/>
          </w:rPr>
        </w:r>
        <w:r>
          <w:rPr>
            <w:noProof/>
            <w:webHidden/>
          </w:rPr>
          <w:fldChar w:fldCharType="separate"/>
        </w:r>
        <w:r w:rsidR="00EE29A1">
          <w:rPr>
            <w:noProof/>
            <w:webHidden/>
          </w:rPr>
          <w:t>13</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1" w:history="1">
        <w:r w:rsidR="00475741" w:rsidRPr="00F44567">
          <w:rPr>
            <w:rStyle w:val="Lienhypertexte"/>
            <w:noProof/>
          </w:rPr>
          <w:t>3.3.2</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The practice of torture: from the investigation stage to harsh conditions of detention</w:t>
        </w:r>
        <w:r w:rsidR="00475741">
          <w:rPr>
            <w:noProof/>
            <w:webHidden/>
          </w:rPr>
          <w:tab/>
        </w:r>
        <w:r>
          <w:rPr>
            <w:noProof/>
            <w:webHidden/>
          </w:rPr>
          <w:fldChar w:fldCharType="begin"/>
        </w:r>
        <w:r w:rsidR="00475741">
          <w:rPr>
            <w:noProof/>
            <w:webHidden/>
          </w:rPr>
          <w:instrText xml:space="preserve"> PAGEREF _Toc430939991 \h </w:instrText>
        </w:r>
        <w:r>
          <w:rPr>
            <w:noProof/>
            <w:webHidden/>
          </w:rPr>
        </w:r>
        <w:r>
          <w:rPr>
            <w:noProof/>
            <w:webHidden/>
          </w:rPr>
          <w:fldChar w:fldCharType="separate"/>
        </w:r>
        <w:r w:rsidR="00EE29A1">
          <w:rPr>
            <w:noProof/>
            <w:webHidden/>
          </w:rPr>
          <w:t>14</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2" w:history="1">
        <w:r w:rsidR="00475741" w:rsidRPr="00F44567">
          <w:rPr>
            <w:rStyle w:val="Lienhypertexte"/>
            <w:noProof/>
          </w:rPr>
          <w:t>3.3.3</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Reliance on information extracted through torture as evidence in proceedings</w:t>
        </w:r>
        <w:r w:rsidR="00475741">
          <w:rPr>
            <w:noProof/>
            <w:webHidden/>
          </w:rPr>
          <w:tab/>
        </w:r>
        <w:r>
          <w:rPr>
            <w:noProof/>
            <w:webHidden/>
          </w:rPr>
          <w:fldChar w:fldCharType="begin"/>
        </w:r>
        <w:r w:rsidR="00475741">
          <w:rPr>
            <w:noProof/>
            <w:webHidden/>
          </w:rPr>
          <w:instrText xml:space="preserve"> PAGEREF _Toc430939992 \h </w:instrText>
        </w:r>
        <w:r>
          <w:rPr>
            <w:noProof/>
            <w:webHidden/>
          </w:rPr>
        </w:r>
        <w:r>
          <w:rPr>
            <w:noProof/>
            <w:webHidden/>
          </w:rPr>
          <w:fldChar w:fldCharType="separate"/>
        </w:r>
        <w:r w:rsidR="00EE29A1">
          <w:rPr>
            <w:noProof/>
            <w:webHidden/>
          </w:rPr>
          <w:t>15</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3" w:history="1">
        <w:r w:rsidR="00475741" w:rsidRPr="00F44567">
          <w:rPr>
            <w:rStyle w:val="Lienhypertexte"/>
            <w:noProof/>
          </w:rPr>
          <w:t>3.3.4</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Lack of accountability</w:t>
        </w:r>
        <w:r w:rsidR="00475741">
          <w:rPr>
            <w:noProof/>
            <w:webHidden/>
          </w:rPr>
          <w:tab/>
        </w:r>
        <w:r>
          <w:rPr>
            <w:noProof/>
            <w:webHidden/>
          </w:rPr>
          <w:fldChar w:fldCharType="begin"/>
        </w:r>
        <w:r w:rsidR="00475741">
          <w:rPr>
            <w:noProof/>
            <w:webHidden/>
          </w:rPr>
          <w:instrText xml:space="preserve"> PAGEREF _Toc430939993 \h </w:instrText>
        </w:r>
        <w:r>
          <w:rPr>
            <w:noProof/>
            <w:webHidden/>
          </w:rPr>
        </w:r>
        <w:r>
          <w:rPr>
            <w:noProof/>
            <w:webHidden/>
          </w:rPr>
          <w:fldChar w:fldCharType="separate"/>
        </w:r>
        <w:r w:rsidR="00EE29A1">
          <w:rPr>
            <w:noProof/>
            <w:webHidden/>
          </w:rPr>
          <w:t>17</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39994" w:history="1">
        <w:r w:rsidR="00475741" w:rsidRPr="00F44567">
          <w:rPr>
            <w:rStyle w:val="Lienhypertexte"/>
            <w:noProof/>
          </w:rPr>
          <w:t>3.4</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rPr>
          <w:t>The Practice of Arbitrary Detention and the Infringements of Fair Trial Rights (Articles 9 and 14)</w:t>
        </w:r>
        <w:r w:rsidR="00475741">
          <w:rPr>
            <w:noProof/>
            <w:webHidden/>
          </w:rPr>
          <w:tab/>
        </w:r>
        <w:r>
          <w:rPr>
            <w:noProof/>
            <w:webHidden/>
          </w:rPr>
          <w:fldChar w:fldCharType="begin"/>
        </w:r>
        <w:r w:rsidR="00475741">
          <w:rPr>
            <w:noProof/>
            <w:webHidden/>
          </w:rPr>
          <w:instrText xml:space="preserve"> PAGEREF _Toc430939994 \h </w:instrText>
        </w:r>
        <w:r>
          <w:rPr>
            <w:noProof/>
            <w:webHidden/>
          </w:rPr>
        </w:r>
        <w:r>
          <w:rPr>
            <w:noProof/>
            <w:webHidden/>
          </w:rPr>
          <w:fldChar w:fldCharType="separate"/>
        </w:r>
        <w:r w:rsidR="00EE29A1">
          <w:rPr>
            <w:noProof/>
            <w:webHidden/>
          </w:rPr>
          <w:t>18</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5" w:history="1">
        <w:r w:rsidR="00475741" w:rsidRPr="00F44567">
          <w:rPr>
            <w:rStyle w:val="Lienhypertexte"/>
            <w:noProof/>
          </w:rPr>
          <w:t>3.4.1</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Arbitrary arrests</w:t>
        </w:r>
        <w:r w:rsidR="00475741">
          <w:rPr>
            <w:noProof/>
            <w:webHidden/>
          </w:rPr>
          <w:tab/>
        </w:r>
        <w:r>
          <w:rPr>
            <w:noProof/>
            <w:webHidden/>
          </w:rPr>
          <w:fldChar w:fldCharType="begin"/>
        </w:r>
        <w:r w:rsidR="00475741">
          <w:rPr>
            <w:noProof/>
            <w:webHidden/>
          </w:rPr>
          <w:instrText xml:space="preserve"> PAGEREF _Toc430939995 \h </w:instrText>
        </w:r>
        <w:r>
          <w:rPr>
            <w:noProof/>
            <w:webHidden/>
          </w:rPr>
        </w:r>
        <w:r>
          <w:rPr>
            <w:noProof/>
            <w:webHidden/>
          </w:rPr>
          <w:fldChar w:fldCharType="separate"/>
        </w:r>
        <w:r w:rsidR="00EE29A1">
          <w:rPr>
            <w:noProof/>
            <w:webHidden/>
          </w:rPr>
          <w:t>19</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6" w:history="1">
        <w:r w:rsidR="00475741" w:rsidRPr="00F44567">
          <w:rPr>
            <w:rStyle w:val="Lienhypertexte"/>
            <w:noProof/>
          </w:rPr>
          <w:t>3.4.2</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Prolonged pre-trial detention</w:t>
        </w:r>
        <w:r w:rsidR="00475741">
          <w:rPr>
            <w:noProof/>
            <w:webHidden/>
          </w:rPr>
          <w:tab/>
        </w:r>
        <w:r>
          <w:rPr>
            <w:noProof/>
            <w:webHidden/>
          </w:rPr>
          <w:fldChar w:fldCharType="begin"/>
        </w:r>
        <w:r w:rsidR="00475741">
          <w:rPr>
            <w:noProof/>
            <w:webHidden/>
          </w:rPr>
          <w:instrText xml:space="preserve"> PAGEREF _Toc430939996 \h </w:instrText>
        </w:r>
        <w:r>
          <w:rPr>
            <w:noProof/>
            <w:webHidden/>
          </w:rPr>
        </w:r>
        <w:r>
          <w:rPr>
            <w:noProof/>
            <w:webHidden/>
          </w:rPr>
          <w:fldChar w:fldCharType="separate"/>
        </w:r>
        <w:r w:rsidR="00EE29A1">
          <w:rPr>
            <w:noProof/>
            <w:webHidden/>
          </w:rPr>
          <w:t>20</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7" w:history="1">
        <w:r w:rsidR="00475741" w:rsidRPr="00F44567">
          <w:rPr>
            <w:rStyle w:val="Lienhypertexte"/>
            <w:noProof/>
          </w:rPr>
          <w:t>3.4.3</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Secret and incommunicado detention</w:t>
        </w:r>
        <w:r w:rsidR="00475741">
          <w:rPr>
            <w:noProof/>
            <w:webHidden/>
          </w:rPr>
          <w:tab/>
        </w:r>
        <w:r>
          <w:rPr>
            <w:noProof/>
            <w:webHidden/>
          </w:rPr>
          <w:fldChar w:fldCharType="begin"/>
        </w:r>
        <w:r w:rsidR="00475741">
          <w:rPr>
            <w:noProof/>
            <w:webHidden/>
          </w:rPr>
          <w:instrText xml:space="preserve"> PAGEREF _Toc430939997 \h </w:instrText>
        </w:r>
        <w:r>
          <w:rPr>
            <w:noProof/>
            <w:webHidden/>
          </w:rPr>
        </w:r>
        <w:r>
          <w:rPr>
            <w:noProof/>
            <w:webHidden/>
          </w:rPr>
          <w:fldChar w:fldCharType="separate"/>
        </w:r>
        <w:r w:rsidR="00EE29A1">
          <w:rPr>
            <w:noProof/>
            <w:webHidden/>
          </w:rPr>
          <w:t>20</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8" w:history="1">
        <w:r w:rsidR="00475741" w:rsidRPr="00F44567">
          <w:rPr>
            <w:rStyle w:val="Lienhypertexte"/>
            <w:noProof/>
          </w:rPr>
          <w:t>3.4.4</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Denial of the right to a defence and legal assistance</w:t>
        </w:r>
        <w:r w:rsidR="00475741">
          <w:rPr>
            <w:noProof/>
            <w:webHidden/>
          </w:rPr>
          <w:tab/>
        </w:r>
        <w:r>
          <w:rPr>
            <w:noProof/>
            <w:webHidden/>
          </w:rPr>
          <w:fldChar w:fldCharType="begin"/>
        </w:r>
        <w:r w:rsidR="00475741">
          <w:rPr>
            <w:noProof/>
            <w:webHidden/>
          </w:rPr>
          <w:instrText xml:space="preserve"> PAGEREF _Toc430939998 \h </w:instrText>
        </w:r>
        <w:r>
          <w:rPr>
            <w:noProof/>
            <w:webHidden/>
          </w:rPr>
        </w:r>
        <w:r>
          <w:rPr>
            <w:noProof/>
            <w:webHidden/>
          </w:rPr>
          <w:fldChar w:fldCharType="separate"/>
        </w:r>
        <w:r w:rsidR="00EE29A1">
          <w:rPr>
            <w:noProof/>
            <w:webHidden/>
          </w:rPr>
          <w:t>22</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39999" w:history="1">
        <w:r w:rsidR="00475741" w:rsidRPr="00F44567">
          <w:rPr>
            <w:rStyle w:val="Lienhypertexte"/>
            <w:noProof/>
            <w:lang w:val="en-US"/>
          </w:rPr>
          <w:t>3.4.5</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 xml:space="preserve">Disrespect for the </w:t>
        </w:r>
        <w:r w:rsidR="00475741" w:rsidRPr="00F44567">
          <w:rPr>
            <w:rStyle w:val="Lienhypertexte"/>
            <w:noProof/>
            <w:lang w:val="en-US"/>
          </w:rPr>
          <w:t>principle of presumption of innocence</w:t>
        </w:r>
        <w:r w:rsidR="00475741">
          <w:rPr>
            <w:noProof/>
            <w:webHidden/>
          </w:rPr>
          <w:tab/>
        </w:r>
        <w:r>
          <w:rPr>
            <w:noProof/>
            <w:webHidden/>
          </w:rPr>
          <w:fldChar w:fldCharType="begin"/>
        </w:r>
        <w:r w:rsidR="00475741">
          <w:rPr>
            <w:noProof/>
            <w:webHidden/>
          </w:rPr>
          <w:instrText xml:space="preserve"> PAGEREF _Toc430939999 \h </w:instrText>
        </w:r>
        <w:r>
          <w:rPr>
            <w:noProof/>
            <w:webHidden/>
          </w:rPr>
        </w:r>
        <w:r>
          <w:rPr>
            <w:noProof/>
            <w:webHidden/>
          </w:rPr>
          <w:fldChar w:fldCharType="separate"/>
        </w:r>
        <w:r w:rsidR="00EE29A1">
          <w:rPr>
            <w:noProof/>
            <w:webHidden/>
          </w:rPr>
          <w:t>23</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40000" w:history="1">
        <w:r w:rsidR="00475741" w:rsidRPr="00F44567">
          <w:rPr>
            <w:rStyle w:val="Lienhypertexte"/>
            <w:noProof/>
          </w:rPr>
          <w:t>3.4.6</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Flawed convictions based on confessions under torture or information provided by “secret informants”</w:t>
        </w:r>
        <w:r w:rsidR="00475741">
          <w:rPr>
            <w:noProof/>
            <w:webHidden/>
          </w:rPr>
          <w:tab/>
        </w:r>
        <w:r>
          <w:rPr>
            <w:noProof/>
            <w:webHidden/>
          </w:rPr>
          <w:fldChar w:fldCharType="begin"/>
        </w:r>
        <w:r w:rsidR="00475741">
          <w:rPr>
            <w:noProof/>
            <w:webHidden/>
          </w:rPr>
          <w:instrText xml:space="preserve"> PAGEREF _Toc430940000 \h </w:instrText>
        </w:r>
        <w:r>
          <w:rPr>
            <w:noProof/>
            <w:webHidden/>
          </w:rPr>
        </w:r>
        <w:r>
          <w:rPr>
            <w:noProof/>
            <w:webHidden/>
          </w:rPr>
          <w:fldChar w:fldCharType="separate"/>
        </w:r>
        <w:r w:rsidR="00EE29A1">
          <w:rPr>
            <w:noProof/>
            <w:webHidden/>
          </w:rPr>
          <w:t>24</w:t>
        </w:r>
        <w:r>
          <w:rPr>
            <w:noProof/>
            <w:webHidden/>
          </w:rPr>
          <w:fldChar w:fldCharType="end"/>
        </w:r>
      </w:hyperlink>
    </w:p>
    <w:p w:rsidR="00475741" w:rsidRDefault="00E40B1D">
      <w:pPr>
        <w:pStyle w:val="TM3"/>
        <w:tabs>
          <w:tab w:val="left" w:pos="1200"/>
          <w:tab w:val="right" w:leader="dot" w:pos="9062"/>
        </w:tabs>
        <w:rPr>
          <w:rFonts w:asciiTheme="minorHAnsi" w:eastAsiaTheme="minorEastAsia" w:hAnsiTheme="minorHAnsi" w:cstheme="minorBidi"/>
          <w:i w:val="0"/>
          <w:iCs w:val="0"/>
          <w:noProof/>
          <w:sz w:val="22"/>
          <w:szCs w:val="22"/>
          <w:lang w:val="fr-CH" w:eastAsia="fr-CH"/>
        </w:rPr>
      </w:pPr>
      <w:hyperlink w:anchor="_Toc430940001" w:history="1">
        <w:r w:rsidR="00475741" w:rsidRPr="00F44567">
          <w:rPr>
            <w:rStyle w:val="Lienhypertexte"/>
            <w:noProof/>
          </w:rPr>
          <w:t>3.4.7</w:t>
        </w:r>
        <w:r w:rsidR="00475741">
          <w:rPr>
            <w:rFonts w:asciiTheme="minorHAnsi" w:eastAsiaTheme="minorEastAsia" w:hAnsiTheme="minorHAnsi" w:cstheme="minorBidi"/>
            <w:i w:val="0"/>
            <w:iCs w:val="0"/>
            <w:noProof/>
            <w:sz w:val="22"/>
            <w:szCs w:val="22"/>
            <w:lang w:val="fr-CH" w:eastAsia="fr-CH"/>
          </w:rPr>
          <w:tab/>
        </w:r>
        <w:r w:rsidR="00475741" w:rsidRPr="00F44567">
          <w:rPr>
            <w:rStyle w:val="Lienhypertexte"/>
            <w:noProof/>
          </w:rPr>
          <w:t>The lack of independence of the judiciary</w:t>
        </w:r>
        <w:r w:rsidR="00475741">
          <w:rPr>
            <w:noProof/>
            <w:webHidden/>
          </w:rPr>
          <w:tab/>
        </w:r>
        <w:r>
          <w:rPr>
            <w:noProof/>
            <w:webHidden/>
          </w:rPr>
          <w:fldChar w:fldCharType="begin"/>
        </w:r>
        <w:r w:rsidR="00475741">
          <w:rPr>
            <w:noProof/>
            <w:webHidden/>
          </w:rPr>
          <w:instrText xml:space="preserve"> PAGEREF _Toc430940001 \h </w:instrText>
        </w:r>
        <w:r>
          <w:rPr>
            <w:noProof/>
            <w:webHidden/>
          </w:rPr>
        </w:r>
        <w:r>
          <w:rPr>
            <w:noProof/>
            <w:webHidden/>
          </w:rPr>
          <w:fldChar w:fldCharType="separate"/>
        </w:r>
        <w:r w:rsidR="00EE29A1">
          <w:rPr>
            <w:noProof/>
            <w:webHidden/>
          </w:rPr>
          <w:t>24</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40002" w:history="1">
        <w:r w:rsidR="00475741" w:rsidRPr="00F44567">
          <w:rPr>
            <w:rStyle w:val="Lienhypertexte"/>
            <w:rFonts w:cs="Times New Roman"/>
            <w:noProof/>
          </w:rPr>
          <w:t>3.5</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rPr>
          <w:t>The Rights to Freedom of Opinion and Expression (Article 19) and Peaceful Assembly (Article 21)</w:t>
        </w:r>
        <w:r w:rsidR="00475741">
          <w:rPr>
            <w:noProof/>
            <w:webHidden/>
          </w:rPr>
          <w:tab/>
        </w:r>
        <w:r>
          <w:rPr>
            <w:noProof/>
            <w:webHidden/>
          </w:rPr>
          <w:fldChar w:fldCharType="begin"/>
        </w:r>
        <w:r w:rsidR="00475741">
          <w:rPr>
            <w:noProof/>
            <w:webHidden/>
          </w:rPr>
          <w:instrText xml:space="preserve"> PAGEREF _Toc430940002 \h </w:instrText>
        </w:r>
        <w:r>
          <w:rPr>
            <w:noProof/>
            <w:webHidden/>
          </w:rPr>
        </w:r>
        <w:r>
          <w:rPr>
            <w:noProof/>
            <w:webHidden/>
          </w:rPr>
          <w:fldChar w:fldCharType="separate"/>
        </w:r>
        <w:r w:rsidR="00EE29A1">
          <w:rPr>
            <w:noProof/>
            <w:webHidden/>
          </w:rPr>
          <w:t>27</w:t>
        </w:r>
        <w:r>
          <w:rPr>
            <w:noProof/>
            <w:webHidden/>
          </w:rPr>
          <w:fldChar w:fldCharType="end"/>
        </w:r>
      </w:hyperlink>
    </w:p>
    <w:p w:rsidR="00475741" w:rsidRDefault="00E40B1D">
      <w:pPr>
        <w:pStyle w:val="TM2"/>
        <w:tabs>
          <w:tab w:val="left" w:pos="800"/>
          <w:tab w:val="right" w:leader="dot" w:pos="9062"/>
        </w:tabs>
        <w:rPr>
          <w:rFonts w:asciiTheme="minorHAnsi" w:eastAsiaTheme="minorEastAsia" w:hAnsiTheme="minorHAnsi" w:cstheme="minorBidi"/>
          <w:smallCaps w:val="0"/>
          <w:noProof/>
          <w:sz w:val="22"/>
          <w:szCs w:val="22"/>
          <w:lang w:val="fr-CH" w:eastAsia="fr-CH"/>
        </w:rPr>
      </w:pPr>
      <w:hyperlink w:anchor="_Toc430940003" w:history="1">
        <w:r w:rsidR="00475741" w:rsidRPr="00F44567">
          <w:rPr>
            <w:rStyle w:val="Lienhypertexte"/>
            <w:rFonts w:cs="Times New Roman"/>
            <w:noProof/>
          </w:rPr>
          <w:t>3.6</w:t>
        </w:r>
        <w:r w:rsidR="00475741">
          <w:rPr>
            <w:rFonts w:asciiTheme="minorHAnsi" w:eastAsiaTheme="minorEastAsia" w:hAnsiTheme="minorHAnsi" w:cstheme="minorBidi"/>
            <w:smallCaps w:val="0"/>
            <w:noProof/>
            <w:sz w:val="22"/>
            <w:szCs w:val="22"/>
            <w:lang w:val="fr-CH" w:eastAsia="fr-CH"/>
          </w:rPr>
          <w:tab/>
        </w:r>
        <w:r w:rsidR="00475741" w:rsidRPr="00F44567">
          <w:rPr>
            <w:rStyle w:val="Lienhypertexte"/>
            <w:noProof/>
          </w:rPr>
          <w:t>The abuses committed under the Anti-Terrorism Framework (Articles 2, 7, 9, 10 and 14)</w:t>
        </w:r>
        <w:r w:rsidR="00475741">
          <w:rPr>
            <w:noProof/>
            <w:webHidden/>
          </w:rPr>
          <w:tab/>
        </w:r>
        <w:r>
          <w:rPr>
            <w:noProof/>
            <w:webHidden/>
          </w:rPr>
          <w:fldChar w:fldCharType="begin"/>
        </w:r>
        <w:r w:rsidR="00475741">
          <w:rPr>
            <w:noProof/>
            <w:webHidden/>
          </w:rPr>
          <w:instrText xml:space="preserve"> PAGEREF _Toc430940003 \h </w:instrText>
        </w:r>
        <w:r>
          <w:rPr>
            <w:noProof/>
            <w:webHidden/>
          </w:rPr>
        </w:r>
        <w:r>
          <w:rPr>
            <w:noProof/>
            <w:webHidden/>
          </w:rPr>
          <w:fldChar w:fldCharType="separate"/>
        </w:r>
        <w:r w:rsidR="00EE29A1">
          <w:rPr>
            <w:noProof/>
            <w:webHidden/>
          </w:rPr>
          <w:t>28</w:t>
        </w:r>
        <w:r>
          <w:rPr>
            <w:noProof/>
            <w:webHidden/>
          </w:rPr>
          <w:fldChar w:fldCharType="end"/>
        </w:r>
      </w:hyperlink>
    </w:p>
    <w:p w:rsidR="00475741" w:rsidRDefault="00E40B1D">
      <w:pPr>
        <w:pStyle w:val="TM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30940004" w:history="1">
        <w:r w:rsidR="00475741" w:rsidRPr="00F44567">
          <w:rPr>
            <w:rStyle w:val="Lienhypertexte"/>
            <w:noProof/>
          </w:rPr>
          <w:t>4.</w:t>
        </w:r>
        <w:r w:rsidR="00475741">
          <w:rPr>
            <w:rFonts w:asciiTheme="minorHAnsi" w:eastAsiaTheme="minorEastAsia" w:hAnsiTheme="minorHAnsi" w:cstheme="minorBidi"/>
            <w:b w:val="0"/>
            <w:bCs w:val="0"/>
            <w:caps w:val="0"/>
            <w:noProof/>
            <w:sz w:val="22"/>
            <w:szCs w:val="22"/>
            <w:lang w:val="fr-CH" w:eastAsia="fr-CH"/>
          </w:rPr>
          <w:tab/>
        </w:r>
        <w:r w:rsidR="00475741" w:rsidRPr="00F44567">
          <w:rPr>
            <w:rStyle w:val="Lienhypertexte"/>
            <w:noProof/>
          </w:rPr>
          <w:t>Conclusion</w:t>
        </w:r>
        <w:r w:rsidR="00475741">
          <w:rPr>
            <w:noProof/>
            <w:webHidden/>
          </w:rPr>
          <w:tab/>
        </w:r>
        <w:r>
          <w:rPr>
            <w:noProof/>
            <w:webHidden/>
          </w:rPr>
          <w:fldChar w:fldCharType="begin"/>
        </w:r>
        <w:r w:rsidR="00475741">
          <w:rPr>
            <w:noProof/>
            <w:webHidden/>
          </w:rPr>
          <w:instrText xml:space="preserve"> PAGEREF _Toc430940004 \h </w:instrText>
        </w:r>
        <w:r>
          <w:rPr>
            <w:noProof/>
            <w:webHidden/>
          </w:rPr>
        </w:r>
        <w:r>
          <w:rPr>
            <w:noProof/>
            <w:webHidden/>
          </w:rPr>
          <w:fldChar w:fldCharType="separate"/>
        </w:r>
        <w:r w:rsidR="00EE29A1">
          <w:rPr>
            <w:noProof/>
            <w:webHidden/>
          </w:rPr>
          <w:t>29</w:t>
        </w:r>
        <w:r>
          <w:rPr>
            <w:noProof/>
            <w:webHidden/>
          </w:rPr>
          <w:fldChar w:fldCharType="end"/>
        </w:r>
      </w:hyperlink>
    </w:p>
    <w:p w:rsidR="00BF0356" w:rsidRPr="00EE36F4" w:rsidRDefault="00E40B1D" w:rsidP="007D1A0F">
      <w:pPr>
        <w:spacing w:line="360" w:lineRule="auto"/>
      </w:pPr>
      <w:r w:rsidRPr="0039530F">
        <w:rPr>
          <w:i/>
          <w:iCs/>
          <w:caps/>
        </w:rPr>
        <w:fldChar w:fldCharType="end"/>
      </w:r>
    </w:p>
    <w:p w:rsidR="00BF0356" w:rsidRPr="00EE36F4" w:rsidRDefault="00BF0356" w:rsidP="007D1A0F">
      <w:pPr>
        <w:jc w:val="left"/>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475741" w:rsidRDefault="00475741" w:rsidP="00696CAE">
      <w:pPr>
        <w:jc w:val="left"/>
        <w:rPr>
          <w:b/>
          <w:bCs/>
        </w:rPr>
      </w:pPr>
    </w:p>
    <w:p w:rsidR="00BF0356" w:rsidRPr="00EE36F4" w:rsidRDefault="00BF0356" w:rsidP="00696CAE">
      <w:pPr>
        <w:jc w:val="left"/>
        <w:rPr>
          <w:b/>
          <w:bCs/>
        </w:rPr>
      </w:pPr>
    </w:p>
    <w:p w:rsidR="00FB2E1E" w:rsidRDefault="0039530F">
      <w:pPr>
        <w:pStyle w:val="Titre1"/>
        <w:numPr>
          <w:ilvl w:val="0"/>
          <w:numId w:val="13"/>
        </w:numPr>
        <w:ind w:left="567" w:hanging="567"/>
        <w:rPr>
          <w:lang w:val="en-GB"/>
        </w:rPr>
      </w:pPr>
      <w:bookmarkStart w:id="5" w:name="_Toc430939980"/>
      <w:bookmarkStart w:id="6" w:name="_Toc222895124"/>
      <w:bookmarkStart w:id="7" w:name="_Toc222895458"/>
      <w:r w:rsidRPr="0039530F">
        <w:rPr>
          <w:lang w:val="en-GB"/>
        </w:rPr>
        <w:lastRenderedPageBreak/>
        <w:t>Introduction</w:t>
      </w:r>
      <w:bookmarkEnd w:id="5"/>
      <w:r w:rsidRPr="0039530F">
        <w:rPr>
          <w:lang w:val="en-GB"/>
        </w:rPr>
        <w:t xml:space="preserve"> </w:t>
      </w:r>
    </w:p>
    <w:p w:rsidR="00BF0356" w:rsidRPr="00EE36F4" w:rsidRDefault="00BF0356" w:rsidP="00B976B5"/>
    <w:p w:rsidR="00DF3F6D" w:rsidRPr="00E556AF" w:rsidRDefault="00DF3F6D" w:rsidP="00DF3F6D">
      <w:r w:rsidRPr="00E556AF">
        <w:t>Iraq’s initial report (CCPR/C/IRQ/5) was provided to the Human Rights Committee in October 2013, thirteen years overdue. The Committee will examine this report during its 115</w:t>
      </w:r>
      <w:r w:rsidRPr="00E556AF">
        <w:rPr>
          <w:vertAlign w:val="superscript"/>
        </w:rPr>
        <w:t>th</w:t>
      </w:r>
      <w:r w:rsidRPr="00E556AF">
        <w:t xml:space="preserve"> session in October/November 2015. In the context of this review, Alkarama provides the present report in which it seeks to evaluate the effective implementation of provisions of the International Covenant on Civil and Political Rights</w:t>
      </w:r>
      <w:r w:rsidR="00851068">
        <w:t xml:space="preserve"> (ICCPR)</w:t>
      </w:r>
      <w:r w:rsidRPr="00E556AF">
        <w:t xml:space="preserve"> in Iraq.</w:t>
      </w:r>
      <w:r w:rsidRPr="00E556AF">
        <w:rPr>
          <w:lang w:eastAsia="fr-FR"/>
        </w:rPr>
        <w:t xml:space="preserve"> </w:t>
      </w:r>
      <w:r w:rsidRPr="00E556AF">
        <w:t xml:space="preserve">This report also presents </w:t>
      </w:r>
      <w:proofErr w:type="spellStart"/>
      <w:r w:rsidRPr="00E556AF">
        <w:t>Alkarama’s</w:t>
      </w:r>
      <w:proofErr w:type="spellEnd"/>
      <w:r w:rsidRPr="00E556AF">
        <w:t xml:space="preserve"> main concerns and makes recommendations to the State party.</w:t>
      </w:r>
    </w:p>
    <w:p w:rsidR="00DF3F6D" w:rsidRPr="00E556AF" w:rsidRDefault="00DF3F6D" w:rsidP="00DF3F6D"/>
    <w:p w:rsidR="00DF3F6D" w:rsidRPr="00DF3F6D" w:rsidRDefault="00DF3F6D" w:rsidP="00DE4218">
      <w:pPr>
        <w:rPr>
          <w:lang w:val="en-US"/>
        </w:rPr>
      </w:pPr>
      <w:r w:rsidRPr="00E556AF">
        <w:t>This report is based on the documentation of the human rights situation</w:t>
      </w:r>
      <w:r w:rsidR="00DE4218">
        <w:t xml:space="preserve"> over the past ten years</w:t>
      </w:r>
      <w:r w:rsidRPr="00E556AF">
        <w:t xml:space="preserve"> in the country presented by Alkarama to the United Nations (UN) special procedures with the cooperation and participation of local actors, including victims themselves, their families and lawyers as well as local non-governmental organisations (NGOs) working for the promotion and protection of human rights</w:t>
      </w:r>
      <w:r>
        <w:t xml:space="preserve">. </w:t>
      </w:r>
    </w:p>
    <w:p w:rsidR="00DF3F6D" w:rsidRPr="00DF3F6D" w:rsidRDefault="00DF3F6D" w:rsidP="00DF3F6D">
      <w:pPr>
        <w:rPr>
          <w:lang w:val="en-US"/>
        </w:rPr>
      </w:pPr>
    </w:p>
    <w:p w:rsidR="00BF0356" w:rsidRDefault="00DF3F6D" w:rsidP="00DE4218">
      <w:r w:rsidRPr="00E556AF">
        <w:t xml:space="preserve">In order to review the human rights situation in a holistic manner, this report begins by providing an overview of the </w:t>
      </w:r>
      <w:r w:rsidRPr="00E556AF">
        <w:rPr>
          <w:b/>
          <w:bCs/>
        </w:rPr>
        <w:t>current context of Iraq (1)</w:t>
      </w:r>
      <w:r w:rsidRPr="00E556AF">
        <w:t xml:space="preserve">, particularly in light of the current situation of armed conflict and fight against terrorism. The </w:t>
      </w:r>
      <w:r w:rsidRPr="00E556AF">
        <w:rPr>
          <w:b/>
          <w:bCs/>
        </w:rPr>
        <w:t>implementation of the Covenant in Iraq (2)</w:t>
      </w:r>
      <w:r w:rsidRPr="00E556AF">
        <w:t xml:space="preserve"> is then evaluated, in particular as it concerns the </w:t>
      </w:r>
      <w:r w:rsidRPr="00E556AF">
        <w:rPr>
          <w:b/>
          <w:bCs/>
        </w:rPr>
        <w:t>scope of application of the Covenant</w:t>
      </w:r>
      <w:r w:rsidRPr="00E556AF">
        <w:t xml:space="preserve"> (Article 2), the </w:t>
      </w:r>
      <w:r w:rsidRPr="00E556AF">
        <w:rPr>
          <w:b/>
          <w:bCs/>
        </w:rPr>
        <w:t>right to life</w:t>
      </w:r>
      <w:r w:rsidRPr="00E556AF">
        <w:t xml:space="preserve"> (Article 6), the right to </w:t>
      </w:r>
      <w:r w:rsidRPr="00E556AF">
        <w:rPr>
          <w:b/>
          <w:bCs/>
        </w:rPr>
        <w:t>physical integrity and the prohibition of torture</w:t>
      </w:r>
      <w:r w:rsidRPr="00E556AF">
        <w:t xml:space="preserve"> (Articles 7 and 10). The report then focuses on Iraq’s implementation of</w:t>
      </w:r>
      <w:r w:rsidR="00DE4218">
        <w:t xml:space="preserve"> the</w:t>
      </w:r>
      <w:r w:rsidRPr="00E556AF">
        <w:t xml:space="preserve"> </w:t>
      </w:r>
      <w:r w:rsidRPr="00E556AF">
        <w:rPr>
          <w:b/>
          <w:bCs/>
        </w:rPr>
        <w:t>prohibition of arbitrary detention</w:t>
      </w:r>
      <w:r w:rsidRPr="00E556AF">
        <w:t xml:space="preserve"> and the </w:t>
      </w:r>
      <w:r w:rsidRPr="00E556AF">
        <w:rPr>
          <w:b/>
          <w:bCs/>
        </w:rPr>
        <w:t>right to a fair trial</w:t>
      </w:r>
      <w:r w:rsidRPr="00E556AF">
        <w:t xml:space="preserve"> (Articles 9 and 14). </w:t>
      </w:r>
      <w:r w:rsidRPr="00E556AF">
        <w:rPr>
          <w:b/>
          <w:bCs/>
        </w:rPr>
        <w:t>Freedom of opinion and expression</w:t>
      </w:r>
      <w:r w:rsidRPr="00E556AF">
        <w:t xml:space="preserve"> will be subsequently addressed, as well as the </w:t>
      </w:r>
      <w:r w:rsidRPr="00E556AF">
        <w:rPr>
          <w:b/>
          <w:bCs/>
        </w:rPr>
        <w:t>impact of counterterrorism measures on the respect of the rights guarantee</w:t>
      </w:r>
      <w:r w:rsidR="00DE4218">
        <w:rPr>
          <w:b/>
          <w:bCs/>
        </w:rPr>
        <w:t>d</w:t>
      </w:r>
      <w:r w:rsidRPr="00E556AF">
        <w:rPr>
          <w:b/>
          <w:bCs/>
        </w:rPr>
        <w:t xml:space="preserve"> by the Covenant</w:t>
      </w:r>
      <w:r w:rsidRPr="00E556AF">
        <w:t xml:space="preserve"> (Articles 2, 6, 7, 9, 10 and 14), which is essential in light of the current internal situation. For each of these subsections, recommendations to the State party are </w:t>
      </w:r>
      <w:r w:rsidR="00DE4218">
        <w:t>formulated</w:t>
      </w:r>
      <w:r w:rsidRPr="00E556AF">
        <w:t xml:space="preserve">. The report ends with a </w:t>
      </w:r>
      <w:r w:rsidRPr="00E556AF">
        <w:rPr>
          <w:b/>
          <w:bCs/>
        </w:rPr>
        <w:t>conclusion</w:t>
      </w:r>
      <w:r w:rsidRPr="00E556AF">
        <w:t xml:space="preserve"> on the human rights situation in the country.</w:t>
      </w:r>
    </w:p>
    <w:p w:rsidR="00DF3F6D" w:rsidRPr="00EE36F4" w:rsidRDefault="00DF3F6D" w:rsidP="00B976B5">
      <w:pPr>
        <w:rPr>
          <w:lang w:eastAsia="it-IT"/>
        </w:rPr>
      </w:pPr>
    </w:p>
    <w:p w:rsidR="00FB2E1E" w:rsidRDefault="0039530F">
      <w:pPr>
        <w:pStyle w:val="Titre1"/>
        <w:numPr>
          <w:ilvl w:val="0"/>
          <w:numId w:val="13"/>
        </w:numPr>
        <w:ind w:left="567" w:hanging="567"/>
        <w:rPr>
          <w:rFonts w:cs="Times New Roman"/>
          <w:lang w:val="en-GB"/>
        </w:rPr>
      </w:pPr>
      <w:bookmarkStart w:id="8" w:name="_Toc430939981"/>
      <w:r w:rsidRPr="0039530F">
        <w:rPr>
          <w:lang w:val="en-GB"/>
        </w:rPr>
        <w:t>The Current Situation in Iraq</w:t>
      </w:r>
      <w:bookmarkEnd w:id="8"/>
      <w:r w:rsidRPr="0039530F">
        <w:rPr>
          <w:lang w:val="en-GB"/>
        </w:rPr>
        <w:t xml:space="preserve"> </w:t>
      </w:r>
      <w:bookmarkEnd w:id="6"/>
      <w:bookmarkEnd w:id="7"/>
    </w:p>
    <w:p w:rsidR="00BF0356" w:rsidRPr="00EE36F4" w:rsidRDefault="00BF0356" w:rsidP="00341A1B"/>
    <w:p w:rsidR="00DF3F6D" w:rsidRPr="00E556AF" w:rsidRDefault="00851068" w:rsidP="00851068">
      <w:r>
        <w:t>The d</w:t>
      </w:r>
      <w:r w:rsidR="00DF3F6D" w:rsidRPr="00E556AF">
        <w:t>eterioration over the past years of the human rights situation is a result of the effects of the United States (US)</w:t>
      </w:r>
      <w:r w:rsidR="00DF3F6D">
        <w:t xml:space="preserve"> and the international coalition</w:t>
      </w:r>
      <w:r w:rsidR="00DF3F6D" w:rsidRPr="00E556AF">
        <w:t xml:space="preserve"> occupation</w:t>
      </w:r>
      <w:r w:rsidR="00DF3F6D">
        <w:t xml:space="preserve"> leading to the</w:t>
      </w:r>
      <w:r w:rsidR="00DF3F6D" w:rsidRPr="00E556AF">
        <w:t xml:space="preserve"> ensuing civil war and internal division, as well as the regional turmoil. </w:t>
      </w:r>
    </w:p>
    <w:p w:rsidR="00DF3F6D" w:rsidRPr="00E556AF" w:rsidRDefault="00DF3F6D" w:rsidP="00DF3F6D">
      <w:pPr>
        <w:tabs>
          <w:tab w:val="left" w:pos="3844"/>
        </w:tabs>
      </w:pPr>
      <w:r>
        <w:tab/>
      </w:r>
    </w:p>
    <w:p w:rsidR="00DF3F6D" w:rsidRPr="00E556AF" w:rsidRDefault="00DF3F6D" w:rsidP="00DF3F6D">
      <w:r w:rsidRPr="00E556AF">
        <w:t>Following the invasion of Iraq by a US-led coalition in March 2003, a Coalition Provisional Authority (CPA) aiming at ousting Saddam Hussein was established as the interim authority. The years of occupation were then marked by intense violence between the Iraqi insurgency and the Multi-National Force (MNF), composed essentially of American</w:t>
      </w:r>
      <w:r>
        <w:t xml:space="preserve"> military forces</w:t>
      </w:r>
      <w:r w:rsidRPr="00E556AF">
        <w:t xml:space="preserve">. Before handing over sovereignty to an interim Iraqi government in June 2004 on the basis of a UN Security Council Resolution, the CPA issued an order granting immunity for all foreign forces and contractors operating under the auspices of the MNF for any offences </w:t>
      </w:r>
      <w:r>
        <w:t xml:space="preserve">including serious crimes </w:t>
      </w:r>
      <w:r w:rsidRPr="00E556AF">
        <w:t xml:space="preserve">committed in Iraq. However, the MNF remained in the country until 2008 while the US retained significant </w:t>
      </w:r>
      <w:r w:rsidRPr="00E556AF">
        <w:rPr>
          <w:i/>
          <w:iCs/>
        </w:rPr>
        <w:t xml:space="preserve">de facto </w:t>
      </w:r>
      <w:r w:rsidRPr="00E556AF">
        <w:t>power.</w:t>
      </w:r>
    </w:p>
    <w:p w:rsidR="00DF3F6D" w:rsidRPr="00E556AF" w:rsidRDefault="00DF3F6D" w:rsidP="00DF3F6D"/>
    <w:p w:rsidR="00DF3F6D" w:rsidRPr="00E556AF" w:rsidRDefault="00DF3F6D" w:rsidP="00DF3F6D">
      <w:r w:rsidRPr="00E556AF">
        <w:t xml:space="preserve">After the election of a Transitional National Assembly in 2005 and the adoption of the new Constitution creating an </w:t>
      </w:r>
      <w:r w:rsidRPr="00A44707">
        <w:t>Islamic federal democracy</w:t>
      </w:r>
      <w:r w:rsidRPr="00E556AF">
        <w:t xml:space="preserve">, Prime Minister </w:t>
      </w:r>
      <w:proofErr w:type="spellStart"/>
      <w:r w:rsidRPr="00E556AF">
        <w:t>Nouri</w:t>
      </w:r>
      <w:proofErr w:type="spellEnd"/>
      <w:r w:rsidRPr="00E556AF">
        <w:t xml:space="preserve"> Al-</w:t>
      </w:r>
      <w:proofErr w:type="spellStart"/>
      <w:r w:rsidRPr="00E556AF">
        <w:t>Maliki</w:t>
      </w:r>
      <w:proofErr w:type="spellEnd"/>
      <w:r w:rsidRPr="00E556AF">
        <w:t xml:space="preserve"> put together a unity government in spring 2006. However, sectarian violence continued to escalate following a bomb attack on a </w:t>
      </w:r>
      <w:proofErr w:type="spellStart"/>
      <w:r w:rsidRPr="00E556AF">
        <w:t>Shia</w:t>
      </w:r>
      <w:proofErr w:type="spellEnd"/>
      <w:r w:rsidRPr="00E556AF">
        <w:t xml:space="preserve"> shrine in Samarra in February</w:t>
      </w:r>
      <w:r w:rsidR="00315F9C">
        <w:t xml:space="preserve"> 2006</w:t>
      </w:r>
      <w:r w:rsidRPr="00E556AF">
        <w:t xml:space="preserve"> and continued throughout 2007, bringing the civil war to its height, with 34 000 civilians killed in 2006 alone. </w:t>
      </w:r>
    </w:p>
    <w:p w:rsidR="00DF3F6D" w:rsidRPr="00E556AF" w:rsidRDefault="00DF3F6D" w:rsidP="00DF3F6D"/>
    <w:p w:rsidR="00DF3F6D" w:rsidRPr="00E556AF" w:rsidRDefault="00DF3F6D" w:rsidP="00DF3F6D">
      <w:r w:rsidRPr="00E556AF">
        <w:t xml:space="preserve">In November 2008, as coalition forces started to hand over control of the territory to the Iraqi forces, the Iraqi Parliament approved the Status of Forces Agreement (SOFA) which established that US troops would leave the country by the end of 2011, releasing or transferring custody of all detainees they held to the Iraqi authorities. In 2009, six years after the invasion, US troops started to withdraw. </w:t>
      </w:r>
    </w:p>
    <w:p w:rsidR="00DF3F6D" w:rsidRPr="00E556AF" w:rsidRDefault="00DF3F6D" w:rsidP="00DF3F6D"/>
    <w:p w:rsidR="00DF3F6D" w:rsidRPr="00E556AF" w:rsidRDefault="00DF3F6D" w:rsidP="00315F9C">
      <w:r w:rsidRPr="00E556AF">
        <w:t>In March 2010, parliamentary elections were held and a new government</w:t>
      </w:r>
      <w:r>
        <w:t xml:space="preserve"> headed by </w:t>
      </w:r>
      <w:proofErr w:type="spellStart"/>
      <w:r>
        <w:t>Nouri</w:t>
      </w:r>
      <w:proofErr w:type="spellEnd"/>
      <w:r>
        <w:t xml:space="preserve"> </w:t>
      </w:r>
      <w:r w:rsidR="00315F9C">
        <w:t>A</w:t>
      </w:r>
      <w:r>
        <w:t>l-</w:t>
      </w:r>
      <w:proofErr w:type="spellStart"/>
      <w:r>
        <w:t>Maliki</w:t>
      </w:r>
      <w:proofErr w:type="spellEnd"/>
      <w:r w:rsidRPr="00E556AF">
        <w:t xml:space="preserve"> was approved after nine months of political stalemate</w:t>
      </w:r>
      <w:r w:rsidR="00315F9C">
        <w:t>.</w:t>
      </w:r>
      <w:r>
        <w:t xml:space="preserve"> </w:t>
      </w:r>
      <w:r w:rsidR="00315F9C">
        <w:t>S</w:t>
      </w:r>
      <w:r w:rsidRPr="00A44707">
        <w:rPr>
          <w:lang w:val="en-US"/>
        </w:rPr>
        <w:t>pates of bombings, ethnic tensions over Kirkuk, the re-emergence of sectarianism, and political manipulation of state institutions</w:t>
      </w:r>
      <w:r w:rsidR="00315F9C">
        <w:rPr>
          <w:lang w:val="en-US"/>
        </w:rPr>
        <w:t xml:space="preserve"> were all recorded by international observers at the time of the elections</w:t>
      </w:r>
      <w:r w:rsidRPr="00A44707">
        <w:rPr>
          <w:lang w:val="en-US"/>
        </w:rPr>
        <w:t>.</w:t>
      </w:r>
      <w:r w:rsidRPr="00A44707">
        <w:t xml:space="preserve"> The ensuing political paralysis, the failure to respond to demands that were first discussed</w:t>
      </w:r>
      <w:r w:rsidRPr="00E556AF">
        <w:t xml:space="preserve"> in Parliament and the violent response to the subsequent protest movement, which began in December 2012, favoured radicalisation over political dialogue. This tendency was further accentuated through the arrest and prosecution in December 2011 of prominent political figures who had peacefully criticised the government, as US troops finished withdrawing from the country.</w:t>
      </w:r>
    </w:p>
    <w:p w:rsidR="00DF3F6D" w:rsidRPr="00E556AF" w:rsidRDefault="00DF3F6D" w:rsidP="00DF3F6D"/>
    <w:p w:rsidR="00DF3F6D" w:rsidRPr="00E556AF" w:rsidRDefault="00DF3F6D" w:rsidP="00315F9C">
      <w:r w:rsidRPr="00E556AF">
        <w:t xml:space="preserve">In 2012 attacks targeting </w:t>
      </w:r>
      <w:proofErr w:type="spellStart"/>
      <w:r w:rsidRPr="00E556AF">
        <w:t>Shia</w:t>
      </w:r>
      <w:proofErr w:type="spellEnd"/>
      <w:r w:rsidRPr="00E556AF">
        <w:t xml:space="preserve"> areas on one hand and the crushing of peaceful protests denouncing the marginalisation of Sunni Muslims on the other plunged the country back to a state of sectarian war. As a result, 2013 experienced a serious escalation of violence, which allowed armed groups to grow in strength and increase</w:t>
      </w:r>
      <w:r w:rsidR="00BD1613">
        <w:t xml:space="preserve"> the number of</w:t>
      </w:r>
      <w:r w:rsidRPr="00E556AF">
        <w:t xml:space="preserve"> attacks </w:t>
      </w:r>
      <w:r w:rsidR="00BD1613">
        <w:t>on</w:t>
      </w:r>
      <w:r w:rsidR="00315F9C">
        <w:t xml:space="preserve"> public </w:t>
      </w:r>
      <w:r w:rsidRPr="00E556AF">
        <w:t xml:space="preserve">institutions. Benefitting from the deterioration of the security situation, the former Al Qaeda in Iraq now referred to as “the Islamic State” (IS), reached the Al </w:t>
      </w:r>
      <w:proofErr w:type="spellStart"/>
      <w:r w:rsidRPr="00E556AF">
        <w:t>Anbar</w:t>
      </w:r>
      <w:proofErr w:type="spellEnd"/>
      <w:r w:rsidRPr="00E556AF">
        <w:t xml:space="preserve"> governorate in January 2014 and took over the cities of Fallujah and </w:t>
      </w:r>
      <w:proofErr w:type="spellStart"/>
      <w:r w:rsidRPr="00E556AF">
        <w:t>Ramadi</w:t>
      </w:r>
      <w:proofErr w:type="spellEnd"/>
      <w:r w:rsidRPr="00E556AF">
        <w:t xml:space="preserve">, creating a grave humanitarian crisis followed by the exodus of hundreds of thousands of people. </w:t>
      </w:r>
    </w:p>
    <w:p w:rsidR="00DF3F6D" w:rsidRPr="00E556AF" w:rsidRDefault="00DF3F6D" w:rsidP="00DF3F6D"/>
    <w:p w:rsidR="00DF3F6D" w:rsidRPr="00E556AF" w:rsidRDefault="00DF3F6D" w:rsidP="00DF3F6D">
      <w:r w:rsidRPr="00E556AF">
        <w:t xml:space="preserve">In response to the intensification of fighting and the advance of IS in the northern and central parts of the country, including in Mosul and </w:t>
      </w:r>
      <w:proofErr w:type="spellStart"/>
      <w:r w:rsidRPr="00E556AF">
        <w:t>Tikrit</w:t>
      </w:r>
      <w:proofErr w:type="spellEnd"/>
      <w:r w:rsidRPr="00E556AF">
        <w:t>, militias were mobilised by the government, kidnapping and executing hundreds of people. In August</w:t>
      </w:r>
      <w:r w:rsidR="00315F9C">
        <w:t xml:space="preserve"> 2014</w:t>
      </w:r>
      <w:r w:rsidRPr="00E556AF">
        <w:t>, an international coalition led by the US intervened to stop the southern advance of IS by carrying out air raids, causing further civilian casualties.</w:t>
      </w:r>
    </w:p>
    <w:p w:rsidR="00DF3F6D" w:rsidRPr="00E556AF" w:rsidRDefault="00DF3F6D" w:rsidP="00DF3F6D"/>
    <w:p w:rsidR="00DF3F6D" w:rsidRDefault="00DF3F6D" w:rsidP="00DF3F6D">
      <w:r w:rsidRPr="00E556AF">
        <w:t>Today, with the legacy of occupation, ensuing internal conflict and dictatorship, Iraq’s weak institutions are unable to prevent abuse</w:t>
      </w:r>
      <w:r w:rsidR="00315F9C">
        <w:t>s</w:t>
      </w:r>
      <w:r w:rsidRPr="00E556AF">
        <w:t xml:space="preserve"> of power or hold perpetrators of serious human rights violations to account. Given the likelihood of a further deterioration in the situation, an increase in human rights violations, already generalised, is likely if sustained efforts are not made t</w:t>
      </w:r>
      <w:r w:rsidR="00315F9C">
        <w:t>o record violations, identify</w:t>
      </w:r>
      <w:r w:rsidRPr="00E556AF">
        <w:t xml:space="preserve"> perpetrators and bring them to justice.</w:t>
      </w:r>
    </w:p>
    <w:p w:rsidR="00DF3F6D" w:rsidRDefault="00DF3F6D" w:rsidP="00DF3F6D"/>
    <w:p w:rsidR="00DF3F6D" w:rsidRDefault="00DF3F6D" w:rsidP="00315F9C">
      <w:r>
        <w:t xml:space="preserve">In such a context, the recommendations issued by the Human Rights Committee as well as their follow-up </w:t>
      </w:r>
      <w:r w:rsidR="00315F9C">
        <w:t>would be instrumental in</w:t>
      </w:r>
      <w:r>
        <w:t xml:space="preserve"> enhancing the respect of human rights in Iraq</w:t>
      </w:r>
      <w:r w:rsidR="00315F9C">
        <w:t>.</w:t>
      </w:r>
      <w:r>
        <w:t xml:space="preserve"> </w:t>
      </w:r>
    </w:p>
    <w:p w:rsidR="00BF0356" w:rsidRDefault="00BF0356" w:rsidP="00742D61"/>
    <w:p w:rsidR="00FB2E1E" w:rsidRDefault="00DE4218">
      <w:pPr>
        <w:pStyle w:val="Titre1"/>
        <w:ind w:left="567" w:hanging="567"/>
        <w:rPr>
          <w:lang w:val="en-GB"/>
        </w:rPr>
      </w:pPr>
      <w:bookmarkStart w:id="9" w:name="_Toc430939982"/>
      <w:r>
        <w:rPr>
          <w:lang w:val="en-GB"/>
        </w:rPr>
        <w:t>Implementation</w:t>
      </w:r>
      <w:r w:rsidRPr="0039530F">
        <w:rPr>
          <w:lang w:val="en-GB"/>
        </w:rPr>
        <w:t xml:space="preserve"> </w:t>
      </w:r>
      <w:r w:rsidR="0039530F" w:rsidRPr="0039530F">
        <w:rPr>
          <w:lang w:val="en-GB"/>
        </w:rPr>
        <w:t>of the Covenant in Iraq</w:t>
      </w:r>
      <w:bookmarkEnd w:id="9"/>
    </w:p>
    <w:p w:rsidR="00BF0356" w:rsidRPr="00EE36F4" w:rsidRDefault="00BF0356" w:rsidP="00654BA6"/>
    <w:p w:rsidR="00BF0356" w:rsidRPr="00EE36F4" w:rsidRDefault="00BF0356" w:rsidP="00D303C4">
      <w:pPr>
        <w:pStyle w:val="Titre2"/>
        <w:numPr>
          <w:ilvl w:val="1"/>
          <w:numId w:val="16"/>
        </w:numPr>
        <w:rPr>
          <w:lang w:val="en-GB" w:eastAsia="fr-FR"/>
        </w:rPr>
      </w:pPr>
      <w:bookmarkStart w:id="10" w:name="_Toc430939983"/>
      <w:r w:rsidRPr="00EE36F4">
        <w:rPr>
          <w:lang w:val="en-GB" w:eastAsia="fr-FR"/>
        </w:rPr>
        <w:t>Scope of Application of the Co</w:t>
      </w:r>
      <w:r w:rsidR="0039530F" w:rsidRPr="0039530F">
        <w:rPr>
          <w:lang w:val="en-GB" w:eastAsia="fr-FR"/>
        </w:rPr>
        <w:t>venant (Article 2)</w:t>
      </w:r>
      <w:bookmarkEnd w:id="10"/>
    </w:p>
    <w:p w:rsidR="00BF0356" w:rsidRPr="00EE36F4" w:rsidRDefault="00BF0356" w:rsidP="004B4669"/>
    <w:p w:rsidR="00BF0356" w:rsidRPr="00EE36F4" w:rsidRDefault="0039530F" w:rsidP="00DE4218">
      <w:pPr>
        <w:pStyle w:val="Titre3"/>
        <w:rPr>
          <w:lang w:val="en-GB"/>
        </w:rPr>
      </w:pPr>
      <w:bookmarkStart w:id="11" w:name="_Toc430939984"/>
      <w:r w:rsidRPr="0039530F">
        <w:rPr>
          <w:lang w:val="en-GB"/>
        </w:rPr>
        <w:t xml:space="preserve">Application of the Covenant to violations committed by the </w:t>
      </w:r>
      <w:r w:rsidR="00DE4218" w:rsidRPr="0039530F">
        <w:rPr>
          <w:lang w:val="en-GB"/>
        </w:rPr>
        <w:t>occup</w:t>
      </w:r>
      <w:r w:rsidR="00DE4218">
        <w:rPr>
          <w:lang w:val="en-GB"/>
        </w:rPr>
        <w:t>ying</w:t>
      </w:r>
      <w:r w:rsidR="00DE4218" w:rsidRPr="0039530F">
        <w:rPr>
          <w:lang w:val="en-GB"/>
        </w:rPr>
        <w:t xml:space="preserve"> </w:t>
      </w:r>
      <w:r w:rsidRPr="0039530F">
        <w:rPr>
          <w:lang w:val="en-GB"/>
        </w:rPr>
        <w:t>forces, government-backed militias and the violation of the right to an effective remedy</w:t>
      </w:r>
      <w:bookmarkEnd w:id="11"/>
    </w:p>
    <w:p w:rsidR="00BF0356" w:rsidRPr="00EE36F4" w:rsidRDefault="00BF0356" w:rsidP="00DE6D11"/>
    <w:p w:rsidR="00DF3F6D" w:rsidRPr="00E556AF" w:rsidRDefault="00DF3F6D" w:rsidP="00D369BA">
      <w:pPr>
        <w:autoSpaceDE w:val="0"/>
        <w:autoSpaceDN w:val="0"/>
        <w:adjustRightInd w:val="0"/>
      </w:pPr>
      <w:r w:rsidRPr="00E556AF">
        <w:t xml:space="preserve">During the occupation of Iraq by the international coalition led by the United States, serious human rights violations were recorded, including arbitrary detentions, torture in </w:t>
      </w:r>
      <w:r w:rsidR="00D369BA">
        <w:t xml:space="preserve">several </w:t>
      </w:r>
      <w:r>
        <w:t xml:space="preserve">detention </w:t>
      </w:r>
      <w:r w:rsidR="00DE4218">
        <w:t xml:space="preserve">centres </w:t>
      </w:r>
      <w:proofErr w:type="gramStart"/>
      <w:r w:rsidR="00DE4218">
        <w:t xml:space="preserve">– </w:t>
      </w:r>
      <w:r>
        <w:t xml:space="preserve"> such</w:t>
      </w:r>
      <w:proofErr w:type="gramEnd"/>
      <w:r>
        <w:t xml:space="preserve"> as the </w:t>
      </w:r>
      <w:r w:rsidRPr="00E556AF">
        <w:t xml:space="preserve">infamous Abu </w:t>
      </w:r>
      <w:proofErr w:type="spellStart"/>
      <w:r w:rsidRPr="00E556AF">
        <w:t>Ghraib</w:t>
      </w:r>
      <w:proofErr w:type="spellEnd"/>
      <w:r w:rsidR="00D369BA">
        <w:t xml:space="preserve"> prison</w:t>
      </w:r>
      <w:r w:rsidR="00DE4218">
        <w:t xml:space="preserve"> –</w:t>
      </w:r>
      <w:r>
        <w:t xml:space="preserve"> </w:t>
      </w:r>
      <w:r w:rsidRPr="00E556AF">
        <w:t>enforced disappearances and extrajudicial executions. In particular,</w:t>
      </w:r>
      <w:r w:rsidR="00D369BA">
        <w:t xml:space="preserve"> </w:t>
      </w:r>
      <w:r w:rsidRPr="00E556AF">
        <w:t xml:space="preserve">Alkarama has documented numerous cases of individuals who were tortured and often detained </w:t>
      </w:r>
      <w:r w:rsidRPr="00E556AF">
        <w:rPr>
          <w:i/>
          <w:iCs/>
        </w:rPr>
        <w:t>incommunicado</w:t>
      </w:r>
      <w:r w:rsidRPr="00E556AF">
        <w:t xml:space="preserve"> by US force</w:t>
      </w:r>
      <w:r w:rsidR="00D369BA">
        <w:t>s</w:t>
      </w:r>
      <w:r w:rsidRPr="00E556AF">
        <w:t xml:space="preserve"> before being handed over to the Iraqi authorities. Whilst some were sentenced by national Iraqi courts on the basis of confessions extracted under torture, others are still disappeared today, such as the following persons: </w:t>
      </w:r>
    </w:p>
    <w:p w:rsidR="00DF3F6D" w:rsidRPr="00E556AF" w:rsidRDefault="00DF3F6D" w:rsidP="00DF3F6D">
      <w:pPr>
        <w:tabs>
          <w:tab w:val="left" w:pos="284"/>
        </w:tabs>
        <w:ind w:left="284" w:right="283"/>
      </w:pPr>
    </w:p>
    <w:p w:rsidR="00DF3F6D" w:rsidRPr="00E556AF" w:rsidRDefault="00DF3F6D" w:rsidP="00DF3F6D">
      <w:pPr>
        <w:tabs>
          <w:tab w:val="left" w:pos="284"/>
        </w:tabs>
        <w:ind w:left="284" w:right="283"/>
      </w:pPr>
      <w:r w:rsidRPr="00E556AF">
        <w:t xml:space="preserve">On 16 October 2005, 21-year-old </w:t>
      </w:r>
      <w:proofErr w:type="spellStart"/>
      <w:r w:rsidRPr="00E556AF">
        <w:rPr>
          <w:b/>
          <w:bCs/>
        </w:rPr>
        <w:t>Wissam</w:t>
      </w:r>
      <w:proofErr w:type="spellEnd"/>
      <w:r w:rsidRPr="00E556AF">
        <w:rPr>
          <w:b/>
          <w:bCs/>
        </w:rPr>
        <w:t xml:space="preserve"> Salam Ali Al </w:t>
      </w:r>
      <w:proofErr w:type="spellStart"/>
      <w:r w:rsidRPr="00E556AF">
        <w:rPr>
          <w:b/>
          <w:bCs/>
        </w:rPr>
        <w:t>Hashimi</w:t>
      </w:r>
      <w:proofErr w:type="spellEnd"/>
      <w:r w:rsidRPr="00E556AF">
        <w:t xml:space="preserve"> was supposed to meet his friend</w:t>
      </w:r>
      <w:r w:rsidRPr="00E556AF">
        <w:rPr>
          <w:b/>
          <w:bCs/>
          <w:lang w:eastAsia="fr-FR"/>
        </w:rPr>
        <w:t xml:space="preserve"> </w:t>
      </w:r>
      <w:r w:rsidRPr="00E556AF">
        <w:rPr>
          <w:b/>
          <w:bCs/>
        </w:rPr>
        <w:t xml:space="preserve">Ali </w:t>
      </w:r>
      <w:proofErr w:type="spellStart"/>
      <w:r w:rsidRPr="00E556AF">
        <w:rPr>
          <w:b/>
          <w:bCs/>
        </w:rPr>
        <w:t>Hamid</w:t>
      </w:r>
      <w:proofErr w:type="spellEnd"/>
      <w:r w:rsidRPr="00E556AF">
        <w:rPr>
          <w:b/>
          <w:bCs/>
        </w:rPr>
        <w:t xml:space="preserve"> Abdul-</w:t>
      </w:r>
      <w:proofErr w:type="spellStart"/>
      <w:r w:rsidRPr="00E556AF">
        <w:rPr>
          <w:b/>
          <w:bCs/>
        </w:rPr>
        <w:t>Wahab</w:t>
      </w:r>
      <w:proofErr w:type="spellEnd"/>
      <w:r w:rsidRPr="00E556AF">
        <w:rPr>
          <w:b/>
          <w:bCs/>
        </w:rPr>
        <w:t xml:space="preserve"> </w:t>
      </w:r>
      <w:proofErr w:type="spellStart"/>
      <w:r w:rsidRPr="00E556AF">
        <w:rPr>
          <w:b/>
          <w:bCs/>
        </w:rPr>
        <w:t>Hamad</w:t>
      </w:r>
      <w:proofErr w:type="spellEnd"/>
      <w:r w:rsidRPr="00E556AF">
        <w:rPr>
          <w:b/>
          <w:bCs/>
        </w:rPr>
        <w:t xml:space="preserve"> Al </w:t>
      </w:r>
      <w:proofErr w:type="spellStart"/>
      <w:r w:rsidRPr="00E556AF">
        <w:rPr>
          <w:b/>
          <w:bCs/>
        </w:rPr>
        <w:t>Jeyali</w:t>
      </w:r>
      <w:proofErr w:type="spellEnd"/>
      <w:r w:rsidRPr="00E556AF">
        <w:t xml:space="preserve"> and the latter’s uncle, </w:t>
      </w:r>
      <w:proofErr w:type="spellStart"/>
      <w:r w:rsidRPr="00E556AF">
        <w:rPr>
          <w:b/>
          <w:bCs/>
        </w:rPr>
        <w:t>Jabbar</w:t>
      </w:r>
      <w:proofErr w:type="spellEnd"/>
      <w:r w:rsidRPr="00E556AF">
        <w:rPr>
          <w:b/>
          <w:bCs/>
        </w:rPr>
        <w:t xml:space="preserve"> Ali </w:t>
      </w:r>
      <w:proofErr w:type="spellStart"/>
      <w:r w:rsidRPr="00E556AF">
        <w:rPr>
          <w:b/>
          <w:bCs/>
        </w:rPr>
        <w:t>Aati</w:t>
      </w:r>
      <w:proofErr w:type="spellEnd"/>
      <w:r w:rsidRPr="00E556AF">
        <w:rPr>
          <w:b/>
          <w:bCs/>
        </w:rPr>
        <w:t xml:space="preserve"> Al </w:t>
      </w:r>
      <w:proofErr w:type="spellStart"/>
      <w:r w:rsidRPr="00E556AF">
        <w:rPr>
          <w:b/>
          <w:bCs/>
        </w:rPr>
        <w:t>Suhayli</w:t>
      </w:r>
      <w:proofErr w:type="spellEnd"/>
      <w:r w:rsidRPr="00E556AF">
        <w:rPr>
          <w:vertAlign w:val="superscript"/>
        </w:rPr>
        <w:footnoteReference w:id="2"/>
      </w:r>
      <w:r w:rsidRPr="00E556AF">
        <w:t xml:space="preserve"> at the Babylon Hotel in </w:t>
      </w:r>
      <w:proofErr w:type="spellStart"/>
      <w:r w:rsidRPr="00E556AF">
        <w:t>Karrada</w:t>
      </w:r>
      <w:proofErr w:type="spellEnd"/>
      <w:r w:rsidRPr="00E556AF">
        <w:t xml:space="preserve"> Street, Al-</w:t>
      </w:r>
      <w:proofErr w:type="spellStart"/>
      <w:r w:rsidRPr="00E556AF">
        <w:t>Jadria</w:t>
      </w:r>
      <w:proofErr w:type="spellEnd"/>
      <w:r w:rsidRPr="00E556AF">
        <w:t xml:space="preserve">, </w:t>
      </w:r>
      <w:proofErr w:type="gramStart"/>
      <w:r w:rsidRPr="00E556AF">
        <w:t>Baghdad</w:t>
      </w:r>
      <w:proofErr w:type="gramEnd"/>
      <w:r w:rsidRPr="00E556AF">
        <w:t xml:space="preserve">. However, once there, they were immediately arrested by US soldiers, without any warrant and without providing any explanation for the arrest. The forces took the three men to an unknown location, and they have been disappeared since. </w:t>
      </w:r>
    </w:p>
    <w:p w:rsidR="00DF3F6D" w:rsidRPr="00E556AF" w:rsidRDefault="00DF3F6D" w:rsidP="00DF3F6D">
      <w:pPr>
        <w:tabs>
          <w:tab w:val="left" w:pos="284"/>
        </w:tabs>
        <w:ind w:left="284" w:right="283"/>
      </w:pPr>
    </w:p>
    <w:p w:rsidR="00DF3F6D" w:rsidRPr="00E556AF" w:rsidRDefault="00DF3F6D" w:rsidP="00DF3F6D">
      <w:pPr>
        <w:tabs>
          <w:tab w:val="left" w:pos="284"/>
        </w:tabs>
        <w:ind w:left="284" w:right="283"/>
      </w:pPr>
      <w:r w:rsidRPr="00E556AF">
        <w:t xml:space="preserve">In August 2011, former co-detainees told </w:t>
      </w:r>
      <w:proofErr w:type="spellStart"/>
      <w:r w:rsidRPr="00E556AF">
        <w:t>Wissam’s</w:t>
      </w:r>
      <w:proofErr w:type="spellEnd"/>
      <w:r w:rsidRPr="00E556AF">
        <w:t xml:space="preserve"> father that he was detained in Camp Cropper – now known as Al </w:t>
      </w:r>
      <w:proofErr w:type="spellStart"/>
      <w:r w:rsidRPr="00E556AF">
        <w:t>Karkh</w:t>
      </w:r>
      <w:proofErr w:type="spellEnd"/>
      <w:r w:rsidRPr="00E556AF">
        <w:t xml:space="preserve"> Prison – a detention centre which was handed over to the Iraqi authorities in late 2010. Although </w:t>
      </w:r>
      <w:proofErr w:type="spellStart"/>
      <w:r w:rsidRPr="00E556AF">
        <w:t>Wissam’s</w:t>
      </w:r>
      <w:proofErr w:type="spellEnd"/>
      <w:r w:rsidRPr="00E556AF">
        <w:t xml:space="preserve"> father inquired at the Green Zone of Baghdad, Camp </w:t>
      </w:r>
      <w:proofErr w:type="spellStart"/>
      <w:r w:rsidRPr="00E556AF">
        <w:t>Bucca</w:t>
      </w:r>
      <w:proofErr w:type="spellEnd"/>
      <w:r w:rsidRPr="00E556AF">
        <w:t xml:space="preserve">, the Ministry of Human Rights and the Ministry of Interior, while Ali and </w:t>
      </w:r>
      <w:proofErr w:type="spellStart"/>
      <w:r w:rsidRPr="00E556AF">
        <w:t>Jabbar’s</w:t>
      </w:r>
      <w:proofErr w:type="spellEnd"/>
      <w:r w:rsidRPr="00E556AF">
        <w:t xml:space="preserve"> relatives filed a complaint at the police station of Al </w:t>
      </w:r>
      <w:proofErr w:type="spellStart"/>
      <w:r w:rsidRPr="00E556AF">
        <w:t>Jafar</w:t>
      </w:r>
      <w:proofErr w:type="spellEnd"/>
      <w:r w:rsidRPr="00E556AF">
        <w:t xml:space="preserve"> and contacted the Ministry of Human Rights, they have never been informed of their relative</w:t>
      </w:r>
      <w:r w:rsidR="00BD1613">
        <w:t>s</w:t>
      </w:r>
      <w:r w:rsidRPr="00E556AF">
        <w:t>’ fate or whereabouts.</w:t>
      </w:r>
    </w:p>
    <w:p w:rsidR="00DF3F6D" w:rsidRPr="00E556AF" w:rsidRDefault="00DF3F6D" w:rsidP="00DF3F6D">
      <w:pPr>
        <w:autoSpaceDE w:val="0"/>
        <w:autoSpaceDN w:val="0"/>
        <w:adjustRightInd w:val="0"/>
      </w:pPr>
    </w:p>
    <w:p w:rsidR="00DF3F6D" w:rsidRPr="00E556AF" w:rsidRDefault="00DF3F6D" w:rsidP="00DF3F6D">
      <w:pPr>
        <w:autoSpaceDE w:val="0"/>
        <w:autoSpaceDN w:val="0"/>
        <w:adjustRightInd w:val="0"/>
      </w:pPr>
      <w:r w:rsidRPr="00E556AF">
        <w:t xml:space="preserve">Due to the legal regime currently in force in Iraq, such cases of enforced disappearance and other human rights violations committed by US forces have still not been investigated. </w:t>
      </w:r>
    </w:p>
    <w:p w:rsidR="00DF3F6D" w:rsidRPr="00E556AF" w:rsidRDefault="00DF3F6D" w:rsidP="00DF3F6D">
      <w:pPr>
        <w:autoSpaceDE w:val="0"/>
        <w:autoSpaceDN w:val="0"/>
        <w:adjustRightInd w:val="0"/>
      </w:pPr>
    </w:p>
    <w:p w:rsidR="00DF3F6D" w:rsidRPr="00E556AF" w:rsidRDefault="00DF3F6D" w:rsidP="00DF3F6D">
      <w:pPr>
        <w:autoSpaceDE w:val="0"/>
        <w:autoSpaceDN w:val="0"/>
        <w:adjustRightInd w:val="0"/>
      </w:pPr>
      <w:r w:rsidRPr="00E556AF">
        <w:t xml:space="preserve">A first legal impediment to investigation, prosecution and accountability is to be found in article 11 of the Iraqi Penal Code (PC), which provides that “[t]his Code is not applicable to offences that are committed in Iraq by persons who benefit from statutory protection under the terms of international agreements or international or domestic law.” </w:t>
      </w:r>
    </w:p>
    <w:p w:rsidR="00DF3F6D" w:rsidRPr="00E556AF" w:rsidRDefault="00DF3F6D" w:rsidP="00DF3F6D">
      <w:pPr>
        <w:autoSpaceDE w:val="0"/>
        <w:autoSpaceDN w:val="0"/>
        <w:adjustRightInd w:val="0"/>
      </w:pPr>
    </w:p>
    <w:p w:rsidR="009B3E9E" w:rsidRDefault="00DF3F6D">
      <w:pPr>
        <w:autoSpaceDE w:val="0"/>
        <w:autoSpaceDN w:val="0"/>
        <w:adjustRightInd w:val="0"/>
      </w:pPr>
      <w:r w:rsidRPr="00E556AF">
        <w:t xml:space="preserve">Secondly, the sharing of jurisdiction between Iraq and the US as determined by the “Agreement Between the United States of America and the Republic of Iraq On the Withdrawal of United States Forces from Iraq and the Organization of Their Activities during Their Temporary Presence in Iraq” – </w:t>
      </w:r>
      <w:r w:rsidR="00D369BA">
        <w:t>also known as</w:t>
      </w:r>
      <w:r w:rsidRPr="00E556AF">
        <w:t xml:space="preserve"> Status of Forces Agreement (SOFA) of 2008 – hinders the process of investigation, accountability and redress for victims. Indeed, article 12.3 SOFA provides the U.S with </w:t>
      </w:r>
      <w:r w:rsidR="00573985" w:rsidRPr="00573985">
        <w:t>primary</w:t>
      </w:r>
      <w:r w:rsidRPr="00E556AF">
        <w:t xml:space="preserve"> jurisdiction over US forces and civilian personnel for matters arising from inside agreed facilities and areas and committed on duty even outside th</w:t>
      </w:r>
      <w:r w:rsidR="00DE4218">
        <w:t>e</w:t>
      </w:r>
      <w:r w:rsidRPr="00E556AF">
        <w:t>se facilities and areas</w:t>
      </w:r>
      <w:r w:rsidRPr="00E556AF">
        <w:rPr>
          <w:vertAlign w:val="superscript"/>
        </w:rPr>
        <w:footnoteReference w:id="3"/>
      </w:r>
      <w:r w:rsidRPr="00E556AF">
        <w:t>. Although the Iraqi authorities can theor</w:t>
      </w:r>
      <w:r>
        <w:t>e</w:t>
      </w:r>
      <w:r w:rsidRPr="00E556AF">
        <w:t xml:space="preserve">tically </w:t>
      </w:r>
      <w:r w:rsidR="00BD1613">
        <w:t>request the US</w:t>
      </w:r>
      <w:r w:rsidR="00BD1613" w:rsidRPr="00E556AF">
        <w:t xml:space="preserve"> </w:t>
      </w:r>
      <w:r w:rsidRPr="00E556AF">
        <w:t>to waive this right of primary jurisdiction in specific cases</w:t>
      </w:r>
      <w:r w:rsidRPr="00E556AF">
        <w:rPr>
          <w:vertAlign w:val="superscript"/>
        </w:rPr>
        <w:footnoteReference w:id="4"/>
      </w:r>
      <w:r w:rsidRPr="00E556AF">
        <w:t>, there is no information available to us that would prove that Iraq ever demanded</w:t>
      </w:r>
      <w:r w:rsidR="00BD1613">
        <w:t xml:space="preserve"> the US</w:t>
      </w:r>
      <w:r w:rsidRPr="00E556AF">
        <w:t xml:space="preserve"> to waive </w:t>
      </w:r>
      <w:r w:rsidR="00BD1613">
        <w:t>its</w:t>
      </w:r>
      <w:r w:rsidR="00BD1613" w:rsidRPr="00E556AF">
        <w:t xml:space="preserve"> </w:t>
      </w:r>
      <w:r w:rsidRPr="00E556AF">
        <w:t xml:space="preserve">jurisdiction </w:t>
      </w:r>
      <w:r w:rsidR="00BD1613">
        <w:t>in order to</w:t>
      </w:r>
      <w:r w:rsidR="00BD1613" w:rsidRPr="00E556AF">
        <w:t xml:space="preserve"> </w:t>
      </w:r>
      <w:r w:rsidRPr="00E556AF">
        <w:t>exercise its own over specific cases of abuse. This is even more concerning considering that the US have consistently failed to investigate allegations of torture committed by its nationals over suspects held in custody abroad, as pointed out by the Committee against Torture</w:t>
      </w:r>
      <w:r w:rsidRPr="00E556AF">
        <w:rPr>
          <w:vertAlign w:val="superscript"/>
        </w:rPr>
        <w:footnoteReference w:id="5"/>
      </w:r>
      <w:r w:rsidRPr="00E556AF">
        <w:t xml:space="preserve">. </w:t>
      </w:r>
    </w:p>
    <w:p w:rsidR="00DF3F6D" w:rsidRPr="00E556AF" w:rsidRDefault="00DF3F6D" w:rsidP="00DF3F6D">
      <w:pPr>
        <w:autoSpaceDE w:val="0"/>
        <w:autoSpaceDN w:val="0"/>
        <w:adjustRightInd w:val="0"/>
      </w:pPr>
    </w:p>
    <w:p w:rsidR="00DF3F6D" w:rsidRPr="00E556AF" w:rsidRDefault="00DF3F6D" w:rsidP="00D369BA">
      <w:pPr>
        <w:autoSpaceDE w:val="0"/>
        <w:autoSpaceDN w:val="0"/>
        <w:adjustRightInd w:val="0"/>
      </w:pPr>
      <w:r w:rsidRPr="00E556AF">
        <w:t xml:space="preserve">On the other hand, Iraq has primary jurisdiction over human rights violations committed by the US military and civilian personnel deployed </w:t>
      </w:r>
      <w:r>
        <w:t>in its territory</w:t>
      </w:r>
      <w:r w:rsidRPr="00E556AF">
        <w:t xml:space="preserve"> for off-duty activities outside the agreed facilities, as per article 12.1 SOFA. However, even in these cases, there is no information available on any measure taken by Iraqi authorities to investigate abuses and bring perpetrators to justice. </w:t>
      </w:r>
    </w:p>
    <w:p w:rsidR="00DF3F6D" w:rsidRPr="00E556AF" w:rsidRDefault="00DF3F6D" w:rsidP="00DF3F6D">
      <w:pPr>
        <w:autoSpaceDE w:val="0"/>
        <w:autoSpaceDN w:val="0"/>
        <w:adjustRightInd w:val="0"/>
      </w:pPr>
    </w:p>
    <w:p w:rsidR="00DF3F6D" w:rsidRPr="00E556AF" w:rsidRDefault="00DF3F6D" w:rsidP="00DF3F6D">
      <w:pPr>
        <w:autoSpaceDE w:val="0"/>
        <w:autoSpaceDN w:val="0"/>
        <w:adjustRightInd w:val="0"/>
      </w:pPr>
      <w:r w:rsidRPr="00E556AF">
        <w:t>It is therefore concerning to note that human rights violations committed during the US-led occupation by the US</w:t>
      </w:r>
      <w:r w:rsidR="00D369BA">
        <w:t xml:space="preserve"> forces</w:t>
      </w:r>
      <w:r w:rsidRPr="00E556AF">
        <w:t xml:space="preserve"> remain </w:t>
      </w:r>
      <w:proofErr w:type="spellStart"/>
      <w:r w:rsidRPr="00E556AF">
        <w:t>uninvestigated</w:t>
      </w:r>
      <w:proofErr w:type="spellEnd"/>
      <w:r w:rsidRPr="00E556AF">
        <w:t xml:space="preserve"> and unpunished. This infringes article 2.3 of the Covenant and in particular the right to an effective remedy for victims of violations. </w:t>
      </w:r>
    </w:p>
    <w:p w:rsidR="00DF3F6D" w:rsidRPr="00E556AF" w:rsidRDefault="00DF3F6D" w:rsidP="00DF3F6D">
      <w:pPr>
        <w:autoSpaceDE w:val="0"/>
        <w:autoSpaceDN w:val="0"/>
        <w:adjustRightInd w:val="0"/>
      </w:pPr>
    </w:p>
    <w:p w:rsidR="00DF3F6D" w:rsidRPr="00E556AF" w:rsidRDefault="00DF3F6D" w:rsidP="00DF3F6D">
      <w:pPr>
        <w:rPr>
          <w:b/>
          <w:bCs/>
          <w:i/>
          <w:iCs/>
        </w:rPr>
      </w:pPr>
      <w:r w:rsidRPr="00E556AF">
        <w:rPr>
          <w:b/>
          <w:bCs/>
          <w:i/>
          <w:iCs/>
        </w:rPr>
        <w:t>Application of the Covenant to violations committed by government-backed militias</w:t>
      </w:r>
    </w:p>
    <w:p w:rsidR="00DF3F6D" w:rsidRPr="00E556AF" w:rsidRDefault="00DF3F6D" w:rsidP="00DF3F6D">
      <w:pPr>
        <w:rPr>
          <w:lang w:eastAsia="fr-FR"/>
        </w:rPr>
      </w:pPr>
    </w:p>
    <w:p w:rsidR="00DF3F6D" w:rsidRPr="00E556AF" w:rsidRDefault="00DF3F6D" w:rsidP="00DF3F6D">
      <w:pPr>
        <w:rPr>
          <w:lang w:eastAsia="fr-FR"/>
        </w:rPr>
      </w:pPr>
      <w:r w:rsidRPr="00E556AF">
        <w:rPr>
          <w:lang w:eastAsia="fr-FR"/>
        </w:rPr>
        <w:t xml:space="preserve">In the current context of armed conflict and internal strife, human rights violations are committed not only by the Iraqi security services, but also by several government-backed </w:t>
      </w:r>
      <w:proofErr w:type="spellStart"/>
      <w:r w:rsidRPr="00E556AF">
        <w:rPr>
          <w:lang w:eastAsia="fr-FR"/>
        </w:rPr>
        <w:t>Shia</w:t>
      </w:r>
      <w:proofErr w:type="spellEnd"/>
      <w:r w:rsidRPr="00E556AF">
        <w:rPr>
          <w:lang w:eastAsia="fr-FR"/>
        </w:rPr>
        <w:t xml:space="preserve"> militias operating with varying degrees of cooperation with the Iraqi armed forces, </w:t>
      </w:r>
      <w:r w:rsidRPr="00E556AF">
        <w:rPr>
          <w:lang w:eastAsia="it-IT"/>
        </w:rPr>
        <w:t>ranging from tacit consent to coordinated, or even joint operations</w:t>
      </w:r>
      <w:r w:rsidRPr="00E556AF">
        <w:rPr>
          <w:rFonts w:ascii="Amnesty Trade Gothic" w:hAnsi="Amnesty Trade Gothic" w:cs="Amnesty Trade Gothic"/>
          <w:sz w:val="18"/>
          <w:szCs w:val="18"/>
          <w:lang w:eastAsia="it-IT"/>
        </w:rPr>
        <w:t>.</w:t>
      </w:r>
    </w:p>
    <w:p w:rsidR="00DF3F6D" w:rsidRPr="00E556AF" w:rsidRDefault="00DF3F6D" w:rsidP="00DF3F6D">
      <w:pPr>
        <w:rPr>
          <w:lang w:eastAsia="fr-FR"/>
        </w:rPr>
      </w:pPr>
    </w:p>
    <w:p w:rsidR="00DF3F6D" w:rsidRPr="0052216D" w:rsidRDefault="00DF3F6D" w:rsidP="00D369BA">
      <w:pPr>
        <w:rPr>
          <w:lang w:eastAsia="fr-FR"/>
        </w:rPr>
      </w:pPr>
      <w:r w:rsidRPr="00E556AF">
        <w:rPr>
          <w:lang w:eastAsia="fr-FR"/>
        </w:rPr>
        <w:t xml:space="preserve">Iraq’s main </w:t>
      </w:r>
      <w:proofErr w:type="spellStart"/>
      <w:r w:rsidRPr="00E556AF">
        <w:rPr>
          <w:lang w:eastAsia="fr-FR"/>
        </w:rPr>
        <w:t>Shia</w:t>
      </w:r>
      <w:proofErr w:type="spellEnd"/>
      <w:r w:rsidRPr="00E556AF">
        <w:rPr>
          <w:lang w:eastAsia="fr-FR"/>
        </w:rPr>
        <w:t xml:space="preserve"> militias are currently the </w:t>
      </w:r>
      <w:proofErr w:type="spellStart"/>
      <w:r w:rsidRPr="00E556AF">
        <w:rPr>
          <w:lang w:eastAsia="fr-FR"/>
        </w:rPr>
        <w:t>Badr</w:t>
      </w:r>
      <w:proofErr w:type="spellEnd"/>
      <w:r w:rsidRPr="00E556AF">
        <w:rPr>
          <w:lang w:eastAsia="fr-FR"/>
        </w:rPr>
        <w:t xml:space="preserve"> Brigades – the armed wing of the Islamic Supreme Council of Iraq –; the </w:t>
      </w:r>
      <w:proofErr w:type="spellStart"/>
      <w:r w:rsidRPr="00E556AF">
        <w:rPr>
          <w:lang w:eastAsia="fr-FR"/>
        </w:rPr>
        <w:t>Saraya</w:t>
      </w:r>
      <w:proofErr w:type="spellEnd"/>
      <w:r w:rsidRPr="00E556AF">
        <w:rPr>
          <w:lang w:eastAsia="fr-FR"/>
        </w:rPr>
        <w:t xml:space="preserve"> al-Salam (Peace Brigades) – formerly the </w:t>
      </w:r>
      <w:proofErr w:type="spellStart"/>
      <w:r w:rsidRPr="00E556AF">
        <w:rPr>
          <w:lang w:eastAsia="fr-FR"/>
        </w:rPr>
        <w:t>Mahdi</w:t>
      </w:r>
      <w:proofErr w:type="spellEnd"/>
      <w:r w:rsidRPr="00E556AF">
        <w:rPr>
          <w:lang w:eastAsia="fr-FR"/>
        </w:rPr>
        <w:t xml:space="preserve"> Army, the armed wing of the </w:t>
      </w:r>
      <w:proofErr w:type="spellStart"/>
      <w:r w:rsidRPr="00E556AF">
        <w:rPr>
          <w:lang w:eastAsia="fr-FR"/>
        </w:rPr>
        <w:t>Sadrist</w:t>
      </w:r>
      <w:proofErr w:type="spellEnd"/>
      <w:r w:rsidRPr="00E556AF">
        <w:rPr>
          <w:lang w:eastAsia="fr-FR"/>
        </w:rPr>
        <w:t xml:space="preserve"> movement –; ‘</w:t>
      </w:r>
      <w:proofErr w:type="spellStart"/>
      <w:r w:rsidRPr="00E556AF">
        <w:rPr>
          <w:lang w:eastAsia="fr-FR"/>
        </w:rPr>
        <w:t>Asa’in</w:t>
      </w:r>
      <w:proofErr w:type="spellEnd"/>
      <w:r w:rsidRPr="00E556AF">
        <w:rPr>
          <w:lang w:eastAsia="fr-FR"/>
        </w:rPr>
        <w:t xml:space="preserve"> </w:t>
      </w:r>
      <w:proofErr w:type="spellStart"/>
      <w:r w:rsidRPr="00E556AF">
        <w:rPr>
          <w:lang w:eastAsia="fr-FR"/>
        </w:rPr>
        <w:t>Ahl</w:t>
      </w:r>
      <w:proofErr w:type="spellEnd"/>
      <w:r w:rsidRPr="00E556AF">
        <w:rPr>
          <w:lang w:eastAsia="fr-FR"/>
        </w:rPr>
        <w:t xml:space="preserve"> al-</w:t>
      </w:r>
      <w:proofErr w:type="spellStart"/>
      <w:r w:rsidRPr="00E556AF">
        <w:rPr>
          <w:lang w:eastAsia="fr-FR"/>
        </w:rPr>
        <w:t>Haq</w:t>
      </w:r>
      <w:proofErr w:type="spellEnd"/>
      <w:r w:rsidRPr="00E556AF">
        <w:rPr>
          <w:lang w:eastAsia="fr-FR"/>
        </w:rPr>
        <w:t xml:space="preserve"> (the “League of Righteous”), as a splinter group of the </w:t>
      </w:r>
      <w:proofErr w:type="spellStart"/>
      <w:r w:rsidRPr="00E556AF">
        <w:rPr>
          <w:lang w:eastAsia="fr-FR"/>
        </w:rPr>
        <w:t>Mahdi</w:t>
      </w:r>
      <w:proofErr w:type="spellEnd"/>
      <w:r w:rsidRPr="00E556AF">
        <w:rPr>
          <w:lang w:eastAsia="fr-FR"/>
        </w:rPr>
        <w:t xml:space="preserve"> Army – and the </w:t>
      </w:r>
      <w:proofErr w:type="spellStart"/>
      <w:r w:rsidRPr="00E556AF">
        <w:rPr>
          <w:lang w:eastAsia="fr-FR"/>
        </w:rPr>
        <w:t>Kata’in</w:t>
      </w:r>
      <w:proofErr w:type="spellEnd"/>
      <w:r w:rsidRPr="00E556AF">
        <w:rPr>
          <w:lang w:eastAsia="fr-FR"/>
        </w:rPr>
        <w:t xml:space="preserve"> </w:t>
      </w:r>
      <w:proofErr w:type="spellStart"/>
      <w:r w:rsidRPr="00E556AF">
        <w:rPr>
          <w:lang w:eastAsia="fr-FR"/>
        </w:rPr>
        <w:t>Hizbullah</w:t>
      </w:r>
      <w:proofErr w:type="spellEnd"/>
      <w:r w:rsidRPr="00E556AF">
        <w:rPr>
          <w:lang w:eastAsia="fr-FR"/>
        </w:rPr>
        <w:t>.</w:t>
      </w:r>
      <w:r w:rsidRPr="00E556AF">
        <w:rPr>
          <w:vertAlign w:val="superscript"/>
          <w:lang w:eastAsia="fr-FR"/>
        </w:rPr>
        <w:footnoteReference w:id="6"/>
      </w:r>
      <w:r w:rsidRPr="00E556AF">
        <w:rPr>
          <w:lang w:eastAsia="fr-FR"/>
        </w:rPr>
        <w:t xml:space="preserve"> </w:t>
      </w:r>
      <w:r w:rsidRPr="0052216D">
        <w:rPr>
          <w:lang w:eastAsia="fr-FR"/>
        </w:rPr>
        <w:t xml:space="preserve">The origins of these militias are to be found in a general context of repression of any form of opposition by the Iraqi government prior to the US invasion, followed by its mobilisation and activism, especially after the </w:t>
      </w:r>
      <w:proofErr w:type="spellStart"/>
      <w:r w:rsidRPr="0052216D">
        <w:rPr>
          <w:lang w:eastAsia="fr-FR"/>
        </w:rPr>
        <w:t>Ba’athist</w:t>
      </w:r>
      <w:proofErr w:type="spellEnd"/>
      <w:r w:rsidRPr="0052216D">
        <w:rPr>
          <w:lang w:eastAsia="fr-FR"/>
        </w:rPr>
        <w:t xml:space="preserve"> coup in 1968. </w:t>
      </w:r>
    </w:p>
    <w:p w:rsidR="00DF3F6D" w:rsidRPr="0052216D" w:rsidRDefault="00DF3F6D" w:rsidP="00DF3F6D">
      <w:pPr>
        <w:rPr>
          <w:lang w:eastAsia="fr-FR"/>
        </w:rPr>
      </w:pPr>
    </w:p>
    <w:p w:rsidR="009B3E9E" w:rsidRDefault="00DF3F6D">
      <w:pPr>
        <w:rPr>
          <w:lang w:val="en-US" w:eastAsia="fr-FR"/>
        </w:rPr>
      </w:pPr>
      <w:r w:rsidRPr="0052216D">
        <w:rPr>
          <w:lang w:eastAsia="fr-FR"/>
        </w:rPr>
        <w:t xml:space="preserve">Following the fall of Saddam Hussein and the reorganisation of Iraqi security forces, </w:t>
      </w:r>
      <w:proofErr w:type="spellStart"/>
      <w:r w:rsidRPr="0052216D">
        <w:rPr>
          <w:lang w:eastAsia="fr-FR"/>
        </w:rPr>
        <w:t>Shia</w:t>
      </w:r>
      <w:proofErr w:type="spellEnd"/>
      <w:r w:rsidRPr="0052216D">
        <w:rPr>
          <w:lang w:eastAsia="fr-FR"/>
        </w:rPr>
        <w:t xml:space="preserve"> militants were integrated in</w:t>
      </w:r>
      <w:r w:rsidR="00CA29C9">
        <w:rPr>
          <w:lang w:eastAsia="fr-FR"/>
        </w:rPr>
        <w:t>to</w:t>
      </w:r>
      <w:r w:rsidRPr="0052216D">
        <w:rPr>
          <w:lang w:eastAsia="fr-FR"/>
        </w:rPr>
        <w:t xml:space="preserve"> the reconstituted Iraqi army and police forces</w:t>
      </w:r>
      <w:r w:rsidRPr="0052216D">
        <w:rPr>
          <w:vertAlign w:val="superscript"/>
          <w:lang w:eastAsia="fr-FR"/>
        </w:rPr>
        <w:footnoteReference w:id="7"/>
      </w:r>
      <w:r w:rsidRPr="0052216D">
        <w:rPr>
          <w:lang w:eastAsia="fr-FR"/>
        </w:rPr>
        <w:t xml:space="preserve">, whereas all the commanders belonging to the previous </w:t>
      </w:r>
      <w:proofErr w:type="spellStart"/>
      <w:r w:rsidRPr="0052216D">
        <w:rPr>
          <w:lang w:eastAsia="fr-FR"/>
        </w:rPr>
        <w:t>Ba’atist</w:t>
      </w:r>
      <w:proofErr w:type="spellEnd"/>
      <w:r w:rsidRPr="0052216D">
        <w:rPr>
          <w:lang w:eastAsia="fr-FR"/>
        </w:rPr>
        <w:t xml:space="preserve"> regime were excluded. Some </w:t>
      </w:r>
      <w:proofErr w:type="spellStart"/>
      <w:r w:rsidRPr="0052216D">
        <w:rPr>
          <w:lang w:eastAsia="fr-FR"/>
        </w:rPr>
        <w:t>Shia</w:t>
      </w:r>
      <w:proofErr w:type="spellEnd"/>
      <w:r w:rsidRPr="0052216D">
        <w:rPr>
          <w:lang w:eastAsia="fr-FR"/>
        </w:rPr>
        <w:t xml:space="preserve"> </w:t>
      </w:r>
      <w:r w:rsidR="00D369BA" w:rsidRPr="0052216D">
        <w:rPr>
          <w:lang w:eastAsia="fr-FR"/>
        </w:rPr>
        <w:t>militants</w:t>
      </w:r>
      <w:r w:rsidR="00D369BA">
        <w:rPr>
          <w:lang w:eastAsia="fr-FR"/>
        </w:rPr>
        <w:t>,</w:t>
      </w:r>
      <w:r w:rsidRPr="0052216D">
        <w:rPr>
          <w:lang w:eastAsia="fr-FR"/>
        </w:rPr>
        <w:t xml:space="preserve"> however</w:t>
      </w:r>
      <w:r w:rsidR="00D369BA">
        <w:rPr>
          <w:lang w:eastAsia="fr-FR"/>
        </w:rPr>
        <w:t>,</w:t>
      </w:r>
      <w:r w:rsidRPr="0052216D">
        <w:rPr>
          <w:lang w:eastAsia="fr-FR"/>
        </w:rPr>
        <w:t xml:space="preserve"> formed armed militia groups, </w:t>
      </w:r>
      <w:r w:rsidR="00BD1613">
        <w:rPr>
          <w:lang w:eastAsia="fr-FR"/>
        </w:rPr>
        <w:t>which became</w:t>
      </w:r>
      <w:r w:rsidR="00BD1613" w:rsidRPr="0052216D">
        <w:rPr>
          <w:lang w:eastAsia="fr-FR"/>
        </w:rPr>
        <w:t xml:space="preserve"> </w:t>
      </w:r>
      <w:r w:rsidRPr="0052216D">
        <w:rPr>
          <w:lang w:eastAsia="fr-FR"/>
        </w:rPr>
        <w:t>increasingly widespread and powerful.</w:t>
      </w:r>
      <w:r>
        <w:rPr>
          <w:lang w:eastAsia="fr-FR"/>
        </w:rPr>
        <w:t xml:space="preserve"> </w:t>
      </w:r>
      <w:r w:rsidRPr="0052216D">
        <w:rPr>
          <w:lang w:eastAsia="fr-FR"/>
        </w:rPr>
        <w:t>This has enhanced the division of Iraqi society along sectarian lines.</w:t>
      </w:r>
      <w:r>
        <w:rPr>
          <w:lang w:eastAsia="fr-FR"/>
        </w:rPr>
        <w:t xml:space="preserve"> </w:t>
      </w:r>
    </w:p>
    <w:p w:rsidR="00DF3F6D" w:rsidRPr="00FB2E1E" w:rsidRDefault="00DF3F6D" w:rsidP="00DF3F6D">
      <w:pPr>
        <w:rPr>
          <w:lang w:val="en-US" w:eastAsia="fr-FR"/>
        </w:rPr>
      </w:pPr>
    </w:p>
    <w:p w:rsidR="009B3E9E" w:rsidRDefault="00DF3F6D">
      <w:pPr>
        <w:rPr>
          <w:lang w:eastAsia="fr-FR"/>
        </w:rPr>
      </w:pPr>
      <w:r w:rsidRPr="00E556AF">
        <w:rPr>
          <w:lang w:eastAsia="fr-FR"/>
        </w:rPr>
        <w:t xml:space="preserve">In June 2014, following the seizure by the IS of territory in northern and western Iraq </w:t>
      </w:r>
      <w:r w:rsidR="00CA29C9">
        <w:rPr>
          <w:lang w:eastAsia="fr-FR"/>
        </w:rPr>
        <w:t>– i</w:t>
      </w:r>
      <w:r w:rsidRPr="00E556AF">
        <w:rPr>
          <w:lang w:eastAsia="fr-FR"/>
        </w:rPr>
        <w:t>ncluding the city of Mosul</w:t>
      </w:r>
      <w:r w:rsidR="00CA29C9">
        <w:rPr>
          <w:lang w:eastAsia="fr-FR"/>
        </w:rPr>
        <w:t xml:space="preserve"> –</w:t>
      </w:r>
      <w:r w:rsidRPr="00E556AF">
        <w:rPr>
          <w:lang w:eastAsia="fr-FR"/>
        </w:rPr>
        <w:t>, “volunteers” were called by government officials</w:t>
      </w:r>
      <w:r w:rsidR="00BD1613">
        <w:rPr>
          <w:lang w:eastAsia="fr-FR"/>
        </w:rPr>
        <w:t xml:space="preserve">, </w:t>
      </w:r>
      <w:r w:rsidRPr="00E556AF">
        <w:rPr>
          <w:lang w:eastAsia="fr-FR"/>
        </w:rPr>
        <w:t>including t</w:t>
      </w:r>
      <w:r w:rsidR="00E17D2C">
        <w:rPr>
          <w:lang w:eastAsia="fr-FR"/>
        </w:rPr>
        <w:t xml:space="preserve">he former Prime Minister </w:t>
      </w:r>
      <w:proofErr w:type="spellStart"/>
      <w:r w:rsidR="00E17D2C">
        <w:rPr>
          <w:lang w:eastAsia="fr-FR"/>
        </w:rPr>
        <w:t>Nouri</w:t>
      </w:r>
      <w:proofErr w:type="spellEnd"/>
      <w:r w:rsidR="00E17D2C">
        <w:rPr>
          <w:lang w:eastAsia="fr-FR"/>
        </w:rPr>
        <w:t xml:space="preserve"> A</w:t>
      </w:r>
      <w:r w:rsidRPr="00E556AF">
        <w:rPr>
          <w:lang w:eastAsia="fr-FR"/>
        </w:rPr>
        <w:t>l-</w:t>
      </w:r>
      <w:proofErr w:type="spellStart"/>
      <w:r w:rsidRPr="00E556AF">
        <w:rPr>
          <w:lang w:eastAsia="fr-FR"/>
        </w:rPr>
        <w:t>Maliki</w:t>
      </w:r>
      <w:proofErr w:type="spellEnd"/>
      <w:r w:rsidRPr="00E556AF">
        <w:rPr>
          <w:lang w:eastAsia="fr-FR"/>
        </w:rPr>
        <w:t>,</w:t>
      </w:r>
      <w:r w:rsidR="00BD1613">
        <w:rPr>
          <w:lang w:eastAsia="fr-FR"/>
        </w:rPr>
        <w:t xml:space="preserve"> and</w:t>
      </w:r>
      <w:r w:rsidRPr="00E556AF">
        <w:rPr>
          <w:lang w:eastAsia="fr-FR"/>
        </w:rPr>
        <w:t xml:space="preserve"> leading political and religious figures such as Grand Ayatollah Ali al-</w:t>
      </w:r>
      <w:proofErr w:type="spellStart"/>
      <w:r w:rsidRPr="00E556AF">
        <w:rPr>
          <w:lang w:eastAsia="fr-FR"/>
        </w:rPr>
        <w:t>Sistani</w:t>
      </w:r>
      <w:proofErr w:type="spellEnd"/>
      <w:r w:rsidRPr="00E556AF">
        <w:rPr>
          <w:lang w:eastAsia="fr-FR"/>
        </w:rPr>
        <w:t xml:space="preserve"> to take up arms against the IS</w:t>
      </w:r>
      <w:r w:rsidRPr="00E556AF">
        <w:rPr>
          <w:vertAlign w:val="superscript"/>
          <w:lang w:eastAsia="fr-FR"/>
        </w:rPr>
        <w:footnoteReference w:id="8"/>
      </w:r>
      <w:r w:rsidRPr="00E556AF">
        <w:rPr>
          <w:lang w:eastAsia="fr-FR"/>
        </w:rPr>
        <w:t xml:space="preserve">. As a result, an umbrella organisation composed of about 40 </w:t>
      </w:r>
      <w:proofErr w:type="spellStart"/>
      <w:r w:rsidRPr="00E556AF">
        <w:rPr>
          <w:lang w:eastAsia="fr-FR"/>
        </w:rPr>
        <w:t>Shia</w:t>
      </w:r>
      <w:proofErr w:type="spellEnd"/>
      <w:r w:rsidRPr="00E556AF">
        <w:rPr>
          <w:lang w:eastAsia="fr-FR"/>
        </w:rPr>
        <w:t xml:space="preserve"> militias was created – the “People’s Mobilisation Unit” or “al-</w:t>
      </w:r>
      <w:proofErr w:type="spellStart"/>
      <w:r w:rsidRPr="00E556AF">
        <w:rPr>
          <w:lang w:eastAsia="fr-FR"/>
        </w:rPr>
        <w:t>Hashd</w:t>
      </w:r>
      <w:proofErr w:type="spellEnd"/>
      <w:r w:rsidRPr="00E556AF">
        <w:rPr>
          <w:lang w:eastAsia="fr-FR"/>
        </w:rPr>
        <w:t xml:space="preserve"> al-</w:t>
      </w:r>
      <w:proofErr w:type="spellStart"/>
      <w:r w:rsidRPr="00E556AF">
        <w:rPr>
          <w:lang w:eastAsia="fr-FR"/>
        </w:rPr>
        <w:t>Shaabi</w:t>
      </w:r>
      <w:proofErr w:type="spellEnd"/>
      <w:r w:rsidRPr="00E556AF">
        <w:rPr>
          <w:lang w:eastAsia="fr-FR"/>
        </w:rPr>
        <w:t>”</w:t>
      </w:r>
      <w:r w:rsidRPr="00E556AF">
        <w:rPr>
          <w:vertAlign w:val="superscript"/>
          <w:lang w:eastAsia="fr-FR"/>
        </w:rPr>
        <w:footnoteReference w:id="9"/>
      </w:r>
      <w:r w:rsidRPr="00E556AF">
        <w:rPr>
          <w:lang w:eastAsia="fr-FR"/>
        </w:rPr>
        <w:t xml:space="preserve"> – led by </w:t>
      </w:r>
      <w:proofErr w:type="spellStart"/>
      <w:r w:rsidRPr="00E556AF">
        <w:t>Hadi</w:t>
      </w:r>
      <w:proofErr w:type="spellEnd"/>
      <w:r w:rsidRPr="00E556AF">
        <w:t xml:space="preserve"> al-</w:t>
      </w:r>
      <w:proofErr w:type="spellStart"/>
      <w:r w:rsidRPr="00E556AF">
        <w:t>Amiri</w:t>
      </w:r>
      <w:proofErr w:type="spellEnd"/>
      <w:r w:rsidRPr="00E556AF">
        <w:t>, former Minister of Transport</w:t>
      </w:r>
      <w:r w:rsidRPr="00E556AF">
        <w:rPr>
          <w:vertAlign w:val="superscript"/>
        </w:rPr>
        <w:footnoteReference w:id="10"/>
      </w:r>
      <w:r w:rsidRPr="00E556AF">
        <w:t xml:space="preserve"> and commander of the </w:t>
      </w:r>
      <w:proofErr w:type="spellStart"/>
      <w:r w:rsidRPr="00E556AF">
        <w:t>Badr</w:t>
      </w:r>
      <w:proofErr w:type="spellEnd"/>
      <w:r w:rsidRPr="00E556AF">
        <w:t xml:space="preserve"> Brigades</w:t>
      </w:r>
      <w:r w:rsidRPr="00E556AF">
        <w:rPr>
          <w:vertAlign w:val="superscript"/>
        </w:rPr>
        <w:footnoteReference w:id="11"/>
      </w:r>
      <w:r w:rsidRPr="00E556AF">
        <w:t xml:space="preserve">. </w:t>
      </w:r>
      <w:r w:rsidRPr="00E556AF">
        <w:rPr>
          <w:lang w:eastAsia="fr-FR"/>
        </w:rPr>
        <w:t>On 30 September 2014, the Cabinet passed a resolution calling on Prime Minister al-</w:t>
      </w:r>
      <w:proofErr w:type="spellStart"/>
      <w:r w:rsidRPr="00E556AF">
        <w:rPr>
          <w:lang w:eastAsia="fr-FR"/>
        </w:rPr>
        <w:t>Abadi</w:t>
      </w:r>
      <w:proofErr w:type="spellEnd"/>
      <w:r w:rsidRPr="00E556AF">
        <w:rPr>
          <w:lang w:eastAsia="fr-FR"/>
        </w:rPr>
        <w:t xml:space="preserve"> to ensure that all militias under the al-</w:t>
      </w:r>
      <w:proofErr w:type="spellStart"/>
      <w:r w:rsidRPr="00E556AF">
        <w:rPr>
          <w:lang w:eastAsia="fr-FR"/>
        </w:rPr>
        <w:t>Hashd</w:t>
      </w:r>
      <w:proofErr w:type="spellEnd"/>
      <w:r w:rsidRPr="00E556AF">
        <w:rPr>
          <w:lang w:eastAsia="fr-FR"/>
        </w:rPr>
        <w:t xml:space="preserve"> al-</w:t>
      </w:r>
      <w:proofErr w:type="spellStart"/>
      <w:r w:rsidRPr="00E556AF">
        <w:rPr>
          <w:lang w:eastAsia="fr-FR"/>
        </w:rPr>
        <w:t>Shaabi</w:t>
      </w:r>
      <w:proofErr w:type="spellEnd"/>
      <w:r w:rsidRPr="00E556AF">
        <w:rPr>
          <w:lang w:eastAsia="fr-FR"/>
        </w:rPr>
        <w:t xml:space="preserve"> be provided with weapons, logistics, training, and salaries, while on 28 October 2014, the Council of Ministers approved a decree authorising the organisation to fight against the IS</w:t>
      </w:r>
      <w:r w:rsidRPr="00E556AF">
        <w:rPr>
          <w:vertAlign w:val="superscript"/>
          <w:lang w:eastAsia="fr-FR"/>
        </w:rPr>
        <w:footnoteReference w:id="12"/>
      </w:r>
      <w:r w:rsidRPr="00E556AF">
        <w:rPr>
          <w:lang w:eastAsia="fr-FR"/>
        </w:rPr>
        <w:t xml:space="preserve">. </w:t>
      </w:r>
    </w:p>
    <w:p w:rsidR="00DF3F6D" w:rsidRPr="00E556AF" w:rsidRDefault="00DF3F6D" w:rsidP="00DF3F6D">
      <w:pPr>
        <w:rPr>
          <w:lang w:eastAsia="fr-FR"/>
        </w:rPr>
      </w:pPr>
    </w:p>
    <w:p w:rsidR="00DF3F6D" w:rsidRPr="00E556AF" w:rsidRDefault="00DF3F6D" w:rsidP="00DF3F6D">
      <w:pPr>
        <w:rPr>
          <w:lang w:eastAsia="fr-FR"/>
        </w:rPr>
      </w:pPr>
      <w:r w:rsidRPr="00E556AF">
        <w:rPr>
          <w:lang w:eastAsia="fr-FR"/>
        </w:rPr>
        <w:t>Since then, these militias have been carrying out security operations not only with the tacit consent but with the full endorsement of the government. However, they commit abductions, torture, mass killings as acts of sectarian retaliation against Sunni prisoners</w:t>
      </w:r>
      <w:r w:rsidRPr="00E556AF">
        <w:rPr>
          <w:vertAlign w:val="superscript"/>
          <w:lang w:eastAsia="fr-FR"/>
        </w:rPr>
        <w:footnoteReference w:id="13"/>
      </w:r>
      <w:r w:rsidRPr="00E556AF">
        <w:rPr>
          <w:lang w:eastAsia="fr-FR"/>
        </w:rPr>
        <w:t xml:space="preserve"> and civilians</w:t>
      </w:r>
      <w:r w:rsidRPr="00E556AF">
        <w:rPr>
          <w:vertAlign w:val="superscript"/>
          <w:lang w:eastAsia="fr-FR"/>
        </w:rPr>
        <w:footnoteReference w:id="14"/>
      </w:r>
      <w:r w:rsidRPr="00E556AF">
        <w:rPr>
          <w:lang w:eastAsia="fr-FR"/>
        </w:rPr>
        <w:t xml:space="preserve"> in complete impunity, and are never held accountable for the abuses they commit.</w:t>
      </w:r>
    </w:p>
    <w:p w:rsidR="00DF3F6D" w:rsidRPr="00E556AF" w:rsidRDefault="00DF3F6D" w:rsidP="00DF3F6D">
      <w:pPr>
        <w:rPr>
          <w:lang w:eastAsia="fr-FR"/>
        </w:rPr>
      </w:pPr>
    </w:p>
    <w:p w:rsidR="00DF3F6D" w:rsidRPr="00E556AF" w:rsidRDefault="00DF3F6D" w:rsidP="00DF3F6D">
      <w:pPr>
        <w:rPr>
          <w:lang w:eastAsia="fr-FR"/>
        </w:rPr>
      </w:pPr>
      <w:r w:rsidRPr="00E556AF">
        <w:rPr>
          <w:lang w:eastAsia="fr-FR"/>
        </w:rPr>
        <w:t xml:space="preserve">The two following cases are particularly illustrative of how </w:t>
      </w:r>
      <w:r w:rsidRPr="00E556AF">
        <w:t xml:space="preserve">militias </w:t>
      </w:r>
      <w:r w:rsidRPr="00E556AF">
        <w:rPr>
          <w:lang w:eastAsia="fr-FR"/>
        </w:rPr>
        <w:t xml:space="preserve">operate with the tacit consent or under the direct control of the governmental authorities and conduct arrests before transferring people to official detention facilities. </w:t>
      </w:r>
    </w:p>
    <w:p w:rsidR="00DF3F6D" w:rsidRPr="00E556AF" w:rsidRDefault="00DF3F6D" w:rsidP="00DF3F6D">
      <w:pPr>
        <w:rPr>
          <w:lang w:eastAsia="fr-FR"/>
        </w:rPr>
      </w:pPr>
    </w:p>
    <w:p w:rsidR="00DF3F6D" w:rsidRPr="00E556AF" w:rsidRDefault="00DF3F6D" w:rsidP="00DF3F6D">
      <w:pPr>
        <w:ind w:left="284" w:right="283"/>
        <w:rPr>
          <w:lang w:eastAsia="fr-FR"/>
        </w:rPr>
      </w:pPr>
      <w:proofErr w:type="spellStart"/>
      <w:r w:rsidRPr="00E556AF">
        <w:rPr>
          <w:b/>
          <w:bCs/>
        </w:rPr>
        <w:t>Abbas</w:t>
      </w:r>
      <w:proofErr w:type="spellEnd"/>
      <w:r w:rsidRPr="00E556AF">
        <w:rPr>
          <w:b/>
          <w:bCs/>
        </w:rPr>
        <w:t xml:space="preserve"> </w:t>
      </w:r>
      <w:proofErr w:type="spellStart"/>
      <w:r w:rsidRPr="00E556AF">
        <w:rPr>
          <w:b/>
          <w:bCs/>
        </w:rPr>
        <w:t>Fadhil</w:t>
      </w:r>
      <w:proofErr w:type="spellEnd"/>
      <w:r w:rsidRPr="00E556AF">
        <w:rPr>
          <w:b/>
          <w:bCs/>
        </w:rPr>
        <w:t xml:space="preserve"> </w:t>
      </w:r>
      <w:proofErr w:type="spellStart"/>
      <w:r w:rsidRPr="00E556AF">
        <w:rPr>
          <w:b/>
          <w:bCs/>
        </w:rPr>
        <w:t>Abboud</w:t>
      </w:r>
      <w:proofErr w:type="spellEnd"/>
      <w:r w:rsidRPr="00E556AF">
        <w:rPr>
          <w:b/>
          <w:bCs/>
        </w:rPr>
        <w:t xml:space="preserve"> </w:t>
      </w:r>
      <w:proofErr w:type="spellStart"/>
      <w:r w:rsidRPr="00E556AF">
        <w:rPr>
          <w:b/>
          <w:bCs/>
        </w:rPr>
        <w:t>Kadhim</w:t>
      </w:r>
      <w:proofErr w:type="spellEnd"/>
      <w:r w:rsidRPr="00E556AF">
        <w:rPr>
          <w:b/>
          <w:bCs/>
        </w:rPr>
        <w:t xml:space="preserve"> Al </w:t>
      </w:r>
      <w:proofErr w:type="spellStart"/>
      <w:r w:rsidRPr="00E556AF">
        <w:rPr>
          <w:b/>
          <w:bCs/>
        </w:rPr>
        <w:t>Batawi</w:t>
      </w:r>
      <w:proofErr w:type="spellEnd"/>
      <w:r w:rsidRPr="00E556AF">
        <w:rPr>
          <w:vertAlign w:val="superscript"/>
        </w:rPr>
        <w:footnoteReference w:id="15"/>
      </w:r>
      <w:r w:rsidRPr="00E556AF">
        <w:t>,</w:t>
      </w:r>
      <w:r w:rsidRPr="00E556AF">
        <w:rPr>
          <w:b/>
          <w:bCs/>
        </w:rPr>
        <w:t xml:space="preserve"> </w:t>
      </w:r>
      <w:r w:rsidRPr="00E556AF">
        <w:t>a 20-year old Iraqi student, was abducted on 16 September 2006 in the city centre of al</w:t>
      </w:r>
      <w:r w:rsidRPr="00E556AF">
        <w:rPr>
          <w:i/>
          <w:iCs/>
        </w:rPr>
        <w:t>-</w:t>
      </w:r>
      <w:proofErr w:type="spellStart"/>
      <w:r w:rsidRPr="00E556AF">
        <w:t>Mada’in</w:t>
      </w:r>
      <w:proofErr w:type="spellEnd"/>
      <w:r w:rsidRPr="00E556AF">
        <w:t>, in the Baghdad Governorate, by a patrol of the “</w:t>
      </w:r>
      <w:proofErr w:type="spellStart"/>
      <w:r w:rsidRPr="00E556AF">
        <w:t>Jaish</w:t>
      </w:r>
      <w:proofErr w:type="spellEnd"/>
      <w:r w:rsidRPr="00E556AF">
        <w:t xml:space="preserve"> al-</w:t>
      </w:r>
      <w:proofErr w:type="spellStart"/>
      <w:r w:rsidRPr="00E556AF">
        <w:t>Mahdi</w:t>
      </w:r>
      <w:proofErr w:type="spellEnd"/>
      <w:r w:rsidRPr="00E556AF">
        <w:t>” or “</w:t>
      </w:r>
      <w:proofErr w:type="spellStart"/>
      <w:r w:rsidRPr="00E556AF">
        <w:t>Mahdi</w:t>
      </w:r>
      <w:proofErr w:type="spellEnd"/>
      <w:r w:rsidRPr="00E556AF">
        <w:t xml:space="preserve"> Brigade” – which was replaced in 2014 by “</w:t>
      </w:r>
      <w:proofErr w:type="spellStart"/>
      <w:r w:rsidRPr="00E556AF">
        <w:t>Saraya</w:t>
      </w:r>
      <w:proofErr w:type="spellEnd"/>
      <w:r w:rsidRPr="00E556AF">
        <w:t xml:space="preserve"> al-Salaam” or “Peace Brigades”. The men were wearing civilian clothes and checked his identity before forcing him into a military vehicle that left for an unknown location. </w:t>
      </w:r>
    </w:p>
    <w:p w:rsidR="00DF3F6D" w:rsidRPr="00E556AF" w:rsidRDefault="00DF3F6D" w:rsidP="00DF3F6D">
      <w:pPr>
        <w:ind w:left="284" w:right="283"/>
      </w:pPr>
    </w:p>
    <w:p w:rsidR="009B3E9E" w:rsidRDefault="00DF3F6D">
      <w:pPr>
        <w:ind w:left="284" w:right="283"/>
      </w:pPr>
      <w:r w:rsidRPr="00E556AF">
        <w:t xml:space="preserve">Worried about his fate and convinced that he was being </w:t>
      </w:r>
      <w:r w:rsidR="00BD1613">
        <w:t>secretly detained</w:t>
      </w:r>
      <w:r w:rsidRPr="00E556AF">
        <w:t xml:space="preserve"> by the </w:t>
      </w:r>
      <w:proofErr w:type="gramStart"/>
      <w:r w:rsidRPr="00E556AF">
        <w:t>authorities,</w:t>
      </w:r>
      <w:proofErr w:type="gramEnd"/>
      <w:r w:rsidRPr="00E556AF">
        <w:t xml:space="preserve"> his relatives visited many detention centres and filed complaints </w:t>
      </w:r>
      <w:r w:rsidR="00E17D2C">
        <w:t>to</w:t>
      </w:r>
      <w:r w:rsidRPr="00E556AF">
        <w:t xml:space="preserve"> the Ministry of Human Rights. However, the authorities continued to deny his detention. Oddly, in 2007, during a visit of former Vice-President Al </w:t>
      </w:r>
      <w:proofErr w:type="spellStart"/>
      <w:r w:rsidRPr="00E556AF">
        <w:t>Hashimi</w:t>
      </w:r>
      <w:proofErr w:type="spellEnd"/>
      <w:r w:rsidRPr="00E556AF">
        <w:t xml:space="preserve"> to Al </w:t>
      </w:r>
      <w:proofErr w:type="spellStart"/>
      <w:r w:rsidRPr="00E556AF">
        <w:t>Rusafa</w:t>
      </w:r>
      <w:proofErr w:type="spellEnd"/>
      <w:r w:rsidRPr="00E556AF">
        <w:t xml:space="preserve"> prison, which was broadcasted on national television, Al </w:t>
      </w:r>
      <w:proofErr w:type="spellStart"/>
      <w:r w:rsidRPr="00E556AF">
        <w:t>Batawi</w:t>
      </w:r>
      <w:proofErr w:type="spellEnd"/>
      <w:r w:rsidRPr="00E556AF">
        <w:t xml:space="preserve"> was among the detainees filmed. Although he could clearly be identified in the video footage, the authorities continue to this day to deny his detention and his family does not know where he is or even whether he is still alive.</w:t>
      </w:r>
    </w:p>
    <w:p w:rsidR="00DF3F6D" w:rsidRPr="00E556AF" w:rsidRDefault="00DF3F6D" w:rsidP="00DF3F6D">
      <w:pPr>
        <w:suppressAutoHyphens/>
        <w:spacing w:before="100" w:after="100"/>
        <w:ind w:left="284" w:right="283"/>
        <w:rPr>
          <w:rFonts w:eastAsia="Times New Roman"/>
          <w:lang w:eastAsia="ar-SA"/>
        </w:rPr>
      </w:pPr>
      <w:r w:rsidRPr="00E556AF">
        <w:rPr>
          <w:rFonts w:eastAsia="Times New Roman"/>
          <w:lang w:eastAsia="fr-FR"/>
        </w:rPr>
        <w:t xml:space="preserve">Likewise, </w:t>
      </w:r>
      <w:r w:rsidRPr="00E556AF">
        <w:rPr>
          <w:rFonts w:eastAsia="Times New Roman"/>
          <w:lang w:eastAsia="ar-SA"/>
        </w:rPr>
        <w:t>members of an unidentified militia abducted 67-year-old farmer</w:t>
      </w:r>
      <w:r w:rsidRPr="00E556AF">
        <w:rPr>
          <w:rFonts w:eastAsia="Times New Roman"/>
          <w:b/>
          <w:bCs/>
          <w:i/>
          <w:iCs/>
          <w:lang w:eastAsia="ar-SA"/>
        </w:rPr>
        <w:t xml:space="preserve"> </w:t>
      </w:r>
      <w:r w:rsidRPr="00E556AF">
        <w:rPr>
          <w:rFonts w:eastAsia="Times New Roman"/>
          <w:b/>
          <w:bCs/>
          <w:lang w:eastAsia="ar-SA"/>
        </w:rPr>
        <w:t xml:space="preserve">Mohammed </w:t>
      </w:r>
      <w:proofErr w:type="spellStart"/>
      <w:r w:rsidRPr="00E556AF">
        <w:rPr>
          <w:rFonts w:eastAsia="Times New Roman"/>
          <w:b/>
          <w:bCs/>
          <w:lang w:eastAsia="ar-SA"/>
        </w:rPr>
        <w:t>Hazza</w:t>
      </w:r>
      <w:proofErr w:type="spellEnd"/>
      <w:r w:rsidRPr="00E556AF">
        <w:rPr>
          <w:rFonts w:eastAsia="Times New Roman"/>
          <w:b/>
          <w:bCs/>
          <w:lang w:eastAsia="ar-SA"/>
        </w:rPr>
        <w:t xml:space="preserve"> </w:t>
      </w:r>
      <w:proofErr w:type="spellStart"/>
      <w:r w:rsidRPr="00E556AF">
        <w:rPr>
          <w:rFonts w:eastAsia="Times New Roman"/>
          <w:b/>
          <w:bCs/>
          <w:lang w:eastAsia="ar-SA"/>
        </w:rPr>
        <w:t>Rayes</w:t>
      </w:r>
      <w:proofErr w:type="spellEnd"/>
      <w:r w:rsidRPr="00E556AF">
        <w:rPr>
          <w:rFonts w:eastAsia="Times New Roman"/>
          <w:b/>
          <w:bCs/>
          <w:lang w:eastAsia="ar-SA"/>
        </w:rPr>
        <w:t xml:space="preserve"> Al </w:t>
      </w:r>
      <w:proofErr w:type="spellStart"/>
      <w:r w:rsidRPr="00E556AF">
        <w:rPr>
          <w:rFonts w:eastAsia="Times New Roman"/>
          <w:b/>
          <w:bCs/>
          <w:lang w:eastAsia="ar-SA"/>
        </w:rPr>
        <w:t>Aseymi</w:t>
      </w:r>
      <w:proofErr w:type="spellEnd"/>
      <w:r w:rsidRPr="00E556AF">
        <w:rPr>
          <w:rFonts w:eastAsia="Times New Roman" w:cs="Times New Roman"/>
          <w:vertAlign w:val="superscript"/>
          <w:lang w:eastAsia="ar-SA"/>
        </w:rPr>
        <w:footnoteReference w:id="16"/>
      </w:r>
      <w:r w:rsidRPr="00E556AF">
        <w:rPr>
          <w:rFonts w:eastAsia="Times New Roman"/>
          <w:b/>
          <w:bCs/>
          <w:i/>
          <w:iCs/>
          <w:lang w:eastAsia="ar-SA"/>
        </w:rPr>
        <w:t xml:space="preserve"> </w:t>
      </w:r>
      <w:r w:rsidRPr="00E556AF">
        <w:rPr>
          <w:rFonts w:eastAsia="Times New Roman"/>
          <w:lang w:eastAsia="ar-SA"/>
        </w:rPr>
        <w:t>on 8 May 2006 at his house in Baghdad. That day, after five cars surrounded his property, a group of 15 heavily armed and hooded men entered his house and arrested him before taking him to an unknown location.</w:t>
      </w:r>
    </w:p>
    <w:p w:rsidR="00DF3F6D" w:rsidRDefault="00DF3F6D" w:rsidP="00371B03">
      <w:pPr>
        <w:suppressAutoHyphens/>
        <w:spacing w:before="100" w:after="100"/>
        <w:ind w:left="284" w:right="283"/>
        <w:rPr>
          <w:rFonts w:eastAsia="Times New Roman"/>
          <w:lang w:eastAsia="ar-SA"/>
        </w:rPr>
      </w:pPr>
      <w:r w:rsidRPr="00E556AF">
        <w:rPr>
          <w:rFonts w:eastAsia="Times New Roman"/>
          <w:lang w:eastAsia="ar-SA"/>
        </w:rPr>
        <w:t xml:space="preserve">His family had not heard from him for about seven years until a documentary was broadcasted on Al </w:t>
      </w:r>
      <w:proofErr w:type="spellStart"/>
      <w:r w:rsidRPr="00E556AF">
        <w:rPr>
          <w:rFonts w:eastAsia="Times New Roman"/>
          <w:lang w:eastAsia="ar-SA"/>
        </w:rPr>
        <w:t>Rafideen</w:t>
      </w:r>
      <w:proofErr w:type="spellEnd"/>
      <w:r w:rsidRPr="00E556AF">
        <w:rPr>
          <w:rFonts w:eastAsia="Times New Roman"/>
          <w:lang w:eastAsia="ar-SA"/>
        </w:rPr>
        <w:t xml:space="preserve"> TV in July 2013, showing Al </w:t>
      </w:r>
      <w:proofErr w:type="spellStart"/>
      <w:r w:rsidRPr="00E556AF">
        <w:rPr>
          <w:rFonts w:eastAsia="Times New Roman"/>
          <w:lang w:eastAsia="ar-SA"/>
        </w:rPr>
        <w:t>Aseymi</w:t>
      </w:r>
      <w:proofErr w:type="spellEnd"/>
      <w:r w:rsidRPr="00E556AF">
        <w:rPr>
          <w:rFonts w:eastAsia="Times New Roman"/>
          <w:lang w:eastAsia="ar-SA"/>
        </w:rPr>
        <w:t xml:space="preserve"> in </w:t>
      </w:r>
      <w:proofErr w:type="spellStart"/>
      <w:r w:rsidR="00371B03">
        <w:rPr>
          <w:rFonts w:eastAsia="Times New Roman"/>
          <w:lang w:eastAsia="ar-SA"/>
        </w:rPr>
        <w:t>T</w:t>
      </w:r>
      <w:r w:rsidRPr="00E556AF">
        <w:rPr>
          <w:rFonts w:eastAsia="Times New Roman"/>
          <w:lang w:eastAsia="ar-SA"/>
        </w:rPr>
        <w:t>asfira</w:t>
      </w:r>
      <w:r w:rsidR="00371B03">
        <w:rPr>
          <w:rFonts w:eastAsia="Times New Roman"/>
          <w:lang w:eastAsia="ar-SA"/>
        </w:rPr>
        <w:t>t</w:t>
      </w:r>
      <w:proofErr w:type="spellEnd"/>
      <w:r w:rsidR="00371B03">
        <w:rPr>
          <w:rFonts w:eastAsia="Times New Roman"/>
          <w:lang w:eastAsia="ar-SA"/>
        </w:rPr>
        <w:t xml:space="preserve"> prison </w:t>
      </w:r>
      <w:r w:rsidRPr="00E556AF">
        <w:rPr>
          <w:rFonts w:eastAsia="Times New Roman"/>
          <w:lang w:eastAsia="ar-SA"/>
        </w:rPr>
        <w:t xml:space="preserve">during a visit by Iraq's former Vice-President Al </w:t>
      </w:r>
      <w:proofErr w:type="spellStart"/>
      <w:r w:rsidRPr="00E556AF">
        <w:rPr>
          <w:rFonts w:eastAsia="Times New Roman"/>
          <w:lang w:eastAsia="ar-SA"/>
        </w:rPr>
        <w:t>Hashimi</w:t>
      </w:r>
      <w:proofErr w:type="spellEnd"/>
      <w:r w:rsidRPr="00E556AF">
        <w:rPr>
          <w:rFonts w:eastAsia="Times New Roman"/>
          <w:lang w:eastAsia="ar-SA"/>
        </w:rPr>
        <w:t>. However, to date, the Iraqi authorities continue to deny his detention.</w:t>
      </w:r>
      <w:r w:rsidR="00E17D2C">
        <w:rPr>
          <w:rFonts w:eastAsia="Times New Roman"/>
          <w:lang w:eastAsia="ar-SA"/>
        </w:rPr>
        <w:t xml:space="preserve"> </w:t>
      </w:r>
    </w:p>
    <w:p w:rsidR="00BD1613" w:rsidRDefault="00DF3F6D">
      <w:pPr>
        <w:suppressAutoHyphens/>
        <w:spacing w:before="100" w:after="100"/>
        <w:ind w:right="283"/>
        <w:rPr>
          <w:rFonts w:eastAsia="Times New Roman" w:cs="Times New Roman"/>
          <w:lang w:val="en-US" w:eastAsia="fr-FR"/>
        </w:rPr>
      </w:pPr>
      <w:r w:rsidRPr="00731A51">
        <w:rPr>
          <w:rFonts w:eastAsia="Times New Roman"/>
          <w:lang w:eastAsia="ar-SA"/>
        </w:rPr>
        <w:t xml:space="preserve">Despite the fact that the families of the two victims, similarly to numerous other </w:t>
      </w:r>
      <w:r w:rsidR="00373ED4">
        <w:rPr>
          <w:rFonts w:eastAsia="Times New Roman"/>
          <w:lang w:eastAsia="ar-SA"/>
        </w:rPr>
        <w:t>relatives of</w:t>
      </w:r>
      <w:r w:rsidRPr="00731A51">
        <w:rPr>
          <w:rFonts w:eastAsia="Times New Roman"/>
          <w:lang w:eastAsia="ar-SA"/>
        </w:rPr>
        <w:t xml:space="preserve"> </w:t>
      </w:r>
      <w:r w:rsidR="00373ED4">
        <w:rPr>
          <w:rFonts w:eastAsia="Times New Roman"/>
          <w:lang w:eastAsia="ar-SA"/>
        </w:rPr>
        <w:t>persons abducted</w:t>
      </w:r>
      <w:r w:rsidRPr="00731A51">
        <w:rPr>
          <w:rFonts w:eastAsia="Times New Roman"/>
          <w:lang w:eastAsia="ar-SA"/>
        </w:rPr>
        <w:t xml:space="preserve"> by militia groups, submitted requests to shed light on the fate and whereabouts of the victims</w:t>
      </w:r>
      <w:r w:rsidR="00E17D2C">
        <w:rPr>
          <w:rFonts w:eastAsia="Times New Roman"/>
          <w:lang w:eastAsia="ar-SA"/>
        </w:rPr>
        <w:t xml:space="preserve"> to the judicial authorities</w:t>
      </w:r>
      <w:r w:rsidRPr="00731A51">
        <w:rPr>
          <w:rFonts w:eastAsia="Times New Roman"/>
          <w:lang w:eastAsia="ar-SA"/>
        </w:rPr>
        <w:t xml:space="preserve">, </w:t>
      </w:r>
      <w:r w:rsidR="00373ED4">
        <w:rPr>
          <w:rFonts w:eastAsia="Times New Roman"/>
          <w:lang w:eastAsia="ar-SA"/>
        </w:rPr>
        <w:t>no</w:t>
      </w:r>
      <w:r w:rsidRPr="00731A51">
        <w:rPr>
          <w:rFonts w:eastAsia="Times New Roman"/>
          <w:lang w:eastAsia="ar-SA"/>
        </w:rPr>
        <w:t xml:space="preserve"> response has ever been provided. </w:t>
      </w:r>
    </w:p>
    <w:p w:rsidR="00BD1613" w:rsidRDefault="00DF3F6D">
      <w:pPr>
        <w:rPr>
          <w:lang w:eastAsia="fr-FR"/>
        </w:rPr>
      </w:pPr>
      <w:r w:rsidRPr="00E556AF">
        <w:rPr>
          <w:lang w:eastAsia="fr-FR"/>
        </w:rPr>
        <w:t xml:space="preserve">These cases are </w:t>
      </w:r>
      <w:r w:rsidR="00373ED4">
        <w:rPr>
          <w:lang w:eastAsia="fr-FR"/>
        </w:rPr>
        <w:t xml:space="preserve">thus </w:t>
      </w:r>
      <w:r w:rsidRPr="00E556AF">
        <w:rPr>
          <w:lang w:eastAsia="fr-FR"/>
        </w:rPr>
        <w:t xml:space="preserve">clearly illustrative of the fact that victims of abuses committed by militias do not have access to any redress mechanism, which amounts to a violation of article 2.3 of the Covenant. </w:t>
      </w:r>
    </w:p>
    <w:p w:rsidR="00BF0356" w:rsidRPr="00EE36F4" w:rsidRDefault="00BF0356" w:rsidP="00010672">
      <w:pPr>
        <w:autoSpaceDE w:val="0"/>
        <w:autoSpaceDN w:val="0"/>
        <w:adjustRightInd w:val="0"/>
        <w:jc w:val="left"/>
      </w:pPr>
    </w:p>
    <w:p w:rsidR="00BF0356" w:rsidRPr="00EE36F4" w:rsidRDefault="0039530F" w:rsidP="00141917">
      <w:pPr>
        <w:pStyle w:val="Titre3"/>
        <w:rPr>
          <w:lang w:val="en-GB"/>
        </w:rPr>
      </w:pPr>
      <w:r w:rsidRPr="0039530F">
        <w:rPr>
          <w:lang w:val="en-GB"/>
        </w:rPr>
        <w:tab/>
      </w:r>
      <w:bookmarkStart w:id="12" w:name="_Toc430939985"/>
      <w:r w:rsidRPr="0039530F">
        <w:rPr>
          <w:lang w:val="en-GB"/>
        </w:rPr>
        <w:t>The Iraqi High Commission for Human Rights</w:t>
      </w:r>
      <w:bookmarkEnd w:id="12"/>
      <w:r w:rsidRPr="0039530F">
        <w:rPr>
          <w:lang w:val="en-GB"/>
        </w:rPr>
        <w:t xml:space="preserve"> </w:t>
      </w:r>
    </w:p>
    <w:p w:rsidR="00585157" w:rsidRPr="00EE36F4" w:rsidRDefault="00585157" w:rsidP="00585157">
      <w:pPr>
        <w:autoSpaceDE w:val="0"/>
        <w:autoSpaceDN w:val="0"/>
        <w:adjustRightInd w:val="0"/>
      </w:pPr>
    </w:p>
    <w:p w:rsidR="00FB2E1E" w:rsidRPr="00E556AF" w:rsidRDefault="00FB2E1E" w:rsidP="00FB2E1E">
      <w:pPr>
        <w:autoSpaceDE w:val="0"/>
        <w:autoSpaceDN w:val="0"/>
        <w:adjustRightInd w:val="0"/>
        <w:rPr>
          <w:lang w:eastAsia="it-IT"/>
        </w:rPr>
      </w:pPr>
      <w:r w:rsidRPr="00E556AF">
        <w:t xml:space="preserve">As article 2.2 of the Covenant demands State parties to take the necessary steps to adopt the necessary laws and measures as to give effect to the rights recognised in the ICCPR, we wish to present in this part </w:t>
      </w:r>
      <w:r w:rsidRPr="00E556AF">
        <w:rPr>
          <w:lang w:eastAsia="it-IT"/>
        </w:rPr>
        <w:t xml:space="preserve">the Iraqi High Commission for Human Rights (IHCHR) and point out its shortcomings. </w:t>
      </w:r>
    </w:p>
    <w:p w:rsidR="00FB2E1E" w:rsidRPr="00E556AF" w:rsidRDefault="00FB2E1E" w:rsidP="00FB2E1E">
      <w:pPr>
        <w:autoSpaceDE w:val="0"/>
        <w:autoSpaceDN w:val="0"/>
        <w:adjustRightInd w:val="0"/>
      </w:pPr>
    </w:p>
    <w:p w:rsidR="00FB2E1E" w:rsidRPr="00E556AF" w:rsidRDefault="00FB2E1E" w:rsidP="009B247E">
      <w:pPr>
        <w:autoSpaceDE w:val="0"/>
        <w:autoSpaceDN w:val="0"/>
        <w:adjustRightInd w:val="0"/>
        <w:rPr>
          <w:lang w:eastAsia="it-IT"/>
        </w:rPr>
      </w:pPr>
      <w:r w:rsidRPr="00E556AF">
        <w:rPr>
          <w:lang w:eastAsia="it-IT"/>
        </w:rPr>
        <w:t>The Iraq National Human Rights Institution (NHRI), the Iraqi High Commission for Human Rights</w:t>
      </w:r>
      <w:r w:rsidR="00E17D2C">
        <w:rPr>
          <w:lang w:eastAsia="it-IT"/>
        </w:rPr>
        <w:t xml:space="preserve"> (IHCHR)</w:t>
      </w:r>
      <w:r w:rsidRPr="00E556AF">
        <w:rPr>
          <w:lang w:eastAsia="it-IT"/>
        </w:rPr>
        <w:t xml:space="preserve"> was created in April 2012. Following its review by the International Coordinating Committee of NHRIs (ICC) in March 2015, ahead of which </w:t>
      </w:r>
      <w:r w:rsidRPr="00E556AF">
        <w:rPr>
          <w:lang w:eastAsia="fr-FR"/>
        </w:rPr>
        <w:t xml:space="preserve">Alkarama together with Iraqi NGOs submitted a report highlighting the major shortcoming of the IHCHR, it was granted B status </w:t>
      </w:r>
      <w:r w:rsidRPr="00E556AF">
        <w:rPr>
          <w:lang w:eastAsia="it-IT"/>
        </w:rPr>
        <w:t xml:space="preserve">to mark the Iraqi NHRI's </w:t>
      </w:r>
      <w:r w:rsidR="009B247E">
        <w:rPr>
          <w:lang w:eastAsia="it-IT"/>
        </w:rPr>
        <w:t>partial</w:t>
      </w:r>
      <w:r w:rsidRPr="00E556AF">
        <w:rPr>
          <w:lang w:eastAsia="it-IT"/>
        </w:rPr>
        <w:t xml:space="preserve"> compliance with the Paris Principles</w:t>
      </w:r>
      <w:r w:rsidRPr="00E556AF">
        <w:rPr>
          <w:vertAlign w:val="superscript"/>
          <w:lang w:eastAsia="it-IT"/>
        </w:rPr>
        <w:footnoteReference w:id="17"/>
      </w:r>
      <w:r w:rsidRPr="00E556AF">
        <w:rPr>
          <w:lang w:eastAsia="it-IT"/>
        </w:rPr>
        <w:t>.</w:t>
      </w:r>
    </w:p>
    <w:p w:rsidR="00FB2E1E" w:rsidRPr="00E556AF" w:rsidRDefault="00FB2E1E" w:rsidP="00FB2E1E">
      <w:pPr>
        <w:autoSpaceDE w:val="0"/>
        <w:autoSpaceDN w:val="0"/>
        <w:adjustRightInd w:val="0"/>
        <w:rPr>
          <w:lang w:eastAsia="it-IT"/>
        </w:rPr>
      </w:pPr>
    </w:p>
    <w:p w:rsidR="009B3E9E" w:rsidRDefault="00FB2E1E">
      <w:pPr>
        <w:autoSpaceDE w:val="0"/>
        <w:autoSpaceDN w:val="0"/>
        <w:adjustRightInd w:val="0"/>
        <w:rPr>
          <w:lang w:eastAsia="it-IT"/>
        </w:rPr>
      </w:pPr>
      <w:r w:rsidRPr="00E556AF">
        <w:rPr>
          <w:lang w:eastAsia="it-IT"/>
        </w:rPr>
        <w:t>In fact, the Sub-Committee on Accreditation (SCA) of the ICC noted that the IHCHR founding law did “not include a provision to address a situation where members have actual or perceived conflicts of interest”</w:t>
      </w:r>
      <w:r w:rsidRPr="00E556AF">
        <w:rPr>
          <w:vertAlign w:val="superscript"/>
          <w:lang w:eastAsia="it-IT"/>
        </w:rPr>
        <w:footnoteReference w:id="18"/>
      </w:r>
      <w:r w:rsidRPr="00E556AF">
        <w:rPr>
          <w:lang w:eastAsia="it-IT"/>
        </w:rPr>
        <w:t xml:space="preserve"> and that, during the appointment of its 15 members, political pressure and interference from the government and political parties strongly influenced the choice of commissioners, who </w:t>
      </w:r>
      <w:r w:rsidR="00BD1613">
        <w:rPr>
          <w:lang w:eastAsia="it-IT"/>
        </w:rPr>
        <w:t>were</w:t>
      </w:r>
      <w:r w:rsidRPr="00E556AF">
        <w:rPr>
          <w:lang w:eastAsia="it-IT"/>
        </w:rPr>
        <w:t xml:space="preserve"> selected on the basis of their political affiliation rather than their competence. In addition, the SCA expressed concern over the fact that the IHCHR activities were hampered by governmental interference. For instance, when </w:t>
      </w:r>
      <w:r w:rsidR="00E17D2C">
        <w:rPr>
          <w:lang w:eastAsia="it-IT"/>
        </w:rPr>
        <w:t xml:space="preserve">the </w:t>
      </w:r>
      <w:r w:rsidRPr="00E556AF">
        <w:rPr>
          <w:lang w:eastAsia="it-IT"/>
        </w:rPr>
        <w:t>IHCHR carried out visits to official detention centres, they were always done with prior permission from the relevant ministry and under its previously set conditions</w:t>
      </w:r>
      <w:r w:rsidRPr="00E556AF">
        <w:rPr>
          <w:vertAlign w:val="superscript"/>
          <w:lang w:eastAsia="it-IT"/>
        </w:rPr>
        <w:footnoteReference w:id="19"/>
      </w:r>
      <w:r w:rsidRPr="00E556AF">
        <w:rPr>
          <w:lang w:eastAsia="it-IT"/>
        </w:rPr>
        <w:t>. It is also reported that when detainees addressed the IHCHR on several occasions in 2012 and 2013, denouncing ill-treatment and torture in detention centres and asked to meet with members of the IHCHR, they never received any response. On the contrary, following these demands, they reported that conditions of detention then significantly worsened.</w:t>
      </w:r>
    </w:p>
    <w:p w:rsidR="00FB2E1E" w:rsidRPr="00E556AF" w:rsidRDefault="00FB2E1E" w:rsidP="00FB2E1E">
      <w:pPr>
        <w:autoSpaceDE w:val="0"/>
        <w:autoSpaceDN w:val="0"/>
        <w:adjustRightInd w:val="0"/>
        <w:rPr>
          <w:lang w:eastAsia="it-IT"/>
        </w:rPr>
      </w:pPr>
    </w:p>
    <w:p w:rsidR="00FB2E1E" w:rsidRPr="00E556AF" w:rsidRDefault="00FB2E1E" w:rsidP="00FB2E1E">
      <w:pPr>
        <w:autoSpaceDE w:val="0"/>
        <w:autoSpaceDN w:val="0"/>
        <w:adjustRightInd w:val="0"/>
        <w:rPr>
          <w:lang w:eastAsia="it-IT"/>
        </w:rPr>
      </w:pPr>
      <w:r w:rsidRPr="00E556AF">
        <w:rPr>
          <w:lang w:eastAsia="it-IT"/>
        </w:rPr>
        <w:t>In addition, although the mandate of a NHRI is to promote a culture of rights through training and education, the SCA noted in its report that “the range of promotional activities undertaken by the IHCHR to date has been limited”</w:t>
      </w:r>
      <w:r w:rsidRPr="00E556AF">
        <w:rPr>
          <w:vertAlign w:val="superscript"/>
          <w:lang w:eastAsia="it-IT"/>
        </w:rPr>
        <w:footnoteReference w:id="20"/>
      </w:r>
      <w:r w:rsidRPr="00E556AF">
        <w:rPr>
          <w:lang w:eastAsia="it-IT"/>
        </w:rPr>
        <w:t xml:space="preserve"> and therefore encouraged the IHCHR “to undertake a wider range of promotional functions including through education, training, public outreach and advocacy”</w:t>
      </w:r>
      <w:r w:rsidRPr="00E556AF">
        <w:rPr>
          <w:vertAlign w:val="superscript"/>
          <w:lang w:eastAsia="it-IT"/>
        </w:rPr>
        <w:footnoteReference w:id="21"/>
      </w:r>
      <w:r w:rsidRPr="00E556AF">
        <w:rPr>
          <w:lang w:eastAsia="it-IT"/>
        </w:rPr>
        <w:t xml:space="preserve">. Undertaking such activities is of </w:t>
      </w:r>
      <w:r w:rsidR="00E17D2C">
        <w:rPr>
          <w:lang w:eastAsia="it-IT"/>
        </w:rPr>
        <w:t xml:space="preserve">the </w:t>
      </w:r>
      <w:r w:rsidRPr="00E556AF">
        <w:rPr>
          <w:lang w:eastAsia="it-IT"/>
        </w:rPr>
        <w:t xml:space="preserve">outmost importance considering that major human rights violations in Iraq are the result of ethnic and sectarian strife as well as widespread </w:t>
      </w:r>
      <w:r w:rsidR="002B4899">
        <w:rPr>
          <w:lang w:eastAsia="it-IT"/>
        </w:rPr>
        <w:t xml:space="preserve">practices of </w:t>
      </w:r>
      <w:r w:rsidRPr="00E556AF">
        <w:rPr>
          <w:lang w:eastAsia="it-IT"/>
        </w:rPr>
        <w:t xml:space="preserve">discrimination. </w:t>
      </w:r>
    </w:p>
    <w:p w:rsidR="00FB2E1E" w:rsidRPr="00E556AF" w:rsidRDefault="00FB2E1E" w:rsidP="00FB2E1E">
      <w:pPr>
        <w:autoSpaceDE w:val="0"/>
        <w:autoSpaceDN w:val="0"/>
        <w:adjustRightInd w:val="0"/>
        <w:rPr>
          <w:lang w:eastAsia="it-IT"/>
        </w:rPr>
      </w:pPr>
    </w:p>
    <w:p w:rsidR="009B3E9E" w:rsidRDefault="00FB2E1E">
      <w:pPr>
        <w:autoSpaceDE w:val="0"/>
        <w:autoSpaceDN w:val="0"/>
        <w:adjustRightInd w:val="0"/>
        <w:rPr>
          <w:lang w:eastAsia="it-IT"/>
        </w:rPr>
      </w:pPr>
      <w:r w:rsidRPr="00E556AF">
        <w:rPr>
          <w:lang w:eastAsia="it-IT"/>
        </w:rPr>
        <w:t>Furthermore, the IHCHR had to operate without funding for the first half of 2013 and once it</w:t>
      </w:r>
      <w:r w:rsidRPr="00E556AF">
        <w:rPr>
          <w:color w:val="10161D"/>
          <w:shd w:val="clear" w:color="auto" w:fill="FFFFFF"/>
        </w:rPr>
        <w:t xml:space="preserve"> started to receive funds from</w:t>
      </w:r>
      <w:r w:rsidR="00E17D2C">
        <w:rPr>
          <w:color w:val="10161D"/>
          <w:shd w:val="clear" w:color="auto" w:fill="FFFFFF"/>
        </w:rPr>
        <w:t xml:space="preserve"> the</w:t>
      </w:r>
      <w:r w:rsidRPr="00E556AF">
        <w:rPr>
          <w:color w:val="10161D"/>
          <w:shd w:val="clear" w:color="auto" w:fill="FFFFFF"/>
        </w:rPr>
        <w:t xml:space="preserve"> government, those </w:t>
      </w:r>
      <w:r w:rsidR="00BD1613">
        <w:rPr>
          <w:color w:val="10161D"/>
          <w:shd w:val="clear" w:color="auto" w:fill="FFFFFF"/>
        </w:rPr>
        <w:t>were</w:t>
      </w:r>
      <w:r w:rsidRPr="00E556AF">
        <w:rPr>
          <w:color w:val="10161D"/>
          <w:shd w:val="clear" w:color="auto" w:fill="FFFFFF"/>
        </w:rPr>
        <w:t xml:space="preserve"> insufficient to enable it to effectively carry out its mandate. In particular, this impacted the Iraqi NHRI’s ability to open regional offices, an iss</w:t>
      </w:r>
      <w:r w:rsidR="00E17D2C">
        <w:rPr>
          <w:color w:val="10161D"/>
          <w:shd w:val="clear" w:color="auto" w:fill="FFFFFF"/>
        </w:rPr>
        <w:t>ue in the current context of Iraq</w:t>
      </w:r>
      <w:r w:rsidRPr="00E556AF">
        <w:rPr>
          <w:color w:val="10161D"/>
          <w:shd w:val="clear" w:color="auto" w:fill="FFFFFF"/>
        </w:rPr>
        <w:t xml:space="preserve">, where vulnerable persons are often located in geographically remote parts of the country. As a consequence, the IHCHR remains inaccessible for most victims of serious abuses. Additionally, when the </w:t>
      </w:r>
      <w:r w:rsidRPr="00E556AF">
        <w:rPr>
          <w:lang w:eastAsia="it-IT"/>
        </w:rPr>
        <w:t>Commission has received complaints from Iraqi citizens on violations of human rights in prisons and detention centres, it has referred them to the Ministry of Interior and Ministry of Justice</w:t>
      </w:r>
      <w:r w:rsidRPr="00E556AF">
        <w:rPr>
          <w:vertAlign w:val="superscript"/>
          <w:lang w:eastAsia="it-IT"/>
        </w:rPr>
        <w:footnoteReference w:id="22"/>
      </w:r>
      <w:r w:rsidRPr="00E556AF">
        <w:rPr>
          <w:lang w:eastAsia="it-IT"/>
        </w:rPr>
        <w:t xml:space="preserve">, while human rights violations should be referred to the Public Prosecutor for investigation and, when appropriate, prosecution of those responsible. This is </w:t>
      </w:r>
      <w:r w:rsidR="006A32BB">
        <w:rPr>
          <w:lang w:eastAsia="it-IT"/>
        </w:rPr>
        <w:t xml:space="preserve">also </w:t>
      </w:r>
      <w:r w:rsidRPr="00E556AF">
        <w:rPr>
          <w:lang w:eastAsia="it-IT"/>
        </w:rPr>
        <w:t>worrisome considering that numerous human rights violations</w:t>
      </w:r>
      <w:r w:rsidR="00BD1613">
        <w:rPr>
          <w:lang w:eastAsia="it-IT"/>
        </w:rPr>
        <w:t xml:space="preserve"> are</w:t>
      </w:r>
      <w:r w:rsidRPr="00E556AF">
        <w:rPr>
          <w:lang w:eastAsia="it-IT"/>
        </w:rPr>
        <w:t xml:space="preserve"> committed by agents of the Ministry of Interior acting under its order or at least with its tacit approval. </w:t>
      </w:r>
    </w:p>
    <w:p w:rsidR="00FB2E1E" w:rsidRPr="00E556AF" w:rsidRDefault="00FB2E1E" w:rsidP="00FB2E1E">
      <w:pPr>
        <w:autoSpaceDE w:val="0"/>
        <w:autoSpaceDN w:val="0"/>
        <w:adjustRightInd w:val="0"/>
        <w:rPr>
          <w:lang w:eastAsia="it-IT"/>
        </w:rPr>
      </w:pPr>
    </w:p>
    <w:p w:rsidR="00FB2E1E" w:rsidRPr="00E556AF" w:rsidRDefault="00FB2E1E" w:rsidP="00FB2E1E">
      <w:pPr>
        <w:autoSpaceDE w:val="0"/>
        <w:autoSpaceDN w:val="0"/>
        <w:adjustRightInd w:val="0"/>
        <w:rPr>
          <w:lang w:eastAsia="it-IT"/>
        </w:rPr>
      </w:pPr>
      <w:r w:rsidRPr="00E556AF">
        <w:rPr>
          <w:lang w:eastAsia="it-IT"/>
        </w:rPr>
        <w:t>Finally, the IHCHR seems totally disconnected from the Iraqi society, as its 13 priority areas</w:t>
      </w:r>
      <w:r w:rsidRPr="00E556AF">
        <w:rPr>
          <w:vertAlign w:val="superscript"/>
          <w:lang w:eastAsia="it-IT"/>
        </w:rPr>
        <w:footnoteReference w:id="23"/>
      </w:r>
      <w:r w:rsidRPr="00E556AF">
        <w:rPr>
          <w:lang w:eastAsia="it-IT"/>
        </w:rPr>
        <w:t xml:space="preserve"> of work do not reflect the major human rights issues that should be addressed in the country such as the widespread violations of fair trial guarantees, the systematic use of torture and summary executions. </w:t>
      </w:r>
    </w:p>
    <w:p w:rsidR="00FB2E1E" w:rsidRPr="00E556AF" w:rsidRDefault="00FB2E1E" w:rsidP="00FB2E1E">
      <w:pPr>
        <w:autoSpaceDE w:val="0"/>
        <w:autoSpaceDN w:val="0"/>
        <w:adjustRightInd w:val="0"/>
        <w:rPr>
          <w:color w:val="10161D"/>
          <w:shd w:val="clear" w:color="auto" w:fill="FFFFFF"/>
        </w:rPr>
      </w:pPr>
    </w:p>
    <w:p w:rsidR="00FB2E1E" w:rsidRPr="00E556AF" w:rsidRDefault="00E17D2C" w:rsidP="00FB2E1E">
      <w:pPr>
        <w:autoSpaceDE w:val="0"/>
        <w:autoSpaceDN w:val="0"/>
        <w:adjustRightInd w:val="0"/>
        <w:rPr>
          <w:i/>
          <w:iCs/>
          <w:lang w:eastAsia="fr-FR"/>
        </w:rPr>
      </w:pPr>
      <w:r>
        <w:rPr>
          <w:lang w:eastAsia="fr-FR"/>
        </w:rPr>
        <w:t>T</w:t>
      </w:r>
      <w:r w:rsidR="00FB2E1E" w:rsidRPr="00E556AF">
        <w:rPr>
          <w:lang w:eastAsia="fr-FR"/>
        </w:rPr>
        <w:t>he IHCHR is</w:t>
      </w:r>
      <w:r>
        <w:rPr>
          <w:lang w:eastAsia="fr-FR"/>
        </w:rPr>
        <w:t xml:space="preserve"> therefore</w:t>
      </w:r>
      <w:r w:rsidR="00FB2E1E" w:rsidRPr="00E556AF">
        <w:rPr>
          <w:lang w:eastAsia="fr-FR"/>
        </w:rPr>
        <w:t xml:space="preserve"> an “empty box” and has </w:t>
      </w:r>
      <w:r w:rsidR="00FB2E1E" w:rsidRPr="00E556AF">
        <w:rPr>
          <w:color w:val="10161D"/>
        </w:rPr>
        <w:t xml:space="preserve">not </w:t>
      </w:r>
      <w:r w:rsidR="00BD1613">
        <w:rPr>
          <w:color w:val="10161D"/>
        </w:rPr>
        <w:t xml:space="preserve">been </w:t>
      </w:r>
      <w:r w:rsidR="00FB2E1E" w:rsidRPr="00E556AF">
        <w:rPr>
          <w:color w:val="10161D"/>
        </w:rPr>
        <w:t>play</w:t>
      </w:r>
      <w:r w:rsidR="00BD1613">
        <w:rPr>
          <w:color w:val="10161D"/>
        </w:rPr>
        <w:t>ing</w:t>
      </w:r>
      <w:r w:rsidR="00FB2E1E" w:rsidRPr="00E556AF">
        <w:rPr>
          <w:color w:val="10161D"/>
        </w:rPr>
        <w:t xml:space="preserve"> the role expected of a national human rights institution, due to its lack of independence, its composition and official activities</w:t>
      </w:r>
      <w:r w:rsidR="00BD1613">
        <w:rPr>
          <w:color w:val="10161D"/>
        </w:rPr>
        <w:t>, which</w:t>
      </w:r>
      <w:r w:rsidR="00FB2E1E" w:rsidRPr="00E556AF">
        <w:rPr>
          <w:color w:val="10161D"/>
        </w:rPr>
        <w:t xml:space="preserve"> do not allow it to ensure an effective and efficient role in promoting and protecting human rights in the country</w:t>
      </w:r>
      <w:r w:rsidR="00FB2E1E" w:rsidRPr="00E556AF">
        <w:rPr>
          <w:vertAlign w:val="superscript"/>
          <w:lang w:eastAsia="it-IT"/>
        </w:rPr>
        <w:footnoteReference w:id="24"/>
      </w:r>
      <w:r w:rsidR="00FB2E1E" w:rsidRPr="00E556AF">
        <w:rPr>
          <w:i/>
          <w:iCs/>
          <w:lang w:eastAsia="it-IT"/>
        </w:rPr>
        <w:t xml:space="preserve">. </w:t>
      </w:r>
    </w:p>
    <w:p w:rsidR="00FB2E1E" w:rsidRPr="00E556AF" w:rsidRDefault="00FB2E1E" w:rsidP="00FB2E1E">
      <w:pPr>
        <w:rPr>
          <w:lang w:eastAsia="fr-FR"/>
        </w:rPr>
      </w:pPr>
    </w:p>
    <w:p w:rsidR="00FB2E1E" w:rsidRPr="00E556AF" w:rsidRDefault="00FB2E1E" w:rsidP="00FB2E1E">
      <w:pPr>
        <w:rPr>
          <w:b/>
          <w:bCs/>
          <w:i/>
          <w:iCs/>
          <w:lang w:eastAsia="fr-FR"/>
        </w:rPr>
      </w:pPr>
      <w:r w:rsidRPr="00E556AF">
        <w:rPr>
          <w:b/>
          <w:bCs/>
          <w:i/>
          <w:iCs/>
          <w:lang w:eastAsia="fr-FR"/>
        </w:rPr>
        <w:t xml:space="preserve">Recommendations: </w:t>
      </w:r>
    </w:p>
    <w:p w:rsidR="00FB2E1E" w:rsidRPr="00E556AF" w:rsidRDefault="00FB2E1E" w:rsidP="00FB2E1E">
      <w:pPr>
        <w:rPr>
          <w:i/>
          <w:iCs/>
          <w:lang w:eastAsia="fr-FR"/>
        </w:rPr>
      </w:pPr>
    </w:p>
    <w:p w:rsidR="009B3E9E" w:rsidRDefault="00FB2E1E">
      <w:pPr>
        <w:numPr>
          <w:ilvl w:val="0"/>
          <w:numId w:val="33"/>
        </w:numPr>
        <w:contextualSpacing/>
        <w:rPr>
          <w:lang w:eastAsia="fr-FR"/>
        </w:rPr>
      </w:pPr>
      <w:r w:rsidRPr="00E556AF">
        <w:rPr>
          <w:lang w:eastAsia="fr-FR"/>
        </w:rPr>
        <w:t xml:space="preserve">Ensure that </w:t>
      </w:r>
      <w:r w:rsidR="006A32BB">
        <w:rPr>
          <w:lang w:eastAsia="fr-FR"/>
        </w:rPr>
        <w:t xml:space="preserve">the </w:t>
      </w:r>
      <w:r w:rsidRPr="00E556AF">
        <w:rPr>
          <w:lang w:eastAsia="fr-FR"/>
        </w:rPr>
        <w:t>Iraqi authorities can exercise jurisdiction over a</w:t>
      </w:r>
      <w:r w:rsidR="00BD1613">
        <w:rPr>
          <w:lang w:eastAsia="fr-FR"/>
        </w:rPr>
        <w:t>ll</w:t>
      </w:r>
      <w:r w:rsidRPr="00E556AF">
        <w:rPr>
          <w:lang w:eastAsia="fr-FR"/>
        </w:rPr>
        <w:t xml:space="preserve"> violation</w:t>
      </w:r>
      <w:r w:rsidR="00BD1613">
        <w:rPr>
          <w:lang w:eastAsia="fr-FR"/>
        </w:rPr>
        <w:t>s</w:t>
      </w:r>
      <w:r w:rsidR="006A32BB">
        <w:rPr>
          <w:lang w:eastAsia="fr-FR"/>
        </w:rPr>
        <w:t xml:space="preserve"> that</w:t>
      </w:r>
      <w:r w:rsidRPr="00E556AF">
        <w:rPr>
          <w:lang w:eastAsia="fr-FR"/>
        </w:rPr>
        <w:t xml:space="preserve"> occurred on their territory through appropriate legislative measures and that complaint mechanisms are accessible to the victims’ and </w:t>
      </w:r>
      <w:r w:rsidR="00BD1613">
        <w:rPr>
          <w:lang w:eastAsia="fr-FR"/>
        </w:rPr>
        <w:t>other</w:t>
      </w:r>
      <w:r w:rsidR="00BD1613" w:rsidRPr="00E556AF">
        <w:rPr>
          <w:lang w:eastAsia="fr-FR"/>
        </w:rPr>
        <w:t xml:space="preserve"> </w:t>
      </w:r>
      <w:r w:rsidRPr="00E556AF">
        <w:rPr>
          <w:lang w:eastAsia="fr-FR"/>
        </w:rPr>
        <w:t>right holders;</w:t>
      </w:r>
    </w:p>
    <w:p w:rsidR="00FB2E1E" w:rsidRPr="00E556AF" w:rsidRDefault="00FB2E1E" w:rsidP="00AF5067">
      <w:pPr>
        <w:numPr>
          <w:ilvl w:val="0"/>
          <w:numId w:val="33"/>
        </w:numPr>
        <w:contextualSpacing/>
        <w:rPr>
          <w:lang w:eastAsia="fr-FR"/>
        </w:rPr>
      </w:pPr>
      <w:r w:rsidRPr="00E556AF">
        <w:rPr>
          <w:lang w:eastAsia="fr-FR"/>
        </w:rPr>
        <w:t>Ensure that all those involved in the perpetration of human rights violations, including members of the Coalition forces</w:t>
      </w:r>
      <w:r w:rsidR="00AF5067">
        <w:rPr>
          <w:lang w:eastAsia="fr-FR"/>
        </w:rPr>
        <w:t xml:space="preserve"> and militias</w:t>
      </w:r>
      <w:r w:rsidRPr="00E556AF">
        <w:rPr>
          <w:lang w:eastAsia="fr-FR"/>
        </w:rPr>
        <w:t xml:space="preserve">, </w:t>
      </w:r>
      <w:r w:rsidR="00AF5067">
        <w:rPr>
          <w:lang w:eastAsia="fr-FR"/>
        </w:rPr>
        <w:t xml:space="preserve">as well as </w:t>
      </w:r>
      <w:r w:rsidRPr="00E556AF">
        <w:rPr>
          <w:lang w:eastAsia="fr-FR"/>
        </w:rPr>
        <w:t xml:space="preserve">military and civilian superiors and State officials giving their authorisation, support or acquiescence to </w:t>
      </w:r>
      <w:r w:rsidR="00AF5067">
        <w:rPr>
          <w:lang w:eastAsia="fr-FR"/>
        </w:rPr>
        <w:t>the latter</w:t>
      </w:r>
      <w:r w:rsidRPr="00E556AF">
        <w:rPr>
          <w:lang w:eastAsia="fr-FR"/>
        </w:rPr>
        <w:t>, are prosecuted and, if found guilty, punished in accordance with the gravity of their acts;</w:t>
      </w:r>
    </w:p>
    <w:p w:rsidR="00FB2E1E" w:rsidRPr="00E556AF" w:rsidRDefault="00FB2E1E" w:rsidP="00FB2E1E">
      <w:pPr>
        <w:numPr>
          <w:ilvl w:val="0"/>
          <w:numId w:val="33"/>
        </w:numPr>
        <w:contextualSpacing/>
        <w:rPr>
          <w:lang w:eastAsia="fr-FR"/>
        </w:rPr>
      </w:pPr>
      <w:r w:rsidRPr="00E556AF">
        <w:rPr>
          <w:lang w:eastAsia="fr-FR"/>
        </w:rPr>
        <w:t xml:space="preserve">Implement the recommendations issued by the </w:t>
      </w:r>
      <w:r w:rsidRPr="00E556AF">
        <w:rPr>
          <w:lang w:eastAsia="it-IT"/>
        </w:rPr>
        <w:t xml:space="preserve">Sub-Committee on Accreditation of the International Coordinating Committee of NHRIs and in particular: </w:t>
      </w:r>
    </w:p>
    <w:p w:rsidR="009B3E9E" w:rsidRDefault="00FB2E1E">
      <w:pPr>
        <w:numPr>
          <w:ilvl w:val="1"/>
          <w:numId w:val="30"/>
        </w:numPr>
        <w:contextualSpacing/>
      </w:pPr>
      <w:r w:rsidRPr="00E556AF">
        <w:t>Amend the founding Law to ensure the</w:t>
      </w:r>
      <w:r w:rsidR="00AF5067">
        <w:t xml:space="preserve"> </w:t>
      </w:r>
      <w:r w:rsidR="00BD1613">
        <w:t>screening and selection</w:t>
      </w:r>
      <w:r w:rsidRPr="00E556AF">
        <w:t xml:space="preserve"> process includes requirements for broad consultation and / or participation;</w:t>
      </w:r>
    </w:p>
    <w:p w:rsidR="00FB2E1E" w:rsidRPr="00E556AF" w:rsidRDefault="00FB2E1E" w:rsidP="00FB2E1E">
      <w:pPr>
        <w:numPr>
          <w:ilvl w:val="1"/>
          <w:numId w:val="30"/>
        </w:numPr>
        <w:contextualSpacing/>
        <w:rPr>
          <w:lang w:eastAsia="fr-FR"/>
        </w:rPr>
      </w:pPr>
      <w:r w:rsidRPr="00E556AF">
        <w:t>Provide the IHCHR with all the due means to carry on its mandate without external interference, in particular to empower it to visit detention centres in total independence, investigate cases of violations and refer them to the relevant judicial authoritie</w:t>
      </w:r>
      <w:r w:rsidRPr="00E556AF">
        <w:rPr>
          <w:lang w:eastAsia="fr-FR"/>
        </w:rPr>
        <w:t>s</w:t>
      </w:r>
      <w:r w:rsidRPr="00E556AF">
        <w:t>.</w:t>
      </w:r>
    </w:p>
    <w:p w:rsidR="009B3E9E" w:rsidRDefault="009B3E9E">
      <w:pPr>
        <w:pStyle w:val="Paragraphedeliste"/>
        <w:ind w:left="0"/>
        <w:rPr>
          <w:lang w:eastAsia="fr-FR"/>
        </w:rPr>
      </w:pPr>
    </w:p>
    <w:p w:rsidR="00E17D2C" w:rsidRDefault="00E17D2C">
      <w:pPr>
        <w:pStyle w:val="Paragraphedeliste"/>
        <w:rPr>
          <w:lang w:eastAsia="fr-FR"/>
        </w:rPr>
      </w:pPr>
    </w:p>
    <w:p w:rsidR="00BF0356" w:rsidRPr="00EE36F4" w:rsidRDefault="0039530F" w:rsidP="00BC7891">
      <w:pPr>
        <w:pStyle w:val="Titre2"/>
        <w:numPr>
          <w:ilvl w:val="1"/>
          <w:numId w:val="16"/>
        </w:numPr>
        <w:rPr>
          <w:rFonts w:cs="Times New Roman"/>
          <w:lang w:val="en-GB" w:eastAsia="fr-FR"/>
        </w:rPr>
      </w:pPr>
      <w:bookmarkStart w:id="13" w:name="_Toc430939986"/>
      <w:r w:rsidRPr="0039530F">
        <w:rPr>
          <w:lang w:val="en-GB"/>
        </w:rPr>
        <w:t>Right to Life (Article 6)</w:t>
      </w:r>
      <w:bookmarkEnd w:id="13"/>
    </w:p>
    <w:p w:rsidR="00BF0356" w:rsidRPr="00EE36F4" w:rsidRDefault="00BF0356" w:rsidP="0096312A">
      <w:pPr>
        <w:rPr>
          <w:lang w:eastAsia="fr-FR"/>
        </w:rPr>
      </w:pPr>
    </w:p>
    <w:p w:rsidR="00BF0356" w:rsidRPr="00EE36F4" w:rsidRDefault="0039530F" w:rsidP="006A0B96">
      <w:pPr>
        <w:pStyle w:val="Titre3"/>
        <w:rPr>
          <w:lang w:val="en-GB"/>
        </w:rPr>
      </w:pPr>
      <w:bookmarkStart w:id="14" w:name="_Toc430939987"/>
      <w:r w:rsidRPr="0039530F">
        <w:rPr>
          <w:lang w:val="en-GB"/>
        </w:rPr>
        <w:t>The issue of the death penalty</w:t>
      </w:r>
      <w:bookmarkEnd w:id="14"/>
    </w:p>
    <w:p w:rsidR="00BF0356" w:rsidRPr="00EE36F4" w:rsidRDefault="00BF0356" w:rsidP="00DC7208">
      <w:pPr>
        <w:rPr>
          <w:lang w:eastAsia="fr-FR"/>
        </w:rPr>
      </w:pPr>
    </w:p>
    <w:p w:rsidR="009B3E9E" w:rsidRDefault="003A1CB7">
      <w:r w:rsidRPr="00E556AF">
        <w:t xml:space="preserve">In Iraq, the issue of death penalty is particularly concerning, due to the high number of executions carried out in total disrespect of the </w:t>
      </w:r>
      <w:r w:rsidR="00BD1613">
        <w:t>ICCPR</w:t>
      </w:r>
      <w:r w:rsidRPr="00E556AF">
        <w:t xml:space="preserve"> and its instrumental recourse in the name of the “fight against terrorism”. </w:t>
      </w:r>
    </w:p>
    <w:p w:rsidR="003A1CB7" w:rsidRPr="00E556AF" w:rsidRDefault="003A1CB7" w:rsidP="003A1CB7"/>
    <w:p w:rsidR="003A1CB7" w:rsidRPr="00E556AF" w:rsidRDefault="003A1CB7" w:rsidP="003A1CB7">
      <w:r w:rsidRPr="00E556AF">
        <w:rPr>
          <w:lang w:eastAsia="fr-FR"/>
        </w:rPr>
        <w:t xml:space="preserve">After a brief suspension of the death penalty following the US invasion in mid-2003, the capital punishment was reintroduced under the terms of Order No. 3 of 8 August 2004 promulgated by the Council of Ministers, and the death penalty was re-applied from 2005. </w:t>
      </w:r>
      <w:r w:rsidRPr="00E556AF">
        <w:t>In 2013 alone, the Iraqi authorities executed 177 detainees, the highest figure since the death penalty was reintroduced, whereas in 2014 Iraq ranked as the fourth country worldwide in the number of executions</w:t>
      </w:r>
      <w:r w:rsidRPr="00E556AF">
        <w:rPr>
          <w:vertAlign w:val="superscript"/>
        </w:rPr>
        <w:footnoteReference w:id="25"/>
      </w:r>
      <w:r w:rsidRPr="00E556AF">
        <w:t xml:space="preserve">. In addition, on 15 July 2014, a new execution site in </w:t>
      </w:r>
      <w:proofErr w:type="spellStart"/>
      <w:r w:rsidRPr="00E556AF">
        <w:t>Nasiriyah</w:t>
      </w:r>
      <w:proofErr w:type="spellEnd"/>
      <w:r w:rsidRPr="00E556AF">
        <w:t xml:space="preserve"> prison was established, adding to the existing one in Baghdad. As recently as 15 June 2015, Justice Minister </w:t>
      </w:r>
      <w:proofErr w:type="spellStart"/>
      <w:r w:rsidRPr="00E556AF">
        <w:t>Haide</w:t>
      </w:r>
      <w:proofErr w:type="spellEnd"/>
      <w:r w:rsidRPr="00E556AF">
        <w:t xml:space="preserve"> Al-</w:t>
      </w:r>
      <w:proofErr w:type="spellStart"/>
      <w:r w:rsidRPr="00E556AF">
        <w:t>Zamili</w:t>
      </w:r>
      <w:proofErr w:type="spellEnd"/>
      <w:r w:rsidRPr="00E556AF">
        <w:t xml:space="preserve"> demanded for a speedier application of death sentences, justified under the pretext of “the extraordinary security situation in the country”</w:t>
      </w:r>
      <w:r w:rsidRPr="00E556AF">
        <w:rPr>
          <w:vertAlign w:val="superscript"/>
        </w:rPr>
        <w:footnoteReference w:id="26"/>
      </w:r>
      <w:r w:rsidRPr="00E556AF">
        <w:t xml:space="preserve">. </w:t>
      </w:r>
    </w:p>
    <w:p w:rsidR="003A1CB7" w:rsidRPr="00E556AF" w:rsidRDefault="003A1CB7" w:rsidP="003A1CB7">
      <w:pPr>
        <w:rPr>
          <w:rFonts w:ascii="Garamond" w:hAnsi="Garamond" w:cs="Garamond"/>
          <w:color w:val="444444"/>
          <w:sz w:val="18"/>
        </w:rPr>
      </w:pPr>
    </w:p>
    <w:p w:rsidR="003A1CB7" w:rsidRPr="00E556AF" w:rsidRDefault="003A1CB7" w:rsidP="00762056">
      <w:pPr>
        <w:rPr>
          <w:lang w:eastAsia="fr-FR"/>
        </w:rPr>
      </w:pPr>
      <w:r w:rsidRPr="00E556AF">
        <w:rPr>
          <w:lang w:eastAsia="fr-FR"/>
        </w:rPr>
        <w:t>The arguments put forward by Iraq in order to justify the use of the death penalty usually refer</w:t>
      </w:r>
      <w:r w:rsidR="00762056">
        <w:rPr>
          <w:lang w:eastAsia="fr-FR"/>
        </w:rPr>
        <w:t>s</w:t>
      </w:r>
      <w:r w:rsidRPr="00E556AF">
        <w:rPr>
          <w:lang w:eastAsia="fr-FR"/>
        </w:rPr>
        <w:t xml:space="preserve"> to the exceptional circumstances prevailing in the country and the fight against terrorism, as capital </w:t>
      </w:r>
      <w:proofErr w:type="gramStart"/>
      <w:r w:rsidRPr="00E556AF">
        <w:rPr>
          <w:lang w:eastAsia="fr-FR"/>
        </w:rPr>
        <w:t>punishment</w:t>
      </w:r>
      <w:proofErr w:type="gramEnd"/>
      <w:r w:rsidRPr="00E556AF">
        <w:rPr>
          <w:lang w:eastAsia="fr-FR"/>
        </w:rPr>
        <w:t xml:space="preserve"> would allegedly have a “deterrent effect” and would “satisfy the demands of justice and retribution”</w:t>
      </w:r>
      <w:r w:rsidRPr="00E556AF">
        <w:rPr>
          <w:vertAlign w:val="superscript"/>
          <w:lang w:eastAsia="fr-FR"/>
        </w:rPr>
        <w:footnoteReference w:id="27"/>
      </w:r>
      <w:r w:rsidRPr="00E556AF">
        <w:rPr>
          <w:lang w:eastAsia="fr-FR"/>
        </w:rPr>
        <w:t xml:space="preserve">. For instance, in its </w:t>
      </w:r>
      <w:r w:rsidR="00762056">
        <w:rPr>
          <w:lang w:eastAsia="fr-FR"/>
        </w:rPr>
        <w:t>report</w:t>
      </w:r>
      <w:r w:rsidRPr="00E556AF">
        <w:rPr>
          <w:lang w:eastAsia="fr-FR"/>
        </w:rPr>
        <w:t xml:space="preserve"> Iraq affirms that the abolition of the death penalty “would constitute a flaw in our criminal justice policy since we are facing not only the most ruthless and odious acts of organized and unorganized terrorism and organized crime designed to undermine democratic institutions, but also acts of violence motivated by racial, ethnic or religious affiliation in an unstable security situation”</w:t>
      </w:r>
      <w:r w:rsidRPr="00E556AF">
        <w:rPr>
          <w:vertAlign w:val="superscript"/>
          <w:lang w:eastAsia="fr-FR"/>
        </w:rPr>
        <w:footnoteReference w:id="28"/>
      </w:r>
      <w:r w:rsidRPr="00E556AF">
        <w:rPr>
          <w:lang w:eastAsia="fr-FR"/>
        </w:rPr>
        <w:t xml:space="preserve">. Alkarama wishes to recall, however, that the right to life is non </w:t>
      </w:r>
      <w:proofErr w:type="spellStart"/>
      <w:r w:rsidRPr="00E556AF">
        <w:rPr>
          <w:lang w:eastAsia="fr-FR"/>
        </w:rPr>
        <w:t>derogable</w:t>
      </w:r>
      <w:proofErr w:type="spellEnd"/>
      <w:r w:rsidRPr="00E556AF">
        <w:rPr>
          <w:lang w:eastAsia="fr-FR"/>
        </w:rPr>
        <w:t>, hence a right that must be respected at all times, including in times of emergency</w:t>
      </w:r>
      <w:r w:rsidRPr="00E556AF">
        <w:rPr>
          <w:vertAlign w:val="superscript"/>
          <w:lang w:eastAsia="fr-FR"/>
        </w:rPr>
        <w:footnoteReference w:id="29"/>
      </w:r>
      <w:r w:rsidRPr="00E556AF">
        <w:rPr>
          <w:lang w:eastAsia="fr-FR"/>
        </w:rPr>
        <w:t xml:space="preserve">. </w:t>
      </w:r>
    </w:p>
    <w:p w:rsidR="003A1CB7" w:rsidRPr="00E556AF" w:rsidRDefault="003A1CB7" w:rsidP="003A1CB7">
      <w:pPr>
        <w:rPr>
          <w:lang w:eastAsia="fr-FR"/>
        </w:rPr>
      </w:pPr>
    </w:p>
    <w:p w:rsidR="003A1CB7" w:rsidRPr="00E556AF" w:rsidRDefault="003A1CB7" w:rsidP="003A1CB7">
      <w:pPr>
        <w:rPr>
          <w:lang w:eastAsia="fr-FR"/>
        </w:rPr>
      </w:pPr>
      <w:r w:rsidRPr="00E556AF">
        <w:rPr>
          <w:lang w:eastAsia="fr-FR"/>
        </w:rPr>
        <w:t>Additionally, the many flaws of the Iraqi judicial system affect the administration of the capital punishment, thus contravening the ICCPR, and more generally, International Human Rights Law. Indeed, according to article 6 ICCPR, the application of capital punishment is allowed under very strict circumstances, in particular</w:t>
      </w:r>
      <w:r w:rsidR="00762056">
        <w:rPr>
          <w:lang w:eastAsia="fr-FR"/>
        </w:rPr>
        <w:t xml:space="preserve"> it</w:t>
      </w:r>
      <w:r w:rsidRPr="00E556AF">
        <w:rPr>
          <w:lang w:eastAsia="fr-FR"/>
        </w:rPr>
        <w:t xml:space="preserve"> shall be limited to the “most serious crimes” and shall not be contrary to other provisions of the Covenant. The imposition of the death penalty in Iraq, however, does not satisfy any of these conditions. </w:t>
      </w:r>
    </w:p>
    <w:p w:rsidR="003A1CB7" w:rsidRPr="00E556AF" w:rsidRDefault="003A1CB7" w:rsidP="003A1CB7">
      <w:pPr>
        <w:rPr>
          <w:sz w:val="16"/>
          <w:szCs w:val="16"/>
        </w:rPr>
      </w:pPr>
    </w:p>
    <w:p w:rsidR="009B3E9E" w:rsidRDefault="003A1CB7">
      <w:pPr>
        <w:rPr>
          <w:lang w:eastAsia="fr-FR"/>
        </w:rPr>
      </w:pPr>
      <w:r w:rsidRPr="00E556AF">
        <w:rPr>
          <w:lang w:eastAsia="fr-FR"/>
        </w:rPr>
        <w:t>Indeed, and as reported in Iraq’s report</w:t>
      </w:r>
      <w:r w:rsidR="00762056">
        <w:rPr>
          <w:lang w:eastAsia="fr-FR"/>
        </w:rPr>
        <w:t xml:space="preserve"> to the Committee</w:t>
      </w:r>
      <w:r w:rsidRPr="00E556AF">
        <w:rPr>
          <w:lang w:eastAsia="fr-FR"/>
        </w:rPr>
        <w:t xml:space="preserve">, death penalty </w:t>
      </w:r>
      <w:r w:rsidR="00BD1613">
        <w:rPr>
          <w:lang w:eastAsia="fr-FR"/>
        </w:rPr>
        <w:t>should be</w:t>
      </w:r>
      <w:r w:rsidRPr="00E556AF">
        <w:rPr>
          <w:lang w:eastAsia="fr-FR"/>
        </w:rPr>
        <w:t xml:space="preserve"> imposed </w:t>
      </w:r>
      <w:r w:rsidR="008C2449">
        <w:rPr>
          <w:lang w:eastAsia="fr-FR"/>
        </w:rPr>
        <w:t>for</w:t>
      </w:r>
      <w:r w:rsidRPr="00E556AF">
        <w:rPr>
          <w:lang w:eastAsia="fr-FR"/>
        </w:rPr>
        <w:t xml:space="preserve"> </w:t>
      </w:r>
      <w:r w:rsidR="008C2449">
        <w:rPr>
          <w:lang w:eastAsia="fr-FR"/>
        </w:rPr>
        <w:t>“</w:t>
      </w:r>
      <w:r w:rsidRPr="00E556AF">
        <w:rPr>
          <w:lang w:eastAsia="fr-FR"/>
        </w:rPr>
        <w:t>felonious homicide and some crimes of a grievous terrorist nature”</w:t>
      </w:r>
      <w:r w:rsidRPr="00E556AF">
        <w:rPr>
          <w:vertAlign w:val="superscript"/>
          <w:lang w:eastAsia="fr-FR"/>
        </w:rPr>
        <w:footnoteReference w:id="30"/>
      </w:r>
      <w:r w:rsidRPr="00E556AF">
        <w:rPr>
          <w:lang w:eastAsia="fr-FR"/>
        </w:rPr>
        <w:t xml:space="preserve">. These crimes are defined in the Iraqi Penal Code and the vague Anti-Terrorism Law No. 13 of 2005, the latter being the main legal basis upon which most </w:t>
      </w:r>
      <w:r w:rsidR="008C2449">
        <w:rPr>
          <w:lang w:eastAsia="fr-FR"/>
        </w:rPr>
        <w:t>executions are carried out.</w:t>
      </w:r>
      <w:r w:rsidRPr="00E556AF">
        <w:rPr>
          <w:lang w:eastAsia="fr-FR"/>
        </w:rPr>
        <w:t xml:space="preserve"> The Anti-Terrorism Law, </w:t>
      </w:r>
      <w:r w:rsidR="00BD1613">
        <w:rPr>
          <w:lang w:eastAsia="fr-FR"/>
        </w:rPr>
        <w:t>which defines terrorism very broadly</w:t>
      </w:r>
      <w:r w:rsidRPr="00E556AF">
        <w:rPr>
          <w:lang w:eastAsia="fr-FR"/>
        </w:rPr>
        <w:t xml:space="preserve">, provides under its article 4.1 for the mandatory application of death penalty to those convicted for committing or threatening to commit acts of terrorism, including through incitement, planning, aiding and abetting, or financing, a list that goes far beyond the threshold of the internationally recognised definition of “most serious crimes”. This adds to the fact that this law foresees the mandatory application of the death sentence, which is </w:t>
      </w:r>
      <w:r w:rsidRPr="00E556AF">
        <w:rPr>
          <w:i/>
          <w:iCs/>
          <w:lang w:eastAsia="fr-FR"/>
        </w:rPr>
        <w:t>per se</w:t>
      </w:r>
      <w:r w:rsidRPr="00E556AF">
        <w:rPr>
          <w:lang w:eastAsia="fr-FR"/>
        </w:rPr>
        <w:t xml:space="preserve">, contrary to </w:t>
      </w:r>
      <w:r w:rsidR="00762056">
        <w:rPr>
          <w:lang w:eastAsia="fr-FR"/>
        </w:rPr>
        <w:t>I</w:t>
      </w:r>
      <w:r w:rsidRPr="00E556AF">
        <w:rPr>
          <w:lang w:eastAsia="fr-FR"/>
        </w:rPr>
        <w:t xml:space="preserve">nternational </w:t>
      </w:r>
      <w:r w:rsidR="00762056">
        <w:rPr>
          <w:lang w:eastAsia="fr-FR"/>
        </w:rPr>
        <w:t>Human Rights Law S</w:t>
      </w:r>
      <w:r w:rsidRPr="00E556AF">
        <w:rPr>
          <w:lang w:eastAsia="fr-FR"/>
        </w:rPr>
        <w:t xml:space="preserve">tandards. </w:t>
      </w:r>
    </w:p>
    <w:p w:rsidR="003A1CB7" w:rsidRPr="00E556AF" w:rsidRDefault="003A1CB7" w:rsidP="003A1CB7">
      <w:pPr>
        <w:rPr>
          <w:lang w:eastAsia="fr-FR"/>
        </w:rPr>
      </w:pPr>
    </w:p>
    <w:p w:rsidR="003A1CB7" w:rsidRPr="00E556AF" w:rsidRDefault="003A1CB7" w:rsidP="003A1CB7">
      <w:pPr>
        <w:tabs>
          <w:tab w:val="left" w:pos="2640"/>
        </w:tabs>
        <w:rPr>
          <w:lang w:eastAsia="fr-FR"/>
        </w:rPr>
      </w:pPr>
      <w:r w:rsidRPr="00E556AF">
        <w:rPr>
          <w:lang w:eastAsia="fr-FR"/>
        </w:rPr>
        <w:t>On the other hand, according to article 6.2 of the Covenant, the imposition of the death penalty should not be contrary to other provisions enshrined in the ICCPR. The State report claims that guarantees and safeguards in the application of the death penalty exist in national law, in particular in the Code of Criminal Procedure and the Public Prosecutions Act No. 159 of 1979</w:t>
      </w:r>
      <w:r w:rsidRPr="00E556AF">
        <w:rPr>
          <w:vertAlign w:val="superscript"/>
          <w:lang w:eastAsia="fr-FR"/>
        </w:rPr>
        <w:footnoteReference w:id="31"/>
      </w:r>
      <w:r w:rsidRPr="00E556AF">
        <w:rPr>
          <w:lang w:eastAsia="fr-FR"/>
        </w:rPr>
        <w:t xml:space="preserve">. These guarantees </w:t>
      </w:r>
      <w:r w:rsidR="008C2449">
        <w:rPr>
          <w:lang w:eastAsia="fr-FR"/>
        </w:rPr>
        <w:t xml:space="preserve">allegedly </w:t>
      </w:r>
      <w:r w:rsidRPr="00E556AF">
        <w:rPr>
          <w:lang w:eastAsia="fr-FR"/>
        </w:rPr>
        <w:t xml:space="preserve">include subsequent checks, in particular a mandatory review of the court judgement </w:t>
      </w:r>
      <w:proofErr w:type="gramStart"/>
      <w:r w:rsidRPr="00E556AF">
        <w:rPr>
          <w:lang w:eastAsia="fr-FR"/>
        </w:rPr>
        <w:t>imposing</w:t>
      </w:r>
      <w:proofErr w:type="gramEnd"/>
      <w:r w:rsidRPr="00E556AF">
        <w:rPr>
          <w:lang w:eastAsia="fr-FR"/>
        </w:rPr>
        <w:t xml:space="preserve"> the death penalty by a plenary session of the Court of Cassation</w:t>
      </w:r>
      <w:r w:rsidRPr="00E556AF">
        <w:rPr>
          <w:vertAlign w:val="superscript"/>
          <w:lang w:eastAsia="fr-FR"/>
        </w:rPr>
        <w:footnoteReference w:id="32"/>
      </w:r>
      <w:r w:rsidRPr="00E556AF">
        <w:rPr>
          <w:lang w:eastAsia="fr-FR"/>
        </w:rPr>
        <w:t>, the subsequent issuance of the enforcement orders by the Office of the Prime Minister</w:t>
      </w:r>
      <w:r w:rsidRPr="00E556AF">
        <w:rPr>
          <w:vertAlign w:val="superscript"/>
          <w:lang w:eastAsia="fr-FR"/>
        </w:rPr>
        <w:footnoteReference w:id="33"/>
      </w:r>
      <w:r w:rsidRPr="00E556AF">
        <w:rPr>
          <w:lang w:eastAsia="fr-FR"/>
        </w:rPr>
        <w:t xml:space="preserve">, coupled by the ratification by the President of the Republic. </w:t>
      </w:r>
    </w:p>
    <w:p w:rsidR="003A1CB7" w:rsidRPr="00E556AF" w:rsidRDefault="003A1CB7" w:rsidP="003A1CB7">
      <w:pPr>
        <w:tabs>
          <w:tab w:val="left" w:pos="2640"/>
        </w:tabs>
        <w:rPr>
          <w:lang w:eastAsia="fr-FR"/>
        </w:rPr>
      </w:pPr>
    </w:p>
    <w:p w:rsidR="003A1CB7" w:rsidRPr="00E556AF" w:rsidRDefault="003A1CB7" w:rsidP="008C2449">
      <w:pPr>
        <w:tabs>
          <w:tab w:val="left" w:pos="2640"/>
        </w:tabs>
        <w:rPr>
          <w:lang w:eastAsia="fr-FR"/>
        </w:rPr>
      </w:pPr>
      <w:r w:rsidRPr="00E556AF">
        <w:rPr>
          <w:lang w:eastAsia="fr-FR"/>
        </w:rPr>
        <w:t xml:space="preserve">However, and as denounced by a joint </w:t>
      </w:r>
      <w:r w:rsidR="008C2449" w:rsidRPr="00E556AF">
        <w:rPr>
          <w:lang w:eastAsia="fr-FR"/>
        </w:rPr>
        <w:t xml:space="preserve">UNAMI and OHCHR </w:t>
      </w:r>
      <w:r w:rsidRPr="00E556AF">
        <w:rPr>
          <w:lang w:eastAsia="fr-FR"/>
        </w:rPr>
        <w:t>report from October 2014, “once death sentences are handed down by the court at first instance, they are almost never overturned on appeal, and clemency is rarely granted”</w:t>
      </w:r>
      <w:r w:rsidRPr="00E556AF">
        <w:rPr>
          <w:vertAlign w:val="superscript"/>
          <w:lang w:eastAsia="fr-FR"/>
        </w:rPr>
        <w:footnoteReference w:id="34"/>
      </w:r>
      <w:r w:rsidRPr="00E556AF">
        <w:rPr>
          <w:lang w:eastAsia="fr-FR"/>
        </w:rPr>
        <w:t xml:space="preserve">.  </w:t>
      </w:r>
    </w:p>
    <w:p w:rsidR="003A1CB7" w:rsidRPr="00E556AF" w:rsidRDefault="003A1CB7" w:rsidP="003A1CB7">
      <w:pPr>
        <w:tabs>
          <w:tab w:val="left" w:pos="2640"/>
        </w:tabs>
        <w:rPr>
          <w:lang w:eastAsia="fr-FR"/>
        </w:rPr>
      </w:pPr>
    </w:p>
    <w:p w:rsidR="003A1CB7" w:rsidRPr="00E556AF" w:rsidRDefault="003A1CB7" w:rsidP="007C7D3A">
      <w:pPr>
        <w:tabs>
          <w:tab w:val="left" w:pos="3910"/>
        </w:tabs>
        <w:rPr>
          <w:lang w:eastAsia="fr-FR"/>
        </w:rPr>
      </w:pPr>
      <w:r w:rsidRPr="00E556AF">
        <w:rPr>
          <w:lang w:eastAsia="fr-FR"/>
        </w:rPr>
        <w:t xml:space="preserve">The Iraqi authorities also affirm that further guarantees are enshrined in the Iraqi Constitution and Penal Code, </w:t>
      </w:r>
      <w:r w:rsidR="008C2449">
        <w:rPr>
          <w:lang w:eastAsia="fr-FR"/>
        </w:rPr>
        <w:t>referring to</w:t>
      </w:r>
      <w:r w:rsidRPr="00E556AF">
        <w:rPr>
          <w:lang w:eastAsia="fr-FR"/>
        </w:rPr>
        <w:t xml:space="preserve"> the general safeguards against arbitrary detention</w:t>
      </w:r>
      <w:r w:rsidRPr="00E556AF">
        <w:rPr>
          <w:vertAlign w:val="superscript"/>
          <w:lang w:eastAsia="fr-FR"/>
        </w:rPr>
        <w:footnoteReference w:id="35"/>
      </w:r>
      <w:r w:rsidRPr="00E556AF">
        <w:rPr>
          <w:lang w:eastAsia="fr-FR"/>
        </w:rPr>
        <w:t>, fair trial guarantees</w:t>
      </w:r>
      <w:r w:rsidRPr="00E556AF">
        <w:rPr>
          <w:vertAlign w:val="superscript"/>
          <w:lang w:eastAsia="fr-FR"/>
        </w:rPr>
        <w:footnoteReference w:id="36"/>
      </w:r>
      <w:r w:rsidRPr="00E556AF">
        <w:rPr>
          <w:lang w:eastAsia="fr-FR"/>
        </w:rPr>
        <w:t>, as well as general principles of criminal law</w:t>
      </w:r>
      <w:r w:rsidRPr="00E556AF">
        <w:rPr>
          <w:vertAlign w:val="superscript"/>
          <w:lang w:eastAsia="fr-FR"/>
        </w:rPr>
        <w:footnoteReference w:id="37"/>
      </w:r>
      <w:r w:rsidRPr="00E556AF">
        <w:rPr>
          <w:lang w:eastAsia="fr-FR"/>
        </w:rPr>
        <w:t xml:space="preserve">. Nevertheless, as it will be highlighted below, the Iraqi judicial system suffers from major flaws, which include </w:t>
      </w:r>
      <w:r w:rsidR="007C7D3A">
        <w:rPr>
          <w:lang w:eastAsia="fr-FR"/>
        </w:rPr>
        <w:t>the</w:t>
      </w:r>
      <w:r w:rsidRPr="00E556AF">
        <w:rPr>
          <w:lang w:eastAsia="fr-FR"/>
        </w:rPr>
        <w:t xml:space="preserve"> widespread use of torture for the purposes of extracting incriminating statements which will later be admitted as evidence in the course of unfair </w:t>
      </w:r>
      <w:proofErr w:type="gramStart"/>
      <w:r w:rsidRPr="00E556AF">
        <w:rPr>
          <w:lang w:eastAsia="fr-FR"/>
        </w:rPr>
        <w:t>trials</w:t>
      </w:r>
      <w:proofErr w:type="gramEnd"/>
      <w:r w:rsidRPr="00E556AF">
        <w:rPr>
          <w:lang w:eastAsia="fr-FR"/>
        </w:rPr>
        <w:t xml:space="preserve">. Such serious violations acts have the most extreme consequences since they will often lead to the </w:t>
      </w:r>
      <w:r w:rsidR="007C7D3A">
        <w:rPr>
          <w:lang w:eastAsia="fr-FR"/>
        </w:rPr>
        <w:t xml:space="preserve">issuance </w:t>
      </w:r>
      <w:r w:rsidRPr="00E556AF">
        <w:rPr>
          <w:lang w:eastAsia="fr-FR"/>
        </w:rPr>
        <w:t xml:space="preserve">of the death sentence, in violation of articles 6, 9 and article 14 ICCPR altogether. </w:t>
      </w:r>
    </w:p>
    <w:p w:rsidR="003A1CB7" w:rsidRPr="00E556AF" w:rsidRDefault="003A1CB7" w:rsidP="003A1CB7">
      <w:pPr>
        <w:tabs>
          <w:tab w:val="left" w:pos="2640"/>
        </w:tabs>
        <w:rPr>
          <w:lang w:eastAsia="fr-FR"/>
        </w:rPr>
      </w:pPr>
    </w:p>
    <w:p w:rsidR="003A1CB7" w:rsidRPr="00E556AF" w:rsidRDefault="003A1CB7" w:rsidP="003A1CB7">
      <w:pPr>
        <w:tabs>
          <w:tab w:val="left" w:pos="2640"/>
        </w:tabs>
        <w:rPr>
          <w:lang w:eastAsia="fr-FR"/>
        </w:rPr>
      </w:pPr>
      <w:r w:rsidRPr="00E556AF">
        <w:rPr>
          <w:lang w:eastAsia="fr-FR"/>
        </w:rPr>
        <w:t>In addition, a further guarantee enshrined in the ICCPR is that every person sentenced to death has the right to seek clemency, pardon or commutation of the sentence</w:t>
      </w:r>
      <w:r w:rsidRPr="00E556AF">
        <w:rPr>
          <w:vertAlign w:val="superscript"/>
          <w:lang w:eastAsia="fr-FR"/>
        </w:rPr>
        <w:footnoteReference w:id="38"/>
      </w:r>
      <w:r w:rsidRPr="00E556AF">
        <w:rPr>
          <w:lang w:eastAsia="fr-FR"/>
        </w:rPr>
        <w:t xml:space="preserve">. On the contrary, article 75.1 of the Iraqi Constitution prohibits the granting of clemency or pardon for terrorism </w:t>
      </w:r>
      <w:r w:rsidR="00BD1613">
        <w:rPr>
          <w:lang w:eastAsia="fr-FR"/>
        </w:rPr>
        <w:t xml:space="preserve">related </w:t>
      </w:r>
      <w:r w:rsidRPr="00E556AF">
        <w:rPr>
          <w:lang w:eastAsia="fr-FR"/>
        </w:rPr>
        <w:t xml:space="preserve">crimes, in blatant violation of the Covenant. </w:t>
      </w:r>
    </w:p>
    <w:p w:rsidR="003A1CB7" w:rsidRPr="00E556AF" w:rsidRDefault="003A1CB7" w:rsidP="003A1CB7">
      <w:pPr>
        <w:tabs>
          <w:tab w:val="left" w:pos="2640"/>
        </w:tabs>
        <w:rPr>
          <w:lang w:eastAsia="fr-FR"/>
        </w:rPr>
      </w:pPr>
    </w:p>
    <w:p w:rsidR="003A1CB7" w:rsidRPr="00E556AF" w:rsidRDefault="003A1CB7" w:rsidP="00C41991">
      <w:pPr>
        <w:tabs>
          <w:tab w:val="left" w:pos="2640"/>
        </w:tabs>
        <w:rPr>
          <w:lang w:eastAsia="fr-FR"/>
        </w:rPr>
      </w:pPr>
      <w:r w:rsidRPr="00E556AF">
        <w:rPr>
          <w:lang w:eastAsia="fr-FR"/>
        </w:rPr>
        <w:t xml:space="preserve">Finally, the prohibition of the imposition of capital punishment for crimes committed by minors is recognised in article 6.5 ICCPR as well in article 79 of the Iraqi Penal Code. Nevertheless, it is concerning to </w:t>
      </w:r>
      <w:r w:rsidR="00C41991" w:rsidRPr="00E556AF">
        <w:rPr>
          <w:lang w:eastAsia="fr-FR"/>
        </w:rPr>
        <w:t>record</w:t>
      </w:r>
      <w:r w:rsidR="00C41991">
        <w:rPr>
          <w:lang w:eastAsia="fr-FR"/>
        </w:rPr>
        <w:t xml:space="preserve"> that </w:t>
      </w:r>
      <w:r w:rsidRPr="00E556AF">
        <w:rPr>
          <w:lang w:eastAsia="fr-FR"/>
        </w:rPr>
        <w:t xml:space="preserve">this </w:t>
      </w:r>
      <w:r w:rsidR="00C41991">
        <w:rPr>
          <w:lang w:eastAsia="fr-FR"/>
        </w:rPr>
        <w:t>right is not abided by in practice</w:t>
      </w:r>
      <w:r w:rsidRPr="00E556AF">
        <w:rPr>
          <w:lang w:eastAsia="fr-FR"/>
        </w:rPr>
        <w:t xml:space="preserve">. </w:t>
      </w:r>
    </w:p>
    <w:p w:rsidR="003A1CB7" w:rsidRPr="00E556AF" w:rsidRDefault="003A1CB7" w:rsidP="003A1CB7">
      <w:pPr>
        <w:suppressAutoHyphens/>
        <w:spacing w:before="100" w:after="100"/>
        <w:ind w:left="284" w:right="283"/>
        <w:rPr>
          <w:rFonts w:eastAsia="Times New Roman"/>
          <w:lang w:eastAsia="fr-FR"/>
        </w:rPr>
      </w:pPr>
      <w:r w:rsidRPr="00E556AF">
        <w:rPr>
          <w:rFonts w:eastAsia="Times New Roman"/>
          <w:lang w:eastAsia="fr-FR"/>
        </w:rPr>
        <w:t xml:space="preserve">Alkarama documented, for instance, the case of </w:t>
      </w:r>
      <w:proofErr w:type="spellStart"/>
      <w:r w:rsidRPr="00E556AF">
        <w:rPr>
          <w:rFonts w:eastAsia="Times New Roman"/>
          <w:b/>
          <w:bCs/>
          <w:lang w:eastAsia="fr-FR"/>
        </w:rPr>
        <w:t>Saleh</w:t>
      </w:r>
      <w:proofErr w:type="spellEnd"/>
      <w:r w:rsidRPr="00E556AF">
        <w:rPr>
          <w:rFonts w:eastAsia="Times New Roman"/>
          <w:b/>
          <w:bCs/>
          <w:lang w:eastAsia="fr-FR"/>
        </w:rPr>
        <w:t xml:space="preserve"> Musa Ahmed Al </w:t>
      </w:r>
      <w:proofErr w:type="spellStart"/>
      <w:r w:rsidRPr="00E556AF">
        <w:rPr>
          <w:rFonts w:eastAsia="Times New Roman"/>
          <w:b/>
          <w:bCs/>
          <w:lang w:eastAsia="fr-FR"/>
        </w:rPr>
        <w:t>Baydani</w:t>
      </w:r>
      <w:proofErr w:type="spellEnd"/>
      <w:r w:rsidRPr="00E556AF">
        <w:rPr>
          <w:rFonts w:eastAsia="Times New Roman" w:cs="Times New Roman"/>
          <w:vertAlign w:val="superscript"/>
          <w:lang w:eastAsia="fr-FR"/>
        </w:rPr>
        <w:footnoteReference w:id="39"/>
      </w:r>
      <w:r w:rsidRPr="00E556AF">
        <w:rPr>
          <w:rFonts w:eastAsia="Times New Roman"/>
          <w:lang w:eastAsia="fr-FR"/>
        </w:rPr>
        <w:t xml:space="preserve">, a Yemeni citizen who was sentenced to death for a crime he had allegedly committed as a minor. At the time, 17-year-old Al </w:t>
      </w:r>
      <w:proofErr w:type="spellStart"/>
      <w:r w:rsidRPr="00E556AF">
        <w:rPr>
          <w:rFonts w:eastAsia="Times New Roman"/>
          <w:lang w:eastAsia="fr-FR"/>
        </w:rPr>
        <w:t>Baydani</w:t>
      </w:r>
      <w:proofErr w:type="spellEnd"/>
      <w:r w:rsidRPr="00E556AF">
        <w:rPr>
          <w:rFonts w:eastAsia="Times New Roman"/>
          <w:lang w:eastAsia="fr-FR"/>
        </w:rPr>
        <w:t xml:space="preserve"> was arrested by US forces in Tal Afar a district in north western Iraq on 12 August 2009. Subsequently detained in Abu </w:t>
      </w:r>
      <w:proofErr w:type="spellStart"/>
      <w:r w:rsidRPr="00E556AF">
        <w:rPr>
          <w:rFonts w:eastAsia="Times New Roman"/>
          <w:lang w:eastAsia="fr-FR"/>
        </w:rPr>
        <w:t>Ghraib</w:t>
      </w:r>
      <w:proofErr w:type="spellEnd"/>
      <w:r w:rsidRPr="00E556AF">
        <w:rPr>
          <w:rFonts w:eastAsia="Times New Roman"/>
          <w:lang w:eastAsia="fr-FR"/>
        </w:rPr>
        <w:t xml:space="preserve"> Prison for 10 months, he was then transferred to a detention facility in the Green Zone controlled by the Baghdad brigade and then to Baghdad’s central prison, the three detention centres being infamous for the use of torture on inmates.</w:t>
      </w:r>
    </w:p>
    <w:p w:rsidR="003A1CB7" w:rsidRPr="00E556AF" w:rsidRDefault="003A1CB7" w:rsidP="003A1CB7">
      <w:pPr>
        <w:suppressAutoHyphens/>
        <w:spacing w:before="100" w:after="100"/>
        <w:ind w:left="284" w:right="283"/>
        <w:rPr>
          <w:rFonts w:eastAsia="Times New Roman"/>
          <w:lang w:eastAsia="fr-FR"/>
        </w:rPr>
      </w:pPr>
      <w:r w:rsidRPr="00E556AF">
        <w:rPr>
          <w:rFonts w:eastAsia="Times New Roman"/>
          <w:lang w:eastAsia="fr-FR"/>
        </w:rPr>
        <w:t xml:space="preserve">On 18 July 2011, Al </w:t>
      </w:r>
      <w:proofErr w:type="spellStart"/>
      <w:r w:rsidRPr="00E556AF">
        <w:rPr>
          <w:rFonts w:eastAsia="Times New Roman"/>
          <w:lang w:eastAsia="fr-FR"/>
        </w:rPr>
        <w:t>Baydani</w:t>
      </w:r>
      <w:proofErr w:type="spellEnd"/>
      <w:r w:rsidRPr="00E556AF">
        <w:rPr>
          <w:rFonts w:eastAsia="Times New Roman"/>
          <w:lang w:eastAsia="fr-FR"/>
        </w:rPr>
        <w:t xml:space="preserve"> was brought before the Central Criminal Court in Al </w:t>
      </w:r>
      <w:proofErr w:type="spellStart"/>
      <w:r w:rsidRPr="00E556AF">
        <w:rPr>
          <w:rFonts w:eastAsia="Times New Roman"/>
          <w:lang w:eastAsia="fr-FR"/>
        </w:rPr>
        <w:t>Karkh</w:t>
      </w:r>
      <w:proofErr w:type="spellEnd"/>
      <w:r w:rsidRPr="00E556AF">
        <w:rPr>
          <w:rFonts w:eastAsia="Times New Roman"/>
          <w:lang w:eastAsia="fr-FR"/>
        </w:rPr>
        <w:t xml:space="preserve"> where, following a heavily flawed trial, he was sentenced to death on the sole basis of “evidence” obtained under torture for association with a terrorist group under the Anti-terrorism Law, in violation of both Iraqi and international law. </w:t>
      </w:r>
    </w:p>
    <w:p w:rsidR="009B3E9E" w:rsidRDefault="00D75624">
      <w:pPr>
        <w:tabs>
          <w:tab w:val="left" w:pos="2640"/>
        </w:tabs>
        <w:rPr>
          <w:lang w:eastAsia="fr-FR"/>
        </w:rPr>
      </w:pPr>
      <w:r>
        <w:rPr>
          <w:lang w:eastAsia="fr-FR"/>
        </w:rPr>
        <w:t>Finally</w:t>
      </w:r>
      <w:r w:rsidR="003A1CB7" w:rsidRPr="00E556AF">
        <w:rPr>
          <w:lang w:eastAsia="fr-FR"/>
        </w:rPr>
        <w:t xml:space="preserve">, Iraq is not only severely violating article 6 of the Covenant due to the manner death penalty is </w:t>
      </w:r>
      <w:proofErr w:type="gramStart"/>
      <w:r w:rsidR="003A1CB7" w:rsidRPr="00E556AF">
        <w:rPr>
          <w:lang w:eastAsia="fr-FR"/>
        </w:rPr>
        <w:t>administered</w:t>
      </w:r>
      <w:proofErr w:type="gramEnd"/>
      <w:r w:rsidR="003A1CB7" w:rsidRPr="00E556AF">
        <w:rPr>
          <w:lang w:eastAsia="fr-FR"/>
        </w:rPr>
        <w:t>, but also because the authorities</w:t>
      </w:r>
      <w:r w:rsidR="00BD1613">
        <w:rPr>
          <w:lang w:eastAsia="fr-FR"/>
        </w:rPr>
        <w:t xml:space="preserve"> are</w:t>
      </w:r>
      <w:r w:rsidR="003A1CB7" w:rsidRPr="00E556AF">
        <w:rPr>
          <w:lang w:eastAsia="fr-FR"/>
        </w:rPr>
        <w:t xml:space="preserve"> also seeking to speed its application, under the pretext of the current prevailing “exceptional circumstances”. In fact, on 16 June 2015, Iraq’s Cabinet approved an amendment that would allow for the application of executions without the President’s ratification</w:t>
      </w:r>
      <w:r w:rsidR="003A1CB7" w:rsidRPr="00E556AF">
        <w:rPr>
          <w:vertAlign w:val="superscript"/>
          <w:lang w:eastAsia="fr-FR"/>
        </w:rPr>
        <w:footnoteReference w:id="40"/>
      </w:r>
      <w:r w:rsidR="003A1CB7" w:rsidRPr="00E556AF">
        <w:rPr>
          <w:lang w:eastAsia="fr-FR"/>
        </w:rPr>
        <w:t xml:space="preserve">. On the contrary, the Justice Minister could ratify the sentence if the President </w:t>
      </w:r>
      <w:r w:rsidR="00BD1613" w:rsidRPr="00E556AF">
        <w:rPr>
          <w:lang w:eastAsia="fr-FR"/>
        </w:rPr>
        <w:t>d</w:t>
      </w:r>
      <w:r w:rsidR="00BD1613">
        <w:rPr>
          <w:lang w:eastAsia="fr-FR"/>
        </w:rPr>
        <w:t>id</w:t>
      </w:r>
      <w:r w:rsidR="00BD1613" w:rsidRPr="00E556AF">
        <w:rPr>
          <w:lang w:eastAsia="fr-FR"/>
        </w:rPr>
        <w:t xml:space="preserve"> </w:t>
      </w:r>
      <w:r w:rsidR="003A1CB7" w:rsidRPr="00E556AF">
        <w:rPr>
          <w:lang w:eastAsia="fr-FR"/>
        </w:rPr>
        <w:t>not react within the 30 days following the final verdict of the Court of Cassation. This is a particularly concerning development as this amendment would further infringe article 6 ICCPR.</w:t>
      </w:r>
    </w:p>
    <w:p w:rsidR="003A1CB7" w:rsidRPr="00E556AF" w:rsidRDefault="003A1CB7" w:rsidP="003A1CB7">
      <w:pPr>
        <w:rPr>
          <w:lang w:eastAsia="fr-FR"/>
        </w:rPr>
      </w:pPr>
    </w:p>
    <w:p w:rsidR="00BF0356" w:rsidRPr="00EE36F4" w:rsidRDefault="0039530F" w:rsidP="00541DDD">
      <w:pPr>
        <w:pStyle w:val="Titre3"/>
        <w:rPr>
          <w:lang w:val="en-GB"/>
        </w:rPr>
      </w:pPr>
      <w:bookmarkStart w:id="15" w:name="_Toc430939988"/>
      <w:r w:rsidRPr="0039530F">
        <w:rPr>
          <w:lang w:val="en-GB"/>
        </w:rPr>
        <w:t>Extrajudicial executions: reprisals against the civilian population and the excessive use of force during peaceful protests</w:t>
      </w:r>
      <w:bookmarkEnd w:id="15"/>
    </w:p>
    <w:p w:rsidR="00BF0356" w:rsidRPr="00EE36F4" w:rsidRDefault="00BF0356" w:rsidP="00462677">
      <w:pPr>
        <w:rPr>
          <w:lang w:eastAsia="fr-FR"/>
        </w:rPr>
      </w:pPr>
    </w:p>
    <w:p w:rsidR="00BF0356" w:rsidRPr="00EE36F4" w:rsidRDefault="003A1CB7" w:rsidP="00DF75FF">
      <w:pPr>
        <w:rPr>
          <w:lang w:eastAsia="fr-FR"/>
        </w:rPr>
      </w:pPr>
      <w:r w:rsidRPr="00E556AF">
        <w:rPr>
          <w:lang w:eastAsia="fr-FR"/>
        </w:rPr>
        <w:t>It is noteworthy</w:t>
      </w:r>
      <w:r w:rsidR="00E4742B">
        <w:rPr>
          <w:lang w:eastAsia="fr-FR"/>
        </w:rPr>
        <w:t xml:space="preserve"> to recall</w:t>
      </w:r>
      <w:r w:rsidRPr="00E556AF">
        <w:rPr>
          <w:lang w:eastAsia="fr-FR"/>
        </w:rPr>
        <w:t xml:space="preserve"> that the State report </w:t>
      </w:r>
      <w:r w:rsidR="00DF75FF">
        <w:rPr>
          <w:lang w:eastAsia="fr-FR"/>
        </w:rPr>
        <w:t xml:space="preserve">affirms </w:t>
      </w:r>
      <w:r w:rsidRPr="00E556AF">
        <w:rPr>
          <w:lang w:eastAsia="fr-FR"/>
        </w:rPr>
        <w:t>that “in the Republic of Iraq, the only reported cases of extrajudicial executions consist in the indiscriminate homicidal acts committed by criminal and terrorist groups against all sections of Iraqi society”</w:t>
      </w:r>
      <w:r w:rsidRPr="00E556AF">
        <w:rPr>
          <w:vertAlign w:val="superscript"/>
          <w:lang w:eastAsia="fr-FR"/>
        </w:rPr>
        <w:footnoteReference w:id="41"/>
      </w:r>
      <w:r w:rsidRPr="00E556AF">
        <w:rPr>
          <w:lang w:eastAsia="fr-FR"/>
        </w:rPr>
        <w:t>. It is however difficult to see how this could be true, as several cases of extrajudicial executions</w:t>
      </w:r>
      <w:r w:rsidR="00BD1613">
        <w:rPr>
          <w:lang w:eastAsia="fr-FR"/>
        </w:rPr>
        <w:t xml:space="preserve"> –</w:t>
      </w:r>
      <w:r w:rsidRPr="00E556AF">
        <w:rPr>
          <w:lang w:eastAsia="fr-FR"/>
        </w:rPr>
        <w:t xml:space="preserve"> namely the killing committed outside legal or judicial process, that is in contravention of, or simply without, due process of law</w:t>
      </w:r>
      <w:r w:rsidRPr="00E556AF">
        <w:rPr>
          <w:vertAlign w:val="superscript"/>
          <w:lang w:eastAsia="fr-FR"/>
        </w:rPr>
        <w:footnoteReference w:id="42"/>
      </w:r>
      <w:r w:rsidR="00BD1613">
        <w:rPr>
          <w:lang w:eastAsia="fr-FR"/>
        </w:rPr>
        <w:t xml:space="preserve"> –</w:t>
      </w:r>
      <w:r w:rsidRPr="00E556AF">
        <w:rPr>
          <w:lang w:eastAsia="fr-FR"/>
        </w:rPr>
        <w:t xml:space="preserve"> have been documented.</w:t>
      </w:r>
    </w:p>
    <w:p w:rsidR="00E4742B" w:rsidRDefault="00E4742B" w:rsidP="00ED17AA">
      <w:pPr>
        <w:rPr>
          <w:b/>
          <w:bCs/>
          <w:i/>
          <w:iCs/>
          <w:lang w:eastAsia="fr-FR"/>
        </w:rPr>
      </w:pPr>
    </w:p>
    <w:p w:rsidR="00A148AA" w:rsidRPr="00EE36F4" w:rsidRDefault="0039530F" w:rsidP="00ED17AA">
      <w:pPr>
        <w:rPr>
          <w:b/>
          <w:bCs/>
          <w:i/>
          <w:iCs/>
          <w:lang w:eastAsia="fr-FR"/>
        </w:rPr>
      </w:pPr>
      <w:r w:rsidRPr="0039530F">
        <w:rPr>
          <w:b/>
          <w:bCs/>
          <w:i/>
          <w:iCs/>
          <w:lang w:eastAsia="fr-FR"/>
        </w:rPr>
        <w:t xml:space="preserve">Reprisals against the civilian population </w:t>
      </w:r>
    </w:p>
    <w:p w:rsidR="00A148AA" w:rsidRPr="00EE36F4" w:rsidRDefault="00A148AA" w:rsidP="00ED17AA">
      <w:pPr>
        <w:rPr>
          <w:lang w:eastAsia="fr-FR"/>
        </w:rPr>
      </w:pPr>
    </w:p>
    <w:p w:rsidR="003A1CB7" w:rsidRPr="00E556AF" w:rsidRDefault="003A1CB7" w:rsidP="00DF75FF">
      <w:pPr>
        <w:autoSpaceDE w:val="0"/>
        <w:autoSpaceDN w:val="0"/>
        <w:adjustRightInd w:val="0"/>
        <w:rPr>
          <w:color w:val="000000"/>
          <w:lang w:eastAsia="fr-FR"/>
        </w:rPr>
      </w:pPr>
      <w:r w:rsidRPr="00E556AF">
        <w:rPr>
          <w:color w:val="000000"/>
          <w:lang w:eastAsia="fr-FR"/>
        </w:rPr>
        <w:t xml:space="preserve">First, </w:t>
      </w:r>
      <w:proofErr w:type="gramStart"/>
      <w:r w:rsidRPr="00E556AF">
        <w:rPr>
          <w:color w:val="000000"/>
          <w:lang w:eastAsia="fr-FR"/>
        </w:rPr>
        <w:t>cases of extrajudicial killings occurring within the context of fight against IS</w:t>
      </w:r>
      <w:proofErr w:type="gramEnd"/>
      <w:r w:rsidRPr="00E556AF">
        <w:rPr>
          <w:color w:val="000000"/>
          <w:lang w:eastAsia="fr-FR"/>
        </w:rPr>
        <w:t xml:space="preserve"> have been recorded. This is the case, for instance, of the killings</w:t>
      </w:r>
      <w:r w:rsidR="00DF75FF">
        <w:rPr>
          <w:color w:val="000000"/>
          <w:lang w:eastAsia="fr-FR"/>
        </w:rPr>
        <w:t xml:space="preserve"> and attacks</w:t>
      </w:r>
      <w:r w:rsidRPr="00E556AF">
        <w:rPr>
          <w:color w:val="000000"/>
          <w:lang w:eastAsia="fr-FR"/>
        </w:rPr>
        <w:t xml:space="preserve"> perpetrated by the Iraqi Security Forces (ISF) and their associated forces </w:t>
      </w:r>
      <w:r w:rsidR="00DF75FF">
        <w:rPr>
          <w:color w:val="000000"/>
          <w:lang w:eastAsia="fr-FR"/>
        </w:rPr>
        <w:t>as</w:t>
      </w:r>
      <w:r w:rsidRPr="00E556AF">
        <w:rPr>
          <w:color w:val="000000"/>
          <w:lang w:eastAsia="fr-FR"/>
        </w:rPr>
        <w:t xml:space="preserve"> reprisals against persons believed or perceived to support or to be associated with IS, particularly Sunni Arabs</w:t>
      </w:r>
      <w:r w:rsidRPr="00E556AF">
        <w:rPr>
          <w:color w:val="000000"/>
          <w:vertAlign w:val="superscript"/>
          <w:lang w:eastAsia="fr-FR"/>
        </w:rPr>
        <w:footnoteReference w:id="43"/>
      </w:r>
      <w:r w:rsidRPr="00E556AF">
        <w:rPr>
          <w:color w:val="000000"/>
          <w:lang w:eastAsia="fr-FR"/>
        </w:rPr>
        <w:t xml:space="preserve">. </w:t>
      </w:r>
    </w:p>
    <w:p w:rsidR="003A1CB7" w:rsidRPr="00E556AF" w:rsidRDefault="003A1CB7" w:rsidP="003A1CB7">
      <w:pPr>
        <w:autoSpaceDE w:val="0"/>
        <w:autoSpaceDN w:val="0"/>
        <w:adjustRightInd w:val="0"/>
        <w:rPr>
          <w:color w:val="000000"/>
          <w:lang w:eastAsia="fr-FR"/>
        </w:rPr>
      </w:pPr>
    </w:p>
    <w:p w:rsidR="00BF0356" w:rsidRPr="00EE36F4" w:rsidRDefault="003A1CB7" w:rsidP="00284B87">
      <w:r w:rsidRPr="00E556AF">
        <w:rPr>
          <w:color w:val="000000"/>
          <w:lang w:eastAsia="fr-FR"/>
        </w:rPr>
        <w:t xml:space="preserve">For instance, witnesses have reported that on 26 January 2015, following a three-day offensive in which the ISF and affiliated militias captured tens of villages inhabited by Sunni communities from IS control in </w:t>
      </w:r>
      <w:proofErr w:type="spellStart"/>
      <w:r w:rsidRPr="00E556AF">
        <w:rPr>
          <w:color w:val="000000"/>
          <w:lang w:eastAsia="fr-FR"/>
        </w:rPr>
        <w:t>Diyala</w:t>
      </w:r>
      <w:proofErr w:type="spellEnd"/>
      <w:r w:rsidRPr="00E556AF">
        <w:rPr>
          <w:color w:val="000000"/>
          <w:lang w:eastAsia="fr-FR"/>
        </w:rPr>
        <w:t xml:space="preserve"> province, the ISF and their associates entered the village of </w:t>
      </w:r>
      <w:proofErr w:type="spellStart"/>
      <w:r w:rsidRPr="00E556AF">
        <w:rPr>
          <w:color w:val="000000"/>
          <w:lang w:eastAsia="fr-FR"/>
        </w:rPr>
        <w:t>Barwanah</w:t>
      </w:r>
      <w:proofErr w:type="spellEnd"/>
      <w:r w:rsidRPr="00E556AF">
        <w:rPr>
          <w:color w:val="000000"/>
          <w:lang w:eastAsia="fr-FR"/>
        </w:rPr>
        <w:t xml:space="preserve"> and killed at least 70 unarmed civilians, among which several children</w:t>
      </w:r>
      <w:r w:rsidRPr="00E556AF">
        <w:rPr>
          <w:color w:val="000000"/>
          <w:vertAlign w:val="superscript"/>
          <w:lang w:eastAsia="fr-FR"/>
        </w:rPr>
        <w:footnoteReference w:id="44"/>
      </w:r>
      <w:r w:rsidRPr="00E556AF">
        <w:rPr>
          <w:color w:val="000000"/>
          <w:lang w:eastAsia="fr-FR"/>
        </w:rPr>
        <w:t xml:space="preserve">. Following the request of </w:t>
      </w:r>
      <w:r w:rsidRPr="00E556AF">
        <w:rPr>
          <w:color w:val="000000"/>
          <w:shd w:val="clear" w:color="auto" w:fill="FFFFFF"/>
          <w:lang w:eastAsia="fr-FR"/>
        </w:rPr>
        <w:t xml:space="preserve">Iraqi Prime Minister </w:t>
      </w:r>
      <w:proofErr w:type="spellStart"/>
      <w:r w:rsidRPr="00E556AF">
        <w:rPr>
          <w:color w:val="000000"/>
          <w:shd w:val="clear" w:color="auto" w:fill="FFFFFF"/>
          <w:lang w:eastAsia="fr-FR"/>
        </w:rPr>
        <w:t>Haider</w:t>
      </w:r>
      <w:proofErr w:type="spellEnd"/>
      <w:r w:rsidRPr="00E556AF">
        <w:rPr>
          <w:color w:val="000000"/>
          <w:shd w:val="clear" w:color="auto" w:fill="FFFFFF"/>
          <w:lang w:eastAsia="fr-FR"/>
        </w:rPr>
        <w:t xml:space="preserve"> Al-</w:t>
      </w:r>
      <w:proofErr w:type="spellStart"/>
      <w:r w:rsidRPr="00E556AF">
        <w:rPr>
          <w:color w:val="000000"/>
          <w:shd w:val="clear" w:color="auto" w:fill="FFFFFF"/>
          <w:lang w:eastAsia="fr-FR"/>
        </w:rPr>
        <w:t>Abadi</w:t>
      </w:r>
      <w:proofErr w:type="spellEnd"/>
      <w:r w:rsidRPr="00E556AF">
        <w:rPr>
          <w:color w:val="000000"/>
          <w:shd w:val="clear" w:color="auto" w:fill="FFFFFF"/>
          <w:lang w:eastAsia="fr-FR"/>
        </w:rPr>
        <w:t xml:space="preserve"> o</w:t>
      </w:r>
      <w:r w:rsidRPr="00E556AF">
        <w:rPr>
          <w:color w:val="000000"/>
        </w:rPr>
        <w:t>n 5 February 2015, a joint committee headed by the Minister of Defence was established by the Government and Council of Representatives to investigate the allegations of unlawful killing</w:t>
      </w:r>
      <w:r w:rsidR="00DF75FF">
        <w:rPr>
          <w:color w:val="000000"/>
        </w:rPr>
        <w:t>s</w:t>
      </w:r>
      <w:r w:rsidRPr="00E556AF">
        <w:rPr>
          <w:color w:val="000000"/>
        </w:rPr>
        <w:t xml:space="preserve"> of civilians. </w:t>
      </w:r>
      <w:r w:rsidR="00284B87">
        <w:rPr>
          <w:color w:val="000000"/>
        </w:rPr>
        <w:t>O</w:t>
      </w:r>
      <w:r w:rsidR="00284B87" w:rsidRPr="00E556AF">
        <w:rPr>
          <w:color w:val="000000"/>
        </w:rPr>
        <w:t>n 20 March 2015</w:t>
      </w:r>
      <w:r w:rsidR="00284B87">
        <w:rPr>
          <w:color w:val="000000"/>
        </w:rPr>
        <w:t xml:space="preserve">, </w:t>
      </w:r>
      <w:r w:rsidR="00284B87" w:rsidRPr="00E556AF">
        <w:rPr>
          <w:color w:val="000000"/>
        </w:rPr>
        <w:t xml:space="preserve">the Speaker of the Council of Representatives, Dr </w:t>
      </w:r>
      <w:proofErr w:type="spellStart"/>
      <w:r w:rsidR="00284B87" w:rsidRPr="00E556AF">
        <w:rPr>
          <w:color w:val="000000"/>
        </w:rPr>
        <w:t>Salim</w:t>
      </w:r>
      <w:proofErr w:type="spellEnd"/>
      <w:r w:rsidR="00284B87" w:rsidRPr="00E556AF">
        <w:rPr>
          <w:color w:val="000000"/>
        </w:rPr>
        <w:t xml:space="preserve"> Al-</w:t>
      </w:r>
      <w:proofErr w:type="spellStart"/>
      <w:r w:rsidR="00284B87" w:rsidRPr="00E556AF">
        <w:rPr>
          <w:color w:val="000000"/>
        </w:rPr>
        <w:t>Jabouri</w:t>
      </w:r>
      <w:proofErr w:type="spellEnd"/>
      <w:r w:rsidR="00284B87" w:rsidRPr="00E556AF">
        <w:rPr>
          <w:color w:val="000000"/>
        </w:rPr>
        <w:t>,</w:t>
      </w:r>
      <w:r w:rsidR="00284B87">
        <w:rPr>
          <w:color w:val="000000"/>
        </w:rPr>
        <w:t xml:space="preserve"> </w:t>
      </w:r>
      <w:proofErr w:type="spellStart"/>
      <w:r w:rsidR="00284B87">
        <w:rPr>
          <w:color w:val="000000"/>
        </w:rPr>
        <w:t>anonounced</w:t>
      </w:r>
      <w:proofErr w:type="spellEnd"/>
      <w:r w:rsidRPr="00E556AF">
        <w:rPr>
          <w:color w:val="000000"/>
        </w:rPr>
        <w:t xml:space="preserve"> its findings </w:t>
      </w:r>
      <w:r w:rsidR="00284B87">
        <w:rPr>
          <w:color w:val="000000"/>
        </w:rPr>
        <w:t>and</w:t>
      </w:r>
      <w:r w:rsidRPr="00E556AF">
        <w:rPr>
          <w:color w:val="000000"/>
        </w:rPr>
        <w:t xml:space="preserve"> referred the report to the Council of Representatives’ Security and Defence Committee for review.</w:t>
      </w:r>
      <w:r w:rsidR="00284B87">
        <w:rPr>
          <w:color w:val="000000"/>
        </w:rPr>
        <w:t xml:space="preserve"> However,</w:t>
      </w:r>
      <w:r w:rsidRPr="00E556AF">
        <w:rPr>
          <w:color w:val="000000"/>
        </w:rPr>
        <w:t xml:space="preserve"> </w:t>
      </w:r>
      <w:r w:rsidR="00284B87">
        <w:rPr>
          <w:color w:val="000000"/>
        </w:rPr>
        <w:t>to date,</w:t>
      </w:r>
      <w:r w:rsidRPr="00E556AF">
        <w:rPr>
          <w:color w:val="000000"/>
        </w:rPr>
        <w:t xml:space="preserve"> the Committee’s findings have still not been published</w:t>
      </w:r>
      <w:r w:rsidRPr="00E556AF">
        <w:rPr>
          <w:color w:val="000000"/>
          <w:vertAlign w:val="superscript"/>
        </w:rPr>
        <w:footnoteReference w:id="45"/>
      </w:r>
      <w:r w:rsidRPr="00E556AF">
        <w:rPr>
          <w:color w:val="000000"/>
        </w:rPr>
        <w:t>.</w:t>
      </w:r>
    </w:p>
    <w:p w:rsidR="00E4742B" w:rsidRDefault="00E4742B" w:rsidP="00541DDD">
      <w:pPr>
        <w:rPr>
          <w:b/>
          <w:bCs/>
          <w:i/>
          <w:iCs/>
        </w:rPr>
      </w:pPr>
    </w:p>
    <w:p w:rsidR="00A148AA" w:rsidRPr="00EE36F4" w:rsidRDefault="0039530F" w:rsidP="00541DDD">
      <w:pPr>
        <w:rPr>
          <w:b/>
          <w:bCs/>
          <w:i/>
          <w:iCs/>
        </w:rPr>
      </w:pPr>
      <w:r w:rsidRPr="0039530F">
        <w:rPr>
          <w:b/>
          <w:bCs/>
          <w:i/>
          <w:iCs/>
        </w:rPr>
        <w:t>Excessive use of force during peaceful protests</w:t>
      </w:r>
    </w:p>
    <w:p w:rsidR="00A148AA" w:rsidRPr="00EE36F4" w:rsidRDefault="00A148AA" w:rsidP="00FC1213">
      <w:pPr>
        <w:rPr>
          <w:b/>
          <w:bCs/>
          <w:i/>
          <w:iCs/>
          <w:lang w:eastAsia="fr-FR"/>
        </w:rPr>
      </w:pPr>
    </w:p>
    <w:p w:rsidR="003A1CB7" w:rsidRPr="00E556AF" w:rsidRDefault="003A1CB7" w:rsidP="003A1CB7">
      <w:pPr>
        <w:rPr>
          <w:lang w:eastAsia="fr-FR"/>
        </w:rPr>
      </w:pPr>
      <w:r w:rsidRPr="00E556AF">
        <w:rPr>
          <w:lang w:eastAsia="fr-FR"/>
        </w:rPr>
        <w:t>Violations of the right to life in Iraq are also</w:t>
      </w:r>
      <w:r w:rsidR="00284B87">
        <w:rPr>
          <w:lang w:eastAsia="fr-FR"/>
        </w:rPr>
        <w:t xml:space="preserve"> constituted by</w:t>
      </w:r>
      <w:r w:rsidRPr="00E556AF">
        <w:rPr>
          <w:lang w:eastAsia="fr-FR"/>
        </w:rPr>
        <w:t xml:space="preserve"> the deaths caused by the excessive use of force systematically employed against peaceful protestors. </w:t>
      </w:r>
    </w:p>
    <w:p w:rsidR="003A1CB7" w:rsidRPr="00E556AF" w:rsidRDefault="003A1CB7" w:rsidP="003A1CB7">
      <w:pPr>
        <w:rPr>
          <w:lang w:eastAsia="fr-FR"/>
        </w:rPr>
      </w:pPr>
    </w:p>
    <w:p w:rsidR="009B3E9E" w:rsidRDefault="003A1CB7">
      <w:pPr>
        <w:rPr>
          <w:lang w:eastAsia="fr-FR"/>
        </w:rPr>
      </w:pPr>
      <w:r w:rsidRPr="00E556AF">
        <w:rPr>
          <w:lang w:eastAsia="fr-FR"/>
        </w:rPr>
        <w:t>For example, on 23 April 2013, the Iraqi Armed Forces lead by the 12</w:t>
      </w:r>
      <w:r w:rsidRPr="00E556AF">
        <w:rPr>
          <w:vertAlign w:val="superscript"/>
          <w:lang w:eastAsia="fr-FR"/>
        </w:rPr>
        <w:t>th</w:t>
      </w:r>
      <w:r w:rsidRPr="00E556AF">
        <w:rPr>
          <w:lang w:eastAsia="fr-FR"/>
        </w:rPr>
        <w:t xml:space="preserve"> Division of the Army, military and police divisions as well as the Special Weapons and Tactics Units (SWATs) – </w:t>
      </w:r>
      <w:r w:rsidRPr="00E556AF">
        <w:t>a special security force that has considerably strengthened since its creation by the US Army during the occupation</w:t>
      </w:r>
      <w:r w:rsidRPr="00E556AF">
        <w:rPr>
          <w:lang w:eastAsia="fr-FR"/>
        </w:rPr>
        <w:t xml:space="preserve"> – attacked protestor</w:t>
      </w:r>
      <w:r w:rsidR="00BD1613">
        <w:rPr>
          <w:lang w:eastAsia="fr-FR"/>
        </w:rPr>
        <w:t>s</w:t>
      </w:r>
      <w:r w:rsidRPr="00E556AF">
        <w:rPr>
          <w:lang w:eastAsia="fr-FR"/>
        </w:rPr>
        <w:t xml:space="preserve"> in </w:t>
      </w:r>
      <w:proofErr w:type="spellStart"/>
      <w:r w:rsidRPr="00E556AF">
        <w:rPr>
          <w:lang w:eastAsia="fr-FR"/>
        </w:rPr>
        <w:t>Hawijah</w:t>
      </w:r>
      <w:proofErr w:type="spellEnd"/>
      <w:r w:rsidRPr="00E556AF">
        <w:rPr>
          <w:lang w:eastAsia="fr-FR"/>
        </w:rPr>
        <w:t>, a town west of Kirkuk. According to the account of witnesses, the forces employed tear gas, stun grenades, and live ammunition in an operation that caused the death of 91 persons</w:t>
      </w:r>
      <w:r w:rsidRPr="00E556AF">
        <w:rPr>
          <w:vertAlign w:val="superscript"/>
          <w:lang w:eastAsia="fr-FR"/>
        </w:rPr>
        <w:footnoteReference w:id="46"/>
      </w:r>
      <w:r w:rsidRPr="00E556AF">
        <w:rPr>
          <w:lang w:eastAsia="fr-FR"/>
        </w:rPr>
        <w:t>. The 23 death certificates Alkarama could collect report</w:t>
      </w:r>
      <w:r w:rsidR="00BD1613">
        <w:rPr>
          <w:lang w:eastAsia="fr-FR"/>
        </w:rPr>
        <w:t>s of</w:t>
      </w:r>
      <w:r w:rsidRPr="00E556AF">
        <w:rPr>
          <w:lang w:eastAsia="fr-FR"/>
        </w:rPr>
        <w:t xml:space="preserve"> bullet wounds on various parts of the killed men, indicating that military and police forces did use live ammunition against unarmed protestors, clearly using excessive force against them</w:t>
      </w:r>
      <w:r w:rsidRPr="00E556AF">
        <w:rPr>
          <w:vertAlign w:val="superscript"/>
          <w:lang w:eastAsia="fr-FR"/>
        </w:rPr>
        <w:footnoteReference w:id="47"/>
      </w:r>
      <w:r w:rsidRPr="00E556AF">
        <w:rPr>
          <w:lang w:eastAsia="fr-FR"/>
        </w:rPr>
        <w:t xml:space="preserve">. The Parliamentary Fact-Finding Committee formed immediately after the incident recommended that an independent investigation into the incident </w:t>
      </w:r>
      <w:proofErr w:type="gramStart"/>
      <w:r w:rsidRPr="00E556AF">
        <w:rPr>
          <w:lang w:eastAsia="fr-FR"/>
        </w:rPr>
        <w:t>be</w:t>
      </w:r>
      <w:proofErr w:type="gramEnd"/>
      <w:r w:rsidRPr="00E556AF">
        <w:rPr>
          <w:lang w:eastAsia="fr-FR"/>
        </w:rPr>
        <w:t xml:space="preserve"> carried out and that judicial proceedings be initiated. Therefore, on 13 May 2013, a Supervising Investigative Judicial Commission was established through an order from the Iraqi Supreme Judicial Council. Although the Commission has received 500 complaints from the families of the victims, the Ministry of Defence continues to refuse the referral of Military Personnel to justice, so that as of today no result has come from the inquiry</w:t>
      </w:r>
      <w:r w:rsidRPr="00E556AF">
        <w:rPr>
          <w:vertAlign w:val="superscript"/>
          <w:lang w:eastAsia="fr-FR"/>
        </w:rPr>
        <w:footnoteReference w:id="48"/>
      </w:r>
      <w:r w:rsidRPr="00E556AF">
        <w:rPr>
          <w:lang w:eastAsia="fr-FR"/>
        </w:rPr>
        <w:t xml:space="preserve">. </w:t>
      </w:r>
    </w:p>
    <w:p w:rsidR="003A1CB7" w:rsidRPr="00E556AF" w:rsidRDefault="003A1CB7" w:rsidP="003A1CB7">
      <w:pPr>
        <w:rPr>
          <w:lang w:eastAsia="fr-FR"/>
        </w:rPr>
      </w:pPr>
    </w:p>
    <w:p w:rsidR="003A1CB7" w:rsidRPr="00E556AF" w:rsidRDefault="003A1CB7" w:rsidP="00AE129C">
      <w:pPr>
        <w:rPr>
          <w:lang w:eastAsia="fr-FR"/>
        </w:rPr>
      </w:pPr>
      <w:r w:rsidRPr="00E556AF">
        <w:rPr>
          <w:lang w:eastAsia="fr-FR"/>
        </w:rPr>
        <w:t>Similarly, on 30 December 2013</w:t>
      </w:r>
      <w:r w:rsidR="00AE129C">
        <w:rPr>
          <w:lang w:eastAsia="fr-FR"/>
        </w:rPr>
        <w:t>,</w:t>
      </w:r>
      <w:r w:rsidRPr="00E556AF">
        <w:rPr>
          <w:lang w:eastAsia="fr-FR"/>
        </w:rPr>
        <w:t xml:space="preserve"> hundreds of security force personnel, among which the SWAT forces with armoured vehicles, descended on the </w:t>
      </w:r>
      <w:proofErr w:type="spellStart"/>
      <w:r w:rsidRPr="00E556AF">
        <w:rPr>
          <w:lang w:eastAsia="fr-FR"/>
        </w:rPr>
        <w:t>Ramadi</w:t>
      </w:r>
      <w:proofErr w:type="spellEnd"/>
      <w:r w:rsidRPr="00E556AF">
        <w:rPr>
          <w:lang w:eastAsia="fr-FR"/>
        </w:rPr>
        <w:t xml:space="preserve"> protest camp, where hundreds of Sunnis had been protesting in a one-year long sit-in against the government’s use of abusive counterterrorism measures and opened fire on the protesters, leaving at least 17 dea</w:t>
      </w:r>
      <w:r w:rsidR="00BD1613">
        <w:rPr>
          <w:lang w:eastAsia="fr-FR"/>
        </w:rPr>
        <w:t>d</w:t>
      </w:r>
      <w:r w:rsidRPr="00E556AF">
        <w:rPr>
          <w:lang w:eastAsia="fr-FR"/>
        </w:rPr>
        <w:t xml:space="preserve"> and ten wounded</w:t>
      </w:r>
      <w:r w:rsidRPr="00E556AF">
        <w:rPr>
          <w:vertAlign w:val="superscript"/>
          <w:lang w:eastAsia="fr-FR"/>
        </w:rPr>
        <w:footnoteReference w:id="49"/>
      </w:r>
      <w:r w:rsidRPr="00E556AF">
        <w:rPr>
          <w:lang w:eastAsia="fr-FR"/>
        </w:rPr>
        <w:t xml:space="preserve">. </w:t>
      </w:r>
      <w:r w:rsidR="00AE129C">
        <w:rPr>
          <w:lang w:eastAsia="fr-FR"/>
        </w:rPr>
        <w:t>T</w:t>
      </w:r>
      <w:r w:rsidRPr="00E556AF">
        <w:rPr>
          <w:lang w:eastAsia="fr-FR"/>
        </w:rPr>
        <w:t>he speaker of Iraqi Parliament, Osama al-</w:t>
      </w:r>
      <w:proofErr w:type="spellStart"/>
      <w:r w:rsidRPr="00E556AF">
        <w:rPr>
          <w:lang w:eastAsia="fr-FR"/>
        </w:rPr>
        <w:t>Nujaifi</w:t>
      </w:r>
      <w:proofErr w:type="spellEnd"/>
      <w:r w:rsidRPr="00E556AF">
        <w:rPr>
          <w:lang w:eastAsia="fr-FR"/>
        </w:rPr>
        <w:t>, head of the Sunni “</w:t>
      </w:r>
      <w:proofErr w:type="spellStart"/>
      <w:r w:rsidRPr="00E556AF">
        <w:rPr>
          <w:lang w:eastAsia="fr-FR"/>
        </w:rPr>
        <w:t>Mutahidun</w:t>
      </w:r>
      <w:proofErr w:type="spellEnd"/>
      <w:r w:rsidRPr="00E556AF">
        <w:rPr>
          <w:lang w:eastAsia="fr-FR"/>
        </w:rPr>
        <w:t>” block, stated</w:t>
      </w:r>
      <w:r w:rsidR="00BD1613">
        <w:rPr>
          <w:lang w:eastAsia="fr-FR"/>
        </w:rPr>
        <w:t xml:space="preserve"> that</w:t>
      </w:r>
      <w:r w:rsidRPr="00E556AF">
        <w:rPr>
          <w:lang w:eastAsia="fr-FR"/>
        </w:rPr>
        <w:t xml:space="preserve"> he had sent a parliamentary committee to investigate the attack on the </w:t>
      </w:r>
      <w:proofErr w:type="spellStart"/>
      <w:r w:rsidRPr="00E556AF">
        <w:rPr>
          <w:lang w:eastAsia="fr-FR"/>
        </w:rPr>
        <w:t>Ramadi</w:t>
      </w:r>
      <w:proofErr w:type="spellEnd"/>
      <w:r w:rsidRPr="00E556AF">
        <w:rPr>
          <w:lang w:eastAsia="fr-FR"/>
        </w:rPr>
        <w:t xml:space="preserve"> square, but that forces from </w:t>
      </w:r>
      <w:r w:rsidR="00AE129C">
        <w:rPr>
          <w:lang w:eastAsia="fr-FR"/>
        </w:rPr>
        <w:t xml:space="preserve">the </w:t>
      </w:r>
      <w:r w:rsidRPr="00E556AF">
        <w:rPr>
          <w:lang w:eastAsia="fr-FR"/>
        </w:rPr>
        <w:t xml:space="preserve">Baghdad Operations Command prevented the committee from entering </w:t>
      </w:r>
      <w:proofErr w:type="spellStart"/>
      <w:r w:rsidRPr="00E556AF">
        <w:rPr>
          <w:lang w:eastAsia="fr-FR"/>
        </w:rPr>
        <w:t>Anbar</w:t>
      </w:r>
      <w:proofErr w:type="spellEnd"/>
      <w:r w:rsidRPr="00E556AF">
        <w:rPr>
          <w:lang w:eastAsia="fr-FR"/>
        </w:rPr>
        <w:t xml:space="preserve"> province on orders from Prime Minister </w:t>
      </w:r>
      <w:r w:rsidR="00E4742B">
        <w:rPr>
          <w:lang w:eastAsia="fr-FR"/>
        </w:rPr>
        <w:t>Al-</w:t>
      </w:r>
      <w:proofErr w:type="spellStart"/>
      <w:r w:rsidRPr="00E556AF">
        <w:rPr>
          <w:lang w:eastAsia="fr-FR"/>
        </w:rPr>
        <w:t>Maliki</w:t>
      </w:r>
      <w:proofErr w:type="spellEnd"/>
      <w:r w:rsidRPr="00E556AF">
        <w:rPr>
          <w:vertAlign w:val="superscript"/>
          <w:lang w:eastAsia="fr-FR"/>
        </w:rPr>
        <w:footnoteReference w:id="50"/>
      </w:r>
      <w:r w:rsidRPr="00E556AF">
        <w:rPr>
          <w:lang w:eastAsia="fr-FR"/>
        </w:rPr>
        <w:t>. There is no other information available at the time of writing concerning other attempts to investigate the death</w:t>
      </w:r>
      <w:r w:rsidR="00BD1613">
        <w:rPr>
          <w:lang w:eastAsia="fr-FR"/>
        </w:rPr>
        <w:t>s</w:t>
      </w:r>
      <w:r w:rsidRPr="00E556AF">
        <w:rPr>
          <w:lang w:eastAsia="fr-FR"/>
        </w:rPr>
        <w:t xml:space="preserve"> caused by the excessive use of force employed against pacific protestors. </w:t>
      </w:r>
    </w:p>
    <w:p w:rsidR="00BF0356" w:rsidRPr="00EE36F4" w:rsidRDefault="00BF0356" w:rsidP="00867B46">
      <w:pPr>
        <w:jc w:val="left"/>
      </w:pPr>
    </w:p>
    <w:p w:rsidR="00BF0356" w:rsidRPr="00EE36F4" w:rsidRDefault="0039530F" w:rsidP="002822D5">
      <w:pPr>
        <w:rPr>
          <w:b/>
          <w:bCs/>
          <w:i/>
          <w:iCs/>
          <w:lang w:eastAsia="fr-FR"/>
        </w:rPr>
      </w:pPr>
      <w:r w:rsidRPr="0039530F">
        <w:rPr>
          <w:b/>
          <w:bCs/>
          <w:i/>
          <w:iCs/>
          <w:lang w:eastAsia="fr-FR"/>
        </w:rPr>
        <w:t xml:space="preserve">Recommendations: </w:t>
      </w:r>
    </w:p>
    <w:p w:rsidR="00364BD1" w:rsidRPr="00EE36F4" w:rsidRDefault="00364BD1" w:rsidP="002822D5">
      <w:pPr>
        <w:rPr>
          <w:lang w:eastAsia="fr-FR"/>
        </w:rPr>
      </w:pPr>
      <w:r w:rsidRPr="00EE36F4">
        <w:rPr>
          <w:lang w:eastAsia="fr-FR"/>
        </w:rPr>
        <w:t xml:space="preserve"> </w:t>
      </w:r>
    </w:p>
    <w:p w:rsidR="003A1CB7" w:rsidRPr="00E556AF" w:rsidRDefault="003A1CB7" w:rsidP="00AE129C">
      <w:pPr>
        <w:numPr>
          <w:ilvl w:val="0"/>
          <w:numId w:val="34"/>
        </w:numPr>
        <w:contextualSpacing/>
        <w:rPr>
          <w:lang w:eastAsia="fr-FR"/>
        </w:rPr>
      </w:pPr>
      <w:r w:rsidRPr="00E556AF">
        <w:t>Place an immediate stay on all pending death sentences and issue a public and permanent moratorium on the death penalty, in view of its full abolition by ratifying the Second Optional Protocol to the International Covenant on Civil and Political Rights;</w:t>
      </w:r>
    </w:p>
    <w:p w:rsidR="00BD1613" w:rsidRDefault="003A1CB7">
      <w:pPr>
        <w:numPr>
          <w:ilvl w:val="0"/>
          <w:numId w:val="34"/>
        </w:numPr>
        <w:contextualSpacing/>
        <w:rPr>
          <w:lang w:eastAsia="fr-FR"/>
        </w:rPr>
      </w:pPr>
      <w:r w:rsidRPr="00E556AF">
        <w:rPr>
          <w:lang w:eastAsia="fr-FR"/>
        </w:rPr>
        <w:t xml:space="preserve">Pending full abolition, undertake an independent, full and comprehensive review of all relevant laws, rules and procedures involved in the administration of the death penalty and </w:t>
      </w:r>
      <w:r w:rsidR="00521F53">
        <w:rPr>
          <w:lang w:eastAsia="fr-FR"/>
        </w:rPr>
        <w:t>review</w:t>
      </w:r>
      <w:r w:rsidR="00521F53" w:rsidRPr="00E556AF">
        <w:rPr>
          <w:lang w:eastAsia="fr-FR"/>
        </w:rPr>
        <w:t xml:space="preserve"> </w:t>
      </w:r>
      <w:r w:rsidRPr="00E556AF">
        <w:rPr>
          <w:lang w:eastAsia="fr-FR"/>
        </w:rPr>
        <w:t>their compliance with the ICCPR in order to ensure that capital punishment is provided only for the most serious crimes, that the mandatory appliance of the death penalty for all “terrorist crimes” be abolished, that convicted have an actual right to seek for pardon and clemency and that the prohibition of the application of the death penalty on minors is respected;</w:t>
      </w:r>
    </w:p>
    <w:p w:rsidR="00BD1613" w:rsidRDefault="003A1CB7">
      <w:pPr>
        <w:numPr>
          <w:ilvl w:val="0"/>
          <w:numId w:val="34"/>
        </w:numPr>
        <w:contextualSpacing/>
        <w:rPr>
          <w:rFonts w:ascii="Calibri" w:hAnsi="Calibri" w:cs="Calibri"/>
          <w:color w:val="000000"/>
        </w:rPr>
      </w:pPr>
      <w:r w:rsidRPr="00E556AF">
        <w:rPr>
          <w:color w:val="000000"/>
        </w:rPr>
        <w:t>Ensure that International Humanitarian Law and International Human Rights Law are fully respected in the context of the fight against IS and especially protect the right of civilians who must not be victims of acts of sectarian retaliation;</w:t>
      </w:r>
    </w:p>
    <w:p w:rsidR="003A1CB7" w:rsidRPr="00E556AF" w:rsidRDefault="003A1CB7" w:rsidP="003A1CB7">
      <w:pPr>
        <w:numPr>
          <w:ilvl w:val="0"/>
          <w:numId w:val="34"/>
        </w:numPr>
        <w:contextualSpacing/>
        <w:rPr>
          <w:color w:val="000000"/>
        </w:rPr>
      </w:pPr>
      <w:r w:rsidRPr="00E556AF">
        <w:rPr>
          <w:color w:val="000000"/>
        </w:rPr>
        <w:t>Ensure that law enforcement officials refrain from resorting to excessive use of force and comply with the Code of Conduct for Law Enforcement Officials and the Basic Principles on the Use of Force and Firearms by Law Enforcement Officials;</w:t>
      </w:r>
    </w:p>
    <w:p w:rsidR="003A1CB7" w:rsidRDefault="003A1CB7" w:rsidP="003A1CB7">
      <w:pPr>
        <w:numPr>
          <w:ilvl w:val="0"/>
          <w:numId w:val="34"/>
        </w:numPr>
        <w:contextualSpacing/>
        <w:rPr>
          <w:color w:val="000000"/>
        </w:rPr>
      </w:pPr>
      <w:r w:rsidRPr="00E556AF">
        <w:rPr>
          <w:color w:val="000000"/>
        </w:rPr>
        <w:t>Investigate effectively, promptly, thoroughly and impartially all allegations of violations or abuses of international human rights law and violations of international humanitarian law includ</w:t>
      </w:r>
      <w:r w:rsidR="00BD1613">
        <w:rPr>
          <w:color w:val="000000"/>
        </w:rPr>
        <w:t>ing</w:t>
      </w:r>
      <w:r w:rsidRPr="00E556AF">
        <w:rPr>
          <w:color w:val="000000"/>
        </w:rPr>
        <w:t xml:space="preserve"> those committed by government-backed militias, and where appropriate, prosecute those responsible and provide an effective remedy to the victims.</w:t>
      </w:r>
    </w:p>
    <w:p w:rsidR="00E4742B" w:rsidRDefault="00E4742B" w:rsidP="00E4742B">
      <w:pPr>
        <w:contextualSpacing/>
        <w:rPr>
          <w:color w:val="000000"/>
        </w:rPr>
      </w:pPr>
    </w:p>
    <w:p w:rsidR="009B3E9E" w:rsidRDefault="00BF0356">
      <w:pPr>
        <w:pStyle w:val="Paragraphedeliste"/>
        <w:ind w:left="0"/>
        <w:rPr>
          <w:lang w:eastAsia="fr-FR"/>
        </w:rPr>
      </w:pPr>
      <w:r w:rsidRPr="00EE36F4">
        <w:rPr>
          <w:lang w:eastAsia="fr-FR"/>
        </w:rPr>
        <w:t xml:space="preserve">   </w:t>
      </w:r>
    </w:p>
    <w:p w:rsidR="00BF0356" w:rsidRPr="00EE36F4" w:rsidRDefault="0039530F" w:rsidP="00612D22">
      <w:pPr>
        <w:pStyle w:val="Titre2"/>
        <w:rPr>
          <w:lang w:val="en-GB"/>
        </w:rPr>
      </w:pPr>
      <w:bookmarkStart w:id="16" w:name="_Toc430939989"/>
      <w:r w:rsidRPr="0039530F">
        <w:rPr>
          <w:lang w:val="en-GB"/>
        </w:rPr>
        <w:t>The Right to Physical Integrity and the Prohibition of Torture and Other Cruel, Inhuman or Degrading Treatment or Punishment (Articles 7 and 10)</w:t>
      </w:r>
      <w:bookmarkEnd w:id="16"/>
    </w:p>
    <w:p w:rsidR="00BF0356" w:rsidRPr="00EE36F4" w:rsidRDefault="00BF0356" w:rsidP="00261D85"/>
    <w:p w:rsidR="003A1CB7" w:rsidRPr="00E556AF" w:rsidRDefault="003A1CB7" w:rsidP="00521F53">
      <w:pPr>
        <w:rPr>
          <w:lang w:eastAsia="fr-FR"/>
        </w:rPr>
      </w:pPr>
      <w:r w:rsidRPr="00E556AF">
        <w:rPr>
          <w:lang w:eastAsia="fr-FR"/>
        </w:rPr>
        <w:t>The State report submitted by Iraq to the Committee affirms that acts of torture occurring in Iraq do not constitute a systematic practice</w:t>
      </w:r>
      <w:r w:rsidRPr="00E556AF">
        <w:rPr>
          <w:vertAlign w:val="superscript"/>
          <w:lang w:eastAsia="fr-FR"/>
        </w:rPr>
        <w:footnoteReference w:id="51"/>
      </w:r>
      <w:r w:rsidRPr="00E556AF">
        <w:rPr>
          <w:lang w:eastAsia="fr-FR"/>
        </w:rPr>
        <w:t xml:space="preserve">. However, as it will be pointed out in this part of </w:t>
      </w:r>
      <w:proofErr w:type="spellStart"/>
      <w:r w:rsidRPr="00E556AF">
        <w:rPr>
          <w:lang w:eastAsia="fr-FR"/>
        </w:rPr>
        <w:t>Alkarama’s</w:t>
      </w:r>
      <w:proofErr w:type="spellEnd"/>
      <w:r w:rsidRPr="00E556AF">
        <w:rPr>
          <w:lang w:eastAsia="fr-FR"/>
        </w:rPr>
        <w:t xml:space="preserve"> shadow report, the lack of adequate guarantees under Iraqi law, although Iraq ratified the Convention against Torture </w:t>
      </w:r>
      <w:r w:rsidR="00A35FE5">
        <w:rPr>
          <w:lang w:eastAsia="fr-FR"/>
        </w:rPr>
        <w:t>(UNCAT)</w:t>
      </w:r>
      <w:r w:rsidR="00A35FE5" w:rsidRPr="00E556AF">
        <w:rPr>
          <w:lang w:eastAsia="fr-FR"/>
        </w:rPr>
        <w:t xml:space="preserve"> </w:t>
      </w:r>
      <w:r w:rsidRPr="00E556AF">
        <w:rPr>
          <w:lang w:eastAsia="fr-FR"/>
        </w:rPr>
        <w:t xml:space="preserve">in 2011, and the heavy flaws in the administration of justice and in the treatment of detainees, lead to the widespread and systematic use of torture in the country. </w:t>
      </w:r>
    </w:p>
    <w:p w:rsidR="00BF0356" w:rsidRPr="00EE36F4" w:rsidRDefault="00BF0356" w:rsidP="00595C45">
      <w:pPr>
        <w:rPr>
          <w:b/>
          <w:bCs/>
          <w:lang w:eastAsia="fr-FR"/>
        </w:rPr>
      </w:pPr>
    </w:p>
    <w:p w:rsidR="00BF0356" w:rsidRPr="00EE36F4" w:rsidRDefault="0039530F" w:rsidP="005A6A9E">
      <w:pPr>
        <w:pStyle w:val="Titre3"/>
        <w:rPr>
          <w:lang w:val="en-GB"/>
        </w:rPr>
      </w:pPr>
      <w:bookmarkStart w:id="17" w:name="_Toc430939990"/>
      <w:r w:rsidRPr="0039530F">
        <w:rPr>
          <w:lang w:val="en-GB"/>
        </w:rPr>
        <w:t>Prohibition and criminalisation of torture</w:t>
      </w:r>
      <w:bookmarkEnd w:id="17"/>
      <w:r w:rsidRPr="0039530F">
        <w:rPr>
          <w:lang w:val="en-GB"/>
        </w:rPr>
        <w:t xml:space="preserve"> </w:t>
      </w:r>
    </w:p>
    <w:p w:rsidR="00BF0356" w:rsidRPr="00EE36F4" w:rsidRDefault="00BF0356" w:rsidP="005A6A9E">
      <w:pPr>
        <w:rPr>
          <w:lang w:eastAsia="fr-FR"/>
        </w:rPr>
      </w:pPr>
    </w:p>
    <w:p w:rsidR="003A1CB7" w:rsidRPr="00E556AF" w:rsidRDefault="003A1CB7" w:rsidP="00A35FE5">
      <w:pPr>
        <w:rPr>
          <w:lang w:eastAsia="fr-FR"/>
        </w:rPr>
      </w:pPr>
      <w:r w:rsidRPr="00E556AF">
        <w:rPr>
          <w:lang w:eastAsia="fr-FR"/>
        </w:rPr>
        <w:t>The Iraqi State report affirms that torture and cruel and inhumane treatment are prohibited under article 37.1.c of the Iraqi Constitution, as well as under the provisions of the Iraqi Penal Code and the Management of Detention and Prison Facilities Act No. 3 of 2003</w:t>
      </w:r>
      <w:r w:rsidRPr="00E556AF">
        <w:rPr>
          <w:vertAlign w:val="superscript"/>
          <w:lang w:eastAsia="fr-FR"/>
        </w:rPr>
        <w:footnoteReference w:id="52"/>
      </w:r>
      <w:r w:rsidRPr="00E556AF">
        <w:rPr>
          <w:lang w:eastAsia="fr-FR"/>
        </w:rPr>
        <w:t xml:space="preserve">. </w:t>
      </w:r>
    </w:p>
    <w:p w:rsidR="003A1CB7" w:rsidRPr="00E556AF" w:rsidRDefault="003A1CB7" w:rsidP="003A1CB7">
      <w:pPr>
        <w:rPr>
          <w:lang w:eastAsia="fr-FR"/>
        </w:rPr>
      </w:pPr>
    </w:p>
    <w:p w:rsidR="009B3E9E" w:rsidRDefault="003A1CB7">
      <w:r w:rsidRPr="00E556AF">
        <w:rPr>
          <w:lang w:eastAsia="fr-FR"/>
        </w:rPr>
        <w:t>However, in Iraq’s national law, torture is not defined as required by the Convention against Torture Instead, t</w:t>
      </w:r>
      <w:r w:rsidRPr="00E556AF">
        <w:t>he only definition of torture is comprised in article 12.2.e of the Iraqi Supreme Criminal Court Act No. 10 of 2005, according to which</w:t>
      </w:r>
      <w:r w:rsidRPr="00E556AF">
        <w:rPr>
          <w:rFonts w:ascii="Times-Roman" w:hAnsi="Times-Roman" w:cs="Times-Roman"/>
        </w:rPr>
        <w:t xml:space="preserve"> </w:t>
      </w:r>
      <w:r w:rsidRPr="00E556AF">
        <w:t xml:space="preserve">“‘torture’ means the intentional infliction of severe pain or suffering, whether physical or mental, on a person in the custody or under the control of the accused; except that torture does not include pain or suffering arising from, or incidental to, lawful sanctions.” This definition is flawed as it applies only to the direct perpetrator and does not include the </w:t>
      </w:r>
      <w:r w:rsidR="00640F9C" w:rsidRPr="00E556AF">
        <w:t xml:space="preserve">four </w:t>
      </w:r>
      <w:r w:rsidRPr="00E556AF">
        <w:t>different levels of involvement – infliction, instigation, consent and acquiescence – which render an official complicit in the act of torture</w:t>
      </w:r>
      <w:r w:rsidRPr="00E556AF">
        <w:rPr>
          <w:vertAlign w:val="superscript"/>
        </w:rPr>
        <w:footnoteReference w:id="53"/>
      </w:r>
      <w:r w:rsidRPr="00E556AF">
        <w:t xml:space="preserve">. Additionally, the definition lacks the purpose requirement, such as extracting a confession, punishing, intimidating coercing or discriminating the victim and it foresees that pain or suffering caused by “lawful sanctions” may not amount to torture. </w:t>
      </w:r>
    </w:p>
    <w:p w:rsidR="003A1CB7" w:rsidRPr="00E556AF" w:rsidRDefault="003A1CB7" w:rsidP="003A1CB7"/>
    <w:p w:rsidR="003A1CB7" w:rsidRPr="00E556AF" w:rsidRDefault="003A1CB7" w:rsidP="00156440">
      <w:r w:rsidRPr="00E556AF">
        <w:t>Moreover, it is concerning that Iraq explains this lack of definition in its domestic legislation as “[to] allow leeway for discretionary juristic interpretation without restricting the concept of torture to a specific definition which, with the passage of time and increasingly sophisticated methods of investigation and interrogation, might not be sufficiently all-embracing and exclusive.”</w:t>
      </w:r>
      <w:r w:rsidRPr="00E556AF">
        <w:rPr>
          <w:vertAlign w:val="superscript"/>
        </w:rPr>
        <w:footnoteReference w:id="54"/>
      </w:r>
      <w:r w:rsidRPr="00E556AF">
        <w:t xml:space="preserve"> This stand is extremely concerning and indicative of a legal migration of the “enhanced interrogation techniques” – </w:t>
      </w:r>
      <w:proofErr w:type="gramStart"/>
      <w:r w:rsidRPr="00E556AF">
        <w:t>a</w:t>
      </w:r>
      <w:r w:rsidR="00657570">
        <w:t>n</w:t>
      </w:r>
      <w:proofErr w:type="gramEnd"/>
      <w:r w:rsidRPr="00E556AF">
        <w:t xml:space="preserve"> euphemism referring to the use of torture – </w:t>
      </w:r>
      <w:r w:rsidR="00640F9C">
        <w:t xml:space="preserve">a </w:t>
      </w:r>
      <w:r w:rsidRPr="00E556AF">
        <w:t xml:space="preserve">policy that was introduced by the Bush administration and used during the occupation of Iraq. This interpretation opens doors to an arbitrary redefinition by judges of what constitutes an act of torture, which would become more exclusive than inclusive. This is all the more alarming as the judiciary </w:t>
      </w:r>
      <w:r w:rsidR="00156440">
        <w:t>suffers from interference from the executive</w:t>
      </w:r>
      <w:r w:rsidRPr="00E556AF">
        <w:t xml:space="preserve">. </w:t>
      </w:r>
    </w:p>
    <w:p w:rsidR="003A1CB7" w:rsidRPr="00E556AF" w:rsidRDefault="003A1CB7" w:rsidP="003A1CB7">
      <w:pPr>
        <w:rPr>
          <w:u w:val="single"/>
        </w:rPr>
      </w:pPr>
    </w:p>
    <w:p w:rsidR="003A1CB7" w:rsidRPr="00E556AF" w:rsidRDefault="003A1CB7" w:rsidP="003A1CB7">
      <w:r w:rsidRPr="00E556AF">
        <w:t>We also note that the absence of any legal provision in Iraqi legislation specifying that no exceptional circumstance of any kind, be it a state of war or the threat of war, internal political instability or any other state of emergency, can justify the use of torture. In a country where the deteriorating security situation is systematically used as a justification for human rights abuses, such a provision should be incorporated into the law as a matter of priority.</w:t>
      </w:r>
    </w:p>
    <w:p w:rsidR="003A1CB7" w:rsidRPr="00E556AF" w:rsidRDefault="003A1CB7" w:rsidP="003A1CB7">
      <w:r w:rsidRPr="00E556AF">
        <w:t xml:space="preserve"> </w:t>
      </w:r>
    </w:p>
    <w:p w:rsidR="003A1CB7" w:rsidRPr="00E556AF" w:rsidRDefault="003A1CB7" w:rsidP="006541BF">
      <w:r w:rsidRPr="00E556AF">
        <w:t>As for punishment of acts of torture, the State report claims that the Ministry of Human Rights has compiled a database of cases of torture in order to ensure that they are followed-up and perpetrators are brought to justice</w:t>
      </w:r>
      <w:r w:rsidRPr="00E556AF">
        <w:rPr>
          <w:vertAlign w:val="superscript"/>
        </w:rPr>
        <w:footnoteReference w:id="55"/>
      </w:r>
      <w:r w:rsidRPr="00E556AF">
        <w:t>. However, several setbacks in law and i</w:t>
      </w:r>
      <w:r w:rsidR="006541BF">
        <w:t>ts</w:t>
      </w:r>
      <w:r w:rsidRPr="00E556AF">
        <w:t xml:space="preserve"> application </w:t>
      </w:r>
      <w:r w:rsidR="006541BF">
        <w:t>gives the perpetrators complete impunity.</w:t>
      </w:r>
    </w:p>
    <w:p w:rsidR="006541BF" w:rsidRPr="00E556AF" w:rsidRDefault="006541BF" w:rsidP="003A1CB7"/>
    <w:p w:rsidR="003A1CB7" w:rsidRPr="00E556AF" w:rsidRDefault="003A1CB7" w:rsidP="006541BF">
      <w:r w:rsidRPr="00E556AF">
        <w:t>In</w:t>
      </w:r>
      <w:r w:rsidR="006541BF">
        <w:t>deed</w:t>
      </w:r>
      <w:r w:rsidRPr="00E556AF">
        <w:t>, torture is not punishable by</w:t>
      </w:r>
      <w:r w:rsidR="006541BF">
        <w:t xml:space="preserve"> the</w:t>
      </w:r>
      <w:r w:rsidRPr="00E556AF">
        <w:t xml:space="preserve"> appropriate penalties</w:t>
      </w:r>
      <w:r w:rsidRPr="00E556AF">
        <w:rPr>
          <w:vertAlign w:val="superscript"/>
        </w:rPr>
        <w:footnoteReference w:id="56"/>
      </w:r>
      <w:r w:rsidR="006541BF">
        <w:t>,</w:t>
      </w:r>
      <w:r w:rsidRPr="00E556AF">
        <w:t xml:space="preserve"> as article 333 PC only provides for “a penalty of imprisonment” for acts of torture, without specifying its length. Similarly, article 332 PC which seems to refer to the commission of cruel, inhumane or degrading treatment only foresees “a period of detention not exceeding one year plus a fine not exceeding 100 dinars” – around 10 cents US dollars – which corresponds to penalties attached to minor crimes and therefore does not take adequate consideration of the gravity of the crime. </w:t>
      </w:r>
    </w:p>
    <w:p w:rsidR="003A1CB7" w:rsidRPr="00E556AF" w:rsidRDefault="003A1CB7" w:rsidP="003A1CB7"/>
    <w:p w:rsidR="003A1CB7" w:rsidRPr="00E556AF" w:rsidRDefault="003A1CB7" w:rsidP="006541BF">
      <w:r w:rsidRPr="00E556AF">
        <w:t>Furthermore, article 136.b of the Code of Criminal Procedure limits the prosecution of public officials for acts of torture since it subjects the referral to the competent judicial authorities of a perpetrator of torture to the authorisation from the relevant Minister – for example, the Ministry of Interior in a case involving police –. Although the Iraqi Council of Representatives passed a law to amend this provision in 2007 and 2011, the Presidency Council never ratified the draft law, which as a result did not enter into force</w:t>
      </w:r>
      <w:r w:rsidRPr="00E556AF">
        <w:rPr>
          <w:vertAlign w:val="superscript"/>
        </w:rPr>
        <w:footnoteReference w:id="57"/>
      </w:r>
      <w:r w:rsidRPr="00E556AF">
        <w:t xml:space="preserve">. </w:t>
      </w:r>
    </w:p>
    <w:p w:rsidR="003A1CB7" w:rsidRPr="00E556AF" w:rsidRDefault="003A1CB7" w:rsidP="003A1CB7"/>
    <w:p w:rsidR="009B3E9E" w:rsidRDefault="003A1CB7">
      <w:r w:rsidRPr="00E556AF">
        <w:t>In addition, the fact that Iraqi domestic law does not contain any provision regarding the non-applicability of the statute of limitations</w:t>
      </w:r>
      <w:r w:rsidRPr="00E556AF">
        <w:rPr>
          <w:vertAlign w:val="superscript"/>
        </w:rPr>
        <w:footnoteReference w:id="58"/>
      </w:r>
      <w:r w:rsidRPr="00E556AF">
        <w:t xml:space="preserve"> to the crime of torture is another factor that encourages impunity. What is more, even in the event of a perpetrator of torture facing prosecution, an order from a superior officer or a public authority </w:t>
      </w:r>
      <w:r w:rsidR="00DD2AA9">
        <w:t>can</w:t>
      </w:r>
      <w:r w:rsidR="00DD2AA9" w:rsidRPr="00E556AF">
        <w:t xml:space="preserve"> </w:t>
      </w:r>
      <w:r w:rsidRPr="00E556AF">
        <w:t xml:space="preserve">be invoked as a justification of torture, since according to article 40.2 PC there is no crime if the perpetrator commits the act in performance of an order from a superior, which he is obliged to obey, or </w:t>
      </w:r>
      <w:r w:rsidR="00640F9C">
        <w:t>“</w:t>
      </w:r>
      <w:r w:rsidRPr="00E556AF">
        <w:t>feels he is obliged to obey</w:t>
      </w:r>
      <w:r w:rsidR="00DD2AA9">
        <w:t>”</w:t>
      </w:r>
      <w:r w:rsidRPr="00E556AF">
        <w:t xml:space="preserve">. </w:t>
      </w:r>
      <w:r w:rsidRPr="00E556AF">
        <w:rPr>
          <w:lang w:eastAsia="fr-FR"/>
        </w:rPr>
        <w:t>Finally</w:t>
      </w:r>
      <w:r w:rsidRPr="00E556AF">
        <w:t xml:space="preserve">, the Amnesty Law No. 19 of 2008 provides a </w:t>
      </w:r>
      <w:r w:rsidRPr="00E556AF">
        <w:rPr>
          <w:i/>
          <w:iCs/>
        </w:rPr>
        <w:t>de facto</w:t>
      </w:r>
      <w:r w:rsidRPr="00E556AF">
        <w:t xml:space="preserve"> immunity for members of the security forces. Aimed at providing a benchmark in facilitating political reconciliation, the law offers amnesty for convicted Iraqis, not exempting from the amnesty those who have committed torture. In fact, according to a 2010 report from the Ministry of Human Rights, the passing of the law was said the main cause of the closure of official investigations into torture complaints</w:t>
      </w:r>
      <w:r w:rsidRPr="00E556AF">
        <w:rPr>
          <w:vertAlign w:val="superscript"/>
        </w:rPr>
        <w:footnoteReference w:id="59"/>
      </w:r>
      <w:r w:rsidRPr="00E556AF">
        <w:t>.</w:t>
      </w:r>
    </w:p>
    <w:p w:rsidR="003A1CB7" w:rsidRPr="00E556AF" w:rsidRDefault="003A1CB7" w:rsidP="003A1CB7"/>
    <w:p w:rsidR="00BF0356" w:rsidRPr="00EE36F4" w:rsidRDefault="003A1CB7" w:rsidP="005F7029">
      <w:pPr>
        <w:pStyle w:val="Paragraphedeliste"/>
        <w:ind w:left="0"/>
        <w:rPr>
          <w:lang w:eastAsia="fr-FR"/>
        </w:rPr>
      </w:pPr>
      <w:r w:rsidRPr="00E556AF">
        <w:rPr>
          <w:lang w:eastAsia="fr-FR"/>
        </w:rPr>
        <w:t xml:space="preserve">These legal loopholes on the definition, criminalisation and punishment of torture are even more concerning in light of the systematic violations of the legal safeguards related to the deprivation of liberty and fair trial guarantees, as detailed below, thus creating an environment conducive to torture.  </w:t>
      </w:r>
    </w:p>
    <w:p w:rsidR="00BF0356" w:rsidRPr="00EE36F4" w:rsidRDefault="00BF0356" w:rsidP="00D043EC">
      <w:pPr>
        <w:pStyle w:val="Paragraphedeliste"/>
        <w:ind w:left="0"/>
        <w:rPr>
          <w:lang w:eastAsia="fr-FR"/>
        </w:rPr>
      </w:pPr>
    </w:p>
    <w:p w:rsidR="00BF0356" w:rsidRPr="00EB7FA6" w:rsidRDefault="009741FE" w:rsidP="006B48F0">
      <w:pPr>
        <w:pStyle w:val="Titre3"/>
        <w:rPr>
          <w:lang w:val="en-GB"/>
        </w:rPr>
      </w:pPr>
      <w:bookmarkStart w:id="18" w:name="_Toc430939991"/>
      <w:r>
        <w:rPr>
          <w:lang w:val="en-GB"/>
        </w:rPr>
        <w:t>The practice of t</w:t>
      </w:r>
      <w:r w:rsidR="0039530F" w:rsidRPr="0039530F">
        <w:rPr>
          <w:lang w:val="en-GB"/>
        </w:rPr>
        <w:t>orture</w:t>
      </w:r>
      <w:r>
        <w:rPr>
          <w:lang w:val="en-GB"/>
        </w:rPr>
        <w:t>:</w:t>
      </w:r>
      <w:r w:rsidR="0039530F" w:rsidRPr="0039530F">
        <w:rPr>
          <w:lang w:val="en-GB"/>
        </w:rPr>
        <w:t xml:space="preserve"> </w:t>
      </w:r>
      <w:r w:rsidR="006B48F0">
        <w:rPr>
          <w:lang w:val="en-GB"/>
        </w:rPr>
        <w:t>from</w:t>
      </w:r>
      <w:r w:rsidR="0039530F" w:rsidRPr="0039530F">
        <w:rPr>
          <w:lang w:val="en-GB"/>
        </w:rPr>
        <w:t xml:space="preserve"> the investigati</w:t>
      </w:r>
      <w:r w:rsidR="00EB7FA6">
        <w:rPr>
          <w:lang w:val="en-GB"/>
        </w:rPr>
        <w:t>on</w:t>
      </w:r>
      <w:r w:rsidR="0039530F" w:rsidRPr="0039530F">
        <w:rPr>
          <w:lang w:val="en-GB"/>
        </w:rPr>
        <w:t xml:space="preserve"> </w:t>
      </w:r>
      <w:r w:rsidR="006B48F0">
        <w:rPr>
          <w:lang w:val="en-GB"/>
        </w:rPr>
        <w:t xml:space="preserve">stage </w:t>
      </w:r>
      <w:r>
        <w:rPr>
          <w:lang w:val="en-GB"/>
        </w:rPr>
        <w:t>to harsh conditions of detention</w:t>
      </w:r>
      <w:bookmarkEnd w:id="18"/>
    </w:p>
    <w:p w:rsidR="00BF0356" w:rsidRDefault="00BF0356" w:rsidP="005A6A9E">
      <w:pPr>
        <w:rPr>
          <w:lang w:eastAsia="fr-FR"/>
        </w:rPr>
      </w:pPr>
    </w:p>
    <w:p w:rsidR="00BD1613" w:rsidRDefault="003A1CB7">
      <w:pPr>
        <w:contextualSpacing/>
        <w:rPr>
          <w:lang w:eastAsia="fr-FR"/>
        </w:rPr>
      </w:pPr>
      <w:r w:rsidRPr="00E556AF">
        <w:rPr>
          <w:lang w:eastAsia="fr-FR"/>
        </w:rPr>
        <w:t>Torture usually occurs during the investigation stage, that is</w:t>
      </w:r>
      <w:r w:rsidR="00640F9C">
        <w:rPr>
          <w:lang w:eastAsia="fr-FR"/>
        </w:rPr>
        <w:t>,</w:t>
      </w:r>
      <w:r w:rsidRPr="00E556AF">
        <w:rPr>
          <w:lang w:eastAsia="fr-FR"/>
        </w:rPr>
        <w:t xml:space="preserve"> following initial arrest and before charges are formally </w:t>
      </w:r>
      <w:r w:rsidR="00D9046A">
        <w:rPr>
          <w:lang w:eastAsia="fr-FR"/>
        </w:rPr>
        <w:t>laid</w:t>
      </w:r>
      <w:r w:rsidR="00D9046A" w:rsidRPr="00E556AF">
        <w:rPr>
          <w:lang w:eastAsia="fr-FR"/>
        </w:rPr>
        <w:t xml:space="preserve"> </w:t>
      </w:r>
      <w:r w:rsidRPr="00E556AF">
        <w:rPr>
          <w:lang w:eastAsia="fr-FR"/>
        </w:rPr>
        <w:t>by the investigative judge, when suspects are held in polices facilities (known as “</w:t>
      </w:r>
      <w:proofErr w:type="spellStart"/>
      <w:r w:rsidRPr="00E556AF">
        <w:rPr>
          <w:lang w:eastAsia="fr-FR"/>
        </w:rPr>
        <w:t>tasfiraat</w:t>
      </w:r>
      <w:proofErr w:type="spellEnd"/>
      <w:r w:rsidRPr="00E556AF">
        <w:rPr>
          <w:lang w:eastAsia="fr-FR"/>
        </w:rPr>
        <w:t xml:space="preserve">”) or in the Directorate of Counter Terrorism and Organised Crime under the authority of the Ministry of Interior – in order to induce the </w:t>
      </w:r>
      <w:r w:rsidR="00D9046A">
        <w:rPr>
          <w:lang w:eastAsia="fr-FR"/>
        </w:rPr>
        <w:t>suspect</w:t>
      </w:r>
      <w:r w:rsidRPr="00E556AF">
        <w:rPr>
          <w:lang w:eastAsia="fr-FR"/>
        </w:rPr>
        <w:t xml:space="preserve"> to make confessions in relation to the crimes for which they are detained</w:t>
      </w:r>
      <w:r w:rsidRPr="00E556AF">
        <w:rPr>
          <w:vertAlign w:val="superscript"/>
          <w:lang w:eastAsia="fr-FR"/>
        </w:rPr>
        <w:footnoteReference w:id="60"/>
      </w:r>
      <w:r w:rsidRPr="00E556AF">
        <w:rPr>
          <w:lang w:eastAsia="fr-FR"/>
        </w:rPr>
        <w:t>, or to compel witnesses to implicate defendants on trial</w:t>
      </w:r>
      <w:r w:rsidRPr="00E556AF">
        <w:rPr>
          <w:vertAlign w:val="superscript"/>
          <w:lang w:eastAsia="fr-FR"/>
        </w:rPr>
        <w:footnoteReference w:id="61"/>
      </w:r>
      <w:r w:rsidRPr="00E556AF">
        <w:rPr>
          <w:lang w:eastAsia="fr-FR"/>
        </w:rPr>
        <w:t xml:space="preserve">. It is only once they are charged and that their case is referred to a criminal court for trial that defendants may be transferred to a facility falling under the authority of the Ministry of Justice. </w:t>
      </w:r>
    </w:p>
    <w:p w:rsidR="003A1CB7" w:rsidRPr="00E556AF" w:rsidRDefault="003A1CB7" w:rsidP="003A1CB7">
      <w:pPr>
        <w:contextualSpacing/>
        <w:rPr>
          <w:lang w:eastAsia="fr-FR"/>
        </w:rPr>
      </w:pPr>
    </w:p>
    <w:p w:rsidR="003A1CB7" w:rsidRPr="00E556AF" w:rsidRDefault="003A1CB7" w:rsidP="003A1CB7">
      <w:pPr>
        <w:contextualSpacing/>
        <w:rPr>
          <w:lang w:eastAsia="fr-FR"/>
        </w:rPr>
      </w:pPr>
      <w:r w:rsidRPr="00E556AF">
        <w:rPr>
          <w:lang w:eastAsia="fr-FR"/>
        </w:rPr>
        <w:t>However, it is worrisome that most detention centres remain under the jurisdiction of the Ministry of Interior. In this regard, in addition to the claim that the government is making “every endeavour” to ensure that detention centres are managed only by the Ministry of Justice</w:t>
      </w:r>
      <w:r w:rsidRPr="00E556AF">
        <w:rPr>
          <w:vertAlign w:val="superscript"/>
          <w:lang w:eastAsia="fr-FR"/>
        </w:rPr>
        <w:footnoteReference w:id="62"/>
      </w:r>
      <w:r w:rsidRPr="00E556AF">
        <w:rPr>
          <w:lang w:eastAsia="fr-FR"/>
        </w:rPr>
        <w:t>, Iraq reports that according to Presidential Order No. 207/S, the Ministry of Interior shall designate a number of investigating officers entitled to conduct investigation procedures</w:t>
      </w:r>
      <w:r w:rsidRPr="00E556AF">
        <w:rPr>
          <w:vertAlign w:val="superscript"/>
          <w:lang w:eastAsia="fr-FR"/>
        </w:rPr>
        <w:footnoteReference w:id="63"/>
      </w:r>
      <w:r w:rsidRPr="00E556AF">
        <w:rPr>
          <w:lang w:eastAsia="fr-FR"/>
        </w:rPr>
        <w:t>. This is concerning given that the detention centres are under the jurisdiction of the same Ministry.</w:t>
      </w:r>
    </w:p>
    <w:p w:rsidR="003A1CB7" w:rsidRPr="00E556AF" w:rsidRDefault="003A1CB7" w:rsidP="003A1CB7">
      <w:pPr>
        <w:contextualSpacing/>
        <w:rPr>
          <w:lang w:eastAsia="fr-FR"/>
        </w:rPr>
      </w:pPr>
    </w:p>
    <w:p w:rsidR="009B3E9E" w:rsidRDefault="003A1CB7">
      <w:pPr>
        <w:rPr>
          <w:lang w:eastAsia="fr-FR"/>
        </w:rPr>
      </w:pPr>
      <w:r w:rsidRPr="00E556AF">
        <w:rPr>
          <w:lang w:eastAsia="fr-FR"/>
        </w:rPr>
        <w:t xml:space="preserve">Moreover, following their arrest, suspects are often taken to one of the several secret detention facilities where torture is routinely and systematically used. An emblematic </w:t>
      </w:r>
      <w:r w:rsidR="00640F9C">
        <w:rPr>
          <w:lang w:eastAsia="fr-FR"/>
        </w:rPr>
        <w:t>example</w:t>
      </w:r>
      <w:r w:rsidR="00640F9C" w:rsidRPr="00E556AF">
        <w:rPr>
          <w:lang w:eastAsia="fr-FR"/>
        </w:rPr>
        <w:t xml:space="preserve"> </w:t>
      </w:r>
      <w:r w:rsidRPr="00E556AF">
        <w:rPr>
          <w:lang w:eastAsia="fr-FR"/>
        </w:rPr>
        <w:t xml:space="preserve">is the Al </w:t>
      </w:r>
      <w:proofErr w:type="spellStart"/>
      <w:r w:rsidRPr="00E556AF">
        <w:rPr>
          <w:lang w:eastAsia="fr-FR"/>
        </w:rPr>
        <w:t>Muthanna</w:t>
      </w:r>
      <w:proofErr w:type="spellEnd"/>
      <w:r w:rsidRPr="00E556AF">
        <w:rPr>
          <w:lang w:eastAsia="fr-FR"/>
        </w:rPr>
        <w:t xml:space="preserve"> detention centre, located in </w:t>
      </w:r>
      <w:r w:rsidRPr="00E556AF">
        <w:t xml:space="preserve">an old military airport in West Baghdad. This secret detention centre is said to be running since September 2009, when </w:t>
      </w:r>
      <w:r w:rsidRPr="00E556AF">
        <w:rPr>
          <w:lang w:eastAsia="fr-FR"/>
        </w:rPr>
        <w:t>security forces kept about 400 men in the facility after mass arrests were carried out around Mosul against individuals accused of “aiding and abetting terrorism”</w:t>
      </w:r>
      <w:r w:rsidRPr="00E556AF">
        <w:rPr>
          <w:vertAlign w:val="superscript"/>
          <w:lang w:eastAsia="fr-FR"/>
        </w:rPr>
        <w:footnoteReference w:id="64"/>
      </w:r>
      <w:r w:rsidRPr="00E556AF">
        <w:rPr>
          <w:lang w:eastAsia="fr-FR"/>
        </w:rPr>
        <w:t>. This facility continues to operate and falls under the authority of the 54</w:t>
      </w:r>
      <w:r w:rsidRPr="00E556AF">
        <w:rPr>
          <w:vertAlign w:val="superscript"/>
          <w:lang w:eastAsia="fr-FR"/>
        </w:rPr>
        <w:t>th</w:t>
      </w:r>
      <w:r w:rsidRPr="00E556AF">
        <w:rPr>
          <w:lang w:eastAsia="fr-FR"/>
        </w:rPr>
        <w:t xml:space="preserve"> and 56</w:t>
      </w:r>
      <w:r w:rsidRPr="00E556AF">
        <w:rPr>
          <w:vertAlign w:val="superscript"/>
          <w:lang w:eastAsia="fr-FR"/>
        </w:rPr>
        <w:t>th</w:t>
      </w:r>
      <w:r w:rsidRPr="00E556AF">
        <w:rPr>
          <w:lang w:eastAsia="fr-FR"/>
        </w:rPr>
        <w:t xml:space="preserve"> Brigades of the Army, under the control of the Baghdad Operations Command (BOC)</w:t>
      </w:r>
      <w:r w:rsidR="00640F9C">
        <w:rPr>
          <w:lang w:eastAsia="fr-FR"/>
        </w:rPr>
        <w:t xml:space="preserve"> –</w:t>
      </w:r>
      <w:r w:rsidRPr="00E556AF">
        <w:rPr>
          <w:lang w:eastAsia="fr-FR"/>
        </w:rPr>
        <w:t xml:space="preserve"> a regional security command set</w:t>
      </w:r>
      <w:r w:rsidR="00657570">
        <w:rPr>
          <w:lang w:eastAsia="fr-FR"/>
        </w:rPr>
        <w:t xml:space="preserve"> up by former Prime Minister Al-</w:t>
      </w:r>
      <w:proofErr w:type="spellStart"/>
      <w:r w:rsidRPr="00E556AF">
        <w:rPr>
          <w:lang w:eastAsia="fr-FR"/>
        </w:rPr>
        <w:t>Maliki</w:t>
      </w:r>
      <w:proofErr w:type="spellEnd"/>
      <w:r w:rsidRPr="00E556AF">
        <w:rPr>
          <w:lang w:eastAsia="fr-FR"/>
        </w:rPr>
        <w:t xml:space="preserve"> </w:t>
      </w:r>
      <w:r w:rsidR="00640F9C">
        <w:rPr>
          <w:lang w:eastAsia="fr-FR"/>
        </w:rPr>
        <w:t xml:space="preserve">– </w:t>
      </w:r>
      <w:r w:rsidRPr="00E556AF">
        <w:rPr>
          <w:lang w:eastAsia="fr-FR"/>
        </w:rPr>
        <w:t xml:space="preserve">which reports directly to the office of the Prime Minister as the Commander in Chief of the Armed Forces. The government however continues to deny all allegations that torture is practiced </w:t>
      </w:r>
      <w:r w:rsidR="00657570">
        <w:rPr>
          <w:lang w:eastAsia="fr-FR"/>
        </w:rPr>
        <w:t>there as former Prime Minister A</w:t>
      </w:r>
      <w:r w:rsidRPr="00E556AF">
        <w:rPr>
          <w:lang w:eastAsia="fr-FR"/>
        </w:rPr>
        <w:t>l-</w:t>
      </w:r>
      <w:proofErr w:type="spellStart"/>
      <w:r w:rsidRPr="00E556AF">
        <w:rPr>
          <w:lang w:eastAsia="fr-FR"/>
        </w:rPr>
        <w:t>Maliki</w:t>
      </w:r>
      <w:proofErr w:type="spellEnd"/>
      <w:r w:rsidRPr="00E556AF">
        <w:rPr>
          <w:lang w:eastAsia="fr-FR"/>
        </w:rPr>
        <w:t xml:space="preserve"> qualified torture allegations as “lies” and “a smear campaign”, even going as far as to declare on state-run Al </w:t>
      </w:r>
      <w:proofErr w:type="spellStart"/>
      <w:r w:rsidRPr="00E556AF">
        <w:rPr>
          <w:lang w:eastAsia="fr-FR"/>
        </w:rPr>
        <w:t>Iraqiyya</w:t>
      </w:r>
      <w:proofErr w:type="spellEnd"/>
      <w:r w:rsidRPr="00E556AF">
        <w:rPr>
          <w:lang w:eastAsia="fr-FR"/>
        </w:rPr>
        <w:t xml:space="preserve"> TV that inmates would have inflicted the scars on themselves “by rubbing matches on some parts of their body parts”</w:t>
      </w:r>
      <w:r w:rsidRPr="00E556AF">
        <w:rPr>
          <w:vertAlign w:val="superscript"/>
          <w:lang w:eastAsia="fr-FR"/>
        </w:rPr>
        <w:footnoteReference w:id="65"/>
      </w:r>
      <w:r w:rsidRPr="00E556AF">
        <w:rPr>
          <w:lang w:eastAsia="fr-FR"/>
        </w:rPr>
        <w:t xml:space="preserve">. In addition, instead of opening an inquiry, </w:t>
      </w:r>
      <w:r w:rsidR="00657570">
        <w:rPr>
          <w:lang w:eastAsia="fr-FR"/>
        </w:rPr>
        <w:t>A</w:t>
      </w:r>
      <w:r w:rsidRPr="00E556AF">
        <w:rPr>
          <w:lang w:eastAsia="fr-FR"/>
        </w:rPr>
        <w:t>l-</w:t>
      </w:r>
      <w:proofErr w:type="spellStart"/>
      <w:r w:rsidRPr="00E556AF">
        <w:rPr>
          <w:lang w:eastAsia="fr-FR"/>
        </w:rPr>
        <w:t>Maliki</w:t>
      </w:r>
      <w:proofErr w:type="spellEnd"/>
      <w:r w:rsidRPr="00E556AF">
        <w:rPr>
          <w:lang w:eastAsia="fr-FR"/>
        </w:rPr>
        <w:t xml:space="preserve"> suspended the work of the Ministry of Human Rights’ prison inspection team, who first uncovered the abuses in Al </w:t>
      </w:r>
      <w:proofErr w:type="spellStart"/>
      <w:r w:rsidRPr="00E556AF">
        <w:rPr>
          <w:lang w:eastAsia="fr-FR"/>
        </w:rPr>
        <w:t>Muthanna</w:t>
      </w:r>
      <w:proofErr w:type="spellEnd"/>
      <w:r w:rsidRPr="00E556AF">
        <w:rPr>
          <w:lang w:eastAsia="fr-FR"/>
        </w:rPr>
        <w:t xml:space="preserve"> airport detention centre</w:t>
      </w:r>
      <w:r w:rsidRPr="00E556AF">
        <w:rPr>
          <w:vertAlign w:val="superscript"/>
          <w:lang w:eastAsia="fr-FR"/>
        </w:rPr>
        <w:footnoteReference w:id="66"/>
      </w:r>
      <w:r w:rsidRPr="00E556AF">
        <w:rPr>
          <w:lang w:eastAsia="fr-FR"/>
        </w:rPr>
        <w:t xml:space="preserve">. </w:t>
      </w:r>
    </w:p>
    <w:p w:rsidR="003A1CB7" w:rsidRPr="00E556AF" w:rsidRDefault="003A1CB7" w:rsidP="003A1CB7">
      <w:pPr>
        <w:rPr>
          <w:lang w:eastAsia="fr-FR"/>
        </w:rPr>
      </w:pPr>
    </w:p>
    <w:p w:rsidR="003A1CB7" w:rsidRPr="00E556AF" w:rsidRDefault="003A1CB7" w:rsidP="003A1CB7">
      <w:pPr>
        <w:rPr>
          <w:lang w:eastAsia="fr-FR"/>
        </w:rPr>
      </w:pPr>
      <w:r w:rsidRPr="00E556AF">
        <w:rPr>
          <w:lang w:eastAsia="fr-FR"/>
        </w:rPr>
        <w:t>Finally, we also wish to point out that conditions of detention in Iraqi prisons do not uphold international standards and amount to inhuman or degrading treatment, if not torture. First, overcrowding remains a systematic problem. Additionally, it is also reported that the provision of health care is badly managed, as most detention facilities lack medical personnel and adequate medical equipment</w:t>
      </w:r>
      <w:r w:rsidRPr="00E556AF">
        <w:rPr>
          <w:vertAlign w:val="superscript"/>
          <w:lang w:eastAsia="fr-FR"/>
        </w:rPr>
        <w:footnoteReference w:id="67"/>
      </w:r>
      <w:r w:rsidRPr="00E556AF">
        <w:rPr>
          <w:lang w:eastAsia="fr-FR"/>
        </w:rPr>
        <w:t>. The situation is particularly dire for female detainees, who denounce having been subjected to torture, violence and threats while in custody, including acts or threats of sexual violence. Additionally, access to detention centres is usually denied both to the IHCHR</w:t>
      </w:r>
      <w:r w:rsidRPr="00E556AF">
        <w:rPr>
          <w:vertAlign w:val="superscript"/>
          <w:lang w:eastAsia="fr-FR"/>
        </w:rPr>
        <w:footnoteReference w:id="68"/>
      </w:r>
      <w:r w:rsidRPr="00E556AF">
        <w:rPr>
          <w:lang w:eastAsia="fr-FR"/>
        </w:rPr>
        <w:t xml:space="preserve"> as well as the United Nations</w:t>
      </w:r>
      <w:r w:rsidRPr="00E556AF">
        <w:rPr>
          <w:vertAlign w:val="superscript"/>
          <w:lang w:eastAsia="fr-FR"/>
        </w:rPr>
        <w:footnoteReference w:id="69"/>
      </w:r>
      <w:r w:rsidRPr="00E556AF">
        <w:rPr>
          <w:lang w:eastAsia="fr-FR"/>
        </w:rPr>
        <w:t>, contrary to what is affirmed in the State report, according to which investigation teams of, among others, the Ministry of Human Rights could visit detention facilities</w:t>
      </w:r>
      <w:r w:rsidRPr="00E556AF">
        <w:rPr>
          <w:vertAlign w:val="superscript"/>
          <w:lang w:eastAsia="fr-FR"/>
        </w:rPr>
        <w:footnoteReference w:id="70"/>
      </w:r>
      <w:r w:rsidRPr="00E556AF">
        <w:rPr>
          <w:lang w:eastAsia="fr-FR"/>
        </w:rPr>
        <w:t xml:space="preserve">. </w:t>
      </w:r>
    </w:p>
    <w:p w:rsidR="003A1CB7" w:rsidRPr="00E556AF" w:rsidRDefault="003A1CB7" w:rsidP="003A1CB7">
      <w:pPr>
        <w:rPr>
          <w:lang w:eastAsia="fr-FR"/>
        </w:rPr>
      </w:pPr>
    </w:p>
    <w:p w:rsidR="00BF0356" w:rsidRDefault="003A1CB7" w:rsidP="009E1FAF">
      <w:pPr>
        <w:pStyle w:val="Paragraphedeliste"/>
        <w:ind w:left="0"/>
        <w:rPr>
          <w:lang w:eastAsia="fr-FR"/>
        </w:rPr>
      </w:pPr>
      <w:r w:rsidRPr="00C15ADC">
        <w:rPr>
          <w:lang w:eastAsia="fr-FR"/>
        </w:rPr>
        <w:t xml:space="preserve">Finally, the threat of or the use of torture is used </w:t>
      </w:r>
      <w:r>
        <w:rPr>
          <w:lang w:eastAsia="fr-FR"/>
        </w:rPr>
        <w:t>by prison officers</w:t>
      </w:r>
      <w:r w:rsidRPr="00C15ADC">
        <w:rPr>
          <w:lang w:eastAsia="fr-FR"/>
        </w:rPr>
        <w:t xml:space="preserve"> to extract bribes from defendants, their family members and/or their lawyers</w:t>
      </w:r>
      <w:r w:rsidRPr="00731A51">
        <w:rPr>
          <w:lang w:eastAsia="fr-FR"/>
        </w:rPr>
        <w:t xml:space="preserve"> </w:t>
      </w:r>
      <w:r w:rsidRPr="00C15ADC">
        <w:rPr>
          <w:lang w:eastAsia="fr-FR"/>
        </w:rPr>
        <w:t>as well</w:t>
      </w:r>
      <w:r w:rsidRPr="00C15ADC">
        <w:rPr>
          <w:vertAlign w:val="superscript"/>
          <w:lang w:eastAsia="fr-FR"/>
        </w:rPr>
        <w:footnoteReference w:id="71"/>
      </w:r>
      <w:r w:rsidRPr="00C15ADC">
        <w:rPr>
          <w:lang w:eastAsia="fr-FR"/>
        </w:rPr>
        <w:t>.</w:t>
      </w:r>
    </w:p>
    <w:p w:rsidR="00657570" w:rsidRPr="00EE36F4" w:rsidRDefault="00657570" w:rsidP="009E1FAF">
      <w:pPr>
        <w:pStyle w:val="Paragraphedeliste"/>
        <w:ind w:left="0"/>
        <w:rPr>
          <w:lang w:eastAsia="fr-FR"/>
        </w:rPr>
      </w:pPr>
    </w:p>
    <w:p w:rsidR="00BF0356" w:rsidRPr="00EE36F4" w:rsidRDefault="0039530F" w:rsidP="005A6A9E">
      <w:pPr>
        <w:pStyle w:val="Titre3"/>
        <w:rPr>
          <w:lang w:val="en-GB"/>
        </w:rPr>
      </w:pPr>
      <w:bookmarkStart w:id="19" w:name="_Toc430939992"/>
      <w:r w:rsidRPr="0039530F">
        <w:rPr>
          <w:lang w:val="en-GB"/>
        </w:rPr>
        <w:t>Reliance on information extracted through torture as evidence in proceedings</w:t>
      </w:r>
      <w:bookmarkEnd w:id="19"/>
    </w:p>
    <w:p w:rsidR="00BF0356" w:rsidRPr="00EE36F4" w:rsidRDefault="00BF0356" w:rsidP="005A6A9E">
      <w:pPr>
        <w:rPr>
          <w:lang w:eastAsia="fr-FR"/>
        </w:rPr>
      </w:pPr>
    </w:p>
    <w:p w:rsidR="009B3E9E" w:rsidRDefault="003A1CB7">
      <w:pPr>
        <w:contextualSpacing/>
      </w:pPr>
      <w:r w:rsidRPr="00E556AF">
        <w:rPr>
          <w:lang w:eastAsia="fr-FR"/>
        </w:rPr>
        <w:t xml:space="preserve">Given that torture is used first and foremost to extract information from defendants, it is not surprising to note that “confessions” extracted under torture are then systematically used during trial as the main, if not the sole, source of evidence, despite the fact that during its review before the Human Rights Council in 2010 Iraq had agreed to </w:t>
      </w:r>
      <w:r w:rsidRPr="00E556AF">
        <w:t>“[</w:t>
      </w:r>
      <w:proofErr w:type="spellStart"/>
      <w:r w:rsidRPr="00E556AF">
        <w:t>i</w:t>
      </w:r>
      <w:proofErr w:type="spellEnd"/>
      <w:r w:rsidRPr="00E556AF">
        <w:t>]</w:t>
      </w:r>
      <w:proofErr w:type="spellStart"/>
      <w:r w:rsidRPr="00E556AF">
        <w:t>ncrease</w:t>
      </w:r>
      <w:proofErr w:type="spellEnd"/>
      <w:r w:rsidRPr="00E556AF">
        <w:t xml:space="preserve"> its efforts at eradicating torture” and to “consider inadmissible the confessions obtained under torture or ill treatment”</w:t>
      </w:r>
      <w:r w:rsidRPr="00E556AF">
        <w:rPr>
          <w:vertAlign w:val="superscript"/>
        </w:rPr>
        <w:footnoteReference w:id="72"/>
      </w:r>
      <w:r w:rsidRPr="00E556AF">
        <w:t>, commitments that were reaffirmed during its last Universal Periodic Review in November 2014</w:t>
      </w:r>
      <w:r w:rsidRPr="00E556AF">
        <w:rPr>
          <w:vertAlign w:val="superscript"/>
        </w:rPr>
        <w:footnoteReference w:id="73"/>
      </w:r>
      <w:r w:rsidRPr="00E556AF">
        <w:t xml:space="preserve">. </w:t>
      </w:r>
    </w:p>
    <w:p w:rsidR="003A1CB7" w:rsidRPr="00E556AF" w:rsidRDefault="003A1CB7" w:rsidP="003A1CB7">
      <w:pPr>
        <w:rPr>
          <w:u w:val="single"/>
          <w:lang w:eastAsia="fr-FR"/>
        </w:rPr>
      </w:pPr>
    </w:p>
    <w:p w:rsidR="003A1CB7" w:rsidRPr="00E556AF" w:rsidRDefault="003A1CB7" w:rsidP="003A1CB7">
      <w:r w:rsidRPr="00E556AF">
        <w:t>Police officers commonly state that “confessions are the king of evidence”, as once a “confession” is obtained, law enforcement officials largely believe that this absolves them from obtaining proper evidence that substantiates the guilt or innocence of suspects</w:t>
      </w:r>
      <w:r w:rsidRPr="00E556AF">
        <w:rPr>
          <w:vertAlign w:val="superscript"/>
        </w:rPr>
        <w:footnoteReference w:id="74"/>
      </w:r>
      <w:r w:rsidRPr="00E556AF">
        <w:t>. The Iraqi authorities recognise that confessions carry “considerable weight” and “significantly influence” before the judicial body before which it is made</w:t>
      </w:r>
      <w:r w:rsidRPr="00E556AF">
        <w:rPr>
          <w:vertAlign w:val="superscript"/>
        </w:rPr>
        <w:footnoteReference w:id="75"/>
      </w:r>
      <w:r w:rsidRPr="00E556AF">
        <w:t>. This heavy reliance on confessions is allowed by article 217 CCP, according to which the trial court has absolute authority to decide whether a pre-trial confession is admitted as incriminating evidence, even if the witness subsequently withdraws his statement. The judge can also “divide the admission up”, i.e. “accept the part which it believes to be correct and reject the rest.”</w:t>
      </w:r>
      <w:r w:rsidRPr="00E556AF">
        <w:rPr>
          <w:sz w:val="16"/>
          <w:szCs w:val="16"/>
        </w:rPr>
        <w:t xml:space="preserve"> </w:t>
      </w:r>
      <w:r w:rsidRPr="00E556AF">
        <w:rPr>
          <w:vertAlign w:val="superscript"/>
        </w:rPr>
        <w:footnoteReference w:id="76"/>
      </w:r>
      <w:r w:rsidRPr="00E556AF">
        <w:t xml:space="preserve"> </w:t>
      </w:r>
    </w:p>
    <w:p w:rsidR="003A1CB7" w:rsidRPr="00E556AF" w:rsidRDefault="003A1CB7" w:rsidP="003A1CB7"/>
    <w:p w:rsidR="003A1CB7" w:rsidRPr="00E556AF" w:rsidRDefault="003A1CB7" w:rsidP="003A1CB7">
      <w:r w:rsidRPr="00E556AF">
        <w:t>In addition, except from a Constitutional provision according to which “no account shall be taken of any confession extracted under duress, threat or torture”</w:t>
      </w:r>
      <w:r w:rsidRPr="00E556AF">
        <w:rPr>
          <w:vertAlign w:val="superscript"/>
        </w:rPr>
        <w:footnoteReference w:id="77"/>
      </w:r>
      <w:r w:rsidRPr="00E556AF">
        <w:t xml:space="preserve">, no other provision addressing this issue refers to the term “torture” </w:t>
      </w:r>
      <w:r w:rsidRPr="00E556AF">
        <w:rPr>
          <w:i/>
          <w:iCs/>
        </w:rPr>
        <w:t>per se</w:t>
      </w:r>
      <w:r w:rsidRPr="00E556AF">
        <w:t xml:space="preserve"> but instead to “illegal methods” or “coercion”. In particular, article 127 CCP prohibits the use of “illegal means to influence the accused for the purpose of extracting [an admission]”</w:t>
      </w:r>
      <w:r w:rsidRPr="00E556AF">
        <w:rPr>
          <w:vertAlign w:val="superscript"/>
        </w:rPr>
        <w:footnoteReference w:id="78"/>
      </w:r>
      <w:r w:rsidRPr="00E556AF">
        <w:t>, i.e. “[</w:t>
      </w:r>
      <w:proofErr w:type="spellStart"/>
      <w:r w:rsidRPr="00E556AF">
        <w:t>i</w:t>
      </w:r>
      <w:proofErr w:type="spellEnd"/>
      <w:r w:rsidRPr="00E556AF">
        <w:t>]</w:t>
      </w:r>
      <w:proofErr w:type="spellStart"/>
      <w:r w:rsidRPr="00E556AF">
        <w:t>ll</w:t>
      </w:r>
      <w:proofErr w:type="spellEnd"/>
      <w:r w:rsidRPr="00E556AF">
        <w:t xml:space="preserve">-treatment, threats, injury, enticement, promises, psychological influence or use of drugs or intoxicants”. Although Iraq’s national report uses the word “confession”, the Arabic version of the CCP refers instead to the term </w:t>
      </w:r>
      <w:proofErr w:type="spellStart"/>
      <w:r w:rsidRPr="00E556AF">
        <w:rPr>
          <w:i/>
          <w:iCs/>
        </w:rPr>
        <w:t>iqrar</w:t>
      </w:r>
      <w:proofErr w:type="spellEnd"/>
      <w:r w:rsidRPr="00E556AF">
        <w:t xml:space="preserve"> (admission) rather than </w:t>
      </w:r>
      <w:proofErr w:type="spellStart"/>
      <w:r w:rsidRPr="00E556AF">
        <w:rPr>
          <w:i/>
          <w:iCs/>
        </w:rPr>
        <w:t>i’tiraf</w:t>
      </w:r>
      <w:proofErr w:type="spellEnd"/>
      <w:r w:rsidRPr="00E556AF">
        <w:t xml:space="preserve"> (confession). Likewise, article 218 CCP states that admissions must not have bee</w:t>
      </w:r>
      <w:r w:rsidR="00657570">
        <w:t>n made as a result of coercion.</w:t>
      </w:r>
      <w:r w:rsidRPr="00E556AF">
        <w:rPr>
          <w:vertAlign w:val="superscript"/>
        </w:rPr>
        <w:footnoteReference w:id="79"/>
      </w:r>
      <w:r w:rsidRPr="00E556AF">
        <w:t xml:space="preserve"> </w:t>
      </w:r>
    </w:p>
    <w:p w:rsidR="003A1CB7" w:rsidRPr="00E556AF" w:rsidRDefault="003A1CB7" w:rsidP="003A1CB7">
      <w:pPr>
        <w:ind w:left="720"/>
      </w:pPr>
    </w:p>
    <w:p w:rsidR="003A1CB7" w:rsidRPr="00E556AF" w:rsidRDefault="003A1CB7" w:rsidP="003A1CB7">
      <w:r w:rsidRPr="00E556AF">
        <w:t>However, it is noteworthy that this provision was amended in 2003 by CPA Memorandum No. 3 which removed the following: “if there is no causal link between the coercion and the admission or if the admission is corroborated by other evidence which convinces the court that it is true or which has led to uncovering a certain truth, then the court may accept it.” These terms clearly allowed for the admission of forced confessions in the course of the proceedings.</w:t>
      </w:r>
    </w:p>
    <w:p w:rsidR="003A1CB7" w:rsidRPr="00E556AF" w:rsidRDefault="003A1CB7" w:rsidP="003A1CB7">
      <w:pPr>
        <w:ind w:left="720"/>
      </w:pPr>
    </w:p>
    <w:p w:rsidR="00BD1613" w:rsidRDefault="003A1CB7">
      <w:pPr>
        <w:contextualSpacing/>
        <w:rPr>
          <w:lang w:eastAsia="fr-FR"/>
        </w:rPr>
      </w:pPr>
      <w:r w:rsidRPr="00E556AF">
        <w:t>Nevertheless, although this provision was theoretically repealed, according to UNAMI, there is still uncertainty among some judges as to whether the legislation passed by the CPA is applicable or remains in force, which “may offer some explanation to judges’ continuing reliance on disputed confession as evidence, since the Iraqi Criminal Procedure Code allows them to do so.”</w:t>
      </w:r>
      <w:r w:rsidRPr="00E556AF">
        <w:rPr>
          <w:vertAlign w:val="superscript"/>
        </w:rPr>
        <w:footnoteReference w:id="80"/>
      </w:r>
      <w:r w:rsidRPr="00E556AF">
        <w:t xml:space="preserve"> In such a flawed system, judges not only accept to use information extracted through torture as a source of evidence, but also systematically reject all torture allegations brought to their attention and subsequently refuse to open investigations. In this way, </w:t>
      </w:r>
      <w:r w:rsidRPr="00E556AF">
        <w:rPr>
          <w:lang w:eastAsia="fr-FR"/>
        </w:rPr>
        <w:t xml:space="preserve">judges are largely responsible for sustaining a system that is reliant on torture to ensure convictions and also </w:t>
      </w:r>
      <w:r w:rsidR="001171B5">
        <w:rPr>
          <w:lang w:eastAsia="fr-FR"/>
        </w:rPr>
        <w:t>provide immunity to</w:t>
      </w:r>
      <w:r w:rsidRPr="00E556AF">
        <w:rPr>
          <w:lang w:eastAsia="fr-FR"/>
        </w:rPr>
        <w:t xml:space="preserve"> police and intelligence officers </w:t>
      </w:r>
      <w:r w:rsidR="001171B5">
        <w:rPr>
          <w:lang w:eastAsia="fr-FR"/>
        </w:rPr>
        <w:t>responsible</w:t>
      </w:r>
      <w:r w:rsidR="001171B5" w:rsidRPr="00E556AF">
        <w:rPr>
          <w:lang w:eastAsia="fr-FR"/>
        </w:rPr>
        <w:t xml:space="preserve"> </w:t>
      </w:r>
      <w:r w:rsidRPr="00E556AF">
        <w:rPr>
          <w:lang w:eastAsia="fr-FR"/>
        </w:rPr>
        <w:t>for torture</w:t>
      </w:r>
      <w:r w:rsidR="001171B5">
        <w:rPr>
          <w:lang w:eastAsia="fr-FR"/>
        </w:rPr>
        <w:t>, thus impeding victims from having access to a remedy.</w:t>
      </w:r>
      <w:r w:rsidRPr="00E556AF">
        <w:rPr>
          <w:lang w:eastAsia="fr-FR"/>
        </w:rPr>
        <w:t xml:space="preserve"> </w:t>
      </w:r>
    </w:p>
    <w:p w:rsidR="003A1CB7" w:rsidRPr="00E556AF" w:rsidRDefault="003A1CB7" w:rsidP="003A1CB7">
      <w:pPr>
        <w:contextualSpacing/>
      </w:pPr>
    </w:p>
    <w:p w:rsidR="00BD1613" w:rsidRDefault="003A1CB7">
      <w:pPr>
        <w:tabs>
          <w:tab w:val="left" w:pos="284"/>
        </w:tabs>
        <w:ind w:left="284" w:right="283"/>
      </w:pPr>
      <w:r w:rsidRPr="00E556AF">
        <w:t>The case of</w:t>
      </w:r>
      <w:r w:rsidRPr="00E556AF">
        <w:rPr>
          <w:b/>
          <w:bCs/>
          <w:i/>
          <w:iCs/>
        </w:rPr>
        <w:t xml:space="preserve"> </w:t>
      </w:r>
      <w:r w:rsidRPr="00E556AF">
        <w:rPr>
          <w:b/>
          <w:bCs/>
        </w:rPr>
        <w:t xml:space="preserve">Mr </w:t>
      </w:r>
      <w:proofErr w:type="spellStart"/>
      <w:r w:rsidRPr="00E556AF">
        <w:rPr>
          <w:b/>
          <w:bCs/>
        </w:rPr>
        <w:t>Riad</w:t>
      </w:r>
      <w:proofErr w:type="spellEnd"/>
      <w:r w:rsidRPr="00E556AF">
        <w:rPr>
          <w:b/>
          <w:bCs/>
        </w:rPr>
        <w:t xml:space="preserve"> Abdel </w:t>
      </w:r>
      <w:proofErr w:type="spellStart"/>
      <w:r w:rsidRPr="00E556AF">
        <w:rPr>
          <w:b/>
          <w:bCs/>
        </w:rPr>
        <w:t>Majeed</w:t>
      </w:r>
      <w:proofErr w:type="spellEnd"/>
      <w:r w:rsidRPr="00E556AF">
        <w:rPr>
          <w:b/>
          <w:bCs/>
        </w:rPr>
        <w:t xml:space="preserve"> Al </w:t>
      </w:r>
      <w:proofErr w:type="spellStart"/>
      <w:r w:rsidRPr="00E556AF">
        <w:rPr>
          <w:b/>
          <w:bCs/>
        </w:rPr>
        <w:t>Obeidi</w:t>
      </w:r>
      <w:proofErr w:type="spellEnd"/>
      <w:r w:rsidRPr="00E556AF">
        <w:rPr>
          <w:iCs/>
          <w:vertAlign w:val="superscript"/>
        </w:rPr>
        <w:footnoteReference w:id="81"/>
      </w:r>
      <w:r w:rsidR="001171B5">
        <w:rPr>
          <w:b/>
          <w:bCs/>
        </w:rPr>
        <w:t xml:space="preserve"> </w:t>
      </w:r>
      <w:r w:rsidRPr="007958AD">
        <w:t xml:space="preserve">Alkarama submitted to </w:t>
      </w:r>
      <w:r>
        <w:t xml:space="preserve">Committee on </w:t>
      </w:r>
      <w:r w:rsidRPr="007958AD">
        <w:t>E</w:t>
      </w:r>
      <w:r>
        <w:t xml:space="preserve">nforced </w:t>
      </w:r>
      <w:r w:rsidRPr="007958AD">
        <w:t>D</w:t>
      </w:r>
      <w:r>
        <w:t>isappearances</w:t>
      </w:r>
      <w:r w:rsidRPr="00E556AF">
        <w:rPr>
          <w:b/>
          <w:bCs/>
          <w:i/>
          <w:iCs/>
        </w:rPr>
        <w:t xml:space="preserve"> </w:t>
      </w:r>
      <w:r w:rsidRPr="00E556AF">
        <w:t xml:space="preserve">is particularly </w:t>
      </w:r>
      <w:r w:rsidR="001171B5">
        <w:t>illustrative</w:t>
      </w:r>
      <w:r w:rsidR="001171B5" w:rsidRPr="00E556AF">
        <w:t xml:space="preserve"> </w:t>
      </w:r>
      <w:r w:rsidRPr="00E556AF">
        <w:t xml:space="preserve">of the practice of torture during secret detention and the reliance of the judicial authorities on information extracted under torture as a base for conviction. Mr Al </w:t>
      </w:r>
      <w:proofErr w:type="spellStart"/>
      <w:r w:rsidRPr="00E556AF">
        <w:t>Obeidi</w:t>
      </w:r>
      <w:proofErr w:type="spellEnd"/>
      <w:r w:rsidRPr="00E556AF">
        <w:t>,</w:t>
      </w:r>
      <w:r w:rsidRPr="00E556AF">
        <w:rPr>
          <w:b/>
          <w:bCs/>
          <w:i/>
          <w:iCs/>
        </w:rPr>
        <w:t xml:space="preserve"> </w:t>
      </w:r>
      <w:r w:rsidRPr="00E556AF">
        <w:t>a 61-year-old retired Air Force Brigade pilot from Al-</w:t>
      </w:r>
      <w:proofErr w:type="spellStart"/>
      <w:r w:rsidRPr="00E556AF">
        <w:t>A'amiriya</w:t>
      </w:r>
      <w:proofErr w:type="spellEnd"/>
      <w:r w:rsidRPr="00E556AF">
        <w:t>, was abducted on 1 June 2014 by a patrol of the 54</w:t>
      </w:r>
      <w:r w:rsidRPr="00E556AF">
        <w:rPr>
          <w:vertAlign w:val="superscript"/>
        </w:rPr>
        <w:t>th</w:t>
      </w:r>
      <w:r w:rsidRPr="00E556AF">
        <w:t xml:space="preserve"> and 56</w:t>
      </w:r>
      <w:r w:rsidRPr="00E556AF">
        <w:rPr>
          <w:vertAlign w:val="superscript"/>
        </w:rPr>
        <w:t>th</w:t>
      </w:r>
      <w:r w:rsidRPr="00E556AF">
        <w:t xml:space="preserve"> Brigades of the Army – also known as the “Baghdad Brigade” –, the Iraqi National Intelligence and the Military Intelligence, who forced him into a car before taking him to Al </w:t>
      </w:r>
      <w:proofErr w:type="spellStart"/>
      <w:r w:rsidRPr="00E556AF">
        <w:t>Muthanna</w:t>
      </w:r>
      <w:proofErr w:type="spellEnd"/>
      <w:r w:rsidRPr="00E556AF">
        <w:t xml:space="preserve"> airport’s detention facility. Four months later, in October 2014, his family was finally allowed to visit him in detention once a month.</w:t>
      </w:r>
    </w:p>
    <w:p w:rsidR="003A1CB7" w:rsidRPr="00E556AF" w:rsidRDefault="003A1CB7" w:rsidP="003A1CB7">
      <w:pPr>
        <w:tabs>
          <w:tab w:val="left" w:pos="284"/>
        </w:tabs>
        <w:ind w:left="284" w:right="283"/>
      </w:pPr>
    </w:p>
    <w:p w:rsidR="003A1CB7" w:rsidRPr="00E556AF" w:rsidRDefault="003A1CB7" w:rsidP="003A1CB7">
      <w:pPr>
        <w:tabs>
          <w:tab w:val="left" w:pos="284"/>
        </w:tabs>
        <w:ind w:left="284" w:right="283"/>
      </w:pPr>
      <w:r w:rsidRPr="00E556AF">
        <w:t>His relatives then learned that during the first 45 days of his secret detention, he was held in solitary confinement in a sewage room, blindfolded and with his hands tied. He was severely tortured, beaten up with sticks, whipped, and repeatedly electrocuted, including on the most sensitive parts of his body. As a consequence of the torture he suffered, he lost sight in one eye and part of his hearing.</w:t>
      </w:r>
    </w:p>
    <w:p w:rsidR="003A1CB7" w:rsidRPr="00E556AF" w:rsidRDefault="003A1CB7" w:rsidP="003A1CB7">
      <w:pPr>
        <w:tabs>
          <w:tab w:val="left" w:pos="284"/>
        </w:tabs>
        <w:ind w:left="284" w:right="283"/>
      </w:pPr>
    </w:p>
    <w:p w:rsidR="003A1CB7" w:rsidRPr="00E556AF" w:rsidRDefault="003A1CB7" w:rsidP="003A1CB7">
      <w:pPr>
        <w:tabs>
          <w:tab w:val="left" w:pos="284"/>
        </w:tabs>
        <w:ind w:left="284" w:right="283"/>
      </w:pPr>
      <w:r w:rsidRPr="00E556AF">
        <w:t xml:space="preserve">Al </w:t>
      </w:r>
      <w:proofErr w:type="spellStart"/>
      <w:r w:rsidRPr="00E556AF">
        <w:t>Obeidi</w:t>
      </w:r>
      <w:proofErr w:type="spellEnd"/>
      <w:r w:rsidRPr="00E556AF">
        <w:t xml:space="preserve"> was then forced to sign confessions that were later used to indict him in two cases, including on the basis of article 4 of the 2005 Anti-Terrorism Law under which defendants face the death penalty. On 12 April 2015, the judicial authorities ordered his release. To this day, no investigation has been opened into his disappearance and subsequent torture and he was therefore unable to obtain redress.</w:t>
      </w:r>
    </w:p>
    <w:p w:rsidR="003A1CB7" w:rsidRPr="00E556AF" w:rsidRDefault="003A1CB7" w:rsidP="003A1CB7">
      <w:pPr>
        <w:contextualSpacing/>
        <w:rPr>
          <w:lang w:eastAsia="fr-FR"/>
        </w:rPr>
      </w:pPr>
    </w:p>
    <w:p w:rsidR="00BF0356" w:rsidRPr="00EE36F4" w:rsidRDefault="0039530F" w:rsidP="005A6A9E">
      <w:pPr>
        <w:pStyle w:val="Titre3"/>
        <w:rPr>
          <w:lang w:val="en-GB"/>
        </w:rPr>
      </w:pPr>
      <w:bookmarkStart w:id="20" w:name="_Toc430939993"/>
      <w:r w:rsidRPr="0039530F">
        <w:rPr>
          <w:lang w:val="en-GB"/>
        </w:rPr>
        <w:t>Lack of accountability</w:t>
      </w:r>
      <w:bookmarkEnd w:id="20"/>
      <w:r w:rsidRPr="0039530F">
        <w:rPr>
          <w:lang w:val="en-GB"/>
        </w:rPr>
        <w:t xml:space="preserve"> </w:t>
      </w:r>
    </w:p>
    <w:p w:rsidR="00BF0356" w:rsidRPr="00EE36F4" w:rsidRDefault="00BF0356" w:rsidP="005A6A9E">
      <w:pPr>
        <w:rPr>
          <w:lang w:eastAsia="fr-FR"/>
        </w:rPr>
      </w:pPr>
    </w:p>
    <w:p w:rsidR="00BD1613" w:rsidRDefault="003A1CB7">
      <w:pPr>
        <w:contextualSpacing/>
        <w:rPr>
          <w:lang w:eastAsia="fr-FR"/>
        </w:rPr>
      </w:pPr>
      <w:r w:rsidRPr="00E556AF">
        <w:rPr>
          <w:lang w:eastAsia="fr-FR"/>
        </w:rPr>
        <w:t>When defendants allege having been subjected to torture, judges normally do not question the defendant further about the allegations, while in rare cases judges would simply request the defendant to produce a medical report to support the allegation</w:t>
      </w:r>
      <w:r w:rsidRPr="00E556AF">
        <w:rPr>
          <w:vertAlign w:val="superscript"/>
          <w:lang w:eastAsia="fr-FR"/>
        </w:rPr>
        <w:footnoteReference w:id="82"/>
      </w:r>
      <w:r w:rsidRPr="00E556AF">
        <w:rPr>
          <w:lang w:eastAsia="fr-FR"/>
        </w:rPr>
        <w:t>. It is rare that</w:t>
      </w:r>
      <w:r w:rsidR="00D60F56">
        <w:rPr>
          <w:lang w:eastAsia="fr-FR"/>
        </w:rPr>
        <w:t xml:space="preserve"> the</w:t>
      </w:r>
      <w:r w:rsidRPr="00E556AF">
        <w:rPr>
          <w:lang w:eastAsia="fr-FR"/>
        </w:rPr>
        <w:t xml:space="preserve"> accused are able to provide the judge with any medical certificate, since they are normally denied access to a doctor while in police custody</w:t>
      </w:r>
      <w:r w:rsidR="00D60F56">
        <w:rPr>
          <w:lang w:eastAsia="fr-FR"/>
        </w:rPr>
        <w:t>.</w:t>
      </w:r>
      <w:r w:rsidRPr="00E556AF">
        <w:rPr>
          <w:vertAlign w:val="superscript"/>
          <w:lang w:eastAsia="fr-FR"/>
        </w:rPr>
        <w:t xml:space="preserve"> </w:t>
      </w:r>
      <w:r w:rsidR="00D60F56">
        <w:rPr>
          <w:lang w:eastAsia="fr-FR"/>
        </w:rPr>
        <w:t>E</w:t>
      </w:r>
      <w:r w:rsidRPr="00E556AF">
        <w:rPr>
          <w:lang w:eastAsia="fr-FR"/>
        </w:rPr>
        <w:t xml:space="preserve">ven in the rare cases </w:t>
      </w:r>
      <w:r w:rsidR="00D60F56">
        <w:rPr>
          <w:lang w:eastAsia="fr-FR"/>
        </w:rPr>
        <w:t>in which</w:t>
      </w:r>
      <w:r w:rsidR="00D60F56" w:rsidRPr="00E556AF">
        <w:rPr>
          <w:lang w:eastAsia="fr-FR"/>
        </w:rPr>
        <w:t xml:space="preserve"> </w:t>
      </w:r>
      <w:r w:rsidRPr="00E556AF">
        <w:rPr>
          <w:lang w:eastAsia="fr-FR"/>
        </w:rPr>
        <w:t>the defendants were able to provide a medical report, this did not affect the outcome of the trial and they were convicted to heavy sentences</w:t>
      </w:r>
      <w:r w:rsidRPr="00E556AF">
        <w:rPr>
          <w:vertAlign w:val="superscript"/>
          <w:lang w:eastAsia="fr-FR"/>
        </w:rPr>
        <w:footnoteReference w:id="83"/>
      </w:r>
      <w:r w:rsidRPr="00E556AF">
        <w:rPr>
          <w:lang w:eastAsia="fr-FR"/>
        </w:rPr>
        <w:t>.</w:t>
      </w:r>
    </w:p>
    <w:p w:rsidR="003A1CB7" w:rsidRPr="00E556AF" w:rsidRDefault="003A1CB7" w:rsidP="003A1CB7">
      <w:pPr>
        <w:rPr>
          <w:lang w:eastAsia="fr-FR"/>
        </w:rPr>
      </w:pPr>
    </w:p>
    <w:p w:rsidR="003A1CB7" w:rsidRPr="00E556AF" w:rsidRDefault="00D60F56" w:rsidP="003A1CB7">
      <w:pPr>
        <w:rPr>
          <w:lang w:eastAsia="fr-FR"/>
        </w:rPr>
      </w:pPr>
      <w:r>
        <w:rPr>
          <w:lang w:eastAsia="fr-FR"/>
        </w:rPr>
        <w:t>W</w:t>
      </w:r>
      <w:r w:rsidR="003A1CB7" w:rsidRPr="00E556AF">
        <w:rPr>
          <w:lang w:eastAsia="fr-FR"/>
        </w:rPr>
        <w:t>hen an inquiry is conducted, the acts of torture are covered up</w:t>
      </w:r>
      <w:r>
        <w:rPr>
          <w:lang w:eastAsia="fr-FR"/>
        </w:rPr>
        <w:t xml:space="preserve"> by the investigative authorities</w:t>
      </w:r>
      <w:r w:rsidR="003A1CB7" w:rsidRPr="00E556AF">
        <w:rPr>
          <w:lang w:eastAsia="fr-FR"/>
        </w:rPr>
        <w:t>. For example, in cases of deaths in custody caused by torture – a persistent phenomenon in Iraq</w:t>
      </w:r>
      <w:r w:rsidR="003A1CB7" w:rsidRPr="00E556AF">
        <w:rPr>
          <w:vertAlign w:val="superscript"/>
          <w:lang w:eastAsia="fr-FR"/>
        </w:rPr>
        <w:footnoteReference w:id="84"/>
      </w:r>
      <w:r w:rsidR="003A1CB7" w:rsidRPr="00E556AF">
        <w:rPr>
          <w:lang w:eastAsia="fr-FR"/>
        </w:rPr>
        <w:t xml:space="preserve"> – such as the case of Al</w:t>
      </w:r>
      <w:r w:rsidR="003A1CB7" w:rsidRPr="00E556AF">
        <w:rPr>
          <w:b/>
          <w:bCs/>
          <w:lang w:eastAsia="fr-FR"/>
        </w:rPr>
        <w:t xml:space="preserve"> </w:t>
      </w:r>
      <w:proofErr w:type="spellStart"/>
      <w:r w:rsidR="003A1CB7" w:rsidRPr="00E556AF">
        <w:rPr>
          <w:lang w:eastAsia="fr-FR"/>
        </w:rPr>
        <w:t>Batawi</w:t>
      </w:r>
      <w:proofErr w:type="spellEnd"/>
      <w:r w:rsidR="003A1CB7" w:rsidRPr="00E556AF">
        <w:rPr>
          <w:lang w:eastAsia="fr-FR"/>
        </w:rPr>
        <w:t>, the results of the investigation usually only state the final mechanism of the death and always leave unclear its underlying causes</w:t>
      </w:r>
      <w:r>
        <w:rPr>
          <w:lang w:eastAsia="fr-FR"/>
        </w:rPr>
        <w:t>, i.e. the practice of torture</w:t>
      </w:r>
      <w:r w:rsidR="003A1CB7" w:rsidRPr="00E556AF">
        <w:rPr>
          <w:lang w:eastAsia="fr-FR"/>
        </w:rPr>
        <w:t xml:space="preserve">. </w:t>
      </w:r>
    </w:p>
    <w:p w:rsidR="003A1CB7" w:rsidRPr="00E556AF" w:rsidRDefault="003A1CB7" w:rsidP="003A1CB7">
      <w:pPr>
        <w:rPr>
          <w:lang w:eastAsia="fr-FR"/>
        </w:rPr>
      </w:pPr>
    </w:p>
    <w:p w:rsidR="003A1CB7" w:rsidRPr="00E556AF" w:rsidRDefault="003A1CB7" w:rsidP="003A1CB7">
      <w:pPr>
        <w:tabs>
          <w:tab w:val="left" w:pos="8789"/>
        </w:tabs>
        <w:ind w:left="284" w:right="283"/>
        <w:rPr>
          <w:lang w:eastAsia="fr-FR"/>
        </w:rPr>
      </w:pPr>
      <w:r w:rsidRPr="00E556AF">
        <w:rPr>
          <w:b/>
          <w:bCs/>
          <w:lang w:eastAsia="fr-FR"/>
        </w:rPr>
        <w:t xml:space="preserve">Amir Al </w:t>
      </w:r>
      <w:proofErr w:type="spellStart"/>
      <w:r w:rsidRPr="00E556AF">
        <w:rPr>
          <w:b/>
          <w:bCs/>
          <w:lang w:eastAsia="fr-FR"/>
        </w:rPr>
        <w:t>Batawi</w:t>
      </w:r>
      <w:proofErr w:type="spellEnd"/>
      <w:r w:rsidRPr="00E556AF">
        <w:rPr>
          <w:vertAlign w:val="superscript"/>
          <w:lang w:eastAsia="fr-FR"/>
        </w:rPr>
        <w:footnoteReference w:id="85"/>
      </w:r>
      <w:r w:rsidRPr="00E556AF">
        <w:rPr>
          <w:i/>
          <w:iCs/>
          <w:lang w:eastAsia="fr-FR"/>
        </w:rPr>
        <w:t xml:space="preserve">, </w:t>
      </w:r>
      <w:r w:rsidRPr="00E556AF">
        <w:rPr>
          <w:lang w:eastAsia="fr-FR"/>
        </w:rPr>
        <w:t xml:space="preserve">a 40-year-old member of former Vice President Al </w:t>
      </w:r>
      <w:proofErr w:type="spellStart"/>
      <w:r w:rsidRPr="00E556AF">
        <w:rPr>
          <w:lang w:eastAsia="fr-FR"/>
        </w:rPr>
        <w:t>Hashimi's</w:t>
      </w:r>
      <w:proofErr w:type="spellEnd"/>
      <w:r w:rsidRPr="00E556AF">
        <w:rPr>
          <w:lang w:eastAsia="fr-FR"/>
        </w:rPr>
        <w:t xml:space="preserve"> security personnel, was arrested by the Iraqi Security Forces on 21 December 2011. Charged with terrorism on the basis of the Iraqi Anti-Terrorism Law No.13 of 2005, Al </w:t>
      </w:r>
      <w:proofErr w:type="spellStart"/>
      <w:r w:rsidRPr="00E556AF">
        <w:rPr>
          <w:lang w:eastAsia="fr-FR"/>
        </w:rPr>
        <w:t>Batawi</w:t>
      </w:r>
      <w:proofErr w:type="spellEnd"/>
      <w:r w:rsidRPr="00E556AF">
        <w:rPr>
          <w:lang w:eastAsia="fr-FR"/>
        </w:rPr>
        <w:t xml:space="preserve"> was transferred to </w:t>
      </w:r>
      <w:proofErr w:type="spellStart"/>
      <w:r w:rsidRPr="00E556AF">
        <w:rPr>
          <w:lang w:eastAsia="fr-FR"/>
        </w:rPr>
        <w:t>Baladiyat</w:t>
      </w:r>
      <w:proofErr w:type="spellEnd"/>
      <w:r w:rsidRPr="00E556AF">
        <w:rPr>
          <w:lang w:eastAsia="fr-FR"/>
        </w:rPr>
        <w:t xml:space="preserve"> prison in Baghdad – a detention centre falling under the control of the Ministry of Justice where other members of Al </w:t>
      </w:r>
      <w:proofErr w:type="spellStart"/>
      <w:r w:rsidRPr="00E556AF">
        <w:rPr>
          <w:lang w:eastAsia="fr-FR"/>
        </w:rPr>
        <w:t>Hashimi's</w:t>
      </w:r>
      <w:proofErr w:type="spellEnd"/>
      <w:r w:rsidRPr="00E556AF">
        <w:rPr>
          <w:lang w:eastAsia="fr-FR"/>
        </w:rPr>
        <w:t xml:space="preserve"> staff were detained </w:t>
      </w:r>
      <w:r w:rsidRPr="00E556AF">
        <w:rPr>
          <w:i/>
          <w:iCs/>
          <w:lang w:eastAsia="fr-FR"/>
        </w:rPr>
        <w:t>incommunicado</w:t>
      </w:r>
      <w:r w:rsidRPr="00E556AF">
        <w:rPr>
          <w:lang w:eastAsia="fr-FR"/>
        </w:rPr>
        <w:t xml:space="preserve"> – where he died under torture on 15 March 2012.</w:t>
      </w:r>
    </w:p>
    <w:p w:rsidR="003A1CB7" w:rsidRPr="00E556AF" w:rsidRDefault="003A1CB7" w:rsidP="003A1CB7">
      <w:pPr>
        <w:tabs>
          <w:tab w:val="left" w:pos="8789"/>
        </w:tabs>
        <w:ind w:left="284" w:right="283"/>
        <w:rPr>
          <w:lang w:eastAsia="fr-FR"/>
        </w:rPr>
      </w:pPr>
    </w:p>
    <w:p w:rsidR="003A1CB7" w:rsidRPr="00E556AF" w:rsidRDefault="003A1CB7" w:rsidP="003A1CB7">
      <w:pPr>
        <w:tabs>
          <w:tab w:val="left" w:pos="8789"/>
        </w:tabs>
        <w:ind w:left="284" w:right="283"/>
        <w:rPr>
          <w:lang w:eastAsia="fr-FR"/>
        </w:rPr>
      </w:pPr>
      <w:r w:rsidRPr="00E556AF">
        <w:rPr>
          <w:lang w:eastAsia="fr-FR"/>
        </w:rPr>
        <w:t xml:space="preserve">Five days later, when his body was shown at the Forensic Laboratory of Baghdad, Al </w:t>
      </w:r>
      <w:proofErr w:type="spellStart"/>
      <w:r w:rsidRPr="00E556AF">
        <w:rPr>
          <w:lang w:eastAsia="fr-FR"/>
        </w:rPr>
        <w:t>Batawi's</w:t>
      </w:r>
      <w:proofErr w:type="spellEnd"/>
      <w:r w:rsidRPr="00E556AF">
        <w:rPr>
          <w:lang w:eastAsia="fr-FR"/>
        </w:rPr>
        <w:t xml:space="preserve"> lawyer saw the victim had lost an enormous amount of weight and that he bore obvious signs of torture on his body, such as wounds on sensitive parts of his body, burn marks, and a cut-off tongue.</w:t>
      </w:r>
    </w:p>
    <w:p w:rsidR="003A1CB7" w:rsidRPr="00E556AF" w:rsidRDefault="003A1CB7" w:rsidP="003A1CB7">
      <w:pPr>
        <w:tabs>
          <w:tab w:val="left" w:pos="8789"/>
        </w:tabs>
        <w:ind w:left="284" w:right="283"/>
        <w:rPr>
          <w:lang w:eastAsia="fr-FR"/>
        </w:rPr>
      </w:pPr>
    </w:p>
    <w:p w:rsidR="003A1CB7" w:rsidRPr="00E556AF" w:rsidRDefault="003A1CB7" w:rsidP="003A1CB7">
      <w:pPr>
        <w:tabs>
          <w:tab w:val="left" w:pos="8789"/>
        </w:tabs>
        <w:ind w:left="284" w:right="283"/>
        <w:rPr>
          <w:lang w:eastAsia="fr-FR"/>
        </w:rPr>
      </w:pPr>
      <w:r w:rsidRPr="00E556AF">
        <w:rPr>
          <w:lang w:eastAsia="fr-FR"/>
        </w:rPr>
        <w:t xml:space="preserve">On 25 March 2012, a committee was established to investigate the circumstances of his death, following a request by the Ministry of Human Rights. The Committee found that Al </w:t>
      </w:r>
      <w:proofErr w:type="spellStart"/>
      <w:r w:rsidRPr="00E556AF">
        <w:rPr>
          <w:lang w:eastAsia="fr-FR"/>
        </w:rPr>
        <w:t>Batawi's</w:t>
      </w:r>
      <w:proofErr w:type="spellEnd"/>
      <w:r w:rsidRPr="00E556AF">
        <w:rPr>
          <w:lang w:eastAsia="fr-FR"/>
        </w:rPr>
        <w:t xml:space="preserve"> state of health had started “deteriorating since December 2012” because of several diseases – bronchitis, colon irritation, headache, tonsillitis, inflammation of the intestines, stomach ulceration and bleeding of the higher oesophageal – for which it </w:t>
      </w:r>
      <w:r w:rsidR="00640F9C">
        <w:rPr>
          <w:lang w:eastAsia="fr-FR"/>
        </w:rPr>
        <w:t xml:space="preserve">is </w:t>
      </w:r>
      <w:r w:rsidRPr="00E556AF">
        <w:rPr>
          <w:lang w:eastAsia="fr-FR"/>
        </w:rPr>
        <w:t>said Al-</w:t>
      </w:r>
      <w:proofErr w:type="spellStart"/>
      <w:r w:rsidRPr="00E556AF">
        <w:rPr>
          <w:lang w:eastAsia="fr-FR"/>
        </w:rPr>
        <w:t>Batawi</w:t>
      </w:r>
      <w:proofErr w:type="spellEnd"/>
      <w:r w:rsidRPr="00E556AF">
        <w:rPr>
          <w:lang w:eastAsia="fr-FR"/>
        </w:rPr>
        <w:t xml:space="preserve"> had received the required medical treatments. No mention was made of his loss of weight or even the clear signs of torture that the victim bore on his corpse. To the contrary, the committee concluded that Al </w:t>
      </w:r>
      <w:proofErr w:type="spellStart"/>
      <w:r w:rsidRPr="00E556AF">
        <w:rPr>
          <w:lang w:eastAsia="fr-FR"/>
        </w:rPr>
        <w:t>Batawi</w:t>
      </w:r>
      <w:proofErr w:type="spellEnd"/>
      <w:r w:rsidRPr="00E556AF">
        <w:rPr>
          <w:lang w:eastAsia="fr-FR"/>
        </w:rPr>
        <w:t xml:space="preserve"> “died from a renal deficiency” according to a report from the forensic doctor of the Medical City Hospital, where Al </w:t>
      </w:r>
      <w:proofErr w:type="spellStart"/>
      <w:r w:rsidRPr="00E556AF">
        <w:rPr>
          <w:lang w:eastAsia="fr-FR"/>
        </w:rPr>
        <w:t>Batawi</w:t>
      </w:r>
      <w:proofErr w:type="spellEnd"/>
      <w:r w:rsidRPr="00E556AF">
        <w:rPr>
          <w:lang w:eastAsia="fr-FR"/>
        </w:rPr>
        <w:t xml:space="preserve"> had been transferred to on 14 March 2012 to undergo kidney dialysis.</w:t>
      </w:r>
    </w:p>
    <w:p w:rsidR="003A1CB7" w:rsidRPr="00E556AF" w:rsidRDefault="003A1CB7" w:rsidP="003A1CB7">
      <w:pPr>
        <w:tabs>
          <w:tab w:val="left" w:pos="8789"/>
        </w:tabs>
        <w:ind w:left="284" w:right="283"/>
        <w:rPr>
          <w:lang w:eastAsia="fr-FR"/>
        </w:rPr>
      </w:pPr>
    </w:p>
    <w:p w:rsidR="003A1CB7" w:rsidRPr="00E556AF" w:rsidRDefault="003A1CB7" w:rsidP="003A1CB7">
      <w:pPr>
        <w:tabs>
          <w:tab w:val="left" w:pos="8789"/>
        </w:tabs>
        <w:ind w:left="284" w:right="283"/>
        <w:rPr>
          <w:lang w:eastAsia="fr-FR"/>
        </w:rPr>
      </w:pPr>
      <w:r w:rsidRPr="00E556AF">
        <w:rPr>
          <w:lang w:eastAsia="fr-FR"/>
        </w:rPr>
        <w:t>Contesting the committee's findings, on 29 May 2014</w:t>
      </w:r>
      <w:r w:rsidR="00640F9C">
        <w:rPr>
          <w:lang w:eastAsia="fr-FR"/>
        </w:rPr>
        <w:t>,</w:t>
      </w:r>
      <w:r w:rsidRPr="00E556AF">
        <w:rPr>
          <w:lang w:eastAsia="fr-FR"/>
        </w:rPr>
        <w:t xml:space="preserve"> Al </w:t>
      </w:r>
      <w:proofErr w:type="spellStart"/>
      <w:r w:rsidRPr="00E556AF">
        <w:rPr>
          <w:lang w:eastAsia="fr-FR"/>
        </w:rPr>
        <w:t>Batawi's</w:t>
      </w:r>
      <w:proofErr w:type="spellEnd"/>
      <w:r w:rsidRPr="00E556AF">
        <w:rPr>
          <w:lang w:eastAsia="fr-FR"/>
        </w:rPr>
        <w:t xml:space="preserve"> lawyer submitted a request to open an investigation into his death to the Al </w:t>
      </w:r>
      <w:proofErr w:type="spellStart"/>
      <w:r w:rsidRPr="00E556AF">
        <w:rPr>
          <w:lang w:eastAsia="fr-FR"/>
        </w:rPr>
        <w:t>Karkh</w:t>
      </w:r>
      <w:proofErr w:type="spellEnd"/>
      <w:r w:rsidRPr="00E556AF">
        <w:rPr>
          <w:lang w:eastAsia="fr-FR"/>
        </w:rPr>
        <w:t xml:space="preserve"> Criminal Court in Baghdad, which was immediately rejected under the pretext that </w:t>
      </w:r>
      <w:r w:rsidR="00025F79">
        <w:rPr>
          <w:lang w:eastAsia="fr-FR"/>
        </w:rPr>
        <w:t>“</w:t>
      </w:r>
      <w:r w:rsidRPr="00E556AF">
        <w:rPr>
          <w:lang w:eastAsia="fr-FR"/>
        </w:rPr>
        <w:t xml:space="preserve">the circumstances of Al </w:t>
      </w:r>
      <w:proofErr w:type="spellStart"/>
      <w:r w:rsidRPr="00E556AF">
        <w:rPr>
          <w:lang w:eastAsia="fr-FR"/>
        </w:rPr>
        <w:t>Batawi's</w:t>
      </w:r>
      <w:proofErr w:type="spellEnd"/>
      <w:r w:rsidRPr="00E556AF">
        <w:rPr>
          <w:lang w:eastAsia="fr-FR"/>
        </w:rPr>
        <w:t xml:space="preserve"> death had already been established.</w:t>
      </w:r>
      <w:r w:rsidR="00025F79">
        <w:rPr>
          <w:lang w:eastAsia="fr-FR"/>
        </w:rPr>
        <w:t>”</w:t>
      </w:r>
    </w:p>
    <w:p w:rsidR="003A1CB7" w:rsidRPr="00E556AF" w:rsidRDefault="003A1CB7" w:rsidP="003A1CB7">
      <w:pPr>
        <w:tabs>
          <w:tab w:val="left" w:pos="8789"/>
        </w:tabs>
        <w:ind w:right="140"/>
        <w:rPr>
          <w:b/>
          <w:bCs/>
          <w:lang w:eastAsia="fr-FR"/>
        </w:rPr>
      </w:pPr>
    </w:p>
    <w:p w:rsidR="009B3E9E" w:rsidRDefault="003A1CB7">
      <w:pPr>
        <w:tabs>
          <w:tab w:val="left" w:pos="8789"/>
        </w:tabs>
        <w:ind w:left="284" w:right="283"/>
        <w:rPr>
          <w:lang w:eastAsia="fr-FR"/>
        </w:rPr>
      </w:pPr>
      <w:r w:rsidRPr="00E556AF">
        <w:rPr>
          <w:lang w:eastAsia="fr-FR"/>
        </w:rPr>
        <w:t xml:space="preserve">It is noteworthy that Al </w:t>
      </w:r>
      <w:proofErr w:type="spellStart"/>
      <w:r w:rsidRPr="00E556AF">
        <w:rPr>
          <w:lang w:eastAsia="fr-FR"/>
        </w:rPr>
        <w:t>Batawi</w:t>
      </w:r>
      <w:proofErr w:type="spellEnd"/>
      <w:r w:rsidRPr="00E556AF">
        <w:rPr>
          <w:lang w:eastAsia="fr-FR"/>
        </w:rPr>
        <w:t xml:space="preserve"> died three weeks following the publication of a report by the Supreme Judicial Council</w:t>
      </w:r>
      <w:r w:rsidRPr="00E556AF">
        <w:rPr>
          <w:vertAlign w:val="superscript"/>
          <w:lang w:eastAsia="fr-FR"/>
        </w:rPr>
        <w:footnoteReference w:id="86"/>
      </w:r>
      <w:r w:rsidRPr="00E556AF">
        <w:rPr>
          <w:lang w:eastAsia="fr-FR"/>
        </w:rPr>
        <w:t xml:space="preserve"> in which its judicial investigating committee concluded that none of the 73 people detained in relation to Al </w:t>
      </w:r>
      <w:proofErr w:type="spellStart"/>
      <w:r w:rsidRPr="00E556AF">
        <w:rPr>
          <w:lang w:eastAsia="fr-FR"/>
        </w:rPr>
        <w:t>Hashimi</w:t>
      </w:r>
      <w:proofErr w:type="spellEnd"/>
      <w:r w:rsidRPr="00E556AF">
        <w:rPr>
          <w:lang w:eastAsia="fr-FR"/>
        </w:rPr>
        <w:t xml:space="preserve"> had complained of torture or other ill-treatment.</w:t>
      </w:r>
    </w:p>
    <w:p w:rsidR="003A1CB7" w:rsidRPr="00E556AF" w:rsidRDefault="003A1CB7" w:rsidP="003A1CB7">
      <w:pPr>
        <w:ind w:left="284" w:right="283"/>
        <w:rPr>
          <w:lang w:eastAsia="fr-FR"/>
        </w:rPr>
      </w:pPr>
    </w:p>
    <w:p w:rsidR="00BD1613" w:rsidRDefault="003A1CB7">
      <w:pPr>
        <w:pStyle w:val="Paragraphedeliste"/>
        <w:ind w:left="0"/>
      </w:pPr>
      <w:r w:rsidRPr="00E556AF">
        <w:t xml:space="preserve">Finally, it is also of great concern that judicial responses to allegations of torture in cases involving the administration of the death penalty were no different than in cases with </w:t>
      </w:r>
      <w:r w:rsidR="00025F79">
        <w:t xml:space="preserve">a </w:t>
      </w:r>
      <w:r w:rsidRPr="00E556AF">
        <w:t>less severe penalty, since the judge did not take any further action, and in some instances even decided to amend non capital charges to capital charges</w:t>
      </w:r>
      <w:r w:rsidRPr="00E556AF">
        <w:rPr>
          <w:vertAlign w:val="superscript"/>
        </w:rPr>
        <w:footnoteReference w:id="87"/>
      </w:r>
      <w:r w:rsidRPr="00E556AF">
        <w:t xml:space="preserve">. </w:t>
      </w:r>
    </w:p>
    <w:p w:rsidR="007858CF" w:rsidRDefault="007858CF">
      <w:pPr>
        <w:pStyle w:val="Paragraphedeliste"/>
        <w:ind w:left="0"/>
      </w:pPr>
    </w:p>
    <w:p w:rsidR="007858CF" w:rsidRPr="00B27811" w:rsidRDefault="007858CF">
      <w:pPr>
        <w:pStyle w:val="Paragraphedeliste"/>
        <w:ind w:left="0"/>
        <w:rPr>
          <w:b/>
          <w:bCs/>
          <w:i/>
          <w:iCs/>
        </w:rPr>
      </w:pPr>
      <w:r w:rsidRPr="00B27811">
        <w:rPr>
          <w:b/>
          <w:bCs/>
          <w:i/>
          <w:iCs/>
        </w:rPr>
        <w:t>Recommendations:</w:t>
      </w:r>
    </w:p>
    <w:p w:rsidR="00B27811" w:rsidRPr="007858CF" w:rsidRDefault="00B27811">
      <w:pPr>
        <w:pStyle w:val="Paragraphedeliste"/>
        <w:ind w:left="0"/>
        <w:rPr>
          <w:b/>
          <w:bCs/>
        </w:rPr>
      </w:pPr>
    </w:p>
    <w:p w:rsidR="007858CF" w:rsidRDefault="007858CF" w:rsidP="007858CF">
      <w:pPr>
        <w:pStyle w:val="Paragraphedeliste"/>
        <w:numPr>
          <w:ilvl w:val="0"/>
          <w:numId w:val="35"/>
        </w:numPr>
        <w:rPr>
          <w:color w:val="000000"/>
        </w:rPr>
      </w:pPr>
      <w:r w:rsidRPr="00F14DBD">
        <w:t>Implement the Concluding Observations issued by the Committee against Torture issued at its last review of Iraq in August 2015</w:t>
      </w:r>
      <w:r>
        <w:rPr>
          <w:rStyle w:val="Appelnotedebasdep"/>
        </w:rPr>
        <w:footnoteReference w:id="88"/>
      </w:r>
      <w:r w:rsidRPr="00F14DBD">
        <w:t>;</w:t>
      </w:r>
    </w:p>
    <w:p w:rsidR="007858CF" w:rsidRDefault="007858CF" w:rsidP="007858CF">
      <w:pPr>
        <w:pStyle w:val="Paragraphedeliste"/>
        <w:numPr>
          <w:ilvl w:val="0"/>
          <w:numId w:val="35"/>
        </w:numPr>
        <w:rPr>
          <w:color w:val="000000"/>
        </w:rPr>
      </w:pPr>
      <w:r w:rsidRPr="00F14DBD">
        <w:t>Ensure that the principle of the absolute prohibition of torture is incorporated in Iraqi legislation and i</w:t>
      </w:r>
      <w:r>
        <w:t>s</w:t>
      </w:r>
      <w:r w:rsidRPr="00F14DBD">
        <w:t xml:space="preserve"> strict</w:t>
      </w:r>
      <w:r>
        <w:t>ly</w:t>
      </w:r>
      <w:r w:rsidRPr="00F14DBD">
        <w:t xml:space="preserve"> appli</w:t>
      </w:r>
      <w:r>
        <w:t xml:space="preserve">ed and that </w:t>
      </w:r>
      <w:r w:rsidRPr="00F14DBD">
        <w:t>torture is adequately criminalised, ensuring that an adequate punishment is provided in</w:t>
      </w:r>
      <w:r>
        <w:t xml:space="preserve"> the</w:t>
      </w:r>
      <w:r w:rsidRPr="00F14DBD">
        <w:t xml:space="preserve"> law;</w:t>
      </w:r>
    </w:p>
    <w:p w:rsidR="007858CF" w:rsidRDefault="007858CF" w:rsidP="007858CF">
      <w:pPr>
        <w:pStyle w:val="Paragraphedeliste"/>
        <w:numPr>
          <w:ilvl w:val="0"/>
          <w:numId w:val="35"/>
        </w:numPr>
        <w:rPr>
          <w:color w:val="000000"/>
        </w:rPr>
      </w:pPr>
      <w:r w:rsidRPr="00EE36F4">
        <w:t>Ensure that all detainees are afforded, by law and in practice, all fundamental legal safeguards from the very outset of their deprivation of liberty</w:t>
      </w:r>
      <w:r>
        <w:t xml:space="preserve"> and</w:t>
      </w:r>
      <w:r w:rsidRPr="00541830">
        <w:rPr>
          <w:color w:val="000000"/>
        </w:rPr>
        <w:t xml:space="preserve"> that no one is detained in any secret detention centres, investigate and disclose the existence of any other such facility and put them under the protection of the law;</w:t>
      </w:r>
    </w:p>
    <w:p w:rsidR="007858CF" w:rsidRPr="004E08BF" w:rsidRDefault="007858CF" w:rsidP="007858CF">
      <w:pPr>
        <w:pStyle w:val="Paragraphedeliste"/>
        <w:numPr>
          <w:ilvl w:val="0"/>
          <w:numId w:val="35"/>
        </w:numPr>
        <w:rPr>
          <w:color w:val="000000"/>
        </w:rPr>
      </w:pPr>
      <w:r w:rsidRPr="00541830">
        <w:rPr>
          <w:color w:val="000000"/>
        </w:rPr>
        <w:t>Bring all detention facilities under the exclusive authority of the Ministry of Justice</w:t>
      </w:r>
      <w:r>
        <w:rPr>
          <w:color w:val="000000"/>
        </w:rPr>
        <w:t xml:space="preserve"> and </w:t>
      </w:r>
      <w:r>
        <w:t>g</w:t>
      </w:r>
      <w:r w:rsidRPr="00EE36F4">
        <w:t>uarantee that the High Commission for Human Rights is granted access to all places of detention</w:t>
      </w:r>
      <w:r w:rsidRPr="00F14DBD">
        <w:t>;</w:t>
      </w:r>
    </w:p>
    <w:p w:rsidR="004E08BF" w:rsidRDefault="004E08BF" w:rsidP="004E08BF">
      <w:pPr>
        <w:pStyle w:val="Paragraphedeliste"/>
        <w:numPr>
          <w:ilvl w:val="0"/>
          <w:numId w:val="35"/>
        </w:numPr>
        <w:rPr>
          <w:color w:val="000000"/>
        </w:rPr>
      </w:pPr>
      <w:r w:rsidRPr="00EE36F4">
        <w:t>Take the necessary measures to alleviate the overcrowding of the penitentiary institutions and other detention facilities, and ensure that inmates have access t</w:t>
      </w:r>
      <w:r w:rsidRPr="00F14DBD">
        <w:t>o health care and medical visits;</w:t>
      </w:r>
    </w:p>
    <w:p w:rsidR="007858CF" w:rsidRDefault="007858CF" w:rsidP="007858CF">
      <w:pPr>
        <w:pStyle w:val="Paragraphedeliste"/>
        <w:numPr>
          <w:ilvl w:val="0"/>
          <w:numId w:val="35"/>
        </w:numPr>
      </w:pPr>
      <w:r w:rsidRPr="00F14DBD">
        <w:t>Ensure effective measures to guarantee that information extracted under torture are inadmissible, except when invoked against a person accused of torture as evidence that the statement was made and take sanctions against judges who fail to respond appropriately to allegations of torture raised during judicial proceedings;</w:t>
      </w:r>
    </w:p>
    <w:p w:rsidR="001F1C4F" w:rsidRPr="001F1C4F" w:rsidRDefault="007858CF" w:rsidP="007858CF">
      <w:pPr>
        <w:pStyle w:val="Paragraphedeliste"/>
        <w:numPr>
          <w:ilvl w:val="0"/>
          <w:numId w:val="35"/>
        </w:numPr>
      </w:pPr>
      <w:r w:rsidRPr="00F14DBD">
        <w:rPr>
          <w:color w:val="000000"/>
        </w:rPr>
        <w:t xml:space="preserve">Ensure that all allegations of torture and ill-treatment are investigated promptly, effectively and impartially, and that the perpetrators are prosecuted and convicted in accordance with the gravity of their acts; </w:t>
      </w:r>
    </w:p>
    <w:p w:rsidR="007858CF" w:rsidRDefault="007858CF" w:rsidP="007858CF">
      <w:pPr>
        <w:pStyle w:val="Paragraphedeliste"/>
        <w:numPr>
          <w:ilvl w:val="0"/>
          <w:numId w:val="35"/>
        </w:numPr>
      </w:pPr>
      <w:r w:rsidRPr="00F14DBD">
        <w:t>E</w:t>
      </w:r>
      <w:r w:rsidRPr="00EE36F4">
        <w:t>nsure that all victims of torture and ill-treatment are identified, obtain redress and have an enforceable right to fair</w:t>
      </w:r>
      <w:r w:rsidRPr="00F14DBD">
        <w:t xml:space="preserve"> and adequate compensation, including the means for </w:t>
      </w:r>
      <w:r>
        <w:t xml:space="preserve">a </w:t>
      </w:r>
      <w:r w:rsidRPr="00F14DBD">
        <w:t>full rehabilitation</w:t>
      </w:r>
      <w:r w:rsidR="004E08BF">
        <w:t>.</w:t>
      </w:r>
    </w:p>
    <w:p w:rsidR="00657570" w:rsidRDefault="00657570">
      <w:pPr>
        <w:pStyle w:val="Paragraphedeliste"/>
        <w:ind w:left="0"/>
        <w:rPr>
          <w:sz w:val="22"/>
          <w:szCs w:val="22"/>
        </w:rPr>
      </w:pPr>
    </w:p>
    <w:p w:rsidR="00BF0356" w:rsidRPr="00EE36F4" w:rsidRDefault="0039530F" w:rsidP="002B6116">
      <w:pPr>
        <w:pStyle w:val="Titre2"/>
        <w:rPr>
          <w:lang w:val="en-GB"/>
        </w:rPr>
      </w:pPr>
      <w:bookmarkStart w:id="21" w:name="_Toc430939994"/>
      <w:r w:rsidRPr="0039530F">
        <w:rPr>
          <w:lang w:val="en-GB"/>
        </w:rPr>
        <w:t>The Practice of Arbitrary Detention and the Infringements of Fair Trial Rights (Articles 9 and 14)</w:t>
      </w:r>
      <w:bookmarkEnd w:id="21"/>
    </w:p>
    <w:p w:rsidR="00BF0356" w:rsidRPr="00EE36F4" w:rsidRDefault="00BF0356" w:rsidP="00CF7C2D"/>
    <w:p w:rsidR="00BF0356" w:rsidRPr="00EE36F4" w:rsidRDefault="0039530F" w:rsidP="00A92F64">
      <w:r w:rsidRPr="0039530F">
        <w:t>Fair trial guarantees in Iraq as well as the right not to be subjected to arbitrary detention are two areas of particular concern. Despite Iraq’s report reference to several guarantees contained in national law</w:t>
      </w:r>
      <w:r w:rsidR="00BF0356" w:rsidRPr="00EE36F4">
        <w:rPr>
          <w:rStyle w:val="Appelnotedebasdep"/>
        </w:rPr>
        <w:footnoteReference w:id="89"/>
      </w:r>
      <w:r w:rsidR="00BF0356" w:rsidRPr="00EE36F4">
        <w:t>, the Iraqi judicial system has been severely criticised for being “seriously flawed”</w:t>
      </w:r>
      <w:r w:rsidR="00BF0356" w:rsidRPr="00EE36F4">
        <w:rPr>
          <w:rStyle w:val="Appelnotedebasdep"/>
        </w:rPr>
        <w:footnoteReference w:id="90"/>
      </w:r>
      <w:r w:rsidR="00BF0356" w:rsidRPr="00EE36F4">
        <w:t xml:space="preserve"> as it consistently fails to respect fair trial guarantees at all stages of legal proceedings.   </w:t>
      </w:r>
    </w:p>
    <w:p w:rsidR="00BF0356" w:rsidRPr="00EE36F4" w:rsidRDefault="00BF0356" w:rsidP="0012000E"/>
    <w:p w:rsidR="00BF0356" w:rsidRPr="00EE36F4" w:rsidRDefault="0039530F" w:rsidP="00FF0B1B">
      <w:pPr>
        <w:pStyle w:val="Titre3"/>
        <w:rPr>
          <w:lang w:val="en-GB"/>
        </w:rPr>
      </w:pPr>
      <w:bookmarkStart w:id="22" w:name="_Toc430939995"/>
      <w:r w:rsidRPr="0039530F">
        <w:rPr>
          <w:lang w:val="en-GB"/>
        </w:rPr>
        <w:t>Arbitrary arrests</w:t>
      </w:r>
      <w:bookmarkEnd w:id="22"/>
      <w:r w:rsidRPr="0039530F">
        <w:rPr>
          <w:lang w:val="en-GB"/>
        </w:rPr>
        <w:t xml:space="preserve"> </w:t>
      </w:r>
    </w:p>
    <w:p w:rsidR="00BF0356" w:rsidRPr="00EE36F4" w:rsidRDefault="00BF0356" w:rsidP="001C3B46">
      <w:pPr>
        <w:rPr>
          <w:lang w:eastAsia="fr-FR"/>
        </w:rPr>
      </w:pPr>
    </w:p>
    <w:p w:rsidR="00323361" w:rsidRPr="00EE36F4" w:rsidRDefault="0039530F" w:rsidP="00B9401B">
      <w:r w:rsidRPr="0039530F">
        <w:t xml:space="preserve">In Iraq, </w:t>
      </w:r>
      <w:r w:rsidR="00B9401B">
        <w:t xml:space="preserve">the </w:t>
      </w:r>
      <w:r w:rsidRPr="0039530F">
        <w:t xml:space="preserve">public authorities with the power </w:t>
      </w:r>
      <w:r w:rsidR="00640F9C">
        <w:t>to</w:t>
      </w:r>
      <w:r w:rsidRPr="0039530F">
        <w:t xml:space="preserve"> arrest are the Iraqi police and the Iraqi Security Forces</w:t>
      </w:r>
      <w:r w:rsidR="00640F9C">
        <w:t>,</w:t>
      </w:r>
      <w:r w:rsidRPr="0039530F">
        <w:t xml:space="preserve"> which, </w:t>
      </w:r>
      <w:r w:rsidR="00B9401B">
        <w:t>depending</w:t>
      </w:r>
      <w:r w:rsidRPr="0039530F">
        <w:t xml:space="preserve"> on the force, are under the authority of the Ministry of Interior, the Ministry of Defence or the Prime Minister’s Office</w:t>
      </w:r>
      <w:r w:rsidR="00B9401B">
        <w:t xml:space="preserve">. The latter also </w:t>
      </w:r>
      <w:r w:rsidRPr="0039530F">
        <w:t>exercises direct control over the Baghdad Operation Command and Counter Terrorism Unit, the 56</w:t>
      </w:r>
      <w:r w:rsidR="005D0447">
        <w:rPr>
          <w:vertAlign w:val="superscript"/>
        </w:rPr>
        <w:t>th</w:t>
      </w:r>
      <w:r w:rsidRPr="0039530F">
        <w:t xml:space="preserve"> Brigade of the Army (the “Basra Brigade”, responsible for the security in the Green Zone)</w:t>
      </w:r>
      <w:r w:rsidR="001757D8">
        <w:t xml:space="preserve"> and</w:t>
      </w:r>
      <w:r w:rsidRPr="0039530F">
        <w:t xml:space="preserve"> the 54</w:t>
      </w:r>
      <w:r w:rsidR="005D0447">
        <w:rPr>
          <w:vertAlign w:val="superscript"/>
        </w:rPr>
        <w:t>th</w:t>
      </w:r>
      <w:r w:rsidRPr="0039530F">
        <w:t xml:space="preserve"> Brigade of the Army (the “Al </w:t>
      </w:r>
      <w:proofErr w:type="spellStart"/>
      <w:r w:rsidRPr="0039530F">
        <w:t>Muthanna</w:t>
      </w:r>
      <w:proofErr w:type="spellEnd"/>
      <w:r w:rsidRPr="0039530F">
        <w:t xml:space="preserve"> Brigade”) although they fall administratively under the authority of the Ministry of Justice</w:t>
      </w:r>
      <w:r w:rsidR="00BF0356" w:rsidRPr="00EE36F4">
        <w:rPr>
          <w:rStyle w:val="Appelnotedebasdep"/>
        </w:rPr>
        <w:footnoteReference w:id="91"/>
      </w:r>
      <w:r w:rsidR="00BF0356" w:rsidRPr="00EE36F4">
        <w:t xml:space="preserve">. </w:t>
      </w:r>
    </w:p>
    <w:p w:rsidR="00323361" w:rsidRPr="00EE36F4" w:rsidRDefault="00323361" w:rsidP="00C96B58"/>
    <w:p w:rsidR="00BD1613" w:rsidRDefault="0039530F">
      <w:r w:rsidRPr="0039530F">
        <w:t xml:space="preserve">Article 9.2 </w:t>
      </w:r>
      <w:r w:rsidR="00B9401B">
        <w:t>ICCPR</w:t>
      </w:r>
      <w:r w:rsidRPr="0039530F">
        <w:t xml:space="preserve"> states that anyone who is arrested shall be informed, at the time of arrest, of the reasons for his arrest. According to </w:t>
      </w:r>
      <w:r w:rsidR="004A3A74">
        <w:t>a</w:t>
      </w:r>
      <w:r w:rsidR="004A3A74" w:rsidRPr="0039530F">
        <w:t xml:space="preserve">rticle </w:t>
      </w:r>
      <w:r w:rsidRPr="0039530F">
        <w:t>92 of the Criminal Code</w:t>
      </w:r>
      <w:r w:rsidR="00B9401B">
        <w:t xml:space="preserve"> of Procedure</w:t>
      </w:r>
      <w:r w:rsidRPr="0039530F">
        <w:t xml:space="preserve">, </w:t>
      </w:r>
      <w:r w:rsidR="00640F9C">
        <w:t xml:space="preserve">the </w:t>
      </w:r>
      <w:r w:rsidRPr="0039530F">
        <w:t xml:space="preserve">arrest of a person is permitted only “in accordance with a warrant issued by a judge or court or in other cases as stipulated by the law”, while Paragraph 10 of Presidential Order No. 207/S states that “no one shall be arrested without a prior warrant except in cases of </w:t>
      </w:r>
      <w:r w:rsidRPr="0039530F">
        <w:rPr>
          <w:i/>
          <w:iCs/>
        </w:rPr>
        <w:t xml:space="preserve">flagrante </w:t>
      </w:r>
      <w:proofErr w:type="spellStart"/>
      <w:r w:rsidRPr="0039530F">
        <w:rPr>
          <w:i/>
          <w:iCs/>
        </w:rPr>
        <w:t>delicto</w:t>
      </w:r>
      <w:proofErr w:type="spellEnd"/>
      <w:r w:rsidRPr="0039530F">
        <w:t xml:space="preserve"> or confrontation with the security forces”. The fact that these </w:t>
      </w:r>
      <w:r w:rsidR="00B9401B">
        <w:t>provisions</w:t>
      </w:r>
      <w:r w:rsidRPr="0039530F">
        <w:t xml:space="preserve"> regulating arrest do not require the presentation of </w:t>
      </w:r>
      <w:r w:rsidR="00B9401B">
        <w:t xml:space="preserve">a </w:t>
      </w:r>
      <w:r w:rsidRPr="0039530F">
        <w:t xml:space="preserve">warrant at the time of the arrest, but only that the arrest is </w:t>
      </w:r>
      <w:r w:rsidR="001757D8">
        <w:t>“</w:t>
      </w:r>
      <w:r w:rsidRPr="0039530F">
        <w:t>based on a warrant</w:t>
      </w:r>
      <w:r w:rsidR="001757D8">
        <w:t>”</w:t>
      </w:r>
      <w:r w:rsidRPr="0039530F">
        <w:t xml:space="preserve">, leaves </w:t>
      </w:r>
      <w:r w:rsidR="00640F9C">
        <w:t xml:space="preserve">the </w:t>
      </w:r>
      <w:r w:rsidRPr="0039530F">
        <w:t>door open to abuses. In fact, almost all the arrests</w:t>
      </w:r>
      <w:r w:rsidR="001757D8">
        <w:t>, especially</w:t>
      </w:r>
      <w:r w:rsidRPr="0039530F">
        <w:t xml:space="preserve"> under the Anti-Terrorism Law (2005) as</w:t>
      </w:r>
      <w:r w:rsidR="00640F9C">
        <w:t xml:space="preserve"> well as conducted</w:t>
      </w:r>
      <w:r w:rsidRPr="0039530F">
        <w:t xml:space="preserve"> </w:t>
      </w:r>
      <w:r w:rsidR="004A3A74">
        <w:t xml:space="preserve">by </w:t>
      </w:r>
      <w:r w:rsidRPr="0039530F">
        <w:t>forces control</w:t>
      </w:r>
      <w:r w:rsidR="004A3A74">
        <w:t>led</w:t>
      </w:r>
      <w:r w:rsidRPr="0039530F">
        <w:t xml:space="preserve"> </w:t>
      </w:r>
      <w:r w:rsidR="004A3A74">
        <w:t>by</w:t>
      </w:r>
      <w:r w:rsidR="004A3A74" w:rsidRPr="0039530F">
        <w:t xml:space="preserve"> </w:t>
      </w:r>
      <w:r w:rsidRPr="0039530F">
        <w:t>the office of the Prime Minister</w:t>
      </w:r>
      <w:r w:rsidR="004A3A74">
        <w:t>, are</w:t>
      </w:r>
      <w:r w:rsidRPr="0039530F">
        <w:t xml:space="preserve"> </w:t>
      </w:r>
      <w:r w:rsidR="004A3A74" w:rsidRPr="0039530F">
        <w:t xml:space="preserve">carried out </w:t>
      </w:r>
      <w:r w:rsidRPr="0039530F">
        <w:t xml:space="preserve">without the presentation of warrants – </w:t>
      </w:r>
      <w:r w:rsidR="004A3A74">
        <w:t>the latter</w:t>
      </w:r>
      <w:r w:rsidR="004A3A74" w:rsidRPr="0039530F">
        <w:t xml:space="preserve"> </w:t>
      </w:r>
      <w:r w:rsidRPr="0039530F">
        <w:t xml:space="preserve">usually being issued by the judge </w:t>
      </w:r>
      <w:r w:rsidR="00573985" w:rsidRPr="00573985">
        <w:rPr>
          <w:i/>
          <w:iCs/>
        </w:rPr>
        <w:t>post arrest</w:t>
      </w:r>
      <w:r w:rsidR="00BF0356" w:rsidRPr="00EE36F4">
        <w:rPr>
          <w:rStyle w:val="Appelnotedebasdep"/>
        </w:rPr>
        <w:footnoteReference w:id="92"/>
      </w:r>
      <w:r w:rsidR="00BF0356" w:rsidRPr="00EE36F4">
        <w:t>. At the same time, the poss</w:t>
      </w:r>
      <w:r w:rsidRPr="0039530F">
        <w:t xml:space="preserve">ibility to arrest someone without </w:t>
      </w:r>
      <w:r w:rsidR="00D53120">
        <w:t xml:space="preserve">an </w:t>
      </w:r>
      <w:r w:rsidRPr="0039530F">
        <w:t xml:space="preserve">arrest warrant in cases of </w:t>
      </w:r>
      <w:r w:rsidRPr="0039530F">
        <w:rPr>
          <w:i/>
          <w:iCs/>
        </w:rPr>
        <w:t xml:space="preserve">flagrante </w:t>
      </w:r>
      <w:proofErr w:type="spellStart"/>
      <w:r w:rsidRPr="0039530F">
        <w:rPr>
          <w:i/>
          <w:iCs/>
        </w:rPr>
        <w:t>delicto</w:t>
      </w:r>
      <w:proofErr w:type="spellEnd"/>
      <w:r w:rsidRPr="0039530F">
        <w:t xml:space="preserve"> or confrontation with the security forces </w:t>
      </w:r>
      <w:r w:rsidR="004A3A74">
        <w:t xml:space="preserve">is </w:t>
      </w:r>
      <w:r w:rsidR="00A93280">
        <w:t>often</w:t>
      </w:r>
      <w:r w:rsidRPr="0039530F">
        <w:t xml:space="preserve"> used as </w:t>
      </w:r>
      <w:r w:rsidR="00E70714">
        <w:t>a justification</w:t>
      </w:r>
      <w:r w:rsidRPr="0039530F">
        <w:t xml:space="preserve"> in cases where arrests are carried out with the use of excessive force and the suspects act in self-defence. </w:t>
      </w:r>
    </w:p>
    <w:p w:rsidR="00424A1F" w:rsidRPr="00EE36F4" w:rsidRDefault="00424A1F" w:rsidP="00C96B58"/>
    <w:p w:rsidR="00BD1613" w:rsidRDefault="0039530F">
      <w:pPr>
        <w:ind w:left="284"/>
      </w:pPr>
      <w:r w:rsidRPr="0039530F">
        <w:t xml:space="preserve">This is the case for instance of </w:t>
      </w:r>
      <w:r w:rsidRPr="0039530F">
        <w:rPr>
          <w:b/>
          <w:bCs/>
        </w:rPr>
        <w:t xml:space="preserve">Ahmad Suleiman Jami </w:t>
      </w:r>
      <w:proofErr w:type="spellStart"/>
      <w:r w:rsidRPr="0039530F">
        <w:rPr>
          <w:b/>
          <w:bCs/>
        </w:rPr>
        <w:t>Muhanna</w:t>
      </w:r>
      <w:proofErr w:type="spellEnd"/>
      <w:r w:rsidRPr="0039530F">
        <w:rPr>
          <w:b/>
          <w:bCs/>
        </w:rPr>
        <w:t xml:space="preserve"> Al </w:t>
      </w:r>
      <w:proofErr w:type="spellStart"/>
      <w:r w:rsidRPr="0039530F">
        <w:rPr>
          <w:b/>
          <w:bCs/>
        </w:rPr>
        <w:t>Alwani</w:t>
      </w:r>
      <w:proofErr w:type="spellEnd"/>
      <w:r w:rsidR="00C96B58" w:rsidRPr="00EE36F4">
        <w:rPr>
          <w:rStyle w:val="Appelnotedebasdep"/>
        </w:rPr>
        <w:footnoteReference w:id="93"/>
      </w:r>
      <w:r w:rsidR="00E70714">
        <w:t xml:space="preserve"> </w:t>
      </w:r>
      <w:r w:rsidR="00E70714" w:rsidRPr="00F14DBD">
        <w:rPr>
          <w:lang w:eastAsia="fr-FR"/>
        </w:rPr>
        <w:t>–</w:t>
      </w:r>
      <w:r w:rsidR="00E70714">
        <w:t xml:space="preserve"> </w:t>
      </w:r>
      <w:r w:rsidR="00FF0B1B" w:rsidRPr="00EE36F4">
        <w:t xml:space="preserve">whose case will be detailed further </w:t>
      </w:r>
      <w:r w:rsidR="00E70714">
        <w:t>below</w:t>
      </w:r>
      <w:r w:rsidR="00FF0B1B" w:rsidRPr="00EE36F4">
        <w:t xml:space="preserve"> </w:t>
      </w:r>
      <w:r w:rsidR="00E70714" w:rsidRPr="00F14DBD">
        <w:rPr>
          <w:lang w:eastAsia="fr-FR"/>
        </w:rPr>
        <w:t>–</w:t>
      </w:r>
      <w:r w:rsidRPr="0039530F">
        <w:t xml:space="preserve"> a prominent member of the secular Al </w:t>
      </w:r>
      <w:proofErr w:type="spellStart"/>
      <w:r w:rsidRPr="0039530F">
        <w:t>Iraqiya</w:t>
      </w:r>
      <w:proofErr w:type="spellEnd"/>
      <w:r w:rsidRPr="0039530F">
        <w:t xml:space="preserve"> political block </w:t>
      </w:r>
      <w:r w:rsidR="004A3A74">
        <w:t>at</w:t>
      </w:r>
      <w:r w:rsidR="004A3A74" w:rsidRPr="0039530F">
        <w:t xml:space="preserve"> </w:t>
      </w:r>
      <w:r w:rsidRPr="0039530F">
        <w:t xml:space="preserve">the Iraqi Council of Representatives, well known for his denunciation of corruption within the Iraqi bureaucracy, as well as his criticism of both the Iraqi Prime Minister's policies and the central government's marginalisation of Iraqi Sunnis. </w:t>
      </w:r>
    </w:p>
    <w:p w:rsidR="00424A1F" w:rsidRPr="00EE36F4" w:rsidRDefault="00424A1F" w:rsidP="00A93280">
      <w:pPr>
        <w:ind w:left="284"/>
      </w:pPr>
    </w:p>
    <w:p w:rsidR="00424A1F" w:rsidRPr="00EE36F4" w:rsidRDefault="0039530F" w:rsidP="00A93280">
      <w:pPr>
        <w:ind w:left="284"/>
      </w:pPr>
      <w:r w:rsidRPr="0039530F">
        <w:t xml:space="preserve">Al </w:t>
      </w:r>
      <w:proofErr w:type="spellStart"/>
      <w:r w:rsidRPr="0039530F">
        <w:t>Alwani</w:t>
      </w:r>
      <w:proofErr w:type="spellEnd"/>
      <w:r w:rsidRPr="0039530F">
        <w:t xml:space="preserve"> was arrested at his house on 28 December 2013, during a night raid carried out by a task force of the Iraqi Security Forces in military uniforms, who did not provide any arrest warrant. During the raid, the task force opened fire </w:t>
      </w:r>
      <w:r w:rsidR="00640F9C">
        <w:t>at</w:t>
      </w:r>
      <w:r w:rsidRPr="0039530F">
        <w:t xml:space="preserve"> Mr Al </w:t>
      </w:r>
      <w:proofErr w:type="spellStart"/>
      <w:r w:rsidRPr="0039530F">
        <w:t>Alwani's</w:t>
      </w:r>
      <w:proofErr w:type="spellEnd"/>
      <w:r w:rsidRPr="0039530F">
        <w:t xml:space="preserve"> security guards, leaving two dead and a few others injured. </w:t>
      </w:r>
    </w:p>
    <w:p w:rsidR="00323361" w:rsidRPr="00EE36F4" w:rsidRDefault="00323361" w:rsidP="00A93280">
      <w:pPr>
        <w:ind w:left="284"/>
      </w:pPr>
    </w:p>
    <w:p w:rsidR="00BD1613" w:rsidRDefault="0039530F">
      <w:pPr>
        <w:ind w:left="284"/>
      </w:pPr>
      <w:r w:rsidRPr="0039530F">
        <w:t>Charged under Article 4 of the Anti-</w:t>
      </w:r>
      <w:r w:rsidR="00E70714">
        <w:t>t</w:t>
      </w:r>
      <w:r w:rsidRPr="0039530F">
        <w:t xml:space="preserve">errorism </w:t>
      </w:r>
      <w:r w:rsidR="00E70714">
        <w:t>L</w:t>
      </w:r>
      <w:r w:rsidRPr="0039530F">
        <w:t xml:space="preserve">aw No. 13 </w:t>
      </w:r>
      <w:r w:rsidR="00F71BF6">
        <w:t xml:space="preserve">of </w:t>
      </w:r>
      <w:r w:rsidRPr="0039530F">
        <w:t xml:space="preserve">2013, Al </w:t>
      </w:r>
      <w:proofErr w:type="spellStart"/>
      <w:r w:rsidRPr="0039530F">
        <w:t>Alwani</w:t>
      </w:r>
      <w:proofErr w:type="spellEnd"/>
      <w:r w:rsidRPr="0039530F">
        <w:t xml:space="preserve"> was sentenced to death on </w:t>
      </w:r>
      <w:r w:rsidR="00323361" w:rsidRPr="00EE36F4">
        <w:t>23 November 2014</w:t>
      </w:r>
      <w:r w:rsidRPr="0039530F">
        <w:t xml:space="preserve"> by the Iraqi Central Criminal Court for the alleged killing of security force members “for terrorist ends”, </w:t>
      </w:r>
      <w:r w:rsidR="00F71BF6">
        <w:t>due to</w:t>
      </w:r>
      <w:r w:rsidR="00F71BF6" w:rsidRPr="0039530F">
        <w:t xml:space="preserve"> </w:t>
      </w:r>
      <w:r w:rsidRPr="0039530F">
        <w:t>the fact that he and his bodyguards opened fire to defend themselves when the house was broken into by unknown armed forces</w:t>
      </w:r>
      <w:r w:rsidR="00323361" w:rsidRPr="00EE36F4">
        <w:rPr>
          <w:rStyle w:val="Appelnotedebasdep"/>
        </w:rPr>
        <w:footnoteReference w:id="94"/>
      </w:r>
      <w:r w:rsidR="00323361" w:rsidRPr="00EE36F4">
        <w:t xml:space="preserve">. </w:t>
      </w:r>
    </w:p>
    <w:p w:rsidR="00424A1F" w:rsidRPr="00EE36F4" w:rsidRDefault="00424A1F" w:rsidP="00424A1F">
      <w:pPr>
        <w:ind w:firstLine="708"/>
      </w:pPr>
    </w:p>
    <w:p w:rsidR="00BD1613" w:rsidRDefault="0039530F">
      <w:r w:rsidRPr="0039530F">
        <w:t xml:space="preserve">Moreover, </w:t>
      </w:r>
      <w:r w:rsidR="00E70714">
        <w:t>a</w:t>
      </w:r>
      <w:r w:rsidRPr="0039530F">
        <w:t xml:space="preserve">rticle 9.3 ICCPR states that anyone arrested or detained on a criminal charge shall be brought promptly before a judge. In this regard, we recall that </w:t>
      </w:r>
      <w:r w:rsidR="00E70714">
        <w:t>a</w:t>
      </w:r>
      <w:r w:rsidRPr="0039530F">
        <w:t>rticle 19.3 of the Iraqi Constitution state</w:t>
      </w:r>
      <w:r w:rsidR="00D504E1">
        <w:t>s</w:t>
      </w:r>
      <w:r w:rsidRPr="0039530F">
        <w:t xml:space="preserve"> that the preliminary investigative documents shall be submitted to the co</w:t>
      </w:r>
      <w:r w:rsidR="00D504E1">
        <w:t>mpetent judge in a period not</w:t>
      </w:r>
      <w:r w:rsidRPr="0039530F">
        <w:t xml:space="preserve"> exceeding </w:t>
      </w:r>
      <w:r w:rsidR="0020244D">
        <w:t>24</w:t>
      </w:r>
      <w:r w:rsidRPr="0039530F">
        <w:t xml:space="preserve"> hours from the time of the arrest of the accused, which may be extended only once and for the same period, while </w:t>
      </w:r>
      <w:r w:rsidR="00E70714">
        <w:t>a</w:t>
      </w:r>
      <w:r w:rsidRPr="0039530F">
        <w:t xml:space="preserve">rticle 123.a </w:t>
      </w:r>
      <w:r w:rsidR="00E70714">
        <w:t>CCP</w:t>
      </w:r>
      <w:r w:rsidRPr="0039530F">
        <w:t xml:space="preserve"> states that the investigative judge must question the accused within 24 hours of his presentation</w:t>
      </w:r>
      <w:r w:rsidR="00E70714">
        <w:t xml:space="preserve">. </w:t>
      </w:r>
      <w:r w:rsidR="0020244D">
        <w:t>This means that</w:t>
      </w:r>
      <w:r w:rsidRPr="0039530F">
        <w:t xml:space="preserve"> a person arrested shall be brought before a judge </w:t>
      </w:r>
      <w:r w:rsidR="00E70714">
        <w:t>within</w:t>
      </w:r>
      <w:r w:rsidRPr="0039530F">
        <w:t xml:space="preserve"> 48 hours </w:t>
      </w:r>
      <w:r w:rsidR="00E70714">
        <w:t>to be interrogated</w:t>
      </w:r>
      <w:r w:rsidRPr="0039530F">
        <w:t>. Nevertheless, this is never abided by as persons arrested are usually presented for the first time before a judicial authority several days or even weeks after the date of arrest</w:t>
      </w:r>
      <w:r w:rsidR="00BF0356" w:rsidRPr="00EE36F4">
        <w:rPr>
          <w:rStyle w:val="Appelnotedebasdep"/>
        </w:rPr>
        <w:footnoteReference w:id="95"/>
      </w:r>
      <w:r w:rsidR="00BF0356" w:rsidRPr="00EE36F4">
        <w:t xml:space="preserve">, in violation of both national law </w:t>
      </w:r>
      <w:r w:rsidR="00E6427F">
        <w:t>and the ICCPR.</w:t>
      </w:r>
      <w:r w:rsidR="00BF0356" w:rsidRPr="00EE36F4">
        <w:t xml:space="preserve"> </w:t>
      </w:r>
    </w:p>
    <w:p w:rsidR="00BF0356" w:rsidRPr="00EE36F4" w:rsidRDefault="00BF0356" w:rsidP="00B73282">
      <w:pPr>
        <w:autoSpaceDE w:val="0"/>
        <w:autoSpaceDN w:val="0"/>
        <w:adjustRightInd w:val="0"/>
      </w:pPr>
    </w:p>
    <w:p w:rsidR="00BF0356" w:rsidRPr="00EE36F4" w:rsidRDefault="0039530F" w:rsidP="006928C7">
      <w:pPr>
        <w:pStyle w:val="Titre3"/>
        <w:rPr>
          <w:lang w:val="en-GB"/>
        </w:rPr>
      </w:pPr>
      <w:bookmarkStart w:id="23" w:name="_Toc430939996"/>
      <w:r w:rsidRPr="0039530F">
        <w:rPr>
          <w:lang w:val="en-GB"/>
        </w:rPr>
        <w:t>Prolonged pre-trial detention</w:t>
      </w:r>
      <w:bookmarkEnd w:id="23"/>
      <w:r w:rsidRPr="0039530F">
        <w:rPr>
          <w:lang w:val="en-GB"/>
        </w:rPr>
        <w:t xml:space="preserve"> </w:t>
      </w:r>
    </w:p>
    <w:p w:rsidR="00BF0356" w:rsidRPr="00EE36F4" w:rsidRDefault="00BF0356" w:rsidP="00CE40CE">
      <w:pPr>
        <w:autoSpaceDE w:val="0"/>
        <w:autoSpaceDN w:val="0"/>
        <w:adjustRightInd w:val="0"/>
        <w:rPr>
          <w:lang w:eastAsia="fr-FR"/>
        </w:rPr>
      </w:pPr>
    </w:p>
    <w:p w:rsidR="009B3E9E" w:rsidRDefault="0039530F">
      <w:pPr>
        <w:autoSpaceDE w:val="0"/>
        <w:autoSpaceDN w:val="0"/>
        <w:adjustRightInd w:val="0"/>
        <w:rPr>
          <w:b/>
          <w:bCs/>
        </w:rPr>
      </w:pPr>
      <w:r w:rsidRPr="0039530F">
        <w:rPr>
          <w:lang w:eastAsia="fr-FR"/>
        </w:rPr>
        <w:t xml:space="preserve">In addition, </w:t>
      </w:r>
      <w:r w:rsidR="00E6427F">
        <w:rPr>
          <w:lang w:eastAsia="fr-FR"/>
        </w:rPr>
        <w:t>accused</w:t>
      </w:r>
      <w:r w:rsidRPr="0039530F">
        <w:rPr>
          <w:lang w:eastAsia="fr-FR"/>
        </w:rPr>
        <w:t xml:space="preserve"> are </w:t>
      </w:r>
      <w:r w:rsidR="00E6427F">
        <w:rPr>
          <w:lang w:eastAsia="fr-FR"/>
        </w:rPr>
        <w:t>systematically</w:t>
      </w:r>
      <w:r w:rsidR="00E6427F" w:rsidRPr="00F14DBD">
        <w:rPr>
          <w:lang w:eastAsia="fr-FR"/>
        </w:rPr>
        <w:t xml:space="preserve"> </w:t>
      </w:r>
      <w:r w:rsidRPr="0039530F">
        <w:rPr>
          <w:lang w:eastAsia="fr-FR"/>
        </w:rPr>
        <w:t>held</w:t>
      </w:r>
      <w:r w:rsidR="00E6427F">
        <w:rPr>
          <w:lang w:eastAsia="fr-FR"/>
        </w:rPr>
        <w:t xml:space="preserve"> </w:t>
      </w:r>
      <w:r w:rsidRPr="0039530F">
        <w:rPr>
          <w:lang w:eastAsia="fr-FR"/>
        </w:rPr>
        <w:t>for long periods of pre-trial detention</w:t>
      </w:r>
      <w:r w:rsidRPr="0039530F">
        <w:t xml:space="preserve">. Article 109 </w:t>
      </w:r>
      <w:r w:rsidR="00E6427F">
        <w:t xml:space="preserve">CCP </w:t>
      </w:r>
      <w:r w:rsidRPr="0039530F">
        <w:t xml:space="preserve">details in its paragraphs A and C that detention of suspects for non capital crimes shall be limited to 15 days </w:t>
      </w:r>
      <w:r w:rsidR="00E6427F">
        <w:t>renewable,</w:t>
      </w:r>
      <w:r w:rsidRPr="0039530F">
        <w:t xml:space="preserve"> </w:t>
      </w:r>
      <w:r w:rsidR="00E6427F">
        <w:t>but</w:t>
      </w:r>
      <w:r w:rsidRPr="0039530F">
        <w:t xml:space="preserve"> cannot exceed </w:t>
      </w:r>
      <w:r w:rsidR="00E6427F">
        <w:t>six</w:t>
      </w:r>
      <w:r w:rsidRPr="0039530F">
        <w:t xml:space="preserve"> months, or, in any event, one quarter of the maximum sentence that could be handed down. It is however common that detainees held for </w:t>
      </w:r>
      <w:r w:rsidR="001D1ADF">
        <w:t>such</w:t>
      </w:r>
      <w:r w:rsidR="001D1ADF" w:rsidRPr="0039530F">
        <w:t xml:space="preserve"> </w:t>
      </w:r>
      <w:r w:rsidRPr="0039530F">
        <w:t xml:space="preserve">crimes are being detained for excessive periods beyond what </w:t>
      </w:r>
      <w:r w:rsidR="00E6427F">
        <w:t xml:space="preserve">is </w:t>
      </w:r>
      <w:r w:rsidRPr="0039530F">
        <w:t xml:space="preserve">permitted by law and claims of people detained for up to </w:t>
      </w:r>
      <w:r w:rsidR="00E6427F">
        <w:t>two to four</w:t>
      </w:r>
      <w:r w:rsidRPr="0039530F">
        <w:t xml:space="preserve"> years, and in some cases 10 years, </w:t>
      </w:r>
      <w:proofErr w:type="gramStart"/>
      <w:r w:rsidRPr="0039530F">
        <w:t>have</w:t>
      </w:r>
      <w:proofErr w:type="gramEnd"/>
      <w:r w:rsidRPr="0039530F">
        <w:t xml:space="preserve"> been reported</w:t>
      </w:r>
      <w:r w:rsidR="00BF0356" w:rsidRPr="00EE36F4">
        <w:rPr>
          <w:rStyle w:val="Appelnotedebasdep"/>
        </w:rPr>
        <w:footnoteReference w:id="96"/>
      </w:r>
      <w:r w:rsidR="00BF0356" w:rsidRPr="00EE36F4">
        <w:t>.</w:t>
      </w:r>
      <w:r w:rsidRPr="0039530F">
        <w:t xml:space="preserve"> Paragraph B of the same </w:t>
      </w:r>
      <w:r w:rsidR="00E6427F">
        <w:t>provision</w:t>
      </w:r>
      <w:r w:rsidRPr="0039530F">
        <w:t xml:space="preserve"> requires instead that a person charged with the death penalty can be held in detention “until the investigation phase is completed, or until the final decision is issued by the court in relation to the charges”, therefore allowing for indefinite pre-trial detention, which is contrary to </w:t>
      </w:r>
      <w:r w:rsidR="00E6427F">
        <w:t>a</w:t>
      </w:r>
      <w:r w:rsidRPr="0039530F">
        <w:t>rticle</w:t>
      </w:r>
      <w:r w:rsidR="00E6427F">
        <w:t>s</w:t>
      </w:r>
      <w:r w:rsidRPr="0039530F">
        <w:t xml:space="preserve"> 9.1 and 9.3 ICCPR</w:t>
      </w:r>
      <w:r w:rsidR="00BF0356" w:rsidRPr="00EE36F4">
        <w:rPr>
          <w:rStyle w:val="Appelnotedebasdep"/>
        </w:rPr>
        <w:footnoteReference w:id="97"/>
      </w:r>
      <w:r w:rsidR="00BF0356" w:rsidRPr="00EE36F4">
        <w:t xml:space="preserve">. </w:t>
      </w:r>
    </w:p>
    <w:p w:rsidR="00BF0356" w:rsidRPr="00EE36F4" w:rsidRDefault="00BF0356" w:rsidP="004A5A82"/>
    <w:p w:rsidR="00BF0356" w:rsidRPr="00EE36F4" w:rsidRDefault="0039530F" w:rsidP="00E6427F">
      <w:r w:rsidRPr="0039530F">
        <w:t>We recall that during the period of investigation</w:t>
      </w:r>
      <w:r w:rsidR="00E6427F">
        <w:t>,</w:t>
      </w:r>
      <w:r w:rsidRPr="0039530F">
        <w:t xml:space="preserve"> suspects are normally held </w:t>
      </w:r>
      <w:r w:rsidRPr="0039530F">
        <w:rPr>
          <w:lang w:eastAsia="fr-FR"/>
        </w:rPr>
        <w:t>in polices facilities (known as “</w:t>
      </w:r>
      <w:proofErr w:type="spellStart"/>
      <w:r w:rsidRPr="0039530F">
        <w:rPr>
          <w:lang w:eastAsia="fr-FR"/>
        </w:rPr>
        <w:t>tasfiraat</w:t>
      </w:r>
      <w:proofErr w:type="spellEnd"/>
      <w:r w:rsidRPr="0039530F">
        <w:rPr>
          <w:lang w:eastAsia="fr-FR"/>
        </w:rPr>
        <w:t>”) or in the Directorate of Counter Terrorism and Organised Crime under the authority of the Ministry of Interior. It is precisely in th</w:t>
      </w:r>
      <w:r w:rsidR="00E6427F">
        <w:rPr>
          <w:lang w:eastAsia="fr-FR"/>
        </w:rPr>
        <w:t>e</w:t>
      </w:r>
      <w:r w:rsidRPr="0039530F">
        <w:rPr>
          <w:lang w:eastAsia="fr-FR"/>
        </w:rPr>
        <w:t xml:space="preserve">se places, and during this </w:t>
      </w:r>
      <w:r w:rsidR="00E6427F">
        <w:rPr>
          <w:lang w:eastAsia="fr-FR"/>
        </w:rPr>
        <w:t>investigation stage</w:t>
      </w:r>
      <w:r w:rsidRPr="0039530F">
        <w:rPr>
          <w:lang w:eastAsia="fr-FR"/>
        </w:rPr>
        <w:t xml:space="preserve"> that suspect</w:t>
      </w:r>
      <w:r w:rsidR="00E6427F">
        <w:rPr>
          <w:lang w:eastAsia="fr-FR"/>
        </w:rPr>
        <w:t>s</w:t>
      </w:r>
      <w:r w:rsidRPr="0039530F">
        <w:rPr>
          <w:lang w:eastAsia="fr-FR"/>
        </w:rPr>
        <w:t xml:space="preserve"> are subjected to torture in order to extract information (or “confessions”) that will be later used in trials as evidence, as detailed in the previous section. </w:t>
      </w:r>
    </w:p>
    <w:p w:rsidR="00BF0356" w:rsidRPr="00EE36F4" w:rsidRDefault="00BF0356" w:rsidP="008E3AEB"/>
    <w:p w:rsidR="00BF0356" w:rsidRPr="00EE36F4" w:rsidRDefault="0039530F" w:rsidP="00206EC5">
      <w:pPr>
        <w:pStyle w:val="Titre3"/>
        <w:rPr>
          <w:lang w:val="en-GB"/>
        </w:rPr>
      </w:pPr>
      <w:bookmarkStart w:id="24" w:name="_Toc430939997"/>
      <w:r w:rsidRPr="0039530F">
        <w:rPr>
          <w:lang w:val="en-GB"/>
        </w:rPr>
        <w:t xml:space="preserve">Secret and </w:t>
      </w:r>
      <w:r w:rsidR="00573985" w:rsidRPr="00573985">
        <w:rPr>
          <w:i/>
          <w:iCs/>
          <w:lang w:val="en-GB"/>
        </w:rPr>
        <w:t>incommunicado</w:t>
      </w:r>
      <w:r w:rsidRPr="0039530F">
        <w:rPr>
          <w:lang w:val="en-GB"/>
        </w:rPr>
        <w:t xml:space="preserve"> detention</w:t>
      </w:r>
      <w:bookmarkEnd w:id="24"/>
      <w:r w:rsidRPr="0039530F">
        <w:rPr>
          <w:lang w:val="en-GB"/>
        </w:rPr>
        <w:t xml:space="preserve"> </w:t>
      </w:r>
    </w:p>
    <w:p w:rsidR="00BF0356" w:rsidRPr="00EE36F4" w:rsidRDefault="00BF0356" w:rsidP="001C3B46">
      <w:pPr>
        <w:rPr>
          <w:lang w:eastAsia="fr-FR"/>
        </w:rPr>
      </w:pPr>
    </w:p>
    <w:p w:rsidR="00BD1613" w:rsidRDefault="0039530F">
      <w:r w:rsidRPr="0039530F">
        <w:t>In addition, despite the fact that the Prisons Administration Act recogni</w:t>
      </w:r>
      <w:r w:rsidR="00E6427F">
        <w:t>s</w:t>
      </w:r>
      <w:r w:rsidRPr="0039530F">
        <w:t xml:space="preserve">es in its Section 14 the right to family visits and contact with the outside world, still several cases of </w:t>
      </w:r>
      <w:r w:rsidRPr="0039530F">
        <w:rPr>
          <w:i/>
          <w:iCs/>
        </w:rPr>
        <w:t>incommunicado</w:t>
      </w:r>
      <w:r w:rsidRPr="0039530F">
        <w:t xml:space="preserve"> and secret detention </w:t>
      </w:r>
      <w:r w:rsidR="00E6427F">
        <w:t>we</w:t>
      </w:r>
      <w:r w:rsidRPr="0039530F">
        <w:t>re recorded by Alkarama</w:t>
      </w:r>
      <w:r w:rsidR="00BF0356" w:rsidRPr="00EE36F4">
        <w:rPr>
          <w:rStyle w:val="Appelnotedebasdep"/>
        </w:rPr>
        <w:footnoteReference w:id="98"/>
      </w:r>
      <w:r w:rsidR="00BF0356" w:rsidRPr="00EE36F4">
        <w:t xml:space="preserve"> and other human rights organi</w:t>
      </w:r>
      <w:r w:rsidR="00E6427F">
        <w:t>s</w:t>
      </w:r>
      <w:r w:rsidR="00BF0356" w:rsidRPr="00EE36F4">
        <w:t>ations</w:t>
      </w:r>
      <w:r w:rsidR="00BF0356" w:rsidRPr="00EE36F4">
        <w:rPr>
          <w:rStyle w:val="Appelnotedebasdep"/>
        </w:rPr>
        <w:footnoteReference w:id="99"/>
      </w:r>
      <w:r w:rsidR="00BF0356" w:rsidRPr="00EE36F4">
        <w:t xml:space="preserve">. These occur often in </w:t>
      </w:r>
      <w:r w:rsidRPr="0039530F">
        <w:t xml:space="preserve">secret detention facilities, such as in the infamous Al </w:t>
      </w:r>
      <w:proofErr w:type="spellStart"/>
      <w:r w:rsidRPr="0039530F">
        <w:t>Muthanna</w:t>
      </w:r>
      <w:proofErr w:type="spellEnd"/>
      <w:r w:rsidRPr="0039530F">
        <w:t xml:space="preserve"> detention centre described above, in violation of </w:t>
      </w:r>
      <w:r w:rsidR="00E6427F">
        <w:t>domestic law</w:t>
      </w:r>
      <w:r w:rsidRPr="0039530F">
        <w:t xml:space="preserve">, such as article 19.13 of the Constitution, according to which imprisonment and detention are permitted only in facilities which are designated for that purpose. </w:t>
      </w:r>
    </w:p>
    <w:p w:rsidR="00BF0356" w:rsidRPr="00EE36F4" w:rsidRDefault="00BF0356" w:rsidP="000834EF"/>
    <w:p w:rsidR="00BF0356" w:rsidRPr="00EE36F4" w:rsidRDefault="0039530F" w:rsidP="00E6427F">
      <w:pPr>
        <w:rPr>
          <w:lang w:eastAsia="fr-FR"/>
        </w:rPr>
      </w:pPr>
      <w:r w:rsidRPr="0039530F">
        <w:t xml:space="preserve">Secret detention also amounts to enforced disappearance, a widespread practice in Iraq, even though </w:t>
      </w:r>
      <w:r w:rsidRPr="0039530F">
        <w:rPr>
          <w:lang w:eastAsia="fr-FR"/>
        </w:rPr>
        <w:t xml:space="preserve">Iraq is </w:t>
      </w:r>
      <w:r w:rsidR="00E6427F">
        <w:rPr>
          <w:lang w:eastAsia="fr-FR"/>
        </w:rPr>
        <w:t>a</w:t>
      </w:r>
      <w:r w:rsidRPr="0039530F">
        <w:rPr>
          <w:lang w:eastAsia="fr-FR"/>
        </w:rPr>
        <w:t xml:space="preserve"> party to International Convention for the Protection of all Persons from Enforced Disappearances (ICCPED) since 2010. Indeed, the provisions of the Convention are not adequately implemented in</w:t>
      </w:r>
      <w:r w:rsidR="006D6469">
        <w:rPr>
          <w:lang w:eastAsia="fr-FR"/>
        </w:rPr>
        <w:t>to the</w:t>
      </w:r>
      <w:r w:rsidRPr="0039530F">
        <w:rPr>
          <w:lang w:eastAsia="fr-FR"/>
        </w:rPr>
        <w:t xml:space="preserve"> national legislation and cases of enforced disappearance continue to be recorded.</w:t>
      </w:r>
    </w:p>
    <w:p w:rsidR="00BF0356" w:rsidRPr="00EE36F4" w:rsidRDefault="00BF0356" w:rsidP="00411D18">
      <w:pPr>
        <w:rPr>
          <w:lang w:eastAsia="fr-FR"/>
        </w:rPr>
      </w:pPr>
    </w:p>
    <w:p w:rsidR="00BD1613" w:rsidRDefault="006D6469">
      <w:pPr>
        <w:rPr>
          <w:lang w:eastAsia="fr-FR"/>
        </w:rPr>
      </w:pPr>
      <w:r>
        <w:t>First recorded</w:t>
      </w:r>
      <w:r w:rsidRPr="0039530F">
        <w:t xml:space="preserve"> </w:t>
      </w:r>
      <w:r w:rsidR="0039530F" w:rsidRPr="0039530F">
        <w:t xml:space="preserve">during the regime that ruled Iraq </w:t>
      </w:r>
      <w:r>
        <w:t>from</w:t>
      </w:r>
      <w:r w:rsidRPr="0039530F">
        <w:t xml:space="preserve"> </w:t>
      </w:r>
      <w:r w:rsidR="0039530F" w:rsidRPr="0039530F">
        <w:rPr>
          <w:lang w:eastAsia="fr-FR"/>
        </w:rPr>
        <w:t xml:space="preserve">1968 until 2003 and especially during the Iran-Iraq war, </w:t>
      </w:r>
      <w:r>
        <w:rPr>
          <w:lang w:eastAsia="fr-FR"/>
        </w:rPr>
        <w:t xml:space="preserve">and </w:t>
      </w:r>
      <w:r w:rsidR="0039530F" w:rsidRPr="0039530F">
        <w:rPr>
          <w:lang w:eastAsia="fr-FR"/>
        </w:rPr>
        <w:t>continu</w:t>
      </w:r>
      <w:r>
        <w:rPr>
          <w:lang w:eastAsia="fr-FR"/>
        </w:rPr>
        <w:t>ing</w:t>
      </w:r>
      <w:r w:rsidR="0039530F" w:rsidRPr="0039530F">
        <w:rPr>
          <w:lang w:eastAsia="fr-FR"/>
        </w:rPr>
        <w:t xml:space="preserve"> throughout the US-led inva</w:t>
      </w:r>
      <w:r w:rsidR="00D504E1">
        <w:rPr>
          <w:lang w:eastAsia="fr-FR"/>
        </w:rPr>
        <w:t>sion after 2003 up until today,</w:t>
      </w:r>
      <w:r w:rsidR="0039530F" w:rsidRPr="0039530F">
        <w:rPr>
          <w:lang w:eastAsia="fr-FR"/>
        </w:rPr>
        <w:t xml:space="preserve"> estimates of cases of enforced disappearances run from 250 000 to 1 million people, making Iraq the count</w:t>
      </w:r>
      <w:r w:rsidR="00A36F84">
        <w:rPr>
          <w:lang w:eastAsia="fr-FR"/>
        </w:rPr>
        <w:t>r</w:t>
      </w:r>
      <w:r w:rsidR="0039530F" w:rsidRPr="0039530F">
        <w:rPr>
          <w:lang w:eastAsia="fr-FR"/>
        </w:rPr>
        <w:t>y with the highest number of enforced disappearances in the world</w:t>
      </w:r>
      <w:r w:rsidR="00BF0356" w:rsidRPr="00EE36F4">
        <w:rPr>
          <w:rStyle w:val="Appelnotedebasdep"/>
          <w:lang w:eastAsia="fr-FR"/>
        </w:rPr>
        <w:footnoteReference w:id="100"/>
      </w:r>
      <w:r w:rsidR="00BF0356" w:rsidRPr="00EE36F4">
        <w:rPr>
          <w:lang w:eastAsia="fr-FR"/>
        </w:rPr>
        <w:t xml:space="preserve">. </w:t>
      </w:r>
      <w:r w:rsidR="0039530F" w:rsidRPr="0039530F">
        <w:rPr>
          <w:lang w:eastAsia="fr-FR"/>
        </w:rPr>
        <w:t>Victims of enforced disappearance are usually arrested by members of the security forces, often during raid operations at their home</w:t>
      </w:r>
      <w:r w:rsidR="00D504E1">
        <w:rPr>
          <w:lang w:eastAsia="fr-FR"/>
        </w:rPr>
        <w:t>s</w:t>
      </w:r>
      <w:r w:rsidR="0039530F" w:rsidRPr="0039530F">
        <w:rPr>
          <w:lang w:eastAsia="fr-FR"/>
        </w:rPr>
        <w:t xml:space="preserve">, following which their families are denied any information on their fate and whereabouts. It is then common that the victims are secretly detained and tortured in official or secret detention facilities. </w:t>
      </w:r>
    </w:p>
    <w:p w:rsidR="001F7933" w:rsidRPr="00EE36F4" w:rsidRDefault="001F7933" w:rsidP="00564F4E">
      <w:pPr>
        <w:rPr>
          <w:lang w:eastAsia="fr-FR"/>
        </w:rPr>
      </w:pPr>
    </w:p>
    <w:p w:rsidR="00406604" w:rsidRPr="00EE36F4" w:rsidRDefault="0039530F" w:rsidP="00A36F84">
      <w:pPr>
        <w:ind w:left="284" w:right="-18"/>
      </w:pPr>
      <w:r w:rsidRPr="0039530F">
        <w:rPr>
          <w:lang w:eastAsia="fr-FR"/>
        </w:rPr>
        <w:t xml:space="preserve">The case of </w:t>
      </w:r>
      <w:r w:rsidRPr="0039530F">
        <w:rPr>
          <w:b/>
          <w:bCs/>
          <w:lang w:eastAsia="fr-FR"/>
        </w:rPr>
        <w:t xml:space="preserve">Mohammed </w:t>
      </w:r>
      <w:proofErr w:type="spellStart"/>
      <w:r w:rsidRPr="0039530F">
        <w:rPr>
          <w:b/>
          <w:bCs/>
          <w:lang w:eastAsia="fr-FR"/>
        </w:rPr>
        <w:t>Abbas</w:t>
      </w:r>
      <w:proofErr w:type="spellEnd"/>
      <w:r w:rsidRPr="0039530F">
        <w:rPr>
          <w:b/>
          <w:bCs/>
          <w:lang w:eastAsia="fr-FR"/>
        </w:rPr>
        <w:t xml:space="preserve"> </w:t>
      </w:r>
      <w:proofErr w:type="spellStart"/>
      <w:r w:rsidRPr="0039530F">
        <w:rPr>
          <w:b/>
          <w:bCs/>
          <w:lang w:eastAsia="fr-FR"/>
        </w:rPr>
        <w:t>Kadhim</w:t>
      </w:r>
      <w:proofErr w:type="spellEnd"/>
      <w:r w:rsidRPr="0039530F">
        <w:rPr>
          <w:b/>
          <w:bCs/>
          <w:lang w:eastAsia="fr-FR"/>
        </w:rPr>
        <w:t xml:space="preserve"> Al </w:t>
      </w:r>
      <w:proofErr w:type="spellStart"/>
      <w:r w:rsidRPr="0039530F">
        <w:rPr>
          <w:b/>
          <w:bCs/>
          <w:lang w:eastAsia="fr-FR"/>
        </w:rPr>
        <w:t>Sudani</w:t>
      </w:r>
      <w:proofErr w:type="spellEnd"/>
      <w:r w:rsidR="00F07D10" w:rsidRPr="00EE36F4">
        <w:rPr>
          <w:rStyle w:val="Appelnotedebasdep"/>
          <w:iCs/>
        </w:rPr>
        <w:footnoteReference w:id="101"/>
      </w:r>
      <w:r w:rsidR="001F7933" w:rsidRPr="00EE36F4">
        <w:rPr>
          <w:lang w:eastAsia="fr-FR"/>
        </w:rPr>
        <w:t xml:space="preserve"> is </w:t>
      </w:r>
      <w:r w:rsidR="00A36F84">
        <w:rPr>
          <w:lang w:eastAsia="fr-FR"/>
        </w:rPr>
        <w:t>illustrative</w:t>
      </w:r>
      <w:r w:rsidR="001F7933" w:rsidRPr="00EE36F4">
        <w:rPr>
          <w:lang w:eastAsia="fr-FR"/>
        </w:rPr>
        <w:t xml:space="preserve"> of this practice. </w:t>
      </w:r>
      <w:r w:rsidRPr="0039530F">
        <w:t xml:space="preserve">Al </w:t>
      </w:r>
      <w:proofErr w:type="spellStart"/>
      <w:r w:rsidRPr="0039530F">
        <w:t>Sudani</w:t>
      </w:r>
      <w:proofErr w:type="spellEnd"/>
      <w:r w:rsidRPr="0039530F">
        <w:rPr>
          <w:i/>
          <w:iCs/>
        </w:rPr>
        <w:t>,</w:t>
      </w:r>
      <w:r w:rsidRPr="0039530F">
        <w:rPr>
          <w:b/>
          <w:bCs/>
          <w:i/>
          <w:iCs/>
        </w:rPr>
        <w:t xml:space="preserve"> </w:t>
      </w:r>
      <w:r w:rsidRPr="0039530F">
        <w:rPr>
          <w:bCs/>
          <w:iCs/>
        </w:rPr>
        <w:t>a 29-year-old married worker,</w:t>
      </w:r>
      <w:r w:rsidRPr="0039530F">
        <w:rPr>
          <w:b/>
          <w:bCs/>
          <w:i/>
          <w:iCs/>
        </w:rPr>
        <w:t xml:space="preserve"> </w:t>
      </w:r>
      <w:r w:rsidRPr="0039530F">
        <w:t xml:space="preserve">was arrested on 20 November 2014 at around 2 am in his house in the Al </w:t>
      </w:r>
      <w:proofErr w:type="spellStart"/>
      <w:r w:rsidRPr="0039530F">
        <w:t>Wahda</w:t>
      </w:r>
      <w:proofErr w:type="spellEnd"/>
      <w:r w:rsidRPr="0039530F">
        <w:t xml:space="preserve"> neighbourhood of Baghdad by a squad of 15 members of the of the Special Weapons and Tactics (SWAT) unit. The security forces arrested him – and even mistreated his mother and sisters as well as the children who were asleep – before taking him to an unknown location. Following his disappearance, Al </w:t>
      </w:r>
      <w:proofErr w:type="spellStart"/>
      <w:r w:rsidRPr="0039530F">
        <w:t>Sudani's</w:t>
      </w:r>
      <w:proofErr w:type="spellEnd"/>
      <w:r w:rsidRPr="0039530F">
        <w:t xml:space="preserve"> family submitted a complaint to the police station of the Al </w:t>
      </w:r>
      <w:proofErr w:type="spellStart"/>
      <w:r w:rsidRPr="0039530F">
        <w:t>Khalesa</w:t>
      </w:r>
      <w:proofErr w:type="spellEnd"/>
      <w:r w:rsidRPr="0039530F">
        <w:t xml:space="preserve"> neighbourhood in Baghdad, but to no avail. </w:t>
      </w:r>
    </w:p>
    <w:p w:rsidR="00406604" w:rsidRPr="00EE36F4" w:rsidRDefault="00406604" w:rsidP="0099244A">
      <w:pPr>
        <w:ind w:left="284" w:right="-18"/>
      </w:pPr>
    </w:p>
    <w:p w:rsidR="00406604" w:rsidRPr="00EE36F4" w:rsidRDefault="0039530F" w:rsidP="0099244A">
      <w:pPr>
        <w:ind w:left="284" w:right="-18"/>
      </w:pPr>
      <w:r w:rsidRPr="0039530F">
        <w:t xml:space="preserve">It </w:t>
      </w:r>
      <w:r w:rsidR="004427CA">
        <w:t>wa</w:t>
      </w:r>
      <w:r w:rsidRPr="0039530F">
        <w:t xml:space="preserve">s only on 4 May 2015, i.e. five months after Al </w:t>
      </w:r>
      <w:proofErr w:type="spellStart"/>
      <w:r w:rsidRPr="0039530F">
        <w:t>Sudani’s</w:t>
      </w:r>
      <w:proofErr w:type="spellEnd"/>
      <w:r w:rsidRPr="0039530F">
        <w:t xml:space="preserve"> arrest, that his mother received a call by the authorities informing her that her son was detained in </w:t>
      </w:r>
      <w:proofErr w:type="spellStart"/>
      <w:r w:rsidRPr="0039530F">
        <w:t>Taji</w:t>
      </w:r>
      <w:proofErr w:type="spellEnd"/>
      <w:r w:rsidRPr="0039530F">
        <w:t xml:space="preserve"> prison, a detention centre located in a rural district north of Baghdad, where she was able to visit him the following day.</w:t>
      </w:r>
    </w:p>
    <w:p w:rsidR="00406604" w:rsidRPr="00EE36F4" w:rsidRDefault="00406604" w:rsidP="0099244A">
      <w:pPr>
        <w:ind w:left="284" w:right="-18"/>
      </w:pPr>
    </w:p>
    <w:p w:rsidR="00406604" w:rsidRPr="00EE36F4" w:rsidRDefault="0039530F" w:rsidP="0099244A">
      <w:pPr>
        <w:ind w:left="284" w:right="-18"/>
        <w:rPr>
          <w:lang w:eastAsia="fr-FR"/>
        </w:rPr>
      </w:pPr>
      <w:r w:rsidRPr="0039530F">
        <w:rPr>
          <w:lang w:eastAsia="fr-FR"/>
        </w:rPr>
        <w:t xml:space="preserve">He told his mother that he had spent six months detained in Al </w:t>
      </w:r>
      <w:proofErr w:type="spellStart"/>
      <w:r w:rsidRPr="0039530F">
        <w:rPr>
          <w:lang w:eastAsia="fr-FR"/>
        </w:rPr>
        <w:t>Muthanna</w:t>
      </w:r>
      <w:proofErr w:type="spellEnd"/>
      <w:r w:rsidRPr="0039530F">
        <w:rPr>
          <w:lang w:eastAsia="fr-FR"/>
        </w:rPr>
        <w:t xml:space="preserve"> airport, where he suffered severe torture, including beatings with iron wire on every part of his body, electrocution on his genitals and several instances of sexual assault, all acts of torture inflicted on him to make him “confess” to having poisoned his father as well as kidnapped and killed other people. He was also forced to sign documents while blindfolded. </w:t>
      </w:r>
    </w:p>
    <w:p w:rsidR="00406604" w:rsidRPr="00EE36F4" w:rsidRDefault="00406604" w:rsidP="0099244A">
      <w:pPr>
        <w:ind w:left="284" w:right="-18"/>
        <w:rPr>
          <w:lang w:eastAsia="fr-FR"/>
        </w:rPr>
      </w:pPr>
    </w:p>
    <w:p w:rsidR="00406604" w:rsidRPr="00EE36F4" w:rsidRDefault="0039530F" w:rsidP="0099244A">
      <w:pPr>
        <w:ind w:left="284" w:right="-18"/>
        <w:rPr>
          <w:lang w:eastAsia="fr-FR"/>
        </w:rPr>
      </w:pPr>
      <w:r w:rsidRPr="0039530F">
        <w:rPr>
          <w:lang w:eastAsia="fr-FR"/>
        </w:rPr>
        <w:t xml:space="preserve">Al </w:t>
      </w:r>
      <w:proofErr w:type="spellStart"/>
      <w:r w:rsidRPr="0039530F">
        <w:rPr>
          <w:lang w:eastAsia="fr-FR"/>
        </w:rPr>
        <w:t>Sudani</w:t>
      </w:r>
      <w:proofErr w:type="spellEnd"/>
      <w:r w:rsidRPr="0039530F">
        <w:rPr>
          <w:lang w:eastAsia="fr-FR"/>
        </w:rPr>
        <w:t xml:space="preserve"> reported having been tortured by “Captain Ahmad” and “Captain Osama”, who both belong to the 54</w:t>
      </w:r>
      <w:r w:rsidR="005D0447">
        <w:rPr>
          <w:vertAlign w:val="superscript"/>
          <w:lang w:eastAsia="fr-FR"/>
        </w:rPr>
        <w:t>th</w:t>
      </w:r>
      <w:r w:rsidRPr="0039530F">
        <w:rPr>
          <w:lang w:eastAsia="fr-FR"/>
        </w:rPr>
        <w:t xml:space="preserve"> Brigade, a unit of the Iraqi Army reportedly under the command of Colonel </w:t>
      </w:r>
      <w:proofErr w:type="spellStart"/>
      <w:r w:rsidRPr="0039530F">
        <w:rPr>
          <w:lang w:eastAsia="fr-FR"/>
        </w:rPr>
        <w:t>Firas</w:t>
      </w:r>
      <w:proofErr w:type="spellEnd"/>
      <w:r w:rsidRPr="0039530F">
        <w:rPr>
          <w:lang w:eastAsia="fr-FR"/>
        </w:rPr>
        <w:t xml:space="preserve"> Al </w:t>
      </w:r>
      <w:proofErr w:type="spellStart"/>
      <w:r w:rsidRPr="0039530F">
        <w:rPr>
          <w:lang w:eastAsia="fr-FR"/>
        </w:rPr>
        <w:t>Azerj</w:t>
      </w:r>
      <w:proofErr w:type="spellEnd"/>
      <w:r w:rsidRPr="0039530F">
        <w:rPr>
          <w:lang w:eastAsia="fr-FR"/>
        </w:rPr>
        <w:t>, which has in the past been commonly referred to by military and police as “</w:t>
      </w:r>
      <w:proofErr w:type="spellStart"/>
      <w:r w:rsidRPr="0039530F">
        <w:rPr>
          <w:lang w:eastAsia="fr-FR"/>
        </w:rPr>
        <w:t>Maliki's</w:t>
      </w:r>
      <w:proofErr w:type="spellEnd"/>
      <w:r w:rsidRPr="0039530F">
        <w:rPr>
          <w:lang w:eastAsia="fr-FR"/>
        </w:rPr>
        <w:t xml:space="preserve"> forces” as its chain of command bypasses the Ministry of Defence under which it technically falls and reports directly to the Prime Minister (as the Commander in Chief of the Armed Forces) through its security office.</w:t>
      </w:r>
    </w:p>
    <w:p w:rsidR="001F7933" w:rsidRPr="00EE36F4" w:rsidRDefault="001F7933" w:rsidP="001F7933">
      <w:pPr>
        <w:ind w:left="708"/>
        <w:rPr>
          <w:lang w:eastAsia="fr-FR"/>
        </w:rPr>
      </w:pPr>
    </w:p>
    <w:p w:rsidR="00BF0356" w:rsidRPr="00EE36F4" w:rsidRDefault="0039530F" w:rsidP="00D504E1">
      <w:pPr>
        <w:rPr>
          <w:lang w:eastAsia="fr-FR"/>
        </w:rPr>
      </w:pPr>
      <w:r w:rsidRPr="0039530F">
        <w:rPr>
          <w:lang w:eastAsia="fr-FR"/>
        </w:rPr>
        <w:t>Since 2014, Alkarama has submitted several urgent actions to the C</w:t>
      </w:r>
      <w:r w:rsidR="002333FD">
        <w:rPr>
          <w:lang w:eastAsia="fr-FR"/>
        </w:rPr>
        <w:t>ommittee on Enforced Disappearances</w:t>
      </w:r>
      <w:r w:rsidRPr="0039530F">
        <w:rPr>
          <w:lang w:eastAsia="fr-FR"/>
        </w:rPr>
        <w:t xml:space="preserve"> on behalf of disappeared individuals such as Al </w:t>
      </w:r>
      <w:proofErr w:type="spellStart"/>
      <w:r w:rsidRPr="0039530F">
        <w:rPr>
          <w:lang w:eastAsia="fr-FR"/>
        </w:rPr>
        <w:t>Sudani</w:t>
      </w:r>
      <w:proofErr w:type="spellEnd"/>
      <w:r w:rsidRPr="0039530F">
        <w:rPr>
          <w:lang w:eastAsia="fr-FR"/>
        </w:rPr>
        <w:t xml:space="preserve"> and has noted that some of these individuals were never found in </w:t>
      </w:r>
      <w:r w:rsidR="00D504E1">
        <w:rPr>
          <w:lang w:eastAsia="fr-FR"/>
        </w:rPr>
        <w:t>any</w:t>
      </w:r>
      <w:r w:rsidRPr="0039530F">
        <w:rPr>
          <w:lang w:eastAsia="fr-FR"/>
        </w:rPr>
        <w:t xml:space="preserve"> of the registers available to the different Ministries. This additionally demonstrates the alarming absence of proper registers in places of detention, even though legally required by, for instance, section 3 of the CPA memorandum 2 of 2003 and the Management of Detention and Prison Facilities Act No. 2 of 2003. In addition, it is common that inmates “disappear” when the victim has been convicted and is transferred from one place of detention to another.</w:t>
      </w:r>
    </w:p>
    <w:p w:rsidR="00BF0356" w:rsidRPr="00EE36F4" w:rsidRDefault="00BF0356" w:rsidP="00465D30">
      <w:pPr>
        <w:pStyle w:val="Paragraphedeliste"/>
      </w:pPr>
    </w:p>
    <w:p w:rsidR="00BD1613" w:rsidRDefault="0039530F">
      <w:pPr>
        <w:rPr>
          <w:lang w:eastAsia="fr-FR"/>
        </w:rPr>
      </w:pPr>
      <w:r w:rsidRPr="0039530F">
        <w:rPr>
          <w:lang w:eastAsia="fr-FR"/>
        </w:rPr>
        <w:t>Moreover, national law does not provide sufficient guarantees against enforced disappearances, as it does not appropriately transpose the provisions of the ICCPED into domestic law. For instance, the offence of “enforced disappearance” is not defined in Iraq’s national law nor recognised as a criminal offence. In fact</w:t>
      </w:r>
      <w:r w:rsidR="009703EB">
        <w:rPr>
          <w:lang w:eastAsia="fr-FR"/>
        </w:rPr>
        <w:t>,</w:t>
      </w:r>
      <w:r w:rsidRPr="0039530F">
        <w:rPr>
          <w:lang w:eastAsia="fr-FR"/>
        </w:rPr>
        <w:t xml:space="preserve"> art</w:t>
      </w:r>
      <w:r w:rsidR="009703EB">
        <w:rPr>
          <w:lang w:eastAsia="fr-FR"/>
        </w:rPr>
        <w:t>icle</w:t>
      </w:r>
      <w:r w:rsidRPr="0039530F">
        <w:rPr>
          <w:lang w:eastAsia="fr-FR"/>
        </w:rPr>
        <w:t xml:space="preserve"> 12.2.g of the Iraqi Supreme Criminal Tribunal provides a definition for enforced disappearances as a “crime against humanity”, which therefore is not applicable to enforced disappearances committed outside the context of a widespread or systematic attack against the civilian population. </w:t>
      </w:r>
      <w:r w:rsidR="009703EB">
        <w:rPr>
          <w:lang w:eastAsia="fr-FR"/>
        </w:rPr>
        <w:t xml:space="preserve">The </w:t>
      </w:r>
      <w:r w:rsidRPr="0039530F">
        <w:rPr>
          <w:lang w:eastAsia="fr-FR"/>
        </w:rPr>
        <w:t>Iraqi authorities argue that enforced disappearance constitute</w:t>
      </w:r>
      <w:r w:rsidR="009703EB">
        <w:rPr>
          <w:lang w:eastAsia="fr-FR"/>
        </w:rPr>
        <w:t>s</w:t>
      </w:r>
      <w:r w:rsidRPr="0039530F">
        <w:rPr>
          <w:lang w:eastAsia="fr-FR"/>
        </w:rPr>
        <w:t xml:space="preserve"> an “autonomous offence” as provisions of the Constitution and Penal Code cover “many offences that would constitute enforced disappearance” such as “unlawful detention and imprisonment” criminalised by </w:t>
      </w:r>
      <w:r w:rsidR="00A23E8A">
        <w:rPr>
          <w:lang w:eastAsia="fr-FR"/>
        </w:rPr>
        <w:t>a</w:t>
      </w:r>
      <w:r w:rsidRPr="0039530F">
        <w:rPr>
          <w:lang w:eastAsia="fr-FR"/>
        </w:rPr>
        <w:t>rticles 322, 323, 324 PC or “abduction”, criminalised under article</w:t>
      </w:r>
      <w:r w:rsidR="00A23E8A">
        <w:rPr>
          <w:lang w:eastAsia="fr-FR"/>
        </w:rPr>
        <w:t>s</w:t>
      </w:r>
      <w:r w:rsidRPr="0039530F">
        <w:rPr>
          <w:lang w:eastAsia="fr-FR"/>
        </w:rPr>
        <w:t xml:space="preserve"> 421 to 429 PC. However, none of these provisions would be applicable to unlawful detention by state-controlled militias and do not contemplate the “refusal to acknowledge the deprivation of liberty or by concealment of the fate or whereabouts of the disappeared person”, as required by the ICCPED. </w:t>
      </w:r>
    </w:p>
    <w:p w:rsidR="00BF0356" w:rsidRPr="00EE36F4" w:rsidRDefault="00BF0356" w:rsidP="004B63E9">
      <w:pPr>
        <w:rPr>
          <w:lang w:eastAsia="fr-FR"/>
        </w:rPr>
      </w:pPr>
    </w:p>
    <w:p w:rsidR="00BF0356" w:rsidRPr="00EE36F4" w:rsidRDefault="0039530F" w:rsidP="00A23E8A">
      <w:r w:rsidRPr="0039530F">
        <w:t xml:space="preserve">In addition, and similarly to the concerns raised regarding torture, although officers resorting to enforced disappearances could be prosecuted under the charges of “unlawful imprisonment” or “abduction”, this is limited by </w:t>
      </w:r>
      <w:r w:rsidR="00A23E8A">
        <w:t>a</w:t>
      </w:r>
      <w:r w:rsidRPr="0039530F">
        <w:t>rticle 136.b CCP,</w:t>
      </w:r>
      <w:r w:rsidR="00A23E8A">
        <w:t xml:space="preserve"> which</w:t>
      </w:r>
      <w:r w:rsidRPr="0039530F">
        <w:t xml:space="preserve"> subjec</w:t>
      </w:r>
      <w:r w:rsidR="00A23E8A">
        <w:t>ts</w:t>
      </w:r>
      <w:r w:rsidRPr="0039530F">
        <w:t xml:space="preserve"> the referral for prosecution to the backing of the Ministry to which the officer is affiliated. Moreover, none of the provisions mentioned above provide</w:t>
      </w:r>
      <w:r w:rsidR="00D504E1">
        <w:t>s</w:t>
      </w:r>
      <w:r w:rsidRPr="0039530F">
        <w:t xml:space="preserve"> minimum sentences for the perpetrators of the crime, nor are the penalties appropriate as to take into account the extreme seriousness of the crime of enforced disappearance</w:t>
      </w:r>
      <w:r w:rsidR="00BF0356" w:rsidRPr="00EE36F4">
        <w:rPr>
          <w:rStyle w:val="Appelnotedebasdep"/>
        </w:rPr>
        <w:footnoteReference w:id="102"/>
      </w:r>
      <w:r w:rsidR="00E17010" w:rsidRPr="00EE36F4">
        <w:t xml:space="preserve">. Also, </w:t>
      </w:r>
      <w:r w:rsidR="00A23E8A">
        <w:t xml:space="preserve">the </w:t>
      </w:r>
      <w:r w:rsidR="00EA4067">
        <w:t xml:space="preserve">Iraqi </w:t>
      </w:r>
      <w:r w:rsidR="00E17010" w:rsidRPr="00EE36F4">
        <w:t>P</w:t>
      </w:r>
      <w:r w:rsidR="00EA4067">
        <w:t xml:space="preserve">enal </w:t>
      </w:r>
      <w:r w:rsidR="00E17010" w:rsidRPr="00EE36F4">
        <w:t>C</w:t>
      </w:r>
      <w:r w:rsidR="00EA4067">
        <w:t>ode</w:t>
      </w:r>
      <w:r w:rsidRPr="0039530F">
        <w:t xml:space="preserve"> maintains superior orders as a possible defence in certain circumstances</w:t>
      </w:r>
      <w:r w:rsidR="00BF0356" w:rsidRPr="00EE36F4">
        <w:rPr>
          <w:rStyle w:val="Appelnotedebasdep"/>
        </w:rPr>
        <w:footnoteReference w:id="103"/>
      </w:r>
      <w:r w:rsidR="00BF0356" w:rsidRPr="00EE36F4">
        <w:t xml:space="preserve">. </w:t>
      </w:r>
    </w:p>
    <w:p w:rsidR="00BF0356" w:rsidRPr="00EE36F4" w:rsidRDefault="00BF0356" w:rsidP="00913A0E"/>
    <w:p w:rsidR="009B3E9E" w:rsidRDefault="0039530F">
      <w:r w:rsidRPr="0039530F">
        <w:t xml:space="preserve">Impunity for acts of enforced disappearances therefore prevails in Iraq, as few allegations lead to </w:t>
      </w:r>
      <w:r w:rsidR="00EA4067">
        <w:t xml:space="preserve">the </w:t>
      </w:r>
      <w:r w:rsidRPr="0039530F">
        <w:t>opening of investigations. In 2011</w:t>
      </w:r>
      <w:r w:rsidR="00A23E8A">
        <w:t>,</w:t>
      </w:r>
      <w:r w:rsidRPr="0039530F">
        <w:t xml:space="preserve"> the Iraqi government announced the establishment of a committee to investigate the cases of Iraqis missing since the 2003 invasion</w:t>
      </w:r>
      <w:r w:rsidR="004427CA">
        <w:t xml:space="preserve"> composed by representatives of the </w:t>
      </w:r>
      <w:r w:rsidRPr="0039530F">
        <w:t>Ministry of Defence, the Ministry of Interior, National Security, Health, Justice and Human Rights, as well as representatives of the intelligence services and anti-terrorism forces</w:t>
      </w:r>
      <w:r w:rsidR="00BF0356" w:rsidRPr="00EE36F4">
        <w:rPr>
          <w:rStyle w:val="Appelnotedebasdep"/>
        </w:rPr>
        <w:footnoteReference w:id="104"/>
      </w:r>
      <w:r w:rsidR="00BF0356" w:rsidRPr="00EE36F4">
        <w:t>. Several of these ministries, however, were involved with or were themselves leading militias responsible for serious</w:t>
      </w:r>
      <w:r w:rsidRPr="0039530F">
        <w:t xml:space="preserve"> human rights abuses, including enforced disappearances. </w:t>
      </w:r>
      <w:r w:rsidR="008204A4">
        <w:t>T</w:t>
      </w:r>
      <w:r w:rsidRPr="0039530F">
        <w:t>estimonies collected by Alkarama show</w:t>
      </w:r>
      <w:r w:rsidR="008204A4">
        <w:t xml:space="preserve"> that complaints lodged by</w:t>
      </w:r>
      <w:r w:rsidRPr="0039530F">
        <w:t xml:space="preserve"> relatives of disappeared persons </w:t>
      </w:r>
      <w:r w:rsidR="008204A4">
        <w:t>with</w:t>
      </w:r>
      <w:r w:rsidRPr="0039530F">
        <w:t xml:space="preserve"> different authorities such as police stations, criminal courts including the Central Criminal Court and the General Prosecutor, the Ministry of Human Rights</w:t>
      </w:r>
      <w:r w:rsidR="00475741">
        <w:t xml:space="preserve"> and</w:t>
      </w:r>
      <w:r w:rsidRPr="0039530F">
        <w:t xml:space="preserve"> the Ministry of Interior, remain systematically unanswered. </w:t>
      </w:r>
    </w:p>
    <w:p w:rsidR="00BF0356" w:rsidRPr="00EE36F4" w:rsidRDefault="00BF0356" w:rsidP="00913A0E"/>
    <w:p w:rsidR="00BD1613" w:rsidRDefault="0039530F">
      <w:r w:rsidRPr="0039530F">
        <w:t>In addition, even in those rare cases where investigations are actually carried out, the Iraqi domestic law does not provide for the suspension from duties of the alleged offenders</w:t>
      </w:r>
      <w:r w:rsidR="008204A4">
        <w:t>. Indeed,</w:t>
      </w:r>
      <w:r w:rsidRPr="0039530F">
        <w:t xml:space="preserve"> the relevant provisions of the Criminal Code, State Officials Discipline Act, Army Act and Internal Security Forces Act only refer to sanctions applied to officials once a court has issued a decision</w:t>
      </w:r>
      <w:r w:rsidR="008204A4">
        <w:t xml:space="preserve"> ;</w:t>
      </w:r>
      <w:r w:rsidR="00A23E8A">
        <w:t xml:space="preserve"> </w:t>
      </w:r>
      <w:r w:rsidRPr="0039530F">
        <w:t xml:space="preserve">the only provision providing for the suspension of the suspect at the investigative stage being </w:t>
      </w:r>
      <w:r w:rsidR="008204A4">
        <w:t>a</w:t>
      </w:r>
      <w:r w:rsidR="008204A4" w:rsidRPr="0039530F">
        <w:t xml:space="preserve">rticle </w:t>
      </w:r>
      <w:r w:rsidRPr="0039530F">
        <w:t>17 of the State Officials Discipline Act, according to which “the Minister or the head of department may suspend an official for a period of not more than 60 days if they consider that his remaining in public service would be prejudicial to the public interest or could affect the course of investigation” and is rarely applied</w:t>
      </w:r>
      <w:r w:rsidR="00BF0356" w:rsidRPr="00EE36F4">
        <w:rPr>
          <w:rStyle w:val="Appelnotedebasdep"/>
        </w:rPr>
        <w:footnoteReference w:id="105"/>
      </w:r>
      <w:r w:rsidR="00BF0356" w:rsidRPr="00EE36F4">
        <w:t xml:space="preserve">. </w:t>
      </w:r>
    </w:p>
    <w:p w:rsidR="00BF0356" w:rsidRPr="00EE36F4" w:rsidRDefault="00BF0356" w:rsidP="005C20CE"/>
    <w:p w:rsidR="00BF0356" w:rsidRPr="00EE36F4" w:rsidRDefault="0039530F" w:rsidP="006928C7">
      <w:pPr>
        <w:pStyle w:val="Titre3"/>
        <w:rPr>
          <w:lang w:val="en-GB"/>
        </w:rPr>
      </w:pPr>
      <w:bookmarkStart w:id="25" w:name="_Toc430939998"/>
      <w:r w:rsidRPr="0039530F">
        <w:rPr>
          <w:lang w:val="en-GB"/>
        </w:rPr>
        <w:t>Denial of the right to a defence and legal assistance</w:t>
      </w:r>
      <w:bookmarkEnd w:id="25"/>
    </w:p>
    <w:p w:rsidR="00BF0356" w:rsidRPr="00EE36F4" w:rsidRDefault="00BF0356" w:rsidP="002B30A5">
      <w:pPr>
        <w:rPr>
          <w:lang w:eastAsia="fr-FR"/>
        </w:rPr>
      </w:pPr>
    </w:p>
    <w:p w:rsidR="00D504E1" w:rsidRDefault="00A23E8A">
      <w:r>
        <w:t>In Iraq,</w:t>
      </w:r>
      <w:r w:rsidR="00A01116">
        <w:t xml:space="preserve"> </w:t>
      </w:r>
      <w:r w:rsidR="00D504E1">
        <w:t xml:space="preserve">as </w:t>
      </w:r>
      <w:r w:rsidR="00A01116">
        <w:t xml:space="preserve">documented by Alkarama in several cases, the right to a counsel is highly </w:t>
      </w:r>
      <w:r w:rsidR="00784478">
        <w:t>curtailed</w:t>
      </w:r>
      <w:r w:rsidR="00A01116">
        <w:t xml:space="preserve"> </w:t>
      </w:r>
      <w:r>
        <w:t xml:space="preserve">although domestic law theoretically guarantees it. </w:t>
      </w:r>
    </w:p>
    <w:p w:rsidR="00D504E1" w:rsidRDefault="00D504E1"/>
    <w:p w:rsidR="00BD1613" w:rsidRDefault="00A23E8A">
      <w:r>
        <w:t>Indeed, a</w:t>
      </w:r>
      <w:r w:rsidR="0039530F" w:rsidRPr="0039530F">
        <w:t xml:space="preserve">rticle 19.4 of the Iraqi Constitution provides that the right to a defence shall be guaranteed in all phases of investigation and trial, while </w:t>
      </w:r>
      <w:r>
        <w:t>a</w:t>
      </w:r>
      <w:r w:rsidR="0039530F" w:rsidRPr="0039530F">
        <w:t xml:space="preserve">rticle 19.6 provides </w:t>
      </w:r>
      <w:r w:rsidR="008204A4">
        <w:t xml:space="preserve">that </w:t>
      </w:r>
      <w:r w:rsidR="00D504E1" w:rsidRPr="0039530F">
        <w:t xml:space="preserve">accused </w:t>
      </w:r>
      <w:r w:rsidR="008204A4">
        <w:t>persons who</w:t>
      </w:r>
      <w:r w:rsidR="008204A4" w:rsidRPr="0039530F">
        <w:t xml:space="preserve"> </w:t>
      </w:r>
      <w:r w:rsidR="00D504E1" w:rsidRPr="0039530F">
        <w:t>do</w:t>
      </w:r>
      <w:r w:rsidR="0039530F" w:rsidRPr="0039530F">
        <w:t xml:space="preserve"> not have a lawyer shall have a counsel appointed by court. In addition, </w:t>
      </w:r>
      <w:r w:rsidR="00640576">
        <w:t>a</w:t>
      </w:r>
      <w:r w:rsidR="0039530F" w:rsidRPr="0039530F">
        <w:t xml:space="preserve">rticle 8.1 of the CPA Memorandum No.3 (2003) provides that any person accused of felony has the right to access a lawyer while in detention during all stages of proceedings and </w:t>
      </w:r>
      <w:r w:rsidR="00640576">
        <w:t>a</w:t>
      </w:r>
      <w:r w:rsidR="0039530F" w:rsidRPr="0039530F">
        <w:t xml:space="preserve">rticle 30 of the same law provides that interviews between detainees and their counsels can be held within the sight but not the within the hearing of police officers or other authorities. Furthermore, </w:t>
      </w:r>
      <w:r w:rsidR="00E20F6C">
        <w:t>a</w:t>
      </w:r>
      <w:r w:rsidR="00E20F6C" w:rsidRPr="0039530F">
        <w:t xml:space="preserve">rticle </w:t>
      </w:r>
      <w:r w:rsidR="0039530F" w:rsidRPr="0039530F">
        <w:t xml:space="preserve">123.c </w:t>
      </w:r>
      <w:r w:rsidR="00640576">
        <w:t>CCP</w:t>
      </w:r>
      <w:r w:rsidR="0039530F" w:rsidRPr="0039530F">
        <w:t xml:space="preserve"> states that the investigative judges shall not question the suspect until an attorney has not been chosen or appointed by the court for him/her. However, these guarantees are rarely respected in practice. </w:t>
      </w:r>
    </w:p>
    <w:p w:rsidR="00BF0356" w:rsidRPr="00EE36F4" w:rsidRDefault="00BF0356" w:rsidP="002B30A5">
      <w:pPr>
        <w:rPr>
          <w:i/>
          <w:iCs/>
        </w:rPr>
      </w:pPr>
    </w:p>
    <w:p w:rsidR="00BD1613" w:rsidRDefault="0039530F">
      <w:r w:rsidRPr="0039530F">
        <w:t>It is in fact reported that when suspects arrested in relation to criminal charges are brought before the investigating judges</w:t>
      </w:r>
      <w:r w:rsidR="00640576">
        <w:t>,</w:t>
      </w:r>
      <w:r w:rsidRPr="0039530F">
        <w:t xml:space="preserve"> they are n</w:t>
      </w:r>
      <w:r w:rsidR="00640576">
        <w:t>ever</w:t>
      </w:r>
      <w:r w:rsidRPr="0039530F">
        <w:t xml:space="preserve"> informed of their right to remain silent or to have a lawyer so that they do not have a lawyer present </w:t>
      </w:r>
      <w:r w:rsidR="00E20F6C">
        <w:t>during</w:t>
      </w:r>
      <w:r w:rsidRPr="0039530F">
        <w:t xml:space="preserve"> their interrogation</w:t>
      </w:r>
      <w:r w:rsidR="00BF0356" w:rsidRPr="00EE36F4">
        <w:rPr>
          <w:rStyle w:val="Appelnotedebasdep"/>
        </w:rPr>
        <w:footnoteReference w:id="106"/>
      </w:r>
      <w:r w:rsidR="006928C7" w:rsidRPr="00EE36F4">
        <w:t>. In addition to</w:t>
      </w:r>
      <w:r w:rsidRPr="0039530F">
        <w:t xml:space="preserve"> the fact that this is a clear violation of the right to have a counsel, it can also entail serious consequences: suspects in criminal cases feel unable to inform the investigative judge about the torture they </w:t>
      </w:r>
      <w:r w:rsidR="00E20F6C">
        <w:t>may have been subjected to</w:t>
      </w:r>
      <w:r w:rsidRPr="0039530F">
        <w:t>, which then</w:t>
      </w:r>
      <w:r w:rsidR="00640576">
        <w:t xml:space="preserve"> may be</w:t>
      </w:r>
      <w:r w:rsidRPr="0039530F">
        <w:t xml:space="preserve"> raised only later </w:t>
      </w:r>
      <w:r w:rsidR="00640576">
        <w:t>during</w:t>
      </w:r>
      <w:r w:rsidRPr="0039530F">
        <w:t xml:space="preserve"> their trial</w:t>
      </w:r>
      <w:r w:rsidR="00BF0356" w:rsidRPr="00EE36F4">
        <w:rPr>
          <w:rStyle w:val="Appelnotedebasdep"/>
        </w:rPr>
        <w:footnoteReference w:id="107"/>
      </w:r>
      <w:r w:rsidR="00BF0356" w:rsidRPr="00EE36F4">
        <w:t xml:space="preserve">. </w:t>
      </w:r>
    </w:p>
    <w:p w:rsidR="00BD1613" w:rsidRDefault="00BD1613"/>
    <w:p w:rsidR="00BD1613" w:rsidRDefault="00E20F6C">
      <w:pPr>
        <w:rPr>
          <w:lang w:eastAsia="fr-FR"/>
        </w:rPr>
      </w:pPr>
      <w:r>
        <w:t>Moreover</w:t>
      </w:r>
      <w:r w:rsidR="00BF0356" w:rsidRPr="00EE36F4">
        <w:t xml:space="preserve">, most defendants appear in court without a lawyer representing them, </w:t>
      </w:r>
      <w:r w:rsidR="00CF216F">
        <w:t>to the extent</w:t>
      </w:r>
      <w:r w:rsidR="00BF0356" w:rsidRPr="00EE36F4">
        <w:t xml:space="preserve"> that defendants </w:t>
      </w:r>
      <w:r w:rsidR="00CF216F">
        <w:t xml:space="preserve">usually </w:t>
      </w:r>
      <w:r w:rsidR="00BF0356" w:rsidRPr="00EE36F4">
        <w:t xml:space="preserve">meet their lawyer for the first time </w:t>
      </w:r>
      <w:r w:rsidR="00CF216F">
        <w:t>in court</w:t>
      </w:r>
      <w:r w:rsidR="00BF0356" w:rsidRPr="00EE36F4">
        <w:t>. As courts will then appoint lawyers to repr</w:t>
      </w:r>
      <w:r w:rsidR="0039530F" w:rsidRPr="0039530F">
        <w:t xml:space="preserve">esent defendants during trials, adjournment of the proceedings </w:t>
      </w:r>
      <w:r w:rsidR="00CF216F">
        <w:t>is</w:t>
      </w:r>
      <w:r w:rsidR="00CF216F" w:rsidRPr="0039530F">
        <w:t xml:space="preserve"> </w:t>
      </w:r>
      <w:r w:rsidR="0039530F" w:rsidRPr="0039530F">
        <w:t xml:space="preserve">rarely granted to enable the defendants to </w:t>
      </w:r>
      <w:r w:rsidR="00CF216F">
        <w:t xml:space="preserve">prepare their defence </w:t>
      </w:r>
      <w:r w:rsidR="0039530F" w:rsidRPr="0039530F">
        <w:t>with their lawyers, especially in cases where persons are accused of serious crimes carrying the death penalty</w:t>
      </w:r>
      <w:r w:rsidR="00BF0356" w:rsidRPr="00EE36F4">
        <w:rPr>
          <w:rStyle w:val="Appelnotedebasdep"/>
        </w:rPr>
        <w:footnoteReference w:id="108"/>
      </w:r>
      <w:r w:rsidR="00BF0356" w:rsidRPr="00EE36F4">
        <w:t>.</w:t>
      </w:r>
      <w:r w:rsidR="0039530F" w:rsidRPr="0039530F">
        <w:t xml:space="preserve"> Additionally, even court appointed lawyers do not normally request adjournments to consult with their clients in order to prepare the defence and in several cases they only intervene during sentencing, where a formulaic plea for leniency </w:t>
      </w:r>
      <w:r w:rsidR="00CF216F">
        <w:t>is</w:t>
      </w:r>
      <w:r w:rsidR="0039530F" w:rsidRPr="0039530F">
        <w:t xml:space="preserve"> formulated, but without any argument to support the request</w:t>
      </w:r>
      <w:r w:rsidR="00BF0356" w:rsidRPr="00EE36F4">
        <w:rPr>
          <w:rStyle w:val="Appelnotedebasdep"/>
        </w:rPr>
        <w:footnoteReference w:id="109"/>
      </w:r>
      <w:r w:rsidR="00BF0356" w:rsidRPr="00EE36F4">
        <w:t xml:space="preserve">. Finally, it is also reported that </w:t>
      </w:r>
      <w:r w:rsidR="0039530F" w:rsidRPr="0039530F">
        <w:rPr>
          <w:lang w:eastAsia="fr-FR"/>
        </w:rPr>
        <w:t>charges are laid down against individuals in the absence of evidence</w:t>
      </w:r>
      <w:r w:rsidR="00CF216F">
        <w:rPr>
          <w:lang w:eastAsia="fr-FR"/>
        </w:rPr>
        <w:t xml:space="preserve"> even</w:t>
      </w:r>
      <w:r w:rsidR="0039530F" w:rsidRPr="0039530F">
        <w:rPr>
          <w:lang w:eastAsia="fr-FR"/>
        </w:rPr>
        <w:t xml:space="preserve"> in cases where defendants’ right to legal assistance of their own choosing </w:t>
      </w:r>
      <w:r w:rsidR="00CF216F">
        <w:rPr>
          <w:lang w:eastAsia="fr-FR"/>
        </w:rPr>
        <w:t>was violated</w:t>
      </w:r>
      <w:r w:rsidR="0039530F" w:rsidRPr="0039530F">
        <w:rPr>
          <w:lang w:eastAsia="fr-FR"/>
        </w:rPr>
        <w:t>, with public officials requesting extra money to the defendants in order to assign them a specific lawyer who would then ensure that the charges against him or her are dismissed</w:t>
      </w:r>
      <w:r w:rsidR="00BF0356" w:rsidRPr="00EE36F4">
        <w:rPr>
          <w:rStyle w:val="Appelnotedebasdep"/>
          <w:lang w:eastAsia="fr-FR"/>
        </w:rPr>
        <w:footnoteReference w:id="110"/>
      </w:r>
      <w:r w:rsidR="00BF0356" w:rsidRPr="00EE36F4">
        <w:rPr>
          <w:lang w:eastAsia="fr-FR"/>
        </w:rPr>
        <w:t xml:space="preserve">. </w:t>
      </w:r>
    </w:p>
    <w:p w:rsidR="00BF0356" w:rsidRPr="00EE36F4" w:rsidRDefault="00BF0356" w:rsidP="00D803CC">
      <w:pPr>
        <w:rPr>
          <w:lang w:eastAsia="fr-FR"/>
        </w:rPr>
      </w:pPr>
    </w:p>
    <w:p w:rsidR="00FB2E1E" w:rsidRPr="00DF3F6D" w:rsidRDefault="007E5A46">
      <w:pPr>
        <w:pStyle w:val="Titre3"/>
        <w:rPr>
          <w:lang w:val="en-US"/>
        </w:rPr>
      </w:pPr>
      <w:bookmarkStart w:id="26" w:name="_Toc430939999"/>
      <w:r>
        <w:rPr>
          <w:lang w:val="en-GB"/>
        </w:rPr>
        <w:t xml:space="preserve">Disrespect for the </w:t>
      </w:r>
      <w:r w:rsidRPr="00DF3F6D">
        <w:rPr>
          <w:lang w:val="en-US"/>
        </w:rPr>
        <w:t>principle</w:t>
      </w:r>
      <w:r w:rsidR="0039530F" w:rsidRPr="00DF3F6D">
        <w:rPr>
          <w:lang w:val="en-US"/>
        </w:rPr>
        <w:t xml:space="preserve"> of presumption of innocence</w:t>
      </w:r>
      <w:bookmarkEnd w:id="26"/>
      <w:r w:rsidR="0039530F" w:rsidRPr="00DF3F6D">
        <w:rPr>
          <w:lang w:val="en-US"/>
        </w:rPr>
        <w:t xml:space="preserve"> </w:t>
      </w:r>
    </w:p>
    <w:p w:rsidR="00922697" w:rsidRDefault="00922697" w:rsidP="006928C7">
      <w:pPr>
        <w:rPr>
          <w:lang w:eastAsia="fr-FR"/>
        </w:rPr>
      </w:pPr>
    </w:p>
    <w:p w:rsidR="00BF0356" w:rsidRPr="00EE36F4" w:rsidRDefault="0039530F" w:rsidP="00922697">
      <w:pPr>
        <w:rPr>
          <w:lang w:eastAsia="fr-FR"/>
        </w:rPr>
      </w:pPr>
      <w:r w:rsidRPr="0039530F">
        <w:rPr>
          <w:lang w:eastAsia="fr-FR"/>
        </w:rPr>
        <w:t>Article 19.6 of the</w:t>
      </w:r>
      <w:r w:rsidRPr="0039530F">
        <w:rPr>
          <w:b/>
          <w:bCs/>
          <w:lang w:eastAsia="fr-FR"/>
        </w:rPr>
        <w:t xml:space="preserve"> </w:t>
      </w:r>
      <w:r w:rsidRPr="0039530F">
        <w:rPr>
          <w:lang w:eastAsia="fr-FR"/>
        </w:rPr>
        <w:t xml:space="preserve">Iraqi Constitution enshrines the presumption of innocence, while </w:t>
      </w:r>
      <w:r w:rsidR="00922697">
        <w:rPr>
          <w:lang w:eastAsia="fr-FR"/>
        </w:rPr>
        <w:t>a</w:t>
      </w:r>
      <w:r w:rsidRPr="0039530F">
        <w:rPr>
          <w:lang w:eastAsia="fr-FR"/>
        </w:rPr>
        <w:t xml:space="preserve">rticle 235 PC prohibits the publication of any matter likely to “influence a judge or magistrate entrusted with the judgment on cases brought before a legal authority”. </w:t>
      </w:r>
    </w:p>
    <w:p w:rsidR="00BF0356" w:rsidRPr="00EE36F4" w:rsidRDefault="00BF0356" w:rsidP="00D803CC">
      <w:pPr>
        <w:rPr>
          <w:lang w:eastAsia="fr-FR"/>
        </w:rPr>
      </w:pPr>
    </w:p>
    <w:p w:rsidR="009B3E9E" w:rsidRDefault="00CF216F">
      <w:pPr>
        <w:autoSpaceDE w:val="0"/>
        <w:autoSpaceDN w:val="0"/>
        <w:adjustRightInd w:val="0"/>
        <w:rPr>
          <w:lang w:eastAsia="fr-FR"/>
        </w:rPr>
      </w:pPr>
      <w:r>
        <w:rPr>
          <w:lang w:eastAsia="fr-FR"/>
        </w:rPr>
        <w:t>However</w:t>
      </w:r>
      <w:r w:rsidR="0039530F" w:rsidRPr="0039530F">
        <w:rPr>
          <w:lang w:eastAsia="fr-FR"/>
        </w:rPr>
        <w:t>, the</w:t>
      </w:r>
      <w:r>
        <w:rPr>
          <w:lang w:eastAsia="fr-FR"/>
        </w:rPr>
        <w:t>se</w:t>
      </w:r>
      <w:r w:rsidR="0039530F" w:rsidRPr="0039530F">
        <w:rPr>
          <w:lang w:eastAsia="fr-FR"/>
        </w:rPr>
        <w:t xml:space="preserve"> legal guarantees </w:t>
      </w:r>
      <w:r w:rsidR="00922697">
        <w:rPr>
          <w:lang w:eastAsia="fr-FR"/>
        </w:rPr>
        <w:t>enshrined</w:t>
      </w:r>
      <w:r w:rsidR="0039530F" w:rsidRPr="0039530F">
        <w:rPr>
          <w:lang w:eastAsia="fr-FR"/>
        </w:rPr>
        <w:t xml:space="preserve"> in </w:t>
      </w:r>
      <w:r w:rsidR="00922697">
        <w:rPr>
          <w:lang w:eastAsia="fr-FR"/>
        </w:rPr>
        <w:t xml:space="preserve">domestic </w:t>
      </w:r>
      <w:r w:rsidR="0039530F" w:rsidRPr="0039530F">
        <w:rPr>
          <w:lang w:eastAsia="fr-FR"/>
        </w:rPr>
        <w:t xml:space="preserve">law are blatantly violated. </w:t>
      </w:r>
      <w:r>
        <w:rPr>
          <w:lang w:eastAsia="fr-FR"/>
        </w:rPr>
        <w:t>In particular</w:t>
      </w:r>
      <w:r w:rsidR="0039530F" w:rsidRPr="0039530F">
        <w:rPr>
          <w:lang w:eastAsia="fr-FR"/>
        </w:rPr>
        <w:t xml:space="preserve">, Iraqi TV </w:t>
      </w:r>
      <w:r w:rsidR="00922697">
        <w:rPr>
          <w:lang w:eastAsia="fr-FR"/>
        </w:rPr>
        <w:t xml:space="preserve">continues to </w:t>
      </w:r>
      <w:r w:rsidR="0039530F" w:rsidRPr="0039530F">
        <w:rPr>
          <w:lang w:eastAsia="fr-FR"/>
        </w:rPr>
        <w:t xml:space="preserve">publicly broadcast “confessions” of alleged terrorists, whose faces and bodies are clearly visible in the videos and presented as </w:t>
      </w:r>
      <w:r w:rsidR="009751B4">
        <w:rPr>
          <w:lang w:eastAsia="fr-FR"/>
        </w:rPr>
        <w:t>“</w:t>
      </w:r>
      <w:r w:rsidR="0039530F" w:rsidRPr="0039530F">
        <w:rPr>
          <w:lang w:eastAsia="fr-FR"/>
        </w:rPr>
        <w:t>criminals</w:t>
      </w:r>
      <w:r w:rsidR="009751B4">
        <w:rPr>
          <w:lang w:eastAsia="fr-FR"/>
        </w:rPr>
        <w:t>”</w:t>
      </w:r>
      <w:r w:rsidR="0039530F" w:rsidRPr="0039530F">
        <w:rPr>
          <w:lang w:eastAsia="fr-FR"/>
        </w:rPr>
        <w:t>. They are normally suspects arrested but not yet formally charged, such as</w:t>
      </w:r>
      <w:r w:rsidR="009751B4">
        <w:rPr>
          <w:lang w:eastAsia="fr-FR"/>
        </w:rPr>
        <w:t xml:space="preserve"> in the programme</w:t>
      </w:r>
      <w:r w:rsidR="0039530F" w:rsidRPr="0039530F">
        <w:rPr>
          <w:lang w:eastAsia="fr-FR"/>
        </w:rPr>
        <w:t xml:space="preserve"> “In the grip of </w:t>
      </w:r>
      <w:r w:rsidR="00D615CB">
        <w:rPr>
          <w:lang w:eastAsia="fr-FR"/>
        </w:rPr>
        <w:t xml:space="preserve">the </w:t>
      </w:r>
      <w:r w:rsidR="0039530F" w:rsidRPr="0039530F">
        <w:rPr>
          <w:lang w:eastAsia="fr-FR"/>
        </w:rPr>
        <w:t xml:space="preserve">law” </w:t>
      </w:r>
      <w:r w:rsidR="009751B4">
        <w:rPr>
          <w:lang w:eastAsia="fr-FR"/>
        </w:rPr>
        <w:t xml:space="preserve">broadcasted </w:t>
      </w:r>
      <w:r w:rsidR="0039530F" w:rsidRPr="0039530F">
        <w:rPr>
          <w:lang w:eastAsia="fr-FR"/>
        </w:rPr>
        <w:t xml:space="preserve">on </w:t>
      </w:r>
      <w:r w:rsidR="009751B4">
        <w:rPr>
          <w:lang w:eastAsia="fr-FR"/>
        </w:rPr>
        <w:t>A</w:t>
      </w:r>
      <w:r w:rsidR="0039530F" w:rsidRPr="0039530F">
        <w:rPr>
          <w:lang w:eastAsia="fr-FR"/>
        </w:rPr>
        <w:t xml:space="preserve">l </w:t>
      </w:r>
      <w:proofErr w:type="spellStart"/>
      <w:r w:rsidR="0039530F" w:rsidRPr="0039530F">
        <w:rPr>
          <w:lang w:eastAsia="fr-FR"/>
        </w:rPr>
        <w:t>Iraqiya</w:t>
      </w:r>
      <w:proofErr w:type="spellEnd"/>
      <w:r w:rsidR="0039530F" w:rsidRPr="0039530F">
        <w:rPr>
          <w:lang w:eastAsia="fr-FR"/>
        </w:rPr>
        <w:t xml:space="preserve"> TV, </w:t>
      </w:r>
      <w:r w:rsidR="00475741">
        <w:rPr>
          <w:lang w:eastAsia="fr-FR"/>
        </w:rPr>
        <w:t>which</w:t>
      </w:r>
      <w:r w:rsidR="00475741" w:rsidRPr="0039530F">
        <w:rPr>
          <w:lang w:eastAsia="fr-FR"/>
        </w:rPr>
        <w:t xml:space="preserve"> </w:t>
      </w:r>
      <w:r w:rsidR="0039530F" w:rsidRPr="0039530F">
        <w:rPr>
          <w:lang w:eastAsia="fr-FR"/>
        </w:rPr>
        <w:t>is produced in cooperation with the Iraqi Ministry of Interior</w:t>
      </w:r>
      <w:r w:rsidR="00D615CB">
        <w:rPr>
          <w:lang w:eastAsia="fr-FR"/>
        </w:rPr>
        <w:t>,</w:t>
      </w:r>
      <w:r w:rsidR="0039530F" w:rsidRPr="0039530F">
        <w:rPr>
          <w:lang w:eastAsia="fr-FR"/>
        </w:rPr>
        <w:t xml:space="preserve"> or other programmes </w:t>
      </w:r>
      <w:r w:rsidR="00D615CB" w:rsidRPr="0039530F">
        <w:rPr>
          <w:lang w:eastAsia="fr-FR"/>
        </w:rPr>
        <w:t>broadcast</w:t>
      </w:r>
      <w:r w:rsidR="00D615CB">
        <w:rPr>
          <w:lang w:eastAsia="fr-FR"/>
        </w:rPr>
        <w:t>ed</w:t>
      </w:r>
      <w:r w:rsidR="00D615CB" w:rsidRPr="0039530F">
        <w:rPr>
          <w:lang w:eastAsia="fr-FR"/>
        </w:rPr>
        <w:t xml:space="preserve"> </w:t>
      </w:r>
      <w:r w:rsidR="0039530F" w:rsidRPr="0039530F">
        <w:rPr>
          <w:lang w:eastAsia="fr-FR"/>
        </w:rPr>
        <w:t>to Iraq from abroad, such as al-</w:t>
      </w:r>
      <w:proofErr w:type="spellStart"/>
      <w:r w:rsidR="0039530F" w:rsidRPr="0039530F">
        <w:rPr>
          <w:lang w:eastAsia="fr-FR"/>
        </w:rPr>
        <w:t>Horra</w:t>
      </w:r>
      <w:proofErr w:type="spellEnd"/>
      <w:r w:rsidR="0039530F" w:rsidRPr="0039530F">
        <w:rPr>
          <w:lang w:eastAsia="fr-FR"/>
        </w:rPr>
        <w:t xml:space="preserve"> TV and al-</w:t>
      </w:r>
      <w:proofErr w:type="spellStart"/>
      <w:r w:rsidR="0039530F" w:rsidRPr="0039530F">
        <w:rPr>
          <w:lang w:eastAsia="fr-FR"/>
        </w:rPr>
        <w:t>Faya</w:t>
      </w:r>
      <w:proofErr w:type="spellEnd"/>
      <w:r w:rsidR="0039530F" w:rsidRPr="0039530F">
        <w:rPr>
          <w:lang w:eastAsia="fr-FR"/>
        </w:rPr>
        <w:t xml:space="preserve"> TV. </w:t>
      </w:r>
    </w:p>
    <w:p w:rsidR="00BF0356" w:rsidRPr="00EE36F4" w:rsidRDefault="00BF0356" w:rsidP="0094624F">
      <w:pPr>
        <w:pStyle w:val="Paragraphedeliste"/>
        <w:rPr>
          <w:lang w:eastAsia="fr-FR"/>
        </w:rPr>
      </w:pPr>
    </w:p>
    <w:p w:rsidR="00BF0356" w:rsidRPr="00EE36F4" w:rsidRDefault="00BF0356" w:rsidP="009F4F4D">
      <w:pPr>
        <w:rPr>
          <w:lang w:eastAsia="fr-FR"/>
        </w:rPr>
      </w:pPr>
      <w:r w:rsidRPr="00EE36F4">
        <w:rPr>
          <w:lang w:eastAsia="fr-FR"/>
        </w:rPr>
        <w:t xml:space="preserve">As </w:t>
      </w:r>
      <w:r w:rsidR="0039530F" w:rsidRPr="0039530F">
        <w:rPr>
          <w:lang w:eastAsia="fr-FR"/>
        </w:rPr>
        <w:t xml:space="preserve">the suspects are brought </w:t>
      </w:r>
      <w:r w:rsidR="009F4F4D">
        <w:rPr>
          <w:lang w:eastAsia="fr-FR"/>
        </w:rPr>
        <w:t>on</w:t>
      </w:r>
      <w:r w:rsidR="0039530F" w:rsidRPr="0039530F">
        <w:rPr>
          <w:lang w:eastAsia="fr-FR"/>
        </w:rPr>
        <w:t xml:space="preserve"> TV and presented as “terrorists confessing” their serious crimes or implicating other</w:t>
      </w:r>
      <w:r w:rsidR="009F4F4D">
        <w:rPr>
          <w:lang w:eastAsia="fr-FR"/>
        </w:rPr>
        <w:t xml:space="preserve"> defendants guilty</w:t>
      </w:r>
      <w:r w:rsidR="0039530F" w:rsidRPr="0039530F">
        <w:rPr>
          <w:lang w:eastAsia="fr-FR"/>
        </w:rPr>
        <w:t xml:space="preserve"> </w:t>
      </w:r>
      <w:r w:rsidR="009F4F4D">
        <w:rPr>
          <w:lang w:eastAsia="fr-FR"/>
        </w:rPr>
        <w:t>of</w:t>
      </w:r>
      <w:r w:rsidR="0039530F" w:rsidRPr="0039530F">
        <w:rPr>
          <w:lang w:eastAsia="fr-FR"/>
        </w:rPr>
        <w:t xml:space="preserve"> such crimes, this practice does not only breach the principle of presumption of innocence, but </w:t>
      </w:r>
      <w:r w:rsidR="009F4F4D">
        <w:rPr>
          <w:lang w:eastAsia="fr-FR"/>
        </w:rPr>
        <w:t xml:space="preserve">also </w:t>
      </w:r>
      <w:r w:rsidR="0039530F" w:rsidRPr="0039530F">
        <w:rPr>
          <w:lang w:eastAsia="fr-FR"/>
        </w:rPr>
        <w:t>puts pressure on judges that would then be encouraged to issue guilty verdicts against them, often on the sole bas</w:t>
      </w:r>
      <w:r w:rsidR="00D615CB">
        <w:rPr>
          <w:lang w:eastAsia="fr-FR"/>
        </w:rPr>
        <w:t>is</w:t>
      </w:r>
      <w:r w:rsidR="0039530F" w:rsidRPr="0039530F">
        <w:rPr>
          <w:lang w:eastAsia="fr-FR"/>
        </w:rPr>
        <w:t xml:space="preserve"> of these</w:t>
      </w:r>
      <w:r w:rsidR="009F4F4D">
        <w:rPr>
          <w:lang w:eastAsia="fr-FR"/>
        </w:rPr>
        <w:t xml:space="preserve"> forced</w:t>
      </w:r>
      <w:r w:rsidR="0039530F" w:rsidRPr="0039530F">
        <w:rPr>
          <w:lang w:eastAsia="fr-FR"/>
        </w:rPr>
        <w:t xml:space="preserve"> confessions. </w:t>
      </w:r>
      <w:r w:rsidR="009F4F4D">
        <w:rPr>
          <w:lang w:eastAsia="fr-FR"/>
        </w:rPr>
        <w:t xml:space="preserve">Moreover, </w:t>
      </w:r>
      <w:r w:rsidR="0039530F" w:rsidRPr="0039530F">
        <w:rPr>
          <w:lang w:eastAsia="fr-FR"/>
        </w:rPr>
        <w:t>public press conferences</w:t>
      </w:r>
      <w:r w:rsidR="009F4F4D">
        <w:rPr>
          <w:lang w:eastAsia="fr-FR"/>
        </w:rPr>
        <w:t xml:space="preserve"> are</w:t>
      </w:r>
      <w:r w:rsidR="0039530F" w:rsidRPr="0039530F">
        <w:rPr>
          <w:lang w:eastAsia="fr-FR"/>
        </w:rPr>
        <w:t xml:space="preserve"> regularly organised by the Ministry of Interior</w:t>
      </w:r>
      <w:r w:rsidR="009F4F4D">
        <w:rPr>
          <w:lang w:eastAsia="fr-FR"/>
        </w:rPr>
        <w:t>,</w:t>
      </w:r>
      <w:r w:rsidR="0039530F" w:rsidRPr="0039530F">
        <w:rPr>
          <w:lang w:eastAsia="fr-FR"/>
        </w:rPr>
        <w:t xml:space="preserve"> during which</w:t>
      </w:r>
      <w:r w:rsidR="009F4F4D">
        <w:rPr>
          <w:lang w:eastAsia="fr-FR"/>
        </w:rPr>
        <w:t xml:space="preserve"> persons</w:t>
      </w:r>
      <w:r w:rsidR="0039530F" w:rsidRPr="0039530F">
        <w:rPr>
          <w:lang w:eastAsia="fr-FR"/>
        </w:rPr>
        <w:t xml:space="preserve"> accused of serious crimes are presented to the media to confess their crimes and video footages of interrogations of pre-trial detainees</w:t>
      </w:r>
      <w:r w:rsidR="009F4F4D">
        <w:rPr>
          <w:lang w:eastAsia="fr-FR"/>
        </w:rPr>
        <w:t xml:space="preserve"> are released</w:t>
      </w:r>
      <w:r w:rsidR="0039530F" w:rsidRPr="0039530F">
        <w:rPr>
          <w:lang w:eastAsia="fr-FR"/>
        </w:rPr>
        <w:t xml:space="preserve"> over the internet via the </w:t>
      </w:r>
      <w:proofErr w:type="spellStart"/>
      <w:r w:rsidR="009F4F4D">
        <w:rPr>
          <w:lang w:eastAsia="fr-FR"/>
        </w:rPr>
        <w:t>Y</w:t>
      </w:r>
      <w:r w:rsidR="0039530F" w:rsidRPr="0039530F">
        <w:rPr>
          <w:lang w:eastAsia="fr-FR"/>
        </w:rPr>
        <w:t>outube</w:t>
      </w:r>
      <w:proofErr w:type="spellEnd"/>
      <w:r w:rsidR="0039530F" w:rsidRPr="0039530F">
        <w:rPr>
          <w:lang w:eastAsia="fr-FR"/>
        </w:rPr>
        <w:t xml:space="preserve"> channel</w:t>
      </w:r>
      <w:r w:rsidRPr="00EE36F4">
        <w:rPr>
          <w:rStyle w:val="Appelnotedebasdep"/>
          <w:lang w:eastAsia="fr-FR"/>
        </w:rPr>
        <w:footnoteReference w:id="111"/>
      </w:r>
      <w:r w:rsidRPr="00EE36F4">
        <w:rPr>
          <w:lang w:eastAsia="fr-FR"/>
        </w:rPr>
        <w:t xml:space="preserve">. </w:t>
      </w:r>
    </w:p>
    <w:p w:rsidR="00406604" w:rsidRPr="00EE36F4" w:rsidRDefault="00406604" w:rsidP="00406604">
      <w:pPr>
        <w:pStyle w:val="Paragraphedeliste"/>
        <w:ind w:left="0"/>
      </w:pPr>
    </w:p>
    <w:p w:rsidR="009B3E9E" w:rsidRDefault="0039530F">
      <w:pPr>
        <w:rPr>
          <w:lang w:eastAsia="fr-FR"/>
        </w:rPr>
      </w:pPr>
      <w:r w:rsidRPr="0039530F">
        <w:rPr>
          <w:lang w:eastAsia="fr-FR"/>
        </w:rPr>
        <w:t xml:space="preserve">In this regard, the prosecution of former </w:t>
      </w:r>
      <w:r w:rsidR="00573985" w:rsidRPr="00573985">
        <w:rPr>
          <w:b/>
          <w:bCs/>
          <w:lang w:eastAsia="fr-FR"/>
        </w:rPr>
        <w:t xml:space="preserve">Vice-President Tariq Al </w:t>
      </w:r>
      <w:proofErr w:type="spellStart"/>
      <w:r w:rsidR="00573985" w:rsidRPr="00573985">
        <w:rPr>
          <w:b/>
          <w:bCs/>
          <w:lang w:eastAsia="fr-FR"/>
        </w:rPr>
        <w:t>Hashimi</w:t>
      </w:r>
      <w:proofErr w:type="spellEnd"/>
      <w:r w:rsidRPr="0039530F">
        <w:rPr>
          <w:lang w:eastAsia="fr-FR"/>
        </w:rPr>
        <w:t xml:space="preserve"> on the basis of confessions under torture from his bodyguards broadcasted on national television in 2011 is emblematic. At the time, an Interior Ministry official, Major General Adel </w:t>
      </w:r>
      <w:proofErr w:type="spellStart"/>
      <w:r w:rsidRPr="0039530F">
        <w:rPr>
          <w:lang w:eastAsia="fr-FR"/>
        </w:rPr>
        <w:t>Daham</w:t>
      </w:r>
      <w:proofErr w:type="spellEnd"/>
      <w:r w:rsidRPr="0039530F">
        <w:rPr>
          <w:lang w:eastAsia="fr-FR"/>
        </w:rPr>
        <w:t xml:space="preserve"> commented that: </w:t>
      </w:r>
      <w:r w:rsidRPr="0039530F">
        <w:rPr>
          <w:rFonts w:eastAsia="Times New Roman" w:cs="Times New Roman"/>
        </w:rPr>
        <w:t>“If we say we caught the leader of Al Qaeda, who will believe it? This is to show credibility. We are sure we are doing the right thing.”</w:t>
      </w:r>
      <w:r w:rsidR="00406604" w:rsidRPr="00EE36F4">
        <w:rPr>
          <w:rStyle w:val="Appelnotedebasdep"/>
          <w:rFonts w:eastAsia="Times New Roman" w:cs="Times New Roman"/>
        </w:rPr>
        <w:footnoteReference w:id="112"/>
      </w:r>
    </w:p>
    <w:p w:rsidR="00406604" w:rsidRPr="00EE36F4" w:rsidRDefault="00406604" w:rsidP="00406604">
      <w:pPr>
        <w:rPr>
          <w:lang w:eastAsia="fr-FR"/>
        </w:rPr>
      </w:pPr>
    </w:p>
    <w:p w:rsidR="00406604" w:rsidRPr="00EE36F4" w:rsidRDefault="0039530F" w:rsidP="007E5A46">
      <w:pPr>
        <w:ind w:left="284" w:right="252"/>
      </w:pPr>
      <w:r w:rsidRPr="0039530F">
        <w:t>In December 2011, Iraqi security for</w:t>
      </w:r>
      <w:r w:rsidR="007E5A46">
        <w:t xml:space="preserve">ces, ordered by Prime Minister </w:t>
      </w:r>
      <w:r w:rsidR="00CB7114">
        <w:t>A</w:t>
      </w:r>
      <w:r w:rsidR="007E5A46">
        <w:t>l-</w:t>
      </w:r>
      <w:proofErr w:type="spellStart"/>
      <w:r w:rsidRPr="0039530F">
        <w:t>Maliki</w:t>
      </w:r>
      <w:proofErr w:type="spellEnd"/>
      <w:r w:rsidRPr="0039530F">
        <w:t xml:space="preserve">, surrounded the house of Vice-President Tariq Al </w:t>
      </w:r>
      <w:proofErr w:type="spellStart"/>
      <w:r w:rsidRPr="0039530F">
        <w:t>Hashimi</w:t>
      </w:r>
      <w:proofErr w:type="spellEnd"/>
      <w:r w:rsidRPr="0039530F">
        <w:t>, a leading memb</w:t>
      </w:r>
      <w:r w:rsidR="007E5A46">
        <w:t xml:space="preserve">er of the </w:t>
      </w:r>
      <w:proofErr w:type="spellStart"/>
      <w:r w:rsidR="007E5A46">
        <w:t>Iraquiya</w:t>
      </w:r>
      <w:proofErr w:type="spellEnd"/>
      <w:r w:rsidR="007E5A46">
        <w:t xml:space="preserve"> coalition, Al-</w:t>
      </w:r>
      <w:proofErr w:type="spellStart"/>
      <w:r w:rsidRPr="0039530F">
        <w:t>Maliki's</w:t>
      </w:r>
      <w:proofErr w:type="spellEnd"/>
      <w:r w:rsidRPr="0039530F">
        <w:t xml:space="preserve"> main electoral rival, who was criticising what </w:t>
      </w:r>
      <w:proofErr w:type="gramStart"/>
      <w:r w:rsidRPr="0039530F">
        <w:t>he</w:t>
      </w:r>
      <w:proofErr w:type="gramEnd"/>
      <w:r w:rsidRPr="0039530F">
        <w:t xml:space="preserve"> saw as </w:t>
      </w:r>
      <w:r w:rsidR="007E5A46">
        <w:t>A</w:t>
      </w:r>
      <w:r w:rsidRPr="0039530F">
        <w:t>l</w:t>
      </w:r>
      <w:r w:rsidR="00CB7114">
        <w:t>-</w:t>
      </w:r>
      <w:proofErr w:type="spellStart"/>
      <w:r w:rsidRPr="0039530F">
        <w:t>Maliki's</w:t>
      </w:r>
      <w:proofErr w:type="spellEnd"/>
      <w:r w:rsidRPr="0039530F">
        <w:t xml:space="preserve"> attempts to centralise power. This was marking an escalation of tensions between </w:t>
      </w:r>
      <w:r w:rsidR="007E5A46">
        <w:t>A</w:t>
      </w:r>
      <w:r w:rsidRPr="0039530F">
        <w:t>l</w:t>
      </w:r>
      <w:r w:rsidR="00CB7114">
        <w:t>-</w:t>
      </w:r>
      <w:proofErr w:type="spellStart"/>
      <w:r w:rsidRPr="0039530F">
        <w:t>Maliki</w:t>
      </w:r>
      <w:proofErr w:type="spellEnd"/>
      <w:r w:rsidRPr="0039530F">
        <w:t xml:space="preserve"> and Al </w:t>
      </w:r>
      <w:proofErr w:type="spellStart"/>
      <w:r w:rsidRPr="0039530F">
        <w:t>Hashimi</w:t>
      </w:r>
      <w:proofErr w:type="spellEnd"/>
      <w:r w:rsidRPr="0039530F">
        <w:t xml:space="preserve"> who had been at odds over the formation of a unity government.</w:t>
      </w:r>
    </w:p>
    <w:p w:rsidR="00406604" w:rsidRPr="00EE36F4" w:rsidRDefault="00406604" w:rsidP="00406604">
      <w:pPr>
        <w:ind w:left="284" w:right="283"/>
      </w:pPr>
    </w:p>
    <w:p w:rsidR="00406604" w:rsidRPr="00EE36F4" w:rsidRDefault="0039530F" w:rsidP="006928C7">
      <w:pPr>
        <w:ind w:left="284" w:right="342"/>
      </w:pPr>
      <w:r w:rsidRPr="0039530F">
        <w:t xml:space="preserve">As Al </w:t>
      </w:r>
      <w:proofErr w:type="spellStart"/>
      <w:r w:rsidRPr="0039530F">
        <w:t>Hashimi</w:t>
      </w:r>
      <w:proofErr w:type="spellEnd"/>
      <w:r w:rsidRPr="0039530F">
        <w:t xml:space="preserve"> was not home, the security forces arrested several of his relatives and members of his staff instead. On 19 December 2011, forced confessions at gunpoint of three of his bodyguards who were severely tortured beforehand were aired on state-run channel Al </w:t>
      </w:r>
      <w:proofErr w:type="spellStart"/>
      <w:r w:rsidRPr="0039530F">
        <w:t>Iraquiya</w:t>
      </w:r>
      <w:proofErr w:type="spellEnd"/>
      <w:r w:rsidRPr="0039530F">
        <w:t xml:space="preserve"> incriminating Al </w:t>
      </w:r>
      <w:proofErr w:type="spellStart"/>
      <w:r w:rsidRPr="0039530F">
        <w:t>Hashimi</w:t>
      </w:r>
      <w:proofErr w:type="spellEnd"/>
      <w:r w:rsidRPr="0039530F">
        <w:t xml:space="preserve">. The same day, the Ministry of Interior held a press conference to announce that an arrest warrant had been issued against Al </w:t>
      </w:r>
      <w:proofErr w:type="spellStart"/>
      <w:r w:rsidRPr="0039530F">
        <w:t>Hashimi</w:t>
      </w:r>
      <w:proofErr w:type="spellEnd"/>
      <w:r w:rsidRPr="0039530F">
        <w:t xml:space="preserve"> for having “orchestrated bombing attacks” and broadcasted the coerced confessions, in violation of the principle of presumption of innocence.</w:t>
      </w:r>
    </w:p>
    <w:p w:rsidR="00406604" w:rsidRPr="00EE36F4" w:rsidRDefault="00406604" w:rsidP="00406604">
      <w:pPr>
        <w:ind w:left="284" w:right="283"/>
      </w:pPr>
    </w:p>
    <w:p w:rsidR="00406604" w:rsidRPr="00EE36F4" w:rsidRDefault="0039530F" w:rsidP="00406604">
      <w:pPr>
        <w:ind w:left="284" w:right="283"/>
      </w:pPr>
      <w:r w:rsidRPr="0039530F">
        <w:t xml:space="preserve">Meanwhile, the security services, tightly controlled by Al </w:t>
      </w:r>
      <w:proofErr w:type="spellStart"/>
      <w:r w:rsidRPr="0039530F">
        <w:t>Maliki</w:t>
      </w:r>
      <w:proofErr w:type="spellEnd"/>
      <w:r w:rsidRPr="0039530F">
        <w:t xml:space="preserve">, continued to arrest dozens of Al </w:t>
      </w:r>
      <w:proofErr w:type="spellStart"/>
      <w:r w:rsidRPr="0039530F">
        <w:t>Hashimi's</w:t>
      </w:r>
      <w:proofErr w:type="spellEnd"/>
      <w:r w:rsidRPr="0039530F">
        <w:t xml:space="preserve"> staff and bodyguards and took them to secret locations where they were severely tortured and forced to sign confessions incriminating both Al </w:t>
      </w:r>
      <w:proofErr w:type="spellStart"/>
      <w:r w:rsidRPr="0039530F">
        <w:t>Hashimi</w:t>
      </w:r>
      <w:proofErr w:type="spellEnd"/>
      <w:r w:rsidRPr="0039530F">
        <w:t xml:space="preserve"> and themselves. </w:t>
      </w:r>
    </w:p>
    <w:p w:rsidR="00406604" w:rsidRPr="00EE36F4" w:rsidRDefault="00406604" w:rsidP="00406604">
      <w:pPr>
        <w:ind w:left="284" w:right="283"/>
      </w:pPr>
    </w:p>
    <w:p w:rsidR="00406604" w:rsidRPr="00EE36F4" w:rsidRDefault="0039530F" w:rsidP="007E5A46">
      <w:pPr>
        <w:ind w:left="284" w:right="283"/>
        <w:rPr>
          <w:rFonts w:eastAsia="Times New Roman" w:cs="Times New Roman"/>
        </w:rPr>
      </w:pPr>
      <w:r w:rsidRPr="0039530F">
        <w:t xml:space="preserve">Alkarama has gathered testimonies regarding 21 of Al </w:t>
      </w:r>
      <w:proofErr w:type="spellStart"/>
      <w:r w:rsidRPr="0039530F">
        <w:t>Hashimi’s</w:t>
      </w:r>
      <w:proofErr w:type="spellEnd"/>
      <w:r w:rsidRPr="0039530F">
        <w:t xml:space="preserve"> staff, their relatives and friends</w:t>
      </w:r>
      <w:r w:rsidR="00406604" w:rsidRPr="00EE36F4">
        <w:rPr>
          <w:rStyle w:val="Appelnotedebasdep"/>
        </w:rPr>
        <w:footnoteReference w:id="113"/>
      </w:r>
      <w:r w:rsidR="00CC5645">
        <w:t>,</w:t>
      </w:r>
      <w:r w:rsidR="00406604" w:rsidRPr="00EE36F4">
        <w:t xml:space="preserve"> who were all arrested between December 2011 </w:t>
      </w:r>
      <w:r w:rsidRPr="0039530F">
        <w:t xml:space="preserve">and March 2012. All reported having been severely tortured while detained </w:t>
      </w:r>
      <w:r w:rsidRPr="0039530F">
        <w:rPr>
          <w:i/>
        </w:rPr>
        <w:t xml:space="preserve">incommunicado </w:t>
      </w:r>
      <w:r w:rsidRPr="0039530F">
        <w:t xml:space="preserve">for several months, following the same pattern. While the purpose of torture was at first to have them confess that they took part in terrorist acts on behalf of Al </w:t>
      </w:r>
      <w:proofErr w:type="spellStart"/>
      <w:r w:rsidRPr="0039530F">
        <w:t>Hashimi</w:t>
      </w:r>
      <w:proofErr w:type="spellEnd"/>
      <w:r w:rsidRPr="0039530F">
        <w:t>, it also turned to a collective punishment simply for having worked for him. In addition to being held in solitary confinement, they were being beaten up (</w:t>
      </w:r>
      <w:proofErr w:type="spellStart"/>
      <w:r w:rsidRPr="0039530F">
        <w:rPr>
          <w:i/>
        </w:rPr>
        <w:t>falaqa</w:t>
      </w:r>
      <w:proofErr w:type="spellEnd"/>
      <w:r w:rsidRPr="0039530F">
        <w:t>), forced to strip and exposed to extremely low temperatures. They were also chocked with plastic bags and subjected to electric shocks via electrodes placed on sensitive parts of their bod</w:t>
      </w:r>
      <w:r w:rsidR="00475741">
        <w:t>ies</w:t>
      </w:r>
      <w:r w:rsidRPr="0039530F">
        <w:t xml:space="preserve">. The security services agents, who had access to the prison facilities, also threatened to arrest their wives and mothers and rape them in front of them. Mrs </w:t>
      </w:r>
      <w:proofErr w:type="spellStart"/>
      <w:r w:rsidRPr="0039530F">
        <w:rPr>
          <w:rFonts w:eastAsia="Times New Roman" w:cs="Times New Roman"/>
        </w:rPr>
        <w:t>Rasha</w:t>
      </w:r>
      <w:proofErr w:type="spellEnd"/>
      <w:r w:rsidRPr="0039530F">
        <w:rPr>
          <w:rFonts w:eastAsia="Times New Roman" w:cs="Times New Roman"/>
        </w:rPr>
        <w:t xml:space="preserve"> </w:t>
      </w:r>
      <w:proofErr w:type="spellStart"/>
      <w:r w:rsidRPr="0039530F">
        <w:rPr>
          <w:rFonts w:eastAsia="Times New Roman" w:cs="Times New Roman"/>
        </w:rPr>
        <w:t>Nemer</w:t>
      </w:r>
      <w:proofErr w:type="spellEnd"/>
      <w:r w:rsidRPr="0039530F">
        <w:rPr>
          <w:rFonts w:eastAsia="Times New Roman" w:cs="Times New Roman"/>
        </w:rPr>
        <w:t xml:space="preserve"> </w:t>
      </w:r>
      <w:proofErr w:type="spellStart"/>
      <w:r w:rsidRPr="0039530F">
        <w:rPr>
          <w:rFonts w:eastAsia="Times New Roman" w:cs="Times New Roman"/>
        </w:rPr>
        <w:t>Jaafar</w:t>
      </w:r>
      <w:proofErr w:type="spellEnd"/>
      <w:r w:rsidRPr="0039530F">
        <w:rPr>
          <w:rFonts w:eastAsia="Times New Roman" w:cs="Times New Roman"/>
        </w:rPr>
        <w:t xml:space="preserve"> Al </w:t>
      </w:r>
      <w:proofErr w:type="spellStart"/>
      <w:r w:rsidRPr="0039530F">
        <w:rPr>
          <w:rFonts w:eastAsia="Times New Roman" w:cs="Times New Roman"/>
        </w:rPr>
        <w:t>Husseini</w:t>
      </w:r>
      <w:proofErr w:type="spellEnd"/>
      <w:r w:rsidRPr="0039530F">
        <w:rPr>
          <w:rFonts w:eastAsia="Times New Roman" w:cs="Times New Roman"/>
        </w:rPr>
        <w:t xml:space="preserve">, Al </w:t>
      </w:r>
      <w:proofErr w:type="spellStart"/>
      <w:r w:rsidRPr="0039530F">
        <w:rPr>
          <w:rFonts w:eastAsia="Times New Roman" w:cs="Times New Roman"/>
        </w:rPr>
        <w:t>Hashimi’s</w:t>
      </w:r>
      <w:proofErr w:type="spellEnd"/>
      <w:r w:rsidRPr="0039530F">
        <w:rPr>
          <w:rFonts w:eastAsia="Times New Roman" w:cs="Times New Roman"/>
        </w:rPr>
        <w:t xml:space="preserve"> personal secretary and media officer, was also raped. </w:t>
      </w:r>
    </w:p>
    <w:p w:rsidR="00406604" w:rsidRPr="00EE36F4" w:rsidRDefault="00406604" w:rsidP="00406604">
      <w:pPr>
        <w:ind w:left="284" w:right="283"/>
        <w:rPr>
          <w:rFonts w:eastAsia="Times New Roman" w:cs="Times New Roman"/>
        </w:rPr>
      </w:pPr>
    </w:p>
    <w:p w:rsidR="00406604" w:rsidRPr="00EE36F4" w:rsidRDefault="0039530F" w:rsidP="00406604">
      <w:pPr>
        <w:ind w:left="284" w:right="283"/>
      </w:pPr>
      <w:r w:rsidRPr="0039530F">
        <w:rPr>
          <w:lang w:eastAsia="fr-FR"/>
        </w:rPr>
        <w:t xml:space="preserve">They were all later charged on the basis of their confessions extracted under torture with </w:t>
      </w:r>
      <w:r w:rsidRPr="0039530F">
        <w:t xml:space="preserve">“carrying out terrorist attacks” by the investigating judge of the Central Criminal Court of Iraq (CCCI) branch in Al </w:t>
      </w:r>
      <w:proofErr w:type="spellStart"/>
      <w:r w:rsidRPr="0039530F">
        <w:t>Karkh</w:t>
      </w:r>
      <w:proofErr w:type="spellEnd"/>
      <w:r w:rsidRPr="0039530F">
        <w:t>. After heavily flawed trials during which their confessions under torture were admitted as the sole pieces of evidence, they were all sentenced to death on the basis of article 4 of the Iraq's Anti-terrorism Law of 2005.</w:t>
      </w:r>
    </w:p>
    <w:p w:rsidR="00406604" w:rsidRPr="00EE36F4" w:rsidRDefault="00406604" w:rsidP="00406604">
      <w:pPr>
        <w:ind w:left="284" w:right="283"/>
      </w:pPr>
    </w:p>
    <w:p w:rsidR="00BF0356" w:rsidRPr="00EE36F4" w:rsidRDefault="0039530F" w:rsidP="00C31335">
      <w:pPr>
        <w:pStyle w:val="Titre3"/>
        <w:rPr>
          <w:lang w:val="en-GB"/>
        </w:rPr>
      </w:pPr>
      <w:bookmarkStart w:id="27" w:name="_Toc430940000"/>
      <w:r w:rsidRPr="0039530F">
        <w:rPr>
          <w:lang w:val="en-GB"/>
        </w:rPr>
        <w:t xml:space="preserve">Flawed convictions </w:t>
      </w:r>
      <w:r w:rsidR="00206EC5">
        <w:rPr>
          <w:lang w:val="en-GB"/>
        </w:rPr>
        <w:t>based on confessions under torture or</w:t>
      </w:r>
      <w:r w:rsidR="00781A54">
        <w:rPr>
          <w:lang w:val="en-GB"/>
        </w:rPr>
        <w:t xml:space="preserve"> information provided by</w:t>
      </w:r>
      <w:r w:rsidR="00206EC5">
        <w:rPr>
          <w:lang w:val="en-GB"/>
        </w:rPr>
        <w:t xml:space="preserve"> </w:t>
      </w:r>
      <w:r w:rsidR="00781A54">
        <w:rPr>
          <w:lang w:val="en-GB"/>
        </w:rPr>
        <w:t>“</w:t>
      </w:r>
      <w:r w:rsidR="00206EC5">
        <w:rPr>
          <w:lang w:val="en-GB"/>
        </w:rPr>
        <w:t>secret informant</w:t>
      </w:r>
      <w:r w:rsidR="00781A54">
        <w:rPr>
          <w:lang w:val="en-GB"/>
        </w:rPr>
        <w:t>s”</w:t>
      </w:r>
      <w:bookmarkEnd w:id="27"/>
    </w:p>
    <w:p w:rsidR="00BF0356" w:rsidRPr="00EE36F4" w:rsidRDefault="00BF0356" w:rsidP="00E369C3">
      <w:pPr>
        <w:pStyle w:val="Paragraphedeliste"/>
      </w:pPr>
    </w:p>
    <w:p w:rsidR="00BD1613" w:rsidRDefault="0039530F">
      <w:pPr>
        <w:autoSpaceDE w:val="0"/>
        <w:autoSpaceDN w:val="0"/>
        <w:adjustRightInd w:val="0"/>
      </w:pPr>
      <w:r w:rsidRPr="0039530F">
        <w:t xml:space="preserve">Finally, when trials are held, judges rely heavily on the information extracted </w:t>
      </w:r>
      <w:r w:rsidR="00997ECA">
        <w:t>under</w:t>
      </w:r>
      <w:r w:rsidR="00997ECA" w:rsidRPr="0039530F">
        <w:t xml:space="preserve"> </w:t>
      </w:r>
      <w:r w:rsidRPr="0039530F">
        <w:t>torture, as detailed in the previous paragraph. In addition, it is common that, especially in cases of</w:t>
      </w:r>
      <w:r w:rsidR="00CC5645">
        <w:t xml:space="preserve"> crimes against the</w:t>
      </w:r>
      <w:r w:rsidRPr="0039530F">
        <w:t xml:space="preserve"> “national security”, investigative and trial judges rely on testimonies of secret informants, as permitted by </w:t>
      </w:r>
      <w:r w:rsidR="00CC5645">
        <w:t>a</w:t>
      </w:r>
      <w:r w:rsidRPr="0039530F">
        <w:t>rticle 47.2 CCP</w:t>
      </w:r>
      <w:r w:rsidR="00BF0356" w:rsidRPr="00EE36F4">
        <w:rPr>
          <w:rStyle w:val="Appelnotedebasdep"/>
        </w:rPr>
        <w:footnoteReference w:id="114"/>
      </w:r>
      <w:r w:rsidR="00BF0356" w:rsidRPr="00EE36F4">
        <w:t xml:space="preserve">. </w:t>
      </w:r>
    </w:p>
    <w:p w:rsidR="00BF0356" w:rsidRPr="00EE36F4" w:rsidRDefault="00BF0356" w:rsidP="0002283C">
      <w:pPr>
        <w:autoSpaceDE w:val="0"/>
        <w:autoSpaceDN w:val="0"/>
        <w:adjustRightInd w:val="0"/>
      </w:pPr>
    </w:p>
    <w:p w:rsidR="00D94EAF" w:rsidRPr="00EE36F4" w:rsidRDefault="0039530F" w:rsidP="00D94EAF">
      <w:pPr>
        <w:autoSpaceDE w:val="0"/>
        <w:autoSpaceDN w:val="0"/>
        <w:adjustRightInd w:val="0"/>
      </w:pPr>
      <w:r w:rsidRPr="0039530F">
        <w:t xml:space="preserve">This is a worrisome </w:t>
      </w:r>
      <w:r w:rsidR="00997ECA">
        <w:t>practice</w:t>
      </w:r>
      <w:r w:rsidRPr="0039530F">
        <w:t>, especially considering that in 2009</w:t>
      </w:r>
      <w:r w:rsidR="00CC5645">
        <w:t>,</w:t>
      </w:r>
      <w:r w:rsidRPr="0039530F">
        <w:t xml:space="preserve"> </w:t>
      </w:r>
      <w:r w:rsidR="00CC5645">
        <w:t>a</w:t>
      </w:r>
      <w:r w:rsidRPr="0039530F">
        <w:t>rticle 243 PC was amended in order to increase the penalty for falsely accusing an innocent person due to the problems that had arisen from the</w:t>
      </w:r>
      <w:r w:rsidR="00CC5645">
        <w:t xml:space="preserve"> widespread</w:t>
      </w:r>
      <w:r w:rsidRPr="0039530F">
        <w:t xml:space="preserve"> use of secret informants. At the same time, the Supreme Judicial Council issued a directive urging investigati</w:t>
      </w:r>
      <w:r w:rsidR="00997ECA">
        <w:t>ve</w:t>
      </w:r>
      <w:r w:rsidRPr="0039530F">
        <w:t xml:space="preserve"> judges to </w:t>
      </w:r>
      <w:r w:rsidR="00EE2C76">
        <w:t>review</w:t>
      </w:r>
      <w:r w:rsidRPr="0039530F">
        <w:t xml:space="preserve"> the reliability of information provided by secret informants and not to consider it sufficient, in the absence of other evidence, to issue arrest warrants or detention orders.</w:t>
      </w:r>
      <w:r w:rsidR="00D94EAF" w:rsidRPr="00D94EAF">
        <w:t xml:space="preserve"> </w:t>
      </w:r>
      <w:r w:rsidR="00D94EAF">
        <w:t>T</w:t>
      </w:r>
      <w:r w:rsidR="00D94EAF" w:rsidRPr="0039530F">
        <w:t xml:space="preserve">his heavy reliance on information extracted under torture or provided by secret informants is </w:t>
      </w:r>
      <w:r w:rsidR="00D94EAF">
        <w:t>all the more</w:t>
      </w:r>
      <w:r w:rsidR="00D94EAF" w:rsidRPr="0039530F">
        <w:t xml:space="preserve"> concerning in the numerous cases involving the administration of the death penalty. </w:t>
      </w:r>
    </w:p>
    <w:p w:rsidR="00BF0356" w:rsidRPr="00EE36F4" w:rsidRDefault="00BF0356" w:rsidP="00497B97">
      <w:pPr>
        <w:pStyle w:val="Paragraphedeliste"/>
      </w:pPr>
    </w:p>
    <w:p w:rsidR="00BF0356" w:rsidRPr="00EE36F4" w:rsidRDefault="0039530F" w:rsidP="00497B97">
      <w:pPr>
        <w:pStyle w:val="Titre3"/>
        <w:rPr>
          <w:lang w:val="en-GB"/>
        </w:rPr>
      </w:pPr>
      <w:bookmarkStart w:id="28" w:name="_Toc430940001"/>
      <w:r w:rsidRPr="0039530F">
        <w:rPr>
          <w:lang w:val="en-GB"/>
        </w:rPr>
        <w:t>The lack of independence of the judiciary</w:t>
      </w:r>
      <w:bookmarkEnd w:id="28"/>
    </w:p>
    <w:p w:rsidR="00BF0356" w:rsidRPr="00EE36F4" w:rsidRDefault="00BF0356" w:rsidP="00B118A0">
      <w:pPr>
        <w:rPr>
          <w:lang w:eastAsia="fr-FR"/>
        </w:rPr>
      </w:pPr>
    </w:p>
    <w:p w:rsidR="00BF0356" w:rsidRPr="00EE36F4" w:rsidRDefault="0039530F" w:rsidP="00C163D2">
      <w:pPr>
        <w:rPr>
          <w:lang w:eastAsia="fr-FR"/>
        </w:rPr>
      </w:pPr>
      <w:r w:rsidRPr="0039530F">
        <w:rPr>
          <w:lang w:eastAsia="fr-FR"/>
        </w:rPr>
        <w:t xml:space="preserve">The serious flaws in </w:t>
      </w:r>
      <w:r w:rsidR="00723C92">
        <w:rPr>
          <w:lang w:eastAsia="fr-FR"/>
        </w:rPr>
        <w:t xml:space="preserve">the </w:t>
      </w:r>
      <w:r w:rsidRPr="0039530F">
        <w:rPr>
          <w:lang w:eastAsia="fr-FR"/>
        </w:rPr>
        <w:t>Iraqi judicial system</w:t>
      </w:r>
      <w:r w:rsidR="00C31335">
        <w:rPr>
          <w:lang w:eastAsia="fr-FR"/>
        </w:rPr>
        <w:t xml:space="preserve"> detailed above</w:t>
      </w:r>
      <w:r w:rsidRPr="0039530F">
        <w:rPr>
          <w:lang w:eastAsia="fr-FR"/>
        </w:rPr>
        <w:t xml:space="preserve"> are coupled with a general lack of independence of the judiciary as the executive power and the Prime Minister exercises powerful influence to the extent that courts become a tool of political control. Prosecutio</w:t>
      </w:r>
      <w:r w:rsidR="00C31335">
        <w:rPr>
          <w:lang w:eastAsia="fr-FR"/>
        </w:rPr>
        <w:t>n</w:t>
      </w:r>
      <w:r w:rsidRPr="0039530F">
        <w:rPr>
          <w:lang w:eastAsia="fr-FR"/>
        </w:rPr>
        <w:t xml:space="preserve"> under the cover of terrorism of outspoken political opponents is common, as will be detailed in a next section. At the same time, even harassment of lawyers of critics of the government is a common practice. </w:t>
      </w:r>
    </w:p>
    <w:p w:rsidR="00BF0356" w:rsidRPr="00EE36F4" w:rsidRDefault="00BF0356" w:rsidP="000D1517">
      <w:pPr>
        <w:rPr>
          <w:lang w:eastAsia="fr-FR"/>
        </w:rPr>
      </w:pPr>
    </w:p>
    <w:p w:rsidR="00BD1613" w:rsidRDefault="0039530F">
      <w:pPr>
        <w:rPr>
          <w:lang w:eastAsia="fr-FR"/>
        </w:rPr>
      </w:pPr>
      <w:r w:rsidRPr="0039530F">
        <w:rPr>
          <w:lang w:eastAsia="fr-FR"/>
        </w:rPr>
        <w:t>Iraqi national law</w:t>
      </w:r>
      <w:r w:rsidR="00C31335">
        <w:rPr>
          <w:lang w:eastAsia="fr-FR"/>
        </w:rPr>
        <w:t xml:space="preserve"> </w:t>
      </w:r>
      <w:r w:rsidRPr="0039530F">
        <w:rPr>
          <w:lang w:eastAsia="fr-FR"/>
        </w:rPr>
        <w:t xml:space="preserve">includes provisions protecting the independence of the judiciary, as stated </w:t>
      </w:r>
      <w:r w:rsidR="00723C92" w:rsidRPr="0039530F">
        <w:rPr>
          <w:lang w:eastAsia="fr-FR"/>
        </w:rPr>
        <w:t>by</w:t>
      </w:r>
      <w:r w:rsidR="00723C92">
        <w:rPr>
          <w:lang w:eastAsia="fr-FR"/>
        </w:rPr>
        <w:t xml:space="preserve"> a</w:t>
      </w:r>
      <w:r w:rsidRPr="0039530F">
        <w:rPr>
          <w:lang w:eastAsia="fr-FR"/>
        </w:rPr>
        <w:t>rticle</w:t>
      </w:r>
      <w:r w:rsidR="00723C92">
        <w:rPr>
          <w:lang w:eastAsia="fr-FR"/>
        </w:rPr>
        <w:t>s</w:t>
      </w:r>
      <w:r w:rsidRPr="0039530F">
        <w:rPr>
          <w:lang w:eastAsia="fr-FR"/>
        </w:rPr>
        <w:t xml:space="preserve"> 19.1 and 87 of the Constitution as well as the Management of Detention and Prison Facilities Act No. 2 of 2003 and </w:t>
      </w:r>
      <w:r w:rsidR="00C31335">
        <w:rPr>
          <w:lang w:eastAsia="fr-FR"/>
        </w:rPr>
        <w:t>a</w:t>
      </w:r>
      <w:r w:rsidRPr="0039530F">
        <w:rPr>
          <w:lang w:eastAsia="fr-FR"/>
        </w:rPr>
        <w:t>rticle 2.1 of the Judicial Organi</w:t>
      </w:r>
      <w:r w:rsidR="00C31335">
        <w:rPr>
          <w:lang w:eastAsia="fr-FR"/>
        </w:rPr>
        <w:t>s</w:t>
      </w:r>
      <w:r w:rsidRPr="0039530F">
        <w:rPr>
          <w:lang w:eastAsia="fr-FR"/>
        </w:rPr>
        <w:t xml:space="preserve">ation Law No. 170 of 1979. </w:t>
      </w:r>
    </w:p>
    <w:p w:rsidR="00BF0356" w:rsidRPr="00EE36F4" w:rsidRDefault="00BF0356" w:rsidP="000D1517">
      <w:pPr>
        <w:rPr>
          <w:lang w:eastAsia="fr-FR"/>
        </w:rPr>
      </w:pPr>
    </w:p>
    <w:p w:rsidR="00BD1613" w:rsidRDefault="0039530F">
      <w:pPr>
        <w:rPr>
          <w:lang w:eastAsia="fr-FR"/>
        </w:rPr>
      </w:pPr>
      <w:r w:rsidRPr="0039530F">
        <w:rPr>
          <w:lang w:eastAsia="fr-FR"/>
        </w:rPr>
        <w:t xml:space="preserve">However, political interference, </w:t>
      </w:r>
      <w:r w:rsidRPr="00801F7E">
        <w:rPr>
          <w:lang w:eastAsia="fr-FR"/>
        </w:rPr>
        <w:t>threats from milit</w:t>
      </w:r>
      <w:r w:rsidR="00801F7E" w:rsidRPr="00801F7E">
        <w:rPr>
          <w:lang w:eastAsia="fr-FR"/>
        </w:rPr>
        <w:t>ias</w:t>
      </w:r>
      <w:r w:rsidRPr="0039530F">
        <w:rPr>
          <w:lang w:eastAsia="fr-FR"/>
        </w:rPr>
        <w:t xml:space="preserve"> and the judges’ fear for their lives weigh heavily </w:t>
      </w:r>
      <w:r w:rsidR="002B6AAC">
        <w:rPr>
          <w:lang w:eastAsia="fr-FR"/>
        </w:rPr>
        <w:t>upon the issuance of</w:t>
      </w:r>
      <w:r w:rsidRPr="0039530F">
        <w:rPr>
          <w:lang w:eastAsia="fr-FR"/>
        </w:rPr>
        <w:t xml:space="preserve"> many verdicts. This is often linked to the widespread corruption present in the judicial and administrative system. It is in fact rare that cases of police corruption, such as instances in which police officers demand money to relatives of inmates (</w:t>
      </w:r>
      <w:r w:rsidRPr="00801F7E">
        <w:rPr>
          <w:lang w:eastAsia="fr-FR"/>
        </w:rPr>
        <w:t>i.e. to stop torture on them, or to obtain a specific lawye</w:t>
      </w:r>
      <w:r w:rsidR="00801F7E">
        <w:rPr>
          <w:lang w:eastAsia="fr-FR"/>
        </w:rPr>
        <w:t>r</w:t>
      </w:r>
      <w:r w:rsidR="00801F7E" w:rsidRPr="00C15ADC">
        <w:rPr>
          <w:vertAlign w:val="superscript"/>
          <w:lang w:eastAsia="fr-FR"/>
        </w:rPr>
        <w:footnoteReference w:id="115"/>
      </w:r>
      <w:r w:rsidRPr="0039530F">
        <w:rPr>
          <w:lang w:eastAsia="fr-FR"/>
        </w:rPr>
        <w:t>), reach the stage of prosecution, and when it does</w:t>
      </w:r>
      <w:r w:rsidR="007E5A46">
        <w:rPr>
          <w:lang w:eastAsia="fr-FR"/>
        </w:rPr>
        <w:t>,</w:t>
      </w:r>
      <w:r w:rsidRPr="0039530F">
        <w:rPr>
          <w:lang w:eastAsia="fr-FR"/>
        </w:rPr>
        <w:t xml:space="preserve"> it has proved ineffective. For example, UNAMI has reported that many judges have voiced their concerns </w:t>
      </w:r>
      <w:r w:rsidR="004A473D">
        <w:rPr>
          <w:lang w:eastAsia="fr-FR"/>
        </w:rPr>
        <w:t>over</w:t>
      </w:r>
      <w:r w:rsidRPr="0039530F">
        <w:rPr>
          <w:lang w:eastAsia="fr-FR"/>
        </w:rPr>
        <w:t xml:space="preserve"> the</w:t>
      </w:r>
      <w:r w:rsidR="004A473D">
        <w:rPr>
          <w:lang w:eastAsia="fr-FR"/>
        </w:rPr>
        <w:t xml:space="preserve"> insufficient</w:t>
      </w:r>
      <w:r w:rsidRPr="0039530F">
        <w:rPr>
          <w:lang w:eastAsia="fr-FR"/>
        </w:rPr>
        <w:t xml:space="preserve"> level of protection they receive to counter security risks they run by investigating and prosecuting corruption of security forces personnel</w:t>
      </w:r>
      <w:r w:rsidR="00BF0356" w:rsidRPr="00EE36F4">
        <w:rPr>
          <w:rStyle w:val="Appelnotedebasdep"/>
          <w:lang w:eastAsia="fr-FR"/>
        </w:rPr>
        <w:footnoteReference w:id="116"/>
      </w:r>
      <w:r w:rsidR="00BF0356" w:rsidRPr="00EE36F4">
        <w:rPr>
          <w:lang w:eastAsia="fr-FR"/>
        </w:rPr>
        <w:t>.</w:t>
      </w:r>
    </w:p>
    <w:p w:rsidR="00BF0356" w:rsidRPr="00EE36F4" w:rsidRDefault="00BF0356" w:rsidP="00D62A0D">
      <w:pPr>
        <w:rPr>
          <w:lang w:eastAsia="fr-FR"/>
        </w:rPr>
      </w:pPr>
    </w:p>
    <w:p w:rsidR="00BF0356" w:rsidRPr="00EE36F4" w:rsidRDefault="005D0447" w:rsidP="007E5A46">
      <w:r>
        <w:rPr>
          <w:rStyle w:val="apple-converted-space"/>
          <w:color w:val="000000"/>
        </w:rPr>
        <w:t xml:space="preserve">Moreover, the Iraqi justice system also suffers from a shortage of qualified and trained judges in comparison to the high number of inmates </w:t>
      </w:r>
      <w:r w:rsidR="004A473D">
        <w:rPr>
          <w:rStyle w:val="apple-converted-space"/>
          <w:color w:val="000000"/>
        </w:rPr>
        <w:t>who</w:t>
      </w:r>
      <w:r>
        <w:rPr>
          <w:rStyle w:val="apple-converted-space"/>
          <w:color w:val="000000"/>
        </w:rPr>
        <w:t xml:space="preserve"> face prosecution. Therefore, they have no time to sufficiently scrutinise each case and do nothing more than rubber stamp the police investigation before transferring the case to trial</w:t>
      </w:r>
      <w:r w:rsidR="00BF0356" w:rsidRPr="00EE36F4">
        <w:rPr>
          <w:rStyle w:val="Appelnotedebasdep"/>
          <w:color w:val="000000"/>
        </w:rPr>
        <w:footnoteReference w:id="117"/>
      </w:r>
      <w:r w:rsidR="00BF0356" w:rsidRPr="00EE36F4">
        <w:rPr>
          <w:rStyle w:val="apple-converted-space"/>
          <w:color w:val="000000"/>
        </w:rPr>
        <w:t xml:space="preserve">. The same </w:t>
      </w:r>
      <w:r w:rsidR="0083506C">
        <w:rPr>
          <w:rStyle w:val="apple-converted-space"/>
          <w:color w:val="000000"/>
        </w:rPr>
        <w:t>issue</w:t>
      </w:r>
      <w:r w:rsidR="0083506C" w:rsidRPr="00EE36F4">
        <w:rPr>
          <w:rStyle w:val="apple-converted-space"/>
          <w:color w:val="000000"/>
        </w:rPr>
        <w:t xml:space="preserve"> </w:t>
      </w:r>
      <w:r w:rsidR="00BF0356" w:rsidRPr="00EE36F4">
        <w:rPr>
          <w:rStyle w:val="apple-converted-space"/>
          <w:color w:val="000000"/>
        </w:rPr>
        <w:t xml:space="preserve">is </w:t>
      </w:r>
      <w:r w:rsidR="0083506C">
        <w:rPr>
          <w:rStyle w:val="apple-converted-space"/>
          <w:color w:val="000000"/>
        </w:rPr>
        <w:t>encountered</w:t>
      </w:r>
      <w:r w:rsidR="00BF0356" w:rsidRPr="00EE36F4">
        <w:rPr>
          <w:rStyle w:val="apple-converted-space"/>
          <w:color w:val="000000"/>
        </w:rPr>
        <w:t xml:space="preserve"> at the Central Criminal Court</w:t>
      </w:r>
      <w:r w:rsidR="0083506C">
        <w:rPr>
          <w:rStyle w:val="apple-converted-space"/>
          <w:color w:val="000000"/>
        </w:rPr>
        <w:t xml:space="preserve"> of Iraq</w:t>
      </w:r>
      <w:r w:rsidR="00E75E44">
        <w:rPr>
          <w:rStyle w:val="apple-converted-space"/>
          <w:color w:val="000000"/>
        </w:rPr>
        <w:t xml:space="preserve"> (CCCI)</w:t>
      </w:r>
      <w:r w:rsidR="00BF0356" w:rsidRPr="00EE36F4">
        <w:rPr>
          <w:rStyle w:val="apple-converted-space"/>
          <w:color w:val="000000"/>
        </w:rPr>
        <w:t>, which has jurisdiction over serious criminal offences such as</w:t>
      </w:r>
      <w:r w:rsidR="00475741">
        <w:rPr>
          <w:rStyle w:val="apple-converted-space"/>
          <w:color w:val="000000"/>
        </w:rPr>
        <w:t xml:space="preserve"> those that entail</w:t>
      </w:r>
      <w:r w:rsidR="00BF0356" w:rsidRPr="00EE36F4">
        <w:rPr>
          <w:rStyle w:val="apple-converted-space"/>
          <w:color w:val="000000"/>
        </w:rPr>
        <w:t xml:space="preserve"> the death penalty and organised crime, where trials </w:t>
      </w:r>
      <w:r w:rsidR="007C2D4B">
        <w:rPr>
          <w:rStyle w:val="apple-converted-space"/>
          <w:color w:val="000000"/>
        </w:rPr>
        <w:t>sometimes</w:t>
      </w:r>
      <w:r w:rsidR="00BF0356" w:rsidRPr="00EE36F4">
        <w:rPr>
          <w:rStyle w:val="apple-converted-space"/>
          <w:color w:val="000000"/>
        </w:rPr>
        <w:t xml:space="preserve"> last </w:t>
      </w:r>
      <w:r>
        <w:rPr>
          <w:rStyle w:val="apple-converted-space"/>
          <w:color w:val="000000"/>
        </w:rPr>
        <w:t>five minutes</w:t>
      </w:r>
      <w:r w:rsidR="007C2D4B">
        <w:rPr>
          <w:rStyle w:val="apple-converted-space"/>
          <w:color w:val="000000"/>
        </w:rPr>
        <w:t>, even</w:t>
      </w:r>
      <w:r>
        <w:rPr>
          <w:rStyle w:val="apple-converted-space"/>
          <w:color w:val="000000"/>
        </w:rPr>
        <w:t xml:space="preserve"> when </w:t>
      </w:r>
      <w:r w:rsidR="007C2D4B">
        <w:rPr>
          <w:rStyle w:val="apple-converted-space"/>
          <w:color w:val="000000"/>
        </w:rPr>
        <w:t xml:space="preserve">handing down </w:t>
      </w:r>
      <w:r>
        <w:rPr>
          <w:rStyle w:val="apple-converted-space"/>
          <w:color w:val="000000"/>
        </w:rPr>
        <w:t>the death penalty</w:t>
      </w:r>
      <w:r w:rsidR="00BF0356" w:rsidRPr="00EE36F4">
        <w:rPr>
          <w:rStyle w:val="Appelnotedebasdep"/>
          <w:color w:val="000000"/>
        </w:rPr>
        <w:footnoteReference w:id="118"/>
      </w:r>
      <w:r w:rsidR="00BF0356" w:rsidRPr="00EE36F4">
        <w:rPr>
          <w:rStyle w:val="apple-converted-space"/>
          <w:color w:val="000000"/>
        </w:rPr>
        <w:t xml:space="preserve">. </w:t>
      </w:r>
      <w:r>
        <w:rPr>
          <w:rStyle w:val="apple-converted-space"/>
          <w:color w:val="000000"/>
        </w:rPr>
        <w:t xml:space="preserve">Another solution found to tackle the shortage of judges is to swiftly appoint new judges among the lawyers, and provide them with a short training </w:t>
      </w:r>
      <w:r w:rsidR="00A731EA">
        <w:rPr>
          <w:rStyle w:val="apple-converted-space"/>
          <w:color w:val="000000"/>
        </w:rPr>
        <w:t xml:space="preserve">– </w:t>
      </w:r>
      <w:r>
        <w:rPr>
          <w:rStyle w:val="apple-converted-space"/>
          <w:color w:val="000000"/>
        </w:rPr>
        <w:t>normally lasting no longer than three months</w:t>
      </w:r>
      <w:r w:rsidR="00BF0356" w:rsidRPr="00EE36F4">
        <w:rPr>
          <w:rStyle w:val="Appelnotedebasdep"/>
          <w:color w:val="000000"/>
        </w:rPr>
        <w:footnoteReference w:id="119"/>
      </w:r>
      <w:r w:rsidR="007E5A46">
        <w:rPr>
          <w:rStyle w:val="apple-converted-space"/>
          <w:color w:val="000000"/>
        </w:rPr>
        <w:t>–</w:t>
      </w:r>
      <w:r w:rsidR="00BF0356" w:rsidRPr="00EE36F4">
        <w:t xml:space="preserve">, so that those newly </w:t>
      </w:r>
      <w:r>
        <w:t xml:space="preserve">appointed judges would clearly lack the appropriate training and preparation demanded for their work.  </w:t>
      </w:r>
    </w:p>
    <w:p w:rsidR="00BF0356" w:rsidRPr="00EE36F4" w:rsidRDefault="00BF0356" w:rsidP="008D16AD"/>
    <w:p w:rsidR="00BD1613" w:rsidRDefault="005D0447">
      <w:pPr>
        <w:rPr>
          <w:lang w:eastAsia="fr-FR"/>
        </w:rPr>
      </w:pPr>
      <w:r>
        <w:rPr>
          <w:lang w:eastAsia="fr-FR"/>
        </w:rPr>
        <w:t>Even lawyers are subject</w:t>
      </w:r>
      <w:r w:rsidR="00475741">
        <w:rPr>
          <w:lang w:eastAsia="fr-FR"/>
        </w:rPr>
        <w:t>ed</w:t>
      </w:r>
      <w:r>
        <w:rPr>
          <w:lang w:eastAsia="fr-FR"/>
        </w:rPr>
        <w:t xml:space="preserve"> to intimidation and harassment, simply for representing critics of the governmental policies or political opponents. This </w:t>
      </w:r>
      <w:r w:rsidR="007C2D4B">
        <w:rPr>
          <w:lang w:eastAsia="fr-FR"/>
        </w:rPr>
        <w:t>constitutes a</w:t>
      </w:r>
      <w:r>
        <w:rPr>
          <w:lang w:eastAsia="fr-FR"/>
        </w:rPr>
        <w:t xml:space="preserve"> violation of </w:t>
      </w:r>
      <w:r w:rsidR="0039530F" w:rsidRPr="0039530F">
        <w:t xml:space="preserve">articles 24 and 28 of Iraqi Law of Lawyers </w:t>
      </w:r>
      <w:r w:rsidR="007C2D4B">
        <w:t>No.</w:t>
      </w:r>
      <w:r w:rsidR="0039530F" w:rsidRPr="0039530F">
        <w:t xml:space="preserve"> 173 of 1965</w:t>
      </w:r>
      <w:r w:rsidR="002B6AAC">
        <w:t xml:space="preserve"> </w:t>
      </w:r>
      <w:r w:rsidR="0039530F" w:rsidRPr="0039530F">
        <w:t>which provide</w:t>
      </w:r>
      <w:r w:rsidR="00475741">
        <w:t>s</w:t>
      </w:r>
      <w:r w:rsidR="0039530F" w:rsidRPr="0039530F">
        <w:t xml:space="preserve"> that lawyers shall not be considered responsible for the arguments they put forward in their </w:t>
      </w:r>
      <w:r w:rsidR="00A15BEE" w:rsidRPr="00F14DBD">
        <w:t>defence</w:t>
      </w:r>
      <w:r w:rsidR="0039530F" w:rsidRPr="0039530F">
        <w:t xml:space="preserve"> and shall not be accused no</w:t>
      </w:r>
      <w:r w:rsidR="007C2D4B">
        <w:t>r</w:t>
      </w:r>
      <w:r w:rsidR="0039530F" w:rsidRPr="0039530F">
        <w:t xml:space="preserve"> arrested for defamation while exercising their professional activity in compliance with </w:t>
      </w:r>
      <w:r w:rsidR="00BF0356" w:rsidRPr="00EE36F4">
        <w:t>recognised</w:t>
      </w:r>
      <w:r w:rsidR="0039530F" w:rsidRPr="0039530F">
        <w:t xml:space="preserve"> professional duties, standards and ethics. Furthermore, according to article</w:t>
      </w:r>
      <w:r w:rsidR="007E5A46">
        <w:t xml:space="preserve"> 30</w:t>
      </w:r>
      <w:r w:rsidR="0039530F" w:rsidRPr="0039530F">
        <w:t xml:space="preserve"> of the </w:t>
      </w:r>
      <w:r w:rsidR="002B6AAC">
        <w:t>same law</w:t>
      </w:r>
      <w:r w:rsidR="0039530F" w:rsidRPr="0039530F">
        <w:t xml:space="preserve">, the Bar Association </w:t>
      </w:r>
      <w:r w:rsidR="002B6AAC">
        <w:t>must</w:t>
      </w:r>
      <w:r w:rsidR="0039530F" w:rsidRPr="0039530F">
        <w:t xml:space="preserve"> be informed if any of its members is under a judicial inquiry for any act committed during the exercise of his/her functions before opening the actual inquiry procedure, another provision that is </w:t>
      </w:r>
      <w:r w:rsidR="002B6AAC">
        <w:t>rarely</w:t>
      </w:r>
      <w:r w:rsidR="0039530F" w:rsidRPr="0039530F">
        <w:t xml:space="preserve"> respected. </w:t>
      </w:r>
      <w:r w:rsidR="00BF0356" w:rsidRPr="00EE36F4">
        <w:rPr>
          <w:lang w:eastAsia="fr-FR"/>
        </w:rPr>
        <w:t xml:space="preserve"> </w:t>
      </w:r>
    </w:p>
    <w:p w:rsidR="00BF0356" w:rsidRPr="00EE36F4" w:rsidRDefault="00BF0356" w:rsidP="00DB5146">
      <w:pPr>
        <w:rPr>
          <w:lang w:eastAsia="fr-FR"/>
        </w:rPr>
      </w:pPr>
    </w:p>
    <w:p w:rsidR="00BD1613" w:rsidRDefault="005D0447">
      <w:pPr>
        <w:spacing w:after="120"/>
        <w:jc w:val="lowKashida"/>
      </w:pPr>
      <w:r>
        <w:t xml:space="preserve">We also wish to recall that </w:t>
      </w:r>
      <w:r w:rsidR="002B6AAC" w:rsidRPr="0039530F">
        <w:t>on 5 October 2012</w:t>
      </w:r>
      <w:r w:rsidR="002B6AAC">
        <w:t>,</w:t>
      </w:r>
      <w:r w:rsidR="002B6AAC" w:rsidRPr="0039530F">
        <w:t xml:space="preserve"> </w:t>
      </w:r>
      <w:r>
        <w:t xml:space="preserve">Prime Minister </w:t>
      </w:r>
      <w:proofErr w:type="spellStart"/>
      <w:r w:rsidR="0039530F" w:rsidRPr="0039530F">
        <w:t>Nouri</w:t>
      </w:r>
      <w:proofErr w:type="spellEnd"/>
      <w:r w:rsidR="0039530F" w:rsidRPr="0039530F">
        <w:t xml:space="preserve"> Al </w:t>
      </w:r>
      <w:proofErr w:type="spellStart"/>
      <w:r w:rsidR="0039530F" w:rsidRPr="0039530F">
        <w:t>Maliki</w:t>
      </w:r>
      <w:proofErr w:type="spellEnd"/>
      <w:r w:rsidR="0039530F" w:rsidRPr="0039530F">
        <w:t xml:space="preserve"> made a public declaration during the 79</w:t>
      </w:r>
      <w:r w:rsidR="0039530F" w:rsidRPr="0039530F">
        <w:rPr>
          <w:vertAlign w:val="superscript"/>
        </w:rPr>
        <w:t>th</w:t>
      </w:r>
      <w:r w:rsidR="0039530F" w:rsidRPr="0039530F">
        <w:t xml:space="preserve"> anniversary of the constitution of the Iraqi Bar Association praising and congratulating those lawyers who “refuse to represent terrorists, murderers and criminals”, while expressing his disapproval for those that “stand publicly in court to defend a murderer or a criminal”</w:t>
      </w:r>
      <w:r w:rsidR="0039530F" w:rsidRPr="0039530F">
        <w:rPr>
          <w:rStyle w:val="Appelnotedebasdep"/>
        </w:rPr>
        <w:footnoteReference w:id="120"/>
      </w:r>
      <w:r w:rsidR="0039530F" w:rsidRPr="0039530F">
        <w:t xml:space="preserve">. This political declaration is of the outmost gravity and represents by itself a clear threat to the independence of lawyers as well as their physical security. </w:t>
      </w:r>
    </w:p>
    <w:p w:rsidR="00BD1613" w:rsidRDefault="0039530F">
      <w:pPr>
        <w:spacing w:after="120"/>
        <w:jc w:val="lowKashida"/>
        <w:rPr>
          <w:b/>
          <w:bCs/>
        </w:rPr>
      </w:pPr>
      <w:r w:rsidRPr="0039530F">
        <w:t xml:space="preserve">It is in fact extremely worrisome to note that nowadays, three years after this declaration, Iraqi lawyers are still victim of harassment and reprisal for </w:t>
      </w:r>
      <w:r w:rsidR="00E75E44">
        <w:t xml:space="preserve">undertaking </w:t>
      </w:r>
      <w:r w:rsidRPr="0039530F">
        <w:t>their mere professional duties, as</w:t>
      </w:r>
      <w:r w:rsidR="00E75E44">
        <w:t xml:space="preserve"> shown by</w:t>
      </w:r>
      <w:r w:rsidRPr="0039530F">
        <w:t xml:space="preserve"> the cases of </w:t>
      </w:r>
      <w:proofErr w:type="spellStart"/>
      <w:r w:rsidR="00BF0356" w:rsidRPr="00EE36F4">
        <w:t>Mouayad</w:t>
      </w:r>
      <w:proofErr w:type="spellEnd"/>
      <w:r w:rsidR="00BF0356" w:rsidRPr="00EE36F4">
        <w:t xml:space="preserve"> </w:t>
      </w:r>
      <w:proofErr w:type="spellStart"/>
      <w:r w:rsidR="00BF0356" w:rsidRPr="00EE36F4">
        <w:t>Obeed</w:t>
      </w:r>
      <w:proofErr w:type="spellEnd"/>
      <w:r w:rsidR="00BF0356" w:rsidRPr="00EE36F4">
        <w:t xml:space="preserve"> Al </w:t>
      </w:r>
      <w:proofErr w:type="spellStart"/>
      <w:r w:rsidR="00BF0356" w:rsidRPr="00EE36F4">
        <w:t>Ezzi</w:t>
      </w:r>
      <w:proofErr w:type="spellEnd"/>
      <w:r w:rsidR="00BF0356" w:rsidRPr="00EE36F4">
        <w:t xml:space="preserve">, </w:t>
      </w:r>
      <w:proofErr w:type="spellStart"/>
      <w:r w:rsidR="00BF0356" w:rsidRPr="00EE36F4">
        <w:t>Ziad</w:t>
      </w:r>
      <w:proofErr w:type="spellEnd"/>
      <w:r w:rsidR="00BF0356" w:rsidRPr="00EE36F4">
        <w:t xml:space="preserve"> </w:t>
      </w:r>
      <w:proofErr w:type="spellStart"/>
      <w:r w:rsidR="00BF0356" w:rsidRPr="00EE36F4">
        <w:t>Ghanem</w:t>
      </w:r>
      <w:proofErr w:type="spellEnd"/>
      <w:r w:rsidR="00BF0356" w:rsidRPr="00EE36F4">
        <w:t xml:space="preserve"> </w:t>
      </w:r>
      <w:proofErr w:type="spellStart"/>
      <w:r w:rsidR="00BF0356" w:rsidRPr="00EE36F4">
        <w:t>Shaaban</w:t>
      </w:r>
      <w:proofErr w:type="spellEnd"/>
      <w:r w:rsidR="00BF0356" w:rsidRPr="00EE36F4">
        <w:t xml:space="preserve"> Al </w:t>
      </w:r>
      <w:proofErr w:type="spellStart"/>
      <w:r w:rsidR="00BF0356" w:rsidRPr="00EE36F4">
        <w:t>Naseri</w:t>
      </w:r>
      <w:proofErr w:type="spellEnd"/>
      <w:r w:rsidR="00BF0356" w:rsidRPr="00EE36F4">
        <w:t xml:space="preserve">, </w:t>
      </w:r>
      <w:proofErr w:type="spellStart"/>
      <w:r w:rsidR="00BF0356" w:rsidRPr="00EE36F4">
        <w:t>Salah</w:t>
      </w:r>
      <w:proofErr w:type="spellEnd"/>
      <w:r w:rsidR="00BF0356" w:rsidRPr="00EE36F4">
        <w:t xml:space="preserve"> </w:t>
      </w:r>
      <w:proofErr w:type="spellStart"/>
      <w:r w:rsidR="00BF0356" w:rsidRPr="00EE36F4">
        <w:t>Khabbas</w:t>
      </w:r>
      <w:proofErr w:type="spellEnd"/>
      <w:r w:rsidR="00BF0356" w:rsidRPr="00EE36F4">
        <w:t xml:space="preserve"> Al </w:t>
      </w:r>
      <w:proofErr w:type="spellStart"/>
      <w:r w:rsidR="00BF0356" w:rsidRPr="00EE36F4">
        <w:t>Obe</w:t>
      </w:r>
      <w:r w:rsidRPr="0039530F">
        <w:t>idi</w:t>
      </w:r>
      <w:proofErr w:type="spellEnd"/>
      <w:r w:rsidR="00E75E44">
        <w:t>,</w:t>
      </w:r>
      <w:r w:rsidRPr="0039530F">
        <w:t xml:space="preserve"> all representing several employees or persons with alleged personal connections with the former Vice President Tariq Al </w:t>
      </w:r>
      <w:proofErr w:type="spellStart"/>
      <w:r w:rsidRPr="0039530F">
        <w:t>Hashimi</w:t>
      </w:r>
      <w:proofErr w:type="spellEnd"/>
      <w:r w:rsidRPr="0039530F">
        <w:t xml:space="preserve"> wh</w:t>
      </w:r>
      <w:r w:rsidR="00E75E44">
        <w:t>o</w:t>
      </w:r>
      <w:r w:rsidRPr="0039530F">
        <w:t xml:space="preserve"> have been arrested by the Iraqi Security Forces between November 2011 and March 2012 and sentenced to death by the CCCI</w:t>
      </w:r>
      <w:r w:rsidR="00BF0356" w:rsidRPr="00EE36F4">
        <w:rPr>
          <w:rStyle w:val="Appelnotedebasdep"/>
        </w:rPr>
        <w:footnoteReference w:id="121"/>
      </w:r>
      <w:r w:rsidR="00BF0356" w:rsidRPr="00EE36F4">
        <w:t xml:space="preserve">, </w:t>
      </w:r>
      <w:r w:rsidRPr="0039530F">
        <w:t>a</w:t>
      </w:r>
      <w:r w:rsidR="00B46E02">
        <w:t>s well as</w:t>
      </w:r>
      <w:r w:rsidRPr="0039530F">
        <w:t xml:space="preserve"> </w:t>
      </w:r>
      <w:proofErr w:type="spellStart"/>
      <w:r w:rsidRPr="0039530F">
        <w:t>Badee</w:t>
      </w:r>
      <w:proofErr w:type="spellEnd"/>
      <w:r w:rsidRPr="0039530F">
        <w:t xml:space="preserve"> </w:t>
      </w:r>
      <w:proofErr w:type="spellStart"/>
      <w:r w:rsidRPr="0039530F">
        <w:t>Aref</w:t>
      </w:r>
      <w:proofErr w:type="spellEnd"/>
      <w:r w:rsidRPr="0039530F">
        <w:t xml:space="preserve"> </w:t>
      </w:r>
      <w:proofErr w:type="spellStart"/>
      <w:r w:rsidRPr="0039530F">
        <w:t>Izzat</w:t>
      </w:r>
      <w:proofErr w:type="spellEnd"/>
      <w:r w:rsidRPr="0039530F">
        <w:t xml:space="preserve">, lawyer of Ahmad Al </w:t>
      </w:r>
      <w:proofErr w:type="spellStart"/>
      <w:r w:rsidRPr="0039530F">
        <w:t>Alwani</w:t>
      </w:r>
      <w:proofErr w:type="spellEnd"/>
      <w:r w:rsidR="00BF0356" w:rsidRPr="00EE36F4">
        <w:rPr>
          <w:rStyle w:val="Appelnotedebasdep"/>
        </w:rPr>
        <w:footnoteReference w:id="122"/>
      </w:r>
      <w:r w:rsidR="00BF0356" w:rsidRPr="00EE36F4">
        <w:t>.</w:t>
      </w:r>
      <w:r w:rsidRPr="0039530F">
        <w:rPr>
          <w:b/>
          <w:bCs/>
        </w:rPr>
        <w:t xml:space="preserve">  </w:t>
      </w:r>
    </w:p>
    <w:p w:rsidR="00BD1613" w:rsidRDefault="00573985">
      <w:pPr>
        <w:pStyle w:val="Paragraphedeliste"/>
        <w:spacing w:after="120"/>
        <w:ind w:left="284"/>
      </w:pPr>
      <w:proofErr w:type="spellStart"/>
      <w:r w:rsidRPr="00573985">
        <w:rPr>
          <w:b/>
          <w:bCs/>
        </w:rPr>
        <w:t>Mouayad</w:t>
      </w:r>
      <w:proofErr w:type="spellEnd"/>
      <w:r w:rsidRPr="00573985">
        <w:rPr>
          <w:b/>
          <w:bCs/>
        </w:rPr>
        <w:t xml:space="preserve"> </w:t>
      </w:r>
      <w:proofErr w:type="spellStart"/>
      <w:r w:rsidRPr="00573985">
        <w:rPr>
          <w:b/>
          <w:bCs/>
        </w:rPr>
        <w:t>Obeed</w:t>
      </w:r>
      <w:proofErr w:type="spellEnd"/>
      <w:r w:rsidRPr="00573985">
        <w:rPr>
          <w:b/>
          <w:bCs/>
        </w:rPr>
        <w:t xml:space="preserve"> Al </w:t>
      </w:r>
      <w:proofErr w:type="spellStart"/>
      <w:r w:rsidRPr="00573985">
        <w:rPr>
          <w:b/>
          <w:bCs/>
        </w:rPr>
        <w:t>Ezzi</w:t>
      </w:r>
      <w:proofErr w:type="spellEnd"/>
      <w:r w:rsidR="0039530F" w:rsidRPr="0039530F">
        <w:t xml:space="preserve"> was notified an arrest warrant </w:t>
      </w:r>
      <w:r w:rsidR="00E75E44" w:rsidRPr="00F14DBD">
        <w:t xml:space="preserve">on 31 March 2013, </w:t>
      </w:r>
      <w:r w:rsidR="0039530F" w:rsidRPr="0039530F">
        <w:t xml:space="preserve">issued by the Central Investigating Court in Al </w:t>
      </w:r>
      <w:proofErr w:type="spellStart"/>
      <w:r w:rsidR="0039530F" w:rsidRPr="0039530F">
        <w:t>Karkh</w:t>
      </w:r>
      <w:proofErr w:type="spellEnd"/>
      <w:r w:rsidR="0039530F" w:rsidRPr="0039530F">
        <w:t xml:space="preserve"> on the basis of article 4 of the Anti-Terrorism </w:t>
      </w:r>
      <w:r w:rsidR="008D187B">
        <w:t>L</w:t>
      </w:r>
      <w:r w:rsidR="008D187B" w:rsidRPr="0039530F">
        <w:t xml:space="preserve">aw </w:t>
      </w:r>
      <w:r w:rsidR="0039530F" w:rsidRPr="0039530F">
        <w:t xml:space="preserve">(case No. 1282/2013). On 24 June 2013, the </w:t>
      </w:r>
      <w:r w:rsidR="00E75E44">
        <w:t>arrest warrant was cancelled</w:t>
      </w:r>
      <w:r w:rsidR="00B46E02">
        <w:t>.</w:t>
      </w:r>
      <w:r w:rsidR="0039530F" w:rsidRPr="0039530F">
        <w:t xml:space="preserve"> </w:t>
      </w:r>
    </w:p>
    <w:p w:rsidR="0099244A" w:rsidRPr="00EE36F4" w:rsidRDefault="0099244A" w:rsidP="004A473D">
      <w:pPr>
        <w:pStyle w:val="Paragraphedeliste"/>
        <w:spacing w:after="120"/>
        <w:ind w:left="284"/>
        <w:rPr>
          <w:b/>
          <w:bCs/>
          <w:i/>
          <w:iCs/>
        </w:rPr>
      </w:pPr>
    </w:p>
    <w:p w:rsidR="00BF0356" w:rsidRPr="00EE36F4" w:rsidRDefault="00573985" w:rsidP="00E75E44">
      <w:pPr>
        <w:pStyle w:val="Paragraphedeliste"/>
        <w:spacing w:after="120"/>
        <w:ind w:left="284"/>
      </w:pPr>
      <w:proofErr w:type="spellStart"/>
      <w:r w:rsidRPr="00573985">
        <w:rPr>
          <w:b/>
          <w:bCs/>
        </w:rPr>
        <w:t>Ziad</w:t>
      </w:r>
      <w:proofErr w:type="spellEnd"/>
      <w:r w:rsidRPr="00573985">
        <w:rPr>
          <w:b/>
          <w:bCs/>
        </w:rPr>
        <w:t xml:space="preserve"> </w:t>
      </w:r>
      <w:proofErr w:type="spellStart"/>
      <w:r w:rsidRPr="00573985">
        <w:rPr>
          <w:b/>
          <w:bCs/>
        </w:rPr>
        <w:t>Ghanem</w:t>
      </w:r>
      <w:proofErr w:type="spellEnd"/>
      <w:r w:rsidRPr="00573985">
        <w:rPr>
          <w:b/>
          <w:bCs/>
        </w:rPr>
        <w:t xml:space="preserve"> </w:t>
      </w:r>
      <w:proofErr w:type="spellStart"/>
      <w:r w:rsidRPr="00573985">
        <w:rPr>
          <w:b/>
          <w:bCs/>
        </w:rPr>
        <w:t>Shaaban</w:t>
      </w:r>
      <w:proofErr w:type="spellEnd"/>
      <w:r w:rsidRPr="00573985">
        <w:rPr>
          <w:b/>
          <w:bCs/>
        </w:rPr>
        <w:t xml:space="preserve"> Al </w:t>
      </w:r>
      <w:proofErr w:type="spellStart"/>
      <w:r w:rsidRPr="00573985">
        <w:rPr>
          <w:b/>
          <w:bCs/>
        </w:rPr>
        <w:t>Naseri</w:t>
      </w:r>
      <w:proofErr w:type="spellEnd"/>
      <w:r w:rsidR="0039530F" w:rsidRPr="0039530F">
        <w:rPr>
          <w:b/>
          <w:bCs/>
          <w:i/>
          <w:iCs/>
        </w:rPr>
        <w:t xml:space="preserve"> </w:t>
      </w:r>
      <w:r w:rsidR="0039530F" w:rsidRPr="0039530F">
        <w:t>was arrested on</w:t>
      </w:r>
      <w:r w:rsidR="007E5A46">
        <w:t xml:space="preserve"> </w:t>
      </w:r>
      <w:r w:rsidR="0039530F" w:rsidRPr="0039530F">
        <w:t xml:space="preserve">21 November 2012 and detained in inhumane conditions in the Anti-Terrorism prison in central </w:t>
      </w:r>
      <w:proofErr w:type="spellStart"/>
      <w:r w:rsidR="0039530F" w:rsidRPr="0039530F">
        <w:t>Tikrit</w:t>
      </w:r>
      <w:proofErr w:type="spellEnd"/>
      <w:r w:rsidR="0039530F" w:rsidRPr="0039530F">
        <w:t xml:space="preserve">. On 28 November 2012, he was released, after one week of detention. </w:t>
      </w:r>
    </w:p>
    <w:p w:rsidR="0099244A" w:rsidRPr="00EE36F4" w:rsidRDefault="0099244A" w:rsidP="004A473D">
      <w:pPr>
        <w:pStyle w:val="Paragraphedeliste"/>
        <w:spacing w:after="120"/>
        <w:ind w:left="284"/>
        <w:rPr>
          <w:b/>
          <w:bCs/>
          <w:i/>
          <w:iCs/>
        </w:rPr>
      </w:pPr>
    </w:p>
    <w:p w:rsidR="0099244A" w:rsidRPr="00EE36F4" w:rsidRDefault="00573985" w:rsidP="004A473D">
      <w:pPr>
        <w:pStyle w:val="Paragraphedeliste"/>
        <w:spacing w:after="120"/>
        <w:ind w:left="284"/>
      </w:pPr>
      <w:proofErr w:type="spellStart"/>
      <w:r w:rsidRPr="00573985">
        <w:rPr>
          <w:b/>
          <w:bCs/>
        </w:rPr>
        <w:t>Salah</w:t>
      </w:r>
      <w:proofErr w:type="spellEnd"/>
      <w:r w:rsidRPr="00573985">
        <w:rPr>
          <w:b/>
          <w:bCs/>
        </w:rPr>
        <w:t xml:space="preserve"> </w:t>
      </w:r>
      <w:proofErr w:type="spellStart"/>
      <w:r w:rsidRPr="00573985">
        <w:rPr>
          <w:b/>
          <w:bCs/>
        </w:rPr>
        <w:t>Khabbas</w:t>
      </w:r>
      <w:proofErr w:type="spellEnd"/>
      <w:r w:rsidRPr="00573985">
        <w:rPr>
          <w:b/>
          <w:bCs/>
        </w:rPr>
        <w:t xml:space="preserve"> Al </w:t>
      </w:r>
      <w:proofErr w:type="spellStart"/>
      <w:r w:rsidRPr="00573985">
        <w:rPr>
          <w:b/>
          <w:bCs/>
        </w:rPr>
        <w:t>Obeidi</w:t>
      </w:r>
      <w:proofErr w:type="spellEnd"/>
      <w:r w:rsidR="00041F14">
        <w:t>,</w:t>
      </w:r>
      <w:r w:rsidR="0039530F" w:rsidRPr="0039530F">
        <w:t xml:space="preserve"> a lawyer since 22 July 2008, was also a candidate in the provincial elections in the </w:t>
      </w:r>
      <w:proofErr w:type="spellStart"/>
      <w:r w:rsidR="0039530F" w:rsidRPr="0039530F">
        <w:t>Saidiya</w:t>
      </w:r>
      <w:proofErr w:type="spellEnd"/>
      <w:r w:rsidR="0039530F" w:rsidRPr="0039530F">
        <w:t xml:space="preserve"> district of Baghdad in 2013. He represented the National Iraqi Alliance, an Iraqi coalition mainly composed of </w:t>
      </w:r>
      <w:proofErr w:type="spellStart"/>
      <w:r w:rsidR="0039530F" w:rsidRPr="0039530F">
        <w:t>Shi’a</w:t>
      </w:r>
      <w:proofErr w:type="spellEnd"/>
      <w:r w:rsidR="0039530F" w:rsidRPr="0039530F">
        <w:t xml:space="preserve"> parties, an opposition party contesting the results of the 2010 Parliamentary elections. </w:t>
      </w:r>
    </w:p>
    <w:p w:rsidR="0099244A" w:rsidRPr="00EE36F4" w:rsidRDefault="0099244A" w:rsidP="004A473D">
      <w:pPr>
        <w:pStyle w:val="Paragraphedeliste"/>
        <w:spacing w:after="120"/>
        <w:ind w:left="284"/>
      </w:pPr>
    </w:p>
    <w:p w:rsidR="00BF0356" w:rsidRPr="00EE36F4" w:rsidRDefault="0039530F" w:rsidP="004A473D">
      <w:pPr>
        <w:pStyle w:val="Paragraphedeliste"/>
        <w:spacing w:after="120"/>
        <w:ind w:left="284"/>
      </w:pPr>
      <w:r w:rsidRPr="0039530F">
        <w:t>On 24 March 2013</w:t>
      </w:r>
      <w:r w:rsidR="00475741">
        <w:t>,</w:t>
      </w:r>
      <w:r w:rsidRPr="0039530F">
        <w:t xml:space="preserve"> in the morning, Mr Al </w:t>
      </w:r>
      <w:proofErr w:type="spellStart"/>
      <w:r w:rsidRPr="0039530F">
        <w:t>Obeidi</w:t>
      </w:r>
      <w:proofErr w:type="spellEnd"/>
      <w:r w:rsidRPr="0039530F">
        <w:t xml:space="preserve"> was in his office in the Al </w:t>
      </w:r>
      <w:proofErr w:type="spellStart"/>
      <w:r w:rsidRPr="0039530F">
        <w:t>Saidiya</w:t>
      </w:r>
      <w:proofErr w:type="spellEnd"/>
      <w:r w:rsidRPr="0039530F">
        <w:t xml:space="preserve"> district of Baghdad when an armed group broke in and executed him. At the time, a detachment of the Security Forces was standing near Mr Al </w:t>
      </w:r>
      <w:proofErr w:type="spellStart"/>
      <w:r w:rsidRPr="0039530F">
        <w:t>Obeidi’s</w:t>
      </w:r>
      <w:proofErr w:type="spellEnd"/>
      <w:r w:rsidRPr="0039530F">
        <w:t xml:space="preserve"> office. Some neighbours, who witnessed the incident, testified that the members of the Security Forces did </w:t>
      </w:r>
      <w:proofErr w:type="gramStart"/>
      <w:r w:rsidRPr="0039530F">
        <w:t>not intervene</w:t>
      </w:r>
      <w:proofErr w:type="gramEnd"/>
      <w:r w:rsidRPr="0039530F">
        <w:t xml:space="preserve"> neither during the execution nor after it, letting the armed men leave</w:t>
      </w:r>
      <w:r w:rsidR="005D0447">
        <w:rPr>
          <w:rStyle w:val="Appelnotedebasdep"/>
        </w:rPr>
        <w:footnoteReference w:id="123"/>
      </w:r>
      <w:r w:rsidRPr="0039530F">
        <w:t xml:space="preserve">. According to the information Alkarama was able to collect, no inquiry was opened on the killing of Al </w:t>
      </w:r>
      <w:proofErr w:type="spellStart"/>
      <w:r w:rsidRPr="0039530F">
        <w:t>Obeidi</w:t>
      </w:r>
      <w:proofErr w:type="spellEnd"/>
      <w:r w:rsidRPr="0039530F">
        <w:t xml:space="preserve">.  </w:t>
      </w:r>
    </w:p>
    <w:p w:rsidR="0099244A" w:rsidRPr="00EE36F4" w:rsidRDefault="0099244A" w:rsidP="004A473D">
      <w:pPr>
        <w:pStyle w:val="Paragraphedeliste"/>
        <w:spacing w:after="120"/>
        <w:ind w:left="284"/>
      </w:pPr>
    </w:p>
    <w:p w:rsidR="00BF0356" w:rsidRPr="00EE36F4" w:rsidRDefault="00573985" w:rsidP="003C6D58">
      <w:pPr>
        <w:pStyle w:val="Paragraphedeliste"/>
        <w:spacing w:after="120"/>
        <w:ind w:left="284"/>
        <w:rPr>
          <w:b/>
          <w:bCs/>
        </w:rPr>
      </w:pPr>
      <w:proofErr w:type="spellStart"/>
      <w:r w:rsidRPr="00573985">
        <w:rPr>
          <w:b/>
          <w:bCs/>
        </w:rPr>
        <w:t>Badee</w:t>
      </w:r>
      <w:proofErr w:type="spellEnd"/>
      <w:r w:rsidRPr="00573985">
        <w:rPr>
          <w:b/>
          <w:bCs/>
        </w:rPr>
        <w:t xml:space="preserve"> </w:t>
      </w:r>
      <w:proofErr w:type="spellStart"/>
      <w:r w:rsidRPr="00573985">
        <w:rPr>
          <w:b/>
          <w:bCs/>
        </w:rPr>
        <w:t>Aref</w:t>
      </w:r>
      <w:proofErr w:type="spellEnd"/>
      <w:r w:rsidRPr="00573985">
        <w:rPr>
          <w:b/>
          <w:bCs/>
        </w:rPr>
        <w:t xml:space="preserve"> </w:t>
      </w:r>
      <w:proofErr w:type="spellStart"/>
      <w:r w:rsidRPr="00573985">
        <w:rPr>
          <w:b/>
          <w:bCs/>
        </w:rPr>
        <w:t>Izzat</w:t>
      </w:r>
      <w:proofErr w:type="spellEnd"/>
      <w:r w:rsidR="0039530F" w:rsidRPr="0039530F">
        <w:rPr>
          <w:b/>
          <w:bCs/>
        </w:rPr>
        <w:t xml:space="preserve"> </w:t>
      </w:r>
      <w:r w:rsidR="0039530F" w:rsidRPr="0039530F">
        <w:t xml:space="preserve">has been working as a lawyer since 8 June 1978, often in politically sensitive cases. While working for the case of </w:t>
      </w:r>
      <w:proofErr w:type="spellStart"/>
      <w:r w:rsidR="0039530F" w:rsidRPr="0039530F">
        <w:t>Tareq</w:t>
      </w:r>
      <w:proofErr w:type="spellEnd"/>
      <w:r w:rsidR="0039530F" w:rsidRPr="0039530F">
        <w:t xml:space="preserve"> Aziz, former Minister of Foreign Affairs and Deputy Prime Minister of Iraq, a close adviser to Saddam Hussein, Mr </w:t>
      </w:r>
      <w:proofErr w:type="spellStart"/>
      <w:r w:rsidR="0039530F" w:rsidRPr="0039530F">
        <w:t>Izzat</w:t>
      </w:r>
      <w:proofErr w:type="spellEnd"/>
      <w:r w:rsidR="0039530F" w:rsidRPr="0039530F">
        <w:t xml:space="preserve"> was arrested on 15 March 2007 by Iraqi and US security forces for contempt of the court, a charge reportedly used for political reasons due to the fact that he was defending a prominent member of the former regime. Held in a detention centre under the US forces control in the Green Zone in Baghdad, he was then set free on 19 March 2007. </w:t>
      </w:r>
    </w:p>
    <w:p w:rsidR="00BF0356" w:rsidRPr="00EE36F4" w:rsidRDefault="00BF0356" w:rsidP="004A473D">
      <w:pPr>
        <w:pStyle w:val="Paragraphedeliste"/>
        <w:spacing w:after="120"/>
        <w:ind w:left="284"/>
        <w:rPr>
          <w:b/>
          <w:bCs/>
        </w:rPr>
      </w:pPr>
    </w:p>
    <w:p w:rsidR="009B3E9E" w:rsidRDefault="0039530F">
      <w:pPr>
        <w:pStyle w:val="Paragraphedeliste"/>
        <w:spacing w:after="120"/>
        <w:ind w:left="284"/>
      </w:pPr>
      <w:r w:rsidRPr="0039530F">
        <w:t xml:space="preserve">Mr </w:t>
      </w:r>
      <w:proofErr w:type="spellStart"/>
      <w:r w:rsidRPr="0039530F">
        <w:t>Izzat</w:t>
      </w:r>
      <w:proofErr w:type="spellEnd"/>
      <w:r w:rsidRPr="0039530F">
        <w:t xml:space="preserve"> </w:t>
      </w:r>
      <w:r w:rsidR="00A3768B">
        <w:t>later became</w:t>
      </w:r>
      <w:r w:rsidRPr="0039530F">
        <w:t xml:space="preserve"> the lawyer of Ahmad Al </w:t>
      </w:r>
      <w:proofErr w:type="spellStart"/>
      <w:r w:rsidRPr="0039530F">
        <w:t>Alwani</w:t>
      </w:r>
      <w:proofErr w:type="spellEnd"/>
      <w:r w:rsidRPr="0039530F">
        <w:t>,</w:t>
      </w:r>
      <w:r w:rsidR="00A3768B">
        <w:t xml:space="preserve"> which led to his arrest o</w:t>
      </w:r>
      <w:r w:rsidRPr="0039530F">
        <w:t xml:space="preserve">n 20 March 2014 by the Iraqi Special Forces, while going to a meeting with officials from UNAMI, under the pretext of “carrying false identity documents”. He was then blindfolded and taken to an interrogating centre within the Green Zone, where he was questioned about his motives for defending Mr Al </w:t>
      </w:r>
      <w:proofErr w:type="spellStart"/>
      <w:r w:rsidRPr="0039530F">
        <w:t>Alwani</w:t>
      </w:r>
      <w:proofErr w:type="spellEnd"/>
      <w:r w:rsidRPr="0039530F">
        <w:t>. After having been kept blindfolded for 12 hours, he was forced to make a video recording in which he had to state that he was not subjected to torture and was allowed to call his family to pick him up.</w:t>
      </w:r>
    </w:p>
    <w:p w:rsidR="00BF0356" w:rsidRPr="004A473D" w:rsidRDefault="0039530F" w:rsidP="00607371">
      <w:pPr>
        <w:spacing w:after="120"/>
        <w:rPr>
          <w:b/>
          <w:bCs/>
          <w:i/>
          <w:iCs/>
        </w:rPr>
      </w:pPr>
      <w:r w:rsidRPr="0039530F">
        <w:rPr>
          <w:b/>
          <w:bCs/>
          <w:i/>
          <w:iCs/>
        </w:rPr>
        <w:t xml:space="preserve">Recommendations: </w:t>
      </w:r>
    </w:p>
    <w:p w:rsidR="00FB2E1E" w:rsidRDefault="0039530F">
      <w:pPr>
        <w:numPr>
          <w:ilvl w:val="0"/>
          <w:numId w:val="39"/>
        </w:numPr>
      </w:pPr>
      <w:r w:rsidRPr="0039530F">
        <w:t xml:space="preserve">Ensure in law and in practice that arrests are carried out upon presentation of </w:t>
      </w:r>
      <w:r w:rsidR="006D3B76">
        <w:t xml:space="preserve">an </w:t>
      </w:r>
      <w:r w:rsidRPr="0039530F">
        <w:t>arrest warrant previously issued by the judicial authorities;</w:t>
      </w:r>
    </w:p>
    <w:p w:rsidR="00BD1613" w:rsidRDefault="0039530F">
      <w:pPr>
        <w:numPr>
          <w:ilvl w:val="0"/>
          <w:numId w:val="39"/>
        </w:numPr>
      </w:pPr>
      <w:r w:rsidRPr="0039530F">
        <w:t xml:space="preserve">Ensure both in law and in practice that the use of indefinite pre-trial detention is abolished, in particular by repealing </w:t>
      </w:r>
      <w:r w:rsidR="006D3B76">
        <w:t>a</w:t>
      </w:r>
      <w:r w:rsidR="006D3B76" w:rsidRPr="0039530F">
        <w:t xml:space="preserve">rticle </w:t>
      </w:r>
      <w:r w:rsidRPr="0039530F">
        <w:t xml:space="preserve">109.b of the Iraqi Criminal </w:t>
      </w:r>
      <w:r w:rsidR="003C6D58">
        <w:t xml:space="preserve">Code of </w:t>
      </w:r>
      <w:r w:rsidRPr="0039530F">
        <w:t xml:space="preserve">Procedure; </w:t>
      </w:r>
    </w:p>
    <w:p w:rsidR="003C6D58" w:rsidRPr="00EE36F4" w:rsidRDefault="003C6D58" w:rsidP="003C6D58">
      <w:pPr>
        <w:numPr>
          <w:ilvl w:val="0"/>
          <w:numId w:val="39"/>
        </w:numPr>
      </w:pPr>
      <w:r w:rsidRPr="00F14DBD">
        <w:t xml:space="preserve">Ensure that the right to defence is ensured at all stages of trial as well as the professionalism of court appointed lawyers; </w:t>
      </w:r>
    </w:p>
    <w:p w:rsidR="00BD1613" w:rsidRDefault="003C6D58">
      <w:pPr>
        <w:numPr>
          <w:ilvl w:val="0"/>
          <w:numId w:val="39"/>
        </w:numPr>
      </w:pPr>
      <w:r w:rsidRPr="00F14DBD">
        <w:t>Ensure that the principle of the presumption of innocence is respected and prohibit the practice of broadcast</w:t>
      </w:r>
      <w:r>
        <w:t>ing</w:t>
      </w:r>
      <w:r w:rsidRPr="00F14DBD">
        <w:t xml:space="preserve"> “confessions”</w:t>
      </w:r>
      <w:r w:rsidR="006D3B76">
        <w:t xml:space="preserve"> on TV</w:t>
      </w:r>
      <w:r w:rsidRPr="00F14DBD">
        <w:t>;</w:t>
      </w:r>
    </w:p>
    <w:p w:rsidR="003C6D58" w:rsidRPr="00EE36F4" w:rsidRDefault="003C6D58" w:rsidP="003C6D58">
      <w:pPr>
        <w:numPr>
          <w:ilvl w:val="0"/>
          <w:numId w:val="39"/>
        </w:numPr>
      </w:pPr>
      <w:r w:rsidRPr="00F14DBD">
        <w:t>Prohibit the admissibility of testimonies of s</w:t>
      </w:r>
      <w:r>
        <w:t>ecret informants, by repealing a</w:t>
      </w:r>
      <w:r w:rsidRPr="00F14DBD">
        <w:t>rticle 47.2 of the CCP;</w:t>
      </w:r>
      <w:r w:rsidRPr="003C6D58">
        <w:t xml:space="preserve"> </w:t>
      </w:r>
    </w:p>
    <w:p w:rsidR="00FB2E1E" w:rsidRDefault="003C6D58">
      <w:pPr>
        <w:numPr>
          <w:ilvl w:val="0"/>
          <w:numId w:val="39"/>
        </w:numPr>
      </w:pPr>
      <w:r w:rsidRPr="00F14DBD">
        <w:t>Ensure that judges are free from any threat, political pressure or any other form of interference and ensure that only appropriately trained lawyers are appointed;</w:t>
      </w:r>
    </w:p>
    <w:p w:rsidR="003C6D58" w:rsidRPr="00EE36F4" w:rsidRDefault="003C6D58" w:rsidP="003C6D58">
      <w:pPr>
        <w:numPr>
          <w:ilvl w:val="0"/>
          <w:numId w:val="39"/>
        </w:numPr>
      </w:pPr>
      <w:r w:rsidRPr="00F14DBD">
        <w:t xml:space="preserve">Ensure that lawyers are not subjected to intimidation and harassment. </w:t>
      </w:r>
    </w:p>
    <w:p w:rsidR="009B3E9E" w:rsidRDefault="009B3E9E">
      <w:pPr>
        <w:spacing w:after="120"/>
      </w:pPr>
    </w:p>
    <w:p w:rsidR="00BF0356" w:rsidRPr="00EE36F4" w:rsidRDefault="0039530F" w:rsidP="00DC6F83">
      <w:pPr>
        <w:pStyle w:val="Titre2"/>
        <w:rPr>
          <w:rFonts w:cs="Times New Roman"/>
          <w:lang w:val="en-GB"/>
        </w:rPr>
      </w:pPr>
      <w:bookmarkStart w:id="29" w:name="_Toc430772866"/>
      <w:bookmarkStart w:id="30" w:name="_Toc430772867"/>
      <w:bookmarkStart w:id="31" w:name="_Toc430772868"/>
      <w:bookmarkStart w:id="32" w:name="_Toc430772869"/>
      <w:bookmarkStart w:id="33" w:name="_Toc430772870"/>
      <w:bookmarkStart w:id="34" w:name="_Toc430772871"/>
      <w:bookmarkStart w:id="35" w:name="_Toc430772872"/>
      <w:bookmarkStart w:id="36" w:name="_Toc430772873"/>
      <w:bookmarkStart w:id="37" w:name="_Toc430772874"/>
      <w:bookmarkStart w:id="38" w:name="_Toc430772875"/>
      <w:bookmarkStart w:id="39" w:name="_Toc430772876"/>
      <w:bookmarkStart w:id="40" w:name="_Toc430940002"/>
      <w:bookmarkEnd w:id="29"/>
      <w:bookmarkEnd w:id="30"/>
      <w:bookmarkEnd w:id="31"/>
      <w:bookmarkEnd w:id="32"/>
      <w:bookmarkEnd w:id="33"/>
      <w:bookmarkEnd w:id="34"/>
      <w:bookmarkEnd w:id="35"/>
      <w:bookmarkEnd w:id="36"/>
      <w:bookmarkEnd w:id="37"/>
      <w:bookmarkEnd w:id="38"/>
      <w:bookmarkEnd w:id="39"/>
      <w:r w:rsidRPr="0039530F">
        <w:rPr>
          <w:lang w:val="en-GB"/>
        </w:rPr>
        <w:t>The Rights to Freedom of Opinion and Expression (Article 19)</w:t>
      </w:r>
      <w:r w:rsidR="00DC6F83">
        <w:rPr>
          <w:lang w:val="en-GB"/>
        </w:rPr>
        <w:t xml:space="preserve"> and </w:t>
      </w:r>
      <w:r w:rsidR="00B52C83">
        <w:rPr>
          <w:lang w:val="en-GB"/>
        </w:rPr>
        <w:t>Peaceful A</w:t>
      </w:r>
      <w:r w:rsidR="00DC6F83">
        <w:rPr>
          <w:lang w:val="en-GB"/>
        </w:rPr>
        <w:t>ssembly (Article 21)</w:t>
      </w:r>
      <w:bookmarkEnd w:id="40"/>
    </w:p>
    <w:p w:rsidR="00BF0356" w:rsidRPr="00EE36F4" w:rsidRDefault="00BF0356" w:rsidP="004C60EC"/>
    <w:p w:rsidR="00FB2E1E" w:rsidRDefault="0039530F" w:rsidP="00B52C83">
      <w:pPr>
        <w:autoSpaceDE w:val="0"/>
        <w:autoSpaceDN w:val="0"/>
        <w:adjustRightInd w:val="0"/>
      </w:pPr>
      <w:r w:rsidRPr="0039530F">
        <w:t xml:space="preserve">Iraq’s Constitution guarantees freedom of expression, press and assembly in </w:t>
      </w:r>
      <w:r w:rsidR="00417EAE">
        <w:t>its a</w:t>
      </w:r>
      <w:r w:rsidRPr="0039530F">
        <w:t xml:space="preserve">rticle 38 and stipulates that it is incumbent on the State to strengthen the role of civil society institutions in </w:t>
      </w:r>
      <w:r w:rsidR="00417EAE">
        <w:t>a</w:t>
      </w:r>
      <w:r w:rsidRPr="0039530F">
        <w:t>rticle 45.1.</w:t>
      </w:r>
      <w:r w:rsidR="00B52C83">
        <w:t xml:space="preserve"> </w:t>
      </w:r>
      <w:r w:rsidRPr="0039530F">
        <w:t>In practice, nevertheless, these rights are often impaired.</w:t>
      </w:r>
    </w:p>
    <w:p w:rsidR="00FB2E1E" w:rsidRDefault="00FB2E1E">
      <w:pPr>
        <w:autoSpaceDE w:val="0"/>
        <w:autoSpaceDN w:val="0"/>
        <w:adjustRightInd w:val="0"/>
      </w:pPr>
    </w:p>
    <w:p w:rsidR="00BD1613" w:rsidRDefault="0039530F">
      <w:pPr>
        <w:autoSpaceDE w:val="0"/>
        <w:autoSpaceDN w:val="0"/>
        <w:adjustRightInd w:val="0"/>
        <w:rPr>
          <w:sz w:val="13"/>
          <w:szCs w:val="13"/>
        </w:rPr>
      </w:pPr>
      <w:r w:rsidRPr="0039530F">
        <w:t xml:space="preserve">For instance, Alkarama has knowledge of </w:t>
      </w:r>
      <w:r w:rsidR="00DC6F83">
        <w:t>several confirmed</w:t>
      </w:r>
      <w:r w:rsidRPr="0039530F">
        <w:t xml:space="preserve"> cases </w:t>
      </w:r>
      <w:r w:rsidR="003F7B82">
        <w:t>in which</w:t>
      </w:r>
      <w:r w:rsidR="003F7B82" w:rsidRPr="0039530F">
        <w:t xml:space="preserve"> </w:t>
      </w:r>
      <w:r w:rsidRPr="0039530F">
        <w:t>journalists were killed by unknown assailants and the authorities have failed to investigate their deaths, let alone hold to account the perpetrators</w:t>
      </w:r>
      <w:r w:rsidRPr="0039530F">
        <w:rPr>
          <w:rStyle w:val="Appelnotedebasdep"/>
        </w:rPr>
        <w:footnoteReference w:id="124"/>
      </w:r>
      <w:r w:rsidRPr="0039530F">
        <w:t>.</w:t>
      </w:r>
    </w:p>
    <w:p w:rsidR="0006259D" w:rsidRPr="00EE36F4" w:rsidRDefault="0006259D" w:rsidP="001D23E3">
      <w:pPr>
        <w:autoSpaceDE w:val="0"/>
        <w:autoSpaceDN w:val="0"/>
        <w:adjustRightInd w:val="0"/>
        <w:jc w:val="left"/>
      </w:pPr>
    </w:p>
    <w:p w:rsidR="00417EAE" w:rsidRDefault="0039530F" w:rsidP="00417EAE">
      <w:pPr>
        <w:autoSpaceDE w:val="0"/>
        <w:autoSpaceDN w:val="0"/>
        <w:adjustRightInd w:val="0"/>
        <w:rPr>
          <w:lang w:eastAsia="fr-FR"/>
        </w:rPr>
      </w:pPr>
      <w:r w:rsidRPr="0039530F">
        <w:t xml:space="preserve">Additionally, as reported </w:t>
      </w:r>
      <w:r w:rsidR="00417EAE">
        <w:t>previously</w:t>
      </w:r>
      <w:r w:rsidRPr="0039530F">
        <w:t xml:space="preserve"> </w:t>
      </w:r>
      <w:r w:rsidR="00417EAE">
        <w:t xml:space="preserve">in </w:t>
      </w:r>
      <w:r w:rsidRPr="0039530F">
        <w:t xml:space="preserve">this report, it is commonplace in Iraq that peaceful protests are repressed </w:t>
      </w:r>
      <w:r w:rsidR="00417EAE">
        <w:t>with</w:t>
      </w:r>
      <w:r w:rsidRPr="0039530F">
        <w:t xml:space="preserve"> excessive use of force. We recall for instance that </w:t>
      </w:r>
      <w:r w:rsidR="004B196B" w:rsidRPr="00EE36F4">
        <w:rPr>
          <w:lang w:eastAsia="fr-FR"/>
        </w:rPr>
        <w:t xml:space="preserve">on </w:t>
      </w:r>
      <w:r w:rsidRPr="0039530F">
        <w:rPr>
          <w:lang w:eastAsia="fr-FR"/>
        </w:rPr>
        <w:t>23 April 2013</w:t>
      </w:r>
      <w:r w:rsidR="00417EAE">
        <w:rPr>
          <w:lang w:eastAsia="fr-FR"/>
        </w:rPr>
        <w:t>,</w:t>
      </w:r>
      <w:r w:rsidRPr="0039530F">
        <w:rPr>
          <w:lang w:eastAsia="fr-FR"/>
        </w:rPr>
        <w:t xml:space="preserve"> Iraqi security forces attacked the protestor</w:t>
      </w:r>
      <w:r w:rsidR="00417EAE">
        <w:rPr>
          <w:lang w:eastAsia="fr-FR"/>
        </w:rPr>
        <w:t>s</w:t>
      </w:r>
      <w:r w:rsidRPr="0039530F">
        <w:rPr>
          <w:lang w:eastAsia="fr-FR"/>
        </w:rPr>
        <w:t xml:space="preserve"> in </w:t>
      </w:r>
      <w:proofErr w:type="spellStart"/>
      <w:r w:rsidRPr="0039530F">
        <w:rPr>
          <w:lang w:eastAsia="fr-FR"/>
        </w:rPr>
        <w:t>Hawijah</w:t>
      </w:r>
      <w:proofErr w:type="spellEnd"/>
      <w:r w:rsidRPr="0039530F">
        <w:rPr>
          <w:lang w:eastAsia="fr-FR"/>
        </w:rPr>
        <w:t>, a town west of Kirkuk using tear gas, stun grenades, and live ammunition an operation that caused the death of 91 persons. Despite</w:t>
      </w:r>
      <w:r w:rsidR="00417EAE">
        <w:rPr>
          <w:lang w:eastAsia="fr-FR"/>
        </w:rPr>
        <w:t xml:space="preserve"> the establishment</w:t>
      </w:r>
      <w:r w:rsidRPr="0039530F">
        <w:rPr>
          <w:lang w:eastAsia="fr-FR"/>
        </w:rPr>
        <w:t xml:space="preserve"> on 13 May 2013</w:t>
      </w:r>
      <w:r w:rsidR="00417EAE">
        <w:rPr>
          <w:lang w:eastAsia="fr-FR"/>
        </w:rPr>
        <w:t xml:space="preserve"> of</w:t>
      </w:r>
      <w:r w:rsidRPr="0039530F">
        <w:rPr>
          <w:lang w:eastAsia="fr-FR"/>
        </w:rPr>
        <w:t xml:space="preserve"> a Supervising Investigative Judicial Commission to carry out investigations </w:t>
      </w:r>
      <w:r w:rsidR="00417EAE">
        <w:rPr>
          <w:lang w:eastAsia="fr-FR"/>
        </w:rPr>
        <w:t>which</w:t>
      </w:r>
      <w:r w:rsidRPr="0039530F">
        <w:rPr>
          <w:lang w:eastAsia="fr-FR"/>
        </w:rPr>
        <w:t xml:space="preserve"> has received 500 complaints from the families of the victims, the Ministry of Defence continues to refuse the referral of Military Personnel to justice, so that as of today no result has come from the inquiry</w:t>
      </w:r>
      <w:r w:rsidR="004B196B" w:rsidRPr="00EE36F4">
        <w:rPr>
          <w:rStyle w:val="Appelnotedebasdep"/>
          <w:lang w:eastAsia="fr-FR"/>
        </w:rPr>
        <w:footnoteReference w:id="125"/>
      </w:r>
      <w:r w:rsidR="004B196B" w:rsidRPr="00EE36F4">
        <w:rPr>
          <w:lang w:eastAsia="fr-FR"/>
        </w:rPr>
        <w:t xml:space="preserve">. </w:t>
      </w:r>
    </w:p>
    <w:p w:rsidR="00417EAE" w:rsidRDefault="00417EAE" w:rsidP="00417EAE">
      <w:pPr>
        <w:autoSpaceDE w:val="0"/>
        <w:autoSpaceDN w:val="0"/>
        <w:adjustRightInd w:val="0"/>
        <w:rPr>
          <w:lang w:eastAsia="fr-FR"/>
        </w:rPr>
      </w:pPr>
    </w:p>
    <w:p w:rsidR="004B196B" w:rsidRPr="00EE36F4" w:rsidRDefault="004B196B" w:rsidP="00417EAE">
      <w:pPr>
        <w:autoSpaceDE w:val="0"/>
        <w:autoSpaceDN w:val="0"/>
        <w:adjustRightInd w:val="0"/>
        <w:rPr>
          <w:lang w:eastAsia="fr-FR"/>
        </w:rPr>
      </w:pPr>
      <w:r w:rsidRPr="00EE36F4">
        <w:rPr>
          <w:lang w:eastAsia="fr-FR"/>
        </w:rPr>
        <w:t>Similarly, on 30 December 2013</w:t>
      </w:r>
      <w:r w:rsidR="00417EAE">
        <w:rPr>
          <w:lang w:eastAsia="fr-FR"/>
        </w:rPr>
        <w:t>,</w:t>
      </w:r>
      <w:r w:rsidRPr="00EE36F4">
        <w:rPr>
          <w:lang w:eastAsia="fr-FR"/>
        </w:rPr>
        <w:t xml:space="preserve"> hundreds of security force personnel, among which the SWAT forces with armoured vehicles, descended on the </w:t>
      </w:r>
      <w:proofErr w:type="spellStart"/>
      <w:r w:rsidRPr="00EE36F4">
        <w:rPr>
          <w:lang w:eastAsia="fr-FR"/>
        </w:rPr>
        <w:t>Ramadi</w:t>
      </w:r>
      <w:proofErr w:type="spellEnd"/>
      <w:r w:rsidRPr="00EE36F4">
        <w:rPr>
          <w:lang w:eastAsia="fr-FR"/>
        </w:rPr>
        <w:t xml:space="preserve"> protest camp, where hundreds of Sunnis ha</w:t>
      </w:r>
      <w:r w:rsidR="0039530F" w:rsidRPr="0039530F">
        <w:rPr>
          <w:lang w:eastAsia="fr-FR"/>
        </w:rPr>
        <w:t>d been protesting in a one-year long sit-in against the government’s use of abusive counterterrorism measures and opened fire on the protesters, leaving at least 17 dea</w:t>
      </w:r>
      <w:r w:rsidR="00475741">
        <w:rPr>
          <w:lang w:eastAsia="fr-FR"/>
        </w:rPr>
        <w:t>d</w:t>
      </w:r>
      <w:r w:rsidR="0039530F" w:rsidRPr="0039530F">
        <w:rPr>
          <w:lang w:eastAsia="fr-FR"/>
        </w:rPr>
        <w:t xml:space="preserve"> and ten wounded</w:t>
      </w:r>
      <w:r w:rsidRPr="00EE36F4">
        <w:rPr>
          <w:rStyle w:val="Appelnotedebasdep"/>
          <w:lang w:eastAsia="fr-FR"/>
        </w:rPr>
        <w:footnoteReference w:id="126"/>
      </w:r>
      <w:r w:rsidR="0006259D" w:rsidRPr="00EE36F4">
        <w:rPr>
          <w:lang w:eastAsia="fr-FR"/>
        </w:rPr>
        <w:t>. In this case as well, at</w:t>
      </w:r>
      <w:r w:rsidR="0039530F" w:rsidRPr="0039530F">
        <w:rPr>
          <w:lang w:eastAsia="fr-FR"/>
        </w:rPr>
        <w:t xml:space="preserve"> the time speaker of Iraqi Parliament, Osama al-</w:t>
      </w:r>
      <w:proofErr w:type="spellStart"/>
      <w:r w:rsidR="0039530F" w:rsidRPr="0039530F">
        <w:rPr>
          <w:lang w:eastAsia="fr-FR"/>
        </w:rPr>
        <w:t>Nujaifi</w:t>
      </w:r>
      <w:proofErr w:type="spellEnd"/>
      <w:r w:rsidR="0039530F" w:rsidRPr="0039530F">
        <w:rPr>
          <w:lang w:eastAsia="fr-FR"/>
        </w:rPr>
        <w:t>, head of the Sunni “</w:t>
      </w:r>
      <w:proofErr w:type="spellStart"/>
      <w:r w:rsidR="0039530F" w:rsidRPr="0039530F">
        <w:rPr>
          <w:lang w:eastAsia="fr-FR"/>
        </w:rPr>
        <w:t>Mutahidun</w:t>
      </w:r>
      <w:proofErr w:type="spellEnd"/>
      <w:r w:rsidR="0039530F" w:rsidRPr="0039530F">
        <w:rPr>
          <w:lang w:eastAsia="fr-FR"/>
        </w:rPr>
        <w:t>” block, stated he had sent a parliamentary committee to investigate the attack but</w:t>
      </w:r>
      <w:r w:rsidR="00417EAE">
        <w:rPr>
          <w:lang w:eastAsia="fr-FR"/>
        </w:rPr>
        <w:t xml:space="preserve"> that</w:t>
      </w:r>
      <w:r w:rsidR="0039530F" w:rsidRPr="0039530F">
        <w:rPr>
          <w:lang w:eastAsia="fr-FR"/>
        </w:rPr>
        <w:t xml:space="preserve"> forces from </w:t>
      </w:r>
      <w:r w:rsidR="00417EAE">
        <w:rPr>
          <w:lang w:eastAsia="fr-FR"/>
        </w:rPr>
        <w:t xml:space="preserve">the </w:t>
      </w:r>
      <w:r w:rsidR="0039530F" w:rsidRPr="0039530F">
        <w:rPr>
          <w:lang w:eastAsia="fr-FR"/>
        </w:rPr>
        <w:t xml:space="preserve">Baghdad Operations Command prevented the committee from entering </w:t>
      </w:r>
      <w:r w:rsidR="00417EAE">
        <w:rPr>
          <w:lang w:eastAsia="fr-FR"/>
        </w:rPr>
        <w:t xml:space="preserve">the </w:t>
      </w:r>
      <w:proofErr w:type="spellStart"/>
      <w:r w:rsidR="0039530F" w:rsidRPr="0039530F">
        <w:rPr>
          <w:lang w:eastAsia="fr-FR"/>
        </w:rPr>
        <w:t>Anbar</w:t>
      </w:r>
      <w:proofErr w:type="spellEnd"/>
      <w:r w:rsidR="0039530F" w:rsidRPr="0039530F">
        <w:rPr>
          <w:lang w:eastAsia="fr-FR"/>
        </w:rPr>
        <w:t xml:space="preserve"> province on orders from Prime Minister </w:t>
      </w:r>
      <w:proofErr w:type="spellStart"/>
      <w:r w:rsidR="0039530F" w:rsidRPr="0039530F">
        <w:rPr>
          <w:lang w:eastAsia="fr-FR"/>
        </w:rPr>
        <w:t>Maliki</w:t>
      </w:r>
      <w:proofErr w:type="spellEnd"/>
      <w:r w:rsidRPr="00EE36F4">
        <w:rPr>
          <w:rStyle w:val="Appelnotedebasdep"/>
          <w:lang w:eastAsia="fr-FR"/>
        </w:rPr>
        <w:footnoteReference w:id="127"/>
      </w:r>
      <w:r w:rsidR="0006259D" w:rsidRPr="00EE36F4">
        <w:rPr>
          <w:lang w:eastAsia="fr-FR"/>
        </w:rPr>
        <w:t xml:space="preserve">, so that as of today there is no information available on any attempt to investigate the death caused by the excessive use of force employed against </w:t>
      </w:r>
      <w:r w:rsidR="00417EAE" w:rsidRPr="00EE36F4">
        <w:rPr>
          <w:lang w:eastAsia="fr-FR"/>
        </w:rPr>
        <w:t>p</w:t>
      </w:r>
      <w:r w:rsidR="00417EAE">
        <w:rPr>
          <w:lang w:eastAsia="fr-FR"/>
        </w:rPr>
        <w:t xml:space="preserve">eaceful </w:t>
      </w:r>
      <w:r w:rsidR="0006259D" w:rsidRPr="00EE36F4">
        <w:rPr>
          <w:lang w:eastAsia="fr-FR"/>
        </w:rPr>
        <w:t xml:space="preserve">protestors. </w:t>
      </w:r>
      <w:r w:rsidR="0039530F" w:rsidRPr="0039530F">
        <w:rPr>
          <w:lang w:eastAsia="fr-FR"/>
        </w:rPr>
        <w:t xml:space="preserve"> </w:t>
      </w:r>
    </w:p>
    <w:p w:rsidR="004B196B" w:rsidRPr="00EE36F4" w:rsidRDefault="004B196B" w:rsidP="004B196B">
      <w:pPr>
        <w:rPr>
          <w:lang w:eastAsia="fr-FR"/>
        </w:rPr>
      </w:pPr>
    </w:p>
    <w:p w:rsidR="009B3E9E" w:rsidRDefault="00417EAE">
      <w:r>
        <w:rPr>
          <w:lang w:eastAsia="fr-FR"/>
        </w:rPr>
        <w:t>In addition, p</w:t>
      </w:r>
      <w:r w:rsidR="0039530F" w:rsidRPr="0039530F">
        <w:rPr>
          <w:lang w:eastAsia="fr-FR"/>
        </w:rPr>
        <w:t xml:space="preserve">rosecution of outspoken political opponents and critics of the Prime Minister </w:t>
      </w:r>
      <w:r w:rsidR="00475741" w:rsidRPr="0039530F">
        <w:rPr>
          <w:lang w:eastAsia="fr-FR"/>
        </w:rPr>
        <w:t xml:space="preserve">under the cover of “terrorism” </w:t>
      </w:r>
      <w:r w:rsidR="003F7B82" w:rsidRPr="0039530F">
        <w:rPr>
          <w:lang w:eastAsia="fr-FR"/>
        </w:rPr>
        <w:t>ha</w:t>
      </w:r>
      <w:r w:rsidR="003F7B82">
        <w:rPr>
          <w:lang w:eastAsia="fr-FR"/>
        </w:rPr>
        <w:t>s</w:t>
      </w:r>
      <w:r w:rsidR="003F7B82" w:rsidRPr="0039530F">
        <w:rPr>
          <w:lang w:eastAsia="fr-FR"/>
        </w:rPr>
        <w:t xml:space="preserve"> </w:t>
      </w:r>
      <w:r w:rsidR="0039530F" w:rsidRPr="0039530F">
        <w:rPr>
          <w:lang w:eastAsia="fr-FR"/>
        </w:rPr>
        <w:t xml:space="preserve">become common. The issuance of the death penalty on the basis of confessions under torture of Ahmad Al </w:t>
      </w:r>
      <w:proofErr w:type="spellStart"/>
      <w:r w:rsidR="0039530F" w:rsidRPr="0039530F">
        <w:rPr>
          <w:lang w:eastAsia="fr-FR"/>
        </w:rPr>
        <w:t>Alwani</w:t>
      </w:r>
      <w:proofErr w:type="spellEnd"/>
      <w:r w:rsidR="0039530F" w:rsidRPr="0039530F">
        <w:rPr>
          <w:lang w:eastAsia="fr-FR"/>
        </w:rPr>
        <w:t xml:space="preserve"> </w:t>
      </w:r>
      <w:r w:rsidR="0039530F" w:rsidRPr="0039530F">
        <w:t>in complete disregard of the rules providing for parliamentary immunity is an iconic example of how politically motivated sentences are handed down</w:t>
      </w:r>
      <w:r w:rsidR="00257EA5">
        <w:t xml:space="preserve"> by the judiciary</w:t>
      </w:r>
      <w:r w:rsidR="00A72E89">
        <w:t xml:space="preserve"> against individuals who were only exercising their right to freedom of opinion and expression</w:t>
      </w:r>
      <w:r w:rsidR="0039530F" w:rsidRPr="0039530F">
        <w:t xml:space="preserve">. </w:t>
      </w:r>
    </w:p>
    <w:p w:rsidR="0006259D" w:rsidRPr="00EE36F4" w:rsidRDefault="0006259D" w:rsidP="0006259D">
      <w:pPr>
        <w:rPr>
          <w:lang w:eastAsia="fr-FR"/>
        </w:rPr>
      </w:pPr>
    </w:p>
    <w:p w:rsidR="0006259D" w:rsidRPr="00EE36F4" w:rsidRDefault="0039530F" w:rsidP="0006259D">
      <w:pPr>
        <w:tabs>
          <w:tab w:val="left" w:pos="8789"/>
        </w:tabs>
        <w:ind w:left="284" w:right="283"/>
      </w:pPr>
      <w:r w:rsidRPr="0039530F">
        <w:rPr>
          <w:b/>
          <w:i/>
        </w:rPr>
        <w:t xml:space="preserve">Ahmad Al </w:t>
      </w:r>
      <w:proofErr w:type="spellStart"/>
      <w:r w:rsidRPr="0039530F">
        <w:rPr>
          <w:b/>
          <w:i/>
        </w:rPr>
        <w:t>Alwani</w:t>
      </w:r>
      <w:proofErr w:type="spellEnd"/>
      <w:r w:rsidR="0006259D" w:rsidRPr="00EE36F4">
        <w:rPr>
          <w:rStyle w:val="Appelnotedebasdep"/>
        </w:rPr>
        <w:footnoteReference w:id="128"/>
      </w:r>
      <w:r w:rsidR="00257EA5">
        <w:t>,</w:t>
      </w:r>
      <w:r w:rsidR="0006259D" w:rsidRPr="00EE36F4">
        <w:t xml:space="preserve"> a prominent member of the secular Al </w:t>
      </w:r>
      <w:proofErr w:type="spellStart"/>
      <w:r w:rsidR="0006259D" w:rsidRPr="00EE36F4">
        <w:t>Iraqiya</w:t>
      </w:r>
      <w:proofErr w:type="spellEnd"/>
      <w:r w:rsidR="0006259D" w:rsidRPr="00EE36F4">
        <w:t xml:space="preserve"> political block within the Iraqi Coun</w:t>
      </w:r>
      <w:r w:rsidRPr="0039530F">
        <w:t xml:space="preserve">cil of Representatives, is well known for his denunciation of corruption within the Iraqi bureaucracy, as well as his criticism of both the Iraqi Prime Minister's policies and the central government's marginalisation of Iraqi Sunnis. He was arrested on 28 December 2013, after having held meetings with the provincial authorities of </w:t>
      </w:r>
      <w:proofErr w:type="spellStart"/>
      <w:r w:rsidRPr="0039530F">
        <w:t>Ramadi</w:t>
      </w:r>
      <w:proofErr w:type="spellEnd"/>
      <w:r w:rsidRPr="0039530F">
        <w:t xml:space="preserve"> – the theatre of a one-year long protest – in order to ease the tensions between demonstrators and the government. </w:t>
      </w:r>
    </w:p>
    <w:p w:rsidR="0006259D" w:rsidRPr="00EE36F4" w:rsidRDefault="0006259D" w:rsidP="0006259D">
      <w:pPr>
        <w:tabs>
          <w:tab w:val="left" w:pos="8789"/>
        </w:tabs>
        <w:ind w:left="284" w:right="283"/>
      </w:pPr>
    </w:p>
    <w:p w:rsidR="0006259D" w:rsidRPr="00EE36F4" w:rsidRDefault="0039530F" w:rsidP="0006259D">
      <w:pPr>
        <w:tabs>
          <w:tab w:val="left" w:pos="8789"/>
        </w:tabs>
        <w:ind w:left="284" w:right="283"/>
      </w:pPr>
      <w:r w:rsidRPr="0039530F">
        <w:t xml:space="preserve">The following day, the Iraqi Minister of Defence threatened to keep Al </w:t>
      </w:r>
      <w:proofErr w:type="spellStart"/>
      <w:r w:rsidRPr="0039530F">
        <w:t>Alwani</w:t>
      </w:r>
      <w:proofErr w:type="spellEnd"/>
      <w:r w:rsidRPr="0039530F">
        <w:t xml:space="preserve"> in detention if the protests did not cease within two days. As clashes continued between demonstrators and the Iraqi army, he remained detained. </w:t>
      </w:r>
    </w:p>
    <w:p w:rsidR="0006259D" w:rsidRPr="00EE36F4" w:rsidRDefault="0006259D" w:rsidP="0006259D">
      <w:pPr>
        <w:tabs>
          <w:tab w:val="left" w:pos="8789"/>
        </w:tabs>
        <w:ind w:left="284" w:right="283"/>
      </w:pPr>
    </w:p>
    <w:p w:rsidR="0006259D" w:rsidRPr="00EE36F4" w:rsidRDefault="0039530F" w:rsidP="0006259D">
      <w:pPr>
        <w:tabs>
          <w:tab w:val="left" w:pos="8789"/>
        </w:tabs>
        <w:ind w:left="284" w:right="283"/>
      </w:pPr>
      <w:r w:rsidRPr="0039530F">
        <w:t xml:space="preserve">Shortly after his arrest, Al </w:t>
      </w:r>
      <w:proofErr w:type="spellStart"/>
      <w:r w:rsidRPr="0039530F">
        <w:t>Alwani</w:t>
      </w:r>
      <w:proofErr w:type="spellEnd"/>
      <w:r w:rsidRPr="0039530F">
        <w:t xml:space="preserve"> was taken to a secret place of detention where he was subjected to ill-treatment and torture and forced to sign official documents containing statements extracted under torture. As a consequence of this treatment, he now suffers from serious physical and psychological health conditions for which he does not benefit from the appropriate medical treatment while in detention.</w:t>
      </w:r>
    </w:p>
    <w:p w:rsidR="0006259D" w:rsidRPr="00EE36F4" w:rsidRDefault="0006259D" w:rsidP="0006259D">
      <w:pPr>
        <w:tabs>
          <w:tab w:val="left" w:pos="8789"/>
        </w:tabs>
        <w:ind w:left="284" w:right="283"/>
      </w:pPr>
    </w:p>
    <w:p w:rsidR="0006259D" w:rsidRPr="00EE36F4" w:rsidRDefault="0006259D" w:rsidP="0006259D">
      <w:pPr>
        <w:tabs>
          <w:tab w:val="left" w:pos="8789"/>
        </w:tabs>
        <w:ind w:left="284" w:right="283"/>
      </w:pPr>
      <w:r w:rsidRPr="00EE36F4">
        <w:t xml:space="preserve">Neither his family nor </w:t>
      </w:r>
      <w:r w:rsidR="0039530F" w:rsidRPr="0039530F">
        <w:t xml:space="preserve">members of the Parliament were able to obtain information on his whereabouts or on the charges pending against him until his first hearing on 27 January 2014. That day, Al </w:t>
      </w:r>
      <w:proofErr w:type="spellStart"/>
      <w:r w:rsidR="0039530F" w:rsidRPr="0039530F">
        <w:t>Alwani</w:t>
      </w:r>
      <w:proofErr w:type="spellEnd"/>
      <w:r w:rsidR="0039530F" w:rsidRPr="0039530F">
        <w:t xml:space="preserve"> was brought before the Central Criminal Court of Baghdad handcuffed and hooded and charged with “assault on military assets and killing and injuring security forces for terrorist ends”, on the basis of article 4 of the 2005 Anti-Terrorism Law.</w:t>
      </w:r>
    </w:p>
    <w:p w:rsidR="0006259D" w:rsidRPr="00EE36F4" w:rsidRDefault="0039530F" w:rsidP="0006259D">
      <w:pPr>
        <w:pStyle w:val="NormalWeb"/>
        <w:tabs>
          <w:tab w:val="left" w:pos="8789"/>
        </w:tabs>
        <w:ind w:left="284" w:right="283" w:firstLine="0"/>
        <w:jc w:val="both"/>
        <w:rPr>
          <w:lang w:val="en-GB"/>
        </w:rPr>
      </w:pPr>
      <w:r w:rsidRPr="0039530F">
        <w:rPr>
          <w:lang w:val="en-GB"/>
        </w:rPr>
        <w:t xml:space="preserve">During the trial, his lawyer was never allowed to contact or visit him in prison to prepare his defence. Instead, he was only briefly allowed to talk to him for a few minutes in court. Following several episodes of intimidation, Al </w:t>
      </w:r>
      <w:proofErr w:type="spellStart"/>
      <w:r w:rsidRPr="0039530F">
        <w:rPr>
          <w:lang w:val="en-GB"/>
        </w:rPr>
        <w:t>Alwani's</w:t>
      </w:r>
      <w:proofErr w:type="spellEnd"/>
      <w:r w:rsidRPr="0039530F">
        <w:rPr>
          <w:lang w:val="en-GB"/>
        </w:rPr>
        <w:t xml:space="preserve"> lawyer was also arrested, blindfolded and questioned about his motives for defending this client.</w:t>
      </w:r>
    </w:p>
    <w:p w:rsidR="0006259D" w:rsidRPr="00EE36F4" w:rsidRDefault="0039530F" w:rsidP="0006259D">
      <w:pPr>
        <w:pStyle w:val="NormalWeb"/>
        <w:tabs>
          <w:tab w:val="left" w:pos="8789"/>
        </w:tabs>
        <w:ind w:left="284" w:right="283" w:firstLine="0"/>
        <w:jc w:val="both"/>
        <w:rPr>
          <w:lang w:val="en-GB"/>
        </w:rPr>
      </w:pPr>
      <w:r w:rsidRPr="0039530F">
        <w:rPr>
          <w:lang w:val="en-GB"/>
        </w:rPr>
        <w:t xml:space="preserve">On 23 November 2014, Al </w:t>
      </w:r>
      <w:proofErr w:type="spellStart"/>
      <w:r w:rsidRPr="0039530F">
        <w:rPr>
          <w:lang w:val="en-GB"/>
        </w:rPr>
        <w:t>Alwani</w:t>
      </w:r>
      <w:proofErr w:type="spellEnd"/>
      <w:r w:rsidRPr="0039530F">
        <w:rPr>
          <w:lang w:val="en-GB"/>
        </w:rPr>
        <w:t xml:space="preserve"> was sentenced to death on the sole basis of confessions extracted under torture. His lawyer filed an appeal, which is still pending to date. Al </w:t>
      </w:r>
      <w:proofErr w:type="spellStart"/>
      <w:r w:rsidRPr="0039530F">
        <w:rPr>
          <w:lang w:val="en-GB"/>
        </w:rPr>
        <w:t>Alwani</w:t>
      </w:r>
      <w:proofErr w:type="spellEnd"/>
      <w:r w:rsidRPr="0039530F">
        <w:rPr>
          <w:lang w:val="en-GB"/>
        </w:rPr>
        <w:t xml:space="preserve"> is also currently being prosecuted for “i</w:t>
      </w:r>
      <w:r w:rsidRPr="0039530F">
        <w:rPr>
          <w:rStyle w:val="Accentuation"/>
          <w:i w:val="0"/>
          <w:lang w:val="en-GB"/>
        </w:rPr>
        <w:t>ncitement to sectarianism</w:t>
      </w:r>
      <w:r w:rsidRPr="0039530F">
        <w:rPr>
          <w:lang w:val="en-GB"/>
        </w:rPr>
        <w:t>”, which is also punished by death.</w:t>
      </w:r>
    </w:p>
    <w:p w:rsidR="0006259D" w:rsidRPr="00EE36F4" w:rsidRDefault="0039530F" w:rsidP="0006259D">
      <w:pPr>
        <w:tabs>
          <w:tab w:val="left" w:pos="8789"/>
        </w:tabs>
        <w:ind w:left="284" w:right="283"/>
      </w:pPr>
      <w:r w:rsidRPr="0039530F">
        <w:t xml:space="preserve">Today, he remains in detention and is being forbidden to see his family and lawyer, leaving him in a situation of </w:t>
      </w:r>
      <w:proofErr w:type="gramStart"/>
      <w:r w:rsidR="005D0447">
        <w:rPr>
          <w:i/>
          <w:iCs/>
        </w:rPr>
        <w:t>incommunicado</w:t>
      </w:r>
      <w:proofErr w:type="gramEnd"/>
      <w:r w:rsidR="005D0447">
        <w:rPr>
          <w:i/>
          <w:iCs/>
        </w:rPr>
        <w:t xml:space="preserve"> </w:t>
      </w:r>
      <w:r w:rsidRPr="0039530F">
        <w:rPr>
          <w:iCs/>
        </w:rPr>
        <w:t>detention</w:t>
      </w:r>
      <w:r w:rsidRPr="0039530F">
        <w:t>.</w:t>
      </w:r>
    </w:p>
    <w:p w:rsidR="0006259D" w:rsidRPr="00EE36F4" w:rsidRDefault="0006259D" w:rsidP="0006259D"/>
    <w:p w:rsidR="00A873E6" w:rsidRPr="00A72E89" w:rsidRDefault="00573985" w:rsidP="0006259D">
      <w:pPr>
        <w:rPr>
          <w:b/>
          <w:bCs/>
          <w:i/>
          <w:iCs/>
        </w:rPr>
      </w:pPr>
      <w:r w:rsidRPr="00573985">
        <w:rPr>
          <w:b/>
          <w:bCs/>
          <w:i/>
          <w:iCs/>
        </w:rPr>
        <w:t xml:space="preserve">Recommendations: </w:t>
      </w:r>
    </w:p>
    <w:p w:rsidR="00175DF3" w:rsidRPr="00EE36F4" w:rsidRDefault="00175DF3" w:rsidP="0006259D"/>
    <w:p w:rsidR="00FB2E1E" w:rsidRDefault="0039530F">
      <w:pPr>
        <w:numPr>
          <w:ilvl w:val="0"/>
          <w:numId w:val="40"/>
        </w:numPr>
      </w:pPr>
      <w:r w:rsidRPr="0039530F">
        <w:t>Ensure that freedom of opinion and expression</w:t>
      </w:r>
      <w:r w:rsidR="00641C13">
        <w:t xml:space="preserve"> as well as of peaceful assembly</w:t>
      </w:r>
      <w:r w:rsidRPr="0039530F">
        <w:t xml:space="preserve"> are fully respected; </w:t>
      </w:r>
    </w:p>
    <w:p w:rsidR="00FB2E1E" w:rsidRDefault="0039530F">
      <w:pPr>
        <w:numPr>
          <w:ilvl w:val="0"/>
          <w:numId w:val="40"/>
        </w:numPr>
        <w:rPr>
          <w:color w:val="000000"/>
        </w:rPr>
      </w:pPr>
      <w:r w:rsidRPr="0039530F">
        <w:rPr>
          <w:color w:val="000000"/>
        </w:rPr>
        <w:t xml:space="preserve">Ensure that law enforcement officials refrain from resorting to the excessive use of force </w:t>
      </w:r>
      <w:r w:rsidR="00641C13">
        <w:rPr>
          <w:color w:val="000000"/>
        </w:rPr>
        <w:t xml:space="preserve">when confronting peaceful protests </w:t>
      </w:r>
      <w:r w:rsidRPr="0039530F">
        <w:rPr>
          <w:color w:val="000000"/>
        </w:rPr>
        <w:t xml:space="preserve">and comply with the Code of Conduct for Law Enforcement Officials, Basic Principles on the Use of Force and Firearms by Law Enforcement Officials; </w:t>
      </w:r>
    </w:p>
    <w:p w:rsidR="00B52C83" w:rsidRPr="00B52C83" w:rsidRDefault="0039530F" w:rsidP="00B52C83">
      <w:pPr>
        <w:numPr>
          <w:ilvl w:val="0"/>
          <w:numId w:val="40"/>
        </w:numPr>
      </w:pPr>
      <w:r w:rsidRPr="00B52C83">
        <w:rPr>
          <w:color w:val="000000"/>
        </w:rPr>
        <w:t xml:space="preserve">Investigate effectively, promptly, thoroughly, and impartially any allegations of violations or abuses </w:t>
      </w:r>
      <w:r w:rsidR="00B52C83" w:rsidRPr="00B52C83">
        <w:rPr>
          <w:color w:val="000000"/>
        </w:rPr>
        <w:t>committed by the security forces in the context of the repression of pacific protests</w:t>
      </w:r>
      <w:r w:rsidR="00B52C83">
        <w:rPr>
          <w:color w:val="000000"/>
        </w:rPr>
        <w:t>;</w:t>
      </w:r>
    </w:p>
    <w:p w:rsidR="00FB2E1E" w:rsidRDefault="00B52C83" w:rsidP="00B52C83">
      <w:pPr>
        <w:numPr>
          <w:ilvl w:val="0"/>
          <w:numId w:val="40"/>
        </w:numPr>
      </w:pPr>
      <w:r>
        <w:t>Amend the Anti-</w:t>
      </w:r>
      <w:r w:rsidR="00106574" w:rsidRPr="00EE36F4">
        <w:t>Terrorism</w:t>
      </w:r>
      <w:r w:rsidR="00A873E6" w:rsidRPr="00EE36F4">
        <w:t xml:space="preserve"> Law </w:t>
      </w:r>
      <w:r w:rsidR="0039530F" w:rsidRPr="0039530F">
        <w:rPr>
          <w:lang w:eastAsia="fr-FR"/>
        </w:rPr>
        <w:t>No. 13 of 2005 in order to ensure the crime of terrorism is strictly define</w:t>
      </w:r>
      <w:r w:rsidR="00106574">
        <w:rPr>
          <w:lang w:eastAsia="fr-FR"/>
        </w:rPr>
        <w:t>d</w:t>
      </w:r>
      <w:r w:rsidR="0039530F" w:rsidRPr="0039530F">
        <w:rPr>
          <w:lang w:eastAsia="fr-FR"/>
        </w:rPr>
        <w:t xml:space="preserve"> in order to leave no room for abusive interpretation and application of the law.</w:t>
      </w:r>
    </w:p>
    <w:p w:rsidR="00A873E6" w:rsidRPr="00EE36F4" w:rsidRDefault="00A873E6" w:rsidP="00A873E6">
      <w:pPr>
        <w:ind w:left="720"/>
      </w:pPr>
    </w:p>
    <w:p w:rsidR="00BF0356" w:rsidRPr="00EE36F4" w:rsidRDefault="00BF0356" w:rsidP="001D23E3">
      <w:pPr>
        <w:rPr>
          <w:sz w:val="13"/>
          <w:szCs w:val="13"/>
        </w:rPr>
      </w:pPr>
    </w:p>
    <w:p w:rsidR="00BD1613" w:rsidRDefault="00106574">
      <w:pPr>
        <w:pStyle w:val="Titre2"/>
        <w:rPr>
          <w:rFonts w:cs="Times New Roman"/>
          <w:lang w:val="en-GB"/>
        </w:rPr>
      </w:pPr>
      <w:bookmarkStart w:id="41" w:name="_Toc430940003"/>
      <w:r>
        <w:rPr>
          <w:lang w:val="en-GB"/>
        </w:rPr>
        <w:t xml:space="preserve">The abuses committed under the </w:t>
      </w:r>
      <w:r w:rsidR="009A119E">
        <w:rPr>
          <w:lang w:val="en-GB"/>
        </w:rPr>
        <w:t xml:space="preserve">Anti-Terrorism </w:t>
      </w:r>
      <w:r w:rsidR="00634FEF">
        <w:rPr>
          <w:lang w:val="en-GB"/>
        </w:rPr>
        <w:t>Framework</w:t>
      </w:r>
      <w:r w:rsidR="00634FEF" w:rsidRPr="00EE36F4">
        <w:rPr>
          <w:lang w:val="en-GB"/>
        </w:rPr>
        <w:t xml:space="preserve"> </w:t>
      </w:r>
      <w:r w:rsidR="00BF0356" w:rsidRPr="00EE36F4">
        <w:rPr>
          <w:lang w:val="en-GB"/>
        </w:rPr>
        <w:t>(Articles 2, 7, 9, 10 and 14)</w:t>
      </w:r>
      <w:bookmarkEnd w:id="41"/>
    </w:p>
    <w:p w:rsidR="00BF0356" w:rsidRPr="00EE36F4" w:rsidRDefault="00BF0356" w:rsidP="001D23E3"/>
    <w:p w:rsidR="009B3E9E" w:rsidRDefault="0039530F">
      <w:pPr>
        <w:rPr>
          <w:lang w:eastAsia="fr-FR"/>
        </w:rPr>
      </w:pPr>
      <w:r w:rsidRPr="0039530F">
        <w:rPr>
          <w:lang w:eastAsia="fr-FR"/>
        </w:rPr>
        <w:t xml:space="preserve">The Iraqi Anti-Terrorism Law No. 13 of 2005 has been widely criticised for having opened the door </w:t>
      </w:r>
      <w:r w:rsidR="00B52C83">
        <w:rPr>
          <w:lang w:eastAsia="fr-FR"/>
        </w:rPr>
        <w:t>to</w:t>
      </w:r>
      <w:r w:rsidRPr="0039530F">
        <w:rPr>
          <w:lang w:eastAsia="fr-FR"/>
        </w:rPr>
        <w:t xml:space="preserve"> abuses due to its broad definition of terrorism, for mandating the death penalty and especially</w:t>
      </w:r>
      <w:r w:rsidR="00634FEF">
        <w:rPr>
          <w:lang w:eastAsia="fr-FR"/>
        </w:rPr>
        <w:t xml:space="preserve"> for</w:t>
      </w:r>
      <w:r w:rsidRPr="0039530F">
        <w:rPr>
          <w:lang w:eastAsia="fr-FR"/>
        </w:rPr>
        <w:t xml:space="preserve"> its abusive use against political opponents and critics of the government</w:t>
      </w:r>
      <w:r w:rsidR="00106574">
        <w:rPr>
          <w:lang w:eastAsia="fr-FR"/>
        </w:rPr>
        <w:t>, as highlighted above</w:t>
      </w:r>
      <w:r w:rsidRPr="0039530F">
        <w:rPr>
          <w:lang w:eastAsia="fr-FR"/>
        </w:rPr>
        <w:t xml:space="preserve">. </w:t>
      </w:r>
    </w:p>
    <w:p w:rsidR="00BF0356" w:rsidRPr="00EE36F4" w:rsidRDefault="00BF0356" w:rsidP="00890C63">
      <w:pPr>
        <w:rPr>
          <w:lang w:eastAsia="fr-FR"/>
        </w:rPr>
      </w:pPr>
    </w:p>
    <w:p w:rsidR="002E7CB8" w:rsidRPr="00EE36F4" w:rsidRDefault="0039530F" w:rsidP="00CC790A">
      <w:pPr>
        <w:rPr>
          <w:color w:val="000000"/>
        </w:rPr>
      </w:pPr>
      <w:r w:rsidRPr="0039530F">
        <w:rPr>
          <w:lang w:eastAsia="fr-FR"/>
        </w:rPr>
        <w:t xml:space="preserve">First of all, </w:t>
      </w:r>
      <w:r w:rsidR="00106574">
        <w:rPr>
          <w:lang w:eastAsia="fr-FR"/>
        </w:rPr>
        <w:t>a</w:t>
      </w:r>
      <w:r w:rsidRPr="0039530F">
        <w:rPr>
          <w:lang w:eastAsia="fr-FR"/>
        </w:rPr>
        <w:t>rticle 1 defines terrorism very broadly, as “e</w:t>
      </w:r>
      <w:r w:rsidRPr="0039530F">
        <w:rPr>
          <w:color w:val="000000"/>
        </w:rPr>
        <w:t>very criminal act committed by an individual or an organi</w:t>
      </w:r>
      <w:r w:rsidR="00634FEF">
        <w:rPr>
          <w:color w:val="000000"/>
        </w:rPr>
        <w:t>s</w:t>
      </w:r>
      <w:r w:rsidRPr="0039530F">
        <w:rPr>
          <w:color w:val="000000"/>
        </w:rPr>
        <w:t xml:space="preserve">ed group that targeted an individual or a group of individuals or groups or official or unofficial institutions and caused damage to public or private properties, with the aim to disturb the peace, stability, and national unity or to bring about horror and fear among people and to create chaos to achieve terrorist goals”. </w:t>
      </w:r>
    </w:p>
    <w:p w:rsidR="00BF0356" w:rsidRPr="00EE36F4" w:rsidRDefault="00BF0356" w:rsidP="00890C63">
      <w:pPr>
        <w:rPr>
          <w:color w:val="000000"/>
        </w:rPr>
      </w:pPr>
    </w:p>
    <w:p w:rsidR="00BD1613" w:rsidRDefault="0039530F">
      <w:pPr>
        <w:rPr>
          <w:lang w:eastAsia="fr-FR"/>
        </w:rPr>
      </w:pPr>
      <w:r w:rsidRPr="0039530F">
        <w:rPr>
          <w:color w:val="000000"/>
        </w:rPr>
        <w:t xml:space="preserve">What is of great concern is the fact that </w:t>
      </w:r>
      <w:r w:rsidR="00106574">
        <w:rPr>
          <w:color w:val="000000"/>
        </w:rPr>
        <w:t>a</w:t>
      </w:r>
      <w:r w:rsidRPr="0039530F">
        <w:rPr>
          <w:color w:val="000000"/>
        </w:rPr>
        <w:t xml:space="preserve">rticle 4.1 </w:t>
      </w:r>
      <w:r w:rsidR="00BF0356" w:rsidRPr="00EE36F4">
        <w:rPr>
          <w:lang w:eastAsia="fr-FR"/>
        </w:rPr>
        <w:t xml:space="preserve">provides for the </w:t>
      </w:r>
      <w:r w:rsidR="009A119E" w:rsidRPr="00EE36F4">
        <w:rPr>
          <w:lang w:eastAsia="fr-FR"/>
        </w:rPr>
        <w:t xml:space="preserve">mandatory </w:t>
      </w:r>
      <w:r w:rsidR="00BF0356" w:rsidRPr="00EE36F4">
        <w:rPr>
          <w:lang w:eastAsia="fr-FR"/>
        </w:rPr>
        <w:t xml:space="preserve">application of the </w:t>
      </w:r>
      <w:r w:rsidRPr="0039530F">
        <w:rPr>
          <w:lang w:eastAsia="fr-FR"/>
        </w:rPr>
        <w:t>death penalty to those convicted for committing or threatening to commit acts of terrorism and this not only</w:t>
      </w:r>
      <w:r w:rsidR="004F3F4A">
        <w:rPr>
          <w:lang w:eastAsia="fr-FR"/>
        </w:rPr>
        <w:t xml:space="preserve"> applies</w:t>
      </w:r>
      <w:r w:rsidRPr="0039530F">
        <w:rPr>
          <w:lang w:eastAsia="fr-FR"/>
        </w:rPr>
        <w:t xml:space="preserve"> to the main perpetrator, but also to all those inciting, planning, aiding and abetting, or financing terrorism. Not only this list goes far beyond the threshold of the internationally recognised definition of “most serious crimes”, but is can also be applicable to acts that have little to do with actual acts of terrorism due to the catch-all definition provided in </w:t>
      </w:r>
      <w:r w:rsidR="004F3F4A">
        <w:rPr>
          <w:lang w:eastAsia="fr-FR"/>
        </w:rPr>
        <w:t>a</w:t>
      </w:r>
      <w:r w:rsidR="004F3F4A" w:rsidRPr="0039530F">
        <w:rPr>
          <w:lang w:eastAsia="fr-FR"/>
        </w:rPr>
        <w:t xml:space="preserve">rticle </w:t>
      </w:r>
      <w:r w:rsidRPr="0039530F">
        <w:rPr>
          <w:lang w:eastAsia="fr-FR"/>
        </w:rPr>
        <w:t xml:space="preserve">1 of the law. </w:t>
      </w:r>
    </w:p>
    <w:p w:rsidR="00BF0356" w:rsidRPr="00EE36F4" w:rsidRDefault="00BF0356" w:rsidP="001D23E3"/>
    <w:p w:rsidR="00BD1613" w:rsidRDefault="0039530F">
      <w:pPr>
        <w:autoSpaceDE w:val="0"/>
        <w:autoSpaceDN w:val="0"/>
        <w:adjustRightInd w:val="0"/>
        <w:rPr>
          <w:sz w:val="13"/>
          <w:szCs w:val="13"/>
        </w:rPr>
      </w:pPr>
      <w:r w:rsidRPr="0039530F">
        <w:t xml:space="preserve">Furthermore, as </w:t>
      </w:r>
      <w:r w:rsidR="009A119E">
        <w:t>stated</w:t>
      </w:r>
      <w:r w:rsidRPr="0039530F">
        <w:t xml:space="preserve"> above, provisions of the Anti-Terrorism Law are applied within a judicial system that cannot </w:t>
      </w:r>
      <w:r w:rsidR="009A119E">
        <w:t>uphold the right to</w:t>
      </w:r>
      <w:r w:rsidRPr="0039530F">
        <w:t xml:space="preserve"> fair trial</w:t>
      </w:r>
      <w:r w:rsidR="009A119E">
        <w:t>, thus resulting</w:t>
      </w:r>
      <w:r w:rsidRPr="0039530F">
        <w:t xml:space="preserve"> in a surge in </w:t>
      </w:r>
      <w:r w:rsidR="00304005">
        <w:t>the imposition of the dea</w:t>
      </w:r>
      <w:r w:rsidR="00B52C83">
        <w:t>t</w:t>
      </w:r>
      <w:r w:rsidR="00304005">
        <w:t>h penalty</w:t>
      </w:r>
      <w:r w:rsidRPr="0039530F">
        <w:t xml:space="preserve">, which </w:t>
      </w:r>
      <w:r w:rsidR="00304005">
        <w:t>is</w:t>
      </w:r>
      <w:r w:rsidR="00304005" w:rsidRPr="0039530F">
        <w:t xml:space="preserve"> </w:t>
      </w:r>
      <w:r w:rsidR="009A119E">
        <w:t>carried out</w:t>
      </w:r>
      <w:r w:rsidRPr="0039530F">
        <w:t xml:space="preserve"> mostly under this very law. In particular, the competent jurisdiction to investigate and try suspects of crimes of terrorism is the Central Criminal Court of Iraq, as per </w:t>
      </w:r>
      <w:r w:rsidR="009A119E">
        <w:t>a</w:t>
      </w:r>
      <w:r w:rsidRPr="0039530F">
        <w:t xml:space="preserve">rticle 18.2 of the CPA Order No. 13 of 22 April 2004, a court which is notorious </w:t>
      </w:r>
      <w:r w:rsidR="009A119E">
        <w:t>for</w:t>
      </w:r>
      <w:r w:rsidRPr="0039530F">
        <w:t xml:space="preserve"> be</w:t>
      </w:r>
      <w:r w:rsidR="009A119E">
        <w:t>ing</w:t>
      </w:r>
      <w:r w:rsidRPr="0039530F">
        <w:t xml:space="preserve"> entrenched with severe fl</w:t>
      </w:r>
      <w:r w:rsidR="009A119E">
        <w:t>a</w:t>
      </w:r>
      <w:r w:rsidRPr="0039530F">
        <w:t xml:space="preserve">ws in the administration of justice, such as the heavy reliance on confessions obtained under torture or the </w:t>
      </w:r>
      <w:r w:rsidR="009A119E">
        <w:t>common</w:t>
      </w:r>
      <w:r w:rsidRPr="0039530F">
        <w:t xml:space="preserve"> denial of the right to </w:t>
      </w:r>
      <w:r w:rsidR="009A119E" w:rsidRPr="00F14DBD">
        <w:t>defence</w:t>
      </w:r>
      <w:r w:rsidRPr="0039530F">
        <w:t xml:space="preserve">, and which orders the death penalty after expeditious trials, as highlighted above.  </w:t>
      </w:r>
    </w:p>
    <w:p w:rsidR="00BF0356" w:rsidRPr="00EE36F4" w:rsidRDefault="00BF0356" w:rsidP="00632D14">
      <w:pPr>
        <w:autoSpaceDE w:val="0"/>
        <w:autoSpaceDN w:val="0"/>
        <w:adjustRightInd w:val="0"/>
        <w:jc w:val="left"/>
      </w:pPr>
    </w:p>
    <w:p w:rsidR="00BD1613" w:rsidRDefault="00BF0356">
      <w:r w:rsidRPr="00EE36F4">
        <w:t xml:space="preserve">Moreover, the </w:t>
      </w:r>
      <w:r w:rsidR="009A119E">
        <w:t>widespread</w:t>
      </w:r>
      <w:r w:rsidR="009A119E" w:rsidRPr="00EE36F4">
        <w:t xml:space="preserve"> </w:t>
      </w:r>
      <w:r w:rsidRPr="00EE36F4">
        <w:t>use of this law has been criticised by</w:t>
      </w:r>
      <w:r w:rsidR="009A119E">
        <w:t xml:space="preserve"> several</w:t>
      </w:r>
      <w:r w:rsidRPr="00EE36F4">
        <w:t xml:space="preserve"> political parties,</w:t>
      </w:r>
      <w:r w:rsidR="009A119E">
        <w:t xml:space="preserve"> which have been</w:t>
      </w:r>
      <w:r w:rsidRPr="00EE36F4">
        <w:t xml:space="preserve"> accusing the government of “discrimination,” “selective application of the law,” “fabricating charg</w:t>
      </w:r>
      <w:r w:rsidR="0039530F" w:rsidRPr="0039530F">
        <w:t>es” and “sectarian targeting”</w:t>
      </w:r>
      <w:r w:rsidRPr="00EE36F4">
        <w:rPr>
          <w:rStyle w:val="Appelnotedebasdep"/>
        </w:rPr>
        <w:footnoteReference w:id="129"/>
      </w:r>
      <w:r w:rsidR="009A119E">
        <w:t>.</w:t>
      </w:r>
      <w:r w:rsidRPr="00EE36F4">
        <w:t xml:space="preserve"> Such a large number of persons sentenced to death indeed raise serious questions about the </w:t>
      </w:r>
      <w:r w:rsidR="00A75720">
        <w:t>real</w:t>
      </w:r>
      <w:r w:rsidR="00A75720" w:rsidRPr="00EE36F4">
        <w:t xml:space="preserve"> </w:t>
      </w:r>
      <w:r w:rsidRPr="00EE36F4">
        <w:t xml:space="preserve">number of those involved in violence and whether those sentences are effective in fighting </w:t>
      </w:r>
      <w:r w:rsidR="0039530F" w:rsidRPr="0039530F">
        <w:t>terrorism in Iraq. UNAMI,</w:t>
      </w:r>
      <w:r w:rsidR="009A119E">
        <w:t xml:space="preserve"> after having conducted</w:t>
      </w:r>
      <w:r w:rsidR="00A75720">
        <w:t xml:space="preserve"> a</w:t>
      </w:r>
      <w:r w:rsidR="0039530F" w:rsidRPr="0039530F">
        <w:t xml:space="preserve"> trial monitoring</w:t>
      </w:r>
      <w:r w:rsidR="00A75720">
        <w:t xml:space="preserve"> study,</w:t>
      </w:r>
      <w:r w:rsidR="009A119E">
        <w:t xml:space="preserve"> has</w:t>
      </w:r>
      <w:r w:rsidR="0039530F" w:rsidRPr="0039530F">
        <w:t xml:space="preserve"> denounced that the authorities were</w:t>
      </w:r>
      <w:r w:rsidR="009A119E">
        <w:t xml:space="preserve"> usually</w:t>
      </w:r>
      <w:r w:rsidR="0039530F" w:rsidRPr="0039530F">
        <w:t xml:space="preserve"> inclined to apply anti-terrorism legislation in cases that had no connection to terrorism</w:t>
      </w:r>
      <w:r w:rsidRPr="00EE36F4">
        <w:rPr>
          <w:rStyle w:val="Appelnotedebasdep"/>
        </w:rPr>
        <w:footnoteReference w:id="130"/>
      </w:r>
      <w:r w:rsidRPr="00EE36F4">
        <w:t xml:space="preserve">. </w:t>
      </w:r>
      <w:r w:rsidR="009A119E">
        <w:t xml:space="preserve">Such practices </w:t>
      </w:r>
      <w:r w:rsidR="00B52C83">
        <w:t>are</w:t>
      </w:r>
      <w:r w:rsidR="009A119E">
        <w:t xml:space="preserve"> best illustrated with the cases of </w:t>
      </w:r>
      <w:r w:rsidR="0039530F" w:rsidRPr="0039530F">
        <w:t>Tar</w:t>
      </w:r>
      <w:r w:rsidR="009A119E">
        <w:t>i</w:t>
      </w:r>
      <w:r w:rsidR="0039530F" w:rsidRPr="0039530F">
        <w:t xml:space="preserve">q Al </w:t>
      </w:r>
      <w:proofErr w:type="spellStart"/>
      <w:r w:rsidR="0039530F" w:rsidRPr="0039530F">
        <w:t>Hashimi</w:t>
      </w:r>
      <w:proofErr w:type="spellEnd"/>
      <w:r w:rsidR="0039530F" w:rsidRPr="0039530F">
        <w:t xml:space="preserve"> and Ahmad Al </w:t>
      </w:r>
      <w:proofErr w:type="spellStart"/>
      <w:r w:rsidR="0039530F" w:rsidRPr="0039530F">
        <w:t>Alwani</w:t>
      </w:r>
      <w:proofErr w:type="spellEnd"/>
      <w:r w:rsidR="009A119E">
        <w:t>.</w:t>
      </w:r>
    </w:p>
    <w:p w:rsidR="00B96A5B" w:rsidRPr="00EE36F4" w:rsidRDefault="00B96A5B" w:rsidP="00B96A5B">
      <w:pPr>
        <w:pStyle w:val="Paragraphedeliste"/>
        <w:ind w:left="0"/>
      </w:pPr>
      <w:r w:rsidRPr="00EE36F4">
        <w:tab/>
      </w:r>
    </w:p>
    <w:p w:rsidR="009B3E9E" w:rsidRDefault="009A119E">
      <w:r>
        <w:t>Finally, i</w:t>
      </w:r>
      <w:r w:rsidR="0039530F" w:rsidRPr="0039530F">
        <w:t xml:space="preserve">t is also reported that many female detainees </w:t>
      </w:r>
      <w:r w:rsidR="00475741">
        <w:t>claim</w:t>
      </w:r>
      <w:r w:rsidR="00475741" w:rsidRPr="0039530F">
        <w:t xml:space="preserve"> </w:t>
      </w:r>
      <w:r w:rsidR="0039530F" w:rsidRPr="0039530F">
        <w:t>that they had been detained in lieu of male family members, or had been arrested on charges of aiding and abetting or of withholding information related to crimes committed by male family members, particularly under the Anti-Terrorism Law of 2005</w:t>
      </w:r>
      <w:r w:rsidR="00BF0356" w:rsidRPr="00EE36F4">
        <w:rPr>
          <w:rStyle w:val="Appelnotedebasdep"/>
        </w:rPr>
        <w:footnoteReference w:id="131"/>
      </w:r>
      <w:r w:rsidR="00BF0356" w:rsidRPr="00EE36F4">
        <w:t xml:space="preserve">. </w:t>
      </w:r>
    </w:p>
    <w:p w:rsidR="00BF0356" w:rsidRPr="00EE36F4" w:rsidRDefault="00BF0356" w:rsidP="004C60EC"/>
    <w:p w:rsidR="00BF0356" w:rsidRPr="00655561" w:rsidRDefault="0039530F" w:rsidP="007619B9">
      <w:pPr>
        <w:rPr>
          <w:b/>
          <w:bCs/>
          <w:i/>
          <w:iCs/>
        </w:rPr>
      </w:pPr>
      <w:r w:rsidRPr="0039530F">
        <w:rPr>
          <w:b/>
          <w:bCs/>
          <w:i/>
          <w:iCs/>
        </w:rPr>
        <w:t xml:space="preserve">Recommendations: </w:t>
      </w:r>
    </w:p>
    <w:p w:rsidR="00FB2E1E" w:rsidRDefault="00FB2E1E"/>
    <w:p w:rsidR="00FB2E1E" w:rsidRDefault="0039530F">
      <w:pPr>
        <w:numPr>
          <w:ilvl w:val="0"/>
          <w:numId w:val="41"/>
        </w:numPr>
      </w:pPr>
      <w:r w:rsidRPr="0039530F">
        <w:t>Amend the Anti-</w:t>
      </w:r>
      <w:r w:rsidR="00D95E69" w:rsidRPr="00F14DBD">
        <w:t>Terrorism</w:t>
      </w:r>
      <w:r w:rsidRPr="0039530F">
        <w:t xml:space="preserve"> Law </w:t>
      </w:r>
      <w:r w:rsidRPr="0039530F">
        <w:rPr>
          <w:lang w:eastAsia="fr-FR"/>
        </w:rPr>
        <w:t>No. 13 of 2005 to ensure the crime of terrorism is strictly define</w:t>
      </w:r>
      <w:r w:rsidR="00475741">
        <w:rPr>
          <w:lang w:eastAsia="fr-FR"/>
        </w:rPr>
        <w:t>d</w:t>
      </w:r>
      <w:r w:rsidRPr="0039530F">
        <w:rPr>
          <w:lang w:eastAsia="fr-FR"/>
        </w:rPr>
        <w:t xml:space="preserve"> in order to leave no room for abusive interpretation and application of the law;</w:t>
      </w:r>
    </w:p>
    <w:p w:rsidR="00FB2E1E" w:rsidRDefault="0039530F">
      <w:pPr>
        <w:numPr>
          <w:ilvl w:val="0"/>
          <w:numId w:val="41"/>
        </w:numPr>
      </w:pPr>
      <w:r w:rsidRPr="0039530F">
        <w:rPr>
          <w:lang w:eastAsia="fr-FR"/>
        </w:rPr>
        <w:t>Review Iraq’s policy with regards to the imposition of the death penalty, especially when imposed abusively on the basis of the Anti-Terrorism Law No. 13 of 2005;</w:t>
      </w:r>
    </w:p>
    <w:p w:rsidR="00D95E69" w:rsidRDefault="00D95E69" w:rsidP="00B96A5B">
      <w:pPr>
        <w:ind w:left="720"/>
      </w:pPr>
    </w:p>
    <w:p w:rsidR="009B3E9E" w:rsidRDefault="009B3E9E"/>
    <w:p w:rsidR="00BF0356" w:rsidRPr="00EE36F4" w:rsidRDefault="0039530F" w:rsidP="000F598A">
      <w:pPr>
        <w:pStyle w:val="Titre1"/>
        <w:rPr>
          <w:lang w:val="en-GB"/>
        </w:rPr>
      </w:pPr>
      <w:bookmarkStart w:id="42" w:name="_Toc222226016"/>
      <w:bookmarkStart w:id="43" w:name="_Toc222895128"/>
      <w:bookmarkStart w:id="44" w:name="_Toc222895468"/>
      <w:bookmarkStart w:id="45" w:name="_Toc430940004"/>
      <w:r w:rsidRPr="0039530F">
        <w:rPr>
          <w:lang w:val="en-GB"/>
        </w:rPr>
        <w:t>Conclusion</w:t>
      </w:r>
      <w:bookmarkEnd w:id="42"/>
      <w:bookmarkEnd w:id="43"/>
      <w:bookmarkEnd w:id="44"/>
      <w:bookmarkEnd w:id="45"/>
    </w:p>
    <w:p w:rsidR="00BF0356" w:rsidRPr="00EE36F4" w:rsidRDefault="00BF0356" w:rsidP="00724EA7"/>
    <w:p w:rsidR="00BD1613" w:rsidRDefault="00D95E69">
      <w:pPr>
        <w:rPr>
          <w:lang w:eastAsia="fr-FR"/>
        </w:rPr>
      </w:pPr>
      <w:r>
        <w:rPr>
          <w:lang w:eastAsia="fr-FR"/>
        </w:rPr>
        <w:t>This report has demonstrated the serious flaws in</w:t>
      </w:r>
      <w:r w:rsidR="0039530F" w:rsidRPr="0039530F">
        <w:rPr>
          <w:lang w:eastAsia="fr-FR"/>
        </w:rPr>
        <w:t xml:space="preserve"> the implementation of the Covenant in Iraq</w:t>
      </w:r>
      <w:r>
        <w:rPr>
          <w:lang w:eastAsia="fr-FR"/>
        </w:rPr>
        <w:t>.</w:t>
      </w:r>
      <w:r w:rsidR="0039530F" w:rsidRPr="0039530F">
        <w:rPr>
          <w:lang w:eastAsia="fr-FR"/>
        </w:rPr>
        <w:t xml:space="preserve"> </w:t>
      </w:r>
      <w:r>
        <w:rPr>
          <w:lang w:eastAsia="fr-FR"/>
        </w:rPr>
        <w:t>S</w:t>
      </w:r>
      <w:r w:rsidR="0039530F" w:rsidRPr="0039530F">
        <w:rPr>
          <w:lang w:eastAsia="fr-FR"/>
        </w:rPr>
        <w:t xml:space="preserve">erious </w:t>
      </w:r>
      <w:r w:rsidRPr="00F14DBD">
        <w:rPr>
          <w:lang w:eastAsia="fr-FR"/>
        </w:rPr>
        <w:t xml:space="preserve">human rights </w:t>
      </w:r>
      <w:r w:rsidR="0039530F" w:rsidRPr="0039530F">
        <w:rPr>
          <w:lang w:eastAsia="fr-FR"/>
        </w:rPr>
        <w:t xml:space="preserve">violations </w:t>
      </w:r>
      <w:r>
        <w:rPr>
          <w:lang w:eastAsia="fr-FR"/>
        </w:rPr>
        <w:t xml:space="preserve">continue to occur, such </w:t>
      </w:r>
      <w:r w:rsidR="0039530F" w:rsidRPr="0039530F">
        <w:rPr>
          <w:lang w:eastAsia="fr-FR"/>
        </w:rPr>
        <w:t>as</w:t>
      </w:r>
      <w:r>
        <w:rPr>
          <w:lang w:eastAsia="fr-FR"/>
        </w:rPr>
        <w:t xml:space="preserve"> the</w:t>
      </w:r>
      <w:r w:rsidR="0039530F" w:rsidRPr="0039530F">
        <w:rPr>
          <w:lang w:eastAsia="fr-FR"/>
        </w:rPr>
        <w:t xml:space="preserve"> widespread and systematic</w:t>
      </w:r>
      <w:r>
        <w:rPr>
          <w:lang w:eastAsia="fr-FR"/>
        </w:rPr>
        <w:t xml:space="preserve"> use of</w:t>
      </w:r>
      <w:r w:rsidR="0039530F" w:rsidRPr="0039530F">
        <w:rPr>
          <w:lang w:eastAsia="fr-FR"/>
        </w:rPr>
        <w:t xml:space="preserve"> torture, </w:t>
      </w:r>
      <w:r>
        <w:rPr>
          <w:lang w:eastAsia="fr-FR"/>
        </w:rPr>
        <w:t>the practice</w:t>
      </w:r>
      <w:r w:rsidR="0039530F" w:rsidRPr="0039530F">
        <w:rPr>
          <w:lang w:eastAsia="fr-FR"/>
        </w:rPr>
        <w:t xml:space="preserve"> of enforced disappearances, a total lack of </w:t>
      </w:r>
      <w:r w:rsidR="00A75720" w:rsidRPr="0039530F">
        <w:rPr>
          <w:lang w:eastAsia="fr-FR"/>
        </w:rPr>
        <w:t xml:space="preserve">fair trials </w:t>
      </w:r>
      <w:r w:rsidR="0039530F" w:rsidRPr="0039530F">
        <w:rPr>
          <w:lang w:eastAsia="fr-FR"/>
        </w:rPr>
        <w:t xml:space="preserve">guarantees during proceedings often </w:t>
      </w:r>
      <w:r>
        <w:rPr>
          <w:lang w:eastAsia="fr-FR"/>
        </w:rPr>
        <w:t>initiated</w:t>
      </w:r>
      <w:r w:rsidR="0039530F" w:rsidRPr="0039530F">
        <w:rPr>
          <w:lang w:eastAsia="fr-FR"/>
        </w:rPr>
        <w:t xml:space="preserve"> </w:t>
      </w:r>
      <w:r>
        <w:rPr>
          <w:lang w:eastAsia="fr-FR"/>
        </w:rPr>
        <w:t xml:space="preserve">under the pretext </w:t>
      </w:r>
      <w:r w:rsidR="0039530F" w:rsidRPr="0039530F">
        <w:rPr>
          <w:lang w:eastAsia="fr-FR"/>
        </w:rPr>
        <w:t xml:space="preserve">of the fight against terrorism and in a climate of repression of every form of dissent. </w:t>
      </w:r>
    </w:p>
    <w:p w:rsidR="002C6BBD" w:rsidRPr="00EE36F4" w:rsidRDefault="002C6BBD" w:rsidP="002C6BBD">
      <w:pPr>
        <w:rPr>
          <w:lang w:eastAsia="fr-FR"/>
        </w:rPr>
      </w:pPr>
    </w:p>
    <w:p w:rsidR="00BD1613" w:rsidRDefault="00D95E69">
      <w:pPr>
        <w:rPr>
          <w:lang w:eastAsia="fr-FR"/>
        </w:rPr>
      </w:pPr>
      <w:r>
        <w:rPr>
          <w:lang w:eastAsia="fr-FR"/>
        </w:rPr>
        <w:t>N</w:t>
      </w:r>
      <w:r w:rsidR="0039530F" w:rsidRPr="0039530F">
        <w:rPr>
          <w:lang w:eastAsia="fr-FR"/>
        </w:rPr>
        <w:t xml:space="preserve">ational legislation often fails to adequately implement the Covenant, as for instance it does not provide for the adequate legal safeguards on the administration of the death penalty or a definition and criminalisation of torture and enforced disappearances as enshrined in the Convention against Torture and the International Convention for the Protection of All Persons against Enforced Disappearances. We also recall that the Anti-Terrorism Law No.13 of 2005 provides for an all-encompassing definition for the crime of terrorism and </w:t>
      </w:r>
      <w:r w:rsidR="00A75720">
        <w:rPr>
          <w:lang w:eastAsia="fr-FR"/>
        </w:rPr>
        <w:t xml:space="preserve">allows for </w:t>
      </w:r>
      <w:r w:rsidR="0039530F" w:rsidRPr="0039530F">
        <w:rPr>
          <w:lang w:eastAsia="fr-FR"/>
        </w:rPr>
        <w:t xml:space="preserve">the abusive application of the death penalty. </w:t>
      </w:r>
    </w:p>
    <w:p w:rsidR="00320D3C" w:rsidRPr="00EE36F4" w:rsidRDefault="00320D3C" w:rsidP="002C6BBD">
      <w:pPr>
        <w:rPr>
          <w:lang w:eastAsia="fr-FR"/>
        </w:rPr>
      </w:pPr>
    </w:p>
    <w:p w:rsidR="00AF1BF2" w:rsidRPr="00EE36F4" w:rsidRDefault="0039530F" w:rsidP="006A386C">
      <w:pPr>
        <w:rPr>
          <w:lang w:eastAsia="fr-FR"/>
        </w:rPr>
      </w:pPr>
      <w:r w:rsidRPr="0039530F">
        <w:rPr>
          <w:lang w:eastAsia="fr-FR"/>
        </w:rPr>
        <w:t xml:space="preserve">At the same time, even where legal safeguards exist, they are not respected in practice. The lack of independence of the judicial system, the widespread corruption as well as the total impunity enjoyed by the government-backed militias also contribute to </w:t>
      </w:r>
      <w:r w:rsidR="006A386C">
        <w:rPr>
          <w:lang w:eastAsia="fr-FR"/>
        </w:rPr>
        <w:t xml:space="preserve">widespread </w:t>
      </w:r>
      <w:r w:rsidRPr="0039530F">
        <w:rPr>
          <w:lang w:eastAsia="fr-FR"/>
        </w:rPr>
        <w:t xml:space="preserve">abuses that remain unpunished. Allegations of human rights violations are rarely investigated </w:t>
      </w:r>
      <w:r w:rsidR="006A386C">
        <w:rPr>
          <w:lang w:eastAsia="fr-FR"/>
        </w:rPr>
        <w:t xml:space="preserve">or </w:t>
      </w:r>
      <w:r w:rsidRPr="0039530F">
        <w:rPr>
          <w:lang w:eastAsia="fr-FR"/>
        </w:rPr>
        <w:t xml:space="preserve">brought to justice so that victims are </w:t>
      </w:r>
      <w:r w:rsidR="006A386C">
        <w:rPr>
          <w:lang w:eastAsia="fr-FR"/>
        </w:rPr>
        <w:t xml:space="preserve">systematically </w:t>
      </w:r>
      <w:r w:rsidRPr="0039530F">
        <w:rPr>
          <w:lang w:eastAsia="fr-FR"/>
        </w:rPr>
        <w:t xml:space="preserve">denied any right to redress and compensation. </w:t>
      </w:r>
    </w:p>
    <w:p w:rsidR="00AF1BF2" w:rsidRPr="00EE36F4" w:rsidRDefault="00AF1BF2" w:rsidP="00AF1BF2">
      <w:pPr>
        <w:rPr>
          <w:lang w:eastAsia="fr-FR"/>
        </w:rPr>
      </w:pPr>
    </w:p>
    <w:p w:rsidR="00BF0356" w:rsidRPr="00EE36F4" w:rsidRDefault="0039530F" w:rsidP="00655561">
      <w:r w:rsidRPr="0039530F">
        <w:t>Alkarama hopes that the review of Iraq before the Human Rights Committee will represent a real chance for promoting the actual implementation of the Covenant. In the current context where the armed confrontation with the IS and the fight against terrorism are used as a leeway allowing for violations to be perpetrated, strengthening the protection of human rights</w:t>
      </w:r>
      <w:r w:rsidR="00655561">
        <w:t xml:space="preserve"> is a priority and</w:t>
      </w:r>
      <w:r w:rsidRPr="0039530F">
        <w:t xml:space="preserve"> would be of even greater benefit for the entire Iraqi society. </w:t>
      </w:r>
    </w:p>
    <w:sectPr w:rsidR="00BF0356" w:rsidRPr="00EE36F4" w:rsidSect="000A3F6E">
      <w:headerReference w:type="default" r:id="rId9"/>
      <w:footerReference w:type="default" r:id="rId10"/>
      <w:footerReference w:type="first" r:id="rId11"/>
      <w:pgSz w:w="11906" w:h="16838"/>
      <w:pgMar w:top="1417" w:right="1417" w:bottom="1417" w:left="1417" w:header="567" w:footer="39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21A" w:rsidRDefault="0030221A" w:rsidP="00E539D8">
      <w:r>
        <w:separator/>
      </w:r>
    </w:p>
  </w:endnote>
  <w:endnote w:type="continuationSeparator" w:id="1">
    <w:p w:rsidR="0030221A" w:rsidRDefault="0030221A" w:rsidP="00E539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mnesty Trade Gothic">
    <w:altName w:val="Amnesty Trade Gothi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8CF" w:rsidRDefault="00E40B1D" w:rsidP="00B876E8">
    <w:pPr>
      <w:pStyle w:val="Pieddepage"/>
      <w:jc w:val="right"/>
    </w:pPr>
    <w:fldSimple w:instr=" PAGE   \* MERGEFORMAT ">
      <w:r w:rsidR="00EE29A1">
        <w:rPr>
          <w:noProof/>
        </w:rPr>
        <w:t>18</w:t>
      </w:r>
    </w:fldSimple>
  </w:p>
  <w:p w:rsidR="007858CF" w:rsidRDefault="007858CF" w:rsidP="00792A1C">
    <w:pPr>
      <w:pStyle w:val="En-tte"/>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xml:space="preserve">, C.P. 2100 CH – 1211  Genève 2 – </w:t>
    </w:r>
    <w:proofErr w:type="spellStart"/>
    <w:r>
      <w:rPr>
        <w:rFonts w:ascii="Arial" w:hAnsi="Arial" w:cs="Arial"/>
        <w:lang w:val="fr-CH"/>
      </w:rPr>
      <w:t>Switzerland</w:t>
    </w:r>
    <w:proofErr w:type="spellEnd"/>
  </w:p>
  <w:p w:rsidR="007858CF" w:rsidRDefault="007858CF" w:rsidP="00792A1C">
    <w:pPr>
      <w:pStyle w:val="En-tte"/>
      <w:spacing w:before="20"/>
      <w:jc w:val="center"/>
      <w:rPr>
        <w:rFonts w:ascii="Arial" w:hAnsi="Arial" w:cs="Arial"/>
        <w:lang w:val="fr-CH"/>
      </w:rPr>
    </w:pPr>
    <w:r>
      <w:rPr>
        <w:rFonts w:ascii="Arial Narrow" w:hAnsi="Arial Narrow" w:cs="Arial Narrow"/>
        <w:lang w:val="en-US"/>
      </w:rPr>
      <w:sym w:font="Wingdings" w:char="F028"/>
    </w:r>
    <w:r>
      <w:rPr>
        <w:rFonts w:ascii="Arial" w:hAnsi="Arial" w:cs="Arial"/>
        <w:lang w:val="fr-CH"/>
      </w:rPr>
      <w:t xml:space="preserve"> +41 22 734 10 06 – </w:t>
    </w:r>
    <w:r>
      <w:rPr>
        <w:rFonts w:ascii="Arial Narrow" w:hAnsi="Arial Narrow" w:cs="Arial Narrow"/>
        <w:lang w:val="en-US"/>
      </w:rPr>
      <w:sym w:font="Wingdings 2" w:char="F037"/>
    </w:r>
    <w:r>
      <w:rPr>
        <w:rFonts w:ascii="Arial" w:hAnsi="Arial" w:cs="Arial"/>
        <w:lang w:val="fr-CH"/>
      </w:rPr>
      <w:t xml:space="preserve"> +41 22 545 76 55 – </w:t>
    </w:r>
    <w:r>
      <w:rPr>
        <w:rFonts w:ascii="Arial" w:hAnsi="Arial" w:cs="Arial"/>
        <w:lang w:val="en-US"/>
      </w:rPr>
      <w:sym w:font="Wingdings" w:char="F02A"/>
    </w:r>
    <w:r>
      <w:rPr>
        <w:rFonts w:ascii="Arial" w:hAnsi="Arial" w:cs="Arial"/>
        <w:lang w:val="fr-CH"/>
      </w:rPr>
      <w:t xml:space="preserve"> geneva@alkarama.org – </w:t>
    </w:r>
    <w:r>
      <w:rPr>
        <w:rFonts w:ascii="Arial" w:hAnsi="Arial" w:cs="Arial"/>
        <w:lang w:val="en-US"/>
      </w:rPr>
      <w:sym w:font="Wingdings" w:char="F038"/>
    </w:r>
    <w:r>
      <w:rPr>
        <w:rFonts w:ascii="Arial" w:hAnsi="Arial" w:cs="Arial"/>
        <w:lang w:val="fr-CH"/>
      </w:rPr>
      <w:t xml:space="preserve"> www.alkarama.org</w:t>
    </w:r>
  </w:p>
  <w:p w:rsidR="007858CF" w:rsidRPr="00C8157E" w:rsidRDefault="007858CF" w:rsidP="00B876E8">
    <w:pPr>
      <w:pStyle w:val="En-tte"/>
      <w:spacing w:before="20"/>
      <w:jc w:val="center"/>
      <w:rPr>
        <w:rFonts w:ascii="Arial" w:hAnsi="Arial" w:cs="Arial"/>
        <w:lang w:val="fr-CH"/>
      </w:rPr>
    </w:pPr>
  </w:p>
  <w:p w:rsidR="007858CF" w:rsidRPr="00B876E8" w:rsidRDefault="007858CF">
    <w:pPr>
      <w:pStyle w:val="Pieddepage"/>
      <w:rPr>
        <w:lang w:val="fr-CH"/>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8CF" w:rsidRDefault="007858CF" w:rsidP="00792A1C">
    <w:pPr>
      <w:pStyle w:val="En-tte"/>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xml:space="preserve">, C.P. 2100 CH – 1211  Genève 2 – </w:t>
    </w:r>
    <w:proofErr w:type="spellStart"/>
    <w:r>
      <w:rPr>
        <w:rFonts w:ascii="Arial" w:hAnsi="Arial" w:cs="Arial"/>
        <w:lang w:val="fr-CH"/>
      </w:rPr>
      <w:t>Switzerland</w:t>
    </w:r>
    <w:proofErr w:type="spellEnd"/>
  </w:p>
  <w:p w:rsidR="007858CF" w:rsidRDefault="007858CF" w:rsidP="00792A1C">
    <w:pPr>
      <w:pStyle w:val="En-tte"/>
      <w:spacing w:before="20"/>
      <w:jc w:val="center"/>
      <w:rPr>
        <w:rFonts w:ascii="Arial" w:hAnsi="Arial" w:cs="Arial"/>
        <w:lang w:val="fr-CH"/>
      </w:rPr>
    </w:pPr>
    <w:r>
      <w:rPr>
        <w:rFonts w:ascii="Arial Narrow" w:hAnsi="Arial Narrow" w:cs="Arial Narrow"/>
        <w:lang w:val="en-US"/>
      </w:rPr>
      <w:sym w:font="Wingdings" w:char="F028"/>
    </w:r>
    <w:r>
      <w:rPr>
        <w:rFonts w:ascii="Arial" w:hAnsi="Arial" w:cs="Arial"/>
        <w:lang w:val="fr-CH"/>
      </w:rPr>
      <w:t xml:space="preserve"> +41 22 734 10 06 – </w:t>
    </w:r>
    <w:r>
      <w:rPr>
        <w:rFonts w:ascii="Arial Narrow" w:hAnsi="Arial Narrow" w:cs="Arial Narrow"/>
        <w:lang w:val="en-US"/>
      </w:rPr>
      <w:sym w:font="Wingdings 2" w:char="F037"/>
    </w:r>
    <w:r>
      <w:rPr>
        <w:rFonts w:ascii="Arial" w:hAnsi="Arial" w:cs="Arial"/>
        <w:lang w:val="fr-CH"/>
      </w:rPr>
      <w:t xml:space="preserve"> +41 22 545 76 55 – </w:t>
    </w:r>
    <w:r>
      <w:rPr>
        <w:rFonts w:ascii="Arial" w:hAnsi="Arial" w:cs="Arial"/>
        <w:lang w:val="en-US"/>
      </w:rPr>
      <w:sym w:font="Wingdings" w:char="F02A"/>
    </w:r>
    <w:r>
      <w:rPr>
        <w:rFonts w:ascii="Arial" w:hAnsi="Arial" w:cs="Arial"/>
        <w:lang w:val="fr-CH"/>
      </w:rPr>
      <w:t xml:space="preserve"> geneva@alkarama.org – </w:t>
    </w:r>
    <w:r>
      <w:rPr>
        <w:rFonts w:ascii="Arial" w:hAnsi="Arial" w:cs="Arial"/>
        <w:lang w:val="en-US"/>
      </w:rPr>
      <w:sym w:font="Wingdings" w:char="F038"/>
    </w:r>
    <w:r>
      <w:rPr>
        <w:rFonts w:ascii="Arial" w:hAnsi="Arial" w:cs="Arial"/>
        <w:lang w:val="fr-CH"/>
      </w:rPr>
      <w:t xml:space="preserve"> www.alkarama.org</w:t>
    </w:r>
  </w:p>
  <w:p w:rsidR="007858CF" w:rsidRPr="005D5EF7" w:rsidRDefault="007858CF">
    <w:pPr>
      <w:pStyle w:val="Pieddepage"/>
      <w:rPr>
        <w:lang w:val="fr-CH"/>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21A" w:rsidRDefault="0030221A" w:rsidP="00E539D8">
      <w:r>
        <w:separator/>
      </w:r>
    </w:p>
  </w:footnote>
  <w:footnote w:type="continuationSeparator" w:id="1">
    <w:p w:rsidR="0030221A" w:rsidRDefault="0030221A" w:rsidP="00E539D8">
      <w:r>
        <w:continuationSeparator/>
      </w:r>
    </w:p>
  </w:footnote>
  <w:footnote w:id="2">
    <w:p w:rsidR="007858CF" w:rsidRPr="002B4899" w:rsidRDefault="007858CF" w:rsidP="00371B03">
      <w:pPr>
        <w:pStyle w:val="Notedebasdepage"/>
        <w:ind w:left="284" w:hanging="284"/>
      </w:pPr>
      <w:r w:rsidRPr="002B4899">
        <w:rPr>
          <w:rStyle w:val="Appelnotedebasdep"/>
        </w:rPr>
        <w:footnoteRef/>
      </w:r>
      <w:r w:rsidRPr="002B4899">
        <w:rPr>
          <w:lang w:val="en-GB"/>
        </w:rPr>
        <w:t xml:space="preserve"> </w:t>
      </w:r>
      <w:r w:rsidRPr="002B4899">
        <w:rPr>
          <w:lang w:val="en-GB"/>
        </w:rPr>
        <w:tab/>
        <w:t xml:space="preserve">Alkarama, </w:t>
      </w:r>
      <w:r w:rsidRPr="00573985">
        <w:rPr>
          <w:i/>
          <w:iCs/>
          <w:lang w:val="en-GB"/>
        </w:rPr>
        <w:t>Iraq: Three citizens arrested by American forces in 2005 and disappeared since</w:t>
      </w:r>
      <w:r w:rsidRPr="00573985">
        <w:rPr>
          <w:lang w:val="en-GB"/>
        </w:rPr>
        <w:t xml:space="preserve">, 27 June 2014, </w:t>
      </w:r>
      <w:hyperlink r:id="rId1" w:history="1">
        <w:r w:rsidRPr="00573985">
          <w:rPr>
            <w:rStyle w:val="Lienhypertexte"/>
            <w:lang w:val="en-GB"/>
          </w:rPr>
          <w:t>http://en.alkarama.org/component/k2/1246-iraq-three-citizens-arrested-by-american-forces-in-2005-and-disappeared-since?Itemid</w:t>
        </w:r>
      </w:hyperlink>
      <w:r w:rsidRPr="00573985">
        <w:rPr>
          <w:lang w:val="en-GB"/>
        </w:rPr>
        <w:t>= (accessed on 18 September 2015).</w:t>
      </w:r>
    </w:p>
  </w:footnote>
  <w:footnote w:id="3">
    <w:p w:rsidR="007858CF" w:rsidRPr="002B4899" w:rsidRDefault="007858CF" w:rsidP="00371B03">
      <w:pPr>
        <w:pStyle w:val="Notedebasdepage"/>
        <w:ind w:left="284" w:hanging="284"/>
      </w:pPr>
      <w:r w:rsidRPr="00573985">
        <w:rPr>
          <w:rStyle w:val="Appelnotedebasdep"/>
        </w:rPr>
        <w:footnoteRef/>
      </w:r>
      <w:r w:rsidRPr="00573985">
        <w:t xml:space="preserve"> </w:t>
      </w:r>
      <w:r w:rsidRPr="00573985">
        <w:tab/>
      </w:r>
      <w:r w:rsidRPr="00573985">
        <w:t>Article 12.3 SOFA states “[t]he United States shall have the primary right to exercise jurisdiction over members of the United States Forces and of the civilian component for matters arising inside agreed facilities and areas; during duty status outside agreed facilities and areas”.</w:t>
      </w:r>
    </w:p>
  </w:footnote>
  <w:footnote w:id="4">
    <w:p w:rsidR="007858CF" w:rsidRPr="002B4899" w:rsidRDefault="007858CF" w:rsidP="00371B03">
      <w:pPr>
        <w:pStyle w:val="Notedebasdepage"/>
        <w:ind w:left="284" w:hanging="284"/>
      </w:pPr>
      <w:r w:rsidRPr="00573985">
        <w:rPr>
          <w:rStyle w:val="Appelnotedebasdep"/>
        </w:rPr>
        <w:footnoteRef/>
      </w:r>
      <w:r w:rsidRPr="00573985">
        <w:t xml:space="preserve"> </w:t>
      </w:r>
      <w:r w:rsidRPr="00573985">
        <w:tab/>
      </w:r>
      <w:r w:rsidRPr="00573985">
        <w:t xml:space="preserve">As </w:t>
      </w:r>
      <w:r w:rsidRPr="00573985">
        <w:t>per Article 12.6 SOFA stating “the authorities of either Party may request the authorities of the other Party to waive its primary right to jurisdiction in a particular case”.</w:t>
      </w:r>
    </w:p>
  </w:footnote>
  <w:footnote w:id="5">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sidRPr="00573985">
        <w:rPr>
          <w:lang w:val="en-GB"/>
        </w:rPr>
        <w:tab/>
      </w:r>
      <w:proofErr w:type="gramStart"/>
      <w:r w:rsidRPr="00573985">
        <w:rPr>
          <w:lang w:val="en-GB"/>
        </w:rPr>
        <w:t xml:space="preserve">Committee against Torture, </w:t>
      </w:r>
      <w:r w:rsidRPr="00573985">
        <w:rPr>
          <w:i/>
          <w:iCs/>
          <w:lang w:val="en-GB"/>
        </w:rPr>
        <w:t>Concluding observations on the combined third to fifth periodic reports of the United States of America</w:t>
      </w:r>
      <w:r w:rsidRPr="00573985">
        <w:rPr>
          <w:lang w:val="en-GB"/>
        </w:rPr>
        <w:t>, 19 December 2014 (CAT/C/USA/CO/3-5), para.12.</w:t>
      </w:r>
      <w:proofErr w:type="gramEnd"/>
    </w:p>
  </w:footnote>
  <w:footnote w:id="6">
    <w:p w:rsidR="007858CF" w:rsidRPr="002B4899" w:rsidRDefault="007858CF" w:rsidP="00371B03">
      <w:pPr>
        <w:pStyle w:val="Notedebasdepage"/>
        <w:tabs>
          <w:tab w:val="left" w:pos="284"/>
        </w:tabs>
        <w:ind w:left="284" w:hanging="284"/>
      </w:pPr>
      <w:r w:rsidRPr="00573985">
        <w:rPr>
          <w:rStyle w:val="Appelnotedebasdep"/>
        </w:rPr>
        <w:footnoteRef/>
      </w:r>
      <w:r w:rsidRPr="00573985">
        <w:rPr>
          <w:lang w:val="en-GB"/>
        </w:rPr>
        <w:t xml:space="preserve"> </w:t>
      </w:r>
      <w:r w:rsidRPr="00573985">
        <w:rPr>
          <w:lang w:val="en-GB"/>
        </w:rPr>
        <w:tab/>
      </w:r>
      <w:proofErr w:type="gramStart"/>
      <w:r w:rsidRPr="00573985">
        <w:rPr>
          <w:lang w:val="en-GB"/>
        </w:rPr>
        <w:t xml:space="preserve">Amnesty International, </w:t>
      </w:r>
      <w:r w:rsidRPr="00573985">
        <w:rPr>
          <w:i/>
          <w:iCs/>
          <w:lang w:val="en-GB"/>
        </w:rPr>
        <w:t>Absolute impunity – Militia Rule in Iraq</w:t>
      </w:r>
      <w:r w:rsidRPr="00573985">
        <w:rPr>
          <w:lang w:val="en-GB"/>
        </w:rPr>
        <w:t>, October 2014 (MDE 14/015/2014), p.17.</w:t>
      </w:r>
      <w:proofErr w:type="gramEnd"/>
    </w:p>
  </w:footnote>
  <w:footnote w:id="7">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sidRPr="00573985">
        <w:rPr>
          <w:lang w:val="en-GB"/>
        </w:rPr>
        <w:tab/>
      </w:r>
      <w:proofErr w:type="spellStart"/>
      <w:r w:rsidRPr="00573985">
        <w:rPr>
          <w:lang w:val="en-US"/>
        </w:rPr>
        <w:t>Ranj</w:t>
      </w:r>
      <w:proofErr w:type="spellEnd"/>
      <w:r w:rsidRPr="00573985">
        <w:rPr>
          <w:lang w:val="en-US"/>
        </w:rPr>
        <w:t xml:space="preserve"> </w:t>
      </w:r>
      <w:proofErr w:type="spellStart"/>
      <w:r w:rsidRPr="00573985">
        <w:rPr>
          <w:lang w:val="en-US"/>
        </w:rPr>
        <w:t>Alaaldin</w:t>
      </w:r>
      <w:proofErr w:type="spellEnd"/>
      <w:r w:rsidRPr="00573985">
        <w:rPr>
          <w:lang w:val="en-US"/>
        </w:rPr>
        <w:t>,</w:t>
      </w:r>
      <w:r w:rsidRPr="00573985">
        <w:rPr>
          <w:lang w:val="en-GB"/>
        </w:rPr>
        <w:t xml:space="preserve"> “</w:t>
      </w:r>
      <w:r w:rsidRPr="00573985">
        <w:rPr>
          <w:lang w:val="en-US"/>
        </w:rPr>
        <w:t xml:space="preserve">Iraq: Growth of the </w:t>
      </w:r>
      <w:proofErr w:type="spellStart"/>
      <w:r w:rsidRPr="00573985">
        <w:rPr>
          <w:lang w:val="en-US"/>
        </w:rPr>
        <w:t>Shia</w:t>
      </w:r>
      <w:proofErr w:type="spellEnd"/>
      <w:r w:rsidRPr="00573985">
        <w:rPr>
          <w:lang w:val="en-US"/>
        </w:rPr>
        <w:t xml:space="preserve"> militia</w:t>
      </w:r>
      <w:r w:rsidRPr="00573985">
        <w:rPr>
          <w:lang w:val="en-GB"/>
        </w:rPr>
        <w:t>”</w:t>
      </w:r>
      <w:r w:rsidRPr="00573985">
        <w:rPr>
          <w:lang w:val="en-US"/>
        </w:rPr>
        <w:t xml:space="preserve">, </w:t>
      </w:r>
      <w:r w:rsidRPr="00573985">
        <w:rPr>
          <w:i/>
          <w:iCs/>
          <w:lang w:val="en-US"/>
        </w:rPr>
        <w:t>BBC</w:t>
      </w:r>
      <w:r w:rsidRPr="00573985">
        <w:rPr>
          <w:lang w:val="en-US"/>
        </w:rPr>
        <w:t xml:space="preserve">, 17 April 2015, </w:t>
      </w:r>
      <w:hyperlink r:id="rId2" w:history="1">
        <w:r w:rsidRPr="00573985">
          <w:rPr>
            <w:rStyle w:val="Lienhypertexte"/>
            <w:lang w:val="en-US"/>
          </w:rPr>
          <w:t>http://www.bbc.com/news/world-middle-east-32349379</w:t>
        </w:r>
      </w:hyperlink>
      <w:r w:rsidRPr="00573985">
        <w:rPr>
          <w:lang w:val="en-US"/>
        </w:rPr>
        <w:t xml:space="preserve"> </w:t>
      </w:r>
      <w:r w:rsidRPr="00573985">
        <w:rPr>
          <w:lang w:val="en-GB"/>
        </w:rPr>
        <w:t>(accessed on 11 September 2015).</w:t>
      </w:r>
    </w:p>
  </w:footnote>
  <w:footnote w:id="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sidRPr="00573985">
        <w:rPr>
          <w:lang w:val="en-GB"/>
        </w:rPr>
        <w:tab/>
      </w:r>
      <w:proofErr w:type="gramStart"/>
      <w:r w:rsidRPr="00573985">
        <w:rPr>
          <w:lang w:val="en-GB"/>
        </w:rPr>
        <w:t xml:space="preserve">Amnesty International, </w:t>
      </w:r>
      <w:r w:rsidRPr="00573985">
        <w:rPr>
          <w:i/>
          <w:iCs/>
          <w:lang w:val="en-GB"/>
        </w:rPr>
        <w:t>Absolute impunity – Militia Rule in Iraq</w:t>
      </w:r>
      <w:r w:rsidRPr="00573985">
        <w:rPr>
          <w:lang w:val="en-GB"/>
        </w:rPr>
        <w:t>, October 2014 (MDE 14/015/2014), p.17.</w:t>
      </w:r>
      <w:proofErr w:type="gramEnd"/>
    </w:p>
  </w:footnote>
  <w:footnote w:id="9">
    <w:p w:rsidR="007858CF" w:rsidRPr="002B4899" w:rsidRDefault="007858CF" w:rsidP="00371B03">
      <w:pPr>
        <w:pStyle w:val="Notedebasdepage"/>
        <w:ind w:left="284" w:hanging="284"/>
      </w:pPr>
      <w:r w:rsidRPr="00573985">
        <w:rPr>
          <w:rStyle w:val="Appelnotedebasdep"/>
        </w:rPr>
        <w:footnoteRef/>
      </w:r>
      <w:r w:rsidRPr="00573985">
        <w:t xml:space="preserve"> </w:t>
      </w:r>
      <w:r w:rsidRPr="00573985">
        <w:tab/>
      </w:r>
      <w:r w:rsidRPr="00573985">
        <w:t>M</w:t>
      </w:r>
      <w:proofErr w:type="spellStart"/>
      <w:r w:rsidRPr="00573985">
        <w:rPr>
          <w:lang w:val="en-GB"/>
        </w:rPr>
        <w:t>ustafa</w:t>
      </w:r>
      <w:proofErr w:type="spellEnd"/>
      <w:r w:rsidRPr="00573985">
        <w:rPr>
          <w:lang w:val="en-GB"/>
        </w:rPr>
        <w:t xml:space="preserve"> al-</w:t>
      </w:r>
      <w:proofErr w:type="spellStart"/>
      <w:r w:rsidRPr="00573985">
        <w:rPr>
          <w:lang w:val="en-GB"/>
        </w:rPr>
        <w:t>Khadimi</w:t>
      </w:r>
      <w:proofErr w:type="spellEnd"/>
      <w:r w:rsidRPr="00573985">
        <w:rPr>
          <w:lang w:val="en-GB"/>
        </w:rPr>
        <w:t>, Why Iraq needs to depoliticize their Popular Mobilization Units,</w:t>
      </w:r>
      <w:r w:rsidRPr="00573985">
        <w:t xml:space="preserve"> </w:t>
      </w:r>
      <w:r w:rsidRPr="00573985">
        <w:rPr>
          <w:i/>
          <w:iCs/>
        </w:rPr>
        <w:t>Al Monitor</w:t>
      </w:r>
      <w:r w:rsidRPr="00573985">
        <w:t xml:space="preserve">, 10 July 2015, </w:t>
      </w:r>
      <w:r w:rsidR="00E40B1D">
        <w:fldChar w:fldCharType="begin"/>
      </w:r>
      <w:r w:rsidR="00E40B1D">
        <w:instrText>HYPERLINK "http://www.al-monitor.com/pulse/originals/2015/07/iraq-popular-mobilization-forces-politics-isis.html"</w:instrText>
      </w:r>
      <w:r w:rsidR="00E40B1D">
        <w:fldChar w:fldCharType="separate"/>
      </w:r>
      <w:r w:rsidRPr="00573985">
        <w:rPr>
          <w:rStyle w:val="Lienhypertexte"/>
          <w:lang w:val="en-GB"/>
        </w:rPr>
        <w:t>http://www.al-monitor.com/pulse/originals/2015/07/iraq-popular-mobilization-forces-politics-isis.html</w:t>
      </w:r>
      <w:r w:rsidR="00E40B1D">
        <w:fldChar w:fldCharType="end"/>
      </w:r>
      <w:r w:rsidRPr="00573985">
        <w:rPr>
          <w:lang w:val="en-GB"/>
        </w:rPr>
        <w:t xml:space="preserve"> (accessed on 11 September 2015).</w:t>
      </w:r>
    </w:p>
  </w:footnote>
  <w:footnote w:id="10">
    <w:p w:rsidR="007858CF" w:rsidRPr="002B4899" w:rsidRDefault="007858CF" w:rsidP="00371B03">
      <w:pPr>
        <w:pStyle w:val="Notedebasdepage"/>
        <w:ind w:left="284" w:hanging="284"/>
      </w:pPr>
      <w:r w:rsidRPr="002B4899">
        <w:rPr>
          <w:rStyle w:val="Appelnotedebasdep"/>
        </w:rPr>
        <w:footnoteRef/>
      </w:r>
      <w:r w:rsidRPr="002B4899">
        <w:t xml:space="preserve"> </w:t>
      </w:r>
      <w:r w:rsidRPr="002B4899">
        <w:tab/>
      </w:r>
      <w:r w:rsidRPr="00573985">
        <w:rPr>
          <w:lang w:val="en-GB"/>
        </w:rPr>
        <w:t xml:space="preserve">Joel Wing, “Iraq’s </w:t>
      </w:r>
      <w:proofErr w:type="spellStart"/>
      <w:r w:rsidRPr="00573985">
        <w:rPr>
          <w:lang w:val="en-GB"/>
        </w:rPr>
        <w:t>Badr</w:t>
      </w:r>
      <w:proofErr w:type="spellEnd"/>
      <w:r w:rsidRPr="00573985">
        <w:rPr>
          <w:lang w:val="en-GB"/>
        </w:rPr>
        <w:t xml:space="preserve"> Organization Maintains Its </w:t>
      </w:r>
      <w:proofErr w:type="spellStart"/>
      <w:r w:rsidRPr="00573985">
        <w:rPr>
          <w:lang w:val="en-GB"/>
        </w:rPr>
        <w:t>Longtime</w:t>
      </w:r>
      <w:proofErr w:type="spellEnd"/>
      <w:r w:rsidRPr="00573985">
        <w:rPr>
          <w:lang w:val="en-GB"/>
        </w:rPr>
        <w:t xml:space="preserve"> Ties </w:t>
      </w:r>
      <w:proofErr w:type="gramStart"/>
      <w:r w:rsidRPr="00573985">
        <w:rPr>
          <w:lang w:val="en-GB"/>
        </w:rPr>
        <w:t>With</w:t>
      </w:r>
      <w:proofErr w:type="gramEnd"/>
      <w:r w:rsidRPr="00573985">
        <w:rPr>
          <w:lang w:val="en-GB"/>
        </w:rPr>
        <w:t xml:space="preserve"> Iran</w:t>
      </w:r>
      <w:r w:rsidRPr="00573985">
        <w:rPr>
          <w:i/>
          <w:iCs/>
          <w:lang w:val="en-GB"/>
        </w:rPr>
        <w:t>”, Musings on Iraq,</w:t>
      </w:r>
      <w:r w:rsidRPr="00573985">
        <w:rPr>
          <w:lang w:val="en-GB"/>
        </w:rPr>
        <w:t xml:space="preserve"> 10 July 2013, </w:t>
      </w:r>
      <w:hyperlink r:id="rId3" w:history="1">
        <w:r w:rsidRPr="00573985">
          <w:rPr>
            <w:rStyle w:val="Lienhypertexte"/>
            <w:lang w:val="en-GB"/>
          </w:rPr>
          <w:t>http://musingsoniraq.blogspot.com/2013/07/iraqs-badr-organization-maintains-its.html</w:t>
        </w:r>
      </w:hyperlink>
      <w:r w:rsidRPr="002B4899">
        <w:rPr>
          <w:lang w:val="en-GB"/>
        </w:rPr>
        <w:t xml:space="preserve"> (accessed on 11 September 2015). </w:t>
      </w:r>
    </w:p>
  </w:footnote>
  <w:footnote w:id="11">
    <w:p w:rsidR="007858CF" w:rsidRPr="002B4899" w:rsidRDefault="007858CF" w:rsidP="00371B03">
      <w:pPr>
        <w:pStyle w:val="Notedebasdepage"/>
        <w:ind w:left="284" w:hanging="284"/>
      </w:pPr>
      <w:r w:rsidRPr="002B4899">
        <w:rPr>
          <w:rStyle w:val="Appelnotedebasdep"/>
        </w:rPr>
        <w:footnoteRef/>
      </w:r>
      <w:r w:rsidRPr="002B4899">
        <w:rPr>
          <w:lang w:val="en-GB"/>
        </w:rPr>
        <w:t xml:space="preserve"> </w:t>
      </w:r>
      <w:r w:rsidRPr="00573985">
        <w:rPr>
          <w:lang w:val="en-GB"/>
        </w:rPr>
        <w:tab/>
      </w:r>
      <w:proofErr w:type="spellStart"/>
      <w:proofErr w:type="gramStart"/>
      <w:r w:rsidRPr="00573985">
        <w:rPr>
          <w:i/>
          <w:iCs/>
          <w:lang w:val="en-GB"/>
        </w:rPr>
        <w:t>Ibidem</w:t>
      </w:r>
      <w:proofErr w:type="spellEnd"/>
      <w:r w:rsidRPr="00573985">
        <w:rPr>
          <w:i/>
          <w:iCs/>
          <w:lang w:val="en-GB"/>
        </w:rPr>
        <w:t>.</w:t>
      </w:r>
      <w:proofErr w:type="gramEnd"/>
      <w:r w:rsidRPr="00573985">
        <w:rPr>
          <w:lang w:val="en-GB"/>
        </w:rPr>
        <w:t xml:space="preserve"> </w:t>
      </w:r>
    </w:p>
  </w:footnote>
  <w:footnote w:id="12">
    <w:p w:rsidR="007858CF" w:rsidRPr="002B4899" w:rsidRDefault="007858CF" w:rsidP="00371B03">
      <w:pPr>
        <w:pStyle w:val="Notedebasdepage"/>
        <w:ind w:left="284" w:hanging="284"/>
      </w:pPr>
      <w:r w:rsidRPr="002B4899">
        <w:rPr>
          <w:rStyle w:val="Appelnotedebasdep"/>
        </w:rPr>
        <w:footnoteRef/>
      </w:r>
      <w:r w:rsidRPr="002B4899">
        <w:rPr>
          <w:lang w:val="en-GB"/>
        </w:rPr>
        <w:t xml:space="preserve"> </w:t>
      </w:r>
      <w:r w:rsidRPr="00573985">
        <w:rPr>
          <w:lang w:val="en-GB"/>
        </w:rPr>
        <w:tab/>
        <w:t>UNAMI/OHCHR, Report on the Protection of Civilians in the Armed Conflict in Iraq: 11 December 2014 – 30 April 2015, p.19, footnote 40.</w:t>
      </w:r>
    </w:p>
  </w:footnote>
  <w:footnote w:id="13">
    <w:p w:rsidR="007858CF" w:rsidRPr="002B4899" w:rsidRDefault="007858CF" w:rsidP="00371B03">
      <w:pPr>
        <w:pStyle w:val="Notedebasdepage"/>
        <w:ind w:left="284" w:hanging="284"/>
      </w:pPr>
      <w:r w:rsidRPr="002B4899">
        <w:rPr>
          <w:rStyle w:val="Appelnotedebasdep"/>
        </w:rPr>
        <w:footnoteRef/>
      </w:r>
      <w:r w:rsidRPr="002B4899">
        <w:t xml:space="preserve"> </w:t>
      </w:r>
      <w:r w:rsidRPr="00573985">
        <w:rPr>
          <w:lang w:val="en-GB"/>
        </w:rPr>
        <w:t xml:space="preserve">Human Rights Watch, </w:t>
      </w:r>
      <w:r w:rsidRPr="00573985">
        <w:rPr>
          <w:i/>
          <w:iCs/>
          <w:lang w:val="en-GB"/>
        </w:rPr>
        <w:t>Iraq: Campaign of Mass Murders of Sunni Prisoners</w:t>
      </w:r>
      <w:r w:rsidRPr="00573985">
        <w:rPr>
          <w:lang w:val="en-GB"/>
        </w:rPr>
        <w:t xml:space="preserve">, 11 July 2014, </w:t>
      </w:r>
      <w:hyperlink r:id="rId4" w:history="1">
        <w:r w:rsidRPr="00573985">
          <w:rPr>
            <w:rStyle w:val="Lienhypertexte"/>
            <w:lang w:val="en-GB"/>
          </w:rPr>
          <w:t>http://www.hrw.org/news/2014/07/11/iraq-campaign-mass-murders-sunni-prisoners</w:t>
        </w:r>
      </w:hyperlink>
      <w:r w:rsidRPr="002B4899">
        <w:rPr>
          <w:lang w:val="en-GB"/>
        </w:rPr>
        <w:t xml:space="preserve"> (accessed on 11 September 2015).</w:t>
      </w:r>
    </w:p>
  </w:footnote>
  <w:footnote w:id="14">
    <w:p w:rsidR="007858CF" w:rsidRPr="002B4899" w:rsidRDefault="007858CF" w:rsidP="00371B03">
      <w:pPr>
        <w:pStyle w:val="Notedebasdepage"/>
        <w:ind w:left="284" w:hanging="284"/>
      </w:pPr>
      <w:r w:rsidRPr="002B4899">
        <w:rPr>
          <w:rStyle w:val="Appelnotedebasdep"/>
        </w:rPr>
        <w:footnoteRef/>
      </w:r>
      <w:r w:rsidRPr="002B4899">
        <w:rPr>
          <w:lang w:val="en-GB"/>
        </w:rPr>
        <w:t xml:space="preserve"> </w:t>
      </w:r>
      <w:r w:rsidRPr="00041F14">
        <w:tab/>
      </w:r>
      <w:r w:rsidRPr="00573985">
        <w:t xml:space="preserve">Human Rights Watch, </w:t>
      </w:r>
      <w:r w:rsidRPr="00573985">
        <w:rPr>
          <w:i/>
          <w:iCs/>
          <w:lang w:val="en-US"/>
        </w:rPr>
        <w:t xml:space="preserve">Iraq: Pro-Government Militias’ Trail of Death – Attacks on Sunnis in At Least 3 Provinces, </w:t>
      </w:r>
      <w:r w:rsidRPr="00573985">
        <w:rPr>
          <w:lang w:val="en-US"/>
        </w:rPr>
        <w:t>31 July 2014,</w:t>
      </w:r>
      <w:r w:rsidRPr="00573985">
        <w:rPr>
          <w:lang w:val="en-GB"/>
        </w:rPr>
        <w:t xml:space="preserve"> </w:t>
      </w:r>
      <w:hyperlink r:id="rId5" w:history="1">
        <w:r w:rsidRPr="00573985">
          <w:rPr>
            <w:rStyle w:val="Lienhypertexte"/>
            <w:lang w:val="en-GB"/>
          </w:rPr>
          <w:t>http://www.hrw.org/news/2014/07/31/iraq-pro-government-militias-trail-death</w:t>
        </w:r>
      </w:hyperlink>
      <w:r w:rsidRPr="002B4899">
        <w:rPr>
          <w:lang w:val="en-GB"/>
        </w:rPr>
        <w:t xml:space="preserve"> </w:t>
      </w:r>
      <w:r w:rsidRPr="00573985">
        <w:rPr>
          <w:lang w:val="en-GB"/>
        </w:rPr>
        <w:t>(accessed on 11 September 2015).</w:t>
      </w:r>
    </w:p>
  </w:footnote>
  <w:footnote w:id="15">
    <w:p w:rsidR="007858CF" w:rsidRPr="002B4899" w:rsidRDefault="007858CF" w:rsidP="00371B03">
      <w:pPr>
        <w:pStyle w:val="Notedebasdepage"/>
        <w:tabs>
          <w:tab w:val="left" w:pos="0"/>
        </w:tabs>
        <w:ind w:left="284" w:hanging="284"/>
      </w:pPr>
      <w:r w:rsidRPr="002B4899">
        <w:rPr>
          <w:rStyle w:val="Appelnotedebasdep"/>
        </w:rPr>
        <w:footnoteRef/>
      </w:r>
      <w:r w:rsidRPr="002B4899">
        <w:rPr>
          <w:lang w:val="en-GB"/>
        </w:rPr>
        <w:t xml:space="preserve"> </w:t>
      </w:r>
      <w:r w:rsidRPr="00573985">
        <w:rPr>
          <w:lang w:val="en-GB"/>
        </w:rPr>
        <w:tab/>
      </w:r>
      <w:r w:rsidRPr="00573985">
        <w:rPr>
          <w:lang w:val="en-US"/>
        </w:rPr>
        <w:t xml:space="preserve">Alkarama: </w:t>
      </w:r>
      <w:r w:rsidRPr="00573985">
        <w:rPr>
          <w:i/>
          <w:iCs/>
          <w:lang w:val="en-US"/>
        </w:rPr>
        <w:t>Iraq: Authorities Deny Detention of Disappeared Student Seen on Video Footage in Iraqi Prison</w:t>
      </w:r>
      <w:r w:rsidRPr="00573985">
        <w:rPr>
          <w:lang w:val="en-US"/>
        </w:rPr>
        <w:t xml:space="preserve">, 12 August 2014, </w:t>
      </w:r>
      <w:hyperlink r:id="rId6" w:history="1">
        <w:r w:rsidRPr="00573985">
          <w:rPr>
            <w:rStyle w:val="Lienhypertexte"/>
            <w:lang w:val="en-US"/>
          </w:rPr>
          <w:t>http://en.alkarama.org/iraq/press-releases/1471-iraq-authorities-deny-detention-of-disappeared-student-seen-on-video-footage-in-iraqi-prison</w:t>
        </w:r>
      </w:hyperlink>
      <w:r w:rsidRPr="002B4899">
        <w:rPr>
          <w:lang w:val="en-US"/>
        </w:rPr>
        <w:t xml:space="preserve"> </w:t>
      </w:r>
      <w:r w:rsidRPr="00573985">
        <w:rPr>
          <w:lang w:val="en-GB"/>
        </w:rPr>
        <w:t>(accessed on 9 July 2015).</w:t>
      </w:r>
    </w:p>
  </w:footnote>
  <w:footnote w:id="16">
    <w:p w:rsidR="007858CF" w:rsidRPr="002B4899" w:rsidRDefault="007858CF" w:rsidP="00371B03">
      <w:pPr>
        <w:pStyle w:val="Notedebasdepage"/>
        <w:tabs>
          <w:tab w:val="left" w:pos="284"/>
        </w:tabs>
        <w:ind w:left="284" w:hanging="284"/>
      </w:pPr>
      <w:r w:rsidRPr="00573985">
        <w:rPr>
          <w:rStyle w:val="Appelnotedebasdep"/>
        </w:rPr>
        <w:footnoteRef/>
      </w:r>
      <w:r w:rsidRPr="00573985">
        <w:rPr>
          <w:lang w:val="en-GB"/>
        </w:rPr>
        <w:t xml:space="preserve"> </w:t>
      </w:r>
      <w:r w:rsidRPr="00573985">
        <w:rPr>
          <w:lang w:val="en-GB"/>
        </w:rPr>
        <w:tab/>
      </w:r>
      <w:proofErr w:type="spellStart"/>
      <w:proofErr w:type="gramStart"/>
      <w:r w:rsidRPr="00573985">
        <w:rPr>
          <w:i/>
          <w:iCs/>
          <w:lang w:val="en-US"/>
        </w:rPr>
        <w:t>Ibidem</w:t>
      </w:r>
      <w:proofErr w:type="spellEnd"/>
      <w:r w:rsidRPr="00573985">
        <w:rPr>
          <w:i/>
          <w:iCs/>
          <w:lang w:val="en-US"/>
        </w:rPr>
        <w:t>.</w:t>
      </w:r>
      <w:proofErr w:type="gramEnd"/>
    </w:p>
  </w:footnote>
  <w:footnote w:id="17">
    <w:p w:rsidR="007858CF" w:rsidRPr="002B4899" w:rsidRDefault="007858CF" w:rsidP="00371B03">
      <w:pPr>
        <w:pStyle w:val="Notedebasdepage"/>
        <w:ind w:left="284" w:hanging="284"/>
        <w:rPr>
          <w:lang w:val="en-US"/>
        </w:rPr>
      </w:pPr>
      <w:r w:rsidRPr="00573985">
        <w:rPr>
          <w:rStyle w:val="Appelnotedebasdep"/>
        </w:rPr>
        <w:footnoteRef/>
      </w:r>
      <w:r w:rsidRPr="00573985">
        <w:t xml:space="preserve"> </w:t>
      </w:r>
      <w:r w:rsidRPr="00573985">
        <w:tab/>
      </w:r>
      <w:r w:rsidRPr="00573985">
        <w:t xml:space="preserve">Alkarama, </w:t>
      </w:r>
      <w:r w:rsidRPr="00573985">
        <w:rPr>
          <w:i/>
          <w:iCs/>
          <w:lang w:val="en-US"/>
        </w:rPr>
        <w:t xml:space="preserve">Iraq: National Human Rights Institution Gets B Status to Mark Non-Compliance with International Standards, </w:t>
      </w:r>
      <w:r w:rsidRPr="00573985">
        <w:rPr>
          <w:lang w:val="en-US"/>
        </w:rPr>
        <w:t xml:space="preserve">3 June 2015, </w:t>
      </w:r>
      <w:hyperlink r:id="rId7" w:history="1">
        <w:r w:rsidRPr="00573985">
          <w:rPr>
            <w:rStyle w:val="Lienhypertexte"/>
            <w:lang w:val="en-US"/>
          </w:rPr>
          <w:t>http://en.alkarama.org/component/k2/1725-iraq-national-human-rights-institution-gets-b-status-to-mark-non-compliance-with-international-standards?Itemid</w:t>
        </w:r>
      </w:hyperlink>
      <w:r w:rsidRPr="00573985">
        <w:rPr>
          <w:lang w:val="en-US"/>
        </w:rPr>
        <w:t>= (accessed on 22 September 2015).</w:t>
      </w:r>
      <w:r w:rsidRPr="00573985">
        <w:rPr>
          <w:i/>
          <w:iCs/>
          <w:lang w:val="en-US"/>
        </w:rPr>
        <w:t xml:space="preserve"> </w:t>
      </w:r>
    </w:p>
  </w:footnote>
  <w:footnote w:id="1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sidRPr="00573985">
        <w:rPr>
          <w:lang w:val="en-GB"/>
        </w:rPr>
        <w:tab/>
        <w:t xml:space="preserve">International Coordinating Committee of National Institutions for the Promotion and Protection of Human Rights, </w:t>
      </w:r>
      <w:r w:rsidRPr="00573985">
        <w:rPr>
          <w:i/>
          <w:iCs/>
          <w:lang w:val="en-GB"/>
        </w:rPr>
        <w:t xml:space="preserve">Report and Recommendations of the Session of the Sub-Committee on Accreditation (SCA), </w:t>
      </w:r>
      <w:r w:rsidRPr="00573985">
        <w:rPr>
          <w:lang w:val="en-GB"/>
        </w:rPr>
        <w:t xml:space="preserve">Geneva 16-20 March 2015, p.9. </w:t>
      </w:r>
      <w:r w:rsidRPr="00573985">
        <w:rPr>
          <w:i/>
          <w:iCs/>
          <w:lang w:val="en-GB"/>
        </w:rPr>
        <w:t xml:space="preserve"> </w:t>
      </w:r>
    </w:p>
  </w:footnote>
  <w:footnote w:id="19">
    <w:p w:rsidR="007858CF" w:rsidRPr="002B4899" w:rsidRDefault="007858CF" w:rsidP="00371B03">
      <w:pPr>
        <w:autoSpaceDE w:val="0"/>
        <w:autoSpaceDN w:val="0"/>
        <w:adjustRightInd w:val="0"/>
        <w:ind w:left="284" w:hanging="284"/>
        <w:rPr>
          <w:sz w:val="16"/>
          <w:szCs w:val="16"/>
          <w:lang w:val="en-US"/>
        </w:rPr>
      </w:pPr>
      <w:r w:rsidRPr="00573985">
        <w:rPr>
          <w:rStyle w:val="Appelnotedebasdep"/>
          <w:sz w:val="16"/>
          <w:szCs w:val="16"/>
        </w:rPr>
        <w:footnoteRef/>
      </w:r>
      <w:r w:rsidRPr="002B4899">
        <w:rPr>
          <w:sz w:val="16"/>
          <w:szCs w:val="16"/>
          <w:lang w:val="en-US"/>
        </w:rPr>
        <w:t xml:space="preserve"> </w:t>
      </w:r>
      <w:r w:rsidRPr="00573985">
        <w:rPr>
          <w:sz w:val="16"/>
          <w:szCs w:val="16"/>
          <w:lang w:val="en-US"/>
        </w:rPr>
        <w:tab/>
      </w:r>
      <w:r w:rsidRPr="00573985">
        <w:rPr>
          <w:sz w:val="16"/>
          <w:szCs w:val="16"/>
          <w:lang w:val="en-US" w:eastAsia="it-IT"/>
        </w:rPr>
        <w:t xml:space="preserve">UNAMI Human Rights Office, OHCHR, </w:t>
      </w:r>
      <w:r w:rsidRPr="00573985">
        <w:rPr>
          <w:i/>
          <w:iCs/>
          <w:sz w:val="16"/>
          <w:szCs w:val="16"/>
          <w:lang w:val="en-US" w:eastAsia="it-IT"/>
        </w:rPr>
        <w:t>Report on Human Rights in Iraq, January – June 2013</w:t>
      </w:r>
      <w:r w:rsidRPr="00573985">
        <w:rPr>
          <w:sz w:val="16"/>
          <w:szCs w:val="16"/>
          <w:lang w:val="en-US" w:eastAsia="it-IT"/>
        </w:rPr>
        <w:t>, August 2013, Baghdad, p.24.</w:t>
      </w:r>
    </w:p>
  </w:footnote>
  <w:footnote w:id="2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sidRPr="00573985">
        <w:rPr>
          <w:lang w:val="en-GB"/>
        </w:rPr>
        <w:tab/>
        <w:t xml:space="preserve">International Coordinating Committee of National Institutions for the Promotion and Protection of Human Rights, </w:t>
      </w:r>
      <w:r w:rsidRPr="00573985">
        <w:rPr>
          <w:i/>
          <w:iCs/>
          <w:lang w:val="en-GB"/>
        </w:rPr>
        <w:t xml:space="preserve">Report and Recommendations of the Session of the Sub-Committee on Accreditation (SCA), </w:t>
      </w:r>
      <w:r w:rsidRPr="00573985">
        <w:rPr>
          <w:lang w:val="en-GB"/>
        </w:rPr>
        <w:t>Geneva 16-20 March 2015, p.7.</w:t>
      </w:r>
    </w:p>
  </w:footnote>
  <w:footnote w:id="2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sidRPr="00573985">
        <w:rPr>
          <w:lang w:val="en-GB"/>
        </w:rPr>
        <w:tab/>
      </w:r>
      <w:proofErr w:type="spellStart"/>
      <w:proofErr w:type="gramStart"/>
      <w:r w:rsidRPr="00573985">
        <w:rPr>
          <w:i/>
          <w:iCs/>
          <w:lang w:val="en-GB"/>
        </w:rPr>
        <w:t>Ibidem</w:t>
      </w:r>
      <w:proofErr w:type="spellEnd"/>
      <w:r w:rsidRPr="00573985">
        <w:rPr>
          <w:lang w:val="en-GB"/>
        </w:rPr>
        <w:t>.</w:t>
      </w:r>
      <w:proofErr w:type="gramEnd"/>
    </w:p>
  </w:footnote>
  <w:footnote w:id="22">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eastAsia="it-IT"/>
        </w:rPr>
        <w:t>UNAMI Human Rights Office, OHCHR, Report on Human Rights in Iraq, July-December 2013, June 2014, Baghdad, p. 30.</w:t>
      </w:r>
    </w:p>
  </w:footnote>
  <w:footnote w:id="23">
    <w:p w:rsidR="007858CF" w:rsidRDefault="007858CF">
      <w:pPr>
        <w:autoSpaceDE w:val="0"/>
        <w:autoSpaceDN w:val="0"/>
        <w:adjustRightInd w:val="0"/>
        <w:ind w:left="284" w:hanging="284"/>
      </w:pPr>
      <w:r w:rsidRPr="00573985">
        <w:rPr>
          <w:rStyle w:val="Appelnotedebasdep"/>
          <w:sz w:val="16"/>
          <w:szCs w:val="16"/>
        </w:rPr>
        <w:footnoteRef/>
      </w:r>
      <w:r w:rsidRPr="002B4899">
        <w:rPr>
          <w:sz w:val="16"/>
          <w:szCs w:val="16"/>
          <w:vertAlign w:val="superscript"/>
          <w:lang w:val="en-US"/>
        </w:rPr>
        <w:t xml:space="preserve"> </w:t>
      </w:r>
      <w:r w:rsidRPr="00573985">
        <w:rPr>
          <w:sz w:val="16"/>
          <w:szCs w:val="16"/>
          <w:lang w:val="en-US" w:eastAsia="it-IT"/>
        </w:rPr>
        <w:t xml:space="preserve">The endorsed priority areas are: Minority rights, Family and child rights; Relationships with national and </w:t>
      </w:r>
      <w:proofErr w:type="spellStart"/>
      <w:r w:rsidRPr="00573985">
        <w:rPr>
          <w:sz w:val="16"/>
          <w:szCs w:val="16"/>
          <w:lang w:val="en-US" w:eastAsia="it-IT"/>
        </w:rPr>
        <w:t>internationalinstitutions</w:t>
      </w:r>
      <w:proofErr w:type="spellEnd"/>
      <w:r w:rsidRPr="00573985">
        <w:rPr>
          <w:sz w:val="16"/>
          <w:szCs w:val="16"/>
          <w:lang w:val="en-US" w:eastAsia="it-IT"/>
        </w:rPr>
        <w:t xml:space="preserve"> and </w:t>
      </w:r>
      <w:proofErr w:type="spellStart"/>
      <w:r w:rsidRPr="00573985">
        <w:rPr>
          <w:sz w:val="16"/>
          <w:szCs w:val="16"/>
          <w:lang w:val="en-US" w:eastAsia="it-IT"/>
        </w:rPr>
        <w:t>organisations</w:t>
      </w:r>
      <w:proofErr w:type="spellEnd"/>
      <w:r w:rsidRPr="00573985">
        <w:rPr>
          <w:sz w:val="16"/>
          <w:szCs w:val="16"/>
          <w:lang w:val="en-US" w:eastAsia="it-IT"/>
        </w:rPr>
        <w:t>; Social security; Health and environment; Immigration and displacement; Education; Rights</w:t>
      </w:r>
      <w:r>
        <w:rPr>
          <w:sz w:val="16"/>
          <w:szCs w:val="16"/>
          <w:lang w:val="en-US" w:eastAsia="it-IT"/>
        </w:rPr>
        <w:t xml:space="preserve"> </w:t>
      </w:r>
      <w:r w:rsidRPr="00573985">
        <w:rPr>
          <w:sz w:val="16"/>
          <w:szCs w:val="16"/>
          <w:lang w:val="en-US" w:eastAsia="it-IT"/>
        </w:rPr>
        <w:t xml:space="preserve">of women; Missing persons; Freedom of expression; Rights of people with disabilities; Mass graves; Victims of terrorism. See: </w:t>
      </w:r>
      <w:r w:rsidRPr="00573985">
        <w:rPr>
          <w:sz w:val="16"/>
          <w:szCs w:val="16"/>
          <w:lang w:eastAsia="it-IT"/>
        </w:rPr>
        <w:t xml:space="preserve">UNAMI, </w:t>
      </w:r>
      <w:r w:rsidRPr="00573985">
        <w:rPr>
          <w:i/>
          <w:iCs/>
          <w:sz w:val="16"/>
          <w:szCs w:val="16"/>
          <w:lang w:eastAsia="it-IT"/>
        </w:rPr>
        <w:t>Report on Human Rights, January-June 2013</w:t>
      </w:r>
      <w:r w:rsidRPr="00573985">
        <w:rPr>
          <w:sz w:val="16"/>
          <w:szCs w:val="16"/>
          <w:lang w:eastAsia="it-IT"/>
        </w:rPr>
        <w:t xml:space="preserve">, August 2013, Baghdad, </w:t>
      </w:r>
      <w:proofErr w:type="gramStart"/>
      <w:r w:rsidRPr="00573985">
        <w:rPr>
          <w:sz w:val="16"/>
          <w:szCs w:val="16"/>
          <w:lang w:eastAsia="it-IT"/>
        </w:rPr>
        <w:t>p.23</w:t>
      </w:r>
      <w:proofErr w:type="gramEnd"/>
      <w:r w:rsidRPr="00573985">
        <w:rPr>
          <w:sz w:val="16"/>
          <w:szCs w:val="16"/>
          <w:lang w:eastAsia="it-IT"/>
        </w:rPr>
        <w:t>.</w:t>
      </w:r>
    </w:p>
  </w:footnote>
  <w:footnote w:id="24">
    <w:p w:rsidR="007858CF" w:rsidRPr="002B4899" w:rsidRDefault="007858CF" w:rsidP="00371B03">
      <w:pPr>
        <w:pStyle w:val="Notedebasdepage"/>
        <w:ind w:left="284" w:hanging="284"/>
      </w:pPr>
      <w:r w:rsidRPr="002B4899">
        <w:rPr>
          <w:rStyle w:val="Appelnotedebasdep"/>
        </w:rPr>
        <w:footnoteRef/>
      </w:r>
      <w:r w:rsidRPr="002B4899">
        <w:rPr>
          <w:lang w:val="en-GB"/>
        </w:rPr>
        <w:t xml:space="preserve"> </w:t>
      </w:r>
      <w:r>
        <w:rPr>
          <w:lang w:val="en-GB"/>
        </w:rPr>
        <w:tab/>
      </w:r>
      <w:r w:rsidRPr="002B4899">
        <w:rPr>
          <w:lang w:val="en-GB"/>
        </w:rPr>
        <w:t xml:space="preserve">Alkarama, </w:t>
      </w:r>
      <w:r w:rsidRPr="00573985">
        <w:rPr>
          <w:i/>
          <w:iCs/>
          <w:lang w:val="en-GB"/>
        </w:rPr>
        <w:t xml:space="preserve">Iraq: National Human Rights Institution Gets B Status to Mark Non-Compliance with International Standards, </w:t>
      </w:r>
      <w:r w:rsidRPr="00573985">
        <w:rPr>
          <w:lang w:val="en-GB"/>
        </w:rPr>
        <w:t xml:space="preserve">3 June 2015, </w:t>
      </w:r>
      <w:hyperlink r:id="rId8" w:history="1">
        <w:r w:rsidRPr="00573985">
          <w:rPr>
            <w:rStyle w:val="Lienhypertexte"/>
            <w:lang w:val="en-GB"/>
          </w:rPr>
          <w:t>http://en.alkarama.org/iraq/1725-iraq-national-human-rights-institution-gets-b-status-to-mark-non-compliance-with-international-standards</w:t>
        </w:r>
      </w:hyperlink>
      <w:r w:rsidRPr="002B4899">
        <w:rPr>
          <w:lang w:val="en-GB"/>
        </w:rPr>
        <w:t xml:space="preserve"> (accessed on 10 September 2015).</w:t>
      </w:r>
    </w:p>
  </w:footnote>
  <w:footnote w:id="25">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Watch, </w:t>
      </w:r>
      <w:r w:rsidRPr="00573985">
        <w:rPr>
          <w:i/>
          <w:iCs/>
          <w:lang w:val="en-GB"/>
        </w:rPr>
        <w:t xml:space="preserve">Iraq: Don’t Ease Death Penalty Process, </w:t>
      </w:r>
      <w:r w:rsidRPr="00573985">
        <w:rPr>
          <w:lang w:val="en-GB"/>
        </w:rPr>
        <w:t xml:space="preserve">22 June 2015, </w:t>
      </w:r>
      <w:hyperlink r:id="rId9" w:history="1">
        <w:r w:rsidRPr="00573985">
          <w:rPr>
            <w:rStyle w:val="Lienhypertexte"/>
            <w:lang w:val="en-GB"/>
          </w:rPr>
          <w:t>https://www.hrw.org/news/2015/06/22/iraq-dont-ease-death-penalty-process</w:t>
        </w:r>
      </w:hyperlink>
      <w:r w:rsidRPr="00573985">
        <w:rPr>
          <w:lang w:val="en-GB"/>
        </w:rPr>
        <w:t xml:space="preserve"> (accessed on 11 September 2015).</w:t>
      </w:r>
    </w:p>
  </w:footnote>
  <w:footnote w:id="26">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spellStart"/>
      <w:proofErr w:type="gramStart"/>
      <w:r w:rsidRPr="002B4899">
        <w:rPr>
          <w:i/>
          <w:iCs/>
          <w:lang w:val="en-GB"/>
        </w:rPr>
        <w:t>Ibidem</w:t>
      </w:r>
      <w:proofErr w:type="spellEnd"/>
      <w:r w:rsidRPr="002B4899">
        <w:rPr>
          <w:i/>
          <w:iCs/>
          <w:lang w:val="en-GB"/>
        </w:rPr>
        <w:t>.</w:t>
      </w:r>
      <w:proofErr w:type="gramEnd"/>
      <w:r w:rsidRPr="00573985">
        <w:rPr>
          <w:lang w:val="en-GB"/>
        </w:rPr>
        <w:t xml:space="preserve"> </w:t>
      </w:r>
    </w:p>
  </w:footnote>
  <w:footnote w:id="27">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UNAMI/OHCHR, </w:t>
      </w:r>
      <w:r w:rsidRPr="00573985">
        <w:rPr>
          <w:i/>
          <w:iCs/>
          <w:lang w:val="en-GB"/>
        </w:rPr>
        <w:t>Report on the Death Penalty in Iraq</w:t>
      </w:r>
      <w:r w:rsidRPr="00573985">
        <w:rPr>
          <w:lang w:val="en-GB"/>
        </w:rPr>
        <w:t>, Baghdad, October 2014, p. 21.</w:t>
      </w:r>
    </w:p>
  </w:footnote>
  <w:footnote w:id="2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w:t>
      </w:r>
      <w:r w:rsidRPr="00573985">
        <w:rPr>
          <w:i/>
          <w:iCs/>
          <w:lang w:val="en-GB"/>
        </w:rPr>
        <w:t>Consideration of reports submitted by States parties under article 40 of the Covenant, Fifth periodic reports of States parties due in 2000, Iraq</w:t>
      </w:r>
      <w:r w:rsidRPr="00573985">
        <w:rPr>
          <w:lang w:val="en-GB"/>
        </w:rPr>
        <w:t xml:space="preserve">, 12 December 2013, (CCPR/C/IRQ/5), </w:t>
      </w:r>
      <w:proofErr w:type="spellStart"/>
      <w:r w:rsidRPr="00573985">
        <w:rPr>
          <w:lang w:val="en-GB"/>
        </w:rPr>
        <w:t>para</w:t>
      </w:r>
      <w:proofErr w:type="spellEnd"/>
      <w:r w:rsidRPr="00573985">
        <w:rPr>
          <w:lang w:val="en-GB"/>
        </w:rPr>
        <w:t>. 86.</w:t>
      </w:r>
    </w:p>
  </w:footnote>
  <w:footnote w:id="29">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Sixteenth session, Adopted: 30 April 1982, </w:t>
      </w:r>
      <w:r w:rsidRPr="00573985">
        <w:rPr>
          <w:i/>
          <w:iCs/>
          <w:lang w:val="en-GB"/>
        </w:rPr>
        <w:t>General Comment No.6, Article 6 (the right to life),</w:t>
      </w:r>
      <w:r w:rsidRPr="00573985">
        <w:rPr>
          <w:lang w:val="en-GB"/>
        </w:rPr>
        <w:t xml:space="preserve"> HRI/GEN/1/Rev.9 (Vol. </w:t>
      </w:r>
      <w:proofErr w:type="gramStart"/>
      <w:r w:rsidRPr="00573985">
        <w:rPr>
          <w:lang w:val="en-GB"/>
        </w:rPr>
        <w:t xml:space="preserve">I), </w:t>
      </w:r>
      <w:proofErr w:type="spellStart"/>
      <w:r w:rsidRPr="00573985">
        <w:rPr>
          <w:lang w:val="en-GB"/>
        </w:rPr>
        <w:t>para</w:t>
      </w:r>
      <w:proofErr w:type="spellEnd"/>
      <w:r w:rsidRPr="00573985">
        <w:rPr>
          <w:lang w:val="en-GB"/>
        </w:rPr>
        <w:t>.</w:t>
      </w:r>
      <w:proofErr w:type="gramEnd"/>
      <w:r w:rsidRPr="00573985">
        <w:rPr>
          <w:lang w:val="en-GB"/>
        </w:rPr>
        <w:t xml:space="preserve"> 1.</w:t>
      </w:r>
    </w:p>
  </w:footnote>
  <w:footnote w:id="3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w:t>
      </w:r>
      <w:r w:rsidRPr="00573985">
        <w:rPr>
          <w:i/>
          <w:iCs/>
          <w:lang w:val="en-GB"/>
        </w:rPr>
        <w:t>Consideration of reports submitted by States parties under article 40 of the Covenant, Fifth periodic reports of States parties due in 2000, Iraq</w:t>
      </w:r>
      <w:r w:rsidRPr="00573985">
        <w:rPr>
          <w:lang w:val="en-GB"/>
        </w:rPr>
        <w:t xml:space="preserve">, 12 December 2013, (CCPR/C/IRQ/5), </w:t>
      </w:r>
      <w:proofErr w:type="spellStart"/>
      <w:r w:rsidRPr="00573985">
        <w:rPr>
          <w:lang w:val="en-GB"/>
        </w:rPr>
        <w:t>para</w:t>
      </w:r>
      <w:proofErr w:type="spellEnd"/>
      <w:r w:rsidRPr="00573985">
        <w:rPr>
          <w:lang w:val="en-GB"/>
        </w:rPr>
        <w:t>. 80.</w:t>
      </w:r>
    </w:p>
  </w:footnote>
  <w:footnote w:id="3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2B4899">
        <w:rPr>
          <w:i/>
          <w:iCs/>
          <w:lang w:val="en-GB"/>
        </w:rPr>
        <w:t>Ibid</w:t>
      </w:r>
      <w:r w:rsidRPr="00573985">
        <w:rPr>
          <w:lang w:val="en-GB"/>
        </w:rPr>
        <w:t xml:space="preserve">. </w:t>
      </w:r>
      <w:proofErr w:type="spellStart"/>
      <w:r w:rsidRPr="00573985">
        <w:rPr>
          <w:lang w:val="en-GB"/>
        </w:rPr>
        <w:t>para</w:t>
      </w:r>
      <w:proofErr w:type="spellEnd"/>
      <w:r w:rsidRPr="00573985">
        <w:rPr>
          <w:lang w:val="en-GB"/>
        </w:rPr>
        <w:t>.</w:t>
      </w:r>
      <w:proofErr w:type="gramEnd"/>
      <w:r w:rsidRPr="00573985">
        <w:rPr>
          <w:lang w:val="en-GB"/>
        </w:rPr>
        <w:t xml:space="preserve"> 81.</w:t>
      </w:r>
    </w:p>
  </w:footnote>
  <w:footnote w:id="32">
    <w:p w:rsidR="007858CF" w:rsidRPr="002B4899" w:rsidRDefault="007858CF" w:rsidP="0093386E">
      <w:pPr>
        <w:pStyle w:val="Notedebasdepage"/>
        <w:ind w:left="284" w:hanging="284"/>
      </w:pPr>
      <w:r w:rsidRPr="00573985">
        <w:rPr>
          <w:rStyle w:val="Appelnotedebasdep"/>
        </w:rPr>
        <w:footnoteRef/>
      </w:r>
      <w:r w:rsidRPr="0093386E">
        <w:rPr>
          <w:lang w:val="en-US"/>
        </w:rPr>
        <w:t xml:space="preserve"> </w:t>
      </w:r>
      <w:r w:rsidRPr="0093386E">
        <w:rPr>
          <w:lang w:val="en-US"/>
        </w:rPr>
        <w:tab/>
      </w:r>
      <w:proofErr w:type="gramStart"/>
      <w:r w:rsidRPr="0093386E">
        <w:rPr>
          <w:lang w:val="en-US"/>
        </w:rPr>
        <w:t>Article 254.1.a Iraq Criminal Code of Procedure.</w:t>
      </w:r>
      <w:proofErr w:type="gramEnd"/>
      <w:r w:rsidRPr="0093386E">
        <w:rPr>
          <w:lang w:val="en-US"/>
        </w:rPr>
        <w:t xml:space="preserve"> </w:t>
      </w:r>
    </w:p>
  </w:footnote>
  <w:footnote w:id="33">
    <w:p w:rsidR="007858CF" w:rsidRPr="002B4899" w:rsidRDefault="007858CF" w:rsidP="0093386E">
      <w:pPr>
        <w:pStyle w:val="Notedebasdepage"/>
        <w:ind w:left="284" w:hanging="284"/>
      </w:pPr>
      <w:r w:rsidRPr="00573985">
        <w:rPr>
          <w:rStyle w:val="Appelnotedebasdep"/>
        </w:rPr>
        <w:footnoteRef/>
      </w:r>
      <w:r w:rsidRPr="0093386E">
        <w:rPr>
          <w:lang w:val="en-US"/>
        </w:rPr>
        <w:t xml:space="preserve"> </w:t>
      </w:r>
      <w:r w:rsidRPr="0093386E">
        <w:rPr>
          <w:lang w:val="en-US"/>
        </w:rPr>
        <w:tab/>
      </w:r>
      <w:proofErr w:type="gramStart"/>
      <w:r w:rsidRPr="0093386E">
        <w:rPr>
          <w:lang w:val="en-US"/>
        </w:rPr>
        <w:t>Article 286 Iraq Criminal Code of Procedure.</w:t>
      </w:r>
      <w:proofErr w:type="gramEnd"/>
      <w:r w:rsidRPr="0093386E">
        <w:rPr>
          <w:lang w:val="en-US"/>
        </w:rPr>
        <w:t xml:space="preserve"> </w:t>
      </w:r>
    </w:p>
  </w:footnote>
  <w:footnote w:id="34">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UNAMI/OHCHR, </w:t>
      </w:r>
      <w:r w:rsidRPr="00573985">
        <w:rPr>
          <w:i/>
          <w:iCs/>
          <w:lang w:val="en-GB"/>
        </w:rPr>
        <w:t>Report on the Death Penalty in Iraq</w:t>
      </w:r>
      <w:r w:rsidRPr="00573985">
        <w:rPr>
          <w:lang w:val="en-GB"/>
        </w:rPr>
        <w:t xml:space="preserve">, Baghdad, October 2014, p. 21. </w:t>
      </w:r>
    </w:p>
  </w:footnote>
  <w:footnote w:id="35">
    <w:p w:rsidR="007858CF" w:rsidRPr="002B4899" w:rsidRDefault="007858CF" w:rsidP="00371B03">
      <w:pPr>
        <w:pStyle w:val="Notedebasdepage"/>
        <w:ind w:left="284" w:hanging="284"/>
      </w:pPr>
      <w:r w:rsidRPr="00573985">
        <w:rPr>
          <w:rStyle w:val="Appelnotedebasdep"/>
        </w:rPr>
        <w:footnoteRef/>
      </w:r>
      <w:r w:rsidRPr="00573985">
        <w:rPr>
          <w:lang w:val="fr-CH"/>
        </w:rPr>
        <w:t xml:space="preserve"> </w:t>
      </w:r>
      <w:r w:rsidRPr="00573985">
        <w:rPr>
          <w:lang w:val="fr-CH"/>
        </w:rPr>
        <w:tab/>
        <w:t xml:space="preserve">Article 15, Iraqi Constitution. </w:t>
      </w:r>
    </w:p>
  </w:footnote>
  <w:footnote w:id="36">
    <w:p w:rsidR="007858CF" w:rsidRPr="002B4899" w:rsidRDefault="007858CF" w:rsidP="00371B03">
      <w:pPr>
        <w:pStyle w:val="Notedebasdepage"/>
        <w:ind w:left="284" w:hanging="284"/>
      </w:pPr>
      <w:r w:rsidRPr="00573985">
        <w:rPr>
          <w:rStyle w:val="Appelnotedebasdep"/>
        </w:rPr>
        <w:footnoteRef/>
      </w:r>
      <w:r w:rsidRPr="00573985">
        <w:rPr>
          <w:lang w:val="fr-CH"/>
        </w:rPr>
        <w:t xml:space="preserve"> </w:t>
      </w:r>
      <w:r w:rsidRPr="00573985">
        <w:rPr>
          <w:lang w:val="fr-CH"/>
        </w:rPr>
        <w:tab/>
        <w:t>Article 19, Iraqi Constitution.</w:t>
      </w:r>
    </w:p>
  </w:footnote>
  <w:footnote w:id="37">
    <w:p w:rsidR="007858CF" w:rsidRPr="002B4899" w:rsidRDefault="007858CF" w:rsidP="00371B03">
      <w:pPr>
        <w:pStyle w:val="Notedebasdepage"/>
        <w:ind w:left="284" w:hanging="284"/>
      </w:pPr>
      <w:r w:rsidRPr="00573985">
        <w:rPr>
          <w:rStyle w:val="Appelnotedebasdep"/>
        </w:rPr>
        <w:footnoteRef/>
      </w:r>
      <w:r w:rsidRPr="00573985">
        <w:t xml:space="preserve"> </w:t>
      </w:r>
      <w:r>
        <w:tab/>
      </w:r>
      <w:r w:rsidRPr="002B4899">
        <w:t xml:space="preserve">I.e. the following Articles of the Iraqi Penal Code of 1969: </w:t>
      </w:r>
      <w:r w:rsidRPr="00573985">
        <w:rPr>
          <w:lang w:eastAsia="fr-FR"/>
        </w:rPr>
        <w:t xml:space="preserve">Article 1 states the principle of </w:t>
      </w:r>
      <w:r w:rsidRPr="00573985">
        <w:rPr>
          <w:i/>
          <w:iCs/>
          <w:lang w:eastAsia="fr-FR"/>
        </w:rPr>
        <w:t>nullun crimen sine lege</w:t>
      </w:r>
      <w:r w:rsidRPr="00573985">
        <w:rPr>
          <w:lang w:eastAsia="fr-FR"/>
        </w:rPr>
        <w:t xml:space="preserve"> and </w:t>
      </w:r>
      <w:r w:rsidRPr="00573985">
        <w:rPr>
          <w:i/>
          <w:iCs/>
          <w:lang w:eastAsia="fr-FR"/>
        </w:rPr>
        <w:t>nulla poena sine lege</w:t>
      </w:r>
      <w:r w:rsidRPr="00573985">
        <w:rPr>
          <w:lang w:eastAsia="fr-FR"/>
        </w:rPr>
        <w:t xml:space="preserve">), Article 39 stating the principle of functional immunity, Article 42 enshrining the right to a legal defence. </w:t>
      </w:r>
    </w:p>
  </w:footnote>
  <w:footnote w:id="3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Article 6.4 ICCPR.</w:t>
      </w:r>
    </w:p>
  </w:footnote>
  <w:footnote w:id="39">
    <w:p w:rsidR="007858CF" w:rsidRPr="002B4899" w:rsidRDefault="007858CF" w:rsidP="00371B03">
      <w:pPr>
        <w:pStyle w:val="Notedebasdepage"/>
        <w:ind w:left="284" w:hanging="284"/>
      </w:pPr>
      <w:r w:rsidRPr="00573985">
        <w:rPr>
          <w:rStyle w:val="Appelnotedebasdep"/>
        </w:rPr>
        <w:footnoteRef/>
      </w:r>
      <w:r w:rsidRPr="00573985">
        <w:rPr>
          <w:lang w:val="en-GB"/>
        </w:rPr>
        <w:t xml:space="preserve"> Alkarama, </w:t>
      </w:r>
      <w:r w:rsidRPr="00573985">
        <w:rPr>
          <w:i/>
          <w:iCs/>
          <w:lang w:val="en-GB"/>
        </w:rPr>
        <w:t>Iraq: Yemeni Citizen Arrested by US Forces in 2009 Disappears in Iraqi Prison,</w:t>
      </w:r>
      <w:r w:rsidRPr="00573985">
        <w:rPr>
          <w:lang w:val="en-GB"/>
        </w:rPr>
        <w:t xml:space="preserve"> 11 May, </w:t>
      </w:r>
      <w:hyperlink r:id="rId10" w:history="1">
        <w:r w:rsidRPr="00573985">
          <w:rPr>
            <w:rStyle w:val="Lienhypertexte"/>
            <w:lang w:val="en-GB"/>
          </w:rPr>
          <w:t>http://en.alkarama.org/1681-iraq-yemeni-citizen-arrested-by-us-forces-in-2009-disappears-in-iraqi-prison</w:t>
        </w:r>
      </w:hyperlink>
      <w:r w:rsidRPr="00573985">
        <w:rPr>
          <w:lang w:val="en-GB"/>
        </w:rPr>
        <w:t xml:space="preserve"> (accessed on 14 September 2015).</w:t>
      </w:r>
    </w:p>
  </w:footnote>
  <w:footnote w:id="4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Human Rights Watch,</w:t>
      </w:r>
      <w:r w:rsidRPr="00573985">
        <w:rPr>
          <w:i/>
          <w:iCs/>
          <w:lang w:val="en-GB"/>
        </w:rPr>
        <w:t xml:space="preserve"> Iraq: Don’t Ease Death Penalty Process</w:t>
      </w:r>
      <w:r w:rsidRPr="00573985">
        <w:rPr>
          <w:lang w:val="en-GB"/>
        </w:rPr>
        <w:t xml:space="preserve">, 22 June 2015, </w:t>
      </w:r>
      <w:hyperlink r:id="rId11" w:history="1">
        <w:r w:rsidRPr="00573985">
          <w:rPr>
            <w:rStyle w:val="Lienhypertexte"/>
            <w:lang w:val="en-GB"/>
          </w:rPr>
          <w:t>https://www.hrw.org/news/2015/06/22/iraq-dont-ease-death-penalty-process</w:t>
        </w:r>
      </w:hyperlink>
      <w:r w:rsidRPr="00573985">
        <w:rPr>
          <w:lang w:val="en-GB"/>
        </w:rPr>
        <w:t xml:space="preserve"> (accessed on 12 September 2015).</w:t>
      </w:r>
    </w:p>
  </w:footnote>
  <w:footnote w:id="4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w:t>
      </w:r>
      <w:r w:rsidRPr="00573985">
        <w:rPr>
          <w:i/>
          <w:iCs/>
          <w:lang w:val="en-GB"/>
        </w:rPr>
        <w:t>Consideration of reports submitted by States parties under article 40 of the Covenant, Fifth periodic reports of States parties due in 2000, Iraq</w:t>
      </w:r>
      <w:r w:rsidRPr="00573985">
        <w:rPr>
          <w:lang w:val="en-GB"/>
        </w:rPr>
        <w:t xml:space="preserve">, 12 December 2013, (CCPR/C/IRQ/5), </w:t>
      </w:r>
      <w:proofErr w:type="spellStart"/>
      <w:r w:rsidRPr="00573985">
        <w:rPr>
          <w:lang w:val="en-GB"/>
        </w:rPr>
        <w:t>para</w:t>
      </w:r>
      <w:proofErr w:type="spellEnd"/>
      <w:r w:rsidRPr="00573985">
        <w:rPr>
          <w:lang w:val="en-GB"/>
        </w:rPr>
        <w:t>. 87.</w:t>
      </w:r>
    </w:p>
  </w:footnote>
  <w:footnote w:id="42">
    <w:p w:rsidR="007858CF" w:rsidRPr="002B4899" w:rsidRDefault="007858CF" w:rsidP="00371B03">
      <w:pPr>
        <w:pStyle w:val="Notedebasdepage"/>
        <w:ind w:left="284" w:hanging="284"/>
      </w:pPr>
      <w:r w:rsidRPr="00573985">
        <w:rPr>
          <w:rStyle w:val="Appelnotedebasdep"/>
        </w:rPr>
        <w:footnoteRef/>
      </w:r>
      <w:r>
        <w:rPr>
          <w:lang w:val="en-GB"/>
        </w:rPr>
        <w:t xml:space="preserve"> </w:t>
      </w:r>
      <w:r>
        <w:rPr>
          <w:lang w:val="en-GB"/>
        </w:rPr>
        <w:tab/>
      </w:r>
      <w:proofErr w:type="gramStart"/>
      <w:r w:rsidRPr="00573985">
        <w:rPr>
          <w:lang w:val="en-US"/>
        </w:rPr>
        <w:t xml:space="preserve">UN term, </w:t>
      </w:r>
      <w:r w:rsidRPr="00573985">
        <w:rPr>
          <w:i/>
          <w:iCs/>
          <w:lang w:val="en-US"/>
        </w:rPr>
        <w:t>Extrajudicial execution</w:t>
      </w:r>
      <w:r w:rsidRPr="00573985">
        <w:rPr>
          <w:lang w:val="en-US"/>
        </w:rPr>
        <w:t xml:space="preserve">, </w:t>
      </w:r>
      <w:hyperlink r:id="rId12" w:history="1">
        <w:r w:rsidRPr="00573985">
          <w:rPr>
            <w:rStyle w:val="Lienhypertexte"/>
            <w:lang w:val="en-US"/>
          </w:rPr>
          <w:t>http://unterm.un.org/dgaacs/unterm.nsf/8fa942046ff7601c85256983007ca4d8/ 6e3e8435a06fede9852569fd00029b39?OpenDocument</w:t>
        </w:r>
      </w:hyperlink>
      <w:r w:rsidRPr="00573985">
        <w:rPr>
          <w:lang w:val="en-US"/>
        </w:rPr>
        <w:t xml:space="preserve"> (accessed on 15 September 2015).</w:t>
      </w:r>
      <w:proofErr w:type="gramEnd"/>
      <w:r w:rsidRPr="00573985">
        <w:rPr>
          <w:lang w:val="en-US"/>
        </w:rPr>
        <w:t xml:space="preserve"> </w:t>
      </w:r>
    </w:p>
  </w:footnote>
  <w:footnote w:id="43">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2B4899">
        <w:rPr>
          <w:lang w:val="en-GB"/>
        </w:rPr>
        <w:t xml:space="preserve">UNAMI/OHCHR, </w:t>
      </w:r>
      <w:r w:rsidRPr="00573985">
        <w:rPr>
          <w:i/>
          <w:iCs/>
          <w:lang w:val="en-GB"/>
        </w:rPr>
        <w:t xml:space="preserve">Report on the Protection of Civilians in the Armed Conflict in Iraq: 11 December 2014 – 30 April 2015, </w:t>
      </w:r>
      <w:proofErr w:type="spellStart"/>
      <w:r w:rsidRPr="00573985">
        <w:rPr>
          <w:lang w:val="en-GB"/>
        </w:rPr>
        <w:t>pag</w:t>
      </w:r>
      <w:proofErr w:type="spellEnd"/>
      <w:r w:rsidRPr="00573985">
        <w:rPr>
          <w:lang w:val="en-GB"/>
        </w:rPr>
        <w:t>.</w:t>
      </w:r>
      <w:proofErr w:type="gramEnd"/>
      <w:r w:rsidRPr="00573985">
        <w:rPr>
          <w:lang w:val="en-GB"/>
        </w:rPr>
        <w:t xml:space="preserve"> 26.</w:t>
      </w:r>
    </w:p>
  </w:footnote>
  <w:footnote w:id="44">
    <w:p w:rsidR="007858CF" w:rsidRPr="002B4899" w:rsidRDefault="007858CF" w:rsidP="00371B03">
      <w:pPr>
        <w:pStyle w:val="Notedebasdepage"/>
        <w:ind w:left="284" w:hanging="284"/>
      </w:pPr>
      <w:r w:rsidRPr="00573985">
        <w:rPr>
          <w:rStyle w:val="Appelnotedebasdep"/>
        </w:rPr>
        <w:footnoteRef/>
      </w:r>
      <w:r>
        <w:rPr>
          <w:lang w:val="en-GB"/>
        </w:rPr>
        <w:t xml:space="preserve"> </w:t>
      </w:r>
      <w:r>
        <w:rPr>
          <w:lang w:val="en-GB"/>
        </w:rPr>
        <w:tab/>
      </w:r>
      <w:r w:rsidRPr="00573985">
        <w:rPr>
          <w:lang w:val="en-US"/>
        </w:rPr>
        <w:t xml:space="preserve">Al </w:t>
      </w:r>
      <w:proofErr w:type="spellStart"/>
      <w:r w:rsidRPr="00573985">
        <w:rPr>
          <w:lang w:val="en-US"/>
        </w:rPr>
        <w:t>Jazeera</w:t>
      </w:r>
      <w:proofErr w:type="spellEnd"/>
      <w:r w:rsidRPr="00573985">
        <w:rPr>
          <w:lang w:val="en-US"/>
        </w:rPr>
        <w:t>,</w:t>
      </w:r>
      <w:r w:rsidRPr="00573985">
        <w:rPr>
          <w:lang w:val="en-GB"/>
        </w:rPr>
        <w:t xml:space="preserve"> </w:t>
      </w:r>
      <w:proofErr w:type="spellStart"/>
      <w:r w:rsidRPr="00573985">
        <w:rPr>
          <w:i/>
          <w:iCs/>
          <w:lang w:val="en-US"/>
        </w:rPr>
        <w:t>Shia</w:t>
      </w:r>
      <w:proofErr w:type="spellEnd"/>
      <w:r w:rsidRPr="00573985">
        <w:rPr>
          <w:i/>
          <w:iCs/>
          <w:lang w:val="en-US"/>
        </w:rPr>
        <w:t xml:space="preserve"> fighters accused of killing civilians in Iraq, </w:t>
      </w:r>
      <w:r w:rsidRPr="00573985">
        <w:rPr>
          <w:lang w:val="en-US"/>
        </w:rPr>
        <w:t xml:space="preserve">27 January 2015,  </w:t>
      </w:r>
      <w:hyperlink r:id="rId13" w:history="1">
        <w:r w:rsidRPr="00573985">
          <w:rPr>
            <w:rStyle w:val="Lienhypertexte"/>
            <w:lang w:val="en-US"/>
          </w:rPr>
          <w:t>http://www.aljazeera.com/news/middleeast/2015/01/shia-fighters-accused-killing-civilians-iraq-150127062642331.html</w:t>
        </w:r>
      </w:hyperlink>
      <w:r w:rsidRPr="00573985">
        <w:t xml:space="preserve"> </w:t>
      </w:r>
      <w:r w:rsidRPr="00573985">
        <w:rPr>
          <w:lang w:val="en-US"/>
        </w:rPr>
        <w:t>(accessed on 14 September 2015)</w:t>
      </w:r>
      <w:r w:rsidRPr="00573985">
        <w:t>;</w:t>
      </w:r>
      <w:r w:rsidRPr="00573985">
        <w:rPr>
          <w:lang w:val="en-US"/>
        </w:rPr>
        <w:t xml:space="preserve"> </w:t>
      </w:r>
      <w:r w:rsidRPr="00573985">
        <w:rPr>
          <w:i/>
          <w:iCs/>
          <w:lang w:val="en-US"/>
        </w:rPr>
        <w:t xml:space="preserve">BBC News, Iraq probes alleged massacre by </w:t>
      </w:r>
      <w:proofErr w:type="spellStart"/>
      <w:r w:rsidRPr="00573985">
        <w:rPr>
          <w:i/>
          <w:iCs/>
          <w:lang w:val="en-US"/>
        </w:rPr>
        <w:t>Shia</w:t>
      </w:r>
      <w:proofErr w:type="spellEnd"/>
      <w:r w:rsidRPr="00573985">
        <w:rPr>
          <w:i/>
          <w:iCs/>
          <w:lang w:val="en-US"/>
        </w:rPr>
        <w:t xml:space="preserve"> militia in </w:t>
      </w:r>
      <w:proofErr w:type="spellStart"/>
      <w:r w:rsidRPr="00573985">
        <w:rPr>
          <w:i/>
          <w:iCs/>
          <w:lang w:val="en-US"/>
        </w:rPr>
        <w:t>Diyala</w:t>
      </w:r>
      <w:proofErr w:type="spellEnd"/>
      <w:r w:rsidRPr="00573985">
        <w:rPr>
          <w:i/>
          <w:iCs/>
          <w:lang w:val="en-US"/>
        </w:rPr>
        <w:t xml:space="preserve">, </w:t>
      </w:r>
      <w:r w:rsidRPr="00573985">
        <w:rPr>
          <w:lang w:val="en-US"/>
        </w:rPr>
        <w:t xml:space="preserve">29 January 2015, </w:t>
      </w:r>
      <w:hyperlink r:id="rId14" w:history="1">
        <w:r w:rsidRPr="00573985">
          <w:rPr>
            <w:rStyle w:val="Lienhypertexte"/>
            <w:lang w:val="en-US"/>
          </w:rPr>
          <w:t>http://www.bbc.com/news/world-middle-east-31037426</w:t>
        </w:r>
      </w:hyperlink>
      <w:r w:rsidRPr="00573985">
        <w:rPr>
          <w:lang w:val="en-US"/>
        </w:rPr>
        <w:t xml:space="preserve"> (accessed on 14 September 2015).  </w:t>
      </w:r>
    </w:p>
  </w:footnote>
  <w:footnote w:id="45">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UNAMI/OHCHR, </w:t>
      </w:r>
      <w:r w:rsidRPr="00573985">
        <w:rPr>
          <w:i/>
          <w:iCs/>
          <w:lang w:val="en-GB"/>
        </w:rPr>
        <w:t xml:space="preserve">Report on the Protection of Civilians in the Armed Conflict in Iraq: 11 December 2014 – 30 April 2015, </w:t>
      </w:r>
      <w:r w:rsidRPr="00573985">
        <w:rPr>
          <w:lang w:val="en-GB"/>
        </w:rPr>
        <w:t>p. 26.</w:t>
      </w:r>
    </w:p>
  </w:footnote>
  <w:footnote w:id="46">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Alkarama, </w:t>
      </w:r>
      <w:r w:rsidRPr="002B4899">
        <w:rPr>
          <w:i/>
          <w:iCs/>
          <w:lang w:val="en-GB"/>
        </w:rPr>
        <w:t>Iraq – Shadow Report, Report Submitted to the Committee against Torture in the context of the review of the initial report of Iraq</w:t>
      </w:r>
      <w:r w:rsidRPr="00573985">
        <w:rPr>
          <w:lang w:val="en-GB"/>
        </w:rPr>
        <w:t xml:space="preserve">, Alkarama Foundation, 13 July 2015, p. 20. </w:t>
      </w:r>
    </w:p>
  </w:footnote>
  <w:footnote w:id="47">
    <w:p w:rsidR="007858CF" w:rsidRPr="002B4899" w:rsidRDefault="007858CF" w:rsidP="00371B03">
      <w:pPr>
        <w:pStyle w:val="Notedebasdepage"/>
        <w:ind w:left="284" w:hanging="284"/>
      </w:pPr>
      <w:r w:rsidRPr="00573985">
        <w:rPr>
          <w:rStyle w:val="Appelnotedebasdep"/>
        </w:rPr>
        <w:footnoteRef/>
      </w:r>
      <w:r>
        <w:rPr>
          <w:lang w:val="en-US"/>
        </w:rPr>
        <w:t xml:space="preserve"> </w:t>
      </w:r>
      <w:r>
        <w:rPr>
          <w:lang w:val="en-US"/>
        </w:rPr>
        <w:tab/>
      </w:r>
      <w:r w:rsidRPr="002B4899">
        <w:rPr>
          <w:lang w:val="en-US"/>
        </w:rPr>
        <w:t xml:space="preserve">Alkarama, </w:t>
      </w:r>
      <w:r w:rsidRPr="00573985">
        <w:rPr>
          <w:i/>
          <w:iCs/>
          <w:lang w:val="en-US"/>
        </w:rPr>
        <w:t xml:space="preserve">Iraq: No Justice Six Months after 91 Demonstrations Deaths in </w:t>
      </w:r>
      <w:proofErr w:type="spellStart"/>
      <w:r w:rsidRPr="00573985">
        <w:rPr>
          <w:i/>
          <w:iCs/>
          <w:lang w:val="en-US"/>
        </w:rPr>
        <w:t>Hawijah</w:t>
      </w:r>
      <w:proofErr w:type="spellEnd"/>
      <w:r w:rsidRPr="00573985">
        <w:rPr>
          <w:lang w:val="en-US"/>
        </w:rPr>
        <w:t xml:space="preserve">, 20 October 2013, </w:t>
      </w:r>
      <w:hyperlink r:id="rId15" w:history="1">
        <w:r w:rsidRPr="00573985">
          <w:rPr>
            <w:rStyle w:val="Lienhypertexte"/>
            <w:lang w:val="en-US"/>
          </w:rPr>
          <w:t>http://en.alkarama.org/about-us/1159-iraq-no-justice-six-months-after-91-demonstrator-deaths-in-hawijah</w:t>
        </w:r>
      </w:hyperlink>
      <w:r w:rsidRPr="00573985">
        <w:rPr>
          <w:lang w:val="en-US"/>
        </w:rPr>
        <w:t xml:space="preserve"> (accessed on 14 September 2015).</w:t>
      </w:r>
    </w:p>
  </w:footnote>
  <w:footnote w:id="4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Alkarama, </w:t>
      </w:r>
      <w:r w:rsidRPr="002B4899">
        <w:rPr>
          <w:i/>
          <w:iCs/>
          <w:lang w:val="en-GB"/>
        </w:rPr>
        <w:t>Iraq – Shadow Report, Report Submitted to the Committee against Torture in the context of the review of the initial report of Iraq</w:t>
      </w:r>
      <w:r w:rsidRPr="00573985">
        <w:rPr>
          <w:lang w:val="en-GB"/>
        </w:rPr>
        <w:t xml:space="preserve">, Alkarama Foundation, 13 July 2015, p. 20. </w:t>
      </w:r>
    </w:p>
  </w:footnote>
  <w:footnote w:id="49">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BBC World, </w:t>
      </w:r>
      <w:r w:rsidRPr="002B4899">
        <w:rPr>
          <w:i/>
          <w:iCs/>
          <w:lang w:val="en-GB"/>
        </w:rPr>
        <w:t>Ten die as Iraq security forces dismantle Sunni camp</w:t>
      </w:r>
      <w:r w:rsidRPr="00573985">
        <w:rPr>
          <w:lang w:val="en-GB"/>
        </w:rPr>
        <w:t xml:space="preserve">, 30 December 2013, </w:t>
      </w:r>
      <w:hyperlink r:id="rId16" w:history="1">
        <w:r w:rsidRPr="00573985">
          <w:rPr>
            <w:rStyle w:val="Lienhypertexte"/>
            <w:lang w:val="en-GB"/>
          </w:rPr>
          <w:t>http://www.bbc.com/news/world-middle-east-25548776</w:t>
        </w:r>
      </w:hyperlink>
      <w:r w:rsidRPr="00573985">
        <w:rPr>
          <w:lang w:val="en-GB"/>
        </w:rPr>
        <w:t xml:space="preserve">, Human Rights Watch, </w:t>
      </w:r>
      <w:r w:rsidRPr="00573985">
        <w:rPr>
          <w:i/>
          <w:iCs/>
          <w:lang w:val="en-GB"/>
        </w:rPr>
        <w:t>Iraq: Investigate Violence at Protest Camp,</w:t>
      </w:r>
      <w:r w:rsidRPr="00573985">
        <w:rPr>
          <w:lang w:val="en-GB"/>
        </w:rPr>
        <w:t xml:space="preserve"> 3 January 2014, </w:t>
      </w:r>
      <w:hyperlink r:id="rId17" w:history="1">
        <w:r w:rsidRPr="00573985">
          <w:rPr>
            <w:rStyle w:val="Lienhypertexte"/>
            <w:lang w:val="en-GB"/>
          </w:rPr>
          <w:t>https://www.hrw.org/news/2014/01/03/iraq-investigate-violence-protest-camp</w:t>
        </w:r>
      </w:hyperlink>
      <w:r w:rsidRPr="00573985">
        <w:rPr>
          <w:lang w:val="en-GB"/>
        </w:rPr>
        <w:t xml:space="preserve"> (accessed on 14 September 2014).</w:t>
      </w:r>
    </w:p>
  </w:footnote>
  <w:footnote w:id="5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Watch, </w:t>
      </w:r>
      <w:proofErr w:type="spellStart"/>
      <w:r w:rsidRPr="00573985">
        <w:rPr>
          <w:i/>
          <w:iCs/>
          <w:lang w:val="en-GB"/>
        </w:rPr>
        <w:t>Ibidem</w:t>
      </w:r>
      <w:proofErr w:type="spellEnd"/>
      <w:r w:rsidRPr="00573985">
        <w:rPr>
          <w:i/>
          <w:iCs/>
          <w:lang w:val="en-GB"/>
        </w:rPr>
        <w:t>.</w:t>
      </w:r>
    </w:p>
  </w:footnote>
  <w:footnote w:id="5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w:t>
      </w:r>
      <w:r w:rsidRPr="002B4899">
        <w:rPr>
          <w:i/>
          <w:iCs/>
          <w:lang w:val="en-GB"/>
        </w:rPr>
        <w:t>Consideration of reports submitted by States parties under article 40 of the Covenant, Fifth periodic reports of States parties due in 2000, Iraq</w:t>
      </w:r>
      <w:r w:rsidRPr="00573985">
        <w:rPr>
          <w:lang w:val="en-GB"/>
        </w:rPr>
        <w:t>, 12 December 2013, (CCPR/C/IRQ/5), para.92.</w:t>
      </w:r>
    </w:p>
  </w:footnote>
  <w:footnote w:id="52">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2B4899">
        <w:rPr>
          <w:i/>
          <w:iCs/>
          <w:lang w:val="en-GB"/>
        </w:rPr>
        <w:t>Ibid.,</w:t>
      </w:r>
      <w:proofErr w:type="gramEnd"/>
      <w:r w:rsidRPr="002B4899">
        <w:rPr>
          <w:i/>
          <w:iCs/>
          <w:lang w:val="en-GB"/>
        </w:rPr>
        <w:t xml:space="preserve"> </w:t>
      </w:r>
      <w:proofErr w:type="spellStart"/>
      <w:r w:rsidRPr="002B4899">
        <w:rPr>
          <w:lang w:val="en-GB"/>
        </w:rPr>
        <w:t>paras</w:t>
      </w:r>
      <w:proofErr w:type="spellEnd"/>
      <w:r w:rsidRPr="002B4899">
        <w:rPr>
          <w:lang w:val="en-GB"/>
        </w:rPr>
        <w:t>. 88-89.</w:t>
      </w:r>
    </w:p>
  </w:footnote>
  <w:footnote w:id="53">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2B4899">
        <w:rPr>
          <w:lang w:val="en-GB"/>
        </w:rPr>
        <w:t xml:space="preserve">OMCT, “A Handbook on the Individual Complaints Procedures of the UN Treaty Bodies – Seeking Remedies for Torture Victims”, </w:t>
      </w:r>
      <w:r w:rsidRPr="002B4899">
        <w:rPr>
          <w:i/>
          <w:iCs/>
          <w:lang w:val="en-GB"/>
        </w:rPr>
        <w:t>OMCT Handbook Series Vol.4</w:t>
      </w:r>
      <w:r w:rsidRPr="00573985">
        <w:rPr>
          <w:lang w:val="en-GB"/>
        </w:rPr>
        <w:t>, April 2014, p. 224.</w:t>
      </w:r>
      <w:proofErr w:type="gramEnd"/>
    </w:p>
  </w:footnote>
  <w:footnote w:id="54">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proofErr w:type="gramStart"/>
      <w:r w:rsidRPr="002B4899">
        <w:rPr>
          <w:lang w:val="en-GB"/>
        </w:rPr>
        <w:t xml:space="preserve">Committee against Torture, </w:t>
      </w:r>
      <w:r w:rsidRPr="002B4899">
        <w:rPr>
          <w:i/>
          <w:iCs/>
          <w:lang w:val="en-GB"/>
        </w:rPr>
        <w:t>Consideration of reports submitted by States parties under article 19 of the Convention – Iraq</w:t>
      </w:r>
      <w:r w:rsidRPr="00573985">
        <w:rPr>
          <w:lang w:val="en-GB"/>
        </w:rPr>
        <w:t>, 18 September 2014 (CAT/C/IRQ/1), para.17.</w:t>
      </w:r>
      <w:proofErr w:type="gramEnd"/>
    </w:p>
  </w:footnote>
  <w:footnote w:id="55">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2B4899">
        <w:rPr>
          <w:lang w:val="en-GB"/>
        </w:rPr>
        <w:t xml:space="preserve">Human Rights Committee, </w:t>
      </w:r>
      <w:r w:rsidRPr="002B4899">
        <w:rPr>
          <w:i/>
          <w:iCs/>
          <w:lang w:val="en-GB"/>
        </w:rPr>
        <w:t>Consideration of reports submitted by States parties under article 40 of the Covenant, Fifth periodic reports of States parties due in 2000,</w:t>
      </w:r>
      <w:r w:rsidRPr="00573985">
        <w:rPr>
          <w:i/>
          <w:iCs/>
          <w:lang w:val="en-GB"/>
        </w:rPr>
        <w:t xml:space="preserve"> Iraq</w:t>
      </w:r>
      <w:r w:rsidRPr="00573985">
        <w:rPr>
          <w:lang w:val="en-GB"/>
        </w:rPr>
        <w:t xml:space="preserve">, 12 December 2013, (CCPR/C/IRQ/5), </w:t>
      </w:r>
      <w:proofErr w:type="spellStart"/>
      <w:r w:rsidRPr="00573985">
        <w:rPr>
          <w:lang w:val="en-GB"/>
        </w:rPr>
        <w:t>para</w:t>
      </w:r>
      <w:proofErr w:type="spellEnd"/>
      <w:r w:rsidRPr="00573985">
        <w:rPr>
          <w:lang w:val="en-GB"/>
        </w:rPr>
        <w:t>. 92.</w:t>
      </w:r>
    </w:p>
  </w:footnote>
  <w:footnote w:id="56">
    <w:p w:rsidR="007858CF" w:rsidRPr="006541BF" w:rsidRDefault="007858CF" w:rsidP="006541BF">
      <w:pPr>
        <w:pStyle w:val="Notedebasdepage"/>
        <w:tabs>
          <w:tab w:val="left" w:pos="284"/>
        </w:tabs>
        <w:ind w:left="284" w:hanging="284"/>
        <w:rPr>
          <w:lang w:val="en-GB"/>
        </w:rPr>
      </w:pPr>
      <w:r w:rsidRPr="00573985">
        <w:rPr>
          <w:rStyle w:val="Appelnotedebasdep"/>
        </w:rPr>
        <w:footnoteRef/>
      </w:r>
      <w:r w:rsidRPr="00573985">
        <w:t xml:space="preserve"> </w:t>
      </w:r>
      <w:r>
        <w:tab/>
      </w:r>
      <w:r w:rsidRPr="006541BF">
        <w:rPr>
          <w:lang w:val="en-GB"/>
        </w:rPr>
        <w:t xml:space="preserve">Chris </w:t>
      </w:r>
      <w:proofErr w:type="spellStart"/>
      <w:r w:rsidRPr="006541BF">
        <w:rPr>
          <w:lang w:val="en-GB"/>
        </w:rPr>
        <w:t>Ingelse</w:t>
      </w:r>
      <w:proofErr w:type="spellEnd"/>
      <w:r w:rsidRPr="006541BF">
        <w:rPr>
          <w:lang w:val="en-GB"/>
        </w:rPr>
        <w:t xml:space="preserve"> establishes through interviews with members of the Committee against Torture, that “the penalty for the predicate offence of torture should be a custodial sentence of between six and twenty years.” </w:t>
      </w:r>
      <w:proofErr w:type="gramStart"/>
      <w:r w:rsidRPr="006541BF">
        <w:rPr>
          <w:lang w:val="en-GB"/>
        </w:rPr>
        <w:t xml:space="preserve">In Chris </w:t>
      </w:r>
      <w:proofErr w:type="spellStart"/>
      <w:r w:rsidRPr="006541BF">
        <w:rPr>
          <w:lang w:val="en-GB"/>
        </w:rPr>
        <w:t>Ingelse</w:t>
      </w:r>
      <w:proofErr w:type="spellEnd"/>
      <w:r w:rsidRPr="006541BF">
        <w:rPr>
          <w:lang w:val="en-GB"/>
        </w:rPr>
        <w:t xml:space="preserve">, </w:t>
      </w:r>
      <w:r w:rsidRPr="006541BF">
        <w:rPr>
          <w:i/>
          <w:iCs/>
          <w:lang w:val="en-GB"/>
        </w:rPr>
        <w:t>United Nations Committee Against Torture: An Assessment</w:t>
      </w:r>
      <w:r w:rsidRPr="006541BF">
        <w:rPr>
          <w:lang w:val="en-GB"/>
        </w:rPr>
        <w:t xml:space="preserve">, </w:t>
      </w:r>
      <w:proofErr w:type="spellStart"/>
      <w:r w:rsidRPr="006541BF">
        <w:rPr>
          <w:lang w:val="en-GB"/>
        </w:rPr>
        <w:t>Kluwer</w:t>
      </w:r>
      <w:proofErr w:type="spellEnd"/>
      <w:r w:rsidRPr="006541BF">
        <w:rPr>
          <w:lang w:val="en-GB"/>
        </w:rPr>
        <w:t xml:space="preserve"> Law International, 2001, p. 342.</w:t>
      </w:r>
      <w:proofErr w:type="gramEnd"/>
    </w:p>
    <w:p w:rsidR="007858CF" w:rsidRPr="006541BF" w:rsidDel="006541BF" w:rsidRDefault="007858CF" w:rsidP="006541BF">
      <w:pPr>
        <w:pStyle w:val="Notedebasdepage"/>
        <w:tabs>
          <w:tab w:val="left" w:pos="284"/>
        </w:tabs>
        <w:ind w:left="284" w:hanging="284"/>
        <w:rPr>
          <w:lang w:val="en-GB"/>
        </w:rPr>
      </w:pPr>
    </w:p>
    <w:p w:rsidR="007858CF" w:rsidRDefault="007858CF">
      <w:pPr>
        <w:pStyle w:val="Notedebasdepage"/>
        <w:tabs>
          <w:tab w:val="left" w:pos="284"/>
        </w:tabs>
        <w:ind w:left="284" w:hanging="284"/>
      </w:pPr>
    </w:p>
  </w:footnote>
  <w:footnote w:id="57">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r w:rsidRPr="00573985">
        <w:rPr>
          <w:lang w:val="en-US"/>
        </w:rPr>
        <w:t xml:space="preserve">To understand the successive attempts to amend this provision, read: Global Justice Project: Iraq, </w:t>
      </w:r>
      <w:r w:rsidRPr="00573985">
        <w:rPr>
          <w:i/>
          <w:iCs/>
          <w:lang w:val="en-US"/>
        </w:rPr>
        <w:t>The many lives of article 136(b) of Criminal Procedure Code, Law 23 of 1971</w:t>
      </w:r>
      <w:r w:rsidRPr="00573985">
        <w:rPr>
          <w:lang w:val="en-US"/>
        </w:rPr>
        <w:t xml:space="preserve">, 23 May 2009, </w:t>
      </w:r>
      <w:hyperlink r:id="rId18" w:history="1">
        <w:r w:rsidRPr="00573985">
          <w:rPr>
            <w:rStyle w:val="Lienhypertexte"/>
            <w:lang w:val="en-US"/>
          </w:rPr>
          <w:t>http://gjpi.org/2009/05/23/the-many-lives-of-article-136b-criminal-procedure-code-23-of-1971/</w:t>
        </w:r>
      </w:hyperlink>
      <w:r w:rsidRPr="00573985">
        <w:rPr>
          <w:lang w:val="en-US"/>
        </w:rPr>
        <w:t xml:space="preserve"> (accessed on 10 July 2015).</w:t>
      </w:r>
    </w:p>
  </w:footnote>
  <w:footnote w:id="58">
    <w:p w:rsidR="007858CF" w:rsidRPr="002B4899" w:rsidRDefault="007858CF" w:rsidP="00371B03">
      <w:pPr>
        <w:pStyle w:val="Notedebasdepage"/>
        <w:tabs>
          <w:tab w:val="left" w:pos="0"/>
        </w:tabs>
        <w:ind w:left="284" w:hanging="284"/>
        <w:rPr>
          <w:lang w:val="en-GB"/>
        </w:rPr>
      </w:pPr>
      <w:r w:rsidRPr="00573985">
        <w:rPr>
          <w:rStyle w:val="Appelnotedebasdep"/>
        </w:rPr>
        <w:footnoteRef/>
      </w:r>
      <w:r w:rsidRPr="00573985">
        <w:rPr>
          <w:lang w:val="en-GB"/>
        </w:rPr>
        <w:t xml:space="preserve"> </w:t>
      </w:r>
      <w:r>
        <w:rPr>
          <w:lang w:val="en-GB"/>
        </w:rPr>
        <w:tab/>
      </w:r>
      <w:r w:rsidRPr="00573985">
        <w:rPr>
          <w:lang w:val="en-GB"/>
        </w:rPr>
        <w:t>Article 150 Iraqi Penal Code: “An offence lapses for the following reasons:</w:t>
      </w:r>
      <w:r w:rsidRPr="00573985">
        <w:rPr>
          <w:lang w:val="en-US"/>
        </w:rPr>
        <w:t xml:space="preserve"> </w:t>
      </w:r>
      <w:r w:rsidRPr="00573985">
        <w:rPr>
          <w:lang w:val="en-GB"/>
        </w:rPr>
        <w:t>(1) the death of the accused (2) a general amnesty (3) the dropping of charges by the victim in such circumstances as are prescribed by law.” Article 151 Iraqi Penal Code: “A sentence imposing a penalty or precautionary measure lapses with a general amnesty or rehabilitation or with the dropping of charges by the victim in such circumstances as are prescribed by law or, in the event of a suspension of sentence and without anything that would call for the reinstatement of the suspended sentence occurring during the period of suspension, by the termination of that period of suspension.”</w:t>
      </w:r>
    </w:p>
  </w:footnote>
  <w:footnote w:id="59">
    <w:p w:rsidR="007858CF" w:rsidRPr="002B4899" w:rsidRDefault="007858CF" w:rsidP="00371B03">
      <w:pPr>
        <w:pStyle w:val="Notedebasdepage"/>
        <w:tabs>
          <w:tab w:val="left" w:pos="284"/>
        </w:tabs>
        <w:ind w:left="284" w:hanging="284"/>
      </w:pPr>
      <w:r w:rsidRPr="00573985">
        <w:rPr>
          <w:rStyle w:val="Appelnotedebasdep"/>
        </w:rPr>
        <w:footnoteRef/>
      </w:r>
      <w:r w:rsidRPr="00573985">
        <w:rPr>
          <w:lang w:val="en-GB"/>
        </w:rPr>
        <w:t xml:space="preserve"> </w:t>
      </w:r>
      <w:r>
        <w:rPr>
          <w:lang w:val="en-GB"/>
        </w:rPr>
        <w:tab/>
      </w:r>
      <w:r w:rsidRPr="00573985">
        <w:rPr>
          <w:lang w:val="en-GB"/>
        </w:rPr>
        <w:t xml:space="preserve">Amnesty International, </w:t>
      </w:r>
      <w:r w:rsidRPr="00573985">
        <w:rPr>
          <w:i/>
          <w:iCs/>
          <w:lang w:val="en-GB"/>
        </w:rPr>
        <w:t>Iraq: A Decade of Abuses</w:t>
      </w:r>
      <w:r w:rsidRPr="00573985">
        <w:rPr>
          <w:lang w:val="en-GB"/>
        </w:rPr>
        <w:t>, March 2013 (MDE 14/001/2013), p.</w:t>
      </w:r>
      <w:r>
        <w:rPr>
          <w:lang w:val="en-GB"/>
        </w:rPr>
        <w:t xml:space="preserve"> </w:t>
      </w:r>
      <w:r w:rsidRPr="00573985">
        <w:rPr>
          <w:lang w:val="en-GB"/>
        </w:rPr>
        <w:t>62.</w:t>
      </w:r>
    </w:p>
  </w:footnote>
  <w:footnote w:id="6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13.</w:t>
      </w:r>
    </w:p>
  </w:footnote>
  <w:footnote w:id="6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judicial responses to allegations of torture in Iraq</w:t>
      </w:r>
      <w:r w:rsidRPr="00573985">
        <w:rPr>
          <w:lang w:val="en-GB"/>
        </w:rPr>
        <w:t xml:space="preserve">, p. 2. </w:t>
      </w:r>
    </w:p>
  </w:footnote>
  <w:footnote w:id="62">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Human Rights Committee, </w:t>
      </w:r>
      <w:r w:rsidRPr="00573985">
        <w:rPr>
          <w:i/>
          <w:iCs/>
          <w:lang w:val="en-GB"/>
        </w:rPr>
        <w:t>Consideration of reports submitted by States parties under article 40 of the Covenant, Fifth periodic reports of States parties due in 2000, Iraq</w:t>
      </w:r>
      <w:r w:rsidRPr="00573985">
        <w:rPr>
          <w:lang w:val="en-GB"/>
        </w:rPr>
        <w:t xml:space="preserve">, 12 December 2013, (CCPR/C/IRQ/5), </w:t>
      </w:r>
      <w:proofErr w:type="spellStart"/>
      <w:r w:rsidRPr="00573985">
        <w:rPr>
          <w:lang w:val="en-GB"/>
        </w:rPr>
        <w:t>para</w:t>
      </w:r>
      <w:proofErr w:type="spellEnd"/>
      <w:r w:rsidRPr="00573985">
        <w:rPr>
          <w:lang w:val="en-GB"/>
        </w:rPr>
        <w:t>.</w:t>
      </w:r>
      <w:r>
        <w:rPr>
          <w:lang w:val="en-GB"/>
        </w:rPr>
        <w:t xml:space="preserve"> </w:t>
      </w:r>
      <w:r w:rsidRPr="00573985">
        <w:rPr>
          <w:lang w:val="en-GB"/>
        </w:rPr>
        <w:t>93.</w:t>
      </w:r>
    </w:p>
  </w:footnote>
  <w:footnote w:id="63">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proofErr w:type="gramEnd"/>
      <w:r w:rsidRPr="00573985">
        <w:rPr>
          <w:lang w:val="en-GB"/>
        </w:rPr>
        <w:t xml:space="preserve"> </w:t>
      </w:r>
      <w:proofErr w:type="spellStart"/>
      <w:r w:rsidRPr="00573985">
        <w:rPr>
          <w:lang w:val="en-GB"/>
        </w:rPr>
        <w:t>para</w:t>
      </w:r>
      <w:proofErr w:type="spellEnd"/>
      <w:r w:rsidRPr="00573985">
        <w:rPr>
          <w:lang w:val="en-GB"/>
        </w:rPr>
        <w:t xml:space="preserve">. 113. </w:t>
      </w:r>
    </w:p>
  </w:footnote>
  <w:footnote w:id="64">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Human Rights Watch, </w:t>
      </w:r>
      <w:r w:rsidRPr="00573985">
        <w:rPr>
          <w:i/>
          <w:iCs/>
          <w:lang w:val="en-GB"/>
        </w:rPr>
        <w:t xml:space="preserve">Iraq: At a Crossroads, Human Rights in Iraq Eight Years after the US-Led Invasion, </w:t>
      </w:r>
      <w:r w:rsidRPr="00573985">
        <w:rPr>
          <w:lang w:val="en-GB"/>
        </w:rPr>
        <w:t>2010, p. 54.</w:t>
      </w:r>
    </w:p>
  </w:footnote>
  <w:footnote w:id="65">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i/>
          <w:iCs/>
          <w:lang w:val="en-GB"/>
        </w:rPr>
        <w:t>Ibid.</w:t>
      </w:r>
      <w:r w:rsidRPr="00573985">
        <w:rPr>
          <w:lang w:val="en-GB"/>
        </w:rPr>
        <w:t xml:space="preserve">,  p. 59  </w:t>
      </w:r>
    </w:p>
  </w:footnote>
  <w:footnote w:id="66">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spellStart"/>
      <w:proofErr w:type="gramStart"/>
      <w:r w:rsidRPr="00573985">
        <w:rPr>
          <w:i/>
          <w:iCs/>
          <w:lang w:val="en-GB"/>
        </w:rPr>
        <w:t>Ibidem</w:t>
      </w:r>
      <w:proofErr w:type="spellEnd"/>
      <w:r w:rsidRPr="00573985">
        <w:rPr>
          <w:i/>
          <w:iCs/>
          <w:lang w:val="en-GB"/>
        </w:rPr>
        <w:t>.</w:t>
      </w:r>
      <w:proofErr w:type="gramEnd"/>
      <w:r w:rsidRPr="00573985">
        <w:rPr>
          <w:lang w:val="en-GB"/>
        </w:rPr>
        <w:t xml:space="preserve"> </w:t>
      </w:r>
    </w:p>
  </w:footnote>
  <w:footnote w:id="67">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spellStart"/>
      <w:proofErr w:type="gramStart"/>
      <w:r w:rsidRPr="00573985">
        <w:rPr>
          <w:i/>
          <w:iCs/>
          <w:lang w:val="en-GB"/>
        </w:rPr>
        <w:t>Ibidem</w:t>
      </w:r>
      <w:proofErr w:type="spellEnd"/>
      <w:r w:rsidRPr="00573985">
        <w:rPr>
          <w:lang w:val="en-GB"/>
        </w:rPr>
        <w:t>.</w:t>
      </w:r>
      <w:proofErr w:type="gramEnd"/>
    </w:p>
  </w:footnote>
  <w:footnote w:id="68">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Despite repeated requests members of the IHCHR have not been allowed to visit detainees in interrogation and detention centres and prisons managed by the Ministries of the Interior, Justice and </w:t>
      </w:r>
      <w:proofErr w:type="spellStart"/>
      <w:r w:rsidRPr="00573985">
        <w:rPr>
          <w:lang w:val="en-GB"/>
        </w:rPr>
        <w:t>Defense</w:t>
      </w:r>
      <w:proofErr w:type="spellEnd"/>
      <w:r w:rsidRPr="00573985">
        <w:rPr>
          <w:lang w:val="en-GB"/>
        </w:rPr>
        <w:t xml:space="preserve"> Amnesty International, </w:t>
      </w:r>
      <w:r w:rsidRPr="00573985">
        <w:rPr>
          <w:i/>
          <w:iCs/>
          <w:lang w:val="en-GB"/>
        </w:rPr>
        <w:t xml:space="preserve">Militia Rule in Iraq, </w:t>
      </w:r>
      <w:r w:rsidRPr="00573985">
        <w:rPr>
          <w:lang w:val="en-GB"/>
        </w:rPr>
        <w:t xml:space="preserve">London, 2014, p. 21. </w:t>
      </w:r>
    </w:p>
  </w:footnote>
  <w:footnote w:id="69">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The United Nations Assistance Mission for Iraq (UNAMI) was denied access to detention facilities under the authority of Ministry of Interior, UNAMI/OHCHR, </w:t>
      </w:r>
      <w:r w:rsidRPr="00573985">
        <w:rPr>
          <w:i/>
          <w:iCs/>
          <w:lang w:val="en-GB"/>
        </w:rPr>
        <w:t>Report on Human Rights in Iraq: January – June 2014</w:t>
      </w:r>
      <w:r w:rsidRPr="00573985">
        <w:rPr>
          <w:lang w:val="en-GB"/>
        </w:rPr>
        <w:t>, Baghdad, August 2014, p. 7.</w:t>
      </w:r>
    </w:p>
  </w:footnote>
  <w:footnote w:id="70">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lang w:val="en-GB"/>
        </w:rPr>
        <w:t xml:space="preserve">Human Rights Council, </w:t>
      </w:r>
      <w:r w:rsidRPr="00573985">
        <w:rPr>
          <w:i/>
          <w:iCs/>
          <w:lang w:val="en-GB"/>
        </w:rPr>
        <w:t xml:space="preserve">Report of the Working Group on the Universal Periodic Review, Iraq, </w:t>
      </w:r>
      <w:r w:rsidRPr="00573985">
        <w:rPr>
          <w:lang w:val="en-GB"/>
        </w:rPr>
        <w:t>12 December 2014, (A/HRC/28/14)</w:t>
      </w:r>
      <w:r>
        <w:rPr>
          <w:lang w:val="en-GB"/>
        </w:rPr>
        <w:t>,</w:t>
      </w:r>
      <w:r w:rsidRPr="00573985">
        <w:rPr>
          <w:lang w:val="en-GB"/>
        </w:rPr>
        <w:t xml:space="preserve"> para.92.</w:t>
      </w:r>
      <w:proofErr w:type="gramEnd"/>
    </w:p>
  </w:footnote>
  <w:footnote w:id="71">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r w:rsidRPr="00573985">
        <w:rPr>
          <w:lang w:val="en-GB"/>
        </w:rPr>
        <w:t>.,</w:t>
      </w:r>
      <w:proofErr w:type="gramEnd"/>
      <w:r w:rsidRPr="00573985">
        <w:rPr>
          <w:lang w:val="en-GB"/>
        </w:rPr>
        <w:t xml:space="preserve"> p.6.</w:t>
      </w:r>
    </w:p>
  </w:footnote>
  <w:footnote w:id="72">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lang w:val="en-GB"/>
        </w:rPr>
        <w:t xml:space="preserve">Human Rights Council, </w:t>
      </w:r>
      <w:r w:rsidRPr="00573985">
        <w:rPr>
          <w:i/>
          <w:iCs/>
          <w:lang w:val="en-GB"/>
        </w:rPr>
        <w:t xml:space="preserve">Report of the Working Group on the Universal Periodic Review, Iraq, </w:t>
      </w:r>
      <w:r w:rsidRPr="00573985">
        <w:rPr>
          <w:lang w:val="en-GB"/>
        </w:rPr>
        <w:t>15 March 2010, (A/HRC/14/14) para.81.51 and 81.52.</w:t>
      </w:r>
      <w:proofErr w:type="gramEnd"/>
    </w:p>
  </w:footnote>
  <w:footnote w:id="73">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lang w:val="en-GB"/>
        </w:rPr>
        <w:t xml:space="preserve">Human Rights Council, </w:t>
      </w:r>
      <w:r w:rsidRPr="00573985">
        <w:rPr>
          <w:i/>
          <w:iCs/>
          <w:lang w:val="en-GB"/>
        </w:rPr>
        <w:t xml:space="preserve">Report of the Working Group on the Universal Periodic Review, Iraq, </w:t>
      </w:r>
      <w:r w:rsidRPr="00573985">
        <w:rPr>
          <w:lang w:val="en-GB"/>
        </w:rPr>
        <w:t xml:space="preserve">12 December 2014, (A/HRC/28/14) </w:t>
      </w:r>
      <w:proofErr w:type="spellStart"/>
      <w:r w:rsidRPr="00573985">
        <w:rPr>
          <w:lang w:val="en-GB"/>
        </w:rPr>
        <w:t>para</w:t>
      </w:r>
      <w:proofErr w:type="spellEnd"/>
      <w:r w:rsidRPr="00573985">
        <w:rPr>
          <w:lang w:val="en-GB"/>
        </w:rPr>
        <w:t>.</w:t>
      </w:r>
      <w:proofErr w:type="gramEnd"/>
      <w:r w:rsidRPr="00573985">
        <w:rPr>
          <w:lang w:val="en-GB"/>
        </w:rPr>
        <w:t xml:space="preserve"> 127.124 “Do not to admit as evidence confessions obtained through torture or other illegal means (Uruguay)” and “Drive forward legislative reforms and adopt administrative measures to eradicate torture in law and in practice (Costa Rica)”.</w:t>
      </w:r>
    </w:p>
  </w:footnote>
  <w:footnote w:id="74">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UNAMI/OHCHR,</w:t>
      </w:r>
      <w:r w:rsidRPr="00573985">
        <w:rPr>
          <w:i/>
          <w:iCs/>
          <w:lang w:val="en-GB"/>
        </w:rPr>
        <w:t xml:space="preserve"> Report on the judicial responses to allegations of torture in Iraq</w:t>
      </w:r>
      <w:r w:rsidRPr="00573985">
        <w:rPr>
          <w:lang w:val="en-GB"/>
        </w:rPr>
        <w:t xml:space="preserve">, February 2015, p. 16. </w:t>
      </w:r>
    </w:p>
  </w:footnote>
  <w:footnote w:id="75">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proofErr w:type="gramStart"/>
      <w:r w:rsidRPr="00573985">
        <w:rPr>
          <w:lang w:val="en-GB"/>
        </w:rPr>
        <w:t xml:space="preserve">Committee against Torture, </w:t>
      </w:r>
      <w:r w:rsidRPr="00573985">
        <w:rPr>
          <w:i/>
          <w:iCs/>
          <w:lang w:val="en-GB"/>
        </w:rPr>
        <w:t>Consideration of reports submitted by States parties under article 19 of the Convention – Iraq</w:t>
      </w:r>
      <w:r w:rsidRPr="00573985">
        <w:rPr>
          <w:lang w:val="en-GB"/>
        </w:rPr>
        <w:t>, 18 September 2014 (CAT/C/IRQ/1), para.102.</w:t>
      </w:r>
      <w:proofErr w:type="gramEnd"/>
    </w:p>
  </w:footnote>
  <w:footnote w:id="76">
    <w:p w:rsidR="007858CF" w:rsidRPr="002B4899" w:rsidRDefault="007858CF" w:rsidP="00371B03">
      <w:pPr>
        <w:pStyle w:val="Notedebasdepage"/>
        <w:tabs>
          <w:tab w:val="left" w:pos="0"/>
        </w:tabs>
        <w:ind w:left="284" w:hanging="284"/>
        <w:rPr>
          <w:lang w:val="en-GB"/>
        </w:rPr>
      </w:pPr>
      <w:r w:rsidRPr="00573985">
        <w:rPr>
          <w:rStyle w:val="Appelnotedebasdep"/>
        </w:rPr>
        <w:footnoteRef/>
      </w:r>
      <w:r w:rsidRPr="00573985">
        <w:t xml:space="preserve"> </w:t>
      </w:r>
      <w:r>
        <w:tab/>
      </w:r>
      <w:r w:rsidRPr="00573985">
        <w:t xml:space="preserve">According to </w:t>
      </w:r>
      <w:r w:rsidRPr="00573985">
        <w:rPr>
          <w:lang w:val="en-US"/>
        </w:rPr>
        <w:t>Article 219 CCP.</w:t>
      </w:r>
    </w:p>
  </w:footnote>
  <w:footnote w:id="77">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r w:rsidRPr="00573985">
        <w:rPr>
          <w:lang w:val="en-US"/>
        </w:rPr>
        <w:t>Article 31(1</w:t>
      </w:r>
      <w:proofErr w:type="gramStart"/>
      <w:r w:rsidRPr="00573985">
        <w:rPr>
          <w:lang w:val="en-US"/>
        </w:rPr>
        <w:t>)(</w:t>
      </w:r>
      <w:proofErr w:type="gramEnd"/>
      <w:r w:rsidRPr="00573985">
        <w:rPr>
          <w:lang w:val="en-US"/>
        </w:rPr>
        <w:t>c) of the Constitution. See</w:t>
      </w:r>
      <w:r w:rsidRPr="00573985">
        <w:rPr>
          <w:lang w:val="en-GB"/>
        </w:rPr>
        <w:t xml:space="preserve"> Committee against Torture, </w:t>
      </w:r>
      <w:r w:rsidRPr="00573985">
        <w:rPr>
          <w:i/>
          <w:iCs/>
          <w:lang w:val="en-GB"/>
        </w:rPr>
        <w:t>Consideration of reports submitted by States parties under article 19 of the Convention – Iraq</w:t>
      </w:r>
      <w:r w:rsidRPr="00573985">
        <w:rPr>
          <w:lang w:val="en-GB"/>
        </w:rPr>
        <w:t>, 18 September 2014 (CAT/C/IRQ/1), para.99.</w:t>
      </w:r>
    </w:p>
  </w:footnote>
  <w:footnote w:id="78">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r w:rsidRPr="00573985">
        <w:rPr>
          <w:lang w:val="en-GB"/>
        </w:rPr>
        <w:t xml:space="preserve">See: Committee against Torture, </w:t>
      </w:r>
      <w:r w:rsidRPr="00573985">
        <w:rPr>
          <w:i/>
          <w:iCs/>
          <w:lang w:val="en-GB"/>
        </w:rPr>
        <w:t>Consideration of reports submitted by States parties under article 19 of the Convention – Iraq</w:t>
      </w:r>
      <w:r w:rsidRPr="00573985">
        <w:rPr>
          <w:lang w:val="en-GB"/>
        </w:rPr>
        <w:t>, 18 September 2014 (CAT/C/IRQ/1), para.100.</w:t>
      </w:r>
    </w:p>
  </w:footnote>
  <w:footnote w:id="79">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proofErr w:type="gramStart"/>
      <w:r w:rsidRPr="00573985">
        <w:rPr>
          <w:lang w:val="en-GB"/>
        </w:rPr>
        <w:t xml:space="preserve">Committee against Torture, </w:t>
      </w:r>
      <w:r w:rsidRPr="00573985">
        <w:rPr>
          <w:i/>
          <w:iCs/>
          <w:lang w:val="en-GB"/>
        </w:rPr>
        <w:t>Consideration of reports submitted by States parties under article 19 of the Convention – Iraq</w:t>
      </w:r>
      <w:r w:rsidRPr="00573985">
        <w:rPr>
          <w:lang w:val="en-GB"/>
        </w:rPr>
        <w:t>, 18 September 2014 (CAT/C/IRQ/1), para.101.</w:t>
      </w:r>
      <w:proofErr w:type="gramEnd"/>
    </w:p>
  </w:footnote>
  <w:footnote w:id="80">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r w:rsidRPr="00573985">
        <w:rPr>
          <w:lang w:val="en-GB"/>
        </w:rPr>
        <w:t xml:space="preserve">OHCHR/UNAMI, </w:t>
      </w:r>
      <w:r w:rsidRPr="00573985">
        <w:rPr>
          <w:i/>
          <w:iCs/>
          <w:lang w:val="en-GB"/>
        </w:rPr>
        <w:t>Report on the judicial response to allegations of torture in Iraq</w:t>
      </w:r>
      <w:r w:rsidRPr="00573985">
        <w:rPr>
          <w:lang w:val="en-GB"/>
        </w:rPr>
        <w:t>, February 2015, p.2.</w:t>
      </w:r>
    </w:p>
  </w:footnote>
  <w:footnote w:id="81">
    <w:p w:rsidR="007858CF" w:rsidRPr="002B4899" w:rsidRDefault="007858CF" w:rsidP="00371B03">
      <w:pPr>
        <w:pStyle w:val="Notedebasdepage"/>
        <w:tabs>
          <w:tab w:val="left" w:pos="0"/>
        </w:tabs>
        <w:ind w:left="284" w:hanging="284"/>
      </w:pPr>
      <w:r w:rsidRPr="00573985">
        <w:rPr>
          <w:rStyle w:val="Appelnotedebasdep"/>
        </w:rPr>
        <w:footnoteRef/>
      </w:r>
      <w:r w:rsidRPr="00573985">
        <w:t xml:space="preserve"> </w:t>
      </w:r>
      <w:r>
        <w:tab/>
      </w:r>
      <w:r w:rsidRPr="00573985">
        <w:t xml:space="preserve">Alkarama, </w:t>
      </w:r>
      <w:r w:rsidRPr="00573985">
        <w:rPr>
          <w:i/>
          <w:iCs/>
        </w:rPr>
        <w:t>Iraq: Riad Al Obeidi Set Free After 10 Months in Secret Detention Centre in Baghdad</w:t>
      </w:r>
      <w:r w:rsidRPr="00573985">
        <w:t xml:space="preserve">, 16 April 2015, </w:t>
      </w:r>
      <w:r w:rsidR="00E40B1D">
        <w:fldChar w:fldCharType="begin"/>
      </w:r>
      <w:r w:rsidR="00E40B1D">
        <w:instrText>HYPERLINK "http://en.alkarama.org/iraq/press-releases/1661-iraq-riad-al-obeidi-set-free-after-10-months-in-secret-detention-centre-in-baghdad"</w:instrText>
      </w:r>
      <w:r w:rsidR="00E40B1D">
        <w:fldChar w:fldCharType="separate"/>
      </w:r>
      <w:r w:rsidRPr="00573985">
        <w:rPr>
          <w:rStyle w:val="Lienhypertexte"/>
        </w:rPr>
        <w:t>http://en.alkarama.org/iraq/press-releases/1661-iraq-riad-al-obeidi-set-free-after-10-months-in-secret-detention-centre-in-baghdad</w:t>
      </w:r>
      <w:r w:rsidR="00E40B1D">
        <w:fldChar w:fldCharType="end"/>
      </w:r>
      <w:r w:rsidRPr="00573985">
        <w:t xml:space="preserve"> (accessed on 2 July 2015).</w:t>
      </w:r>
    </w:p>
  </w:footnote>
  <w:footnote w:id="82">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24.</w:t>
      </w:r>
    </w:p>
  </w:footnote>
  <w:footnote w:id="83">
    <w:p w:rsidR="007858CF" w:rsidRPr="002B4899" w:rsidRDefault="007858CF" w:rsidP="00371B03">
      <w:pPr>
        <w:pStyle w:val="Notedebasdepage"/>
        <w:tabs>
          <w:tab w:val="left" w:pos="0"/>
        </w:tabs>
        <w:ind w:left="284" w:hanging="284"/>
      </w:pPr>
      <w:r w:rsidRPr="00573985">
        <w:rPr>
          <w:rStyle w:val="Appelnotedebasdep"/>
        </w:rPr>
        <w:footnoteRef/>
      </w:r>
      <w:r w:rsidRPr="00573985">
        <w:rPr>
          <w:lang w:val="en-GB"/>
        </w:rPr>
        <w:t xml:space="preserve"> </w:t>
      </w:r>
      <w:r>
        <w:rPr>
          <w:lang w:val="en-GB"/>
        </w:rPr>
        <w:tab/>
      </w:r>
      <w:r w:rsidRPr="00573985">
        <w:rPr>
          <w:lang w:val="en-GB"/>
        </w:rPr>
        <w:t xml:space="preserve">OHCHR/UNAMI, </w:t>
      </w:r>
      <w:r w:rsidRPr="00573985">
        <w:rPr>
          <w:i/>
          <w:iCs/>
          <w:lang w:val="en-GB"/>
        </w:rPr>
        <w:t>Report on the judicial response to allegations of torture in Iraq</w:t>
      </w:r>
      <w:r w:rsidRPr="00573985">
        <w:rPr>
          <w:lang w:val="en-GB"/>
        </w:rPr>
        <w:t>, February 2015, p.2.</w:t>
      </w:r>
    </w:p>
  </w:footnote>
  <w:footnote w:id="84">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r w:rsidRPr="00573985">
        <w:rPr>
          <w:lang w:val="en-GB"/>
        </w:rPr>
        <w:t xml:space="preserve">Alkarama, </w:t>
      </w:r>
      <w:r w:rsidRPr="00573985">
        <w:rPr>
          <w:i/>
          <w:iCs/>
          <w:lang w:val="en-GB"/>
        </w:rPr>
        <w:t xml:space="preserve">Iraq: Death Under Torture of Former Vice President Tariq Al </w:t>
      </w:r>
      <w:proofErr w:type="spellStart"/>
      <w:r w:rsidRPr="00573985">
        <w:rPr>
          <w:i/>
          <w:iCs/>
          <w:lang w:val="en-GB"/>
        </w:rPr>
        <w:t>Hashimi</w:t>
      </w:r>
      <w:proofErr w:type="spellEnd"/>
      <w:r w:rsidRPr="00573985">
        <w:rPr>
          <w:i/>
          <w:iCs/>
          <w:lang w:val="en-GB"/>
        </w:rPr>
        <w:t xml:space="preserve"> Security Personnel</w:t>
      </w:r>
      <w:r w:rsidRPr="00573985">
        <w:rPr>
          <w:lang w:val="en-GB"/>
        </w:rPr>
        <w:t xml:space="preserve">, 3 July 2015, </w:t>
      </w:r>
      <w:hyperlink r:id="rId19" w:history="1">
        <w:r w:rsidRPr="00573985">
          <w:rPr>
            <w:rStyle w:val="Lienhypertexte"/>
            <w:lang w:val="en-GB"/>
          </w:rPr>
          <w:t>http://en.alkarama.org/iraq/1770-iraq-death-under-torture-of-former-vice-president-tariq-al-hashimi-security-personnel</w:t>
        </w:r>
      </w:hyperlink>
      <w:r w:rsidRPr="00573985">
        <w:rPr>
          <w:lang w:val="en-GB"/>
        </w:rPr>
        <w:t xml:space="preserve">, (accessed on 20 September 2015);  Amnesty International, </w:t>
      </w:r>
      <w:r w:rsidRPr="00573985">
        <w:rPr>
          <w:i/>
          <w:iCs/>
          <w:lang w:val="en-GB"/>
        </w:rPr>
        <w:t>Iraq, Submission to the United Nations Committee against Torture</w:t>
      </w:r>
      <w:r w:rsidRPr="00573985">
        <w:rPr>
          <w:lang w:val="en-GB"/>
        </w:rPr>
        <w:t xml:space="preserve">, 55th session, 27 July to 14 August 2015, p. 7.  </w:t>
      </w:r>
    </w:p>
  </w:footnote>
  <w:footnote w:id="85">
    <w:p w:rsidR="007858CF" w:rsidRPr="002B4899" w:rsidRDefault="007858CF" w:rsidP="00371B03">
      <w:pPr>
        <w:pStyle w:val="Notedebasdepage"/>
        <w:tabs>
          <w:tab w:val="left" w:pos="0"/>
        </w:tabs>
        <w:ind w:left="284" w:hanging="284"/>
      </w:pPr>
      <w:r w:rsidRPr="00573985">
        <w:rPr>
          <w:rStyle w:val="Appelnotedebasdep"/>
          <w:lang w:val="en-GB"/>
        </w:rPr>
        <w:footnoteRef/>
      </w:r>
      <w:r w:rsidRPr="00573985">
        <w:rPr>
          <w:lang w:val="en-GB"/>
        </w:rPr>
        <w:t xml:space="preserve"> </w:t>
      </w:r>
      <w:r>
        <w:rPr>
          <w:lang w:val="en-GB"/>
        </w:rPr>
        <w:tab/>
      </w:r>
      <w:r w:rsidRPr="00573985">
        <w:rPr>
          <w:lang w:val="en-GB"/>
        </w:rPr>
        <w:t xml:space="preserve">Alkarama, </w:t>
      </w:r>
      <w:r w:rsidRPr="00573985">
        <w:rPr>
          <w:i/>
          <w:iCs/>
          <w:lang w:val="en-GB"/>
        </w:rPr>
        <w:t xml:space="preserve">Iraq: Death </w:t>
      </w:r>
      <w:proofErr w:type="gramStart"/>
      <w:r w:rsidRPr="00573985">
        <w:rPr>
          <w:i/>
          <w:iCs/>
          <w:lang w:val="en-GB"/>
        </w:rPr>
        <w:t>Under</w:t>
      </w:r>
      <w:proofErr w:type="gramEnd"/>
      <w:r w:rsidRPr="00573985">
        <w:rPr>
          <w:i/>
          <w:iCs/>
          <w:lang w:val="en-GB"/>
        </w:rPr>
        <w:t xml:space="preserve"> Torture of Former Vice President Tariq Al </w:t>
      </w:r>
      <w:proofErr w:type="spellStart"/>
      <w:r w:rsidRPr="00573985">
        <w:rPr>
          <w:i/>
          <w:iCs/>
          <w:lang w:val="en-GB"/>
        </w:rPr>
        <w:t>Hashimi</w:t>
      </w:r>
      <w:proofErr w:type="spellEnd"/>
      <w:r w:rsidRPr="00573985">
        <w:rPr>
          <w:i/>
          <w:iCs/>
          <w:lang w:val="en-GB"/>
        </w:rPr>
        <w:t xml:space="preserve"> Security Personnel, </w:t>
      </w:r>
      <w:r w:rsidRPr="00573985">
        <w:rPr>
          <w:lang w:val="en-GB"/>
        </w:rPr>
        <w:t xml:space="preserve">3 July 2015, </w:t>
      </w:r>
      <w:hyperlink r:id="rId20" w:history="1">
        <w:r w:rsidRPr="00573985">
          <w:rPr>
            <w:rStyle w:val="Lienhypertexte"/>
            <w:lang w:val="en-GB"/>
          </w:rPr>
          <w:t>http://en.alkarama.org/iraq/press-releases/1770-iraq-death-under-torture-of-former-vice-president-tariq-al-hashimi-security-personnel</w:t>
        </w:r>
      </w:hyperlink>
      <w:r w:rsidRPr="00573985">
        <w:rPr>
          <w:lang w:val="en-GB"/>
        </w:rPr>
        <w:t xml:space="preserve"> (accessed on 3 July 2015).</w:t>
      </w:r>
      <w:r w:rsidRPr="00573985">
        <w:rPr>
          <w:b/>
          <w:bCs/>
          <w:i/>
          <w:iCs/>
          <w:lang w:val="en-GB"/>
        </w:rPr>
        <w:t xml:space="preserve"> </w:t>
      </w:r>
    </w:p>
  </w:footnote>
  <w:footnote w:id="86">
    <w:p w:rsidR="007858CF" w:rsidRPr="002B4899" w:rsidRDefault="007858CF" w:rsidP="00371B03">
      <w:pPr>
        <w:pStyle w:val="Notedebasdepage"/>
        <w:tabs>
          <w:tab w:val="left" w:pos="0"/>
        </w:tabs>
        <w:ind w:left="284" w:hanging="284"/>
      </w:pPr>
      <w:r w:rsidRPr="00573985">
        <w:rPr>
          <w:rStyle w:val="Appelnotedebasdep"/>
          <w:lang w:val="en-GB"/>
        </w:rPr>
        <w:footnoteRef/>
      </w:r>
      <w:r w:rsidRPr="00573985">
        <w:rPr>
          <w:lang w:val="en-GB"/>
        </w:rPr>
        <w:t xml:space="preserve"> </w:t>
      </w:r>
      <w:r>
        <w:rPr>
          <w:lang w:val="en-GB"/>
        </w:rPr>
        <w:tab/>
      </w:r>
      <w:r w:rsidRPr="00573985">
        <w:rPr>
          <w:lang w:val="en-GB"/>
        </w:rPr>
        <w:t xml:space="preserve">Supreme Judicial Council, </w:t>
      </w:r>
      <w:proofErr w:type="spellStart"/>
      <w:r w:rsidRPr="00573985">
        <w:rPr>
          <w:i/>
          <w:iCs/>
          <w:lang w:val="en-GB"/>
        </w:rPr>
        <w:t>Bayan</w:t>
      </w:r>
      <w:proofErr w:type="spellEnd"/>
      <w:r w:rsidRPr="00573985">
        <w:rPr>
          <w:i/>
          <w:iCs/>
          <w:lang w:val="en-GB"/>
        </w:rPr>
        <w:t xml:space="preserve"> </w:t>
      </w:r>
      <w:proofErr w:type="spellStart"/>
      <w:r w:rsidRPr="00573985">
        <w:rPr>
          <w:i/>
          <w:iCs/>
          <w:lang w:val="en-GB"/>
        </w:rPr>
        <w:t>hawal</w:t>
      </w:r>
      <w:proofErr w:type="spellEnd"/>
      <w:r w:rsidRPr="00573985">
        <w:rPr>
          <w:i/>
          <w:iCs/>
          <w:lang w:val="en-GB"/>
        </w:rPr>
        <w:t xml:space="preserve"> </w:t>
      </w:r>
      <w:proofErr w:type="spellStart"/>
      <w:r w:rsidRPr="00573985">
        <w:rPr>
          <w:i/>
          <w:iCs/>
          <w:lang w:val="en-GB"/>
        </w:rPr>
        <w:t>wafa</w:t>
      </w:r>
      <w:proofErr w:type="spellEnd"/>
      <w:r w:rsidRPr="00573985">
        <w:rPr>
          <w:i/>
          <w:iCs/>
          <w:lang w:val="en-GB"/>
        </w:rPr>
        <w:t xml:space="preserve"> </w:t>
      </w:r>
      <w:proofErr w:type="spellStart"/>
      <w:r w:rsidRPr="00573985">
        <w:rPr>
          <w:i/>
          <w:iCs/>
          <w:lang w:val="en-GB"/>
        </w:rPr>
        <w:t>athnein</w:t>
      </w:r>
      <w:proofErr w:type="spellEnd"/>
      <w:r w:rsidRPr="00573985">
        <w:rPr>
          <w:i/>
          <w:iCs/>
          <w:lang w:val="en-GB"/>
        </w:rPr>
        <w:t xml:space="preserve"> min </w:t>
      </w:r>
      <w:proofErr w:type="spellStart"/>
      <w:r w:rsidRPr="00573985">
        <w:rPr>
          <w:i/>
          <w:iCs/>
          <w:lang w:val="en-GB"/>
        </w:rPr>
        <w:t>afrad</w:t>
      </w:r>
      <w:proofErr w:type="spellEnd"/>
      <w:r w:rsidRPr="00573985">
        <w:rPr>
          <w:i/>
          <w:iCs/>
          <w:lang w:val="en-GB"/>
        </w:rPr>
        <w:t xml:space="preserve"> </w:t>
      </w:r>
      <w:proofErr w:type="spellStart"/>
      <w:r w:rsidRPr="00573985">
        <w:rPr>
          <w:i/>
          <w:iCs/>
          <w:lang w:val="en-GB"/>
        </w:rPr>
        <w:t>himaya</w:t>
      </w:r>
      <w:proofErr w:type="spellEnd"/>
      <w:r w:rsidRPr="00573985">
        <w:rPr>
          <w:i/>
          <w:iCs/>
          <w:lang w:val="en-GB"/>
        </w:rPr>
        <w:t xml:space="preserve"> al-</w:t>
      </w:r>
      <w:proofErr w:type="spellStart"/>
      <w:r w:rsidRPr="00573985">
        <w:rPr>
          <w:i/>
          <w:iCs/>
          <w:lang w:val="en-GB"/>
        </w:rPr>
        <w:t>hashemi</w:t>
      </w:r>
      <w:proofErr w:type="spellEnd"/>
      <w:r w:rsidRPr="00573985">
        <w:rPr>
          <w:lang w:val="en-GB"/>
        </w:rPr>
        <w:t xml:space="preserve">, 11 April 2012, </w:t>
      </w:r>
      <w:hyperlink r:id="rId21" w:history="1">
        <w:r w:rsidRPr="00573985">
          <w:rPr>
            <w:rStyle w:val="Lienhypertexte"/>
            <w:lang w:val="en-GB"/>
          </w:rPr>
          <w:t>http://www.iraqja.iq/view.1393/</w:t>
        </w:r>
      </w:hyperlink>
      <w:r w:rsidRPr="00573985">
        <w:rPr>
          <w:lang w:val="en-GB"/>
        </w:rPr>
        <w:t xml:space="preserve"> (accessed on 10 July 2015).</w:t>
      </w:r>
    </w:p>
  </w:footnote>
  <w:footnote w:id="87">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r w:rsidRPr="00573985">
        <w:rPr>
          <w:lang w:val="en-GB"/>
        </w:rPr>
        <w:t>.,</w:t>
      </w:r>
      <w:proofErr w:type="gramEnd"/>
      <w:r w:rsidRPr="00573985">
        <w:rPr>
          <w:lang w:val="en-GB"/>
        </w:rPr>
        <w:t xml:space="preserve"> p. 8. </w:t>
      </w:r>
    </w:p>
  </w:footnote>
  <w:footnote w:id="88">
    <w:p w:rsidR="007858CF" w:rsidRDefault="007858CF" w:rsidP="007858CF">
      <w:pPr>
        <w:pStyle w:val="Notedebasdepage"/>
        <w:jc w:val="left"/>
      </w:pPr>
      <w:r w:rsidRPr="00417EAE">
        <w:rPr>
          <w:rStyle w:val="Appelnotedebasdep"/>
        </w:rPr>
        <w:footnoteRef/>
      </w:r>
      <w:r w:rsidRPr="00417EAE">
        <w:rPr>
          <w:lang w:val="en-GB"/>
        </w:rPr>
        <w:t xml:space="preserve"> </w:t>
      </w:r>
      <w:r w:rsidR="0026277F">
        <w:rPr>
          <w:lang w:val="en-GB"/>
        </w:rPr>
        <w:t xml:space="preserve">   </w:t>
      </w:r>
      <w:r w:rsidRPr="00417EAE">
        <w:rPr>
          <w:lang w:val="en-GB"/>
        </w:rPr>
        <w:t xml:space="preserve">Committee </w:t>
      </w:r>
      <w:proofErr w:type="gramStart"/>
      <w:r w:rsidRPr="00417EAE">
        <w:rPr>
          <w:lang w:val="en-GB"/>
        </w:rPr>
        <w:t>Against</w:t>
      </w:r>
      <w:proofErr w:type="gramEnd"/>
      <w:r w:rsidRPr="00417EAE">
        <w:rPr>
          <w:lang w:val="en-GB"/>
        </w:rPr>
        <w:t xml:space="preserve"> Torture, </w:t>
      </w:r>
      <w:r w:rsidRPr="00417EAE">
        <w:rPr>
          <w:i/>
          <w:iCs/>
          <w:lang w:val="en-GB"/>
        </w:rPr>
        <w:t xml:space="preserve">Concluding observations on the initial report of Iraq, </w:t>
      </w:r>
      <w:r w:rsidRPr="00417EAE">
        <w:rPr>
          <w:lang w:val="en-GB"/>
        </w:rPr>
        <w:t xml:space="preserve">(CAT/C/SR.1349 and 1350). </w:t>
      </w:r>
    </w:p>
  </w:footnote>
  <w:footnote w:id="89">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Human Rights Committee, </w:t>
      </w:r>
      <w:r w:rsidRPr="00573985">
        <w:rPr>
          <w:i/>
          <w:iCs/>
          <w:lang w:val="en-GB"/>
        </w:rPr>
        <w:t>Consideration of reports submitted by States parties under article 40 of the Covenant, Fifth periodic reports of States parties due in 2000, Iraq</w:t>
      </w:r>
      <w:r w:rsidRPr="00573985">
        <w:rPr>
          <w:lang w:val="en-GB"/>
        </w:rPr>
        <w:t>, 12 December 2013, (CCPR/C/IRQ/5), para.138 and following.</w:t>
      </w:r>
    </w:p>
  </w:footnote>
  <w:footnote w:id="90">
    <w:p w:rsidR="007858CF" w:rsidRDefault="007858CF">
      <w:pPr>
        <w:pStyle w:val="Notedebasdepage"/>
        <w:ind w:left="284" w:hanging="284"/>
        <w:jc w:val="left"/>
      </w:pPr>
      <w:r>
        <w:rPr>
          <w:rStyle w:val="Appelnotedebasdep"/>
        </w:rPr>
        <w:footnoteRef/>
      </w:r>
      <w:r>
        <w:rPr>
          <w:i/>
          <w:iCs/>
        </w:rPr>
        <w:t xml:space="preserve"> </w:t>
      </w:r>
      <w:r>
        <w:rPr>
          <w:i/>
          <w:iCs/>
        </w:rPr>
        <w:tab/>
      </w:r>
      <w:proofErr w:type="spellStart"/>
      <w:proofErr w:type="gramStart"/>
      <w:r w:rsidRPr="00573985">
        <w:rPr>
          <w:i/>
          <w:iCs/>
          <w:lang w:val="en-GB"/>
        </w:rPr>
        <w:t>Pillay</w:t>
      </w:r>
      <w:proofErr w:type="spellEnd"/>
      <w:r w:rsidRPr="00573985">
        <w:rPr>
          <w:i/>
          <w:iCs/>
          <w:lang w:val="en-GB"/>
        </w:rPr>
        <w:t xml:space="preserve"> condemns rampant use of death penalty in Iraq</w:t>
      </w:r>
      <w:r w:rsidRPr="00573985">
        <w:rPr>
          <w:lang w:val="en-GB"/>
        </w:rPr>
        <w:t xml:space="preserve">, Geneva, 19 April 2013, </w:t>
      </w:r>
      <w:hyperlink r:id="rId22" w:anchor="sthash.9rJbxoJD.dpuf" w:history="1">
        <w:r>
          <w:rPr>
            <w:rStyle w:val="Lienhypertexte"/>
            <w:lang w:val="en-GB"/>
          </w:rPr>
          <w:t>http://www.ohchr.org/EN/NewsEvents/Pages/DisplayNews.aspx?NewsID=13253&amp;LangID=E#sthash.9rJbxoJD.dpuf</w:t>
        </w:r>
      </w:hyperlink>
      <w:r w:rsidRPr="00573985">
        <w:rPr>
          <w:lang w:val="en-GB"/>
        </w:rPr>
        <w:t xml:space="preserve"> (accessed on 16 September 2015).</w:t>
      </w:r>
      <w:proofErr w:type="gramEnd"/>
    </w:p>
  </w:footnote>
  <w:footnote w:id="91">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12.</w:t>
      </w:r>
    </w:p>
  </w:footnote>
  <w:footnote w:id="92">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proofErr w:type="spellStart"/>
      <w:proofErr w:type="gramStart"/>
      <w:r w:rsidRPr="00573985">
        <w:rPr>
          <w:i/>
          <w:iCs/>
          <w:lang w:val="en-US"/>
        </w:rPr>
        <w:t>Ibidem</w:t>
      </w:r>
      <w:proofErr w:type="spellEnd"/>
      <w:r w:rsidRPr="00573985">
        <w:rPr>
          <w:i/>
          <w:iCs/>
          <w:lang w:val="en-US"/>
        </w:rPr>
        <w:t>.</w:t>
      </w:r>
      <w:proofErr w:type="gramEnd"/>
      <w:r w:rsidRPr="00573985">
        <w:rPr>
          <w:lang w:val="en-US"/>
        </w:rPr>
        <w:t xml:space="preserve"> </w:t>
      </w:r>
    </w:p>
  </w:footnote>
  <w:footnote w:id="93">
    <w:p w:rsidR="007858CF" w:rsidRPr="002B4899" w:rsidRDefault="007858CF" w:rsidP="00371B03">
      <w:pPr>
        <w:pStyle w:val="Notedebasdepage"/>
        <w:ind w:left="284" w:hanging="284"/>
        <w:jc w:val="left"/>
        <w:rPr>
          <w:lang w:val="en-US"/>
        </w:rPr>
      </w:pPr>
      <w:r w:rsidRPr="00573985">
        <w:rPr>
          <w:rStyle w:val="Appelnotedebasdep"/>
        </w:rPr>
        <w:footnoteRef/>
      </w:r>
      <w:r w:rsidRPr="00573985">
        <w:t xml:space="preserve"> </w:t>
      </w:r>
      <w:r>
        <w:tab/>
      </w:r>
      <w:r w:rsidRPr="00573985">
        <w:rPr>
          <w:lang w:val="en-US"/>
        </w:rPr>
        <w:t xml:space="preserve">Alkarama, </w:t>
      </w:r>
      <w:r w:rsidRPr="00573985">
        <w:rPr>
          <w:i/>
          <w:iCs/>
          <w:lang w:val="en-US"/>
        </w:rPr>
        <w:t xml:space="preserve">Iraq: MP Ahmad Al </w:t>
      </w:r>
      <w:proofErr w:type="spellStart"/>
      <w:r w:rsidRPr="00573985">
        <w:rPr>
          <w:i/>
          <w:iCs/>
          <w:lang w:val="en-US"/>
        </w:rPr>
        <w:t>Alwani</w:t>
      </w:r>
      <w:proofErr w:type="spellEnd"/>
      <w:r w:rsidRPr="00573985">
        <w:rPr>
          <w:i/>
          <w:iCs/>
          <w:lang w:val="en-US"/>
        </w:rPr>
        <w:t xml:space="preserve"> Sentenced to Death </w:t>
      </w:r>
      <w:proofErr w:type="gramStart"/>
      <w:r w:rsidRPr="00573985">
        <w:rPr>
          <w:i/>
          <w:iCs/>
          <w:lang w:val="en-US"/>
        </w:rPr>
        <w:t>After</w:t>
      </w:r>
      <w:proofErr w:type="gramEnd"/>
      <w:r w:rsidRPr="00573985">
        <w:rPr>
          <w:i/>
          <w:iCs/>
          <w:lang w:val="en-US"/>
        </w:rPr>
        <w:t xml:space="preserve"> Flawed Trial</w:t>
      </w:r>
      <w:r w:rsidRPr="00573985">
        <w:rPr>
          <w:lang w:val="en-US"/>
        </w:rPr>
        <w:t xml:space="preserve">, 16 January 2015, </w:t>
      </w:r>
      <w:hyperlink r:id="rId23" w:history="1">
        <w:r w:rsidRPr="00573985">
          <w:rPr>
            <w:rStyle w:val="Lienhypertexte"/>
            <w:lang w:val="en-US"/>
          </w:rPr>
          <w:t>http://en.alkarama.org/1593-iraq-member-of-council-of-representatives-al-alwani-sentenced-to-death-after-flawed-trial</w:t>
        </w:r>
      </w:hyperlink>
      <w:r w:rsidRPr="00573985">
        <w:rPr>
          <w:lang w:val="en-US"/>
        </w:rPr>
        <w:t xml:space="preserve"> (accessed on 20 September 2015).</w:t>
      </w:r>
    </w:p>
  </w:footnote>
  <w:footnote w:id="94">
    <w:p w:rsidR="007858CF" w:rsidRPr="002B4899" w:rsidRDefault="007858CF" w:rsidP="00371B03">
      <w:pPr>
        <w:pStyle w:val="Notedebasdepage"/>
        <w:ind w:left="284" w:hanging="284"/>
        <w:jc w:val="left"/>
      </w:pPr>
      <w:r w:rsidRPr="00573985">
        <w:rPr>
          <w:rStyle w:val="Appelnotedebasdep"/>
        </w:rPr>
        <w:footnoteRef/>
      </w:r>
      <w:r w:rsidRPr="00573985">
        <w:t xml:space="preserve"> </w:t>
      </w:r>
      <w:r>
        <w:tab/>
      </w:r>
      <w:r w:rsidRPr="00573985">
        <w:t>Inter-Parliamentary Union</w:t>
      </w:r>
      <w:r w:rsidRPr="00573985">
        <w:rPr>
          <w:i/>
          <w:iCs/>
        </w:rPr>
        <w:t>, Iraq IQ/62 - Ahmed Jamil Salman Al-Alwani, Decision adopted by the Committee on the Human Rights of Parliamentarians at its 146th session</w:t>
      </w:r>
      <w:r w:rsidRPr="00573985">
        <w:t>, Geneva, 24-27 January 2015.</w:t>
      </w:r>
    </w:p>
  </w:footnote>
  <w:footnote w:id="95">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12.</w:t>
      </w:r>
    </w:p>
  </w:footnote>
  <w:footnote w:id="96">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i/>
          <w:iCs/>
          <w:lang w:val="en-GB"/>
        </w:rPr>
        <w:t>Ibid.</w:t>
      </w:r>
      <w:r w:rsidRPr="00573985">
        <w:rPr>
          <w:lang w:val="en-GB"/>
        </w:rPr>
        <w:t>, p. 13-14</w:t>
      </w:r>
    </w:p>
  </w:footnote>
  <w:footnote w:id="97">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It is in fact a violation of article 9.1 ICCPR, as the jurisprudence of the Human Rights Committee recognised that detention may become “arbitrary” if it is unduly prolonged or not subject to periodic review. </w:t>
      </w:r>
      <w:proofErr w:type="gramStart"/>
      <w:r w:rsidRPr="00573985">
        <w:rPr>
          <w:lang w:val="en-GB"/>
        </w:rPr>
        <w:t xml:space="preserve">I.e. Human Rights Committee, </w:t>
      </w:r>
      <w:r w:rsidRPr="00573985">
        <w:rPr>
          <w:i/>
          <w:iCs/>
          <w:lang w:val="en-GB"/>
        </w:rPr>
        <w:t>Van Alphen v.</w:t>
      </w:r>
      <w:proofErr w:type="gramEnd"/>
      <w:r w:rsidRPr="00573985">
        <w:rPr>
          <w:i/>
          <w:iCs/>
          <w:lang w:val="en-GB"/>
        </w:rPr>
        <w:t xml:space="preserve"> </w:t>
      </w:r>
      <w:proofErr w:type="gramStart"/>
      <w:r w:rsidRPr="00573985">
        <w:rPr>
          <w:i/>
          <w:iCs/>
          <w:lang w:val="en-GB"/>
        </w:rPr>
        <w:t xml:space="preserve">The Netherlands, </w:t>
      </w:r>
      <w:r w:rsidRPr="00573985">
        <w:rPr>
          <w:lang w:val="en-GB"/>
        </w:rPr>
        <w:t>Case No.305/1988, UN Doc.</w:t>
      </w:r>
      <w:proofErr w:type="gramEnd"/>
      <w:r w:rsidRPr="00573985">
        <w:rPr>
          <w:lang w:val="en-GB"/>
        </w:rPr>
        <w:t xml:space="preserve"> </w:t>
      </w:r>
      <w:proofErr w:type="gramStart"/>
      <w:r w:rsidRPr="00573985">
        <w:rPr>
          <w:lang w:val="en-GB"/>
        </w:rPr>
        <w:t xml:space="preserve">A/45/40, Vol. 2, Annex IX, Sect. M, </w:t>
      </w:r>
      <w:proofErr w:type="spellStart"/>
      <w:r w:rsidRPr="00573985">
        <w:rPr>
          <w:lang w:val="en-GB"/>
        </w:rPr>
        <w:t>para</w:t>
      </w:r>
      <w:proofErr w:type="spellEnd"/>
      <w:r w:rsidRPr="00573985">
        <w:rPr>
          <w:lang w:val="en-GB"/>
        </w:rPr>
        <w:t>.</w:t>
      </w:r>
      <w:proofErr w:type="gramEnd"/>
      <w:r w:rsidRPr="00573985">
        <w:rPr>
          <w:lang w:val="en-GB"/>
        </w:rPr>
        <w:t xml:space="preserve"> 5.8. Indefinite detention amounts as well to a violation of Article 9.3 ICCPR according to which “anyone arrested (…) shall be promptly brought before a judge. </w:t>
      </w:r>
    </w:p>
  </w:footnote>
  <w:footnote w:id="98">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t>I</w:t>
      </w:r>
      <w:r w:rsidRPr="00573985">
        <w:rPr>
          <w:lang w:val="en-GB"/>
        </w:rPr>
        <w:t xml:space="preserve">.e. Alkarama, </w:t>
      </w:r>
      <w:r w:rsidRPr="00573985">
        <w:rPr>
          <w:i/>
          <w:iCs/>
          <w:lang w:val="en-GB"/>
        </w:rPr>
        <w:t xml:space="preserve">Iraq: When will </w:t>
      </w:r>
      <w:proofErr w:type="spellStart"/>
      <w:r w:rsidRPr="00573985">
        <w:rPr>
          <w:i/>
          <w:iCs/>
          <w:lang w:val="en-GB"/>
        </w:rPr>
        <w:t>Shawki</w:t>
      </w:r>
      <w:proofErr w:type="spellEnd"/>
      <w:r w:rsidRPr="00573985">
        <w:rPr>
          <w:i/>
          <w:iCs/>
          <w:lang w:val="en-GB"/>
        </w:rPr>
        <w:t xml:space="preserve"> Omar be free?</w:t>
      </w:r>
      <w:r w:rsidRPr="00573985">
        <w:rPr>
          <w:lang w:val="en-GB"/>
        </w:rPr>
        <w:t xml:space="preserve"> </w:t>
      </w:r>
      <w:proofErr w:type="gramStart"/>
      <w:r w:rsidRPr="00573985">
        <w:rPr>
          <w:lang w:val="en-GB"/>
        </w:rPr>
        <w:t xml:space="preserve">, 7 April 2014, </w:t>
      </w:r>
      <w:hyperlink r:id="rId24" w:history="1">
        <w:r w:rsidRPr="00573985">
          <w:rPr>
            <w:rStyle w:val="Lienhypertexte"/>
            <w:lang w:val="en-GB"/>
          </w:rPr>
          <w:t>http://en.alkarama.org/component/k2/1211-iraq-when-will-shawki-omar-be-free</w:t>
        </w:r>
      </w:hyperlink>
      <w:r w:rsidRPr="00573985">
        <w:rPr>
          <w:lang w:val="en-GB"/>
        </w:rPr>
        <w:t xml:space="preserve"> (accessed on 20 September 2015).</w:t>
      </w:r>
      <w:proofErr w:type="gramEnd"/>
    </w:p>
  </w:footnote>
  <w:footnote w:id="99">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Human Rights Watch, </w:t>
      </w:r>
      <w:r w:rsidRPr="00573985">
        <w:rPr>
          <w:i/>
          <w:iCs/>
          <w:lang w:val="en-GB"/>
        </w:rPr>
        <w:t>Iraq: Mass Arrests, Incommunicado Detentions</w:t>
      </w:r>
      <w:r w:rsidRPr="00573985">
        <w:rPr>
          <w:lang w:val="en-GB"/>
        </w:rPr>
        <w:t xml:space="preserve">, 5 May 2015, </w:t>
      </w:r>
      <w:hyperlink r:id="rId25" w:history="1">
        <w:r w:rsidRPr="00573985">
          <w:rPr>
            <w:rStyle w:val="Lienhypertexte"/>
            <w:lang w:val="en-GB"/>
          </w:rPr>
          <w:t>https://www.hrw.org/news/2012/05/15/iraq-mass-arrests-incommunicado-detentions</w:t>
        </w:r>
      </w:hyperlink>
      <w:r w:rsidRPr="00573985">
        <w:rPr>
          <w:lang w:val="en-GB"/>
        </w:rPr>
        <w:t xml:space="preserve">, (accessed on 20 September 2015); Amnesty International, </w:t>
      </w:r>
      <w:r w:rsidRPr="00573985">
        <w:rPr>
          <w:i/>
          <w:iCs/>
          <w:lang w:val="en-GB"/>
        </w:rPr>
        <w:t>Iraq: Men Detained Incommunicado (UA 124/12)</w:t>
      </w:r>
      <w:r w:rsidRPr="00573985">
        <w:rPr>
          <w:lang w:val="en-GB"/>
        </w:rPr>
        <w:t xml:space="preserve">, 3 May 2012, </w:t>
      </w:r>
      <w:hyperlink r:id="rId26" w:history="1">
        <w:r w:rsidRPr="00573985">
          <w:rPr>
            <w:rStyle w:val="Lienhypertexte"/>
            <w:lang w:val="en-GB"/>
          </w:rPr>
          <w:t>http://www.amnestyusa.org/get-involved/take-action-now/iraq-men-detained-incommunicado-ua-12412</w:t>
        </w:r>
      </w:hyperlink>
      <w:r w:rsidRPr="00573985">
        <w:rPr>
          <w:lang w:val="en-GB"/>
        </w:rPr>
        <w:t xml:space="preserve">, (accessed on 20 September 2015). </w:t>
      </w:r>
    </w:p>
  </w:footnote>
  <w:footnote w:id="100">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International Commission on Missing Persons (ICMP), Middle East and North Africa, </w:t>
      </w:r>
      <w:hyperlink r:id="rId27" w:history="1">
        <w:r w:rsidRPr="00573985">
          <w:rPr>
            <w:rStyle w:val="Lienhypertexte"/>
            <w:lang w:val="en-GB"/>
          </w:rPr>
          <w:t>http://www.icmp.int/where-we-work/middle-east-and-north-africa/</w:t>
        </w:r>
      </w:hyperlink>
      <w:r w:rsidRPr="00573985">
        <w:rPr>
          <w:lang w:val="en-GB"/>
        </w:rPr>
        <w:t xml:space="preserve"> (accessed on 16 September 2015).</w:t>
      </w:r>
    </w:p>
  </w:footnote>
  <w:footnote w:id="101">
    <w:p w:rsidR="007858CF" w:rsidRPr="002B4899" w:rsidRDefault="007858CF" w:rsidP="00371B03">
      <w:pPr>
        <w:pStyle w:val="Notedebasdepage"/>
        <w:tabs>
          <w:tab w:val="left" w:pos="0"/>
        </w:tabs>
        <w:ind w:left="284" w:hanging="284"/>
        <w:jc w:val="left"/>
        <w:rPr>
          <w:lang w:val="en-GB"/>
        </w:rPr>
      </w:pPr>
      <w:r w:rsidRPr="00573985">
        <w:rPr>
          <w:rStyle w:val="Appelnotedebasdep"/>
          <w:lang w:val="en-GB"/>
        </w:rPr>
        <w:footnoteRef/>
      </w:r>
      <w:r w:rsidRPr="00573985">
        <w:rPr>
          <w:lang w:val="en-GB"/>
        </w:rPr>
        <w:t xml:space="preserve"> </w:t>
      </w:r>
      <w:r>
        <w:rPr>
          <w:lang w:val="en-GB"/>
        </w:rPr>
        <w:tab/>
      </w:r>
      <w:r w:rsidRPr="00573985">
        <w:rPr>
          <w:lang w:val="en-GB"/>
        </w:rPr>
        <w:t xml:space="preserve">Alkarama, </w:t>
      </w:r>
      <w:r w:rsidRPr="00573985">
        <w:rPr>
          <w:i/>
          <w:iCs/>
          <w:lang w:val="en-GB"/>
        </w:rPr>
        <w:t>Iraq – URGENT APPEAL: Electrocuted and Sexually Abused by Army, Now at High Risk of Being Sentenced on Sole Basis of Confessions under Torture</w:t>
      </w:r>
      <w:r w:rsidRPr="00573985">
        <w:rPr>
          <w:lang w:val="en-GB"/>
        </w:rPr>
        <w:t xml:space="preserve">, 28 May 2015, </w:t>
      </w:r>
      <w:hyperlink r:id="rId28" w:history="1">
        <w:r w:rsidRPr="00573985">
          <w:rPr>
            <w:rStyle w:val="Lienhypertexte"/>
            <w:lang w:val="en-GB"/>
          </w:rPr>
          <w:t>http://en.alkarama.org/iraq/press-releases/1722-iraq-urgent-appeal-electrocuted-and-sexually-abused-by-army-now-at-high-risk-of-being-sentenced-on-sole-basis-of-confessions-under-torture</w:t>
        </w:r>
      </w:hyperlink>
      <w:r w:rsidRPr="00573985">
        <w:rPr>
          <w:lang w:val="en-GB"/>
        </w:rPr>
        <w:t xml:space="preserve">  (accessed on 2 July 2015).</w:t>
      </w:r>
    </w:p>
  </w:footnote>
  <w:footnote w:id="102">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I.e. a</w:t>
      </w:r>
      <w:proofErr w:type="spellStart"/>
      <w:r w:rsidRPr="00573985">
        <w:rPr>
          <w:lang w:val="en-US"/>
        </w:rPr>
        <w:t>rticle</w:t>
      </w:r>
      <w:proofErr w:type="spellEnd"/>
      <w:r w:rsidRPr="00573985">
        <w:rPr>
          <w:lang w:val="en-US"/>
        </w:rPr>
        <w:t xml:space="preserve"> 322 of the Penal Code only prescribes a penalty of up to 7 years.</w:t>
      </w:r>
      <w:r w:rsidRPr="00573985">
        <w:rPr>
          <w:lang w:val="en-GB"/>
        </w:rPr>
        <w:t xml:space="preserve"> </w:t>
      </w:r>
    </w:p>
  </w:footnote>
  <w:footnote w:id="103">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I.e. a</w:t>
      </w:r>
      <w:proofErr w:type="spellStart"/>
      <w:r w:rsidRPr="00573985">
        <w:rPr>
          <w:lang w:val="en-US"/>
        </w:rPr>
        <w:t>rticle</w:t>
      </w:r>
      <w:proofErr w:type="spellEnd"/>
      <w:r w:rsidRPr="00573985">
        <w:rPr>
          <w:lang w:val="en-US"/>
        </w:rPr>
        <w:t xml:space="preserve"> 40.2 of the Penal Code states that there is no crime id the perpetrator commits the act in performance of an order from a superior act, which he is obliged to obey, or which he feels he is obliged to obey.</w:t>
      </w:r>
    </w:p>
  </w:footnote>
  <w:footnote w:id="104">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proofErr w:type="gramStart"/>
      <w:r w:rsidRPr="00573985">
        <w:rPr>
          <w:lang w:val="en-GB"/>
        </w:rPr>
        <w:t xml:space="preserve">Alkarama, </w:t>
      </w:r>
      <w:r w:rsidRPr="00573985">
        <w:rPr>
          <w:i/>
          <w:iCs/>
          <w:lang w:val="en-GB"/>
        </w:rPr>
        <w:t>Iraq, Shadow Report, Report Submitted to the Committee on Enforced Disappearances in the context of the review of the initial report of Iraq</w:t>
      </w:r>
      <w:r w:rsidRPr="00573985">
        <w:rPr>
          <w:lang w:val="en-GB"/>
        </w:rPr>
        <w:t>, 14 August 2015, p. 5.</w:t>
      </w:r>
      <w:proofErr w:type="gramEnd"/>
    </w:p>
  </w:footnote>
  <w:footnote w:id="105">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r w:rsidRPr="00573985">
        <w:rPr>
          <w:lang w:val="en-GB"/>
        </w:rPr>
        <w:t>.,</w:t>
      </w:r>
      <w:proofErr w:type="gramEnd"/>
      <w:r w:rsidRPr="00573985">
        <w:rPr>
          <w:lang w:val="en-GB"/>
        </w:rPr>
        <w:t xml:space="preserve"> p. 5.</w:t>
      </w:r>
    </w:p>
  </w:footnote>
  <w:footnote w:id="106">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13.</w:t>
      </w:r>
    </w:p>
  </w:footnote>
  <w:footnote w:id="107">
    <w:p w:rsidR="007858CF" w:rsidRPr="002B4899" w:rsidRDefault="007858CF" w:rsidP="00371B03">
      <w:pPr>
        <w:pStyle w:val="Notedebasdepage"/>
        <w:tabs>
          <w:tab w:val="left" w:pos="284"/>
        </w:tabs>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OHCHR/UNAMI, </w:t>
      </w:r>
      <w:r w:rsidRPr="00573985">
        <w:rPr>
          <w:i/>
          <w:iCs/>
          <w:lang w:val="en-GB"/>
        </w:rPr>
        <w:t>Report on the judicial response to allegations of torture in Iraq</w:t>
      </w:r>
      <w:r w:rsidRPr="00573985">
        <w:rPr>
          <w:lang w:val="en-GB"/>
        </w:rPr>
        <w:t>, February 2015, p.2.</w:t>
      </w:r>
    </w:p>
  </w:footnote>
  <w:footnote w:id="108">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13.</w:t>
      </w:r>
    </w:p>
  </w:footnote>
  <w:footnote w:id="109">
    <w:p w:rsidR="007858CF" w:rsidRPr="002B4899" w:rsidRDefault="007858CF" w:rsidP="00371B03">
      <w:pPr>
        <w:pStyle w:val="Notedebasdepage"/>
        <w:tabs>
          <w:tab w:val="left" w:pos="284"/>
        </w:tabs>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OHCHR/UNAMI, </w:t>
      </w:r>
      <w:r w:rsidRPr="00573985">
        <w:rPr>
          <w:i/>
          <w:iCs/>
          <w:lang w:val="en-GB"/>
        </w:rPr>
        <w:t>Report on the judicial response to allegations of torture in Iraq</w:t>
      </w:r>
      <w:r w:rsidRPr="00573985">
        <w:rPr>
          <w:lang w:val="en-GB"/>
        </w:rPr>
        <w:t>, February 2015, p.iii.</w:t>
      </w:r>
    </w:p>
  </w:footnote>
  <w:footnote w:id="110">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22.</w:t>
      </w:r>
    </w:p>
  </w:footnote>
  <w:footnote w:id="111">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Amnesty International, </w:t>
      </w:r>
      <w:r w:rsidRPr="00573985">
        <w:rPr>
          <w:i/>
          <w:iCs/>
          <w:lang w:val="en-GB"/>
        </w:rPr>
        <w:t>Iraq: A Decade of Abuses</w:t>
      </w:r>
      <w:r w:rsidRPr="00573985">
        <w:rPr>
          <w:lang w:val="en-GB"/>
        </w:rPr>
        <w:t xml:space="preserve">, 2013, </w:t>
      </w:r>
      <w:r>
        <w:rPr>
          <w:lang w:val="en-GB"/>
        </w:rPr>
        <w:t>p</w:t>
      </w:r>
      <w:r w:rsidRPr="00573985">
        <w:rPr>
          <w:lang w:val="en-GB"/>
        </w:rPr>
        <w:t>. 37-38.</w:t>
      </w:r>
    </w:p>
  </w:footnote>
  <w:footnote w:id="112">
    <w:p w:rsidR="007858CF" w:rsidRPr="002B4899" w:rsidRDefault="007858CF" w:rsidP="00371B03">
      <w:pPr>
        <w:pStyle w:val="Notedebasdepage"/>
        <w:tabs>
          <w:tab w:val="left" w:pos="0"/>
        </w:tabs>
        <w:ind w:left="284" w:hanging="284"/>
        <w:jc w:val="left"/>
        <w:rPr>
          <w:lang w:val="en-US"/>
        </w:rPr>
      </w:pPr>
      <w:r w:rsidRPr="00573985">
        <w:rPr>
          <w:rStyle w:val="Appelnotedebasdep"/>
        </w:rPr>
        <w:footnoteRef/>
      </w:r>
      <w:r w:rsidRPr="00573985">
        <w:t xml:space="preserve"> </w:t>
      </w:r>
      <w:r>
        <w:tab/>
      </w:r>
      <w:r w:rsidRPr="00573985">
        <w:rPr>
          <w:lang w:val="en-US"/>
        </w:rPr>
        <w:t>Jack Healy,</w:t>
      </w:r>
      <w:r w:rsidRPr="00573985">
        <w:rPr>
          <w:lang w:eastAsia="fr-FR"/>
        </w:rPr>
        <w:t xml:space="preserve"> </w:t>
      </w:r>
      <w:r w:rsidRPr="00573985">
        <w:t xml:space="preserve">“Iraq Turns Justice </w:t>
      </w:r>
      <w:proofErr w:type="gramStart"/>
      <w:r w:rsidRPr="00573985">
        <w:t>Into</w:t>
      </w:r>
      <w:proofErr w:type="gramEnd"/>
      <w:r w:rsidRPr="00573985">
        <w:t xml:space="preserve"> a Show, and Terror Confessions a Script”, </w:t>
      </w:r>
      <w:r w:rsidRPr="00573985">
        <w:rPr>
          <w:i/>
        </w:rPr>
        <w:t>New York Times</w:t>
      </w:r>
      <w:r w:rsidRPr="00573985">
        <w:t xml:space="preserve">, 7 January 2012, </w:t>
      </w:r>
      <w:r w:rsidR="00E40B1D">
        <w:fldChar w:fldCharType="begin"/>
      </w:r>
      <w:r w:rsidR="00E40B1D">
        <w:instrText>HYPERLINK "http://www.nytimes.com/2012/01/08/world/middleeast/iraq-turns-justice-into-a-show-and-terror-confessions-a-script.html"</w:instrText>
      </w:r>
      <w:r w:rsidR="00E40B1D">
        <w:fldChar w:fldCharType="separate"/>
      </w:r>
      <w:r w:rsidRPr="00573985">
        <w:rPr>
          <w:rStyle w:val="Lienhypertexte"/>
        </w:rPr>
        <w:t>http://www.nytimes.com/2012/01/08/world/middleeast/iraq-turns-justice-into-a-show-and-terror-confessions-a-script.html</w:t>
      </w:r>
      <w:r w:rsidR="00E40B1D">
        <w:fldChar w:fldCharType="end"/>
      </w:r>
      <w:r w:rsidRPr="00573985">
        <w:t xml:space="preserve"> (accessed on 9 July 2015).</w:t>
      </w:r>
    </w:p>
  </w:footnote>
  <w:footnote w:id="113">
    <w:p w:rsidR="007858CF" w:rsidRPr="002B4899" w:rsidRDefault="007858CF" w:rsidP="00371B03">
      <w:pPr>
        <w:pStyle w:val="Notedebasdepage"/>
        <w:tabs>
          <w:tab w:val="left" w:pos="0"/>
        </w:tabs>
        <w:ind w:left="284" w:hanging="284"/>
        <w:jc w:val="left"/>
        <w:rPr>
          <w:lang w:val="en-GB"/>
        </w:rPr>
      </w:pPr>
      <w:r w:rsidRPr="00573985">
        <w:rPr>
          <w:rStyle w:val="Appelnotedebasdep"/>
          <w:lang w:val="en-GB"/>
        </w:rPr>
        <w:footnoteRef/>
      </w:r>
      <w:r w:rsidRPr="00573985">
        <w:rPr>
          <w:lang w:val="en-GB"/>
        </w:rPr>
        <w:t xml:space="preserve">  </w:t>
      </w:r>
      <w:r>
        <w:rPr>
          <w:lang w:val="en-GB"/>
        </w:rPr>
        <w:tab/>
      </w:r>
      <w:r w:rsidRPr="00573985">
        <w:rPr>
          <w:lang w:val="en-GB"/>
        </w:rPr>
        <w:t>See about four of his security officers here</w:t>
      </w:r>
      <w:r>
        <w:rPr>
          <w:lang w:val="en-GB"/>
        </w:rPr>
        <w:t>:</w:t>
      </w:r>
      <w:r w:rsidRPr="00573985">
        <w:rPr>
          <w:lang w:val="en-GB"/>
        </w:rPr>
        <w:t xml:space="preserve"> Alkarama, </w:t>
      </w:r>
      <w:r w:rsidRPr="00573985">
        <w:rPr>
          <w:i/>
          <w:lang w:val="en-GB"/>
        </w:rPr>
        <w:t xml:space="preserve">Iraq : Four Security Officers of Former Vice-President Al </w:t>
      </w:r>
      <w:proofErr w:type="spellStart"/>
      <w:r w:rsidRPr="00573985">
        <w:rPr>
          <w:i/>
          <w:lang w:val="en-GB"/>
        </w:rPr>
        <w:t>Hashimi</w:t>
      </w:r>
      <w:proofErr w:type="spellEnd"/>
      <w:r w:rsidRPr="00573985">
        <w:rPr>
          <w:i/>
          <w:lang w:val="en-GB"/>
        </w:rPr>
        <w:t xml:space="preserve"> Arbitrarily Detained on the Basis of False Confessions Obtained Under Torture</w:t>
      </w:r>
      <w:r w:rsidRPr="00573985">
        <w:rPr>
          <w:lang w:val="en-GB"/>
        </w:rPr>
        <w:t xml:space="preserve">, 21 August 2014, </w:t>
      </w:r>
      <w:hyperlink r:id="rId29" w:history="1">
        <w:r w:rsidRPr="00573985">
          <w:rPr>
            <w:rStyle w:val="Lienhypertexte"/>
            <w:lang w:val="en-GB"/>
          </w:rPr>
          <w:t>http://en.alkarama.org/iraq/press-releases/1482-iraq-four-security-officers-of-former-vice-president-al-hashimi-arbitrarily-detained-on-basis-of-false-confessions-obtained-under-torture</w:t>
        </w:r>
      </w:hyperlink>
      <w:r w:rsidRPr="00573985">
        <w:rPr>
          <w:lang w:val="en-GB"/>
        </w:rPr>
        <w:t xml:space="preserve"> (accessed on 6 July 2015) ; and about 11 of his staff in addition to their relatives and friends here : Alkarama, </w:t>
      </w:r>
      <w:r w:rsidRPr="00573985">
        <w:rPr>
          <w:i/>
          <w:lang w:val="en-GB"/>
        </w:rPr>
        <w:t xml:space="preserve">Iraq : Politically-Driven Mass Arrests and Arbitrary Detention Target Former Vice-President Al </w:t>
      </w:r>
      <w:proofErr w:type="spellStart"/>
      <w:r w:rsidRPr="00573985">
        <w:rPr>
          <w:i/>
          <w:lang w:val="en-GB"/>
        </w:rPr>
        <w:t>Hashimi’s</w:t>
      </w:r>
      <w:proofErr w:type="spellEnd"/>
      <w:r w:rsidRPr="00573985">
        <w:rPr>
          <w:i/>
          <w:lang w:val="en-GB"/>
        </w:rPr>
        <w:t xml:space="preserve"> Staff</w:t>
      </w:r>
      <w:r w:rsidRPr="00573985">
        <w:rPr>
          <w:lang w:val="en-GB"/>
        </w:rPr>
        <w:t xml:space="preserve">, 15 April 2015, </w:t>
      </w:r>
      <w:hyperlink r:id="rId30" w:history="1">
        <w:r w:rsidRPr="00573985">
          <w:rPr>
            <w:rStyle w:val="Lienhypertexte"/>
            <w:lang w:val="en-GB"/>
          </w:rPr>
          <w:t>http://en.alkarama.org/iraq/press-releases/1659-iraq-politically-driven-mass-arrests-and-arbitrary-detention-target-former-vice-president-al-hashimi-s-staff</w:t>
        </w:r>
      </w:hyperlink>
      <w:r w:rsidRPr="00573985">
        <w:rPr>
          <w:lang w:val="en-GB"/>
        </w:rPr>
        <w:t xml:space="preserve"> (accessed on 6 July 2015). </w:t>
      </w:r>
    </w:p>
  </w:footnote>
  <w:footnote w:id="114">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UNAMI/OHCHR, </w:t>
      </w:r>
      <w:r w:rsidRPr="00573985">
        <w:rPr>
          <w:i/>
          <w:iCs/>
          <w:lang w:val="en-GB"/>
        </w:rPr>
        <w:t>Report on the death penalty in Iraq</w:t>
      </w:r>
      <w:r w:rsidRPr="00573985">
        <w:rPr>
          <w:lang w:val="en-GB"/>
        </w:rPr>
        <w:t>, Baghdad, October 2014, p. 23.</w:t>
      </w:r>
    </w:p>
  </w:footnote>
  <w:footnote w:id="115">
    <w:p w:rsidR="007858CF" w:rsidRPr="002B4899" w:rsidRDefault="007858CF" w:rsidP="00371B03">
      <w:pPr>
        <w:pStyle w:val="Notedebasdepage"/>
        <w:ind w:left="284" w:hanging="284"/>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r w:rsidRPr="00573985">
        <w:rPr>
          <w:lang w:val="en-GB"/>
        </w:rPr>
        <w:t>.,</w:t>
      </w:r>
      <w:proofErr w:type="gramEnd"/>
      <w:r w:rsidRPr="00573985">
        <w:rPr>
          <w:lang w:val="en-GB"/>
        </w:rPr>
        <w:t xml:space="preserve"> p.6.</w:t>
      </w:r>
    </w:p>
  </w:footnote>
  <w:footnote w:id="116">
    <w:p w:rsidR="007858CF" w:rsidRPr="002B4899" w:rsidRDefault="007858CF" w:rsidP="00371B03">
      <w:pPr>
        <w:autoSpaceDE w:val="0"/>
        <w:autoSpaceDN w:val="0"/>
        <w:adjustRightInd w:val="0"/>
        <w:ind w:left="284" w:hanging="284"/>
        <w:jc w:val="left"/>
        <w:rPr>
          <w:sz w:val="16"/>
          <w:szCs w:val="16"/>
        </w:rPr>
      </w:pPr>
      <w:r w:rsidRPr="002B4899">
        <w:rPr>
          <w:rStyle w:val="Appelnotedebasdep"/>
          <w:sz w:val="16"/>
          <w:szCs w:val="16"/>
        </w:rPr>
        <w:footnoteRef/>
      </w:r>
      <w:r w:rsidRPr="002B4899">
        <w:rPr>
          <w:sz w:val="16"/>
          <w:szCs w:val="16"/>
        </w:rPr>
        <w:t xml:space="preserve"> </w:t>
      </w:r>
      <w:r>
        <w:rPr>
          <w:sz w:val="16"/>
          <w:szCs w:val="16"/>
        </w:rPr>
        <w:tab/>
      </w:r>
      <w:r>
        <w:rPr>
          <w:sz w:val="16"/>
          <w:szCs w:val="16"/>
          <w:lang w:eastAsia="it-IT"/>
        </w:rPr>
        <w:t xml:space="preserve">UNAMI Human Rights Office, OHCHR, </w:t>
      </w:r>
      <w:r>
        <w:rPr>
          <w:i/>
          <w:iCs/>
          <w:sz w:val="16"/>
          <w:szCs w:val="16"/>
          <w:lang w:eastAsia="it-IT"/>
        </w:rPr>
        <w:t>Report on Human Rights in Iraq, January – June 2013</w:t>
      </w:r>
      <w:r>
        <w:rPr>
          <w:sz w:val="16"/>
          <w:szCs w:val="16"/>
          <w:lang w:eastAsia="it-IT"/>
        </w:rPr>
        <w:t>, August 2013, Baghdad, p.9.</w:t>
      </w:r>
    </w:p>
  </w:footnote>
  <w:footnote w:id="117">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proofErr w:type="gramStart"/>
      <w:r w:rsidRPr="00573985">
        <w:rPr>
          <w:i/>
          <w:iCs/>
          <w:lang w:val="en-GB"/>
        </w:rPr>
        <w:t>Ibid</w:t>
      </w:r>
      <w:r w:rsidRPr="00573985">
        <w:rPr>
          <w:lang w:val="en-GB"/>
        </w:rPr>
        <w:t>. p. 10.</w:t>
      </w:r>
      <w:proofErr w:type="gramEnd"/>
      <w:r w:rsidRPr="00573985">
        <w:rPr>
          <w:lang w:val="en-GB"/>
        </w:rPr>
        <w:t xml:space="preserve"> </w:t>
      </w:r>
    </w:p>
  </w:footnote>
  <w:footnote w:id="118">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Human Rights Watch, </w:t>
      </w:r>
      <w:r w:rsidRPr="00573985">
        <w:rPr>
          <w:i/>
          <w:iCs/>
          <w:lang w:val="en-GB"/>
        </w:rPr>
        <w:t>Iraq: Set Aside Verdict in Massacre of Cadets</w:t>
      </w:r>
      <w:r w:rsidRPr="00573985">
        <w:rPr>
          <w:lang w:val="en-GB"/>
        </w:rPr>
        <w:t xml:space="preserve">, 16 July 2015, </w:t>
      </w:r>
      <w:hyperlink r:id="rId31" w:history="1">
        <w:r w:rsidRPr="00573985">
          <w:rPr>
            <w:rStyle w:val="Lienhypertexte"/>
            <w:lang w:val="en-GB"/>
          </w:rPr>
          <w:t>https://www.hrw.org/news/2015/07/16/iraq-set-aside-verdict-massacre-cadets</w:t>
        </w:r>
      </w:hyperlink>
      <w:r w:rsidRPr="00573985">
        <w:rPr>
          <w:lang w:val="en-GB"/>
        </w:rPr>
        <w:t xml:space="preserve"> (accessed on 17 September 2015).</w:t>
      </w:r>
    </w:p>
  </w:footnote>
  <w:footnote w:id="119">
    <w:p w:rsidR="007858CF" w:rsidRDefault="007858CF">
      <w:pPr>
        <w:pStyle w:val="Notedebasdepage"/>
        <w:ind w:left="284" w:hanging="284"/>
        <w:jc w:val="left"/>
      </w:pPr>
      <w:r>
        <w:rPr>
          <w:rStyle w:val="Appelnotedebasdep"/>
        </w:rPr>
        <w:footnoteRef/>
      </w:r>
      <w:r w:rsidRPr="00573985">
        <w:rPr>
          <w:lang w:val="en-GB"/>
        </w:rPr>
        <w:t xml:space="preserve"> </w:t>
      </w:r>
      <w:r>
        <w:rPr>
          <w:lang w:val="en-GB"/>
        </w:rPr>
        <w:tab/>
        <w:t>Interview carried out by Alkarama</w:t>
      </w:r>
      <w:r w:rsidRPr="00573985">
        <w:rPr>
          <w:lang w:val="en-GB"/>
        </w:rPr>
        <w:t>.</w:t>
      </w:r>
    </w:p>
  </w:footnote>
  <w:footnote w:id="120">
    <w:p w:rsidR="007858CF" w:rsidRDefault="007858CF">
      <w:pPr>
        <w:pStyle w:val="Notedebasdepage"/>
        <w:ind w:left="284" w:hanging="284"/>
        <w:jc w:val="left"/>
      </w:pPr>
      <w:r>
        <w:rPr>
          <w:rStyle w:val="Appelnotedebasdep"/>
        </w:rPr>
        <w:footnoteRef/>
      </w:r>
      <w:r>
        <w:rPr>
          <w:lang w:val="en-GB"/>
        </w:rPr>
        <w:t xml:space="preserve"> </w:t>
      </w:r>
      <w:r>
        <w:rPr>
          <w:lang w:val="en-GB"/>
        </w:rPr>
        <w:tab/>
      </w:r>
      <w:r w:rsidRPr="00573985">
        <w:rPr>
          <w:lang w:val="en-GB"/>
        </w:rPr>
        <w:t>YouTube,</w:t>
      </w:r>
      <w:r w:rsidRPr="00573985">
        <w:rPr>
          <w:rFonts w:ascii="Times New Roman" w:hAnsi="Times New Roman" w:cs="Times New Roman"/>
          <w:lang w:val="en-GB"/>
        </w:rPr>
        <w:t xml:space="preserve"> </w:t>
      </w:r>
      <w:r w:rsidRPr="00573985">
        <w:rPr>
          <w:i/>
          <w:iCs/>
          <w:rtl/>
        </w:rPr>
        <w:t>المالكي</w:t>
      </w:r>
      <w:r w:rsidRPr="00573985">
        <w:rPr>
          <w:i/>
          <w:iCs/>
        </w:rPr>
        <w:t xml:space="preserve"> </w:t>
      </w:r>
      <w:r w:rsidRPr="00573985">
        <w:rPr>
          <w:i/>
          <w:iCs/>
          <w:rtl/>
        </w:rPr>
        <w:t>يهدد</w:t>
      </w:r>
      <w:r w:rsidRPr="00573985">
        <w:rPr>
          <w:i/>
          <w:iCs/>
        </w:rPr>
        <w:t xml:space="preserve"> </w:t>
      </w:r>
      <w:r w:rsidRPr="00573985">
        <w:rPr>
          <w:i/>
          <w:iCs/>
          <w:rtl/>
        </w:rPr>
        <w:t>كل</w:t>
      </w:r>
      <w:r w:rsidRPr="00573985">
        <w:rPr>
          <w:i/>
          <w:iCs/>
        </w:rPr>
        <w:t xml:space="preserve"> </w:t>
      </w:r>
      <w:r w:rsidRPr="00573985">
        <w:rPr>
          <w:i/>
          <w:iCs/>
          <w:rtl/>
        </w:rPr>
        <w:t>محامي</w:t>
      </w:r>
      <w:r w:rsidRPr="00573985">
        <w:rPr>
          <w:i/>
          <w:iCs/>
        </w:rPr>
        <w:t xml:space="preserve"> </w:t>
      </w:r>
      <w:r w:rsidRPr="00573985">
        <w:rPr>
          <w:i/>
          <w:iCs/>
          <w:rtl/>
        </w:rPr>
        <w:t>يتوكل</w:t>
      </w:r>
      <w:r w:rsidRPr="00573985">
        <w:rPr>
          <w:i/>
          <w:iCs/>
        </w:rPr>
        <w:t xml:space="preserve"> </w:t>
      </w:r>
      <w:r w:rsidRPr="00573985">
        <w:rPr>
          <w:i/>
          <w:iCs/>
          <w:rtl/>
        </w:rPr>
        <w:t>عن</w:t>
      </w:r>
      <w:r w:rsidRPr="00573985">
        <w:rPr>
          <w:i/>
          <w:iCs/>
        </w:rPr>
        <w:t xml:space="preserve"> </w:t>
      </w:r>
      <w:r w:rsidRPr="00573985">
        <w:rPr>
          <w:i/>
          <w:iCs/>
          <w:rtl/>
        </w:rPr>
        <w:t>متهم</w:t>
      </w:r>
      <w:r w:rsidRPr="00573985">
        <w:rPr>
          <w:i/>
          <w:iCs/>
        </w:rPr>
        <w:t xml:space="preserve"> </w:t>
      </w:r>
      <w:proofErr w:type="spellStart"/>
      <w:r w:rsidRPr="00573985">
        <w:rPr>
          <w:i/>
          <w:iCs/>
          <w:rtl/>
        </w:rPr>
        <w:t>بالارهاب</w:t>
      </w:r>
      <w:proofErr w:type="spellEnd"/>
      <w:r w:rsidRPr="00573985">
        <w:rPr>
          <w:i/>
          <w:iCs/>
        </w:rPr>
        <w:t>..!</w:t>
      </w:r>
      <w:r w:rsidRPr="00573985">
        <w:rPr>
          <w:rFonts w:ascii="Times New Roman" w:hAnsi="Times New Roman" w:cs="Times New Roman"/>
          <w:i/>
          <w:iCs/>
          <w:lang w:val="en-GB"/>
        </w:rPr>
        <w:t xml:space="preserve"> </w:t>
      </w:r>
      <w:proofErr w:type="gramStart"/>
      <w:r w:rsidRPr="00573985">
        <w:rPr>
          <w:i/>
          <w:iCs/>
          <w:lang w:val="en-GB"/>
        </w:rPr>
        <w:t>(EN translation)</w:t>
      </w:r>
      <w:r w:rsidRPr="00573985">
        <w:rPr>
          <w:lang w:val="en-GB"/>
        </w:rPr>
        <w:t>,</w:t>
      </w:r>
      <w:r w:rsidRPr="00573985">
        <w:rPr>
          <w:rFonts w:ascii="Times New Roman" w:hAnsi="Times New Roman" w:cs="Times New Roman"/>
          <w:lang w:val="en-GB"/>
        </w:rPr>
        <w:t xml:space="preserve"> </w:t>
      </w:r>
      <w:r w:rsidRPr="00573985">
        <w:rPr>
          <w:lang w:val="en-GB"/>
        </w:rPr>
        <w:t>7 October 2012</w:t>
      </w:r>
      <w:r w:rsidRPr="00573985">
        <w:rPr>
          <w:rFonts w:ascii="Times New Roman" w:hAnsi="Times New Roman" w:cs="Times New Roman"/>
          <w:lang w:val="en-GB"/>
        </w:rPr>
        <w:t xml:space="preserve">, </w:t>
      </w:r>
      <w:hyperlink r:id="rId32" w:history="1">
        <w:r>
          <w:rPr>
            <w:rStyle w:val="Lienhypertexte"/>
            <w:lang w:val="en-GB"/>
          </w:rPr>
          <w:t>http://www.youtube.com/watch?v=vUgAgd3OmZs</w:t>
        </w:r>
      </w:hyperlink>
      <w:r w:rsidRPr="00573985">
        <w:rPr>
          <w:lang w:val="en-GB"/>
        </w:rPr>
        <w:t xml:space="preserve"> (accessed 22 April 2015).</w:t>
      </w:r>
      <w:proofErr w:type="gramEnd"/>
      <w:r w:rsidRPr="00573985">
        <w:rPr>
          <w:lang w:val="en-GB"/>
        </w:rPr>
        <w:t xml:space="preserve"> </w:t>
      </w:r>
    </w:p>
  </w:footnote>
  <w:footnote w:id="121">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Alkarama, </w:t>
      </w:r>
      <w:r w:rsidRPr="00573985">
        <w:rPr>
          <w:i/>
          <w:iCs/>
          <w:lang w:val="en-GB"/>
        </w:rPr>
        <w:t xml:space="preserve">Iraq: Politically-Driven Mass Arrests and Arbitrary Detention Target Former Vice-President Al </w:t>
      </w:r>
      <w:proofErr w:type="spellStart"/>
      <w:r w:rsidRPr="00573985">
        <w:rPr>
          <w:i/>
          <w:iCs/>
          <w:lang w:val="en-GB"/>
        </w:rPr>
        <w:t>Hashimi's</w:t>
      </w:r>
      <w:proofErr w:type="spellEnd"/>
      <w:r w:rsidRPr="00573985">
        <w:rPr>
          <w:i/>
          <w:iCs/>
          <w:lang w:val="en-GB"/>
        </w:rPr>
        <w:t xml:space="preserve"> Staff, </w:t>
      </w:r>
      <w:r w:rsidRPr="00573985">
        <w:rPr>
          <w:lang w:val="en-GB"/>
        </w:rPr>
        <w:t xml:space="preserve">15 April 2015, </w:t>
      </w:r>
      <w:hyperlink r:id="rId33" w:history="1">
        <w:r w:rsidRPr="00573985">
          <w:rPr>
            <w:rStyle w:val="Lienhypertexte"/>
            <w:lang w:val="en-GB"/>
          </w:rPr>
          <w:t>http://en.alkarama.org/1659-iraq-politically-driven-mass-arrests-and-arbitrary-detention-target-former-vice-president-al-hashimi-s-staff</w:t>
        </w:r>
      </w:hyperlink>
      <w:r w:rsidRPr="00573985">
        <w:rPr>
          <w:lang w:val="en-GB"/>
        </w:rPr>
        <w:t xml:space="preserve"> (accessed on 22 April 2015).</w:t>
      </w:r>
    </w:p>
  </w:footnote>
  <w:footnote w:id="122">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Alkarama, </w:t>
      </w:r>
      <w:r w:rsidRPr="00573985">
        <w:rPr>
          <w:i/>
          <w:iCs/>
          <w:lang w:val="en-GB"/>
        </w:rPr>
        <w:t xml:space="preserve">Iraq: Broad Pattern of Harassment and Persecution of Lawyers through Arbitrary Arrest and Detention, Torture and even Death, </w:t>
      </w:r>
      <w:r w:rsidRPr="00573985">
        <w:rPr>
          <w:lang w:val="en-GB"/>
        </w:rPr>
        <w:t xml:space="preserve">12 May 2015, </w:t>
      </w:r>
      <w:hyperlink r:id="rId34" w:history="1">
        <w:r w:rsidRPr="00573985">
          <w:rPr>
            <w:rStyle w:val="Lienhypertexte"/>
            <w:lang w:val="en-GB"/>
          </w:rPr>
          <w:t>http://en.alkarama.org/iraq/1683-iraq-reprisals-against-4-lawyers-through-arbitrary-arrest-detention-torture-and-even-execution</w:t>
        </w:r>
      </w:hyperlink>
      <w:r w:rsidRPr="00573985">
        <w:rPr>
          <w:lang w:val="en-GB"/>
        </w:rPr>
        <w:t xml:space="preserve"> (accessed on 17 September 2015).</w:t>
      </w:r>
    </w:p>
  </w:footnote>
  <w:footnote w:id="123">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Voice of Iraq, Iraqi coalition condemns the assassination of lawyer </w:t>
      </w:r>
      <w:proofErr w:type="spellStart"/>
      <w:r w:rsidRPr="00573985">
        <w:rPr>
          <w:lang w:val="en-GB"/>
        </w:rPr>
        <w:t>Salah</w:t>
      </w:r>
      <w:proofErr w:type="spellEnd"/>
      <w:r w:rsidRPr="00573985">
        <w:rPr>
          <w:lang w:val="en-GB"/>
        </w:rPr>
        <w:t xml:space="preserve"> al-</w:t>
      </w:r>
      <w:proofErr w:type="spellStart"/>
      <w:r w:rsidRPr="00573985">
        <w:rPr>
          <w:lang w:val="en-GB"/>
        </w:rPr>
        <w:t>Obeidi</w:t>
      </w:r>
      <w:proofErr w:type="spellEnd"/>
      <w:r w:rsidRPr="00573985">
        <w:rPr>
          <w:lang w:val="en-GB"/>
        </w:rPr>
        <w:t xml:space="preserve">, </w:t>
      </w:r>
      <w:hyperlink r:id="rId35" w:anchor="axzz3VUahif1d" w:history="1">
        <w:r w:rsidRPr="00573985">
          <w:rPr>
            <w:rStyle w:val="Lienhypertexte"/>
            <w:lang w:val="en-GB"/>
          </w:rPr>
          <w:t>http://www.sotaliraq.com/mobile-news.php?id=93481#axzz3VUahif1d</w:t>
        </w:r>
      </w:hyperlink>
      <w:r w:rsidRPr="00573985">
        <w:rPr>
          <w:lang w:val="en-GB"/>
        </w:rPr>
        <w:t xml:space="preserve"> (accessed 27 April 2015).</w:t>
      </w:r>
    </w:p>
  </w:footnote>
  <w:footnote w:id="124">
    <w:p w:rsidR="007858CF" w:rsidRPr="002B4899" w:rsidRDefault="007858CF" w:rsidP="00371B03">
      <w:pPr>
        <w:pStyle w:val="Notedebasdepage"/>
        <w:ind w:left="284" w:hanging="284"/>
        <w:jc w:val="left"/>
      </w:pPr>
      <w:r w:rsidRPr="00573985">
        <w:rPr>
          <w:rStyle w:val="Appelnotedebasdep"/>
        </w:rPr>
        <w:footnoteRef/>
      </w:r>
      <w:r w:rsidRPr="00573985">
        <w:t xml:space="preserve"> </w:t>
      </w:r>
      <w:r>
        <w:tab/>
      </w:r>
      <w:r w:rsidRPr="00573985">
        <w:t xml:space="preserve">Alkarama, </w:t>
      </w:r>
      <w:r w:rsidRPr="00573985">
        <w:rPr>
          <w:i/>
          <w:iCs/>
        </w:rPr>
        <w:t>Universal Periodic Review: Iraq, Second Cycle, Submission to the Stakeholders’ Summary</w:t>
      </w:r>
      <w:r w:rsidRPr="00573985">
        <w:t xml:space="preserve">, 14 March 2014, para.29. </w:t>
      </w:r>
    </w:p>
  </w:footnote>
  <w:footnote w:id="125">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Alkarama, </w:t>
      </w:r>
      <w:r w:rsidRPr="00573985">
        <w:rPr>
          <w:i/>
          <w:iCs/>
          <w:lang w:val="en-GB"/>
        </w:rPr>
        <w:t>Iraq – Shadow Report, Report Submitted to the Committee against Torture in the context of the review of the initial report of Iraq</w:t>
      </w:r>
      <w:r w:rsidRPr="00573985">
        <w:rPr>
          <w:lang w:val="en-GB"/>
        </w:rPr>
        <w:t xml:space="preserve">, 13 July 2015, p. 20. </w:t>
      </w:r>
    </w:p>
  </w:footnote>
  <w:footnote w:id="126">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BBC World, </w:t>
      </w:r>
      <w:r w:rsidRPr="00573985">
        <w:rPr>
          <w:i/>
          <w:iCs/>
          <w:lang w:val="en-GB"/>
        </w:rPr>
        <w:t>Ten die as Iraq security forces dismantle Sunni camp</w:t>
      </w:r>
      <w:r w:rsidRPr="00573985">
        <w:rPr>
          <w:lang w:val="en-GB"/>
        </w:rPr>
        <w:t xml:space="preserve">, 30 December 2013, </w:t>
      </w:r>
      <w:hyperlink r:id="rId36" w:history="1">
        <w:r w:rsidRPr="00573985">
          <w:rPr>
            <w:rStyle w:val="Lienhypertexte"/>
            <w:lang w:val="en-GB"/>
          </w:rPr>
          <w:t>http://www.bbc.com/news/world-middle-east-25548776</w:t>
        </w:r>
      </w:hyperlink>
      <w:r w:rsidRPr="00573985">
        <w:rPr>
          <w:lang w:val="en-GB"/>
        </w:rPr>
        <w:t xml:space="preserve">, Human Rights Watch, </w:t>
      </w:r>
      <w:r w:rsidRPr="00573985">
        <w:rPr>
          <w:i/>
          <w:iCs/>
          <w:lang w:val="en-GB"/>
        </w:rPr>
        <w:t>Iraq: Investigate Violence at Protest Camp,</w:t>
      </w:r>
      <w:r w:rsidRPr="00573985">
        <w:rPr>
          <w:lang w:val="en-GB"/>
        </w:rPr>
        <w:t xml:space="preserve"> 3 January 2014, </w:t>
      </w:r>
      <w:hyperlink r:id="rId37" w:history="1">
        <w:r w:rsidRPr="00573985">
          <w:rPr>
            <w:rStyle w:val="Lienhypertexte"/>
            <w:lang w:val="en-GB"/>
          </w:rPr>
          <w:t>https://www.hrw.org/news/2014/01/03/iraq-investigate-violence-protest-camp</w:t>
        </w:r>
      </w:hyperlink>
      <w:r w:rsidRPr="00573985">
        <w:rPr>
          <w:lang w:val="en-GB"/>
        </w:rPr>
        <w:t xml:space="preserve"> (accessed on 14 September 2014).</w:t>
      </w:r>
    </w:p>
  </w:footnote>
  <w:footnote w:id="127">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Human Rights Watch, </w:t>
      </w:r>
      <w:r w:rsidRPr="00573985">
        <w:rPr>
          <w:i/>
          <w:iCs/>
          <w:lang w:val="en-GB"/>
        </w:rPr>
        <w:t>Iraq: Investigate Violence at Protest Camp,</w:t>
      </w:r>
      <w:r w:rsidRPr="00573985">
        <w:rPr>
          <w:lang w:val="en-GB"/>
        </w:rPr>
        <w:t xml:space="preserve"> 3 January 2014, </w:t>
      </w:r>
      <w:hyperlink r:id="rId38" w:history="1">
        <w:r w:rsidRPr="00573985">
          <w:rPr>
            <w:rStyle w:val="Lienhypertexte"/>
            <w:lang w:val="en-GB"/>
          </w:rPr>
          <w:t>https://www.hrw.org/news/2014/01/03/iraq-investigate-violence-protest-camp</w:t>
        </w:r>
      </w:hyperlink>
      <w:r w:rsidRPr="00573985">
        <w:rPr>
          <w:lang w:val="en-GB"/>
        </w:rPr>
        <w:t xml:space="preserve"> (accessed on 14 September 2014). </w:t>
      </w:r>
    </w:p>
  </w:footnote>
  <w:footnote w:id="128">
    <w:p w:rsidR="007858CF" w:rsidRPr="002B4899" w:rsidRDefault="007858CF" w:rsidP="00371B03">
      <w:pPr>
        <w:pStyle w:val="Notedebasdepage"/>
        <w:tabs>
          <w:tab w:val="left" w:pos="0"/>
        </w:tabs>
        <w:ind w:left="284" w:hanging="284"/>
        <w:jc w:val="left"/>
        <w:rPr>
          <w:lang w:val="en-US"/>
        </w:rPr>
      </w:pPr>
      <w:r w:rsidRPr="00573985">
        <w:rPr>
          <w:rStyle w:val="Appelnotedebasdep"/>
        </w:rPr>
        <w:footnoteRef/>
      </w:r>
      <w:r w:rsidRPr="00573985">
        <w:rPr>
          <w:lang w:val="en-US"/>
        </w:rPr>
        <w:t xml:space="preserve"> </w:t>
      </w:r>
      <w:r>
        <w:rPr>
          <w:lang w:val="en-US"/>
        </w:rPr>
        <w:tab/>
      </w:r>
      <w:r w:rsidRPr="00573985">
        <w:rPr>
          <w:lang w:val="en-US"/>
        </w:rPr>
        <w:t xml:space="preserve">Alkarama, </w:t>
      </w:r>
      <w:r w:rsidRPr="00573985">
        <w:rPr>
          <w:i/>
          <w:lang w:val="en-US"/>
        </w:rPr>
        <w:t xml:space="preserve">Iraq: MP Ahmad Al </w:t>
      </w:r>
      <w:proofErr w:type="spellStart"/>
      <w:r w:rsidRPr="00573985">
        <w:rPr>
          <w:i/>
          <w:lang w:val="en-US"/>
        </w:rPr>
        <w:t>Alwani</w:t>
      </w:r>
      <w:proofErr w:type="spellEnd"/>
      <w:r w:rsidRPr="00573985">
        <w:rPr>
          <w:i/>
          <w:lang w:val="en-US"/>
        </w:rPr>
        <w:t xml:space="preserve"> Sentenced to Death </w:t>
      </w:r>
      <w:proofErr w:type="gramStart"/>
      <w:r w:rsidRPr="00573985">
        <w:rPr>
          <w:i/>
          <w:lang w:val="en-US"/>
        </w:rPr>
        <w:t>After</w:t>
      </w:r>
      <w:proofErr w:type="gramEnd"/>
      <w:r w:rsidRPr="00573985">
        <w:rPr>
          <w:i/>
          <w:lang w:val="en-US"/>
        </w:rPr>
        <w:t xml:space="preserve"> Flawed Trial</w:t>
      </w:r>
      <w:r w:rsidRPr="00573985">
        <w:rPr>
          <w:lang w:val="en-US"/>
        </w:rPr>
        <w:t xml:space="preserve">, 16 January 2015, </w:t>
      </w:r>
      <w:hyperlink r:id="rId39" w:history="1">
        <w:r w:rsidRPr="00573985">
          <w:rPr>
            <w:rStyle w:val="Lienhypertexte"/>
            <w:lang w:val="en-US"/>
          </w:rPr>
          <w:t>http://en.alkarama.org/component/k2/1593-iraq-member-of-council-of-representatives-al-alwani-sentenced-to-death-after-flawed-trial?Itemid</w:t>
        </w:r>
      </w:hyperlink>
      <w:r w:rsidRPr="00573985">
        <w:rPr>
          <w:lang w:val="en-US"/>
        </w:rPr>
        <w:t>= (accessed on 9 July 2015).</w:t>
      </w:r>
    </w:p>
  </w:footnote>
  <w:footnote w:id="129">
    <w:p w:rsidR="007858CF" w:rsidRPr="002B4899" w:rsidRDefault="007858CF" w:rsidP="00371B03">
      <w:pPr>
        <w:pStyle w:val="Notedebasdepage"/>
        <w:ind w:left="284" w:hanging="284"/>
        <w:jc w:val="left"/>
      </w:pPr>
      <w:r w:rsidRPr="00573985">
        <w:rPr>
          <w:rStyle w:val="Appelnotedebasdep"/>
        </w:rPr>
        <w:footnoteRef/>
      </w:r>
      <w:r w:rsidRPr="00573985">
        <w:rPr>
          <w:lang w:val="en-GB"/>
        </w:rPr>
        <w:t xml:space="preserve"> </w:t>
      </w:r>
      <w:r>
        <w:rPr>
          <w:lang w:val="en-GB"/>
        </w:rPr>
        <w:tab/>
      </w:r>
      <w:proofErr w:type="spellStart"/>
      <w:proofErr w:type="gramStart"/>
      <w:r w:rsidRPr="00573985">
        <w:rPr>
          <w:lang w:val="en-GB"/>
        </w:rPr>
        <w:t>Mushreq</w:t>
      </w:r>
      <w:proofErr w:type="spellEnd"/>
      <w:r w:rsidRPr="00573985">
        <w:rPr>
          <w:lang w:val="en-GB"/>
        </w:rPr>
        <w:t xml:space="preserve"> </w:t>
      </w:r>
      <w:proofErr w:type="spellStart"/>
      <w:r w:rsidRPr="00573985">
        <w:rPr>
          <w:lang w:val="en-GB"/>
        </w:rPr>
        <w:t>Abbas</w:t>
      </w:r>
      <w:proofErr w:type="spellEnd"/>
      <w:r w:rsidRPr="00573985">
        <w:rPr>
          <w:lang w:val="en-GB"/>
        </w:rPr>
        <w:t xml:space="preserve">, “Iraq's Anti-Terrorism Law Criticized”, </w:t>
      </w:r>
      <w:r w:rsidRPr="00573985">
        <w:rPr>
          <w:i/>
          <w:iCs/>
          <w:lang w:val="en-GB"/>
        </w:rPr>
        <w:t>Al Monitor</w:t>
      </w:r>
      <w:r w:rsidRPr="00573985">
        <w:rPr>
          <w:lang w:val="en-GB"/>
        </w:rPr>
        <w:t xml:space="preserve">, 16 April 2013, </w:t>
      </w:r>
      <w:hyperlink r:id="rId40" w:anchor="ixzz3m4bhQPC5" w:history="1">
        <w:r w:rsidRPr="00573985">
          <w:rPr>
            <w:rStyle w:val="Lienhypertexte"/>
            <w:color w:val="003399"/>
            <w:lang w:val="en-GB"/>
          </w:rPr>
          <w:t>http://www.al-monitor.com/pulse/originals/2013/04/iraq-terrorism-law-executions-controversy.html#ixzz3m4bhQPC5</w:t>
        </w:r>
      </w:hyperlink>
      <w:r w:rsidRPr="00573985">
        <w:rPr>
          <w:color w:val="000000"/>
          <w:lang w:val="en-GB"/>
        </w:rPr>
        <w:t xml:space="preserve"> (accessed on 18 September 2015).</w:t>
      </w:r>
      <w:proofErr w:type="gramEnd"/>
      <w:r w:rsidRPr="00573985">
        <w:rPr>
          <w:color w:val="000000"/>
          <w:lang w:val="en-GB"/>
        </w:rPr>
        <w:t xml:space="preserve"> </w:t>
      </w:r>
    </w:p>
  </w:footnote>
  <w:footnote w:id="130">
    <w:p w:rsidR="007858CF" w:rsidRPr="002B4899" w:rsidRDefault="007858CF" w:rsidP="00371B03">
      <w:pPr>
        <w:pStyle w:val="Notedebasdepage"/>
        <w:tabs>
          <w:tab w:val="left" w:pos="284"/>
        </w:tabs>
        <w:ind w:left="284" w:hanging="284"/>
        <w:jc w:val="left"/>
      </w:pPr>
      <w:r w:rsidRPr="00573985">
        <w:rPr>
          <w:rStyle w:val="Appelnotedebasdep"/>
        </w:rPr>
        <w:footnoteRef/>
      </w:r>
      <w:r w:rsidRPr="00573985">
        <w:rPr>
          <w:lang w:val="en-GB"/>
        </w:rPr>
        <w:t xml:space="preserve"> </w:t>
      </w:r>
      <w:r>
        <w:rPr>
          <w:lang w:val="en-GB"/>
        </w:rPr>
        <w:tab/>
      </w:r>
      <w:r w:rsidRPr="00573985">
        <w:rPr>
          <w:lang w:val="en-GB"/>
        </w:rPr>
        <w:t xml:space="preserve">OHCHR/UNAMI, </w:t>
      </w:r>
      <w:r w:rsidRPr="00573985">
        <w:rPr>
          <w:i/>
          <w:iCs/>
          <w:lang w:val="en-GB"/>
        </w:rPr>
        <w:t>Report on the judicial response to allegations of torture in Iraq</w:t>
      </w:r>
      <w:r w:rsidRPr="00573985">
        <w:rPr>
          <w:lang w:val="en-GB"/>
        </w:rPr>
        <w:t>, February 2015, p.10.</w:t>
      </w:r>
    </w:p>
  </w:footnote>
  <w:footnote w:id="131">
    <w:p w:rsidR="007858CF" w:rsidRPr="002B4899" w:rsidRDefault="007858CF" w:rsidP="00371B03">
      <w:pPr>
        <w:ind w:left="284" w:hanging="284"/>
        <w:jc w:val="left"/>
        <w:rPr>
          <w:sz w:val="16"/>
          <w:szCs w:val="16"/>
        </w:rPr>
      </w:pPr>
      <w:r w:rsidRPr="002B4899">
        <w:rPr>
          <w:rStyle w:val="Appelnotedebasdep"/>
          <w:sz w:val="16"/>
          <w:szCs w:val="16"/>
        </w:rPr>
        <w:footnoteRef/>
      </w:r>
      <w:r w:rsidRPr="002B4899">
        <w:rPr>
          <w:sz w:val="16"/>
          <w:szCs w:val="16"/>
        </w:rPr>
        <w:t xml:space="preserve"> </w:t>
      </w:r>
      <w:r>
        <w:rPr>
          <w:sz w:val="16"/>
          <w:szCs w:val="16"/>
        </w:rPr>
        <w:tab/>
      </w:r>
      <w:r w:rsidRPr="002B4899">
        <w:rPr>
          <w:sz w:val="16"/>
          <w:szCs w:val="16"/>
        </w:rPr>
        <w:t xml:space="preserve">Human Rights Watch, </w:t>
      </w:r>
      <w:r>
        <w:rPr>
          <w:i/>
          <w:iCs/>
          <w:sz w:val="16"/>
          <w:szCs w:val="16"/>
        </w:rPr>
        <w:t>“No One is Safe”, The Abuse of Women in Iraq’s Criminal Justice System,</w:t>
      </w:r>
      <w:r>
        <w:rPr>
          <w:sz w:val="16"/>
          <w:szCs w:val="16"/>
        </w:rPr>
        <w:t xml:space="preserve"> 6 February 2014, </w:t>
      </w:r>
      <w:hyperlink r:id="rId41" w:history="1">
        <w:r>
          <w:rPr>
            <w:rStyle w:val="Lienhypertexte"/>
            <w:sz w:val="16"/>
            <w:szCs w:val="16"/>
          </w:rPr>
          <w:t>https://www.hrw.org/report/2014/02/06/no-one-safe/abuse-women-iraqs-criminal-justice-system</w:t>
        </w:r>
      </w:hyperlink>
      <w:r w:rsidRPr="002B4899">
        <w:rPr>
          <w:sz w:val="16"/>
          <w:szCs w:val="16"/>
        </w:rPr>
        <w:t xml:space="preserve"> (accessed on 18 September 2015).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8CF" w:rsidRDefault="007858CF">
    <w:pPr>
      <w:pStyle w:val="En-tte"/>
      <w:jc w:val="right"/>
    </w:pPr>
  </w:p>
  <w:p w:rsidR="007858CF" w:rsidRPr="006F2A9F" w:rsidRDefault="007858CF" w:rsidP="00B03317">
    <w:pPr>
      <w:pStyle w:val="En-tte"/>
      <w:jc w:val="cent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142E3D6"/>
    <w:lvl w:ilvl="0">
      <w:start w:val="1"/>
      <w:numFmt w:val="decimal"/>
      <w:lvlText w:val="%1."/>
      <w:lvlJc w:val="left"/>
      <w:pPr>
        <w:tabs>
          <w:tab w:val="num" w:pos="1492"/>
        </w:tabs>
        <w:ind w:left="1492" w:hanging="360"/>
      </w:pPr>
    </w:lvl>
  </w:abstractNum>
  <w:abstractNum w:abstractNumId="1">
    <w:nsid w:val="FFFFFF7D"/>
    <w:multiLevelType w:val="singleLevel"/>
    <w:tmpl w:val="E6C222E6"/>
    <w:lvl w:ilvl="0">
      <w:start w:val="1"/>
      <w:numFmt w:val="decimal"/>
      <w:lvlText w:val="%1."/>
      <w:lvlJc w:val="left"/>
      <w:pPr>
        <w:tabs>
          <w:tab w:val="num" w:pos="1209"/>
        </w:tabs>
        <w:ind w:left="1209" w:hanging="360"/>
      </w:pPr>
    </w:lvl>
  </w:abstractNum>
  <w:abstractNum w:abstractNumId="2">
    <w:nsid w:val="FFFFFF7E"/>
    <w:multiLevelType w:val="singleLevel"/>
    <w:tmpl w:val="662AED86"/>
    <w:lvl w:ilvl="0">
      <w:start w:val="1"/>
      <w:numFmt w:val="decimal"/>
      <w:lvlText w:val="%1."/>
      <w:lvlJc w:val="left"/>
      <w:pPr>
        <w:tabs>
          <w:tab w:val="num" w:pos="926"/>
        </w:tabs>
        <w:ind w:left="926" w:hanging="360"/>
      </w:pPr>
    </w:lvl>
  </w:abstractNum>
  <w:abstractNum w:abstractNumId="3">
    <w:nsid w:val="FFFFFF7F"/>
    <w:multiLevelType w:val="singleLevel"/>
    <w:tmpl w:val="1430F346"/>
    <w:lvl w:ilvl="0">
      <w:start w:val="1"/>
      <w:numFmt w:val="decimal"/>
      <w:lvlText w:val="%1."/>
      <w:lvlJc w:val="left"/>
      <w:pPr>
        <w:tabs>
          <w:tab w:val="num" w:pos="643"/>
        </w:tabs>
        <w:ind w:left="643" w:hanging="360"/>
      </w:pPr>
    </w:lvl>
  </w:abstractNum>
  <w:abstractNum w:abstractNumId="4">
    <w:nsid w:val="FFFFFF80"/>
    <w:multiLevelType w:val="singleLevel"/>
    <w:tmpl w:val="3FA297F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CFC44B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A6AC7D06"/>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F4AE4738"/>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D7C8A53A"/>
    <w:lvl w:ilvl="0">
      <w:start w:val="1"/>
      <w:numFmt w:val="decimal"/>
      <w:lvlText w:val="%1."/>
      <w:lvlJc w:val="left"/>
      <w:pPr>
        <w:tabs>
          <w:tab w:val="num" w:pos="360"/>
        </w:tabs>
        <w:ind w:left="360" w:hanging="360"/>
      </w:pPr>
    </w:lvl>
  </w:abstractNum>
  <w:abstractNum w:abstractNumId="9">
    <w:nsid w:val="FFFFFF89"/>
    <w:multiLevelType w:val="singleLevel"/>
    <w:tmpl w:val="05C011EC"/>
    <w:lvl w:ilvl="0">
      <w:start w:val="1"/>
      <w:numFmt w:val="bullet"/>
      <w:lvlText w:val=""/>
      <w:lvlJc w:val="left"/>
      <w:pPr>
        <w:tabs>
          <w:tab w:val="num" w:pos="360"/>
        </w:tabs>
        <w:ind w:left="360" w:hanging="360"/>
      </w:pPr>
      <w:rPr>
        <w:rFonts w:ascii="Symbol" w:hAnsi="Symbol" w:cs="Symbol" w:hint="default"/>
      </w:rPr>
    </w:lvl>
  </w:abstractNum>
  <w:abstractNum w:abstractNumId="10">
    <w:nsid w:val="037C5F6F"/>
    <w:multiLevelType w:val="hybridMultilevel"/>
    <w:tmpl w:val="E4D8B7F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06D121C0"/>
    <w:multiLevelType w:val="hybridMultilevel"/>
    <w:tmpl w:val="1FB83A86"/>
    <w:lvl w:ilvl="0" w:tplc="F5FC8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7212F5E"/>
    <w:multiLevelType w:val="hybridMultilevel"/>
    <w:tmpl w:val="DEB69BD6"/>
    <w:lvl w:ilvl="0" w:tplc="9334C452">
      <w:start w:val="2"/>
      <w:numFmt w:val="bullet"/>
      <w:lvlText w:val="-"/>
      <w:lvlJc w:val="left"/>
      <w:pPr>
        <w:ind w:left="720" w:hanging="360"/>
      </w:pPr>
      <w:rPr>
        <w:rFonts w:ascii="Tahoma" w:eastAsia="Times New Roman" w:hAnsi="Tahoma" w:hint="default"/>
      </w:rPr>
    </w:lvl>
    <w:lvl w:ilvl="1" w:tplc="04100001">
      <w:start w:val="1"/>
      <w:numFmt w:val="bullet"/>
      <w:lvlText w:val=""/>
      <w:lvlJc w:val="left"/>
      <w:pPr>
        <w:tabs>
          <w:tab w:val="num" w:pos="1440"/>
        </w:tabs>
        <w:ind w:left="1440" w:hanging="360"/>
      </w:pPr>
      <w:rPr>
        <w:rFonts w:ascii="Symbol" w:hAnsi="Symbol" w:cs="Symbol"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nsid w:val="07AC75B6"/>
    <w:multiLevelType w:val="hybridMultilevel"/>
    <w:tmpl w:val="2EA244E0"/>
    <w:lvl w:ilvl="0" w:tplc="7C4E3208">
      <w:start w:val="2"/>
      <w:numFmt w:val="bullet"/>
      <w:lvlText w:val="-"/>
      <w:lvlJc w:val="left"/>
      <w:pPr>
        <w:ind w:left="720" w:hanging="360"/>
      </w:pPr>
      <w:rPr>
        <w:rFonts w:ascii="Tahoma" w:eastAsia="Times New Roman"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nsid w:val="086B3448"/>
    <w:multiLevelType w:val="hybridMultilevel"/>
    <w:tmpl w:val="DDE677A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09EA09B6"/>
    <w:multiLevelType w:val="hybridMultilevel"/>
    <w:tmpl w:val="191A6DD8"/>
    <w:lvl w:ilvl="0" w:tplc="0C0A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0EB02BE6"/>
    <w:multiLevelType w:val="hybridMultilevel"/>
    <w:tmpl w:val="09FAFF4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109B48F4"/>
    <w:multiLevelType w:val="hybridMultilevel"/>
    <w:tmpl w:val="1506C706"/>
    <w:lvl w:ilvl="0" w:tplc="04090001">
      <w:start w:val="1"/>
      <w:numFmt w:val="bullet"/>
      <w:lvlText w:val=""/>
      <w:lvlJc w:val="left"/>
      <w:pPr>
        <w:ind w:left="1776" w:hanging="360"/>
      </w:pPr>
      <w:rPr>
        <w:rFonts w:ascii="Symbol" w:hAnsi="Symbol" w:cs="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cs="Wingdings" w:hint="default"/>
      </w:rPr>
    </w:lvl>
    <w:lvl w:ilvl="3" w:tplc="04090001" w:tentative="1">
      <w:start w:val="1"/>
      <w:numFmt w:val="bullet"/>
      <w:lvlText w:val=""/>
      <w:lvlJc w:val="left"/>
      <w:pPr>
        <w:ind w:left="3936" w:hanging="360"/>
      </w:pPr>
      <w:rPr>
        <w:rFonts w:ascii="Symbol" w:hAnsi="Symbol" w:cs="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cs="Wingdings" w:hint="default"/>
      </w:rPr>
    </w:lvl>
    <w:lvl w:ilvl="6" w:tplc="04090001" w:tentative="1">
      <w:start w:val="1"/>
      <w:numFmt w:val="bullet"/>
      <w:lvlText w:val=""/>
      <w:lvlJc w:val="left"/>
      <w:pPr>
        <w:ind w:left="6096" w:hanging="360"/>
      </w:pPr>
      <w:rPr>
        <w:rFonts w:ascii="Symbol" w:hAnsi="Symbol" w:cs="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cs="Wingdings" w:hint="default"/>
      </w:rPr>
    </w:lvl>
  </w:abstractNum>
  <w:abstractNum w:abstractNumId="18">
    <w:nsid w:val="11773713"/>
    <w:multiLevelType w:val="hybridMultilevel"/>
    <w:tmpl w:val="C52A8FE6"/>
    <w:lvl w:ilvl="0" w:tplc="5FB87938">
      <w:start w:val="11"/>
      <w:numFmt w:val="bullet"/>
      <w:lvlText w:val="-"/>
      <w:lvlJc w:val="left"/>
      <w:pPr>
        <w:ind w:left="720" w:hanging="360"/>
      </w:pPr>
      <w:rPr>
        <w:rFonts w:ascii="Tahoma" w:eastAsia="Times New Roman"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nsid w:val="185B1DE2"/>
    <w:multiLevelType w:val="hybridMultilevel"/>
    <w:tmpl w:val="CE2028BE"/>
    <w:lvl w:ilvl="0" w:tplc="7C4E3208">
      <w:start w:val="2"/>
      <w:numFmt w:val="bullet"/>
      <w:lvlText w:val="-"/>
      <w:lvlJc w:val="left"/>
      <w:pPr>
        <w:ind w:left="720" w:hanging="360"/>
      </w:pPr>
      <w:rPr>
        <w:rFonts w:ascii="Tahoma" w:eastAsia="Times New Roman"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1D102148"/>
    <w:multiLevelType w:val="hybridMultilevel"/>
    <w:tmpl w:val="F820AC54"/>
    <w:lvl w:ilvl="0" w:tplc="5A7CE1CC">
      <w:start w:val="2"/>
      <w:numFmt w:val="bullet"/>
      <w:lvlText w:val="-"/>
      <w:lvlJc w:val="left"/>
      <w:pPr>
        <w:ind w:left="720" w:hanging="360"/>
      </w:pPr>
      <w:rPr>
        <w:rFonts w:ascii="Tahoma" w:eastAsia="Times New Roman" w:hAnsi="Tahom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nsid w:val="20603525"/>
    <w:multiLevelType w:val="hybridMultilevel"/>
    <w:tmpl w:val="2BEED27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208826A8"/>
    <w:multiLevelType w:val="hybridMultilevel"/>
    <w:tmpl w:val="A0F0C09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225A0BD2"/>
    <w:multiLevelType w:val="hybridMultilevel"/>
    <w:tmpl w:val="3B46591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267B6C45"/>
    <w:multiLevelType w:val="hybridMultilevel"/>
    <w:tmpl w:val="A1F255EE"/>
    <w:lvl w:ilvl="0" w:tplc="04100001">
      <w:start w:val="1"/>
      <w:numFmt w:val="bullet"/>
      <w:lvlText w:val=""/>
      <w:lvlJc w:val="left"/>
      <w:pPr>
        <w:tabs>
          <w:tab w:val="num" w:pos="720"/>
        </w:tabs>
        <w:ind w:left="720" w:hanging="360"/>
      </w:pPr>
      <w:rPr>
        <w:rFonts w:ascii="Symbol" w:hAnsi="Symbol" w:cs="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28337553"/>
    <w:multiLevelType w:val="hybridMultilevel"/>
    <w:tmpl w:val="A7002FA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2C7C547C"/>
    <w:multiLevelType w:val="hybridMultilevel"/>
    <w:tmpl w:val="A3B02FE4"/>
    <w:lvl w:ilvl="0" w:tplc="C80C1F92">
      <w:start w:val="1"/>
      <w:numFmt w:val="decimal"/>
      <w:lvlText w:val="%1."/>
      <w:lvlJc w:val="left"/>
      <w:pPr>
        <w:ind w:left="720" w:hanging="360"/>
      </w:pPr>
      <w:rPr>
        <w:rFonts w:ascii="Amnesty Trade Gothic" w:hAnsi="Amnesty Trade Gothic" w:cs="Amnesty Trade Gothic"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F00894"/>
    <w:multiLevelType w:val="hybridMultilevel"/>
    <w:tmpl w:val="7AFCBAF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3BFB4D04"/>
    <w:multiLevelType w:val="hybridMultilevel"/>
    <w:tmpl w:val="C06092F4"/>
    <w:lvl w:ilvl="0" w:tplc="04100001">
      <w:start w:val="1"/>
      <w:numFmt w:val="bullet"/>
      <w:lvlText w:val=""/>
      <w:lvlJc w:val="left"/>
      <w:pPr>
        <w:tabs>
          <w:tab w:val="num" w:pos="360"/>
        </w:tabs>
        <w:ind w:left="360" w:hanging="360"/>
      </w:pPr>
      <w:rPr>
        <w:rFonts w:ascii="Symbol" w:hAnsi="Symbol" w:cs="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cs="Wingdings" w:hint="default"/>
      </w:rPr>
    </w:lvl>
    <w:lvl w:ilvl="3" w:tplc="04100001" w:tentative="1">
      <w:start w:val="1"/>
      <w:numFmt w:val="bullet"/>
      <w:lvlText w:val=""/>
      <w:lvlJc w:val="left"/>
      <w:pPr>
        <w:tabs>
          <w:tab w:val="num" w:pos="2520"/>
        </w:tabs>
        <w:ind w:left="2520" w:hanging="360"/>
      </w:pPr>
      <w:rPr>
        <w:rFonts w:ascii="Symbol" w:hAnsi="Symbol" w:cs="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cs="Wingdings" w:hint="default"/>
      </w:rPr>
    </w:lvl>
    <w:lvl w:ilvl="6" w:tplc="04100001" w:tentative="1">
      <w:start w:val="1"/>
      <w:numFmt w:val="bullet"/>
      <w:lvlText w:val=""/>
      <w:lvlJc w:val="left"/>
      <w:pPr>
        <w:tabs>
          <w:tab w:val="num" w:pos="4680"/>
        </w:tabs>
        <w:ind w:left="4680" w:hanging="360"/>
      </w:pPr>
      <w:rPr>
        <w:rFonts w:ascii="Symbol" w:hAnsi="Symbol" w:cs="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cs="Wingdings" w:hint="default"/>
      </w:rPr>
    </w:lvl>
  </w:abstractNum>
  <w:abstractNum w:abstractNumId="29">
    <w:nsid w:val="46E465C4"/>
    <w:multiLevelType w:val="hybridMultilevel"/>
    <w:tmpl w:val="DF927F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0">
    <w:nsid w:val="606834D6"/>
    <w:multiLevelType w:val="hybridMultilevel"/>
    <w:tmpl w:val="42DEAD8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6D96625F"/>
    <w:multiLevelType w:val="hybridMultilevel"/>
    <w:tmpl w:val="51AEF91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nsid w:val="74F07A40"/>
    <w:multiLevelType w:val="multilevel"/>
    <w:tmpl w:val="66900568"/>
    <w:lvl w:ilvl="0">
      <w:start w:val="1"/>
      <w:numFmt w:val="decimal"/>
      <w:pStyle w:val="Titre1"/>
      <w:lvlText w:val="%1."/>
      <w:lvlJc w:val="left"/>
      <w:pPr>
        <w:ind w:left="720" w:hanging="360"/>
      </w:pPr>
      <w:rPr>
        <w:rFonts w:hint="default"/>
      </w:rPr>
    </w:lvl>
    <w:lvl w:ilvl="1">
      <w:start w:val="2"/>
      <w:numFmt w:val="decimal"/>
      <w:pStyle w:val="Titre2"/>
      <w:isLgl/>
      <w:lvlText w:val="%1.%2"/>
      <w:lvlJc w:val="left"/>
      <w:pPr>
        <w:ind w:left="1080" w:hanging="720"/>
      </w:pPr>
      <w:rPr>
        <w:rFonts w:hint="default"/>
      </w:rPr>
    </w:lvl>
    <w:lvl w:ilvl="2">
      <w:start w:val="1"/>
      <w:numFmt w:val="decimal"/>
      <w:pStyle w:val="Titre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68A5D6C"/>
    <w:multiLevelType w:val="hybridMultilevel"/>
    <w:tmpl w:val="C04E08E8"/>
    <w:lvl w:ilvl="0" w:tplc="7C4E3208">
      <w:start w:val="2"/>
      <w:numFmt w:val="bullet"/>
      <w:lvlText w:val="-"/>
      <w:lvlJc w:val="left"/>
      <w:pPr>
        <w:ind w:left="720" w:hanging="360"/>
      </w:pPr>
      <w:rPr>
        <w:rFonts w:ascii="Tahoma" w:eastAsia="Times New Roman" w:hAnsi="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4">
    <w:nsid w:val="76FB3F28"/>
    <w:multiLevelType w:val="hybridMultilevel"/>
    <w:tmpl w:val="E7A69310"/>
    <w:lvl w:ilvl="0" w:tplc="274CE10A">
      <w:start w:val="2"/>
      <w:numFmt w:val="bullet"/>
      <w:lvlText w:val="-"/>
      <w:lvlJc w:val="left"/>
      <w:pPr>
        <w:ind w:left="720" w:hanging="360"/>
      </w:pPr>
      <w:rPr>
        <w:rFonts w:ascii="Tahoma" w:eastAsia="Times New Roman"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5"/>
  </w:num>
  <w:num w:numId="2">
    <w:abstractNumId w:val="32"/>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9"/>
  </w:num>
  <w:num w:numId="19">
    <w:abstractNumId w:val="34"/>
  </w:num>
  <w:num w:numId="20">
    <w:abstractNumId w:val="12"/>
  </w:num>
  <w:num w:numId="21">
    <w:abstractNumId w:val="17"/>
  </w:num>
  <w:num w:numId="22">
    <w:abstractNumId w:val="29"/>
  </w:num>
  <w:num w:numId="23">
    <w:abstractNumId w:val="11"/>
  </w:num>
  <w:num w:numId="24">
    <w:abstractNumId w:val="26"/>
  </w:num>
  <w:num w:numId="25">
    <w:abstractNumId w:val="24"/>
  </w:num>
  <w:num w:numId="26">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7"/>
  </w:num>
  <w:num w:numId="29">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3"/>
  </w:num>
  <w:num w:numId="32">
    <w:abstractNumId w:val="28"/>
  </w:num>
  <w:num w:numId="33">
    <w:abstractNumId w:val="21"/>
  </w:num>
  <w:num w:numId="34">
    <w:abstractNumId w:val="16"/>
  </w:num>
  <w:num w:numId="35">
    <w:abstractNumId w:val="25"/>
  </w:num>
  <w:num w:numId="36">
    <w:abstractNumId w:val="23"/>
  </w:num>
  <w:num w:numId="37">
    <w:abstractNumId w:val="22"/>
  </w:num>
  <w:num w:numId="38">
    <w:abstractNumId w:val="10"/>
  </w:num>
  <w:num w:numId="39">
    <w:abstractNumId w:val="30"/>
  </w:num>
  <w:num w:numId="40">
    <w:abstractNumId w:val="14"/>
  </w:num>
  <w:num w:numId="41">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attachedTemplate r:id="rId1"/>
  <w:stylePaneFormatFilter w:val="1028"/>
  <w:defaultTabStop w:val="708"/>
  <w:hyphenationZone w:val="425"/>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BE7033"/>
    <w:rsid w:val="00001548"/>
    <w:rsid w:val="000078C1"/>
    <w:rsid w:val="00010672"/>
    <w:rsid w:val="000162D2"/>
    <w:rsid w:val="000227B3"/>
    <w:rsid w:val="0002283C"/>
    <w:rsid w:val="00025F79"/>
    <w:rsid w:val="00027E2E"/>
    <w:rsid w:val="00032674"/>
    <w:rsid w:val="000373BF"/>
    <w:rsid w:val="000375D8"/>
    <w:rsid w:val="00037E20"/>
    <w:rsid w:val="00041F14"/>
    <w:rsid w:val="000508B4"/>
    <w:rsid w:val="00056ECE"/>
    <w:rsid w:val="00061C72"/>
    <w:rsid w:val="0006259D"/>
    <w:rsid w:val="00072189"/>
    <w:rsid w:val="00074F34"/>
    <w:rsid w:val="0007531B"/>
    <w:rsid w:val="00077928"/>
    <w:rsid w:val="000834EF"/>
    <w:rsid w:val="000839A7"/>
    <w:rsid w:val="000846D3"/>
    <w:rsid w:val="000921CE"/>
    <w:rsid w:val="00092627"/>
    <w:rsid w:val="00092706"/>
    <w:rsid w:val="00093132"/>
    <w:rsid w:val="000956DD"/>
    <w:rsid w:val="00096A26"/>
    <w:rsid w:val="000A358D"/>
    <w:rsid w:val="000A3F6E"/>
    <w:rsid w:val="000B09F0"/>
    <w:rsid w:val="000C659B"/>
    <w:rsid w:val="000D1517"/>
    <w:rsid w:val="000D57A7"/>
    <w:rsid w:val="000D632A"/>
    <w:rsid w:val="000E2475"/>
    <w:rsid w:val="000E734A"/>
    <w:rsid w:val="000F0A43"/>
    <w:rsid w:val="000F598A"/>
    <w:rsid w:val="000F620C"/>
    <w:rsid w:val="000F7A91"/>
    <w:rsid w:val="00106574"/>
    <w:rsid w:val="001138B8"/>
    <w:rsid w:val="001171B5"/>
    <w:rsid w:val="0012000E"/>
    <w:rsid w:val="00124E40"/>
    <w:rsid w:val="00126B35"/>
    <w:rsid w:val="00127100"/>
    <w:rsid w:val="001362FB"/>
    <w:rsid w:val="001377A0"/>
    <w:rsid w:val="00137A3C"/>
    <w:rsid w:val="001410AD"/>
    <w:rsid w:val="00141917"/>
    <w:rsid w:val="00141D46"/>
    <w:rsid w:val="00146208"/>
    <w:rsid w:val="00153747"/>
    <w:rsid w:val="00153D7B"/>
    <w:rsid w:val="00155E29"/>
    <w:rsid w:val="00156440"/>
    <w:rsid w:val="00165512"/>
    <w:rsid w:val="00170337"/>
    <w:rsid w:val="0017340B"/>
    <w:rsid w:val="001757D8"/>
    <w:rsid w:val="00175DF3"/>
    <w:rsid w:val="001844E5"/>
    <w:rsid w:val="0018531A"/>
    <w:rsid w:val="00186727"/>
    <w:rsid w:val="00186CC9"/>
    <w:rsid w:val="00194288"/>
    <w:rsid w:val="001945C1"/>
    <w:rsid w:val="00196BB9"/>
    <w:rsid w:val="001A2B35"/>
    <w:rsid w:val="001A44D7"/>
    <w:rsid w:val="001B32A2"/>
    <w:rsid w:val="001C08B4"/>
    <w:rsid w:val="001C3B46"/>
    <w:rsid w:val="001D0968"/>
    <w:rsid w:val="001D1ADF"/>
    <w:rsid w:val="001D1C2A"/>
    <w:rsid w:val="001D23E3"/>
    <w:rsid w:val="001E2FEB"/>
    <w:rsid w:val="001F1C4F"/>
    <w:rsid w:val="001F7933"/>
    <w:rsid w:val="00200588"/>
    <w:rsid w:val="002005FF"/>
    <w:rsid w:val="0020244D"/>
    <w:rsid w:val="0020573E"/>
    <w:rsid w:val="00206EC5"/>
    <w:rsid w:val="00214697"/>
    <w:rsid w:val="00215680"/>
    <w:rsid w:val="002160AF"/>
    <w:rsid w:val="00220343"/>
    <w:rsid w:val="00227CBD"/>
    <w:rsid w:val="00231CCE"/>
    <w:rsid w:val="002333FD"/>
    <w:rsid w:val="00234467"/>
    <w:rsid w:val="00236FB3"/>
    <w:rsid w:val="00241BF7"/>
    <w:rsid w:val="00242573"/>
    <w:rsid w:val="0024345B"/>
    <w:rsid w:val="00256A40"/>
    <w:rsid w:val="00256CFB"/>
    <w:rsid w:val="00257EA5"/>
    <w:rsid w:val="00261B0E"/>
    <w:rsid w:val="00261D85"/>
    <w:rsid w:val="0026277F"/>
    <w:rsid w:val="002663E1"/>
    <w:rsid w:val="002726E7"/>
    <w:rsid w:val="0027386E"/>
    <w:rsid w:val="00274EFA"/>
    <w:rsid w:val="00275E34"/>
    <w:rsid w:val="00275FFA"/>
    <w:rsid w:val="002822D5"/>
    <w:rsid w:val="00284B87"/>
    <w:rsid w:val="00286697"/>
    <w:rsid w:val="00295CD0"/>
    <w:rsid w:val="00296280"/>
    <w:rsid w:val="002A03D7"/>
    <w:rsid w:val="002A35CC"/>
    <w:rsid w:val="002A3926"/>
    <w:rsid w:val="002B02E1"/>
    <w:rsid w:val="002B0825"/>
    <w:rsid w:val="002B0E90"/>
    <w:rsid w:val="002B30A5"/>
    <w:rsid w:val="002B4899"/>
    <w:rsid w:val="002B6116"/>
    <w:rsid w:val="002B6AAC"/>
    <w:rsid w:val="002C249A"/>
    <w:rsid w:val="002C4DCB"/>
    <w:rsid w:val="002C6BBD"/>
    <w:rsid w:val="002C6CC2"/>
    <w:rsid w:val="002D1F55"/>
    <w:rsid w:val="002D747B"/>
    <w:rsid w:val="002E3178"/>
    <w:rsid w:val="002E3886"/>
    <w:rsid w:val="002E798B"/>
    <w:rsid w:val="002E7CB8"/>
    <w:rsid w:val="002F2473"/>
    <w:rsid w:val="002F2BEF"/>
    <w:rsid w:val="002F3702"/>
    <w:rsid w:val="002F54FD"/>
    <w:rsid w:val="002F78E5"/>
    <w:rsid w:val="003009C1"/>
    <w:rsid w:val="00300CCD"/>
    <w:rsid w:val="0030221A"/>
    <w:rsid w:val="00304005"/>
    <w:rsid w:val="00304CFC"/>
    <w:rsid w:val="00310DD5"/>
    <w:rsid w:val="0031165D"/>
    <w:rsid w:val="0031260E"/>
    <w:rsid w:val="0031503E"/>
    <w:rsid w:val="00315F9C"/>
    <w:rsid w:val="00320D3C"/>
    <w:rsid w:val="00323361"/>
    <w:rsid w:val="0032427B"/>
    <w:rsid w:val="00324C05"/>
    <w:rsid w:val="00334858"/>
    <w:rsid w:val="0033497B"/>
    <w:rsid w:val="0033515F"/>
    <w:rsid w:val="00341A1B"/>
    <w:rsid w:val="0034226D"/>
    <w:rsid w:val="00344EE3"/>
    <w:rsid w:val="00346B44"/>
    <w:rsid w:val="00350E95"/>
    <w:rsid w:val="00351592"/>
    <w:rsid w:val="00352591"/>
    <w:rsid w:val="003532D2"/>
    <w:rsid w:val="00356CF2"/>
    <w:rsid w:val="00361E0F"/>
    <w:rsid w:val="00363E7D"/>
    <w:rsid w:val="0036475B"/>
    <w:rsid w:val="00364BD1"/>
    <w:rsid w:val="003717D8"/>
    <w:rsid w:val="00371B03"/>
    <w:rsid w:val="0037289B"/>
    <w:rsid w:val="00373ED4"/>
    <w:rsid w:val="00374BC6"/>
    <w:rsid w:val="003750F3"/>
    <w:rsid w:val="003779D1"/>
    <w:rsid w:val="00382052"/>
    <w:rsid w:val="003830BE"/>
    <w:rsid w:val="00394B24"/>
    <w:rsid w:val="0039530F"/>
    <w:rsid w:val="003A1CB7"/>
    <w:rsid w:val="003A227E"/>
    <w:rsid w:val="003A3F4B"/>
    <w:rsid w:val="003A66B3"/>
    <w:rsid w:val="003B2899"/>
    <w:rsid w:val="003C2E33"/>
    <w:rsid w:val="003C5960"/>
    <w:rsid w:val="003C6D58"/>
    <w:rsid w:val="003D0735"/>
    <w:rsid w:val="003D4A32"/>
    <w:rsid w:val="003D4D81"/>
    <w:rsid w:val="003D615C"/>
    <w:rsid w:val="003D68DC"/>
    <w:rsid w:val="003D7F13"/>
    <w:rsid w:val="003E46D1"/>
    <w:rsid w:val="003E4A82"/>
    <w:rsid w:val="003E6310"/>
    <w:rsid w:val="003F7B82"/>
    <w:rsid w:val="00406604"/>
    <w:rsid w:val="00410C12"/>
    <w:rsid w:val="00411585"/>
    <w:rsid w:val="00411D18"/>
    <w:rsid w:val="00413299"/>
    <w:rsid w:val="00413C54"/>
    <w:rsid w:val="00415C8B"/>
    <w:rsid w:val="00417EAE"/>
    <w:rsid w:val="004215F6"/>
    <w:rsid w:val="004243DF"/>
    <w:rsid w:val="00424A1F"/>
    <w:rsid w:val="00431B89"/>
    <w:rsid w:val="00433C10"/>
    <w:rsid w:val="0043434A"/>
    <w:rsid w:val="00435791"/>
    <w:rsid w:val="00437566"/>
    <w:rsid w:val="004403CC"/>
    <w:rsid w:val="004427CA"/>
    <w:rsid w:val="00447FFC"/>
    <w:rsid w:val="004504C9"/>
    <w:rsid w:val="004515BE"/>
    <w:rsid w:val="004524A7"/>
    <w:rsid w:val="00455247"/>
    <w:rsid w:val="004577D6"/>
    <w:rsid w:val="00462677"/>
    <w:rsid w:val="00465D30"/>
    <w:rsid w:val="00474065"/>
    <w:rsid w:val="00475741"/>
    <w:rsid w:val="00481346"/>
    <w:rsid w:val="004813EB"/>
    <w:rsid w:val="00485D5C"/>
    <w:rsid w:val="00486AC2"/>
    <w:rsid w:val="004879CB"/>
    <w:rsid w:val="00493119"/>
    <w:rsid w:val="00497B97"/>
    <w:rsid w:val="004A3A74"/>
    <w:rsid w:val="004A473D"/>
    <w:rsid w:val="004A4DC8"/>
    <w:rsid w:val="004A55AD"/>
    <w:rsid w:val="004A5A82"/>
    <w:rsid w:val="004A5D12"/>
    <w:rsid w:val="004A6F62"/>
    <w:rsid w:val="004B15C4"/>
    <w:rsid w:val="004B196B"/>
    <w:rsid w:val="004B2E03"/>
    <w:rsid w:val="004B305A"/>
    <w:rsid w:val="004B4669"/>
    <w:rsid w:val="004B63E9"/>
    <w:rsid w:val="004C051A"/>
    <w:rsid w:val="004C370D"/>
    <w:rsid w:val="004C60EC"/>
    <w:rsid w:val="004C66C0"/>
    <w:rsid w:val="004C7F21"/>
    <w:rsid w:val="004D3478"/>
    <w:rsid w:val="004D3B38"/>
    <w:rsid w:val="004D41E2"/>
    <w:rsid w:val="004D5673"/>
    <w:rsid w:val="004E08BF"/>
    <w:rsid w:val="004E1DA1"/>
    <w:rsid w:val="004E43BD"/>
    <w:rsid w:val="004F02CB"/>
    <w:rsid w:val="004F3B87"/>
    <w:rsid w:val="004F3F4A"/>
    <w:rsid w:val="004F4C2B"/>
    <w:rsid w:val="004F704C"/>
    <w:rsid w:val="00500C1E"/>
    <w:rsid w:val="00500F2E"/>
    <w:rsid w:val="00505D1E"/>
    <w:rsid w:val="005060D7"/>
    <w:rsid w:val="0050761E"/>
    <w:rsid w:val="0051020E"/>
    <w:rsid w:val="00511214"/>
    <w:rsid w:val="0051321D"/>
    <w:rsid w:val="00514BFB"/>
    <w:rsid w:val="00514EA7"/>
    <w:rsid w:val="00515827"/>
    <w:rsid w:val="005212F0"/>
    <w:rsid w:val="005214EB"/>
    <w:rsid w:val="00521EEC"/>
    <w:rsid w:val="00521F53"/>
    <w:rsid w:val="00522BC1"/>
    <w:rsid w:val="005269F1"/>
    <w:rsid w:val="005302C6"/>
    <w:rsid w:val="00530E11"/>
    <w:rsid w:val="00531348"/>
    <w:rsid w:val="00536347"/>
    <w:rsid w:val="00536883"/>
    <w:rsid w:val="00541DDD"/>
    <w:rsid w:val="00545250"/>
    <w:rsid w:val="00545B04"/>
    <w:rsid w:val="00546F41"/>
    <w:rsid w:val="00551DE0"/>
    <w:rsid w:val="0055403F"/>
    <w:rsid w:val="0055766E"/>
    <w:rsid w:val="00560640"/>
    <w:rsid w:val="00563D71"/>
    <w:rsid w:val="00564EE5"/>
    <w:rsid w:val="00564F4E"/>
    <w:rsid w:val="005655FC"/>
    <w:rsid w:val="0056614B"/>
    <w:rsid w:val="00573985"/>
    <w:rsid w:val="00574799"/>
    <w:rsid w:val="00577E39"/>
    <w:rsid w:val="005803CD"/>
    <w:rsid w:val="0058183B"/>
    <w:rsid w:val="00585157"/>
    <w:rsid w:val="005866A4"/>
    <w:rsid w:val="00595C45"/>
    <w:rsid w:val="00596CFB"/>
    <w:rsid w:val="005A6A9E"/>
    <w:rsid w:val="005B04C1"/>
    <w:rsid w:val="005B1063"/>
    <w:rsid w:val="005B5783"/>
    <w:rsid w:val="005B5E81"/>
    <w:rsid w:val="005B7251"/>
    <w:rsid w:val="005B74D4"/>
    <w:rsid w:val="005C20CE"/>
    <w:rsid w:val="005C4E8C"/>
    <w:rsid w:val="005D0447"/>
    <w:rsid w:val="005D5C63"/>
    <w:rsid w:val="005D5EF7"/>
    <w:rsid w:val="005D65AA"/>
    <w:rsid w:val="005E6C7E"/>
    <w:rsid w:val="005F11FF"/>
    <w:rsid w:val="005F1756"/>
    <w:rsid w:val="005F26E4"/>
    <w:rsid w:val="005F5F3B"/>
    <w:rsid w:val="005F7029"/>
    <w:rsid w:val="005F7C70"/>
    <w:rsid w:val="00601627"/>
    <w:rsid w:val="00602FEC"/>
    <w:rsid w:val="00605670"/>
    <w:rsid w:val="00607371"/>
    <w:rsid w:val="006078DA"/>
    <w:rsid w:val="00612D22"/>
    <w:rsid w:val="006160A9"/>
    <w:rsid w:val="006175D8"/>
    <w:rsid w:val="006236F8"/>
    <w:rsid w:val="00623BF0"/>
    <w:rsid w:val="00627DE2"/>
    <w:rsid w:val="00632D14"/>
    <w:rsid w:val="00634DEA"/>
    <w:rsid w:val="00634FEF"/>
    <w:rsid w:val="00635E98"/>
    <w:rsid w:val="006361C8"/>
    <w:rsid w:val="00637132"/>
    <w:rsid w:val="00640576"/>
    <w:rsid w:val="00640F9C"/>
    <w:rsid w:val="00641C13"/>
    <w:rsid w:val="006513B4"/>
    <w:rsid w:val="00651997"/>
    <w:rsid w:val="00652B77"/>
    <w:rsid w:val="0065311F"/>
    <w:rsid w:val="006541BF"/>
    <w:rsid w:val="00654BA6"/>
    <w:rsid w:val="00655561"/>
    <w:rsid w:val="0065687A"/>
    <w:rsid w:val="00657570"/>
    <w:rsid w:val="00660404"/>
    <w:rsid w:val="00661B4A"/>
    <w:rsid w:val="00664608"/>
    <w:rsid w:val="00671D21"/>
    <w:rsid w:val="0067211F"/>
    <w:rsid w:val="00674F01"/>
    <w:rsid w:val="006766D5"/>
    <w:rsid w:val="0067798D"/>
    <w:rsid w:val="00685541"/>
    <w:rsid w:val="006855E8"/>
    <w:rsid w:val="00686563"/>
    <w:rsid w:val="006928C7"/>
    <w:rsid w:val="00696CAE"/>
    <w:rsid w:val="00697E24"/>
    <w:rsid w:val="006A0B96"/>
    <w:rsid w:val="006A1754"/>
    <w:rsid w:val="006A32BB"/>
    <w:rsid w:val="006A386C"/>
    <w:rsid w:val="006A4BF1"/>
    <w:rsid w:val="006A51D5"/>
    <w:rsid w:val="006B1B02"/>
    <w:rsid w:val="006B399A"/>
    <w:rsid w:val="006B3DE4"/>
    <w:rsid w:val="006B48F0"/>
    <w:rsid w:val="006B57B0"/>
    <w:rsid w:val="006C1EB2"/>
    <w:rsid w:val="006C41CE"/>
    <w:rsid w:val="006C69CC"/>
    <w:rsid w:val="006D0A35"/>
    <w:rsid w:val="006D3467"/>
    <w:rsid w:val="006D3B76"/>
    <w:rsid w:val="006D57F6"/>
    <w:rsid w:val="006D6469"/>
    <w:rsid w:val="006E09D1"/>
    <w:rsid w:val="006E0B2E"/>
    <w:rsid w:val="006E0B6F"/>
    <w:rsid w:val="006E4AA9"/>
    <w:rsid w:val="006E62B7"/>
    <w:rsid w:val="006F0D94"/>
    <w:rsid w:val="006F18E2"/>
    <w:rsid w:val="006F2A9F"/>
    <w:rsid w:val="006F3F18"/>
    <w:rsid w:val="006F4A7E"/>
    <w:rsid w:val="006F5DD8"/>
    <w:rsid w:val="006F6FA6"/>
    <w:rsid w:val="007003E1"/>
    <w:rsid w:val="00702396"/>
    <w:rsid w:val="00703725"/>
    <w:rsid w:val="00705723"/>
    <w:rsid w:val="00714AA3"/>
    <w:rsid w:val="00716933"/>
    <w:rsid w:val="0072210F"/>
    <w:rsid w:val="00723C92"/>
    <w:rsid w:val="00724EA7"/>
    <w:rsid w:val="00725929"/>
    <w:rsid w:val="00727114"/>
    <w:rsid w:val="00736031"/>
    <w:rsid w:val="00742D61"/>
    <w:rsid w:val="0074340F"/>
    <w:rsid w:val="00746ECC"/>
    <w:rsid w:val="0074759F"/>
    <w:rsid w:val="00751B1C"/>
    <w:rsid w:val="00751CBA"/>
    <w:rsid w:val="007525E5"/>
    <w:rsid w:val="00754363"/>
    <w:rsid w:val="00755622"/>
    <w:rsid w:val="00757320"/>
    <w:rsid w:val="007576C4"/>
    <w:rsid w:val="00757AAD"/>
    <w:rsid w:val="0076001B"/>
    <w:rsid w:val="007619B9"/>
    <w:rsid w:val="00762056"/>
    <w:rsid w:val="00762135"/>
    <w:rsid w:val="00762CF2"/>
    <w:rsid w:val="0076739A"/>
    <w:rsid w:val="00770674"/>
    <w:rsid w:val="00770ADB"/>
    <w:rsid w:val="0077297C"/>
    <w:rsid w:val="0077392A"/>
    <w:rsid w:val="00775763"/>
    <w:rsid w:val="00781954"/>
    <w:rsid w:val="00781A54"/>
    <w:rsid w:val="00784478"/>
    <w:rsid w:val="007858CF"/>
    <w:rsid w:val="0078601F"/>
    <w:rsid w:val="00790250"/>
    <w:rsid w:val="00792A1C"/>
    <w:rsid w:val="00795367"/>
    <w:rsid w:val="007955A2"/>
    <w:rsid w:val="00795870"/>
    <w:rsid w:val="007A1A98"/>
    <w:rsid w:val="007A2B35"/>
    <w:rsid w:val="007A55D5"/>
    <w:rsid w:val="007A601C"/>
    <w:rsid w:val="007B0632"/>
    <w:rsid w:val="007B23E6"/>
    <w:rsid w:val="007B2E81"/>
    <w:rsid w:val="007B6BDD"/>
    <w:rsid w:val="007B724C"/>
    <w:rsid w:val="007C16D3"/>
    <w:rsid w:val="007C2D4B"/>
    <w:rsid w:val="007C32F9"/>
    <w:rsid w:val="007C5D2E"/>
    <w:rsid w:val="007C7D3A"/>
    <w:rsid w:val="007D1A0F"/>
    <w:rsid w:val="007D2ABC"/>
    <w:rsid w:val="007D4D81"/>
    <w:rsid w:val="007D653B"/>
    <w:rsid w:val="007E22DC"/>
    <w:rsid w:val="007E29F5"/>
    <w:rsid w:val="007E382C"/>
    <w:rsid w:val="007E5A46"/>
    <w:rsid w:val="007F00F0"/>
    <w:rsid w:val="007F0C11"/>
    <w:rsid w:val="007F3290"/>
    <w:rsid w:val="007F40F3"/>
    <w:rsid w:val="007F486F"/>
    <w:rsid w:val="007F4EFB"/>
    <w:rsid w:val="007F521C"/>
    <w:rsid w:val="008015E0"/>
    <w:rsid w:val="00801F7E"/>
    <w:rsid w:val="008069B0"/>
    <w:rsid w:val="00811CA2"/>
    <w:rsid w:val="0081255B"/>
    <w:rsid w:val="008166C0"/>
    <w:rsid w:val="008204A4"/>
    <w:rsid w:val="008214C6"/>
    <w:rsid w:val="00830500"/>
    <w:rsid w:val="00831445"/>
    <w:rsid w:val="00831C5D"/>
    <w:rsid w:val="00831E20"/>
    <w:rsid w:val="0083506C"/>
    <w:rsid w:val="00840DAE"/>
    <w:rsid w:val="008422C2"/>
    <w:rsid w:val="008442E4"/>
    <w:rsid w:val="0084725F"/>
    <w:rsid w:val="00851068"/>
    <w:rsid w:val="0085255F"/>
    <w:rsid w:val="00853E01"/>
    <w:rsid w:val="00855040"/>
    <w:rsid w:val="008557AA"/>
    <w:rsid w:val="00855948"/>
    <w:rsid w:val="00857140"/>
    <w:rsid w:val="00861636"/>
    <w:rsid w:val="0086287C"/>
    <w:rsid w:val="008643FB"/>
    <w:rsid w:val="00867B46"/>
    <w:rsid w:val="00871454"/>
    <w:rsid w:val="0088050D"/>
    <w:rsid w:val="008847BB"/>
    <w:rsid w:val="00884ABC"/>
    <w:rsid w:val="008862B2"/>
    <w:rsid w:val="00886CEF"/>
    <w:rsid w:val="00886E31"/>
    <w:rsid w:val="00890C63"/>
    <w:rsid w:val="008915A2"/>
    <w:rsid w:val="00892C28"/>
    <w:rsid w:val="00893421"/>
    <w:rsid w:val="00894420"/>
    <w:rsid w:val="00894745"/>
    <w:rsid w:val="00894A9E"/>
    <w:rsid w:val="00895902"/>
    <w:rsid w:val="008A144F"/>
    <w:rsid w:val="008A2440"/>
    <w:rsid w:val="008A2453"/>
    <w:rsid w:val="008B27F5"/>
    <w:rsid w:val="008B6EF7"/>
    <w:rsid w:val="008C09F7"/>
    <w:rsid w:val="008C237B"/>
    <w:rsid w:val="008C2424"/>
    <w:rsid w:val="008C2449"/>
    <w:rsid w:val="008C635D"/>
    <w:rsid w:val="008C74DC"/>
    <w:rsid w:val="008D16AD"/>
    <w:rsid w:val="008D187B"/>
    <w:rsid w:val="008D293E"/>
    <w:rsid w:val="008E2864"/>
    <w:rsid w:val="008E337C"/>
    <w:rsid w:val="008E338F"/>
    <w:rsid w:val="008E3773"/>
    <w:rsid w:val="008E3AEB"/>
    <w:rsid w:val="008E64A1"/>
    <w:rsid w:val="008F07F5"/>
    <w:rsid w:val="00900A11"/>
    <w:rsid w:val="00900DEC"/>
    <w:rsid w:val="0090393C"/>
    <w:rsid w:val="00904875"/>
    <w:rsid w:val="0090499C"/>
    <w:rsid w:val="0090626C"/>
    <w:rsid w:val="00906A36"/>
    <w:rsid w:val="00913A0E"/>
    <w:rsid w:val="00915C03"/>
    <w:rsid w:val="00917DC9"/>
    <w:rsid w:val="00920B46"/>
    <w:rsid w:val="00922697"/>
    <w:rsid w:val="00923CD7"/>
    <w:rsid w:val="00925AA7"/>
    <w:rsid w:val="00925C05"/>
    <w:rsid w:val="00933671"/>
    <w:rsid w:val="0093386E"/>
    <w:rsid w:val="00934E45"/>
    <w:rsid w:val="00934FA5"/>
    <w:rsid w:val="00937B50"/>
    <w:rsid w:val="009432A2"/>
    <w:rsid w:val="0094624F"/>
    <w:rsid w:val="009510BD"/>
    <w:rsid w:val="009536B4"/>
    <w:rsid w:val="00955066"/>
    <w:rsid w:val="009608C7"/>
    <w:rsid w:val="0096312A"/>
    <w:rsid w:val="00966858"/>
    <w:rsid w:val="00967965"/>
    <w:rsid w:val="009703EB"/>
    <w:rsid w:val="009741FE"/>
    <w:rsid w:val="009751B4"/>
    <w:rsid w:val="0097574B"/>
    <w:rsid w:val="009759C4"/>
    <w:rsid w:val="00982926"/>
    <w:rsid w:val="00983D07"/>
    <w:rsid w:val="00984CCB"/>
    <w:rsid w:val="009863E2"/>
    <w:rsid w:val="00990ABE"/>
    <w:rsid w:val="0099244A"/>
    <w:rsid w:val="00992D12"/>
    <w:rsid w:val="009939DE"/>
    <w:rsid w:val="009950A5"/>
    <w:rsid w:val="00997ECA"/>
    <w:rsid w:val="009A119E"/>
    <w:rsid w:val="009A2D0A"/>
    <w:rsid w:val="009A6449"/>
    <w:rsid w:val="009A78AD"/>
    <w:rsid w:val="009A7CF2"/>
    <w:rsid w:val="009B247E"/>
    <w:rsid w:val="009B39BF"/>
    <w:rsid w:val="009B3E9E"/>
    <w:rsid w:val="009C11E6"/>
    <w:rsid w:val="009C4610"/>
    <w:rsid w:val="009D484F"/>
    <w:rsid w:val="009D5893"/>
    <w:rsid w:val="009D7A23"/>
    <w:rsid w:val="009E1FAF"/>
    <w:rsid w:val="009E59DD"/>
    <w:rsid w:val="009F12BC"/>
    <w:rsid w:val="009F4F4D"/>
    <w:rsid w:val="009F70BC"/>
    <w:rsid w:val="00A00A6D"/>
    <w:rsid w:val="00A01116"/>
    <w:rsid w:val="00A01FE6"/>
    <w:rsid w:val="00A03778"/>
    <w:rsid w:val="00A06A76"/>
    <w:rsid w:val="00A1043A"/>
    <w:rsid w:val="00A148AA"/>
    <w:rsid w:val="00A14B16"/>
    <w:rsid w:val="00A15BEE"/>
    <w:rsid w:val="00A15F55"/>
    <w:rsid w:val="00A22B82"/>
    <w:rsid w:val="00A23E8A"/>
    <w:rsid w:val="00A32251"/>
    <w:rsid w:val="00A35FE5"/>
    <w:rsid w:val="00A36F84"/>
    <w:rsid w:val="00A3768B"/>
    <w:rsid w:val="00A573A4"/>
    <w:rsid w:val="00A63631"/>
    <w:rsid w:val="00A647BD"/>
    <w:rsid w:val="00A65488"/>
    <w:rsid w:val="00A659FE"/>
    <w:rsid w:val="00A6643D"/>
    <w:rsid w:val="00A66E2E"/>
    <w:rsid w:val="00A72421"/>
    <w:rsid w:val="00A72E89"/>
    <w:rsid w:val="00A731EA"/>
    <w:rsid w:val="00A73598"/>
    <w:rsid w:val="00A74D26"/>
    <w:rsid w:val="00A75720"/>
    <w:rsid w:val="00A75C65"/>
    <w:rsid w:val="00A82740"/>
    <w:rsid w:val="00A83240"/>
    <w:rsid w:val="00A873E6"/>
    <w:rsid w:val="00A92F64"/>
    <w:rsid w:val="00A93280"/>
    <w:rsid w:val="00A969FA"/>
    <w:rsid w:val="00AA0F1B"/>
    <w:rsid w:val="00AA652B"/>
    <w:rsid w:val="00AA6D67"/>
    <w:rsid w:val="00AB1536"/>
    <w:rsid w:val="00AB1560"/>
    <w:rsid w:val="00AB28DB"/>
    <w:rsid w:val="00AB4FE2"/>
    <w:rsid w:val="00AC2CF2"/>
    <w:rsid w:val="00AD06AB"/>
    <w:rsid w:val="00AD2433"/>
    <w:rsid w:val="00AD3586"/>
    <w:rsid w:val="00AD3CC6"/>
    <w:rsid w:val="00AE129C"/>
    <w:rsid w:val="00AE3660"/>
    <w:rsid w:val="00AE3764"/>
    <w:rsid w:val="00AE519A"/>
    <w:rsid w:val="00AE7079"/>
    <w:rsid w:val="00AE7C3C"/>
    <w:rsid w:val="00AF1BF2"/>
    <w:rsid w:val="00AF5067"/>
    <w:rsid w:val="00B01B38"/>
    <w:rsid w:val="00B01BBA"/>
    <w:rsid w:val="00B02452"/>
    <w:rsid w:val="00B03317"/>
    <w:rsid w:val="00B03934"/>
    <w:rsid w:val="00B03AD9"/>
    <w:rsid w:val="00B10538"/>
    <w:rsid w:val="00B10F5D"/>
    <w:rsid w:val="00B115B4"/>
    <w:rsid w:val="00B118A0"/>
    <w:rsid w:val="00B1307E"/>
    <w:rsid w:val="00B146CC"/>
    <w:rsid w:val="00B218E9"/>
    <w:rsid w:val="00B23EE8"/>
    <w:rsid w:val="00B24A08"/>
    <w:rsid w:val="00B27141"/>
    <w:rsid w:val="00B27811"/>
    <w:rsid w:val="00B33321"/>
    <w:rsid w:val="00B3535C"/>
    <w:rsid w:val="00B367F5"/>
    <w:rsid w:val="00B36D6E"/>
    <w:rsid w:val="00B4424D"/>
    <w:rsid w:val="00B454CE"/>
    <w:rsid w:val="00B4606A"/>
    <w:rsid w:val="00B46E02"/>
    <w:rsid w:val="00B5107D"/>
    <w:rsid w:val="00B52C83"/>
    <w:rsid w:val="00B52F00"/>
    <w:rsid w:val="00B5304D"/>
    <w:rsid w:val="00B57289"/>
    <w:rsid w:val="00B57BB8"/>
    <w:rsid w:val="00B603F9"/>
    <w:rsid w:val="00B63500"/>
    <w:rsid w:val="00B658DD"/>
    <w:rsid w:val="00B65F86"/>
    <w:rsid w:val="00B70351"/>
    <w:rsid w:val="00B71B54"/>
    <w:rsid w:val="00B7222D"/>
    <w:rsid w:val="00B73282"/>
    <w:rsid w:val="00B75D4C"/>
    <w:rsid w:val="00B75E97"/>
    <w:rsid w:val="00B81973"/>
    <w:rsid w:val="00B81ECC"/>
    <w:rsid w:val="00B83183"/>
    <w:rsid w:val="00B83988"/>
    <w:rsid w:val="00B84DB5"/>
    <w:rsid w:val="00B85AE3"/>
    <w:rsid w:val="00B8671E"/>
    <w:rsid w:val="00B87353"/>
    <w:rsid w:val="00B876E8"/>
    <w:rsid w:val="00B9401B"/>
    <w:rsid w:val="00B956EA"/>
    <w:rsid w:val="00B96A5B"/>
    <w:rsid w:val="00B976B5"/>
    <w:rsid w:val="00BA28E0"/>
    <w:rsid w:val="00BA3094"/>
    <w:rsid w:val="00BA46E4"/>
    <w:rsid w:val="00BB02D2"/>
    <w:rsid w:val="00BC765C"/>
    <w:rsid w:val="00BC7891"/>
    <w:rsid w:val="00BD140E"/>
    <w:rsid w:val="00BD1613"/>
    <w:rsid w:val="00BD20E7"/>
    <w:rsid w:val="00BE51A1"/>
    <w:rsid w:val="00BE7033"/>
    <w:rsid w:val="00BE70CF"/>
    <w:rsid w:val="00BF0356"/>
    <w:rsid w:val="00BF099E"/>
    <w:rsid w:val="00BF2C95"/>
    <w:rsid w:val="00BF6889"/>
    <w:rsid w:val="00BF7608"/>
    <w:rsid w:val="00C01381"/>
    <w:rsid w:val="00C05D52"/>
    <w:rsid w:val="00C05F40"/>
    <w:rsid w:val="00C101A6"/>
    <w:rsid w:val="00C163D2"/>
    <w:rsid w:val="00C235DF"/>
    <w:rsid w:val="00C2777D"/>
    <w:rsid w:val="00C31335"/>
    <w:rsid w:val="00C33AF1"/>
    <w:rsid w:val="00C41447"/>
    <w:rsid w:val="00C4169E"/>
    <w:rsid w:val="00C41991"/>
    <w:rsid w:val="00C43796"/>
    <w:rsid w:val="00C446DF"/>
    <w:rsid w:val="00C44EA6"/>
    <w:rsid w:val="00C50776"/>
    <w:rsid w:val="00C523A4"/>
    <w:rsid w:val="00C5511F"/>
    <w:rsid w:val="00C62F0E"/>
    <w:rsid w:val="00C6597E"/>
    <w:rsid w:val="00C66954"/>
    <w:rsid w:val="00C66EA0"/>
    <w:rsid w:val="00C80B31"/>
    <w:rsid w:val="00C8157E"/>
    <w:rsid w:val="00C82E58"/>
    <w:rsid w:val="00C8480B"/>
    <w:rsid w:val="00C877AB"/>
    <w:rsid w:val="00C95138"/>
    <w:rsid w:val="00C96B58"/>
    <w:rsid w:val="00C96ECE"/>
    <w:rsid w:val="00CA1F0D"/>
    <w:rsid w:val="00CA29C9"/>
    <w:rsid w:val="00CA48D9"/>
    <w:rsid w:val="00CA4B8F"/>
    <w:rsid w:val="00CA68C8"/>
    <w:rsid w:val="00CA7C8E"/>
    <w:rsid w:val="00CB7114"/>
    <w:rsid w:val="00CC007C"/>
    <w:rsid w:val="00CC040C"/>
    <w:rsid w:val="00CC0B31"/>
    <w:rsid w:val="00CC5645"/>
    <w:rsid w:val="00CC790A"/>
    <w:rsid w:val="00CC7E1B"/>
    <w:rsid w:val="00CD0E78"/>
    <w:rsid w:val="00CD621E"/>
    <w:rsid w:val="00CD72C7"/>
    <w:rsid w:val="00CE40CE"/>
    <w:rsid w:val="00CE4E7E"/>
    <w:rsid w:val="00CE6DD9"/>
    <w:rsid w:val="00CF0FF8"/>
    <w:rsid w:val="00CF216F"/>
    <w:rsid w:val="00CF4938"/>
    <w:rsid w:val="00CF7B5C"/>
    <w:rsid w:val="00CF7C2D"/>
    <w:rsid w:val="00D043EC"/>
    <w:rsid w:val="00D072C6"/>
    <w:rsid w:val="00D10C01"/>
    <w:rsid w:val="00D112C4"/>
    <w:rsid w:val="00D13FE4"/>
    <w:rsid w:val="00D144D3"/>
    <w:rsid w:val="00D1687D"/>
    <w:rsid w:val="00D21227"/>
    <w:rsid w:val="00D21699"/>
    <w:rsid w:val="00D23E3A"/>
    <w:rsid w:val="00D26E48"/>
    <w:rsid w:val="00D303C4"/>
    <w:rsid w:val="00D3134C"/>
    <w:rsid w:val="00D336C5"/>
    <w:rsid w:val="00D369BA"/>
    <w:rsid w:val="00D40C31"/>
    <w:rsid w:val="00D41436"/>
    <w:rsid w:val="00D4422E"/>
    <w:rsid w:val="00D504E1"/>
    <w:rsid w:val="00D509B8"/>
    <w:rsid w:val="00D50C52"/>
    <w:rsid w:val="00D53120"/>
    <w:rsid w:val="00D56BED"/>
    <w:rsid w:val="00D60F56"/>
    <w:rsid w:val="00D615CB"/>
    <w:rsid w:val="00D6216C"/>
    <w:rsid w:val="00D62A0D"/>
    <w:rsid w:val="00D659BC"/>
    <w:rsid w:val="00D65EB9"/>
    <w:rsid w:val="00D72E53"/>
    <w:rsid w:val="00D73525"/>
    <w:rsid w:val="00D75624"/>
    <w:rsid w:val="00D803CC"/>
    <w:rsid w:val="00D9046A"/>
    <w:rsid w:val="00D92B17"/>
    <w:rsid w:val="00D940F7"/>
    <w:rsid w:val="00D94EAF"/>
    <w:rsid w:val="00D95134"/>
    <w:rsid w:val="00D95E69"/>
    <w:rsid w:val="00D96932"/>
    <w:rsid w:val="00D96C90"/>
    <w:rsid w:val="00DA2649"/>
    <w:rsid w:val="00DA6B5F"/>
    <w:rsid w:val="00DB0C71"/>
    <w:rsid w:val="00DB10EA"/>
    <w:rsid w:val="00DB3A9D"/>
    <w:rsid w:val="00DB4734"/>
    <w:rsid w:val="00DB5146"/>
    <w:rsid w:val="00DB7655"/>
    <w:rsid w:val="00DB7FB5"/>
    <w:rsid w:val="00DC032D"/>
    <w:rsid w:val="00DC0DE8"/>
    <w:rsid w:val="00DC6F83"/>
    <w:rsid w:val="00DC7208"/>
    <w:rsid w:val="00DD03C2"/>
    <w:rsid w:val="00DD0991"/>
    <w:rsid w:val="00DD2AA9"/>
    <w:rsid w:val="00DD2BD2"/>
    <w:rsid w:val="00DD6F10"/>
    <w:rsid w:val="00DE1413"/>
    <w:rsid w:val="00DE3933"/>
    <w:rsid w:val="00DE4218"/>
    <w:rsid w:val="00DE52A3"/>
    <w:rsid w:val="00DE6C51"/>
    <w:rsid w:val="00DE6D11"/>
    <w:rsid w:val="00DF3F6D"/>
    <w:rsid w:val="00DF5E43"/>
    <w:rsid w:val="00DF75FF"/>
    <w:rsid w:val="00E016A1"/>
    <w:rsid w:val="00E01CD5"/>
    <w:rsid w:val="00E04D81"/>
    <w:rsid w:val="00E05760"/>
    <w:rsid w:val="00E11892"/>
    <w:rsid w:val="00E12F2D"/>
    <w:rsid w:val="00E155CC"/>
    <w:rsid w:val="00E17010"/>
    <w:rsid w:val="00E17827"/>
    <w:rsid w:val="00E17D2C"/>
    <w:rsid w:val="00E20F6C"/>
    <w:rsid w:val="00E213A0"/>
    <w:rsid w:val="00E237DA"/>
    <w:rsid w:val="00E25E3F"/>
    <w:rsid w:val="00E270D0"/>
    <w:rsid w:val="00E3025A"/>
    <w:rsid w:val="00E34362"/>
    <w:rsid w:val="00E34D26"/>
    <w:rsid w:val="00E369C3"/>
    <w:rsid w:val="00E40B1D"/>
    <w:rsid w:val="00E46A70"/>
    <w:rsid w:val="00E47398"/>
    <w:rsid w:val="00E4742B"/>
    <w:rsid w:val="00E504FD"/>
    <w:rsid w:val="00E539D8"/>
    <w:rsid w:val="00E60738"/>
    <w:rsid w:val="00E62123"/>
    <w:rsid w:val="00E63550"/>
    <w:rsid w:val="00E6427F"/>
    <w:rsid w:val="00E70714"/>
    <w:rsid w:val="00E759AE"/>
    <w:rsid w:val="00E75E44"/>
    <w:rsid w:val="00E8397A"/>
    <w:rsid w:val="00E84861"/>
    <w:rsid w:val="00E84DB5"/>
    <w:rsid w:val="00E852F4"/>
    <w:rsid w:val="00E86546"/>
    <w:rsid w:val="00E903B4"/>
    <w:rsid w:val="00E906FC"/>
    <w:rsid w:val="00E96B49"/>
    <w:rsid w:val="00EA1194"/>
    <w:rsid w:val="00EA4067"/>
    <w:rsid w:val="00EB1124"/>
    <w:rsid w:val="00EB1F3A"/>
    <w:rsid w:val="00EB484A"/>
    <w:rsid w:val="00EB62A5"/>
    <w:rsid w:val="00EB7FA6"/>
    <w:rsid w:val="00EC0CFC"/>
    <w:rsid w:val="00EC48C8"/>
    <w:rsid w:val="00EC609C"/>
    <w:rsid w:val="00EC6214"/>
    <w:rsid w:val="00ED17AA"/>
    <w:rsid w:val="00ED2114"/>
    <w:rsid w:val="00ED2999"/>
    <w:rsid w:val="00ED3670"/>
    <w:rsid w:val="00ED4D6E"/>
    <w:rsid w:val="00ED76AB"/>
    <w:rsid w:val="00EE1F53"/>
    <w:rsid w:val="00EE29A1"/>
    <w:rsid w:val="00EE2C76"/>
    <w:rsid w:val="00EE36F4"/>
    <w:rsid w:val="00EE5F2F"/>
    <w:rsid w:val="00EF4DD6"/>
    <w:rsid w:val="00F00FE3"/>
    <w:rsid w:val="00F025C1"/>
    <w:rsid w:val="00F07D10"/>
    <w:rsid w:val="00F115C9"/>
    <w:rsid w:val="00F120F1"/>
    <w:rsid w:val="00F1221F"/>
    <w:rsid w:val="00F13F79"/>
    <w:rsid w:val="00F14DBD"/>
    <w:rsid w:val="00F219DB"/>
    <w:rsid w:val="00F26A44"/>
    <w:rsid w:val="00F308FC"/>
    <w:rsid w:val="00F35501"/>
    <w:rsid w:val="00F36FB7"/>
    <w:rsid w:val="00F43D33"/>
    <w:rsid w:val="00F45ABA"/>
    <w:rsid w:val="00F46BF2"/>
    <w:rsid w:val="00F512B4"/>
    <w:rsid w:val="00F52712"/>
    <w:rsid w:val="00F5554A"/>
    <w:rsid w:val="00F5714B"/>
    <w:rsid w:val="00F5718B"/>
    <w:rsid w:val="00F5746D"/>
    <w:rsid w:val="00F612A4"/>
    <w:rsid w:val="00F61E3B"/>
    <w:rsid w:val="00F6548E"/>
    <w:rsid w:val="00F66DC1"/>
    <w:rsid w:val="00F677FF"/>
    <w:rsid w:val="00F71BF6"/>
    <w:rsid w:val="00F75519"/>
    <w:rsid w:val="00F7590C"/>
    <w:rsid w:val="00F81DEF"/>
    <w:rsid w:val="00F87B46"/>
    <w:rsid w:val="00F90AAB"/>
    <w:rsid w:val="00F94569"/>
    <w:rsid w:val="00FA0278"/>
    <w:rsid w:val="00FA14CA"/>
    <w:rsid w:val="00FA4AC5"/>
    <w:rsid w:val="00FA6369"/>
    <w:rsid w:val="00FA6834"/>
    <w:rsid w:val="00FA7169"/>
    <w:rsid w:val="00FA7638"/>
    <w:rsid w:val="00FB2E1E"/>
    <w:rsid w:val="00FB31EC"/>
    <w:rsid w:val="00FC09C4"/>
    <w:rsid w:val="00FC1213"/>
    <w:rsid w:val="00FC4212"/>
    <w:rsid w:val="00FC702C"/>
    <w:rsid w:val="00FD77AF"/>
    <w:rsid w:val="00FE0A93"/>
    <w:rsid w:val="00FE362C"/>
    <w:rsid w:val="00FE38BC"/>
    <w:rsid w:val="00FF0B1B"/>
    <w:rsid w:val="00FF4D96"/>
    <w:rsid w:val="00FF653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Helvetica"/>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Normal Indent" w:unhideWhenUsed="1"/>
    <w:lsdException w:name="footnote text" w:uiPriority="9" w:qFormat="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iPriority="0"/>
    <w:lsdException w:name="line number" w:unhideWhenUsed="1"/>
    <w:lsdException w:name="page number"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0373BF"/>
    <w:pPr>
      <w:jc w:val="both"/>
    </w:pPr>
    <w:rPr>
      <w:rFonts w:ascii="Tahoma" w:hAnsi="Tahoma" w:cs="Tahoma"/>
      <w:lang w:val="en-GB"/>
    </w:rPr>
  </w:style>
  <w:style w:type="paragraph" w:styleId="Titre1">
    <w:name w:val="heading 1"/>
    <w:basedOn w:val="Normal"/>
    <w:next w:val="Normal"/>
    <w:link w:val="Titre1Car"/>
    <w:uiPriority w:val="99"/>
    <w:qFormat/>
    <w:rsid w:val="00990ABE"/>
    <w:pPr>
      <w:keepNext/>
      <w:numPr>
        <w:numId w:val="2"/>
      </w:numPr>
      <w:pBdr>
        <w:bottom w:val="single" w:sz="12" w:space="1" w:color="auto"/>
      </w:pBdr>
      <w:shd w:val="clear" w:color="auto" w:fill="FFFFFF"/>
      <w:outlineLvl w:val="0"/>
    </w:pPr>
    <w:rPr>
      <w:rFonts w:eastAsia="Times New Roman"/>
      <w:b/>
      <w:bCs/>
      <w:kern w:val="32"/>
      <w:sz w:val="24"/>
      <w:szCs w:val="24"/>
      <w:lang w:val="it-IT" w:eastAsia="it-IT"/>
    </w:rPr>
  </w:style>
  <w:style w:type="paragraph" w:styleId="Titre2">
    <w:name w:val="heading 2"/>
    <w:basedOn w:val="Normal"/>
    <w:next w:val="Normal"/>
    <w:link w:val="Titre2Car"/>
    <w:uiPriority w:val="99"/>
    <w:qFormat/>
    <w:rsid w:val="00840DAE"/>
    <w:pPr>
      <w:keepNext/>
      <w:numPr>
        <w:ilvl w:val="1"/>
        <w:numId w:val="2"/>
      </w:numPr>
      <w:shd w:val="clear" w:color="auto" w:fill="FFFFFF"/>
      <w:outlineLvl w:val="1"/>
    </w:pPr>
    <w:rPr>
      <w:rFonts w:eastAsia="Times New Roman"/>
      <w:b/>
      <w:bCs/>
      <w:sz w:val="22"/>
      <w:szCs w:val="22"/>
      <w:lang w:val="it-IT" w:eastAsia="it-IT"/>
    </w:rPr>
  </w:style>
  <w:style w:type="paragraph" w:styleId="Titre3">
    <w:name w:val="heading 3"/>
    <w:basedOn w:val="Normal"/>
    <w:next w:val="Normal"/>
    <w:link w:val="Titre3Car"/>
    <w:uiPriority w:val="99"/>
    <w:qFormat/>
    <w:rsid w:val="00CD72C7"/>
    <w:pPr>
      <w:keepNext/>
      <w:numPr>
        <w:ilvl w:val="2"/>
        <w:numId w:val="2"/>
      </w:numPr>
      <w:outlineLvl w:val="2"/>
    </w:pPr>
    <w:rPr>
      <w:b/>
      <w:bCs/>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990ABE"/>
    <w:rPr>
      <w:rFonts w:ascii="Tahoma" w:hAnsi="Tahoma" w:cs="Tahoma"/>
      <w:b/>
      <w:bCs/>
      <w:kern w:val="32"/>
      <w:sz w:val="32"/>
      <w:szCs w:val="32"/>
      <w:shd w:val="clear" w:color="auto" w:fill="FFFFFF"/>
    </w:rPr>
  </w:style>
  <w:style w:type="character" w:customStyle="1" w:styleId="Titre2Car">
    <w:name w:val="Titre 2 Car"/>
    <w:basedOn w:val="Policepardfaut"/>
    <w:link w:val="Titre2"/>
    <w:uiPriority w:val="99"/>
    <w:rsid w:val="00840DAE"/>
    <w:rPr>
      <w:rFonts w:ascii="Tahoma" w:hAnsi="Tahoma" w:cs="Tahoma"/>
      <w:b/>
      <w:bCs/>
      <w:sz w:val="28"/>
      <w:szCs w:val="28"/>
      <w:shd w:val="clear" w:color="auto" w:fill="FFFFFF"/>
    </w:rPr>
  </w:style>
  <w:style w:type="character" w:customStyle="1" w:styleId="Titre3Car">
    <w:name w:val="Titre 3 Car"/>
    <w:basedOn w:val="Policepardfaut"/>
    <w:link w:val="Titre3"/>
    <w:uiPriority w:val="99"/>
    <w:rsid w:val="00CD72C7"/>
    <w:rPr>
      <w:rFonts w:ascii="Tahoma" w:hAnsi="Tahoma" w:cs="Tahoma"/>
      <w:b/>
      <w:bCs/>
      <w:sz w:val="26"/>
      <w:szCs w:val="26"/>
      <w:lang w:val="fr-FR" w:eastAsia="fr-FR"/>
    </w:rPr>
  </w:style>
  <w:style w:type="paragraph" w:styleId="En-tte">
    <w:name w:val="header"/>
    <w:basedOn w:val="Normal"/>
    <w:link w:val="En-tteCar"/>
    <w:uiPriority w:val="99"/>
    <w:rsid w:val="0031260E"/>
    <w:pPr>
      <w:tabs>
        <w:tab w:val="center" w:pos="4536"/>
        <w:tab w:val="right" w:pos="9072"/>
      </w:tabs>
    </w:pPr>
    <w:rPr>
      <w:lang w:val="it-IT" w:eastAsia="it-IT"/>
    </w:rPr>
  </w:style>
  <w:style w:type="character" w:customStyle="1" w:styleId="En-tteCar">
    <w:name w:val="En-tête Car"/>
    <w:basedOn w:val="Policepardfaut"/>
    <w:link w:val="En-tte"/>
    <w:uiPriority w:val="99"/>
    <w:rsid w:val="0031260E"/>
    <w:rPr>
      <w:rFonts w:ascii="Tahoma" w:hAnsi="Tahoma" w:cs="Tahoma"/>
    </w:rPr>
  </w:style>
  <w:style w:type="paragraph" w:styleId="Textedebulles">
    <w:name w:val="Balloon Text"/>
    <w:basedOn w:val="Normal"/>
    <w:link w:val="TextedebullesCar"/>
    <w:uiPriority w:val="99"/>
    <w:semiHidden/>
    <w:rsid w:val="0031260E"/>
    <w:rPr>
      <w:sz w:val="16"/>
      <w:szCs w:val="16"/>
      <w:lang w:val="it-IT" w:eastAsia="it-IT"/>
    </w:rPr>
  </w:style>
  <w:style w:type="character" w:customStyle="1" w:styleId="TextedebullesCar">
    <w:name w:val="Texte de bulles Car"/>
    <w:basedOn w:val="Policepardfaut"/>
    <w:link w:val="Textedebulles"/>
    <w:uiPriority w:val="99"/>
    <w:semiHidden/>
    <w:rsid w:val="0031260E"/>
    <w:rPr>
      <w:rFonts w:ascii="Tahoma" w:hAnsi="Tahoma" w:cs="Tahoma"/>
      <w:sz w:val="16"/>
      <w:szCs w:val="16"/>
    </w:rPr>
  </w:style>
  <w:style w:type="paragraph" w:styleId="NormalWeb">
    <w:name w:val="Normal (Web)"/>
    <w:basedOn w:val="Normal"/>
    <w:uiPriority w:val="99"/>
    <w:rsid w:val="0031260E"/>
    <w:pPr>
      <w:suppressAutoHyphens/>
      <w:spacing w:before="100" w:after="100"/>
      <w:ind w:firstLine="284"/>
      <w:jc w:val="left"/>
    </w:pPr>
    <w:rPr>
      <w:rFonts w:eastAsia="Times New Roman"/>
      <w:lang w:val="de-DE" w:eastAsia="ar-SA"/>
    </w:rPr>
  </w:style>
  <w:style w:type="paragraph" w:customStyle="1" w:styleId="Default">
    <w:name w:val="Default"/>
    <w:uiPriority w:val="99"/>
    <w:rsid w:val="003D0735"/>
    <w:pPr>
      <w:autoSpaceDE w:val="0"/>
      <w:autoSpaceDN w:val="0"/>
      <w:adjustRightInd w:val="0"/>
    </w:pPr>
    <w:rPr>
      <w:rFonts w:ascii="Cambria" w:hAnsi="Cambria" w:cs="Cambria"/>
      <w:color w:val="000000"/>
      <w:sz w:val="24"/>
      <w:szCs w:val="24"/>
      <w:lang w:val="fr-FR" w:eastAsia="fr-FR"/>
    </w:rPr>
  </w:style>
  <w:style w:type="paragraph" w:styleId="Pieddepage">
    <w:name w:val="footer"/>
    <w:basedOn w:val="Normal"/>
    <w:link w:val="PieddepageCar"/>
    <w:uiPriority w:val="99"/>
    <w:rsid w:val="00840DAE"/>
    <w:pPr>
      <w:tabs>
        <w:tab w:val="center" w:pos="4536"/>
        <w:tab w:val="right" w:pos="9072"/>
      </w:tabs>
    </w:pPr>
    <w:rPr>
      <w:lang w:val="it-IT"/>
    </w:rPr>
  </w:style>
  <w:style w:type="character" w:customStyle="1" w:styleId="PieddepageCar">
    <w:name w:val="Pied de page Car"/>
    <w:basedOn w:val="Policepardfaut"/>
    <w:link w:val="Pieddepage"/>
    <w:uiPriority w:val="99"/>
    <w:rsid w:val="00840DAE"/>
    <w:rPr>
      <w:rFonts w:ascii="Tahoma" w:hAnsi="Tahoma" w:cs="Tahoma"/>
      <w:sz w:val="22"/>
      <w:szCs w:val="22"/>
      <w:lang w:eastAsia="en-US"/>
    </w:rPr>
  </w:style>
  <w:style w:type="paragraph" w:styleId="En-ttedetabledesmatires">
    <w:name w:val="TOC Heading"/>
    <w:basedOn w:val="Titre1"/>
    <w:next w:val="Normal"/>
    <w:uiPriority w:val="39"/>
    <w:qFormat/>
    <w:rsid w:val="001377A0"/>
    <w:pPr>
      <w:keepLines/>
      <w:numPr>
        <w:numId w:val="0"/>
      </w:numPr>
      <w:pBdr>
        <w:bottom w:val="none" w:sz="0" w:space="0" w:color="auto"/>
      </w:pBdr>
      <w:spacing w:before="480" w:line="276" w:lineRule="auto"/>
      <w:jc w:val="left"/>
      <w:outlineLvl w:val="9"/>
    </w:pPr>
    <w:rPr>
      <w:rFonts w:ascii="Cambria" w:hAnsi="Cambria" w:cs="Cambria"/>
      <w:color w:val="365F91"/>
      <w:kern w:val="0"/>
      <w:lang w:val="fr-FR"/>
    </w:rPr>
  </w:style>
  <w:style w:type="paragraph" w:styleId="TM1">
    <w:name w:val="toc 1"/>
    <w:basedOn w:val="Normal"/>
    <w:next w:val="Normal"/>
    <w:autoRedefine/>
    <w:uiPriority w:val="39"/>
    <w:rsid w:val="001377A0"/>
    <w:pPr>
      <w:spacing w:before="120" w:after="120"/>
      <w:jc w:val="left"/>
    </w:pPr>
    <w:rPr>
      <w:rFonts w:ascii="Calibri" w:hAnsi="Calibri" w:cs="Calibri"/>
      <w:b/>
      <w:bCs/>
      <w:caps/>
    </w:rPr>
  </w:style>
  <w:style w:type="paragraph" w:styleId="TM2">
    <w:name w:val="toc 2"/>
    <w:basedOn w:val="Normal"/>
    <w:next w:val="Normal"/>
    <w:autoRedefine/>
    <w:uiPriority w:val="39"/>
    <w:rsid w:val="001377A0"/>
    <w:pPr>
      <w:ind w:left="200"/>
      <w:jc w:val="left"/>
    </w:pPr>
    <w:rPr>
      <w:rFonts w:ascii="Calibri" w:hAnsi="Calibri" w:cs="Calibri"/>
      <w:smallCaps/>
    </w:rPr>
  </w:style>
  <w:style w:type="character" w:styleId="Lienhypertexte">
    <w:name w:val="Hyperlink"/>
    <w:basedOn w:val="Policepardfaut"/>
    <w:uiPriority w:val="99"/>
    <w:rsid w:val="001377A0"/>
    <w:rPr>
      <w:color w:val="0000FF"/>
      <w:u w:val="single"/>
    </w:rPr>
  </w:style>
  <w:style w:type="paragraph" w:styleId="Notedebasdepage">
    <w:name w:val="footnote text"/>
    <w:basedOn w:val="Normal"/>
    <w:link w:val="NotedebasdepageCar"/>
    <w:uiPriority w:val="9"/>
    <w:qFormat/>
    <w:rsid w:val="00840DAE"/>
    <w:rPr>
      <w:sz w:val="16"/>
      <w:szCs w:val="16"/>
      <w:lang w:val="it-IT"/>
    </w:rPr>
  </w:style>
  <w:style w:type="character" w:customStyle="1" w:styleId="NotedebasdepageCar">
    <w:name w:val="Note de bas de page Car"/>
    <w:basedOn w:val="Policepardfaut"/>
    <w:link w:val="Notedebasdepage"/>
    <w:uiPriority w:val="9"/>
    <w:rsid w:val="000373BF"/>
    <w:rPr>
      <w:rFonts w:ascii="Tahoma" w:hAnsi="Tahoma" w:cs="Tahoma"/>
      <w:sz w:val="16"/>
      <w:szCs w:val="16"/>
      <w:lang w:eastAsia="en-US"/>
    </w:rPr>
  </w:style>
  <w:style w:type="character" w:styleId="Appelnotedebasdep">
    <w:name w:val="footnote reference"/>
    <w:basedOn w:val="Policepardfaut"/>
    <w:rsid w:val="00B70351"/>
    <w:rPr>
      <w:vertAlign w:val="superscript"/>
    </w:rPr>
  </w:style>
  <w:style w:type="paragraph" w:styleId="TM3">
    <w:name w:val="toc 3"/>
    <w:basedOn w:val="Normal"/>
    <w:next w:val="Normal"/>
    <w:autoRedefine/>
    <w:uiPriority w:val="39"/>
    <w:rsid w:val="007D1A0F"/>
    <w:pPr>
      <w:ind w:left="400"/>
      <w:jc w:val="left"/>
    </w:pPr>
    <w:rPr>
      <w:rFonts w:ascii="Calibri" w:hAnsi="Calibri" w:cs="Calibri"/>
      <w:i/>
      <w:iCs/>
    </w:rPr>
  </w:style>
  <w:style w:type="paragraph" w:customStyle="1" w:styleId="Style1">
    <w:name w:val="Style1"/>
    <w:basedOn w:val="Titre1"/>
    <w:uiPriority w:val="99"/>
    <w:rsid w:val="00CD72C7"/>
    <w:rPr>
      <w:caps/>
    </w:rPr>
  </w:style>
  <w:style w:type="paragraph" w:styleId="TM4">
    <w:name w:val="toc 4"/>
    <w:basedOn w:val="Normal"/>
    <w:next w:val="Normal"/>
    <w:autoRedefine/>
    <w:uiPriority w:val="99"/>
    <w:semiHidden/>
    <w:rsid w:val="00CA1F0D"/>
    <w:pPr>
      <w:ind w:left="600"/>
      <w:jc w:val="left"/>
    </w:pPr>
    <w:rPr>
      <w:rFonts w:ascii="Calibri" w:hAnsi="Calibri" w:cs="Calibri"/>
      <w:sz w:val="18"/>
      <w:szCs w:val="18"/>
    </w:rPr>
  </w:style>
  <w:style w:type="paragraph" w:styleId="TM5">
    <w:name w:val="toc 5"/>
    <w:basedOn w:val="Normal"/>
    <w:next w:val="Normal"/>
    <w:autoRedefine/>
    <w:uiPriority w:val="99"/>
    <w:semiHidden/>
    <w:rsid w:val="00CA1F0D"/>
    <w:pPr>
      <w:ind w:left="800"/>
      <w:jc w:val="left"/>
    </w:pPr>
    <w:rPr>
      <w:rFonts w:ascii="Calibri" w:hAnsi="Calibri" w:cs="Calibri"/>
      <w:sz w:val="18"/>
      <w:szCs w:val="18"/>
    </w:rPr>
  </w:style>
  <w:style w:type="paragraph" w:styleId="TM6">
    <w:name w:val="toc 6"/>
    <w:basedOn w:val="Normal"/>
    <w:next w:val="Normal"/>
    <w:autoRedefine/>
    <w:uiPriority w:val="99"/>
    <w:semiHidden/>
    <w:rsid w:val="00CA1F0D"/>
    <w:pPr>
      <w:ind w:left="1000"/>
      <w:jc w:val="left"/>
    </w:pPr>
    <w:rPr>
      <w:rFonts w:ascii="Calibri" w:hAnsi="Calibri" w:cs="Calibri"/>
      <w:sz w:val="18"/>
      <w:szCs w:val="18"/>
    </w:rPr>
  </w:style>
  <w:style w:type="paragraph" w:styleId="TM7">
    <w:name w:val="toc 7"/>
    <w:basedOn w:val="Normal"/>
    <w:next w:val="Normal"/>
    <w:autoRedefine/>
    <w:uiPriority w:val="99"/>
    <w:semiHidden/>
    <w:rsid w:val="00CA1F0D"/>
    <w:pPr>
      <w:ind w:left="1200"/>
      <w:jc w:val="left"/>
    </w:pPr>
    <w:rPr>
      <w:rFonts w:ascii="Calibri" w:hAnsi="Calibri" w:cs="Calibri"/>
      <w:sz w:val="18"/>
      <w:szCs w:val="18"/>
    </w:rPr>
  </w:style>
  <w:style w:type="paragraph" w:styleId="TM8">
    <w:name w:val="toc 8"/>
    <w:basedOn w:val="Normal"/>
    <w:next w:val="Normal"/>
    <w:autoRedefine/>
    <w:uiPriority w:val="99"/>
    <w:semiHidden/>
    <w:rsid w:val="00CA1F0D"/>
    <w:pPr>
      <w:ind w:left="1400"/>
      <w:jc w:val="left"/>
    </w:pPr>
    <w:rPr>
      <w:rFonts w:ascii="Calibri" w:hAnsi="Calibri" w:cs="Calibri"/>
      <w:sz w:val="18"/>
      <w:szCs w:val="18"/>
    </w:rPr>
  </w:style>
  <w:style w:type="paragraph" w:styleId="TM9">
    <w:name w:val="toc 9"/>
    <w:basedOn w:val="Normal"/>
    <w:next w:val="Normal"/>
    <w:autoRedefine/>
    <w:uiPriority w:val="99"/>
    <w:semiHidden/>
    <w:rsid w:val="00CA1F0D"/>
    <w:pPr>
      <w:ind w:left="1600"/>
      <w:jc w:val="left"/>
    </w:pPr>
    <w:rPr>
      <w:rFonts w:ascii="Calibri" w:hAnsi="Calibri" w:cs="Calibri"/>
      <w:sz w:val="18"/>
      <w:szCs w:val="18"/>
    </w:rPr>
  </w:style>
  <w:style w:type="paragraph" w:styleId="Paragraphedeliste">
    <w:name w:val="List Paragraph"/>
    <w:basedOn w:val="Normal"/>
    <w:uiPriority w:val="99"/>
    <w:qFormat/>
    <w:rsid w:val="00CF7C2D"/>
    <w:pPr>
      <w:ind w:left="720"/>
      <w:contextualSpacing/>
    </w:pPr>
  </w:style>
  <w:style w:type="character" w:styleId="Marquedecommentaire">
    <w:name w:val="annotation reference"/>
    <w:basedOn w:val="Policepardfaut"/>
    <w:uiPriority w:val="99"/>
    <w:semiHidden/>
    <w:rsid w:val="00C05D52"/>
    <w:rPr>
      <w:sz w:val="16"/>
      <w:szCs w:val="16"/>
    </w:rPr>
  </w:style>
  <w:style w:type="paragraph" w:styleId="Commentaire">
    <w:name w:val="annotation text"/>
    <w:basedOn w:val="Normal"/>
    <w:link w:val="CommentaireCar"/>
    <w:uiPriority w:val="99"/>
    <w:semiHidden/>
    <w:rsid w:val="00C05D52"/>
  </w:style>
  <w:style w:type="character" w:customStyle="1" w:styleId="CommentaireCar">
    <w:name w:val="Commentaire Car"/>
    <w:basedOn w:val="Policepardfaut"/>
    <w:link w:val="Commentaire"/>
    <w:uiPriority w:val="99"/>
    <w:semiHidden/>
    <w:rsid w:val="00660404"/>
    <w:rPr>
      <w:rFonts w:ascii="Tahoma" w:hAnsi="Tahoma" w:cs="Tahoma"/>
      <w:sz w:val="20"/>
      <w:szCs w:val="20"/>
      <w:lang w:val="en-GB" w:eastAsia="en-US"/>
    </w:rPr>
  </w:style>
  <w:style w:type="paragraph" w:styleId="Objetducommentaire">
    <w:name w:val="annotation subject"/>
    <w:basedOn w:val="Commentaire"/>
    <w:next w:val="Commentaire"/>
    <w:link w:val="ObjetducommentaireCar"/>
    <w:uiPriority w:val="99"/>
    <w:semiHidden/>
    <w:rsid w:val="00C05D52"/>
    <w:rPr>
      <w:b/>
      <w:bCs/>
    </w:rPr>
  </w:style>
  <w:style w:type="character" w:customStyle="1" w:styleId="ObjetducommentaireCar">
    <w:name w:val="Objet du commentaire Car"/>
    <w:basedOn w:val="CommentaireCar"/>
    <w:link w:val="Objetducommentaire"/>
    <w:uiPriority w:val="99"/>
    <w:semiHidden/>
    <w:rsid w:val="00660404"/>
    <w:rPr>
      <w:b/>
      <w:bCs/>
    </w:rPr>
  </w:style>
  <w:style w:type="paragraph" w:styleId="Notedefin">
    <w:name w:val="endnote text"/>
    <w:basedOn w:val="Normal"/>
    <w:link w:val="NotedefinCar"/>
    <w:uiPriority w:val="99"/>
    <w:semiHidden/>
    <w:rsid w:val="00137A3C"/>
  </w:style>
  <w:style w:type="character" w:customStyle="1" w:styleId="NotedefinCar">
    <w:name w:val="Note de fin Car"/>
    <w:basedOn w:val="Policepardfaut"/>
    <w:link w:val="Notedefin"/>
    <w:uiPriority w:val="99"/>
    <w:semiHidden/>
    <w:rsid w:val="00137A3C"/>
    <w:rPr>
      <w:rFonts w:ascii="Tahoma" w:hAnsi="Tahoma" w:cs="Tahoma"/>
      <w:sz w:val="20"/>
      <w:szCs w:val="20"/>
      <w:lang w:val="en-GB" w:eastAsia="en-US"/>
    </w:rPr>
  </w:style>
  <w:style w:type="character" w:styleId="Appeldenotedefin">
    <w:name w:val="endnote reference"/>
    <w:basedOn w:val="Policepardfaut"/>
    <w:uiPriority w:val="99"/>
    <w:semiHidden/>
    <w:rsid w:val="00137A3C"/>
    <w:rPr>
      <w:vertAlign w:val="superscript"/>
    </w:rPr>
  </w:style>
  <w:style w:type="character" w:customStyle="1" w:styleId="apple-converted-space">
    <w:name w:val="apple-converted-space"/>
    <w:basedOn w:val="Policepardfaut"/>
    <w:uiPriority w:val="99"/>
    <w:rsid w:val="007C5D2E"/>
  </w:style>
  <w:style w:type="character" w:styleId="Accentuation">
    <w:name w:val="Emphasis"/>
    <w:basedOn w:val="Policepardfaut"/>
    <w:uiPriority w:val="20"/>
    <w:qFormat/>
    <w:rsid w:val="0090393C"/>
    <w:rPr>
      <w:i/>
      <w:iCs/>
    </w:rPr>
  </w:style>
  <w:style w:type="character" w:customStyle="1" w:styleId="Carattere2">
    <w:name w:val="Carattere2"/>
    <w:uiPriority w:val="99"/>
    <w:rsid w:val="00CC0B31"/>
    <w:rPr>
      <w:rFonts w:ascii="Tahoma" w:hAnsi="Tahoma" w:cs="Tahoma"/>
      <w:sz w:val="16"/>
      <w:szCs w:val="16"/>
      <w:lang w:eastAsia="en-US"/>
    </w:rPr>
  </w:style>
  <w:style w:type="character" w:customStyle="1" w:styleId="articlebody">
    <w:name w:val="articlebody"/>
    <w:basedOn w:val="Policepardfaut"/>
    <w:uiPriority w:val="99"/>
    <w:rsid w:val="00CC0B31"/>
  </w:style>
  <w:style w:type="character" w:styleId="Lienhypertextesuivivisit">
    <w:name w:val="FollowedHyperlink"/>
    <w:basedOn w:val="Policepardfaut"/>
    <w:uiPriority w:val="99"/>
    <w:rsid w:val="00894A9E"/>
    <w:rPr>
      <w:color w:val="800080"/>
      <w:u w:val="single"/>
    </w:rPr>
  </w:style>
  <w:style w:type="character" w:customStyle="1" w:styleId="st">
    <w:name w:val="st"/>
    <w:basedOn w:val="Policepardfaut"/>
    <w:uiPriority w:val="99"/>
    <w:rsid w:val="008C74DC"/>
  </w:style>
  <w:style w:type="character" w:styleId="lev">
    <w:name w:val="Strong"/>
    <w:basedOn w:val="Policepardfaut"/>
    <w:uiPriority w:val="22"/>
    <w:qFormat/>
    <w:rsid w:val="00437566"/>
    <w:rPr>
      <w:b/>
      <w:bCs/>
    </w:rPr>
  </w:style>
  <w:style w:type="paragraph" w:styleId="Rvision">
    <w:name w:val="Revision"/>
    <w:hidden/>
    <w:uiPriority w:val="99"/>
    <w:semiHidden/>
    <w:rsid w:val="007A55D5"/>
    <w:rPr>
      <w:rFonts w:ascii="Tahoma" w:hAnsi="Tahoma" w:cs="Tahoma"/>
      <w:lang w:val="en-GB"/>
    </w:rPr>
  </w:style>
  <w:style w:type="paragraph" w:styleId="Explorateurdedocuments">
    <w:name w:val="Document Map"/>
    <w:basedOn w:val="Normal"/>
    <w:link w:val="ExplorateurdedocumentsCar"/>
    <w:uiPriority w:val="99"/>
    <w:semiHidden/>
    <w:unhideWhenUsed/>
    <w:rsid w:val="002B0825"/>
    <w:rPr>
      <w:sz w:val="16"/>
      <w:szCs w:val="16"/>
    </w:rPr>
  </w:style>
  <w:style w:type="character" w:customStyle="1" w:styleId="ExplorateurdedocumentsCar">
    <w:name w:val="Explorateur de documents Car"/>
    <w:basedOn w:val="Policepardfaut"/>
    <w:link w:val="Explorateurdedocuments"/>
    <w:uiPriority w:val="99"/>
    <w:semiHidden/>
    <w:rsid w:val="002B082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4814709">
      <w:bodyDiv w:val="1"/>
      <w:marLeft w:val="0"/>
      <w:marRight w:val="0"/>
      <w:marTop w:val="0"/>
      <w:marBottom w:val="0"/>
      <w:divBdr>
        <w:top w:val="none" w:sz="0" w:space="0" w:color="auto"/>
        <w:left w:val="none" w:sz="0" w:space="0" w:color="auto"/>
        <w:bottom w:val="none" w:sz="0" w:space="0" w:color="auto"/>
        <w:right w:val="none" w:sz="0" w:space="0" w:color="auto"/>
      </w:divBdr>
    </w:div>
    <w:div w:id="82530197">
      <w:bodyDiv w:val="1"/>
      <w:marLeft w:val="0"/>
      <w:marRight w:val="0"/>
      <w:marTop w:val="0"/>
      <w:marBottom w:val="0"/>
      <w:divBdr>
        <w:top w:val="none" w:sz="0" w:space="0" w:color="auto"/>
        <w:left w:val="none" w:sz="0" w:space="0" w:color="auto"/>
        <w:bottom w:val="none" w:sz="0" w:space="0" w:color="auto"/>
        <w:right w:val="none" w:sz="0" w:space="0" w:color="auto"/>
      </w:divBdr>
    </w:div>
    <w:div w:id="92358989">
      <w:bodyDiv w:val="1"/>
      <w:marLeft w:val="0"/>
      <w:marRight w:val="0"/>
      <w:marTop w:val="0"/>
      <w:marBottom w:val="0"/>
      <w:divBdr>
        <w:top w:val="none" w:sz="0" w:space="0" w:color="auto"/>
        <w:left w:val="none" w:sz="0" w:space="0" w:color="auto"/>
        <w:bottom w:val="none" w:sz="0" w:space="0" w:color="auto"/>
        <w:right w:val="none" w:sz="0" w:space="0" w:color="auto"/>
      </w:divBdr>
      <w:divsChild>
        <w:div w:id="1780023351">
          <w:marLeft w:val="0"/>
          <w:marRight w:val="0"/>
          <w:marTop w:val="0"/>
          <w:marBottom w:val="0"/>
          <w:divBdr>
            <w:top w:val="none" w:sz="0" w:space="0" w:color="auto"/>
            <w:left w:val="none" w:sz="0" w:space="0" w:color="auto"/>
            <w:bottom w:val="none" w:sz="0" w:space="0" w:color="auto"/>
            <w:right w:val="none" w:sz="0" w:space="0" w:color="auto"/>
          </w:divBdr>
        </w:div>
        <w:div w:id="1328829846">
          <w:marLeft w:val="0"/>
          <w:marRight w:val="0"/>
          <w:marTop w:val="0"/>
          <w:marBottom w:val="0"/>
          <w:divBdr>
            <w:top w:val="none" w:sz="0" w:space="0" w:color="auto"/>
            <w:left w:val="none" w:sz="0" w:space="0" w:color="auto"/>
            <w:bottom w:val="none" w:sz="0" w:space="0" w:color="auto"/>
            <w:right w:val="none" w:sz="0" w:space="0" w:color="auto"/>
          </w:divBdr>
        </w:div>
        <w:div w:id="155803366">
          <w:marLeft w:val="0"/>
          <w:marRight w:val="0"/>
          <w:marTop w:val="0"/>
          <w:marBottom w:val="0"/>
          <w:divBdr>
            <w:top w:val="none" w:sz="0" w:space="0" w:color="auto"/>
            <w:left w:val="none" w:sz="0" w:space="0" w:color="auto"/>
            <w:bottom w:val="none" w:sz="0" w:space="0" w:color="auto"/>
            <w:right w:val="none" w:sz="0" w:space="0" w:color="auto"/>
          </w:divBdr>
        </w:div>
        <w:div w:id="1202328565">
          <w:marLeft w:val="0"/>
          <w:marRight w:val="0"/>
          <w:marTop w:val="0"/>
          <w:marBottom w:val="0"/>
          <w:divBdr>
            <w:top w:val="none" w:sz="0" w:space="0" w:color="auto"/>
            <w:left w:val="none" w:sz="0" w:space="0" w:color="auto"/>
            <w:bottom w:val="none" w:sz="0" w:space="0" w:color="auto"/>
            <w:right w:val="none" w:sz="0" w:space="0" w:color="auto"/>
          </w:divBdr>
        </w:div>
        <w:div w:id="992442743">
          <w:marLeft w:val="0"/>
          <w:marRight w:val="0"/>
          <w:marTop w:val="0"/>
          <w:marBottom w:val="0"/>
          <w:divBdr>
            <w:top w:val="none" w:sz="0" w:space="0" w:color="auto"/>
            <w:left w:val="none" w:sz="0" w:space="0" w:color="auto"/>
            <w:bottom w:val="none" w:sz="0" w:space="0" w:color="auto"/>
            <w:right w:val="none" w:sz="0" w:space="0" w:color="auto"/>
          </w:divBdr>
        </w:div>
        <w:div w:id="1671831289">
          <w:marLeft w:val="0"/>
          <w:marRight w:val="0"/>
          <w:marTop w:val="0"/>
          <w:marBottom w:val="0"/>
          <w:divBdr>
            <w:top w:val="none" w:sz="0" w:space="0" w:color="auto"/>
            <w:left w:val="none" w:sz="0" w:space="0" w:color="auto"/>
            <w:bottom w:val="none" w:sz="0" w:space="0" w:color="auto"/>
            <w:right w:val="none" w:sz="0" w:space="0" w:color="auto"/>
          </w:divBdr>
        </w:div>
        <w:div w:id="1413694236">
          <w:marLeft w:val="0"/>
          <w:marRight w:val="0"/>
          <w:marTop w:val="0"/>
          <w:marBottom w:val="0"/>
          <w:divBdr>
            <w:top w:val="none" w:sz="0" w:space="0" w:color="auto"/>
            <w:left w:val="none" w:sz="0" w:space="0" w:color="auto"/>
            <w:bottom w:val="none" w:sz="0" w:space="0" w:color="auto"/>
            <w:right w:val="none" w:sz="0" w:space="0" w:color="auto"/>
          </w:divBdr>
        </w:div>
        <w:div w:id="449470272">
          <w:marLeft w:val="0"/>
          <w:marRight w:val="0"/>
          <w:marTop w:val="0"/>
          <w:marBottom w:val="0"/>
          <w:divBdr>
            <w:top w:val="none" w:sz="0" w:space="0" w:color="auto"/>
            <w:left w:val="none" w:sz="0" w:space="0" w:color="auto"/>
            <w:bottom w:val="none" w:sz="0" w:space="0" w:color="auto"/>
            <w:right w:val="none" w:sz="0" w:space="0" w:color="auto"/>
          </w:divBdr>
        </w:div>
        <w:div w:id="1016425686">
          <w:marLeft w:val="0"/>
          <w:marRight w:val="0"/>
          <w:marTop w:val="0"/>
          <w:marBottom w:val="0"/>
          <w:divBdr>
            <w:top w:val="none" w:sz="0" w:space="0" w:color="auto"/>
            <w:left w:val="none" w:sz="0" w:space="0" w:color="auto"/>
            <w:bottom w:val="none" w:sz="0" w:space="0" w:color="auto"/>
            <w:right w:val="none" w:sz="0" w:space="0" w:color="auto"/>
          </w:divBdr>
        </w:div>
      </w:divsChild>
    </w:div>
    <w:div w:id="281377766">
      <w:bodyDiv w:val="1"/>
      <w:marLeft w:val="0"/>
      <w:marRight w:val="0"/>
      <w:marTop w:val="0"/>
      <w:marBottom w:val="0"/>
      <w:divBdr>
        <w:top w:val="none" w:sz="0" w:space="0" w:color="auto"/>
        <w:left w:val="none" w:sz="0" w:space="0" w:color="auto"/>
        <w:bottom w:val="none" w:sz="0" w:space="0" w:color="auto"/>
        <w:right w:val="none" w:sz="0" w:space="0" w:color="auto"/>
      </w:divBdr>
    </w:div>
    <w:div w:id="306325538">
      <w:marLeft w:val="0"/>
      <w:marRight w:val="0"/>
      <w:marTop w:val="0"/>
      <w:marBottom w:val="0"/>
      <w:divBdr>
        <w:top w:val="none" w:sz="0" w:space="0" w:color="auto"/>
        <w:left w:val="none" w:sz="0" w:space="0" w:color="auto"/>
        <w:bottom w:val="none" w:sz="0" w:space="0" w:color="auto"/>
        <w:right w:val="none" w:sz="0" w:space="0" w:color="auto"/>
      </w:divBdr>
    </w:div>
    <w:div w:id="306325539">
      <w:marLeft w:val="0"/>
      <w:marRight w:val="0"/>
      <w:marTop w:val="0"/>
      <w:marBottom w:val="0"/>
      <w:divBdr>
        <w:top w:val="none" w:sz="0" w:space="0" w:color="auto"/>
        <w:left w:val="none" w:sz="0" w:space="0" w:color="auto"/>
        <w:bottom w:val="none" w:sz="0" w:space="0" w:color="auto"/>
        <w:right w:val="none" w:sz="0" w:space="0" w:color="auto"/>
      </w:divBdr>
      <w:divsChild>
        <w:div w:id="306325540">
          <w:marLeft w:val="0"/>
          <w:marRight w:val="0"/>
          <w:marTop w:val="0"/>
          <w:marBottom w:val="0"/>
          <w:divBdr>
            <w:top w:val="none" w:sz="0" w:space="0" w:color="auto"/>
            <w:left w:val="none" w:sz="0" w:space="0" w:color="auto"/>
            <w:bottom w:val="none" w:sz="0" w:space="0" w:color="auto"/>
            <w:right w:val="none" w:sz="0" w:space="0" w:color="auto"/>
          </w:divBdr>
        </w:div>
        <w:div w:id="306325705">
          <w:marLeft w:val="0"/>
          <w:marRight w:val="0"/>
          <w:marTop w:val="0"/>
          <w:marBottom w:val="0"/>
          <w:divBdr>
            <w:top w:val="none" w:sz="0" w:space="0" w:color="auto"/>
            <w:left w:val="none" w:sz="0" w:space="0" w:color="auto"/>
            <w:bottom w:val="none" w:sz="0" w:space="0" w:color="auto"/>
            <w:right w:val="none" w:sz="0" w:space="0" w:color="auto"/>
          </w:divBdr>
        </w:div>
      </w:divsChild>
    </w:div>
    <w:div w:id="306325541">
      <w:marLeft w:val="0"/>
      <w:marRight w:val="0"/>
      <w:marTop w:val="0"/>
      <w:marBottom w:val="0"/>
      <w:divBdr>
        <w:top w:val="none" w:sz="0" w:space="0" w:color="auto"/>
        <w:left w:val="none" w:sz="0" w:space="0" w:color="auto"/>
        <w:bottom w:val="none" w:sz="0" w:space="0" w:color="auto"/>
        <w:right w:val="none" w:sz="0" w:space="0" w:color="auto"/>
      </w:divBdr>
    </w:div>
    <w:div w:id="306325542">
      <w:marLeft w:val="0"/>
      <w:marRight w:val="0"/>
      <w:marTop w:val="0"/>
      <w:marBottom w:val="0"/>
      <w:divBdr>
        <w:top w:val="none" w:sz="0" w:space="0" w:color="auto"/>
        <w:left w:val="none" w:sz="0" w:space="0" w:color="auto"/>
        <w:bottom w:val="none" w:sz="0" w:space="0" w:color="auto"/>
        <w:right w:val="none" w:sz="0" w:space="0" w:color="auto"/>
      </w:divBdr>
    </w:div>
    <w:div w:id="306325543">
      <w:marLeft w:val="0"/>
      <w:marRight w:val="0"/>
      <w:marTop w:val="0"/>
      <w:marBottom w:val="0"/>
      <w:divBdr>
        <w:top w:val="none" w:sz="0" w:space="0" w:color="auto"/>
        <w:left w:val="none" w:sz="0" w:space="0" w:color="auto"/>
        <w:bottom w:val="none" w:sz="0" w:space="0" w:color="auto"/>
        <w:right w:val="none" w:sz="0" w:space="0" w:color="auto"/>
      </w:divBdr>
    </w:div>
    <w:div w:id="306325544">
      <w:marLeft w:val="0"/>
      <w:marRight w:val="0"/>
      <w:marTop w:val="0"/>
      <w:marBottom w:val="0"/>
      <w:divBdr>
        <w:top w:val="none" w:sz="0" w:space="0" w:color="auto"/>
        <w:left w:val="none" w:sz="0" w:space="0" w:color="auto"/>
        <w:bottom w:val="none" w:sz="0" w:space="0" w:color="auto"/>
        <w:right w:val="none" w:sz="0" w:space="0" w:color="auto"/>
      </w:divBdr>
    </w:div>
    <w:div w:id="306325545">
      <w:marLeft w:val="0"/>
      <w:marRight w:val="0"/>
      <w:marTop w:val="0"/>
      <w:marBottom w:val="0"/>
      <w:divBdr>
        <w:top w:val="none" w:sz="0" w:space="0" w:color="auto"/>
        <w:left w:val="none" w:sz="0" w:space="0" w:color="auto"/>
        <w:bottom w:val="none" w:sz="0" w:space="0" w:color="auto"/>
        <w:right w:val="none" w:sz="0" w:space="0" w:color="auto"/>
      </w:divBdr>
    </w:div>
    <w:div w:id="306325574">
      <w:marLeft w:val="0"/>
      <w:marRight w:val="0"/>
      <w:marTop w:val="0"/>
      <w:marBottom w:val="0"/>
      <w:divBdr>
        <w:top w:val="none" w:sz="0" w:space="0" w:color="auto"/>
        <w:left w:val="none" w:sz="0" w:space="0" w:color="auto"/>
        <w:bottom w:val="none" w:sz="0" w:space="0" w:color="auto"/>
        <w:right w:val="none" w:sz="0" w:space="0" w:color="auto"/>
      </w:divBdr>
      <w:divsChild>
        <w:div w:id="306325546">
          <w:marLeft w:val="0"/>
          <w:marRight w:val="0"/>
          <w:marTop w:val="0"/>
          <w:marBottom w:val="0"/>
          <w:divBdr>
            <w:top w:val="none" w:sz="0" w:space="0" w:color="auto"/>
            <w:left w:val="none" w:sz="0" w:space="0" w:color="auto"/>
            <w:bottom w:val="none" w:sz="0" w:space="0" w:color="auto"/>
            <w:right w:val="none" w:sz="0" w:space="0" w:color="auto"/>
          </w:divBdr>
        </w:div>
        <w:div w:id="306325566">
          <w:marLeft w:val="0"/>
          <w:marRight w:val="0"/>
          <w:marTop w:val="0"/>
          <w:marBottom w:val="0"/>
          <w:divBdr>
            <w:top w:val="none" w:sz="0" w:space="0" w:color="auto"/>
            <w:left w:val="none" w:sz="0" w:space="0" w:color="auto"/>
            <w:bottom w:val="none" w:sz="0" w:space="0" w:color="auto"/>
            <w:right w:val="none" w:sz="0" w:space="0" w:color="auto"/>
          </w:divBdr>
        </w:div>
        <w:div w:id="306325567">
          <w:marLeft w:val="0"/>
          <w:marRight w:val="0"/>
          <w:marTop w:val="0"/>
          <w:marBottom w:val="0"/>
          <w:divBdr>
            <w:top w:val="none" w:sz="0" w:space="0" w:color="auto"/>
            <w:left w:val="none" w:sz="0" w:space="0" w:color="auto"/>
            <w:bottom w:val="none" w:sz="0" w:space="0" w:color="auto"/>
            <w:right w:val="none" w:sz="0" w:space="0" w:color="auto"/>
          </w:divBdr>
        </w:div>
        <w:div w:id="306325571">
          <w:marLeft w:val="0"/>
          <w:marRight w:val="0"/>
          <w:marTop w:val="0"/>
          <w:marBottom w:val="0"/>
          <w:divBdr>
            <w:top w:val="none" w:sz="0" w:space="0" w:color="auto"/>
            <w:left w:val="none" w:sz="0" w:space="0" w:color="auto"/>
            <w:bottom w:val="none" w:sz="0" w:space="0" w:color="auto"/>
            <w:right w:val="none" w:sz="0" w:space="0" w:color="auto"/>
          </w:divBdr>
        </w:div>
        <w:div w:id="306325591">
          <w:marLeft w:val="0"/>
          <w:marRight w:val="0"/>
          <w:marTop w:val="0"/>
          <w:marBottom w:val="0"/>
          <w:divBdr>
            <w:top w:val="none" w:sz="0" w:space="0" w:color="auto"/>
            <w:left w:val="none" w:sz="0" w:space="0" w:color="auto"/>
            <w:bottom w:val="none" w:sz="0" w:space="0" w:color="auto"/>
            <w:right w:val="none" w:sz="0" w:space="0" w:color="auto"/>
          </w:divBdr>
        </w:div>
        <w:div w:id="306325594">
          <w:marLeft w:val="0"/>
          <w:marRight w:val="0"/>
          <w:marTop w:val="0"/>
          <w:marBottom w:val="0"/>
          <w:divBdr>
            <w:top w:val="none" w:sz="0" w:space="0" w:color="auto"/>
            <w:left w:val="none" w:sz="0" w:space="0" w:color="auto"/>
            <w:bottom w:val="none" w:sz="0" w:space="0" w:color="auto"/>
            <w:right w:val="none" w:sz="0" w:space="0" w:color="auto"/>
          </w:divBdr>
        </w:div>
        <w:div w:id="306325596">
          <w:marLeft w:val="0"/>
          <w:marRight w:val="0"/>
          <w:marTop w:val="0"/>
          <w:marBottom w:val="0"/>
          <w:divBdr>
            <w:top w:val="none" w:sz="0" w:space="0" w:color="auto"/>
            <w:left w:val="none" w:sz="0" w:space="0" w:color="auto"/>
            <w:bottom w:val="none" w:sz="0" w:space="0" w:color="auto"/>
            <w:right w:val="none" w:sz="0" w:space="0" w:color="auto"/>
          </w:divBdr>
        </w:div>
        <w:div w:id="306325599">
          <w:marLeft w:val="0"/>
          <w:marRight w:val="0"/>
          <w:marTop w:val="0"/>
          <w:marBottom w:val="0"/>
          <w:divBdr>
            <w:top w:val="none" w:sz="0" w:space="0" w:color="auto"/>
            <w:left w:val="none" w:sz="0" w:space="0" w:color="auto"/>
            <w:bottom w:val="none" w:sz="0" w:space="0" w:color="auto"/>
            <w:right w:val="none" w:sz="0" w:space="0" w:color="auto"/>
          </w:divBdr>
        </w:div>
        <w:div w:id="306325609">
          <w:marLeft w:val="0"/>
          <w:marRight w:val="0"/>
          <w:marTop w:val="0"/>
          <w:marBottom w:val="0"/>
          <w:divBdr>
            <w:top w:val="none" w:sz="0" w:space="0" w:color="auto"/>
            <w:left w:val="none" w:sz="0" w:space="0" w:color="auto"/>
            <w:bottom w:val="none" w:sz="0" w:space="0" w:color="auto"/>
            <w:right w:val="none" w:sz="0" w:space="0" w:color="auto"/>
          </w:divBdr>
        </w:div>
        <w:div w:id="306325612">
          <w:marLeft w:val="0"/>
          <w:marRight w:val="0"/>
          <w:marTop w:val="0"/>
          <w:marBottom w:val="0"/>
          <w:divBdr>
            <w:top w:val="none" w:sz="0" w:space="0" w:color="auto"/>
            <w:left w:val="none" w:sz="0" w:space="0" w:color="auto"/>
            <w:bottom w:val="none" w:sz="0" w:space="0" w:color="auto"/>
            <w:right w:val="none" w:sz="0" w:space="0" w:color="auto"/>
          </w:divBdr>
        </w:div>
        <w:div w:id="306325613">
          <w:marLeft w:val="0"/>
          <w:marRight w:val="0"/>
          <w:marTop w:val="0"/>
          <w:marBottom w:val="0"/>
          <w:divBdr>
            <w:top w:val="none" w:sz="0" w:space="0" w:color="auto"/>
            <w:left w:val="none" w:sz="0" w:space="0" w:color="auto"/>
            <w:bottom w:val="none" w:sz="0" w:space="0" w:color="auto"/>
            <w:right w:val="none" w:sz="0" w:space="0" w:color="auto"/>
          </w:divBdr>
        </w:div>
        <w:div w:id="306325623">
          <w:marLeft w:val="0"/>
          <w:marRight w:val="0"/>
          <w:marTop w:val="0"/>
          <w:marBottom w:val="0"/>
          <w:divBdr>
            <w:top w:val="none" w:sz="0" w:space="0" w:color="auto"/>
            <w:left w:val="none" w:sz="0" w:space="0" w:color="auto"/>
            <w:bottom w:val="none" w:sz="0" w:space="0" w:color="auto"/>
            <w:right w:val="none" w:sz="0" w:space="0" w:color="auto"/>
          </w:divBdr>
        </w:div>
        <w:div w:id="306325631">
          <w:marLeft w:val="0"/>
          <w:marRight w:val="0"/>
          <w:marTop w:val="0"/>
          <w:marBottom w:val="0"/>
          <w:divBdr>
            <w:top w:val="none" w:sz="0" w:space="0" w:color="auto"/>
            <w:left w:val="none" w:sz="0" w:space="0" w:color="auto"/>
            <w:bottom w:val="none" w:sz="0" w:space="0" w:color="auto"/>
            <w:right w:val="none" w:sz="0" w:space="0" w:color="auto"/>
          </w:divBdr>
        </w:div>
        <w:div w:id="306325639">
          <w:marLeft w:val="0"/>
          <w:marRight w:val="0"/>
          <w:marTop w:val="0"/>
          <w:marBottom w:val="0"/>
          <w:divBdr>
            <w:top w:val="none" w:sz="0" w:space="0" w:color="auto"/>
            <w:left w:val="none" w:sz="0" w:space="0" w:color="auto"/>
            <w:bottom w:val="none" w:sz="0" w:space="0" w:color="auto"/>
            <w:right w:val="none" w:sz="0" w:space="0" w:color="auto"/>
          </w:divBdr>
        </w:div>
        <w:div w:id="306325644">
          <w:marLeft w:val="0"/>
          <w:marRight w:val="0"/>
          <w:marTop w:val="0"/>
          <w:marBottom w:val="0"/>
          <w:divBdr>
            <w:top w:val="none" w:sz="0" w:space="0" w:color="auto"/>
            <w:left w:val="none" w:sz="0" w:space="0" w:color="auto"/>
            <w:bottom w:val="none" w:sz="0" w:space="0" w:color="auto"/>
            <w:right w:val="none" w:sz="0" w:space="0" w:color="auto"/>
          </w:divBdr>
        </w:div>
        <w:div w:id="306325663">
          <w:marLeft w:val="0"/>
          <w:marRight w:val="0"/>
          <w:marTop w:val="0"/>
          <w:marBottom w:val="0"/>
          <w:divBdr>
            <w:top w:val="none" w:sz="0" w:space="0" w:color="auto"/>
            <w:left w:val="none" w:sz="0" w:space="0" w:color="auto"/>
            <w:bottom w:val="none" w:sz="0" w:space="0" w:color="auto"/>
            <w:right w:val="none" w:sz="0" w:space="0" w:color="auto"/>
          </w:divBdr>
        </w:div>
        <w:div w:id="306325667">
          <w:marLeft w:val="0"/>
          <w:marRight w:val="0"/>
          <w:marTop w:val="0"/>
          <w:marBottom w:val="0"/>
          <w:divBdr>
            <w:top w:val="none" w:sz="0" w:space="0" w:color="auto"/>
            <w:left w:val="none" w:sz="0" w:space="0" w:color="auto"/>
            <w:bottom w:val="none" w:sz="0" w:space="0" w:color="auto"/>
            <w:right w:val="none" w:sz="0" w:space="0" w:color="auto"/>
          </w:divBdr>
        </w:div>
        <w:div w:id="306325671">
          <w:marLeft w:val="0"/>
          <w:marRight w:val="0"/>
          <w:marTop w:val="0"/>
          <w:marBottom w:val="0"/>
          <w:divBdr>
            <w:top w:val="none" w:sz="0" w:space="0" w:color="auto"/>
            <w:left w:val="none" w:sz="0" w:space="0" w:color="auto"/>
            <w:bottom w:val="none" w:sz="0" w:space="0" w:color="auto"/>
            <w:right w:val="none" w:sz="0" w:space="0" w:color="auto"/>
          </w:divBdr>
        </w:div>
        <w:div w:id="306325675">
          <w:marLeft w:val="0"/>
          <w:marRight w:val="0"/>
          <w:marTop w:val="0"/>
          <w:marBottom w:val="0"/>
          <w:divBdr>
            <w:top w:val="none" w:sz="0" w:space="0" w:color="auto"/>
            <w:left w:val="none" w:sz="0" w:space="0" w:color="auto"/>
            <w:bottom w:val="none" w:sz="0" w:space="0" w:color="auto"/>
            <w:right w:val="none" w:sz="0" w:space="0" w:color="auto"/>
          </w:divBdr>
        </w:div>
        <w:div w:id="306325679">
          <w:marLeft w:val="0"/>
          <w:marRight w:val="0"/>
          <w:marTop w:val="0"/>
          <w:marBottom w:val="0"/>
          <w:divBdr>
            <w:top w:val="none" w:sz="0" w:space="0" w:color="auto"/>
            <w:left w:val="none" w:sz="0" w:space="0" w:color="auto"/>
            <w:bottom w:val="none" w:sz="0" w:space="0" w:color="auto"/>
            <w:right w:val="none" w:sz="0" w:space="0" w:color="auto"/>
          </w:divBdr>
        </w:div>
      </w:divsChild>
    </w:div>
    <w:div w:id="306325576">
      <w:marLeft w:val="0"/>
      <w:marRight w:val="0"/>
      <w:marTop w:val="0"/>
      <w:marBottom w:val="0"/>
      <w:divBdr>
        <w:top w:val="none" w:sz="0" w:space="0" w:color="auto"/>
        <w:left w:val="none" w:sz="0" w:space="0" w:color="auto"/>
        <w:bottom w:val="none" w:sz="0" w:space="0" w:color="auto"/>
        <w:right w:val="none" w:sz="0" w:space="0" w:color="auto"/>
      </w:divBdr>
    </w:div>
    <w:div w:id="306325578">
      <w:marLeft w:val="0"/>
      <w:marRight w:val="0"/>
      <w:marTop w:val="0"/>
      <w:marBottom w:val="0"/>
      <w:divBdr>
        <w:top w:val="none" w:sz="0" w:space="0" w:color="auto"/>
        <w:left w:val="none" w:sz="0" w:space="0" w:color="auto"/>
        <w:bottom w:val="none" w:sz="0" w:space="0" w:color="auto"/>
        <w:right w:val="none" w:sz="0" w:space="0" w:color="auto"/>
      </w:divBdr>
      <w:divsChild>
        <w:div w:id="306325597">
          <w:marLeft w:val="0"/>
          <w:marRight w:val="0"/>
          <w:marTop w:val="0"/>
          <w:marBottom w:val="0"/>
          <w:divBdr>
            <w:top w:val="none" w:sz="0" w:space="0" w:color="auto"/>
            <w:left w:val="none" w:sz="0" w:space="0" w:color="auto"/>
            <w:bottom w:val="none" w:sz="0" w:space="0" w:color="auto"/>
            <w:right w:val="none" w:sz="0" w:space="0" w:color="auto"/>
          </w:divBdr>
        </w:div>
        <w:div w:id="306325607">
          <w:marLeft w:val="0"/>
          <w:marRight w:val="0"/>
          <w:marTop w:val="0"/>
          <w:marBottom w:val="0"/>
          <w:divBdr>
            <w:top w:val="none" w:sz="0" w:space="0" w:color="auto"/>
            <w:left w:val="none" w:sz="0" w:space="0" w:color="auto"/>
            <w:bottom w:val="none" w:sz="0" w:space="0" w:color="auto"/>
            <w:right w:val="none" w:sz="0" w:space="0" w:color="auto"/>
          </w:divBdr>
        </w:div>
        <w:div w:id="306325614">
          <w:marLeft w:val="0"/>
          <w:marRight w:val="0"/>
          <w:marTop w:val="0"/>
          <w:marBottom w:val="0"/>
          <w:divBdr>
            <w:top w:val="none" w:sz="0" w:space="0" w:color="auto"/>
            <w:left w:val="none" w:sz="0" w:space="0" w:color="auto"/>
            <w:bottom w:val="none" w:sz="0" w:space="0" w:color="auto"/>
            <w:right w:val="none" w:sz="0" w:space="0" w:color="auto"/>
          </w:divBdr>
        </w:div>
        <w:div w:id="306325616">
          <w:marLeft w:val="0"/>
          <w:marRight w:val="0"/>
          <w:marTop w:val="0"/>
          <w:marBottom w:val="0"/>
          <w:divBdr>
            <w:top w:val="none" w:sz="0" w:space="0" w:color="auto"/>
            <w:left w:val="none" w:sz="0" w:space="0" w:color="auto"/>
            <w:bottom w:val="none" w:sz="0" w:space="0" w:color="auto"/>
            <w:right w:val="none" w:sz="0" w:space="0" w:color="auto"/>
          </w:divBdr>
        </w:div>
        <w:div w:id="306325620">
          <w:marLeft w:val="0"/>
          <w:marRight w:val="0"/>
          <w:marTop w:val="0"/>
          <w:marBottom w:val="0"/>
          <w:divBdr>
            <w:top w:val="none" w:sz="0" w:space="0" w:color="auto"/>
            <w:left w:val="none" w:sz="0" w:space="0" w:color="auto"/>
            <w:bottom w:val="none" w:sz="0" w:space="0" w:color="auto"/>
            <w:right w:val="none" w:sz="0" w:space="0" w:color="auto"/>
          </w:divBdr>
        </w:div>
        <w:div w:id="306325624">
          <w:marLeft w:val="0"/>
          <w:marRight w:val="0"/>
          <w:marTop w:val="0"/>
          <w:marBottom w:val="0"/>
          <w:divBdr>
            <w:top w:val="none" w:sz="0" w:space="0" w:color="auto"/>
            <w:left w:val="none" w:sz="0" w:space="0" w:color="auto"/>
            <w:bottom w:val="none" w:sz="0" w:space="0" w:color="auto"/>
            <w:right w:val="none" w:sz="0" w:space="0" w:color="auto"/>
          </w:divBdr>
        </w:div>
      </w:divsChild>
    </w:div>
    <w:div w:id="306325589">
      <w:marLeft w:val="0"/>
      <w:marRight w:val="0"/>
      <w:marTop w:val="0"/>
      <w:marBottom w:val="0"/>
      <w:divBdr>
        <w:top w:val="none" w:sz="0" w:space="0" w:color="auto"/>
        <w:left w:val="none" w:sz="0" w:space="0" w:color="auto"/>
        <w:bottom w:val="none" w:sz="0" w:space="0" w:color="auto"/>
        <w:right w:val="none" w:sz="0" w:space="0" w:color="auto"/>
      </w:divBdr>
    </w:div>
    <w:div w:id="306325593">
      <w:marLeft w:val="0"/>
      <w:marRight w:val="0"/>
      <w:marTop w:val="0"/>
      <w:marBottom w:val="0"/>
      <w:divBdr>
        <w:top w:val="none" w:sz="0" w:space="0" w:color="auto"/>
        <w:left w:val="none" w:sz="0" w:space="0" w:color="auto"/>
        <w:bottom w:val="none" w:sz="0" w:space="0" w:color="auto"/>
        <w:right w:val="none" w:sz="0" w:space="0" w:color="auto"/>
      </w:divBdr>
    </w:div>
    <w:div w:id="306325603">
      <w:marLeft w:val="0"/>
      <w:marRight w:val="0"/>
      <w:marTop w:val="0"/>
      <w:marBottom w:val="0"/>
      <w:divBdr>
        <w:top w:val="none" w:sz="0" w:space="0" w:color="auto"/>
        <w:left w:val="none" w:sz="0" w:space="0" w:color="auto"/>
        <w:bottom w:val="none" w:sz="0" w:space="0" w:color="auto"/>
        <w:right w:val="none" w:sz="0" w:space="0" w:color="auto"/>
      </w:divBdr>
      <w:divsChild>
        <w:div w:id="306325551">
          <w:marLeft w:val="0"/>
          <w:marRight w:val="0"/>
          <w:marTop w:val="0"/>
          <w:marBottom w:val="0"/>
          <w:divBdr>
            <w:top w:val="none" w:sz="0" w:space="0" w:color="auto"/>
            <w:left w:val="none" w:sz="0" w:space="0" w:color="auto"/>
            <w:bottom w:val="none" w:sz="0" w:space="0" w:color="auto"/>
            <w:right w:val="none" w:sz="0" w:space="0" w:color="auto"/>
          </w:divBdr>
        </w:div>
        <w:div w:id="306325556">
          <w:marLeft w:val="0"/>
          <w:marRight w:val="0"/>
          <w:marTop w:val="0"/>
          <w:marBottom w:val="0"/>
          <w:divBdr>
            <w:top w:val="none" w:sz="0" w:space="0" w:color="auto"/>
            <w:left w:val="none" w:sz="0" w:space="0" w:color="auto"/>
            <w:bottom w:val="none" w:sz="0" w:space="0" w:color="auto"/>
            <w:right w:val="none" w:sz="0" w:space="0" w:color="auto"/>
          </w:divBdr>
        </w:div>
        <w:div w:id="306325570">
          <w:marLeft w:val="0"/>
          <w:marRight w:val="0"/>
          <w:marTop w:val="0"/>
          <w:marBottom w:val="0"/>
          <w:divBdr>
            <w:top w:val="none" w:sz="0" w:space="0" w:color="auto"/>
            <w:left w:val="none" w:sz="0" w:space="0" w:color="auto"/>
            <w:bottom w:val="none" w:sz="0" w:space="0" w:color="auto"/>
            <w:right w:val="none" w:sz="0" w:space="0" w:color="auto"/>
          </w:divBdr>
        </w:div>
        <w:div w:id="306325585">
          <w:marLeft w:val="0"/>
          <w:marRight w:val="0"/>
          <w:marTop w:val="0"/>
          <w:marBottom w:val="0"/>
          <w:divBdr>
            <w:top w:val="none" w:sz="0" w:space="0" w:color="auto"/>
            <w:left w:val="none" w:sz="0" w:space="0" w:color="auto"/>
            <w:bottom w:val="none" w:sz="0" w:space="0" w:color="auto"/>
            <w:right w:val="none" w:sz="0" w:space="0" w:color="auto"/>
          </w:divBdr>
        </w:div>
        <w:div w:id="306325586">
          <w:marLeft w:val="0"/>
          <w:marRight w:val="0"/>
          <w:marTop w:val="0"/>
          <w:marBottom w:val="0"/>
          <w:divBdr>
            <w:top w:val="none" w:sz="0" w:space="0" w:color="auto"/>
            <w:left w:val="none" w:sz="0" w:space="0" w:color="auto"/>
            <w:bottom w:val="none" w:sz="0" w:space="0" w:color="auto"/>
            <w:right w:val="none" w:sz="0" w:space="0" w:color="auto"/>
          </w:divBdr>
        </w:div>
        <w:div w:id="306325601">
          <w:marLeft w:val="0"/>
          <w:marRight w:val="0"/>
          <w:marTop w:val="0"/>
          <w:marBottom w:val="0"/>
          <w:divBdr>
            <w:top w:val="none" w:sz="0" w:space="0" w:color="auto"/>
            <w:left w:val="none" w:sz="0" w:space="0" w:color="auto"/>
            <w:bottom w:val="none" w:sz="0" w:space="0" w:color="auto"/>
            <w:right w:val="none" w:sz="0" w:space="0" w:color="auto"/>
          </w:divBdr>
        </w:div>
        <w:div w:id="306325605">
          <w:marLeft w:val="0"/>
          <w:marRight w:val="0"/>
          <w:marTop w:val="0"/>
          <w:marBottom w:val="0"/>
          <w:divBdr>
            <w:top w:val="none" w:sz="0" w:space="0" w:color="auto"/>
            <w:left w:val="none" w:sz="0" w:space="0" w:color="auto"/>
            <w:bottom w:val="none" w:sz="0" w:space="0" w:color="auto"/>
            <w:right w:val="none" w:sz="0" w:space="0" w:color="auto"/>
          </w:divBdr>
        </w:div>
        <w:div w:id="306325621">
          <w:marLeft w:val="0"/>
          <w:marRight w:val="0"/>
          <w:marTop w:val="0"/>
          <w:marBottom w:val="0"/>
          <w:divBdr>
            <w:top w:val="none" w:sz="0" w:space="0" w:color="auto"/>
            <w:left w:val="none" w:sz="0" w:space="0" w:color="auto"/>
            <w:bottom w:val="none" w:sz="0" w:space="0" w:color="auto"/>
            <w:right w:val="none" w:sz="0" w:space="0" w:color="auto"/>
          </w:divBdr>
        </w:div>
        <w:div w:id="306325622">
          <w:marLeft w:val="0"/>
          <w:marRight w:val="0"/>
          <w:marTop w:val="0"/>
          <w:marBottom w:val="0"/>
          <w:divBdr>
            <w:top w:val="none" w:sz="0" w:space="0" w:color="auto"/>
            <w:left w:val="none" w:sz="0" w:space="0" w:color="auto"/>
            <w:bottom w:val="none" w:sz="0" w:space="0" w:color="auto"/>
            <w:right w:val="none" w:sz="0" w:space="0" w:color="auto"/>
          </w:divBdr>
        </w:div>
        <w:div w:id="306325628">
          <w:marLeft w:val="0"/>
          <w:marRight w:val="0"/>
          <w:marTop w:val="0"/>
          <w:marBottom w:val="0"/>
          <w:divBdr>
            <w:top w:val="none" w:sz="0" w:space="0" w:color="auto"/>
            <w:left w:val="none" w:sz="0" w:space="0" w:color="auto"/>
            <w:bottom w:val="none" w:sz="0" w:space="0" w:color="auto"/>
            <w:right w:val="none" w:sz="0" w:space="0" w:color="auto"/>
          </w:divBdr>
        </w:div>
        <w:div w:id="306325630">
          <w:marLeft w:val="0"/>
          <w:marRight w:val="0"/>
          <w:marTop w:val="0"/>
          <w:marBottom w:val="0"/>
          <w:divBdr>
            <w:top w:val="none" w:sz="0" w:space="0" w:color="auto"/>
            <w:left w:val="none" w:sz="0" w:space="0" w:color="auto"/>
            <w:bottom w:val="none" w:sz="0" w:space="0" w:color="auto"/>
            <w:right w:val="none" w:sz="0" w:space="0" w:color="auto"/>
          </w:divBdr>
        </w:div>
        <w:div w:id="306325647">
          <w:marLeft w:val="0"/>
          <w:marRight w:val="0"/>
          <w:marTop w:val="0"/>
          <w:marBottom w:val="0"/>
          <w:divBdr>
            <w:top w:val="none" w:sz="0" w:space="0" w:color="auto"/>
            <w:left w:val="none" w:sz="0" w:space="0" w:color="auto"/>
            <w:bottom w:val="none" w:sz="0" w:space="0" w:color="auto"/>
            <w:right w:val="none" w:sz="0" w:space="0" w:color="auto"/>
          </w:divBdr>
        </w:div>
        <w:div w:id="306325662">
          <w:marLeft w:val="0"/>
          <w:marRight w:val="0"/>
          <w:marTop w:val="0"/>
          <w:marBottom w:val="0"/>
          <w:divBdr>
            <w:top w:val="none" w:sz="0" w:space="0" w:color="auto"/>
            <w:left w:val="none" w:sz="0" w:space="0" w:color="auto"/>
            <w:bottom w:val="none" w:sz="0" w:space="0" w:color="auto"/>
            <w:right w:val="none" w:sz="0" w:space="0" w:color="auto"/>
          </w:divBdr>
        </w:div>
        <w:div w:id="306325665">
          <w:marLeft w:val="0"/>
          <w:marRight w:val="0"/>
          <w:marTop w:val="0"/>
          <w:marBottom w:val="0"/>
          <w:divBdr>
            <w:top w:val="none" w:sz="0" w:space="0" w:color="auto"/>
            <w:left w:val="none" w:sz="0" w:space="0" w:color="auto"/>
            <w:bottom w:val="none" w:sz="0" w:space="0" w:color="auto"/>
            <w:right w:val="none" w:sz="0" w:space="0" w:color="auto"/>
          </w:divBdr>
        </w:div>
        <w:div w:id="306325669">
          <w:marLeft w:val="0"/>
          <w:marRight w:val="0"/>
          <w:marTop w:val="0"/>
          <w:marBottom w:val="0"/>
          <w:divBdr>
            <w:top w:val="none" w:sz="0" w:space="0" w:color="auto"/>
            <w:left w:val="none" w:sz="0" w:space="0" w:color="auto"/>
            <w:bottom w:val="none" w:sz="0" w:space="0" w:color="auto"/>
            <w:right w:val="none" w:sz="0" w:space="0" w:color="auto"/>
          </w:divBdr>
        </w:div>
      </w:divsChild>
    </w:div>
    <w:div w:id="306325617">
      <w:marLeft w:val="0"/>
      <w:marRight w:val="0"/>
      <w:marTop w:val="0"/>
      <w:marBottom w:val="0"/>
      <w:divBdr>
        <w:top w:val="none" w:sz="0" w:space="0" w:color="auto"/>
        <w:left w:val="none" w:sz="0" w:space="0" w:color="auto"/>
        <w:bottom w:val="none" w:sz="0" w:space="0" w:color="auto"/>
        <w:right w:val="none" w:sz="0" w:space="0" w:color="auto"/>
      </w:divBdr>
      <w:divsChild>
        <w:div w:id="306325668">
          <w:marLeft w:val="0"/>
          <w:marRight w:val="0"/>
          <w:marTop w:val="0"/>
          <w:marBottom w:val="0"/>
          <w:divBdr>
            <w:top w:val="none" w:sz="0" w:space="0" w:color="auto"/>
            <w:left w:val="none" w:sz="0" w:space="0" w:color="auto"/>
            <w:bottom w:val="none" w:sz="0" w:space="0" w:color="auto"/>
            <w:right w:val="none" w:sz="0" w:space="0" w:color="auto"/>
          </w:divBdr>
          <w:divsChild>
            <w:div w:id="306325547">
              <w:marLeft w:val="0"/>
              <w:marRight w:val="0"/>
              <w:marTop w:val="0"/>
              <w:marBottom w:val="0"/>
              <w:divBdr>
                <w:top w:val="none" w:sz="0" w:space="0" w:color="auto"/>
                <w:left w:val="none" w:sz="0" w:space="0" w:color="auto"/>
                <w:bottom w:val="none" w:sz="0" w:space="0" w:color="auto"/>
                <w:right w:val="none" w:sz="0" w:space="0" w:color="auto"/>
              </w:divBdr>
            </w:div>
            <w:div w:id="306325554">
              <w:marLeft w:val="0"/>
              <w:marRight w:val="0"/>
              <w:marTop w:val="0"/>
              <w:marBottom w:val="0"/>
              <w:divBdr>
                <w:top w:val="none" w:sz="0" w:space="0" w:color="auto"/>
                <w:left w:val="none" w:sz="0" w:space="0" w:color="auto"/>
                <w:bottom w:val="none" w:sz="0" w:space="0" w:color="auto"/>
                <w:right w:val="none" w:sz="0" w:space="0" w:color="auto"/>
              </w:divBdr>
            </w:div>
            <w:div w:id="306325555">
              <w:marLeft w:val="0"/>
              <w:marRight w:val="0"/>
              <w:marTop w:val="0"/>
              <w:marBottom w:val="0"/>
              <w:divBdr>
                <w:top w:val="none" w:sz="0" w:space="0" w:color="auto"/>
                <w:left w:val="none" w:sz="0" w:space="0" w:color="auto"/>
                <w:bottom w:val="none" w:sz="0" w:space="0" w:color="auto"/>
                <w:right w:val="none" w:sz="0" w:space="0" w:color="auto"/>
              </w:divBdr>
            </w:div>
            <w:div w:id="306325557">
              <w:marLeft w:val="0"/>
              <w:marRight w:val="0"/>
              <w:marTop w:val="0"/>
              <w:marBottom w:val="0"/>
              <w:divBdr>
                <w:top w:val="none" w:sz="0" w:space="0" w:color="auto"/>
                <w:left w:val="none" w:sz="0" w:space="0" w:color="auto"/>
                <w:bottom w:val="none" w:sz="0" w:space="0" w:color="auto"/>
                <w:right w:val="none" w:sz="0" w:space="0" w:color="auto"/>
              </w:divBdr>
            </w:div>
            <w:div w:id="306325559">
              <w:marLeft w:val="0"/>
              <w:marRight w:val="0"/>
              <w:marTop w:val="0"/>
              <w:marBottom w:val="0"/>
              <w:divBdr>
                <w:top w:val="none" w:sz="0" w:space="0" w:color="auto"/>
                <w:left w:val="none" w:sz="0" w:space="0" w:color="auto"/>
                <w:bottom w:val="none" w:sz="0" w:space="0" w:color="auto"/>
                <w:right w:val="none" w:sz="0" w:space="0" w:color="auto"/>
              </w:divBdr>
            </w:div>
            <w:div w:id="306325561">
              <w:marLeft w:val="0"/>
              <w:marRight w:val="0"/>
              <w:marTop w:val="0"/>
              <w:marBottom w:val="0"/>
              <w:divBdr>
                <w:top w:val="none" w:sz="0" w:space="0" w:color="auto"/>
                <w:left w:val="none" w:sz="0" w:space="0" w:color="auto"/>
                <w:bottom w:val="none" w:sz="0" w:space="0" w:color="auto"/>
                <w:right w:val="none" w:sz="0" w:space="0" w:color="auto"/>
              </w:divBdr>
            </w:div>
            <w:div w:id="306325563">
              <w:marLeft w:val="0"/>
              <w:marRight w:val="0"/>
              <w:marTop w:val="0"/>
              <w:marBottom w:val="0"/>
              <w:divBdr>
                <w:top w:val="none" w:sz="0" w:space="0" w:color="auto"/>
                <w:left w:val="none" w:sz="0" w:space="0" w:color="auto"/>
                <w:bottom w:val="none" w:sz="0" w:space="0" w:color="auto"/>
                <w:right w:val="none" w:sz="0" w:space="0" w:color="auto"/>
              </w:divBdr>
            </w:div>
            <w:div w:id="306325564">
              <w:marLeft w:val="0"/>
              <w:marRight w:val="0"/>
              <w:marTop w:val="0"/>
              <w:marBottom w:val="0"/>
              <w:divBdr>
                <w:top w:val="none" w:sz="0" w:space="0" w:color="auto"/>
                <w:left w:val="none" w:sz="0" w:space="0" w:color="auto"/>
                <w:bottom w:val="none" w:sz="0" w:space="0" w:color="auto"/>
                <w:right w:val="none" w:sz="0" w:space="0" w:color="auto"/>
              </w:divBdr>
            </w:div>
            <w:div w:id="306325568">
              <w:marLeft w:val="0"/>
              <w:marRight w:val="0"/>
              <w:marTop w:val="0"/>
              <w:marBottom w:val="0"/>
              <w:divBdr>
                <w:top w:val="none" w:sz="0" w:space="0" w:color="auto"/>
                <w:left w:val="none" w:sz="0" w:space="0" w:color="auto"/>
                <w:bottom w:val="none" w:sz="0" w:space="0" w:color="auto"/>
                <w:right w:val="none" w:sz="0" w:space="0" w:color="auto"/>
              </w:divBdr>
            </w:div>
            <w:div w:id="306325575">
              <w:marLeft w:val="0"/>
              <w:marRight w:val="0"/>
              <w:marTop w:val="0"/>
              <w:marBottom w:val="0"/>
              <w:divBdr>
                <w:top w:val="none" w:sz="0" w:space="0" w:color="auto"/>
                <w:left w:val="none" w:sz="0" w:space="0" w:color="auto"/>
                <w:bottom w:val="none" w:sz="0" w:space="0" w:color="auto"/>
                <w:right w:val="none" w:sz="0" w:space="0" w:color="auto"/>
              </w:divBdr>
            </w:div>
            <w:div w:id="306325581">
              <w:marLeft w:val="0"/>
              <w:marRight w:val="0"/>
              <w:marTop w:val="0"/>
              <w:marBottom w:val="0"/>
              <w:divBdr>
                <w:top w:val="none" w:sz="0" w:space="0" w:color="auto"/>
                <w:left w:val="none" w:sz="0" w:space="0" w:color="auto"/>
                <w:bottom w:val="none" w:sz="0" w:space="0" w:color="auto"/>
                <w:right w:val="none" w:sz="0" w:space="0" w:color="auto"/>
              </w:divBdr>
            </w:div>
            <w:div w:id="306325582">
              <w:marLeft w:val="0"/>
              <w:marRight w:val="0"/>
              <w:marTop w:val="0"/>
              <w:marBottom w:val="0"/>
              <w:divBdr>
                <w:top w:val="none" w:sz="0" w:space="0" w:color="auto"/>
                <w:left w:val="none" w:sz="0" w:space="0" w:color="auto"/>
                <w:bottom w:val="none" w:sz="0" w:space="0" w:color="auto"/>
                <w:right w:val="none" w:sz="0" w:space="0" w:color="auto"/>
              </w:divBdr>
            </w:div>
            <w:div w:id="306325583">
              <w:marLeft w:val="0"/>
              <w:marRight w:val="0"/>
              <w:marTop w:val="0"/>
              <w:marBottom w:val="0"/>
              <w:divBdr>
                <w:top w:val="none" w:sz="0" w:space="0" w:color="auto"/>
                <w:left w:val="none" w:sz="0" w:space="0" w:color="auto"/>
                <w:bottom w:val="none" w:sz="0" w:space="0" w:color="auto"/>
                <w:right w:val="none" w:sz="0" w:space="0" w:color="auto"/>
              </w:divBdr>
            </w:div>
            <w:div w:id="306325584">
              <w:marLeft w:val="0"/>
              <w:marRight w:val="0"/>
              <w:marTop w:val="0"/>
              <w:marBottom w:val="0"/>
              <w:divBdr>
                <w:top w:val="none" w:sz="0" w:space="0" w:color="auto"/>
                <w:left w:val="none" w:sz="0" w:space="0" w:color="auto"/>
                <w:bottom w:val="none" w:sz="0" w:space="0" w:color="auto"/>
                <w:right w:val="none" w:sz="0" w:space="0" w:color="auto"/>
              </w:divBdr>
            </w:div>
            <w:div w:id="306325587">
              <w:marLeft w:val="0"/>
              <w:marRight w:val="0"/>
              <w:marTop w:val="0"/>
              <w:marBottom w:val="0"/>
              <w:divBdr>
                <w:top w:val="none" w:sz="0" w:space="0" w:color="auto"/>
                <w:left w:val="none" w:sz="0" w:space="0" w:color="auto"/>
                <w:bottom w:val="none" w:sz="0" w:space="0" w:color="auto"/>
                <w:right w:val="none" w:sz="0" w:space="0" w:color="auto"/>
              </w:divBdr>
            </w:div>
            <w:div w:id="306325590">
              <w:marLeft w:val="0"/>
              <w:marRight w:val="0"/>
              <w:marTop w:val="0"/>
              <w:marBottom w:val="0"/>
              <w:divBdr>
                <w:top w:val="none" w:sz="0" w:space="0" w:color="auto"/>
                <w:left w:val="none" w:sz="0" w:space="0" w:color="auto"/>
                <w:bottom w:val="none" w:sz="0" w:space="0" w:color="auto"/>
                <w:right w:val="none" w:sz="0" w:space="0" w:color="auto"/>
              </w:divBdr>
            </w:div>
            <w:div w:id="306325602">
              <w:marLeft w:val="0"/>
              <w:marRight w:val="0"/>
              <w:marTop w:val="0"/>
              <w:marBottom w:val="0"/>
              <w:divBdr>
                <w:top w:val="none" w:sz="0" w:space="0" w:color="auto"/>
                <w:left w:val="none" w:sz="0" w:space="0" w:color="auto"/>
                <w:bottom w:val="none" w:sz="0" w:space="0" w:color="auto"/>
                <w:right w:val="none" w:sz="0" w:space="0" w:color="auto"/>
              </w:divBdr>
            </w:div>
            <w:div w:id="306325606">
              <w:marLeft w:val="0"/>
              <w:marRight w:val="0"/>
              <w:marTop w:val="0"/>
              <w:marBottom w:val="0"/>
              <w:divBdr>
                <w:top w:val="none" w:sz="0" w:space="0" w:color="auto"/>
                <w:left w:val="none" w:sz="0" w:space="0" w:color="auto"/>
                <w:bottom w:val="none" w:sz="0" w:space="0" w:color="auto"/>
                <w:right w:val="none" w:sz="0" w:space="0" w:color="auto"/>
              </w:divBdr>
            </w:div>
            <w:div w:id="306325608">
              <w:marLeft w:val="0"/>
              <w:marRight w:val="0"/>
              <w:marTop w:val="0"/>
              <w:marBottom w:val="0"/>
              <w:divBdr>
                <w:top w:val="none" w:sz="0" w:space="0" w:color="auto"/>
                <w:left w:val="none" w:sz="0" w:space="0" w:color="auto"/>
                <w:bottom w:val="none" w:sz="0" w:space="0" w:color="auto"/>
                <w:right w:val="none" w:sz="0" w:space="0" w:color="auto"/>
              </w:divBdr>
            </w:div>
            <w:div w:id="306325611">
              <w:marLeft w:val="0"/>
              <w:marRight w:val="0"/>
              <w:marTop w:val="0"/>
              <w:marBottom w:val="0"/>
              <w:divBdr>
                <w:top w:val="none" w:sz="0" w:space="0" w:color="auto"/>
                <w:left w:val="none" w:sz="0" w:space="0" w:color="auto"/>
                <w:bottom w:val="none" w:sz="0" w:space="0" w:color="auto"/>
                <w:right w:val="none" w:sz="0" w:space="0" w:color="auto"/>
              </w:divBdr>
            </w:div>
            <w:div w:id="306325619">
              <w:marLeft w:val="0"/>
              <w:marRight w:val="0"/>
              <w:marTop w:val="0"/>
              <w:marBottom w:val="0"/>
              <w:divBdr>
                <w:top w:val="none" w:sz="0" w:space="0" w:color="auto"/>
                <w:left w:val="none" w:sz="0" w:space="0" w:color="auto"/>
                <w:bottom w:val="none" w:sz="0" w:space="0" w:color="auto"/>
                <w:right w:val="none" w:sz="0" w:space="0" w:color="auto"/>
              </w:divBdr>
            </w:div>
            <w:div w:id="306325625">
              <w:marLeft w:val="0"/>
              <w:marRight w:val="0"/>
              <w:marTop w:val="0"/>
              <w:marBottom w:val="0"/>
              <w:divBdr>
                <w:top w:val="none" w:sz="0" w:space="0" w:color="auto"/>
                <w:left w:val="none" w:sz="0" w:space="0" w:color="auto"/>
                <w:bottom w:val="none" w:sz="0" w:space="0" w:color="auto"/>
                <w:right w:val="none" w:sz="0" w:space="0" w:color="auto"/>
              </w:divBdr>
            </w:div>
            <w:div w:id="306325629">
              <w:marLeft w:val="0"/>
              <w:marRight w:val="0"/>
              <w:marTop w:val="0"/>
              <w:marBottom w:val="0"/>
              <w:divBdr>
                <w:top w:val="none" w:sz="0" w:space="0" w:color="auto"/>
                <w:left w:val="none" w:sz="0" w:space="0" w:color="auto"/>
                <w:bottom w:val="none" w:sz="0" w:space="0" w:color="auto"/>
                <w:right w:val="none" w:sz="0" w:space="0" w:color="auto"/>
              </w:divBdr>
            </w:div>
            <w:div w:id="306325632">
              <w:marLeft w:val="0"/>
              <w:marRight w:val="0"/>
              <w:marTop w:val="0"/>
              <w:marBottom w:val="0"/>
              <w:divBdr>
                <w:top w:val="none" w:sz="0" w:space="0" w:color="auto"/>
                <w:left w:val="none" w:sz="0" w:space="0" w:color="auto"/>
                <w:bottom w:val="none" w:sz="0" w:space="0" w:color="auto"/>
                <w:right w:val="none" w:sz="0" w:space="0" w:color="auto"/>
              </w:divBdr>
            </w:div>
            <w:div w:id="306325633">
              <w:marLeft w:val="0"/>
              <w:marRight w:val="0"/>
              <w:marTop w:val="0"/>
              <w:marBottom w:val="0"/>
              <w:divBdr>
                <w:top w:val="none" w:sz="0" w:space="0" w:color="auto"/>
                <w:left w:val="none" w:sz="0" w:space="0" w:color="auto"/>
                <w:bottom w:val="none" w:sz="0" w:space="0" w:color="auto"/>
                <w:right w:val="none" w:sz="0" w:space="0" w:color="auto"/>
              </w:divBdr>
            </w:div>
            <w:div w:id="306325635">
              <w:marLeft w:val="0"/>
              <w:marRight w:val="0"/>
              <w:marTop w:val="0"/>
              <w:marBottom w:val="0"/>
              <w:divBdr>
                <w:top w:val="none" w:sz="0" w:space="0" w:color="auto"/>
                <w:left w:val="none" w:sz="0" w:space="0" w:color="auto"/>
                <w:bottom w:val="none" w:sz="0" w:space="0" w:color="auto"/>
                <w:right w:val="none" w:sz="0" w:space="0" w:color="auto"/>
              </w:divBdr>
            </w:div>
            <w:div w:id="306325636">
              <w:marLeft w:val="0"/>
              <w:marRight w:val="0"/>
              <w:marTop w:val="0"/>
              <w:marBottom w:val="0"/>
              <w:divBdr>
                <w:top w:val="none" w:sz="0" w:space="0" w:color="auto"/>
                <w:left w:val="none" w:sz="0" w:space="0" w:color="auto"/>
                <w:bottom w:val="none" w:sz="0" w:space="0" w:color="auto"/>
                <w:right w:val="none" w:sz="0" w:space="0" w:color="auto"/>
              </w:divBdr>
            </w:div>
            <w:div w:id="306325638">
              <w:marLeft w:val="0"/>
              <w:marRight w:val="0"/>
              <w:marTop w:val="0"/>
              <w:marBottom w:val="0"/>
              <w:divBdr>
                <w:top w:val="none" w:sz="0" w:space="0" w:color="auto"/>
                <w:left w:val="none" w:sz="0" w:space="0" w:color="auto"/>
                <w:bottom w:val="none" w:sz="0" w:space="0" w:color="auto"/>
                <w:right w:val="none" w:sz="0" w:space="0" w:color="auto"/>
              </w:divBdr>
            </w:div>
            <w:div w:id="306325640">
              <w:marLeft w:val="0"/>
              <w:marRight w:val="0"/>
              <w:marTop w:val="0"/>
              <w:marBottom w:val="0"/>
              <w:divBdr>
                <w:top w:val="none" w:sz="0" w:space="0" w:color="auto"/>
                <w:left w:val="none" w:sz="0" w:space="0" w:color="auto"/>
                <w:bottom w:val="none" w:sz="0" w:space="0" w:color="auto"/>
                <w:right w:val="none" w:sz="0" w:space="0" w:color="auto"/>
              </w:divBdr>
            </w:div>
            <w:div w:id="306325646">
              <w:marLeft w:val="0"/>
              <w:marRight w:val="0"/>
              <w:marTop w:val="0"/>
              <w:marBottom w:val="0"/>
              <w:divBdr>
                <w:top w:val="none" w:sz="0" w:space="0" w:color="auto"/>
                <w:left w:val="none" w:sz="0" w:space="0" w:color="auto"/>
                <w:bottom w:val="none" w:sz="0" w:space="0" w:color="auto"/>
                <w:right w:val="none" w:sz="0" w:space="0" w:color="auto"/>
              </w:divBdr>
            </w:div>
            <w:div w:id="306325651">
              <w:marLeft w:val="0"/>
              <w:marRight w:val="0"/>
              <w:marTop w:val="0"/>
              <w:marBottom w:val="0"/>
              <w:divBdr>
                <w:top w:val="none" w:sz="0" w:space="0" w:color="auto"/>
                <w:left w:val="none" w:sz="0" w:space="0" w:color="auto"/>
                <w:bottom w:val="none" w:sz="0" w:space="0" w:color="auto"/>
                <w:right w:val="none" w:sz="0" w:space="0" w:color="auto"/>
              </w:divBdr>
            </w:div>
            <w:div w:id="306325656">
              <w:marLeft w:val="0"/>
              <w:marRight w:val="0"/>
              <w:marTop w:val="0"/>
              <w:marBottom w:val="0"/>
              <w:divBdr>
                <w:top w:val="none" w:sz="0" w:space="0" w:color="auto"/>
                <w:left w:val="none" w:sz="0" w:space="0" w:color="auto"/>
                <w:bottom w:val="none" w:sz="0" w:space="0" w:color="auto"/>
                <w:right w:val="none" w:sz="0" w:space="0" w:color="auto"/>
              </w:divBdr>
            </w:div>
            <w:div w:id="306325664">
              <w:marLeft w:val="0"/>
              <w:marRight w:val="0"/>
              <w:marTop w:val="0"/>
              <w:marBottom w:val="0"/>
              <w:divBdr>
                <w:top w:val="none" w:sz="0" w:space="0" w:color="auto"/>
                <w:left w:val="none" w:sz="0" w:space="0" w:color="auto"/>
                <w:bottom w:val="none" w:sz="0" w:space="0" w:color="auto"/>
                <w:right w:val="none" w:sz="0" w:space="0" w:color="auto"/>
              </w:divBdr>
            </w:div>
            <w:div w:id="306325670">
              <w:marLeft w:val="0"/>
              <w:marRight w:val="0"/>
              <w:marTop w:val="0"/>
              <w:marBottom w:val="0"/>
              <w:divBdr>
                <w:top w:val="none" w:sz="0" w:space="0" w:color="auto"/>
                <w:left w:val="none" w:sz="0" w:space="0" w:color="auto"/>
                <w:bottom w:val="none" w:sz="0" w:space="0" w:color="auto"/>
                <w:right w:val="none" w:sz="0" w:space="0" w:color="auto"/>
              </w:divBdr>
            </w:div>
            <w:div w:id="306325676">
              <w:marLeft w:val="0"/>
              <w:marRight w:val="0"/>
              <w:marTop w:val="0"/>
              <w:marBottom w:val="0"/>
              <w:divBdr>
                <w:top w:val="none" w:sz="0" w:space="0" w:color="auto"/>
                <w:left w:val="none" w:sz="0" w:space="0" w:color="auto"/>
                <w:bottom w:val="none" w:sz="0" w:space="0" w:color="auto"/>
                <w:right w:val="none" w:sz="0" w:space="0" w:color="auto"/>
              </w:divBdr>
            </w:div>
            <w:div w:id="3063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325637">
      <w:marLeft w:val="0"/>
      <w:marRight w:val="0"/>
      <w:marTop w:val="0"/>
      <w:marBottom w:val="0"/>
      <w:divBdr>
        <w:top w:val="none" w:sz="0" w:space="0" w:color="auto"/>
        <w:left w:val="none" w:sz="0" w:space="0" w:color="auto"/>
        <w:bottom w:val="none" w:sz="0" w:space="0" w:color="auto"/>
        <w:right w:val="none" w:sz="0" w:space="0" w:color="auto"/>
      </w:divBdr>
      <w:divsChild>
        <w:div w:id="306325553">
          <w:marLeft w:val="0"/>
          <w:marRight w:val="0"/>
          <w:marTop w:val="0"/>
          <w:marBottom w:val="0"/>
          <w:divBdr>
            <w:top w:val="none" w:sz="0" w:space="0" w:color="auto"/>
            <w:left w:val="none" w:sz="0" w:space="0" w:color="auto"/>
            <w:bottom w:val="none" w:sz="0" w:space="0" w:color="auto"/>
            <w:right w:val="none" w:sz="0" w:space="0" w:color="auto"/>
          </w:divBdr>
        </w:div>
        <w:div w:id="306325572">
          <w:marLeft w:val="0"/>
          <w:marRight w:val="0"/>
          <w:marTop w:val="0"/>
          <w:marBottom w:val="0"/>
          <w:divBdr>
            <w:top w:val="none" w:sz="0" w:space="0" w:color="auto"/>
            <w:left w:val="none" w:sz="0" w:space="0" w:color="auto"/>
            <w:bottom w:val="none" w:sz="0" w:space="0" w:color="auto"/>
            <w:right w:val="none" w:sz="0" w:space="0" w:color="auto"/>
          </w:divBdr>
        </w:div>
        <w:div w:id="306325573">
          <w:marLeft w:val="0"/>
          <w:marRight w:val="0"/>
          <w:marTop w:val="0"/>
          <w:marBottom w:val="0"/>
          <w:divBdr>
            <w:top w:val="none" w:sz="0" w:space="0" w:color="auto"/>
            <w:left w:val="none" w:sz="0" w:space="0" w:color="auto"/>
            <w:bottom w:val="none" w:sz="0" w:space="0" w:color="auto"/>
            <w:right w:val="none" w:sz="0" w:space="0" w:color="auto"/>
          </w:divBdr>
        </w:div>
        <w:div w:id="306325626">
          <w:marLeft w:val="0"/>
          <w:marRight w:val="0"/>
          <w:marTop w:val="0"/>
          <w:marBottom w:val="0"/>
          <w:divBdr>
            <w:top w:val="none" w:sz="0" w:space="0" w:color="auto"/>
            <w:left w:val="none" w:sz="0" w:space="0" w:color="auto"/>
            <w:bottom w:val="none" w:sz="0" w:space="0" w:color="auto"/>
            <w:right w:val="none" w:sz="0" w:space="0" w:color="auto"/>
          </w:divBdr>
        </w:div>
        <w:div w:id="306325627">
          <w:marLeft w:val="0"/>
          <w:marRight w:val="0"/>
          <w:marTop w:val="0"/>
          <w:marBottom w:val="0"/>
          <w:divBdr>
            <w:top w:val="none" w:sz="0" w:space="0" w:color="auto"/>
            <w:left w:val="none" w:sz="0" w:space="0" w:color="auto"/>
            <w:bottom w:val="none" w:sz="0" w:space="0" w:color="auto"/>
            <w:right w:val="none" w:sz="0" w:space="0" w:color="auto"/>
          </w:divBdr>
        </w:div>
        <w:div w:id="306325641">
          <w:marLeft w:val="0"/>
          <w:marRight w:val="0"/>
          <w:marTop w:val="0"/>
          <w:marBottom w:val="0"/>
          <w:divBdr>
            <w:top w:val="none" w:sz="0" w:space="0" w:color="auto"/>
            <w:left w:val="none" w:sz="0" w:space="0" w:color="auto"/>
            <w:bottom w:val="none" w:sz="0" w:space="0" w:color="auto"/>
            <w:right w:val="none" w:sz="0" w:space="0" w:color="auto"/>
          </w:divBdr>
        </w:div>
        <w:div w:id="306325650">
          <w:marLeft w:val="0"/>
          <w:marRight w:val="0"/>
          <w:marTop w:val="0"/>
          <w:marBottom w:val="0"/>
          <w:divBdr>
            <w:top w:val="none" w:sz="0" w:space="0" w:color="auto"/>
            <w:left w:val="none" w:sz="0" w:space="0" w:color="auto"/>
            <w:bottom w:val="none" w:sz="0" w:space="0" w:color="auto"/>
            <w:right w:val="none" w:sz="0" w:space="0" w:color="auto"/>
          </w:divBdr>
        </w:div>
        <w:div w:id="306325659">
          <w:marLeft w:val="0"/>
          <w:marRight w:val="0"/>
          <w:marTop w:val="0"/>
          <w:marBottom w:val="0"/>
          <w:divBdr>
            <w:top w:val="none" w:sz="0" w:space="0" w:color="auto"/>
            <w:left w:val="none" w:sz="0" w:space="0" w:color="auto"/>
            <w:bottom w:val="none" w:sz="0" w:space="0" w:color="auto"/>
            <w:right w:val="none" w:sz="0" w:space="0" w:color="auto"/>
          </w:divBdr>
        </w:div>
      </w:divsChild>
    </w:div>
    <w:div w:id="306325643">
      <w:marLeft w:val="0"/>
      <w:marRight w:val="0"/>
      <w:marTop w:val="0"/>
      <w:marBottom w:val="0"/>
      <w:divBdr>
        <w:top w:val="none" w:sz="0" w:space="0" w:color="auto"/>
        <w:left w:val="none" w:sz="0" w:space="0" w:color="auto"/>
        <w:bottom w:val="none" w:sz="0" w:space="0" w:color="auto"/>
        <w:right w:val="none" w:sz="0" w:space="0" w:color="auto"/>
      </w:divBdr>
    </w:div>
    <w:div w:id="306325652">
      <w:marLeft w:val="0"/>
      <w:marRight w:val="0"/>
      <w:marTop w:val="0"/>
      <w:marBottom w:val="0"/>
      <w:divBdr>
        <w:top w:val="none" w:sz="0" w:space="0" w:color="auto"/>
        <w:left w:val="none" w:sz="0" w:space="0" w:color="auto"/>
        <w:bottom w:val="none" w:sz="0" w:space="0" w:color="auto"/>
        <w:right w:val="none" w:sz="0" w:space="0" w:color="auto"/>
      </w:divBdr>
      <w:divsChild>
        <w:div w:id="306325548">
          <w:marLeft w:val="0"/>
          <w:marRight w:val="0"/>
          <w:marTop w:val="0"/>
          <w:marBottom w:val="0"/>
          <w:divBdr>
            <w:top w:val="none" w:sz="0" w:space="0" w:color="auto"/>
            <w:left w:val="none" w:sz="0" w:space="0" w:color="auto"/>
            <w:bottom w:val="none" w:sz="0" w:space="0" w:color="auto"/>
            <w:right w:val="none" w:sz="0" w:space="0" w:color="auto"/>
          </w:divBdr>
        </w:div>
        <w:div w:id="306325549">
          <w:marLeft w:val="0"/>
          <w:marRight w:val="0"/>
          <w:marTop w:val="0"/>
          <w:marBottom w:val="0"/>
          <w:divBdr>
            <w:top w:val="none" w:sz="0" w:space="0" w:color="auto"/>
            <w:left w:val="none" w:sz="0" w:space="0" w:color="auto"/>
            <w:bottom w:val="none" w:sz="0" w:space="0" w:color="auto"/>
            <w:right w:val="none" w:sz="0" w:space="0" w:color="auto"/>
          </w:divBdr>
        </w:div>
        <w:div w:id="306325550">
          <w:marLeft w:val="0"/>
          <w:marRight w:val="0"/>
          <w:marTop w:val="0"/>
          <w:marBottom w:val="0"/>
          <w:divBdr>
            <w:top w:val="none" w:sz="0" w:space="0" w:color="auto"/>
            <w:left w:val="none" w:sz="0" w:space="0" w:color="auto"/>
            <w:bottom w:val="none" w:sz="0" w:space="0" w:color="auto"/>
            <w:right w:val="none" w:sz="0" w:space="0" w:color="auto"/>
          </w:divBdr>
        </w:div>
        <w:div w:id="306325552">
          <w:marLeft w:val="0"/>
          <w:marRight w:val="0"/>
          <w:marTop w:val="0"/>
          <w:marBottom w:val="0"/>
          <w:divBdr>
            <w:top w:val="none" w:sz="0" w:space="0" w:color="auto"/>
            <w:left w:val="none" w:sz="0" w:space="0" w:color="auto"/>
            <w:bottom w:val="none" w:sz="0" w:space="0" w:color="auto"/>
            <w:right w:val="none" w:sz="0" w:space="0" w:color="auto"/>
          </w:divBdr>
        </w:div>
        <w:div w:id="306325558">
          <w:marLeft w:val="0"/>
          <w:marRight w:val="0"/>
          <w:marTop w:val="0"/>
          <w:marBottom w:val="0"/>
          <w:divBdr>
            <w:top w:val="none" w:sz="0" w:space="0" w:color="auto"/>
            <w:left w:val="none" w:sz="0" w:space="0" w:color="auto"/>
            <w:bottom w:val="none" w:sz="0" w:space="0" w:color="auto"/>
            <w:right w:val="none" w:sz="0" w:space="0" w:color="auto"/>
          </w:divBdr>
        </w:div>
        <w:div w:id="306325560">
          <w:marLeft w:val="0"/>
          <w:marRight w:val="0"/>
          <w:marTop w:val="0"/>
          <w:marBottom w:val="0"/>
          <w:divBdr>
            <w:top w:val="none" w:sz="0" w:space="0" w:color="auto"/>
            <w:left w:val="none" w:sz="0" w:space="0" w:color="auto"/>
            <w:bottom w:val="none" w:sz="0" w:space="0" w:color="auto"/>
            <w:right w:val="none" w:sz="0" w:space="0" w:color="auto"/>
          </w:divBdr>
        </w:div>
        <w:div w:id="306325562">
          <w:marLeft w:val="0"/>
          <w:marRight w:val="0"/>
          <w:marTop w:val="0"/>
          <w:marBottom w:val="0"/>
          <w:divBdr>
            <w:top w:val="none" w:sz="0" w:space="0" w:color="auto"/>
            <w:left w:val="none" w:sz="0" w:space="0" w:color="auto"/>
            <w:bottom w:val="none" w:sz="0" w:space="0" w:color="auto"/>
            <w:right w:val="none" w:sz="0" w:space="0" w:color="auto"/>
          </w:divBdr>
        </w:div>
        <w:div w:id="306325569">
          <w:marLeft w:val="0"/>
          <w:marRight w:val="0"/>
          <w:marTop w:val="0"/>
          <w:marBottom w:val="0"/>
          <w:divBdr>
            <w:top w:val="none" w:sz="0" w:space="0" w:color="auto"/>
            <w:left w:val="none" w:sz="0" w:space="0" w:color="auto"/>
            <w:bottom w:val="none" w:sz="0" w:space="0" w:color="auto"/>
            <w:right w:val="none" w:sz="0" w:space="0" w:color="auto"/>
          </w:divBdr>
        </w:div>
        <w:div w:id="306325580">
          <w:marLeft w:val="0"/>
          <w:marRight w:val="0"/>
          <w:marTop w:val="0"/>
          <w:marBottom w:val="0"/>
          <w:divBdr>
            <w:top w:val="none" w:sz="0" w:space="0" w:color="auto"/>
            <w:left w:val="none" w:sz="0" w:space="0" w:color="auto"/>
            <w:bottom w:val="none" w:sz="0" w:space="0" w:color="auto"/>
            <w:right w:val="none" w:sz="0" w:space="0" w:color="auto"/>
          </w:divBdr>
        </w:div>
        <w:div w:id="306325592">
          <w:marLeft w:val="0"/>
          <w:marRight w:val="0"/>
          <w:marTop w:val="0"/>
          <w:marBottom w:val="0"/>
          <w:divBdr>
            <w:top w:val="none" w:sz="0" w:space="0" w:color="auto"/>
            <w:left w:val="none" w:sz="0" w:space="0" w:color="auto"/>
            <w:bottom w:val="none" w:sz="0" w:space="0" w:color="auto"/>
            <w:right w:val="none" w:sz="0" w:space="0" w:color="auto"/>
          </w:divBdr>
        </w:div>
        <w:div w:id="306325600">
          <w:marLeft w:val="0"/>
          <w:marRight w:val="0"/>
          <w:marTop w:val="0"/>
          <w:marBottom w:val="0"/>
          <w:divBdr>
            <w:top w:val="none" w:sz="0" w:space="0" w:color="auto"/>
            <w:left w:val="none" w:sz="0" w:space="0" w:color="auto"/>
            <w:bottom w:val="none" w:sz="0" w:space="0" w:color="auto"/>
            <w:right w:val="none" w:sz="0" w:space="0" w:color="auto"/>
          </w:divBdr>
        </w:div>
        <w:div w:id="306325615">
          <w:marLeft w:val="0"/>
          <w:marRight w:val="0"/>
          <w:marTop w:val="0"/>
          <w:marBottom w:val="0"/>
          <w:divBdr>
            <w:top w:val="none" w:sz="0" w:space="0" w:color="auto"/>
            <w:left w:val="none" w:sz="0" w:space="0" w:color="auto"/>
            <w:bottom w:val="none" w:sz="0" w:space="0" w:color="auto"/>
            <w:right w:val="none" w:sz="0" w:space="0" w:color="auto"/>
          </w:divBdr>
        </w:div>
        <w:div w:id="306325634">
          <w:marLeft w:val="0"/>
          <w:marRight w:val="0"/>
          <w:marTop w:val="0"/>
          <w:marBottom w:val="0"/>
          <w:divBdr>
            <w:top w:val="none" w:sz="0" w:space="0" w:color="auto"/>
            <w:left w:val="none" w:sz="0" w:space="0" w:color="auto"/>
            <w:bottom w:val="none" w:sz="0" w:space="0" w:color="auto"/>
            <w:right w:val="none" w:sz="0" w:space="0" w:color="auto"/>
          </w:divBdr>
        </w:div>
        <w:div w:id="306325648">
          <w:marLeft w:val="0"/>
          <w:marRight w:val="0"/>
          <w:marTop w:val="0"/>
          <w:marBottom w:val="0"/>
          <w:divBdr>
            <w:top w:val="none" w:sz="0" w:space="0" w:color="auto"/>
            <w:left w:val="none" w:sz="0" w:space="0" w:color="auto"/>
            <w:bottom w:val="none" w:sz="0" w:space="0" w:color="auto"/>
            <w:right w:val="none" w:sz="0" w:space="0" w:color="auto"/>
          </w:divBdr>
        </w:div>
        <w:div w:id="306325649">
          <w:marLeft w:val="0"/>
          <w:marRight w:val="0"/>
          <w:marTop w:val="0"/>
          <w:marBottom w:val="0"/>
          <w:divBdr>
            <w:top w:val="none" w:sz="0" w:space="0" w:color="auto"/>
            <w:left w:val="none" w:sz="0" w:space="0" w:color="auto"/>
            <w:bottom w:val="none" w:sz="0" w:space="0" w:color="auto"/>
            <w:right w:val="none" w:sz="0" w:space="0" w:color="auto"/>
          </w:divBdr>
        </w:div>
        <w:div w:id="306325654">
          <w:marLeft w:val="0"/>
          <w:marRight w:val="0"/>
          <w:marTop w:val="0"/>
          <w:marBottom w:val="0"/>
          <w:divBdr>
            <w:top w:val="none" w:sz="0" w:space="0" w:color="auto"/>
            <w:left w:val="none" w:sz="0" w:space="0" w:color="auto"/>
            <w:bottom w:val="none" w:sz="0" w:space="0" w:color="auto"/>
            <w:right w:val="none" w:sz="0" w:space="0" w:color="auto"/>
          </w:divBdr>
        </w:div>
        <w:div w:id="306325666">
          <w:marLeft w:val="0"/>
          <w:marRight w:val="0"/>
          <w:marTop w:val="0"/>
          <w:marBottom w:val="0"/>
          <w:divBdr>
            <w:top w:val="none" w:sz="0" w:space="0" w:color="auto"/>
            <w:left w:val="none" w:sz="0" w:space="0" w:color="auto"/>
            <w:bottom w:val="none" w:sz="0" w:space="0" w:color="auto"/>
            <w:right w:val="none" w:sz="0" w:space="0" w:color="auto"/>
          </w:divBdr>
        </w:div>
        <w:div w:id="306325677">
          <w:marLeft w:val="0"/>
          <w:marRight w:val="0"/>
          <w:marTop w:val="0"/>
          <w:marBottom w:val="0"/>
          <w:divBdr>
            <w:top w:val="none" w:sz="0" w:space="0" w:color="auto"/>
            <w:left w:val="none" w:sz="0" w:space="0" w:color="auto"/>
            <w:bottom w:val="none" w:sz="0" w:space="0" w:color="auto"/>
            <w:right w:val="none" w:sz="0" w:space="0" w:color="auto"/>
          </w:divBdr>
        </w:div>
      </w:divsChild>
    </w:div>
    <w:div w:id="306325658">
      <w:marLeft w:val="0"/>
      <w:marRight w:val="0"/>
      <w:marTop w:val="0"/>
      <w:marBottom w:val="0"/>
      <w:divBdr>
        <w:top w:val="none" w:sz="0" w:space="0" w:color="auto"/>
        <w:left w:val="none" w:sz="0" w:space="0" w:color="auto"/>
        <w:bottom w:val="none" w:sz="0" w:space="0" w:color="auto"/>
        <w:right w:val="none" w:sz="0" w:space="0" w:color="auto"/>
      </w:divBdr>
      <w:divsChild>
        <w:div w:id="306325565">
          <w:marLeft w:val="0"/>
          <w:marRight w:val="0"/>
          <w:marTop w:val="0"/>
          <w:marBottom w:val="0"/>
          <w:divBdr>
            <w:top w:val="none" w:sz="0" w:space="0" w:color="auto"/>
            <w:left w:val="none" w:sz="0" w:space="0" w:color="auto"/>
            <w:bottom w:val="none" w:sz="0" w:space="0" w:color="auto"/>
            <w:right w:val="none" w:sz="0" w:space="0" w:color="auto"/>
          </w:divBdr>
        </w:div>
        <w:div w:id="306325588">
          <w:marLeft w:val="0"/>
          <w:marRight w:val="0"/>
          <w:marTop w:val="0"/>
          <w:marBottom w:val="0"/>
          <w:divBdr>
            <w:top w:val="none" w:sz="0" w:space="0" w:color="auto"/>
            <w:left w:val="none" w:sz="0" w:space="0" w:color="auto"/>
            <w:bottom w:val="none" w:sz="0" w:space="0" w:color="auto"/>
            <w:right w:val="none" w:sz="0" w:space="0" w:color="auto"/>
          </w:divBdr>
        </w:div>
        <w:div w:id="306325598">
          <w:marLeft w:val="0"/>
          <w:marRight w:val="0"/>
          <w:marTop w:val="0"/>
          <w:marBottom w:val="0"/>
          <w:divBdr>
            <w:top w:val="none" w:sz="0" w:space="0" w:color="auto"/>
            <w:left w:val="none" w:sz="0" w:space="0" w:color="auto"/>
            <w:bottom w:val="none" w:sz="0" w:space="0" w:color="auto"/>
            <w:right w:val="none" w:sz="0" w:space="0" w:color="auto"/>
          </w:divBdr>
        </w:div>
        <w:div w:id="306325642">
          <w:marLeft w:val="0"/>
          <w:marRight w:val="0"/>
          <w:marTop w:val="0"/>
          <w:marBottom w:val="0"/>
          <w:divBdr>
            <w:top w:val="none" w:sz="0" w:space="0" w:color="auto"/>
            <w:left w:val="none" w:sz="0" w:space="0" w:color="auto"/>
            <w:bottom w:val="none" w:sz="0" w:space="0" w:color="auto"/>
            <w:right w:val="none" w:sz="0" w:space="0" w:color="auto"/>
          </w:divBdr>
        </w:div>
        <w:div w:id="306325645">
          <w:marLeft w:val="0"/>
          <w:marRight w:val="0"/>
          <w:marTop w:val="0"/>
          <w:marBottom w:val="0"/>
          <w:divBdr>
            <w:top w:val="none" w:sz="0" w:space="0" w:color="auto"/>
            <w:left w:val="none" w:sz="0" w:space="0" w:color="auto"/>
            <w:bottom w:val="none" w:sz="0" w:space="0" w:color="auto"/>
            <w:right w:val="none" w:sz="0" w:space="0" w:color="auto"/>
          </w:divBdr>
        </w:div>
        <w:div w:id="306325653">
          <w:marLeft w:val="0"/>
          <w:marRight w:val="0"/>
          <w:marTop w:val="0"/>
          <w:marBottom w:val="0"/>
          <w:divBdr>
            <w:top w:val="none" w:sz="0" w:space="0" w:color="auto"/>
            <w:left w:val="none" w:sz="0" w:space="0" w:color="auto"/>
            <w:bottom w:val="none" w:sz="0" w:space="0" w:color="auto"/>
            <w:right w:val="none" w:sz="0" w:space="0" w:color="auto"/>
          </w:divBdr>
        </w:div>
        <w:div w:id="306325655">
          <w:marLeft w:val="0"/>
          <w:marRight w:val="0"/>
          <w:marTop w:val="0"/>
          <w:marBottom w:val="0"/>
          <w:divBdr>
            <w:top w:val="none" w:sz="0" w:space="0" w:color="auto"/>
            <w:left w:val="none" w:sz="0" w:space="0" w:color="auto"/>
            <w:bottom w:val="none" w:sz="0" w:space="0" w:color="auto"/>
            <w:right w:val="none" w:sz="0" w:space="0" w:color="auto"/>
          </w:divBdr>
        </w:div>
        <w:div w:id="306325674">
          <w:marLeft w:val="0"/>
          <w:marRight w:val="0"/>
          <w:marTop w:val="0"/>
          <w:marBottom w:val="0"/>
          <w:divBdr>
            <w:top w:val="none" w:sz="0" w:space="0" w:color="auto"/>
            <w:left w:val="none" w:sz="0" w:space="0" w:color="auto"/>
            <w:bottom w:val="none" w:sz="0" w:space="0" w:color="auto"/>
            <w:right w:val="none" w:sz="0" w:space="0" w:color="auto"/>
          </w:divBdr>
        </w:div>
        <w:div w:id="306325678">
          <w:marLeft w:val="0"/>
          <w:marRight w:val="0"/>
          <w:marTop w:val="0"/>
          <w:marBottom w:val="0"/>
          <w:divBdr>
            <w:top w:val="none" w:sz="0" w:space="0" w:color="auto"/>
            <w:left w:val="none" w:sz="0" w:space="0" w:color="auto"/>
            <w:bottom w:val="none" w:sz="0" w:space="0" w:color="auto"/>
            <w:right w:val="none" w:sz="0" w:space="0" w:color="auto"/>
          </w:divBdr>
        </w:div>
      </w:divsChild>
    </w:div>
    <w:div w:id="306325660">
      <w:marLeft w:val="0"/>
      <w:marRight w:val="0"/>
      <w:marTop w:val="0"/>
      <w:marBottom w:val="0"/>
      <w:divBdr>
        <w:top w:val="none" w:sz="0" w:space="0" w:color="auto"/>
        <w:left w:val="none" w:sz="0" w:space="0" w:color="auto"/>
        <w:bottom w:val="none" w:sz="0" w:space="0" w:color="auto"/>
        <w:right w:val="none" w:sz="0" w:space="0" w:color="auto"/>
      </w:divBdr>
    </w:div>
    <w:div w:id="306325661">
      <w:marLeft w:val="0"/>
      <w:marRight w:val="0"/>
      <w:marTop w:val="0"/>
      <w:marBottom w:val="0"/>
      <w:divBdr>
        <w:top w:val="none" w:sz="0" w:space="0" w:color="auto"/>
        <w:left w:val="none" w:sz="0" w:space="0" w:color="auto"/>
        <w:bottom w:val="none" w:sz="0" w:space="0" w:color="auto"/>
        <w:right w:val="none" w:sz="0" w:space="0" w:color="auto"/>
      </w:divBdr>
      <w:divsChild>
        <w:div w:id="306325577">
          <w:marLeft w:val="0"/>
          <w:marRight w:val="0"/>
          <w:marTop w:val="0"/>
          <w:marBottom w:val="0"/>
          <w:divBdr>
            <w:top w:val="none" w:sz="0" w:space="0" w:color="auto"/>
            <w:left w:val="none" w:sz="0" w:space="0" w:color="auto"/>
            <w:bottom w:val="none" w:sz="0" w:space="0" w:color="auto"/>
            <w:right w:val="none" w:sz="0" w:space="0" w:color="auto"/>
          </w:divBdr>
        </w:div>
        <w:div w:id="306325579">
          <w:marLeft w:val="0"/>
          <w:marRight w:val="0"/>
          <w:marTop w:val="0"/>
          <w:marBottom w:val="0"/>
          <w:divBdr>
            <w:top w:val="none" w:sz="0" w:space="0" w:color="auto"/>
            <w:left w:val="none" w:sz="0" w:space="0" w:color="auto"/>
            <w:bottom w:val="none" w:sz="0" w:space="0" w:color="auto"/>
            <w:right w:val="none" w:sz="0" w:space="0" w:color="auto"/>
          </w:divBdr>
        </w:div>
        <w:div w:id="306325595">
          <w:marLeft w:val="0"/>
          <w:marRight w:val="0"/>
          <w:marTop w:val="0"/>
          <w:marBottom w:val="0"/>
          <w:divBdr>
            <w:top w:val="none" w:sz="0" w:space="0" w:color="auto"/>
            <w:left w:val="none" w:sz="0" w:space="0" w:color="auto"/>
            <w:bottom w:val="none" w:sz="0" w:space="0" w:color="auto"/>
            <w:right w:val="none" w:sz="0" w:space="0" w:color="auto"/>
          </w:divBdr>
        </w:div>
        <w:div w:id="306325604">
          <w:marLeft w:val="0"/>
          <w:marRight w:val="0"/>
          <w:marTop w:val="0"/>
          <w:marBottom w:val="0"/>
          <w:divBdr>
            <w:top w:val="none" w:sz="0" w:space="0" w:color="auto"/>
            <w:left w:val="none" w:sz="0" w:space="0" w:color="auto"/>
            <w:bottom w:val="none" w:sz="0" w:space="0" w:color="auto"/>
            <w:right w:val="none" w:sz="0" w:space="0" w:color="auto"/>
          </w:divBdr>
        </w:div>
        <w:div w:id="306325610">
          <w:marLeft w:val="0"/>
          <w:marRight w:val="0"/>
          <w:marTop w:val="0"/>
          <w:marBottom w:val="0"/>
          <w:divBdr>
            <w:top w:val="none" w:sz="0" w:space="0" w:color="auto"/>
            <w:left w:val="none" w:sz="0" w:space="0" w:color="auto"/>
            <w:bottom w:val="none" w:sz="0" w:space="0" w:color="auto"/>
            <w:right w:val="none" w:sz="0" w:space="0" w:color="auto"/>
          </w:divBdr>
        </w:div>
        <w:div w:id="306325618">
          <w:marLeft w:val="0"/>
          <w:marRight w:val="0"/>
          <w:marTop w:val="0"/>
          <w:marBottom w:val="0"/>
          <w:divBdr>
            <w:top w:val="none" w:sz="0" w:space="0" w:color="auto"/>
            <w:left w:val="none" w:sz="0" w:space="0" w:color="auto"/>
            <w:bottom w:val="none" w:sz="0" w:space="0" w:color="auto"/>
            <w:right w:val="none" w:sz="0" w:space="0" w:color="auto"/>
          </w:divBdr>
        </w:div>
        <w:div w:id="306325657">
          <w:marLeft w:val="0"/>
          <w:marRight w:val="0"/>
          <w:marTop w:val="0"/>
          <w:marBottom w:val="0"/>
          <w:divBdr>
            <w:top w:val="none" w:sz="0" w:space="0" w:color="auto"/>
            <w:left w:val="none" w:sz="0" w:space="0" w:color="auto"/>
            <w:bottom w:val="none" w:sz="0" w:space="0" w:color="auto"/>
            <w:right w:val="none" w:sz="0" w:space="0" w:color="auto"/>
          </w:divBdr>
        </w:div>
        <w:div w:id="306325672">
          <w:marLeft w:val="0"/>
          <w:marRight w:val="0"/>
          <w:marTop w:val="0"/>
          <w:marBottom w:val="0"/>
          <w:divBdr>
            <w:top w:val="none" w:sz="0" w:space="0" w:color="auto"/>
            <w:left w:val="none" w:sz="0" w:space="0" w:color="auto"/>
            <w:bottom w:val="none" w:sz="0" w:space="0" w:color="auto"/>
            <w:right w:val="none" w:sz="0" w:space="0" w:color="auto"/>
          </w:divBdr>
        </w:div>
        <w:div w:id="306325673">
          <w:marLeft w:val="0"/>
          <w:marRight w:val="0"/>
          <w:marTop w:val="0"/>
          <w:marBottom w:val="0"/>
          <w:divBdr>
            <w:top w:val="none" w:sz="0" w:space="0" w:color="auto"/>
            <w:left w:val="none" w:sz="0" w:space="0" w:color="auto"/>
            <w:bottom w:val="none" w:sz="0" w:space="0" w:color="auto"/>
            <w:right w:val="none" w:sz="0" w:space="0" w:color="auto"/>
          </w:divBdr>
        </w:div>
      </w:divsChild>
    </w:div>
    <w:div w:id="306325681">
      <w:marLeft w:val="0"/>
      <w:marRight w:val="0"/>
      <w:marTop w:val="0"/>
      <w:marBottom w:val="0"/>
      <w:divBdr>
        <w:top w:val="none" w:sz="0" w:space="0" w:color="auto"/>
        <w:left w:val="none" w:sz="0" w:space="0" w:color="auto"/>
        <w:bottom w:val="none" w:sz="0" w:space="0" w:color="auto"/>
        <w:right w:val="none" w:sz="0" w:space="0" w:color="auto"/>
      </w:divBdr>
    </w:div>
    <w:div w:id="306325682">
      <w:marLeft w:val="0"/>
      <w:marRight w:val="0"/>
      <w:marTop w:val="0"/>
      <w:marBottom w:val="0"/>
      <w:divBdr>
        <w:top w:val="none" w:sz="0" w:space="0" w:color="auto"/>
        <w:left w:val="none" w:sz="0" w:space="0" w:color="auto"/>
        <w:bottom w:val="none" w:sz="0" w:space="0" w:color="auto"/>
        <w:right w:val="none" w:sz="0" w:space="0" w:color="auto"/>
      </w:divBdr>
    </w:div>
    <w:div w:id="306325683">
      <w:marLeft w:val="0"/>
      <w:marRight w:val="0"/>
      <w:marTop w:val="0"/>
      <w:marBottom w:val="0"/>
      <w:divBdr>
        <w:top w:val="none" w:sz="0" w:space="0" w:color="auto"/>
        <w:left w:val="none" w:sz="0" w:space="0" w:color="auto"/>
        <w:bottom w:val="none" w:sz="0" w:space="0" w:color="auto"/>
        <w:right w:val="none" w:sz="0" w:space="0" w:color="auto"/>
      </w:divBdr>
    </w:div>
    <w:div w:id="306325684">
      <w:marLeft w:val="0"/>
      <w:marRight w:val="0"/>
      <w:marTop w:val="0"/>
      <w:marBottom w:val="0"/>
      <w:divBdr>
        <w:top w:val="none" w:sz="0" w:space="0" w:color="auto"/>
        <w:left w:val="none" w:sz="0" w:space="0" w:color="auto"/>
        <w:bottom w:val="none" w:sz="0" w:space="0" w:color="auto"/>
        <w:right w:val="none" w:sz="0" w:space="0" w:color="auto"/>
      </w:divBdr>
    </w:div>
    <w:div w:id="306325685">
      <w:marLeft w:val="0"/>
      <w:marRight w:val="0"/>
      <w:marTop w:val="0"/>
      <w:marBottom w:val="0"/>
      <w:divBdr>
        <w:top w:val="none" w:sz="0" w:space="0" w:color="auto"/>
        <w:left w:val="none" w:sz="0" w:space="0" w:color="auto"/>
        <w:bottom w:val="none" w:sz="0" w:space="0" w:color="auto"/>
        <w:right w:val="none" w:sz="0" w:space="0" w:color="auto"/>
      </w:divBdr>
    </w:div>
    <w:div w:id="306325686">
      <w:marLeft w:val="0"/>
      <w:marRight w:val="0"/>
      <w:marTop w:val="0"/>
      <w:marBottom w:val="0"/>
      <w:divBdr>
        <w:top w:val="none" w:sz="0" w:space="0" w:color="auto"/>
        <w:left w:val="none" w:sz="0" w:space="0" w:color="auto"/>
        <w:bottom w:val="none" w:sz="0" w:space="0" w:color="auto"/>
        <w:right w:val="none" w:sz="0" w:space="0" w:color="auto"/>
      </w:divBdr>
    </w:div>
    <w:div w:id="306325687">
      <w:marLeft w:val="0"/>
      <w:marRight w:val="0"/>
      <w:marTop w:val="0"/>
      <w:marBottom w:val="0"/>
      <w:divBdr>
        <w:top w:val="none" w:sz="0" w:space="0" w:color="auto"/>
        <w:left w:val="none" w:sz="0" w:space="0" w:color="auto"/>
        <w:bottom w:val="none" w:sz="0" w:space="0" w:color="auto"/>
        <w:right w:val="none" w:sz="0" w:space="0" w:color="auto"/>
      </w:divBdr>
    </w:div>
    <w:div w:id="306325688">
      <w:marLeft w:val="0"/>
      <w:marRight w:val="0"/>
      <w:marTop w:val="0"/>
      <w:marBottom w:val="0"/>
      <w:divBdr>
        <w:top w:val="none" w:sz="0" w:space="0" w:color="auto"/>
        <w:left w:val="none" w:sz="0" w:space="0" w:color="auto"/>
        <w:bottom w:val="none" w:sz="0" w:space="0" w:color="auto"/>
        <w:right w:val="none" w:sz="0" w:space="0" w:color="auto"/>
      </w:divBdr>
    </w:div>
    <w:div w:id="306325689">
      <w:marLeft w:val="0"/>
      <w:marRight w:val="0"/>
      <w:marTop w:val="0"/>
      <w:marBottom w:val="0"/>
      <w:divBdr>
        <w:top w:val="none" w:sz="0" w:space="0" w:color="auto"/>
        <w:left w:val="none" w:sz="0" w:space="0" w:color="auto"/>
        <w:bottom w:val="none" w:sz="0" w:space="0" w:color="auto"/>
        <w:right w:val="none" w:sz="0" w:space="0" w:color="auto"/>
      </w:divBdr>
    </w:div>
    <w:div w:id="306325690">
      <w:marLeft w:val="0"/>
      <w:marRight w:val="0"/>
      <w:marTop w:val="0"/>
      <w:marBottom w:val="0"/>
      <w:divBdr>
        <w:top w:val="none" w:sz="0" w:space="0" w:color="auto"/>
        <w:left w:val="none" w:sz="0" w:space="0" w:color="auto"/>
        <w:bottom w:val="none" w:sz="0" w:space="0" w:color="auto"/>
        <w:right w:val="none" w:sz="0" w:space="0" w:color="auto"/>
      </w:divBdr>
    </w:div>
    <w:div w:id="306325691">
      <w:marLeft w:val="0"/>
      <w:marRight w:val="0"/>
      <w:marTop w:val="0"/>
      <w:marBottom w:val="0"/>
      <w:divBdr>
        <w:top w:val="none" w:sz="0" w:space="0" w:color="auto"/>
        <w:left w:val="none" w:sz="0" w:space="0" w:color="auto"/>
        <w:bottom w:val="none" w:sz="0" w:space="0" w:color="auto"/>
        <w:right w:val="none" w:sz="0" w:space="0" w:color="auto"/>
      </w:divBdr>
    </w:div>
    <w:div w:id="306325692">
      <w:marLeft w:val="0"/>
      <w:marRight w:val="0"/>
      <w:marTop w:val="0"/>
      <w:marBottom w:val="0"/>
      <w:divBdr>
        <w:top w:val="none" w:sz="0" w:space="0" w:color="auto"/>
        <w:left w:val="none" w:sz="0" w:space="0" w:color="auto"/>
        <w:bottom w:val="none" w:sz="0" w:space="0" w:color="auto"/>
        <w:right w:val="none" w:sz="0" w:space="0" w:color="auto"/>
      </w:divBdr>
    </w:div>
    <w:div w:id="306325693">
      <w:marLeft w:val="0"/>
      <w:marRight w:val="0"/>
      <w:marTop w:val="0"/>
      <w:marBottom w:val="0"/>
      <w:divBdr>
        <w:top w:val="none" w:sz="0" w:space="0" w:color="auto"/>
        <w:left w:val="none" w:sz="0" w:space="0" w:color="auto"/>
        <w:bottom w:val="none" w:sz="0" w:space="0" w:color="auto"/>
        <w:right w:val="none" w:sz="0" w:space="0" w:color="auto"/>
      </w:divBdr>
    </w:div>
    <w:div w:id="306325694">
      <w:marLeft w:val="0"/>
      <w:marRight w:val="0"/>
      <w:marTop w:val="0"/>
      <w:marBottom w:val="0"/>
      <w:divBdr>
        <w:top w:val="none" w:sz="0" w:space="0" w:color="auto"/>
        <w:left w:val="none" w:sz="0" w:space="0" w:color="auto"/>
        <w:bottom w:val="none" w:sz="0" w:space="0" w:color="auto"/>
        <w:right w:val="none" w:sz="0" w:space="0" w:color="auto"/>
      </w:divBdr>
    </w:div>
    <w:div w:id="306325695">
      <w:marLeft w:val="0"/>
      <w:marRight w:val="0"/>
      <w:marTop w:val="0"/>
      <w:marBottom w:val="0"/>
      <w:divBdr>
        <w:top w:val="none" w:sz="0" w:space="0" w:color="auto"/>
        <w:left w:val="none" w:sz="0" w:space="0" w:color="auto"/>
        <w:bottom w:val="none" w:sz="0" w:space="0" w:color="auto"/>
        <w:right w:val="none" w:sz="0" w:space="0" w:color="auto"/>
      </w:divBdr>
    </w:div>
    <w:div w:id="306325696">
      <w:marLeft w:val="0"/>
      <w:marRight w:val="0"/>
      <w:marTop w:val="0"/>
      <w:marBottom w:val="0"/>
      <w:divBdr>
        <w:top w:val="none" w:sz="0" w:space="0" w:color="auto"/>
        <w:left w:val="none" w:sz="0" w:space="0" w:color="auto"/>
        <w:bottom w:val="none" w:sz="0" w:space="0" w:color="auto"/>
        <w:right w:val="none" w:sz="0" w:space="0" w:color="auto"/>
      </w:divBdr>
    </w:div>
    <w:div w:id="306325697">
      <w:marLeft w:val="0"/>
      <w:marRight w:val="0"/>
      <w:marTop w:val="0"/>
      <w:marBottom w:val="0"/>
      <w:divBdr>
        <w:top w:val="none" w:sz="0" w:space="0" w:color="auto"/>
        <w:left w:val="none" w:sz="0" w:space="0" w:color="auto"/>
        <w:bottom w:val="none" w:sz="0" w:space="0" w:color="auto"/>
        <w:right w:val="none" w:sz="0" w:space="0" w:color="auto"/>
      </w:divBdr>
    </w:div>
    <w:div w:id="306325698">
      <w:marLeft w:val="0"/>
      <w:marRight w:val="0"/>
      <w:marTop w:val="0"/>
      <w:marBottom w:val="0"/>
      <w:divBdr>
        <w:top w:val="none" w:sz="0" w:space="0" w:color="auto"/>
        <w:left w:val="none" w:sz="0" w:space="0" w:color="auto"/>
        <w:bottom w:val="none" w:sz="0" w:space="0" w:color="auto"/>
        <w:right w:val="none" w:sz="0" w:space="0" w:color="auto"/>
      </w:divBdr>
    </w:div>
    <w:div w:id="306325699">
      <w:marLeft w:val="0"/>
      <w:marRight w:val="0"/>
      <w:marTop w:val="0"/>
      <w:marBottom w:val="0"/>
      <w:divBdr>
        <w:top w:val="none" w:sz="0" w:space="0" w:color="auto"/>
        <w:left w:val="none" w:sz="0" w:space="0" w:color="auto"/>
        <w:bottom w:val="none" w:sz="0" w:space="0" w:color="auto"/>
        <w:right w:val="none" w:sz="0" w:space="0" w:color="auto"/>
      </w:divBdr>
    </w:div>
    <w:div w:id="306325700">
      <w:marLeft w:val="0"/>
      <w:marRight w:val="0"/>
      <w:marTop w:val="0"/>
      <w:marBottom w:val="0"/>
      <w:divBdr>
        <w:top w:val="none" w:sz="0" w:space="0" w:color="auto"/>
        <w:left w:val="none" w:sz="0" w:space="0" w:color="auto"/>
        <w:bottom w:val="none" w:sz="0" w:space="0" w:color="auto"/>
        <w:right w:val="none" w:sz="0" w:space="0" w:color="auto"/>
      </w:divBdr>
    </w:div>
    <w:div w:id="306325701">
      <w:marLeft w:val="0"/>
      <w:marRight w:val="0"/>
      <w:marTop w:val="0"/>
      <w:marBottom w:val="0"/>
      <w:divBdr>
        <w:top w:val="none" w:sz="0" w:space="0" w:color="auto"/>
        <w:left w:val="none" w:sz="0" w:space="0" w:color="auto"/>
        <w:bottom w:val="none" w:sz="0" w:space="0" w:color="auto"/>
        <w:right w:val="none" w:sz="0" w:space="0" w:color="auto"/>
      </w:divBdr>
    </w:div>
    <w:div w:id="306325702">
      <w:marLeft w:val="0"/>
      <w:marRight w:val="0"/>
      <w:marTop w:val="0"/>
      <w:marBottom w:val="0"/>
      <w:divBdr>
        <w:top w:val="none" w:sz="0" w:space="0" w:color="auto"/>
        <w:left w:val="none" w:sz="0" w:space="0" w:color="auto"/>
        <w:bottom w:val="none" w:sz="0" w:space="0" w:color="auto"/>
        <w:right w:val="none" w:sz="0" w:space="0" w:color="auto"/>
      </w:divBdr>
    </w:div>
    <w:div w:id="306325703">
      <w:marLeft w:val="0"/>
      <w:marRight w:val="0"/>
      <w:marTop w:val="0"/>
      <w:marBottom w:val="0"/>
      <w:divBdr>
        <w:top w:val="none" w:sz="0" w:space="0" w:color="auto"/>
        <w:left w:val="none" w:sz="0" w:space="0" w:color="auto"/>
        <w:bottom w:val="none" w:sz="0" w:space="0" w:color="auto"/>
        <w:right w:val="none" w:sz="0" w:space="0" w:color="auto"/>
      </w:divBdr>
    </w:div>
    <w:div w:id="306325704">
      <w:marLeft w:val="0"/>
      <w:marRight w:val="0"/>
      <w:marTop w:val="0"/>
      <w:marBottom w:val="0"/>
      <w:divBdr>
        <w:top w:val="none" w:sz="0" w:space="0" w:color="auto"/>
        <w:left w:val="none" w:sz="0" w:space="0" w:color="auto"/>
        <w:bottom w:val="none" w:sz="0" w:space="0" w:color="auto"/>
        <w:right w:val="none" w:sz="0" w:space="0" w:color="auto"/>
      </w:divBdr>
    </w:div>
    <w:div w:id="306325708">
      <w:marLeft w:val="0"/>
      <w:marRight w:val="0"/>
      <w:marTop w:val="0"/>
      <w:marBottom w:val="0"/>
      <w:divBdr>
        <w:top w:val="none" w:sz="0" w:space="0" w:color="auto"/>
        <w:left w:val="none" w:sz="0" w:space="0" w:color="auto"/>
        <w:bottom w:val="none" w:sz="0" w:space="0" w:color="auto"/>
        <w:right w:val="none" w:sz="0" w:space="0" w:color="auto"/>
      </w:divBdr>
      <w:divsChild>
        <w:div w:id="306325537">
          <w:marLeft w:val="0"/>
          <w:marRight w:val="0"/>
          <w:marTop w:val="0"/>
          <w:marBottom w:val="0"/>
          <w:divBdr>
            <w:top w:val="none" w:sz="0" w:space="0" w:color="auto"/>
            <w:left w:val="none" w:sz="0" w:space="0" w:color="auto"/>
            <w:bottom w:val="none" w:sz="0" w:space="0" w:color="auto"/>
            <w:right w:val="none" w:sz="0" w:space="0" w:color="auto"/>
          </w:divBdr>
        </w:div>
      </w:divsChild>
    </w:div>
    <w:div w:id="306325709">
      <w:marLeft w:val="0"/>
      <w:marRight w:val="0"/>
      <w:marTop w:val="0"/>
      <w:marBottom w:val="0"/>
      <w:divBdr>
        <w:top w:val="none" w:sz="0" w:space="0" w:color="auto"/>
        <w:left w:val="none" w:sz="0" w:space="0" w:color="auto"/>
        <w:bottom w:val="none" w:sz="0" w:space="0" w:color="auto"/>
        <w:right w:val="none" w:sz="0" w:space="0" w:color="auto"/>
      </w:divBdr>
    </w:div>
    <w:div w:id="306325710">
      <w:marLeft w:val="0"/>
      <w:marRight w:val="0"/>
      <w:marTop w:val="0"/>
      <w:marBottom w:val="0"/>
      <w:divBdr>
        <w:top w:val="none" w:sz="0" w:space="0" w:color="auto"/>
        <w:left w:val="none" w:sz="0" w:space="0" w:color="auto"/>
        <w:bottom w:val="none" w:sz="0" w:space="0" w:color="auto"/>
        <w:right w:val="none" w:sz="0" w:space="0" w:color="auto"/>
      </w:divBdr>
    </w:div>
    <w:div w:id="306325711">
      <w:marLeft w:val="0"/>
      <w:marRight w:val="0"/>
      <w:marTop w:val="0"/>
      <w:marBottom w:val="0"/>
      <w:divBdr>
        <w:top w:val="none" w:sz="0" w:space="0" w:color="auto"/>
        <w:left w:val="none" w:sz="0" w:space="0" w:color="auto"/>
        <w:bottom w:val="none" w:sz="0" w:space="0" w:color="auto"/>
        <w:right w:val="none" w:sz="0" w:space="0" w:color="auto"/>
      </w:divBdr>
      <w:divsChild>
        <w:div w:id="306325706">
          <w:marLeft w:val="0"/>
          <w:marRight w:val="0"/>
          <w:marTop w:val="0"/>
          <w:marBottom w:val="0"/>
          <w:divBdr>
            <w:top w:val="none" w:sz="0" w:space="0" w:color="auto"/>
            <w:left w:val="none" w:sz="0" w:space="0" w:color="auto"/>
            <w:bottom w:val="none" w:sz="0" w:space="0" w:color="auto"/>
            <w:right w:val="none" w:sz="0" w:space="0" w:color="auto"/>
          </w:divBdr>
        </w:div>
        <w:div w:id="306325707">
          <w:marLeft w:val="0"/>
          <w:marRight w:val="0"/>
          <w:marTop w:val="0"/>
          <w:marBottom w:val="0"/>
          <w:divBdr>
            <w:top w:val="none" w:sz="0" w:space="0" w:color="auto"/>
            <w:left w:val="none" w:sz="0" w:space="0" w:color="auto"/>
            <w:bottom w:val="none" w:sz="0" w:space="0" w:color="auto"/>
            <w:right w:val="none" w:sz="0" w:space="0" w:color="auto"/>
          </w:divBdr>
        </w:div>
      </w:divsChild>
    </w:div>
    <w:div w:id="306325712">
      <w:marLeft w:val="0"/>
      <w:marRight w:val="0"/>
      <w:marTop w:val="0"/>
      <w:marBottom w:val="0"/>
      <w:divBdr>
        <w:top w:val="none" w:sz="0" w:space="0" w:color="auto"/>
        <w:left w:val="none" w:sz="0" w:space="0" w:color="auto"/>
        <w:bottom w:val="none" w:sz="0" w:space="0" w:color="auto"/>
        <w:right w:val="none" w:sz="0" w:space="0" w:color="auto"/>
      </w:divBdr>
    </w:div>
    <w:div w:id="306325713">
      <w:marLeft w:val="0"/>
      <w:marRight w:val="0"/>
      <w:marTop w:val="0"/>
      <w:marBottom w:val="0"/>
      <w:divBdr>
        <w:top w:val="none" w:sz="0" w:space="0" w:color="auto"/>
        <w:left w:val="none" w:sz="0" w:space="0" w:color="auto"/>
        <w:bottom w:val="none" w:sz="0" w:space="0" w:color="auto"/>
        <w:right w:val="none" w:sz="0" w:space="0" w:color="auto"/>
      </w:divBdr>
    </w:div>
    <w:div w:id="306325714">
      <w:marLeft w:val="0"/>
      <w:marRight w:val="0"/>
      <w:marTop w:val="0"/>
      <w:marBottom w:val="0"/>
      <w:divBdr>
        <w:top w:val="none" w:sz="0" w:space="0" w:color="auto"/>
        <w:left w:val="none" w:sz="0" w:space="0" w:color="auto"/>
        <w:bottom w:val="none" w:sz="0" w:space="0" w:color="auto"/>
        <w:right w:val="none" w:sz="0" w:space="0" w:color="auto"/>
      </w:divBdr>
    </w:div>
    <w:div w:id="327249501">
      <w:bodyDiv w:val="1"/>
      <w:marLeft w:val="0"/>
      <w:marRight w:val="0"/>
      <w:marTop w:val="0"/>
      <w:marBottom w:val="0"/>
      <w:divBdr>
        <w:top w:val="none" w:sz="0" w:space="0" w:color="auto"/>
        <w:left w:val="none" w:sz="0" w:space="0" w:color="auto"/>
        <w:bottom w:val="none" w:sz="0" w:space="0" w:color="auto"/>
        <w:right w:val="none" w:sz="0" w:space="0" w:color="auto"/>
      </w:divBdr>
    </w:div>
    <w:div w:id="506020360">
      <w:bodyDiv w:val="1"/>
      <w:marLeft w:val="0"/>
      <w:marRight w:val="0"/>
      <w:marTop w:val="0"/>
      <w:marBottom w:val="0"/>
      <w:divBdr>
        <w:top w:val="none" w:sz="0" w:space="0" w:color="auto"/>
        <w:left w:val="none" w:sz="0" w:space="0" w:color="auto"/>
        <w:bottom w:val="none" w:sz="0" w:space="0" w:color="auto"/>
        <w:right w:val="none" w:sz="0" w:space="0" w:color="auto"/>
      </w:divBdr>
    </w:div>
    <w:div w:id="903761737">
      <w:bodyDiv w:val="1"/>
      <w:marLeft w:val="0"/>
      <w:marRight w:val="0"/>
      <w:marTop w:val="0"/>
      <w:marBottom w:val="0"/>
      <w:divBdr>
        <w:top w:val="none" w:sz="0" w:space="0" w:color="auto"/>
        <w:left w:val="none" w:sz="0" w:space="0" w:color="auto"/>
        <w:bottom w:val="none" w:sz="0" w:space="0" w:color="auto"/>
        <w:right w:val="none" w:sz="0" w:space="0" w:color="auto"/>
      </w:divBdr>
    </w:div>
    <w:div w:id="1110321694">
      <w:bodyDiv w:val="1"/>
      <w:marLeft w:val="0"/>
      <w:marRight w:val="0"/>
      <w:marTop w:val="0"/>
      <w:marBottom w:val="0"/>
      <w:divBdr>
        <w:top w:val="none" w:sz="0" w:space="0" w:color="auto"/>
        <w:left w:val="none" w:sz="0" w:space="0" w:color="auto"/>
        <w:bottom w:val="none" w:sz="0" w:space="0" w:color="auto"/>
        <w:right w:val="none" w:sz="0" w:space="0" w:color="auto"/>
      </w:divBdr>
    </w:div>
    <w:div w:id="1146118339">
      <w:bodyDiv w:val="1"/>
      <w:marLeft w:val="0"/>
      <w:marRight w:val="0"/>
      <w:marTop w:val="0"/>
      <w:marBottom w:val="0"/>
      <w:divBdr>
        <w:top w:val="none" w:sz="0" w:space="0" w:color="auto"/>
        <w:left w:val="none" w:sz="0" w:space="0" w:color="auto"/>
        <w:bottom w:val="none" w:sz="0" w:space="0" w:color="auto"/>
        <w:right w:val="none" w:sz="0" w:space="0" w:color="auto"/>
      </w:divBdr>
    </w:div>
    <w:div w:id="1578830151">
      <w:bodyDiv w:val="1"/>
      <w:marLeft w:val="0"/>
      <w:marRight w:val="0"/>
      <w:marTop w:val="0"/>
      <w:marBottom w:val="0"/>
      <w:divBdr>
        <w:top w:val="none" w:sz="0" w:space="0" w:color="auto"/>
        <w:left w:val="none" w:sz="0" w:space="0" w:color="auto"/>
        <w:bottom w:val="none" w:sz="0" w:space="0" w:color="auto"/>
        <w:right w:val="none" w:sz="0" w:space="0" w:color="auto"/>
      </w:divBdr>
    </w:div>
    <w:div w:id="1759205329">
      <w:bodyDiv w:val="1"/>
      <w:marLeft w:val="0"/>
      <w:marRight w:val="0"/>
      <w:marTop w:val="0"/>
      <w:marBottom w:val="0"/>
      <w:divBdr>
        <w:top w:val="none" w:sz="0" w:space="0" w:color="auto"/>
        <w:left w:val="none" w:sz="0" w:space="0" w:color="auto"/>
        <w:bottom w:val="none" w:sz="0" w:space="0" w:color="auto"/>
        <w:right w:val="none" w:sz="0" w:space="0" w:color="auto"/>
      </w:divBdr>
      <w:divsChild>
        <w:div w:id="909115541">
          <w:marLeft w:val="0"/>
          <w:marRight w:val="0"/>
          <w:marTop w:val="0"/>
          <w:marBottom w:val="0"/>
          <w:divBdr>
            <w:top w:val="none" w:sz="0" w:space="0" w:color="auto"/>
            <w:left w:val="none" w:sz="0" w:space="0" w:color="auto"/>
            <w:bottom w:val="none" w:sz="0" w:space="0" w:color="auto"/>
            <w:right w:val="none" w:sz="0" w:space="0" w:color="auto"/>
          </w:divBdr>
          <w:divsChild>
            <w:div w:id="1891115655">
              <w:marLeft w:val="0"/>
              <w:marRight w:val="0"/>
              <w:marTop w:val="0"/>
              <w:marBottom w:val="0"/>
              <w:divBdr>
                <w:top w:val="none" w:sz="0" w:space="0" w:color="auto"/>
                <w:left w:val="none" w:sz="0" w:space="0" w:color="auto"/>
                <w:bottom w:val="none" w:sz="0" w:space="0" w:color="auto"/>
                <w:right w:val="none" w:sz="0" w:space="0" w:color="auto"/>
              </w:divBdr>
            </w:div>
            <w:div w:id="458038456">
              <w:marLeft w:val="0"/>
              <w:marRight w:val="0"/>
              <w:marTop w:val="0"/>
              <w:marBottom w:val="0"/>
              <w:divBdr>
                <w:top w:val="none" w:sz="0" w:space="0" w:color="auto"/>
                <w:left w:val="none" w:sz="0" w:space="0" w:color="auto"/>
                <w:bottom w:val="none" w:sz="0" w:space="0" w:color="auto"/>
                <w:right w:val="none" w:sz="0" w:space="0" w:color="auto"/>
              </w:divBdr>
            </w:div>
            <w:div w:id="1511337607">
              <w:marLeft w:val="0"/>
              <w:marRight w:val="0"/>
              <w:marTop w:val="0"/>
              <w:marBottom w:val="0"/>
              <w:divBdr>
                <w:top w:val="none" w:sz="0" w:space="0" w:color="auto"/>
                <w:left w:val="none" w:sz="0" w:space="0" w:color="auto"/>
                <w:bottom w:val="none" w:sz="0" w:space="0" w:color="auto"/>
                <w:right w:val="none" w:sz="0" w:space="0" w:color="auto"/>
              </w:divBdr>
            </w:div>
            <w:div w:id="2075199987">
              <w:marLeft w:val="0"/>
              <w:marRight w:val="0"/>
              <w:marTop w:val="0"/>
              <w:marBottom w:val="0"/>
              <w:divBdr>
                <w:top w:val="none" w:sz="0" w:space="0" w:color="auto"/>
                <w:left w:val="none" w:sz="0" w:space="0" w:color="auto"/>
                <w:bottom w:val="none" w:sz="0" w:space="0" w:color="auto"/>
                <w:right w:val="none" w:sz="0" w:space="0" w:color="auto"/>
              </w:divBdr>
            </w:div>
            <w:div w:id="1070542785">
              <w:marLeft w:val="0"/>
              <w:marRight w:val="0"/>
              <w:marTop w:val="0"/>
              <w:marBottom w:val="0"/>
              <w:divBdr>
                <w:top w:val="none" w:sz="0" w:space="0" w:color="auto"/>
                <w:left w:val="none" w:sz="0" w:space="0" w:color="auto"/>
                <w:bottom w:val="none" w:sz="0" w:space="0" w:color="auto"/>
                <w:right w:val="none" w:sz="0" w:space="0" w:color="auto"/>
              </w:divBdr>
            </w:div>
            <w:div w:id="256210660">
              <w:marLeft w:val="0"/>
              <w:marRight w:val="0"/>
              <w:marTop w:val="0"/>
              <w:marBottom w:val="0"/>
              <w:divBdr>
                <w:top w:val="none" w:sz="0" w:space="0" w:color="auto"/>
                <w:left w:val="none" w:sz="0" w:space="0" w:color="auto"/>
                <w:bottom w:val="none" w:sz="0" w:space="0" w:color="auto"/>
                <w:right w:val="none" w:sz="0" w:space="0" w:color="auto"/>
              </w:divBdr>
            </w:div>
            <w:div w:id="836268026">
              <w:marLeft w:val="0"/>
              <w:marRight w:val="0"/>
              <w:marTop w:val="0"/>
              <w:marBottom w:val="0"/>
              <w:divBdr>
                <w:top w:val="none" w:sz="0" w:space="0" w:color="auto"/>
                <w:left w:val="none" w:sz="0" w:space="0" w:color="auto"/>
                <w:bottom w:val="none" w:sz="0" w:space="0" w:color="auto"/>
                <w:right w:val="none" w:sz="0" w:space="0" w:color="auto"/>
              </w:divBdr>
            </w:div>
            <w:div w:id="691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en.alkarama.org/iraq/1725-iraq-national-human-rights-institution-gets-b-status-to-mark-non-compliance-with-international-standards" TargetMode="External"/><Relationship Id="rId13" Type="http://schemas.openxmlformats.org/officeDocument/2006/relationships/hyperlink" Target="http://www.aljazeera.com/news/middleeast/2015/01/shia-fighters-accused-killing-civilians-iraq-150127062642331.html" TargetMode="External"/><Relationship Id="rId18" Type="http://schemas.openxmlformats.org/officeDocument/2006/relationships/hyperlink" Target="http://gjpi.org/2009/05/23/the-many-lives-of-article-136b-criminal-procedure-code-23-of-1971/" TargetMode="External"/><Relationship Id="rId26" Type="http://schemas.openxmlformats.org/officeDocument/2006/relationships/hyperlink" Target="http://www.amnestyusa.org/get-involved/take-action-now/iraq-men-detained-incommunicado-ua-12412" TargetMode="External"/><Relationship Id="rId39" Type="http://schemas.openxmlformats.org/officeDocument/2006/relationships/hyperlink" Target="http://en.alkarama.org/component/k2/1593-iraq-member-of-council-of-representatives-al-alwani-sentenced-to-death-after-flawed-trial?Itemid" TargetMode="External"/><Relationship Id="rId3" Type="http://schemas.openxmlformats.org/officeDocument/2006/relationships/hyperlink" Target="http://musingsoniraq.blogspot.com/2013/07/iraqs-badr-organization-maintains-its.html" TargetMode="External"/><Relationship Id="rId21" Type="http://schemas.openxmlformats.org/officeDocument/2006/relationships/hyperlink" Target="http://www.iraqja.iq/view.1393/" TargetMode="External"/><Relationship Id="rId34" Type="http://schemas.openxmlformats.org/officeDocument/2006/relationships/hyperlink" Target="http://en.alkarama.org/iraq/1683-iraq-reprisals-against-4-lawyers-through-arbitrary-arrest-detention-torture-and-even-execution" TargetMode="External"/><Relationship Id="rId7" Type="http://schemas.openxmlformats.org/officeDocument/2006/relationships/hyperlink" Target="http://en.alkarama.org/component/k2/1725-iraq-national-human-rights-institution-gets-b-status-to-mark-non-compliance-with-international-standards?Itemid" TargetMode="External"/><Relationship Id="rId12" Type="http://schemas.openxmlformats.org/officeDocument/2006/relationships/hyperlink" Target="http://unterm.un.org/dgaacs/unterm.nsf/8fa942046ff7601c85256983007ca4d8/%206e3e8435a06fede9852569fd00029b39?OpenDocument" TargetMode="External"/><Relationship Id="rId17" Type="http://schemas.openxmlformats.org/officeDocument/2006/relationships/hyperlink" Target="https://www.hrw.org/news/2014/01/03/iraq-investigate-violence-protest-camp" TargetMode="External"/><Relationship Id="rId25" Type="http://schemas.openxmlformats.org/officeDocument/2006/relationships/hyperlink" Target="https://www.hrw.org/news/2012/05/15/iraq-mass-arrests-incommunicado-detentions" TargetMode="External"/><Relationship Id="rId33" Type="http://schemas.openxmlformats.org/officeDocument/2006/relationships/hyperlink" Target="http://en.alkarama.org/1659-iraq-politically-driven-mass-arrests-and-arbitrary-detention-target-former-vice-president-al-hashimi-s-staff" TargetMode="External"/><Relationship Id="rId38" Type="http://schemas.openxmlformats.org/officeDocument/2006/relationships/hyperlink" Target="https://www.hrw.org/news/2014/01/03/iraq-investigate-violence-protest-camp" TargetMode="External"/><Relationship Id="rId2" Type="http://schemas.openxmlformats.org/officeDocument/2006/relationships/hyperlink" Target="http://www.bbc.com/news/world-middle-east-32349379" TargetMode="External"/><Relationship Id="rId16" Type="http://schemas.openxmlformats.org/officeDocument/2006/relationships/hyperlink" Target="http://www.bbc.com/news/world-middle-east-25548776" TargetMode="External"/><Relationship Id="rId20" Type="http://schemas.openxmlformats.org/officeDocument/2006/relationships/hyperlink" Target="http://en.alkarama.org/iraq/press-releases/1770-iraq-death-under-torture-of-former-vice-president-tariq-al-hashimi-security-personnel" TargetMode="External"/><Relationship Id="rId29" Type="http://schemas.openxmlformats.org/officeDocument/2006/relationships/hyperlink" Target="http://en.alkarama.org/iraq/press-releases/1482-iraq-four-security-officers-of-former-vice-president-al-hashimi-arbitrarily-detained-on-basis-of-false-confessions-obtained-under-torture" TargetMode="External"/><Relationship Id="rId41" Type="http://schemas.openxmlformats.org/officeDocument/2006/relationships/hyperlink" Target="https://www.hrw.org/report/2014/02/06/no-one-safe/abuse-women-iraqs-criminal-justice-system" TargetMode="External"/><Relationship Id="rId1" Type="http://schemas.openxmlformats.org/officeDocument/2006/relationships/hyperlink" Target="http://en.alkarama.org/component/k2/1246-iraq-three-citizens-arrested-by-american-forces-in-2005-and-disappeared-since?Itemid" TargetMode="External"/><Relationship Id="rId6" Type="http://schemas.openxmlformats.org/officeDocument/2006/relationships/hyperlink" Target="http://en.alkarama.org/iraq/press-releases/1471-iraq-authorities-deny-detention-of-disappeared-student-seen-on-video-footage-in-iraqi-prison" TargetMode="External"/><Relationship Id="rId11" Type="http://schemas.openxmlformats.org/officeDocument/2006/relationships/hyperlink" Target="https://www.hrw.org/news/2015/06/22/iraq-dont-ease-death-penalty-process" TargetMode="External"/><Relationship Id="rId24" Type="http://schemas.openxmlformats.org/officeDocument/2006/relationships/hyperlink" Target="http://en.alkarama.org/component/k2/1211-iraq-when-will-shawki-omar-be-free" TargetMode="External"/><Relationship Id="rId32" Type="http://schemas.openxmlformats.org/officeDocument/2006/relationships/hyperlink" Target="http://www.youtube.com/watch?v=vUgAgd3OmZs" TargetMode="External"/><Relationship Id="rId37" Type="http://schemas.openxmlformats.org/officeDocument/2006/relationships/hyperlink" Target="https://www.hrw.org/news/2014/01/03/iraq-investigate-violence-protest-camp" TargetMode="External"/><Relationship Id="rId40" Type="http://schemas.openxmlformats.org/officeDocument/2006/relationships/hyperlink" Target="http://www.al-monitor.com/pulse/originals/2013/04/iraq-terrorism-law-executions-controversy.html" TargetMode="External"/><Relationship Id="rId5" Type="http://schemas.openxmlformats.org/officeDocument/2006/relationships/hyperlink" Target="http://www.hrw.org/news/2014/07/31/iraq-pro-government-militias-trail-death" TargetMode="External"/><Relationship Id="rId15" Type="http://schemas.openxmlformats.org/officeDocument/2006/relationships/hyperlink" Target="http://en.alkarama.org/about-us/1159-iraq-no-justice-six-months-after-91-demonstrator-deaths-in-hawijah" TargetMode="External"/><Relationship Id="rId23" Type="http://schemas.openxmlformats.org/officeDocument/2006/relationships/hyperlink" Target="http://en.alkarama.org/1593-iraq-member-of-council-of-representatives-al-alwani-sentenced-to-death-after-flawed-trial" TargetMode="External"/><Relationship Id="rId28" Type="http://schemas.openxmlformats.org/officeDocument/2006/relationships/hyperlink" Target="http://en.alkarama.org/iraq/press-releases/1722-iraq-urgent-appeal-electrocuted-and-sexually-abused-by-army-now-at-high-risk-of-being-sentenced-on-sole-basis-of-confessions-under-torture" TargetMode="External"/><Relationship Id="rId36" Type="http://schemas.openxmlformats.org/officeDocument/2006/relationships/hyperlink" Target="http://www.bbc.com/news/world-middle-east-25548776" TargetMode="External"/><Relationship Id="rId10" Type="http://schemas.openxmlformats.org/officeDocument/2006/relationships/hyperlink" Target="http://en.alkarama.org/1681-iraq-yemeni-citizen-arrested-by-us-forces-in-2009-disappears-in-iraqi-prison" TargetMode="External"/><Relationship Id="rId19" Type="http://schemas.openxmlformats.org/officeDocument/2006/relationships/hyperlink" Target="http://en.alkarama.org/iraq/1770-iraq-death-under-torture-of-former-vice-president-tariq-al-hashimi-security-personnel" TargetMode="External"/><Relationship Id="rId31" Type="http://schemas.openxmlformats.org/officeDocument/2006/relationships/hyperlink" Target="https://www.hrw.org/news/2015/07/16/iraq-set-aside-verdict-massacre-cadets" TargetMode="External"/><Relationship Id="rId4" Type="http://schemas.openxmlformats.org/officeDocument/2006/relationships/hyperlink" Target="http://www.hrw.org/news/2014/07/11/iraq-campaign-mass-murders-sunni-prisoners" TargetMode="External"/><Relationship Id="rId9" Type="http://schemas.openxmlformats.org/officeDocument/2006/relationships/hyperlink" Target="https://www.hrw.org/news/2015/06/22/iraq-dont-ease-death-penalty-process" TargetMode="External"/><Relationship Id="rId14" Type="http://schemas.openxmlformats.org/officeDocument/2006/relationships/hyperlink" Target="http://www.bbc.com/news/world-middle-east-31037426" TargetMode="External"/><Relationship Id="rId22" Type="http://schemas.openxmlformats.org/officeDocument/2006/relationships/hyperlink" Target="http://www.ohchr.org/EN/NewsEvents/Pages/DisplayNews.aspx?NewsID=13253&amp;LangID=E" TargetMode="External"/><Relationship Id="rId27" Type="http://schemas.openxmlformats.org/officeDocument/2006/relationships/hyperlink" Target="http://www.icmp.int/where-we-work/middle-east-and-north-africa/" TargetMode="External"/><Relationship Id="rId30" Type="http://schemas.openxmlformats.org/officeDocument/2006/relationships/hyperlink" Target="http://en.alkarama.org/iraq/press-releases/1659-iraq-politically-driven-mass-arrests-and-arbitrary-detention-target-former-vice-president-al-hashimi-s-staff" TargetMode="External"/><Relationship Id="rId35" Type="http://schemas.openxmlformats.org/officeDocument/2006/relationships/hyperlink" Target="http://www.sotaliraq.com/mobile-news.php?id=934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TB_Shadow%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5A0A33-0337-41D9-B981-57C0A7ED9DCD}"/>
</file>

<file path=customXml/itemProps2.xml><?xml version="1.0" encoding="utf-8"?>
<ds:datastoreItem xmlns:ds="http://schemas.openxmlformats.org/officeDocument/2006/customXml" ds:itemID="{FC74E6A1-6F90-426E-9914-EE3C2EAC055E}"/>
</file>

<file path=customXml/itemProps3.xml><?xml version="1.0" encoding="utf-8"?>
<ds:datastoreItem xmlns:ds="http://schemas.openxmlformats.org/officeDocument/2006/customXml" ds:itemID="{B85ED799-868E-42A5-9774-E85EA797E72D}"/>
</file>

<file path=customXml/itemProps4.xml><?xml version="1.0" encoding="utf-8"?>
<ds:datastoreItem xmlns:ds="http://schemas.openxmlformats.org/officeDocument/2006/customXml" ds:itemID="{8CEEE9CD-3116-4B71-B47B-CDADF446C447}"/>
</file>

<file path=docProps/app.xml><?xml version="1.0" encoding="utf-8"?>
<Properties xmlns="http://schemas.openxmlformats.org/officeDocument/2006/extended-properties" xmlns:vt="http://schemas.openxmlformats.org/officeDocument/2006/docPropsVTypes">
  <Template>TB_Shadow Report</Template>
  <TotalTime>14</TotalTime>
  <Pages>30</Pages>
  <Words>15820</Words>
  <Characters>85041</Characters>
  <Application>Microsoft Office Word</Application>
  <DocSecurity>0</DocSecurity>
  <Lines>708</Lines>
  <Paragraphs>201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100660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2015-09-28T10:56:00Z</cp:lastPrinted>
  <dcterms:created xsi:type="dcterms:W3CDTF">2015-09-28T10:13:00Z</dcterms:created>
  <dcterms:modified xsi:type="dcterms:W3CDTF">2015-09-28T10:57:00Z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