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120" w:before="480" w:lineRule="auto"/>
        <w:rPr>
          <w:rFonts w:ascii="Arial" w:cs="Arial" w:eastAsia="Arial" w:hAnsi="Arial"/>
          <w:b w:val="1"/>
          <w:bCs w:val="1"/>
          <w:sz w:val="46"/>
          <w:szCs w:val="46"/>
        </w:rPr>
      </w:pPr>
      <w:bookmarkStart w:colFirst="0" w:colLast="0" w:name="_q4klzzjbd83b" w:id="0"/>
      <w:bookmarkEnd w:id="0"/>
      <w:r w:rsidDel="00000000" w:rsidR="00000000" w:rsidRPr="00000000">
        <w:rPr>
          <w:rFonts w:ascii="Arial" w:cs="Arial" w:eastAsia="Arial" w:hAnsi="Arial"/>
          <w:b w:val="1"/>
          <w:bCs w:val="1"/>
          <w:sz w:val="46"/>
          <w:szCs w:val="46"/>
          <w:rtl w:val="0"/>
        </w:rPr>
        <w:t xml:space="preserve">Parallel Report to the Committee on the Elimination of Racial Discrimination (CERD)</w:t>
      </w:r>
    </w:p>
    <w:p w:rsidR="00000000" w:rsidDel="00000000" w:rsidP="00000000" w:rsidRDefault="00000000" w:rsidRPr="00000000" w14:paraId="00000002">
      <w:pPr>
        <w:pStyle w:val="Heading3"/>
        <w:keepNext w:val="0"/>
        <w:keepLines w:val="0"/>
        <w:spacing w:after="80" w:before="280" w:lineRule="auto"/>
        <w:rPr>
          <w:rFonts w:ascii="Arial" w:cs="Arial" w:eastAsia="Arial" w:hAnsi="Arial"/>
          <w:color w:val="000000"/>
          <w:sz w:val="26"/>
          <w:szCs w:val="26"/>
        </w:rPr>
      </w:pPr>
      <w:bookmarkStart w:colFirst="0" w:colLast="0" w:name="_1433jdedai5j" w:id="1"/>
      <w:bookmarkEnd w:id="1"/>
      <w:r w:rsidDel="00000000" w:rsidR="00000000" w:rsidRPr="00000000">
        <w:rPr>
          <w:rFonts w:ascii="Arial" w:cs="Arial" w:eastAsia="Arial" w:hAnsi="Arial"/>
          <w:color w:val="000000"/>
          <w:sz w:val="26"/>
          <w:szCs w:val="26"/>
          <w:rtl w:val="0"/>
        </w:rPr>
        <w:t xml:space="preserve">Review of Cuba (2018–2023)</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b w:val="1"/>
          <w:bCs w:val="1"/>
          <w:rtl w:val="0"/>
        </w:rPr>
        <w:t xml:space="preserve">Submitted by:</w:t>
      </w:r>
    </w:p>
    <w:p w:rsidR="00000000" w:rsidDel="00000000" w:rsidP="00000000" w:rsidRDefault="00000000" w:rsidRPr="00000000" w14:paraId="00000005">
      <w:pPr>
        <w:rPr/>
      </w:pPr>
      <w:r w:rsidDel="00000000" w:rsidR="00000000" w:rsidRPr="00000000">
        <w:rPr>
          <w:rtl w:val="0"/>
        </w:rPr>
        <w:t xml:space="preserve">National Lawyers Guild </w:t>
      </w:r>
    </w:p>
    <w:p w:rsidR="00000000" w:rsidDel="00000000" w:rsidP="00000000" w:rsidRDefault="00000000" w:rsidRPr="00000000" w14:paraId="00000006">
      <w:pPr>
        <w:rPr/>
      </w:pPr>
      <w:r w:rsidDel="00000000" w:rsidR="00000000" w:rsidRPr="00000000">
        <w:rPr>
          <w:rtl w:val="0"/>
        </w:rPr>
        <w:t xml:space="preserve">PO Box 1266</w:t>
      </w:r>
    </w:p>
    <w:p w:rsidR="00000000" w:rsidDel="00000000" w:rsidP="00000000" w:rsidRDefault="00000000" w:rsidRPr="00000000" w14:paraId="00000007">
      <w:pPr>
        <w:rPr/>
      </w:pPr>
      <w:r w:rsidDel="00000000" w:rsidR="00000000" w:rsidRPr="00000000">
        <w:rPr>
          <w:rtl w:val="0"/>
        </w:rPr>
        <w:t xml:space="preserve">New York, NY 10009-8941 </w:t>
      </w:r>
    </w:p>
    <w:p w:rsidR="00000000" w:rsidDel="00000000" w:rsidP="00000000" w:rsidRDefault="00000000" w:rsidRPr="00000000" w14:paraId="00000008">
      <w:pPr>
        <w:rPr/>
      </w:pPr>
      <w:r w:rsidDel="00000000" w:rsidR="00000000" w:rsidRPr="00000000">
        <w:rPr>
          <w:rtl w:val="0"/>
        </w:rPr>
        <w:t xml:space="preserve">(212) 679-5100</w:t>
      </w:r>
    </w:p>
    <w:p w:rsidR="00000000" w:rsidDel="00000000" w:rsidP="00000000" w:rsidRDefault="00000000" w:rsidRPr="00000000" w14:paraId="00000009">
      <w:pPr>
        <w:rPr/>
      </w:pPr>
      <w:hyperlink r:id="rId6">
        <w:r w:rsidDel="00000000" w:rsidR="00000000" w:rsidRPr="00000000">
          <w:rPr>
            <w:color w:val="1155cc"/>
            <w:u w:val="single"/>
            <w:rtl w:val="0"/>
          </w:rPr>
          <w:t xml:space="preserve">www.nlg.org</w:t>
        </w:r>
      </w:hyperlink>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March 22, 2026</w:t>
      </w:r>
      <w:r w:rsidDel="00000000" w:rsidR="00000000" w:rsidRPr="00000000">
        <w:rPr>
          <w:rtl w:val="0"/>
        </w:rPr>
      </w:r>
    </w:p>
    <w:p w:rsidR="00000000" w:rsidDel="00000000" w:rsidP="00000000" w:rsidRDefault="00000000" w:rsidRPr="00000000" w14:paraId="0000000C">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color w:val="0f1115"/>
          <w:sz w:val="24"/>
          <w:szCs w:val="24"/>
          <w:rtl w:val="0"/>
        </w:rPr>
        <w:t xml:space="preserve">I.</w:t>
      </w:r>
      <w:r w:rsidDel="00000000" w:rsidR="00000000" w:rsidRPr="00000000">
        <w:rPr>
          <w:rFonts w:ascii="Roboto" w:cs="Roboto" w:eastAsia="Roboto" w:hAnsi="Roboto"/>
          <w:color w:val="0f1115"/>
          <w:sz w:val="24"/>
          <w:szCs w:val="24"/>
          <w:rtl w:val="0"/>
        </w:rPr>
        <w:t xml:space="preserve"> </w:t>
      </w:r>
      <w:r w:rsidDel="00000000" w:rsidR="00000000" w:rsidRPr="00000000">
        <w:rPr>
          <w:rFonts w:ascii="Roboto" w:cs="Roboto" w:eastAsia="Roboto" w:hAnsi="Roboto"/>
          <w:b w:val="1"/>
          <w:bCs w:val="1"/>
          <w:color w:val="0f1115"/>
          <w:sz w:val="24"/>
          <w:szCs w:val="24"/>
          <w:rtl w:val="0"/>
        </w:rPr>
        <w:t xml:space="preserve">Introduction</w:t>
      </w:r>
    </w:p>
    <w:p w:rsidR="00000000" w:rsidDel="00000000" w:rsidP="00000000" w:rsidRDefault="00000000" w:rsidRPr="00000000" w14:paraId="0000000D">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This report is submitted to the Committee on the Elimination of Racial Discrimination (CERD) for its review of Cuba covering the period 2018–2023. It synthesizes the State party’s combined twenty-second to twenty-sixth periodic reports with a complementary assessment from the National Lawyers Guild (NLG), a non-governmental organization dedicated to human rights and social justice.</w:t>
      </w:r>
    </w:p>
    <w:p w:rsidR="00000000" w:rsidDel="00000000" w:rsidP="00000000" w:rsidRDefault="00000000" w:rsidRPr="00000000" w14:paraId="0000000E">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Cuba has demonstrated a sustained commitment to implementing the Convention, marked by significant legislative and policy reforms, most notably the 2019 Constitution and the National Programme against Racism and Racial Discrimination ("Color Cubano"). However, the full realization of these efforts is severely constrained by the ongoing U.S. economic, commercial, and financial embargo, which acts as a fundamental barrier to the enjoyment of Convention rights for all Cubans, particularly Afro-descendant communities.</w:t>
      </w:r>
    </w:p>
    <w:p w:rsidR="00000000" w:rsidDel="00000000" w:rsidP="00000000" w:rsidRDefault="00000000" w:rsidRPr="00000000" w14:paraId="0000000F">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II. The Impact of the U.S. Embargo on Racial Equality</w:t>
      </w:r>
    </w:p>
    <w:p w:rsidR="00000000" w:rsidDel="00000000" w:rsidP="00000000" w:rsidRDefault="00000000" w:rsidRPr="00000000" w14:paraId="00000010">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U.S. embargo, originating with the 1960 Mallory Memorandum’s intent to destabilize the Cuban government, functions as a form of collective punishment with disproportionate effects on vulnerable populations. The resulting economic constraints—estimated at US $5–7.6 billion annually—directly undermine Cuba’s capacity to sustain and advance its social equity programs.</w:t>
      </w:r>
    </w:p>
    <w:p w:rsidR="00000000" w:rsidDel="00000000" w:rsidP="00000000" w:rsidRDefault="00000000" w:rsidRPr="00000000" w14:paraId="00000011">
      <w:pPr>
        <w:numPr>
          <w:ilvl w:val="0"/>
          <w:numId w:val="2"/>
        </w:numPr>
        <w:shd w:fill="ffffff" w:val="clear"/>
        <w:spacing w:after="0" w:afterAutospacing="0" w:before="240" w:lineRule="auto"/>
        <w:ind w:left="720" w:hanging="360"/>
      </w:pPr>
      <w:r w:rsidDel="00000000" w:rsidR="00000000" w:rsidRPr="00000000">
        <w:rPr>
          <w:rFonts w:ascii="Roboto" w:cs="Roboto" w:eastAsia="Roboto" w:hAnsi="Roboto"/>
          <w:color w:val="0f1115"/>
          <w:sz w:val="24"/>
          <w:szCs w:val="24"/>
          <w:rtl w:val="0"/>
        </w:rPr>
        <w:t xml:space="preserve">Economic &amp; Social Programs: The embargo limits resources for social assistance critical to addressing historical inequalities. While 24% of social aid recipients are Black and 30.5% are multi-racial, overall resource scarcity restricts the State’s ability to fully respond to the higher vulnerability these groups face.</w:t>
      </w:r>
    </w:p>
    <w:p w:rsidR="00000000" w:rsidDel="00000000" w:rsidP="00000000" w:rsidRDefault="00000000" w:rsidRPr="00000000" w14:paraId="00000012">
      <w:pPr>
        <w:numPr>
          <w:ilvl w:val="0"/>
          <w:numId w:val="2"/>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Health: Cuba’s universal healthcare system is undermined by restricted access to medicines (only 24% of essential medicines are consistently available), medical technologies, and raw materials. These shortages disproportionately impact Black and multi-racial communities, who are overrepresented among economically vulnerable populations.</w:t>
      </w:r>
    </w:p>
    <w:p w:rsidR="00000000" w:rsidDel="00000000" w:rsidP="00000000" w:rsidRDefault="00000000" w:rsidRPr="00000000" w14:paraId="00000013">
      <w:pPr>
        <w:numPr>
          <w:ilvl w:val="0"/>
          <w:numId w:val="2"/>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Education: The embargo hinders educational strategies to combat discrimination by limiting access to digital technologies (e.g., computers, software), international academic resources, and educational materials. Slow digital development (average ~3.5 Mbit/s) impedes the implementation of anti-racism curricula and modern tools for addressing racial stereotypes.</w:t>
      </w:r>
    </w:p>
    <w:p w:rsidR="00000000" w:rsidDel="00000000" w:rsidP="00000000" w:rsidRDefault="00000000" w:rsidRPr="00000000" w14:paraId="00000014">
      <w:pPr>
        <w:numPr>
          <w:ilvl w:val="0"/>
          <w:numId w:val="2"/>
        </w:numPr>
        <w:shd w:fill="ffffff" w:val="clear"/>
        <w:spacing w:after="240" w:before="0" w:beforeAutospacing="0" w:lineRule="auto"/>
        <w:ind w:left="720" w:hanging="360"/>
      </w:pPr>
      <w:r w:rsidDel="00000000" w:rsidR="00000000" w:rsidRPr="00000000">
        <w:rPr>
          <w:rFonts w:ascii="Roboto" w:cs="Roboto" w:eastAsia="Roboto" w:hAnsi="Roboto"/>
          <w:color w:val="0f1115"/>
          <w:sz w:val="24"/>
          <w:szCs w:val="24"/>
          <w:rtl w:val="0"/>
        </w:rPr>
        <w:t xml:space="preserve">Data Collection: The embargo restricts access to advanced data-processing technologies and statistical tools, hampering Cuba’s ability to collect disaggregated data, analyze racial disparities, and design targeted policy interventions.</w:t>
      </w:r>
    </w:p>
    <w:p w:rsidR="00000000" w:rsidDel="00000000" w:rsidP="00000000" w:rsidRDefault="00000000" w:rsidRPr="00000000" w14:paraId="00000015">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III. General Legal and Institutional Framework</w:t>
      </w:r>
    </w:p>
    <w:p w:rsidR="00000000" w:rsidDel="00000000" w:rsidP="00000000" w:rsidRDefault="00000000" w:rsidRPr="00000000" w14:paraId="00000016">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Cuba has undertaken extensive legal reforms to combat racial discrimination, creating a robust framework aligned with international standards.</w:t>
      </w:r>
    </w:p>
    <w:p w:rsidR="00000000" w:rsidDel="00000000" w:rsidP="00000000" w:rsidRDefault="00000000" w:rsidRPr="00000000" w14:paraId="00000017">
      <w:pPr>
        <w:numPr>
          <w:ilvl w:val="0"/>
          <w:numId w:val="4"/>
        </w:numPr>
        <w:shd w:fill="ffffff" w:val="clear"/>
        <w:spacing w:after="0" w:afterAutospacing="0" w:before="240" w:lineRule="auto"/>
        <w:ind w:left="720" w:hanging="360"/>
      </w:pPr>
      <w:r w:rsidDel="00000000" w:rsidR="00000000" w:rsidRPr="00000000">
        <w:rPr>
          <w:rFonts w:ascii="Roboto" w:cs="Roboto" w:eastAsia="Roboto" w:hAnsi="Roboto"/>
          <w:color w:val="0f1115"/>
          <w:sz w:val="24"/>
          <w:szCs w:val="24"/>
          <w:rtl w:val="0"/>
        </w:rPr>
        <w:t xml:space="preserve">Constitutional Protections: The 2019 Constitution enshrines equality and non-discrimination as fundamental principles. Article 42 guarantees equality before the law, and Article 44 mandates the State to create conditions for substantive equality.</w:t>
      </w:r>
    </w:p>
    <w:p w:rsidR="00000000" w:rsidDel="00000000" w:rsidP="00000000" w:rsidRDefault="00000000" w:rsidRPr="00000000" w14:paraId="00000018">
      <w:pPr>
        <w:numPr>
          <w:ilvl w:val="0"/>
          <w:numId w:val="4"/>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Key Legislation:</w:t>
      </w:r>
    </w:p>
    <w:p w:rsidR="00000000" w:rsidDel="00000000" w:rsidP="00000000" w:rsidRDefault="00000000" w:rsidRPr="00000000" w14:paraId="00000019">
      <w:pPr>
        <w:numPr>
          <w:ilvl w:val="1"/>
          <w:numId w:val="4"/>
        </w:numPr>
        <w:spacing w:after="0" w:afterAutospacing="0" w:before="0" w:beforeAutospacing="0" w:lineRule="auto"/>
        <w:ind w:left="1440" w:hanging="360"/>
      </w:pPr>
      <w:r w:rsidDel="00000000" w:rsidR="00000000" w:rsidRPr="00000000">
        <w:rPr>
          <w:rFonts w:ascii="Roboto" w:cs="Roboto" w:eastAsia="Roboto" w:hAnsi="Roboto"/>
          <w:color w:val="0f1115"/>
          <w:sz w:val="24"/>
          <w:szCs w:val="24"/>
          <w:rtl w:val="0"/>
        </w:rPr>
        <w:t xml:space="preserve">Criminal Code No. 151 (2022): Criminalizes racial discrimination, hate crimes, and the dissemination of ideas based on racial superiority.</w:t>
      </w:r>
    </w:p>
    <w:p w:rsidR="00000000" w:rsidDel="00000000" w:rsidP="00000000" w:rsidRDefault="00000000" w:rsidRPr="00000000" w14:paraId="0000001A">
      <w:pPr>
        <w:numPr>
          <w:ilvl w:val="1"/>
          <w:numId w:val="4"/>
        </w:numPr>
        <w:spacing w:after="0" w:afterAutospacing="0" w:before="0" w:beforeAutospacing="0" w:lineRule="auto"/>
        <w:ind w:left="1440" w:hanging="360"/>
      </w:pPr>
      <w:r w:rsidDel="00000000" w:rsidR="00000000" w:rsidRPr="00000000">
        <w:rPr>
          <w:rFonts w:ascii="Roboto" w:cs="Roboto" w:eastAsia="Roboto" w:hAnsi="Roboto"/>
          <w:color w:val="0f1115"/>
          <w:sz w:val="24"/>
          <w:szCs w:val="24"/>
          <w:rtl w:val="0"/>
        </w:rPr>
        <w:t xml:space="preserve">Criminal Procedure Act No. 143 (2021): Ensures due process and victim rights, with protections against discrimination.</w:t>
      </w:r>
    </w:p>
    <w:p w:rsidR="00000000" w:rsidDel="00000000" w:rsidP="00000000" w:rsidRDefault="00000000" w:rsidRPr="00000000" w14:paraId="0000001B">
      <w:pPr>
        <w:numPr>
          <w:ilvl w:val="1"/>
          <w:numId w:val="4"/>
        </w:numPr>
        <w:spacing w:after="0" w:afterAutospacing="0" w:before="0" w:beforeAutospacing="0" w:lineRule="auto"/>
        <w:ind w:left="1440" w:hanging="360"/>
      </w:pPr>
      <w:r w:rsidDel="00000000" w:rsidR="00000000" w:rsidRPr="00000000">
        <w:rPr>
          <w:rFonts w:ascii="Roboto" w:cs="Roboto" w:eastAsia="Roboto" w:hAnsi="Roboto"/>
          <w:color w:val="0f1115"/>
          <w:sz w:val="24"/>
          <w:szCs w:val="24"/>
          <w:rtl w:val="0"/>
        </w:rPr>
        <w:t xml:space="preserve">Family Law No. 156 (2022): Addresses discrimination and violence within family settings, recognizing diverse family structures and promoting gender equality.</w:t>
      </w:r>
    </w:p>
    <w:p w:rsidR="00000000" w:rsidDel="00000000" w:rsidP="00000000" w:rsidRDefault="00000000" w:rsidRPr="00000000" w14:paraId="0000001C">
      <w:pPr>
        <w:numPr>
          <w:ilvl w:val="1"/>
          <w:numId w:val="4"/>
        </w:numPr>
        <w:spacing w:after="0" w:afterAutospacing="0" w:before="0" w:beforeAutospacing="0" w:lineRule="auto"/>
        <w:ind w:left="1440" w:hanging="360"/>
      </w:pPr>
      <w:r w:rsidDel="00000000" w:rsidR="00000000" w:rsidRPr="00000000">
        <w:rPr>
          <w:rFonts w:ascii="Roboto" w:cs="Roboto" w:eastAsia="Roboto" w:hAnsi="Roboto"/>
          <w:color w:val="0f1115"/>
          <w:sz w:val="24"/>
          <w:szCs w:val="24"/>
          <w:rtl w:val="0"/>
        </w:rPr>
        <w:t xml:space="preserve">Associations Act No. 54 (1985): Prohibits racist or segregationist organizations; a new law on associations is pending.</w:t>
      </w:r>
    </w:p>
    <w:p w:rsidR="00000000" w:rsidDel="00000000" w:rsidP="00000000" w:rsidRDefault="00000000" w:rsidRPr="00000000" w14:paraId="0000001D">
      <w:pPr>
        <w:numPr>
          <w:ilvl w:val="0"/>
          <w:numId w:val="4"/>
        </w:numPr>
        <w:shd w:fill="ffffff" w:val="clear"/>
        <w:spacing w:after="240" w:before="0" w:beforeAutospacing="0" w:lineRule="auto"/>
        <w:ind w:left="720" w:hanging="360"/>
      </w:pPr>
      <w:r w:rsidDel="00000000" w:rsidR="00000000" w:rsidRPr="00000000">
        <w:rPr>
          <w:rFonts w:ascii="Roboto" w:cs="Roboto" w:eastAsia="Roboto" w:hAnsi="Roboto"/>
          <w:color w:val="0f1115"/>
          <w:sz w:val="24"/>
          <w:szCs w:val="24"/>
          <w:rtl w:val="0"/>
        </w:rPr>
        <w:t xml:space="preserve">Institutional Framework: The National Programme against Racism and Racial Discrimination (“Color Cubano”), adopted in 2019, is the central policy framework. It comprises 11 subprogrammes targeting education, health, work, housing, and social integration, with provincial and municipal commissions overseeing implementation. The “Color Cubano” observatory, opened in 2023, tracks progress.</w:t>
      </w:r>
    </w:p>
    <w:p w:rsidR="00000000" w:rsidDel="00000000" w:rsidP="00000000" w:rsidRDefault="00000000" w:rsidRPr="00000000" w14:paraId="0000001E">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IV. Implementation of the Convention (Articles 1-7)</w:t>
      </w:r>
    </w:p>
    <w:p w:rsidR="00000000" w:rsidDel="00000000" w:rsidP="00000000" w:rsidRDefault="00000000" w:rsidRPr="00000000" w14:paraId="0000001F">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1: Definition of Racial Discrimination</w:t>
        <w:br w:type="textWrapping"/>
        <w:t xml:space="preserve">Cuba’s legal framework, including the Constitution and Criminal Code, defines and prohibits discrimination based on skin color, ethnicity, and other grounds, consistent with the Convention.</w:t>
      </w:r>
    </w:p>
    <w:p w:rsidR="00000000" w:rsidDel="00000000" w:rsidP="00000000" w:rsidRDefault="00000000" w:rsidRPr="00000000" w14:paraId="00000020">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2: Policy Measures to Eliminate Racial Discrimination</w:t>
        <w:br w:type="textWrapping"/>
        <w:t xml:space="preserve">Cuba has adopted a comprehensive policy framework and targeted social programs to eliminate discrimination. However, structural disparities affecting Afro-descendant populations persist. A key challenge is the limited availability of disaggregated socioeconomic data by race, which hinders the assessment of policy effectiveness.</w:t>
      </w:r>
    </w:p>
    <w:p w:rsidR="00000000" w:rsidDel="00000000" w:rsidP="00000000" w:rsidRDefault="00000000" w:rsidRPr="00000000" w14:paraId="00000021">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3: Racial Segregation and Apartheid</w:t>
        <w:br w:type="textWrapping"/>
        <w:t xml:space="preserve">Cuba has a strong formal commitment against apartheid and racial segregation, with these prohibitions codified in domestic law. No cases of apartheid or segregation have been reported, though this may reflect gaps in reporting mechanisms for recognizing structural discrimination.</w:t>
      </w:r>
    </w:p>
    <w:p w:rsidR="00000000" w:rsidDel="00000000" w:rsidP="00000000" w:rsidRDefault="00000000" w:rsidRPr="00000000" w14:paraId="00000022">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4: Racist Propaganda and Organizations</w:t>
        <w:br w:type="textWrapping"/>
        <w:t xml:space="preserve">The Criminal Code (Article 388) criminalizes the dissemination of racist ideas and prohibits organizations promoting such ideologies. However, the absence of reported cases raises concerns about active enforcement, potential barriers to reporting, and the need for greater transparency in investigations.</w:t>
      </w:r>
    </w:p>
    <w:p w:rsidR="00000000" w:rsidDel="00000000" w:rsidP="00000000" w:rsidRDefault="00000000" w:rsidRPr="00000000" w14:paraId="00000023">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5: Equality Before the Law</w:t>
      </w:r>
    </w:p>
    <w:p w:rsidR="00000000" w:rsidDel="00000000" w:rsidP="00000000" w:rsidRDefault="00000000" w:rsidRPr="00000000" w14:paraId="00000024">
      <w:pPr>
        <w:numPr>
          <w:ilvl w:val="0"/>
          <w:numId w:val="3"/>
        </w:numPr>
        <w:shd w:fill="ffffff" w:val="clear"/>
        <w:spacing w:after="0" w:afterAutospacing="0" w:before="240" w:lineRule="auto"/>
        <w:ind w:left="720" w:hanging="360"/>
      </w:pPr>
      <w:r w:rsidDel="00000000" w:rsidR="00000000" w:rsidRPr="00000000">
        <w:rPr>
          <w:rFonts w:ascii="Roboto" w:cs="Roboto" w:eastAsia="Roboto" w:hAnsi="Roboto"/>
          <w:color w:val="0f1115"/>
          <w:sz w:val="24"/>
          <w:szCs w:val="24"/>
          <w:rtl w:val="0"/>
        </w:rPr>
        <w:t xml:space="preserve">Judicial Protection: The legal framework provides access to justice, with prosecutors authorized to act </w:t>
      </w:r>
      <w:r w:rsidDel="00000000" w:rsidR="00000000" w:rsidRPr="00000000">
        <w:rPr>
          <w:rFonts w:ascii="Roboto" w:cs="Roboto" w:eastAsia="Roboto" w:hAnsi="Roboto"/>
          <w:i w:val="1"/>
          <w:iCs w:val="1"/>
          <w:color w:val="0f1115"/>
          <w:sz w:val="24"/>
          <w:szCs w:val="24"/>
          <w:rtl w:val="0"/>
        </w:rPr>
        <w:t xml:space="preserve">ex officio</w:t>
      </w:r>
      <w:r w:rsidDel="00000000" w:rsidR="00000000" w:rsidRPr="00000000">
        <w:rPr>
          <w:rFonts w:ascii="Roboto" w:cs="Roboto" w:eastAsia="Roboto" w:hAnsi="Roboto"/>
          <w:color w:val="0f1115"/>
          <w:sz w:val="24"/>
          <w:szCs w:val="24"/>
          <w:rtl w:val="0"/>
        </w:rPr>
        <w:t xml:space="preserve"> in discrimination cases. However, a lack of publicly available data on complaints, prosecutions, and outcomes related to racial bias limits assessment of judicial effectiveness.</w:t>
      </w:r>
    </w:p>
    <w:p w:rsidR="00000000" w:rsidDel="00000000" w:rsidP="00000000" w:rsidRDefault="00000000" w:rsidRPr="00000000" w14:paraId="00000025">
      <w:pPr>
        <w:numPr>
          <w:ilvl w:val="0"/>
          <w:numId w:val="3"/>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Political Participation: Cuba reports high electoral participation, with 45.11% of deputies in the National Assembly being Black or multi-racial. While figures suggest inclusivity, the single-party context raises questions about political pluralism.</w:t>
      </w:r>
    </w:p>
    <w:p w:rsidR="00000000" w:rsidDel="00000000" w:rsidP="00000000" w:rsidRDefault="00000000" w:rsidRPr="00000000" w14:paraId="00000026">
      <w:pPr>
        <w:numPr>
          <w:ilvl w:val="0"/>
          <w:numId w:val="3"/>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Economic, Social, and Cultural Rights: Cuba guarantees universal access to education, healthcare, and social services, contributing to social inclusion. Yet, persistent disparities in income, housing, and higher education suggest racial gaps that require more comprehensive, disaggregated data for a full assessment.</w:t>
      </w:r>
    </w:p>
    <w:p w:rsidR="00000000" w:rsidDel="00000000" w:rsidP="00000000" w:rsidRDefault="00000000" w:rsidRPr="00000000" w14:paraId="00000027">
      <w:pPr>
        <w:numPr>
          <w:ilvl w:val="0"/>
          <w:numId w:val="3"/>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Education: The education system is free and accessible, with a 99.8% literacy rate. However, higher education completion rates vary (16.4% white, 15.8% Black, 14.7% multi-racial), and programs to combat discrimination are hampered by technological limitations caused by the embargo.</w:t>
      </w:r>
    </w:p>
    <w:p w:rsidR="00000000" w:rsidDel="00000000" w:rsidP="00000000" w:rsidRDefault="00000000" w:rsidRPr="00000000" w14:paraId="00000028">
      <w:pPr>
        <w:numPr>
          <w:ilvl w:val="0"/>
          <w:numId w:val="3"/>
        </w:numPr>
        <w:shd w:fill="ffffff" w:val="clear"/>
        <w:spacing w:after="240" w:before="0" w:beforeAutospacing="0" w:lineRule="auto"/>
        <w:ind w:left="720" w:hanging="360"/>
      </w:pPr>
      <w:r w:rsidDel="00000000" w:rsidR="00000000" w:rsidRPr="00000000">
        <w:rPr>
          <w:rFonts w:ascii="Roboto" w:cs="Roboto" w:eastAsia="Roboto" w:hAnsi="Roboto"/>
          <w:color w:val="0f1115"/>
          <w:sz w:val="24"/>
          <w:szCs w:val="24"/>
          <w:rtl w:val="0"/>
        </w:rPr>
        <w:t xml:space="preserve">Health: The free, universal health system has achieved strong indicators (77.7 years life expectancy), but the embargo’s impact on medicine and equipment availability undermines equal access in practice.</w:t>
      </w:r>
    </w:p>
    <w:p w:rsidR="00000000" w:rsidDel="00000000" w:rsidP="00000000" w:rsidRDefault="00000000" w:rsidRPr="00000000" w14:paraId="00000029">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6: Effective Protection and Remedies</w:t>
        <w:br w:type="textWrapping"/>
        <w:t xml:space="preserve">While legal remedies exist, their accessibility and effectiveness are unclear. The limited number of reported discrimination cases may indicate underreporting due to lack of awareness or trust in the complaint mechanisms. Between 2018-2023, only seven discrimination complaints were reported from within the prison system, none of which were substantiated.</w:t>
      </w:r>
    </w:p>
    <w:p w:rsidR="00000000" w:rsidDel="00000000" w:rsidP="00000000" w:rsidRDefault="00000000" w:rsidRPr="00000000" w14:paraId="0000002A">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Article 7: Education, Culture, and Awareness</w:t>
        <w:br w:type="textWrapping"/>
        <w:t xml:space="preserve">Cuba has implemented educational curricula, public campaigns, and cultural programs aimed at combating discrimination. However, the impact of these initiatives has not been systematically evaluated. The embargo further limits access to international academic resources and digital tools needed to address implicit bias and structural racism effectively.</w:t>
      </w:r>
    </w:p>
    <w:p w:rsidR="00000000" w:rsidDel="00000000" w:rsidP="00000000" w:rsidRDefault="00000000" w:rsidRPr="00000000" w14:paraId="0000002B">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V. Vulnerable Groups and Special Measures</w:t>
      </w:r>
    </w:p>
    <w:p w:rsidR="00000000" w:rsidDel="00000000" w:rsidP="00000000" w:rsidRDefault="00000000" w:rsidRPr="00000000" w14:paraId="0000002C">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Cuba’s social programs and the Family Code provide targeted support for vulnerable groups. However, Afro-descendant women and communities face intersecting forms of discrimination that existing policies may not fully address. For instance, while social assistance reaches 24% Black and 30.5% multi-racial families, there is a need for more targeted measures and disaggregated data to address these intersecting disparities effectively.</w:t>
      </w:r>
    </w:p>
    <w:p w:rsidR="00000000" w:rsidDel="00000000" w:rsidP="00000000" w:rsidRDefault="00000000" w:rsidRPr="00000000" w14:paraId="0000002D">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VI. Detention Conditions</w:t>
      </w:r>
    </w:p>
    <w:p w:rsidR="00000000" w:rsidDel="00000000" w:rsidP="00000000" w:rsidRDefault="00000000" w:rsidRPr="00000000" w14:paraId="0000002E">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State reports that non-discrimination is guaranteed in detention facilities, with access to basic services. The prison population is 24.7% Black, 33.3% multi-racial, and 42% white. The absence of substantiated discrimination complaints is noted, but the NLG highlights a lack of independent monitoring and transparency, suggesting barriers to reporting may exist.</w:t>
      </w:r>
    </w:p>
    <w:p w:rsidR="00000000" w:rsidDel="00000000" w:rsidP="00000000" w:rsidRDefault="00000000" w:rsidRPr="00000000" w14:paraId="0000002F">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VII. International Cooperation</w:t>
      </w:r>
    </w:p>
    <w:p w:rsidR="00000000" w:rsidDel="00000000" w:rsidP="00000000" w:rsidRDefault="00000000" w:rsidRPr="00000000" w14:paraId="00000030">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Cuba actively engages in international human rights mechanisms and has ratified 44 major international instruments. It demonstrates international solidarity through health and education cooperation, including medical brigades in 56 countries and literacy programs benefiting over 10.6 million people.</w:t>
      </w:r>
    </w:p>
    <w:p w:rsidR="00000000" w:rsidDel="00000000" w:rsidP="00000000" w:rsidRDefault="00000000" w:rsidRPr="00000000" w14:paraId="00000031">
      <w:pPr>
        <w:shd w:fill="ffffff" w:val="clear"/>
        <w:spacing w:after="240" w:before="240" w:lineRule="auto"/>
        <w:rPr>
          <w:rFonts w:ascii="Roboto" w:cs="Roboto" w:eastAsia="Roboto" w:hAnsi="Roboto"/>
          <w:b w:val="1"/>
          <w:bCs w:val="1"/>
          <w:color w:val="0f1115"/>
          <w:sz w:val="24"/>
          <w:szCs w:val="24"/>
        </w:rPr>
      </w:pPr>
      <w:r w:rsidDel="00000000" w:rsidR="00000000" w:rsidRPr="00000000">
        <w:rPr>
          <w:rFonts w:ascii="Roboto" w:cs="Roboto" w:eastAsia="Roboto" w:hAnsi="Roboto"/>
          <w:b w:val="1"/>
          <w:bCs w:val="1"/>
          <w:color w:val="0f1115"/>
          <w:sz w:val="24"/>
          <w:szCs w:val="24"/>
          <w:rtl w:val="0"/>
        </w:rPr>
        <w:t xml:space="preserve">VIII. Conclusion &amp; Recommendations</w:t>
      </w:r>
    </w:p>
    <w:p w:rsidR="00000000" w:rsidDel="00000000" w:rsidP="00000000" w:rsidRDefault="00000000" w:rsidRPr="00000000" w14:paraId="00000032">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The National Lawyers Guild recognizes Cuba’s extensive efforts to implement the Convention, despite the debilitating impact of the six-decade-long U.S. embargo. Cuba’s “Color Cubano” program represents a significant state commitment to racial equity. However, the embargo, compounded by over-compliance from third parties and Cuba’s designation as a State Sponsor of Terrorism, fundamentally limits the effectiveness of these domestic measures.</w:t>
      </w:r>
    </w:p>
    <w:p w:rsidR="00000000" w:rsidDel="00000000" w:rsidP="00000000" w:rsidRDefault="00000000" w:rsidRPr="00000000" w14:paraId="00000033">
      <w:pPr>
        <w:shd w:fill="ffffff" w:val="clear"/>
        <w:spacing w:after="240" w:before="240" w:lineRule="auto"/>
        <w:rPr>
          <w:rFonts w:ascii="Roboto" w:cs="Roboto" w:eastAsia="Roboto" w:hAnsi="Roboto"/>
          <w:color w:val="0f1115"/>
          <w:sz w:val="24"/>
          <w:szCs w:val="24"/>
        </w:rPr>
      </w:pPr>
      <w:r w:rsidDel="00000000" w:rsidR="00000000" w:rsidRPr="00000000">
        <w:rPr>
          <w:rFonts w:ascii="Roboto" w:cs="Roboto" w:eastAsia="Roboto" w:hAnsi="Roboto"/>
          <w:color w:val="0f1115"/>
          <w:sz w:val="24"/>
          <w:szCs w:val="24"/>
          <w:rtl w:val="0"/>
        </w:rPr>
        <w:t xml:space="preserve">In light of these considerations, we respectfully urge the Committee to:</w:t>
      </w:r>
    </w:p>
    <w:p w:rsidR="00000000" w:rsidDel="00000000" w:rsidP="00000000" w:rsidRDefault="00000000" w:rsidRPr="00000000" w14:paraId="00000034">
      <w:pPr>
        <w:numPr>
          <w:ilvl w:val="0"/>
          <w:numId w:val="1"/>
        </w:numPr>
        <w:shd w:fill="ffffff" w:val="clear"/>
        <w:spacing w:after="0" w:afterAutospacing="0" w:before="240" w:lineRule="auto"/>
        <w:ind w:left="720" w:hanging="360"/>
      </w:pPr>
      <w:r w:rsidDel="00000000" w:rsidR="00000000" w:rsidRPr="00000000">
        <w:rPr>
          <w:rFonts w:ascii="Roboto" w:cs="Roboto" w:eastAsia="Roboto" w:hAnsi="Roboto"/>
          <w:color w:val="0f1115"/>
          <w:sz w:val="24"/>
          <w:szCs w:val="24"/>
          <w:rtl w:val="0"/>
        </w:rPr>
        <w:t xml:space="preserve">Acknowledge in its concluding observations that the U.S. embargo constitutes a significant structural barrier to Cuba’s full implementation of the Convention, with disproportionate impacts on Black and mixed-race Cubans.</w:t>
      </w:r>
    </w:p>
    <w:p w:rsidR="00000000" w:rsidDel="00000000" w:rsidP="00000000" w:rsidRDefault="00000000" w:rsidRPr="00000000" w14:paraId="00000035">
      <w:pPr>
        <w:numPr>
          <w:ilvl w:val="0"/>
          <w:numId w:val="1"/>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Call upon the United States to immediately end the embargo and remove Cuba from the State Sponsors of Terrorism list, consistent with UN General Assembly resolutions.</w:t>
      </w:r>
    </w:p>
    <w:p w:rsidR="00000000" w:rsidDel="00000000" w:rsidP="00000000" w:rsidRDefault="00000000" w:rsidRPr="00000000" w14:paraId="00000036">
      <w:pPr>
        <w:numPr>
          <w:ilvl w:val="0"/>
          <w:numId w:val="1"/>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Encourage international cooperation and support for Cuba’s National Programme against Racism and Racial Discrimination, including technical and material assistance to mitigate the effects of the embargo.</w:t>
      </w:r>
    </w:p>
    <w:p w:rsidR="00000000" w:rsidDel="00000000" w:rsidP="00000000" w:rsidRDefault="00000000" w:rsidRPr="00000000" w14:paraId="00000037">
      <w:pPr>
        <w:numPr>
          <w:ilvl w:val="0"/>
          <w:numId w:val="1"/>
        </w:numPr>
        <w:shd w:fill="ffffff" w:val="clear"/>
        <w:spacing w:after="0" w:afterAutospacing="0" w:before="0" w:beforeAutospacing="0" w:lineRule="auto"/>
        <w:ind w:left="720" w:hanging="360"/>
      </w:pPr>
      <w:r w:rsidDel="00000000" w:rsidR="00000000" w:rsidRPr="00000000">
        <w:rPr>
          <w:rFonts w:ascii="Roboto" w:cs="Roboto" w:eastAsia="Roboto" w:hAnsi="Roboto"/>
          <w:color w:val="0f1115"/>
          <w:sz w:val="24"/>
          <w:szCs w:val="24"/>
          <w:rtl w:val="0"/>
        </w:rPr>
        <w:t xml:space="preserve">Commend</w:t>
      </w:r>
      <w:r w:rsidDel="00000000" w:rsidR="00000000" w:rsidRPr="00000000">
        <w:rPr>
          <w:rFonts w:ascii="Roboto" w:cs="Roboto" w:eastAsia="Roboto" w:hAnsi="Roboto"/>
          <w:color w:val="0f1115"/>
          <w:sz w:val="24"/>
          <w:szCs w:val="24"/>
          <w:rtl w:val="0"/>
        </w:rPr>
        <w:t xml:space="preserve"> Cuba for its detailed reporting, institutional innovations to combat racial discrimination, and its commitment to international solidarity with African nations and communities of African descent.</w:t>
      </w:r>
    </w:p>
    <w:p w:rsidR="00000000" w:rsidDel="00000000" w:rsidP="00000000" w:rsidRDefault="00000000" w:rsidRPr="00000000" w14:paraId="00000038">
      <w:pPr>
        <w:numPr>
          <w:ilvl w:val="0"/>
          <w:numId w:val="1"/>
        </w:numPr>
        <w:shd w:fill="ffffff" w:val="clear"/>
        <w:spacing w:before="0" w:beforeAutospacing="0" w:lineRule="auto"/>
        <w:ind w:left="720" w:hanging="360"/>
      </w:pPr>
      <w:r w:rsidDel="00000000" w:rsidR="00000000" w:rsidRPr="00000000">
        <w:rPr>
          <w:rFonts w:ascii="Roboto" w:cs="Roboto" w:eastAsia="Roboto" w:hAnsi="Roboto"/>
          <w:color w:val="0f1115"/>
          <w:sz w:val="24"/>
          <w:szCs w:val="24"/>
          <w:rtl w:val="0"/>
        </w:rPr>
        <w:t xml:space="preserve">Recommend that Cuba strengthen data collection efforts to produce disaggregated statistics on racial disparities, enhance transparency in the enforcement of anti-discrimination laws, and ensure the effectiveness of judicial remedies for victims of racial discrimination.</w:t>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Roboto" w:cs="Roboto" w:eastAsia="Roboto" w:hAnsi="Roboto"/>
        <w:color w:val="0f1115"/>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Roboto" w:cs="Roboto" w:eastAsia="Roboto" w:hAnsi="Roboto"/>
        <w:color w:val="0f1115"/>
        <w:sz w:val="24"/>
        <w:szCs w:val="24"/>
        <w:u w:val="none"/>
      </w:rPr>
    </w:lvl>
    <w:lvl w:ilvl="1">
      <w:start w:val="1"/>
      <w:numFmt w:val="bullet"/>
      <w:lvlText w:val="○"/>
      <w:lvlJc w:val="left"/>
      <w:pPr>
        <w:ind w:left="1440" w:hanging="360"/>
      </w:pPr>
      <w:rPr>
        <w:rFonts w:ascii="Roboto" w:cs="Roboto" w:eastAsia="Roboto" w:hAnsi="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bCs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nlg.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