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3E660" w14:textId="420A5D07" w:rsidR="008C1E2A" w:rsidRPr="005E58D9" w:rsidRDefault="008C1E2A" w:rsidP="008C1E2A">
      <w:pPr>
        <w:autoSpaceDE w:val="0"/>
        <w:autoSpaceDN w:val="0"/>
        <w:adjustRightInd w:val="0"/>
        <w:spacing w:line="240" w:lineRule="auto"/>
        <w:jc w:val="both"/>
        <w:rPr>
          <w:rFonts w:ascii="Palatino Linotype" w:hAnsi="Palatino Linotype"/>
        </w:rPr>
      </w:pPr>
      <w:r w:rsidRPr="005E58D9">
        <w:rPr>
          <w:rFonts w:ascii="Palatino Linotype" w:hAnsi="Palatino Linotype"/>
        </w:rPr>
        <w:t>September 21, 2025</w:t>
      </w:r>
    </w:p>
    <w:p w14:paraId="0B19D5F5" w14:textId="77777777" w:rsidR="008C1E2A" w:rsidRPr="005E58D9" w:rsidRDefault="008C1E2A" w:rsidP="008C1E2A">
      <w:pPr>
        <w:autoSpaceDE w:val="0"/>
        <w:autoSpaceDN w:val="0"/>
        <w:adjustRightInd w:val="0"/>
        <w:spacing w:line="240" w:lineRule="auto"/>
        <w:jc w:val="both"/>
        <w:rPr>
          <w:rFonts w:ascii="Palatino Linotype" w:hAnsi="Palatino Linotype"/>
        </w:rPr>
      </w:pPr>
    </w:p>
    <w:p w14:paraId="7931CCC0" w14:textId="77777777" w:rsidR="008C1E2A" w:rsidRPr="005E58D9" w:rsidRDefault="008C1E2A" w:rsidP="008C1E2A">
      <w:pPr>
        <w:autoSpaceDE w:val="0"/>
        <w:autoSpaceDN w:val="0"/>
        <w:adjustRightInd w:val="0"/>
        <w:spacing w:line="240" w:lineRule="auto"/>
        <w:jc w:val="both"/>
        <w:rPr>
          <w:rFonts w:ascii="Palatino Linotype" w:hAnsi="Palatino Linotype"/>
        </w:rPr>
      </w:pPr>
      <w:r w:rsidRPr="005E58D9">
        <w:rPr>
          <w:rFonts w:ascii="Palatino Linotype" w:hAnsi="Palatino Linotype"/>
        </w:rPr>
        <w:t>CEDAW Secretariat</w:t>
      </w:r>
    </w:p>
    <w:p w14:paraId="0688DD29" w14:textId="77777777" w:rsidR="008C1E2A" w:rsidRPr="005E58D9" w:rsidRDefault="008C1E2A" w:rsidP="008C1E2A">
      <w:pPr>
        <w:autoSpaceDE w:val="0"/>
        <w:autoSpaceDN w:val="0"/>
        <w:adjustRightInd w:val="0"/>
        <w:spacing w:line="240" w:lineRule="auto"/>
        <w:jc w:val="both"/>
        <w:rPr>
          <w:rFonts w:ascii="Palatino Linotype" w:hAnsi="Palatino Linotype"/>
        </w:rPr>
      </w:pPr>
      <w:r w:rsidRPr="005E58D9">
        <w:rPr>
          <w:rFonts w:ascii="Palatino Linotype" w:hAnsi="Palatino Linotype"/>
        </w:rPr>
        <w:t>Office of the High Commissioner for Human Rights (OHCHR)</w:t>
      </w:r>
    </w:p>
    <w:p w14:paraId="4B9927AA" w14:textId="77777777" w:rsidR="008C1E2A" w:rsidRPr="005E58D9" w:rsidRDefault="008C1E2A" w:rsidP="008C1E2A">
      <w:pPr>
        <w:autoSpaceDE w:val="0"/>
        <w:autoSpaceDN w:val="0"/>
        <w:adjustRightInd w:val="0"/>
        <w:spacing w:line="240" w:lineRule="auto"/>
        <w:jc w:val="both"/>
        <w:rPr>
          <w:rFonts w:ascii="Palatino Linotype" w:hAnsi="Palatino Linotype"/>
        </w:rPr>
      </w:pPr>
      <w:r w:rsidRPr="005E58D9">
        <w:rPr>
          <w:rFonts w:ascii="Palatino Linotype" w:hAnsi="Palatino Linotype"/>
        </w:rPr>
        <w:t>Palais Wilson</w:t>
      </w:r>
    </w:p>
    <w:p w14:paraId="4D938052" w14:textId="77777777" w:rsidR="008C1E2A" w:rsidRPr="005E58D9" w:rsidRDefault="008C1E2A" w:rsidP="008C1E2A">
      <w:pPr>
        <w:autoSpaceDE w:val="0"/>
        <w:autoSpaceDN w:val="0"/>
        <w:adjustRightInd w:val="0"/>
        <w:spacing w:line="240" w:lineRule="auto"/>
        <w:jc w:val="both"/>
        <w:rPr>
          <w:rFonts w:ascii="Palatino Linotype" w:hAnsi="Palatino Linotype"/>
        </w:rPr>
      </w:pPr>
      <w:r w:rsidRPr="005E58D9">
        <w:rPr>
          <w:rFonts w:ascii="Palatino Linotype" w:hAnsi="Palatino Linotype"/>
        </w:rPr>
        <w:t xml:space="preserve">52, rue des </w:t>
      </w:r>
      <w:proofErr w:type="spellStart"/>
      <w:r w:rsidRPr="005E58D9">
        <w:rPr>
          <w:rFonts w:ascii="Palatino Linotype" w:hAnsi="Palatino Linotype"/>
        </w:rPr>
        <w:t>Pâquis</w:t>
      </w:r>
      <w:proofErr w:type="spellEnd"/>
    </w:p>
    <w:p w14:paraId="2EAEA248" w14:textId="77777777" w:rsidR="008C1E2A" w:rsidRPr="005E58D9" w:rsidRDefault="008C1E2A" w:rsidP="008C1E2A">
      <w:pPr>
        <w:autoSpaceDE w:val="0"/>
        <w:autoSpaceDN w:val="0"/>
        <w:adjustRightInd w:val="0"/>
        <w:spacing w:line="240" w:lineRule="auto"/>
        <w:jc w:val="both"/>
        <w:rPr>
          <w:rFonts w:ascii="Palatino Linotype" w:hAnsi="Palatino Linotype"/>
        </w:rPr>
      </w:pPr>
      <w:r w:rsidRPr="005E58D9">
        <w:rPr>
          <w:rFonts w:ascii="Palatino Linotype" w:hAnsi="Palatino Linotype"/>
        </w:rPr>
        <w:t>CH-1201 Geneva</w:t>
      </w:r>
    </w:p>
    <w:p w14:paraId="7C946B7C" w14:textId="5FF3387C" w:rsidR="008C1E2A" w:rsidRPr="005E58D9" w:rsidRDefault="008C1E2A" w:rsidP="008C1E2A">
      <w:pPr>
        <w:autoSpaceDE w:val="0"/>
        <w:autoSpaceDN w:val="0"/>
        <w:adjustRightInd w:val="0"/>
        <w:spacing w:line="240" w:lineRule="auto"/>
        <w:jc w:val="both"/>
        <w:rPr>
          <w:rFonts w:ascii="Palatino Linotype" w:hAnsi="Palatino Linotype"/>
        </w:rPr>
      </w:pPr>
      <w:r w:rsidRPr="005E58D9">
        <w:rPr>
          <w:rFonts w:ascii="Palatino Linotype" w:hAnsi="Palatino Linotype"/>
        </w:rPr>
        <w:t>Switzerland</w:t>
      </w:r>
    </w:p>
    <w:p w14:paraId="64EC7140" w14:textId="77777777" w:rsidR="008C1E2A" w:rsidRPr="005E58D9" w:rsidRDefault="008C1E2A" w:rsidP="008C1E2A">
      <w:pPr>
        <w:autoSpaceDE w:val="0"/>
        <w:autoSpaceDN w:val="0"/>
        <w:adjustRightInd w:val="0"/>
        <w:spacing w:line="240" w:lineRule="auto"/>
        <w:jc w:val="both"/>
        <w:rPr>
          <w:rFonts w:ascii="Palatino Linotype" w:hAnsi="Palatino Linotype"/>
        </w:rPr>
      </w:pPr>
    </w:p>
    <w:p w14:paraId="5DC1922B" w14:textId="77777777" w:rsidR="008C1E2A" w:rsidRPr="005E58D9" w:rsidRDefault="008C1E2A" w:rsidP="008C1E2A">
      <w:pPr>
        <w:autoSpaceDE w:val="0"/>
        <w:autoSpaceDN w:val="0"/>
        <w:adjustRightInd w:val="0"/>
        <w:spacing w:line="240" w:lineRule="auto"/>
        <w:jc w:val="both"/>
        <w:rPr>
          <w:rFonts w:ascii="Palatino Linotype" w:hAnsi="Palatino Linotype"/>
        </w:rPr>
      </w:pPr>
      <w:r w:rsidRPr="005E58D9">
        <w:rPr>
          <w:rFonts w:ascii="Palatino Linotype" w:hAnsi="Palatino Linotype"/>
        </w:rPr>
        <w:t>The Committee on the Elimination of Discrimination against Women (CEDAW Committee)</w:t>
      </w:r>
    </w:p>
    <w:p w14:paraId="6611675E" w14:textId="77777777" w:rsidR="008C1E2A" w:rsidRPr="005E58D9" w:rsidRDefault="008C1E2A" w:rsidP="008C1E2A">
      <w:pPr>
        <w:autoSpaceDE w:val="0"/>
        <w:autoSpaceDN w:val="0"/>
        <w:adjustRightInd w:val="0"/>
        <w:spacing w:line="240" w:lineRule="auto"/>
        <w:jc w:val="both"/>
        <w:rPr>
          <w:rFonts w:ascii="Palatino Linotype" w:hAnsi="Palatino Linotype"/>
        </w:rPr>
      </w:pPr>
    </w:p>
    <w:p w14:paraId="44B762A1" w14:textId="5F6E56A5" w:rsidR="008C1E2A" w:rsidRPr="005E58D9" w:rsidRDefault="008C1E2A" w:rsidP="008C1E2A">
      <w:pPr>
        <w:autoSpaceDE w:val="0"/>
        <w:autoSpaceDN w:val="0"/>
        <w:adjustRightInd w:val="0"/>
        <w:spacing w:line="240" w:lineRule="auto"/>
        <w:jc w:val="both"/>
        <w:rPr>
          <w:rFonts w:ascii="Palatino Linotype" w:hAnsi="Palatino Linotype"/>
        </w:rPr>
      </w:pPr>
      <w:r w:rsidRPr="005E58D9">
        <w:rPr>
          <w:rFonts w:ascii="Palatino Linotype" w:hAnsi="Palatino Linotype"/>
        </w:rPr>
        <w:t>Re</w:t>
      </w:r>
      <w:r w:rsidR="00092A04" w:rsidRPr="005E58D9">
        <w:rPr>
          <w:rFonts w:ascii="Palatino Linotype" w:hAnsi="Palatino Linotype"/>
        </w:rPr>
        <w:t xml:space="preserve">: </w:t>
      </w:r>
      <w:r w:rsidR="00092A04" w:rsidRPr="005E58D9">
        <w:rPr>
          <w:rFonts w:ascii="Palatino Linotype" w:hAnsi="Palatino Linotype"/>
          <w:u w:val="single"/>
        </w:rPr>
        <w:t>NGO</w:t>
      </w:r>
      <w:r w:rsidRPr="005E58D9">
        <w:rPr>
          <w:rFonts w:ascii="Palatino Linotype" w:hAnsi="Palatino Linotype"/>
          <w:u w:val="single"/>
        </w:rPr>
        <w:t xml:space="preserve"> information on </w:t>
      </w:r>
      <w:r w:rsidR="00092A04" w:rsidRPr="005E58D9">
        <w:rPr>
          <w:rFonts w:ascii="Palatino Linotype" w:hAnsi="Palatino Linotype"/>
          <w:u w:val="single"/>
        </w:rPr>
        <w:t>i</w:t>
      </w:r>
      <w:r w:rsidRPr="005E58D9">
        <w:rPr>
          <w:rFonts w:ascii="Palatino Linotype" w:hAnsi="Palatino Linotype"/>
          <w:u w:val="single"/>
        </w:rPr>
        <w:t>nformation received from Hungary on follow-up to the concluding observations on its ninth periodic report</w:t>
      </w:r>
    </w:p>
    <w:p w14:paraId="4A4FA064" w14:textId="77777777" w:rsidR="008C1E2A" w:rsidRPr="005E58D9" w:rsidRDefault="008C1E2A" w:rsidP="008C1E2A">
      <w:pPr>
        <w:pStyle w:val="Default"/>
        <w:jc w:val="both"/>
        <w:rPr>
          <w:rFonts w:ascii="Palatino Linotype" w:hAnsi="Palatino Linotype"/>
          <w:color w:val="auto"/>
          <w:sz w:val="22"/>
          <w:szCs w:val="22"/>
          <w:lang w:val="en-GB"/>
        </w:rPr>
      </w:pPr>
    </w:p>
    <w:p w14:paraId="6BC8F75D" w14:textId="77777777" w:rsidR="008C1E2A" w:rsidRPr="005E58D9" w:rsidRDefault="008C1E2A" w:rsidP="008C1E2A">
      <w:pPr>
        <w:pStyle w:val="Default"/>
        <w:jc w:val="both"/>
        <w:rPr>
          <w:rFonts w:ascii="Palatino Linotype" w:hAnsi="Palatino Linotype"/>
          <w:color w:val="auto"/>
          <w:sz w:val="22"/>
          <w:szCs w:val="22"/>
          <w:lang w:val="en-GB"/>
        </w:rPr>
      </w:pPr>
      <w:r w:rsidRPr="005E58D9">
        <w:rPr>
          <w:rFonts w:ascii="Palatino Linotype" w:hAnsi="Palatino Linotype"/>
          <w:color w:val="auto"/>
          <w:sz w:val="22"/>
          <w:szCs w:val="22"/>
          <w:lang w:val="en-GB"/>
        </w:rPr>
        <w:t xml:space="preserve">Distinguished Committee Members: </w:t>
      </w:r>
    </w:p>
    <w:p w14:paraId="17C69F3A" w14:textId="77777777" w:rsidR="008C1E2A" w:rsidRPr="005E58D9" w:rsidRDefault="008C1E2A" w:rsidP="008C1E2A">
      <w:pPr>
        <w:pStyle w:val="Default"/>
        <w:jc w:val="both"/>
        <w:rPr>
          <w:rFonts w:ascii="Palatino Linotype" w:hAnsi="Palatino Linotype"/>
          <w:color w:val="auto"/>
          <w:sz w:val="22"/>
          <w:szCs w:val="22"/>
          <w:lang w:val="en-GB"/>
        </w:rPr>
      </w:pPr>
    </w:p>
    <w:p w14:paraId="39D73209" w14:textId="2FA25CC9" w:rsidR="008C1E2A" w:rsidRPr="005E58D9" w:rsidRDefault="008C1E2A" w:rsidP="008C1E2A">
      <w:pPr>
        <w:pStyle w:val="Default"/>
        <w:jc w:val="both"/>
        <w:rPr>
          <w:rFonts w:ascii="Palatino Linotype" w:hAnsi="Palatino Linotype"/>
          <w:color w:val="auto"/>
          <w:sz w:val="22"/>
          <w:szCs w:val="22"/>
          <w:lang w:val="en-GB"/>
        </w:rPr>
      </w:pPr>
      <w:r w:rsidRPr="005E58D9">
        <w:rPr>
          <w:rFonts w:ascii="Palatino Linotype" w:hAnsi="Palatino Linotype"/>
          <w:color w:val="auto"/>
          <w:sz w:val="22"/>
          <w:szCs w:val="22"/>
          <w:lang w:val="en-GB"/>
        </w:rPr>
        <w:t xml:space="preserve">This letter is intended to supplement the </w:t>
      </w:r>
      <w:r w:rsidR="00092A04" w:rsidRPr="005E58D9">
        <w:rPr>
          <w:rFonts w:ascii="Palatino Linotype" w:hAnsi="Palatino Linotype"/>
          <w:color w:val="auto"/>
          <w:sz w:val="22"/>
          <w:szCs w:val="22"/>
          <w:lang w:val="en-GB"/>
        </w:rPr>
        <w:t>follow-up report</w:t>
      </w:r>
      <w:r w:rsidRPr="005E58D9">
        <w:rPr>
          <w:rFonts w:ascii="Palatino Linotype" w:hAnsi="Palatino Linotype"/>
          <w:color w:val="auto"/>
          <w:sz w:val="22"/>
          <w:szCs w:val="22"/>
          <w:lang w:val="en-GB"/>
        </w:rPr>
        <w:t xml:space="preserve"> submitted by Hungary</w:t>
      </w:r>
      <w:r w:rsidR="00092A04" w:rsidRPr="005E58D9">
        <w:rPr>
          <w:rFonts w:ascii="Palatino Linotype" w:hAnsi="Palatino Linotype"/>
          <w:color w:val="auto"/>
          <w:sz w:val="22"/>
          <w:szCs w:val="22"/>
          <w:lang w:val="en-GB"/>
        </w:rPr>
        <w:t xml:space="preserve"> on August 7</w:t>
      </w:r>
      <w:r w:rsidR="0014097E" w:rsidRPr="005E58D9">
        <w:rPr>
          <w:rFonts w:ascii="Palatino Linotype" w:hAnsi="Palatino Linotype"/>
          <w:color w:val="auto"/>
          <w:sz w:val="22"/>
          <w:szCs w:val="22"/>
          <w:lang w:val="en-GB"/>
        </w:rPr>
        <w:t>,</w:t>
      </w:r>
      <w:r w:rsidR="00092A04" w:rsidRPr="005E58D9">
        <w:rPr>
          <w:rFonts w:ascii="Palatino Linotype" w:hAnsi="Palatino Linotype"/>
          <w:color w:val="auto"/>
          <w:sz w:val="22"/>
          <w:szCs w:val="22"/>
          <w:lang w:val="en-GB"/>
        </w:rPr>
        <w:t xml:space="preserve"> 2025</w:t>
      </w:r>
      <w:r w:rsidRPr="005E58D9">
        <w:rPr>
          <w:rFonts w:ascii="Palatino Linotype" w:hAnsi="Palatino Linotype"/>
          <w:color w:val="auto"/>
          <w:sz w:val="22"/>
          <w:szCs w:val="22"/>
          <w:lang w:val="en-GB"/>
        </w:rPr>
        <w:t xml:space="preserve">, which </w:t>
      </w:r>
      <w:r w:rsidR="00BA59F7" w:rsidRPr="005E58D9">
        <w:rPr>
          <w:rFonts w:ascii="Palatino Linotype" w:hAnsi="Palatino Linotype"/>
          <w:color w:val="auto"/>
          <w:sz w:val="22"/>
          <w:szCs w:val="22"/>
          <w:lang w:val="en-GB"/>
        </w:rPr>
        <w:t>is</w:t>
      </w:r>
      <w:r w:rsidRPr="005E58D9">
        <w:rPr>
          <w:rFonts w:ascii="Palatino Linotype" w:hAnsi="Palatino Linotype"/>
          <w:color w:val="auto"/>
          <w:sz w:val="22"/>
          <w:szCs w:val="22"/>
          <w:lang w:val="en-GB"/>
        </w:rPr>
        <w:t xml:space="preserve"> scheduled to be reviewed by the Committee on the Elimination of Discrimination against Women (the Committee) during its </w:t>
      </w:r>
      <w:r w:rsidR="00092A04" w:rsidRPr="005E58D9">
        <w:rPr>
          <w:rFonts w:ascii="Palatino Linotype" w:hAnsi="Palatino Linotype"/>
          <w:color w:val="auto"/>
          <w:sz w:val="22"/>
          <w:szCs w:val="22"/>
          <w:lang w:val="en-GB"/>
        </w:rPr>
        <w:t>next intersessional period</w:t>
      </w:r>
      <w:r w:rsidRPr="005E58D9">
        <w:rPr>
          <w:rFonts w:ascii="Palatino Linotype" w:hAnsi="Palatino Linotype"/>
          <w:color w:val="auto"/>
          <w:sz w:val="22"/>
          <w:szCs w:val="22"/>
          <w:lang w:val="en-GB"/>
        </w:rPr>
        <w:t xml:space="preserve">. PATENT Association (Hungary) </w:t>
      </w:r>
      <w:r w:rsidR="00092A04" w:rsidRPr="005E58D9">
        <w:rPr>
          <w:rFonts w:ascii="Palatino Linotype" w:hAnsi="Palatino Linotype"/>
          <w:color w:val="auto"/>
          <w:sz w:val="22"/>
          <w:szCs w:val="22"/>
          <w:lang w:val="en-GB"/>
        </w:rPr>
        <w:t>is an</w:t>
      </w:r>
      <w:r w:rsidRPr="005E58D9">
        <w:rPr>
          <w:rFonts w:ascii="Palatino Linotype" w:hAnsi="Palatino Linotype"/>
          <w:color w:val="auto"/>
          <w:sz w:val="22"/>
          <w:szCs w:val="22"/>
          <w:lang w:val="en-GB"/>
        </w:rPr>
        <w:t xml:space="preserve"> independent non-governmental organization</w:t>
      </w:r>
      <w:r w:rsidR="00BA59F7" w:rsidRPr="005E58D9">
        <w:rPr>
          <w:rFonts w:ascii="Palatino Linotype" w:hAnsi="Palatino Linotype"/>
          <w:color w:val="auto"/>
          <w:sz w:val="22"/>
          <w:szCs w:val="22"/>
          <w:lang w:val="en-GB"/>
        </w:rPr>
        <w:t xml:space="preserve"> providing legal aid to woman victims of gender-based violence, conducting </w:t>
      </w:r>
      <w:proofErr w:type="gramStart"/>
      <w:r w:rsidR="00BA59F7" w:rsidRPr="005E58D9">
        <w:rPr>
          <w:rFonts w:ascii="Palatino Linotype" w:hAnsi="Palatino Linotype"/>
          <w:color w:val="auto"/>
          <w:sz w:val="22"/>
          <w:szCs w:val="22"/>
          <w:lang w:val="en-GB"/>
        </w:rPr>
        <w:t>researches</w:t>
      </w:r>
      <w:proofErr w:type="gramEnd"/>
      <w:r w:rsidR="00BA59F7" w:rsidRPr="005E58D9">
        <w:rPr>
          <w:rFonts w:ascii="Palatino Linotype" w:hAnsi="Palatino Linotype"/>
          <w:color w:val="auto"/>
          <w:sz w:val="22"/>
          <w:szCs w:val="22"/>
          <w:lang w:val="en-GB"/>
        </w:rPr>
        <w:t xml:space="preserve"> on women’s sexual and reproductive health and rights and a key actor on dissemination of knowledge regarding sexual and reproductive rights. With the present submission, we hope</w:t>
      </w:r>
      <w:r w:rsidRPr="005E58D9">
        <w:rPr>
          <w:rFonts w:ascii="Palatino Linotype" w:hAnsi="Palatino Linotype"/>
          <w:color w:val="auto"/>
          <w:sz w:val="22"/>
          <w:szCs w:val="22"/>
          <w:lang w:val="en-GB"/>
        </w:rPr>
        <w:t xml:space="preserve"> to further the work of the Committee by providing independent information concerning the rights protected in the Convention on the Elimination of All Forms of Discrimination against Women (CEDAW). </w:t>
      </w:r>
    </w:p>
    <w:p w14:paraId="0FA7656E" w14:textId="77777777" w:rsidR="008C1E2A" w:rsidRPr="005E58D9" w:rsidRDefault="008C1E2A" w:rsidP="008C1E2A">
      <w:pPr>
        <w:pStyle w:val="Default"/>
        <w:jc w:val="both"/>
        <w:rPr>
          <w:rFonts w:ascii="Palatino Linotype" w:hAnsi="Palatino Linotype"/>
          <w:color w:val="auto"/>
          <w:sz w:val="22"/>
          <w:szCs w:val="22"/>
          <w:lang w:val="en-GB"/>
        </w:rPr>
      </w:pPr>
    </w:p>
    <w:p w14:paraId="23EADE7E" w14:textId="322F3C3C" w:rsidR="008C1E2A" w:rsidRPr="005E58D9" w:rsidRDefault="008C1E2A" w:rsidP="008C1E2A">
      <w:pPr>
        <w:pStyle w:val="Default"/>
        <w:jc w:val="both"/>
        <w:rPr>
          <w:rFonts w:ascii="Palatino Linotype" w:hAnsi="Palatino Linotype"/>
          <w:color w:val="auto"/>
          <w:sz w:val="22"/>
          <w:szCs w:val="22"/>
          <w:lang w:val="en-GB"/>
        </w:rPr>
      </w:pPr>
      <w:r w:rsidRPr="005E58D9">
        <w:rPr>
          <w:rFonts w:ascii="Palatino Linotype" w:hAnsi="Palatino Linotype"/>
          <w:color w:val="auto"/>
          <w:sz w:val="22"/>
          <w:szCs w:val="22"/>
          <w:lang w:val="en-GB"/>
        </w:rPr>
        <w:t>We hope that the Committee’s review will cover several areas of concern related to the status of the reproductive health and rights of women and adolescents in Hungary. This letter is intended to provide a summary of the issues of greatest concern regarding</w:t>
      </w:r>
      <w:r w:rsidR="00264602" w:rsidRPr="005E58D9">
        <w:rPr>
          <w:rFonts w:ascii="Palatino Linotype" w:hAnsi="Palatino Linotype"/>
          <w:color w:val="auto"/>
          <w:sz w:val="22"/>
          <w:szCs w:val="22"/>
          <w:lang w:val="en-GB"/>
        </w:rPr>
        <w:t xml:space="preserve"> </w:t>
      </w:r>
      <w:r w:rsidR="00264602" w:rsidRPr="005E58D9">
        <w:rPr>
          <w:rFonts w:ascii="Palatino Linotype" w:hAnsi="Palatino Linotype"/>
          <w:b/>
          <w:bCs/>
          <w:color w:val="auto"/>
          <w:sz w:val="22"/>
          <w:szCs w:val="22"/>
          <w:lang w:val="en-GB"/>
        </w:rPr>
        <w:t>women’s reproductive and sexual health and rights, specifically</w:t>
      </w:r>
      <w:r w:rsidRPr="005E58D9">
        <w:rPr>
          <w:rFonts w:ascii="Palatino Linotype" w:hAnsi="Palatino Linotype"/>
          <w:color w:val="auto"/>
          <w:sz w:val="22"/>
          <w:szCs w:val="22"/>
          <w:lang w:val="en-GB"/>
        </w:rPr>
        <w:t xml:space="preserve"> </w:t>
      </w:r>
      <w:r w:rsidR="00647F2C" w:rsidRPr="005E58D9">
        <w:rPr>
          <w:rFonts w:ascii="Palatino Linotype" w:hAnsi="Palatino Linotype"/>
          <w:b/>
          <w:bCs/>
          <w:sz w:val="22"/>
          <w:szCs w:val="22"/>
          <w:lang w:val="en-GB"/>
        </w:rPr>
        <w:t>paragraph</w:t>
      </w:r>
      <w:r w:rsidR="00264602" w:rsidRPr="005E58D9">
        <w:rPr>
          <w:rFonts w:ascii="Palatino Linotype" w:hAnsi="Palatino Linotype"/>
          <w:b/>
          <w:bCs/>
          <w:sz w:val="22"/>
          <w:szCs w:val="22"/>
          <w:lang w:val="en-GB"/>
        </w:rPr>
        <w:t>s</w:t>
      </w:r>
      <w:r w:rsidR="00647F2C" w:rsidRPr="005E58D9">
        <w:rPr>
          <w:rFonts w:ascii="Palatino Linotype" w:hAnsi="Palatino Linotype"/>
          <w:b/>
          <w:bCs/>
          <w:sz w:val="22"/>
          <w:szCs w:val="22"/>
          <w:lang w:val="en-GB"/>
        </w:rPr>
        <w:t xml:space="preserve"> 36 (a)</w:t>
      </w:r>
      <w:r w:rsidR="00264602" w:rsidRPr="005E58D9">
        <w:rPr>
          <w:rFonts w:ascii="Palatino Linotype" w:hAnsi="Palatino Linotype"/>
          <w:color w:val="auto"/>
          <w:sz w:val="22"/>
          <w:szCs w:val="22"/>
          <w:lang w:val="en-GB"/>
        </w:rPr>
        <w:t xml:space="preserve">, </w:t>
      </w:r>
      <w:r w:rsidR="00264602" w:rsidRPr="005E58D9">
        <w:rPr>
          <w:rFonts w:ascii="Palatino Linotype" w:hAnsi="Palatino Linotype"/>
          <w:b/>
          <w:bCs/>
          <w:color w:val="auto"/>
          <w:sz w:val="22"/>
          <w:szCs w:val="22"/>
          <w:lang w:val="en-GB"/>
        </w:rPr>
        <w:t>(b)</w:t>
      </w:r>
      <w:r w:rsidR="00264602" w:rsidRPr="005E58D9">
        <w:rPr>
          <w:rFonts w:ascii="Palatino Linotype" w:hAnsi="Palatino Linotype"/>
          <w:color w:val="auto"/>
          <w:sz w:val="22"/>
          <w:szCs w:val="22"/>
          <w:lang w:val="en-GB"/>
        </w:rPr>
        <w:t xml:space="preserve"> and </w:t>
      </w:r>
      <w:r w:rsidR="00264602" w:rsidRPr="005E58D9">
        <w:rPr>
          <w:rFonts w:ascii="Palatino Linotype" w:hAnsi="Palatino Linotype"/>
          <w:b/>
          <w:bCs/>
          <w:color w:val="auto"/>
          <w:sz w:val="22"/>
          <w:szCs w:val="22"/>
          <w:lang w:val="en-GB"/>
        </w:rPr>
        <w:t>(e)</w:t>
      </w:r>
      <w:r w:rsidR="00647F2C" w:rsidRPr="005E58D9">
        <w:rPr>
          <w:rFonts w:ascii="Palatino Linotype" w:hAnsi="Palatino Linotype"/>
          <w:b/>
          <w:bCs/>
          <w:color w:val="auto"/>
          <w:sz w:val="22"/>
          <w:szCs w:val="22"/>
          <w:lang w:val="en-GB"/>
        </w:rPr>
        <w:t xml:space="preserve">, </w:t>
      </w:r>
      <w:r w:rsidRPr="005E58D9">
        <w:rPr>
          <w:rFonts w:ascii="Palatino Linotype" w:hAnsi="Palatino Linotype"/>
          <w:color w:val="auto"/>
          <w:sz w:val="22"/>
          <w:szCs w:val="22"/>
          <w:lang w:val="en-GB"/>
        </w:rPr>
        <w:t xml:space="preserve">issues all of which have had detrimental impacts on the health and rights of women and girls in Hungary and constitute violations of this Convention. </w:t>
      </w:r>
    </w:p>
    <w:p w14:paraId="00000002" w14:textId="77777777" w:rsidR="00A433A0" w:rsidRPr="005E58D9" w:rsidRDefault="00A433A0">
      <w:pPr>
        <w:rPr>
          <w:rFonts w:ascii="Palatino Linotype" w:eastAsia="Times New Roman" w:hAnsi="Palatino Linotype" w:cs="Times New Roman"/>
          <w:color w:val="242424"/>
          <w:sz w:val="24"/>
          <w:szCs w:val="24"/>
          <w:highlight w:val="white"/>
        </w:rPr>
      </w:pPr>
    </w:p>
    <w:p w14:paraId="0E58EBBF" w14:textId="77777777" w:rsidR="00264602" w:rsidRPr="005E58D9" w:rsidRDefault="00264602" w:rsidP="00264602">
      <w:pPr>
        <w:pStyle w:val="ListParagraph2"/>
        <w:numPr>
          <w:ilvl w:val="0"/>
          <w:numId w:val="1"/>
        </w:numPr>
        <w:autoSpaceDE w:val="0"/>
        <w:autoSpaceDN w:val="0"/>
        <w:adjustRightInd w:val="0"/>
        <w:spacing w:after="0" w:line="240" w:lineRule="auto"/>
        <w:jc w:val="both"/>
        <w:rPr>
          <w:rFonts w:ascii="Palatino Linotype" w:hAnsi="Palatino Linotype"/>
          <w:b/>
          <w:lang w:val="en-GB"/>
        </w:rPr>
      </w:pPr>
      <w:r w:rsidRPr="005E58D9">
        <w:rPr>
          <w:rFonts w:ascii="Palatino Linotype" w:hAnsi="Palatino Linotype"/>
          <w:b/>
          <w:lang w:val="en-GB"/>
        </w:rPr>
        <w:t>Restrictions in the Access to Safe and Legal Abortion</w:t>
      </w:r>
    </w:p>
    <w:p w14:paraId="0458C92B" w14:textId="77777777" w:rsidR="00264602" w:rsidRPr="005E58D9" w:rsidRDefault="00264602" w:rsidP="00264602">
      <w:pPr>
        <w:autoSpaceDE w:val="0"/>
        <w:autoSpaceDN w:val="0"/>
        <w:adjustRightInd w:val="0"/>
        <w:spacing w:line="240" w:lineRule="auto"/>
        <w:jc w:val="both"/>
        <w:rPr>
          <w:rFonts w:ascii="Palatino Linotype" w:hAnsi="Palatino Linotype"/>
          <w:b/>
        </w:rPr>
      </w:pPr>
    </w:p>
    <w:p w14:paraId="5D2A34BC" w14:textId="745CFE74" w:rsidR="00264602" w:rsidRPr="005E58D9" w:rsidRDefault="00264602" w:rsidP="00264602">
      <w:pPr>
        <w:autoSpaceDE w:val="0"/>
        <w:autoSpaceDN w:val="0"/>
        <w:adjustRightInd w:val="0"/>
        <w:spacing w:line="240" w:lineRule="auto"/>
        <w:jc w:val="both"/>
        <w:rPr>
          <w:rFonts w:ascii="Palatino Linotype" w:hAnsi="Palatino Linotype"/>
        </w:rPr>
      </w:pPr>
      <w:r w:rsidRPr="005E58D9">
        <w:rPr>
          <w:rFonts w:ascii="Palatino Linotype" w:hAnsi="Palatino Linotype"/>
        </w:rPr>
        <w:t>CEDAW guarantees women the right to reproductive health care and the ability to freely decide on the number and spacing of their children.</w:t>
      </w:r>
      <w:r w:rsidRPr="005E58D9">
        <w:rPr>
          <w:rStyle w:val="EndnoteReference"/>
          <w:rFonts w:ascii="Palatino Linotype" w:hAnsi="Palatino Linotype"/>
        </w:rPr>
        <w:endnoteReference w:id="1"/>
      </w:r>
      <w:r w:rsidRPr="005E58D9">
        <w:rPr>
          <w:rFonts w:ascii="Palatino Linotype" w:hAnsi="Palatino Linotype"/>
        </w:rPr>
        <w:t xml:space="preserve"> Like other United Nations Human Rights Treaty Monitoring Bodies (UNTMBs), this Committee has called on states to remove all barriers to safe and legal abortions</w:t>
      </w:r>
      <w:r w:rsidRPr="005E58D9">
        <w:rPr>
          <w:rStyle w:val="EndnoteReference"/>
          <w:rFonts w:ascii="Palatino Linotype" w:hAnsi="Palatino Linotype"/>
        </w:rPr>
        <w:endnoteReference w:id="2"/>
      </w:r>
      <w:r w:rsidRPr="005E58D9">
        <w:rPr>
          <w:rFonts w:ascii="Palatino Linotype" w:hAnsi="Palatino Linotype"/>
        </w:rPr>
        <w:t xml:space="preserve"> so that women and girls do not face the often life and health threatening complications associated with undergoing them clandestinely. This </w:t>
      </w:r>
      <w:r w:rsidRPr="005E58D9">
        <w:rPr>
          <w:rFonts w:ascii="Palatino Linotype" w:hAnsi="Palatino Linotype"/>
        </w:rPr>
        <w:lastRenderedPageBreak/>
        <w:t xml:space="preserve">Committee has repeatedly urged </w:t>
      </w:r>
      <w:r w:rsidR="00B604F9" w:rsidRPr="005E58D9">
        <w:rPr>
          <w:rFonts w:ascii="Palatino Linotype" w:hAnsi="Palatino Linotype"/>
        </w:rPr>
        <w:t>Hungary</w:t>
      </w:r>
      <w:r w:rsidRPr="005E58D9">
        <w:rPr>
          <w:rFonts w:ascii="Palatino Linotype" w:hAnsi="Palatino Linotype"/>
        </w:rPr>
        <w:t xml:space="preserve"> to ensure access to safe abortion services in </w:t>
      </w:r>
      <w:r w:rsidR="00B604F9" w:rsidRPr="005E58D9">
        <w:rPr>
          <w:rFonts w:ascii="Palatino Linotype" w:hAnsi="Palatino Linotype"/>
        </w:rPr>
        <w:t>its last two concluding observations in 2013</w:t>
      </w:r>
      <w:r w:rsidR="00B604F9" w:rsidRPr="005E58D9">
        <w:rPr>
          <w:rStyle w:val="EndnoteReference"/>
          <w:rFonts w:ascii="Palatino Linotype" w:hAnsi="Palatino Linotype"/>
        </w:rPr>
        <w:endnoteReference w:id="3"/>
      </w:r>
      <w:r w:rsidR="00B604F9" w:rsidRPr="005E58D9">
        <w:rPr>
          <w:rFonts w:ascii="Palatino Linotype" w:hAnsi="Palatino Linotype"/>
        </w:rPr>
        <w:t xml:space="preserve"> and 2023</w:t>
      </w:r>
      <w:r w:rsidR="00B604F9" w:rsidRPr="005E58D9">
        <w:rPr>
          <w:rStyle w:val="EndnoteReference"/>
          <w:rFonts w:ascii="Palatino Linotype" w:hAnsi="Palatino Linotype"/>
        </w:rPr>
        <w:endnoteReference w:id="4"/>
      </w:r>
    </w:p>
    <w:p w14:paraId="58BF48F9" w14:textId="42918725" w:rsidR="00605E25" w:rsidRPr="005E58D9" w:rsidRDefault="00605E25" w:rsidP="00605E25">
      <w:pPr>
        <w:spacing w:line="240" w:lineRule="auto"/>
        <w:jc w:val="both"/>
        <w:rPr>
          <w:rFonts w:ascii="Palatino Linotype" w:eastAsia="Times New Roman" w:hAnsi="Palatino Linotype" w:cs="Times New Roman"/>
          <w:b/>
          <w:bCs/>
          <w:highlight w:val="white"/>
        </w:rPr>
      </w:pPr>
      <w:r w:rsidRPr="005E58D9">
        <w:rPr>
          <w:rFonts w:ascii="Palatino Linotype" w:eastAsia="Times New Roman" w:hAnsi="Palatino Linotype" w:cs="Times New Roman"/>
          <w:b/>
          <w:bCs/>
          <w:highlight w:val="white"/>
        </w:rPr>
        <w:t>Since the last submission in 2023, there has been no progress in improving access to abortion. On the contrary, the situation has deteriorated: the cost of abortion has increased, and women continue to face persistent and systemic barriers when seeking care.</w:t>
      </w:r>
      <w:r w:rsidR="00FC4159" w:rsidRPr="005E58D9">
        <w:rPr>
          <w:rFonts w:ascii="Palatino Linotype" w:eastAsia="Times New Roman" w:hAnsi="Palatino Linotype" w:cs="Times New Roman"/>
          <w:b/>
          <w:bCs/>
          <w:highlight w:val="white"/>
        </w:rPr>
        <w:t xml:space="preserve"> </w:t>
      </w:r>
    </w:p>
    <w:p w14:paraId="05F6664D" w14:textId="32B07E5C" w:rsidR="00605E25" w:rsidRPr="005E58D9" w:rsidRDefault="00FC4159" w:rsidP="00264602">
      <w:pPr>
        <w:autoSpaceDE w:val="0"/>
        <w:autoSpaceDN w:val="0"/>
        <w:adjustRightInd w:val="0"/>
        <w:spacing w:line="240" w:lineRule="auto"/>
        <w:jc w:val="both"/>
        <w:rPr>
          <w:rFonts w:ascii="Palatino Linotype" w:eastAsia="Times New Roman" w:hAnsi="Palatino Linotype" w:cs="Times New Roman"/>
          <w:highlight w:val="white"/>
        </w:rPr>
      </w:pPr>
      <w:r w:rsidRPr="005E58D9">
        <w:rPr>
          <w:rFonts w:ascii="Palatino Linotype" w:eastAsia="Times New Roman" w:hAnsi="Palatino Linotype" w:cs="Times New Roman"/>
          <w:highlight w:val="white"/>
        </w:rPr>
        <w:t xml:space="preserve">The fee to obtain a legal abortion in Hungary </w:t>
      </w:r>
      <w:r w:rsidR="006F2EB0" w:rsidRPr="005E58D9">
        <w:rPr>
          <w:rFonts w:ascii="Palatino Linotype" w:eastAsia="Times New Roman" w:hAnsi="Palatino Linotype" w:cs="Times New Roman"/>
          <w:highlight w:val="white"/>
        </w:rPr>
        <w:t>i</w:t>
      </w:r>
      <w:r w:rsidRPr="005E58D9">
        <w:rPr>
          <w:rFonts w:ascii="Palatino Linotype" w:eastAsia="Times New Roman" w:hAnsi="Palatino Linotype" w:cs="Times New Roman"/>
          <w:highlight w:val="white"/>
        </w:rPr>
        <w:t xml:space="preserve">s 55.837 HUF </w:t>
      </w:r>
      <w:r w:rsidR="006F2EB0" w:rsidRPr="005E58D9">
        <w:rPr>
          <w:rFonts w:ascii="Palatino Linotype" w:eastAsia="Times New Roman" w:hAnsi="Palatino Linotype" w:cs="Times New Roman"/>
          <w:highlight w:val="white"/>
        </w:rPr>
        <w:t xml:space="preserve">(USD 169) </w:t>
      </w:r>
      <w:r w:rsidRPr="005E58D9">
        <w:rPr>
          <w:rFonts w:ascii="Palatino Linotype" w:eastAsia="Times New Roman" w:hAnsi="Palatino Linotype" w:cs="Times New Roman"/>
          <w:highlight w:val="white"/>
        </w:rPr>
        <w:t>in 2025</w:t>
      </w:r>
      <w:r w:rsidR="00FD07A3" w:rsidRPr="005E58D9">
        <w:rPr>
          <w:rFonts w:ascii="Palatino Linotype" w:eastAsia="Times New Roman" w:hAnsi="Palatino Linotype" w:cs="Times New Roman"/>
          <w:highlight w:val="white"/>
        </w:rPr>
        <w:t xml:space="preserve"> </w:t>
      </w:r>
      <w:r w:rsidR="006F2EB0" w:rsidRPr="005E58D9">
        <w:rPr>
          <w:rFonts w:ascii="Palatino Linotype" w:eastAsia="Times New Roman" w:hAnsi="Palatino Linotype" w:cs="Times New Roman"/>
          <w:highlight w:val="white"/>
        </w:rPr>
        <w:t xml:space="preserve">and it was </w:t>
      </w:r>
      <w:r w:rsidR="006F2EB0" w:rsidRPr="005E58D9">
        <w:rPr>
          <w:rFonts w:ascii="Palatino Linotype" w:eastAsia="Times New Roman" w:hAnsi="Palatino Linotype" w:cs="Times New Roman"/>
          <w:b/>
          <w:bCs/>
          <w:highlight w:val="white"/>
        </w:rPr>
        <w:t>45.312 HUF in 2024</w:t>
      </w:r>
      <w:r w:rsidR="006F2EB0" w:rsidRPr="005E58D9">
        <w:rPr>
          <w:rFonts w:ascii="Palatino Linotype" w:eastAsia="Times New Roman" w:hAnsi="Palatino Linotype" w:cs="Times New Roman"/>
          <w:highlight w:val="white"/>
        </w:rPr>
        <w:t>, that means</w:t>
      </w:r>
      <w:r w:rsidR="006F2EB0" w:rsidRPr="005E58D9">
        <w:rPr>
          <w:rFonts w:ascii="Palatino Linotype" w:eastAsia="Times New Roman" w:hAnsi="Palatino Linotype" w:cs="Times New Roman"/>
          <w:b/>
          <w:bCs/>
          <w:highlight w:val="white"/>
        </w:rPr>
        <w:t xml:space="preserve"> </w:t>
      </w:r>
      <w:r w:rsidR="006F2EB0" w:rsidRPr="005E58D9">
        <w:rPr>
          <w:rFonts w:ascii="Palatino Linotype" w:eastAsia="Times New Roman" w:hAnsi="Palatino Linotype" w:cs="Times New Roman"/>
          <w:highlight w:val="white"/>
        </w:rPr>
        <w:t xml:space="preserve">a </w:t>
      </w:r>
      <w:r w:rsidR="00FD07A3" w:rsidRPr="005E58D9">
        <w:rPr>
          <w:rFonts w:ascii="Palatino Linotype" w:eastAsia="Times New Roman" w:hAnsi="Palatino Linotype" w:cs="Times New Roman"/>
          <w:highlight w:val="white"/>
        </w:rPr>
        <w:t xml:space="preserve">23, 2 % </w:t>
      </w:r>
      <w:r w:rsidR="006F2EB0" w:rsidRPr="005E58D9">
        <w:rPr>
          <w:rFonts w:ascii="Palatino Linotype" w:eastAsia="Times New Roman" w:hAnsi="Palatino Linotype" w:cs="Times New Roman"/>
          <w:b/>
          <w:bCs/>
          <w:highlight w:val="white"/>
        </w:rPr>
        <w:t xml:space="preserve">increase in the fees. </w:t>
      </w:r>
      <w:r w:rsidR="006F2EB0" w:rsidRPr="005E58D9">
        <w:rPr>
          <w:rFonts w:ascii="Palatino Linotype" w:eastAsia="Times New Roman" w:hAnsi="Palatino Linotype" w:cs="Times New Roman"/>
          <w:highlight w:val="white"/>
        </w:rPr>
        <w:t>In comparison, the average monthly income is currently 461.000 HUF (1394 USD)</w:t>
      </w:r>
      <w:r w:rsidR="00100CDA" w:rsidRPr="005E58D9">
        <w:rPr>
          <w:rFonts w:ascii="Palatino Linotype" w:eastAsia="Times New Roman" w:hAnsi="Palatino Linotype" w:cs="Times New Roman"/>
          <w:b/>
          <w:bCs/>
          <w:highlight w:val="white"/>
        </w:rPr>
        <w:t xml:space="preserve">. </w:t>
      </w:r>
    </w:p>
    <w:p w14:paraId="72CF547D" w14:textId="420CF3EB" w:rsidR="006D51E0" w:rsidRPr="005E58D9" w:rsidRDefault="006D51E0" w:rsidP="00264602">
      <w:pPr>
        <w:autoSpaceDE w:val="0"/>
        <w:autoSpaceDN w:val="0"/>
        <w:adjustRightInd w:val="0"/>
        <w:spacing w:line="240" w:lineRule="auto"/>
        <w:jc w:val="both"/>
        <w:rPr>
          <w:rFonts w:ascii="Palatino Linotype" w:eastAsia="Times New Roman" w:hAnsi="Palatino Linotype" w:cs="Times New Roman"/>
        </w:rPr>
      </w:pPr>
      <w:r w:rsidRPr="005E58D9">
        <w:rPr>
          <w:rFonts w:ascii="Palatino Linotype" w:eastAsia="Times New Roman" w:hAnsi="Palatino Linotype" w:cs="Times New Roman"/>
          <w:highlight w:val="white"/>
        </w:rPr>
        <w:t xml:space="preserve">The new legislation introduced in September 2022, that requires gynaecologists to issue documentation confirming that they have shown the woman “indications of the </w:t>
      </w:r>
      <w:proofErr w:type="spellStart"/>
      <w:r w:rsidRPr="005E58D9">
        <w:rPr>
          <w:rFonts w:ascii="Palatino Linotype" w:eastAsia="Times New Roman" w:hAnsi="Palatino Linotype" w:cs="Times New Roman"/>
          <w:highlight w:val="white"/>
        </w:rPr>
        <w:t>fetus</w:t>
      </w:r>
      <w:proofErr w:type="spellEnd"/>
      <w:r w:rsidRPr="005E58D9">
        <w:rPr>
          <w:rFonts w:ascii="Palatino Linotype" w:eastAsia="Times New Roman" w:hAnsi="Palatino Linotype" w:cs="Times New Roman"/>
          <w:highlight w:val="white"/>
        </w:rPr>
        <w:t xml:space="preserve">’ vital functions”, is </w:t>
      </w:r>
      <w:r w:rsidRPr="005E58D9">
        <w:rPr>
          <w:rFonts w:ascii="Palatino Linotype" w:eastAsia="Times New Roman" w:hAnsi="Palatino Linotype" w:cs="Times New Roman"/>
          <w:b/>
          <w:bCs/>
          <w:highlight w:val="white"/>
        </w:rPr>
        <w:t>still in practice</w:t>
      </w:r>
      <w:r w:rsidRPr="005E58D9">
        <w:rPr>
          <w:rFonts w:ascii="Palatino Linotype" w:eastAsia="Times New Roman" w:hAnsi="Palatino Linotype" w:cs="Times New Roman"/>
          <w:b/>
          <w:bCs/>
        </w:rPr>
        <w:t xml:space="preserve">, despite of the </w:t>
      </w:r>
      <w:r w:rsidR="00605E25" w:rsidRPr="005E58D9">
        <w:rPr>
          <w:rFonts w:ascii="Palatino Linotype" w:eastAsia="Times New Roman" w:hAnsi="Palatino Linotype" w:cs="Times New Roman"/>
          <w:b/>
          <w:bCs/>
        </w:rPr>
        <w:t xml:space="preserve">concluding observations of the </w:t>
      </w:r>
      <w:r w:rsidRPr="005E58D9">
        <w:rPr>
          <w:rFonts w:ascii="Palatino Linotype" w:eastAsia="Times New Roman" w:hAnsi="Palatino Linotype" w:cs="Times New Roman"/>
          <w:b/>
          <w:bCs/>
        </w:rPr>
        <w:t>CEDAW Committee</w:t>
      </w:r>
      <w:r w:rsidR="00605E25" w:rsidRPr="005E58D9">
        <w:rPr>
          <w:rFonts w:ascii="Palatino Linotype" w:eastAsia="Times New Roman" w:hAnsi="Palatino Linotype" w:cs="Times New Roman"/>
          <w:b/>
          <w:bCs/>
        </w:rPr>
        <w:t xml:space="preserve"> in 2023 to</w:t>
      </w:r>
      <w:r w:rsidR="00605E25" w:rsidRPr="005E58D9">
        <w:rPr>
          <w:rFonts w:ascii="Palatino Linotype" w:eastAsia="Times New Roman" w:hAnsi="Palatino Linotype" w:cs="Times New Roman"/>
        </w:rPr>
        <w:t xml:space="preserve"> </w:t>
      </w:r>
      <w:r w:rsidRPr="005E58D9">
        <w:rPr>
          <w:rFonts w:ascii="Palatino Linotype" w:hAnsi="Palatino Linotype"/>
          <w:b/>
          <w:bCs/>
        </w:rPr>
        <w:t>repeal the amendment to the regulation No. 32/1992 (XII.23</w:t>
      </w:r>
      <w:r w:rsidR="00605E25" w:rsidRPr="005E58D9">
        <w:rPr>
          <w:rFonts w:ascii="Palatino Linotype" w:hAnsi="Palatino Linotype"/>
          <w:b/>
          <w:bCs/>
        </w:rPr>
        <w:t>).</w:t>
      </w:r>
    </w:p>
    <w:p w14:paraId="7C70A69B" w14:textId="77777777" w:rsidR="006D51E0" w:rsidRPr="005E58D9" w:rsidRDefault="006D51E0" w:rsidP="00264602">
      <w:pPr>
        <w:autoSpaceDE w:val="0"/>
        <w:autoSpaceDN w:val="0"/>
        <w:adjustRightInd w:val="0"/>
        <w:spacing w:line="240" w:lineRule="auto"/>
        <w:jc w:val="both"/>
        <w:rPr>
          <w:rFonts w:ascii="Palatino Linotype" w:hAnsi="Palatino Linotype"/>
        </w:rPr>
      </w:pPr>
    </w:p>
    <w:p w14:paraId="4250EDD1" w14:textId="72AFA604" w:rsidR="00321259" w:rsidRPr="005E58D9" w:rsidRDefault="00321259" w:rsidP="00321259">
      <w:pPr>
        <w:pStyle w:val="ListParagraph"/>
        <w:numPr>
          <w:ilvl w:val="0"/>
          <w:numId w:val="1"/>
        </w:numPr>
        <w:spacing w:line="240" w:lineRule="auto"/>
        <w:jc w:val="both"/>
        <w:rPr>
          <w:rFonts w:ascii="Palatino Linotype" w:hAnsi="Palatino Linotype"/>
          <w:b/>
        </w:rPr>
      </w:pPr>
      <w:r w:rsidRPr="005E58D9">
        <w:rPr>
          <w:rFonts w:ascii="Palatino Linotype" w:hAnsi="Palatino Linotype"/>
          <w:b/>
        </w:rPr>
        <w:t xml:space="preserve">Biased </w:t>
      </w:r>
      <w:proofErr w:type="spellStart"/>
      <w:r w:rsidRPr="005E58D9">
        <w:rPr>
          <w:rFonts w:ascii="Palatino Linotype" w:hAnsi="Palatino Linotype"/>
          <w:b/>
        </w:rPr>
        <w:t>Counseling</w:t>
      </w:r>
      <w:proofErr w:type="spellEnd"/>
      <w:r w:rsidRPr="005E58D9">
        <w:rPr>
          <w:rFonts w:ascii="Palatino Linotype" w:hAnsi="Palatino Linotype"/>
          <w:b/>
        </w:rPr>
        <w:t xml:space="preserve"> Requirements and Mandatory Waiting Period</w:t>
      </w:r>
    </w:p>
    <w:p w14:paraId="1A42BA5D" w14:textId="77777777" w:rsidR="00321259" w:rsidRPr="005E58D9" w:rsidRDefault="00321259" w:rsidP="00321259">
      <w:pPr>
        <w:pStyle w:val="ListParagraph"/>
        <w:spacing w:line="240" w:lineRule="auto"/>
        <w:jc w:val="both"/>
        <w:rPr>
          <w:rFonts w:ascii="Palatino Linotype" w:hAnsi="Palatino Linotype"/>
          <w:b/>
        </w:rPr>
      </w:pPr>
    </w:p>
    <w:p w14:paraId="594D6152" w14:textId="17C9C56A" w:rsidR="00443DCE" w:rsidRPr="005E58D9" w:rsidRDefault="00443DCE" w:rsidP="00443DCE">
      <w:pPr>
        <w:spacing w:line="240" w:lineRule="auto"/>
        <w:jc w:val="both"/>
        <w:rPr>
          <w:rFonts w:ascii="Palatino Linotype" w:hAnsi="Palatino Linotype"/>
        </w:rPr>
      </w:pPr>
      <w:r w:rsidRPr="005E58D9">
        <w:rPr>
          <w:rFonts w:ascii="Palatino Linotype" w:hAnsi="Palatino Linotype"/>
        </w:rPr>
        <w:t>While the CEDAW Committee called Hungary to ensure access to safe abortion without subjecting women to mandatory counselling and a medically unnecessary waiting period as recommended by the World Health Organization, the government has so far failed to comply with this obligation</w:t>
      </w:r>
      <w:r w:rsidR="00321259" w:rsidRPr="005E58D9">
        <w:rPr>
          <w:rFonts w:ascii="Palatino Linotype" w:hAnsi="Palatino Linotype"/>
        </w:rPr>
        <w:t>.</w:t>
      </w:r>
    </w:p>
    <w:p w14:paraId="697E62E5" w14:textId="5AED02CB" w:rsidR="00321259" w:rsidRPr="005E58D9" w:rsidRDefault="00321259" w:rsidP="00321259">
      <w:pPr>
        <w:spacing w:line="240" w:lineRule="auto"/>
        <w:jc w:val="both"/>
        <w:rPr>
          <w:rFonts w:ascii="Palatino Linotype" w:eastAsia="Times New Roman" w:hAnsi="Palatino Linotype" w:cs="Times New Roman"/>
          <w:highlight w:val="white"/>
        </w:rPr>
      </w:pPr>
      <w:r w:rsidRPr="005E58D9">
        <w:rPr>
          <w:rFonts w:ascii="Palatino Linotype" w:eastAsia="Times New Roman" w:hAnsi="Palatino Linotype" w:cs="Times New Roman"/>
          <w:highlight w:val="white"/>
        </w:rPr>
        <w:t xml:space="preserve">Pregnancy termination is available upon request, but </w:t>
      </w:r>
      <w:r w:rsidRPr="005E58D9">
        <w:rPr>
          <w:rFonts w:ascii="Palatino Linotype" w:hAnsi="Palatino Linotype"/>
        </w:rPr>
        <w:t xml:space="preserve">Hungary’s Act on the Protection of </w:t>
      </w:r>
      <w:proofErr w:type="spellStart"/>
      <w:r w:rsidRPr="005E58D9">
        <w:rPr>
          <w:rFonts w:ascii="Palatino Linotype" w:hAnsi="Palatino Linotype"/>
        </w:rPr>
        <w:t>Fetal</w:t>
      </w:r>
      <w:proofErr w:type="spellEnd"/>
      <w:r w:rsidRPr="005E58D9">
        <w:rPr>
          <w:rFonts w:ascii="Palatino Linotype" w:hAnsi="Palatino Linotype"/>
        </w:rPr>
        <w:t xml:space="preserve"> Life mandates two </w:t>
      </w:r>
      <w:proofErr w:type="spellStart"/>
      <w:r w:rsidRPr="005E58D9">
        <w:rPr>
          <w:rFonts w:ascii="Palatino Linotype" w:hAnsi="Palatino Linotype"/>
        </w:rPr>
        <w:t>counseling</w:t>
      </w:r>
      <w:proofErr w:type="spellEnd"/>
      <w:r w:rsidRPr="005E58D9">
        <w:rPr>
          <w:rFonts w:ascii="Palatino Linotype" w:hAnsi="Palatino Linotype"/>
        </w:rPr>
        <w:t xml:space="preserve"> sessions with a three-day waiting period between the sessions before a woman can obtain an abortion.</w:t>
      </w:r>
      <w:r w:rsidRPr="005E58D9">
        <w:rPr>
          <w:rStyle w:val="EndnoteReference"/>
          <w:rFonts w:ascii="Palatino Linotype" w:hAnsi="Palatino Linotype"/>
        </w:rPr>
        <w:endnoteReference w:id="5"/>
      </w:r>
      <w:r w:rsidR="00620254" w:rsidRPr="005E58D9">
        <w:rPr>
          <w:rFonts w:ascii="Palatino Linotype" w:hAnsi="Palatino Linotype"/>
        </w:rPr>
        <w:t xml:space="preserve">. However, in </w:t>
      </w:r>
      <w:proofErr w:type="gramStart"/>
      <w:r w:rsidR="00620254" w:rsidRPr="005E58D9">
        <w:rPr>
          <w:rFonts w:ascii="Palatino Linotype" w:hAnsi="Palatino Linotype"/>
        </w:rPr>
        <w:t>a research</w:t>
      </w:r>
      <w:proofErr w:type="gramEnd"/>
      <w:r w:rsidR="00620254" w:rsidRPr="005E58D9">
        <w:rPr>
          <w:rFonts w:ascii="Palatino Linotype" w:hAnsi="Palatino Linotype"/>
        </w:rPr>
        <w:t xml:space="preserve"> conducted by PATENT Association (2024), women reported that the waiting time can be up to 7 days long due to access barrie</w:t>
      </w:r>
      <w:r w:rsidR="00834E53" w:rsidRPr="005E58D9">
        <w:rPr>
          <w:rFonts w:ascii="Palatino Linotype" w:hAnsi="Palatino Linotype"/>
        </w:rPr>
        <w:t>rs</w:t>
      </w:r>
      <w:r w:rsidR="005D0CB5" w:rsidRPr="005E58D9">
        <w:rPr>
          <w:rStyle w:val="EndnoteReference"/>
          <w:rFonts w:ascii="Palatino Linotype" w:eastAsia="Times New Roman" w:hAnsi="Palatino Linotype" w:cs="Times New Roman"/>
          <w:highlight w:val="white"/>
        </w:rPr>
        <w:endnoteReference w:id="6"/>
      </w:r>
      <w:r w:rsidRPr="005E58D9">
        <w:rPr>
          <w:rFonts w:ascii="Palatino Linotype" w:eastAsia="Times New Roman" w:hAnsi="Palatino Linotype" w:cs="Times New Roman"/>
          <w:highlight w:val="white"/>
        </w:rPr>
        <w:t xml:space="preserve">. The initial session is explicitly designed to discourage women from continuing with the procedure. </w:t>
      </w:r>
      <w:r w:rsidR="00620254" w:rsidRPr="005E58D9">
        <w:rPr>
          <w:rFonts w:ascii="Palatino Linotype" w:hAnsi="Palatino Linotype"/>
        </w:rPr>
        <w:t xml:space="preserve">Under Article 9 of the Act the objective of the first </w:t>
      </w:r>
      <w:proofErr w:type="spellStart"/>
      <w:r w:rsidR="00620254" w:rsidRPr="005E58D9">
        <w:rPr>
          <w:rFonts w:ascii="Palatino Linotype" w:hAnsi="Palatino Linotype"/>
        </w:rPr>
        <w:t>counseling</w:t>
      </w:r>
      <w:proofErr w:type="spellEnd"/>
      <w:r w:rsidR="00620254" w:rsidRPr="005E58D9">
        <w:rPr>
          <w:rFonts w:ascii="Palatino Linotype" w:hAnsi="Palatino Linotype"/>
        </w:rPr>
        <w:t xml:space="preserve"> session is to influence the women to continue the pregnancy. Women do not learn about their rights and the medical procedure until the second </w:t>
      </w:r>
      <w:proofErr w:type="spellStart"/>
      <w:r w:rsidR="00620254" w:rsidRPr="005E58D9">
        <w:rPr>
          <w:rFonts w:ascii="Palatino Linotype" w:hAnsi="Palatino Linotype"/>
        </w:rPr>
        <w:t>counseling</w:t>
      </w:r>
      <w:proofErr w:type="spellEnd"/>
      <w:r w:rsidR="00620254" w:rsidRPr="005E58D9">
        <w:rPr>
          <w:rFonts w:ascii="Palatino Linotype" w:hAnsi="Palatino Linotype"/>
        </w:rPr>
        <w:t xml:space="preserve"> session, which </w:t>
      </w:r>
      <w:proofErr w:type="gramStart"/>
      <w:r w:rsidR="00620254" w:rsidRPr="005E58D9">
        <w:rPr>
          <w:rFonts w:ascii="Palatino Linotype" w:hAnsi="Palatino Linotype"/>
        </w:rPr>
        <w:t>follows after</w:t>
      </w:r>
      <w:proofErr w:type="gramEnd"/>
      <w:r w:rsidR="00620254" w:rsidRPr="005E58D9">
        <w:rPr>
          <w:rFonts w:ascii="Palatino Linotype" w:hAnsi="Palatino Linotype"/>
        </w:rPr>
        <w:t xml:space="preserve"> three days mandatory waiting period</w:t>
      </w:r>
      <w:r w:rsidR="00620254" w:rsidRPr="005E58D9">
        <w:rPr>
          <w:rFonts w:ascii="Palatino Linotype" w:eastAsia="Times New Roman" w:hAnsi="Palatino Linotype" w:cs="Times New Roman"/>
          <w:highlight w:val="white"/>
        </w:rPr>
        <w:t xml:space="preserve">. </w:t>
      </w:r>
      <w:r w:rsidRPr="005E58D9">
        <w:rPr>
          <w:rFonts w:ascii="Palatino Linotype" w:eastAsia="Times New Roman" w:hAnsi="Palatino Linotype" w:cs="Times New Roman"/>
          <w:highlight w:val="white"/>
        </w:rPr>
        <w:t>Studies</w:t>
      </w:r>
      <w:r w:rsidR="00834E53" w:rsidRPr="005E58D9">
        <w:rPr>
          <w:rStyle w:val="EndnoteReference"/>
          <w:rFonts w:ascii="Palatino Linotype" w:eastAsia="Times New Roman" w:hAnsi="Palatino Linotype" w:cs="Times New Roman"/>
          <w:highlight w:val="white"/>
        </w:rPr>
        <w:endnoteReference w:id="7"/>
      </w:r>
      <w:r w:rsidRPr="005E58D9">
        <w:rPr>
          <w:rFonts w:ascii="Palatino Linotype" w:eastAsia="Times New Roman" w:hAnsi="Palatino Linotype" w:cs="Times New Roman"/>
          <w:highlight w:val="white"/>
        </w:rPr>
        <w:t xml:space="preserve"> indicate that these sessions often present selectively framed information, highlighting risks associated with abortion while minimizing those linked to childbirth, and frequently rely on guilt-inducing tactics that undermine women’s dignity. Many women also report increasing difficulties in securing appointments for these sessions, as facilities may leave calls unanswered for days. Compounding this, certain religious organizations have now been granted state recognition to deliver these mandatory consultations.</w:t>
      </w:r>
    </w:p>
    <w:p w14:paraId="0A3193A1" w14:textId="0313CC49" w:rsidR="00443DCE" w:rsidRPr="005E58D9" w:rsidRDefault="00446911" w:rsidP="00443DCE">
      <w:pPr>
        <w:spacing w:line="240" w:lineRule="auto"/>
        <w:jc w:val="both"/>
        <w:rPr>
          <w:rFonts w:ascii="Palatino Linotype" w:hAnsi="Palatino Linotype"/>
        </w:rPr>
      </w:pPr>
      <w:r w:rsidRPr="005E58D9">
        <w:rPr>
          <w:rFonts w:ascii="Palatino Linotype" w:hAnsi="Palatino Linotype"/>
        </w:rPr>
        <w:t xml:space="preserve">Since 93% of women seeking an abortion in Hungary do not change their decision </w:t>
      </w:r>
      <w:proofErr w:type="gramStart"/>
      <w:r w:rsidRPr="005E58D9">
        <w:rPr>
          <w:rFonts w:ascii="Palatino Linotype" w:hAnsi="Palatino Linotype"/>
        </w:rPr>
        <w:t>as a result of</w:t>
      </w:r>
      <w:proofErr w:type="gramEnd"/>
      <w:r w:rsidRPr="005E58D9">
        <w:rPr>
          <w:rFonts w:ascii="Palatino Linotype" w:hAnsi="Palatino Linotype"/>
        </w:rPr>
        <w:t xml:space="preserve"> the </w:t>
      </w:r>
      <w:proofErr w:type="spellStart"/>
      <w:r w:rsidRPr="005E58D9">
        <w:rPr>
          <w:rFonts w:ascii="Palatino Linotype" w:hAnsi="Palatino Linotype"/>
        </w:rPr>
        <w:t>counseling</w:t>
      </w:r>
      <w:proofErr w:type="spellEnd"/>
      <w:r w:rsidR="006D51E0" w:rsidRPr="005E58D9">
        <w:rPr>
          <w:rStyle w:val="EndnoteReference"/>
          <w:rFonts w:ascii="Palatino Linotype" w:hAnsi="Palatino Linotype"/>
        </w:rPr>
        <w:endnoteReference w:id="8"/>
      </w:r>
      <w:r w:rsidRPr="005E58D9">
        <w:rPr>
          <w:rFonts w:ascii="Palatino Linotype" w:hAnsi="Palatino Linotype"/>
        </w:rPr>
        <w:t xml:space="preserve">, the </w:t>
      </w:r>
      <w:proofErr w:type="spellStart"/>
      <w:r w:rsidRPr="005E58D9">
        <w:rPr>
          <w:rFonts w:ascii="Palatino Linotype" w:hAnsi="Palatino Linotype"/>
        </w:rPr>
        <w:t>counseling</w:t>
      </w:r>
      <w:proofErr w:type="spellEnd"/>
      <w:r w:rsidRPr="005E58D9">
        <w:rPr>
          <w:rFonts w:ascii="Palatino Linotype" w:hAnsi="Palatino Linotype"/>
        </w:rPr>
        <w:t xml:space="preserve"> requirement and the waiting period in themselves constitute unnecessary impediments which are not conform with the premises of CEDAW. In addition, since biased </w:t>
      </w:r>
      <w:proofErr w:type="spellStart"/>
      <w:r w:rsidRPr="005E58D9">
        <w:rPr>
          <w:rFonts w:ascii="Palatino Linotype" w:hAnsi="Palatino Linotype"/>
        </w:rPr>
        <w:t>counseling</w:t>
      </w:r>
      <w:proofErr w:type="spellEnd"/>
      <w:r w:rsidRPr="005E58D9">
        <w:rPr>
          <w:rFonts w:ascii="Palatino Linotype" w:hAnsi="Palatino Linotype"/>
        </w:rPr>
        <w:t xml:space="preserve"> in Hungary creates serious obstacles to women asserting their rights to health and to freely decide on the number of spacing of their children, Hungary violates their obligations under CEDAW to “respect, protect and </w:t>
      </w:r>
      <w:proofErr w:type="spellStart"/>
      <w:r w:rsidRPr="005E58D9">
        <w:rPr>
          <w:rFonts w:ascii="Palatino Linotype" w:hAnsi="Palatino Linotype"/>
        </w:rPr>
        <w:t>fulfill</w:t>
      </w:r>
      <w:proofErr w:type="spellEnd"/>
      <w:r w:rsidRPr="005E58D9">
        <w:rPr>
          <w:rFonts w:ascii="Palatino Linotype" w:hAnsi="Palatino Linotype"/>
        </w:rPr>
        <w:t>”</w:t>
      </w:r>
      <w:r w:rsidRPr="005E58D9">
        <w:rPr>
          <w:rStyle w:val="EndnoteReference"/>
          <w:rFonts w:ascii="Palatino Linotype" w:hAnsi="Palatino Linotype"/>
        </w:rPr>
        <w:endnoteReference w:id="9"/>
      </w:r>
      <w:r w:rsidRPr="005E58D9">
        <w:rPr>
          <w:rFonts w:ascii="Palatino Linotype" w:hAnsi="Palatino Linotype"/>
        </w:rPr>
        <w:t xml:space="preserve"> these rights.</w:t>
      </w:r>
    </w:p>
    <w:p w14:paraId="52742BFB" w14:textId="77777777" w:rsidR="00446911" w:rsidRPr="005E58D9" w:rsidRDefault="00446911" w:rsidP="00443DCE">
      <w:pPr>
        <w:spacing w:line="240" w:lineRule="auto"/>
        <w:jc w:val="both"/>
        <w:rPr>
          <w:rFonts w:ascii="Palatino Linotype" w:hAnsi="Palatino Linotype"/>
        </w:rPr>
      </w:pPr>
    </w:p>
    <w:p w14:paraId="48224C78" w14:textId="62E4F5F1" w:rsidR="00100CDA" w:rsidRPr="005E58D9" w:rsidRDefault="00100CDA" w:rsidP="00100CDA">
      <w:pPr>
        <w:pStyle w:val="ListParagraph2"/>
        <w:numPr>
          <w:ilvl w:val="0"/>
          <w:numId w:val="1"/>
        </w:numPr>
        <w:autoSpaceDE w:val="0"/>
        <w:autoSpaceDN w:val="0"/>
        <w:adjustRightInd w:val="0"/>
        <w:spacing w:after="0" w:line="240" w:lineRule="auto"/>
        <w:jc w:val="both"/>
        <w:rPr>
          <w:rFonts w:ascii="Palatino Linotype" w:hAnsi="Palatino Linotype"/>
          <w:b/>
          <w:lang w:val="en-GB"/>
        </w:rPr>
      </w:pPr>
      <w:r w:rsidRPr="005E58D9">
        <w:rPr>
          <w:rFonts w:ascii="Palatino Linotype" w:hAnsi="Palatino Linotype"/>
          <w:b/>
          <w:lang w:val="en-GB"/>
        </w:rPr>
        <w:t xml:space="preserve">Unregulated Practice of Conscientious Objection  </w:t>
      </w:r>
    </w:p>
    <w:p w14:paraId="7FF72A64" w14:textId="51E5239F" w:rsidR="00100CDA" w:rsidRPr="005E58D9" w:rsidRDefault="00100CDA" w:rsidP="00100CDA">
      <w:pPr>
        <w:spacing w:line="240" w:lineRule="auto"/>
        <w:jc w:val="both"/>
        <w:rPr>
          <w:rFonts w:ascii="Palatino Linotype" w:hAnsi="Palatino Linotype"/>
        </w:rPr>
      </w:pPr>
      <w:r w:rsidRPr="005E58D9">
        <w:rPr>
          <w:rFonts w:ascii="Palatino Linotype" w:hAnsi="Palatino Linotype"/>
        </w:rPr>
        <w:t xml:space="preserve">Under the Act on the Protection of </w:t>
      </w:r>
      <w:proofErr w:type="spellStart"/>
      <w:r w:rsidRPr="005E58D9">
        <w:rPr>
          <w:rFonts w:ascii="Palatino Linotype" w:hAnsi="Palatino Linotype"/>
        </w:rPr>
        <w:t>Fetal</w:t>
      </w:r>
      <w:proofErr w:type="spellEnd"/>
      <w:r w:rsidRPr="005E58D9">
        <w:rPr>
          <w:rFonts w:ascii="Palatino Linotype" w:hAnsi="Palatino Linotype"/>
        </w:rPr>
        <w:t xml:space="preserve"> Life, “[n]o physician or other health care worker may </w:t>
      </w:r>
      <w:r w:rsidR="00834E53" w:rsidRPr="005E58D9">
        <w:rPr>
          <w:rFonts w:ascii="Palatino Linotype" w:hAnsi="Palatino Linotype"/>
        </w:rPr>
        <w:t>e</w:t>
      </w:r>
      <w:r w:rsidRPr="005E58D9">
        <w:rPr>
          <w:rFonts w:ascii="Palatino Linotype" w:hAnsi="Palatino Linotype"/>
        </w:rPr>
        <w:t>xcept if the pregnant woman’s life is endangered.”</w:t>
      </w:r>
      <w:r w:rsidRPr="005E58D9">
        <w:rPr>
          <w:rStyle w:val="EndnoteReference"/>
          <w:rFonts w:ascii="Palatino Linotype" w:hAnsi="Palatino Linotype"/>
        </w:rPr>
        <w:endnoteReference w:id="10"/>
      </w:r>
      <w:r w:rsidRPr="005E58D9">
        <w:rPr>
          <w:rFonts w:ascii="Palatino Linotype" w:hAnsi="Palatino Linotype"/>
          <w:vertAlign w:val="superscript"/>
        </w:rPr>
        <w:t xml:space="preserve"> </w:t>
      </w:r>
      <w:r w:rsidRPr="005E58D9">
        <w:rPr>
          <w:rFonts w:ascii="Palatino Linotype" w:hAnsi="Palatino Linotype"/>
        </w:rPr>
        <w:t xml:space="preserve">Although the Act mandates every state- or local government-run hospital with an obstetrical or </w:t>
      </w:r>
      <w:proofErr w:type="spellStart"/>
      <w:r w:rsidRPr="005E58D9">
        <w:rPr>
          <w:rFonts w:ascii="Palatino Linotype" w:hAnsi="Palatino Linotype"/>
        </w:rPr>
        <w:t>gynecology</w:t>
      </w:r>
      <w:proofErr w:type="spellEnd"/>
      <w:r w:rsidRPr="005E58D9">
        <w:rPr>
          <w:rFonts w:ascii="Palatino Linotype" w:hAnsi="Palatino Linotype"/>
        </w:rPr>
        <w:t xml:space="preserve"> ward to provide at least one medical group ready to perform abortions,</w:t>
      </w:r>
      <w:r w:rsidRPr="005E58D9">
        <w:rPr>
          <w:rStyle w:val="EndnoteReference"/>
          <w:rFonts w:ascii="Palatino Linotype" w:hAnsi="Palatino Linotype"/>
        </w:rPr>
        <w:endnoteReference w:id="11"/>
      </w:r>
      <w:r w:rsidRPr="005E58D9">
        <w:rPr>
          <w:rFonts w:ascii="Palatino Linotype" w:hAnsi="Palatino Linotype"/>
        </w:rPr>
        <w:t xml:space="preserve"> a rising number of hospitals have joined the so-called “abortion-free days” initiative organized by the anti-choice organization Alfa </w:t>
      </w:r>
      <w:r w:rsidRPr="005E58D9">
        <w:rPr>
          <w:rFonts w:ascii="Palatino Linotype" w:hAnsi="Palatino Linotype"/>
        </w:rPr>
        <w:lastRenderedPageBreak/>
        <w:t>Alliance</w:t>
      </w:r>
      <w:r w:rsidR="00A72EC8" w:rsidRPr="005E58D9">
        <w:rPr>
          <w:rFonts w:ascii="Palatino Linotype" w:hAnsi="Palatino Linotype"/>
        </w:rPr>
        <w:t xml:space="preserve">. </w:t>
      </w:r>
      <w:r w:rsidR="004A7098" w:rsidRPr="005E58D9">
        <w:rPr>
          <w:rFonts w:ascii="Palatino Linotype" w:hAnsi="Palatino Linotype"/>
        </w:rPr>
        <w:t>The association calls upon the hospitals to completely avoid performing abortions on three days of the year: 28</w:t>
      </w:r>
      <w:r w:rsidR="004A7098" w:rsidRPr="005E58D9">
        <w:rPr>
          <w:rFonts w:ascii="Palatino Linotype" w:hAnsi="Palatino Linotype"/>
          <w:vertAlign w:val="superscript"/>
        </w:rPr>
        <w:t>th</w:t>
      </w:r>
      <w:r w:rsidR="004A7098" w:rsidRPr="005E58D9">
        <w:rPr>
          <w:rFonts w:ascii="Palatino Linotype" w:hAnsi="Palatino Linotype"/>
        </w:rPr>
        <w:t xml:space="preserve"> December, the day of the Holy Innocents, 1</w:t>
      </w:r>
      <w:r w:rsidR="004A7098" w:rsidRPr="005E58D9">
        <w:rPr>
          <w:rFonts w:ascii="Palatino Linotype" w:hAnsi="Palatino Linotype"/>
          <w:vertAlign w:val="superscript"/>
        </w:rPr>
        <w:t>st</w:t>
      </w:r>
      <w:r w:rsidR="004A7098" w:rsidRPr="005E58D9">
        <w:rPr>
          <w:rFonts w:ascii="Palatino Linotype" w:hAnsi="Palatino Linotype"/>
        </w:rPr>
        <w:t xml:space="preserve"> June, which anti-abortion groups have entitled the International Day of Life, and 25</w:t>
      </w:r>
      <w:r w:rsidR="004A7098" w:rsidRPr="005E58D9">
        <w:rPr>
          <w:rFonts w:ascii="Palatino Linotype" w:hAnsi="Palatino Linotype"/>
          <w:vertAlign w:val="superscript"/>
        </w:rPr>
        <w:t>th</w:t>
      </w:r>
      <w:r w:rsidR="004A7098" w:rsidRPr="005E58D9">
        <w:rPr>
          <w:rFonts w:ascii="Palatino Linotype" w:hAnsi="Palatino Linotype"/>
        </w:rPr>
        <w:t xml:space="preserve"> March, which they call the Day of the Unborn Child. </w:t>
      </w:r>
    </w:p>
    <w:p w14:paraId="5398DD0A" w14:textId="77777777" w:rsidR="004A7098" w:rsidRPr="005E58D9" w:rsidRDefault="004A7098" w:rsidP="00100CDA">
      <w:pPr>
        <w:spacing w:line="240" w:lineRule="auto"/>
        <w:jc w:val="both"/>
        <w:rPr>
          <w:rFonts w:ascii="Palatino Linotype" w:hAnsi="Palatino Linotype"/>
        </w:rPr>
      </w:pPr>
    </w:p>
    <w:p w14:paraId="34FEF678" w14:textId="5F1B94D5" w:rsidR="004A7098" w:rsidRPr="005E58D9" w:rsidRDefault="004A7098" w:rsidP="004A7098">
      <w:pPr>
        <w:pStyle w:val="ListParagraph1"/>
        <w:autoSpaceDE w:val="0"/>
        <w:autoSpaceDN w:val="0"/>
        <w:adjustRightInd w:val="0"/>
        <w:spacing w:after="0" w:line="240" w:lineRule="auto"/>
        <w:ind w:left="1080"/>
        <w:jc w:val="both"/>
        <w:rPr>
          <w:rFonts w:ascii="Palatino Linotype" w:hAnsi="Palatino Linotype"/>
          <w:b/>
          <w:lang w:val="en-GB"/>
        </w:rPr>
      </w:pPr>
      <w:r w:rsidRPr="005E58D9">
        <w:rPr>
          <w:rFonts w:ascii="Palatino Linotype" w:hAnsi="Palatino Linotype"/>
          <w:b/>
          <w:lang w:val="en-GB"/>
        </w:rPr>
        <w:t>D.</w:t>
      </w:r>
      <w:r w:rsidRPr="005E58D9">
        <w:rPr>
          <w:rFonts w:ascii="Palatino Linotype" w:hAnsi="Palatino Linotype"/>
          <w:b/>
          <w:lang w:val="en-GB"/>
        </w:rPr>
        <w:tab/>
        <w:t xml:space="preserve">Abortion Tourism </w:t>
      </w:r>
    </w:p>
    <w:p w14:paraId="34423648" w14:textId="1E3BEAB4" w:rsidR="004A7098" w:rsidRPr="005E58D9" w:rsidRDefault="004A7098" w:rsidP="004A7098">
      <w:pPr>
        <w:autoSpaceDE w:val="0"/>
        <w:autoSpaceDN w:val="0"/>
        <w:adjustRightInd w:val="0"/>
        <w:spacing w:line="240" w:lineRule="auto"/>
        <w:jc w:val="both"/>
        <w:rPr>
          <w:rFonts w:ascii="Palatino Linotype" w:hAnsi="Palatino Linotype"/>
        </w:rPr>
      </w:pPr>
      <w:r w:rsidRPr="005E58D9">
        <w:rPr>
          <w:rFonts w:ascii="Palatino Linotype" w:hAnsi="Palatino Linotype"/>
        </w:rPr>
        <w:t>Cross-border abortion tourism is becoming increasingly significant: at a 2024 conference organized by PATENT Association, the head physician of an abortion clinic in Vienna, Austria reported that in his department alone, 10–15 Hungarian women seek abortion services every week.</w:t>
      </w:r>
      <w:r w:rsidRPr="005E58D9">
        <w:rPr>
          <w:rStyle w:val="EndnoteReference"/>
          <w:rFonts w:ascii="Palatino Linotype" w:hAnsi="Palatino Linotype"/>
        </w:rPr>
        <w:endnoteReference w:id="12"/>
      </w:r>
      <w:r w:rsidRPr="005E58D9">
        <w:rPr>
          <w:rFonts w:ascii="Palatino Linotype" w:hAnsi="Palatino Linotype"/>
        </w:rPr>
        <w:t xml:space="preserve"> This number increases from year to year. </w:t>
      </w:r>
    </w:p>
    <w:p w14:paraId="71AE4E25" w14:textId="77777777" w:rsidR="004A7098" w:rsidRPr="005E58D9" w:rsidRDefault="004A7098" w:rsidP="004A7098">
      <w:pPr>
        <w:spacing w:line="240" w:lineRule="auto"/>
        <w:jc w:val="both"/>
        <w:rPr>
          <w:rFonts w:ascii="Palatino Linotype" w:hAnsi="Palatino Linotype"/>
        </w:rPr>
      </w:pPr>
    </w:p>
    <w:p w14:paraId="0160488D" w14:textId="2A1CC5D2" w:rsidR="004A7098" w:rsidRPr="005E58D9" w:rsidRDefault="004A7098" w:rsidP="005D0CB5">
      <w:pPr>
        <w:pStyle w:val="ListParagraph2"/>
        <w:numPr>
          <w:ilvl w:val="0"/>
          <w:numId w:val="6"/>
        </w:numPr>
        <w:autoSpaceDE w:val="0"/>
        <w:autoSpaceDN w:val="0"/>
        <w:adjustRightInd w:val="0"/>
        <w:spacing w:after="0" w:line="240" w:lineRule="auto"/>
        <w:jc w:val="both"/>
        <w:rPr>
          <w:rFonts w:ascii="Palatino Linotype" w:hAnsi="Palatino Linotype"/>
          <w:lang w:val="en-GB"/>
        </w:rPr>
      </w:pPr>
      <w:r w:rsidRPr="005E58D9">
        <w:rPr>
          <w:rFonts w:ascii="Palatino Linotype" w:hAnsi="Palatino Linotype"/>
          <w:b/>
          <w:lang w:val="en-GB"/>
        </w:rPr>
        <w:t>Inaccessibility of Medical Abortion</w:t>
      </w:r>
    </w:p>
    <w:p w14:paraId="65CBEF95" w14:textId="5E1CF894" w:rsidR="004A7098" w:rsidRPr="005E58D9" w:rsidRDefault="004A7098" w:rsidP="004A7098">
      <w:pPr>
        <w:autoSpaceDE w:val="0"/>
        <w:autoSpaceDN w:val="0"/>
        <w:adjustRightInd w:val="0"/>
        <w:spacing w:line="240" w:lineRule="auto"/>
        <w:jc w:val="both"/>
        <w:rPr>
          <w:rFonts w:ascii="Palatino Linotype" w:eastAsia="HelveticaNeueLTStd-Roman" w:hAnsi="Palatino Linotype"/>
        </w:rPr>
      </w:pPr>
      <w:r w:rsidRPr="005E58D9">
        <w:rPr>
          <w:rFonts w:ascii="Palatino Linotype" w:hAnsi="Palatino Linotype"/>
        </w:rPr>
        <w:t xml:space="preserve">Even if abortion is legally available, </w:t>
      </w:r>
      <w:proofErr w:type="gramStart"/>
      <w:r w:rsidRPr="005E58D9">
        <w:rPr>
          <w:rFonts w:ascii="Palatino Linotype" w:hAnsi="Palatino Linotype"/>
        </w:rPr>
        <w:t>in order to</w:t>
      </w:r>
      <w:proofErr w:type="gramEnd"/>
      <w:r w:rsidRPr="005E58D9">
        <w:rPr>
          <w:rFonts w:ascii="Palatino Linotype" w:hAnsi="Palatino Linotype"/>
        </w:rPr>
        <w:t xml:space="preserve"> comply with CEDAW, this Committee has noted that safe abortions also </w:t>
      </w:r>
      <w:proofErr w:type="gramStart"/>
      <w:r w:rsidRPr="005E58D9">
        <w:rPr>
          <w:rFonts w:ascii="Palatino Linotype" w:hAnsi="Palatino Linotype"/>
        </w:rPr>
        <w:t>have to</w:t>
      </w:r>
      <w:proofErr w:type="gramEnd"/>
      <w:r w:rsidRPr="005E58D9">
        <w:rPr>
          <w:rFonts w:ascii="Palatino Linotype" w:hAnsi="Palatino Linotype"/>
        </w:rPr>
        <w:t xml:space="preserve"> be accessible. Although Act No. LXXIX of 1992 on the Protection of </w:t>
      </w:r>
      <w:proofErr w:type="spellStart"/>
      <w:r w:rsidRPr="005E58D9">
        <w:rPr>
          <w:rFonts w:ascii="Palatino Linotype" w:hAnsi="Palatino Linotype"/>
        </w:rPr>
        <w:t>Fetal</w:t>
      </w:r>
      <w:proofErr w:type="spellEnd"/>
      <w:r w:rsidRPr="005E58D9">
        <w:rPr>
          <w:rFonts w:ascii="Palatino Linotype" w:hAnsi="Palatino Linotype"/>
        </w:rPr>
        <w:t xml:space="preserve"> Life permits abortion, Hungary severely restricts women’s </w:t>
      </w:r>
      <w:r w:rsidRPr="005E58D9">
        <w:rPr>
          <w:rFonts w:ascii="Palatino Linotype" w:hAnsi="Palatino Linotype"/>
          <w:i/>
        </w:rPr>
        <w:t>de facto</w:t>
      </w:r>
      <w:r w:rsidRPr="005E58D9">
        <w:rPr>
          <w:rFonts w:ascii="Palatino Linotype" w:hAnsi="Palatino Linotype"/>
        </w:rPr>
        <w:t xml:space="preserve"> access to abortions by curbing the availability of medical abortions. The World Health Organization (WHO) has established that “</w:t>
      </w:r>
      <w:r w:rsidRPr="005E58D9">
        <w:rPr>
          <w:rFonts w:ascii="Palatino Linotype" w:eastAsia="HelveticaNeueLTStd-Roman" w:hAnsi="Palatino Linotype"/>
        </w:rPr>
        <w:t>medical methods of abortion have been proved to be safe and effective,”</w:t>
      </w:r>
      <w:r w:rsidRPr="005E58D9">
        <w:rPr>
          <w:rStyle w:val="EndnoteReference"/>
          <w:rFonts w:ascii="Palatino Linotype" w:eastAsia="HelveticaNeueLTStd-Roman" w:hAnsi="Palatino Linotype"/>
        </w:rPr>
        <w:endnoteReference w:id="13"/>
      </w:r>
      <w:r w:rsidRPr="005E58D9">
        <w:rPr>
          <w:rFonts w:ascii="Palatino Linotype" w:eastAsia="HelveticaNeueLTStd-Roman" w:hAnsi="Palatino Linotype"/>
        </w:rPr>
        <w:t xml:space="preserve"> and highlights that “[r]</w:t>
      </w:r>
      <w:proofErr w:type="spellStart"/>
      <w:r w:rsidRPr="005E58D9">
        <w:rPr>
          <w:rFonts w:ascii="Palatino Linotype" w:eastAsia="HelveticaNeueLTStd-Roman" w:hAnsi="Palatino Linotype"/>
        </w:rPr>
        <w:t>egistration</w:t>
      </w:r>
      <w:proofErr w:type="spellEnd"/>
      <w:r w:rsidRPr="005E58D9">
        <w:rPr>
          <w:rFonts w:ascii="Palatino Linotype" w:eastAsia="HelveticaNeueLTStd-Roman" w:hAnsi="Palatino Linotype"/>
        </w:rPr>
        <w:t xml:space="preserve"> and distribution of adequate supplies of drugs for medical abortion […] are essential for improving the quality of abortion services, for any legal indication”</w:t>
      </w:r>
      <w:r w:rsidR="00DA1AF9" w:rsidRPr="005E58D9">
        <w:rPr>
          <w:rFonts w:ascii="Palatino Linotype" w:eastAsia="HelveticaNeueLTStd-Roman" w:hAnsi="Palatino Linotype"/>
        </w:rPr>
        <w:t xml:space="preserve">. </w:t>
      </w:r>
      <w:r w:rsidRPr="005E58D9">
        <w:rPr>
          <w:rFonts w:ascii="Palatino Linotype" w:eastAsia="HelveticaNeueLTStd-Roman" w:hAnsi="Palatino Linotype"/>
        </w:rPr>
        <w:t>Medical abortion has proven acceptable in low-resource settings</w:t>
      </w:r>
      <w:r w:rsidRPr="005E58D9">
        <w:rPr>
          <w:rStyle w:val="EndnoteReference"/>
          <w:rFonts w:ascii="Palatino Linotype" w:eastAsia="HelveticaNeueLTStd-Roman" w:hAnsi="Palatino Linotype"/>
        </w:rPr>
        <w:endnoteReference w:id="14"/>
      </w:r>
      <w:r w:rsidRPr="005E58D9">
        <w:rPr>
          <w:rFonts w:ascii="Palatino Linotype" w:eastAsia="HelveticaNeueLTStd-Roman" w:hAnsi="Palatino Linotype"/>
        </w:rPr>
        <w:t xml:space="preserve"> since it is relatively inexpensive; in comparison to surgical abortions, it is often safer for the woman; and it can reduce costs for the health care system overall.  </w:t>
      </w:r>
    </w:p>
    <w:p w14:paraId="09C065AC" w14:textId="30FC3C7E" w:rsidR="00DA1AF9" w:rsidRPr="005E58D9" w:rsidRDefault="00DA1AF9" w:rsidP="00DA1AF9">
      <w:pPr>
        <w:spacing w:before="120" w:line="240" w:lineRule="auto"/>
        <w:jc w:val="both"/>
        <w:rPr>
          <w:rFonts w:ascii="Palatino Linotype" w:eastAsia="Times New Roman" w:hAnsi="Palatino Linotype" w:cs="Times New Roman"/>
          <w:highlight w:val="white"/>
        </w:rPr>
      </w:pPr>
      <w:r w:rsidRPr="005E58D9">
        <w:rPr>
          <w:rFonts w:ascii="Palatino Linotype" w:eastAsia="Times New Roman" w:hAnsi="Palatino Linotype" w:cs="Times New Roman"/>
          <w:highlight w:val="white"/>
        </w:rPr>
        <w:t xml:space="preserve">In Hungary, the only legally accessible method of abortion is still surgical. </w:t>
      </w:r>
      <w:r w:rsidRPr="005E58D9">
        <w:rPr>
          <w:rFonts w:ascii="Palatino Linotype" w:eastAsia="Times New Roman" w:hAnsi="Palatino Linotype" w:cs="Times New Roman"/>
          <w:b/>
          <w:bCs/>
          <w:highlight w:val="white"/>
        </w:rPr>
        <w:t>Medical abortion remains unavailable in Hungary</w:t>
      </w:r>
      <w:r w:rsidRPr="005E58D9">
        <w:rPr>
          <w:rFonts w:ascii="Palatino Linotype" w:eastAsia="Times New Roman" w:hAnsi="Palatino Linotype" w:cs="Times New Roman"/>
          <w:highlight w:val="white"/>
        </w:rPr>
        <w:t xml:space="preserve">, despite extensive international evidence confirming its safety. Although the EU-approved abortion pill </w:t>
      </w:r>
      <w:proofErr w:type="spellStart"/>
      <w:r w:rsidRPr="005E58D9">
        <w:rPr>
          <w:rFonts w:ascii="Palatino Linotype" w:eastAsia="Times New Roman" w:hAnsi="Palatino Linotype" w:cs="Times New Roman"/>
          <w:highlight w:val="white"/>
        </w:rPr>
        <w:t>Medabon</w:t>
      </w:r>
      <w:proofErr w:type="spellEnd"/>
      <w:r w:rsidRPr="005E58D9">
        <w:rPr>
          <w:rFonts w:ascii="Palatino Linotype" w:eastAsia="Times New Roman" w:hAnsi="Palatino Linotype" w:cs="Times New Roman"/>
          <w:highlight w:val="white"/>
        </w:rPr>
        <w:t xml:space="preserve"> received marketing authorization in the country in 2012, the responsible ministry decided against its distribution, manufacture, or use. Denying access to a less invasive method, associated with fewer short- and long-term health risks, constitutes a violation of human rights. Moreover, the absence of safe and timely abortion access is a contributing factor to preventable maternal morbidity and mortality.</w:t>
      </w:r>
    </w:p>
    <w:p w14:paraId="0199AB86" w14:textId="77777777" w:rsidR="00DA1AF9" w:rsidRPr="005E58D9" w:rsidRDefault="00DA1AF9" w:rsidP="004A7098">
      <w:pPr>
        <w:autoSpaceDE w:val="0"/>
        <w:autoSpaceDN w:val="0"/>
        <w:adjustRightInd w:val="0"/>
        <w:spacing w:line="240" w:lineRule="auto"/>
        <w:contextualSpacing/>
        <w:jc w:val="both"/>
        <w:rPr>
          <w:rFonts w:ascii="Palatino Linotype" w:hAnsi="Palatino Linotype"/>
        </w:rPr>
      </w:pPr>
    </w:p>
    <w:p w14:paraId="7F55E9B3" w14:textId="44282BA9" w:rsidR="00DA1AF9" w:rsidRPr="005E58D9" w:rsidRDefault="00DA1AF9" w:rsidP="005D0CB5">
      <w:pPr>
        <w:pStyle w:val="ListParagraph2"/>
        <w:numPr>
          <w:ilvl w:val="0"/>
          <w:numId w:val="6"/>
        </w:numPr>
        <w:autoSpaceDE w:val="0"/>
        <w:autoSpaceDN w:val="0"/>
        <w:adjustRightInd w:val="0"/>
        <w:spacing w:after="0" w:line="240" w:lineRule="auto"/>
        <w:jc w:val="both"/>
        <w:rPr>
          <w:rFonts w:ascii="Palatino Linotype" w:hAnsi="Palatino Linotype"/>
          <w:b/>
          <w:lang w:val="en-GB"/>
        </w:rPr>
      </w:pPr>
      <w:r w:rsidRPr="005E58D9">
        <w:rPr>
          <w:rFonts w:ascii="Palatino Linotype" w:hAnsi="Palatino Linotype"/>
          <w:b/>
          <w:lang w:val="en-GB"/>
        </w:rPr>
        <w:t xml:space="preserve">Absence of Adequate Mandatory Sexuality Education in Schools </w:t>
      </w:r>
    </w:p>
    <w:p w14:paraId="1DF376CF" w14:textId="77777777" w:rsidR="00DA1AF9" w:rsidRPr="005E58D9" w:rsidRDefault="00DA1AF9" w:rsidP="00DA1AF9">
      <w:pPr>
        <w:pStyle w:val="ListParagraph2"/>
        <w:autoSpaceDE w:val="0"/>
        <w:autoSpaceDN w:val="0"/>
        <w:adjustRightInd w:val="0"/>
        <w:spacing w:after="0" w:line="240" w:lineRule="auto"/>
        <w:jc w:val="both"/>
        <w:rPr>
          <w:rFonts w:ascii="Palatino Linotype" w:hAnsi="Palatino Linotype"/>
          <w:b/>
          <w:lang w:val="en-GB"/>
        </w:rPr>
      </w:pPr>
    </w:p>
    <w:p w14:paraId="1D50B142" w14:textId="126930D5" w:rsidR="00EC0A3B" w:rsidRPr="005E58D9" w:rsidRDefault="00DA1AF9" w:rsidP="00184DDE">
      <w:pPr>
        <w:spacing w:line="240" w:lineRule="auto"/>
        <w:jc w:val="both"/>
        <w:rPr>
          <w:rFonts w:ascii="Palatino Linotype" w:eastAsia="Times New Roman" w:hAnsi="Palatino Linotype" w:cs="Times New Roman"/>
          <w:highlight w:val="white"/>
        </w:rPr>
      </w:pPr>
      <w:r w:rsidRPr="005E58D9">
        <w:rPr>
          <w:rFonts w:ascii="Palatino Linotype" w:hAnsi="Palatino Linotype"/>
        </w:rPr>
        <w:t>General Recommendation 24 mandates that “[p]</w:t>
      </w:r>
      <w:proofErr w:type="spellStart"/>
      <w:r w:rsidRPr="005E58D9">
        <w:rPr>
          <w:rFonts w:ascii="Palatino Linotype" w:hAnsi="Palatino Linotype"/>
        </w:rPr>
        <w:t>articular</w:t>
      </w:r>
      <w:proofErr w:type="spellEnd"/>
      <w:r w:rsidRPr="005E58D9">
        <w:rPr>
          <w:rFonts w:ascii="Palatino Linotype" w:hAnsi="Palatino Linotype"/>
        </w:rPr>
        <w:t xml:space="preserve"> attention should be paid to the health education of adolescents, including information and counselling on all methods of family planning.</w:t>
      </w:r>
      <w:r w:rsidRPr="005E58D9">
        <w:rPr>
          <w:rFonts w:ascii="Palatino Linotype" w:hAnsi="Palatino Linotype"/>
          <w:bCs/>
        </w:rPr>
        <w:t>”</w:t>
      </w:r>
      <w:r w:rsidRPr="005E58D9">
        <w:rPr>
          <w:rStyle w:val="EndnoteReference"/>
          <w:rFonts w:ascii="Palatino Linotype" w:hAnsi="Palatino Linotype"/>
          <w:bCs/>
        </w:rPr>
        <w:endnoteReference w:id="15"/>
      </w:r>
      <w:r w:rsidRPr="005E58D9">
        <w:rPr>
          <w:rFonts w:ascii="Palatino Linotype" w:hAnsi="Palatino Linotype"/>
        </w:rPr>
        <w:t xml:space="preserve"> Moreover, this Committee, as well as several other UNTMBs, has recognized that a lack of sexuality education is an obstacle to the states’ compliance with their treaty obligations to ensure the right to life, health, non-discrimination, education and information.</w:t>
      </w:r>
      <w:r w:rsidRPr="005E58D9">
        <w:rPr>
          <w:rStyle w:val="EndnoteReference"/>
          <w:rFonts w:ascii="Palatino Linotype" w:hAnsi="Palatino Linotype"/>
        </w:rPr>
        <w:endnoteReference w:id="16"/>
      </w:r>
      <w:r w:rsidRPr="005E58D9">
        <w:rPr>
          <w:rFonts w:ascii="Palatino Linotype" w:hAnsi="Palatino Linotype"/>
        </w:rPr>
        <w:t xml:space="preserve"> In its Concluding Observations on Hungary in </w:t>
      </w:r>
      <w:r w:rsidR="003E1238" w:rsidRPr="005E58D9">
        <w:rPr>
          <w:rFonts w:ascii="Palatino Linotype" w:hAnsi="Palatino Linotype"/>
        </w:rPr>
        <w:t>both 2013 and 2023, the CEDAW</w:t>
      </w:r>
      <w:r w:rsidRPr="005E58D9">
        <w:rPr>
          <w:rFonts w:ascii="Palatino Linotype" w:hAnsi="Palatino Linotype"/>
        </w:rPr>
        <w:t xml:space="preserve"> Committee </w:t>
      </w:r>
      <w:r w:rsidR="003E1238" w:rsidRPr="005E58D9">
        <w:rPr>
          <w:rFonts w:ascii="Palatino Linotype" w:hAnsi="Palatino Linotype"/>
        </w:rPr>
        <w:t xml:space="preserve">urged Hungary to </w:t>
      </w:r>
      <w:r w:rsidRPr="005E58D9">
        <w:rPr>
          <w:rFonts w:ascii="Palatino Linotype" w:hAnsi="Palatino Linotype"/>
          <w:i/>
          <w:iCs/>
        </w:rPr>
        <w:t>“</w:t>
      </w:r>
      <w:r w:rsidR="003E1238" w:rsidRPr="005E58D9">
        <w:rPr>
          <w:rFonts w:ascii="Palatino Linotype" w:hAnsi="Palatino Linotype"/>
          <w:i/>
          <w:iCs/>
        </w:rPr>
        <w:t xml:space="preserve">integrate mandatory education on sexual and reproductive health and rights in school curricula, including education on responsible sexual behaviour, modern forms of contraception, the prevention of sexually transmitted infections and the risks of unsafe abortion, and provide related training for teachers” </w:t>
      </w:r>
      <w:r w:rsidR="00EC0A3B" w:rsidRPr="005E58D9">
        <w:rPr>
          <w:rFonts w:ascii="Palatino Linotype" w:hAnsi="Palatino Linotype"/>
        </w:rPr>
        <w:t xml:space="preserve">the Government not only ignored the recommendation, but clearly acted against it. </w:t>
      </w:r>
      <w:r w:rsidR="00EC0A3B" w:rsidRPr="005E58D9">
        <w:rPr>
          <w:rFonts w:ascii="Palatino Linotype" w:eastAsia="Times New Roman" w:hAnsi="Palatino Linotype" w:cs="Times New Roman"/>
          <w:highlight w:val="white"/>
        </w:rPr>
        <w:t xml:space="preserve">Sexuality education is not part of teacher training, while the national curriculum includes so-called “family life education,” which frames abortion primarily as a danger and emphasizes the “protection of life from conception.” </w:t>
      </w:r>
      <w:r w:rsidR="008B5E8C" w:rsidRPr="005E58D9">
        <w:rPr>
          <w:rStyle w:val="EndnoteReference"/>
          <w:rFonts w:ascii="Palatino Linotype" w:eastAsia="Times New Roman" w:hAnsi="Palatino Linotype" w:cs="Times New Roman"/>
          <w:highlight w:val="white"/>
        </w:rPr>
        <w:endnoteReference w:id="17"/>
      </w:r>
    </w:p>
    <w:p w14:paraId="3BAD0426" w14:textId="65D8C086" w:rsidR="00EC0A3B" w:rsidRPr="005E58D9" w:rsidRDefault="00EC0A3B" w:rsidP="00184DDE">
      <w:pPr>
        <w:spacing w:line="240" w:lineRule="auto"/>
        <w:jc w:val="both"/>
        <w:rPr>
          <w:rFonts w:ascii="Palatino Linotype" w:eastAsia="Times New Roman" w:hAnsi="Palatino Linotype" w:cs="Times New Roman"/>
          <w:highlight w:val="white"/>
        </w:rPr>
      </w:pPr>
      <w:r w:rsidRPr="005E58D9">
        <w:rPr>
          <w:rFonts w:ascii="Palatino Linotype" w:eastAsia="Times New Roman" w:hAnsi="Palatino Linotype" w:cs="Times New Roman"/>
          <w:highlight w:val="white"/>
        </w:rPr>
        <w:lastRenderedPageBreak/>
        <w:t>Moreover, the Act LXXIX of 2021</w:t>
      </w:r>
      <w:r w:rsidR="00E67A70" w:rsidRPr="005E58D9">
        <w:rPr>
          <w:rStyle w:val="EndnoteReference"/>
          <w:rFonts w:ascii="Palatino Linotype" w:eastAsia="Times New Roman" w:hAnsi="Palatino Linotype" w:cs="Times New Roman"/>
          <w:highlight w:val="white"/>
        </w:rPr>
        <w:endnoteReference w:id="18"/>
      </w:r>
      <w:r w:rsidRPr="005E58D9">
        <w:rPr>
          <w:rFonts w:ascii="Palatino Linotype" w:eastAsia="Times New Roman" w:hAnsi="Palatino Linotype" w:cs="Times New Roman"/>
          <w:highlight w:val="white"/>
        </w:rPr>
        <w:t xml:space="preserve"> further restricted sexuality education by barring civil society and women’s rights organizations from carrying out prevention work in schools. According to this law, only state-approved actors can provide programs on sexual culture, relationships, or health, effectively excluding independent expertise and critical perspectives.</w:t>
      </w:r>
      <w:r w:rsidRPr="005E58D9">
        <w:rPr>
          <w:rFonts w:ascii="Palatino Linotype" w:eastAsia="Times New Roman" w:hAnsi="Palatino Linotype" w:cs="Times New Roman"/>
          <w:highlight w:val="white"/>
          <w:vertAlign w:val="superscript"/>
        </w:rPr>
        <w:footnoteReference w:id="1"/>
      </w:r>
    </w:p>
    <w:p w14:paraId="03613869" w14:textId="7784FC9B" w:rsidR="00EC0A3B" w:rsidRPr="005E58D9" w:rsidRDefault="00EC0A3B" w:rsidP="00184DDE">
      <w:pPr>
        <w:spacing w:line="240" w:lineRule="auto"/>
        <w:jc w:val="both"/>
        <w:rPr>
          <w:rFonts w:ascii="Palatino Linotype" w:eastAsia="Times New Roman" w:hAnsi="Palatino Linotype" w:cs="Times New Roman"/>
          <w:highlight w:val="white"/>
        </w:rPr>
      </w:pPr>
      <w:r w:rsidRPr="005E58D9">
        <w:rPr>
          <w:rFonts w:ascii="Palatino Linotype" w:eastAsia="Times New Roman" w:hAnsi="Palatino Linotype" w:cs="Times New Roman"/>
          <w:highlight w:val="white"/>
        </w:rPr>
        <w:t xml:space="preserve">In response to the State party’s emphasis on “prevention,” it must be underlined that genuine prevention of unwanted pregnancies requires (1) comprehensive, science-based sexuality education that promotes gender equality, and (2) accessible contraception. Both areas suffer from severe shortcomings in Hungary. </w:t>
      </w:r>
    </w:p>
    <w:p w14:paraId="2021AF1B" w14:textId="43BDB9AF" w:rsidR="00DA1AF9" w:rsidRPr="005E58D9" w:rsidRDefault="00DA1AF9" w:rsidP="00DA1AF9">
      <w:pPr>
        <w:autoSpaceDE w:val="0"/>
        <w:autoSpaceDN w:val="0"/>
        <w:adjustRightInd w:val="0"/>
        <w:spacing w:line="240" w:lineRule="auto"/>
        <w:jc w:val="both"/>
        <w:rPr>
          <w:rFonts w:ascii="Palatino Linotype" w:hAnsi="Palatino Linotype"/>
        </w:rPr>
      </w:pPr>
    </w:p>
    <w:p w14:paraId="58FD6BC3" w14:textId="7E7FFF22" w:rsidR="00184DDE" w:rsidRPr="005E58D9" w:rsidRDefault="00184DDE" w:rsidP="005D0CB5">
      <w:pPr>
        <w:pStyle w:val="ListParagraph2"/>
        <w:numPr>
          <w:ilvl w:val="0"/>
          <w:numId w:val="6"/>
        </w:numPr>
        <w:autoSpaceDE w:val="0"/>
        <w:autoSpaceDN w:val="0"/>
        <w:adjustRightInd w:val="0"/>
        <w:spacing w:after="0" w:line="240" w:lineRule="auto"/>
        <w:jc w:val="both"/>
        <w:rPr>
          <w:rFonts w:ascii="Palatino Linotype" w:hAnsi="Palatino Linotype"/>
          <w:b/>
          <w:lang w:val="en-GB"/>
        </w:rPr>
      </w:pPr>
      <w:r w:rsidRPr="005E58D9">
        <w:rPr>
          <w:rFonts w:ascii="Palatino Linotype" w:hAnsi="Palatino Linotype"/>
          <w:b/>
          <w:lang w:val="en-GB"/>
        </w:rPr>
        <w:t>Lack of Contraceptive Coverage</w:t>
      </w:r>
    </w:p>
    <w:p w14:paraId="03DCD458" w14:textId="448C2107" w:rsidR="00184DDE" w:rsidRPr="005E58D9" w:rsidRDefault="00184DDE" w:rsidP="00353137">
      <w:pPr>
        <w:spacing w:line="240" w:lineRule="auto"/>
        <w:jc w:val="both"/>
        <w:rPr>
          <w:rFonts w:ascii="Palatino Linotype" w:hAnsi="Palatino Linotype"/>
        </w:rPr>
      </w:pPr>
      <w:r w:rsidRPr="005E58D9">
        <w:rPr>
          <w:rFonts w:ascii="Palatino Linotype" w:hAnsi="Palatino Linotype"/>
        </w:rPr>
        <w:t>In the past, this Committee has observed with concern that cost is an obstacle to access to contraceptives in Hungary.</w:t>
      </w:r>
      <w:r w:rsidRPr="005E58D9">
        <w:rPr>
          <w:rStyle w:val="EndnoteReference"/>
          <w:rFonts w:ascii="Palatino Linotype" w:hAnsi="Palatino Linotype"/>
        </w:rPr>
        <w:endnoteReference w:id="19"/>
      </w:r>
      <w:r w:rsidRPr="005E58D9">
        <w:rPr>
          <w:rFonts w:ascii="Palatino Linotype" w:hAnsi="Palatino Linotype"/>
        </w:rPr>
        <w:t xml:space="preserve"> The Committee on Economic, Social and Cultural Rights has explicitly stated that governments should ensure that all drugs on the WHO Model List of Essential Medicines, which includes a range of modern contraceptives including emergency contraception, be made accessible to all.</w:t>
      </w:r>
      <w:r w:rsidRPr="005E58D9">
        <w:rPr>
          <w:rStyle w:val="EndnoteReference"/>
          <w:rFonts w:ascii="Palatino Linotype" w:hAnsi="Palatino Linotype"/>
        </w:rPr>
        <w:endnoteReference w:id="20"/>
      </w:r>
      <w:r w:rsidRPr="005E58D9">
        <w:rPr>
          <w:rFonts w:ascii="Palatino Linotype" w:hAnsi="Palatino Linotype"/>
        </w:rPr>
        <w:t xml:space="preserve"> </w:t>
      </w:r>
    </w:p>
    <w:p w14:paraId="49CAE891" w14:textId="16AD2CD1" w:rsidR="00184DDE" w:rsidRPr="005E58D9" w:rsidRDefault="00A372EA" w:rsidP="00BB54A6">
      <w:pPr>
        <w:spacing w:line="240" w:lineRule="auto"/>
        <w:jc w:val="both"/>
        <w:rPr>
          <w:rFonts w:ascii="Palatino Linotype" w:hAnsi="Palatino Linotype"/>
        </w:rPr>
      </w:pPr>
      <w:r w:rsidRPr="005E58D9">
        <w:rPr>
          <w:rFonts w:ascii="Palatino Linotype" w:eastAsia="Times New Roman" w:hAnsi="Palatino Linotype" w:cs="Times New Roman"/>
          <w:highlight w:val="white"/>
        </w:rPr>
        <w:t>In Hungary c</w:t>
      </w:r>
      <w:r w:rsidR="00353137" w:rsidRPr="005E58D9">
        <w:rPr>
          <w:rFonts w:ascii="Palatino Linotype" w:eastAsia="Times New Roman" w:hAnsi="Palatino Linotype" w:cs="Times New Roman"/>
          <w:highlight w:val="white"/>
        </w:rPr>
        <w:t xml:space="preserve">ontraception remains financially and practically inaccessible for many women. Contraceptive devices are not covered by public health insurance, despite the 1992 Act on the </w:t>
      </w:r>
      <w:r w:rsidR="00353137" w:rsidRPr="005E58D9">
        <w:rPr>
          <w:rFonts w:ascii="Palatino Linotype" w:eastAsia="Times New Roman" w:hAnsi="Palatino Linotype" w:cs="Times New Roman"/>
          <w:i/>
          <w:highlight w:val="white"/>
        </w:rPr>
        <w:t xml:space="preserve">Protection of </w:t>
      </w:r>
      <w:proofErr w:type="spellStart"/>
      <w:r w:rsidR="00353137" w:rsidRPr="005E58D9">
        <w:rPr>
          <w:rFonts w:ascii="Palatino Linotype" w:eastAsia="Times New Roman" w:hAnsi="Palatino Linotype" w:cs="Times New Roman"/>
          <w:i/>
          <w:highlight w:val="white"/>
        </w:rPr>
        <w:t>Fetal</w:t>
      </w:r>
      <w:proofErr w:type="spellEnd"/>
      <w:r w:rsidR="00353137" w:rsidRPr="005E58D9">
        <w:rPr>
          <w:rFonts w:ascii="Palatino Linotype" w:eastAsia="Times New Roman" w:hAnsi="Palatino Linotype" w:cs="Times New Roman"/>
          <w:i/>
          <w:highlight w:val="white"/>
        </w:rPr>
        <w:t xml:space="preserve"> Lif</w:t>
      </w:r>
      <w:r w:rsidR="008B5E8C" w:rsidRPr="005E58D9">
        <w:rPr>
          <w:rFonts w:ascii="Palatino Linotype" w:eastAsia="Times New Roman" w:hAnsi="Palatino Linotype" w:cs="Times New Roman"/>
          <w:i/>
          <w:highlight w:val="white"/>
        </w:rPr>
        <w:t>e</w:t>
      </w:r>
      <w:r w:rsidR="008B5E8C" w:rsidRPr="005E58D9">
        <w:rPr>
          <w:rStyle w:val="EndnoteReference"/>
          <w:rFonts w:ascii="Palatino Linotype" w:eastAsia="Times New Roman" w:hAnsi="Palatino Linotype" w:cs="Times New Roman"/>
          <w:i/>
          <w:highlight w:val="white"/>
        </w:rPr>
        <w:endnoteReference w:id="21"/>
      </w:r>
      <w:r w:rsidR="00353137" w:rsidRPr="005E58D9">
        <w:rPr>
          <w:rFonts w:ascii="Palatino Linotype" w:eastAsia="Times New Roman" w:hAnsi="Palatino Linotype" w:cs="Times New Roman"/>
          <w:highlight w:val="white"/>
        </w:rPr>
        <w:t xml:space="preserve"> obliging the State to facilitate subsidized access. Information about any subsidies is scarce and difficult to obtain.</w:t>
      </w:r>
      <w:r w:rsidR="00184DDE" w:rsidRPr="005E58D9">
        <w:rPr>
          <w:rFonts w:ascii="Palatino Linotype" w:hAnsi="Palatino Linotype"/>
        </w:rPr>
        <w:t xml:space="preserve"> Women </w:t>
      </w:r>
      <w:proofErr w:type="gramStart"/>
      <w:r w:rsidR="00184DDE" w:rsidRPr="005E58D9">
        <w:rPr>
          <w:rFonts w:ascii="Palatino Linotype" w:hAnsi="Palatino Linotype"/>
        </w:rPr>
        <w:t>have to</w:t>
      </w:r>
      <w:proofErr w:type="gramEnd"/>
      <w:r w:rsidR="00184DDE" w:rsidRPr="005E58D9">
        <w:rPr>
          <w:rFonts w:ascii="Palatino Linotype" w:hAnsi="Palatino Linotype"/>
        </w:rPr>
        <w:t xml:space="preserve"> pay for contraceptives out of pocket, which has a particularly negative impact on low-income women, adolescents and women living in violent relationships. </w:t>
      </w:r>
    </w:p>
    <w:p w14:paraId="02F8C505" w14:textId="0848F026" w:rsidR="004A7098" w:rsidRPr="005E58D9" w:rsidRDefault="004A7098" w:rsidP="00DA1AF9">
      <w:pPr>
        <w:autoSpaceDE w:val="0"/>
        <w:autoSpaceDN w:val="0"/>
        <w:adjustRightInd w:val="0"/>
        <w:spacing w:line="240" w:lineRule="auto"/>
        <w:contextualSpacing/>
        <w:jc w:val="both"/>
        <w:rPr>
          <w:rFonts w:ascii="Palatino Linotype" w:hAnsi="Palatino Linotype"/>
        </w:rPr>
      </w:pPr>
    </w:p>
    <w:p w14:paraId="6B7EE9B9" w14:textId="45DD244C" w:rsidR="00BB54A6" w:rsidRPr="005E58D9" w:rsidRDefault="00BB54A6" w:rsidP="005D0CB5">
      <w:pPr>
        <w:pStyle w:val="ListParagraph2"/>
        <w:numPr>
          <w:ilvl w:val="0"/>
          <w:numId w:val="6"/>
        </w:numPr>
        <w:autoSpaceDE w:val="0"/>
        <w:autoSpaceDN w:val="0"/>
        <w:adjustRightInd w:val="0"/>
        <w:spacing w:after="0" w:line="240" w:lineRule="auto"/>
        <w:jc w:val="both"/>
        <w:rPr>
          <w:rFonts w:ascii="Palatino Linotype" w:hAnsi="Palatino Linotype"/>
          <w:b/>
          <w:lang w:val="en-GB"/>
        </w:rPr>
      </w:pPr>
      <w:r w:rsidRPr="005E58D9">
        <w:rPr>
          <w:rFonts w:ascii="Palatino Linotype" w:hAnsi="Palatino Linotype"/>
          <w:b/>
          <w:lang w:val="en-GB"/>
        </w:rPr>
        <w:t>Limited Access to Emergency Contraception</w:t>
      </w:r>
    </w:p>
    <w:p w14:paraId="7ED957F6" w14:textId="4A4B82A6" w:rsidR="00BB54A6" w:rsidRPr="005E58D9" w:rsidRDefault="00BB54A6" w:rsidP="00162497">
      <w:pPr>
        <w:autoSpaceDE w:val="0"/>
        <w:autoSpaceDN w:val="0"/>
        <w:adjustRightInd w:val="0"/>
        <w:spacing w:line="240" w:lineRule="auto"/>
        <w:jc w:val="both"/>
        <w:rPr>
          <w:rFonts w:ascii="Palatino Linotype" w:hAnsi="Palatino Linotype"/>
          <w:b/>
          <w:bCs/>
        </w:rPr>
      </w:pPr>
      <w:r w:rsidRPr="005E58D9">
        <w:rPr>
          <w:rFonts w:ascii="Palatino Linotype" w:hAnsi="Palatino Linotype"/>
          <w:bCs/>
        </w:rPr>
        <w:t>Emergency contraception “</w:t>
      </w:r>
      <w:r w:rsidRPr="005E58D9">
        <w:rPr>
          <w:rFonts w:ascii="Palatino Linotype" w:hAnsi="Palatino Linotype"/>
        </w:rPr>
        <w:t>refers to methods of contraception that can be used to prevent pregnancy in the first few days after intercourse,”</w:t>
      </w:r>
      <w:r w:rsidRPr="005E58D9">
        <w:rPr>
          <w:rStyle w:val="EndnoteReference"/>
          <w:rFonts w:ascii="Palatino Linotype" w:hAnsi="Palatino Linotype"/>
        </w:rPr>
        <w:endnoteReference w:id="22"/>
      </w:r>
      <w:r w:rsidRPr="005E58D9">
        <w:rPr>
          <w:rFonts w:ascii="Palatino Linotype" w:hAnsi="Palatino Linotype"/>
        </w:rPr>
        <w:t xml:space="preserve"> which renders this method</w:t>
      </w:r>
      <w:r w:rsidRPr="005E58D9">
        <w:rPr>
          <w:rFonts w:ascii="Palatino Linotype" w:hAnsi="Palatino Linotype"/>
          <w:bCs/>
        </w:rPr>
        <w:t xml:space="preserve"> particularly beneficial for the protection of vulnerable groups like victims of sexual violence. This Committee has in the past requested states parties to make emergency contraception “more widely available and affordable.”</w:t>
      </w:r>
    </w:p>
    <w:p w14:paraId="21D7A9B4" w14:textId="33AA2594" w:rsidR="00162497" w:rsidRPr="005E58D9" w:rsidRDefault="00BB54A6" w:rsidP="00162497">
      <w:pPr>
        <w:pStyle w:val="ListParagraph1"/>
        <w:autoSpaceDE w:val="0"/>
        <w:autoSpaceDN w:val="0"/>
        <w:adjustRightInd w:val="0"/>
        <w:spacing w:after="0" w:line="240" w:lineRule="auto"/>
        <w:ind w:left="0"/>
        <w:jc w:val="both"/>
        <w:rPr>
          <w:rFonts w:ascii="Palatino Linotype" w:hAnsi="Palatino Linotype"/>
          <w:lang w:val="en-GB"/>
        </w:rPr>
      </w:pPr>
      <w:r w:rsidRPr="005E58D9">
        <w:rPr>
          <w:rFonts w:ascii="Palatino Linotype" w:hAnsi="Palatino Linotype"/>
          <w:bCs/>
          <w:lang w:val="en-GB"/>
        </w:rPr>
        <w:t>Several</w:t>
      </w:r>
      <w:r w:rsidRPr="005E58D9">
        <w:rPr>
          <w:rFonts w:ascii="Palatino Linotype" w:hAnsi="Palatino Linotype"/>
          <w:lang w:val="en-GB"/>
        </w:rPr>
        <w:t xml:space="preserve"> types of emergency contraception are available in Hungary, but the Government limits women’s access by </w:t>
      </w:r>
      <w:r w:rsidRPr="005E58D9">
        <w:rPr>
          <w:rFonts w:ascii="Palatino Linotype" w:hAnsi="Palatino Linotype"/>
          <w:bCs/>
          <w:lang w:val="en-GB"/>
        </w:rPr>
        <w:t>imposing a prescription requirement</w:t>
      </w:r>
      <w:r w:rsidRPr="005E58D9">
        <w:rPr>
          <w:rFonts w:ascii="Palatino Linotype" w:hAnsi="Palatino Linotype"/>
          <w:lang w:val="en-GB"/>
        </w:rPr>
        <w:t xml:space="preserve">. This requirement delays women’s access, since they </w:t>
      </w:r>
      <w:proofErr w:type="gramStart"/>
      <w:r w:rsidRPr="005E58D9">
        <w:rPr>
          <w:rFonts w:ascii="Palatino Linotype" w:hAnsi="Palatino Linotype"/>
          <w:lang w:val="en-GB"/>
        </w:rPr>
        <w:t>have to</w:t>
      </w:r>
      <w:proofErr w:type="gramEnd"/>
      <w:r w:rsidRPr="005E58D9">
        <w:rPr>
          <w:rFonts w:ascii="Palatino Linotype" w:hAnsi="Palatino Linotype"/>
          <w:lang w:val="en-GB"/>
        </w:rPr>
        <w:t xml:space="preserve"> visit either a general practitioner or a </w:t>
      </w:r>
      <w:proofErr w:type="spellStart"/>
      <w:r w:rsidRPr="005E58D9">
        <w:rPr>
          <w:rFonts w:ascii="Palatino Linotype" w:hAnsi="Palatino Linotype"/>
          <w:lang w:val="en-GB"/>
        </w:rPr>
        <w:t>gynecologist</w:t>
      </w:r>
      <w:proofErr w:type="spellEnd"/>
      <w:r w:rsidRPr="005E58D9">
        <w:rPr>
          <w:rFonts w:ascii="Palatino Linotype" w:hAnsi="Palatino Linotype"/>
          <w:lang w:val="en-GB"/>
        </w:rPr>
        <w:t xml:space="preserve"> to obtain a prescription. </w:t>
      </w:r>
      <w:r w:rsidR="00162497" w:rsidRPr="005E58D9">
        <w:rPr>
          <w:rFonts w:ascii="Palatino Linotype" w:hAnsi="Palatino Linotype"/>
          <w:lang w:val="en-GB"/>
        </w:rPr>
        <w:t xml:space="preserve">Requiring a prescription for emergency contraception runs contrary to international medical standards and is not a common practice in Europe, where emergency contraception is usually available </w:t>
      </w:r>
      <w:proofErr w:type="gramStart"/>
      <w:r w:rsidR="00162497" w:rsidRPr="005E58D9">
        <w:rPr>
          <w:rFonts w:ascii="Palatino Linotype" w:hAnsi="Palatino Linotype"/>
          <w:lang w:val="en-GB"/>
        </w:rPr>
        <w:t>over-the-counter</w:t>
      </w:r>
      <w:proofErr w:type="gramEnd"/>
      <w:r w:rsidR="00162497" w:rsidRPr="005E58D9">
        <w:rPr>
          <w:rFonts w:ascii="Palatino Linotype" w:hAnsi="Palatino Linotype"/>
          <w:lang w:val="en-GB"/>
        </w:rPr>
        <w:t xml:space="preserve">. In fact, Hungary remained the last country in the EU, after Poland, to maintain this restriction. In 2024, the women’s rights organization PATENT Association launched a petition, signed by 50,000 people, calling for the removal of the prescription requirement, supported by </w:t>
      </w:r>
      <w:proofErr w:type="spellStart"/>
      <w:r w:rsidR="00162497" w:rsidRPr="005E58D9">
        <w:rPr>
          <w:rFonts w:ascii="Palatino Linotype" w:hAnsi="Palatino Linotype"/>
          <w:lang w:val="en-GB"/>
        </w:rPr>
        <w:t>gynecological</w:t>
      </w:r>
      <w:proofErr w:type="spellEnd"/>
      <w:r w:rsidR="00162497" w:rsidRPr="005E58D9">
        <w:rPr>
          <w:rFonts w:ascii="Palatino Linotype" w:hAnsi="Palatino Linotype"/>
          <w:lang w:val="en-GB"/>
        </w:rPr>
        <w:t xml:space="preserve"> professional bodies. </w:t>
      </w:r>
      <w:r w:rsidR="008B5E8C" w:rsidRPr="005E58D9">
        <w:rPr>
          <w:rStyle w:val="EndnoteReference"/>
          <w:rFonts w:ascii="Palatino Linotype" w:hAnsi="Palatino Linotype"/>
          <w:lang w:val="en-GB"/>
        </w:rPr>
        <w:endnoteReference w:id="23"/>
      </w:r>
      <w:r w:rsidR="00162497" w:rsidRPr="005E58D9">
        <w:rPr>
          <w:rFonts w:ascii="Palatino Linotype" w:hAnsi="Palatino Linotype"/>
          <w:lang w:val="en-GB"/>
        </w:rPr>
        <w:t>Nevertheless, the Government has taken no steps to change this regulation.</w:t>
      </w:r>
      <w:r w:rsidR="005E58D9" w:rsidRPr="005E58D9">
        <w:rPr>
          <w:rFonts w:ascii="Palatino Linotype" w:hAnsi="Palatino Linotype"/>
          <w:lang w:val="en-GB"/>
        </w:rPr>
        <w:t xml:space="preserve"> </w:t>
      </w:r>
      <w:r w:rsidR="00162497" w:rsidRPr="005E58D9">
        <w:rPr>
          <w:rFonts w:ascii="Palatino Linotype" w:hAnsi="Palatino Linotype"/>
          <w:lang w:val="en-GB"/>
        </w:rPr>
        <w:t>The prescription requirement severely limits Hungarian women’s access to emergency contraception while contributing little to the drug’s safe administration. The prescription requirement also increases women’s costs in obtaining reproductive health care, and functions as a disincentive for obtaining care especially for adolescents and women having been subjected to sexual violence. Moreover, the delay caused by obtaining a prescription creates the risk of lessening the effectiveness of emergency contraception since the drug’s effect decreases with the time passed since the intercourse</w:t>
      </w:r>
      <w:r w:rsidR="0016420B" w:rsidRPr="005E58D9">
        <w:rPr>
          <w:rFonts w:ascii="Palatino Linotype" w:hAnsi="Palatino Linotype"/>
          <w:lang w:val="en-GB"/>
        </w:rPr>
        <w:t>.</w:t>
      </w:r>
    </w:p>
    <w:p w14:paraId="5DAA007C" w14:textId="77777777" w:rsidR="0016420B" w:rsidRPr="005E58D9" w:rsidRDefault="0016420B" w:rsidP="00162497">
      <w:pPr>
        <w:pStyle w:val="ListParagraph1"/>
        <w:autoSpaceDE w:val="0"/>
        <w:autoSpaceDN w:val="0"/>
        <w:adjustRightInd w:val="0"/>
        <w:spacing w:after="0" w:line="240" w:lineRule="auto"/>
        <w:ind w:left="0"/>
        <w:jc w:val="both"/>
        <w:rPr>
          <w:rFonts w:ascii="Palatino Linotype" w:hAnsi="Palatino Linotype"/>
          <w:lang w:val="en-GB"/>
        </w:rPr>
      </w:pPr>
    </w:p>
    <w:p w14:paraId="6EF61398" w14:textId="3938F789" w:rsidR="0014097E" w:rsidRPr="005E58D9" w:rsidRDefault="0014097E" w:rsidP="0014097E">
      <w:pPr>
        <w:pStyle w:val="ListParagraph1"/>
        <w:autoSpaceDE w:val="0"/>
        <w:autoSpaceDN w:val="0"/>
        <w:adjustRightInd w:val="0"/>
        <w:spacing w:after="0" w:line="240" w:lineRule="auto"/>
        <w:ind w:left="0"/>
        <w:jc w:val="center"/>
        <w:rPr>
          <w:rFonts w:ascii="Palatino Linotype" w:hAnsi="Palatino Linotype"/>
          <w:lang w:val="en-GB"/>
        </w:rPr>
      </w:pPr>
      <w:r w:rsidRPr="005E58D9">
        <w:rPr>
          <w:rFonts w:ascii="Palatino Linotype" w:hAnsi="Palatino Linotype"/>
          <w:lang w:val="en-GB"/>
        </w:rPr>
        <w:t>****</w:t>
      </w:r>
    </w:p>
    <w:p w14:paraId="7F9606B6" w14:textId="1C83514F" w:rsidR="0016420B" w:rsidRPr="005E58D9" w:rsidRDefault="0014097E" w:rsidP="0016420B">
      <w:pPr>
        <w:pStyle w:val="ListParagraph3"/>
        <w:autoSpaceDE w:val="0"/>
        <w:autoSpaceDN w:val="0"/>
        <w:adjustRightInd w:val="0"/>
        <w:spacing w:after="0" w:line="240" w:lineRule="auto"/>
        <w:ind w:left="0"/>
        <w:jc w:val="both"/>
        <w:rPr>
          <w:rFonts w:ascii="Palatino Linotype" w:hAnsi="Palatino Linotype"/>
          <w:lang w:val="en-GB"/>
        </w:rPr>
      </w:pPr>
      <w:r w:rsidRPr="005E58D9">
        <w:rPr>
          <w:rFonts w:ascii="Palatino Linotype" w:hAnsi="Palatino Linotype"/>
          <w:lang w:val="en-GB"/>
        </w:rPr>
        <w:t>In summary, t</w:t>
      </w:r>
      <w:r w:rsidR="0016420B" w:rsidRPr="005E58D9">
        <w:rPr>
          <w:rFonts w:ascii="Palatino Linotype" w:hAnsi="Palatino Linotype"/>
          <w:lang w:val="en-GB"/>
        </w:rPr>
        <w:t xml:space="preserve">he reality of women in Hungary in respect to their reproductive rights and health still drastically diverges from the standards established under CEDAW. </w:t>
      </w:r>
      <w:r w:rsidRPr="005E58D9">
        <w:rPr>
          <w:rFonts w:ascii="Palatino Linotype" w:hAnsi="Palatino Linotype"/>
          <w:lang w:val="en-GB"/>
        </w:rPr>
        <w:t>PATENT Association highly</w:t>
      </w:r>
      <w:r w:rsidR="0016420B" w:rsidRPr="005E58D9">
        <w:rPr>
          <w:rFonts w:ascii="Palatino Linotype" w:hAnsi="Palatino Linotype"/>
          <w:lang w:val="en-GB"/>
        </w:rPr>
        <w:t xml:space="preserve"> appreciate</w:t>
      </w:r>
      <w:r w:rsidRPr="005E58D9">
        <w:rPr>
          <w:rFonts w:ascii="Palatino Linotype" w:hAnsi="Palatino Linotype"/>
          <w:lang w:val="en-GB"/>
        </w:rPr>
        <w:t>s</w:t>
      </w:r>
      <w:r w:rsidR="0016420B" w:rsidRPr="005E58D9">
        <w:rPr>
          <w:rFonts w:ascii="Palatino Linotype" w:hAnsi="Palatino Linotype"/>
          <w:lang w:val="en-GB"/>
        </w:rPr>
        <w:t xml:space="preserve"> the active interest that the Committee has taken in the reproductive health and rights of women and the strong Concluding Observations and General Recommendations it has issued in the past, stressing the need for state parties to take steps to ensure the realization of these rights. </w:t>
      </w:r>
    </w:p>
    <w:p w14:paraId="398C7452" w14:textId="77777777" w:rsidR="0016420B" w:rsidRPr="005E58D9" w:rsidRDefault="0016420B" w:rsidP="0016420B">
      <w:pPr>
        <w:pStyle w:val="ListParagraph3"/>
        <w:autoSpaceDE w:val="0"/>
        <w:autoSpaceDN w:val="0"/>
        <w:adjustRightInd w:val="0"/>
        <w:spacing w:after="0" w:line="240" w:lineRule="auto"/>
        <w:ind w:left="0"/>
        <w:jc w:val="both"/>
        <w:rPr>
          <w:rFonts w:ascii="Palatino Linotype" w:hAnsi="Palatino Linotype"/>
          <w:lang w:val="en-GB"/>
        </w:rPr>
      </w:pPr>
      <w:r w:rsidRPr="005E58D9">
        <w:rPr>
          <w:rFonts w:ascii="Palatino Linotype" w:hAnsi="Palatino Linotype"/>
          <w:lang w:val="en-GB"/>
        </w:rPr>
        <w:t xml:space="preserve">  </w:t>
      </w:r>
    </w:p>
    <w:p w14:paraId="5C573F89" w14:textId="76E6471D" w:rsidR="0016420B" w:rsidRPr="005E58D9" w:rsidRDefault="0016420B" w:rsidP="0016420B">
      <w:pPr>
        <w:pStyle w:val="ListParagraph3"/>
        <w:autoSpaceDE w:val="0"/>
        <w:autoSpaceDN w:val="0"/>
        <w:adjustRightInd w:val="0"/>
        <w:spacing w:after="0" w:line="240" w:lineRule="auto"/>
        <w:ind w:left="0"/>
        <w:jc w:val="both"/>
        <w:rPr>
          <w:rFonts w:ascii="Palatino Linotype" w:hAnsi="Palatino Linotype"/>
          <w:lang w:val="en-GB"/>
        </w:rPr>
      </w:pPr>
      <w:r w:rsidRPr="005E58D9">
        <w:rPr>
          <w:rFonts w:ascii="Palatino Linotype" w:hAnsi="Palatino Linotype"/>
          <w:lang w:val="en-GB"/>
        </w:rPr>
        <w:t xml:space="preserve">We hope that this information is useful during the Committee’s </w:t>
      </w:r>
      <w:r w:rsidR="0014097E" w:rsidRPr="005E58D9">
        <w:rPr>
          <w:rFonts w:ascii="Palatino Linotype" w:hAnsi="Palatino Linotype"/>
          <w:lang w:val="en-GB"/>
        </w:rPr>
        <w:t xml:space="preserve">follow-up </w:t>
      </w:r>
      <w:r w:rsidRPr="005E58D9">
        <w:rPr>
          <w:rFonts w:ascii="Palatino Linotype" w:hAnsi="Palatino Linotype"/>
          <w:lang w:val="en-GB"/>
        </w:rPr>
        <w:t xml:space="preserve">review of the Hungarian Government’s compliance with the provisions of CEDAW. If you have any questions, or would like further information, please do not hesitate to contact us. </w:t>
      </w:r>
    </w:p>
    <w:p w14:paraId="1A2D4B21" w14:textId="77777777" w:rsidR="0016420B" w:rsidRPr="005E58D9" w:rsidRDefault="0016420B" w:rsidP="0016420B">
      <w:pPr>
        <w:pStyle w:val="ListParagraph3"/>
        <w:autoSpaceDE w:val="0"/>
        <w:autoSpaceDN w:val="0"/>
        <w:adjustRightInd w:val="0"/>
        <w:spacing w:after="0" w:line="240" w:lineRule="auto"/>
        <w:ind w:left="0"/>
        <w:jc w:val="both"/>
        <w:rPr>
          <w:rFonts w:ascii="Palatino Linotype" w:hAnsi="Palatino Linotype"/>
          <w:lang w:val="en-GB"/>
        </w:rPr>
      </w:pPr>
      <w:r w:rsidRPr="005E58D9">
        <w:rPr>
          <w:rFonts w:ascii="Palatino Linotype" w:hAnsi="Palatino Linotype"/>
          <w:lang w:val="en-GB"/>
        </w:rPr>
        <w:t xml:space="preserve"> </w:t>
      </w:r>
    </w:p>
    <w:p w14:paraId="56A7FB17" w14:textId="77777777" w:rsidR="0016420B" w:rsidRPr="005E58D9" w:rsidRDefault="0016420B" w:rsidP="0016420B">
      <w:pPr>
        <w:pStyle w:val="ListParagraph3"/>
        <w:autoSpaceDE w:val="0"/>
        <w:autoSpaceDN w:val="0"/>
        <w:adjustRightInd w:val="0"/>
        <w:spacing w:after="0" w:line="240" w:lineRule="auto"/>
        <w:ind w:left="0"/>
        <w:jc w:val="both"/>
        <w:rPr>
          <w:rFonts w:ascii="Palatino Linotype" w:hAnsi="Palatino Linotype"/>
          <w:lang w:val="en-GB"/>
        </w:rPr>
      </w:pPr>
      <w:r w:rsidRPr="005E58D9">
        <w:rPr>
          <w:rFonts w:ascii="Palatino Linotype" w:hAnsi="Palatino Linotype"/>
          <w:lang w:val="en-GB"/>
        </w:rPr>
        <w:t xml:space="preserve">Sincerely,    </w:t>
      </w:r>
    </w:p>
    <w:p w14:paraId="055893DA" w14:textId="77777777" w:rsidR="0016420B" w:rsidRPr="005E58D9" w:rsidRDefault="0016420B" w:rsidP="0016420B">
      <w:pPr>
        <w:pStyle w:val="ListParagraph3"/>
        <w:autoSpaceDE w:val="0"/>
        <w:autoSpaceDN w:val="0"/>
        <w:adjustRightInd w:val="0"/>
        <w:spacing w:after="0" w:line="240" w:lineRule="auto"/>
        <w:ind w:hanging="360"/>
        <w:jc w:val="both"/>
        <w:rPr>
          <w:rFonts w:ascii="Palatino Linotype" w:hAnsi="Palatino Linotype"/>
          <w:lang w:val="en-GB"/>
        </w:rPr>
      </w:pPr>
    </w:p>
    <w:p w14:paraId="322CB44A" w14:textId="77777777" w:rsidR="0016420B" w:rsidRPr="005E58D9" w:rsidRDefault="0016420B" w:rsidP="0016420B">
      <w:pPr>
        <w:pStyle w:val="ListParagraph3"/>
        <w:autoSpaceDE w:val="0"/>
        <w:autoSpaceDN w:val="0"/>
        <w:adjustRightInd w:val="0"/>
        <w:spacing w:after="0" w:line="240" w:lineRule="auto"/>
        <w:ind w:hanging="360"/>
        <w:jc w:val="both"/>
        <w:rPr>
          <w:rFonts w:ascii="Palatino Linotype" w:hAnsi="Palatino Linotype"/>
          <w:lang w:val="en-GB"/>
        </w:rPr>
      </w:pPr>
      <w:r w:rsidRPr="005E58D9">
        <w:rPr>
          <w:rFonts w:ascii="Palatino Linotype" w:hAnsi="Palatino Linotype"/>
          <w:noProof/>
          <w:lang w:val="en-GB"/>
        </w:rPr>
        <w:t xml:space="preserve">  </w:t>
      </w:r>
      <w:r w:rsidRPr="005E58D9">
        <w:rPr>
          <w:rFonts w:ascii="Palatino Linotype" w:hAnsi="Palatino Linotype"/>
          <w:lang w:val="en-GB"/>
        </w:rPr>
        <w:tab/>
      </w:r>
      <w:r w:rsidRPr="005E58D9">
        <w:rPr>
          <w:rFonts w:ascii="Palatino Linotype" w:hAnsi="Palatino Linotype"/>
          <w:lang w:val="en-GB"/>
        </w:rPr>
        <w:tab/>
        <w:t xml:space="preserve">  </w:t>
      </w:r>
      <w:r w:rsidRPr="005E58D9">
        <w:rPr>
          <w:rFonts w:ascii="Palatino Linotype" w:hAnsi="Palatino Linotype"/>
          <w:lang w:val="en-GB"/>
        </w:rPr>
        <w:tab/>
        <w:t xml:space="preserve">      </w:t>
      </w:r>
    </w:p>
    <w:p w14:paraId="4B16C8FE" w14:textId="597630AF" w:rsidR="0016420B" w:rsidRPr="005E58D9" w:rsidRDefault="0014097E" w:rsidP="0016420B">
      <w:pPr>
        <w:shd w:val="clear" w:color="auto" w:fill="FFFFFF"/>
        <w:spacing w:line="240" w:lineRule="auto"/>
        <w:ind w:left="360"/>
        <w:rPr>
          <w:rFonts w:ascii="Palatino Linotype" w:hAnsi="Palatino Linotype"/>
        </w:rPr>
      </w:pPr>
      <w:r w:rsidRPr="005E58D9">
        <w:rPr>
          <w:rFonts w:ascii="Palatino Linotype" w:hAnsi="Palatino Linotype"/>
        </w:rPr>
        <w:t>Krisztina Les</w:t>
      </w:r>
    </w:p>
    <w:p w14:paraId="15EEB914" w14:textId="270B7364" w:rsidR="0014097E" w:rsidRPr="005E58D9" w:rsidRDefault="0014097E" w:rsidP="0016420B">
      <w:pPr>
        <w:shd w:val="clear" w:color="auto" w:fill="FFFFFF"/>
        <w:spacing w:line="240" w:lineRule="auto"/>
        <w:ind w:left="360"/>
        <w:rPr>
          <w:rFonts w:ascii="Palatino Linotype" w:hAnsi="Palatino Linotype"/>
        </w:rPr>
      </w:pPr>
      <w:r w:rsidRPr="005E58D9">
        <w:rPr>
          <w:rFonts w:ascii="Palatino Linotype" w:hAnsi="Palatino Linotype"/>
        </w:rPr>
        <w:t>PATENT Association</w:t>
      </w:r>
    </w:p>
    <w:p w14:paraId="0A7B0CD7" w14:textId="191676B5" w:rsidR="0016420B" w:rsidRPr="005E58D9" w:rsidRDefault="0014097E" w:rsidP="0014097E">
      <w:pPr>
        <w:shd w:val="clear" w:color="auto" w:fill="FFFFFF"/>
        <w:spacing w:line="240" w:lineRule="auto"/>
        <w:ind w:left="360"/>
        <w:rPr>
          <w:rFonts w:ascii="Palatino Linotype" w:hAnsi="Palatino Linotype"/>
        </w:rPr>
      </w:pPr>
      <w:r w:rsidRPr="005E58D9">
        <w:rPr>
          <w:rFonts w:ascii="Palatino Linotype" w:hAnsi="Palatino Linotype"/>
        </w:rPr>
        <w:t>SRHR policy officer</w:t>
      </w:r>
    </w:p>
    <w:p w14:paraId="5D28E8C4" w14:textId="1A45236A" w:rsidR="0014097E" w:rsidRPr="005E58D9" w:rsidRDefault="0014097E" w:rsidP="0016420B">
      <w:pPr>
        <w:shd w:val="clear" w:color="auto" w:fill="FFFFFF"/>
        <w:spacing w:line="240" w:lineRule="auto"/>
        <w:ind w:left="360"/>
        <w:rPr>
          <w:rFonts w:ascii="Palatino Linotype" w:hAnsi="Palatino Linotype"/>
        </w:rPr>
      </w:pPr>
      <w:hyperlink r:id="rId8" w:history="1">
        <w:r w:rsidRPr="005E58D9">
          <w:rPr>
            <w:rStyle w:val="Hyperlink"/>
            <w:rFonts w:ascii="Palatino Linotype" w:hAnsi="Palatino Linotype"/>
          </w:rPr>
          <w:t>www.patent.org.hu</w:t>
        </w:r>
      </w:hyperlink>
    </w:p>
    <w:p w14:paraId="44EEB42C" w14:textId="44622650" w:rsidR="0014097E" w:rsidRPr="005E58D9" w:rsidRDefault="0014097E" w:rsidP="0016420B">
      <w:pPr>
        <w:shd w:val="clear" w:color="auto" w:fill="FFFFFF"/>
        <w:spacing w:line="240" w:lineRule="auto"/>
        <w:ind w:left="360"/>
      </w:pPr>
      <w:hyperlink r:id="rId9" w:history="1">
        <w:r w:rsidRPr="005E58D9">
          <w:rPr>
            <w:rStyle w:val="Hyperlink"/>
            <w:rFonts w:ascii="Palatino Linotype" w:hAnsi="Palatino Linotype"/>
          </w:rPr>
          <w:t>les.krisztina@patent.org.hu</w:t>
        </w:r>
      </w:hyperlink>
    </w:p>
    <w:p w14:paraId="77D131CF" w14:textId="77777777" w:rsidR="005E58D9" w:rsidRPr="005E58D9" w:rsidRDefault="005E58D9" w:rsidP="0016420B">
      <w:pPr>
        <w:shd w:val="clear" w:color="auto" w:fill="FFFFFF"/>
        <w:spacing w:line="240" w:lineRule="auto"/>
        <w:ind w:left="360"/>
      </w:pPr>
    </w:p>
    <w:p w14:paraId="33CB285B" w14:textId="4A2FA05A" w:rsidR="005E58D9" w:rsidRPr="005E58D9" w:rsidRDefault="005E58D9" w:rsidP="005E58D9">
      <w:pPr>
        <w:shd w:val="clear" w:color="auto" w:fill="FFFFFF"/>
        <w:spacing w:line="240" w:lineRule="auto"/>
        <w:ind w:left="360"/>
        <w:rPr>
          <w:rFonts w:ascii="Palatino Linotype" w:hAnsi="Palatino Linotype"/>
        </w:rPr>
      </w:pPr>
      <w:r w:rsidRPr="005E58D9">
        <w:rPr>
          <w:rFonts w:ascii="Palatino Linotype" w:hAnsi="Palatino Linotype"/>
        </w:rPr>
        <w:t>Boglárka Petrás</w:t>
      </w:r>
    </w:p>
    <w:p w14:paraId="13D8025A" w14:textId="77777777" w:rsidR="005E58D9" w:rsidRPr="005E58D9" w:rsidRDefault="005E58D9" w:rsidP="005E58D9">
      <w:pPr>
        <w:shd w:val="clear" w:color="auto" w:fill="FFFFFF"/>
        <w:spacing w:line="240" w:lineRule="auto"/>
        <w:ind w:left="360"/>
        <w:rPr>
          <w:rFonts w:ascii="Palatino Linotype" w:hAnsi="Palatino Linotype"/>
        </w:rPr>
      </w:pPr>
      <w:r w:rsidRPr="005E58D9">
        <w:rPr>
          <w:rFonts w:ascii="Palatino Linotype" w:hAnsi="Palatino Linotype"/>
        </w:rPr>
        <w:t>PATENT Association</w:t>
      </w:r>
    </w:p>
    <w:p w14:paraId="311D9114" w14:textId="78FD9781" w:rsidR="005E58D9" w:rsidRPr="005E58D9" w:rsidRDefault="005E58D9" w:rsidP="005E58D9">
      <w:pPr>
        <w:shd w:val="clear" w:color="auto" w:fill="FFFFFF"/>
        <w:spacing w:line="240" w:lineRule="auto"/>
        <w:ind w:left="360"/>
        <w:rPr>
          <w:rFonts w:ascii="Palatino Linotype" w:hAnsi="Palatino Linotype"/>
        </w:rPr>
      </w:pPr>
      <w:r w:rsidRPr="005E58D9">
        <w:rPr>
          <w:rFonts w:ascii="Palatino Linotype" w:hAnsi="Palatino Linotype"/>
        </w:rPr>
        <w:t>communications coordinator</w:t>
      </w:r>
    </w:p>
    <w:p w14:paraId="664E232D" w14:textId="0F9DBB0D" w:rsidR="005E58D9" w:rsidRPr="005E58D9" w:rsidRDefault="005E58D9" w:rsidP="005E58D9">
      <w:pPr>
        <w:shd w:val="clear" w:color="auto" w:fill="FFFFFF"/>
        <w:spacing w:line="240" w:lineRule="auto"/>
        <w:ind w:left="360"/>
        <w:rPr>
          <w:rFonts w:ascii="Palatino Linotype" w:hAnsi="Palatino Linotype"/>
        </w:rPr>
      </w:pPr>
      <w:hyperlink r:id="rId10" w:history="1">
        <w:r w:rsidRPr="005E58D9">
          <w:rPr>
            <w:rStyle w:val="Hyperlink"/>
            <w:rFonts w:ascii="Palatino Linotype" w:hAnsi="Palatino Linotype"/>
          </w:rPr>
          <w:t>www.patent.org.hu</w:t>
        </w:r>
      </w:hyperlink>
    </w:p>
    <w:p w14:paraId="1336AE58" w14:textId="0B5D2E32" w:rsidR="005E58D9" w:rsidRPr="005E58D9" w:rsidRDefault="005E58D9" w:rsidP="005E58D9">
      <w:pPr>
        <w:shd w:val="clear" w:color="auto" w:fill="FFFFFF"/>
        <w:spacing w:line="240" w:lineRule="auto"/>
        <w:ind w:left="360"/>
        <w:rPr>
          <w:rFonts w:ascii="Palatino Linotype" w:hAnsi="Palatino Linotype"/>
        </w:rPr>
      </w:pPr>
      <w:hyperlink r:id="rId11" w:history="1">
        <w:r w:rsidRPr="005E58D9">
          <w:rPr>
            <w:rStyle w:val="Hyperlink"/>
            <w:rFonts w:ascii="Palatino Linotype" w:hAnsi="Palatino Linotype"/>
          </w:rPr>
          <w:t>petras.boglarka@patent.org.hu</w:t>
        </w:r>
      </w:hyperlink>
    </w:p>
    <w:p w14:paraId="4BD5C088" w14:textId="77777777" w:rsidR="0014097E" w:rsidRPr="005E58D9" w:rsidRDefault="0014097E" w:rsidP="0016420B">
      <w:pPr>
        <w:shd w:val="clear" w:color="auto" w:fill="FFFFFF"/>
        <w:spacing w:line="240" w:lineRule="auto"/>
        <w:ind w:left="360"/>
        <w:rPr>
          <w:rFonts w:ascii="Palatino Linotype" w:hAnsi="Palatino Linotype"/>
        </w:rPr>
      </w:pPr>
    </w:p>
    <w:p w14:paraId="03FE3769" w14:textId="1D035A15" w:rsidR="0016420B" w:rsidRPr="005E58D9" w:rsidRDefault="0016420B" w:rsidP="0016420B">
      <w:pPr>
        <w:shd w:val="clear" w:color="auto" w:fill="FFFFFF"/>
        <w:spacing w:line="240" w:lineRule="auto"/>
        <w:ind w:left="360"/>
        <w:rPr>
          <w:rFonts w:ascii="Palatino Linotype" w:hAnsi="Palatino Linotype"/>
        </w:rPr>
      </w:pPr>
      <w:r w:rsidRPr="005E58D9">
        <w:rPr>
          <w:rFonts w:ascii="Palatino Linotype" w:hAnsi="Palatino Linotype"/>
        </w:rPr>
        <w:t xml:space="preserve">Júlia Spronz </w:t>
      </w:r>
    </w:p>
    <w:p w14:paraId="4AA06B85" w14:textId="77777777" w:rsidR="0016420B" w:rsidRPr="005E58D9" w:rsidRDefault="0016420B" w:rsidP="0016420B">
      <w:pPr>
        <w:shd w:val="clear" w:color="auto" w:fill="FFFFFF"/>
        <w:spacing w:line="240" w:lineRule="auto"/>
        <w:ind w:left="360"/>
        <w:rPr>
          <w:rFonts w:ascii="Palatino Linotype" w:hAnsi="Palatino Linotype"/>
        </w:rPr>
      </w:pPr>
      <w:r w:rsidRPr="005E58D9">
        <w:rPr>
          <w:rFonts w:ascii="Palatino Linotype" w:hAnsi="Palatino Linotype"/>
        </w:rPr>
        <w:t>PATENT Association</w:t>
      </w:r>
    </w:p>
    <w:p w14:paraId="3C7B3078" w14:textId="77777777" w:rsidR="00834E53" w:rsidRPr="005E58D9" w:rsidRDefault="00834E53" w:rsidP="0016420B">
      <w:pPr>
        <w:shd w:val="clear" w:color="auto" w:fill="FFFFFF"/>
        <w:spacing w:line="240" w:lineRule="auto"/>
        <w:ind w:left="360"/>
        <w:rPr>
          <w:rFonts w:ascii="Palatino Linotype" w:hAnsi="Palatino Linotype"/>
        </w:rPr>
      </w:pPr>
      <w:r w:rsidRPr="005E58D9">
        <w:rPr>
          <w:rFonts w:ascii="Palatino Linotype" w:hAnsi="Palatino Linotype"/>
        </w:rPr>
        <w:t xml:space="preserve">legal expert </w:t>
      </w:r>
    </w:p>
    <w:p w14:paraId="0749A5E3" w14:textId="5C754700" w:rsidR="0016420B" w:rsidRPr="005E58D9" w:rsidRDefault="00834E53" w:rsidP="0016420B">
      <w:pPr>
        <w:shd w:val="clear" w:color="auto" w:fill="FFFFFF"/>
        <w:spacing w:line="240" w:lineRule="auto"/>
        <w:ind w:left="360"/>
        <w:rPr>
          <w:rFonts w:ascii="Palatino Linotype" w:hAnsi="Palatino Linotype"/>
        </w:rPr>
      </w:pPr>
      <w:hyperlink r:id="rId12" w:history="1">
        <w:r w:rsidRPr="005E58D9">
          <w:rPr>
            <w:rStyle w:val="Hyperlink"/>
            <w:rFonts w:ascii="Palatino Linotype" w:hAnsi="Palatino Linotype"/>
          </w:rPr>
          <w:t>www.patent.org.hu</w:t>
        </w:r>
      </w:hyperlink>
    </w:p>
    <w:p w14:paraId="1B3C4B24" w14:textId="611135F6" w:rsidR="0016420B" w:rsidRPr="005E58D9" w:rsidRDefault="0014097E" w:rsidP="0016420B">
      <w:pPr>
        <w:shd w:val="clear" w:color="auto" w:fill="FFFFFF"/>
        <w:spacing w:line="240" w:lineRule="auto"/>
        <w:ind w:left="360"/>
        <w:rPr>
          <w:rFonts w:ascii="Palatino Linotype" w:hAnsi="Palatino Linotype"/>
        </w:rPr>
      </w:pPr>
      <w:hyperlink r:id="rId13" w:history="1">
        <w:r w:rsidRPr="005E58D9">
          <w:rPr>
            <w:rStyle w:val="Hyperlink"/>
            <w:rFonts w:ascii="Palatino Linotype" w:hAnsi="Palatino Linotype"/>
          </w:rPr>
          <w:t>julia.spronz@patent.org.hu</w:t>
        </w:r>
      </w:hyperlink>
    </w:p>
    <w:p w14:paraId="7C3257FA" w14:textId="77777777" w:rsidR="0014097E" w:rsidRPr="005E58D9" w:rsidRDefault="0014097E" w:rsidP="0016420B">
      <w:pPr>
        <w:shd w:val="clear" w:color="auto" w:fill="FFFFFF"/>
        <w:spacing w:line="240" w:lineRule="auto"/>
        <w:ind w:left="360"/>
        <w:rPr>
          <w:rFonts w:ascii="Palatino Linotype" w:hAnsi="Palatino Linotype"/>
        </w:rPr>
      </w:pPr>
    </w:p>
    <w:p w14:paraId="2CC0E821" w14:textId="77777777" w:rsidR="0016420B" w:rsidRPr="005E58D9" w:rsidRDefault="0016420B" w:rsidP="00162497">
      <w:pPr>
        <w:pStyle w:val="ListParagraph1"/>
        <w:autoSpaceDE w:val="0"/>
        <w:autoSpaceDN w:val="0"/>
        <w:adjustRightInd w:val="0"/>
        <w:spacing w:after="0" w:line="240" w:lineRule="auto"/>
        <w:ind w:left="0"/>
        <w:jc w:val="both"/>
        <w:rPr>
          <w:rFonts w:ascii="Palatino Linotype" w:hAnsi="Palatino Linotype"/>
          <w:lang w:val="en-GB"/>
        </w:rPr>
      </w:pPr>
    </w:p>
    <w:p w14:paraId="402C414F" w14:textId="77777777" w:rsidR="00162497" w:rsidRPr="005E58D9" w:rsidRDefault="00162497" w:rsidP="00162497">
      <w:pPr>
        <w:pStyle w:val="ListParagraph1"/>
        <w:autoSpaceDE w:val="0"/>
        <w:autoSpaceDN w:val="0"/>
        <w:adjustRightInd w:val="0"/>
        <w:spacing w:after="0" w:line="240" w:lineRule="auto"/>
        <w:ind w:left="0"/>
        <w:jc w:val="both"/>
        <w:rPr>
          <w:rFonts w:ascii="Palatino Linotype" w:hAnsi="Palatino Linotype"/>
          <w:lang w:val="en-GB"/>
        </w:rPr>
      </w:pPr>
    </w:p>
    <w:sectPr w:rsidR="00162497" w:rsidRPr="005E58D9" w:rsidSect="008C1E2A">
      <w:footerReference w:type="default" r:id="rId14"/>
      <w:headerReference w:type="first" r:id="rId15"/>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C20B2" w14:textId="77777777" w:rsidR="001E24B9" w:rsidRDefault="001E24B9">
      <w:pPr>
        <w:spacing w:line="240" w:lineRule="auto"/>
      </w:pPr>
      <w:r>
        <w:separator/>
      </w:r>
    </w:p>
  </w:endnote>
  <w:endnote w:type="continuationSeparator" w:id="0">
    <w:p w14:paraId="51125B21" w14:textId="77777777" w:rsidR="001E24B9" w:rsidRDefault="001E24B9">
      <w:pPr>
        <w:spacing w:line="240" w:lineRule="auto"/>
      </w:pPr>
      <w:r>
        <w:continuationSeparator/>
      </w:r>
    </w:p>
  </w:endnote>
  <w:endnote w:id="1">
    <w:p w14:paraId="37360064" w14:textId="77777777" w:rsidR="00264602" w:rsidRPr="0014097E" w:rsidRDefault="00264602" w:rsidP="00264602">
      <w:pPr>
        <w:pStyle w:val="EndnoteText"/>
        <w:rPr>
          <w:rFonts w:ascii="Book Antiqua" w:hAnsi="Book Antiqua"/>
          <w:sz w:val="16"/>
          <w:szCs w:val="16"/>
        </w:rPr>
      </w:pPr>
      <w:r w:rsidRPr="0014097E">
        <w:rPr>
          <w:rStyle w:val="EndnoteReference"/>
          <w:rFonts w:ascii="Book Antiqua" w:hAnsi="Book Antiqua"/>
          <w:sz w:val="16"/>
          <w:szCs w:val="16"/>
        </w:rPr>
        <w:endnoteRef/>
      </w:r>
      <w:r w:rsidRPr="0014097E">
        <w:rPr>
          <w:rFonts w:ascii="Book Antiqua" w:hAnsi="Book Antiqua"/>
          <w:sz w:val="16"/>
          <w:szCs w:val="16"/>
        </w:rPr>
        <w:t xml:space="preserve"> CEDAW, </w:t>
      </w:r>
      <w:r w:rsidRPr="0014097E">
        <w:rPr>
          <w:rFonts w:ascii="Book Antiqua" w:hAnsi="Book Antiqua"/>
          <w:i/>
          <w:sz w:val="16"/>
          <w:szCs w:val="16"/>
        </w:rPr>
        <w:t>supra</w:t>
      </w:r>
      <w:r w:rsidRPr="0014097E">
        <w:rPr>
          <w:rFonts w:ascii="Book Antiqua" w:hAnsi="Book Antiqua"/>
          <w:sz w:val="16"/>
          <w:szCs w:val="16"/>
        </w:rPr>
        <w:t xml:space="preserve"> note 1, art. 12, art. 16</w:t>
      </w:r>
      <w:r w:rsidRPr="0014097E">
        <w:rPr>
          <w:rFonts w:ascii="Book Antiqua" w:hAnsi="Book Antiqua"/>
          <w:sz w:val="16"/>
          <w:szCs w:val="16"/>
          <w:lang w:val="en-US"/>
        </w:rPr>
        <w:t>(e)</w:t>
      </w:r>
      <w:r w:rsidRPr="0014097E">
        <w:rPr>
          <w:rFonts w:ascii="Book Antiqua" w:hAnsi="Book Antiqua"/>
          <w:sz w:val="16"/>
          <w:szCs w:val="16"/>
        </w:rPr>
        <w:t>.</w:t>
      </w:r>
    </w:p>
  </w:endnote>
  <w:endnote w:id="2">
    <w:p w14:paraId="5E3EE60F" w14:textId="68B5AF5C" w:rsidR="00B604F9" w:rsidRPr="0014097E" w:rsidRDefault="00264602" w:rsidP="00264602">
      <w:pPr>
        <w:pStyle w:val="EndnoteText"/>
        <w:rPr>
          <w:rFonts w:ascii="Book Antiqua" w:hAnsi="Book Antiqua"/>
          <w:sz w:val="16"/>
          <w:szCs w:val="16"/>
        </w:rPr>
      </w:pPr>
      <w:r w:rsidRPr="0014097E">
        <w:rPr>
          <w:rStyle w:val="EndnoteReference"/>
          <w:rFonts w:ascii="Book Antiqua" w:hAnsi="Book Antiqua"/>
          <w:sz w:val="16"/>
          <w:szCs w:val="16"/>
        </w:rPr>
        <w:endnoteRef/>
      </w:r>
      <w:r w:rsidRPr="0014097E">
        <w:rPr>
          <w:rFonts w:ascii="Book Antiqua" w:hAnsi="Book Antiqua"/>
          <w:sz w:val="16"/>
          <w:szCs w:val="16"/>
        </w:rPr>
        <w:t xml:space="preserve"> </w:t>
      </w:r>
      <w:r w:rsidRPr="0014097E">
        <w:rPr>
          <w:rFonts w:ascii="Book Antiqua" w:hAnsi="Book Antiqua"/>
          <w:iCs/>
          <w:sz w:val="16"/>
          <w:szCs w:val="16"/>
        </w:rPr>
        <w:t>CEDAW Committee</w:t>
      </w:r>
      <w:r w:rsidRPr="0014097E">
        <w:rPr>
          <w:rFonts w:ascii="Book Antiqua" w:hAnsi="Book Antiqua"/>
          <w:sz w:val="16"/>
          <w:szCs w:val="16"/>
        </w:rPr>
        <w:t xml:space="preserve">, </w:t>
      </w:r>
      <w:r w:rsidRPr="0014097E">
        <w:rPr>
          <w:rFonts w:ascii="Book Antiqua" w:hAnsi="Book Antiqua"/>
          <w:i/>
          <w:sz w:val="16"/>
          <w:szCs w:val="16"/>
        </w:rPr>
        <w:t xml:space="preserve">Gen. Recommendation </w:t>
      </w:r>
      <w:r w:rsidRPr="0014097E">
        <w:rPr>
          <w:rFonts w:ascii="Book Antiqua" w:hAnsi="Book Antiqua"/>
          <w:i/>
          <w:sz w:val="16"/>
          <w:szCs w:val="16"/>
          <w:lang w:val="en-US"/>
        </w:rPr>
        <w:t xml:space="preserve">No. </w:t>
      </w:r>
      <w:r w:rsidRPr="0014097E">
        <w:rPr>
          <w:rFonts w:ascii="Book Antiqua" w:hAnsi="Book Antiqua"/>
          <w:i/>
          <w:sz w:val="16"/>
          <w:szCs w:val="16"/>
        </w:rPr>
        <w:t xml:space="preserve">24, supra </w:t>
      </w:r>
      <w:r w:rsidRPr="0014097E">
        <w:rPr>
          <w:rFonts w:ascii="Book Antiqua" w:hAnsi="Book Antiqua"/>
          <w:sz w:val="16"/>
          <w:szCs w:val="16"/>
        </w:rPr>
        <w:t>note 5</w:t>
      </w:r>
      <w:r w:rsidRPr="0014097E">
        <w:rPr>
          <w:rFonts w:ascii="Book Antiqua" w:hAnsi="Book Antiqua"/>
          <w:sz w:val="16"/>
          <w:szCs w:val="16"/>
          <w:lang w:val="en-US"/>
        </w:rPr>
        <w:t>,</w:t>
      </w:r>
      <w:r w:rsidRPr="0014097E">
        <w:rPr>
          <w:rFonts w:ascii="Book Antiqua" w:hAnsi="Book Antiqua"/>
          <w:sz w:val="16"/>
          <w:szCs w:val="16"/>
        </w:rPr>
        <w:t xml:space="preserve"> para</w:t>
      </w:r>
      <w:r w:rsidRPr="0014097E">
        <w:rPr>
          <w:rFonts w:ascii="Book Antiqua" w:hAnsi="Book Antiqua"/>
          <w:sz w:val="16"/>
          <w:szCs w:val="16"/>
          <w:lang w:val="en-US"/>
        </w:rPr>
        <w:t>s</w:t>
      </w:r>
      <w:r w:rsidRPr="0014097E">
        <w:rPr>
          <w:rFonts w:ascii="Book Antiqua" w:hAnsi="Book Antiqua"/>
          <w:sz w:val="16"/>
          <w:szCs w:val="16"/>
        </w:rPr>
        <w:t xml:space="preserve">. 14, 27; </w:t>
      </w:r>
      <w:r w:rsidRPr="0014097E">
        <w:rPr>
          <w:rFonts w:ascii="Book Antiqua" w:hAnsi="Book Antiqua"/>
          <w:i/>
          <w:sz w:val="16"/>
          <w:szCs w:val="16"/>
        </w:rPr>
        <w:t>See also</w:t>
      </w:r>
      <w:r w:rsidRPr="0014097E">
        <w:rPr>
          <w:rFonts w:ascii="Book Antiqua" w:hAnsi="Book Antiqua"/>
          <w:sz w:val="16"/>
          <w:szCs w:val="16"/>
        </w:rPr>
        <w:t xml:space="preserve"> Committee on Economic, Social and Cultural Rights (ESCR Committee), </w:t>
      </w:r>
      <w:r w:rsidRPr="0014097E">
        <w:rPr>
          <w:rFonts w:ascii="Book Antiqua" w:hAnsi="Book Antiqua"/>
          <w:i/>
          <w:iCs/>
          <w:sz w:val="16"/>
          <w:szCs w:val="16"/>
        </w:rPr>
        <w:t>General Comment No. 14: The right to the highest attainable standard of health (art. 12)</w:t>
      </w:r>
      <w:r w:rsidRPr="0014097E">
        <w:rPr>
          <w:rFonts w:ascii="Book Antiqua" w:hAnsi="Book Antiqua"/>
          <w:sz w:val="16"/>
          <w:szCs w:val="16"/>
        </w:rPr>
        <w:t xml:space="preserve">, (22nd Sess., 2000), </w:t>
      </w:r>
      <w:r w:rsidRPr="0014097E">
        <w:rPr>
          <w:rFonts w:ascii="Book Antiqua" w:hAnsi="Book Antiqua"/>
          <w:i/>
          <w:iCs/>
          <w:sz w:val="16"/>
          <w:szCs w:val="16"/>
        </w:rPr>
        <w:t xml:space="preserve">in </w:t>
      </w:r>
      <w:r w:rsidRPr="0014097E">
        <w:rPr>
          <w:rFonts w:ascii="Book Antiqua" w:hAnsi="Book Antiqua"/>
          <w:sz w:val="16"/>
          <w:szCs w:val="16"/>
        </w:rPr>
        <w:t xml:space="preserve">Compilation of General Comments and General Recommendations </w:t>
      </w:r>
      <w:r w:rsidRPr="0014097E">
        <w:rPr>
          <w:rFonts w:ascii="Book Antiqua" w:hAnsi="Book Antiqua"/>
          <w:sz w:val="16"/>
          <w:szCs w:val="16"/>
          <w:lang w:val="en-US"/>
        </w:rPr>
        <w:t xml:space="preserve">Adopted </w:t>
      </w:r>
      <w:r w:rsidRPr="0014097E">
        <w:rPr>
          <w:rFonts w:ascii="Book Antiqua" w:hAnsi="Book Antiqua"/>
          <w:sz w:val="16"/>
          <w:szCs w:val="16"/>
        </w:rPr>
        <w:t>by Human Rights Treaty Bodies, at 78, para. 21, U.N. Doc. HRI/GEN/1/Rev.9 (Vol. I) (2008)</w:t>
      </w:r>
      <w:r w:rsidRPr="0014097E">
        <w:rPr>
          <w:rFonts w:ascii="Book Antiqua" w:hAnsi="Book Antiqua"/>
          <w:sz w:val="16"/>
          <w:szCs w:val="16"/>
          <w:lang w:val="en-US"/>
        </w:rPr>
        <w:t xml:space="preserve"> </w:t>
      </w:r>
      <w:r w:rsidRPr="0014097E">
        <w:rPr>
          <w:rFonts w:ascii="Book Antiqua" w:hAnsi="Book Antiqua"/>
          <w:sz w:val="16"/>
          <w:szCs w:val="16"/>
        </w:rPr>
        <w:t>[hereinafter ESCR Committee</w:t>
      </w:r>
      <w:r w:rsidRPr="0014097E">
        <w:rPr>
          <w:rFonts w:ascii="Book Antiqua" w:hAnsi="Book Antiqua"/>
          <w:i/>
          <w:sz w:val="16"/>
          <w:szCs w:val="16"/>
        </w:rPr>
        <w:t>, Gen. Comment No. 14</w:t>
      </w:r>
      <w:r w:rsidRPr="0014097E">
        <w:rPr>
          <w:rFonts w:ascii="Book Antiqua" w:hAnsi="Book Antiqua"/>
          <w:sz w:val="16"/>
          <w:szCs w:val="16"/>
        </w:rPr>
        <w:t xml:space="preserve">]; Human Rights Committee, </w:t>
      </w:r>
      <w:r w:rsidRPr="0014097E">
        <w:rPr>
          <w:rFonts w:ascii="Book Antiqua" w:hAnsi="Book Antiqua"/>
          <w:i/>
          <w:iCs/>
          <w:sz w:val="16"/>
          <w:szCs w:val="16"/>
        </w:rPr>
        <w:t>General Comment No. 28: Article 3 (The equality of rights between men and women)</w:t>
      </w:r>
      <w:r w:rsidRPr="0014097E">
        <w:rPr>
          <w:rFonts w:ascii="Book Antiqua" w:hAnsi="Book Antiqua"/>
          <w:sz w:val="16"/>
          <w:szCs w:val="16"/>
        </w:rPr>
        <w:t xml:space="preserve">, (68th Sess., 2000), </w:t>
      </w:r>
      <w:r w:rsidRPr="0014097E">
        <w:rPr>
          <w:rFonts w:ascii="Book Antiqua" w:hAnsi="Book Antiqua"/>
          <w:i/>
          <w:iCs/>
          <w:sz w:val="16"/>
          <w:szCs w:val="16"/>
        </w:rPr>
        <w:t xml:space="preserve">in </w:t>
      </w:r>
      <w:r w:rsidRPr="0014097E">
        <w:rPr>
          <w:rFonts w:ascii="Book Antiqua" w:hAnsi="Book Antiqua"/>
          <w:sz w:val="16"/>
          <w:szCs w:val="16"/>
        </w:rPr>
        <w:t xml:space="preserve">Compilation of General Comments and General Recommendations </w:t>
      </w:r>
      <w:r w:rsidRPr="0014097E">
        <w:rPr>
          <w:rFonts w:ascii="Book Antiqua" w:hAnsi="Book Antiqua"/>
          <w:sz w:val="16"/>
          <w:szCs w:val="16"/>
          <w:lang w:val="en-US"/>
        </w:rPr>
        <w:t xml:space="preserve">Adopted </w:t>
      </w:r>
      <w:r w:rsidRPr="0014097E">
        <w:rPr>
          <w:rFonts w:ascii="Book Antiqua" w:hAnsi="Book Antiqua"/>
          <w:sz w:val="16"/>
          <w:szCs w:val="16"/>
        </w:rPr>
        <w:t xml:space="preserve">by Human Rights Treaty Bodies, at 228, para. 10, U.N. Doc. HIR/GEN/1/Rev.9 (Vol. </w:t>
      </w:r>
      <w:r w:rsidRPr="0014097E">
        <w:rPr>
          <w:rFonts w:ascii="Book Antiqua" w:hAnsi="Book Antiqua"/>
          <w:sz w:val="16"/>
          <w:szCs w:val="16"/>
          <w:lang w:val="en-US"/>
        </w:rPr>
        <w:t>I</w:t>
      </w:r>
      <w:r w:rsidRPr="0014097E">
        <w:rPr>
          <w:rFonts w:ascii="Book Antiqua" w:hAnsi="Book Antiqua"/>
          <w:sz w:val="16"/>
          <w:szCs w:val="16"/>
        </w:rPr>
        <w:t>) (2008).</w:t>
      </w:r>
    </w:p>
  </w:endnote>
  <w:endnote w:id="3">
    <w:p w14:paraId="2E9AAA98" w14:textId="0FE37EA1" w:rsidR="00B604F9" w:rsidRPr="0014097E" w:rsidRDefault="00B604F9">
      <w:pPr>
        <w:pStyle w:val="EndnoteText"/>
        <w:rPr>
          <w:rFonts w:ascii="Book Antiqua" w:hAnsi="Book Antiqua"/>
          <w:sz w:val="16"/>
          <w:szCs w:val="16"/>
          <w:lang w:val="hu-HU"/>
        </w:rPr>
      </w:pPr>
      <w:r w:rsidRPr="0014097E">
        <w:rPr>
          <w:rStyle w:val="EndnoteReference"/>
          <w:rFonts w:ascii="Book Antiqua" w:hAnsi="Book Antiqua"/>
          <w:sz w:val="16"/>
          <w:szCs w:val="16"/>
        </w:rPr>
        <w:endnoteRef/>
      </w:r>
      <w:r w:rsidRPr="0014097E">
        <w:rPr>
          <w:rFonts w:ascii="Book Antiqua" w:hAnsi="Book Antiqua"/>
          <w:sz w:val="16"/>
          <w:szCs w:val="16"/>
        </w:rPr>
        <w:t xml:space="preserve"> https://docs.un.org/en/CEDAW/C/HUN/CO/7-8</w:t>
      </w:r>
    </w:p>
  </w:endnote>
  <w:endnote w:id="4">
    <w:p w14:paraId="4370CA07" w14:textId="0271BB6C" w:rsidR="00B604F9" w:rsidRPr="0014097E" w:rsidRDefault="00B604F9">
      <w:pPr>
        <w:pStyle w:val="EndnoteText"/>
        <w:rPr>
          <w:rFonts w:ascii="Book Antiqua" w:hAnsi="Book Antiqua"/>
          <w:sz w:val="16"/>
          <w:szCs w:val="16"/>
          <w:lang w:val="hu-HU"/>
        </w:rPr>
      </w:pPr>
      <w:r w:rsidRPr="0014097E">
        <w:rPr>
          <w:rStyle w:val="EndnoteReference"/>
          <w:rFonts w:ascii="Book Antiqua" w:hAnsi="Book Antiqua"/>
          <w:sz w:val="16"/>
          <w:szCs w:val="16"/>
        </w:rPr>
        <w:endnoteRef/>
      </w:r>
      <w:r w:rsidRPr="0014097E">
        <w:rPr>
          <w:rFonts w:ascii="Book Antiqua" w:hAnsi="Book Antiqua"/>
          <w:sz w:val="16"/>
          <w:szCs w:val="16"/>
        </w:rPr>
        <w:t xml:space="preserve"> https://www.ohchr.org/en/documents/concluding-observations/cedawchunco9-concluding-observations-ninth-periodic-report</w:t>
      </w:r>
    </w:p>
  </w:endnote>
  <w:endnote w:id="5">
    <w:p w14:paraId="045745CA" w14:textId="77777777" w:rsidR="00321259" w:rsidRPr="0014097E" w:rsidRDefault="00321259" w:rsidP="00321259">
      <w:pPr>
        <w:pStyle w:val="EndnoteText"/>
        <w:rPr>
          <w:rFonts w:ascii="Book Antiqua" w:hAnsi="Book Antiqua"/>
          <w:sz w:val="16"/>
          <w:szCs w:val="16"/>
        </w:rPr>
      </w:pPr>
      <w:r w:rsidRPr="0014097E">
        <w:rPr>
          <w:rStyle w:val="EndnoteReference"/>
          <w:rFonts w:ascii="Book Antiqua" w:hAnsi="Book Antiqua"/>
          <w:sz w:val="16"/>
          <w:szCs w:val="16"/>
        </w:rPr>
        <w:endnoteRef/>
      </w:r>
      <w:r w:rsidRPr="0014097E">
        <w:rPr>
          <w:rFonts w:ascii="Book Antiqua" w:hAnsi="Book Antiqua"/>
          <w:sz w:val="16"/>
          <w:szCs w:val="16"/>
        </w:rPr>
        <w:t xml:space="preserve"> Act No. LXXIX of 1992 on the Protection of Fetal Life</w:t>
      </w:r>
      <w:r w:rsidRPr="0014097E">
        <w:rPr>
          <w:rFonts w:ascii="Book Antiqua" w:hAnsi="Book Antiqua"/>
          <w:sz w:val="16"/>
          <w:szCs w:val="16"/>
          <w:lang w:val="en-US"/>
        </w:rPr>
        <w:t>, art. 9 (1992) (Hung.).</w:t>
      </w:r>
    </w:p>
  </w:endnote>
  <w:endnote w:id="6">
    <w:p w14:paraId="53CE495A" w14:textId="0DE861AB" w:rsidR="005D0CB5" w:rsidRPr="005D0CB5" w:rsidRDefault="005D0CB5">
      <w:pPr>
        <w:pStyle w:val="EndnoteText"/>
        <w:rPr>
          <w:rFonts w:ascii="Book Antiqua" w:hAnsi="Book Antiqua"/>
          <w:sz w:val="16"/>
          <w:szCs w:val="16"/>
          <w:lang w:val="hu-HU"/>
        </w:rPr>
      </w:pPr>
      <w:r w:rsidRPr="005D0CB5">
        <w:rPr>
          <w:rStyle w:val="EndnoteReference"/>
          <w:rFonts w:ascii="Book Antiqua" w:hAnsi="Book Antiqua"/>
          <w:sz w:val="16"/>
          <w:szCs w:val="16"/>
        </w:rPr>
        <w:endnoteRef/>
      </w:r>
      <w:r w:rsidRPr="005D0CB5">
        <w:rPr>
          <w:rFonts w:ascii="Book Antiqua" w:hAnsi="Book Antiqua"/>
          <w:sz w:val="16"/>
          <w:szCs w:val="16"/>
        </w:rPr>
        <w:t xml:space="preserve"> </w:t>
      </w:r>
      <w:hyperlink r:id="rId1" w:history="1">
        <w:r w:rsidRPr="005D0CB5">
          <w:rPr>
            <w:rStyle w:val="Hyperlink"/>
            <w:rFonts w:ascii="Book Antiqua" w:hAnsi="Book Antiqua"/>
            <w:sz w:val="16"/>
            <w:szCs w:val="16"/>
          </w:rPr>
          <w:t>https://patent.org.hu/dokumentumok/Patent_Beszeljunk_az_abortuszrol_2024.pdf</w:t>
        </w:r>
      </w:hyperlink>
    </w:p>
  </w:endnote>
  <w:endnote w:id="7">
    <w:p w14:paraId="4FAC1BE9" w14:textId="1D1553B6" w:rsidR="00834E53" w:rsidRPr="00834E53" w:rsidRDefault="00834E53">
      <w:pPr>
        <w:pStyle w:val="EndnoteText"/>
        <w:rPr>
          <w:rFonts w:ascii="Book Antiqua" w:hAnsi="Book Antiqua"/>
          <w:sz w:val="16"/>
          <w:szCs w:val="16"/>
          <w:lang w:val="hu-HU"/>
        </w:rPr>
      </w:pPr>
      <w:r>
        <w:rPr>
          <w:rStyle w:val="EndnoteReference"/>
        </w:rPr>
        <w:endnoteRef/>
      </w:r>
      <w:r>
        <w:t xml:space="preserve"> </w:t>
      </w:r>
      <w:hyperlink r:id="rId2">
        <w:r w:rsidRPr="00834E53">
          <w:rPr>
            <w:rFonts w:ascii="Book Antiqua" w:hAnsi="Book Antiqua"/>
            <w:color w:val="1155CC"/>
            <w:sz w:val="16"/>
            <w:szCs w:val="16"/>
            <w:u w:val="single"/>
          </w:rPr>
          <w:t>https://patent.org.hu/dokumentumok/Patent_Beszeljunk_az_abortuszrol_2024.pdf</w:t>
        </w:r>
      </w:hyperlink>
      <w:r w:rsidRPr="00834E53">
        <w:rPr>
          <w:rFonts w:ascii="Book Antiqua" w:hAnsi="Book Antiqua"/>
          <w:color w:val="FF00FF"/>
          <w:sz w:val="16"/>
          <w:szCs w:val="16"/>
        </w:rPr>
        <w:t xml:space="preserve"> </w:t>
      </w:r>
      <w:hyperlink r:id="rId3" w:history="1">
        <w:r w:rsidRPr="008D0DEA">
          <w:rPr>
            <w:rStyle w:val="Hyperlink"/>
            <w:rFonts w:ascii="Book Antiqua" w:hAnsi="Book Antiqua"/>
            <w:sz w:val="16"/>
            <w:szCs w:val="16"/>
          </w:rPr>
          <w:t>https://www.patent.org.hu/dokumentumok/kozpolitika_kutatas/2012_A_kotelezo_abortusz_tanacsadas_gyakorlata_Mon._tanulamany_2012-13.pdf</w:t>
        </w:r>
      </w:hyperlink>
    </w:p>
  </w:endnote>
  <w:endnote w:id="8">
    <w:p w14:paraId="7A214FEB" w14:textId="56392730" w:rsidR="006D51E0" w:rsidRPr="0014097E" w:rsidRDefault="006D51E0">
      <w:pPr>
        <w:pStyle w:val="EndnoteText"/>
        <w:rPr>
          <w:rFonts w:ascii="Book Antiqua" w:hAnsi="Book Antiqua"/>
          <w:sz w:val="16"/>
          <w:szCs w:val="16"/>
          <w:lang w:val="hu-HU"/>
        </w:rPr>
      </w:pPr>
      <w:r w:rsidRPr="0014097E">
        <w:rPr>
          <w:rStyle w:val="EndnoteReference"/>
          <w:rFonts w:ascii="Book Antiqua" w:hAnsi="Book Antiqua"/>
          <w:sz w:val="16"/>
          <w:szCs w:val="16"/>
        </w:rPr>
        <w:endnoteRef/>
      </w:r>
      <w:r w:rsidRPr="0014097E">
        <w:rPr>
          <w:rFonts w:ascii="Book Antiqua" w:hAnsi="Book Antiqua"/>
          <w:sz w:val="16"/>
          <w:szCs w:val="16"/>
        </w:rPr>
        <w:t xml:space="preserve"> </w:t>
      </w:r>
      <w:hyperlink r:id="rId4" w:history="1">
        <w:r w:rsidRPr="0014097E">
          <w:rPr>
            <w:rStyle w:val="Hyperlink"/>
            <w:rFonts w:ascii="Book Antiqua" w:hAnsi="Book Antiqua"/>
            <w:sz w:val="16"/>
            <w:szCs w:val="16"/>
          </w:rPr>
          <w:t>https://telex.hu/g7/2022/09/26/az-abortusz-egyre-inkabb-a-24-ev-alattiak-tapasztalata-magyarorszagon</w:t>
        </w:r>
      </w:hyperlink>
    </w:p>
  </w:endnote>
  <w:endnote w:id="9">
    <w:p w14:paraId="50ECE644" w14:textId="77777777" w:rsidR="00446911" w:rsidRPr="0014097E" w:rsidRDefault="00446911" w:rsidP="00446911">
      <w:pPr>
        <w:pStyle w:val="EndnoteText"/>
        <w:rPr>
          <w:rFonts w:ascii="Book Antiqua" w:hAnsi="Book Antiqua"/>
          <w:sz w:val="16"/>
          <w:szCs w:val="16"/>
        </w:rPr>
      </w:pPr>
      <w:r w:rsidRPr="0014097E">
        <w:rPr>
          <w:rStyle w:val="EndnoteReference"/>
          <w:rFonts w:ascii="Book Antiqua" w:hAnsi="Book Antiqua"/>
          <w:sz w:val="16"/>
          <w:szCs w:val="16"/>
        </w:rPr>
        <w:endnoteRef/>
      </w:r>
      <w:r w:rsidRPr="0014097E">
        <w:rPr>
          <w:rFonts w:ascii="Book Antiqua" w:hAnsi="Book Antiqua"/>
          <w:sz w:val="16"/>
          <w:szCs w:val="16"/>
        </w:rPr>
        <w:t xml:space="preserve"> CEDAW Committee, </w:t>
      </w:r>
      <w:r w:rsidRPr="0014097E">
        <w:rPr>
          <w:rFonts w:ascii="Book Antiqua" w:hAnsi="Book Antiqua"/>
          <w:i/>
          <w:sz w:val="16"/>
          <w:szCs w:val="16"/>
        </w:rPr>
        <w:t xml:space="preserve">Gen. Recommendation </w:t>
      </w:r>
      <w:r w:rsidRPr="0014097E">
        <w:rPr>
          <w:rFonts w:ascii="Book Antiqua" w:hAnsi="Book Antiqua"/>
          <w:i/>
          <w:sz w:val="16"/>
          <w:szCs w:val="16"/>
          <w:lang w:val="en-US"/>
        </w:rPr>
        <w:t xml:space="preserve">No. </w:t>
      </w:r>
      <w:r w:rsidRPr="0014097E">
        <w:rPr>
          <w:rFonts w:ascii="Book Antiqua" w:hAnsi="Book Antiqua"/>
          <w:i/>
          <w:sz w:val="16"/>
          <w:szCs w:val="16"/>
        </w:rPr>
        <w:t>24</w:t>
      </w:r>
      <w:r w:rsidRPr="0014097E">
        <w:rPr>
          <w:rFonts w:ascii="Book Antiqua" w:hAnsi="Book Antiqua"/>
          <w:i/>
          <w:sz w:val="16"/>
          <w:szCs w:val="16"/>
          <w:lang w:val="en-US"/>
        </w:rPr>
        <w:t xml:space="preserve">, supra </w:t>
      </w:r>
      <w:r w:rsidRPr="0014097E">
        <w:rPr>
          <w:rFonts w:ascii="Book Antiqua" w:hAnsi="Book Antiqua"/>
          <w:sz w:val="16"/>
          <w:szCs w:val="16"/>
          <w:lang w:val="en-US"/>
        </w:rPr>
        <w:t>note 5</w:t>
      </w:r>
      <w:r w:rsidRPr="0014097E">
        <w:rPr>
          <w:rFonts w:ascii="Book Antiqua" w:hAnsi="Book Antiqua"/>
          <w:sz w:val="16"/>
          <w:szCs w:val="16"/>
        </w:rPr>
        <w:t>, at 358, para. 13.</w:t>
      </w:r>
    </w:p>
  </w:endnote>
  <w:endnote w:id="10">
    <w:p w14:paraId="2F85DD31" w14:textId="77777777" w:rsidR="00100CDA" w:rsidRPr="0014097E" w:rsidRDefault="00100CDA" w:rsidP="00100CDA">
      <w:pPr>
        <w:pStyle w:val="EndnoteText"/>
        <w:rPr>
          <w:rFonts w:ascii="Book Antiqua" w:hAnsi="Book Antiqua"/>
          <w:sz w:val="16"/>
          <w:szCs w:val="16"/>
        </w:rPr>
      </w:pPr>
      <w:r w:rsidRPr="0014097E">
        <w:rPr>
          <w:rStyle w:val="EndnoteReference"/>
          <w:rFonts w:ascii="Book Antiqua" w:hAnsi="Book Antiqua"/>
          <w:sz w:val="16"/>
          <w:szCs w:val="16"/>
        </w:rPr>
        <w:endnoteRef/>
      </w:r>
      <w:r w:rsidRPr="0014097E">
        <w:rPr>
          <w:rFonts w:ascii="Book Antiqua" w:hAnsi="Book Antiqua"/>
          <w:sz w:val="16"/>
          <w:szCs w:val="16"/>
        </w:rPr>
        <w:t xml:space="preserve"> Act No. LXXIX of 1992 on the Protection of Fetal Life</w:t>
      </w:r>
      <w:r w:rsidRPr="0014097E">
        <w:rPr>
          <w:rFonts w:ascii="Book Antiqua" w:hAnsi="Book Antiqua"/>
          <w:sz w:val="16"/>
          <w:szCs w:val="16"/>
          <w:lang w:val="en-US"/>
        </w:rPr>
        <w:t>, art. 14 (1992) (Hung.).</w:t>
      </w:r>
    </w:p>
  </w:endnote>
  <w:endnote w:id="11">
    <w:p w14:paraId="3D8363DD" w14:textId="77777777" w:rsidR="00100CDA" w:rsidRPr="0014097E" w:rsidRDefault="00100CDA" w:rsidP="00100CDA">
      <w:pPr>
        <w:pStyle w:val="EndnoteText"/>
        <w:rPr>
          <w:rFonts w:ascii="Book Antiqua" w:hAnsi="Book Antiqua"/>
          <w:sz w:val="16"/>
          <w:szCs w:val="16"/>
          <w:lang w:val="hu-HU"/>
        </w:rPr>
      </w:pPr>
      <w:r w:rsidRPr="0014097E">
        <w:rPr>
          <w:rStyle w:val="EndnoteReference"/>
          <w:rFonts w:ascii="Book Antiqua" w:hAnsi="Book Antiqua"/>
          <w:sz w:val="16"/>
          <w:szCs w:val="16"/>
        </w:rPr>
        <w:endnoteRef/>
      </w:r>
      <w:r w:rsidRPr="0014097E">
        <w:rPr>
          <w:rFonts w:ascii="Book Antiqua" w:hAnsi="Book Antiqua"/>
          <w:sz w:val="16"/>
          <w:szCs w:val="16"/>
        </w:rPr>
        <w:t xml:space="preserve"> </w:t>
      </w:r>
      <w:r w:rsidRPr="0014097E">
        <w:rPr>
          <w:rFonts w:ascii="Book Antiqua" w:hAnsi="Book Antiqua"/>
          <w:i/>
          <w:sz w:val="16"/>
          <w:szCs w:val="16"/>
          <w:lang w:val="hu-HU"/>
        </w:rPr>
        <w:t xml:space="preserve">Id. </w:t>
      </w:r>
      <w:r w:rsidRPr="0014097E">
        <w:rPr>
          <w:rFonts w:ascii="Book Antiqua" w:hAnsi="Book Antiqua"/>
          <w:sz w:val="16"/>
          <w:szCs w:val="16"/>
          <w:lang w:val="hu-HU"/>
        </w:rPr>
        <w:t>Art. 13(2).</w:t>
      </w:r>
    </w:p>
  </w:endnote>
  <w:endnote w:id="12">
    <w:p w14:paraId="7E37554D" w14:textId="69A12D82" w:rsidR="004A7098" w:rsidRPr="0014097E" w:rsidRDefault="004A7098">
      <w:pPr>
        <w:pStyle w:val="EndnoteText"/>
        <w:rPr>
          <w:rFonts w:ascii="Book Antiqua" w:hAnsi="Book Antiqua"/>
          <w:sz w:val="16"/>
          <w:szCs w:val="16"/>
          <w:lang w:val="hu-HU"/>
        </w:rPr>
      </w:pPr>
      <w:r w:rsidRPr="0014097E">
        <w:rPr>
          <w:rStyle w:val="EndnoteReference"/>
          <w:rFonts w:ascii="Book Antiqua" w:hAnsi="Book Antiqua"/>
          <w:sz w:val="16"/>
          <w:szCs w:val="16"/>
        </w:rPr>
        <w:endnoteRef/>
      </w:r>
      <w:r w:rsidRPr="0014097E">
        <w:rPr>
          <w:rFonts w:ascii="Book Antiqua" w:hAnsi="Book Antiqua"/>
          <w:sz w:val="16"/>
          <w:szCs w:val="16"/>
        </w:rPr>
        <w:t xml:space="preserve"> </w:t>
      </w:r>
      <w:hyperlink r:id="rId5" w:history="1">
        <w:r w:rsidRPr="0014097E">
          <w:rPr>
            <w:rStyle w:val="Hyperlink"/>
            <w:rFonts w:ascii="Book Antiqua" w:hAnsi="Book Antiqua"/>
            <w:sz w:val="16"/>
            <w:szCs w:val="16"/>
            <w:lang w:val="en-GB"/>
          </w:rPr>
          <w:t>https://telex.hu/eletmod/2024/04/05/abortusz-patent-egyesulet-tanulmany-christian-fiala-abortuszturizmus-szivhangtorveny-nojog</w:t>
        </w:r>
      </w:hyperlink>
    </w:p>
  </w:endnote>
  <w:endnote w:id="13">
    <w:p w14:paraId="1826A41F" w14:textId="77777777" w:rsidR="004A7098" w:rsidRPr="0014097E" w:rsidRDefault="004A7098" w:rsidP="004A7098">
      <w:pPr>
        <w:pStyle w:val="EndnoteText"/>
        <w:rPr>
          <w:rFonts w:ascii="Book Antiqua" w:hAnsi="Book Antiqua"/>
          <w:sz w:val="16"/>
          <w:szCs w:val="16"/>
        </w:rPr>
      </w:pPr>
      <w:r w:rsidRPr="0014097E">
        <w:rPr>
          <w:rStyle w:val="EndnoteReference"/>
          <w:rFonts w:ascii="Book Antiqua" w:hAnsi="Book Antiqua"/>
          <w:sz w:val="16"/>
          <w:szCs w:val="16"/>
        </w:rPr>
        <w:endnoteRef/>
      </w:r>
      <w:r w:rsidRPr="0014097E">
        <w:rPr>
          <w:rFonts w:ascii="Book Antiqua" w:hAnsi="Book Antiqua"/>
          <w:sz w:val="16"/>
          <w:szCs w:val="16"/>
        </w:rPr>
        <w:t xml:space="preserve"> </w:t>
      </w:r>
      <w:r w:rsidRPr="0014097E">
        <w:rPr>
          <w:rFonts w:ascii="Book Antiqua" w:hAnsi="Book Antiqua"/>
          <w:smallCaps/>
          <w:sz w:val="16"/>
          <w:szCs w:val="16"/>
        </w:rPr>
        <w:t>World Health Organization</w:t>
      </w:r>
      <w:r w:rsidRPr="0014097E">
        <w:rPr>
          <w:rFonts w:ascii="Book Antiqua" w:hAnsi="Book Antiqua"/>
          <w:smallCaps/>
          <w:sz w:val="16"/>
          <w:szCs w:val="16"/>
          <w:lang w:val="en-US"/>
        </w:rPr>
        <w:t xml:space="preserve"> (WHO)</w:t>
      </w:r>
      <w:r w:rsidRPr="0014097E">
        <w:rPr>
          <w:rFonts w:ascii="Book Antiqua" w:hAnsi="Book Antiqua"/>
          <w:smallCaps/>
          <w:sz w:val="16"/>
          <w:szCs w:val="16"/>
        </w:rPr>
        <w:t>, Safe Abortion: Technical and Policy Guidance for Health Systems</w:t>
      </w:r>
      <w:r w:rsidRPr="0014097E">
        <w:rPr>
          <w:rFonts w:ascii="Book Antiqua" w:hAnsi="Book Antiqua"/>
          <w:sz w:val="16"/>
          <w:szCs w:val="16"/>
        </w:rPr>
        <w:t xml:space="preserve"> 42 (2</w:t>
      </w:r>
      <w:r w:rsidRPr="0014097E">
        <w:rPr>
          <w:rFonts w:ascii="Book Antiqua" w:hAnsi="Book Antiqua"/>
          <w:sz w:val="16"/>
          <w:szCs w:val="16"/>
          <w:vertAlign w:val="superscript"/>
        </w:rPr>
        <w:t>nd</w:t>
      </w:r>
      <w:r w:rsidRPr="0014097E">
        <w:rPr>
          <w:rFonts w:ascii="Book Antiqua" w:hAnsi="Book Antiqua"/>
          <w:sz w:val="16"/>
          <w:szCs w:val="16"/>
        </w:rPr>
        <w:t xml:space="preserve"> ed., 2012), </w:t>
      </w:r>
      <w:r w:rsidRPr="0014097E">
        <w:rPr>
          <w:rFonts w:ascii="Book Antiqua" w:hAnsi="Book Antiqua"/>
          <w:i/>
          <w:sz w:val="16"/>
          <w:szCs w:val="16"/>
        </w:rPr>
        <w:t>available at</w:t>
      </w:r>
      <w:r w:rsidRPr="0014097E">
        <w:rPr>
          <w:rFonts w:ascii="Book Antiqua" w:hAnsi="Book Antiqua"/>
          <w:sz w:val="16"/>
          <w:szCs w:val="16"/>
        </w:rPr>
        <w:t>http://apps.who.int/iris/bitstream/10665/70914/1/9789241548434_eng.pdf</w:t>
      </w:r>
      <w:r w:rsidRPr="0014097E">
        <w:rPr>
          <w:rFonts w:ascii="Book Antiqua" w:hAnsi="Book Antiqua"/>
          <w:sz w:val="16"/>
          <w:szCs w:val="16"/>
          <w:lang w:val="en-US"/>
        </w:rPr>
        <w:t xml:space="preserve"> [hereinafter WHO, </w:t>
      </w:r>
      <w:r w:rsidRPr="0014097E">
        <w:rPr>
          <w:rFonts w:ascii="Book Antiqua" w:hAnsi="Book Antiqua"/>
          <w:smallCaps/>
          <w:sz w:val="16"/>
          <w:szCs w:val="16"/>
        </w:rPr>
        <w:t>Safe Abortion</w:t>
      </w:r>
      <w:r w:rsidRPr="0014097E">
        <w:rPr>
          <w:rFonts w:ascii="Book Antiqua" w:hAnsi="Book Antiqua"/>
          <w:smallCaps/>
          <w:sz w:val="16"/>
          <w:szCs w:val="16"/>
          <w:lang w:val="en-US"/>
        </w:rPr>
        <w:t xml:space="preserve"> </w:t>
      </w:r>
      <w:r w:rsidRPr="0014097E">
        <w:rPr>
          <w:rFonts w:ascii="Book Antiqua" w:hAnsi="Book Antiqua"/>
          <w:sz w:val="16"/>
          <w:szCs w:val="16"/>
        </w:rPr>
        <w:t>(2</w:t>
      </w:r>
      <w:r w:rsidRPr="0014097E">
        <w:rPr>
          <w:rFonts w:ascii="Book Antiqua" w:hAnsi="Book Antiqua"/>
          <w:sz w:val="16"/>
          <w:szCs w:val="16"/>
          <w:vertAlign w:val="superscript"/>
        </w:rPr>
        <w:t>nd</w:t>
      </w:r>
      <w:r w:rsidRPr="0014097E">
        <w:rPr>
          <w:rFonts w:ascii="Book Antiqua" w:hAnsi="Book Antiqua"/>
          <w:sz w:val="16"/>
          <w:szCs w:val="16"/>
        </w:rPr>
        <w:t xml:space="preserve"> ed., 2012)</w:t>
      </w:r>
      <w:r w:rsidRPr="0014097E">
        <w:rPr>
          <w:rFonts w:ascii="Book Antiqua" w:hAnsi="Book Antiqua"/>
          <w:sz w:val="16"/>
          <w:szCs w:val="16"/>
          <w:lang w:val="en-US"/>
        </w:rPr>
        <w:t>]</w:t>
      </w:r>
      <w:r w:rsidRPr="0014097E">
        <w:rPr>
          <w:rFonts w:ascii="Book Antiqua" w:hAnsi="Book Antiqua"/>
          <w:sz w:val="16"/>
          <w:szCs w:val="16"/>
        </w:rPr>
        <w:t>.</w:t>
      </w:r>
    </w:p>
  </w:endnote>
  <w:endnote w:id="14">
    <w:p w14:paraId="7430A842" w14:textId="77777777" w:rsidR="004A7098" w:rsidRPr="0014097E" w:rsidRDefault="004A7098" w:rsidP="004A7098">
      <w:pPr>
        <w:pStyle w:val="EndnoteText"/>
        <w:rPr>
          <w:rFonts w:ascii="Book Antiqua" w:hAnsi="Book Antiqua"/>
          <w:sz w:val="16"/>
          <w:szCs w:val="16"/>
          <w:lang w:val="en-US"/>
        </w:rPr>
      </w:pPr>
      <w:r w:rsidRPr="0014097E">
        <w:rPr>
          <w:rStyle w:val="EndnoteReference"/>
          <w:rFonts w:ascii="Book Antiqua" w:hAnsi="Book Antiqua"/>
          <w:sz w:val="16"/>
          <w:szCs w:val="16"/>
        </w:rPr>
        <w:endnoteRef/>
      </w:r>
      <w:r w:rsidRPr="0014097E">
        <w:rPr>
          <w:rFonts w:ascii="Book Antiqua" w:hAnsi="Book Antiqua"/>
          <w:sz w:val="16"/>
          <w:szCs w:val="16"/>
        </w:rPr>
        <w:t xml:space="preserve"> </w:t>
      </w:r>
      <w:r w:rsidRPr="0014097E">
        <w:rPr>
          <w:rFonts w:ascii="Book Antiqua" w:hAnsi="Book Antiqua"/>
          <w:sz w:val="16"/>
          <w:szCs w:val="16"/>
          <w:lang w:val="en-US"/>
        </w:rPr>
        <w:t xml:space="preserve">WHO, </w:t>
      </w:r>
      <w:r w:rsidRPr="0014097E">
        <w:rPr>
          <w:rFonts w:ascii="Book Antiqua" w:hAnsi="Book Antiqua"/>
          <w:smallCaps/>
          <w:sz w:val="16"/>
          <w:szCs w:val="16"/>
        </w:rPr>
        <w:t>Safe Abortion</w:t>
      </w:r>
      <w:r w:rsidRPr="0014097E">
        <w:rPr>
          <w:rFonts w:ascii="Book Antiqua" w:hAnsi="Book Antiqua"/>
          <w:smallCaps/>
          <w:sz w:val="16"/>
          <w:szCs w:val="16"/>
          <w:lang w:val="en-US"/>
        </w:rPr>
        <w:t xml:space="preserve"> </w:t>
      </w:r>
      <w:r w:rsidRPr="0014097E">
        <w:rPr>
          <w:rFonts w:ascii="Book Antiqua" w:hAnsi="Book Antiqua"/>
          <w:sz w:val="16"/>
          <w:szCs w:val="16"/>
        </w:rPr>
        <w:t>(2</w:t>
      </w:r>
      <w:r w:rsidRPr="0014097E">
        <w:rPr>
          <w:rFonts w:ascii="Book Antiqua" w:hAnsi="Book Antiqua"/>
          <w:sz w:val="16"/>
          <w:szCs w:val="16"/>
          <w:vertAlign w:val="superscript"/>
        </w:rPr>
        <w:t>nd</w:t>
      </w:r>
      <w:r w:rsidRPr="0014097E">
        <w:rPr>
          <w:rFonts w:ascii="Book Antiqua" w:hAnsi="Book Antiqua"/>
          <w:sz w:val="16"/>
          <w:szCs w:val="16"/>
        </w:rPr>
        <w:t xml:space="preserve"> ed., 2012)</w:t>
      </w:r>
      <w:r w:rsidRPr="0014097E">
        <w:rPr>
          <w:rFonts w:ascii="Book Antiqua" w:hAnsi="Book Antiqua"/>
          <w:sz w:val="16"/>
          <w:szCs w:val="16"/>
          <w:lang w:val="en-US"/>
        </w:rPr>
        <w:t xml:space="preserve">, </w:t>
      </w:r>
      <w:r w:rsidRPr="0014097E">
        <w:rPr>
          <w:rFonts w:ascii="Book Antiqua" w:hAnsi="Book Antiqua"/>
          <w:i/>
          <w:sz w:val="16"/>
          <w:szCs w:val="16"/>
          <w:lang w:val="en-US"/>
        </w:rPr>
        <w:t xml:space="preserve">supra </w:t>
      </w:r>
      <w:r w:rsidRPr="0014097E">
        <w:rPr>
          <w:rFonts w:ascii="Book Antiqua" w:hAnsi="Book Antiqua"/>
          <w:sz w:val="16"/>
          <w:szCs w:val="16"/>
          <w:lang w:val="en-US"/>
        </w:rPr>
        <w:t>note 22, at 44, 76- 78</w:t>
      </w:r>
      <w:r w:rsidRPr="0014097E">
        <w:rPr>
          <w:rFonts w:ascii="Book Antiqua" w:hAnsi="Book Antiqua"/>
          <w:sz w:val="16"/>
          <w:szCs w:val="16"/>
        </w:rPr>
        <w:t>.</w:t>
      </w:r>
    </w:p>
  </w:endnote>
  <w:endnote w:id="15">
    <w:p w14:paraId="34517715" w14:textId="77777777" w:rsidR="00DA1AF9" w:rsidRPr="0014097E" w:rsidRDefault="00DA1AF9" w:rsidP="00DA1AF9">
      <w:pPr>
        <w:pStyle w:val="EndnoteText"/>
        <w:rPr>
          <w:rFonts w:ascii="Book Antiqua" w:hAnsi="Book Antiqua"/>
          <w:sz w:val="16"/>
          <w:szCs w:val="16"/>
        </w:rPr>
      </w:pPr>
      <w:r w:rsidRPr="0014097E">
        <w:rPr>
          <w:rStyle w:val="EndnoteReference"/>
          <w:rFonts w:ascii="Book Antiqua" w:hAnsi="Book Antiqua"/>
          <w:sz w:val="16"/>
          <w:szCs w:val="16"/>
        </w:rPr>
        <w:endnoteRef/>
      </w:r>
      <w:r w:rsidRPr="0014097E">
        <w:rPr>
          <w:rFonts w:ascii="Book Antiqua" w:hAnsi="Book Antiqua"/>
          <w:sz w:val="16"/>
          <w:szCs w:val="16"/>
        </w:rPr>
        <w:t xml:space="preserve"> CEDAW Committee, </w:t>
      </w:r>
      <w:r w:rsidRPr="0014097E">
        <w:rPr>
          <w:rFonts w:ascii="Book Antiqua" w:hAnsi="Book Antiqua"/>
          <w:i/>
          <w:sz w:val="16"/>
          <w:szCs w:val="16"/>
        </w:rPr>
        <w:t xml:space="preserve">Gen. Recommendation </w:t>
      </w:r>
      <w:r w:rsidRPr="0014097E">
        <w:rPr>
          <w:rFonts w:ascii="Book Antiqua" w:hAnsi="Book Antiqua"/>
          <w:i/>
          <w:sz w:val="16"/>
          <w:szCs w:val="16"/>
          <w:lang w:val="en-US"/>
        </w:rPr>
        <w:t xml:space="preserve">No. </w:t>
      </w:r>
      <w:r w:rsidRPr="0014097E">
        <w:rPr>
          <w:rFonts w:ascii="Book Antiqua" w:hAnsi="Book Antiqua"/>
          <w:i/>
          <w:sz w:val="16"/>
          <w:szCs w:val="16"/>
        </w:rPr>
        <w:t>24</w:t>
      </w:r>
      <w:r w:rsidRPr="0014097E">
        <w:rPr>
          <w:rFonts w:ascii="Book Antiqua" w:hAnsi="Book Antiqua"/>
          <w:i/>
          <w:sz w:val="16"/>
          <w:szCs w:val="16"/>
          <w:lang w:val="en-US"/>
        </w:rPr>
        <w:t xml:space="preserve">, supra </w:t>
      </w:r>
      <w:r w:rsidRPr="0014097E">
        <w:rPr>
          <w:rFonts w:ascii="Book Antiqua" w:hAnsi="Book Antiqua"/>
          <w:sz w:val="16"/>
          <w:szCs w:val="16"/>
          <w:lang w:val="en-US"/>
        </w:rPr>
        <w:t>note 5</w:t>
      </w:r>
      <w:r w:rsidRPr="0014097E">
        <w:rPr>
          <w:rFonts w:ascii="Book Antiqua" w:hAnsi="Book Antiqua"/>
          <w:sz w:val="16"/>
          <w:szCs w:val="16"/>
        </w:rPr>
        <w:t>, at 358, para. 23.</w:t>
      </w:r>
    </w:p>
  </w:endnote>
  <w:endnote w:id="16">
    <w:p w14:paraId="34522F3B" w14:textId="77777777" w:rsidR="00DA1AF9" w:rsidRPr="0014097E" w:rsidRDefault="00DA1AF9" w:rsidP="00DA1AF9">
      <w:pPr>
        <w:pStyle w:val="Default"/>
        <w:rPr>
          <w:rFonts w:ascii="Book Antiqua" w:hAnsi="Book Antiqua"/>
          <w:color w:val="auto"/>
          <w:sz w:val="16"/>
          <w:szCs w:val="16"/>
        </w:rPr>
      </w:pPr>
      <w:r w:rsidRPr="0014097E">
        <w:rPr>
          <w:rStyle w:val="EndnoteReference"/>
          <w:rFonts w:ascii="Book Antiqua" w:hAnsi="Book Antiqua"/>
          <w:color w:val="auto"/>
          <w:sz w:val="16"/>
          <w:szCs w:val="16"/>
        </w:rPr>
        <w:endnoteRef/>
      </w:r>
      <w:r w:rsidRPr="0014097E">
        <w:rPr>
          <w:rFonts w:ascii="Book Antiqua" w:hAnsi="Book Antiqua"/>
          <w:color w:val="auto"/>
          <w:sz w:val="16"/>
          <w:szCs w:val="16"/>
        </w:rPr>
        <w:t xml:space="preserve"> </w:t>
      </w:r>
      <w:r w:rsidRPr="0014097E">
        <w:rPr>
          <w:rFonts w:ascii="Book Antiqua" w:hAnsi="Book Antiqua"/>
          <w:i/>
          <w:iCs/>
          <w:color w:val="auto"/>
          <w:sz w:val="16"/>
          <w:szCs w:val="16"/>
        </w:rPr>
        <w:t>See, e.g.</w:t>
      </w:r>
      <w:r w:rsidRPr="0014097E">
        <w:rPr>
          <w:rFonts w:ascii="Book Antiqua" w:hAnsi="Book Antiqua"/>
          <w:color w:val="auto"/>
          <w:sz w:val="16"/>
          <w:szCs w:val="16"/>
        </w:rPr>
        <w:t xml:space="preserve">, CEDAW Committee, </w:t>
      </w:r>
      <w:r w:rsidRPr="0014097E">
        <w:rPr>
          <w:rFonts w:ascii="Book Antiqua" w:hAnsi="Book Antiqua"/>
          <w:i/>
          <w:iCs/>
          <w:color w:val="auto"/>
          <w:sz w:val="16"/>
          <w:szCs w:val="16"/>
        </w:rPr>
        <w:t>Concluding Observations</w:t>
      </w:r>
      <w:r w:rsidRPr="0014097E">
        <w:rPr>
          <w:rFonts w:ascii="Book Antiqua" w:hAnsi="Book Antiqua"/>
          <w:color w:val="auto"/>
          <w:sz w:val="16"/>
          <w:szCs w:val="16"/>
        </w:rPr>
        <w:t xml:space="preserve">: </w:t>
      </w:r>
      <w:r w:rsidRPr="0014097E">
        <w:rPr>
          <w:rFonts w:ascii="Book Antiqua" w:hAnsi="Book Antiqua"/>
          <w:i/>
          <w:iCs/>
          <w:color w:val="auto"/>
          <w:sz w:val="16"/>
          <w:szCs w:val="16"/>
        </w:rPr>
        <w:t>Burundi</w:t>
      </w:r>
      <w:r w:rsidRPr="0014097E">
        <w:rPr>
          <w:rFonts w:ascii="Book Antiqua" w:hAnsi="Book Antiqua"/>
          <w:color w:val="auto"/>
          <w:sz w:val="16"/>
          <w:szCs w:val="16"/>
        </w:rPr>
        <w:t xml:space="preserve">, para. 62, U.N. Doc. A/56/38 (2001); </w:t>
      </w:r>
      <w:r w:rsidRPr="0014097E">
        <w:rPr>
          <w:rFonts w:ascii="Book Antiqua" w:hAnsi="Book Antiqua"/>
          <w:i/>
          <w:iCs/>
          <w:color w:val="auto"/>
          <w:sz w:val="16"/>
          <w:szCs w:val="16"/>
        </w:rPr>
        <w:t>Jamaica</w:t>
      </w:r>
      <w:r w:rsidRPr="0014097E">
        <w:rPr>
          <w:rFonts w:ascii="Book Antiqua" w:hAnsi="Book Antiqua"/>
          <w:color w:val="auto"/>
          <w:sz w:val="16"/>
          <w:szCs w:val="16"/>
        </w:rPr>
        <w:t xml:space="preserve">, para. 224, U.N. Doc. A/56/38 (2001); </w:t>
      </w:r>
      <w:r w:rsidRPr="0014097E">
        <w:rPr>
          <w:rFonts w:ascii="Book Antiqua" w:hAnsi="Book Antiqua"/>
          <w:i/>
          <w:iCs/>
          <w:color w:val="auto"/>
          <w:sz w:val="16"/>
          <w:szCs w:val="16"/>
        </w:rPr>
        <w:t>Kazakhstan</w:t>
      </w:r>
      <w:r w:rsidRPr="0014097E">
        <w:rPr>
          <w:rFonts w:ascii="Book Antiqua" w:hAnsi="Book Antiqua"/>
          <w:color w:val="auto"/>
          <w:sz w:val="16"/>
          <w:szCs w:val="16"/>
        </w:rPr>
        <w:t xml:space="preserve">, para. 106, U.N. Doc. A/56/38 (2001); </w:t>
      </w:r>
      <w:r w:rsidRPr="0014097E">
        <w:rPr>
          <w:rFonts w:ascii="Book Antiqua" w:hAnsi="Book Antiqua"/>
          <w:i/>
          <w:iCs/>
          <w:color w:val="auto"/>
          <w:sz w:val="16"/>
          <w:szCs w:val="16"/>
        </w:rPr>
        <w:t>Lithuania</w:t>
      </w:r>
      <w:r w:rsidRPr="0014097E">
        <w:rPr>
          <w:rFonts w:ascii="Book Antiqua" w:hAnsi="Book Antiqua"/>
          <w:color w:val="auto"/>
          <w:sz w:val="16"/>
          <w:szCs w:val="16"/>
        </w:rPr>
        <w:t xml:space="preserve">, para. 25, U.N. Doc. CEDAW/C/LTU/CO/4 (2008); </w:t>
      </w:r>
      <w:r w:rsidRPr="0014097E">
        <w:rPr>
          <w:rFonts w:ascii="Book Antiqua" w:hAnsi="Book Antiqua"/>
          <w:i/>
          <w:iCs/>
          <w:color w:val="auto"/>
          <w:sz w:val="16"/>
          <w:szCs w:val="16"/>
        </w:rPr>
        <w:t>Slovakia</w:t>
      </w:r>
      <w:r w:rsidRPr="0014097E">
        <w:rPr>
          <w:rFonts w:ascii="Book Antiqua" w:hAnsi="Book Antiqua"/>
          <w:color w:val="auto"/>
          <w:sz w:val="16"/>
          <w:szCs w:val="16"/>
        </w:rPr>
        <w:t xml:space="preserve">, paras. 32-33, U.N. Doc. CEDAW/C/SVK/CO/4 (2008); </w:t>
      </w:r>
      <w:r w:rsidRPr="0014097E">
        <w:rPr>
          <w:rFonts w:ascii="Book Antiqua" w:hAnsi="Book Antiqua"/>
          <w:i/>
          <w:color w:val="auto"/>
          <w:sz w:val="16"/>
          <w:szCs w:val="16"/>
        </w:rPr>
        <w:t>see also</w:t>
      </w:r>
      <w:r w:rsidRPr="0014097E">
        <w:rPr>
          <w:rFonts w:ascii="Book Antiqua" w:hAnsi="Book Antiqua"/>
          <w:color w:val="auto"/>
          <w:sz w:val="16"/>
          <w:szCs w:val="16"/>
        </w:rPr>
        <w:t xml:space="preserve"> Human Rights Committee, </w:t>
      </w:r>
      <w:r w:rsidRPr="0014097E">
        <w:rPr>
          <w:rFonts w:ascii="Book Antiqua" w:hAnsi="Book Antiqua"/>
          <w:i/>
          <w:iCs/>
          <w:color w:val="auto"/>
          <w:sz w:val="16"/>
          <w:szCs w:val="16"/>
        </w:rPr>
        <w:t>Concluding Observations</w:t>
      </w:r>
      <w:r w:rsidRPr="0014097E">
        <w:rPr>
          <w:rFonts w:ascii="Book Antiqua" w:hAnsi="Book Antiqua"/>
          <w:color w:val="auto"/>
          <w:sz w:val="16"/>
          <w:szCs w:val="16"/>
        </w:rPr>
        <w:t xml:space="preserve">: </w:t>
      </w:r>
      <w:r w:rsidRPr="0014097E">
        <w:rPr>
          <w:rFonts w:ascii="Book Antiqua" w:hAnsi="Book Antiqua"/>
          <w:i/>
          <w:iCs/>
          <w:color w:val="auto"/>
          <w:sz w:val="16"/>
          <w:szCs w:val="16"/>
        </w:rPr>
        <w:t>Poland</w:t>
      </w:r>
      <w:r w:rsidRPr="0014097E">
        <w:rPr>
          <w:rFonts w:ascii="Book Antiqua" w:hAnsi="Book Antiqua"/>
          <w:color w:val="auto"/>
          <w:sz w:val="16"/>
          <w:szCs w:val="16"/>
        </w:rPr>
        <w:t xml:space="preserve">, para. 9, U.N. Doc. CCPR/CO/82/POL (2004); CRC Committee, </w:t>
      </w:r>
      <w:r w:rsidRPr="0014097E">
        <w:rPr>
          <w:rFonts w:ascii="Book Antiqua" w:hAnsi="Book Antiqua"/>
          <w:i/>
          <w:iCs/>
          <w:color w:val="auto"/>
          <w:sz w:val="16"/>
          <w:szCs w:val="16"/>
        </w:rPr>
        <w:t>Concluding Observations</w:t>
      </w:r>
      <w:r w:rsidRPr="0014097E">
        <w:rPr>
          <w:rFonts w:ascii="Book Antiqua" w:hAnsi="Book Antiqua"/>
          <w:color w:val="auto"/>
          <w:sz w:val="16"/>
          <w:szCs w:val="16"/>
        </w:rPr>
        <w:t xml:space="preserve">: </w:t>
      </w:r>
      <w:r w:rsidRPr="0014097E">
        <w:rPr>
          <w:rFonts w:ascii="Book Antiqua" w:hAnsi="Book Antiqua"/>
          <w:i/>
          <w:iCs/>
          <w:color w:val="auto"/>
          <w:sz w:val="16"/>
          <w:szCs w:val="16"/>
        </w:rPr>
        <w:t>Bhutan</w:t>
      </w:r>
      <w:r w:rsidRPr="0014097E">
        <w:rPr>
          <w:rFonts w:ascii="Book Antiqua" w:hAnsi="Book Antiqua"/>
          <w:color w:val="auto"/>
          <w:sz w:val="16"/>
          <w:szCs w:val="16"/>
        </w:rPr>
        <w:t xml:space="preserve">, para. 45(a-b), U.N. Doc. CRC/C/15/Add.157 (2001); </w:t>
      </w:r>
      <w:r w:rsidRPr="0014097E">
        <w:rPr>
          <w:rFonts w:ascii="Book Antiqua" w:hAnsi="Book Antiqua"/>
          <w:i/>
          <w:iCs/>
          <w:color w:val="auto"/>
          <w:sz w:val="16"/>
          <w:szCs w:val="16"/>
        </w:rPr>
        <w:t>Cambodia</w:t>
      </w:r>
      <w:r w:rsidRPr="0014097E">
        <w:rPr>
          <w:rFonts w:ascii="Book Antiqua" w:hAnsi="Book Antiqua"/>
          <w:color w:val="auto"/>
          <w:sz w:val="16"/>
          <w:szCs w:val="16"/>
        </w:rPr>
        <w:t xml:space="preserve">, para. </w:t>
      </w:r>
      <w:r w:rsidRPr="0014097E">
        <w:rPr>
          <w:rFonts w:ascii="Book Antiqua" w:hAnsi="Book Antiqua"/>
          <w:color w:val="auto"/>
          <w:sz w:val="16"/>
          <w:szCs w:val="16"/>
          <w:lang w:val="es-ES"/>
        </w:rPr>
        <w:t xml:space="preserve">53, U.N. Doc. CRC/C/15/Add.128 (2000); </w:t>
      </w:r>
      <w:r w:rsidRPr="0014097E">
        <w:rPr>
          <w:rFonts w:ascii="Book Antiqua" w:hAnsi="Book Antiqua"/>
          <w:i/>
          <w:iCs/>
          <w:color w:val="auto"/>
          <w:sz w:val="16"/>
          <w:szCs w:val="16"/>
          <w:lang w:val="es-ES"/>
        </w:rPr>
        <w:t>Comoros</w:t>
      </w:r>
      <w:r w:rsidRPr="0014097E">
        <w:rPr>
          <w:rFonts w:ascii="Book Antiqua" w:hAnsi="Book Antiqua"/>
          <w:color w:val="auto"/>
          <w:sz w:val="16"/>
          <w:szCs w:val="16"/>
          <w:lang w:val="es-ES"/>
        </w:rPr>
        <w:t xml:space="preserve">, para. 36, U.N. Doc. </w:t>
      </w:r>
      <w:r w:rsidRPr="0014097E">
        <w:rPr>
          <w:rFonts w:ascii="Book Antiqua" w:hAnsi="Book Antiqua"/>
          <w:color w:val="auto"/>
          <w:sz w:val="16"/>
          <w:szCs w:val="16"/>
        </w:rPr>
        <w:t xml:space="preserve">CRC/C/15/Add.141 (2000); </w:t>
      </w:r>
      <w:r w:rsidRPr="0014097E">
        <w:rPr>
          <w:rFonts w:ascii="Book Antiqua" w:hAnsi="Book Antiqua"/>
          <w:i/>
          <w:iCs/>
          <w:color w:val="auto"/>
          <w:sz w:val="16"/>
          <w:szCs w:val="16"/>
        </w:rPr>
        <w:t>Egypt</w:t>
      </w:r>
      <w:r w:rsidRPr="0014097E">
        <w:rPr>
          <w:rFonts w:ascii="Book Antiqua" w:hAnsi="Book Antiqua"/>
          <w:color w:val="auto"/>
          <w:sz w:val="16"/>
          <w:szCs w:val="16"/>
        </w:rPr>
        <w:t xml:space="preserve">, para. 44, U.N. Doc. CRC/C/15/Add.145 (2001); ESCR Committee, </w:t>
      </w:r>
      <w:r w:rsidRPr="0014097E">
        <w:rPr>
          <w:rFonts w:ascii="Book Antiqua" w:hAnsi="Book Antiqua"/>
          <w:i/>
          <w:iCs/>
          <w:color w:val="auto"/>
          <w:sz w:val="16"/>
          <w:szCs w:val="16"/>
        </w:rPr>
        <w:t>Concluding Observations</w:t>
      </w:r>
      <w:r w:rsidRPr="0014097E">
        <w:rPr>
          <w:rFonts w:ascii="Book Antiqua" w:hAnsi="Book Antiqua"/>
          <w:color w:val="auto"/>
          <w:sz w:val="16"/>
          <w:szCs w:val="16"/>
        </w:rPr>
        <w:t xml:space="preserve">: </w:t>
      </w:r>
      <w:r w:rsidRPr="0014097E">
        <w:rPr>
          <w:rFonts w:ascii="Book Antiqua" w:hAnsi="Book Antiqua"/>
          <w:i/>
          <w:iCs/>
          <w:color w:val="auto"/>
          <w:sz w:val="16"/>
          <w:szCs w:val="16"/>
        </w:rPr>
        <w:t>Bolivia</w:t>
      </w:r>
      <w:r w:rsidRPr="0014097E">
        <w:rPr>
          <w:rFonts w:ascii="Book Antiqua" w:hAnsi="Book Antiqua"/>
          <w:color w:val="auto"/>
          <w:sz w:val="16"/>
          <w:szCs w:val="16"/>
        </w:rPr>
        <w:t xml:space="preserve">, para. 43, U.N. Doc. E/C.12/1/Add.60 (2001); </w:t>
      </w:r>
      <w:r w:rsidRPr="0014097E">
        <w:rPr>
          <w:rFonts w:ascii="Book Antiqua" w:hAnsi="Book Antiqua"/>
          <w:i/>
          <w:iCs/>
          <w:color w:val="auto"/>
          <w:sz w:val="16"/>
          <w:szCs w:val="16"/>
        </w:rPr>
        <w:t>People’s Republic of China (including Hong Kong and Macao)</w:t>
      </w:r>
      <w:r w:rsidRPr="0014097E">
        <w:rPr>
          <w:rFonts w:ascii="Book Antiqua" w:hAnsi="Book Antiqua"/>
          <w:color w:val="auto"/>
          <w:sz w:val="16"/>
          <w:szCs w:val="16"/>
        </w:rPr>
        <w:t xml:space="preserve">, para. 100, U.N. Doc. E/C.12/1/Add.107 (2005); </w:t>
      </w:r>
      <w:r w:rsidRPr="0014097E">
        <w:rPr>
          <w:rFonts w:ascii="Book Antiqua" w:hAnsi="Book Antiqua"/>
          <w:i/>
          <w:iCs/>
          <w:color w:val="auto"/>
          <w:sz w:val="16"/>
          <w:szCs w:val="16"/>
        </w:rPr>
        <w:t>Poland</w:t>
      </w:r>
      <w:r w:rsidRPr="0014097E">
        <w:rPr>
          <w:rFonts w:ascii="Book Antiqua" w:hAnsi="Book Antiqua"/>
          <w:color w:val="auto"/>
          <w:sz w:val="16"/>
          <w:szCs w:val="16"/>
        </w:rPr>
        <w:t xml:space="preserve">, paras. 28, 50, U.N. Doc. E/C.12/1/Add.82 (2002); </w:t>
      </w:r>
      <w:r w:rsidRPr="0014097E">
        <w:rPr>
          <w:rFonts w:ascii="Book Antiqua" w:hAnsi="Book Antiqua"/>
          <w:i/>
          <w:iCs/>
          <w:color w:val="auto"/>
          <w:sz w:val="16"/>
          <w:szCs w:val="16"/>
        </w:rPr>
        <w:t>Senegal</w:t>
      </w:r>
      <w:r w:rsidRPr="0014097E">
        <w:rPr>
          <w:rFonts w:ascii="Book Antiqua" w:hAnsi="Book Antiqua"/>
          <w:color w:val="auto"/>
          <w:sz w:val="16"/>
          <w:szCs w:val="16"/>
        </w:rPr>
        <w:t xml:space="preserve">, para. 47, U.N. Doc. E/C.12/1/Add.62 (2001); </w:t>
      </w:r>
      <w:r w:rsidRPr="0014097E">
        <w:rPr>
          <w:rFonts w:ascii="Book Antiqua" w:hAnsi="Book Antiqua"/>
          <w:i/>
          <w:iCs/>
          <w:color w:val="auto"/>
          <w:sz w:val="16"/>
          <w:szCs w:val="16"/>
        </w:rPr>
        <w:t>Ukraine</w:t>
      </w:r>
      <w:r w:rsidRPr="0014097E">
        <w:rPr>
          <w:rFonts w:ascii="Book Antiqua" w:hAnsi="Book Antiqua"/>
          <w:color w:val="auto"/>
          <w:sz w:val="16"/>
          <w:szCs w:val="16"/>
        </w:rPr>
        <w:t xml:space="preserve">, para. 31, U.N. Doc. E/C.12/1/Add.65 (2001). </w:t>
      </w:r>
    </w:p>
  </w:endnote>
  <w:endnote w:id="17">
    <w:p w14:paraId="68830F61" w14:textId="5DEECF4C" w:rsidR="008B5E8C" w:rsidRPr="008B5E8C" w:rsidRDefault="008B5E8C">
      <w:pPr>
        <w:pStyle w:val="EndnoteText"/>
        <w:rPr>
          <w:lang w:val="hu-HU"/>
        </w:rPr>
      </w:pPr>
      <w:r>
        <w:rPr>
          <w:rStyle w:val="EndnoteReference"/>
        </w:rPr>
        <w:endnoteRef/>
      </w:r>
      <w:r>
        <w:t xml:space="preserve"> </w:t>
      </w:r>
      <w:r w:rsidRPr="0014097E">
        <w:rPr>
          <w:rFonts w:ascii="Book Antiqua" w:hAnsi="Book Antiqua"/>
          <w:sz w:val="16"/>
          <w:szCs w:val="16"/>
        </w:rPr>
        <w:t>Family Life Education Framework Curriculum for Grades 1–12, Educational Research and Development Institute, available at: https://kerettanterv.oh.gov.hu/07_melleklet_miniszter/k1_07_egyeb/index_csen.html</w:t>
      </w:r>
    </w:p>
  </w:endnote>
  <w:endnote w:id="18">
    <w:p w14:paraId="5432D29D" w14:textId="7551CAE5" w:rsidR="00E67A70" w:rsidRPr="00E67A70" w:rsidRDefault="00E67A70">
      <w:pPr>
        <w:pStyle w:val="EndnoteText"/>
        <w:rPr>
          <w:lang w:val="hu-HU"/>
        </w:rPr>
      </w:pPr>
      <w:r w:rsidRPr="00E67A70">
        <w:rPr>
          <w:rStyle w:val="EndnoteReference"/>
          <w:rFonts w:ascii="Book Antiqua" w:hAnsi="Book Antiqua"/>
          <w:sz w:val="16"/>
          <w:szCs w:val="16"/>
        </w:rPr>
        <w:endnoteRef/>
      </w:r>
      <w:r w:rsidRPr="00E67A70">
        <w:rPr>
          <w:rFonts w:ascii="Book Antiqua" w:hAnsi="Book Antiqua"/>
          <w:sz w:val="16"/>
          <w:szCs w:val="16"/>
        </w:rPr>
        <w:t xml:space="preserve"> </w:t>
      </w:r>
      <w:hyperlink r:id="rId6" w:history="1">
        <w:r w:rsidRPr="00E67A70">
          <w:rPr>
            <w:rStyle w:val="Hyperlink"/>
            <w:rFonts w:ascii="Book Antiqua" w:hAnsi="Book Antiqua"/>
            <w:sz w:val="16"/>
            <w:szCs w:val="16"/>
          </w:rPr>
          <w:t>https://mkogy.jogtar.hu/jogszabaly?docid=A2100079.TV</w:t>
        </w:r>
      </w:hyperlink>
    </w:p>
  </w:endnote>
  <w:endnote w:id="19">
    <w:p w14:paraId="186383DF" w14:textId="5DE1A887" w:rsidR="00184DDE" w:rsidRPr="0014097E" w:rsidRDefault="00184DDE" w:rsidP="00184DDE">
      <w:pPr>
        <w:autoSpaceDE w:val="0"/>
        <w:autoSpaceDN w:val="0"/>
        <w:adjustRightInd w:val="0"/>
        <w:spacing w:line="240" w:lineRule="auto"/>
        <w:rPr>
          <w:rFonts w:ascii="Book Antiqua" w:hAnsi="Book Antiqua"/>
          <w:sz w:val="16"/>
          <w:szCs w:val="16"/>
        </w:rPr>
      </w:pPr>
      <w:r w:rsidRPr="0014097E">
        <w:rPr>
          <w:rStyle w:val="EndnoteReference"/>
          <w:rFonts w:ascii="Book Antiqua" w:hAnsi="Book Antiqua"/>
          <w:sz w:val="16"/>
          <w:szCs w:val="16"/>
        </w:rPr>
        <w:endnoteRef/>
      </w:r>
      <w:r w:rsidRPr="0014097E">
        <w:rPr>
          <w:rFonts w:ascii="Book Antiqua" w:hAnsi="Book Antiqua"/>
          <w:sz w:val="16"/>
          <w:szCs w:val="16"/>
        </w:rPr>
        <w:t xml:space="preserve"> </w:t>
      </w:r>
      <w:r w:rsidRPr="0014097E">
        <w:rPr>
          <w:rFonts w:ascii="Book Antiqua" w:hAnsi="Book Antiqua"/>
          <w:i/>
          <w:sz w:val="16"/>
          <w:szCs w:val="16"/>
        </w:rPr>
        <w:t>See</w:t>
      </w:r>
      <w:r w:rsidRPr="0014097E">
        <w:rPr>
          <w:rFonts w:ascii="Book Antiqua" w:hAnsi="Book Antiqua"/>
          <w:sz w:val="16"/>
          <w:szCs w:val="16"/>
        </w:rPr>
        <w:t xml:space="preserve"> </w:t>
      </w:r>
      <w:r w:rsidRPr="0014097E">
        <w:rPr>
          <w:rFonts w:ascii="Book Antiqua" w:hAnsi="Book Antiqua"/>
          <w:iCs/>
          <w:sz w:val="16"/>
          <w:szCs w:val="16"/>
        </w:rPr>
        <w:t>CEDAW Committee</w:t>
      </w:r>
      <w:r w:rsidRPr="0014097E">
        <w:rPr>
          <w:rFonts w:ascii="Book Antiqua" w:hAnsi="Book Antiqua"/>
          <w:sz w:val="16"/>
          <w:szCs w:val="16"/>
        </w:rPr>
        <w:t xml:space="preserve">, </w:t>
      </w:r>
      <w:r w:rsidRPr="0014097E">
        <w:rPr>
          <w:rFonts w:ascii="Book Antiqua" w:hAnsi="Book Antiqua"/>
          <w:i/>
          <w:iCs/>
          <w:sz w:val="16"/>
          <w:szCs w:val="16"/>
        </w:rPr>
        <w:t>Concluding Observations</w:t>
      </w:r>
      <w:r w:rsidR="00353137" w:rsidRPr="0014097E">
        <w:rPr>
          <w:rFonts w:ascii="Book Antiqua" w:hAnsi="Book Antiqua"/>
          <w:i/>
          <w:iCs/>
          <w:sz w:val="16"/>
          <w:szCs w:val="16"/>
        </w:rPr>
        <w:t xml:space="preserve"> 2023</w:t>
      </w:r>
      <w:r w:rsidRPr="0014097E">
        <w:rPr>
          <w:rFonts w:ascii="Book Antiqua" w:hAnsi="Book Antiqua"/>
          <w:i/>
          <w:iCs/>
          <w:sz w:val="16"/>
          <w:szCs w:val="16"/>
        </w:rPr>
        <w:t xml:space="preserve">: </w:t>
      </w:r>
      <w:r w:rsidRPr="0014097E">
        <w:rPr>
          <w:rFonts w:ascii="Book Antiqua" w:hAnsi="Book Antiqua"/>
          <w:bCs/>
          <w:i/>
          <w:sz w:val="16"/>
          <w:szCs w:val="16"/>
        </w:rPr>
        <w:t>Hungary</w:t>
      </w:r>
      <w:r w:rsidRPr="0014097E">
        <w:rPr>
          <w:rFonts w:ascii="Book Antiqua" w:hAnsi="Book Antiqua"/>
          <w:sz w:val="16"/>
          <w:szCs w:val="16"/>
        </w:rPr>
        <w:t xml:space="preserve">, para. </w:t>
      </w:r>
      <w:r w:rsidR="00353137" w:rsidRPr="0014097E">
        <w:rPr>
          <w:rFonts w:ascii="Book Antiqua" w:hAnsi="Book Antiqua"/>
          <w:sz w:val="16"/>
          <w:szCs w:val="16"/>
        </w:rPr>
        <w:t>36. b)</w:t>
      </w:r>
    </w:p>
  </w:endnote>
  <w:endnote w:id="20">
    <w:p w14:paraId="3CC6BF61" w14:textId="77777777" w:rsidR="00184DDE" w:rsidRPr="0014097E" w:rsidRDefault="00184DDE" w:rsidP="00184DDE">
      <w:pPr>
        <w:pStyle w:val="EndnoteText"/>
        <w:rPr>
          <w:rFonts w:ascii="Book Antiqua" w:hAnsi="Book Antiqua"/>
          <w:sz w:val="16"/>
          <w:szCs w:val="16"/>
        </w:rPr>
      </w:pPr>
      <w:r w:rsidRPr="0014097E">
        <w:rPr>
          <w:rStyle w:val="EndnoteReference"/>
          <w:rFonts w:ascii="Book Antiqua" w:hAnsi="Book Antiqua"/>
          <w:sz w:val="16"/>
          <w:szCs w:val="16"/>
        </w:rPr>
        <w:endnoteRef/>
      </w:r>
      <w:r w:rsidRPr="0014097E">
        <w:rPr>
          <w:rFonts w:ascii="Book Antiqua" w:hAnsi="Book Antiqua"/>
          <w:sz w:val="16"/>
          <w:szCs w:val="16"/>
        </w:rPr>
        <w:t xml:space="preserve"> ESCR Committee</w:t>
      </w:r>
      <w:r w:rsidRPr="0014097E">
        <w:rPr>
          <w:rFonts w:ascii="Book Antiqua" w:hAnsi="Book Antiqua"/>
          <w:i/>
          <w:sz w:val="16"/>
          <w:szCs w:val="16"/>
        </w:rPr>
        <w:t>, Gen. Comment No. 14</w:t>
      </w:r>
      <w:r w:rsidRPr="0014097E">
        <w:rPr>
          <w:rFonts w:ascii="Book Antiqua" w:hAnsi="Book Antiqua"/>
          <w:i/>
          <w:sz w:val="16"/>
          <w:szCs w:val="16"/>
          <w:lang w:val="en-US"/>
        </w:rPr>
        <w:t xml:space="preserve">, supra </w:t>
      </w:r>
      <w:r w:rsidRPr="0014097E">
        <w:rPr>
          <w:rFonts w:ascii="Book Antiqua" w:hAnsi="Book Antiqua"/>
          <w:sz w:val="16"/>
          <w:szCs w:val="16"/>
          <w:lang w:val="en-US"/>
        </w:rPr>
        <w:t>note 13,</w:t>
      </w:r>
      <w:r w:rsidRPr="0014097E">
        <w:rPr>
          <w:rFonts w:ascii="Book Antiqua" w:hAnsi="Book Antiqua"/>
          <w:sz w:val="16"/>
          <w:szCs w:val="16"/>
        </w:rPr>
        <w:t xml:space="preserve"> at 78, paras.  12(a), 43(d), 44(a).</w:t>
      </w:r>
    </w:p>
  </w:endnote>
  <w:endnote w:id="21">
    <w:p w14:paraId="0C9D14E3" w14:textId="3CD3C7CB" w:rsidR="008B5E8C" w:rsidRPr="008B5E8C" w:rsidRDefault="008B5E8C">
      <w:pPr>
        <w:pStyle w:val="EndnoteText"/>
        <w:rPr>
          <w:lang w:val="hu-HU"/>
        </w:rPr>
      </w:pPr>
      <w:r w:rsidRPr="008B5E8C">
        <w:rPr>
          <w:rStyle w:val="EndnoteReference"/>
          <w:rFonts w:ascii="Book Antiqua" w:hAnsi="Book Antiqua"/>
          <w:sz w:val="16"/>
          <w:szCs w:val="16"/>
        </w:rPr>
        <w:endnoteRef/>
      </w:r>
      <w:r w:rsidRPr="008B5E8C">
        <w:rPr>
          <w:rFonts w:ascii="Book Antiqua" w:hAnsi="Book Antiqua"/>
          <w:sz w:val="16"/>
          <w:szCs w:val="16"/>
        </w:rPr>
        <w:t xml:space="preserve"> </w:t>
      </w:r>
      <w:r w:rsidRPr="008B5E8C">
        <w:rPr>
          <w:rFonts w:ascii="Book Antiqua" w:hAnsi="Book Antiqua"/>
          <w:sz w:val="16"/>
          <w:szCs w:val="16"/>
          <w:lang w:val="hu-HU"/>
        </w:rPr>
        <w:t>https://mkogy.jogtar.hu/jogszabaly?docid=A2100079.TV</w:t>
      </w:r>
    </w:p>
  </w:endnote>
  <w:endnote w:id="22">
    <w:p w14:paraId="5DAA6DB1" w14:textId="77777777" w:rsidR="00BB54A6" w:rsidRPr="0014097E" w:rsidRDefault="00BB54A6" w:rsidP="00BB54A6">
      <w:pPr>
        <w:autoSpaceDE w:val="0"/>
        <w:autoSpaceDN w:val="0"/>
        <w:adjustRightInd w:val="0"/>
        <w:spacing w:line="240" w:lineRule="auto"/>
        <w:rPr>
          <w:rFonts w:ascii="Book Antiqua" w:hAnsi="Book Antiqua"/>
          <w:i/>
          <w:sz w:val="16"/>
          <w:szCs w:val="16"/>
        </w:rPr>
      </w:pPr>
      <w:r w:rsidRPr="0014097E">
        <w:rPr>
          <w:rStyle w:val="EndnoteReference"/>
          <w:rFonts w:ascii="Book Antiqua" w:hAnsi="Book Antiqua"/>
          <w:sz w:val="16"/>
          <w:szCs w:val="16"/>
        </w:rPr>
        <w:endnoteRef/>
      </w:r>
      <w:r w:rsidRPr="0014097E">
        <w:rPr>
          <w:rFonts w:ascii="Book Antiqua" w:hAnsi="Book Antiqua"/>
          <w:sz w:val="16"/>
          <w:szCs w:val="16"/>
        </w:rPr>
        <w:t xml:space="preserve"> </w:t>
      </w:r>
      <w:r w:rsidRPr="0014097E">
        <w:rPr>
          <w:rFonts w:ascii="Book Antiqua" w:hAnsi="Book Antiqua"/>
          <w:smallCaps/>
          <w:sz w:val="16"/>
          <w:szCs w:val="16"/>
        </w:rPr>
        <w:t>WHO, Media Centre,</w:t>
      </w:r>
      <w:r w:rsidRPr="0014097E">
        <w:rPr>
          <w:rFonts w:ascii="Book Antiqua" w:hAnsi="Book Antiqua"/>
          <w:sz w:val="16"/>
          <w:szCs w:val="16"/>
        </w:rPr>
        <w:t xml:space="preserve"> </w:t>
      </w:r>
      <w:r w:rsidRPr="0014097E">
        <w:rPr>
          <w:rFonts w:ascii="Book Antiqua" w:hAnsi="Book Antiqua"/>
          <w:i/>
          <w:sz w:val="16"/>
          <w:szCs w:val="16"/>
        </w:rPr>
        <w:t>Emergency contraception, Fact Sheet No. 244</w:t>
      </w:r>
      <w:r w:rsidRPr="0014097E">
        <w:rPr>
          <w:rFonts w:ascii="Book Antiqua" w:hAnsi="Book Antiqua"/>
          <w:sz w:val="16"/>
          <w:szCs w:val="16"/>
        </w:rPr>
        <w:t xml:space="preserve"> (2012), </w:t>
      </w:r>
      <w:r w:rsidRPr="0014097E">
        <w:rPr>
          <w:rFonts w:ascii="Book Antiqua" w:hAnsi="Book Antiqua"/>
          <w:i/>
          <w:sz w:val="16"/>
          <w:szCs w:val="16"/>
        </w:rPr>
        <w:t>available at</w:t>
      </w:r>
    </w:p>
    <w:p w14:paraId="6E3F160F" w14:textId="77777777" w:rsidR="00BB54A6" w:rsidRPr="0014097E" w:rsidRDefault="00BB54A6" w:rsidP="00BB54A6">
      <w:pPr>
        <w:pStyle w:val="EndnoteText"/>
        <w:rPr>
          <w:rFonts w:ascii="Book Antiqua" w:hAnsi="Book Antiqua"/>
          <w:sz w:val="16"/>
          <w:szCs w:val="16"/>
        </w:rPr>
      </w:pPr>
      <w:r w:rsidRPr="0014097E">
        <w:rPr>
          <w:rFonts w:ascii="Book Antiqua" w:hAnsi="Book Antiqua"/>
          <w:sz w:val="16"/>
          <w:szCs w:val="16"/>
        </w:rPr>
        <w:t>http://www.who.int/mediacentre/factsheets/fs244/en/index.html</w:t>
      </w:r>
      <w:r w:rsidRPr="0014097E">
        <w:rPr>
          <w:rFonts w:ascii="Book Antiqua" w:hAnsi="Book Antiqua"/>
          <w:sz w:val="16"/>
          <w:szCs w:val="16"/>
          <w:lang w:val="en-US"/>
        </w:rPr>
        <w:t xml:space="preserve"> [WHO, </w:t>
      </w:r>
      <w:r w:rsidRPr="0014097E">
        <w:rPr>
          <w:rFonts w:ascii="Book Antiqua" w:hAnsi="Book Antiqua"/>
          <w:i/>
          <w:sz w:val="16"/>
          <w:szCs w:val="16"/>
        </w:rPr>
        <w:t>Emergency contraception</w:t>
      </w:r>
      <w:r w:rsidRPr="0014097E">
        <w:rPr>
          <w:rFonts w:ascii="Book Antiqua" w:hAnsi="Book Antiqua"/>
          <w:sz w:val="16"/>
          <w:szCs w:val="16"/>
          <w:lang w:val="en-US"/>
        </w:rPr>
        <w:t>]</w:t>
      </w:r>
      <w:r w:rsidRPr="0014097E">
        <w:rPr>
          <w:rFonts w:ascii="Book Antiqua" w:hAnsi="Book Antiqua"/>
          <w:sz w:val="16"/>
          <w:szCs w:val="16"/>
        </w:rPr>
        <w:t>.</w:t>
      </w:r>
    </w:p>
  </w:endnote>
  <w:endnote w:id="23">
    <w:p w14:paraId="338F9616" w14:textId="1349303E" w:rsidR="008B5E8C" w:rsidRPr="008B5E8C" w:rsidRDefault="008B5E8C">
      <w:pPr>
        <w:pStyle w:val="EndnoteText"/>
        <w:rPr>
          <w:rFonts w:ascii="Book Antiqua" w:hAnsi="Book Antiqua"/>
          <w:sz w:val="16"/>
          <w:szCs w:val="16"/>
          <w:lang w:val="en-GB"/>
        </w:rPr>
      </w:pPr>
      <w:r>
        <w:rPr>
          <w:rStyle w:val="EndnoteReference"/>
        </w:rPr>
        <w:endnoteRef/>
      </w:r>
      <w:r>
        <w:t xml:space="preserve"> </w:t>
      </w:r>
      <w:hyperlink r:id="rId7" w:history="1">
        <w:r w:rsidRPr="008D0DEA">
          <w:rPr>
            <w:rStyle w:val="Hyperlink"/>
            <w:rFonts w:ascii="Book Antiqua" w:hAnsi="Book Antiqua"/>
            <w:sz w:val="16"/>
            <w:szCs w:val="16"/>
            <w:lang w:val="en-GB"/>
          </w:rPr>
          <w:t>https://actionnetwork.org/forms/magyarorszagon-is-legyen-recept-nelkul-kaphato-az-esemeny-utani-tabletta/</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embedRegular r:id="rId1" w:fontKey="{B114E30C-6C0F-4297-BEF4-230CD57C6BCF}"/>
    <w:embedBold r:id="rId2" w:fontKey="{FF06F55B-F9E9-407E-8113-117766820CAE}"/>
    <w:embedItalic r:id="rId3" w:fontKey="{8D6BD309-4A24-4578-AC56-724AA5704593}"/>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embedRegular r:id="rId4" w:fontKey="{6B6EB3B6-76FB-4E72-B5A3-E8B054812DF2}"/>
    <w:embedBold r:id="rId5" w:fontKey="{87238417-C4BD-46F3-8C1C-27FB539A7F5F}"/>
    <w:embedItalic r:id="rId6" w:fontKey="{2FF57D2A-D429-4527-B088-A2D4EB38930F}"/>
  </w:font>
  <w:font w:name="Book Antiqua">
    <w:panose1 w:val="02040602050305030304"/>
    <w:charset w:val="EE"/>
    <w:family w:val="roman"/>
    <w:pitch w:val="variable"/>
    <w:sig w:usb0="00000287" w:usb1="00000000" w:usb2="00000000" w:usb3="00000000" w:csb0="0000009F" w:csb1="00000000"/>
    <w:embedRegular r:id="rId7" w:fontKey="{A0B69628-5B27-40DE-AAF2-8FEFFAD05368}"/>
    <w:embedItalic r:id="rId8" w:fontKey="{B3DBDDE2-50A3-45FE-AD3C-DBEA8F9DE9C3}"/>
  </w:font>
  <w:font w:name="HelveticaNeueLTStd-Roman">
    <w:altName w:val="MS Gothic"/>
    <w:charset w:val="80"/>
    <w:family w:val="swiss"/>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embedRegular r:id="rId9" w:fontKey="{118E97DE-365A-4003-A461-61E6DAC5F52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5553499"/>
      <w:docPartObj>
        <w:docPartGallery w:val="Page Numbers (Bottom of Page)"/>
        <w:docPartUnique/>
      </w:docPartObj>
    </w:sdtPr>
    <w:sdtEndPr>
      <w:rPr>
        <w:rFonts w:ascii="Palatino Linotype" w:hAnsi="Palatino Linotype"/>
        <w:noProof/>
      </w:rPr>
    </w:sdtEndPr>
    <w:sdtContent>
      <w:p w14:paraId="599EFF81" w14:textId="753DB4EB" w:rsidR="00E67A70" w:rsidRPr="00E67A70" w:rsidRDefault="00E67A70">
        <w:pPr>
          <w:pStyle w:val="Footer"/>
          <w:jc w:val="center"/>
          <w:rPr>
            <w:rFonts w:ascii="Palatino Linotype" w:hAnsi="Palatino Linotype"/>
          </w:rPr>
        </w:pPr>
        <w:r w:rsidRPr="00E67A70">
          <w:rPr>
            <w:rFonts w:ascii="Palatino Linotype" w:hAnsi="Palatino Linotype"/>
          </w:rPr>
          <w:fldChar w:fldCharType="begin"/>
        </w:r>
        <w:r w:rsidRPr="00E67A70">
          <w:rPr>
            <w:rFonts w:ascii="Palatino Linotype" w:hAnsi="Palatino Linotype"/>
          </w:rPr>
          <w:instrText xml:space="preserve"> PAGE   \* MERGEFORMAT </w:instrText>
        </w:r>
        <w:r w:rsidRPr="00E67A70">
          <w:rPr>
            <w:rFonts w:ascii="Palatino Linotype" w:hAnsi="Palatino Linotype"/>
          </w:rPr>
          <w:fldChar w:fldCharType="separate"/>
        </w:r>
        <w:r w:rsidRPr="00E67A70">
          <w:rPr>
            <w:rFonts w:ascii="Palatino Linotype" w:hAnsi="Palatino Linotype"/>
            <w:noProof/>
          </w:rPr>
          <w:t>2</w:t>
        </w:r>
        <w:r w:rsidRPr="00E67A70">
          <w:rPr>
            <w:rFonts w:ascii="Palatino Linotype" w:hAnsi="Palatino Linotype"/>
            <w:noProof/>
          </w:rPr>
          <w:fldChar w:fldCharType="end"/>
        </w:r>
      </w:p>
    </w:sdtContent>
  </w:sdt>
  <w:p w14:paraId="3B28579E" w14:textId="77777777" w:rsidR="00E67A70" w:rsidRDefault="00E67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1BF0F" w14:textId="77777777" w:rsidR="001E24B9" w:rsidRDefault="001E24B9">
      <w:pPr>
        <w:spacing w:line="240" w:lineRule="auto"/>
      </w:pPr>
      <w:r>
        <w:separator/>
      </w:r>
    </w:p>
  </w:footnote>
  <w:footnote w:type="continuationSeparator" w:id="0">
    <w:p w14:paraId="3E6FEE4A" w14:textId="77777777" w:rsidR="001E24B9" w:rsidRDefault="001E24B9">
      <w:pPr>
        <w:spacing w:line="240" w:lineRule="auto"/>
      </w:pPr>
      <w:r>
        <w:continuationSeparator/>
      </w:r>
    </w:p>
  </w:footnote>
  <w:footnote w:id="1">
    <w:p w14:paraId="60F6C5C9" w14:textId="350B2E44" w:rsidR="00EC0A3B" w:rsidRPr="00E67A70" w:rsidRDefault="00EC0A3B" w:rsidP="00E67A70">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B890C" w14:textId="5A762F93" w:rsidR="008C1E2A" w:rsidRDefault="005E58D9" w:rsidP="005E58D9">
    <w:pPr>
      <w:jc w:val="center"/>
      <w:rPr>
        <w:color w:val="AEAAAA"/>
      </w:rPr>
    </w:pPr>
    <w:r>
      <w:rPr>
        <w:noProof/>
        <w:color w:val="AEAAAA"/>
      </w:rPr>
      <w:drawing>
        <wp:inline distT="0" distB="0" distL="0" distR="0" wp14:anchorId="030BF345" wp14:editId="5F490BF8">
          <wp:extent cx="823865" cy="823865"/>
          <wp:effectExtent l="0" t="0" r="1905" b="1905"/>
          <wp:docPr id="1462226096" name="Kép 1" descr="A képen Betűtípus, szimbólum, Grafika, embléma látható&#10;&#10;Előfordulhat, hogy az AI által létrehozott tartalom helyt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226096" name="Kép 1" descr="A képen Betűtípus, szimbólum, Grafika, embléma látható&#10;&#10;Előfordulhat, hogy az AI által létrehozott tartalom helytelen."/>
                  <pic:cNvPicPr/>
                </pic:nvPicPr>
                <pic:blipFill>
                  <a:blip r:embed="rId1">
                    <a:extLst>
                      <a:ext uri="{BEBA8EAE-BF5A-486C-A8C5-ECC9F3942E4B}">
                        <a14:imgProps xmlns:a14="http://schemas.microsoft.com/office/drawing/2010/main">
                          <a14:imgLayer r:embed="rId2">
                            <a14:imgEffect>
                              <a14:sharpenSoften amount="100000"/>
                            </a14:imgEffect>
                          </a14:imgLayer>
                        </a14:imgProps>
                      </a:ext>
                      <a:ext uri="{28A0092B-C50C-407E-A947-70E740481C1C}">
                        <a14:useLocalDpi xmlns:a14="http://schemas.microsoft.com/office/drawing/2010/main" val="0"/>
                      </a:ext>
                    </a:extLst>
                  </a:blip>
                  <a:stretch>
                    <a:fillRect/>
                  </a:stretch>
                </pic:blipFill>
                <pic:spPr>
                  <a:xfrm>
                    <a:off x="0" y="0"/>
                    <a:ext cx="836362" cy="836362"/>
                  </a:xfrm>
                  <a:prstGeom prst="rect">
                    <a:avLst/>
                  </a:prstGeom>
                </pic:spPr>
              </pic:pic>
            </a:graphicData>
          </a:graphic>
        </wp:inline>
      </w:drawing>
    </w:r>
  </w:p>
  <w:p w14:paraId="07558534" w14:textId="77777777" w:rsidR="008C1E2A" w:rsidRDefault="008C1E2A" w:rsidP="008C1E2A">
    <w:pPr>
      <w:rPr>
        <w:color w:val="AEAAAA"/>
      </w:rPr>
    </w:pPr>
  </w:p>
  <w:p w14:paraId="76E3C852" w14:textId="6864D1D6" w:rsidR="008C1E2A" w:rsidRPr="008C1E2A" w:rsidRDefault="008C1E2A" w:rsidP="008C1E2A">
    <w:pPr>
      <w:jc w:val="center"/>
      <w:rPr>
        <w:rFonts w:ascii="Book Antiqua" w:hAnsi="Book Antiqua"/>
        <w:sz w:val="20"/>
        <w:szCs w:val="20"/>
      </w:rPr>
    </w:pPr>
    <w:r>
      <w:rPr>
        <w:rFonts w:ascii="Book Antiqua" w:hAnsi="Book Antiqua"/>
        <w:color w:val="AEAAAA"/>
        <w:sz w:val="20"/>
        <w:szCs w:val="20"/>
      </w:rPr>
      <w:t>website</w:t>
    </w:r>
    <w:r w:rsidRPr="008C1E2A">
      <w:rPr>
        <w:rFonts w:ascii="Book Antiqua" w:hAnsi="Book Antiqua"/>
        <w:color w:val="AEAAAA"/>
        <w:sz w:val="20"/>
        <w:szCs w:val="20"/>
      </w:rPr>
      <w:t xml:space="preserve">: </w:t>
    </w:r>
    <w:hyperlink r:id="rId3">
      <w:r w:rsidRPr="008C1E2A">
        <w:rPr>
          <w:rStyle w:val="Internet-hivatkozs"/>
          <w:rFonts w:ascii="Book Antiqua" w:hAnsi="Book Antiqua"/>
          <w:color w:val="AEAAAA"/>
          <w:sz w:val="20"/>
          <w:szCs w:val="20"/>
        </w:rPr>
        <w:t>www.patent.org.hu</w:t>
      </w:r>
    </w:hyperlink>
    <w:r w:rsidRPr="008C1E2A">
      <w:rPr>
        <w:rFonts w:ascii="Book Antiqua" w:hAnsi="Book Antiqua"/>
        <w:color w:val="AEAAAA"/>
        <w:sz w:val="20"/>
        <w:szCs w:val="20"/>
      </w:rPr>
      <w:t xml:space="preserve"> </w:t>
    </w:r>
    <w:r w:rsidRPr="008C1E2A">
      <w:rPr>
        <w:rFonts w:ascii="Book Antiqua" w:hAnsi="Book Antiqua"/>
        <w:color w:val="AEAAAA"/>
        <w:sz w:val="20"/>
        <w:szCs w:val="20"/>
      </w:rPr>
      <w:tab/>
    </w:r>
    <w:r>
      <w:rPr>
        <w:rFonts w:ascii="Book Antiqua" w:hAnsi="Book Antiqua"/>
        <w:color w:val="AEAAAA"/>
        <w:sz w:val="20"/>
        <w:szCs w:val="20"/>
      </w:rPr>
      <w:t xml:space="preserve">      </w:t>
    </w:r>
    <w:r w:rsidRPr="008C1E2A">
      <w:rPr>
        <w:rFonts w:ascii="Book Antiqua" w:hAnsi="Book Antiqua"/>
        <w:color w:val="AEAAAA"/>
        <w:sz w:val="20"/>
        <w:szCs w:val="20"/>
      </w:rPr>
      <w:t xml:space="preserve">email: </w:t>
    </w:r>
    <w:hyperlink r:id="rId4">
      <w:r w:rsidRPr="008C1E2A">
        <w:rPr>
          <w:rStyle w:val="Internet-hivatkozs"/>
          <w:rFonts w:ascii="Book Antiqua" w:hAnsi="Book Antiqua"/>
          <w:color w:val="AEAAAA"/>
          <w:sz w:val="20"/>
          <w:szCs w:val="20"/>
        </w:rPr>
        <w:t>info@patent.org.hu</w:t>
      </w:r>
    </w:hyperlink>
    <w:r w:rsidRPr="008C1E2A">
      <w:rPr>
        <w:rFonts w:ascii="Book Antiqua" w:hAnsi="Book Antiqua"/>
        <w:color w:val="AEAAAA"/>
        <w:sz w:val="20"/>
        <w:szCs w:val="20"/>
      </w:rPr>
      <w:tab/>
    </w:r>
    <w:r w:rsidRPr="008C1E2A">
      <w:rPr>
        <w:rFonts w:ascii="Book Antiqua" w:hAnsi="Book Antiqua"/>
        <w:color w:val="AEAAAA"/>
        <w:sz w:val="20"/>
        <w:szCs w:val="20"/>
      </w:rPr>
      <w:tab/>
    </w:r>
    <w:r>
      <w:rPr>
        <w:rFonts w:ascii="Book Antiqua" w:hAnsi="Book Antiqua"/>
        <w:color w:val="AEAAAA"/>
        <w:sz w:val="20"/>
        <w:szCs w:val="20"/>
      </w:rPr>
      <w:t>legal aid</w:t>
    </w:r>
    <w:r w:rsidRPr="008C1E2A">
      <w:rPr>
        <w:rFonts w:ascii="Book Antiqua" w:hAnsi="Book Antiqua"/>
        <w:color w:val="AEAAAA"/>
        <w:sz w:val="20"/>
        <w:szCs w:val="20"/>
      </w:rPr>
      <w:t>: 06-80-808081</w:t>
    </w:r>
  </w:p>
  <w:p w14:paraId="4DA5DAB7" w14:textId="77777777" w:rsidR="008C1E2A" w:rsidRDefault="008C1E2A" w:rsidP="008C1E2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7DE"/>
    <w:multiLevelType w:val="multilevel"/>
    <w:tmpl w:val="71F2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A4437"/>
    <w:multiLevelType w:val="hybridMultilevel"/>
    <w:tmpl w:val="3496B636"/>
    <w:lvl w:ilvl="0" w:tplc="FFFFFFFF">
      <w:start w:val="1"/>
      <w:numFmt w:val="upperLetter"/>
      <w:lvlText w:val="%1."/>
      <w:lvlJc w:val="left"/>
      <w:pPr>
        <w:ind w:left="720" w:hanging="360"/>
      </w:pPr>
      <w:rPr>
        <w:rFonts w:ascii="Times New Roman" w:eastAsia="Calibri" w:hAnsi="Times New Roman" w:cs="Times New Roman" w:hint="default"/>
      </w:rPr>
    </w:lvl>
    <w:lvl w:ilvl="1" w:tplc="FFFFFFFF">
      <w:start w:val="1"/>
      <w:numFmt w:val="decimal"/>
      <w:lvlText w:val="%2."/>
      <w:lvlJc w:val="left"/>
      <w:pPr>
        <w:ind w:left="1440" w:hanging="360"/>
      </w:pPr>
      <w:rPr>
        <w:rFonts w:ascii="Times New Roman" w:eastAsia="Calibri" w:hAnsi="Times New Roman" w:cs="Times New Roman"/>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E837240"/>
    <w:multiLevelType w:val="hybridMultilevel"/>
    <w:tmpl w:val="92E85CA4"/>
    <w:lvl w:ilvl="0" w:tplc="BC84BA3C">
      <w:start w:val="1"/>
      <w:numFmt w:val="decimal"/>
      <w:lvlText w:val="%1."/>
      <w:lvlJc w:val="left"/>
      <w:pPr>
        <w:ind w:left="1440" w:hanging="360"/>
      </w:pPr>
      <w:rPr>
        <w:rFonts w:ascii="Times New Roman" w:eastAsia="Calibri" w:hAnsi="Times New Roman" w:cs="Times New Roman"/>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50A349DB"/>
    <w:multiLevelType w:val="hybridMultilevel"/>
    <w:tmpl w:val="3496B636"/>
    <w:lvl w:ilvl="0" w:tplc="6D969F46">
      <w:start w:val="1"/>
      <w:numFmt w:val="upperLetter"/>
      <w:lvlText w:val="%1."/>
      <w:lvlJc w:val="left"/>
      <w:pPr>
        <w:ind w:left="720" w:hanging="360"/>
      </w:pPr>
      <w:rPr>
        <w:rFonts w:ascii="Times New Roman" w:eastAsia="Calibri" w:hAnsi="Times New Roman" w:cs="Times New Roman" w:hint="default"/>
      </w:rPr>
    </w:lvl>
    <w:lvl w:ilvl="1" w:tplc="BC84BA3C">
      <w:start w:val="1"/>
      <w:numFmt w:val="decimal"/>
      <w:lvlText w:val="%2."/>
      <w:lvlJc w:val="left"/>
      <w:pPr>
        <w:ind w:left="1440" w:hanging="360"/>
      </w:pPr>
      <w:rPr>
        <w:rFonts w:ascii="Times New Roman" w:eastAsia="Calibri" w:hAnsi="Times New Roman" w:cs="Times New Roman"/>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8C2FBB"/>
    <w:multiLevelType w:val="hybridMultilevel"/>
    <w:tmpl w:val="428EA67E"/>
    <w:lvl w:ilvl="0" w:tplc="1354D89A">
      <w:start w:val="5"/>
      <w:numFmt w:val="upperLetter"/>
      <w:lvlText w:val="%1."/>
      <w:lvlJc w:val="left"/>
      <w:pPr>
        <w:ind w:left="1440" w:hanging="360"/>
      </w:pPr>
      <w:rPr>
        <w:rFonts w:hint="default"/>
        <w:b/>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5" w15:restartNumberingAfterBreak="0">
    <w:nsid w:val="7A741703"/>
    <w:multiLevelType w:val="hybridMultilevel"/>
    <w:tmpl w:val="1C507604"/>
    <w:lvl w:ilvl="0" w:tplc="BC84BA3C">
      <w:start w:val="1"/>
      <w:numFmt w:val="decimal"/>
      <w:lvlText w:val="%1."/>
      <w:lvlJc w:val="left"/>
      <w:pPr>
        <w:ind w:left="1440" w:hanging="360"/>
      </w:pPr>
      <w:rPr>
        <w:rFonts w:ascii="Times New Roman" w:eastAsia="Calibri" w:hAnsi="Times New Roman" w:cs="Times New Roman"/>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425759523">
    <w:abstractNumId w:val="3"/>
  </w:num>
  <w:num w:numId="2" w16cid:durableId="1613628756">
    <w:abstractNumId w:val="0"/>
  </w:num>
  <w:num w:numId="3" w16cid:durableId="867452860">
    <w:abstractNumId w:val="1"/>
  </w:num>
  <w:num w:numId="4" w16cid:durableId="915895388">
    <w:abstractNumId w:val="2"/>
  </w:num>
  <w:num w:numId="5" w16cid:durableId="1113591898">
    <w:abstractNumId w:val="5"/>
  </w:num>
  <w:num w:numId="6" w16cid:durableId="8152254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3A0"/>
    <w:rsid w:val="00092A04"/>
    <w:rsid w:val="00100CDA"/>
    <w:rsid w:val="0014097E"/>
    <w:rsid w:val="00162497"/>
    <w:rsid w:val="0016420B"/>
    <w:rsid w:val="00184DDE"/>
    <w:rsid w:val="001E24B9"/>
    <w:rsid w:val="00264602"/>
    <w:rsid w:val="00321259"/>
    <w:rsid w:val="00321DA9"/>
    <w:rsid w:val="00353137"/>
    <w:rsid w:val="003E1238"/>
    <w:rsid w:val="003F0C80"/>
    <w:rsid w:val="0044268E"/>
    <w:rsid w:val="00443DCE"/>
    <w:rsid w:val="00446911"/>
    <w:rsid w:val="004A7098"/>
    <w:rsid w:val="005D0CB5"/>
    <w:rsid w:val="005E58D9"/>
    <w:rsid w:val="00605E25"/>
    <w:rsid w:val="00620254"/>
    <w:rsid w:val="00647F2C"/>
    <w:rsid w:val="006D51E0"/>
    <w:rsid w:val="006F2EB0"/>
    <w:rsid w:val="00834E53"/>
    <w:rsid w:val="008B5E8C"/>
    <w:rsid w:val="008C1E2A"/>
    <w:rsid w:val="009322C0"/>
    <w:rsid w:val="00A372EA"/>
    <w:rsid w:val="00A433A0"/>
    <w:rsid w:val="00A72EC8"/>
    <w:rsid w:val="00B604F9"/>
    <w:rsid w:val="00BA59F7"/>
    <w:rsid w:val="00BB54A6"/>
    <w:rsid w:val="00C52C95"/>
    <w:rsid w:val="00C747AC"/>
    <w:rsid w:val="00C830E1"/>
    <w:rsid w:val="00DA1AF9"/>
    <w:rsid w:val="00E67A70"/>
    <w:rsid w:val="00EC0A3B"/>
    <w:rsid w:val="00FC4159"/>
    <w:rsid w:val="00FD07A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1A234C"/>
  <w15:docId w15:val="{BF6EBCEA-B35B-4A13-AC2A-CDB49E77A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hu-H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C1E2A"/>
    <w:pPr>
      <w:tabs>
        <w:tab w:val="center" w:pos="4536"/>
        <w:tab w:val="right" w:pos="9072"/>
      </w:tabs>
      <w:spacing w:line="240" w:lineRule="auto"/>
    </w:pPr>
  </w:style>
  <w:style w:type="character" w:customStyle="1" w:styleId="HeaderChar">
    <w:name w:val="Header Char"/>
    <w:basedOn w:val="DefaultParagraphFont"/>
    <w:link w:val="Header"/>
    <w:uiPriority w:val="99"/>
    <w:rsid w:val="008C1E2A"/>
  </w:style>
  <w:style w:type="paragraph" w:styleId="Footer">
    <w:name w:val="footer"/>
    <w:basedOn w:val="Normal"/>
    <w:link w:val="FooterChar"/>
    <w:uiPriority w:val="99"/>
    <w:unhideWhenUsed/>
    <w:rsid w:val="008C1E2A"/>
    <w:pPr>
      <w:tabs>
        <w:tab w:val="center" w:pos="4536"/>
        <w:tab w:val="right" w:pos="9072"/>
      </w:tabs>
      <w:spacing w:line="240" w:lineRule="auto"/>
    </w:pPr>
  </w:style>
  <w:style w:type="character" w:customStyle="1" w:styleId="FooterChar">
    <w:name w:val="Footer Char"/>
    <w:basedOn w:val="DefaultParagraphFont"/>
    <w:link w:val="Footer"/>
    <w:uiPriority w:val="99"/>
    <w:rsid w:val="008C1E2A"/>
  </w:style>
  <w:style w:type="character" w:customStyle="1" w:styleId="Internet-hivatkozs">
    <w:name w:val="Internet-hivatkozás"/>
    <w:rsid w:val="008C1E2A"/>
    <w:rPr>
      <w:color w:val="0000FF"/>
      <w:u w:val="single"/>
    </w:rPr>
  </w:style>
  <w:style w:type="paragraph" w:customStyle="1" w:styleId="Default">
    <w:name w:val="Default"/>
    <w:rsid w:val="008C1E2A"/>
    <w:pPr>
      <w:autoSpaceDE w:val="0"/>
      <w:autoSpaceDN w:val="0"/>
      <w:adjustRightInd w:val="0"/>
      <w:spacing w:line="240" w:lineRule="auto"/>
    </w:pPr>
    <w:rPr>
      <w:rFonts w:ascii="Times New Roman" w:eastAsia="Calibri" w:hAnsi="Times New Roman" w:cs="Times New Roman"/>
      <w:color w:val="000000"/>
      <w:sz w:val="24"/>
      <w:szCs w:val="24"/>
      <w:lang w:val="en-US" w:eastAsia="en-US"/>
    </w:rPr>
  </w:style>
  <w:style w:type="paragraph" w:customStyle="1" w:styleId="ListParagraph2">
    <w:name w:val="List Paragraph2"/>
    <w:basedOn w:val="Normal"/>
    <w:uiPriority w:val="34"/>
    <w:qFormat/>
    <w:rsid w:val="00264602"/>
    <w:pPr>
      <w:spacing w:after="200"/>
      <w:ind w:left="720"/>
      <w:contextualSpacing/>
    </w:pPr>
    <w:rPr>
      <w:rFonts w:ascii="Calibri" w:eastAsia="Calibri" w:hAnsi="Calibri" w:cs="Times New Roman"/>
      <w:lang w:val="en-US" w:eastAsia="en-US"/>
    </w:rPr>
  </w:style>
  <w:style w:type="paragraph" w:styleId="EndnoteText">
    <w:name w:val="endnote text"/>
    <w:basedOn w:val="Normal"/>
    <w:link w:val="EndnoteTextChar"/>
    <w:uiPriority w:val="99"/>
    <w:unhideWhenUsed/>
    <w:rsid w:val="00264602"/>
    <w:pPr>
      <w:spacing w:line="240" w:lineRule="auto"/>
    </w:pPr>
    <w:rPr>
      <w:rFonts w:ascii="Calibri" w:eastAsia="Calibri" w:hAnsi="Calibri" w:cs="Times New Roman"/>
      <w:sz w:val="20"/>
      <w:szCs w:val="20"/>
      <w:lang w:val="x-none" w:eastAsia="x-none"/>
    </w:rPr>
  </w:style>
  <w:style w:type="character" w:customStyle="1" w:styleId="EndnoteTextChar">
    <w:name w:val="Endnote Text Char"/>
    <w:basedOn w:val="DefaultParagraphFont"/>
    <w:link w:val="EndnoteText"/>
    <w:uiPriority w:val="99"/>
    <w:rsid w:val="00264602"/>
    <w:rPr>
      <w:rFonts w:ascii="Calibri" w:eastAsia="Calibri" w:hAnsi="Calibri" w:cs="Times New Roman"/>
      <w:sz w:val="20"/>
      <w:szCs w:val="20"/>
      <w:lang w:val="x-none" w:eastAsia="x-none"/>
    </w:rPr>
  </w:style>
  <w:style w:type="character" w:styleId="EndnoteReference">
    <w:name w:val="endnote reference"/>
    <w:uiPriority w:val="99"/>
    <w:semiHidden/>
    <w:unhideWhenUsed/>
    <w:rsid w:val="00264602"/>
    <w:rPr>
      <w:vertAlign w:val="superscript"/>
    </w:rPr>
  </w:style>
  <w:style w:type="paragraph" w:styleId="ListParagraph">
    <w:name w:val="List Paragraph"/>
    <w:basedOn w:val="Normal"/>
    <w:uiPriority w:val="34"/>
    <w:qFormat/>
    <w:rsid w:val="00321259"/>
    <w:pPr>
      <w:ind w:left="720"/>
      <w:contextualSpacing/>
    </w:pPr>
  </w:style>
  <w:style w:type="character" w:styleId="Hyperlink">
    <w:name w:val="Hyperlink"/>
    <w:basedOn w:val="DefaultParagraphFont"/>
    <w:uiPriority w:val="99"/>
    <w:unhideWhenUsed/>
    <w:rsid w:val="00620254"/>
    <w:rPr>
      <w:color w:val="0000FF" w:themeColor="hyperlink"/>
      <w:u w:val="single"/>
    </w:rPr>
  </w:style>
  <w:style w:type="character" w:styleId="UnresolvedMention">
    <w:name w:val="Unresolved Mention"/>
    <w:basedOn w:val="DefaultParagraphFont"/>
    <w:uiPriority w:val="99"/>
    <w:semiHidden/>
    <w:unhideWhenUsed/>
    <w:rsid w:val="00620254"/>
    <w:rPr>
      <w:color w:val="605E5C"/>
      <w:shd w:val="clear" w:color="auto" w:fill="E1DFDD"/>
    </w:rPr>
  </w:style>
  <w:style w:type="paragraph" w:customStyle="1" w:styleId="ListParagraph1">
    <w:name w:val="List Paragraph1"/>
    <w:basedOn w:val="Normal"/>
    <w:uiPriority w:val="34"/>
    <w:qFormat/>
    <w:rsid w:val="004A7098"/>
    <w:pPr>
      <w:spacing w:after="200"/>
      <w:ind w:left="720"/>
      <w:contextualSpacing/>
    </w:pPr>
    <w:rPr>
      <w:rFonts w:ascii="Calibri" w:eastAsia="Calibri" w:hAnsi="Calibri" w:cs="Times New Roman"/>
      <w:lang w:val="en-US" w:eastAsia="en-US"/>
    </w:rPr>
  </w:style>
  <w:style w:type="paragraph" w:styleId="NormalWeb">
    <w:name w:val="Normal (Web)"/>
    <w:basedOn w:val="Normal"/>
    <w:uiPriority w:val="99"/>
    <w:semiHidden/>
    <w:unhideWhenUsed/>
    <w:rsid w:val="004A7098"/>
    <w:rPr>
      <w:rFonts w:ascii="Times New Roman" w:hAnsi="Times New Roman" w:cs="Times New Roman"/>
      <w:sz w:val="24"/>
      <w:szCs w:val="24"/>
    </w:rPr>
  </w:style>
  <w:style w:type="character" w:styleId="CommentReference">
    <w:name w:val="annotation reference"/>
    <w:uiPriority w:val="99"/>
    <w:semiHidden/>
    <w:unhideWhenUsed/>
    <w:rsid w:val="004A7098"/>
    <w:rPr>
      <w:sz w:val="16"/>
      <w:szCs w:val="16"/>
    </w:rPr>
  </w:style>
  <w:style w:type="paragraph" w:customStyle="1" w:styleId="ListParagraph3">
    <w:name w:val="List Paragraph3"/>
    <w:basedOn w:val="Normal"/>
    <w:uiPriority w:val="34"/>
    <w:qFormat/>
    <w:rsid w:val="0016420B"/>
    <w:pPr>
      <w:spacing w:after="200"/>
      <w:ind w:left="720"/>
      <w:contextualSpacing/>
    </w:pPr>
    <w:rPr>
      <w:rFonts w:ascii="Calibri" w:eastAsia="Calibri" w:hAnsi="Calibri" w:cs="Times New Roman"/>
      <w:lang w:val="en-US" w:eastAsia="en-US"/>
    </w:rPr>
  </w:style>
  <w:style w:type="paragraph" w:styleId="FootnoteText">
    <w:name w:val="footnote text"/>
    <w:basedOn w:val="Normal"/>
    <w:link w:val="FootnoteTextChar"/>
    <w:uiPriority w:val="99"/>
    <w:semiHidden/>
    <w:unhideWhenUsed/>
    <w:rsid w:val="00E67A70"/>
    <w:pPr>
      <w:spacing w:line="240" w:lineRule="auto"/>
    </w:pPr>
    <w:rPr>
      <w:sz w:val="20"/>
      <w:szCs w:val="20"/>
    </w:rPr>
  </w:style>
  <w:style w:type="character" w:customStyle="1" w:styleId="FootnoteTextChar">
    <w:name w:val="Footnote Text Char"/>
    <w:basedOn w:val="DefaultParagraphFont"/>
    <w:link w:val="FootnoteText"/>
    <w:uiPriority w:val="99"/>
    <w:semiHidden/>
    <w:rsid w:val="00E67A7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atent.org.hu" TargetMode="External"/><Relationship Id="rId13" Type="http://schemas.openxmlformats.org/officeDocument/2006/relationships/hyperlink" Target="mailto:julia.spronz@patent.org.h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atent.org.h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tras.boglarka@patent.org.h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atent.org.hu" TargetMode="External"/><Relationship Id="rId4" Type="http://schemas.openxmlformats.org/officeDocument/2006/relationships/settings" Target="settings.xml"/><Relationship Id="rId9" Type="http://schemas.openxmlformats.org/officeDocument/2006/relationships/hyperlink" Target="mailto:les.krisztina@patent.org.hu" TargetMode="Externa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3" Type="http://schemas.openxmlformats.org/officeDocument/2006/relationships/hyperlink" Target="https://www.patent.org.hu/dokumentumok/kozpolitika_kutatas/2012_A_kotelezo_abortusz_tanacsadas_gyakorlata_Mon._tanulamany_2012-13.pdf" TargetMode="External"/><Relationship Id="rId7" Type="http://schemas.openxmlformats.org/officeDocument/2006/relationships/hyperlink" Target="https://actionnetwork.org/forms/magyarorszagon-is-legyen-recept-nelkul-kaphato-az-esemeny-utani-tabletta/" TargetMode="External"/><Relationship Id="rId2" Type="http://schemas.openxmlformats.org/officeDocument/2006/relationships/hyperlink" Target="https://patent.org.hu/dokumentumok/Patent_Beszeljunk_az_abortuszrol_2024.pdf" TargetMode="External"/><Relationship Id="rId1" Type="http://schemas.openxmlformats.org/officeDocument/2006/relationships/hyperlink" Target="https://patent.org.hu/dokumentumok/Patent_Beszeljunk_az_abortuszrol_2024.pdf" TargetMode="External"/><Relationship Id="rId6" Type="http://schemas.openxmlformats.org/officeDocument/2006/relationships/hyperlink" Target="https://mkogy.jogtar.hu/jogszabaly?docid=A2100079.TV" TargetMode="External"/><Relationship Id="rId5" Type="http://schemas.openxmlformats.org/officeDocument/2006/relationships/hyperlink" Target="https://telex.hu/eletmod/2024/04/05/abortusz-patent-egyesulet-tanulmany-christian-fiala-abortuszturizmus-szivhangtorveny-nojog" TargetMode="External"/><Relationship Id="rId4" Type="http://schemas.openxmlformats.org/officeDocument/2006/relationships/hyperlink" Target="https://telex.hu/g7/2022/09/26/az-abortusz-egyre-inkabb-a-24-ev-alattiak-tapasztalata-magyarorszagon"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3" Type="http://schemas.openxmlformats.org/officeDocument/2006/relationships/hyperlink" Target="http://www.patent.org.hu/" TargetMode="External"/><Relationship Id="rId2" Type="http://schemas.microsoft.com/office/2007/relationships/hdphoto" Target="media/hdphoto1.wdp"/><Relationship Id="rId1" Type="http://schemas.openxmlformats.org/officeDocument/2006/relationships/image" Target="media/image1.png"/><Relationship Id="rId4" Type="http://schemas.openxmlformats.org/officeDocument/2006/relationships/hyperlink" Target="mailto:info@patent.org.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403B6-38D5-4593-8570-8DD6A7FF5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1799</Words>
  <Characters>12416</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Felhasználó</dc:creator>
  <cp:lastModifiedBy>Julia Spronz</cp:lastModifiedBy>
  <cp:revision>2</cp:revision>
  <cp:lastPrinted>2025-09-22T13:18:00Z</cp:lastPrinted>
  <dcterms:created xsi:type="dcterms:W3CDTF">2025-09-22T13:20:00Z</dcterms:created>
  <dcterms:modified xsi:type="dcterms:W3CDTF">2025-09-22T13:20:00Z</dcterms:modified>
</cp:coreProperties>
</file>